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948" w:rsidRPr="00C84483" w:rsidRDefault="008D5948" w:rsidP="008D5948">
      <w:pPr>
        <w:rPr>
          <w:b/>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5152340" wp14:editId="66F6047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D5948" w:rsidRPr="00C84483" w:rsidRDefault="008D5948" w:rsidP="008D5948">
      <w:pPr>
        <w:pStyle w:val="Titel"/>
        <w:tabs>
          <w:tab w:val="right" w:pos="9356"/>
        </w:tabs>
        <w:jc w:val="left"/>
        <w:rPr>
          <w:b w:val="0"/>
          <w:szCs w:val="24"/>
          <w:lang w:eastAsia="en-US"/>
        </w:rPr>
      </w:pPr>
      <w:r w:rsidRPr="00C84483">
        <w:rPr>
          <w:b w:val="0"/>
          <w:szCs w:val="24"/>
          <w:lang w:eastAsia="en-US"/>
        </w:rPr>
        <w:tab/>
      </w:r>
      <w:r w:rsidR="002574EE">
        <w:rPr>
          <w:szCs w:val="24"/>
        </w:rPr>
        <w:t>18</w:t>
      </w:r>
      <w:r>
        <w:rPr>
          <w:szCs w:val="24"/>
        </w:rPr>
        <w:t xml:space="preserve">. </w:t>
      </w:r>
      <w:r w:rsidR="002574EE">
        <w:rPr>
          <w:szCs w:val="24"/>
        </w:rPr>
        <w:t>december</w:t>
      </w:r>
      <w:r>
        <w:rPr>
          <w:szCs w:val="24"/>
        </w:rPr>
        <w:t xml:space="preserve"> 20</w:t>
      </w:r>
      <w:r w:rsidR="00A54635">
        <w:rPr>
          <w:szCs w:val="24"/>
        </w:rPr>
        <w:t>23</w:t>
      </w:r>
    </w:p>
    <w:p w:rsidR="008D5948" w:rsidRPr="00C84483" w:rsidRDefault="008D5948" w:rsidP="008D5948">
      <w:pPr>
        <w:pStyle w:val="Titel"/>
        <w:tabs>
          <w:tab w:val="left" w:pos="8222"/>
        </w:tabs>
        <w:jc w:val="left"/>
        <w:rPr>
          <w:b w:val="0"/>
          <w:szCs w:val="24"/>
        </w:rPr>
      </w:pPr>
    </w:p>
    <w:p w:rsidR="008D5948" w:rsidRPr="00C84483" w:rsidRDefault="008D5948" w:rsidP="008D5948">
      <w:pPr>
        <w:pStyle w:val="Titel"/>
        <w:jc w:val="left"/>
        <w:rPr>
          <w:b w:val="0"/>
          <w:szCs w:val="24"/>
        </w:rPr>
      </w:pPr>
    </w:p>
    <w:p w:rsidR="008D5948" w:rsidRPr="00C84483" w:rsidRDefault="008D5948" w:rsidP="008D5948">
      <w:pPr>
        <w:pStyle w:val="Titel"/>
        <w:jc w:val="left"/>
        <w:rPr>
          <w:b w:val="0"/>
          <w:szCs w:val="24"/>
        </w:rPr>
      </w:pPr>
    </w:p>
    <w:p w:rsidR="008D5948" w:rsidRPr="00C84483" w:rsidRDefault="008D5948" w:rsidP="008D5948">
      <w:pPr>
        <w:jc w:val="center"/>
        <w:rPr>
          <w:b/>
          <w:sz w:val="24"/>
          <w:szCs w:val="24"/>
        </w:rPr>
      </w:pPr>
      <w:r w:rsidRPr="00C84483">
        <w:rPr>
          <w:b/>
          <w:sz w:val="24"/>
          <w:szCs w:val="24"/>
        </w:rPr>
        <w:t>PRODUKTRESUMÉ</w:t>
      </w:r>
    </w:p>
    <w:p w:rsidR="008D5948" w:rsidRPr="00C84483" w:rsidRDefault="008D5948" w:rsidP="008D5948">
      <w:pPr>
        <w:jc w:val="center"/>
        <w:rPr>
          <w:b/>
          <w:sz w:val="24"/>
          <w:szCs w:val="24"/>
        </w:rPr>
      </w:pPr>
    </w:p>
    <w:p w:rsidR="008D5948" w:rsidRDefault="008D5948" w:rsidP="008D5948">
      <w:pPr>
        <w:jc w:val="center"/>
        <w:rPr>
          <w:b/>
          <w:sz w:val="24"/>
          <w:szCs w:val="24"/>
        </w:rPr>
      </w:pPr>
      <w:r w:rsidRPr="00C84483">
        <w:rPr>
          <w:b/>
          <w:sz w:val="24"/>
          <w:szCs w:val="24"/>
        </w:rPr>
        <w:t>for</w:t>
      </w:r>
    </w:p>
    <w:p w:rsidR="008D5948" w:rsidRPr="00C84483" w:rsidRDefault="008D5948" w:rsidP="008D5948">
      <w:pPr>
        <w:jc w:val="center"/>
        <w:rPr>
          <w:b/>
          <w:sz w:val="24"/>
          <w:szCs w:val="24"/>
        </w:rPr>
      </w:pPr>
    </w:p>
    <w:p w:rsidR="008D5948" w:rsidRPr="00C84483" w:rsidRDefault="008D5948" w:rsidP="008D5948">
      <w:pPr>
        <w:jc w:val="center"/>
        <w:rPr>
          <w:b/>
          <w:sz w:val="24"/>
          <w:szCs w:val="24"/>
        </w:rPr>
      </w:pPr>
      <w:proofErr w:type="spellStart"/>
      <w:r>
        <w:rPr>
          <w:b/>
          <w:sz w:val="24"/>
          <w:szCs w:val="24"/>
        </w:rPr>
        <w:t>Entecavir</w:t>
      </w:r>
      <w:proofErr w:type="spellEnd"/>
      <w:r>
        <w:rPr>
          <w:b/>
          <w:sz w:val="24"/>
          <w:szCs w:val="24"/>
        </w:rPr>
        <w:t xml:space="preserve"> "</w:t>
      </w:r>
      <w:proofErr w:type="spellStart"/>
      <w:r>
        <w:rPr>
          <w:b/>
          <w:sz w:val="24"/>
          <w:szCs w:val="24"/>
        </w:rPr>
        <w:t>Teva</w:t>
      </w:r>
      <w:proofErr w:type="spellEnd"/>
      <w:r>
        <w:rPr>
          <w:b/>
          <w:sz w:val="24"/>
          <w:szCs w:val="24"/>
        </w:rPr>
        <w:t>", filmovertrukne tabletter</w:t>
      </w:r>
    </w:p>
    <w:p w:rsidR="008D5948" w:rsidRPr="00C84483" w:rsidRDefault="008D5948" w:rsidP="008D5948">
      <w:pPr>
        <w:jc w:val="both"/>
        <w:rPr>
          <w:sz w:val="24"/>
          <w:szCs w:val="24"/>
        </w:rPr>
      </w:pPr>
    </w:p>
    <w:p w:rsidR="008D5948" w:rsidRPr="00543BFE" w:rsidRDefault="008D5948" w:rsidP="008D5948">
      <w:pPr>
        <w:ind w:left="851" w:hanging="851"/>
        <w:jc w:val="both"/>
        <w:rPr>
          <w:sz w:val="24"/>
          <w:szCs w:val="24"/>
        </w:rPr>
      </w:pPr>
    </w:p>
    <w:p w:rsidR="008D5948" w:rsidRPr="00543BFE" w:rsidRDefault="008D5948" w:rsidP="008D5948">
      <w:pPr>
        <w:ind w:left="851" w:hanging="851"/>
        <w:rPr>
          <w:b/>
          <w:sz w:val="24"/>
          <w:szCs w:val="24"/>
        </w:rPr>
      </w:pPr>
      <w:r w:rsidRPr="00543BFE">
        <w:rPr>
          <w:b/>
          <w:sz w:val="24"/>
          <w:szCs w:val="24"/>
        </w:rPr>
        <w:t>0.</w:t>
      </w:r>
      <w:r w:rsidRPr="00543BFE">
        <w:rPr>
          <w:b/>
          <w:sz w:val="24"/>
          <w:szCs w:val="24"/>
        </w:rPr>
        <w:tab/>
        <w:t>D.SP.NR.</w:t>
      </w:r>
    </w:p>
    <w:p w:rsidR="008D5948" w:rsidRPr="00543BFE" w:rsidRDefault="008D5948" w:rsidP="008D5948">
      <w:pPr>
        <w:ind w:left="851" w:hanging="851"/>
        <w:rPr>
          <w:sz w:val="24"/>
          <w:szCs w:val="24"/>
        </w:rPr>
      </w:pPr>
      <w:r>
        <w:rPr>
          <w:sz w:val="24"/>
          <w:szCs w:val="24"/>
        </w:rPr>
        <w:tab/>
      </w:r>
      <w:r w:rsidRPr="00543BFE">
        <w:rPr>
          <w:sz w:val="24"/>
          <w:szCs w:val="24"/>
        </w:rPr>
        <w:t>30395</w:t>
      </w: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1.</w:t>
      </w:r>
      <w:r w:rsidRPr="00543BFE">
        <w:rPr>
          <w:b/>
          <w:sz w:val="24"/>
          <w:szCs w:val="24"/>
        </w:rPr>
        <w:tab/>
        <w:t>LÆGEMIDLETS NAVN</w:t>
      </w:r>
    </w:p>
    <w:p w:rsidR="008D5948" w:rsidRPr="00543BFE" w:rsidRDefault="008D5948" w:rsidP="008D5948">
      <w:pPr>
        <w:ind w:left="851" w:hanging="851"/>
        <w:rPr>
          <w:sz w:val="24"/>
          <w:szCs w:val="24"/>
        </w:rPr>
      </w:pPr>
      <w:r>
        <w:rPr>
          <w:sz w:val="24"/>
          <w:szCs w:val="24"/>
        </w:rPr>
        <w:tab/>
      </w:r>
      <w:proofErr w:type="spellStart"/>
      <w:r w:rsidRPr="00543BFE">
        <w:rPr>
          <w:sz w:val="24"/>
          <w:szCs w:val="24"/>
        </w:rPr>
        <w:t>Entecavir</w:t>
      </w:r>
      <w:proofErr w:type="spellEnd"/>
      <w:r w:rsidRPr="00543BFE">
        <w:rPr>
          <w:sz w:val="24"/>
          <w:szCs w:val="24"/>
        </w:rPr>
        <w:t xml:space="preserve"> </w:t>
      </w:r>
      <w:r>
        <w:rPr>
          <w:sz w:val="24"/>
          <w:szCs w:val="24"/>
        </w:rPr>
        <w:t>"</w:t>
      </w:r>
      <w:proofErr w:type="spellStart"/>
      <w:r w:rsidRPr="00543BFE">
        <w:rPr>
          <w:sz w:val="24"/>
          <w:szCs w:val="24"/>
        </w:rPr>
        <w:t>Teva</w:t>
      </w:r>
      <w:proofErr w:type="spellEnd"/>
      <w:r>
        <w:rPr>
          <w:sz w:val="24"/>
          <w:szCs w:val="24"/>
        </w:rPr>
        <w:t>"</w:t>
      </w: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2.</w:t>
      </w:r>
      <w:r w:rsidRPr="00543BFE">
        <w:rPr>
          <w:b/>
          <w:sz w:val="24"/>
          <w:szCs w:val="24"/>
        </w:rPr>
        <w:tab/>
        <w:t>KVALITATIV OG KVANTITATIV SAMMENSÆTNING</w:t>
      </w:r>
    </w:p>
    <w:p w:rsidR="008D5948" w:rsidRPr="00543BFE" w:rsidRDefault="008D5948" w:rsidP="008D5948">
      <w:pPr>
        <w:pStyle w:val="EMEAEnBodyText"/>
        <w:autoSpaceDE w:val="0"/>
        <w:autoSpaceDN w:val="0"/>
        <w:adjustRightInd w:val="0"/>
        <w:spacing w:before="0" w:after="0"/>
        <w:ind w:left="851"/>
        <w:rPr>
          <w:sz w:val="24"/>
          <w:szCs w:val="24"/>
          <w:u w:val="single"/>
          <w:lang w:val="da-DK"/>
        </w:rPr>
      </w:pPr>
      <w:proofErr w:type="spellStart"/>
      <w:r w:rsidRPr="00543BFE">
        <w:rPr>
          <w:sz w:val="24"/>
          <w:szCs w:val="24"/>
          <w:u w:val="single"/>
          <w:lang w:val="da-DK"/>
        </w:rPr>
        <w:t>Entecavir</w:t>
      </w:r>
      <w:proofErr w:type="spellEnd"/>
      <w:r w:rsidRPr="00543BFE">
        <w:rPr>
          <w:sz w:val="24"/>
          <w:szCs w:val="24"/>
          <w:u w:val="single"/>
          <w:lang w:val="da-DK"/>
        </w:rPr>
        <w:t xml:space="preserve"> </w:t>
      </w:r>
      <w:r>
        <w:rPr>
          <w:sz w:val="24"/>
          <w:szCs w:val="24"/>
          <w:u w:val="single"/>
          <w:lang w:val="da-DK"/>
        </w:rPr>
        <w:t>"</w:t>
      </w:r>
      <w:proofErr w:type="spellStart"/>
      <w:r w:rsidRPr="00543BFE">
        <w:rPr>
          <w:sz w:val="24"/>
          <w:szCs w:val="24"/>
          <w:u w:val="single"/>
          <w:lang w:val="da-DK"/>
        </w:rPr>
        <w:t>Teva</w:t>
      </w:r>
      <w:proofErr w:type="spellEnd"/>
      <w:r>
        <w:rPr>
          <w:sz w:val="24"/>
          <w:szCs w:val="24"/>
          <w:u w:val="single"/>
          <w:lang w:val="da-DK"/>
        </w:rPr>
        <w:t>"</w:t>
      </w:r>
      <w:r w:rsidRPr="00543BFE">
        <w:rPr>
          <w:sz w:val="24"/>
          <w:szCs w:val="24"/>
          <w:u w:val="single"/>
          <w:lang w:val="da-DK"/>
        </w:rPr>
        <w:t xml:space="preserve"> 0,5 mg filmovertrukne tabletter</w:t>
      </w:r>
    </w:p>
    <w:p w:rsidR="008D5948" w:rsidRPr="00543BFE" w:rsidRDefault="008D5948" w:rsidP="008D5948">
      <w:pPr>
        <w:pStyle w:val="EMEAEnBodyText"/>
        <w:autoSpaceDE w:val="0"/>
        <w:autoSpaceDN w:val="0"/>
        <w:adjustRightInd w:val="0"/>
        <w:spacing w:before="0" w:after="0"/>
        <w:ind w:left="851"/>
        <w:rPr>
          <w:sz w:val="24"/>
          <w:szCs w:val="24"/>
          <w:lang w:val="da-DK"/>
        </w:rPr>
      </w:pPr>
      <w:r w:rsidRPr="00543BFE">
        <w:rPr>
          <w:sz w:val="24"/>
          <w:szCs w:val="24"/>
          <w:lang w:val="da-DK"/>
        </w:rPr>
        <w:t xml:space="preserve">Hver tablet indeholder 0,5 mg </w:t>
      </w:r>
      <w:proofErr w:type="spellStart"/>
      <w:r w:rsidRPr="00543BFE">
        <w:rPr>
          <w:sz w:val="24"/>
          <w:szCs w:val="24"/>
          <w:lang w:val="da-DK"/>
        </w:rPr>
        <w:t>entecavir</w:t>
      </w:r>
      <w:proofErr w:type="spellEnd"/>
      <w:r w:rsidRPr="00543BFE">
        <w:rPr>
          <w:sz w:val="24"/>
          <w:szCs w:val="24"/>
          <w:lang w:val="da-DK"/>
        </w:rPr>
        <w:t xml:space="preserve"> (som monohydrat)</w:t>
      </w:r>
    </w:p>
    <w:p w:rsidR="008D5948" w:rsidRPr="00543BFE" w:rsidRDefault="008D5948" w:rsidP="008D5948">
      <w:pPr>
        <w:pStyle w:val="EMEAEnBodyText"/>
        <w:autoSpaceDE w:val="0"/>
        <w:autoSpaceDN w:val="0"/>
        <w:adjustRightInd w:val="0"/>
        <w:spacing w:before="0" w:after="0"/>
        <w:ind w:left="851" w:hanging="851"/>
        <w:rPr>
          <w:sz w:val="24"/>
          <w:szCs w:val="24"/>
          <w:lang w:val="da-DK"/>
        </w:rPr>
      </w:pPr>
    </w:p>
    <w:p w:rsidR="008D5948" w:rsidRPr="00543BFE" w:rsidRDefault="008D5948" w:rsidP="008D5948">
      <w:pPr>
        <w:pStyle w:val="EMEAEnBodyText"/>
        <w:autoSpaceDE w:val="0"/>
        <w:autoSpaceDN w:val="0"/>
        <w:adjustRightInd w:val="0"/>
        <w:spacing w:before="0" w:after="0"/>
        <w:ind w:left="851"/>
        <w:rPr>
          <w:sz w:val="24"/>
          <w:szCs w:val="24"/>
          <w:u w:val="single"/>
          <w:lang w:val="da-DK"/>
        </w:rPr>
      </w:pPr>
      <w:proofErr w:type="spellStart"/>
      <w:r w:rsidRPr="00543BFE">
        <w:rPr>
          <w:sz w:val="24"/>
          <w:szCs w:val="24"/>
          <w:u w:val="single"/>
          <w:lang w:val="da-DK"/>
        </w:rPr>
        <w:t>Entecavir</w:t>
      </w:r>
      <w:proofErr w:type="spellEnd"/>
      <w:r w:rsidRPr="00543BFE">
        <w:rPr>
          <w:sz w:val="24"/>
          <w:szCs w:val="24"/>
          <w:u w:val="single"/>
          <w:lang w:val="da-DK"/>
        </w:rPr>
        <w:t xml:space="preserve"> </w:t>
      </w:r>
      <w:r>
        <w:rPr>
          <w:sz w:val="24"/>
          <w:szCs w:val="24"/>
          <w:u w:val="single"/>
          <w:lang w:val="da-DK"/>
        </w:rPr>
        <w:t>"</w:t>
      </w:r>
      <w:proofErr w:type="spellStart"/>
      <w:r w:rsidRPr="00543BFE">
        <w:rPr>
          <w:sz w:val="24"/>
          <w:szCs w:val="24"/>
          <w:u w:val="single"/>
          <w:lang w:val="da-DK"/>
        </w:rPr>
        <w:t>Teva</w:t>
      </w:r>
      <w:proofErr w:type="spellEnd"/>
      <w:r>
        <w:rPr>
          <w:sz w:val="24"/>
          <w:szCs w:val="24"/>
          <w:u w:val="single"/>
          <w:lang w:val="da-DK"/>
        </w:rPr>
        <w:t>"</w:t>
      </w:r>
      <w:r w:rsidRPr="00543BFE">
        <w:rPr>
          <w:sz w:val="24"/>
          <w:szCs w:val="24"/>
          <w:u w:val="single"/>
          <w:lang w:val="da-DK"/>
        </w:rPr>
        <w:t xml:space="preserve"> 1 mg filmovertrukne tabletter</w:t>
      </w:r>
    </w:p>
    <w:p w:rsidR="008D5948" w:rsidRPr="00543BFE" w:rsidRDefault="008D5948" w:rsidP="008D5948">
      <w:pPr>
        <w:pStyle w:val="EMEAEnBodyText"/>
        <w:autoSpaceDE w:val="0"/>
        <w:autoSpaceDN w:val="0"/>
        <w:adjustRightInd w:val="0"/>
        <w:spacing w:before="0" w:after="0"/>
        <w:ind w:left="851"/>
        <w:rPr>
          <w:sz w:val="24"/>
          <w:szCs w:val="24"/>
          <w:lang w:val="da-DK"/>
        </w:rPr>
      </w:pPr>
      <w:r w:rsidRPr="00543BFE">
        <w:rPr>
          <w:sz w:val="24"/>
          <w:szCs w:val="24"/>
          <w:lang w:val="da-DK"/>
        </w:rPr>
        <w:t xml:space="preserve">Hver tablet indeholder 1 mg </w:t>
      </w:r>
      <w:proofErr w:type="spellStart"/>
      <w:r w:rsidRPr="00543BFE">
        <w:rPr>
          <w:sz w:val="24"/>
          <w:szCs w:val="24"/>
          <w:lang w:val="da-DK"/>
        </w:rPr>
        <w:t>entecavir</w:t>
      </w:r>
      <w:proofErr w:type="spellEnd"/>
      <w:r w:rsidRPr="00543BFE">
        <w:rPr>
          <w:sz w:val="24"/>
          <w:szCs w:val="24"/>
          <w:lang w:val="da-DK"/>
        </w:rPr>
        <w:t xml:space="preserve"> (som monohydrat)</w:t>
      </w:r>
    </w:p>
    <w:p w:rsidR="008D5948" w:rsidRPr="00543BFE" w:rsidRDefault="008D5948" w:rsidP="008D5948">
      <w:pPr>
        <w:pStyle w:val="EMEAEnBodyText"/>
        <w:autoSpaceDE w:val="0"/>
        <w:autoSpaceDN w:val="0"/>
        <w:adjustRightInd w:val="0"/>
        <w:spacing w:before="0" w:after="0"/>
        <w:ind w:left="851" w:hanging="851"/>
        <w:rPr>
          <w:sz w:val="24"/>
          <w:szCs w:val="24"/>
          <w:lang w:val="da-DK"/>
        </w:rPr>
      </w:pPr>
    </w:p>
    <w:p w:rsidR="008D5948" w:rsidRPr="00543BFE" w:rsidRDefault="008D5948" w:rsidP="008D5948">
      <w:pPr>
        <w:ind w:left="851" w:hanging="851"/>
        <w:rPr>
          <w:sz w:val="24"/>
          <w:szCs w:val="24"/>
        </w:rPr>
      </w:pPr>
      <w:r>
        <w:rPr>
          <w:sz w:val="24"/>
          <w:szCs w:val="24"/>
        </w:rPr>
        <w:tab/>
      </w:r>
      <w:r w:rsidRPr="00543BFE">
        <w:rPr>
          <w:sz w:val="24"/>
          <w:szCs w:val="24"/>
        </w:rPr>
        <w:t>Alle hjælpestoffer er anført under pkt. 6.1.</w:t>
      </w: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3.</w:t>
      </w:r>
      <w:r w:rsidRPr="00543BFE">
        <w:rPr>
          <w:b/>
          <w:sz w:val="24"/>
          <w:szCs w:val="24"/>
        </w:rPr>
        <w:tab/>
        <w:t>LÆGEMIDDELFORM</w:t>
      </w:r>
    </w:p>
    <w:p w:rsidR="008D5948" w:rsidRPr="00543BFE" w:rsidRDefault="008D5948" w:rsidP="008D5948">
      <w:pPr>
        <w:suppressAutoHyphens/>
        <w:ind w:left="851"/>
        <w:rPr>
          <w:spacing w:val="-3"/>
          <w:sz w:val="24"/>
          <w:szCs w:val="24"/>
          <w:lang w:eastAsia="da-DK"/>
        </w:rPr>
      </w:pPr>
      <w:r w:rsidRPr="00543BFE">
        <w:rPr>
          <w:spacing w:val="-3"/>
          <w:sz w:val="24"/>
          <w:szCs w:val="24"/>
        </w:rPr>
        <w:t>Filmovertruk</w:t>
      </w:r>
      <w:r>
        <w:rPr>
          <w:spacing w:val="-3"/>
          <w:sz w:val="24"/>
          <w:szCs w:val="24"/>
        </w:rPr>
        <w:t>ne tabletter</w:t>
      </w:r>
    </w:p>
    <w:p w:rsidR="008D5948" w:rsidRPr="00543BFE" w:rsidRDefault="008D5948" w:rsidP="008D5948">
      <w:pPr>
        <w:suppressAutoHyphens/>
        <w:ind w:left="851" w:hanging="851"/>
        <w:rPr>
          <w:spacing w:val="-3"/>
          <w:sz w:val="24"/>
          <w:szCs w:val="24"/>
        </w:rPr>
      </w:pPr>
    </w:p>
    <w:p w:rsidR="008D5948" w:rsidRPr="00543BFE" w:rsidRDefault="008D5948" w:rsidP="008D5948">
      <w:pPr>
        <w:suppressAutoHyphens/>
        <w:ind w:left="851"/>
        <w:rPr>
          <w:sz w:val="24"/>
          <w:szCs w:val="24"/>
          <w:u w:val="single"/>
        </w:rPr>
      </w:pPr>
      <w:proofErr w:type="spellStart"/>
      <w:r w:rsidRPr="00543BFE">
        <w:rPr>
          <w:spacing w:val="-3"/>
          <w:sz w:val="24"/>
          <w:szCs w:val="24"/>
          <w:u w:val="single"/>
        </w:rPr>
        <w:t>Entecavir</w:t>
      </w:r>
      <w:proofErr w:type="spellEnd"/>
      <w:r w:rsidRPr="00543BFE">
        <w:rPr>
          <w:spacing w:val="-3"/>
          <w:sz w:val="24"/>
          <w:szCs w:val="24"/>
          <w:u w:val="single"/>
        </w:rPr>
        <w:t xml:space="preserve"> </w:t>
      </w:r>
      <w:r>
        <w:rPr>
          <w:spacing w:val="-3"/>
          <w:sz w:val="24"/>
          <w:szCs w:val="24"/>
          <w:u w:val="single"/>
        </w:rPr>
        <w:t>"</w:t>
      </w:r>
      <w:proofErr w:type="spellStart"/>
      <w:r w:rsidRPr="00543BFE">
        <w:rPr>
          <w:spacing w:val="-3"/>
          <w:sz w:val="24"/>
          <w:szCs w:val="24"/>
          <w:u w:val="single"/>
        </w:rPr>
        <w:t>Teva</w:t>
      </w:r>
      <w:proofErr w:type="spellEnd"/>
      <w:r>
        <w:rPr>
          <w:spacing w:val="-3"/>
          <w:sz w:val="24"/>
          <w:szCs w:val="24"/>
          <w:u w:val="single"/>
        </w:rPr>
        <w:t>"</w:t>
      </w:r>
      <w:r w:rsidRPr="00543BFE">
        <w:rPr>
          <w:spacing w:val="-3"/>
          <w:sz w:val="24"/>
          <w:szCs w:val="24"/>
          <w:u w:val="single"/>
        </w:rPr>
        <w:t xml:space="preserve"> 0,5 mg filmovertrukne tabletter</w:t>
      </w:r>
    </w:p>
    <w:p w:rsidR="008D5948" w:rsidRPr="00543BFE" w:rsidRDefault="008D5948" w:rsidP="008D5948">
      <w:pPr>
        <w:suppressAutoHyphens/>
        <w:ind w:left="851"/>
        <w:rPr>
          <w:sz w:val="24"/>
          <w:szCs w:val="24"/>
        </w:rPr>
      </w:pPr>
      <w:r w:rsidRPr="00543BFE">
        <w:rPr>
          <w:sz w:val="24"/>
          <w:szCs w:val="24"/>
        </w:rPr>
        <w:t xml:space="preserve">Hvid til råhvid, rund tablet, præget med </w:t>
      </w:r>
      <w:r>
        <w:rPr>
          <w:sz w:val="24"/>
          <w:szCs w:val="24"/>
        </w:rPr>
        <w:t>"</w:t>
      </w:r>
      <w:r w:rsidRPr="00543BFE">
        <w:rPr>
          <w:sz w:val="24"/>
          <w:szCs w:val="24"/>
        </w:rPr>
        <w:t>05</w:t>
      </w:r>
      <w:r>
        <w:rPr>
          <w:sz w:val="24"/>
          <w:szCs w:val="24"/>
        </w:rPr>
        <w:t>"</w:t>
      </w:r>
      <w:r w:rsidRPr="00543BFE">
        <w:rPr>
          <w:sz w:val="24"/>
          <w:szCs w:val="24"/>
        </w:rPr>
        <w:t xml:space="preserve"> på den ene side af tabletten og med </w:t>
      </w:r>
      <w:r>
        <w:rPr>
          <w:sz w:val="24"/>
          <w:szCs w:val="24"/>
        </w:rPr>
        <w:t>"</w:t>
      </w:r>
      <w:r w:rsidRPr="00543BFE">
        <w:rPr>
          <w:sz w:val="24"/>
          <w:szCs w:val="24"/>
        </w:rPr>
        <w:t>E</w:t>
      </w:r>
      <w:r>
        <w:rPr>
          <w:sz w:val="24"/>
          <w:szCs w:val="24"/>
        </w:rPr>
        <w:t>"</w:t>
      </w:r>
      <w:r w:rsidRPr="00543BFE">
        <w:rPr>
          <w:sz w:val="24"/>
          <w:szCs w:val="24"/>
        </w:rPr>
        <w:t xml:space="preserve"> på den anden side af tabletten. Tabletten har en diameter på ca. 5,96-6,26 mm. </w:t>
      </w:r>
    </w:p>
    <w:p w:rsidR="008D5948" w:rsidRPr="00543BFE" w:rsidRDefault="008D5948" w:rsidP="008D5948">
      <w:pPr>
        <w:suppressAutoHyphens/>
        <w:ind w:left="851" w:hanging="851"/>
        <w:rPr>
          <w:sz w:val="24"/>
          <w:szCs w:val="24"/>
        </w:rPr>
      </w:pPr>
    </w:p>
    <w:p w:rsidR="008D5948" w:rsidRPr="00543BFE" w:rsidRDefault="008D5948" w:rsidP="008D5948">
      <w:pPr>
        <w:suppressAutoHyphens/>
        <w:ind w:left="851"/>
        <w:rPr>
          <w:sz w:val="24"/>
          <w:szCs w:val="24"/>
          <w:u w:val="single"/>
        </w:rPr>
      </w:pPr>
      <w:proofErr w:type="spellStart"/>
      <w:r w:rsidRPr="00543BFE">
        <w:rPr>
          <w:spacing w:val="-3"/>
          <w:sz w:val="24"/>
          <w:szCs w:val="24"/>
          <w:u w:val="single"/>
        </w:rPr>
        <w:t>Entecavir</w:t>
      </w:r>
      <w:proofErr w:type="spellEnd"/>
      <w:r w:rsidRPr="00543BFE">
        <w:rPr>
          <w:spacing w:val="-3"/>
          <w:sz w:val="24"/>
          <w:szCs w:val="24"/>
          <w:u w:val="single"/>
        </w:rPr>
        <w:t xml:space="preserve"> </w:t>
      </w:r>
      <w:r>
        <w:rPr>
          <w:spacing w:val="-3"/>
          <w:sz w:val="24"/>
          <w:szCs w:val="24"/>
          <w:u w:val="single"/>
        </w:rPr>
        <w:t>"</w:t>
      </w:r>
      <w:proofErr w:type="spellStart"/>
      <w:r w:rsidRPr="00543BFE">
        <w:rPr>
          <w:spacing w:val="-3"/>
          <w:sz w:val="24"/>
          <w:szCs w:val="24"/>
          <w:u w:val="single"/>
        </w:rPr>
        <w:t>Teva</w:t>
      </w:r>
      <w:proofErr w:type="spellEnd"/>
      <w:r>
        <w:rPr>
          <w:spacing w:val="-3"/>
          <w:sz w:val="24"/>
          <w:szCs w:val="24"/>
          <w:u w:val="single"/>
        </w:rPr>
        <w:t>"</w:t>
      </w:r>
      <w:r w:rsidRPr="00543BFE">
        <w:rPr>
          <w:spacing w:val="-3"/>
          <w:sz w:val="24"/>
          <w:szCs w:val="24"/>
          <w:u w:val="single"/>
        </w:rPr>
        <w:t xml:space="preserve"> 1 mg filmovertrukne tabletter</w:t>
      </w:r>
    </w:p>
    <w:p w:rsidR="008D5948" w:rsidRPr="00543BFE" w:rsidRDefault="008D5948" w:rsidP="008D5948">
      <w:pPr>
        <w:suppressAutoHyphens/>
        <w:ind w:left="851"/>
        <w:rPr>
          <w:sz w:val="24"/>
          <w:szCs w:val="24"/>
        </w:rPr>
      </w:pPr>
      <w:r w:rsidRPr="00543BFE">
        <w:rPr>
          <w:sz w:val="24"/>
          <w:szCs w:val="24"/>
        </w:rPr>
        <w:t xml:space="preserve">Lys pink til pink, rund tablet med delekærv, præget med </w:t>
      </w:r>
      <w:r>
        <w:rPr>
          <w:sz w:val="24"/>
          <w:szCs w:val="24"/>
        </w:rPr>
        <w:t>"</w:t>
      </w:r>
      <w:r w:rsidRPr="00543BFE">
        <w:rPr>
          <w:sz w:val="24"/>
          <w:szCs w:val="24"/>
        </w:rPr>
        <w:t>1</w:t>
      </w:r>
      <w:r>
        <w:rPr>
          <w:sz w:val="24"/>
          <w:szCs w:val="24"/>
        </w:rPr>
        <w:t>"</w:t>
      </w:r>
      <w:r w:rsidRPr="00543BFE">
        <w:rPr>
          <w:sz w:val="24"/>
          <w:szCs w:val="24"/>
        </w:rPr>
        <w:t xml:space="preserve"> på den ene side af tabletten og med </w:t>
      </w:r>
      <w:r>
        <w:rPr>
          <w:sz w:val="24"/>
          <w:szCs w:val="24"/>
        </w:rPr>
        <w:t>"</w:t>
      </w:r>
      <w:r w:rsidRPr="00543BFE">
        <w:rPr>
          <w:sz w:val="24"/>
          <w:szCs w:val="24"/>
        </w:rPr>
        <w:t>E/E</w:t>
      </w:r>
      <w:r>
        <w:rPr>
          <w:sz w:val="24"/>
          <w:szCs w:val="24"/>
        </w:rPr>
        <w:t>"</w:t>
      </w:r>
      <w:r w:rsidRPr="00543BFE">
        <w:rPr>
          <w:sz w:val="24"/>
          <w:szCs w:val="24"/>
        </w:rPr>
        <w:t xml:space="preserve"> på den anden side af tabletten. Tabletten har en diameter på ca. 8,42-8,86 mm. Tabletten kan deles i to lige store halvdele.</w:t>
      </w:r>
    </w:p>
    <w:p w:rsidR="008D5948" w:rsidRPr="00543BFE" w:rsidRDefault="008D5948" w:rsidP="008D5948">
      <w:pPr>
        <w:ind w:left="851" w:hanging="851"/>
        <w:rPr>
          <w:sz w:val="24"/>
          <w:szCs w:val="24"/>
        </w:rPr>
      </w:pP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4.</w:t>
      </w:r>
      <w:r w:rsidRPr="00543BFE">
        <w:rPr>
          <w:b/>
          <w:sz w:val="24"/>
          <w:szCs w:val="24"/>
        </w:rPr>
        <w:tab/>
        <w:t>KLINISKE OPLYSNINGER</w:t>
      </w:r>
    </w:p>
    <w:p w:rsidR="008D5948" w:rsidRPr="00543BFE" w:rsidRDefault="008D5948" w:rsidP="008D5948">
      <w:pPr>
        <w:ind w:left="851" w:hanging="851"/>
        <w:rPr>
          <w:b/>
          <w:sz w:val="24"/>
          <w:szCs w:val="24"/>
        </w:rPr>
      </w:pPr>
    </w:p>
    <w:p w:rsidR="008D5948" w:rsidRPr="00543BFE" w:rsidRDefault="008D5948" w:rsidP="008D5948">
      <w:pPr>
        <w:ind w:left="851" w:hanging="851"/>
        <w:rPr>
          <w:b/>
          <w:sz w:val="24"/>
          <w:szCs w:val="24"/>
          <w:u w:val="single"/>
        </w:rPr>
      </w:pPr>
      <w:r w:rsidRPr="00543BFE">
        <w:rPr>
          <w:b/>
          <w:sz w:val="24"/>
          <w:szCs w:val="24"/>
        </w:rPr>
        <w:t>4.1</w:t>
      </w:r>
      <w:r w:rsidRPr="00543BFE">
        <w:rPr>
          <w:b/>
          <w:sz w:val="24"/>
          <w:szCs w:val="24"/>
        </w:rPr>
        <w:tab/>
        <w:t>Terapeutiske indikationer</w:t>
      </w:r>
    </w:p>
    <w:p w:rsidR="002574EE" w:rsidRPr="00280FE8" w:rsidRDefault="002574EE" w:rsidP="002574EE">
      <w:pPr>
        <w:ind w:left="851"/>
        <w:rPr>
          <w:sz w:val="24"/>
          <w:szCs w:val="24"/>
          <w:lang w:eastAsia="da-DK"/>
        </w:rPr>
      </w:pPr>
      <w:proofErr w:type="spellStart"/>
      <w:r w:rsidRPr="00280FE8">
        <w:rPr>
          <w:sz w:val="24"/>
          <w:szCs w:val="24"/>
        </w:rPr>
        <w:t>Entecavir</w:t>
      </w:r>
      <w:proofErr w:type="spellEnd"/>
      <w:r w:rsidRPr="00280FE8">
        <w:rPr>
          <w:sz w:val="24"/>
          <w:szCs w:val="24"/>
        </w:rPr>
        <w:t xml:space="preserve"> </w:t>
      </w:r>
      <w:r w:rsidRPr="00280FE8">
        <w:rPr>
          <w:sz w:val="24"/>
          <w:szCs w:val="24"/>
        </w:rPr>
        <w:t>"</w:t>
      </w:r>
      <w:proofErr w:type="spellStart"/>
      <w:r w:rsidRPr="00280FE8">
        <w:rPr>
          <w:sz w:val="24"/>
          <w:szCs w:val="24"/>
        </w:rPr>
        <w:t>Teva</w:t>
      </w:r>
      <w:proofErr w:type="spellEnd"/>
      <w:r w:rsidRPr="00280FE8">
        <w:rPr>
          <w:sz w:val="24"/>
          <w:szCs w:val="24"/>
        </w:rPr>
        <w:t>"</w:t>
      </w:r>
      <w:r w:rsidRPr="00280FE8">
        <w:rPr>
          <w:sz w:val="24"/>
          <w:szCs w:val="24"/>
        </w:rPr>
        <w:t xml:space="preserve"> er indiceret til b</w:t>
      </w:r>
      <w:r w:rsidRPr="00280FE8">
        <w:rPr>
          <w:sz w:val="24"/>
          <w:szCs w:val="24"/>
        </w:rPr>
        <w:t>ehandling af kronisk hepatitis B-virusinfektion (HBV) (se pkt. 5) hos voksne med:</w:t>
      </w:r>
    </w:p>
    <w:p w:rsidR="008D5948" w:rsidRPr="00543BFE" w:rsidRDefault="008D5948" w:rsidP="008D5948">
      <w:pPr>
        <w:ind w:left="851" w:hanging="851"/>
        <w:rPr>
          <w:sz w:val="24"/>
          <w:szCs w:val="24"/>
        </w:rPr>
      </w:pPr>
    </w:p>
    <w:p w:rsidR="008D5948" w:rsidRPr="00543BFE" w:rsidRDefault="008D5948" w:rsidP="008D5948">
      <w:pPr>
        <w:numPr>
          <w:ilvl w:val="0"/>
          <w:numId w:val="9"/>
        </w:numPr>
        <w:ind w:left="1276" w:hanging="425"/>
        <w:rPr>
          <w:sz w:val="24"/>
          <w:szCs w:val="24"/>
        </w:rPr>
      </w:pPr>
      <w:r w:rsidRPr="00543BFE">
        <w:rPr>
          <w:sz w:val="24"/>
          <w:szCs w:val="24"/>
        </w:rPr>
        <w:lastRenderedPageBreak/>
        <w:t xml:space="preserve">kompenseret leversygdom og evidens for aktiv viral replikation, vedvarende forhøjet </w:t>
      </w:r>
      <w:proofErr w:type="spellStart"/>
      <w:r w:rsidRPr="00543BFE">
        <w:rPr>
          <w:sz w:val="24"/>
          <w:szCs w:val="24"/>
        </w:rPr>
        <w:t>alaninaminotransferase</w:t>
      </w:r>
      <w:proofErr w:type="spellEnd"/>
      <w:r w:rsidRPr="00543BFE">
        <w:rPr>
          <w:sz w:val="24"/>
          <w:szCs w:val="24"/>
        </w:rPr>
        <w:t xml:space="preserve">-niveau i serum (ALAT) og tidligere evidens </w:t>
      </w:r>
      <w:proofErr w:type="spellStart"/>
      <w:r w:rsidRPr="00543BFE">
        <w:rPr>
          <w:sz w:val="24"/>
          <w:szCs w:val="24"/>
        </w:rPr>
        <w:t>foraktiv</w:t>
      </w:r>
      <w:proofErr w:type="spellEnd"/>
      <w:r w:rsidRPr="00543BFE">
        <w:rPr>
          <w:sz w:val="24"/>
          <w:szCs w:val="24"/>
        </w:rPr>
        <w:t xml:space="preserve"> inflammation og/eller fibrose. </w:t>
      </w:r>
    </w:p>
    <w:p w:rsidR="008D5948" w:rsidRPr="00543BFE" w:rsidRDefault="008D5948" w:rsidP="008D5948">
      <w:pPr>
        <w:numPr>
          <w:ilvl w:val="0"/>
          <w:numId w:val="9"/>
        </w:numPr>
        <w:ind w:left="1276" w:hanging="425"/>
        <w:rPr>
          <w:sz w:val="24"/>
          <w:szCs w:val="24"/>
        </w:rPr>
      </w:pPr>
      <w:proofErr w:type="spellStart"/>
      <w:r w:rsidRPr="00543BFE">
        <w:rPr>
          <w:sz w:val="24"/>
          <w:szCs w:val="24"/>
        </w:rPr>
        <w:t>dekompenseret</w:t>
      </w:r>
      <w:proofErr w:type="spellEnd"/>
      <w:r w:rsidRPr="00543BFE">
        <w:rPr>
          <w:sz w:val="24"/>
          <w:szCs w:val="24"/>
        </w:rPr>
        <w:t xml:space="preserve"> leversygdom (se pkt. 4.4).</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Indikationen er baseret på data fra kliniske studier i </w:t>
      </w:r>
      <w:proofErr w:type="spellStart"/>
      <w:r w:rsidRPr="00543BFE">
        <w:rPr>
          <w:sz w:val="24"/>
          <w:szCs w:val="24"/>
        </w:rPr>
        <w:t>nukleosidnaive</w:t>
      </w:r>
      <w:proofErr w:type="spellEnd"/>
      <w:r w:rsidRPr="00543BFE">
        <w:rPr>
          <w:sz w:val="24"/>
          <w:szCs w:val="24"/>
        </w:rPr>
        <w:t xml:space="preserve"> patienter med </w:t>
      </w:r>
      <w:proofErr w:type="spellStart"/>
      <w:r w:rsidRPr="00543BFE">
        <w:rPr>
          <w:sz w:val="24"/>
          <w:szCs w:val="24"/>
        </w:rPr>
        <w:t>HBeAg</w:t>
      </w:r>
      <w:proofErr w:type="spellEnd"/>
      <w:r w:rsidRPr="00543BFE">
        <w:rPr>
          <w:sz w:val="24"/>
          <w:szCs w:val="24"/>
        </w:rPr>
        <w:t xml:space="preserve">-positiv og </w:t>
      </w:r>
      <w:proofErr w:type="spellStart"/>
      <w:r w:rsidRPr="00543BFE">
        <w:rPr>
          <w:sz w:val="24"/>
          <w:szCs w:val="24"/>
        </w:rPr>
        <w:t>HBeAg</w:t>
      </w:r>
      <w:proofErr w:type="spellEnd"/>
      <w:r w:rsidRPr="00543BFE">
        <w:rPr>
          <w:sz w:val="24"/>
          <w:szCs w:val="24"/>
        </w:rPr>
        <w:t xml:space="preserve">-negativ HBV-infektion for både kompenseret og </w:t>
      </w:r>
      <w:proofErr w:type="spellStart"/>
      <w:r w:rsidRPr="00543BFE">
        <w:rPr>
          <w:sz w:val="24"/>
          <w:szCs w:val="24"/>
        </w:rPr>
        <w:t>dekompenseret</w:t>
      </w:r>
      <w:proofErr w:type="spellEnd"/>
      <w:r w:rsidRPr="00543BFE">
        <w:rPr>
          <w:sz w:val="24"/>
          <w:szCs w:val="24"/>
        </w:rPr>
        <w:t xml:space="preserve"> leversygdom. Med hensyn til patienter med </w:t>
      </w:r>
      <w:proofErr w:type="spellStart"/>
      <w:r w:rsidRPr="00543BFE">
        <w:rPr>
          <w:sz w:val="24"/>
          <w:szCs w:val="24"/>
        </w:rPr>
        <w:t>lamivudinrefraktær</w:t>
      </w:r>
      <w:proofErr w:type="spellEnd"/>
      <w:r w:rsidRPr="00543BFE">
        <w:rPr>
          <w:sz w:val="24"/>
          <w:szCs w:val="24"/>
        </w:rPr>
        <w:t xml:space="preserve"> hepatitis B, se pkt. 4.2, 4.4, og 5.1.</w:t>
      </w:r>
    </w:p>
    <w:p w:rsidR="008D5948" w:rsidRPr="00543BFE" w:rsidRDefault="008D5948" w:rsidP="008D5948">
      <w:pPr>
        <w:ind w:left="851" w:hanging="851"/>
        <w:rPr>
          <w:sz w:val="24"/>
          <w:szCs w:val="24"/>
        </w:rPr>
      </w:pPr>
    </w:p>
    <w:p w:rsidR="002574EE" w:rsidRPr="00280FE8" w:rsidRDefault="002574EE" w:rsidP="002574EE">
      <w:pPr>
        <w:ind w:left="851"/>
        <w:rPr>
          <w:sz w:val="24"/>
          <w:szCs w:val="24"/>
        </w:rPr>
      </w:pPr>
      <w:proofErr w:type="spellStart"/>
      <w:r w:rsidRPr="00280FE8">
        <w:rPr>
          <w:sz w:val="24"/>
          <w:szCs w:val="24"/>
        </w:rPr>
        <w:t>Entecavir</w:t>
      </w:r>
      <w:proofErr w:type="spellEnd"/>
      <w:r w:rsidRPr="00280FE8">
        <w:rPr>
          <w:sz w:val="24"/>
          <w:szCs w:val="24"/>
        </w:rPr>
        <w:t xml:space="preserve"> </w:t>
      </w:r>
      <w:r w:rsidRPr="00280FE8">
        <w:rPr>
          <w:sz w:val="24"/>
          <w:szCs w:val="24"/>
        </w:rPr>
        <w:t>"</w:t>
      </w:r>
      <w:proofErr w:type="spellStart"/>
      <w:r w:rsidRPr="00280FE8">
        <w:rPr>
          <w:sz w:val="24"/>
          <w:szCs w:val="24"/>
        </w:rPr>
        <w:t>Teva</w:t>
      </w:r>
      <w:proofErr w:type="spellEnd"/>
      <w:r w:rsidRPr="00280FE8">
        <w:rPr>
          <w:sz w:val="24"/>
          <w:szCs w:val="24"/>
        </w:rPr>
        <w:t>"</w:t>
      </w:r>
      <w:r w:rsidRPr="00280FE8">
        <w:rPr>
          <w:sz w:val="24"/>
          <w:szCs w:val="24"/>
        </w:rPr>
        <w:t xml:space="preserve"> er</w:t>
      </w:r>
      <w:r w:rsidRPr="00280FE8">
        <w:rPr>
          <w:sz w:val="24"/>
          <w:szCs w:val="24"/>
        </w:rPr>
        <w:t xml:space="preserve"> også</w:t>
      </w:r>
      <w:r w:rsidRPr="00280FE8">
        <w:rPr>
          <w:sz w:val="24"/>
          <w:szCs w:val="24"/>
        </w:rPr>
        <w:t xml:space="preserve"> indiceret til b</w:t>
      </w:r>
      <w:r w:rsidRPr="00280FE8">
        <w:rPr>
          <w:sz w:val="24"/>
          <w:szCs w:val="24"/>
        </w:rPr>
        <w:t xml:space="preserve">ehandling af kronisk HBV-infektion hos </w:t>
      </w:r>
      <w:proofErr w:type="spellStart"/>
      <w:r w:rsidRPr="00280FE8">
        <w:rPr>
          <w:sz w:val="24"/>
          <w:szCs w:val="24"/>
        </w:rPr>
        <w:t>nukleosidnaive</w:t>
      </w:r>
      <w:proofErr w:type="spellEnd"/>
      <w:r w:rsidRPr="00280FE8">
        <w:rPr>
          <w:sz w:val="24"/>
          <w:szCs w:val="24"/>
        </w:rPr>
        <w:t xml:space="preserve"> pædiatriske patienter i alderen 2 år til</w:t>
      </w:r>
      <w:r w:rsidRPr="00280FE8">
        <w:rPr>
          <w:sz w:val="24"/>
          <w:szCs w:val="24"/>
        </w:rPr>
        <w:t xml:space="preserve"> </w:t>
      </w:r>
      <w:r w:rsidRPr="00280FE8">
        <w:rPr>
          <w:sz w:val="24"/>
          <w:szCs w:val="24"/>
        </w:rPr>
        <w:t>&lt;</w:t>
      </w:r>
      <w:r w:rsidRPr="00280FE8">
        <w:rPr>
          <w:sz w:val="24"/>
          <w:szCs w:val="24"/>
        </w:rPr>
        <w:t xml:space="preserve"> </w:t>
      </w:r>
      <w:r w:rsidRPr="00280FE8">
        <w:rPr>
          <w:sz w:val="24"/>
          <w:szCs w:val="24"/>
        </w:rPr>
        <w:t xml:space="preserve">18 år med kompenseret leversygdom, og som har evidens for aktiv viral replikation og vedvarende forhøjet serum-ALAT-niveauer, eller tidligere påvist moderat til alvorlig inflammation og/eller fibrose. Med hensyn til beslutningen om at starte behandlingen hos pædiatriske patienter, se pkt. 4.2, 4.4, og 5.1. </w:t>
      </w: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4.2</w:t>
      </w:r>
      <w:r w:rsidRPr="00543BFE">
        <w:rPr>
          <w:b/>
          <w:sz w:val="24"/>
          <w:szCs w:val="24"/>
        </w:rPr>
        <w:tab/>
        <w:t xml:space="preserve">Dosering og </w:t>
      </w:r>
      <w:r w:rsidR="00A54635">
        <w:rPr>
          <w:b/>
          <w:sz w:val="24"/>
          <w:szCs w:val="24"/>
        </w:rPr>
        <w:t>administration</w:t>
      </w:r>
    </w:p>
    <w:p w:rsidR="008D5948" w:rsidRPr="00543BFE" w:rsidRDefault="008D5948" w:rsidP="008D5948">
      <w:pPr>
        <w:ind w:left="851"/>
        <w:rPr>
          <w:sz w:val="24"/>
          <w:szCs w:val="24"/>
          <w:lang w:eastAsia="da-DK"/>
        </w:rPr>
      </w:pPr>
      <w:r w:rsidRPr="00543BFE">
        <w:rPr>
          <w:sz w:val="24"/>
          <w:szCs w:val="24"/>
        </w:rPr>
        <w:t>Behandling bør initieres af en læge med erfaring i behandling af kronisk hepatitis B-infektion.</w:t>
      </w:r>
    </w:p>
    <w:p w:rsidR="008D5948" w:rsidRPr="00543BFE" w:rsidRDefault="008D5948" w:rsidP="008D5948">
      <w:pPr>
        <w:ind w:left="851" w:hanging="851"/>
        <w:rPr>
          <w:sz w:val="24"/>
          <w:szCs w:val="24"/>
        </w:rPr>
      </w:pPr>
      <w:r w:rsidRPr="00543BFE">
        <w:rPr>
          <w:sz w:val="24"/>
          <w:szCs w:val="24"/>
        </w:rPr>
        <w:tab/>
      </w:r>
    </w:p>
    <w:p w:rsidR="008D5948" w:rsidRPr="00543BFE" w:rsidRDefault="008D5948" w:rsidP="008D5948">
      <w:pPr>
        <w:ind w:left="851"/>
        <w:rPr>
          <w:sz w:val="24"/>
          <w:szCs w:val="24"/>
          <w:u w:val="single"/>
        </w:rPr>
      </w:pPr>
      <w:r w:rsidRPr="00543BFE">
        <w:rPr>
          <w:sz w:val="24"/>
          <w:szCs w:val="24"/>
          <w:u w:val="single"/>
        </w:rPr>
        <w:t>Dosering</w:t>
      </w:r>
    </w:p>
    <w:p w:rsidR="008D5948" w:rsidRPr="00543BFE" w:rsidRDefault="008D5948" w:rsidP="008D5948">
      <w:pPr>
        <w:ind w:left="851" w:hanging="851"/>
        <w:rPr>
          <w:sz w:val="24"/>
          <w:szCs w:val="24"/>
        </w:rPr>
      </w:pPr>
    </w:p>
    <w:p w:rsidR="008D5948" w:rsidRPr="00543BFE" w:rsidRDefault="008D5948" w:rsidP="008D5948">
      <w:pPr>
        <w:ind w:left="851"/>
        <w:rPr>
          <w:i/>
          <w:sz w:val="24"/>
          <w:szCs w:val="24"/>
        </w:rPr>
      </w:pPr>
      <w:r w:rsidRPr="00543BFE">
        <w:rPr>
          <w:i/>
          <w:sz w:val="24"/>
          <w:szCs w:val="24"/>
        </w:rPr>
        <w:t>Kompenseret leversygdom</w:t>
      </w:r>
    </w:p>
    <w:p w:rsidR="008D5948" w:rsidRPr="00543BFE" w:rsidRDefault="008D5948" w:rsidP="008D5948">
      <w:pPr>
        <w:ind w:left="851" w:hanging="851"/>
        <w:rPr>
          <w:i/>
          <w:sz w:val="24"/>
          <w:szCs w:val="24"/>
        </w:rPr>
      </w:pPr>
    </w:p>
    <w:p w:rsidR="008D5948" w:rsidRPr="00543BFE" w:rsidRDefault="008D5948" w:rsidP="008D5948">
      <w:pPr>
        <w:ind w:left="851"/>
        <w:rPr>
          <w:sz w:val="24"/>
          <w:szCs w:val="24"/>
        </w:rPr>
      </w:pPr>
      <w:proofErr w:type="spellStart"/>
      <w:r w:rsidRPr="00543BFE">
        <w:rPr>
          <w:i/>
          <w:sz w:val="24"/>
          <w:szCs w:val="24"/>
        </w:rPr>
        <w:t>Nukleosidnaive</w:t>
      </w:r>
      <w:proofErr w:type="spellEnd"/>
      <w:r w:rsidRPr="00543BFE">
        <w:rPr>
          <w:i/>
          <w:sz w:val="24"/>
          <w:szCs w:val="24"/>
        </w:rPr>
        <w:t xml:space="preserve"> patienter:</w:t>
      </w:r>
      <w:r w:rsidRPr="00543BFE">
        <w:rPr>
          <w:sz w:val="24"/>
          <w:szCs w:val="24"/>
        </w:rPr>
        <w:t xml:space="preserve"> Den anbefalede dosis til voksne er 0,5 mg en gang </w:t>
      </w:r>
      <w:r>
        <w:rPr>
          <w:sz w:val="24"/>
          <w:szCs w:val="24"/>
        </w:rPr>
        <w:t>daglig</w:t>
      </w:r>
      <w:r w:rsidRPr="00543BFE">
        <w:rPr>
          <w:sz w:val="24"/>
          <w:szCs w:val="24"/>
        </w:rPr>
        <w:t xml:space="preserve"> med eller uden mad. </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proofErr w:type="spellStart"/>
      <w:r w:rsidRPr="00543BFE">
        <w:rPr>
          <w:i/>
          <w:sz w:val="24"/>
          <w:szCs w:val="24"/>
        </w:rPr>
        <w:t>Lamivudinrefraktære</w:t>
      </w:r>
      <w:proofErr w:type="spellEnd"/>
      <w:r w:rsidRPr="00543BFE">
        <w:rPr>
          <w:i/>
          <w:sz w:val="24"/>
          <w:szCs w:val="24"/>
        </w:rPr>
        <w:t xml:space="preserve"> patienter:</w:t>
      </w:r>
      <w:r w:rsidRPr="00543BFE">
        <w:rPr>
          <w:sz w:val="24"/>
          <w:szCs w:val="24"/>
        </w:rPr>
        <w:t xml:space="preserve"> (f.eks. med påvist </w:t>
      </w:r>
      <w:proofErr w:type="spellStart"/>
      <w:r w:rsidRPr="00543BFE">
        <w:rPr>
          <w:sz w:val="24"/>
          <w:szCs w:val="24"/>
        </w:rPr>
        <w:t>viræmi</w:t>
      </w:r>
      <w:proofErr w:type="spellEnd"/>
      <w:r w:rsidRPr="00543BFE">
        <w:rPr>
          <w:sz w:val="24"/>
          <w:szCs w:val="24"/>
        </w:rPr>
        <w:t xml:space="preserve"> under behandling med </w:t>
      </w:r>
      <w:proofErr w:type="spellStart"/>
      <w:r w:rsidRPr="00543BFE">
        <w:rPr>
          <w:sz w:val="24"/>
          <w:szCs w:val="24"/>
        </w:rPr>
        <w:t>lamivudin</w:t>
      </w:r>
      <w:proofErr w:type="spellEnd"/>
      <w:r w:rsidRPr="00543BFE">
        <w:rPr>
          <w:sz w:val="24"/>
          <w:szCs w:val="24"/>
        </w:rPr>
        <w:t xml:space="preserve"> eller med </w:t>
      </w:r>
      <w:proofErr w:type="spellStart"/>
      <w:r w:rsidRPr="00543BFE">
        <w:rPr>
          <w:sz w:val="24"/>
          <w:szCs w:val="24"/>
        </w:rPr>
        <w:t>lamivudin</w:t>
      </w:r>
      <w:proofErr w:type="spellEnd"/>
      <w:r w:rsidRPr="00543BFE">
        <w:rPr>
          <w:sz w:val="24"/>
          <w:szCs w:val="24"/>
        </w:rPr>
        <w:t>-resistensmutationer [</w:t>
      </w:r>
      <w:proofErr w:type="spellStart"/>
      <w:r w:rsidRPr="00543BFE">
        <w:rPr>
          <w:sz w:val="24"/>
          <w:szCs w:val="24"/>
        </w:rPr>
        <w:t>LVDr</w:t>
      </w:r>
      <w:proofErr w:type="spellEnd"/>
      <w:r w:rsidRPr="00543BFE">
        <w:rPr>
          <w:sz w:val="24"/>
          <w:szCs w:val="24"/>
        </w:rPr>
        <w:t xml:space="preserve">]) (se pkt. 4.4 og 5.1): Den anbefalede dosis til voksne er 1 mg en gang </w:t>
      </w:r>
      <w:r>
        <w:rPr>
          <w:sz w:val="24"/>
          <w:szCs w:val="24"/>
        </w:rPr>
        <w:t>daglig</w:t>
      </w:r>
      <w:r w:rsidRPr="00543BFE">
        <w:rPr>
          <w:sz w:val="24"/>
          <w:szCs w:val="24"/>
        </w:rPr>
        <w:t xml:space="preserve">, som skal tages på tom mave (mere end 2 timer før eller mere end 2 timer efter et måltid) (se pkt. 5.2). Anvendelse af en kombination af </w:t>
      </w:r>
      <w:proofErr w:type="spellStart"/>
      <w:r w:rsidRPr="00543BFE">
        <w:rPr>
          <w:sz w:val="24"/>
          <w:szCs w:val="24"/>
        </w:rPr>
        <w:t>entecavir</w:t>
      </w:r>
      <w:proofErr w:type="spellEnd"/>
      <w:r w:rsidRPr="00543BFE">
        <w:rPr>
          <w:sz w:val="24"/>
          <w:szCs w:val="24"/>
        </w:rPr>
        <w:t xml:space="preserve"> plus en anden antiviral agent (som ikke har krydsresistens med hverken </w:t>
      </w:r>
      <w:proofErr w:type="spellStart"/>
      <w:r w:rsidRPr="00543BFE">
        <w:rPr>
          <w:sz w:val="24"/>
          <w:szCs w:val="24"/>
        </w:rPr>
        <w:t>lamivudin</w:t>
      </w:r>
      <w:proofErr w:type="spellEnd"/>
      <w:r w:rsidRPr="00543BFE">
        <w:rPr>
          <w:sz w:val="24"/>
          <w:szCs w:val="24"/>
        </w:rPr>
        <w:t xml:space="preserve"> eller </w:t>
      </w:r>
      <w:proofErr w:type="spellStart"/>
      <w:r w:rsidRPr="00543BFE">
        <w:rPr>
          <w:sz w:val="24"/>
          <w:szCs w:val="24"/>
        </w:rPr>
        <w:t>entecavir</w:t>
      </w:r>
      <w:proofErr w:type="spellEnd"/>
      <w:r w:rsidRPr="00543BFE">
        <w:rPr>
          <w:sz w:val="24"/>
          <w:szCs w:val="24"/>
        </w:rPr>
        <w:t xml:space="preserve">) bør overvejes frem for </w:t>
      </w:r>
      <w:proofErr w:type="spellStart"/>
      <w:r w:rsidRPr="00543BFE">
        <w:rPr>
          <w:sz w:val="24"/>
          <w:szCs w:val="24"/>
        </w:rPr>
        <w:t>entecavir</w:t>
      </w:r>
      <w:proofErr w:type="spellEnd"/>
      <w:r w:rsidRPr="00543BFE">
        <w:rPr>
          <w:sz w:val="24"/>
          <w:szCs w:val="24"/>
        </w:rPr>
        <w:t xml:space="preserve">-monoterapi ved tilstedeværelse af </w:t>
      </w:r>
      <w:proofErr w:type="spellStart"/>
      <w:r w:rsidRPr="00543BFE">
        <w:rPr>
          <w:sz w:val="24"/>
          <w:szCs w:val="24"/>
        </w:rPr>
        <w:t>LVDr</w:t>
      </w:r>
      <w:proofErr w:type="spellEnd"/>
      <w:r w:rsidRPr="00543BFE">
        <w:rPr>
          <w:sz w:val="24"/>
          <w:szCs w:val="24"/>
        </w:rPr>
        <w:t>-mutationer (se pkt. 4.4).</w:t>
      </w:r>
    </w:p>
    <w:p w:rsidR="008D5948" w:rsidRPr="00543BFE" w:rsidRDefault="008D5948" w:rsidP="008D5948">
      <w:pPr>
        <w:ind w:left="851" w:hanging="851"/>
        <w:rPr>
          <w:sz w:val="24"/>
          <w:szCs w:val="24"/>
        </w:rPr>
      </w:pPr>
    </w:p>
    <w:p w:rsidR="008D5948" w:rsidRPr="00543BFE" w:rsidRDefault="008D5948" w:rsidP="008D5948">
      <w:pPr>
        <w:ind w:left="851"/>
        <w:rPr>
          <w:i/>
          <w:sz w:val="24"/>
          <w:szCs w:val="24"/>
        </w:rPr>
      </w:pPr>
      <w:proofErr w:type="spellStart"/>
      <w:r w:rsidRPr="00543BFE">
        <w:rPr>
          <w:i/>
          <w:sz w:val="24"/>
          <w:szCs w:val="24"/>
        </w:rPr>
        <w:t>Dekompenseret</w:t>
      </w:r>
      <w:proofErr w:type="spellEnd"/>
      <w:r w:rsidRPr="00543BFE">
        <w:rPr>
          <w:i/>
          <w:sz w:val="24"/>
          <w:szCs w:val="24"/>
        </w:rPr>
        <w:t xml:space="preserve"> leversygdom</w:t>
      </w:r>
    </w:p>
    <w:p w:rsidR="008D5948" w:rsidRPr="00543BFE" w:rsidRDefault="008D5948" w:rsidP="008D5948">
      <w:pPr>
        <w:ind w:left="851" w:hanging="851"/>
        <w:rPr>
          <w:i/>
          <w:sz w:val="24"/>
          <w:szCs w:val="24"/>
        </w:rPr>
      </w:pPr>
    </w:p>
    <w:p w:rsidR="008D5948" w:rsidRPr="00543BFE" w:rsidRDefault="008D5948" w:rsidP="008D5948">
      <w:pPr>
        <w:ind w:left="851"/>
        <w:rPr>
          <w:sz w:val="24"/>
          <w:szCs w:val="24"/>
        </w:rPr>
      </w:pPr>
      <w:r w:rsidRPr="00543BFE">
        <w:rPr>
          <w:sz w:val="24"/>
          <w:szCs w:val="24"/>
        </w:rPr>
        <w:t xml:space="preserve">Den anbefalede dosis til voksne patienter med </w:t>
      </w:r>
      <w:proofErr w:type="spellStart"/>
      <w:r w:rsidRPr="00543BFE">
        <w:rPr>
          <w:sz w:val="24"/>
          <w:szCs w:val="24"/>
        </w:rPr>
        <w:t>dekompenseret</w:t>
      </w:r>
      <w:proofErr w:type="spellEnd"/>
      <w:r w:rsidRPr="00543BFE">
        <w:rPr>
          <w:sz w:val="24"/>
          <w:szCs w:val="24"/>
        </w:rPr>
        <w:t xml:space="preserve"> leversygdom er 1 mg en gang </w:t>
      </w:r>
      <w:r>
        <w:rPr>
          <w:sz w:val="24"/>
          <w:szCs w:val="24"/>
        </w:rPr>
        <w:t>daglig</w:t>
      </w:r>
      <w:r w:rsidRPr="00543BFE">
        <w:rPr>
          <w:sz w:val="24"/>
          <w:szCs w:val="24"/>
        </w:rPr>
        <w:t xml:space="preserve">, som skal tages på tom mave (mere end 2 timer før og mere end 2 timer efter et måltid) (se pkt. 5.2). For patienter med </w:t>
      </w:r>
      <w:proofErr w:type="spellStart"/>
      <w:r w:rsidRPr="00543BFE">
        <w:rPr>
          <w:sz w:val="24"/>
          <w:szCs w:val="24"/>
        </w:rPr>
        <w:t>lamivudinrefraktær</w:t>
      </w:r>
      <w:proofErr w:type="spellEnd"/>
      <w:r w:rsidRPr="00543BFE">
        <w:rPr>
          <w:sz w:val="24"/>
          <w:szCs w:val="24"/>
        </w:rPr>
        <w:t xml:space="preserve"> hepatitis B, se pkt. 4.4 og 5.1.</w:t>
      </w:r>
    </w:p>
    <w:p w:rsidR="008D5948" w:rsidRPr="00543BFE" w:rsidRDefault="008D5948" w:rsidP="008D5948">
      <w:pPr>
        <w:ind w:left="851" w:hanging="851"/>
        <w:rPr>
          <w:sz w:val="24"/>
          <w:szCs w:val="24"/>
        </w:rPr>
      </w:pPr>
    </w:p>
    <w:p w:rsidR="008D5948" w:rsidRPr="00543BFE" w:rsidRDefault="008D5948" w:rsidP="008D5948">
      <w:pPr>
        <w:ind w:left="851"/>
        <w:rPr>
          <w:i/>
          <w:sz w:val="24"/>
          <w:szCs w:val="24"/>
        </w:rPr>
      </w:pPr>
      <w:r w:rsidRPr="00543BFE">
        <w:rPr>
          <w:i/>
          <w:sz w:val="24"/>
          <w:szCs w:val="24"/>
        </w:rPr>
        <w:t>Behandlingsvarighed</w:t>
      </w:r>
    </w:p>
    <w:p w:rsidR="008D5948" w:rsidRPr="00543BFE" w:rsidRDefault="008D5948" w:rsidP="008D5948">
      <w:pPr>
        <w:ind w:left="851" w:hanging="851"/>
        <w:rPr>
          <w:i/>
          <w:sz w:val="24"/>
          <w:szCs w:val="24"/>
        </w:rPr>
      </w:pPr>
    </w:p>
    <w:p w:rsidR="008D5948" w:rsidRPr="00543BFE" w:rsidRDefault="008D5948" w:rsidP="008D5948">
      <w:pPr>
        <w:ind w:left="851"/>
        <w:rPr>
          <w:sz w:val="24"/>
          <w:szCs w:val="24"/>
        </w:rPr>
      </w:pPr>
      <w:r w:rsidRPr="00543BFE">
        <w:rPr>
          <w:sz w:val="24"/>
          <w:szCs w:val="24"/>
        </w:rPr>
        <w:t xml:space="preserve">Den optimale behandlingsvarighed er ukendt. </w:t>
      </w:r>
      <w:proofErr w:type="spellStart"/>
      <w:r w:rsidRPr="00543BFE">
        <w:rPr>
          <w:sz w:val="24"/>
          <w:szCs w:val="24"/>
        </w:rPr>
        <w:t>Seponering</w:t>
      </w:r>
      <w:proofErr w:type="spellEnd"/>
      <w:r w:rsidRPr="00543BFE">
        <w:rPr>
          <w:sz w:val="24"/>
          <w:szCs w:val="24"/>
        </w:rPr>
        <w:t xml:space="preserve"> af behandling bør overvejes i følgende tilfælde:</w:t>
      </w:r>
    </w:p>
    <w:p w:rsidR="008D5948" w:rsidRPr="00543BFE" w:rsidRDefault="008D5948" w:rsidP="008D5948">
      <w:pPr>
        <w:ind w:left="851" w:hanging="851"/>
        <w:rPr>
          <w:sz w:val="24"/>
          <w:szCs w:val="24"/>
        </w:rPr>
      </w:pPr>
    </w:p>
    <w:p w:rsidR="008D5948" w:rsidRPr="00543BFE" w:rsidRDefault="008D5948" w:rsidP="008D5948">
      <w:pPr>
        <w:numPr>
          <w:ilvl w:val="0"/>
          <w:numId w:val="10"/>
        </w:numPr>
        <w:ind w:left="1276" w:hanging="425"/>
        <w:rPr>
          <w:sz w:val="24"/>
          <w:szCs w:val="24"/>
        </w:rPr>
      </w:pPr>
      <w:r w:rsidRPr="00543BFE">
        <w:rPr>
          <w:sz w:val="24"/>
          <w:szCs w:val="24"/>
        </w:rPr>
        <w:t xml:space="preserve">Hos </w:t>
      </w:r>
      <w:proofErr w:type="spellStart"/>
      <w:r w:rsidRPr="00543BFE">
        <w:rPr>
          <w:sz w:val="24"/>
          <w:szCs w:val="24"/>
        </w:rPr>
        <w:t>HBeAg</w:t>
      </w:r>
      <w:proofErr w:type="spellEnd"/>
      <w:r w:rsidRPr="00543BFE">
        <w:rPr>
          <w:sz w:val="24"/>
          <w:szCs w:val="24"/>
        </w:rPr>
        <w:t xml:space="preserve">-positive voksne patienter bør behandlingen administreres indtil mindst 12 måneder efter opnåelse af </w:t>
      </w:r>
      <w:proofErr w:type="spellStart"/>
      <w:r w:rsidRPr="00543BFE">
        <w:rPr>
          <w:sz w:val="24"/>
          <w:szCs w:val="24"/>
        </w:rPr>
        <w:t>HBe-serokonventering</w:t>
      </w:r>
      <w:proofErr w:type="spellEnd"/>
      <w:r w:rsidRPr="00543BFE">
        <w:rPr>
          <w:sz w:val="24"/>
          <w:szCs w:val="24"/>
        </w:rPr>
        <w:t xml:space="preserve"> (</w:t>
      </w:r>
      <w:proofErr w:type="spellStart"/>
      <w:r w:rsidRPr="00543BFE">
        <w:rPr>
          <w:sz w:val="24"/>
          <w:szCs w:val="24"/>
        </w:rPr>
        <w:t>HBeAg</w:t>
      </w:r>
      <w:proofErr w:type="spellEnd"/>
      <w:r w:rsidRPr="00543BFE">
        <w:rPr>
          <w:sz w:val="24"/>
          <w:szCs w:val="24"/>
        </w:rPr>
        <w:t xml:space="preserve">-tab og HBV-dna-tab ved </w:t>
      </w:r>
      <w:proofErr w:type="spellStart"/>
      <w:r w:rsidRPr="00543BFE">
        <w:rPr>
          <w:sz w:val="24"/>
          <w:szCs w:val="24"/>
        </w:rPr>
        <w:t>anti</w:t>
      </w:r>
      <w:proofErr w:type="spellEnd"/>
      <w:r w:rsidRPr="00543BFE">
        <w:rPr>
          <w:sz w:val="24"/>
          <w:szCs w:val="24"/>
        </w:rPr>
        <w:t>-</w:t>
      </w:r>
      <w:proofErr w:type="spellStart"/>
      <w:r w:rsidRPr="00543BFE">
        <w:rPr>
          <w:sz w:val="24"/>
          <w:szCs w:val="24"/>
        </w:rPr>
        <w:t>HBe</w:t>
      </w:r>
      <w:proofErr w:type="spellEnd"/>
      <w:r w:rsidRPr="00543BFE">
        <w:rPr>
          <w:sz w:val="24"/>
          <w:szCs w:val="24"/>
        </w:rPr>
        <w:t xml:space="preserve">-detektion i to serumprøver i træk med mindst 3-6 måneders mellemrum) eller indtil </w:t>
      </w:r>
      <w:proofErr w:type="spellStart"/>
      <w:r w:rsidRPr="00543BFE">
        <w:rPr>
          <w:sz w:val="24"/>
          <w:szCs w:val="24"/>
        </w:rPr>
        <w:t>HBs-serokonvertering</w:t>
      </w:r>
      <w:proofErr w:type="spellEnd"/>
      <w:r w:rsidRPr="00543BFE">
        <w:rPr>
          <w:sz w:val="24"/>
          <w:szCs w:val="24"/>
        </w:rPr>
        <w:t xml:space="preserve">, eller til at der er tab af virkning (se pkt. 4.4). </w:t>
      </w:r>
    </w:p>
    <w:p w:rsidR="008D5948" w:rsidRPr="00543BFE" w:rsidRDefault="008D5948" w:rsidP="008D5948">
      <w:pPr>
        <w:numPr>
          <w:ilvl w:val="0"/>
          <w:numId w:val="10"/>
        </w:numPr>
        <w:ind w:left="1276" w:hanging="425"/>
        <w:rPr>
          <w:sz w:val="24"/>
          <w:szCs w:val="24"/>
        </w:rPr>
      </w:pPr>
      <w:r w:rsidRPr="00543BFE">
        <w:rPr>
          <w:sz w:val="24"/>
          <w:szCs w:val="24"/>
        </w:rPr>
        <w:lastRenderedPageBreak/>
        <w:t xml:space="preserve">Hos </w:t>
      </w:r>
      <w:proofErr w:type="spellStart"/>
      <w:r w:rsidRPr="00543BFE">
        <w:rPr>
          <w:sz w:val="24"/>
          <w:szCs w:val="24"/>
        </w:rPr>
        <w:t>HBeAg</w:t>
      </w:r>
      <w:proofErr w:type="spellEnd"/>
      <w:r w:rsidRPr="00543BFE">
        <w:rPr>
          <w:sz w:val="24"/>
          <w:szCs w:val="24"/>
        </w:rPr>
        <w:t xml:space="preserve">-negative voksne patienter bør behandlingen administreres mindst indtil </w:t>
      </w:r>
      <w:proofErr w:type="spellStart"/>
      <w:r w:rsidRPr="00543BFE">
        <w:rPr>
          <w:sz w:val="24"/>
          <w:szCs w:val="24"/>
        </w:rPr>
        <w:t>HBs-serokonvertering</w:t>
      </w:r>
      <w:proofErr w:type="spellEnd"/>
      <w:r w:rsidRPr="00543BFE">
        <w:rPr>
          <w:sz w:val="24"/>
          <w:szCs w:val="24"/>
        </w:rPr>
        <w:t>, eller til der er evidens for tab af virkning. Ved forlænget behandling på mindst 2 år et det anbefalet at revurdere regelmæssigt for at bekræfte, at fortsættelse af udvalgt behandling forbliver passende for patienten.</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Indstilling af behandling er ikke anbefalet hos patienter med </w:t>
      </w:r>
      <w:proofErr w:type="spellStart"/>
      <w:r w:rsidRPr="00543BFE">
        <w:rPr>
          <w:sz w:val="24"/>
          <w:szCs w:val="24"/>
        </w:rPr>
        <w:t>dekompenseret</w:t>
      </w:r>
      <w:proofErr w:type="spellEnd"/>
      <w:r w:rsidRPr="00543BFE">
        <w:rPr>
          <w:sz w:val="24"/>
          <w:szCs w:val="24"/>
        </w:rPr>
        <w:t xml:space="preserve"> leversygdom eller cirrose. </w:t>
      </w:r>
    </w:p>
    <w:p w:rsidR="008D5948" w:rsidRPr="00543BFE" w:rsidRDefault="008D5948" w:rsidP="008D5948">
      <w:pPr>
        <w:ind w:left="851" w:hanging="851"/>
        <w:rPr>
          <w:i/>
          <w:sz w:val="24"/>
          <w:szCs w:val="24"/>
        </w:rPr>
      </w:pPr>
    </w:p>
    <w:p w:rsidR="008D5948" w:rsidRPr="00543BFE" w:rsidRDefault="008D5948" w:rsidP="008D5948">
      <w:pPr>
        <w:ind w:left="851"/>
        <w:rPr>
          <w:i/>
          <w:sz w:val="24"/>
          <w:szCs w:val="24"/>
        </w:rPr>
      </w:pPr>
      <w:r w:rsidRPr="00543BFE">
        <w:rPr>
          <w:i/>
          <w:sz w:val="24"/>
          <w:szCs w:val="24"/>
        </w:rPr>
        <w:t>Pædiatrisk population</w:t>
      </w:r>
    </w:p>
    <w:p w:rsidR="008D5948" w:rsidRPr="00543BFE" w:rsidRDefault="008D5948" w:rsidP="008D5948">
      <w:pPr>
        <w:ind w:left="851" w:hanging="851"/>
        <w:rPr>
          <w:i/>
          <w:sz w:val="24"/>
          <w:szCs w:val="24"/>
        </w:rPr>
      </w:pPr>
    </w:p>
    <w:p w:rsidR="008D5948" w:rsidRPr="00543BFE" w:rsidRDefault="008D5948" w:rsidP="008D5948">
      <w:pPr>
        <w:ind w:left="851"/>
        <w:rPr>
          <w:sz w:val="24"/>
          <w:szCs w:val="24"/>
        </w:rPr>
      </w:pPr>
      <w:proofErr w:type="spellStart"/>
      <w:r w:rsidRPr="00543BFE">
        <w:rPr>
          <w:sz w:val="24"/>
          <w:szCs w:val="24"/>
        </w:rPr>
        <w:t>Entecavir</w:t>
      </w:r>
      <w:proofErr w:type="spellEnd"/>
      <w:r w:rsidRPr="00543BFE">
        <w:rPr>
          <w:sz w:val="24"/>
          <w:szCs w:val="24"/>
        </w:rPr>
        <w:t xml:space="preserve"> </w:t>
      </w:r>
      <w:r>
        <w:rPr>
          <w:sz w:val="24"/>
          <w:szCs w:val="24"/>
        </w:rPr>
        <w:t>"</w:t>
      </w:r>
      <w:proofErr w:type="spellStart"/>
      <w:r w:rsidRPr="00543BFE">
        <w:rPr>
          <w:sz w:val="24"/>
          <w:szCs w:val="24"/>
        </w:rPr>
        <w:t>Teva</w:t>
      </w:r>
      <w:proofErr w:type="spellEnd"/>
      <w:r>
        <w:rPr>
          <w:sz w:val="24"/>
          <w:szCs w:val="24"/>
        </w:rPr>
        <w:t>"</w:t>
      </w:r>
      <w:r w:rsidRPr="00543BFE">
        <w:rPr>
          <w:sz w:val="24"/>
          <w:szCs w:val="24"/>
        </w:rPr>
        <w:t xml:space="preserve"> 0,5 mg filmovertrukne tabletter er tilgængelige for passende dosering til den pædiatriske population. For dosering under 0,5 mg kan en oral opløsning være tilgængelig.</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Beslutningen om at behandle pædiatriske patienter bør være baseret på en omhyggelig vurdering af den enkelte patients behov og i henhold til gældende retningslinjer for pædiatrisk behandling herunder historiske oplysninger ved baseline. Fordelene ved længerevarende virologisk suppression ved vedvarende behandling må opvejes imod risikoen ved længerevarende behandling, herunder fremkomsten af resistent hepatitis B-virus.</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Serum-ALAT skal være vedvarende forhøjet i mindst 6 måneder inden behandling af pædiatriske patienter med kompenseret leversygdom forårsaget af </w:t>
      </w:r>
      <w:proofErr w:type="spellStart"/>
      <w:r w:rsidRPr="00543BFE">
        <w:rPr>
          <w:sz w:val="24"/>
          <w:szCs w:val="24"/>
        </w:rPr>
        <w:t>HBeAG</w:t>
      </w:r>
      <w:proofErr w:type="spellEnd"/>
      <w:r w:rsidRPr="00543BFE">
        <w:rPr>
          <w:sz w:val="24"/>
          <w:szCs w:val="24"/>
        </w:rPr>
        <w:t xml:space="preserve">-positiv kronisk hepatitis B og i mindst 12 måneder hos patienter med </w:t>
      </w:r>
      <w:proofErr w:type="spellStart"/>
      <w:r w:rsidRPr="00543BFE">
        <w:rPr>
          <w:sz w:val="24"/>
          <w:szCs w:val="24"/>
        </w:rPr>
        <w:t>HBeAG</w:t>
      </w:r>
      <w:proofErr w:type="spellEnd"/>
      <w:r w:rsidRPr="00543BFE">
        <w:rPr>
          <w:sz w:val="24"/>
          <w:szCs w:val="24"/>
        </w:rPr>
        <w:t>-negativ sygdom.</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Pædiatriske patienter med en kropsvægt på mindst 32,6 kg skal have en daglig dosis på en 0,5 mg-tablet med eller uden mad. En oral opløsning kan være tilgængelig til patienter med en kropsvægt på under 32,6 kg.</w:t>
      </w:r>
    </w:p>
    <w:p w:rsidR="008D5948" w:rsidRPr="00543BFE" w:rsidRDefault="008D5948" w:rsidP="008D5948">
      <w:pPr>
        <w:ind w:left="851" w:hanging="851"/>
        <w:rPr>
          <w:sz w:val="24"/>
          <w:szCs w:val="24"/>
        </w:rPr>
      </w:pPr>
    </w:p>
    <w:p w:rsidR="008D5948" w:rsidRPr="00543BFE" w:rsidRDefault="008D5948" w:rsidP="008D5948">
      <w:pPr>
        <w:ind w:left="851"/>
        <w:rPr>
          <w:i/>
          <w:sz w:val="24"/>
          <w:szCs w:val="24"/>
        </w:rPr>
      </w:pPr>
      <w:r w:rsidRPr="00543BFE">
        <w:rPr>
          <w:i/>
          <w:sz w:val="24"/>
          <w:szCs w:val="24"/>
        </w:rPr>
        <w:t>Behandlingsvarighed hos pædiatriske patienter</w:t>
      </w:r>
    </w:p>
    <w:p w:rsidR="008D5948" w:rsidRPr="00543BFE" w:rsidRDefault="008D5948" w:rsidP="008D5948">
      <w:pPr>
        <w:ind w:left="851" w:hanging="851"/>
        <w:rPr>
          <w:i/>
          <w:sz w:val="24"/>
          <w:szCs w:val="24"/>
        </w:rPr>
      </w:pPr>
    </w:p>
    <w:p w:rsidR="008D5948" w:rsidRPr="00543BFE" w:rsidRDefault="008D5948" w:rsidP="008D5948">
      <w:pPr>
        <w:ind w:left="851"/>
        <w:rPr>
          <w:sz w:val="24"/>
          <w:szCs w:val="24"/>
        </w:rPr>
      </w:pPr>
      <w:r w:rsidRPr="00543BFE">
        <w:rPr>
          <w:sz w:val="24"/>
          <w:szCs w:val="24"/>
        </w:rPr>
        <w:t xml:space="preserve">Den optimale behandlingsvarighed kendes ikke. I henhold til gældende retningslinjer for pædiatrisk behandling bør </w:t>
      </w:r>
      <w:proofErr w:type="spellStart"/>
      <w:r w:rsidRPr="00543BFE">
        <w:rPr>
          <w:sz w:val="24"/>
          <w:szCs w:val="24"/>
        </w:rPr>
        <w:t>seponering</w:t>
      </w:r>
      <w:proofErr w:type="spellEnd"/>
      <w:r w:rsidRPr="00543BFE">
        <w:rPr>
          <w:sz w:val="24"/>
          <w:szCs w:val="24"/>
        </w:rPr>
        <w:t xml:space="preserve"> af behandling overvejes i følgende tilfælde: </w:t>
      </w:r>
    </w:p>
    <w:p w:rsidR="008D5948" w:rsidRPr="00543BFE" w:rsidRDefault="008D5948" w:rsidP="008D5948">
      <w:pPr>
        <w:ind w:left="851" w:hanging="851"/>
        <w:rPr>
          <w:sz w:val="24"/>
          <w:szCs w:val="24"/>
        </w:rPr>
      </w:pPr>
    </w:p>
    <w:p w:rsidR="008D5948" w:rsidRPr="00543BFE" w:rsidRDefault="008D5948" w:rsidP="008D5948">
      <w:pPr>
        <w:numPr>
          <w:ilvl w:val="0"/>
          <w:numId w:val="11"/>
        </w:numPr>
        <w:ind w:left="1276" w:hanging="425"/>
        <w:rPr>
          <w:sz w:val="24"/>
          <w:szCs w:val="24"/>
        </w:rPr>
      </w:pPr>
      <w:r w:rsidRPr="00543BFE">
        <w:rPr>
          <w:sz w:val="24"/>
          <w:szCs w:val="24"/>
        </w:rPr>
        <w:t xml:space="preserve">Hos </w:t>
      </w:r>
      <w:proofErr w:type="spellStart"/>
      <w:r w:rsidRPr="00543BFE">
        <w:rPr>
          <w:sz w:val="24"/>
          <w:szCs w:val="24"/>
        </w:rPr>
        <w:t>HBeAg</w:t>
      </w:r>
      <w:proofErr w:type="spellEnd"/>
      <w:r w:rsidRPr="00543BFE">
        <w:rPr>
          <w:sz w:val="24"/>
          <w:szCs w:val="24"/>
        </w:rPr>
        <w:t>-positive pædiatriske patienter bør behandlingen administreres i mindst 12 måneder efter at have opnået ikke-</w:t>
      </w:r>
      <w:proofErr w:type="spellStart"/>
      <w:r w:rsidRPr="00543BFE">
        <w:rPr>
          <w:sz w:val="24"/>
          <w:szCs w:val="24"/>
        </w:rPr>
        <w:t>detekterbart</w:t>
      </w:r>
      <w:proofErr w:type="spellEnd"/>
      <w:r w:rsidRPr="00543BFE">
        <w:rPr>
          <w:sz w:val="24"/>
          <w:szCs w:val="24"/>
        </w:rPr>
        <w:t xml:space="preserve"> HBV-dna og </w:t>
      </w:r>
      <w:proofErr w:type="spellStart"/>
      <w:r w:rsidRPr="00543BFE">
        <w:rPr>
          <w:sz w:val="24"/>
          <w:szCs w:val="24"/>
        </w:rPr>
        <w:t>HBeAg-serokonvertering</w:t>
      </w:r>
      <w:proofErr w:type="spellEnd"/>
      <w:r w:rsidRPr="00543BFE">
        <w:rPr>
          <w:sz w:val="24"/>
          <w:szCs w:val="24"/>
        </w:rPr>
        <w:t xml:space="preserve"> (tab af </w:t>
      </w:r>
      <w:proofErr w:type="spellStart"/>
      <w:r w:rsidRPr="00543BFE">
        <w:rPr>
          <w:sz w:val="24"/>
          <w:szCs w:val="24"/>
        </w:rPr>
        <w:t>HBeAg</w:t>
      </w:r>
      <w:proofErr w:type="spellEnd"/>
      <w:r w:rsidRPr="00543BFE">
        <w:rPr>
          <w:sz w:val="24"/>
          <w:szCs w:val="24"/>
        </w:rPr>
        <w:t xml:space="preserve"> og </w:t>
      </w:r>
      <w:proofErr w:type="spellStart"/>
      <w:r w:rsidRPr="00543BFE">
        <w:rPr>
          <w:sz w:val="24"/>
          <w:szCs w:val="24"/>
        </w:rPr>
        <w:t>anti</w:t>
      </w:r>
      <w:proofErr w:type="spellEnd"/>
      <w:r w:rsidRPr="00543BFE">
        <w:rPr>
          <w:sz w:val="24"/>
          <w:szCs w:val="24"/>
        </w:rPr>
        <w:t>-</w:t>
      </w:r>
      <w:proofErr w:type="spellStart"/>
      <w:r w:rsidRPr="00543BFE">
        <w:rPr>
          <w:sz w:val="24"/>
          <w:szCs w:val="24"/>
        </w:rPr>
        <w:t>HBe</w:t>
      </w:r>
      <w:proofErr w:type="spellEnd"/>
      <w:r w:rsidRPr="00543BFE">
        <w:rPr>
          <w:sz w:val="24"/>
          <w:szCs w:val="24"/>
        </w:rPr>
        <w:t xml:space="preserve">-detektion ved 2 serumprøver i træk med mindst 3-6 måneders mellemrum) eller indtil </w:t>
      </w:r>
      <w:proofErr w:type="spellStart"/>
      <w:r w:rsidRPr="00543BFE">
        <w:rPr>
          <w:sz w:val="24"/>
          <w:szCs w:val="24"/>
        </w:rPr>
        <w:t>HBs-serokonvertering</w:t>
      </w:r>
      <w:proofErr w:type="spellEnd"/>
      <w:r w:rsidRPr="00543BFE">
        <w:rPr>
          <w:sz w:val="24"/>
          <w:szCs w:val="24"/>
        </w:rPr>
        <w:t xml:space="preserve"> eller indtil tab af virkning. Serum-ALAT og HBV-dna-niveauer bør følges regelmæssigt efter </w:t>
      </w:r>
      <w:proofErr w:type="spellStart"/>
      <w:r w:rsidRPr="00543BFE">
        <w:rPr>
          <w:sz w:val="24"/>
          <w:szCs w:val="24"/>
        </w:rPr>
        <w:t>seponering</w:t>
      </w:r>
      <w:proofErr w:type="spellEnd"/>
      <w:r w:rsidRPr="00543BFE">
        <w:rPr>
          <w:sz w:val="24"/>
          <w:szCs w:val="24"/>
        </w:rPr>
        <w:t xml:space="preserve"> af behandlingen (se pkt. 4.4).</w:t>
      </w:r>
    </w:p>
    <w:p w:rsidR="008D5948" w:rsidRPr="00543BFE" w:rsidRDefault="008D5948" w:rsidP="008D5948">
      <w:pPr>
        <w:numPr>
          <w:ilvl w:val="0"/>
          <w:numId w:val="11"/>
        </w:numPr>
        <w:ind w:left="1276" w:hanging="425"/>
        <w:rPr>
          <w:sz w:val="24"/>
          <w:szCs w:val="24"/>
        </w:rPr>
      </w:pPr>
      <w:r w:rsidRPr="00543BFE">
        <w:rPr>
          <w:sz w:val="24"/>
          <w:szCs w:val="24"/>
        </w:rPr>
        <w:t xml:space="preserve">Hos </w:t>
      </w:r>
      <w:proofErr w:type="spellStart"/>
      <w:r w:rsidRPr="00543BFE">
        <w:rPr>
          <w:sz w:val="24"/>
          <w:szCs w:val="24"/>
        </w:rPr>
        <w:t>HBeAg</w:t>
      </w:r>
      <w:proofErr w:type="spellEnd"/>
      <w:r w:rsidRPr="00543BFE">
        <w:rPr>
          <w:sz w:val="24"/>
          <w:szCs w:val="24"/>
        </w:rPr>
        <w:t xml:space="preserve">-negative pædiatriske patienter bør behandlingen administreres indtil </w:t>
      </w:r>
      <w:proofErr w:type="spellStart"/>
      <w:r w:rsidRPr="00543BFE">
        <w:rPr>
          <w:sz w:val="24"/>
          <w:szCs w:val="24"/>
        </w:rPr>
        <w:t>HBs-serokonvertering</w:t>
      </w:r>
      <w:proofErr w:type="spellEnd"/>
      <w:r w:rsidRPr="00543BFE">
        <w:rPr>
          <w:sz w:val="24"/>
          <w:szCs w:val="24"/>
        </w:rPr>
        <w:t>, eller indtil tab af virkning.</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Farmakokinetikken hos pædiatriske patienter med nedsat nyre- eller leverfunktion er ikke undersøgt.</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i/>
          <w:sz w:val="24"/>
          <w:szCs w:val="24"/>
        </w:rPr>
        <w:t>Ældre</w:t>
      </w:r>
      <w:r w:rsidRPr="00543BFE">
        <w:rPr>
          <w:sz w:val="24"/>
          <w:szCs w:val="24"/>
        </w:rPr>
        <w:t>: Dosisjustering er ikke nødvendig på baggrund af alder. Dosis skal justeres i overensstemmelse med patientens nyrefunktion (se doseringsanbefalinger ved nyreinsufficiens og pkt. 5.2).</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i/>
          <w:sz w:val="24"/>
          <w:szCs w:val="24"/>
        </w:rPr>
        <w:t>Køn og race</w:t>
      </w:r>
      <w:r w:rsidRPr="00543BFE">
        <w:rPr>
          <w:sz w:val="24"/>
          <w:szCs w:val="24"/>
        </w:rPr>
        <w:t>: Dosisjustering er ikke nødvendig på baggrund af køn eller race.</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i/>
          <w:sz w:val="24"/>
          <w:szCs w:val="24"/>
        </w:rPr>
        <w:t>Nyreinsufficiens</w:t>
      </w:r>
      <w:r w:rsidRPr="00543BFE">
        <w:rPr>
          <w:sz w:val="24"/>
          <w:szCs w:val="24"/>
        </w:rPr>
        <w:t xml:space="preserve">: </w:t>
      </w:r>
      <w:proofErr w:type="spellStart"/>
      <w:r w:rsidRPr="00543BFE">
        <w:rPr>
          <w:sz w:val="24"/>
          <w:szCs w:val="24"/>
        </w:rPr>
        <w:t>Clearance</w:t>
      </w:r>
      <w:proofErr w:type="spellEnd"/>
      <w:r w:rsidRPr="00543BFE">
        <w:rPr>
          <w:sz w:val="24"/>
          <w:szCs w:val="24"/>
        </w:rPr>
        <w:t xml:space="preserve"> af </w:t>
      </w:r>
      <w:proofErr w:type="spellStart"/>
      <w:r w:rsidRPr="00543BFE">
        <w:rPr>
          <w:sz w:val="24"/>
          <w:szCs w:val="24"/>
        </w:rPr>
        <w:t>entecavir</w:t>
      </w:r>
      <w:proofErr w:type="spellEnd"/>
      <w:r w:rsidRPr="00543BFE">
        <w:rPr>
          <w:sz w:val="24"/>
          <w:szCs w:val="24"/>
        </w:rPr>
        <w:t xml:space="preserve"> falder med faldende </w:t>
      </w:r>
      <w:proofErr w:type="spellStart"/>
      <w:r w:rsidRPr="00543BFE">
        <w:rPr>
          <w:sz w:val="24"/>
          <w:szCs w:val="24"/>
        </w:rPr>
        <w:t>kreatininclearance</w:t>
      </w:r>
      <w:proofErr w:type="spellEnd"/>
      <w:r w:rsidRPr="00543BFE">
        <w:rPr>
          <w:sz w:val="24"/>
          <w:szCs w:val="24"/>
        </w:rPr>
        <w:t xml:space="preserve"> (se pkt. 5.2). Dosisjustering anbefales hos patienter med </w:t>
      </w:r>
      <w:proofErr w:type="spellStart"/>
      <w:r w:rsidRPr="00543BFE">
        <w:rPr>
          <w:sz w:val="24"/>
          <w:szCs w:val="24"/>
        </w:rPr>
        <w:t>kreatininclearance</w:t>
      </w:r>
      <w:proofErr w:type="spellEnd"/>
      <w:r w:rsidRPr="00543BFE">
        <w:rPr>
          <w:sz w:val="24"/>
          <w:szCs w:val="24"/>
        </w:rPr>
        <w:t xml:space="preserve"> &lt; 50 ml/min, inklusive patienter i hæmodialyse eller i vedvarende ambulant </w:t>
      </w:r>
      <w:proofErr w:type="spellStart"/>
      <w:r w:rsidRPr="00543BFE">
        <w:rPr>
          <w:sz w:val="24"/>
          <w:szCs w:val="24"/>
        </w:rPr>
        <w:t>peritonealdialyse</w:t>
      </w:r>
      <w:proofErr w:type="spellEnd"/>
      <w:r w:rsidRPr="00543BFE">
        <w:rPr>
          <w:sz w:val="24"/>
          <w:szCs w:val="24"/>
        </w:rPr>
        <w:t xml:space="preserve"> (CAPD). Reduktion af den daglige dosis </w:t>
      </w:r>
      <w:proofErr w:type="spellStart"/>
      <w:r w:rsidRPr="00543BFE">
        <w:rPr>
          <w:sz w:val="24"/>
          <w:szCs w:val="24"/>
        </w:rPr>
        <w:t>entecavir</w:t>
      </w:r>
      <w:proofErr w:type="spellEnd"/>
      <w:r w:rsidRPr="00543BFE">
        <w:rPr>
          <w:sz w:val="24"/>
          <w:szCs w:val="24"/>
        </w:rPr>
        <w:t xml:space="preserve"> oral opløsning anbefales jf. nedenstående tabel. Som alternativ, hvis oral opløsning ikke er tilgængelig, kan dosis justeres ved at øge dosisintervallet, også jf. nedenstående tabel. De foreslåede dosisændringer er baserede på en ekstrapolering af begrænsede data, og sikkerhed og effekt af disse er ikke klinisk evalueret. Virologisk respons bør derfor monitoreres omhyggeligt.</w:t>
      </w:r>
    </w:p>
    <w:p w:rsidR="008D5948" w:rsidRPr="00543BFE" w:rsidRDefault="008D5948" w:rsidP="008D5948">
      <w:pPr>
        <w:ind w:left="851" w:hanging="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2840"/>
        <w:gridCol w:w="3003"/>
      </w:tblGrid>
      <w:tr w:rsidR="008D5948" w:rsidRPr="00543BFE" w:rsidTr="002574EE">
        <w:tc>
          <w:tcPr>
            <w:tcW w:w="3006" w:type="dxa"/>
            <w:vMerge w:val="restart"/>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ind w:left="29"/>
              <w:jc w:val="center"/>
              <w:rPr>
                <w:b/>
                <w:sz w:val="24"/>
                <w:szCs w:val="24"/>
                <w:lang w:val="en-US"/>
              </w:rPr>
            </w:pPr>
            <w:proofErr w:type="spellStart"/>
            <w:r w:rsidRPr="00543BFE">
              <w:rPr>
                <w:b/>
                <w:sz w:val="24"/>
                <w:szCs w:val="24"/>
                <w:lang w:val="en-US"/>
              </w:rPr>
              <w:t>Kreatininclearance</w:t>
            </w:r>
            <w:proofErr w:type="spellEnd"/>
          </w:p>
          <w:p w:rsidR="008D5948" w:rsidRPr="00543BFE" w:rsidRDefault="008D5948" w:rsidP="002574EE">
            <w:pPr>
              <w:ind w:left="29"/>
              <w:jc w:val="center"/>
              <w:rPr>
                <w:b/>
                <w:sz w:val="24"/>
                <w:szCs w:val="24"/>
                <w:lang w:val="en-US"/>
              </w:rPr>
            </w:pPr>
            <w:r w:rsidRPr="00543BFE">
              <w:rPr>
                <w:b/>
                <w:sz w:val="24"/>
                <w:szCs w:val="24"/>
                <w:lang w:val="en-US"/>
              </w:rPr>
              <w:t>(ml/min)</w:t>
            </w:r>
          </w:p>
        </w:tc>
        <w:tc>
          <w:tcPr>
            <w:tcW w:w="5997" w:type="dxa"/>
            <w:gridSpan w:val="2"/>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ind w:left="29"/>
              <w:jc w:val="center"/>
              <w:rPr>
                <w:b/>
                <w:sz w:val="24"/>
                <w:szCs w:val="24"/>
                <w:lang w:val="en-US"/>
              </w:rPr>
            </w:pPr>
            <w:r w:rsidRPr="00543BFE">
              <w:rPr>
                <w:b/>
                <w:sz w:val="24"/>
                <w:szCs w:val="24"/>
                <w:lang w:val="en-US"/>
              </w:rPr>
              <w:t>Entecavir-</w:t>
            </w:r>
            <w:proofErr w:type="spellStart"/>
            <w:r w:rsidRPr="00543BFE">
              <w:rPr>
                <w:b/>
                <w:sz w:val="24"/>
                <w:szCs w:val="24"/>
                <w:lang w:val="en-US"/>
              </w:rPr>
              <w:t>dosis</w:t>
            </w:r>
            <w:proofErr w:type="spellEnd"/>
            <w:r w:rsidRPr="00543BFE">
              <w:rPr>
                <w:b/>
                <w:sz w:val="24"/>
                <w:szCs w:val="24"/>
                <w:lang w:val="en-US"/>
              </w:rPr>
              <w:t>*</w:t>
            </w:r>
          </w:p>
        </w:tc>
      </w:tr>
      <w:tr w:rsidR="008D5948" w:rsidRPr="00543BFE" w:rsidTr="002574EE">
        <w:tc>
          <w:tcPr>
            <w:tcW w:w="0" w:type="auto"/>
            <w:vMerge/>
            <w:tcBorders>
              <w:top w:val="single" w:sz="4" w:space="0" w:color="auto"/>
              <w:left w:val="single" w:sz="4" w:space="0" w:color="auto"/>
              <w:bottom w:val="single" w:sz="4" w:space="0" w:color="auto"/>
              <w:right w:val="single" w:sz="4" w:space="0" w:color="auto"/>
            </w:tcBorders>
            <w:vAlign w:val="center"/>
            <w:hideMark/>
          </w:tcPr>
          <w:p w:rsidR="008D5948" w:rsidRPr="00543BFE" w:rsidRDefault="008D5948" w:rsidP="002574EE">
            <w:pPr>
              <w:ind w:left="29"/>
              <w:rPr>
                <w:b/>
                <w:sz w:val="24"/>
                <w:szCs w:val="24"/>
                <w:lang w:val="en-US"/>
              </w:rPr>
            </w:pPr>
          </w:p>
        </w:tc>
        <w:tc>
          <w:tcPr>
            <w:tcW w:w="2943"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ind w:left="29"/>
              <w:rPr>
                <w:b/>
                <w:sz w:val="24"/>
                <w:szCs w:val="24"/>
                <w:lang w:val="en-US"/>
              </w:rPr>
            </w:pPr>
            <w:proofErr w:type="spellStart"/>
            <w:r w:rsidRPr="00543BFE">
              <w:rPr>
                <w:b/>
                <w:sz w:val="24"/>
                <w:szCs w:val="24"/>
                <w:lang w:val="en-US"/>
              </w:rPr>
              <w:t>Nukleosidnaive</w:t>
            </w:r>
            <w:proofErr w:type="spellEnd"/>
            <w:r w:rsidRPr="00543BFE">
              <w:rPr>
                <w:b/>
                <w:sz w:val="24"/>
                <w:szCs w:val="24"/>
                <w:lang w:val="en-US"/>
              </w:rPr>
              <w:t xml:space="preserve"> </w:t>
            </w:r>
            <w:proofErr w:type="spellStart"/>
            <w:r w:rsidRPr="00543BFE">
              <w:rPr>
                <w:b/>
                <w:sz w:val="24"/>
                <w:szCs w:val="24"/>
                <w:lang w:val="en-US"/>
              </w:rPr>
              <w:t>patienter</w:t>
            </w:r>
            <w:proofErr w:type="spellEnd"/>
          </w:p>
        </w:tc>
        <w:tc>
          <w:tcPr>
            <w:tcW w:w="3054"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ind w:left="29"/>
              <w:rPr>
                <w:b/>
                <w:sz w:val="24"/>
                <w:szCs w:val="24"/>
              </w:rPr>
            </w:pPr>
            <w:proofErr w:type="spellStart"/>
            <w:r w:rsidRPr="00543BFE">
              <w:rPr>
                <w:b/>
                <w:sz w:val="24"/>
                <w:szCs w:val="24"/>
              </w:rPr>
              <w:t>Lamivudinrefraktære</w:t>
            </w:r>
            <w:proofErr w:type="spellEnd"/>
            <w:r w:rsidRPr="00543BFE">
              <w:rPr>
                <w:b/>
                <w:sz w:val="24"/>
                <w:szCs w:val="24"/>
              </w:rPr>
              <w:t xml:space="preserve"> patienter eller patienter med </w:t>
            </w:r>
            <w:proofErr w:type="spellStart"/>
            <w:r w:rsidRPr="00543BFE">
              <w:rPr>
                <w:b/>
                <w:sz w:val="24"/>
                <w:szCs w:val="24"/>
              </w:rPr>
              <w:t>dekompenseret</w:t>
            </w:r>
            <w:proofErr w:type="spellEnd"/>
            <w:r w:rsidRPr="00543BFE">
              <w:rPr>
                <w:b/>
                <w:sz w:val="24"/>
                <w:szCs w:val="24"/>
              </w:rPr>
              <w:t xml:space="preserve"> leversygdom</w:t>
            </w:r>
          </w:p>
        </w:tc>
      </w:tr>
      <w:tr w:rsidR="008D5948" w:rsidRPr="00543BFE" w:rsidTr="002574EE">
        <w:tc>
          <w:tcPr>
            <w:tcW w:w="3006"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ind w:left="29"/>
              <w:rPr>
                <w:sz w:val="24"/>
                <w:szCs w:val="24"/>
              </w:rPr>
            </w:pPr>
            <w:r w:rsidRPr="00543BFE">
              <w:rPr>
                <w:rFonts w:eastAsia="Calibri"/>
                <w:sz w:val="24"/>
                <w:szCs w:val="24"/>
              </w:rPr>
              <w:t>≥ 50</w:t>
            </w:r>
          </w:p>
        </w:tc>
        <w:tc>
          <w:tcPr>
            <w:tcW w:w="2943"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ind w:left="29"/>
              <w:rPr>
                <w:sz w:val="24"/>
                <w:szCs w:val="24"/>
              </w:rPr>
            </w:pPr>
            <w:r w:rsidRPr="00543BFE">
              <w:rPr>
                <w:sz w:val="24"/>
                <w:szCs w:val="24"/>
              </w:rPr>
              <w:t xml:space="preserve">0,5 mg en gang </w:t>
            </w:r>
            <w:r>
              <w:rPr>
                <w:sz w:val="24"/>
                <w:szCs w:val="24"/>
              </w:rPr>
              <w:t>daglig</w:t>
            </w:r>
          </w:p>
        </w:tc>
        <w:tc>
          <w:tcPr>
            <w:tcW w:w="3054"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ind w:left="29"/>
              <w:rPr>
                <w:sz w:val="24"/>
                <w:szCs w:val="24"/>
              </w:rPr>
            </w:pPr>
            <w:r w:rsidRPr="00543BFE">
              <w:rPr>
                <w:sz w:val="24"/>
                <w:szCs w:val="24"/>
              </w:rPr>
              <w:t xml:space="preserve">1 mg en gang </w:t>
            </w:r>
            <w:r>
              <w:rPr>
                <w:sz w:val="24"/>
                <w:szCs w:val="24"/>
              </w:rPr>
              <w:t>daglig</w:t>
            </w:r>
          </w:p>
        </w:tc>
      </w:tr>
      <w:tr w:rsidR="008D5948" w:rsidRPr="00543BFE" w:rsidTr="002574EE">
        <w:tc>
          <w:tcPr>
            <w:tcW w:w="3006"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ind w:left="29"/>
              <w:rPr>
                <w:sz w:val="24"/>
                <w:szCs w:val="24"/>
              </w:rPr>
            </w:pPr>
            <w:r w:rsidRPr="00543BFE">
              <w:rPr>
                <w:sz w:val="24"/>
                <w:szCs w:val="24"/>
              </w:rPr>
              <w:t>30-49</w:t>
            </w:r>
          </w:p>
        </w:tc>
        <w:tc>
          <w:tcPr>
            <w:tcW w:w="2943"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ind w:left="29"/>
              <w:rPr>
                <w:sz w:val="24"/>
                <w:szCs w:val="24"/>
              </w:rPr>
            </w:pPr>
            <w:r w:rsidRPr="00543BFE">
              <w:rPr>
                <w:sz w:val="24"/>
                <w:szCs w:val="24"/>
              </w:rPr>
              <w:t xml:space="preserve">0,25 mg en gang </w:t>
            </w:r>
            <w:r>
              <w:rPr>
                <w:sz w:val="24"/>
                <w:szCs w:val="24"/>
              </w:rPr>
              <w:t>daglig</w:t>
            </w:r>
            <w:r w:rsidRPr="00543BFE">
              <w:rPr>
                <w:sz w:val="24"/>
                <w:szCs w:val="24"/>
              </w:rPr>
              <w:t>*</w:t>
            </w:r>
          </w:p>
          <w:p w:rsidR="008D5948" w:rsidRPr="00543BFE" w:rsidRDefault="008D5948" w:rsidP="002574EE">
            <w:pPr>
              <w:ind w:left="29"/>
              <w:rPr>
                <w:sz w:val="24"/>
                <w:szCs w:val="24"/>
              </w:rPr>
            </w:pPr>
            <w:r w:rsidRPr="00543BFE">
              <w:rPr>
                <w:sz w:val="24"/>
                <w:szCs w:val="24"/>
              </w:rPr>
              <w:t>ELLER</w:t>
            </w:r>
          </w:p>
          <w:p w:rsidR="008D5948" w:rsidRPr="00543BFE" w:rsidRDefault="008D5948" w:rsidP="002574EE">
            <w:pPr>
              <w:ind w:left="29"/>
              <w:rPr>
                <w:sz w:val="24"/>
                <w:szCs w:val="24"/>
              </w:rPr>
            </w:pPr>
            <w:r w:rsidRPr="00543BFE">
              <w:rPr>
                <w:sz w:val="24"/>
                <w:szCs w:val="24"/>
              </w:rPr>
              <w:t>0,5 mg hver 48. time</w:t>
            </w:r>
          </w:p>
        </w:tc>
        <w:tc>
          <w:tcPr>
            <w:tcW w:w="3054"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ind w:left="29"/>
              <w:rPr>
                <w:sz w:val="24"/>
                <w:szCs w:val="24"/>
              </w:rPr>
            </w:pPr>
            <w:r w:rsidRPr="00543BFE">
              <w:rPr>
                <w:sz w:val="24"/>
                <w:szCs w:val="24"/>
              </w:rPr>
              <w:t xml:space="preserve">0,5 mg en gang </w:t>
            </w:r>
            <w:r>
              <w:rPr>
                <w:sz w:val="24"/>
                <w:szCs w:val="24"/>
              </w:rPr>
              <w:t>daglig</w:t>
            </w:r>
          </w:p>
        </w:tc>
      </w:tr>
      <w:tr w:rsidR="008D5948" w:rsidRPr="00543BFE" w:rsidTr="002574EE">
        <w:tc>
          <w:tcPr>
            <w:tcW w:w="3006"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ind w:left="29"/>
              <w:rPr>
                <w:sz w:val="24"/>
                <w:szCs w:val="24"/>
              </w:rPr>
            </w:pPr>
            <w:r w:rsidRPr="00543BFE">
              <w:rPr>
                <w:rFonts w:eastAsia="Calibri"/>
                <w:sz w:val="24"/>
                <w:szCs w:val="24"/>
              </w:rPr>
              <w:t>10-29</w:t>
            </w:r>
          </w:p>
        </w:tc>
        <w:tc>
          <w:tcPr>
            <w:tcW w:w="2943"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ind w:left="29"/>
              <w:rPr>
                <w:sz w:val="24"/>
                <w:szCs w:val="24"/>
              </w:rPr>
            </w:pPr>
            <w:r w:rsidRPr="00543BFE">
              <w:rPr>
                <w:sz w:val="24"/>
                <w:szCs w:val="24"/>
              </w:rPr>
              <w:t xml:space="preserve">0,15 mg en gang </w:t>
            </w:r>
            <w:r>
              <w:rPr>
                <w:sz w:val="24"/>
                <w:szCs w:val="24"/>
              </w:rPr>
              <w:t>daglig</w:t>
            </w:r>
            <w:r w:rsidRPr="00543BFE">
              <w:rPr>
                <w:sz w:val="24"/>
                <w:szCs w:val="24"/>
              </w:rPr>
              <w:t>*</w:t>
            </w:r>
          </w:p>
          <w:p w:rsidR="008D5948" w:rsidRPr="00543BFE" w:rsidRDefault="008D5948" w:rsidP="002574EE">
            <w:pPr>
              <w:ind w:left="29"/>
              <w:rPr>
                <w:sz w:val="24"/>
                <w:szCs w:val="24"/>
              </w:rPr>
            </w:pPr>
            <w:r w:rsidRPr="00543BFE">
              <w:rPr>
                <w:sz w:val="24"/>
                <w:szCs w:val="24"/>
              </w:rPr>
              <w:t>ELLER</w:t>
            </w:r>
          </w:p>
          <w:p w:rsidR="008D5948" w:rsidRPr="00543BFE" w:rsidRDefault="008D5948" w:rsidP="002574EE">
            <w:pPr>
              <w:ind w:left="29"/>
              <w:rPr>
                <w:sz w:val="24"/>
                <w:szCs w:val="24"/>
              </w:rPr>
            </w:pPr>
            <w:r w:rsidRPr="00543BFE">
              <w:rPr>
                <w:sz w:val="24"/>
                <w:szCs w:val="24"/>
              </w:rPr>
              <w:t>0,5 mg hver 72. time</w:t>
            </w:r>
          </w:p>
        </w:tc>
        <w:tc>
          <w:tcPr>
            <w:tcW w:w="3054"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ind w:left="29"/>
              <w:rPr>
                <w:sz w:val="24"/>
                <w:szCs w:val="24"/>
              </w:rPr>
            </w:pPr>
            <w:r w:rsidRPr="00543BFE">
              <w:rPr>
                <w:sz w:val="24"/>
                <w:szCs w:val="24"/>
              </w:rPr>
              <w:t xml:space="preserve">0,3 mg en gang </w:t>
            </w:r>
            <w:r>
              <w:rPr>
                <w:sz w:val="24"/>
                <w:szCs w:val="24"/>
              </w:rPr>
              <w:t>daglig</w:t>
            </w:r>
          </w:p>
          <w:p w:rsidR="008D5948" w:rsidRPr="00543BFE" w:rsidRDefault="008D5948" w:rsidP="002574EE">
            <w:pPr>
              <w:ind w:left="29"/>
              <w:rPr>
                <w:sz w:val="24"/>
                <w:szCs w:val="24"/>
              </w:rPr>
            </w:pPr>
            <w:r w:rsidRPr="00543BFE">
              <w:rPr>
                <w:sz w:val="24"/>
                <w:szCs w:val="24"/>
              </w:rPr>
              <w:t>ELLER</w:t>
            </w:r>
          </w:p>
          <w:p w:rsidR="008D5948" w:rsidRPr="00543BFE" w:rsidRDefault="008D5948" w:rsidP="002574EE">
            <w:pPr>
              <w:ind w:left="29"/>
              <w:rPr>
                <w:sz w:val="24"/>
                <w:szCs w:val="24"/>
              </w:rPr>
            </w:pPr>
            <w:r w:rsidRPr="00543BFE">
              <w:rPr>
                <w:sz w:val="24"/>
                <w:szCs w:val="24"/>
              </w:rPr>
              <w:t>0,5 mg hver 48. time</w:t>
            </w:r>
          </w:p>
        </w:tc>
      </w:tr>
      <w:tr w:rsidR="008D5948" w:rsidRPr="00543BFE" w:rsidTr="002574EE">
        <w:tc>
          <w:tcPr>
            <w:tcW w:w="3006"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ind w:left="29"/>
              <w:rPr>
                <w:sz w:val="24"/>
                <w:szCs w:val="24"/>
              </w:rPr>
            </w:pPr>
            <w:r w:rsidRPr="00543BFE">
              <w:rPr>
                <w:sz w:val="24"/>
                <w:szCs w:val="24"/>
              </w:rPr>
              <w:t>&lt; 10</w:t>
            </w:r>
          </w:p>
          <w:p w:rsidR="008D5948" w:rsidRPr="00543BFE" w:rsidRDefault="008D5948" w:rsidP="002574EE">
            <w:pPr>
              <w:ind w:left="29"/>
              <w:rPr>
                <w:sz w:val="24"/>
                <w:szCs w:val="24"/>
              </w:rPr>
            </w:pPr>
            <w:r w:rsidRPr="00543BFE">
              <w:rPr>
                <w:sz w:val="24"/>
                <w:szCs w:val="24"/>
              </w:rPr>
              <w:t>Hæmodialyse eller CAPD**</w:t>
            </w:r>
          </w:p>
        </w:tc>
        <w:tc>
          <w:tcPr>
            <w:tcW w:w="2943"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ind w:left="29"/>
              <w:rPr>
                <w:sz w:val="24"/>
                <w:szCs w:val="24"/>
              </w:rPr>
            </w:pPr>
            <w:r w:rsidRPr="00543BFE">
              <w:rPr>
                <w:sz w:val="24"/>
                <w:szCs w:val="24"/>
              </w:rPr>
              <w:t xml:space="preserve">0,05 mg en gang </w:t>
            </w:r>
            <w:r>
              <w:rPr>
                <w:sz w:val="24"/>
                <w:szCs w:val="24"/>
              </w:rPr>
              <w:t>daglig</w:t>
            </w:r>
            <w:r w:rsidRPr="00543BFE">
              <w:rPr>
                <w:sz w:val="24"/>
                <w:szCs w:val="24"/>
              </w:rPr>
              <w:t xml:space="preserve">* </w:t>
            </w:r>
          </w:p>
          <w:p w:rsidR="008D5948" w:rsidRPr="00543BFE" w:rsidRDefault="008D5948" w:rsidP="002574EE">
            <w:pPr>
              <w:ind w:left="29"/>
              <w:rPr>
                <w:sz w:val="24"/>
                <w:szCs w:val="24"/>
              </w:rPr>
            </w:pPr>
            <w:r w:rsidRPr="00543BFE">
              <w:rPr>
                <w:sz w:val="24"/>
                <w:szCs w:val="24"/>
              </w:rPr>
              <w:t>ELLER</w:t>
            </w:r>
          </w:p>
          <w:p w:rsidR="008D5948" w:rsidRPr="00543BFE" w:rsidRDefault="008D5948" w:rsidP="002574EE">
            <w:pPr>
              <w:ind w:left="29"/>
              <w:rPr>
                <w:sz w:val="24"/>
                <w:szCs w:val="24"/>
              </w:rPr>
            </w:pPr>
            <w:r w:rsidRPr="00543BFE">
              <w:rPr>
                <w:sz w:val="24"/>
                <w:szCs w:val="24"/>
              </w:rPr>
              <w:t>0,5 mg hver 5-7 dag</w:t>
            </w:r>
          </w:p>
        </w:tc>
        <w:tc>
          <w:tcPr>
            <w:tcW w:w="3054"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ind w:left="29"/>
              <w:rPr>
                <w:sz w:val="24"/>
                <w:szCs w:val="24"/>
              </w:rPr>
            </w:pPr>
            <w:r w:rsidRPr="00543BFE">
              <w:rPr>
                <w:sz w:val="24"/>
                <w:szCs w:val="24"/>
              </w:rPr>
              <w:t xml:space="preserve">0,1 mg en gang </w:t>
            </w:r>
            <w:r>
              <w:rPr>
                <w:sz w:val="24"/>
                <w:szCs w:val="24"/>
              </w:rPr>
              <w:t>daglig</w:t>
            </w:r>
            <w:r w:rsidRPr="00543BFE">
              <w:rPr>
                <w:sz w:val="24"/>
                <w:szCs w:val="24"/>
              </w:rPr>
              <w:t>*</w:t>
            </w:r>
          </w:p>
          <w:p w:rsidR="008D5948" w:rsidRPr="00543BFE" w:rsidRDefault="008D5948" w:rsidP="002574EE">
            <w:pPr>
              <w:ind w:left="29"/>
              <w:rPr>
                <w:sz w:val="24"/>
                <w:szCs w:val="24"/>
              </w:rPr>
            </w:pPr>
            <w:r w:rsidRPr="00543BFE">
              <w:rPr>
                <w:sz w:val="24"/>
                <w:szCs w:val="24"/>
              </w:rPr>
              <w:t>ELLER</w:t>
            </w:r>
          </w:p>
          <w:p w:rsidR="008D5948" w:rsidRPr="00543BFE" w:rsidRDefault="008D5948" w:rsidP="002574EE">
            <w:pPr>
              <w:ind w:left="29"/>
              <w:rPr>
                <w:sz w:val="24"/>
                <w:szCs w:val="24"/>
              </w:rPr>
            </w:pPr>
            <w:r w:rsidRPr="00543BFE">
              <w:rPr>
                <w:sz w:val="24"/>
                <w:szCs w:val="24"/>
              </w:rPr>
              <w:t>0,5 mg hver 72. time</w:t>
            </w:r>
          </w:p>
        </w:tc>
      </w:tr>
    </w:tbl>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 ved doser &lt; 0,5 mg </w:t>
      </w:r>
      <w:proofErr w:type="spellStart"/>
      <w:r w:rsidRPr="00543BFE">
        <w:rPr>
          <w:sz w:val="24"/>
          <w:szCs w:val="24"/>
        </w:rPr>
        <w:t>entecavir</w:t>
      </w:r>
      <w:proofErr w:type="spellEnd"/>
      <w:r w:rsidRPr="00543BFE">
        <w:rPr>
          <w:sz w:val="24"/>
          <w:szCs w:val="24"/>
        </w:rPr>
        <w:t xml:space="preserve"> anbefales oral opløsning. </w:t>
      </w:r>
    </w:p>
    <w:p w:rsidR="008D5948" w:rsidRPr="00543BFE" w:rsidRDefault="008D5948" w:rsidP="008D5948">
      <w:pPr>
        <w:ind w:left="851"/>
        <w:rPr>
          <w:sz w:val="24"/>
          <w:szCs w:val="24"/>
        </w:rPr>
      </w:pPr>
      <w:r w:rsidRPr="00543BFE">
        <w:rPr>
          <w:sz w:val="24"/>
          <w:szCs w:val="24"/>
        </w:rPr>
        <w:t xml:space="preserve">** på hæmodialysedage administreres </w:t>
      </w:r>
      <w:proofErr w:type="spellStart"/>
      <w:r w:rsidRPr="00543BFE">
        <w:rPr>
          <w:sz w:val="24"/>
          <w:szCs w:val="24"/>
        </w:rPr>
        <w:t>entecavir</w:t>
      </w:r>
      <w:proofErr w:type="spellEnd"/>
      <w:r w:rsidRPr="00543BFE">
        <w:rPr>
          <w:sz w:val="24"/>
          <w:szCs w:val="24"/>
        </w:rPr>
        <w:t xml:space="preserve"> efter hæmodialysen.</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i/>
          <w:sz w:val="24"/>
          <w:szCs w:val="24"/>
        </w:rPr>
        <w:t>Leverinsufficiens</w:t>
      </w:r>
      <w:r w:rsidRPr="00543BFE">
        <w:rPr>
          <w:sz w:val="24"/>
          <w:szCs w:val="24"/>
        </w:rPr>
        <w:t>: dosisjustering er ikke nødvendig hos patienter med leverinsufficiens.</w:t>
      </w:r>
    </w:p>
    <w:p w:rsidR="008D5948" w:rsidRPr="00543BFE" w:rsidRDefault="008D5948" w:rsidP="008D5948">
      <w:pPr>
        <w:ind w:left="851" w:hanging="851"/>
        <w:rPr>
          <w:sz w:val="24"/>
          <w:szCs w:val="24"/>
          <w:u w:val="single"/>
        </w:rPr>
      </w:pPr>
    </w:p>
    <w:p w:rsidR="008D5948" w:rsidRPr="00543BFE" w:rsidRDefault="008D5948" w:rsidP="008D5948">
      <w:pPr>
        <w:ind w:left="851"/>
        <w:rPr>
          <w:sz w:val="24"/>
          <w:szCs w:val="24"/>
          <w:u w:val="single"/>
        </w:rPr>
      </w:pPr>
      <w:r w:rsidRPr="00543BFE">
        <w:rPr>
          <w:sz w:val="24"/>
          <w:szCs w:val="24"/>
          <w:u w:val="single"/>
        </w:rPr>
        <w:t>Administration</w:t>
      </w:r>
    </w:p>
    <w:p w:rsidR="008D5948" w:rsidRPr="00543BFE" w:rsidRDefault="008D5948" w:rsidP="008D5948">
      <w:pPr>
        <w:ind w:left="851"/>
        <w:rPr>
          <w:sz w:val="24"/>
          <w:szCs w:val="24"/>
        </w:rPr>
      </w:pPr>
      <w:r w:rsidRPr="00543BFE">
        <w:rPr>
          <w:sz w:val="24"/>
          <w:szCs w:val="24"/>
        </w:rPr>
        <w:t>Oral anvendelse.</w:t>
      </w: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4.3</w:t>
      </w:r>
      <w:r w:rsidRPr="00543BFE">
        <w:rPr>
          <w:b/>
          <w:sz w:val="24"/>
          <w:szCs w:val="24"/>
        </w:rPr>
        <w:tab/>
        <w:t>Kontraindikationer</w:t>
      </w:r>
    </w:p>
    <w:p w:rsidR="008D5948" w:rsidRPr="00543BFE" w:rsidRDefault="008D5948" w:rsidP="008D5948">
      <w:pPr>
        <w:ind w:left="851"/>
        <w:rPr>
          <w:sz w:val="24"/>
          <w:szCs w:val="24"/>
          <w:lang w:eastAsia="da-DK"/>
        </w:rPr>
      </w:pPr>
      <w:r w:rsidRPr="00543BFE">
        <w:rPr>
          <w:sz w:val="24"/>
          <w:szCs w:val="24"/>
        </w:rPr>
        <w:t xml:space="preserve">Overfølsomhed over for det aktive stof eller over for et eller flere af hjælpestofferne anført i pkt. 6.1. </w:t>
      </w: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4.4</w:t>
      </w:r>
      <w:r w:rsidRPr="00543BFE">
        <w:rPr>
          <w:b/>
          <w:sz w:val="24"/>
          <w:szCs w:val="24"/>
        </w:rPr>
        <w:tab/>
        <w:t>Særlige advarsler og forsigtighedsregler vedrørende brugen</w:t>
      </w:r>
    </w:p>
    <w:p w:rsidR="008D5948" w:rsidRPr="00543BFE" w:rsidRDefault="008D5948" w:rsidP="008D5948">
      <w:pPr>
        <w:ind w:left="851"/>
        <w:rPr>
          <w:sz w:val="24"/>
          <w:szCs w:val="24"/>
          <w:lang w:eastAsia="da-DK"/>
        </w:rPr>
      </w:pPr>
      <w:r w:rsidRPr="00543BFE">
        <w:rPr>
          <w:i/>
          <w:sz w:val="24"/>
          <w:szCs w:val="24"/>
        </w:rPr>
        <w:t>Nyreinsufficiens</w:t>
      </w:r>
      <w:r w:rsidRPr="00543BFE">
        <w:rPr>
          <w:sz w:val="24"/>
          <w:szCs w:val="24"/>
        </w:rPr>
        <w:t>: Justering af dosis anbefales til patienter med nyreinsufficiens (se pkt. 4.2). De foreslåede dosisændringer er baserede på en ekstrapolering af begrænsede data, og sikkerhed og effekt af disse er ikke klinisk evalueret. Virologisk respons bør derfor monitoreres omhyggeligt.</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i/>
          <w:sz w:val="24"/>
          <w:szCs w:val="24"/>
        </w:rPr>
        <w:t>Hepatitis-</w:t>
      </w:r>
      <w:proofErr w:type="spellStart"/>
      <w:r w:rsidRPr="00543BFE">
        <w:rPr>
          <w:i/>
          <w:sz w:val="24"/>
          <w:szCs w:val="24"/>
        </w:rPr>
        <w:t>eksacerbationer</w:t>
      </w:r>
      <w:proofErr w:type="spellEnd"/>
      <w:r w:rsidRPr="00543BFE">
        <w:rPr>
          <w:sz w:val="24"/>
          <w:szCs w:val="24"/>
        </w:rPr>
        <w:t xml:space="preserve">: Spontane </w:t>
      </w:r>
      <w:proofErr w:type="spellStart"/>
      <w:r w:rsidRPr="00543BFE">
        <w:rPr>
          <w:sz w:val="24"/>
          <w:szCs w:val="24"/>
        </w:rPr>
        <w:t>eksacerbationer</w:t>
      </w:r>
      <w:proofErr w:type="spellEnd"/>
      <w:r w:rsidRPr="00543BFE">
        <w:rPr>
          <w:sz w:val="24"/>
          <w:szCs w:val="24"/>
        </w:rPr>
        <w:t xml:space="preserve"> ved kronisk hepatitis B er relativt hyppige og karakteriseres ved forbigående stigninger i serum-ALAT. Efter påbegyndelse af antiviral behandling kan serum-ALAT stige hos nogle patienter i takt med, at serum-HBV-dna falder (se pkt. 4.8). Blandt patienter i behandling med </w:t>
      </w:r>
      <w:proofErr w:type="spellStart"/>
      <w:r w:rsidRPr="00543BFE">
        <w:rPr>
          <w:sz w:val="24"/>
          <w:szCs w:val="24"/>
        </w:rPr>
        <w:t>entecavir</w:t>
      </w:r>
      <w:proofErr w:type="spellEnd"/>
      <w:r w:rsidRPr="00543BFE">
        <w:rPr>
          <w:sz w:val="24"/>
          <w:szCs w:val="24"/>
        </w:rPr>
        <w:t xml:space="preserve"> gik der en median periode på 4-5 uger, inden </w:t>
      </w:r>
      <w:proofErr w:type="spellStart"/>
      <w:r w:rsidRPr="00543BFE">
        <w:rPr>
          <w:sz w:val="24"/>
          <w:szCs w:val="24"/>
        </w:rPr>
        <w:t>eksacerbationerne</w:t>
      </w:r>
      <w:proofErr w:type="spellEnd"/>
      <w:r w:rsidRPr="00543BFE">
        <w:rPr>
          <w:sz w:val="24"/>
          <w:szCs w:val="24"/>
        </w:rPr>
        <w:t xml:space="preserve"> indtrådte. Hos patienter med kompenseret leversygdom ledsages disse stigninger i serum-ALAT generelt ikke af stigninger i serum-bilirubin eller </w:t>
      </w:r>
      <w:proofErr w:type="spellStart"/>
      <w:r w:rsidRPr="00543BFE">
        <w:rPr>
          <w:sz w:val="24"/>
          <w:szCs w:val="24"/>
        </w:rPr>
        <w:t>hepatisk</w:t>
      </w:r>
      <w:proofErr w:type="spellEnd"/>
      <w:r w:rsidRPr="00543BFE">
        <w:rPr>
          <w:sz w:val="24"/>
          <w:szCs w:val="24"/>
        </w:rPr>
        <w:t xml:space="preserve"> </w:t>
      </w:r>
      <w:proofErr w:type="spellStart"/>
      <w:r w:rsidRPr="00543BFE">
        <w:rPr>
          <w:sz w:val="24"/>
          <w:szCs w:val="24"/>
        </w:rPr>
        <w:t>dekompensation</w:t>
      </w:r>
      <w:proofErr w:type="spellEnd"/>
      <w:r w:rsidRPr="00543BFE">
        <w:rPr>
          <w:sz w:val="24"/>
          <w:szCs w:val="24"/>
        </w:rPr>
        <w:t xml:space="preserve">. Patienter med fremskreden </w:t>
      </w:r>
      <w:r w:rsidRPr="00543BFE">
        <w:rPr>
          <w:sz w:val="24"/>
          <w:szCs w:val="24"/>
        </w:rPr>
        <w:lastRenderedPageBreak/>
        <w:t xml:space="preserve">leversygdom eller cirrose kan have højere risiko for </w:t>
      </w:r>
      <w:proofErr w:type="spellStart"/>
      <w:r w:rsidRPr="00543BFE">
        <w:rPr>
          <w:sz w:val="24"/>
          <w:szCs w:val="24"/>
        </w:rPr>
        <w:t>hepatisk</w:t>
      </w:r>
      <w:proofErr w:type="spellEnd"/>
      <w:r w:rsidRPr="00543BFE">
        <w:rPr>
          <w:sz w:val="24"/>
          <w:szCs w:val="24"/>
        </w:rPr>
        <w:t xml:space="preserve"> </w:t>
      </w:r>
      <w:proofErr w:type="spellStart"/>
      <w:r w:rsidRPr="00543BFE">
        <w:rPr>
          <w:sz w:val="24"/>
          <w:szCs w:val="24"/>
        </w:rPr>
        <w:t>dekompensation</w:t>
      </w:r>
      <w:proofErr w:type="spellEnd"/>
      <w:r w:rsidRPr="00543BFE">
        <w:rPr>
          <w:sz w:val="24"/>
          <w:szCs w:val="24"/>
        </w:rPr>
        <w:t xml:space="preserve"> efter hepatitis-</w:t>
      </w:r>
      <w:proofErr w:type="spellStart"/>
      <w:r w:rsidRPr="00543BFE">
        <w:rPr>
          <w:sz w:val="24"/>
          <w:szCs w:val="24"/>
        </w:rPr>
        <w:t>eksacerbation</w:t>
      </w:r>
      <w:proofErr w:type="spellEnd"/>
      <w:r w:rsidRPr="00543BFE">
        <w:rPr>
          <w:sz w:val="24"/>
          <w:szCs w:val="24"/>
        </w:rPr>
        <w:t xml:space="preserve"> og bør derfor monitoreres tæt under behandling.</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Akut hepatitis-</w:t>
      </w:r>
      <w:proofErr w:type="spellStart"/>
      <w:r w:rsidRPr="00543BFE">
        <w:rPr>
          <w:sz w:val="24"/>
          <w:szCs w:val="24"/>
        </w:rPr>
        <w:t>eksacerbation</w:t>
      </w:r>
      <w:proofErr w:type="spellEnd"/>
      <w:r w:rsidRPr="00543BFE">
        <w:rPr>
          <w:sz w:val="24"/>
          <w:szCs w:val="24"/>
        </w:rPr>
        <w:t xml:space="preserve"> er ligeledes indberettet hos patienter, som har seponeret hepatitis B-behandling (se pkt. 4.2). </w:t>
      </w:r>
      <w:proofErr w:type="spellStart"/>
      <w:r w:rsidRPr="00543BFE">
        <w:rPr>
          <w:sz w:val="24"/>
          <w:szCs w:val="24"/>
        </w:rPr>
        <w:t>Eksacerbationer</w:t>
      </w:r>
      <w:proofErr w:type="spellEnd"/>
      <w:r w:rsidRPr="00543BFE">
        <w:rPr>
          <w:sz w:val="24"/>
          <w:szCs w:val="24"/>
        </w:rPr>
        <w:t xml:space="preserve"> efter behandling er sædvanligvis forbundet med stigning i HBV-dna, og størstedelen synes at være selvbegrænsende. Der er dog indberettet svære </w:t>
      </w:r>
      <w:proofErr w:type="spellStart"/>
      <w:r w:rsidRPr="00543BFE">
        <w:rPr>
          <w:sz w:val="24"/>
          <w:szCs w:val="24"/>
        </w:rPr>
        <w:t>eksacerbationer</w:t>
      </w:r>
      <w:proofErr w:type="spellEnd"/>
      <w:r w:rsidRPr="00543BFE">
        <w:rPr>
          <w:sz w:val="24"/>
          <w:szCs w:val="24"/>
        </w:rPr>
        <w:t>, inklusive død.</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Blandt patienter i behandling med </w:t>
      </w:r>
      <w:proofErr w:type="spellStart"/>
      <w:r w:rsidRPr="00543BFE">
        <w:rPr>
          <w:sz w:val="24"/>
          <w:szCs w:val="24"/>
        </w:rPr>
        <w:t>entecavir</w:t>
      </w:r>
      <w:proofErr w:type="spellEnd"/>
      <w:r w:rsidRPr="00543BFE">
        <w:rPr>
          <w:sz w:val="24"/>
          <w:szCs w:val="24"/>
        </w:rPr>
        <w:t xml:space="preserve">, der ikke tidligere har været behandlet med </w:t>
      </w:r>
      <w:proofErr w:type="spellStart"/>
      <w:r w:rsidRPr="00543BFE">
        <w:rPr>
          <w:sz w:val="24"/>
          <w:szCs w:val="24"/>
        </w:rPr>
        <w:t>nukleosid</w:t>
      </w:r>
      <w:proofErr w:type="spellEnd"/>
      <w:r w:rsidRPr="00543BFE">
        <w:rPr>
          <w:sz w:val="24"/>
          <w:szCs w:val="24"/>
        </w:rPr>
        <w:t xml:space="preserve">, var den </w:t>
      </w:r>
      <w:proofErr w:type="spellStart"/>
      <w:r w:rsidRPr="00543BFE">
        <w:rPr>
          <w:sz w:val="24"/>
          <w:szCs w:val="24"/>
        </w:rPr>
        <w:t>mediane</w:t>
      </w:r>
      <w:proofErr w:type="spellEnd"/>
      <w:r w:rsidRPr="00543BFE">
        <w:rPr>
          <w:sz w:val="24"/>
          <w:szCs w:val="24"/>
        </w:rPr>
        <w:t xml:space="preserve"> tid til </w:t>
      </w:r>
      <w:proofErr w:type="spellStart"/>
      <w:r w:rsidRPr="00543BFE">
        <w:rPr>
          <w:sz w:val="24"/>
          <w:szCs w:val="24"/>
        </w:rPr>
        <w:t>eksacerbation</w:t>
      </w:r>
      <w:proofErr w:type="spellEnd"/>
      <w:r w:rsidRPr="00543BFE">
        <w:rPr>
          <w:sz w:val="24"/>
          <w:szCs w:val="24"/>
        </w:rPr>
        <w:t xml:space="preserve"> efter behandling 23-24 uger, og de fleste tilfælde blev indberettet blandt </w:t>
      </w:r>
      <w:proofErr w:type="spellStart"/>
      <w:r w:rsidRPr="00543BFE">
        <w:rPr>
          <w:sz w:val="24"/>
          <w:szCs w:val="24"/>
        </w:rPr>
        <w:t>HBeAg</w:t>
      </w:r>
      <w:proofErr w:type="spellEnd"/>
      <w:r w:rsidRPr="00543BFE">
        <w:rPr>
          <w:sz w:val="24"/>
          <w:szCs w:val="24"/>
        </w:rPr>
        <w:t xml:space="preserve">-negative patienter (se pkt. 4.8). Leverfunktionen skal monitoreres løbende med faste intervaller med såvel klinisk som laboratoriemæssig opfølgning i mindst 6 måneder efter </w:t>
      </w:r>
      <w:proofErr w:type="spellStart"/>
      <w:r w:rsidRPr="00543BFE">
        <w:rPr>
          <w:sz w:val="24"/>
          <w:szCs w:val="24"/>
        </w:rPr>
        <w:t>seponering</w:t>
      </w:r>
      <w:proofErr w:type="spellEnd"/>
      <w:r w:rsidRPr="00543BFE">
        <w:rPr>
          <w:sz w:val="24"/>
          <w:szCs w:val="24"/>
        </w:rPr>
        <w:t xml:space="preserve"> af hepatitis B-behandling. Hvis det er relevant, kan genoptagelse af hepatitis B-behandling være berettiget.</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i/>
          <w:sz w:val="24"/>
          <w:szCs w:val="24"/>
        </w:rPr>
        <w:t xml:space="preserve">Patienter med </w:t>
      </w:r>
      <w:proofErr w:type="spellStart"/>
      <w:r w:rsidRPr="00543BFE">
        <w:rPr>
          <w:i/>
          <w:sz w:val="24"/>
          <w:szCs w:val="24"/>
        </w:rPr>
        <w:t>dekompenseret</w:t>
      </w:r>
      <w:proofErr w:type="spellEnd"/>
      <w:r w:rsidRPr="00543BFE">
        <w:rPr>
          <w:i/>
          <w:sz w:val="24"/>
          <w:szCs w:val="24"/>
        </w:rPr>
        <w:t xml:space="preserve"> leversygdom</w:t>
      </w:r>
      <w:r w:rsidRPr="00543BFE">
        <w:rPr>
          <w:sz w:val="24"/>
          <w:szCs w:val="24"/>
        </w:rPr>
        <w:t xml:space="preserve">: Der er set en højere forekomst af alvorlige leverbivirkninger (uanset kausalitet) hos patienter med </w:t>
      </w:r>
      <w:proofErr w:type="spellStart"/>
      <w:r w:rsidRPr="00543BFE">
        <w:rPr>
          <w:sz w:val="24"/>
          <w:szCs w:val="24"/>
        </w:rPr>
        <w:t>dekompenseret</w:t>
      </w:r>
      <w:proofErr w:type="spellEnd"/>
      <w:r w:rsidRPr="00543BFE">
        <w:rPr>
          <w:sz w:val="24"/>
          <w:szCs w:val="24"/>
        </w:rPr>
        <w:t xml:space="preserve"> leversygdom, især hos patienter med Child-</w:t>
      </w:r>
      <w:proofErr w:type="spellStart"/>
      <w:r w:rsidRPr="00543BFE">
        <w:rPr>
          <w:sz w:val="24"/>
          <w:szCs w:val="24"/>
        </w:rPr>
        <w:t>Turcotte</w:t>
      </w:r>
      <w:proofErr w:type="spellEnd"/>
      <w:r w:rsidRPr="00543BFE">
        <w:rPr>
          <w:sz w:val="24"/>
          <w:szCs w:val="24"/>
        </w:rPr>
        <w:t>-</w:t>
      </w:r>
      <w:proofErr w:type="spellStart"/>
      <w:r w:rsidRPr="00543BFE">
        <w:rPr>
          <w:sz w:val="24"/>
          <w:szCs w:val="24"/>
        </w:rPr>
        <w:t>Pugh</w:t>
      </w:r>
      <w:proofErr w:type="spellEnd"/>
      <w:r w:rsidRPr="00543BFE">
        <w:rPr>
          <w:sz w:val="24"/>
          <w:szCs w:val="24"/>
        </w:rPr>
        <w:t xml:space="preserve"> (CTP) klasse C-sygdom, sammenlignet med patienter med kompenseret leverfunktion. Derudover kan patienter med </w:t>
      </w:r>
      <w:proofErr w:type="spellStart"/>
      <w:r w:rsidRPr="00543BFE">
        <w:rPr>
          <w:sz w:val="24"/>
          <w:szCs w:val="24"/>
        </w:rPr>
        <w:t>dekompenseret</w:t>
      </w:r>
      <w:proofErr w:type="spellEnd"/>
      <w:r w:rsidRPr="00543BFE">
        <w:rPr>
          <w:sz w:val="24"/>
          <w:szCs w:val="24"/>
        </w:rPr>
        <w:t xml:space="preserve"> leversygdom have større risiko for </w:t>
      </w:r>
      <w:proofErr w:type="spellStart"/>
      <w:r w:rsidRPr="00543BFE">
        <w:rPr>
          <w:sz w:val="24"/>
          <w:szCs w:val="24"/>
        </w:rPr>
        <w:t>lactacidose</w:t>
      </w:r>
      <w:proofErr w:type="spellEnd"/>
      <w:r w:rsidRPr="00543BFE">
        <w:rPr>
          <w:sz w:val="24"/>
          <w:szCs w:val="24"/>
        </w:rPr>
        <w:t xml:space="preserve"> og for specifikke </w:t>
      </w:r>
      <w:proofErr w:type="spellStart"/>
      <w:r w:rsidRPr="00543BFE">
        <w:rPr>
          <w:sz w:val="24"/>
          <w:szCs w:val="24"/>
        </w:rPr>
        <w:t>renale</w:t>
      </w:r>
      <w:proofErr w:type="spellEnd"/>
      <w:r w:rsidRPr="00543BFE">
        <w:rPr>
          <w:sz w:val="24"/>
          <w:szCs w:val="24"/>
        </w:rPr>
        <w:t xml:space="preserve"> bivirkninger, såsom </w:t>
      </w:r>
      <w:proofErr w:type="spellStart"/>
      <w:r w:rsidRPr="00543BFE">
        <w:rPr>
          <w:sz w:val="24"/>
          <w:szCs w:val="24"/>
        </w:rPr>
        <w:t>hepatorenalt</w:t>
      </w:r>
      <w:proofErr w:type="spellEnd"/>
      <w:r w:rsidRPr="00543BFE">
        <w:rPr>
          <w:sz w:val="24"/>
          <w:szCs w:val="24"/>
        </w:rPr>
        <w:t xml:space="preserve"> syndrom. Derfor bør kliniske parametre og laboratorieparametre monitoreres nøje hos denne patientpopulation (se også pkt. 4.8 og 5.1).</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proofErr w:type="spellStart"/>
      <w:r w:rsidRPr="00543BFE">
        <w:rPr>
          <w:i/>
          <w:sz w:val="24"/>
          <w:szCs w:val="24"/>
        </w:rPr>
        <w:t>Laktacidose</w:t>
      </w:r>
      <w:proofErr w:type="spellEnd"/>
      <w:r w:rsidRPr="00543BFE">
        <w:rPr>
          <w:i/>
          <w:sz w:val="24"/>
          <w:szCs w:val="24"/>
        </w:rPr>
        <w:t xml:space="preserve"> og svær </w:t>
      </w:r>
      <w:proofErr w:type="spellStart"/>
      <w:r w:rsidRPr="00543BFE">
        <w:rPr>
          <w:i/>
          <w:sz w:val="24"/>
          <w:szCs w:val="24"/>
        </w:rPr>
        <w:t>hepatomegali</w:t>
      </w:r>
      <w:proofErr w:type="spellEnd"/>
      <w:r w:rsidRPr="00543BFE">
        <w:rPr>
          <w:i/>
          <w:sz w:val="24"/>
          <w:szCs w:val="24"/>
        </w:rPr>
        <w:t xml:space="preserve"> med </w:t>
      </w:r>
      <w:proofErr w:type="spellStart"/>
      <w:r w:rsidRPr="00543BFE">
        <w:rPr>
          <w:i/>
          <w:sz w:val="24"/>
          <w:szCs w:val="24"/>
        </w:rPr>
        <w:t>steatose</w:t>
      </w:r>
      <w:proofErr w:type="spellEnd"/>
      <w:r w:rsidRPr="00543BFE">
        <w:rPr>
          <w:sz w:val="24"/>
          <w:szCs w:val="24"/>
        </w:rPr>
        <w:t xml:space="preserve">: Ved brug af </w:t>
      </w:r>
      <w:proofErr w:type="spellStart"/>
      <w:r w:rsidRPr="00543BFE">
        <w:rPr>
          <w:sz w:val="24"/>
          <w:szCs w:val="24"/>
        </w:rPr>
        <w:t>nukleosidanaloger</w:t>
      </w:r>
      <w:proofErr w:type="spellEnd"/>
      <w:r w:rsidRPr="00543BFE">
        <w:rPr>
          <w:sz w:val="24"/>
          <w:szCs w:val="24"/>
        </w:rPr>
        <w:t xml:space="preserve"> er der indberettet tilfælde af </w:t>
      </w:r>
      <w:proofErr w:type="spellStart"/>
      <w:r w:rsidRPr="00543BFE">
        <w:rPr>
          <w:sz w:val="24"/>
          <w:szCs w:val="24"/>
        </w:rPr>
        <w:t>lactacidose</w:t>
      </w:r>
      <w:proofErr w:type="spellEnd"/>
      <w:r w:rsidRPr="00543BFE">
        <w:rPr>
          <w:sz w:val="24"/>
          <w:szCs w:val="24"/>
        </w:rPr>
        <w:t xml:space="preserve"> (uden </w:t>
      </w:r>
      <w:proofErr w:type="spellStart"/>
      <w:r w:rsidRPr="00543BFE">
        <w:rPr>
          <w:sz w:val="24"/>
          <w:szCs w:val="24"/>
        </w:rPr>
        <w:t>hypoksæmi</w:t>
      </w:r>
      <w:proofErr w:type="spellEnd"/>
      <w:r w:rsidRPr="00543BFE">
        <w:rPr>
          <w:sz w:val="24"/>
          <w:szCs w:val="24"/>
        </w:rPr>
        <w:t xml:space="preserve">), i nogle tilfælde letale, sædvanligvis forbundet med svær </w:t>
      </w:r>
      <w:proofErr w:type="spellStart"/>
      <w:r w:rsidRPr="00543BFE">
        <w:rPr>
          <w:sz w:val="24"/>
          <w:szCs w:val="24"/>
        </w:rPr>
        <w:t>hepatomegali</w:t>
      </w:r>
      <w:proofErr w:type="spellEnd"/>
      <w:r w:rsidRPr="00543BFE">
        <w:rPr>
          <w:sz w:val="24"/>
          <w:szCs w:val="24"/>
        </w:rPr>
        <w:t xml:space="preserve"> og </w:t>
      </w:r>
      <w:proofErr w:type="spellStart"/>
      <w:r w:rsidRPr="00543BFE">
        <w:rPr>
          <w:sz w:val="24"/>
          <w:szCs w:val="24"/>
        </w:rPr>
        <w:t>leversteatose</w:t>
      </w:r>
      <w:proofErr w:type="spellEnd"/>
      <w:r w:rsidRPr="00543BFE">
        <w:rPr>
          <w:sz w:val="24"/>
          <w:szCs w:val="24"/>
        </w:rPr>
        <w:t xml:space="preserve">. Da </w:t>
      </w:r>
      <w:proofErr w:type="spellStart"/>
      <w:r w:rsidRPr="00543BFE">
        <w:rPr>
          <w:sz w:val="24"/>
          <w:szCs w:val="24"/>
        </w:rPr>
        <w:t>entecavir</w:t>
      </w:r>
      <w:proofErr w:type="spellEnd"/>
      <w:r w:rsidRPr="00543BFE">
        <w:rPr>
          <w:sz w:val="24"/>
          <w:szCs w:val="24"/>
        </w:rPr>
        <w:t xml:space="preserve"> er et </w:t>
      </w:r>
      <w:proofErr w:type="spellStart"/>
      <w:r w:rsidRPr="00543BFE">
        <w:rPr>
          <w:sz w:val="24"/>
          <w:szCs w:val="24"/>
        </w:rPr>
        <w:t>nukleosidanalog</w:t>
      </w:r>
      <w:proofErr w:type="spellEnd"/>
      <w:r w:rsidRPr="00543BFE">
        <w:rPr>
          <w:sz w:val="24"/>
          <w:szCs w:val="24"/>
        </w:rPr>
        <w:t xml:space="preserve">, kan denne risiko ikke udelukkes. Behandling med </w:t>
      </w:r>
      <w:proofErr w:type="spellStart"/>
      <w:r w:rsidRPr="00543BFE">
        <w:rPr>
          <w:sz w:val="24"/>
          <w:szCs w:val="24"/>
        </w:rPr>
        <w:t>nukleosidanaloger</w:t>
      </w:r>
      <w:proofErr w:type="spellEnd"/>
      <w:r w:rsidRPr="00543BFE">
        <w:rPr>
          <w:sz w:val="24"/>
          <w:szCs w:val="24"/>
        </w:rPr>
        <w:t xml:space="preserve"> skal seponeres i tilfælde af hurtigt stigende </w:t>
      </w:r>
      <w:proofErr w:type="spellStart"/>
      <w:r w:rsidRPr="00543BFE">
        <w:rPr>
          <w:sz w:val="24"/>
          <w:szCs w:val="24"/>
        </w:rPr>
        <w:t>aminotransferaseniveauer</w:t>
      </w:r>
      <w:proofErr w:type="spellEnd"/>
      <w:r w:rsidRPr="00543BFE">
        <w:rPr>
          <w:sz w:val="24"/>
          <w:szCs w:val="24"/>
        </w:rPr>
        <w:t xml:space="preserve">, progressiv </w:t>
      </w:r>
      <w:proofErr w:type="spellStart"/>
      <w:r w:rsidRPr="00543BFE">
        <w:rPr>
          <w:sz w:val="24"/>
          <w:szCs w:val="24"/>
        </w:rPr>
        <w:t>hepatomegali</w:t>
      </w:r>
      <w:proofErr w:type="spellEnd"/>
      <w:r w:rsidRPr="00543BFE">
        <w:rPr>
          <w:sz w:val="24"/>
          <w:szCs w:val="24"/>
        </w:rPr>
        <w:t xml:space="preserve"> eller metabolisk </w:t>
      </w:r>
      <w:proofErr w:type="spellStart"/>
      <w:r w:rsidRPr="00543BFE">
        <w:rPr>
          <w:sz w:val="24"/>
          <w:szCs w:val="24"/>
        </w:rPr>
        <w:t>acidose</w:t>
      </w:r>
      <w:proofErr w:type="spellEnd"/>
      <w:r w:rsidRPr="00543BFE">
        <w:rPr>
          <w:sz w:val="24"/>
          <w:szCs w:val="24"/>
        </w:rPr>
        <w:t>/</w:t>
      </w:r>
      <w:proofErr w:type="spellStart"/>
      <w:r w:rsidRPr="00543BFE">
        <w:rPr>
          <w:sz w:val="24"/>
          <w:szCs w:val="24"/>
        </w:rPr>
        <w:t>lactacidose</w:t>
      </w:r>
      <w:proofErr w:type="spellEnd"/>
      <w:r w:rsidRPr="00543BFE">
        <w:rPr>
          <w:sz w:val="24"/>
          <w:szCs w:val="24"/>
        </w:rPr>
        <w:t xml:space="preserve"> af ukendt ætiologi. Benigne fordøjelsessymptomer som f.eks. kvalme, opkastning og mavesmerter kan være tegn på udvikling af </w:t>
      </w:r>
      <w:proofErr w:type="spellStart"/>
      <w:r w:rsidRPr="00543BFE">
        <w:rPr>
          <w:sz w:val="24"/>
          <w:szCs w:val="24"/>
        </w:rPr>
        <w:t>lactacidose</w:t>
      </w:r>
      <w:proofErr w:type="spellEnd"/>
      <w:r w:rsidRPr="00543BFE">
        <w:rPr>
          <w:sz w:val="24"/>
          <w:szCs w:val="24"/>
        </w:rPr>
        <w:t xml:space="preserve">. Alvorlige tilfælde, i visse tilfælde med dødelig udgang, har været forbundet med </w:t>
      </w:r>
      <w:proofErr w:type="spellStart"/>
      <w:r w:rsidRPr="00543BFE">
        <w:rPr>
          <w:sz w:val="24"/>
          <w:szCs w:val="24"/>
        </w:rPr>
        <w:t>pankreatitis</w:t>
      </w:r>
      <w:proofErr w:type="spellEnd"/>
      <w:r w:rsidRPr="00543BFE">
        <w:rPr>
          <w:sz w:val="24"/>
          <w:szCs w:val="24"/>
        </w:rPr>
        <w:t>, leversvigt/</w:t>
      </w:r>
      <w:proofErr w:type="spellStart"/>
      <w:r w:rsidRPr="00543BFE">
        <w:rPr>
          <w:sz w:val="24"/>
          <w:szCs w:val="24"/>
        </w:rPr>
        <w:t>leversteatosis</w:t>
      </w:r>
      <w:proofErr w:type="spellEnd"/>
      <w:r w:rsidRPr="00543BFE">
        <w:rPr>
          <w:sz w:val="24"/>
          <w:szCs w:val="24"/>
        </w:rPr>
        <w:t>, nyresvigt og forhøjede niveauer af serum-</w:t>
      </w:r>
      <w:proofErr w:type="spellStart"/>
      <w:r w:rsidRPr="00543BFE">
        <w:rPr>
          <w:sz w:val="24"/>
          <w:szCs w:val="24"/>
        </w:rPr>
        <w:t>lactat</w:t>
      </w:r>
      <w:proofErr w:type="spellEnd"/>
      <w:r w:rsidRPr="00543BFE">
        <w:rPr>
          <w:sz w:val="24"/>
          <w:szCs w:val="24"/>
        </w:rPr>
        <w:t xml:space="preserve">. Der bør udvises forsigtighed, når </w:t>
      </w:r>
      <w:proofErr w:type="spellStart"/>
      <w:r w:rsidRPr="00543BFE">
        <w:rPr>
          <w:sz w:val="24"/>
          <w:szCs w:val="24"/>
        </w:rPr>
        <w:t>nukleosidanaloger</w:t>
      </w:r>
      <w:proofErr w:type="spellEnd"/>
      <w:r w:rsidRPr="00543BFE">
        <w:rPr>
          <w:sz w:val="24"/>
          <w:szCs w:val="24"/>
        </w:rPr>
        <w:t xml:space="preserve"> ordineres til patienter (særligt overvægtige kvinder) med </w:t>
      </w:r>
      <w:proofErr w:type="spellStart"/>
      <w:r w:rsidRPr="00543BFE">
        <w:rPr>
          <w:sz w:val="24"/>
          <w:szCs w:val="24"/>
        </w:rPr>
        <w:t>hepatomegali</w:t>
      </w:r>
      <w:proofErr w:type="spellEnd"/>
      <w:r w:rsidRPr="00543BFE">
        <w:rPr>
          <w:sz w:val="24"/>
          <w:szCs w:val="24"/>
        </w:rPr>
        <w:t>, hepatitis eller andre kendte risikofaktorer for leversygdom. Disse patienter skal monitoreres tæt.</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For at differentiere mellem stigninger i </w:t>
      </w:r>
      <w:proofErr w:type="spellStart"/>
      <w:r w:rsidRPr="00543BFE">
        <w:rPr>
          <w:sz w:val="24"/>
          <w:szCs w:val="24"/>
        </w:rPr>
        <w:t>aminotransferaser</w:t>
      </w:r>
      <w:proofErr w:type="spellEnd"/>
      <w:r w:rsidRPr="00543BFE">
        <w:rPr>
          <w:sz w:val="24"/>
          <w:szCs w:val="24"/>
        </w:rPr>
        <w:t xml:space="preserve"> på grund af respons på behandling og stigninger, der kan være forbundet med </w:t>
      </w:r>
      <w:proofErr w:type="spellStart"/>
      <w:r w:rsidRPr="00543BFE">
        <w:rPr>
          <w:sz w:val="24"/>
          <w:szCs w:val="24"/>
        </w:rPr>
        <w:t>lactacidose</w:t>
      </w:r>
      <w:proofErr w:type="spellEnd"/>
      <w:r w:rsidRPr="00543BFE">
        <w:rPr>
          <w:sz w:val="24"/>
          <w:szCs w:val="24"/>
        </w:rPr>
        <w:t>, bør lægen sikre sig, at stigningerne i ALAT er forbundet med forbedringer i andre laboratoriemarkører for kronisk hepatitis B.</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i/>
          <w:sz w:val="24"/>
          <w:szCs w:val="24"/>
        </w:rPr>
        <w:t xml:space="preserve">Resistens og specifikke forsigtighedsregler for </w:t>
      </w:r>
      <w:proofErr w:type="spellStart"/>
      <w:r w:rsidRPr="00543BFE">
        <w:rPr>
          <w:i/>
          <w:sz w:val="24"/>
          <w:szCs w:val="24"/>
        </w:rPr>
        <w:t>lamivudinrefraktære</w:t>
      </w:r>
      <w:proofErr w:type="spellEnd"/>
      <w:r w:rsidRPr="00543BFE">
        <w:rPr>
          <w:i/>
          <w:sz w:val="24"/>
          <w:szCs w:val="24"/>
        </w:rPr>
        <w:t xml:space="preserve"> patienter:</w:t>
      </w:r>
      <w:r w:rsidRPr="00543BFE">
        <w:rPr>
          <w:sz w:val="24"/>
          <w:szCs w:val="24"/>
        </w:rPr>
        <w:t xml:space="preserve"> Mutationer i den HBV-polymerase, der koder for </w:t>
      </w:r>
      <w:proofErr w:type="spellStart"/>
      <w:r w:rsidRPr="00543BFE">
        <w:rPr>
          <w:sz w:val="24"/>
          <w:szCs w:val="24"/>
        </w:rPr>
        <w:t>lamivudin</w:t>
      </w:r>
      <w:proofErr w:type="spellEnd"/>
      <w:r w:rsidRPr="00543BFE">
        <w:rPr>
          <w:sz w:val="24"/>
          <w:szCs w:val="24"/>
        </w:rPr>
        <w:t xml:space="preserve">-resistenssubstitutioner, kan forårsage sekundære substitutioner, inklusive </w:t>
      </w:r>
      <w:proofErr w:type="spellStart"/>
      <w:r w:rsidRPr="00543BFE">
        <w:rPr>
          <w:sz w:val="24"/>
          <w:szCs w:val="24"/>
        </w:rPr>
        <w:t>entecavir</w:t>
      </w:r>
      <w:proofErr w:type="spellEnd"/>
      <w:r w:rsidRPr="00543BFE">
        <w:rPr>
          <w:sz w:val="24"/>
          <w:szCs w:val="24"/>
        </w:rPr>
        <w:t>-associerede resistenssubstitutioner (</w:t>
      </w:r>
      <w:proofErr w:type="spellStart"/>
      <w:r w:rsidRPr="00543BFE">
        <w:rPr>
          <w:sz w:val="24"/>
          <w:szCs w:val="24"/>
        </w:rPr>
        <w:t>ETVr</w:t>
      </w:r>
      <w:proofErr w:type="spellEnd"/>
      <w:r w:rsidRPr="00543BFE">
        <w:rPr>
          <w:sz w:val="24"/>
          <w:szCs w:val="24"/>
        </w:rPr>
        <w:t xml:space="preserve">). Der er observeret </w:t>
      </w:r>
      <w:proofErr w:type="spellStart"/>
      <w:r w:rsidRPr="00543BFE">
        <w:rPr>
          <w:sz w:val="24"/>
          <w:szCs w:val="24"/>
        </w:rPr>
        <w:t>ETVr</w:t>
      </w:r>
      <w:proofErr w:type="spellEnd"/>
      <w:r w:rsidRPr="00543BFE">
        <w:rPr>
          <w:sz w:val="24"/>
          <w:szCs w:val="24"/>
        </w:rPr>
        <w:t xml:space="preserve">-substitutioner hos en lille procentdel af de </w:t>
      </w:r>
      <w:proofErr w:type="spellStart"/>
      <w:r w:rsidRPr="00543BFE">
        <w:rPr>
          <w:sz w:val="24"/>
          <w:szCs w:val="24"/>
        </w:rPr>
        <w:t>lamivudinrefraktære</w:t>
      </w:r>
      <w:proofErr w:type="spellEnd"/>
      <w:r w:rsidRPr="00543BFE">
        <w:rPr>
          <w:sz w:val="24"/>
          <w:szCs w:val="24"/>
        </w:rPr>
        <w:t xml:space="preserve"> patienter ved </w:t>
      </w:r>
      <w:proofErr w:type="spellStart"/>
      <w:r w:rsidRPr="00543BFE">
        <w:rPr>
          <w:sz w:val="24"/>
          <w:szCs w:val="24"/>
        </w:rPr>
        <w:t>residue</w:t>
      </w:r>
      <w:proofErr w:type="spellEnd"/>
      <w:r w:rsidRPr="00543BFE">
        <w:rPr>
          <w:sz w:val="24"/>
          <w:szCs w:val="24"/>
        </w:rPr>
        <w:t xml:space="preserve"> rtT184, rtS202 eller rtM250 ved baseline. Patienter med </w:t>
      </w:r>
      <w:proofErr w:type="spellStart"/>
      <w:r w:rsidRPr="00543BFE">
        <w:rPr>
          <w:sz w:val="24"/>
          <w:szCs w:val="24"/>
        </w:rPr>
        <w:t>lamivudin</w:t>
      </w:r>
      <w:proofErr w:type="spellEnd"/>
      <w:r w:rsidRPr="00543BFE">
        <w:rPr>
          <w:sz w:val="24"/>
          <w:szCs w:val="24"/>
        </w:rPr>
        <w:t xml:space="preserve">-resistent HBV har højere risiko for efterfølgende at udvikle </w:t>
      </w:r>
      <w:proofErr w:type="spellStart"/>
      <w:r w:rsidRPr="00543BFE">
        <w:rPr>
          <w:sz w:val="24"/>
          <w:szCs w:val="24"/>
        </w:rPr>
        <w:t>entecavir</w:t>
      </w:r>
      <w:proofErr w:type="spellEnd"/>
      <w:r w:rsidRPr="00543BFE">
        <w:rPr>
          <w:sz w:val="24"/>
          <w:szCs w:val="24"/>
        </w:rPr>
        <w:t xml:space="preserve">-resistens end patienter, der ikke er </w:t>
      </w:r>
      <w:proofErr w:type="spellStart"/>
      <w:r w:rsidRPr="00543BFE">
        <w:rPr>
          <w:sz w:val="24"/>
          <w:szCs w:val="24"/>
        </w:rPr>
        <w:t>lamivudinrefraktære</w:t>
      </w:r>
      <w:proofErr w:type="spellEnd"/>
      <w:r w:rsidRPr="00543BFE">
        <w:rPr>
          <w:sz w:val="24"/>
          <w:szCs w:val="24"/>
        </w:rPr>
        <w:t xml:space="preserve">. I studier med </w:t>
      </w:r>
      <w:proofErr w:type="spellStart"/>
      <w:r w:rsidRPr="00543BFE">
        <w:rPr>
          <w:sz w:val="24"/>
          <w:szCs w:val="24"/>
        </w:rPr>
        <w:t>lamivudinrefraktære</w:t>
      </w:r>
      <w:proofErr w:type="spellEnd"/>
      <w:r w:rsidRPr="00543BFE">
        <w:rPr>
          <w:sz w:val="24"/>
          <w:szCs w:val="24"/>
        </w:rPr>
        <w:t xml:space="preserve"> patienter var den kumulative sandsynlighed for udvikling af genotypisk </w:t>
      </w:r>
      <w:proofErr w:type="spellStart"/>
      <w:r w:rsidRPr="00543BFE">
        <w:rPr>
          <w:sz w:val="24"/>
          <w:szCs w:val="24"/>
        </w:rPr>
        <w:t>entecavir</w:t>
      </w:r>
      <w:proofErr w:type="spellEnd"/>
      <w:r w:rsidRPr="00543BFE">
        <w:rPr>
          <w:sz w:val="24"/>
          <w:szCs w:val="24"/>
        </w:rPr>
        <w:t xml:space="preserve">-resistens efter 1, 2, 3, 4 og 5 års behandling henholdsvis 6 %, 15 %, 36 %, 47 % og 51 %. Virologisk respons skal monitoreres hyppigt i den </w:t>
      </w:r>
      <w:proofErr w:type="spellStart"/>
      <w:r w:rsidRPr="00543BFE">
        <w:rPr>
          <w:sz w:val="24"/>
          <w:szCs w:val="24"/>
        </w:rPr>
        <w:t>lamivudinrefraktære</w:t>
      </w:r>
      <w:proofErr w:type="spellEnd"/>
      <w:r w:rsidRPr="00543BFE">
        <w:rPr>
          <w:sz w:val="24"/>
          <w:szCs w:val="24"/>
        </w:rPr>
        <w:t xml:space="preserve"> population, og der skal udføres </w:t>
      </w:r>
      <w:r w:rsidRPr="00543BFE">
        <w:rPr>
          <w:sz w:val="24"/>
          <w:szCs w:val="24"/>
        </w:rPr>
        <w:lastRenderedPageBreak/>
        <w:t xml:space="preserve">relevant resistenstest. Hos patienter med suboptimal virologisk respons efter 24 ugers behandling med </w:t>
      </w:r>
      <w:proofErr w:type="spellStart"/>
      <w:r w:rsidRPr="00543BFE">
        <w:rPr>
          <w:sz w:val="24"/>
          <w:szCs w:val="24"/>
        </w:rPr>
        <w:t>entecavir</w:t>
      </w:r>
      <w:proofErr w:type="spellEnd"/>
      <w:r w:rsidRPr="00543BFE">
        <w:rPr>
          <w:sz w:val="24"/>
          <w:szCs w:val="24"/>
        </w:rPr>
        <w:t xml:space="preserve"> bør justering af behandlingen overvejes (se pkt. 4.5 og 5.1). Ved opstart af behandling hos patienter med dokumenteret </w:t>
      </w:r>
      <w:proofErr w:type="spellStart"/>
      <w:r w:rsidRPr="00543BFE">
        <w:rPr>
          <w:sz w:val="24"/>
          <w:szCs w:val="24"/>
        </w:rPr>
        <w:t>lamivudin</w:t>
      </w:r>
      <w:proofErr w:type="spellEnd"/>
      <w:r w:rsidRPr="00543BFE">
        <w:rPr>
          <w:sz w:val="24"/>
          <w:szCs w:val="24"/>
        </w:rPr>
        <w:t xml:space="preserve">-resistent HBV i anamnesen bør kombinationsbehandling med </w:t>
      </w:r>
      <w:proofErr w:type="spellStart"/>
      <w:r w:rsidRPr="00543BFE">
        <w:rPr>
          <w:sz w:val="24"/>
          <w:szCs w:val="24"/>
        </w:rPr>
        <w:t>entecavir</w:t>
      </w:r>
      <w:proofErr w:type="spellEnd"/>
      <w:r w:rsidRPr="00543BFE">
        <w:rPr>
          <w:sz w:val="24"/>
          <w:szCs w:val="24"/>
        </w:rPr>
        <w:t xml:space="preserve"> og et andet antiviralt stof (som ikke har krydsresistens over for hverken </w:t>
      </w:r>
      <w:proofErr w:type="spellStart"/>
      <w:r w:rsidRPr="00543BFE">
        <w:rPr>
          <w:sz w:val="24"/>
          <w:szCs w:val="24"/>
        </w:rPr>
        <w:t>lamivudin</w:t>
      </w:r>
      <w:proofErr w:type="spellEnd"/>
      <w:r w:rsidRPr="00543BFE">
        <w:rPr>
          <w:sz w:val="24"/>
          <w:szCs w:val="24"/>
        </w:rPr>
        <w:t xml:space="preserve"> eller </w:t>
      </w:r>
      <w:proofErr w:type="spellStart"/>
      <w:r w:rsidRPr="00543BFE">
        <w:rPr>
          <w:sz w:val="24"/>
          <w:szCs w:val="24"/>
        </w:rPr>
        <w:t>entecavir</w:t>
      </w:r>
      <w:proofErr w:type="spellEnd"/>
      <w:r w:rsidRPr="00543BFE">
        <w:rPr>
          <w:sz w:val="24"/>
          <w:szCs w:val="24"/>
        </w:rPr>
        <w:t xml:space="preserve">) overvejes frem for monoterapi med </w:t>
      </w:r>
      <w:proofErr w:type="spellStart"/>
      <w:r w:rsidRPr="00543BFE">
        <w:rPr>
          <w:sz w:val="24"/>
          <w:szCs w:val="24"/>
        </w:rPr>
        <w:t>entecavir</w:t>
      </w:r>
      <w:proofErr w:type="spellEnd"/>
      <w:r w:rsidRPr="00543BFE">
        <w:rPr>
          <w:sz w:val="24"/>
          <w:szCs w:val="24"/>
        </w:rPr>
        <w:t>.</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Præ-eksisterende </w:t>
      </w:r>
      <w:proofErr w:type="spellStart"/>
      <w:r w:rsidRPr="00543BFE">
        <w:rPr>
          <w:sz w:val="24"/>
          <w:szCs w:val="24"/>
        </w:rPr>
        <w:t>lamivudin</w:t>
      </w:r>
      <w:proofErr w:type="spellEnd"/>
      <w:r w:rsidRPr="00543BFE">
        <w:rPr>
          <w:sz w:val="24"/>
          <w:szCs w:val="24"/>
        </w:rPr>
        <w:t xml:space="preserve">-resistent HBV er associeret med en øget risiko for efterfølgende </w:t>
      </w:r>
      <w:proofErr w:type="spellStart"/>
      <w:r w:rsidRPr="00543BFE">
        <w:rPr>
          <w:sz w:val="24"/>
          <w:szCs w:val="24"/>
        </w:rPr>
        <w:t>entecavir</w:t>
      </w:r>
      <w:proofErr w:type="spellEnd"/>
      <w:r w:rsidRPr="00543BFE">
        <w:rPr>
          <w:sz w:val="24"/>
          <w:szCs w:val="24"/>
        </w:rPr>
        <w:t xml:space="preserve">-resistens uanset graden af leversygdom; hos patienter med </w:t>
      </w:r>
      <w:proofErr w:type="spellStart"/>
      <w:r w:rsidRPr="00543BFE">
        <w:rPr>
          <w:sz w:val="24"/>
          <w:szCs w:val="24"/>
        </w:rPr>
        <w:t>dekompenseret</w:t>
      </w:r>
      <w:proofErr w:type="spellEnd"/>
      <w:r w:rsidRPr="00543BFE">
        <w:rPr>
          <w:sz w:val="24"/>
          <w:szCs w:val="24"/>
        </w:rPr>
        <w:t xml:space="preserve"> leversygdom kan virologisk svigt være associeret med alvorlige kliniske komplikationer af den underliggende leversygdom. Hos patienter med både </w:t>
      </w:r>
      <w:proofErr w:type="spellStart"/>
      <w:r w:rsidRPr="00543BFE">
        <w:rPr>
          <w:sz w:val="24"/>
          <w:szCs w:val="24"/>
        </w:rPr>
        <w:t>dekompenseret</w:t>
      </w:r>
      <w:proofErr w:type="spellEnd"/>
      <w:r w:rsidRPr="00543BFE">
        <w:rPr>
          <w:sz w:val="24"/>
          <w:szCs w:val="24"/>
        </w:rPr>
        <w:t xml:space="preserve"> leversygdom og </w:t>
      </w:r>
      <w:proofErr w:type="spellStart"/>
      <w:r w:rsidRPr="00543BFE">
        <w:rPr>
          <w:sz w:val="24"/>
          <w:szCs w:val="24"/>
        </w:rPr>
        <w:t>lamivudin</w:t>
      </w:r>
      <w:proofErr w:type="spellEnd"/>
      <w:r w:rsidRPr="00543BFE">
        <w:rPr>
          <w:sz w:val="24"/>
          <w:szCs w:val="24"/>
        </w:rPr>
        <w:t xml:space="preserve">-resistent HBV bør kombinationsbehandling med </w:t>
      </w:r>
      <w:proofErr w:type="spellStart"/>
      <w:r w:rsidRPr="00543BFE">
        <w:rPr>
          <w:sz w:val="24"/>
          <w:szCs w:val="24"/>
        </w:rPr>
        <w:t>entecavir</w:t>
      </w:r>
      <w:proofErr w:type="spellEnd"/>
      <w:r w:rsidRPr="00543BFE">
        <w:rPr>
          <w:sz w:val="24"/>
          <w:szCs w:val="24"/>
        </w:rPr>
        <w:t xml:space="preserve"> og et andet antiviralt stof (som ikke har krydsresistens over for enten </w:t>
      </w:r>
      <w:proofErr w:type="spellStart"/>
      <w:r w:rsidRPr="00543BFE">
        <w:rPr>
          <w:sz w:val="24"/>
          <w:szCs w:val="24"/>
        </w:rPr>
        <w:t>lamivudin</w:t>
      </w:r>
      <w:proofErr w:type="spellEnd"/>
      <w:r w:rsidRPr="00543BFE">
        <w:rPr>
          <w:sz w:val="24"/>
          <w:szCs w:val="24"/>
        </w:rPr>
        <w:t xml:space="preserve"> eller </w:t>
      </w:r>
      <w:proofErr w:type="spellStart"/>
      <w:r w:rsidRPr="00543BFE">
        <w:rPr>
          <w:sz w:val="24"/>
          <w:szCs w:val="24"/>
        </w:rPr>
        <w:t>entecavir</w:t>
      </w:r>
      <w:proofErr w:type="spellEnd"/>
      <w:r w:rsidRPr="00543BFE">
        <w:rPr>
          <w:sz w:val="24"/>
          <w:szCs w:val="24"/>
        </w:rPr>
        <w:t xml:space="preserve">) overvejes frem for monoterapi med </w:t>
      </w:r>
      <w:proofErr w:type="spellStart"/>
      <w:r w:rsidRPr="00543BFE">
        <w:rPr>
          <w:sz w:val="24"/>
          <w:szCs w:val="24"/>
        </w:rPr>
        <w:t>entecavir</w:t>
      </w:r>
      <w:proofErr w:type="spellEnd"/>
      <w:r w:rsidRPr="00543BFE">
        <w:rPr>
          <w:sz w:val="24"/>
          <w:szCs w:val="24"/>
        </w:rPr>
        <w:t>.</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i/>
          <w:sz w:val="24"/>
          <w:szCs w:val="24"/>
        </w:rPr>
        <w:t>Pædiatrisk population</w:t>
      </w:r>
      <w:r w:rsidRPr="00543BFE">
        <w:rPr>
          <w:sz w:val="24"/>
          <w:szCs w:val="24"/>
        </w:rPr>
        <w:t>: Der blev observeret en lavere virologisk responsrate (HBV-dna &lt; 50 IE/ml) hos pædiatriske patienter med HBV-dna ≥ 8.0 log</w:t>
      </w:r>
      <w:r w:rsidRPr="00543BFE">
        <w:rPr>
          <w:sz w:val="24"/>
          <w:szCs w:val="24"/>
          <w:vertAlign w:val="subscript"/>
        </w:rPr>
        <w:t>10</w:t>
      </w:r>
      <w:r w:rsidRPr="00543BFE">
        <w:rPr>
          <w:sz w:val="24"/>
          <w:szCs w:val="24"/>
        </w:rPr>
        <w:t xml:space="preserve"> IE/ml ved baseline (se pkt. 5.1). </w:t>
      </w:r>
      <w:proofErr w:type="spellStart"/>
      <w:r w:rsidRPr="00543BFE">
        <w:rPr>
          <w:sz w:val="24"/>
          <w:szCs w:val="24"/>
        </w:rPr>
        <w:t>Entecavir</w:t>
      </w:r>
      <w:proofErr w:type="spellEnd"/>
      <w:r w:rsidRPr="00543BFE">
        <w:rPr>
          <w:sz w:val="24"/>
          <w:szCs w:val="24"/>
        </w:rPr>
        <w:t xml:space="preserve"> bør kun anvendes hos disse patienter, hvis den potentielle fordel retfærdiggør den potentielle risiko for barnet (f.eks. resistens). Eftersom nogle pædiatriske patienter kan have behov for længevarende eller endog livsvarig behandling af kronisk aktiv hepatitis-B, bør </w:t>
      </w:r>
      <w:proofErr w:type="spellStart"/>
      <w:r w:rsidRPr="00543BFE">
        <w:rPr>
          <w:sz w:val="24"/>
          <w:szCs w:val="24"/>
        </w:rPr>
        <w:t>entecavirs</w:t>
      </w:r>
      <w:proofErr w:type="spellEnd"/>
      <w:r w:rsidRPr="00543BFE">
        <w:rPr>
          <w:sz w:val="24"/>
          <w:szCs w:val="24"/>
        </w:rPr>
        <w:t xml:space="preserve"> påvirkning af fremtidige behandlingsmuligheder tages i betragtning.</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i/>
          <w:sz w:val="24"/>
          <w:szCs w:val="24"/>
        </w:rPr>
        <w:t>Levertransplanterede patienter</w:t>
      </w:r>
      <w:r w:rsidRPr="00543BFE">
        <w:rPr>
          <w:sz w:val="24"/>
          <w:szCs w:val="24"/>
        </w:rPr>
        <w:t xml:space="preserve">: Nyrefunktionen skal undersøges omhyggelig inden og under behandling med </w:t>
      </w:r>
      <w:proofErr w:type="spellStart"/>
      <w:r w:rsidRPr="00543BFE">
        <w:rPr>
          <w:sz w:val="24"/>
          <w:szCs w:val="24"/>
        </w:rPr>
        <w:t>entecavir</w:t>
      </w:r>
      <w:proofErr w:type="spellEnd"/>
      <w:r w:rsidRPr="00543BFE">
        <w:rPr>
          <w:sz w:val="24"/>
          <w:szCs w:val="24"/>
        </w:rPr>
        <w:t xml:space="preserve"> til levertransplanterede patienter, der får </w:t>
      </w:r>
      <w:proofErr w:type="spellStart"/>
      <w:r w:rsidRPr="00543BFE">
        <w:rPr>
          <w:sz w:val="24"/>
          <w:szCs w:val="24"/>
        </w:rPr>
        <w:t>ciclosporin</w:t>
      </w:r>
      <w:proofErr w:type="spellEnd"/>
      <w:r w:rsidRPr="00543BFE">
        <w:rPr>
          <w:sz w:val="24"/>
          <w:szCs w:val="24"/>
        </w:rPr>
        <w:t xml:space="preserve"> eller </w:t>
      </w:r>
      <w:proofErr w:type="spellStart"/>
      <w:r w:rsidRPr="00543BFE">
        <w:rPr>
          <w:sz w:val="24"/>
          <w:szCs w:val="24"/>
        </w:rPr>
        <w:t>tacrolimus</w:t>
      </w:r>
      <w:proofErr w:type="spellEnd"/>
      <w:r w:rsidRPr="00543BFE">
        <w:rPr>
          <w:sz w:val="24"/>
          <w:szCs w:val="24"/>
        </w:rPr>
        <w:t xml:space="preserve"> (se pkt. 5.2).</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i/>
          <w:sz w:val="24"/>
          <w:szCs w:val="24"/>
        </w:rPr>
        <w:t>Samtidig infektion med hepatitis C eller D</w:t>
      </w:r>
      <w:r w:rsidRPr="00543BFE">
        <w:rPr>
          <w:sz w:val="24"/>
          <w:szCs w:val="24"/>
        </w:rPr>
        <w:t xml:space="preserve">: Der er ingen data vedrørende effekten af </w:t>
      </w:r>
      <w:proofErr w:type="spellStart"/>
      <w:r w:rsidRPr="00543BFE">
        <w:rPr>
          <w:sz w:val="24"/>
          <w:szCs w:val="24"/>
        </w:rPr>
        <w:t>entecavir</w:t>
      </w:r>
      <w:proofErr w:type="spellEnd"/>
      <w:r w:rsidRPr="00543BFE">
        <w:rPr>
          <w:sz w:val="24"/>
          <w:szCs w:val="24"/>
        </w:rPr>
        <w:t xml:space="preserve"> hos patienter, der samtidigt er inficerede med hepatitis C- eller D-virus.</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i/>
          <w:sz w:val="24"/>
          <w:szCs w:val="24"/>
        </w:rPr>
        <w:t>Humant immundefekt virus (hiv)/HBV-</w:t>
      </w:r>
      <w:proofErr w:type="spellStart"/>
      <w:r w:rsidRPr="00543BFE">
        <w:rPr>
          <w:i/>
          <w:sz w:val="24"/>
          <w:szCs w:val="24"/>
        </w:rPr>
        <w:t>co</w:t>
      </w:r>
      <w:proofErr w:type="spellEnd"/>
      <w:r w:rsidRPr="00543BFE">
        <w:rPr>
          <w:i/>
          <w:sz w:val="24"/>
          <w:szCs w:val="24"/>
        </w:rPr>
        <w:t xml:space="preserve">-inficererede patienter, som ikke samtidig får </w:t>
      </w:r>
      <w:proofErr w:type="spellStart"/>
      <w:r w:rsidRPr="00543BFE">
        <w:rPr>
          <w:i/>
          <w:sz w:val="24"/>
          <w:szCs w:val="24"/>
        </w:rPr>
        <w:t>antiretroviral</w:t>
      </w:r>
      <w:proofErr w:type="spellEnd"/>
      <w:r w:rsidRPr="00543BFE">
        <w:rPr>
          <w:i/>
          <w:sz w:val="24"/>
          <w:szCs w:val="24"/>
        </w:rPr>
        <w:t xml:space="preserve"> behandling</w:t>
      </w:r>
      <w:r w:rsidRPr="00543BFE">
        <w:rPr>
          <w:sz w:val="24"/>
          <w:szCs w:val="24"/>
        </w:rPr>
        <w:t xml:space="preserve">: </w:t>
      </w:r>
      <w:proofErr w:type="spellStart"/>
      <w:r w:rsidRPr="00543BFE">
        <w:rPr>
          <w:sz w:val="24"/>
          <w:szCs w:val="24"/>
        </w:rPr>
        <w:t>Entecavir</w:t>
      </w:r>
      <w:proofErr w:type="spellEnd"/>
      <w:r w:rsidRPr="00543BFE">
        <w:rPr>
          <w:sz w:val="24"/>
          <w:szCs w:val="24"/>
        </w:rPr>
        <w:t xml:space="preserve"> er ikke blevet evalueret hos hiv/HBV-</w:t>
      </w:r>
      <w:proofErr w:type="spellStart"/>
      <w:r w:rsidRPr="00543BFE">
        <w:rPr>
          <w:sz w:val="24"/>
          <w:szCs w:val="24"/>
        </w:rPr>
        <w:t>co</w:t>
      </w:r>
      <w:proofErr w:type="spellEnd"/>
      <w:r w:rsidRPr="00543BFE">
        <w:rPr>
          <w:sz w:val="24"/>
          <w:szCs w:val="24"/>
        </w:rPr>
        <w:t xml:space="preserve">-inficerede patienter, som ikke samtidig får effektiv hiv-behandling. Fremkomsten af hiv-resistens er set, når </w:t>
      </w:r>
      <w:proofErr w:type="spellStart"/>
      <w:r w:rsidRPr="00543BFE">
        <w:rPr>
          <w:sz w:val="24"/>
          <w:szCs w:val="24"/>
        </w:rPr>
        <w:t>entecavir</w:t>
      </w:r>
      <w:proofErr w:type="spellEnd"/>
      <w:r w:rsidRPr="00543BFE">
        <w:rPr>
          <w:sz w:val="24"/>
          <w:szCs w:val="24"/>
        </w:rPr>
        <w:t xml:space="preserve"> blev anvendt til behandling af kronisk hepatitis B-infektion hos patienter med hiv-infektion, som ikke fik </w:t>
      </w:r>
      <w:proofErr w:type="spellStart"/>
      <w:r w:rsidRPr="00543BFE">
        <w:rPr>
          <w:sz w:val="24"/>
          <w:szCs w:val="24"/>
        </w:rPr>
        <w:t>antiretroviral</w:t>
      </w:r>
      <w:proofErr w:type="spellEnd"/>
      <w:r w:rsidRPr="00543BFE">
        <w:rPr>
          <w:sz w:val="24"/>
          <w:szCs w:val="24"/>
        </w:rPr>
        <w:t xml:space="preserve"> kombinationsbehandling (</w:t>
      </w:r>
      <w:proofErr w:type="spellStart"/>
      <w:r w:rsidRPr="00543BFE">
        <w:rPr>
          <w:sz w:val="24"/>
          <w:szCs w:val="24"/>
        </w:rPr>
        <w:t>highly</w:t>
      </w:r>
      <w:proofErr w:type="spellEnd"/>
      <w:r w:rsidRPr="00543BFE">
        <w:rPr>
          <w:sz w:val="24"/>
          <w:szCs w:val="24"/>
        </w:rPr>
        <w:t xml:space="preserve"> </w:t>
      </w:r>
      <w:proofErr w:type="spellStart"/>
      <w:r w:rsidRPr="00543BFE">
        <w:rPr>
          <w:sz w:val="24"/>
          <w:szCs w:val="24"/>
        </w:rPr>
        <w:t>active</w:t>
      </w:r>
      <w:proofErr w:type="spellEnd"/>
      <w:r w:rsidRPr="00543BFE">
        <w:rPr>
          <w:sz w:val="24"/>
          <w:szCs w:val="24"/>
        </w:rPr>
        <w:t xml:space="preserve"> </w:t>
      </w:r>
      <w:proofErr w:type="spellStart"/>
      <w:r w:rsidRPr="00543BFE">
        <w:rPr>
          <w:sz w:val="24"/>
          <w:szCs w:val="24"/>
        </w:rPr>
        <w:t>antiretroviral</w:t>
      </w:r>
      <w:proofErr w:type="spellEnd"/>
      <w:r w:rsidRPr="00543BFE">
        <w:rPr>
          <w:sz w:val="24"/>
          <w:szCs w:val="24"/>
        </w:rPr>
        <w:t xml:space="preserve"> </w:t>
      </w:r>
      <w:proofErr w:type="spellStart"/>
      <w:r w:rsidRPr="00543BFE">
        <w:rPr>
          <w:sz w:val="24"/>
          <w:szCs w:val="24"/>
        </w:rPr>
        <w:t>therapy</w:t>
      </w:r>
      <w:proofErr w:type="spellEnd"/>
      <w:r w:rsidRPr="00543BFE">
        <w:rPr>
          <w:sz w:val="24"/>
          <w:szCs w:val="24"/>
        </w:rPr>
        <w:t xml:space="preserve"> - HAART) (se pkt. 5.1). Behandling med </w:t>
      </w:r>
      <w:proofErr w:type="spellStart"/>
      <w:r w:rsidRPr="00543BFE">
        <w:rPr>
          <w:sz w:val="24"/>
          <w:szCs w:val="24"/>
        </w:rPr>
        <w:t>entecavir</w:t>
      </w:r>
      <w:proofErr w:type="spellEnd"/>
      <w:r w:rsidRPr="00543BFE">
        <w:rPr>
          <w:sz w:val="24"/>
          <w:szCs w:val="24"/>
        </w:rPr>
        <w:t xml:space="preserve"> bør derfor ikke anvendes til hiv/HBV-</w:t>
      </w:r>
      <w:proofErr w:type="spellStart"/>
      <w:r w:rsidRPr="00543BFE">
        <w:rPr>
          <w:sz w:val="24"/>
          <w:szCs w:val="24"/>
        </w:rPr>
        <w:t>co</w:t>
      </w:r>
      <w:proofErr w:type="spellEnd"/>
      <w:r w:rsidRPr="00543BFE">
        <w:rPr>
          <w:sz w:val="24"/>
          <w:szCs w:val="24"/>
        </w:rPr>
        <w:t xml:space="preserve">-inficerede patienter, som ikke får HAART. </w:t>
      </w:r>
      <w:proofErr w:type="spellStart"/>
      <w:r w:rsidRPr="00543BFE">
        <w:rPr>
          <w:sz w:val="24"/>
          <w:szCs w:val="24"/>
        </w:rPr>
        <w:t>Entecavir</w:t>
      </w:r>
      <w:proofErr w:type="spellEnd"/>
      <w:r w:rsidRPr="00543BFE">
        <w:rPr>
          <w:sz w:val="24"/>
          <w:szCs w:val="24"/>
        </w:rPr>
        <w:t xml:space="preserve"> er ikke blevet undersøgt til behandling af hiv-infektion og frarådes til dette brug.</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i/>
          <w:sz w:val="24"/>
          <w:szCs w:val="24"/>
        </w:rPr>
        <w:t>Hiv/HBV-</w:t>
      </w:r>
      <w:proofErr w:type="spellStart"/>
      <w:r w:rsidRPr="00543BFE">
        <w:rPr>
          <w:i/>
          <w:sz w:val="24"/>
          <w:szCs w:val="24"/>
        </w:rPr>
        <w:t>co</w:t>
      </w:r>
      <w:proofErr w:type="spellEnd"/>
      <w:r w:rsidRPr="00543BFE">
        <w:rPr>
          <w:i/>
          <w:sz w:val="24"/>
          <w:szCs w:val="24"/>
        </w:rPr>
        <w:t xml:space="preserve">-inficerede patienter, som samtidig får </w:t>
      </w:r>
      <w:proofErr w:type="spellStart"/>
      <w:r w:rsidRPr="00543BFE">
        <w:rPr>
          <w:i/>
          <w:sz w:val="24"/>
          <w:szCs w:val="24"/>
        </w:rPr>
        <w:t>antiretroviral</w:t>
      </w:r>
      <w:proofErr w:type="spellEnd"/>
      <w:r w:rsidRPr="00543BFE">
        <w:rPr>
          <w:i/>
          <w:sz w:val="24"/>
          <w:szCs w:val="24"/>
        </w:rPr>
        <w:t xml:space="preserve"> behandling</w:t>
      </w:r>
      <w:r w:rsidRPr="00543BFE">
        <w:rPr>
          <w:sz w:val="24"/>
          <w:szCs w:val="24"/>
        </w:rPr>
        <w:t xml:space="preserve">: </w:t>
      </w:r>
      <w:proofErr w:type="spellStart"/>
      <w:r w:rsidRPr="00543BFE">
        <w:rPr>
          <w:sz w:val="24"/>
          <w:szCs w:val="24"/>
        </w:rPr>
        <w:t>Entecavir</w:t>
      </w:r>
      <w:proofErr w:type="spellEnd"/>
      <w:r w:rsidRPr="00543BFE">
        <w:rPr>
          <w:sz w:val="24"/>
          <w:szCs w:val="24"/>
        </w:rPr>
        <w:t xml:space="preserve"> er blevet undersøgt hos 68 voksne med hiv/HBV-infektion, der modtog et HAART-regime, der indeholdte </w:t>
      </w:r>
      <w:proofErr w:type="spellStart"/>
      <w:r w:rsidRPr="00543BFE">
        <w:rPr>
          <w:sz w:val="24"/>
          <w:szCs w:val="24"/>
        </w:rPr>
        <w:t>lamivudin</w:t>
      </w:r>
      <w:proofErr w:type="spellEnd"/>
      <w:r w:rsidRPr="00543BFE">
        <w:rPr>
          <w:sz w:val="24"/>
          <w:szCs w:val="24"/>
        </w:rPr>
        <w:t xml:space="preserve"> (se pkt. 5.1). Der foreligger ingen data vedrørende effekten af </w:t>
      </w:r>
      <w:proofErr w:type="spellStart"/>
      <w:r w:rsidRPr="00543BFE">
        <w:rPr>
          <w:sz w:val="24"/>
          <w:szCs w:val="24"/>
        </w:rPr>
        <w:t>entecavir</w:t>
      </w:r>
      <w:proofErr w:type="spellEnd"/>
      <w:r w:rsidRPr="00543BFE">
        <w:rPr>
          <w:sz w:val="24"/>
          <w:szCs w:val="24"/>
        </w:rPr>
        <w:t xml:space="preserve"> hos </w:t>
      </w:r>
      <w:proofErr w:type="spellStart"/>
      <w:r w:rsidRPr="00543BFE">
        <w:rPr>
          <w:sz w:val="24"/>
          <w:szCs w:val="24"/>
        </w:rPr>
        <w:t>HBeAg</w:t>
      </w:r>
      <w:proofErr w:type="spellEnd"/>
      <w:r w:rsidRPr="00543BFE">
        <w:rPr>
          <w:sz w:val="24"/>
          <w:szCs w:val="24"/>
        </w:rPr>
        <w:t>-negative patienter, som samtidig havde hiv-infektion. Der er begrænsede data vedrørende patienter, som også havde hiv-infektion, som havde lave CD4-celletal (&lt; 200 celler/mm</w:t>
      </w:r>
      <w:r w:rsidRPr="00543BFE">
        <w:rPr>
          <w:sz w:val="24"/>
          <w:szCs w:val="24"/>
          <w:vertAlign w:val="superscript"/>
        </w:rPr>
        <w:t>3</w:t>
      </w:r>
      <w:r w:rsidRPr="00543BFE">
        <w:rPr>
          <w:sz w:val="24"/>
          <w:szCs w:val="24"/>
        </w:rPr>
        <w:t>).</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i/>
          <w:sz w:val="24"/>
          <w:szCs w:val="24"/>
        </w:rPr>
        <w:t>Generelt</w:t>
      </w:r>
      <w:r w:rsidRPr="00543BFE">
        <w:rPr>
          <w:sz w:val="24"/>
          <w:szCs w:val="24"/>
        </w:rPr>
        <w:t xml:space="preserve">: Patienterne skal informeres om, at det ikke er påvist, at behandling med </w:t>
      </w:r>
      <w:proofErr w:type="spellStart"/>
      <w:r w:rsidRPr="00543BFE">
        <w:rPr>
          <w:sz w:val="24"/>
          <w:szCs w:val="24"/>
        </w:rPr>
        <w:t>entecavir</w:t>
      </w:r>
      <w:proofErr w:type="spellEnd"/>
      <w:r w:rsidRPr="00543BFE">
        <w:rPr>
          <w:sz w:val="24"/>
          <w:szCs w:val="24"/>
        </w:rPr>
        <w:t xml:space="preserve"> mindsker risikoen for overførsel af HBV, og at der derfor fortsat skal tages relevante forholdsregler.</w:t>
      </w:r>
    </w:p>
    <w:p w:rsidR="008D5948" w:rsidRDefault="008D5948" w:rsidP="008D5948">
      <w:pPr>
        <w:rPr>
          <w:sz w:val="24"/>
          <w:szCs w:val="24"/>
        </w:rPr>
      </w:pPr>
      <w:r>
        <w:rPr>
          <w:sz w:val="24"/>
          <w:szCs w:val="24"/>
        </w:rPr>
        <w:br w:type="page"/>
      </w: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4.5</w:t>
      </w:r>
      <w:r w:rsidRPr="00543BFE">
        <w:rPr>
          <w:b/>
          <w:sz w:val="24"/>
          <w:szCs w:val="24"/>
        </w:rPr>
        <w:tab/>
        <w:t>Interaktion med andre lægemidler og andre former for interaktion</w:t>
      </w:r>
    </w:p>
    <w:p w:rsidR="008D5948" w:rsidRPr="00543BFE" w:rsidRDefault="008D5948" w:rsidP="008D5948">
      <w:pPr>
        <w:ind w:left="851"/>
        <w:rPr>
          <w:sz w:val="24"/>
          <w:szCs w:val="24"/>
          <w:lang w:eastAsia="da-DK"/>
        </w:rPr>
      </w:pPr>
      <w:r w:rsidRPr="00543BFE">
        <w:rPr>
          <w:sz w:val="24"/>
          <w:szCs w:val="24"/>
        </w:rPr>
        <w:t xml:space="preserve">Eftersom </w:t>
      </w:r>
      <w:proofErr w:type="spellStart"/>
      <w:r w:rsidRPr="00543BFE">
        <w:rPr>
          <w:sz w:val="24"/>
          <w:szCs w:val="24"/>
        </w:rPr>
        <w:t>entecavir</w:t>
      </w:r>
      <w:proofErr w:type="spellEnd"/>
      <w:r w:rsidRPr="00543BFE">
        <w:rPr>
          <w:sz w:val="24"/>
          <w:szCs w:val="24"/>
        </w:rPr>
        <w:t xml:space="preserve"> fortrinsvis elimineres via nyrerne (se pkt. 5.2), kan samtidig administration med lægemidler, der reducerer nyrefunktionen eller konkurrerer med hensyn til aktiv </w:t>
      </w:r>
      <w:proofErr w:type="spellStart"/>
      <w:r w:rsidRPr="00543BFE">
        <w:rPr>
          <w:sz w:val="24"/>
          <w:szCs w:val="24"/>
        </w:rPr>
        <w:t>tubulær</w:t>
      </w:r>
      <w:proofErr w:type="spellEnd"/>
      <w:r w:rsidRPr="00543BFE">
        <w:rPr>
          <w:sz w:val="24"/>
          <w:szCs w:val="24"/>
        </w:rPr>
        <w:t xml:space="preserve"> udskillelse, forøge serumkoncentrationen af de respektive lægemidler. Bortset fra </w:t>
      </w:r>
      <w:proofErr w:type="spellStart"/>
      <w:r w:rsidRPr="00543BFE">
        <w:rPr>
          <w:sz w:val="24"/>
          <w:szCs w:val="24"/>
        </w:rPr>
        <w:t>lamivudin</w:t>
      </w:r>
      <w:proofErr w:type="spellEnd"/>
      <w:r w:rsidRPr="00543BFE">
        <w:rPr>
          <w:sz w:val="24"/>
          <w:szCs w:val="24"/>
        </w:rPr>
        <w:t xml:space="preserve">, </w:t>
      </w:r>
      <w:proofErr w:type="spellStart"/>
      <w:r w:rsidRPr="00543BFE">
        <w:rPr>
          <w:sz w:val="24"/>
          <w:szCs w:val="24"/>
        </w:rPr>
        <w:t>adefovirdipivoxil</w:t>
      </w:r>
      <w:proofErr w:type="spellEnd"/>
      <w:r w:rsidRPr="00543BFE">
        <w:rPr>
          <w:sz w:val="24"/>
          <w:szCs w:val="24"/>
        </w:rPr>
        <w:t xml:space="preserve">- og </w:t>
      </w:r>
      <w:proofErr w:type="spellStart"/>
      <w:r w:rsidRPr="00543BFE">
        <w:rPr>
          <w:sz w:val="24"/>
          <w:szCs w:val="24"/>
        </w:rPr>
        <w:t>tenofovirdisoproxilfumarat</w:t>
      </w:r>
      <w:proofErr w:type="spellEnd"/>
      <w:r w:rsidRPr="00543BFE">
        <w:rPr>
          <w:sz w:val="24"/>
          <w:szCs w:val="24"/>
        </w:rPr>
        <w:t xml:space="preserve"> er effekten ved samtidig administration af </w:t>
      </w:r>
      <w:proofErr w:type="spellStart"/>
      <w:r w:rsidRPr="00543BFE">
        <w:rPr>
          <w:sz w:val="24"/>
          <w:szCs w:val="24"/>
        </w:rPr>
        <w:t>entecavir</w:t>
      </w:r>
      <w:proofErr w:type="spellEnd"/>
      <w:r w:rsidRPr="00543BFE">
        <w:rPr>
          <w:sz w:val="24"/>
          <w:szCs w:val="24"/>
        </w:rPr>
        <w:t xml:space="preserve"> og lægemidler, der udskilles gennem nyrerne eller påvirker nyrefunktionen, ikke evalueret. Hvis </w:t>
      </w:r>
      <w:proofErr w:type="spellStart"/>
      <w:r w:rsidRPr="00543BFE">
        <w:rPr>
          <w:sz w:val="24"/>
          <w:szCs w:val="24"/>
        </w:rPr>
        <w:t>entecavir</w:t>
      </w:r>
      <w:proofErr w:type="spellEnd"/>
      <w:r w:rsidRPr="00543BFE">
        <w:rPr>
          <w:sz w:val="24"/>
          <w:szCs w:val="24"/>
        </w:rPr>
        <w:t xml:space="preserve"> administreres samtidig med sådanne lægemidler, bør patienten monitoreres nøje for bivirkninger.</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Der er ikke observeret </w:t>
      </w:r>
      <w:proofErr w:type="spellStart"/>
      <w:r w:rsidRPr="00543BFE">
        <w:rPr>
          <w:sz w:val="24"/>
          <w:szCs w:val="24"/>
        </w:rPr>
        <w:t>farmakokinetiske</w:t>
      </w:r>
      <w:proofErr w:type="spellEnd"/>
      <w:r w:rsidRPr="00543BFE">
        <w:rPr>
          <w:sz w:val="24"/>
          <w:szCs w:val="24"/>
        </w:rPr>
        <w:t xml:space="preserve"> interaktioner mellem </w:t>
      </w:r>
      <w:proofErr w:type="spellStart"/>
      <w:r w:rsidRPr="00543BFE">
        <w:rPr>
          <w:sz w:val="24"/>
          <w:szCs w:val="24"/>
        </w:rPr>
        <w:t>entecavir</w:t>
      </w:r>
      <w:proofErr w:type="spellEnd"/>
      <w:r w:rsidRPr="00543BFE">
        <w:rPr>
          <w:sz w:val="24"/>
          <w:szCs w:val="24"/>
        </w:rPr>
        <w:t xml:space="preserve"> og </w:t>
      </w:r>
      <w:proofErr w:type="spellStart"/>
      <w:r w:rsidRPr="00543BFE">
        <w:rPr>
          <w:sz w:val="24"/>
          <w:szCs w:val="24"/>
        </w:rPr>
        <w:t>lamivudin</w:t>
      </w:r>
      <w:proofErr w:type="spellEnd"/>
      <w:r w:rsidRPr="00543BFE">
        <w:rPr>
          <w:sz w:val="24"/>
          <w:szCs w:val="24"/>
        </w:rPr>
        <w:t xml:space="preserve">, </w:t>
      </w:r>
      <w:proofErr w:type="spellStart"/>
      <w:r w:rsidRPr="00543BFE">
        <w:rPr>
          <w:sz w:val="24"/>
          <w:szCs w:val="24"/>
        </w:rPr>
        <w:t>adefovir</w:t>
      </w:r>
      <w:proofErr w:type="spellEnd"/>
      <w:r w:rsidRPr="00543BFE">
        <w:rPr>
          <w:sz w:val="24"/>
          <w:szCs w:val="24"/>
        </w:rPr>
        <w:t xml:space="preserve"> eller </w:t>
      </w:r>
      <w:proofErr w:type="spellStart"/>
      <w:r w:rsidRPr="00543BFE">
        <w:rPr>
          <w:sz w:val="24"/>
          <w:szCs w:val="24"/>
        </w:rPr>
        <w:t>tenofovir</w:t>
      </w:r>
      <w:proofErr w:type="spellEnd"/>
      <w:r w:rsidRPr="00543BFE">
        <w:rPr>
          <w:sz w:val="24"/>
          <w:szCs w:val="24"/>
        </w:rPr>
        <w:t>.</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proofErr w:type="spellStart"/>
      <w:r w:rsidRPr="00543BFE">
        <w:rPr>
          <w:sz w:val="24"/>
          <w:szCs w:val="24"/>
        </w:rPr>
        <w:t>Entecavir</w:t>
      </w:r>
      <w:proofErr w:type="spellEnd"/>
      <w:r w:rsidRPr="00543BFE">
        <w:rPr>
          <w:sz w:val="24"/>
          <w:szCs w:val="24"/>
        </w:rPr>
        <w:t xml:space="preserve"> er ikke et substrat af og virker ikke inducerende eller hæmmende på </w:t>
      </w:r>
      <w:proofErr w:type="spellStart"/>
      <w:r w:rsidRPr="00543BFE">
        <w:rPr>
          <w:sz w:val="24"/>
          <w:szCs w:val="24"/>
        </w:rPr>
        <w:t>cytokrom</w:t>
      </w:r>
      <w:proofErr w:type="spellEnd"/>
      <w:r w:rsidRPr="00543BFE">
        <w:rPr>
          <w:sz w:val="24"/>
          <w:szCs w:val="24"/>
        </w:rPr>
        <w:t xml:space="preserve"> P450- enzymer (CYP450) (se pkt. 5.2). CYP450-medierede lægemiddelinteraktioner med </w:t>
      </w:r>
      <w:proofErr w:type="spellStart"/>
      <w:r w:rsidRPr="00543BFE">
        <w:rPr>
          <w:sz w:val="24"/>
          <w:szCs w:val="24"/>
        </w:rPr>
        <w:t>entecavir</w:t>
      </w:r>
      <w:proofErr w:type="spellEnd"/>
      <w:r w:rsidRPr="00543BFE">
        <w:rPr>
          <w:sz w:val="24"/>
          <w:szCs w:val="24"/>
        </w:rPr>
        <w:t xml:space="preserve"> er derfor ikke sandsynlige.</w:t>
      </w:r>
    </w:p>
    <w:p w:rsidR="008D5948" w:rsidRPr="00543BFE" w:rsidRDefault="008D5948" w:rsidP="008D5948">
      <w:pPr>
        <w:ind w:left="851" w:hanging="851"/>
        <w:rPr>
          <w:sz w:val="24"/>
          <w:szCs w:val="24"/>
        </w:rPr>
      </w:pPr>
    </w:p>
    <w:p w:rsidR="008D5948" w:rsidRPr="00543BFE" w:rsidRDefault="008D5948" w:rsidP="008D5948">
      <w:pPr>
        <w:ind w:left="851"/>
        <w:rPr>
          <w:sz w:val="24"/>
          <w:szCs w:val="24"/>
          <w:u w:val="single"/>
        </w:rPr>
      </w:pPr>
      <w:r w:rsidRPr="00543BFE">
        <w:rPr>
          <w:sz w:val="24"/>
          <w:szCs w:val="24"/>
          <w:u w:val="single"/>
        </w:rPr>
        <w:t xml:space="preserve">Pædiatrisk population </w:t>
      </w:r>
    </w:p>
    <w:p w:rsidR="008D5948" w:rsidRPr="00543BFE" w:rsidRDefault="008D5948" w:rsidP="008D5948">
      <w:pPr>
        <w:ind w:left="851"/>
        <w:rPr>
          <w:sz w:val="24"/>
          <w:szCs w:val="24"/>
        </w:rPr>
      </w:pPr>
      <w:r w:rsidRPr="00543BFE">
        <w:rPr>
          <w:sz w:val="24"/>
          <w:szCs w:val="24"/>
        </w:rPr>
        <w:t>Interaktionsstudier er kun udført hos voksne.</w:t>
      </w: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4.6</w:t>
      </w:r>
      <w:r w:rsidRPr="00543BFE">
        <w:rPr>
          <w:b/>
          <w:sz w:val="24"/>
          <w:szCs w:val="24"/>
        </w:rPr>
        <w:tab/>
      </w:r>
      <w:r w:rsidR="00A54635">
        <w:rPr>
          <w:b/>
          <w:sz w:val="24"/>
          <w:szCs w:val="24"/>
        </w:rPr>
        <w:t>Fertilitet, g</w:t>
      </w:r>
      <w:r w:rsidRPr="00543BFE">
        <w:rPr>
          <w:b/>
          <w:sz w:val="24"/>
          <w:szCs w:val="24"/>
        </w:rPr>
        <w:t>raviditet og amning</w:t>
      </w:r>
    </w:p>
    <w:p w:rsidR="008D5948" w:rsidRDefault="008D5948" w:rsidP="008D5948">
      <w:pPr>
        <w:ind w:left="851" w:hanging="851"/>
        <w:rPr>
          <w:sz w:val="24"/>
          <w:szCs w:val="24"/>
          <w:u w:val="single"/>
        </w:rPr>
      </w:pPr>
    </w:p>
    <w:p w:rsidR="008D5948" w:rsidRPr="008D6627" w:rsidRDefault="008D5948" w:rsidP="008D5948">
      <w:pPr>
        <w:ind w:left="851"/>
        <w:rPr>
          <w:sz w:val="24"/>
          <w:szCs w:val="24"/>
          <w:u w:val="single"/>
        </w:rPr>
      </w:pPr>
      <w:r>
        <w:rPr>
          <w:sz w:val="24"/>
          <w:szCs w:val="24"/>
          <w:u w:val="single"/>
        </w:rPr>
        <w:t>Fertilitet</w:t>
      </w:r>
    </w:p>
    <w:p w:rsidR="008D5948" w:rsidRPr="00543BFE" w:rsidRDefault="008D5948" w:rsidP="008D5948">
      <w:pPr>
        <w:ind w:left="851"/>
        <w:rPr>
          <w:sz w:val="24"/>
          <w:szCs w:val="24"/>
        </w:rPr>
      </w:pPr>
      <w:r w:rsidRPr="00543BFE">
        <w:rPr>
          <w:sz w:val="24"/>
          <w:szCs w:val="24"/>
        </w:rPr>
        <w:t xml:space="preserve">Toksikologiske studier med dyr, der fik </w:t>
      </w:r>
      <w:proofErr w:type="spellStart"/>
      <w:r w:rsidRPr="00543BFE">
        <w:rPr>
          <w:sz w:val="24"/>
          <w:szCs w:val="24"/>
        </w:rPr>
        <w:t>entecavir</w:t>
      </w:r>
      <w:proofErr w:type="spellEnd"/>
      <w:r w:rsidRPr="00543BFE">
        <w:rPr>
          <w:sz w:val="24"/>
          <w:szCs w:val="24"/>
        </w:rPr>
        <w:t>, har ikke påvist nedsat fertilitet (se pkt. 5.3).</w:t>
      </w:r>
    </w:p>
    <w:p w:rsidR="008D5948" w:rsidRDefault="008D5948" w:rsidP="008D5948">
      <w:pPr>
        <w:ind w:left="851" w:hanging="851"/>
        <w:rPr>
          <w:sz w:val="24"/>
          <w:szCs w:val="24"/>
          <w:u w:val="single"/>
        </w:rPr>
      </w:pPr>
    </w:p>
    <w:p w:rsidR="008D5948" w:rsidRPr="00543BFE" w:rsidRDefault="008D5948" w:rsidP="008D5948">
      <w:pPr>
        <w:ind w:left="851"/>
        <w:rPr>
          <w:sz w:val="24"/>
          <w:szCs w:val="24"/>
          <w:u w:val="single"/>
          <w:lang w:eastAsia="da-DK"/>
        </w:rPr>
      </w:pPr>
      <w:r w:rsidRPr="00543BFE">
        <w:rPr>
          <w:sz w:val="24"/>
          <w:szCs w:val="24"/>
          <w:u w:val="single"/>
        </w:rPr>
        <w:t xml:space="preserve">Kvinder i den fertile alder </w:t>
      </w:r>
    </w:p>
    <w:p w:rsidR="008D5948" w:rsidRPr="00543BFE" w:rsidRDefault="008D5948" w:rsidP="008D5948">
      <w:pPr>
        <w:ind w:left="851"/>
        <w:rPr>
          <w:sz w:val="24"/>
          <w:szCs w:val="24"/>
        </w:rPr>
      </w:pPr>
      <w:r w:rsidRPr="00543BFE">
        <w:rPr>
          <w:sz w:val="24"/>
          <w:szCs w:val="24"/>
        </w:rPr>
        <w:t xml:space="preserve">Da de potentielle risici for fostret ikke kendes, bør kvinder i den fertile alder bruge effektiv </w:t>
      </w:r>
      <w:proofErr w:type="spellStart"/>
      <w:r w:rsidRPr="00543BFE">
        <w:rPr>
          <w:sz w:val="24"/>
          <w:szCs w:val="24"/>
        </w:rPr>
        <w:t>kontraception</w:t>
      </w:r>
      <w:proofErr w:type="spellEnd"/>
      <w:r w:rsidRPr="00543BFE">
        <w:rPr>
          <w:sz w:val="24"/>
          <w:szCs w:val="24"/>
        </w:rPr>
        <w:t>.</w:t>
      </w:r>
    </w:p>
    <w:p w:rsidR="008D5948" w:rsidRPr="00543BFE" w:rsidRDefault="008D5948" w:rsidP="008D5948">
      <w:pPr>
        <w:ind w:left="851" w:hanging="851"/>
        <w:rPr>
          <w:sz w:val="24"/>
          <w:szCs w:val="24"/>
        </w:rPr>
      </w:pPr>
    </w:p>
    <w:p w:rsidR="008D5948" w:rsidRPr="00543BFE" w:rsidRDefault="008D5948" w:rsidP="008D5948">
      <w:pPr>
        <w:ind w:left="851"/>
        <w:rPr>
          <w:sz w:val="24"/>
          <w:szCs w:val="24"/>
          <w:u w:val="single"/>
        </w:rPr>
      </w:pPr>
      <w:r w:rsidRPr="00543BFE">
        <w:rPr>
          <w:sz w:val="24"/>
          <w:szCs w:val="24"/>
          <w:u w:val="single"/>
        </w:rPr>
        <w:t xml:space="preserve">Graviditet </w:t>
      </w:r>
    </w:p>
    <w:p w:rsidR="008D5948" w:rsidRPr="00543BFE" w:rsidRDefault="008D5948" w:rsidP="008D5948">
      <w:pPr>
        <w:ind w:left="851"/>
        <w:rPr>
          <w:sz w:val="24"/>
          <w:szCs w:val="24"/>
        </w:rPr>
      </w:pPr>
      <w:r w:rsidRPr="00543BFE">
        <w:rPr>
          <w:sz w:val="24"/>
          <w:szCs w:val="24"/>
        </w:rPr>
        <w:t xml:space="preserve">Der foreligger ikke tilstrækkelige data om anvendelse af </w:t>
      </w:r>
      <w:proofErr w:type="spellStart"/>
      <w:r w:rsidRPr="00543BFE">
        <w:rPr>
          <w:sz w:val="24"/>
          <w:szCs w:val="24"/>
        </w:rPr>
        <w:t>entecavir</w:t>
      </w:r>
      <w:proofErr w:type="spellEnd"/>
      <w:r w:rsidRPr="00543BFE">
        <w:rPr>
          <w:sz w:val="24"/>
          <w:szCs w:val="24"/>
        </w:rPr>
        <w:t xml:space="preserve"> hos gravide kvinder. Dyrestudier har påvist reproduktionstoksicitet ved høje doser (se pkt. 5.3). Den potentielle risiko for mennesker er ukendt. </w:t>
      </w:r>
      <w:proofErr w:type="spellStart"/>
      <w:r w:rsidRPr="00543BFE">
        <w:rPr>
          <w:sz w:val="24"/>
          <w:szCs w:val="24"/>
        </w:rPr>
        <w:t>Entecavir</w:t>
      </w:r>
      <w:proofErr w:type="spellEnd"/>
      <w:r w:rsidRPr="00543BFE">
        <w:rPr>
          <w:sz w:val="24"/>
          <w:szCs w:val="24"/>
        </w:rPr>
        <w:t xml:space="preserve"> </w:t>
      </w:r>
      <w:r>
        <w:rPr>
          <w:sz w:val="24"/>
          <w:szCs w:val="24"/>
        </w:rPr>
        <w:t>"</w:t>
      </w:r>
      <w:proofErr w:type="spellStart"/>
      <w:r w:rsidRPr="00543BFE">
        <w:rPr>
          <w:sz w:val="24"/>
          <w:szCs w:val="24"/>
        </w:rPr>
        <w:t>Teva</w:t>
      </w:r>
      <w:proofErr w:type="spellEnd"/>
      <w:r>
        <w:rPr>
          <w:sz w:val="24"/>
          <w:szCs w:val="24"/>
        </w:rPr>
        <w:t>"</w:t>
      </w:r>
      <w:r w:rsidRPr="00543BFE">
        <w:rPr>
          <w:sz w:val="24"/>
          <w:szCs w:val="24"/>
        </w:rPr>
        <w:t xml:space="preserve"> bør ikke anvendes under graviditet, medmindre det er absolut nødvendigt. Der er ingen data vedrørende effekt af </w:t>
      </w:r>
      <w:proofErr w:type="spellStart"/>
      <w:r w:rsidRPr="00543BFE">
        <w:rPr>
          <w:sz w:val="24"/>
          <w:szCs w:val="24"/>
        </w:rPr>
        <w:t>entecavir</w:t>
      </w:r>
      <w:proofErr w:type="spellEnd"/>
      <w:r w:rsidRPr="00543BFE">
        <w:rPr>
          <w:sz w:val="24"/>
          <w:szCs w:val="24"/>
        </w:rPr>
        <w:t xml:space="preserve"> på overførsel af HBV fra mor til nyfødt. Der bør derfor foretages relevante forholdsregler for at forhindre neonatal erhvervelse af HBV.</w:t>
      </w:r>
    </w:p>
    <w:p w:rsidR="008D5948" w:rsidRPr="00543BFE" w:rsidRDefault="008D5948" w:rsidP="008D5948">
      <w:pPr>
        <w:ind w:left="851" w:hanging="851"/>
        <w:rPr>
          <w:sz w:val="24"/>
          <w:szCs w:val="24"/>
        </w:rPr>
      </w:pPr>
    </w:p>
    <w:p w:rsidR="008D5948" w:rsidRPr="00543BFE" w:rsidRDefault="008D5948" w:rsidP="008D5948">
      <w:pPr>
        <w:ind w:left="851"/>
        <w:rPr>
          <w:sz w:val="24"/>
          <w:szCs w:val="24"/>
          <w:u w:val="single"/>
        </w:rPr>
      </w:pPr>
      <w:r w:rsidRPr="00543BFE">
        <w:rPr>
          <w:sz w:val="24"/>
          <w:szCs w:val="24"/>
          <w:u w:val="single"/>
        </w:rPr>
        <w:t xml:space="preserve">Amning </w:t>
      </w:r>
    </w:p>
    <w:p w:rsidR="008D5948" w:rsidRPr="00543BFE" w:rsidRDefault="008D5948" w:rsidP="008D5948">
      <w:pPr>
        <w:ind w:left="851"/>
        <w:rPr>
          <w:sz w:val="24"/>
          <w:szCs w:val="24"/>
        </w:rPr>
      </w:pPr>
      <w:r w:rsidRPr="00543BFE">
        <w:rPr>
          <w:sz w:val="24"/>
          <w:szCs w:val="24"/>
        </w:rPr>
        <w:t xml:space="preserve">Det vides ikke, om </w:t>
      </w:r>
      <w:proofErr w:type="spellStart"/>
      <w:r w:rsidRPr="00543BFE">
        <w:rPr>
          <w:sz w:val="24"/>
          <w:szCs w:val="24"/>
        </w:rPr>
        <w:t>entecavir</w:t>
      </w:r>
      <w:proofErr w:type="spellEnd"/>
      <w:r w:rsidRPr="00543BFE">
        <w:rPr>
          <w:sz w:val="24"/>
          <w:szCs w:val="24"/>
        </w:rPr>
        <w:t xml:space="preserve"> udskilles i modermælk. De tilgængelige toksikologiske data fra dyr har vist, at </w:t>
      </w:r>
      <w:proofErr w:type="spellStart"/>
      <w:r w:rsidRPr="00543BFE">
        <w:rPr>
          <w:sz w:val="24"/>
          <w:szCs w:val="24"/>
        </w:rPr>
        <w:t>entecavir</w:t>
      </w:r>
      <w:proofErr w:type="spellEnd"/>
      <w:r w:rsidRPr="00543BFE">
        <w:rPr>
          <w:sz w:val="24"/>
          <w:szCs w:val="24"/>
        </w:rPr>
        <w:t xml:space="preserve"> udskilles i mælk (se pkt. 5.3 for nærmere oplysninger). Det kan ikke udelukkes, at der er en risiko for spædbørn. Amning bør afbrydes under behandling med </w:t>
      </w:r>
      <w:proofErr w:type="spellStart"/>
      <w:r w:rsidRPr="00543BFE">
        <w:rPr>
          <w:sz w:val="24"/>
          <w:szCs w:val="24"/>
        </w:rPr>
        <w:t>Entecavir</w:t>
      </w:r>
      <w:proofErr w:type="spellEnd"/>
      <w:r w:rsidRPr="00543BFE">
        <w:rPr>
          <w:sz w:val="24"/>
          <w:szCs w:val="24"/>
        </w:rPr>
        <w:t xml:space="preserve"> </w:t>
      </w:r>
      <w:r>
        <w:rPr>
          <w:sz w:val="24"/>
          <w:szCs w:val="24"/>
        </w:rPr>
        <w:t>"</w:t>
      </w:r>
      <w:proofErr w:type="spellStart"/>
      <w:r w:rsidRPr="00543BFE">
        <w:rPr>
          <w:sz w:val="24"/>
          <w:szCs w:val="24"/>
        </w:rPr>
        <w:t>Teva</w:t>
      </w:r>
      <w:proofErr w:type="spellEnd"/>
      <w:r>
        <w:rPr>
          <w:sz w:val="24"/>
          <w:szCs w:val="24"/>
        </w:rPr>
        <w:t>"</w:t>
      </w:r>
      <w:r w:rsidRPr="00543BFE">
        <w:rPr>
          <w:sz w:val="24"/>
          <w:szCs w:val="24"/>
        </w:rPr>
        <w:t>.</w:t>
      </w: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4.7</w:t>
      </w:r>
      <w:r w:rsidRPr="00543BFE">
        <w:rPr>
          <w:b/>
          <w:sz w:val="24"/>
          <w:szCs w:val="24"/>
        </w:rPr>
        <w:tab/>
        <w:t xml:space="preserve">Virkning på evnen til at føre motorkøretøj </w:t>
      </w:r>
      <w:r w:rsidR="00A54635">
        <w:rPr>
          <w:b/>
          <w:sz w:val="24"/>
          <w:szCs w:val="24"/>
        </w:rPr>
        <w:t>og</w:t>
      </w:r>
      <w:r w:rsidRPr="00543BFE">
        <w:rPr>
          <w:b/>
          <w:sz w:val="24"/>
          <w:szCs w:val="24"/>
        </w:rPr>
        <w:t xml:space="preserve"> betjene maskiner</w:t>
      </w:r>
    </w:p>
    <w:p w:rsidR="008D5948" w:rsidRDefault="008D5948" w:rsidP="008D5948">
      <w:pPr>
        <w:ind w:left="851"/>
        <w:rPr>
          <w:sz w:val="24"/>
          <w:szCs w:val="24"/>
        </w:rPr>
      </w:pPr>
      <w:r>
        <w:rPr>
          <w:sz w:val="24"/>
          <w:szCs w:val="24"/>
        </w:rPr>
        <w:t>Ikke mærkning.</w:t>
      </w:r>
    </w:p>
    <w:p w:rsidR="008D5948" w:rsidRPr="00543BFE" w:rsidRDefault="008D5948" w:rsidP="008D5948">
      <w:pPr>
        <w:ind w:left="851"/>
        <w:rPr>
          <w:sz w:val="24"/>
          <w:szCs w:val="24"/>
          <w:lang w:eastAsia="da-DK"/>
        </w:rPr>
      </w:pPr>
      <w:r w:rsidRPr="00543BFE">
        <w:rPr>
          <w:sz w:val="24"/>
          <w:szCs w:val="24"/>
        </w:rPr>
        <w:t>Der er ikke foretaget undersøgelser af virkningen på evnen til at føre motorkøretøj eller betjene maskiner. Svimmelhed, træthed og søvnighed er hyppige bivirkninger, som kan påvirke evnen til at føre motorkøretøj og betjene maskiner.</w:t>
      </w:r>
    </w:p>
    <w:p w:rsidR="008D5948" w:rsidRDefault="008D5948" w:rsidP="008D5948">
      <w:pPr>
        <w:rPr>
          <w:sz w:val="24"/>
          <w:szCs w:val="24"/>
        </w:rPr>
      </w:pPr>
      <w:r>
        <w:rPr>
          <w:sz w:val="24"/>
          <w:szCs w:val="24"/>
        </w:rPr>
        <w:br w:type="page"/>
      </w: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4.8</w:t>
      </w:r>
      <w:r w:rsidRPr="00543BFE">
        <w:rPr>
          <w:b/>
          <w:sz w:val="24"/>
          <w:szCs w:val="24"/>
        </w:rPr>
        <w:tab/>
        <w:t>Bivirkninger</w:t>
      </w:r>
    </w:p>
    <w:p w:rsidR="008D5948" w:rsidRPr="00543BFE" w:rsidRDefault="008D5948" w:rsidP="008D5948">
      <w:pPr>
        <w:numPr>
          <w:ilvl w:val="0"/>
          <w:numId w:val="12"/>
        </w:numPr>
        <w:ind w:left="1276" w:hanging="425"/>
        <w:rPr>
          <w:i/>
          <w:sz w:val="24"/>
          <w:szCs w:val="24"/>
          <w:lang w:eastAsia="da-DK"/>
        </w:rPr>
      </w:pPr>
      <w:r w:rsidRPr="00543BFE">
        <w:rPr>
          <w:i/>
          <w:sz w:val="24"/>
          <w:szCs w:val="24"/>
        </w:rPr>
        <w:t xml:space="preserve">Oversigt over sikkerhedsprofilen </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I kliniske studier med patienter med kompenseret leversygdom var de almindeligste bivirkninger af alle sværhedsgrader, og hvor en forbindelse med </w:t>
      </w:r>
      <w:proofErr w:type="spellStart"/>
      <w:r w:rsidRPr="00543BFE">
        <w:rPr>
          <w:sz w:val="24"/>
          <w:szCs w:val="24"/>
        </w:rPr>
        <w:t>entecavir</w:t>
      </w:r>
      <w:proofErr w:type="spellEnd"/>
      <w:r w:rsidRPr="00543BFE">
        <w:rPr>
          <w:sz w:val="24"/>
          <w:szCs w:val="24"/>
        </w:rPr>
        <w:t xml:space="preserve"> var mulig, hovedpine (9 %), træthed (6 %), svimmelhed (4 %) og kvalme (3 %). Der er også rapporteret om forværring af hepatitis under og efter </w:t>
      </w:r>
      <w:proofErr w:type="spellStart"/>
      <w:r w:rsidRPr="00543BFE">
        <w:rPr>
          <w:sz w:val="24"/>
          <w:szCs w:val="24"/>
        </w:rPr>
        <w:t>seponering</w:t>
      </w:r>
      <w:proofErr w:type="spellEnd"/>
      <w:r w:rsidRPr="00543BFE">
        <w:rPr>
          <w:sz w:val="24"/>
          <w:szCs w:val="24"/>
        </w:rPr>
        <w:t xml:space="preserve"> af behandling med </w:t>
      </w:r>
      <w:proofErr w:type="spellStart"/>
      <w:r w:rsidRPr="00543BFE">
        <w:rPr>
          <w:sz w:val="24"/>
          <w:szCs w:val="24"/>
        </w:rPr>
        <w:t>entecavir</w:t>
      </w:r>
      <w:proofErr w:type="spellEnd"/>
      <w:r w:rsidRPr="00543BFE">
        <w:rPr>
          <w:sz w:val="24"/>
          <w:szCs w:val="24"/>
        </w:rPr>
        <w:t xml:space="preserve"> (se pkt. 4.4 og </w:t>
      </w:r>
      <w:r>
        <w:rPr>
          <w:sz w:val="24"/>
          <w:szCs w:val="24"/>
        </w:rPr>
        <w:t>"</w:t>
      </w:r>
      <w:r w:rsidRPr="00543BFE">
        <w:rPr>
          <w:i/>
          <w:sz w:val="24"/>
          <w:szCs w:val="24"/>
        </w:rPr>
        <w:t>c. Beskrivelse af udvalgte bivirkninger</w:t>
      </w:r>
      <w:r>
        <w:rPr>
          <w:i/>
          <w:sz w:val="24"/>
          <w:szCs w:val="24"/>
        </w:rPr>
        <w:t>"</w:t>
      </w:r>
      <w:r w:rsidRPr="00543BFE">
        <w:rPr>
          <w:sz w:val="24"/>
          <w:szCs w:val="24"/>
        </w:rPr>
        <w:t>).</w:t>
      </w:r>
    </w:p>
    <w:p w:rsidR="008D5948" w:rsidRPr="00543BFE" w:rsidRDefault="008D5948" w:rsidP="008D5948">
      <w:pPr>
        <w:ind w:left="851" w:hanging="851"/>
        <w:rPr>
          <w:sz w:val="24"/>
          <w:szCs w:val="24"/>
        </w:rPr>
      </w:pPr>
    </w:p>
    <w:p w:rsidR="008D5948" w:rsidRPr="00543BFE" w:rsidRDefault="008D5948" w:rsidP="008D5948">
      <w:pPr>
        <w:numPr>
          <w:ilvl w:val="0"/>
          <w:numId w:val="12"/>
        </w:numPr>
        <w:ind w:left="1276" w:hanging="425"/>
        <w:rPr>
          <w:i/>
          <w:sz w:val="24"/>
          <w:szCs w:val="24"/>
        </w:rPr>
      </w:pPr>
      <w:r w:rsidRPr="00543BFE">
        <w:rPr>
          <w:i/>
          <w:sz w:val="24"/>
          <w:szCs w:val="24"/>
        </w:rPr>
        <w:t>Liste i tabelform over bivirkninger</w:t>
      </w:r>
    </w:p>
    <w:p w:rsidR="008D5948" w:rsidRPr="00543BFE" w:rsidRDefault="008D5948" w:rsidP="008D5948">
      <w:pPr>
        <w:ind w:left="851" w:hanging="851"/>
        <w:rPr>
          <w:i/>
          <w:sz w:val="24"/>
          <w:szCs w:val="24"/>
        </w:rPr>
      </w:pPr>
    </w:p>
    <w:p w:rsidR="008D5948" w:rsidRPr="00543BFE" w:rsidRDefault="008D5948" w:rsidP="008D5948">
      <w:pPr>
        <w:ind w:left="851"/>
        <w:rPr>
          <w:sz w:val="24"/>
          <w:szCs w:val="24"/>
        </w:rPr>
      </w:pPr>
      <w:r w:rsidRPr="00543BFE">
        <w:rPr>
          <w:sz w:val="24"/>
          <w:szCs w:val="24"/>
        </w:rPr>
        <w:t xml:space="preserve">Bedømmelsen af bivirkninger er baseret på erfaringer fra postmarketing-overvågning og fire kliniske studier, hvor 1.720 patienter med kronisk hepatitis B-infektion og kompenseret leversygdom fik dobbeltblind-behandling med </w:t>
      </w:r>
      <w:proofErr w:type="spellStart"/>
      <w:r w:rsidRPr="00543BFE">
        <w:rPr>
          <w:sz w:val="24"/>
          <w:szCs w:val="24"/>
        </w:rPr>
        <w:t>entecavir</w:t>
      </w:r>
      <w:proofErr w:type="spellEnd"/>
      <w:r w:rsidRPr="00543BFE">
        <w:rPr>
          <w:sz w:val="24"/>
          <w:szCs w:val="24"/>
        </w:rPr>
        <w:t xml:space="preserve"> (n = 862) eller </w:t>
      </w:r>
      <w:proofErr w:type="spellStart"/>
      <w:r w:rsidRPr="00543BFE">
        <w:rPr>
          <w:sz w:val="24"/>
          <w:szCs w:val="24"/>
        </w:rPr>
        <w:t>lamivudin</w:t>
      </w:r>
      <w:proofErr w:type="spellEnd"/>
      <w:r w:rsidRPr="00543BFE">
        <w:rPr>
          <w:sz w:val="24"/>
          <w:szCs w:val="24"/>
        </w:rPr>
        <w:t xml:space="preserve"> (n = 858) i op til 107 uger (se pkt. 5.1). I disse studier var sikkerhedsprofilerne, herunder afvigelser i laboratorieprøver, sammenlignelige for </w:t>
      </w:r>
      <w:proofErr w:type="spellStart"/>
      <w:r w:rsidRPr="00543BFE">
        <w:rPr>
          <w:sz w:val="24"/>
          <w:szCs w:val="24"/>
        </w:rPr>
        <w:t>entecavir</w:t>
      </w:r>
      <w:proofErr w:type="spellEnd"/>
      <w:r w:rsidRPr="00543BFE">
        <w:rPr>
          <w:sz w:val="24"/>
          <w:szCs w:val="24"/>
        </w:rPr>
        <w:t xml:space="preserve"> 0,5 mg </w:t>
      </w:r>
      <w:r>
        <w:rPr>
          <w:sz w:val="24"/>
          <w:szCs w:val="24"/>
        </w:rPr>
        <w:t>daglig</w:t>
      </w:r>
      <w:r w:rsidRPr="00543BFE">
        <w:rPr>
          <w:sz w:val="24"/>
          <w:szCs w:val="24"/>
        </w:rPr>
        <w:t xml:space="preserve"> (679 </w:t>
      </w:r>
      <w:proofErr w:type="spellStart"/>
      <w:r w:rsidRPr="00543BFE">
        <w:rPr>
          <w:sz w:val="24"/>
          <w:szCs w:val="24"/>
        </w:rPr>
        <w:t>nukleosid</w:t>
      </w:r>
      <w:proofErr w:type="spellEnd"/>
      <w:r w:rsidRPr="00543BFE">
        <w:rPr>
          <w:sz w:val="24"/>
          <w:szCs w:val="24"/>
        </w:rPr>
        <w:t xml:space="preserve">-naive </w:t>
      </w:r>
      <w:proofErr w:type="spellStart"/>
      <w:r w:rsidRPr="00543BFE">
        <w:rPr>
          <w:sz w:val="24"/>
          <w:szCs w:val="24"/>
        </w:rPr>
        <w:t>HBeAg</w:t>
      </w:r>
      <w:proofErr w:type="spellEnd"/>
      <w:r w:rsidRPr="00543BFE">
        <w:rPr>
          <w:sz w:val="24"/>
          <w:szCs w:val="24"/>
        </w:rPr>
        <w:t xml:space="preserve">-positive eller -negative patienter behandlet i en median periode på 53 uger), </w:t>
      </w:r>
      <w:proofErr w:type="spellStart"/>
      <w:r w:rsidRPr="00543BFE">
        <w:rPr>
          <w:sz w:val="24"/>
          <w:szCs w:val="24"/>
        </w:rPr>
        <w:t>entecavir</w:t>
      </w:r>
      <w:proofErr w:type="spellEnd"/>
      <w:r w:rsidRPr="00543BFE">
        <w:rPr>
          <w:sz w:val="24"/>
          <w:szCs w:val="24"/>
        </w:rPr>
        <w:t xml:space="preserve"> 1 mg </w:t>
      </w:r>
      <w:r>
        <w:rPr>
          <w:sz w:val="24"/>
          <w:szCs w:val="24"/>
        </w:rPr>
        <w:t>daglig</w:t>
      </w:r>
      <w:r w:rsidRPr="00543BFE">
        <w:rPr>
          <w:sz w:val="24"/>
          <w:szCs w:val="24"/>
        </w:rPr>
        <w:t xml:space="preserve"> (183 </w:t>
      </w:r>
      <w:proofErr w:type="spellStart"/>
      <w:r w:rsidRPr="00543BFE">
        <w:rPr>
          <w:sz w:val="24"/>
          <w:szCs w:val="24"/>
        </w:rPr>
        <w:t>lamivudinrefraktære</w:t>
      </w:r>
      <w:proofErr w:type="spellEnd"/>
      <w:r w:rsidRPr="00543BFE">
        <w:rPr>
          <w:sz w:val="24"/>
          <w:szCs w:val="24"/>
        </w:rPr>
        <w:t xml:space="preserve"> patienter behandlet i en median periode på 69 uger) og </w:t>
      </w:r>
      <w:proofErr w:type="spellStart"/>
      <w:r w:rsidRPr="00543BFE">
        <w:rPr>
          <w:sz w:val="24"/>
          <w:szCs w:val="24"/>
        </w:rPr>
        <w:t>lamivudin</w:t>
      </w:r>
      <w:proofErr w:type="spellEnd"/>
      <w:r w:rsidRPr="00543BFE">
        <w:rPr>
          <w:sz w:val="24"/>
          <w:szCs w:val="24"/>
        </w:rPr>
        <w:t>.</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Bivirkninger, der vurderedes at være det mindst forbundet med behandling med </w:t>
      </w:r>
      <w:proofErr w:type="spellStart"/>
      <w:r w:rsidRPr="00543BFE">
        <w:rPr>
          <w:sz w:val="24"/>
          <w:szCs w:val="24"/>
        </w:rPr>
        <w:t>entecavir</w:t>
      </w:r>
      <w:proofErr w:type="spellEnd"/>
      <w:r w:rsidRPr="00543BFE">
        <w:rPr>
          <w:sz w:val="24"/>
          <w:szCs w:val="24"/>
        </w:rPr>
        <w:t>, angives efter organklasse nedenfor. Hyppighed defineres som meget almindelig (≥ 1/10); almindelig (≥ 1/100 til &lt; 1/10); ikke almindelig (≥ 1/1.000 til &lt;1/100); sjælden (≥ 1/10.000 til &lt;1/1.000). Inden for hver enkelt frekvensgruppe er bivirkningerne opstillet efter, hvor alvorlige de er. De alvorligste bivirkninger er anført først.</w:t>
      </w:r>
    </w:p>
    <w:p w:rsidR="008D5948" w:rsidRPr="00543BFE" w:rsidRDefault="008D5948" w:rsidP="008D5948">
      <w:pPr>
        <w:ind w:left="851" w:hanging="851"/>
        <w:rPr>
          <w:sz w:val="24"/>
          <w:szCs w:val="24"/>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961"/>
      </w:tblGrid>
      <w:tr w:rsidR="008D5948" w:rsidRPr="00543BFE" w:rsidTr="002574EE">
        <w:tc>
          <w:tcPr>
            <w:tcW w:w="3969"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rPr>
                <w:sz w:val="24"/>
                <w:szCs w:val="24"/>
              </w:rPr>
            </w:pPr>
            <w:r w:rsidRPr="00543BFE">
              <w:rPr>
                <w:sz w:val="24"/>
                <w:szCs w:val="24"/>
              </w:rPr>
              <w:t>Immunsystemet</w:t>
            </w:r>
          </w:p>
        </w:tc>
        <w:tc>
          <w:tcPr>
            <w:tcW w:w="4961"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rPr>
                <w:sz w:val="24"/>
                <w:szCs w:val="24"/>
              </w:rPr>
            </w:pPr>
            <w:r>
              <w:rPr>
                <w:sz w:val="24"/>
                <w:szCs w:val="24"/>
              </w:rPr>
              <w:t xml:space="preserve">Sjælden: </w:t>
            </w:r>
            <w:proofErr w:type="spellStart"/>
            <w:r>
              <w:rPr>
                <w:sz w:val="24"/>
                <w:szCs w:val="24"/>
              </w:rPr>
              <w:t>A</w:t>
            </w:r>
            <w:r w:rsidRPr="00543BFE">
              <w:rPr>
                <w:sz w:val="24"/>
                <w:szCs w:val="24"/>
              </w:rPr>
              <w:t>nafylaktoid</w:t>
            </w:r>
            <w:proofErr w:type="spellEnd"/>
            <w:r w:rsidRPr="00543BFE">
              <w:rPr>
                <w:sz w:val="24"/>
                <w:szCs w:val="24"/>
              </w:rPr>
              <w:t xml:space="preserve"> reaktion</w:t>
            </w:r>
          </w:p>
        </w:tc>
      </w:tr>
      <w:tr w:rsidR="008D5948" w:rsidRPr="00543BFE" w:rsidTr="002574EE">
        <w:tc>
          <w:tcPr>
            <w:tcW w:w="3969"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rPr>
                <w:sz w:val="24"/>
                <w:szCs w:val="24"/>
              </w:rPr>
            </w:pPr>
            <w:r w:rsidRPr="00543BFE">
              <w:rPr>
                <w:sz w:val="24"/>
                <w:szCs w:val="24"/>
              </w:rPr>
              <w:t>Psykiske forstyrrelser</w:t>
            </w:r>
          </w:p>
        </w:tc>
        <w:tc>
          <w:tcPr>
            <w:tcW w:w="4961"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rPr>
                <w:sz w:val="24"/>
                <w:szCs w:val="24"/>
              </w:rPr>
            </w:pPr>
            <w:r>
              <w:rPr>
                <w:sz w:val="24"/>
                <w:szCs w:val="24"/>
              </w:rPr>
              <w:t>Almindelig: S</w:t>
            </w:r>
            <w:r w:rsidRPr="00543BFE">
              <w:rPr>
                <w:sz w:val="24"/>
                <w:szCs w:val="24"/>
              </w:rPr>
              <w:t>øvnløshed</w:t>
            </w:r>
          </w:p>
        </w:tc>
      </w:tr>
      <w:tr w:rsidR="008D5948" w:rsidRPr="00543BFE" w:rsidTr="002574EE">
        <w:tc>
          <w:tcPr>
            <w:tcW w:w="3969"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rPr>
                <w:sz w:val="24"/>
                <w:szCs w:val="24"/>
              </w:rPr>
            </w:pPr>
            <w:r w:rsidRPr="00543BFE">
              <w:rPr>
                <w:sz w:val="24"/>
                <w:szCs w:val="24"/>
              </w:rPr>
              <w:t>Nervesystemet</w:t>
            </w:r>
          </w:p>
        </w:tc>
        <w:tc>
          <w:tcPr>
            <w:tcW w:w="4961"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rPr>
                <w:sz w:val="24"/>
                <w:szCs w:val="24"/>
              </w:rPr>
            </w:pPr>
            <w:r>
              <w:rPr>
                <w:sz w:val="24"/>
                <w:szCs w:val="24"/>
              </w:rPr>
              <w:t>Almindelig: H</w:t>
            </w:r>
            <w:r w:rsidRPr="00543BFE">
              <w:rPr>
                <w:sz w:val="24"/>
                <w:szCs w:val="24"/>
              </w:rPr>
              <w:t>ovedpine, svimmelhed, søvnighed</w:t>
            </w:r>
          </w:p>
        </w:tc>
      </w:tr>
      <w:tr w:rsidR="008D5948" w:rsidRPr="00543BFE" w:rsidTr="002574EE">
        <w:tc>
          <w:tcPr>
            <w:tcW w:w="3969"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rPr>
                <w:sz w:val="24"/>
                <w:szCs w:val="24"/>
              </w:rPr>
            </w:pPr>
            <w:r w:rsidRPr="00543BFE">
              <w:rPr>
                <w:sz w:val="24"/>
                <w:szCs w:val="24"/>
              </w:rPr>
              <w:t>Mave-tarm-kanalen</w:t>
            </w:r>
          </w:p>
        </w:tc>
        <w:tc>
          <w:tcPr>
            <w:tcW w:w="4961"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rPr>
                <w:sz w:val="24"/>
                <w:szCs w:val="24"/>
              </w:rPr>
            </w:pPr>
            <w:r>
              <w:rPr>
                <w:sz w:val="24"/>
                <w:szCs w:val="24"/>
              </w:rPr>
              <w:t>Almindelig: O</w:t>
            </w:r>
            <w:r w:rsidRPr="00543BFE">
              <w:rPr>
                <w:sz w:val="24"/>
                <w:szCs w:val="24"/>
              </w:rPr>
              <w:t>pkastning, diarré, kvalme, dyspepsi</w:t>
            </w:r>
          </w:p>
        </w:tc>
      </w:tr>
      <w:tr w:rsidR="008D5948" w:rsidRPr="00543BFE" w:rsidTr="002574EE">
        <w:tc>
          <w:tcPr>
            <w:tcW w:w="3969"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rPr>
                <w:sz w:val="24"/>
                <w:szCs w:val="24"/>
              </w:rPr>
            </w:pPr>
            <w:r w:rsidRPr="00543BFE">
              <w:rPr>
                <w:sz w:val="24"/>
                <w:szCs w:val="24"/>
              </w:rPr>
              <w:t>Lever og galdeveje</w:t>
            </w:r>
          </w:p>
        </w:tc>
        <w:tc>
          <w:tcPr>
            <w:tcW w:w="4961"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rPr>
                <w:sz w:val="24"/>
                <w:szCs w:val="24"/>
              </w:rPr>
            </w:pPr>
            <w:r>
              <w:rPr>
                <w:sz w:val="24"/>
                <w:szCs w:val="24"/>
              </w:rPr>
              <w:t>Almindelig: F</w:t>
            </w:r>
            <w:r w:rsidRPr="00543BFE">
              <w:rPr>
                <w:sz w:val="24"/>
                <w:szCs w:val="24"/>
              </w:rPr>
              <w:t xml:space="preserve">orhøjet </w:t>
            </w:r>
            <w:proofErr w:type="spellStart"/>
            <w:r w:rsidRPr="00543BFE">
              <w:rPr>
                <w:sz w:val="24"/>
                <w:szCs w:val="24"/>
              </w:rPr>
              <w:t>transaminase</w:t>
            </w:r>
            <w:proofErr w:type="spellEnd"/>
          </w:p>
        </w:tc>
      </w:tr>
      <w:tr w:rsidR="008D5948" w:rsidRPr="00543BFE" w:rsidTr="002574EE">
        <w:tc>
          <w:tcPr>
            <w:tcW w:w="3969"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rPr>
                <w:sz w:val="24"/>
                <w:szCs w:val="24"/>
              </w:rPr>
            </w:pPr>
            <w:r w:rsidRPr="00543BFE">
              <w:rPr>
                <w:sz w:val="24"/>
                <w:szCs w:val="24"/>
              </w:rPr>
              <w:t>Hud og subkutane væv</w:t>
            </w:r>
          </w:p>
        </w:tc>
        <w:tc>
          <w:tcPr>
            <w:tcW w:w="4961"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rPr>
                <w:sz w:val="24"/>
                <w:szCs w:val="24"/>
              </w:rPr>
            </w:pPr>
            <w:r>
              <w:rPr>
                <w:sz w:val="24"/>
                <w:szCs w:val="24"/>
              </w:rPr>
              <w:t>Ikke almindelig: U</w:t>
            </w:r>
            <w:r w:rsidRPr="00543BFE">
              <w:rPr>
                <w:sz w:val="24"/>
                <w:szCs w:val="24"/>
              </w:rPr>
              <w:t xml:space="preserve">dslæt, </w:t>
            </w:r>
            <w:proofErr w:type="spellStart"/>
            <w:r w:rsidRPr="00543BFE">
              <w:rPr>
                <w:sz w:val="24"/>
                <w:szCs w:val="24"/>
              </w:rPr>
              <w:t>alopeci</w:t>
            </w:r>
            <w:proofErr w:type="spellEnd"/>
          </w:p>
        </w:tc>
      </w:tr>
      <w:tr w:rsidR="008D5948" w:rsidRPr="00543BFE" w:rsidTr="002574EE">
        <w:tc>
          <w:tcPr>
            <w:tcW w:w="3969"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rPr>
                <w:sz w:val="24"/>
                <w:szCs w:val="24"/>
              </w:rPr>
            </w:pPr>
            <w:r w:rsidRPr="00543BFE">
              <w:rPr>
                <w:sz w:val="24"/>
                <w:szCs w:val="24"/>
              </w:rPr>
              <w:t>Almene symptomer og reaktioner på administrationsstedet</w:t>
            </w:r>
          </w:p>
        </w:tc>
        <w:tc>
          <w:tcPr>
            <w:tcW w:w="4961" w:type="dxa"/>
            <w:tcBorders>
              <w:top w:val="single" w:sz="4" w:space="0" w:color="auto"/>
              <w:left w:val="single" w:sz="4" w:space="0" w:color="auto"/>
              <w:bottom w:val="single" w:sz="4" w:space="0" w:color="auto"/>
              <w:right w:val="single" w:sz="4" w:space="0" w:color="auto"/>
            </w:tcBorders>
            <w:hideMark/>
          </w:tcPr>
          <w:p w:rsidR="008D5948" w:rsidRPr="00543BFE" w:rsidRDefault="008D5948" w:rsidP="002574EE">
            <w:pPr>
              <w:rPr>
                <w:sz w:val="24"/>
                <w:szCs w:val="24"/>
              </w:rPr>
            </w:pPr>
            <w:r>
              <w:rPr>
                <w:sz w:val="24"/>
                <w:szCs w:val="24"/>
              </w:rPr>
              <w:t>Almindelig: T</w:t>
            </w:r>
            <w:r w:rsidRPr="00543BFE">
              <w:rPr>
                <w:sz w:val="24"/>
                <w:szCs w:val="24"/>
              </w:rPr>
              <w:t>ræthed.</w:t>
            </w:r>
          </w:p>
        </w:tc>
      </w:tr>
    </w:tbl>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Der er rapporteret om tilfælde af </w:t>
      </w:r>
      <w:proofErr w:type="spellStart"/>
      <w:r w:rsidRPr="00543BFE">
        <w:rPr>
          <w:sz w:val="24"/>
          <w:szCs w:val="24"/>
        </w:rPr>
        <w:t>lactacidose</w:t>
      </w:r>
      <w:proofErr w:type="spellEnd"/>
      <w:r w:rsidRPr="00543BFE">
        <w:rPr>
          <w:sz w:val="24"/>
          <w:szCs w:val="24"/>
        </w:rPr>
        <w:t xml:space="preserve">, ofte associeret med </w:t>
      </w:r>
      <w:proofErr w:type="spellStart"/>
      <w:r w:rsidRPr="00543BFE">
        <w:rPr>
          <w:sz w:val="24"/>
          <w:szCs w:val="24"/>
        </w:rPr>
        <w:t>hepatisk</w:t>
      </w:r>
      <w:proofErr w:type="spellEnd"/>
      <w:r w:rsidRPr="00543BFE">
        <w:rPr>
          <w:sz w:val="24"/>
          <w:szCs w:val="24"/>
        </w:rPr>
        <w:t xml:space="preserve"> </w:t>
      </w:r>
      <w:proofErr w:type="spellStart"/>
      <w:r w:rsidRPr="00543BFE">
        <w:rPr>
          <w:sz w:val="24"/>
          <w:szCs w:val="24"/>
        </w:rPr>
        <w:t>dekompensation</w:t>
      </w:r>
      <w:proofErr w:type="spellEnd"/>
      <w:r w:rsidRPr="00543BFE">
        <w:rPr>
          <w:sz w:val="24"/>
          <w:szCs w:val="24"/>
        </w:rPr>
        <w:t>, andre alvorlige medicinske tilstande eller lægemiddeleksponering (se pkt. 4.4).</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Behandling ud over 48 uger: Fortsat behandlin</w:t>
      </w:r>
      <w:r>
        <w:rPr>
          <w:sz w:val="24"/>
          <w:szCs w:val="24"/>
        </w:rPr>
        <w:t xml:space="preserve">g med </w:t>
      </w:r>
      <w:proofErr w:type="spellStart"/>
      <w:r>
        <w:rPr>
          <w:sz w:val="24"/>
          <w:szCs w:val="24"/>
        </w:rPr>
        <w:t>entecavir</w:t>
      </w:r>
      <w:proofErr w:type="spellEnd"/>
      <w:r>
        <w:rPr>
          <w:sz w:val="24"/>
          <w:szCs w:val="24"/>
        </w:rPr>
        <w:t xml:space="preserve">, med en median </w:t>
      </w:r>
      <w:r w:rsidRPr="00543BFE">
        <w:rPr>
          <w:sz w:val="24"/>
          <w:szCs w:val="24"/>
        </w:rPr>
        <w:t>varighed på 96 uger, har ikke rejst nye sikkerhedsspørgsmål.</w:t>
      </w:r>
    </w:p>
    <w:p w:rsidR="008D5948" w:rsidRPr="00543BFE" w:rsidRDefault="008D5948" w:rsidP="008D5948">
      <w:pPr>
        <w:ind w:left="851" w:hanging="851"/>
        <w:rPr>
          <w:sz w:val="24"/>
          <w:szCs w:val="24"/>
        </w:rPr>
      </w:pPr>
    </w:p>
    <w:p w:rsidR="008D5948" w:rsidRPr="00543BFE" w:rsidRDefault="008D5948" w:rsidP="008D5948">
      <w:pPr>
        <w:numPr>
          <w:ilvl w:val="0"/>
          <w:numId w:val="12"/>
        </w:numPr>
        <w:ind w:left="1276" w:hanging="425"/>
        <w:rPr>
          <w:i/>
          <w:sz w:val="24"/>
          <w:szCs w:val="24"/>
        </w:rPr>
      </w:pPr>
      <w:r w:rsidRPr="00543BFE">
        <w:rPr>
          <w:i/>
          <w:sz w:val="24"/>
          <w:szCs w:val="24"/>
        </w:rPr>
        <w:t>Beskrivelse af udvalgte bivirkninger</w:t>
      </w:r>
    </w:p>
    <w:p w:rsidR="008D5948" w:rsidRPr="00543BFE" w:rsidRDefault="008D5948" w:rsidP="008D5948">
      <w:pPr>
        <w:ind w:left="851" w:hanging="851"/>
        <w:rPr>
          <w:i/>
          <w:sz w:val="24"/>
          <w:szCs w:val="24"/>
        </w:rPr>
      </w:pPr>
    </w:p>
    <w:p w:rsidR="008D5948" w:rsidRPr="00543BFE" w:rsidRDefault="008D5948" w:rsidP="008D5948">
      <w:pPr>
        <w:ind w:left="851"/>
        <w:rPr>
          <w:sz w:val="24"/>
          <w:szCs w:val="24"/>
        </w:rPr>
      </w:pPr>
      <w:r w:rsidRPr="00543BFE">
        <w:rPr>
          <w:sz w:val="24"/>
          <w:szCs w:val="24"/>
          <w:u w:val="single"/>
        </w:rPr>
        <w:t>Unormale laboratorieprøver:</w:t>
      </w:r>
      <w:r w:rsidRPr="00543BFE">
        <w:rPr>
          <w:sz w:val="24"/>
          <w:szCs w:val="24"/>
        </w:rPr>
        <w:t xml:space="preserve"> I kliniske studier med </w:t>
      </w:r>
      <w:proofErr w:type="spellStart"/>
      <w:r w:rsidRPr="00543BFE">
        <w:rPr>
          <w:sz w:val="24"/>
          <w:szCs w:val="24"/>
        </w:rPr>
        <w:t>nukleosidnaive</w:t>
      </w:r>
      <w:proofErr w:type="spellEnd"/>
      <w:r w:rsidRPr="00543BFE">
        <w:rPr>
          <w:sz w:val="24"/>
          <w:szCs w:val="24"/>
        </w:rPr>
        <w:t xml:space="preserve"> patienter havde 5 % ALAT-stigninger &gt; 3 gange baseline, og &lt; 1 % havde forhøjet ALAT &gt; 2 gange baseline samt total-bilirubin &gt; 2 gange den øvre normalgrænse (ULN) og &gt; 2 gange baseline. Albuminniveauer &lt; 2,5 g/dl (25 g/l) forekom hos &lt; 1 % af patienterne, amylaseniveauer &gt; 3 gange baseline hos 2 %, </w:t>
      </w:r>
      <w:proofErr w:type="spellStart"/>
      <w:r w:rsidRPr="00543BFE">
        <w:rPr>
          <w:sz w:val="24"/>
          <w:szCs w:val="24"/>
        </w:rPr>
        <w:t>lipaseniveauer</w:t>
      </w:r>
      <w:proofErr w:type="spellEnd"/>
      <w:r w:rsidRPr="00543BFE">
        <w:rPr>
          <w:sz w:val="24"/>
          <w:szCs w:val="24"/>
        </w:rPr>
        <w:t xml:space="preserve"> &gt; 3 gange baseline hos 11 % samt </w:t>
      </w:r>
      <w:proofErr w:type="spellStart"/>
      <w:r w:rsidRPr="00543BFE">
        <w:rPr>
          <w:sz w:val="24"/>
          <w:szCs w:val="24"/>
        </w:rPr>
        <w:t>trombocytter</w:t>
      </w:r>
      <w:proofErr w:type="spellEnd"/>
      <w:r w:rsidRPr="00543BFE">
        <w:rPr>
          <w:sz w:val="24"/>
          <w:szCs w:val="24"/>
        </w:rPr>
        <w:t xml:space="preserve"> &lt; 50.000/mm</w:t>
      </w:r>
      <w:r w:rsidRPr="00543BFE">
        <w:rPr>
          <w:sz w:val="24"/>
          <w:szCs w:val="24"/>
          <w:vertAlign w:val="superscript"/>
        </w:rPr>
        <w:t>3</w:t>
      </w:r>
      <w:r w:rsidRPr="00543BFE">
        <w:rPr>
          <w:sz w:val="24"/>
          <w:szCs w:val="24"/>
        </w:rPr>
        <w:t xml:space="preserve"> hos &lt; 1 %.</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I kliniske studier med </w:t>
      </w:r>
      <w:proofErr w:type="spellStart"/>
      <w:r w:rsidRPr="00543BFE">
        <w:rPr>
          <w:sz w:val="24"/>
          <w:szCs w:val="24"/>
        </w:rPr>
        <w:t>lamivudinrefraktære</w:t>
      </w:r>
      <w:proofErr w:type="spellEnd"/>
      <w:r w:rsidRPr="00543BFE">
        <w:rPr>
          <w:sz w:val="24"/>
          <w:szCs w:val="24"/>
        </w:rPr>
        <w:t xml:space="preserve"> patienter havde 4 % af patienterne ALAT-stigninger &gt; 3 gange baseline; &lt; 1 % havde ALAT-stigninger &gt; 2 gange baseline sammen med total-bilirubin &gt; 2 gange ULN og &gt; 2 gange baseline. Der sås amylaseniveauer &gt; 3 gange baseline hos 2 % af patienterne, </w:t>
      </w:r>
      <w:proofErr w:type="spellStart"/>
      <w:r w:rsidRPr="00543BFE">
        <w:rPr>
          <w:sz w:val="24"/>
          <w:szCs w:val="24"/>
        </w:rPr>
        <w:t>lipaseniveauer</w:t>
      </w:r>
      <w:proofErr w:type="spellEnd"/>
      <w:r w:rsidRPr="00543BFE">
        <w:rPr>
          <w:sz w:val="24"/>
          <w:szCs w:val="24"/>
        </w:rPr>
        <w:t xml:space="preserve"> &gt; 3 gange baseline hos 18 % og </w:t>
      </w:r>
      <w:proofErr w:type="spellStart"/>
      <w:r w:rsidRPr="00543BFE">
        <w:rPr>
          <w:sz w:val="24"/>
          <w:szCs w:val="24"/>
        </w:rPr>
        <w:t>trombocytter</w:t>
      </w:r>
      <w:proofErr w:type="spellEnd"/>
      <w:r w:rsidRPr="00543BFE">
        <w:rPr>
          <w:sz w:val="24"/>
          <w:szCs w:val="24"/>
        </w:rPr>
        <w:t xml:space="preserve"> &lt; 50.000/mm</w:t>
      </w:r>
      <w:r w:rsidRPr="00543BFE">
        <w:rPr>
          <w:sz w:val="24"/>
          <w:szCs w:val="24"/>
          <w:vertAlign w:val="superscript"/>
        </w:rPr>
        <w:t>3</w:t>
      </w:r>
      <w:r w:rsidRPr="00543BFE">
        <w:rPr>
          <w:sz w:val="24"/>
          <w:szCs w:val="24"/>
        </w:rPr>
        <w:t xml:space="preserve"> hos &lt; 1 %.</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proofErr w:type="spellStart"/>
      <w:r w:rsidRPr="00543BFE">
        <w:rPr>
          <w:sz w:val="24"/>
          <w:szCs w:val="24"/>
          <w:u w:val="single"/>
        </w:rPr>
        <w:t>Eksacerbationer</w:t>
      </w:r>
      <w:proofErr w:type="spellEnd"/>
      <w:r w:rsidRPr="00543BFE">
        <w:rPr>
          <w:sz w:val="24"/>
          <w:szCs w:val="24"/>
          <w:u w:val="single"/>
        </w:rPr>
        <w:t xml:space="preserve"> under behandling</w:t>
      </w:r>
      <w:r w:rsidRPr="00543BFE">
        <w:rPr>
          <w:sz w:val="24"/>
          <w:szCs w:val="24"/>
        </w:rPr>
        <w:t xml:space="preserve">: I studier med patienter, der ikke tidligere har været behandlet med </w:t>
      </w:r>
      <w:proofErr w:type="spellStart"/>
      <w:r w:rsidRPr="00543BFE">
        <w:rPr>
          <w:sz w:val="24"/>
          <w:szCs w:val="24"/>
        </w:rPr>
        <w:t>nukleosid</w:t>
      </w:r>
      <w:proofErr w:type="spellEnd"/>
      <w:r w:rsidRPr="00543BFE">
        <w:rPr>
          <w:sz w:val="24"/>
          <w:szCs w:val="24"/>
        </w:rPr>
        <w:t xml:space="preserve">, sås under behandling ALAT-stigninger &gt; 10 gange ULN og &gt; 2 gange baseline hos 2 % af de patienter i behandling med </w:t>
      </w:r>
      <w:proofErr w:type="spellStart"/>
      <w:r w:rsidRPr="00543BFE">
        <w:rPr>
          <w:sz w:val="24"/>
          <w:szCs w:val="24"/>
        </w:rPr>
        <w:t>entecavir</w:t>
      </w:r>
      <w:proofErr w:type="spellEnd"/>
      <w:r w:rsidRPr="00543BFE">
        <w:rPr>
          <w:sz w:val="24"/>
          <w:szCs w:val="24"/>
        </w:rPr>
        <w:t xml:space="preserve"> vs. 4 % af de patienter i behandling med </w:t>
      </w:r>
      <w:proofErr w:type="spellStart"/>
      <w:r w:rsidRPr="00543BFE">
        <w:rPr>
          <w:sz w:val="24"/>
          <w:szCs w:val="24"/>
        </w:rPr>
        <w:t>lamivudin</w:t>
      </w:r>
      <w:proofErr w:type="spellEnd"/>
      <w:r w:rsidRPr="00543BFE">
        <w:rPr>
          <w:sz w:val="24"/>
          <w:szCs w:val="24"/>
        </w:rPr>
        <w:t xml:space="preserve">. I studier med </w:t>
      </w:r>
      <w:proofErr w:type="spellStart"/>
      <w:r w:rsidRPr="00543BFE">
        <w:rPr>
          <w:sz w:val="24"/>
          <w:szCs w:val="24"/>
        </w:rPr>
        <w:t>lamivudinrefraktære</w:t>
      </w:r>
      <w:proofErr w:type="spellEnd"/>
      <w:r w:rsidRPr="00543BFE">
        <w:rPr>
          <w:sz w:val="24"/>
          <w:szCs w:val="24"/>
        </w:rPr>
        <w:t xml:space="preserve"> patienter sås under behandling ALAT-stigninger &gt; 10 gange ULN og &gt; 2 gange baseline hos 2 % af patienter i behandling med </w:t>
      </w:r>
      <w:proofErr w:type="spellStart"/>
      <w:r w:rsidRPr="00543BFE">
        <w:rPr>
          <w:sz w:val="24"/>
          <w:szCs w:val="24"/>
        </w:rPr>
        <w:t>entecavir</w:t>
      </w:r>
      <w:proofErr w:type="spellEnd"/>
      <w:r w:rsidRPr="00543BFE">
        <w:rPr>
          <w:sz w:val="24"/>
          <w:szCs w:val="24"/>
        </w:rPr>
        <w:t xml:space="preserve"> vs. 11 % af patienter i behandling med </w:t>
      </w:r>
      <w:proofErr w:type="spellStart"/>
      <w:r w:rsidRPr="00543BFE">
        <w:rPr>
          <w:sz w:val="24"/>
          <w:szCs w:val="24"/>
        </w:rPr>
        <w:t>lamivudin</w:t>
      </w:r>
      <w:proofErr w:type="spellEnd"/>
      <w:r w:rsidRPr="00543BFE">
        <w:rPr>
          <w:sz w:val="24"/>
          <w:szCs w:val="24"/>
        </w:rPr>
        <w:t xml:space="preserve">. Blandt patienter i behandling med </w:t>
      </w:r>
      <w:proofErr w:type="spellStart"/>
      <w:r w:rsidRPr="00543BFE">
        <w:rPr>
          <w:sz w:val="24"/>
          <w:szCs w:val="24"/>
        </w:rPr>
        <w:t>entecavir</w:t>
      </w:r>
      <w:proofErr w:type="spellEnd"/>
      <w:r w:rsidRPr="00543BFE">
        <w:rPr>
          <w:sz w:val="24"/>
          <w:szCs w:val="24"/>
        </w:rPr>
        <w:t xml:space="preserve"> var den </w:t>
      </w:r>
      <w:proofErr w:type="spellStart"/>
      <w:r w:rsidRPr="00543BFE">
        <w:rPr>
          <w:sz w:val="24"/>
          <w:szCs w:val="24"/>
        </w:rPr>
        <w:t>medianetid</w:t>
      </w:r>
      <w:proofErr w:type="spellEnd"/>
      <w:r w:rsidRPr="00543BFE">
        <w:rPr>
          <w:sz w:val="24"/>
          <w:szCs w:val="24"/>
        </w:rPr>
        <w:t xml:space="preserve"> til ALAT-stigninger under behandling 4-5 uger. Stigningerne svandt generelt ved fortsat behandling og de var, i de fleste tilfælde, forbundet med en ≥ 2 log</w:t>
      </w:r>
      <w:r w:rsidRPr="00543BFE">
        <w:rPr>
          <w:sz w:val="24"/>
          <w:szCs w:val="24"/>
          <w:vertAlign w:val="subscript"/>
        </w:rPr>
        <w:t>10</w:t>
      </w:r>
      <w:r w:rsidRPr="00543BFE">
        <w:rPr>
          <w:sz w:val="24"/>
          <w:szCs w:val="24"/>
        </w:rPr>
        <w:t>/ml reduktion i viral load, der gik forud for eller faldt sammen med ALAT-stigningen. Periodisk monitorering af leverfunktion anbefales under behandling.</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proofErr w:type="spellStart"/>
      <w:r w:rsidRPr="00543BFE">
        <w:rPr>
          <w:sz w:val="24"/>
          <w:szCs w:val="24"/>
          <w:u w:val="single"/>
        </w:rPr>
        <w:t>Eksacerbationer</w:t>
      </w:r>
      <w:proofErr w:type="spellEnd"/>
      <w:r w:rsidRPr="00543BFE">
        <w:rPr>
          <w:sz w:val="24"/>
          <w:szCs w:val="24"/>
          <w:u w:val="single"/>
        </w:rPr>
        <w:t xml:space="preserve"> efter </w:t>
      </w:r>
      <w:proofErr w:type="spellStart"/>
      <w:r w:rsidRPr="00543BFE">
        <w:rPr>
          <w:sz w:val="24"/>
          <w:szCs w:val="24"/>
          <w:u w:val="single"/>
        </w:rPr>
        <w:t>seponering</w:t>
      </w:r>
      <w:proofErr w:type="spellEnd"/>
      <w:r w:rsidRPr="00543BFE">
        <w:rPr>
          <w:sz w:val="24"/>
          <w:szCs w:val="24"/>
          <w:u w:val="single"/>
        </w:rPr>
        <w:t xml:space="preserve"> af behandling:</w:t>
      </w:r>
      <w:r w:rsidRPr="00543BFE">
        <w:rPr>
          <w:sz w:val="24"/>
          <w:szCs w:val="24"/>
        </w:rPr>
        <w:t xml:space="preserve"> Der er indberettet akutte </w:t>
      </w:r>
      <w:proofErr w:type="spellStart"/>
      <w:r w:rsidRPr="00543BFE">
        <w:rPr>
          <w:sz w:val="24"/>
          <w:szCs w:val="24"/>
        </w:rPr>
        <w:t>eksacerbationer</w:t>
      </w:r>
      <w:proofErr w:type="spellEnd"/>
      <w:r w:rsidRPr="00543BFE">
        <w:rPr>
          <w:sz w:val="24"/>
          <w:szCs w:val="24"/>
        </w:rPr>
        <w:t xml:space="preserve"> af hepatitis hos patienter, som har seponeret behandling af hepatitis B, inklusive behandling med </w:t>
      </w:r>
      <w:proofErr w:type="spellStart"/>
      <w:r w:rsidRPr="00543BFE">
        <w:rPr>
          <w:sz w:val="24"/>
          <w:szCs w:val="24"/>
        </w:rPr>
        <w:t>entecavir</w:t>
      </w:r>
      <w:proofErr w:type="spellEnd"/>
      <w:r w:rsidRPr="00543BFE">
        <w:rPr>
          <w:sz w:val="24"/>
          <w:szCs w:val="24"/>
        </w:rPr>
        <w:t xml:space="preserve"> (se pkt. 4.4). I studier med </w:t>
      </w:r>
      <w:proofErr w:type="spellStart"/>
      <w:r w:rsidRPr="00543BFE">
        <w:rPr>
          <w:sz w:val="24"/>
          <w:szCs w:val="24"/>
        </w:rPr>
        <w:t>nukleosidnaive</w:t>
      </w:r>
      <w:proofErr w:type="spellEnd"/>
      <w:r w:rsidRPr="00543BFE">
        <w:rPr>
          <w:sz w:val="24"/>
          <w:szCs w:val="24"/>
        </w:rPr>
        <w:t xml:space="preserve"> patienter oplevede 6 % af de patienter i behandling med </w:t>
      </w:r>
      <w:proofErr w:type="spellStart"/>
      <w:r w:rsidRPr="00543BFE">
        <w:rPr>
          <w:sz w:val="24"/>
          <w:szCs w:val="24"/>
        </w:rPr>
        <w:t>entecavir</w:t>
      </w:r>
      <w:proofErr w:type="spellEnd"/>
      <w:r w:rsidRPr="00543BFE">
        <w:rPr>
          <w:sz w:val="24"/>
          <w:szCs w:val="24"/>
        </w:rPr>
        <w:t xml:space="preserve"> og 10 % af de patienter i behandling med </w:t>
      </w:r>
      <w:proofErr w:type="spellStart"/>
      <w:r w:rsidRPr="00543BFE">
        <w:rPr>
          <w:sz w:val="24"/>
          <w:szCs w:val="24"/>
        </w:rPr>
        <w:t>lamivudin</w:t>
      </w:r>
      <w:proofErr w:type="spellEnd"/>
      <w:r w:rsidRPr="00543BFE">
        <w:rPr>
          <w:sz w:val="24"/>
          <w:szCs w:val="24"/>
        </w:rPr>
        <w:t xml:space="preserve"> ALAT-stigninger (&gt; 10 gange ULN og &gt; 2 gange referenceværdien (minimum af baseline eller sidste måling ved afslutning af behandling)) ved opfølgning efter behandling. Blandt </w:t>
      </w:r>
      <w:proofErr w:type="spellStart"/>
      <w:r w:rsidRPr="00543BFE">
        <w:rPr>
          <w:sz w:val="24"/>
          <w:szCs w:val="24"/>
        </w:rPr>
        <w:t>nukleosidnaive</w:t>
      </w:r>
      <w:proofErr w:type="spellEnd"/>
      <w:r w:rsidRPr="00543BFE">
        <w:rPr>
          <w:sz w:val="24"/>
          <w:szCs w:val="24"/>
        </w:rPr>
        <w:t xml:space="preserve"> patienter i behandling med </w:t>
      </w:r>
      <w:proofErr w:type="spellStart"/>
      <w:r w:rsidRPr="00543BFE">
        <w:rPr>
          <w:sz w:val="24"/>
          <w:szCs w:val="24"/>
        </w:rPr>
        <w:t>entecavir</w:t>
      </w:r>
      <w:proofErr w:type="spellEnd"/>
      <w:r w:rsidRPr="00543BFE">
        <w:rPr>
          <w:sz w:val="24"/>
          <w:szCs w:val="24"/>
        </w:rPr>
        <w:t xml:space="preserve"> var den </w:t>
      </w:r>
      <w:proofErr w:type="spellStart"/>
      <w:r w:rsidRPr="00543BFE">
        <w:rPr>
          <w:sz w:val="24"/>
          <w:szCs w:val="24"/>
        </w:rPr>
        <w:t>mediane</w:t>
      </w:r>
      <w:proofErr w:type="spellEnd"/>
      <w:r w:rsidRPr="00543BFE">
        <w:rPr>
          <w:sz w:val="24"/>
          <w:szCs w:val="24"/>
        </w:rPr>
        <w:t xml:space="preserve"> tid til ALAT-stigning 23-24 uger, og 86 % (24/28) af ALAT-stigningerne opstod hos </w:t>
      </w:r>
      <w:proofErr w:type="spellStart"/>
      <w:r w:rsidRPr="00543BFE">
        <w:rPr>
          <w:sz w:val="24"/>
          <w:szCs w:val="24"/>
        </w:rPr>
        <w:t>HBeAg</w:t>
      </w:r>
      <w:proofErr w:type="spellEnd"/>
      <w:r w:rsidRPr="00543BFE">
        <w:rPr>
          <w:sz w:val="24"/>
          <w:szCs w:val="24"/>
        </w:rPr>
        <w:t xml:space="preserve">-negative patienter. I studier med </w:t>
      </w:r>
      <w:proofErr w:type="spellStart"/>
      <w:r w:rsidRPr="00543BFE">
        <w:rPr>
          <w:sz w:val="24"/>
          <w:szCs w:val="24"/>
        </w:rPr>
        <w:t>lamivudinrefraktære</w:t>
      </w:r>
      <w:proofErr w:type="spellEnd"/>
      <w:r w:rsidRPr="00543BFE">
        <w:rPr>
          <w:sz w:val="24"/>
          <w:szCs w:val="24"/>
        </w:rPr>
        <w:t xml:space="preserve"> patienter, hvor kun et begrænset antal patienter blev fulgt op, udviklede 11 % af de patienter i behandling med </w:t>
      </w:r>
      <w:proofErr w:type="spellStart"/>
      <w:r w:rsidRPr="00543BFE">
        <w:rPr>
          <w:sz w:val="24"/>
          <w:szCs w:val="24"/>
        </w:rPr>
        <w:t>entecavir</w:t>
      </w:r>
      <w:proofErr w:type="spellEnd"/>
      <w:r w:rsidRPr="00543BFE">
        <w:rPr>
          <w:sz w:val="24"/>
          <w:szCs w:val="24"/>
        </w:rPr>
        <w:t xml:space="preserve"> og ingen af de patienter i behandling med </w:t>
      </w:r>
      <w:proofErr w:type="spellStart"/>
      <w:r w:rsidRPr="00543BFE">
        <w:rPr>
          <w:sz w:val="24"/>
          <w:szCs w:val="24"/>
        </w:rPr>
        <w:t>lamivudin</w:t>
      </w:r>
      <w:proofErr w:type="spellEnd"/>
      <w:r w:rsidRPr="00543BFE">
        <w:rPr>
          <w:sz w:val="24"/>
          <w:szCs w:val="24"/>
        </w:rPr>
        <w:t xml:space="preserve"> ALAT-stigninger under opfølgning efter behandling.</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I de kliniske forsøg blev behandling med </w:t>
      </w:r>
      <w:proofErr w:type="spellStart"/>
      <w:r w:rsidRPr="00543BFE">
        <w:rPr>
          <w:sz w:val="24"/>
          <w:szCs w:val="24"/>
        </w:rPr>
        <w:t>entecavir</w:t>
      </w:r>
      <w:proofErr w:type="spellEnd"/>
      <w:r w:rsidRPr="00543BFE">
        <w:rPr>
          <w:sz w:val="24"/>
          <w:szCs w:val="24"/>
        </w:rPr>
        <w:t xml:space="preserve"> seponeret, hvis patienterne oplevede et præspecificeret respons. Hvis behandling seponeres uafhængigt af behandlingsrespons, kan forekomst af ALAT-stigninger efter </w:t>
      </w:r>
      <w:proofErr w:type="spellStart"/>
      <w:r w:rsidRPr="00543BFE">
        <w:rPr>
          <w:sz w:val="24"/>
          <w:szCs w:val="24"/>
        </w:rPr>
        <w:t>seponering</w:t>
      </w:r>
      <w:proofErr w:type="spellEnd"/>
      <w:r w:rsidRPr="00543BFE">
        <w:rPr>
          <w:sz w:val="24"/>
          <w:szCs w:val="24"/>
        </w:rPr>
        <w:t xml:space="preserve"> være højere.</w:t>
      </w:r>
    </w:p>
    <w:p w:rsidR="008D5948" w:rsidRPr="00543BFE" w:rsidRDefault="008D5948" w:rsidP="008D5948">
      <w:pPr>
        <w:ind w:left="851" w:hanging="851"/>
        <w:rPr>
          <w:sz w:val="24"/>
          <w:szCs w:val="24"/>
        </w:rPr>
      </w:pPr>
    </w:p>
    <w:p w:rsidR="008D5948" w:rsidRPr="00543BFE" w:rsidRDefault="008D5948" w:rsidP="008D5948">
      <w:pPr>
        <w:numPr>
          <w:ilvl w:val="0"/>
          <w:numId w:val="12"/>
        </w:numPr>
        <w:ind w:left="1276" w:hanging="425"/>
        <w:rPr>
          <w:i/>
          <w:sz w:val="24"/>
          <w:szCs w:val="24"/>
        </w:rPr>
      </w:pPr>
      <w:r w:rsidRPr="00543BFE">
        <w:rPr>
          <w:i/>
          <w:sz w:val="24"/>
          <w:szCs w:val="24"/>
        </w:rPr>
        <w:t>Pædiatrisk population</w:t>
      </w:r>
    </w:p>
    <w:p w:rsidR="008D5948" w:rsidRPr="00543BFE" w:rsidRDefault="008D5948" w:rsidP="008D5948">
      <w:pPr>
        <w:ind w:left="851" w:hanging="851"/>
        <w:rPr>
          <w:i/>
          <w:sz w:val="24"/>
          <w:szCs w:val="24"/>
        </w:rPr>
      </w:pPr>
    </w:p>
    <w:p w:rsidR="002574EE" w:rsidRPr="00280FE8" w:rsidRDefault="002574EE" w:rsidP="002574EE">
      <w:pPr>
        <w:ind w:left="851"/>
        <w:rPr>
          <w:sz w:val="24"/>
          <w:szCs w:val="24"/>
        </w:rPr>
      </w:pPr>
      <w:proofErr w:type="spellStart"/>
      <w:r w:rsidRPr="00280FE8">
        <w:rPr>
          <w:sz w:val="24"/>
          <w:szCs w:val="24"/>
        </w:rPr>
        <w:t>Entecavirs</w:t>
      </w:r>
      <w:proofErr w:type="spellEnd"/>
      <w:r w:rsidRPr="00280FE8">
        <w:rPr>
          <w:sz w:val="24"/>
          <w:szCs w:val="24"/>
        </w:rPr>
        <w:t xml:space="preserve"> sikkerhed hos pædiatriske patienter fra 2 til &lt; 18 år er baseret på to kliniske studier med forsøgspersoner med kronisk HBV-infektion; et </w:t>
      </w:r>
      <w:proofErr w:type="spellStart"/>
      <w:r w:rsidRPr="00280FE8">
        <w:rPr>
          <w:sz w:val="24"/>
          <w:szCs w:val="24"/>
        </w:rPr>
        <w:t>farmakokinetisk</w:t>
      </w:r>
      <w:proofErr w:type="spellEnd"/>
      <w:r w:rsidRPr="00280FE8">
        <w:rPr>
          <w:sz w:val="24"/>
          <w:szCs w:val="24"/>
        </w:rPr>
        <w:t xml:space="preserve"> fase 2-studie (studie 028) og et fase 3-studie (studie 189). Disse studier tilvejebringer erfaring fra 195 </w:t>
      </w:r>
      <w:proofErr w:type="spellStart"/>
      <w:r w:rsidRPr="00280FE8">
        <w:rPr>
          <w:sz w:val="24"/>
          <w:szCs w:val="24"/>
        </w:rPr>
        <w:t>nukleosidnaive</w:t>
      </w:r>
      <w:proofErr w:type="spellEnd"/>
      <w:r w:rsidRPr="00280FE8">
        <w:rPr>
          <w:sz w:val="24"/>
          <w:szCs w:val="24"/>
        </w:rPr>
        <w:t xml:space="preserve">, </w:t>
      </w:r>
      <w:proofErr w:type="spellStart"/>
      <w:r w:rsidRPr="00280FE8">
        <w:rPr>
          <w:sz w:val="24"/>
          <w:szCs w:val="24"/>
        </w:rPr>
        <w:t>HBeAg</w:t>
      </w:r>
      <w:proofErr w:type="spellEnd"/>
      <w:r w:rsidRPr="00280FE8">
        <w:rPr>
          <w:sz w:val="24"/>
          <w:szCs w:val="24"/>
        </w:rPr>
        <w:t xml:space="preserve">-positive forsøgspersoner, som behandles med </w:t>
      </w:r>
      <w:proofErr w:type="spellStart"/>
      <w:r w:rsidRPr="00280FE8">
        <w:rPr>
          <w:sz w:val="24"/>
          <w:szCs w:val="24"/>
        </w:rPr>
        <w:t>entecavir</w:t>
      </w:r>
      <w:proofErr w:type="spellEnd"/>
      <w:r w:rsidRPr="00280FE8">
        <w:rPr>
          <w:sz w:val="24"/>
          <w:szCs w:val="24"/>
        </w:rPr>
        <w:t xml:space="preserve"> i en median periode på 99 uger. De bivirkninger, der blev observeret hos pædiatriske forsøgspersoner, som fik behandling med </w:t>
      </w:r>
      <w:proofErr w:type="spellStart"/>
      <w:r w:rsidRPr="00280FE8">
        <w:rPr>
          <w:sz w:val="24"/>
          <w:szCs w:val="24"/>
        </w:rPr>
        <w:t>entecavir</w:t>
      </w:r>
      <w:proofErr w:type="spellEnd"/>
      <w:r w:rsidRPr="00280FE8">
        <w:rPr>
          <w:sz w:val="24"/>
          <w:szCs w:val="24"/>
        </w:rPr>
        <w:t xml:space="preserve">, var de samme som de bivirkninger, der blev observeret hos voksne i kliniske studier med </w:t>
      </w:r>
      <w:proofErr w:type="spellStart"/>
      <w:r w:rsidRPr="00280FE8">
        <w:rPr>
          <w:sz w:val="24"/>
          <w:szCs w:val="24"/>
        </w:rPr>
        <w:t>entecavir</w:t>
      </w:r>
      <w:proofErr w:type="spellEnd"/>
      <w:r w:rsidRPr="00280FE8">
        <w:rPr>
          <w:sz w:val="24"/>
          <w:szCs w:val="24"/>
        </w:rPr>
        <w:t xml:space="preserve"> (se "</w:t>
      </w:r>
      <w:r w:rsidRPr="00280FE8">
        <w:rPr>
          <w:i/>
          <w:sz w:val="24"/>
          <w:szCs w:val="24"/>
        </w:rPr>
        <w:t xml:space="preserve">a. Oversigt over sikkerhedsprofilen" </w:t>
      </w:r>
      <w:r w:rsidRPr="00280FE8">
        <w:rPr>
          <w:sz w:val="24"/>
          <w:szCs w:val="24"/>
        </w:rPr>
        <w:t>og pkt. 5.1)</w:t>
      </w:r>
      <w:r w:rsidRPr="00280FE8">
        <w:rPr>
          <w:sz w:val="24"/>
          <w:szCs w:val="24"/>
        </w:rPr>
        <w:t xml:space="preserve"> med følgende undtagelse hos pædiatriske patienter:</w:t>
      </w:r>
    </w:p>
    <w:p w:rsidR="002574EE" w:rsidRPr="004C1C4D" w:rsidRDefault="002574EE" w:rsidP="004C1C4D">
      <w:pPr>
        <w:pStyle w:val="Listeafsnit"/>
        <w:numPr>
          <w:ilvl w:val="0"/>
          <w:numId w:val="13"/>
        </w:numPr>
        <w:rPr>
          <w:sz w:val="24"/>
          <w:szCs w:val="24"/>
        </w:rPr>
      </w:pPr>
      <w:r w:rsidRPr="00280FE8">
        <w:rPr>
          <w:sz w:val="24"/>
          <w:szCs w:val="24"/>
        </w:rPr>
        <w:t>meget almindelige bivirkninger</w:t>
      </w:r>
      <w:r w:rsidRPr="00280FE8">
        <w:rPr>
          <w:sz w:val="24"/>
          <w:szCs w:val="24"/>
        </w:rPr>
        <w:t xml:space="preserve">: </w:t>
      </w:r>
      <w:proofErr w:type="spellStart"/>
      <w:r w:rsidRPr="00280FE8">
        <w:rPr>
          <w:sz w:val="24"/>
          <w:szCs w:val="24"/>
        </w:rPr>
        <w:t>neutropeni</w:t>
      </w:r>
      <w:proofErr w:type="spellEnd"/>
    </w:p>
    <w:p w:rsidR="008D5948" w:rsidRPr="00543BFE" w:rsidRDefault="008D5948" w:rsidP="008D5948">
      <w:pPr>
        <w:ind w:left="851" w:hanging="851"/>
        <w:rPr>
          <w:sz w:val="24"/>
          <w:szCs w:val="24"/>
        </w:rPr>
      </w:pPr>
    </w:p>
    <w:p w:rsidR="008D5948" w:rsidRPr="00543BFE" w:rsidRDefault="008D5948" w:rsidP="008D5948">
      <w:pPr>
        <w:numPr>
          <w:ilvl w:val="0"/>
          <w:numId w:val="12"/>
        </w:numPr>
        <w:ind w:left="1276" w:hanging="425"/>
        <w:rPr>
          <w:i/>
          <w:sz w:val="24"/>
          <w:szCs w:val="24"/>
        </w:rPr>
      </w:pPr>
      <w:r w:rsidRPr="00543BFE">
        <w:rPr>
          <w:i/>
          <w:sz w:val="24"/>
          <w:szCs w:val="24"/>
        </w:rPr>
        <w:t>Andre særlige populationer</w:t>
      </w:r>
    </w:p>
    <w:p w:rsidR="008D5948" w:rsidRPr="00543BFE" w:rsidRDefault="008D5948" w:rsidP="008D5948">
      <w:pPr>
        <w:ind w:left="851" w:hanging="851"/>
        <w:rPr>
          <w:i/>
          <w:sz w:val="24"/>
          <w:szCs w:val="24"/>
        </w:rPr>
      </w:pPr>
    </w:p>
    <w:p w:rsidR="008D5948" w:rsidRPr="00543BFE" w:rsidRDefault="008D5948" w:rsidP="008D5948">
      <w:pPr>
        <w:ind w:left="851"/>
        <w:rPr>
          <w:sz w:val="24"/>
          <w:szCs w:val="24"/>
        </w:rPr>
      </w:pPr>
      <w:r w:rsidRPr="00543BFE">
        <w:rPr>
          <w:sz w:val="24"/>
          <w:szCs w:val="24"/>
          <w:u w:val="single"/>
        </w:rPr>
        <w:t xml:space="preserve">Erfaring med patienter med </w:t>
      </w:r>
      <w:proofErr w:type="spellStart"/>
      <w:r w:rsidRPr="00543BFE">
        <w:rPr>
          <w:sz w:val="24"/>
          <w:szCs w:val="24"/>
          <w:u w:val="single"/>
        </w:rPr>
        <w:t>dekompenseret</w:t>
      </w:r>
      <w:proofErr w:type="spellEnd"/>
      <w:r w:rsidRPr="00543BFE">
        <w:rPr>
          <w:sz w:val="24"/>
          <w:szCs w:val="24"/>
          <w:u w:val="single"/>
        </w:rPr>
        <w:t xml:space="preserve"> leversygdom:</w:t>
      </w:r>
      <w:r w:rsidRPr="00543BFE">
        <w:rPr>
          <w:sz w:val="24"/>
          <w:szCs w:val="24"/>
        </w:rPr>
        <w:t xml:space="preserve"> </w:t>
      </w:r>
      <w:proofErr w:type="spellStart"/>
      <w:r w:rsidRPr="00543BFE">
        <w:rPr>
          <w:sz w:val="24"/>
          <w:szCs w:val="24"/>
        </w:rPr>
        <w:t>Entecavirs</w:t>
      </w:r>
      <w:proofErr w:type="spellEnd"/>
      <w:r w:rsidRPr="00543BFE">
        <w:rPr>
          <w:sz w:val="24"/>
          <w:szCs w:val="24"/>
        </w:rPr>
        <w:t xml:space="preserve"> sikkerhedsprofil hos patienter med </w:t>
      </w:r>
      <w:proofErr w:type="spellStart"/>
      <w:r w:rsidRPr="00543BFE">
        <w:rPr>
          <w:sz w:val="24"/>
          <w:szCs w:val="24"/>
        </w:rPr>
        <w:t>dekompenseret</w:t>
      </w:r>
      <w:proofErr w:type="spellEnd"/>
      <w:r w:rsidRPr="00543BFE">
        <w:rPr>
          <w:sz w:val="24"/>
          <w:szCs w:val="24"/>
        </w:rPr>
        <w:t xml:space="preserve"> leversygdom er blevet undersøgt i et randomiseret, åbent, </w:t>
      </w:r>
      <w:r w:rsidRPr="00543BFE">
        <w:rPr>
          <w:sz w:val="24"/>
          <w:szCs w:val="24"/>
        </w:rPr>
        <w:lastRenderedPageBreak/>
        <w:t xml:space="preserve">sammenlignende studie, hvor patienter blev behandlet med </w:t>
      </w:r>
      <w:proofErr w:type="spellStart"/>
      <w:r w:rsidRPr="00543BFE">
        <w:rPr>
          <w:sz w:val="24"/>
          <w:szCs w:val="24"/>
        </w:rPr>
        <w:t>entecavir</w:t>
      </w:r>
      <w:proofErr w:type="spellEnd"/>
      <w:r w:rsidRPr="00543BFE">
        <w:rPr>
          <w:sz w:val="24"/>
          <w:szCs w:val="24"/>
        </w:rPr>
        <w:t xml:space="preserve"> 1 mg/dag (n=102) eller </w:t>
      </w:r>
      <w:proofErr w:type="spellStart"/>
      <w:r w:rsidRPr="00543BFE">
        <w:rPr>
          <w:sz w:val="24"/>
          <w:szCs w:val="24"/>
        </w:rPr>
        <w:t>adefovirdipivoxil</w:t>
      </w:r>
      <w:proofErr w:type="spellEnd"/>
      <w:r w:rsidRPr="00543BFE">
        <w:rPr>
          <w:sz w:val="24"/>
          <w:szCs w:val="24"/>
        </w:rPr>
        <w:t xml:space="preserve"> 10 mg/dag (n=89) (studie 048). I forhold til de bivirkninger, der er anført i pkt. </w:t>
      </w:r>
      <w:r w:rsidRPr="00543BFE">
        <w:rPr>
          <w:i/>
          <w:sz w:val="24"/>
          <w:szCs w:val="24"/>
        </w:rPr>
        <w:t>b</w:t>
      </w:r>
      <w:r w:rsidRPr="00543BFE">
        <w:rPr>
          <w:sz w:val="24"/>
          <w:szCs w:val="24"/>
        </w:rPr>
        <w:t xml:space="preserve">. </w:t>
      </w:r>
      <w:r w:rsidRPr="00543BFE">
        <w:rPr>
          <w:i/>
          <w:sz w:val="24"/>
          <w:szCs w:val="24"/>
        </w:rPr>
        <w:t>Liste i tabelform over bivirkninger</w:t>
      </w:r>
      <w:r w:rsidRPr="00543BFE">
        <w:rPr>
          <w:sz w:val="24"/>
          <w:szCs w:val="24"/>
        </w:rPr>
        <w:t xml:space="preserve">, blev der observeret en yderligere bivirkning (fald i </w:t>
      </w:r>
      <w:proofErr w:type="spellStart"/>
      <w:r w:rsidRPr="00543BFE">
        <w:rPr>
          <w:sz w:val="24"/>
          <w:szCs w:val="24"/>
        </w:rPr>
        <w:t>blodhydrogencarbonat</w:t>
      </w:r>
      <w:proofErr w:type="spellEnd"/>
      <w:r w:rsidRPr="00543BFE">
        <w:rPr>
          <w:sz w:val="24"/>
          <w:szCs w:val="24"/>
        </w:rPr>
        <w:t xml:space="preserve"> (2 %)) hos patienter i behandling med </w:t>
      </w:r>
      <w:proofErr w:type="spellStart"/>
      <w:r w:rsidRPr="00543BFE">
        <w:rPr>
          <w:sz w:val="24"/>
          <w:szCs w:val="24"/>
        </w:rPr>
        <w:t>entecavir</w:t>
      </w:r>
      <w:proofErr w:type="spellEnd"/>
      <w:r w:rsidRPr="00543BFE">
        <w:rPr>
          <w:sz w:val="24"/>
          <w:szCs w:val="24"/>
        </w:rPr>
        <w:t xml:space="preserve"> i uge 48. Den kumulative dødelighed i løbet af studiet var 23 % (23/102), og dødsårsagerne var generelt lever-relaterede som forventet i denne population. Den kumulative forekomst af </w:t>
      </w:r>
      <w:proofErr w:type="spellStart"/>
      <w:r w:rsidRPr="00543BFE">
        <w:rPr>
          <w:sz w:val="24"/>
          <w:szCs w:val="24"/>
        </w:rPr>
        <w:t>carcinoma</w:t>
      </w:r>
      <w:proofErr w:type="spellEnd"/>
      <w:r w:rsidRPr="00543BFE">
        <w:rPr>
          <w:sz w:val="24"/>
          <w:szCs w:val="24"/>
        </w:rPr>
        <w:t xml:space="preserve"> </w:t>
      </w:r>
      <w:proofErr w:type="spellStart"/>
      <w:r w:rsidRPr="00543BFE">
        <w:rPr>
          <w:sz w:val="24"/>
          <w:szCs w:val="24"/>
        </w:rPr>
        <w:t>hepatocellulare</w:t>
      </w:r>
      <w:proofErr w:type="spellEnd"/>
      <w:r w:rsidRPr="00543BFE">
        <w:rPr>
          <w:sz w:val="24"/>
          <w:szCs w:val="24"/>
        </w:rPr>
        <w:t xml:space="preserve"> (HCC) i løbet af studiet var 12 % (12/102). Alvorlige bivirkninger var generelt leverrelaterede med en kumulativ forekomst i studiet på 69 %. Patienter med højt CTP-tal ved baseline havde større risiko for at få alvorlige bivirkninger (se pkt. 4.4).</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u w:val="single"/>
        </w:rPr>
        <w:t>Unormale laboratorieprøver:</w:t>
      </w:r>
      <w:r w:rsidRPr="00543BFE">
        <w:rPr>
          <w:sz w:val="24"/>
          <w:szCs w:val="24"/>
        </w:rPr>
        <w:t xml:space="preserve"> I uge 48 havde ingen af patienterne i behandling med </w:t>
      </w:r>
      <w:proofErr w:type="spellStart"/>
      <w:r w:rsidRPr="00543BFE">
        <w:rPr>
          <w:sz w:val="24"/>
          <w:szCs w:val="24"/>
        </w:rPr>
        <w:t>entecavir</w:t>
      </w:r>
      <w:proofErr w:type="spellEnd"/>
      <w:r w:rsidRPr="00543BFE">
        <w:rPr>
          <w:sz w:val="24"/>
          <w:szCs w:val="24"/>
        </w:rPr>
        <w:t xml:space="preserve"> med </w:t>
      </w:r>
      <w:proofErr w:type="spellStart"/>
      <w:r w:rsidRPr="00543BFE">
        <w:rPr>
          <w:sz w:val="24"/>
          <w:szCs w:val="24"/>
        </w:rPr>
        <w:t>dekompenseret</w:t>
      </w:r>
      <w:proofErr w:type="spellEnd"/>
      <w:r w:rsidRPr="00543BFE">
        <w:rPr>
          <w:sz w:val="24"/>
          <w:szCs w:val="24"/>
        </w:rPr>
        <w:t xml:space="preserve"> leversygdom ALAT-forhøjelse &gt; 10 gange ULN og &gt; 2 gange baseline og 1 % af patienterne havde ALAT-forhøjelser &gt; 2 gange baseline og samtidig total-bilirubin &gt; 2 gange ULN og &gt; 2 gange baseline. Albuminniveauer &lt; 2,5 g/dl forekom hos 30 % af patienterne, </w:t>
      </w:r>
      <w:proofErr w:type="spellStart"/>
      <w:r w:rsidRPr="00543BFE">
        <w:rPr>
          <w:sz w:val="24"/>
          <w:szCs w:val="24"/>
        </w:rPr>
        <w:t>lipaseniveauer</w:t>
      </w:r>
      <w:proofErr w:type="spellEnd"/>
      <w:r w:rsidRPr="00543BFE">
        <w:rPr>
          <w:sz w:val="24"/>
          <w:szCs w:val="24"/>
        </w:rPr>
        <w:t xml:space="preserve"> &gt; 3 gange baseline hos 10 % af patienterne og blodplader &lt; 50.000/mm</w:t>
      </w:r>
      <w:r w:rsidRPr="00543BFE">
        <w:rPr>
          <w:sz w:val="24"/>
          <w:szCs w:val="24"/>
          <w:vertAlign w:val="superscript"/>
        </w:rPr>
        <w:t>3</w:t>
      </w:r>
      <w:r w:rsidRPr="00543BFE">
        <w:rPr>
          <w:sz w:val="24"/>
          <w:szCs w:val="24"/>
        </w:rPr>
        <w:t xml:space="preserve"> hos 20 % af patienterne.</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u w:val="single"/>
        </w:rPr>
        <w:t>Erfaring med patienter med samtidig hiv-infektion</w:t>
      </w:r>
      <w:r w:rsidRPr="00543BFE">
        <w:rPr>
          <w:sz w:val="24"/>
          <w:szCs w:val="24"/>
        </w:rPr>
        <w:t>: I en mindre gruppe patienter med hiv/HBV-infektion i HAART-regimer (</w:t>
      </w:r>
      <w:proofErr w:type="spellStart"/>
      <w:r w:rsidRPr="00543BFE">
        <w:rPr>
          <w:sz w:val="24"/>
          <w:szCs w:val="24"/>
        </w:rPr>
        <w:t>highly</w:t>
      </w:r>
      <w:proofErr w:type="spellEnd"/>
      <w:r w:rsidRPr="00543BFE">
        <w:rPr>
          <w:sz w:val="24"/>
          <w:szCs w:val="24"/>
        </w:rPr>
        <w:t xml:space="preserve"> </w:t>
      </w:r>
      <w:proofErr w:type="spellStart"/>
      <w:r w:rsidRPr="00543BFE">
        <w:rPr>
          <w:sz w:val="24"/>
          <w:szCs w:val="24"/>
        </w:rPr>
        <w:t>active</w:t>
      </w:r>
      <w:proofErr w:type="spellEnd"/>
      <w:r w:rsidRPr="00543BFE">
        <w:rPr>
          <w:sz w:val="24"/>
          <w:szCs w:val="24"/>
        </w:rPr>
        <w:t xml:space="preserve"> </w:t>
      </w:r>
      <w:proofErr w:type="spellStart"/>
      <w:r w:rsidRPr="00543BFE">
        <w:rPr>
          <w:sz w:val="24"/>
          <w:szCs w:val="24"/>
        </w:rPr>
        <w:t>antiretroviral</w:t>
      </w:r>
      <w:proofErr w:type="spellEnd"/>
      <w:r w:rsidRPr="00543BFE">
        <w:rPr>
          <w:sz w:val="24"/>
          <w:szCs w:val="24"/>
        </w:rPr>
        <w:t xml:space="preserve"> </w:t>
      </w:r>
      <w:proofErr w:type="spellStart"/>
      <w:r w:rsidRPr="00543BFE">
        <w:rPr>
          <w:sz w:val="24"/>
          <w:szCs w:val="24"/>
        </w:rPr>
        <w:t>therapy</w:t>
      </w:r>
      <w:proofErr w:type="spellEnd"/>
      <w:r w:rsidRPr="00543BFE">
        <w:rPr>
          <w:sz w:val="24"/>
          <w:szCs w:val="24"/>
        </w:rPr>
        <w:t xml:space="preserve">), der omfattede </w:t>
      </w:r>
      <w:proofErr w:type="spellStart"/>
      <w:r w:rsidRPr="00543BFE">
        <w:rPr>
          <w:sz w:val="24"/>
          <w:szCs w:val="24"/>
        </w:rPr>
        <w:t>lamivudin</w:t>
      </w:r>
      <w:proofErr w:type="spellEnd"/>
      <w:r w:rsidRPr="00543BFE">
        <w:rPr>
          <w:sz w:val="24"/>
          <w:szCs w:val="24"/>
        </w:rPr>
        <w:t xml:space="preserve">, svarede </w:t>
      </w:r>
      <w:proofErr w:type="spellStart"/>
      <w:r w:rsidRPr="00543BFE">
        <w:rPr>
          <w:sz w:val="24"/>
          <w:szCs w:val="24"/>
        </w:rPr>
        <w:t>entecavirs</w:t>
      </w:r>
      <w:proofErr w:type="spellEnd"/>
      <w:r w:rsidRPr="00543BFE">
        <w:rPr>
          <w:sz w:val="24"/>
          <w:szCs w:val="24"/>
        </w:rPr>
        <w:t xml:space="preserve"> sikkerhedsprofil til den hos monoinficerede HBV-patienter (se pkt. 4.4).</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u w:val="single"/>
        </w:rPr>
        <w:t>Køn/alder:</w:t>
      </w:r>
      <w:r w:rsidRPr="00543BFE">
        <w:rPr>
          <w:sz w:val="24"/>
          <w:szCs w:val="24"/>
        </w:rPr>
        <w:t xml:space="preserve"> Der observeredes ingen åbenlyse forskelle i sikkerhedsprofil for </w:t>
      </w:r>
      <w:proofErr w:type="spellStart"/>
      <w:r w:rsidRPr="00543BFE">
        <w:rPr>
          <w:sz w:val="24"/>
          <w:szCs w:val="24"/>
        </w:rPr>
        <w:t>entecavir</w:t>
      </w:r>
      <w:proofErr w:type="spellEnd"/>
      <w:r w:rsidRPr="00543BFE">
        <w:rPr>
          <w:sz w:val="24"/>
          <w:szCs w:val="24"/>
        </w:rPr>
        <w:t xml:space="preserve"> med hensyn til køn (≈ 25 % kvinder i kliniske studier) eller alder (≈ 5 % &gt; 65 år).</w:t>
      </w:r>
    </w:p>
    <w:p w:rsidR="008D5948" w:rsidRPr="00543BFE" w:rsidRDefault="008D5948" w:rsidP="008D5948">
      <w:pPr>
        <w:ind w:left="851" w:hanging="851"/>
        <w:rPr>
          <w:sz w:val="24"/>
          <w:szCs w:val="24"/>
        </w:rPr>
      </w:pPr>
    </w:p>
    <w:p w:rsidR="008D5948" w:rsidRPr="003952CE" w:rsidRDefault="008D5948" w:rsidP="008D5948">
      <w:pPr>
        <w:autoSpaceDE w:val="0"/>
        <w:autoSpaceDN w:val="0"/>
        <w:ind w:left="851"/>
        <w:rPr>
          <w:sz w:val="24"/>
          <w:szCs w:val="24"/>
          <w:u w:val="single"/>
        </w:rPr>
      </w:pPr>
      <w:r w:rsidRPr="003952CE">
        <w:rPr>
          <w:sz w:val="24"/>
          <w:szCs w:val="24"/>
          <w:u w:val="single"/>
        </w:rPr>
        <w:t>Indberetning af formodede bivirkninger</w:t>
      </w:r>
    </w:p>
    <w:p w:rsidR="008D5948" w:rsidRPr="003952CE" w:rsidRDefault="008D5948" w:rsidP="008D5948">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2574EE">
        <w:rPr>
          <w:sz w:val="24"/>
          <w:szCs w:val="24"/>
        </w:rPr>
        <w:t>S</w:t>
      </w:r>
      <w:r w:rsidRPr="003952CE">
        <w:rPr>
          <w:sz w:val="24"/>
          <w:szCs w:val="24"/>
        </w:rPr>
        <w:t>undhedsperson</w:t>
      </w:r>
      <w:r w:rsidR="002574EE">
        <w:rPr>
          <w:sz w:val="24"/>
          <w:szCs w:val="24"/>
        </w:rPr>
        <w:t>er</w:t>
      </w:r>
      <w:r w:rsidRPr="003952CE">
        <w:rPr>
          <w:sz w:val="24"/>
          <w:szCs w:val="24"/>
        </w:rPr>
        <w:t xml:space="preserve"> anmodes om at indberette alle formodede bivirkninger via:</w:t>
      </w:r>
    </w:p>
    <w:p w:rsidR="008D5948" w:rsidRPr="003952CE" w:rsidRDefault="008D5948" w:rsidP="008D5948">
      <w:pPr>
        <w:tabs>
          <w:tab w:val="left" w:pos="2440"/>
        </w:tabs>
        <w:ind w:left="851"/>
        <w:rPr>
          <w:sz w:val="24"/>
          <w:szCs w:val="24"/>
        </w:rPr>
      </w:pPr>
    </w:p>
    <w:p w:rsidR="008D5948" w:rsidRPr="003952CE" w:rsidRDefault="008D5948" w:rsidP="008D5948">
      <w:pPr>
        <w:ind w:left="851"/>
        <w:rPr>
          <w:sz w:val="24"/>
          <w:szCs w:val="24"/>
        </w:rPr>
      </w:pPr>
      <w:r w:rsidRPr="003952CE">
        <w:rPr>
          <w:sz w:val="24"/>
          <w:szCs w:val="24"/>
        </w:rPr>
        <w:t>Lægemiddelstyrelsen</w:t>
      </w:r>
    </w:p>
    <w:p w:rsidR="008D5948" w:rsidRPr="003952CE" w:rsidRDefault="008D5948" w:rsidP="008D5948">
      <w:pPr>
        <w:ind w:left="851"/>
        <w:rPr>
          <w:sz w:val="24"/>
          <w:szCs w:val="24"/>
        </w:rPr>
      </w:pPr>
      <w:r w:rsidRPr="003952CE">
        <w:rPr>
          <w:sz w:val="24"/>
          <w:szCs w:val="24"/>
        </w:rPr>
        <w:t>Axel Heides Gade 1</w:t>
      </w:r>
    </w:p>
    <w:p w:rsidR="008D5948" w:rsidRPr="003952CE" w:rsidRDefault="008D5948" w:rsidP="008D5948">
      <w:pPr>
        <w:ind w:left="851"/>
        <w:rPr>
          <w:sz w:val="24"/>
          <w:szCs w:val="24"/>
        </w:rPr>
      </w:pPr>
      <w:r w:rsidRPr="003952CE">
        <w:rPr>
          <w:sz w:val="24"/>
          <w:szCs w:val="24"/>
        </w:rPr>
        <w:t>DK-2300 København S</w:t>
      </w:r>
    </w:p>
    <w:p w:rsidR="008D5948" w:rsidRPr="003952CE" w:rsidRDefault="008D5948" w:rsidP="002574EE">
      <w:pPr>
        <w:ind w:left="851"/>
        <w:rPr>
          <w:sz w:val="24"/>
          <w:szCs w:val="24"/>
          <w:lang w:val="en-US"/>
        </w:rPr>
      </w:pPr>
      <w:proofErr w:type="spellStart"/>
      <w:r w:rsidRPr="003952CE">
        <w:rPr>
          <w:sz w:val="24"/>
          <w:szCs w:val="24"/>
          <w:lang w:val="en-US"/>
        </w:rPr>
        <w:t>Websted</w:t>
      </w:r>
      <w:proofErr w:type="spellEnd"/>
      <w:r w:rsidRPr="003952CE">
        <w:rPr>
          <w:sz w:val="24"/>
          <w:szCs w:val="24"/>
          <w:lang w:val="en-US"/>
        </w:rPr>
        <w:t xml:space="preserve">: </w:t>
      </w:r>
      <w:hyperlink r:id="rId8" w:history="1">
        <w:r w:rsidRPr="003952CE">
          <w:rPr>
            <w:rStyle w:val="Hyperlink"/>
            <w:sz w:val="24"/>
            <w:szCs w:val="24"/>
            <w:lang w:val="en-US"/>
          </w:rPr>
          <w:t>www.meldenbivirkning.dk</w:t>
        </w:r>
      </w:hyperlink>
    </w:p>
    <w:p w:rsidR="008D5948" w:rsidRPr="008D6627" w:rsidRDefault="008D5948" w:rsidP="008D5948">
      <w:pPr>
        <w:pStyle w:val="Sidehoved"/>
        <w:tabs>
          <w:tab w:val="clear" w:pos="4819"/>
          <w:tab w:val="clear" w:pos="9638"/>
        </w:tabs>
        <w:ind w:left="851" w:hanging="851"/>
        <w:rPr>
          <w:szCs w:val="24"/>
          <w:lang w:val="en-US"/>
        </w:rPr>
      </w:pPr>
    </w:p>
    <w:p w:rsidR="008D5948" w:rsidRPr="00543BFE" w:rsidRDefault="008D5948" w:rsidP="008D5948">
      <w:pPr>
        <w:ind w:left="851" w:hanging="851"/>
        <w:rPr>
          <w:b/>
          <w:sz w:val="24"/>
          <w:szCs w:val="24"/>
        </w:rPr>
      </w:pPr>
      <w:r w:rsidRPr="00543BFE">
        <w:rPr>
          <w:b/>
          <w:sz w:val="24"/>
          <w:szCs w:val="24"/>
        </w:rPr>
        <w:t>4.9</w:t>
      </w:r>
      <w:r w:rsidRPr="00543BFE">
        <w:rPr>
          <w:b/>
          <w:sz w:val="24"/>
          <w:szCs w:val="24"/>
        </w:rPr>
        <w:tab/>
        <w:t>Overdosering</w:t>
      </w:r>
    </w:p>
    <w:p w:rsidR="008D5948" w:rsidRPr="00543BFE" w:rsidRDefault="008D5948" w:rsidP="008D5948">
      <w:pPr>
        <w:ind w:left="851"/>
        <w:rPr>
          <w:sz w:val="24"/>
          <w:szCs w:val="24"/>
          <w:lang w:eastAsia="da-DK"/>
        </w:rPr>
      </w:pPr>
      <w:r w:rsidRPr="00543BFE">
        <w:rPr>
          <w:sz w:val="24"/>
          <w:szCs w:val="24"/>
        </w:rPr>
        <w:t xml:space="preserve">Der er begrænset erfaring med tilfælde af overdosering af </w:t>
      </w:r>
      <w:proofErr w:type="spellStart"/>
      <w:r w:rsidRPr="00543BFE">
        <w:rPr>
          <w:sz w:val="24"/>
          <w:szCs w:val="24"/>
        </w:rPr>
        <w:t>entecavir</w:t>
      </w:r>
      <w:proofErr w:type="spellEnd"/>
      <w:r w:rsidRPr="00543BFE">
        <w:rPr>
          <w:sz w:val="24"/>
          <w:szCs w:val="24"/>
        </w:rPr>
        <w:t xml:space="preserve"> hos patienter. Raske frivillige, som har fået op til 20 mg/dag i op til 14 dage og enkeltdoser på op til 40 mg, har ikke oplevet uventede bivirkninger. I tilfælde af overdosis skal patienten monitoreres for tegn på toksicitet og gives understøttende standardbehandling efter behov.</w:t>
      </w: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4.10</w:t>
      </w:r>
      <w:r w:rsidRPr="00543BFE">
        <w:rPr>
          <w:b/>
          <w:sz w:val="24"/>
          <w:szCs w:val="24"/>
        </w:rPr>
        <w:tab/>
        <w:t>Udlevering</w:t>
      </w:r>
    </w:p>
    <w:p w:rsidR="008D5948" w:rsidRPr="00543BFE" w:rsidRDefault="008D5948" w:rsidP="008D5948">
      <w:pPr>
        <w:ind w:left="851"/>
        <w:rPr>
          <w:sz w:val="24"/>
          <w:szCs w:val="24"/>
        </w:rPr>
      </w:pPr>
      <w:r>
        <w:rPr>
          <w:sz w:val="24"/>
          <w:szCs w:val="24"/>
        </w:rPr>
        <w:t>BEGR - kun til sygehuse.</w:t>
      </w:r>
    </w:p>
    <w:p w:rsidR="008D5948" w:rsidRPr="00543BFE" w:rsidRDefault="008D5948" w:rsidP="008D5948">
      <w:pPr>
        <w:ind w:left="851" w:hanging="851"/>
        <w:rPr>
          <w:sz w:val="24"/>
          <w:szCs w:val="24"/>
        </w:rPr>
      </w:pPr>
    </w:p>
    <w:p w:rsidR="008D5948" w:rsidRDefault="008D5948" w:rsidP="008D5948">
      <w:pPr>
        <w:rPr>
          <w:sz w:val="24"/>
          <w:szCs w:val="24"/>
        </w:rPr>
      </w:pPr>
      <w:r>
        <w:rPr>
          <w:sz w:val="24"/>
          <w:szCs w:val="24"/>
        </w:rPr>
        <w:br w:type="page"/>
      </w: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5.</w:t>
      </w:r>
      <w:r w:rsidRPr="00543BFE">
        <w:rPr>
          <w:b/>
          <w:sz w:val="24"/>
          <w:szCs w:val="24"/>
        </w:rPr>
        <w:tab/>
        <w:t>FARMAKOLOGISKE EGENSKABER</w:t>
      </w:r>
    </w:p>
    <w:p w:rsidR="008D5948" w:rsidRPr="00543BFE" w:rsidRDefault="008D5948" w:rsidP="008D5948">
      <w:pPr>
        <w:ind w:left="851" w:hanging="851"/>
        <w:rPr>
          <w:sz w:val="24"/>
          <w:szCs w:val="24"/>
        </w:rPr>
      </w:pPr>
    </w:p>
    <w:p w:rsidR="008D5948" w:rsidRDefault="008D5948" w:rsidP="008D5948">
      <w:pPr>
        <w:ind w:left="851" w:hanging="851"/>
        <w:rPr>
          <w:b/>
          <w:sz w:val="24"/>
          <w:szCs w:val="24"/>
        </w:rPr>
      </w:pPr>
      <w:r w:rsidRPr="00543BFE">
        <w:rPr>
          <w:b/>
          <w:sz w:val="24"/>
          <w:szCs w:val="24"/>
        </w:rPr>
        <w:t>5.1</w:t>
      </w:r>
      <w:r w:rsidRPr="00543BFE">
        <w:rPr>
          <w:b/>
          <w:sz w:val="24"/>
          <w:szCs w:val="24"/>
        </w:rPr>
        <w:tab/>
      </w:r>
      <w:proofErr w:type="spellStart"/>
      <w:r w:rsidRPr="00543BFE">
        <w:rPr>
          <w:b/>
          <w:sz w:val="24"/>
          <w:szCs w:val="24"/>
        </w:rPr>
        <w:t>Farmakodynamiske</w:t>
      </w:r>
      <w:proofErr w:type="spellEnd"/>
      <w:r w:rsidRPr="00543BFE">
        <w:rPr>
          <w:b/>
          <w:sz w:val="24"/>
          <w:szCs w:val="24"/>
        </w:rPr>
        <w:t xml:space="preserve"> egenskaber</w:t>
      </w:r>
    </w:p>
    <w:p w:rsidR="00A54635" w:rsidRPr="00543BFE" w:rsidRDefault="00A54635" w:rsidP="00A54635">
      <w:pPr>
        <w:suppressAutoHyphens/>
        <w:ind w:left="851"/>
        <w:rPr>
          <w:sz w:val="24"/>
          <w:szCs w:val="24"/>
        </w:rPr>
      </w:pPr>
      <w:proofErr w:type="spellStart"/>
      <w:r w:rsidRPr="00A54635">
        <w:rPr>
          <w:sz w:val="24"/>
          <w:szCs w:val="24"/>
        </w:rPr>
        <w:t>Farmakoterapeutisk</w:t>
      </w:r>
      <w:proofErr w:type="spellEnd"/>
      <w:r w:rsidRPr="00A54635">
        <w:rPr>
          <w:sz w:val="24"/>
          <w:szCs w:val="24"/>
        </w:rPr>
        <w:t xml:space="preserve"> klassifikation:</w:t>
      </w:r>
      <w:r>
        <w:rPr>
          <w:b/>
          <w:sz w:val="24"/>
          <w:szCs w:val="24"/>
        </w:rPr>
        <w:t xml:space="preserve"> </w:t>
      </w:r>
      <w:r w:rsidRPr="00543BFE">
        <w:rPr>
          <w:sz w:val="24"/>
          <w:szCs w:val="24"/>
        </w:rPr>
        <w:t xml:space="preserve">Antivirale midler til systemisk brug, </w:t>
      </w:r>
      <w:proofErr w:type="spellStart"/>
      <w:r w:rsidRPr="00543BFE">
        <w:rPr>
          <w:sz w:val="24"/>
          <w:szCs w:val="24"/>
        </w:rPr>
        <w:t>nukl</w:t>
      </w:r>
      <w:r>
        <w:rPr>
          <w:sz w:val="24"/>
          <w:szCs w:val="24"/>
        </w:rPr>
        <w:t>eosid</w:t>
      </w:r>
      <w:proofErr w:type="spellEnd"/>
      <w:r>
        <w:rPr>
          <w:sz w:val="24"/>
          <w:szCs w:val="24"/>
        </w:rPr>
        <w:t xml:space="preserve"> og nukleotid revers </w:t>
      </w:r>
      <w:proofErr w:type="spellStart"/>
      <w:r>
        <w:rPr>
          <w:sz w:val="24"/>
          <w:szCs w:val="24"/>
        </w:rPr>
        <w:t>transc</w:t>
      </w:r>
      <w:r w:rsidRPr="00543BFE">
        <w:rPr>
          <w:sz w:val="24"/>
          <w:szCs w:val="24"/>
        </w:rPr>
        <w:t>riptase</w:t>
      </w:r>
      <w:proofErr w:type="spellEnd"/>
      <w:r>
        <w:rPr>
          <w:sz w:val="24"/>
          <w:szCs w:val="24"/>
        </w:rPr>
        <w:t>-</w:t>
      </w:r>
      <w:r w:rsidRPr="00543BFE">
        <w:rPr>
          <w:sz w:val="24"/>
          <w:szCs w:val="24"/>
        </w:rPr>
        <w:t>hæmmer</w:t>
      </w:r>
      <w:r>
        <w:rPr>
          <w:sz w:val="24"/>
          <w:szCs w:val="24"/>
        </w:rPr>
        <w:t>.</w:t>
      </w:r>
    </w:p>
    <w:p w:rsidR="00A54635" w:rsidRPr="00543BFE" w:rsidRDefault="00A54635" w:rsidP="008D5948">
      <w:pPr>
        <w:ind w:left="851" w:hanging="851"/>
        <w:rPr>
          <w:b/>
          <w:sz w:val="24"/>
          <w:szCs w:val="24"/>
        </w:rPr>
      </w:pPr>
      <w:r>
        <w:rPr>
          <w:b/>
          <w:sz w:val="24"/>
          <w:szCs w:val="24"/>
        </w:rPr>
        <w:tab/>
      </w:r>
      <w:r w:rsidRPr="00543BFE">
        <w:rPr>
          <w:sz w:val="24"/>
          <w:szCs w:val="24"/>
        </w:rPr>
        <w:t>ATC-kode: J</w:t>
      </w:r>
      <w:r>
        <w:rPr>
          <w:sz w:val="24"/>
          <w:szCs w:val="24"/>
        </w:rPr>
        <w:t xml:space="preserve"> </w:t>
      </w:r>
      <w:r w:rsidRPr="00543BFE">
        <w:rPr>
          <w:sz w:val="24"/>
          <w:szCs w:val="24"/>
        </w:rPr>
        <w:t>05</w:t>
      </w:r>
      <w:r>
        <w:rPr>
          <w:sz w:val="24"/>
          <w:szCs w:val="24"/>
        </w:rPr>
        <w:t xml:space="preserve"> </w:t>
      </w:r>
      <w:r w:rsidRPr="00543BFE">
        <w:rPr>
          <w:sz w:val="24"/>
          <w:szCs w:val="24"/>
        </w:rPr>
        <w:t>AF</w:t>
      </w:r>
      <w:r>
        <w:rPr>
          <w:sz w:val="24"/>
          <w:szCs w:val="24"/>
        </w:rPr>
        <w:t xml:space="preserve"> </w:t>
      </w:r>
      <w:r w:rsidRPr="00543BFE">
        <w:rPr>
          <w:sz w:val="24"/>
          <w:szCs w:val="24"/>
        </w:rPr>
        <w:t>10.</w:t>
      </w:r>
      <w:r>
        <w:rPr>
          <w:b/>
          <w:sz w:val="24"/>
          <w:szCs w:val="24"/>
        </w:rPr>
        <w:tab/>
      </w:r>
    </w:p>
    <w:p w:rsidR="008D5948" w:rsidRDefault="008D5948" w:rsidP="008D5948">
      <w:pPr>
        <w:suppressAutoHyphens/>
        <w:ind w:left="851" w:hanging="851"/>
        <w:rPr>
          <w:sz w:val="24"/>
          <w:szCs w:val="24"/>
          <w:u w:val="single"/>
        </w:rPr>
      </w:pPr>
    </w:p>
    <w:p w:rsidR="008D5948" w:rsidRPr="00543BFE" w:rsidRDefault="008D5948" w:rsidP="008D5948">
      <w:pPr>
        <w:suppressAutoHyphens/>
        <w:ind w:left="851"/>
        <w:rPr>
          <w:sz w:val="24"/>
          <w:szCs w:val="24"/>
          <w:u w:val="single"/>
          <w:lang w:eastAsia="da-DK"/>
        </w:rPr>
      </w:pPr>
      <w:r w:rsidRPr="00543BFE">
        <w:rPr>
          <w:sz w:val="24"/>
          <w:szCs w:val="24"/>
          <w:u w:val="single"/>
        </w:rPr>
        <w:t xml:space="preserve">Virkningsmekanisme </w:t>
      </w:r>
    </w:p>
    <w:p w:rsidR="008D5948" w:rsidRPr="00543BFE" w:rsidRDefault="008D5948" w:rsidP="008D5948">
      <w:pPr>
        <w:suppressAutoHyphens/>
        <w:ind w:left="851"/>
        <w:rPr>
          <w:sz w:val="24"/>
          <w:szCs w:val="24"/>
        </w:rPr>
      </w:pPr>
      <w:proofErr w:type="spellStart"/>
      <w:r w:rsidRPr="00543BFE">
        <w:rPr>
          <w:sz w:val="24"/>
          <w:szCs w:val="24"/>
        </w:rPr>
        <w:t>Entecavir</w:t>
      </w:r>
      <w:proofErr w:type="spellEnd"/>
      <w:r w:rsidRPr="00543BFE">
        <w:rPr>
          <w:sz w:val="24"/>
          <w:szCs w:val="24"/>
        </w:rPr>
        <w:t xml:space="preserve">, en </w:t>
      </w:r>
      <w:proofErr w:type="spellStart"/>
      <w:r w:rsidRPr="00543BFE">
        <w:rPr>
          <w:sz w:val="24"/>
          <w:szCs w:val="24"/>
        </w:rPr>
        <w:t>guanosin-nukleosidanalog</w:t>
      </w:r>
      <w:proofErr w:type="spellEnd"/>
      <w:r w:rsidRPr="00543BFE">
        <w:rPr>
          <w:sz w:val="24"/>
          <w:szCs w:val="24"/>
        </w:rPr>
        <w:t xml:space="preserve"> med aktivitet mod HBV-polymerase, </w:t>
      </w:r>
      <w:proofErr w:type="spellStart"/>
      <w:r w:rsidRPr="00543BFE">
        <w:rPr>
          <w:sz w:val="24"/>
          <w:szCs w:val="24"/>
        </w:rPr>
        <w:t>phosphoryleres</w:t>
      </w:r>
      <w:proofErr w:type="spellEnd"/>
      <w:r w:rsidRPr="00543BFE">
        <w:rPr>
          <w:sz w:val="24"/>
          <w:szCs w:val="24"/>
        </w:rPr>
        <w:t xml:space="preserve"> effektivt til den aktive </w:t>
      </w:r>
      <w:proofErr w:type="spellStart"/>
      <w:r w:rsidRPr="00543BFE">
        <w:rPr>
          <w:sz w:val="24"/>
          <w:szCs w:val="24"/>
        </w:rPr>
        <w:t>triphosphat</w:t>
      </w:r>
      <w:proofErr w:type="spellEnd"/>
      <w:r w:rsidRPr="00543BFE">
        <w:rPr>
          <w:sz w:val="24"/>
          <w:szCs w:val="24"/>
        </w:rPr>
        <w:t xml:space="preserve">-form (TP), som har en intracellulær halveringstid på 15 timer. Ved at konkurrere med det naturlige substrat </w:t>
      </w:r>
      <w:proofErr w:type="spellStart"/>
      <w:r w:rsidRPr="00543BFE">
        <w:rPr>
          <w:sz w:val="24"/>
          <w:szCs w:val="24"/>
        </w:rPr>
        <w:t>deoxyguanosin</w:t>
      </w:r>
      <w:proofErr w:type="spellEnd"/>
      <w:r w:rsidRPr="00543BFE">
        <w:rPr>
          <w:sz w:val="24"/>
          <w:szCs w:val="24"/>
        </w:rPr>
        <w:t xml:space="preserve">-TP, hæmmer </w:t>
      </w:r>
      <w:proofErr w:type="spellStart"/>
      <w:r w:rsidRPr="00543BFE">
        <w:rPr>
          <w:sz w:val="24"/>
          <w:szCs w:val="24"/>
        </w:rPr>
        <w:t>entecavir</w:t>
      </w:r>
      <w:proofErr w:type="spellEnd"/>
      <w:r w:rsidRPr="00543BFE">
        <w:rPr>
          <w:sz w:val="24"/>
          <w:szCs w:val="24"/>
        </w:rPr>
        <w:t xml:space="preserve">-TP funktionelt de 3 aktiviteter af den virale polymerase: (1) </w:t>
      </w:r>
      <w:proofErr w:type="spellStart"/>
      <w:r w:rsidRPr="00543BFE">
        <w:rPr>
          <w:sz w:val="24"/>
          <w:szCs w:val="24"/>
        </w:rPr>
        <w:t>priming</w:t>
      </w:r>
      <w:proofErr w:type="spellEnd"/>
      <w:r w:rsidRPr="00543BFE">
        <w:rPr>
          <w:sz w:val="24"/>
          <w:szCs w:val="24"/>
        </w:rPr>
        <w:t xml:space="preserve"> af HBV-polymerase, (2) </w:t>
      </w:r>
      <w:proofErr w:type="spellStart"/>
      <w:r w:rsidRPr="00543BFE">
        <w:rPr>
          <w:sz w:val="24"/>
          <w:szCs w:val="24"/>
        </w:rPr>
        <w:t>reverstranskription</w:t>
      </w:r>
      <w:proofErr w:type="spellEnd"/>
      <w:r w:rsidRPr="00543BFE">
        <w:rPr>
          <w:sz w:val="24"/>
          <w:szCs w:val="24"/>
        </w:rPr>
        <w:t xml:space="preserve"> af den negative streng dna fra det </w:t>
      </w:r>
      <w:proofErr w:type="spellStart"/>
      <w:r w:rsidRPr="00543BFE">
        <w:rPr>
          <w:sz w:val="24"/>
          <w:szCs w:val="24"/>
        </w:rPr>
        <w:t>prægenome</w:t>
      </w:r>
      <w:proofErr w:type="spellEnd"/>
      <w:r w:rsidRPr="00543BFE">
        <w:rPr>
          <w:sz w:val="24"/>
          <w:szCs w:val="24"/>
        </w:rPr>
        <w:t xml:space="preserve"> </w:t>
      </w:r>
      <w:proofErr w:type="spellStart"/>
      <w:r w:rsidRPr="00543BFE">
        <w:rPr>
          <w:sz w:val="24"/>
          <w:szCs w:val="24"/>
        </w:rPr>
        <w:t>messenger-rna</w:t>
      </w:r>
      <w:proofErr w:type="spellEnd"/>
      <w:r w:rsidRPr="00543BFE">
        <w:rPr>
          <w:sz w:val="24"/>
          <w:szCs w:val="24"/>
        </w:rPr>
        <w:t xml:space="preserve"> og (3) syntese af den positive streng HBV-dna. </w:t>
      </w:r>
      <w:proofErr w:type="spellStart"/>
      <w:r w:rsidRPr="00543BFE">
        <w:rPr>
          <w:sz w:val="24"/>
          <w:szCs w:val="24"/>
        </w:rPr>
        <w:t>Entecavir</w:t>
      </w:r>
      <w:proofErr w:type="spellEnd"/>
      <w:r w:rsidRPr="00543BFE">
        <w:rPr>
          <w:sz w:val="24"/>
          <w:szCs w:val="24"/>
        </w:rPr>
        <w:t>-TP K</w:t>
      </w:r>
      <w:r w:rsidRPr="00543BFE">
        <w:rPr>
          <w:sz w:val="24"/>
          <w:szCs w:val="24"/>
          <w:vertAlign w:val="subscript"/>
        </w:rPr>
        <w:t>i</w:t>
      </w:r>
      <w:r w:rsidRPr="00543BFE">
        <w:rPr>
          <w:sz w:val="24"/>
          <w:szCs w:val="24"/>
        </w:rPr>
        <w:t xml:space="preserve"> for HBV-dna polymerase er 0,0012 </w:t>
      </w:r>
      <w:proofErr w:type="spellStart"/>
      <w:r w:rsidRPr="00543BFE">
        <w:rPr>
          <w:sz w:val="24"/>
          <w:szCs w:val="24"/>
        </w:rPr>
        <w:t>μM</w:t>
      </w:r>
      <w:proofErr w:type="spellEnd"/>
      <w:r w:rsidRPr="00543BFE">
        <w:rPr>
          <w:sz w:val="24"/>
          <w:szCs w:val="24"/>
        </w:rPr>
        <w:t xml:space="preserve">. </w:t>
      </w:r>
      <w:proofErr w:type="spellStart"/>
      <w:r w:rsidRPr="00543BFE">
        <w:rPr>
          <w:sz w:val="24"/>
          <w:szCs w:val="24"/>
        </w:rPr>
        <w:t>Entecavir</w:t>
      </w:r>
      <w:proofErr w:type="spellEnd"/>
      <w:r w:rsidRPr="00543BFE">
        <w:rPr>
          <w:sz w:val="24"/>
          <w:szCs w:val="24"/>
        </w:rPr>
        <w:t>-TP er en svag hæmmer af cellulær dna-polymerase α, β og δ med K</w:t>
      </w:r>
      <w:r w:rsidRPr="00543BFE">
        <w:rPr>
          <w:sz w:val="24"/>
          <w:szCs w:val="24"/>
          <w:vertAlign w:val="subscript"/>
        </w:rPr>
        <w:t>i</w:t>
      </w:r>
      <w:r w:rsidRPr="00543BFE">
        <w:rPr>
          <w:sz w:val="24"/>
          <w:szCs w:val="24"/>
        </w:rPr>
        <w:t xml:space="preserve"> værdier på 18 - 40 µM. Dertil kommer, at høj eksponering af </w:t>
      </w:r>
      <w:proofErr w:type="spellStart"/>
      <w:r w:rsidRPr="00543BFE">
        <w:rPr>
          <w:sz w:val="24"/>
          <w:szCs w:val="24"/>
        </w:rPr>
        <w:t>entecavir</w:t>
      </w:r>
      <w:proofErr w:type="spellEnd"/>
      <w:r w:rsidRPr="00543BFE">
        <w:rPr>
          <w:sz w:val="24"/>
          <w:szCs w:val="24"/>
        </w:rPr>
        <w:t xml:space="preserve"> ikke havde relevante bivirkninger på γ-polymerase eller </w:t>
      </w:r>
      <w:proofErr w:type="spellStart"/>
      <w:r w:rsidRPr="00543BFE">
        <w:rPr>
          <w:sz w:val="24"/>
          <w:szCs w:val="24"/>
        </w:rPr>
        <w:t>mitochondriel</w:t>
      </w:r>
      <w:proofErr w:type="spellEnd"/>
      <w:r w:rsidRPr="00543BFE">
        <w:rPr>
          <w:sz w:val="24"/>
          <w:szCs w:val="24"/>
        </w:rPr>
        <w:t xml:space="preserve"> dna-syntese i HepG2-celler (K</w:t>
      </w:r>
      <w:r w:rsidRPr="00543BFE">
        <w:rPr>
          <w:sz w:val="24"/>
          <w:szCs w:val="24"/>
          <w:vertAlign w:val="subscript"/>
        </w:rPr>
        <w:t>i</w:t>
      </w:r>
      <w:r w:rsidRPr="00543BFE">
        <w:rPr>
          <w:sz w:val="24"/>
          <w:szCs w:val="24"/>
        </w:rPr>
        <w:t xml:space="preserve"> &gt; 160 µM).</w:t>
      </w:r>
    </w:p>
    <w:p w:rsidR="008D5948" w:rsidRPr="00543BFE" w:rsidRDefault="008D5948" w:rsidP="008D5948">
      <w:pPr>
        <w:suppressAutoHyphens/>
        <w:ind w:left="851" w:hanging="851"/>
        <w:rPr>
          <w:sz w:val="24"/>
          <w:szCs w:val="24"/>
        </w:rPr>
      </w:pPr>
    </w:p>
    <w:p w:rsidR="008D5948" w:rsidRPr="00543BFE" w:rsidRDefault="008D5948" w:rsidP="008D5948">
      <w:pPr>
        <w:suppressAutoHyphens/>
        <w:ind w:left="851"/>
        <w:rPr>
          <w:sz w:val="24"/>
          <w:szCs w:val="24"/>
          <w:u w:val="single"/>
        </w:rPr>
      </w:pPr>
      <w:proofErr w:type="spellStart"/>
      <w:r>
        <w:rPr>
          <w:sz w:val="24"/>
          <w:szCs w:val="24"/>
          <w:u w:val="single"/>
        </w:rPr>
        <w:t>Fa</w:t>
      </w:r>
      <w:r w:rsidRPr="00543BFE">
        <w:rPr>
          <w:sz w:val="24"/>
          <w:szCs w:val="24"/>
          <w:u w:val="single"/>
        </w:rPr>
        <w:t>rmakodynamisk</w:t>
      </w:r>
      <w:proofErr w:type="spellEnd"/>
      <w:r w:rsidRPr="00543BFE">
        <w:rPr>
          <w:sz w:val="24"/>
          <w:szCs w:val="24"/>
          <w:u w:val="single"/>
        </w:rPr>
        <w:t xml:space="preserve"> virkning:</w:t>
      </w:r>
    </w:p>
    <w:p w:rsidR="008D5948" w:rsidRPr="00543BFE" w:rsidRDefault="008D5948" w:rsidP="008D5948">
      <w:pPr>
        <w:suppressAutoHyphens/>
        <w:ind w:left="851"/>
        <w:rPr>
          <w:sz w:val="24"/>
          <w:szCs w:val="24"/>
        </w:rPr>
      </w:pPr>
      <w:r w:rsidRPr="00543BFE">
        <w:rPr>
          <w:b/>
          <w:sz w:val="24"/>
          <w:szCs w:val="24"/>
        </w:rPr>
        <w:t xml:space="preserve">Antiviral aktivitet: </w:t>
      </w:r>
      <w:proofErr w:type="spellStart"/>
      <w:r w:rsidRPr="00543BFE">
        <w:rPr>
          <w:sz w:val="24"/>
          <w:szCs w:val="24"/>
        </w:rPr>
        <w:t>Entecavir</w:t>
      </w:r>
      <w:proofErr w:type="spellEnd"/>
      <w:r w:rsidRPr="00543BFE">
        <w:rPr>
          <w:sz w:val="24"/>
          <w:szCs w:val="24"/>
        </w:rPr>
        <w:t xml:space="preserve"> hæmmer HBV-dna-syntese (50 % reduktion, EC</w:t>
      </w:r>
      <w:r w:rsidRPr="00543BFE">
        <w:rPr>
          <w:sz w:val="24"/>
          <w:szCs w:val="24"/>
          <w:vertAlign w:val="subscript"/>
        </w:rPr>
        <w:t>50</w:t>
      </w:r>
      <w:r w:rsidRPr="00543BFE">
        <w:rPr>
          <w:sz w:val="24"/>
          <w:szCs w:val="24"/>
        </w:rPr>
        <w:t xml:space="preserve">) ved en koncentration på 0,004 µM i humane HepG2-celler </w:t>
      </w:r>
      <w:proofErr w:type="spellStart"/>
      <w:r w:rsidRPr="00543BFE">
        <w:rPr>
          <w:sz w:val="24"/>
          <w:szCs w:val="24"/>
        </w:rPr>
        <w:t>transficeret</w:t>
      </w:r>
      <w:proofErr w:type="spellEnd"/>
      <w:r w:rsidRPr="00543BFE">
        <w:rPr>
          <w:sz w:val="24"/>
          <w:szCs w:val="24"/>
        </w:rPr>
        <w:t xml:space="preserve"> med wild-type HBV. Den </w:t>
      </w:r>
      <w:proofErr w:type="spellStart"/>
      <w:r w:rsidRPr="00543BFE">
        <w:rPr>
          <w:sz w:val="24"/>
          <w:szCs w:val="24"/>
        </w:rPr>
        <w:t>mediane</w:t>
      </w:r>
      <w:proofErr w:type="spellEnd"/>
      <w:r w:rsidRPr="00543BFE">
        <w:rPr>
          <w:sz w:val="24"/>
          <w:szCs w:val="24"/>
        </w:rPr>
        <w:t xml:space="preserve"> EC</w:t>
      </w:r>
      <w:r w:rsidRPr="00543BFE">
        <w:rPr>
          <w:sz w:val="24"/>
          <w:szCs w:val="24"/>
          <w:vertAlign w:val="subscript"/>
        </w:rPr>
        <w:t>50</w:t>
      </w:r>
      <w:r w:rsidRPr="00543BFE">
        <w:rPr>
          <w:sz w:val="24"/>
          <w:szCs w:val="24"/>
        </w:rPr>
        <w:t xml:space="preserve">-værdi for </w:t>
      </w:r>
      <w:proofErr w:type="spellStart"/>
      <w:r w:rsidRPr="00543BFE">
        <w:rPr>
          <w:sz w:val="24"/>
          <w:szCs w:val="24"/>
        </w:rPr>
        <w:t>entecavir</w:t>
      </w:r>
      <w:proofErr w:type="spellEnd"/>
      <w:r w:rsidRPr="00543BFE">
        <w:rPr>
          <w:sz w:val="24"/>
          <w:szCs w:val="24"/>
        </w:rPr>
        <w:t xml:space="preserve"> mod </w:t>
      </w:r>
      <w:proofErr w:type="spellStart"/>
      <w:r w:rsidRPr="00543BFE">
        <w:rPr>
          <w:sz w:val="24"/>
          <w:szCs w:val="24"/>
        </w:rPr>
        <w:t>LVDr</w:t>
      </w:r>
      <w:proofErr w:type="spellEnd"/>
      <w:r w:rsidRPr="00543BFE">
        <w:rPr>
          <w:sz w:val="24"/>
          <w:szCs w:val="24"/>
        </w:rPr>
        <w:t xml:space="preserve"> HBV (rtL180M og rtM204V) er 0,026 µM (0,010 - 0,059 µM). </w:t>
      </w:r>
      <w:proofErr w:type="spellStart"/>
      <w:r w:rsidRPr="00543BFE">
        <w:rPr>
          <w:sz w:val="24"/>
          <w:szCs w:val="24"/>
        </w:rPr>
        <w:t>Rekombinante</w:t>
      </w:r>
      <w:proofErr w:type="spellEnd"/>
      <w:r w:rsidRPr="00543BFE">
        <w:rPr>
          <w:sz w:val="24"/>
          <w:szCs w:val="24"/>
        </w:rPr>
        <w:t xml:space="preserve"> vira, kodende for </w:t>
      </w:r>
      <w:proofErr w:type="spellStart"/>
      <w:r w:rsidRPr="00543BFE">
        <w:rPr>
          <w:sz w:val="24"/>
          <w:szCs w:val="24"/>
        </w:rPr>
        <w:t>adefovir</w:t>
      </w:r>
      <w:proofErr w:type="spellEnd"/>
      <w:r w:rsidRPr="00543BFE">
        <w:rPr>
          <w:sz w:val="24"/>
          <w:szCs w:val="24"/>
        </w:rPr>
        <w:t xml:space="preserve">-resistente substitutioner ved rtN236T eller rtA181V, forblev fuldt følsomme over for </w:t>
      </w:r>
      <w:proofErr w:type="spellStart"/>
      <w:r w:rsidRPr="00543BFE">
        <w:rPr>
          <w:sz w:val="24"/>
          <w:szCs w:val="24"/>
        </w:rPr>
        <w:t>entecavir</w:t>
      </w:r>
      <w:proofErr w:type="spellEnd"/>
      <w:r w:rsidRPr="00543BFE">
        <w:rPr>
          <w:sz w:val="24"/>
          <w:szCs w:val="24"/>
        </w:rPr>
        <w:t>.</w:t>
      </w:r>
    </w:p>
    <w:p w:rsidR="008D5948" w:rsidRPr="00543BFE" w:rsidRDefault="008D5948" w:rsidP="008D5948">
      <w:pPr>
        <w:suppressAutoHyphens/>
        <w:ind w:left="851" w:hanging="851"/>
        <w:rPr>
          <w:sz w:val="24"/>
          <w:szCs w:val="24"/>
        </w:rPr>
      </w:pPr>
    </w:p>
    <w:p w:rsidR="008D5948" w:rsidRPr="00543BFE" w:rsidRDefault="008D5948" w:rsidP="008D5948">
      <w:pPr>
        <w:suppressAutoHyphens/>
        <w:ind w:left="851"/>
        <w:rPr>
          <w:sz w:val="24"/>
          <w:szCs w:val="24"/>
        </w:rPr>
      </w:pPr>
      <w:r w:rsidRPr="00543BFE">
        <w:rPr>
          <w:sz w:val="24"/>
          <w:szCs w:val="24"/>
        </w:rPr>
        <w:t xml:space="preserve">En analyse af den inhibitoriske aktivitet af </w:t>
      </w:r>
      <w:proofErr w:type="spellStart"/>
      <w:r w:rsidRPr="00543BFE">
        <w:rPr>
          <w:sz w:val="24"/>
          <w:szCs w:val="24"/>
        </w:rPr>
        <w:t>entecavir</w:t>
      </w:r>
      <w:proofErr w:type="spellEnd"/>
      <w:r w:rsidRPr="00543BFE">
        <w:rPr>
          <w:sz w:val="24"/>
          <w:szCs w:val="24"/>
        </w:rPr>
        <w:t xml:space="preserve"> mod adskillige laboratoriemæssige og kliniske hiv-1-isolater, der anvender forskellige celler og analysebetingelser, resulterede i EC</w:t>
      </w:r>
      <w:r w:rsidRPr="00543BFE">
        <w:rPr>
          <w:sz w:val="24"/>
          <w:szCs w:val="24"/>
          <w:vertAlign w:val="subscript"/>
        </w:rPr>
        <w:t>50</w:t>
      </w:r>
      <w:r w:rsidRPr="00543BFE">
        <w:rPr>
          <w:sz w:val="24"/>
          <w:szCs w:val="24"/>
        </w:rPr>
        <w:t>-værdier fra 0,026 til &gt; 10 µM. De laveste EC</w:t>
      </w:r>
      <w:r w:rsidRPr="00543BFE">
        <w:rPr>
          <w:sz w:val="24"/>
          <w:szCs w:val="24"/>
          <w:vertAlign w:val="subscript"/>
        </w:rPr>
        <w:t>50</w:t>
      </w:r>
      <w:r w:rsidRPr="00543BFE">
        <w:rPr>
          <w:sz w:val="24"/>
          <w:szCs w:val="24"/>
        </w:rPr>
        <w:t xml:space="preserve">-værdier blev observeret, når reducerede niveauer af virus blev anvendt i analysen. I cellekulturer valgte </w:t>
      </w:r>
      <w:proofErr w:type="spellStart"/>
      <w:r w:rsidRPr="00543BFE">
        <w:rPr>
          <w:sz w:val="24"/>
          <w:szCs w:val="24"/>
        </w:rPr>
        <w:t>entecavir</w:t>
      </w:r>
      <w:proofErr w:type="spellEnd"/>
      <w:r w:rsidRPr="00543BFE">
        <w:rPr>
          <w:sz w:val="24"/>
          <w:szCs w:val="24"/>
        </w:rPr>
        <w:t xml:space="preserve"> en M184I-substitution i mikromolære koncentrationer, hvilket beviste inhibitorisk aktivitet ved høje </w:t>
      </w:r>
      <w:proofErr w:type="spellStart"/>
      <w:r w:rsidRPr="00543BFE">
        <w:rPr>
          <w:sz w:val="24"/>
          <w:szCs w:val="24"/>
        </w:rPr>
        <w:t>entecavir</w:t>
      </w:r>
      <w:proofErr w:type="spellEnd"/>
      <w:r w:rsidRPr="00543BFE">
        <w:rPr>
          <w:sz w:val="24"/>
          <w:szCs w:val="24"/>
        </w:rPr>
        <w:t xml:space="preserve">-koncentrationer. hiv-varianter, der indeholder M184I-substitutionen, viste tab af følsomhed mod </w:t>
      </w:r>
      <w:proofErr w:type="spellStart"/>
      <w:r w:rsidRPr="00543BFE">
        <w:rPr>
          <w:sz w:val="24"/>
          <w:szCs w:val="24"/>
        </w:rPr>
        <w:t>entecavir</w:t>
      </w:r>
      <w:proofErr w:type="spellEnd"/>
      <w:r w:rsidRPr="00543BFE">
        <w:rPr>
          <w:sz w:val="24"/>
          <w:szCs w:val="24"/>
        </w:rPr>
        <w:t xml:space="preserve"> (se pkt. 4.4).</w:t>
      </w:r>
    </w:p>
    <w:p w:rsidR="008D5948" w:rsidRPr="00543BFE" w:rsidRDefault="008D5948" w:rsidP="008D5948">
      <w:pPr>
        <w:suppressAutoHyphens/>
        <w:ind w:left="851" w:hanging="851"/>
        <w:rPr>
          <w:sz w:val="24"/>
          <w:szCs w:val="24"/>
        </w:rPr>
      </w:pPr>
    </w:p>
    <w:p w:rsidR="008D5948" w:rsidRPr="00543BFE" w:rsidRDefault="008D5948" w:rsidP="008D5948">
      <w:pPr>
        <w:suppressAutoHyphens/>
        <w:ind w:left="851"/>
        <w:rPr>
          <w:sz w:val="24"/>
          <w:szCs w:val="24"/>
        </w:rPr>
      </w:pPr>
      <w:r w:rsidRPr="00543BFE">
        <w:rPr>
          <w:sz w:val="24"/>
          <w:szCs w:val="24"/>
        </w:rPr>
        <w:t>I HBV-</w:t>
      </w:r>
      <w:proofErr w:type="spellStart"/>
      <w:r w:rsidRPr="00543BFE">
        <w:rPr>
          <w:sz w:val="24"/>
          <w:szCs w:val="24"/>
        </w:rPr>
        <w:t>kombinationsassays</w:t>
      </w:r>
      <w:proofErr w:type="spellEnd"/>
      <w:r w:rsidRPr="00543BFE">
        <w:rPr>
          <w:sz w:val="24"/>
          <w:szCs w:val="24"/>
        </w:rPr>
        <w:t xml:space="preserve"> i cellekulturer var </w:t>
      </w:r>
      <w:proofErr w:type="spellStart"/>
      <w:r w:rsidRPr="00543BFE">
        <w:rPr>
          <w:sz w:val="24"/>
          <w:szCs w:val="24"/>
        </w:rPr>
        <w:t>abacavir</w:t>
      </w:r>
      <w:proofErr w:type="spellEnd"/>
      <w:r w:rsidRPr="00543BFE">
        <w:rPr>
          <w:sz w:val="24"/>
          <w:szCs w:val="24"/>
        </w:rPr>
        <w:t xml:space="preserve">, </w:t>
      </w:r>
      <w:proofErr w:type="spellStart"/>
      <w:r w:rsidRPr="00543BFE">
        <w:rPr>
          <w:sz w:val="24"/>
          <w:szCs w:val="24"/>
        </w:rPr>
        <w:t>didanosin</w:t>
      </w:r>
      <w:proofErr w:type="spellEnd"/>
      <w:r w:rsidRPr="00543BFE">
        <w:rPr>
          <w:sz w:val="24"/>
          <w:szCs w:val="24"/>
        </w:rPr>
        <w:t xml:space="preserve">, </w:t>
      </w:r>
      <w:proofErr w:type="spellStart"/>
      <w:r w:rsidRPr="00543BFE">
        <w:rPr>
          <w:sz w:val="24"/>
          <w:szCs w:val="24"/>
        </w:rPr>
        <w:t>lamivudin</w:t>
      </w:r>
      <w:proofErr w:type="spellEnd"/>
      <w:r w:rsidRPr="00543BFE">
        <w:rPr>
          <w:sz w:val="24"/>
          <w:szCs w:val="24"/>
        </w:rPr>
        <w:t xml:space="preserve">, </w:t>
      </w:r>
      <w:proofErr w:type="spellStart"/>
      <w:r w:rsidRPr="00543BFE">
        <w:rPr>
          <w:sz w:val="24"/>
          <w:szCs w:val="24"/>
        </w:rPr>
        <w:t>stavudin</w:t>
      </w:r>
      <w:proofErr w:type="spellEnd"/>
      <w:r w:rsidRPr="00543BFE">
        <w:rPr>
          <w:sz w:val="24"/>
          <w:szCs w:val="24"/>
        </w:rPr>
        <w:t xml:space="preserve">, </w:t>
      </w:r>
      <w:proofErr w:type="spellStart"/>
      <w:r w:rsidRPr="00543BFE">
        <w:rPr>
          <w:sz w:val="24"/>
          <w:szCs w:val="24"/>
        </w:rPr>
        <w:t>tenofovir</w:t>
      </w:r>
      <w:proofErr w:type="spellEnd"/>
      <w:r w:rsidRPr="00543BFE">
        <w:rPr>
          <w:sz w:val="24"/>
          <w:szCs w:val="24"/>
        </w:rPr>
        <w:t xml:space="preserve"> og </w:t>
      </w:r>
      <w:proofErr w:type="spellStart"/>
      <w:r w:rsidRPr="00543BFE">
        <w:rPr>
          <w:sz w:val="24"/>
          <w:szCs w:val="24"/>
        </w:rPr>
        <w:t>zidovudin</w:t>
      </w:r>
      <w:proofErr w:type="spellEnd"/>
      <w:r w:rsidRPr="00543BFE">
        <w:rPr>
          <w:sz w:val="24"/>
          <w:szCs w:val="24"/>
        </w:rPr>
        <w:t xml:space="preserve"> ikke antagonistiske over for </w:t>
      </w:r>
      <w:proofErr w:type="spellStart"/>
      <w:r w:rsidRPr="00543BFE">
        <w:rPr>
          <w:sz w:val="24"/>
          <w:szCs w:val="24"/>
        </w:rPr>
        <w:t>entecavirs</w:t>
      </w:r>
      <w:proofErr w:type="spellEnd"/>
      <w:r w:rsidRPr="00543BFE">
        <w:rPr>
          <w:sz w:val="24"/>
          <w:szCs w:val="24"/>
        </w:rPr>
        <w:t xml:space="preserve"> </w:t>
      </w:r>
      <w:proofErr w:type="spellStart"/>
      <w:r w:rsidRPr="00543BFE">
        <w:rPr>
          <w:sz w:val="24"/>
          <w:szCs w:val="24"/>
        </w:rPr>
        <w:t>anti</w:t>
      </w:r>
      <w:proofErr w:type="spellEnd"/>
      <w:r w:rsidRPr="00543BFE">
        <w:rPr>
          <w:sz w:val="24"/>
          <w:szCs w:val="24"/>
        </w:rPr>
        <w:t>-HBV-aktivitet inden for et større koncentrationsspænd. I antivirale hiv-</w:t>
      </w:r>
      <w:proofErr w:type="spellStart"/>
      <w:r w:rsidRPr="00543BFE">
        <w:rPr>
          <w:sz w:val="24"/>
          <w:szCs w:val="24"/>
        </w:rPr>
        <w:t>assays</w:t>
      </w:r>
      <w:proofErr w:type="spellEnd"/>
      <w:r w:rsidRPr="00543BFE">
        <w:rPr>
          <w:sz w:val="24"/>
          <w:szCs w:val="24"/>
        </w:rPr>
        <w:t xml:space="preserve"> var </w:t>
      </w:r>
      <w:proofErr w:type="spellStart"/>
      <w:r w:rsidRPr="00543BFE">
        <w:rPr>
          <w:sz w:val="24"/>
          <w:szCs w:val="24"/>
        </w:rPr>
        <w:t>entecavir</w:t>
      </w:r>
      <w:proofErr w:type="spellEnd"/>
      <w:r w:rsidRPr="00543BFE">
        <w:rPr>
          <w:sz w:val="24"/>
          <w:szCs w:val="24"/>
        </w:rPr>
        <w:t xml:space="preserve"> i mikromolære koncentrationer ikke antagonistisk over for anti-hiv-aktivitet i cellekulturer af disse 6 </w:t>
      </w:r>
      <w:proofErr w:type="spellStart"/>
      <w:r w:rsidRPr="00543BFE">
        <w:rPr>
          <w:sz w:val="24"/>
          <w:szCs w:val="24"/>
        </w:rPr>
        <w:t>NRTI'er</w:t>
      </w:r>
      <w:proofErr w:type="spellEnd"/>
      <w:r w:rsidRPr="00543BFE">
        <w:rPr>
          <w:sz w:val="24"/>
          <w:szCs w:val="24"/>
        </w:rPr>
        <w:t xml:space="preserve"> eller </w:t>
      </w:r>
      <w:proofErr w:type="spellStart"/>
      <w:r w:rsidRPr="00543BFE">
        <w:rPr>
          <w:sz w:val="24"/>
          <w:szCs w:val="24"/>
        </w:rPr>
        <w:t>emtricitabin</w:t>
      </w:r>
      <w:proofErr w:type="spellEnd"/>
      <w:r w:rsidRPr="00543BFE">
        <w:rPr>
          <w:sz w:val="24"/>
          <w:szCs w:val="24"/>
        </w:rPr>
        <w:t>.</w:t>
      </w:r>
    </w:p>
    <w:p w:rsidR="008D5948" w:rsidRPr="00543BFE" w:rsidRDefault="008D5948" w:rsidP="008D5948">
      <w:pPr>
        <w:suppressAutoHyphens/>
        <w:ind w:left="851" w:hanging="851"/>
        <w:rPr>
          <w:sz w:val="24"/>
          <w:szCs w:val="24"/>
        </w:rPr>
      </w:pPr>
    </w:p>
    <w:p w:rsidR="002574EE" w:rsidRPr="00280FE8" w:rsidRDefault="002574EE" w:rsidP="002574EE">
      <w:pPr>
        <w:suppressAutoHyphens/>
        <w:ind w:left="851"/>
        <w:rPr>
          <w:sz w:val="24"/>
          <w:szCs w:val="24"/>
        </w:rPr>
      </w:pPr>
      <w:r w:rsidRPr="00280FE8">
        <w:rPr>
          <w:b/>
          <w:sz w:val="24"/>
          <w:szCs w:val="24"/>
        </w:rPr>
        <w:t>Resistens i cellekulturer:</w:t>
      </w:r>
      <w:r w:rsidRPr="00280FE8">
        <w:rPr>
          <w:sz w:val="24"/>
          <w:szCs w:val="24"/>
        </w:rPr>
        <w:t xml:space="preserve"> I forhold til wild-type HBV, viste </w:t>
      </w:r>
      <w:proofErr w:type="spellStart"/>
      <w:r w:rsidRPr="00280FE8">
        <w:rPr>
          <w:sz w:val="24"/>
          <w:szCs w:val="24"/>
        </w:rPr>
        <w:t>LVDr</w:t>
      </w:r>
      <w:proofErr w:type="spellEnd"/>
      <w:r w:rsidRPr="00280FE8">
        <w:rPr>
          <w:sz w:val="24"/>
          <w:szCs w:val="24"/>
        </w:rPr>
        <w:t xml:space="preserve">-vira indeholdende rtM204V- og rtL180M-substitutioner i den </w:t>
      </w:r>
      <w:proofErr w:type="spellStart"/>
      <w:r w:rsidRPr="00280FE8">
        <w:rPr>
          <w:sz w:val="24"/>
          <w:szCs w:val="24"/>
        </w:rPr>
        <w:t>reverse</w:t>
      </w:r>
      <w:proofErr w:type="spellEnd"/>
      <w:r w:rsidRPr="00280FE8">
        <w:rPr>
          <w:sz w:val="24"/>
          <w:szCs w:val="24"/>
        </w:rPr>
        <w:t xml:space="preserve"> </w:t>
      </w:r>
      <w:proofErr w:type="spellStart"/>
      <w:r w:rsidRPr="00280FE8">
        <w:rPr>
          <w:sz w:val="24"/>
          <w:szCs w:val="24"/>
        </w:rPr>
        <w:t>transkriptase</w:t>
      </w:r>
      <w:proofErr w:type="spellEnd"/>
      <w:r w:rsidRPr="00280FE8">
        <w:rPr>
          <w:sz w:val="24"/>
          <w:szCs w:val="24"/>
        </w:rPr>
        <w:t xml:space="preserve"> 8 gange mindre følsomhed over for </w:t>
      </w:r>
      <w:proofErr w:type="spellStart"/>
      <w:r w:rsidRPr="00280FE8">
        <w:rPr>
          <w:sz w:val="24"/>
          <w:szCs w:val="24"/>
        </w:rPr>
        <w:t>entecavir</w:t>
      </w:r>
      <w:proofErr w:type="spellEnd"/>
      <w:r w:rsidRPr="00280FE8">
        <w:rPr>
          <w:sz w:val="24"/>
          <w:szCs w:val="24"/>
        </w:rPr>
        <w:t xml:space="preserve">. </w:t>
      </w:r>
      <w:proofErr w:type="spellStart"/>
      <w:r w:rsidRPr="00280FE8">
        <w:rPr>
          <w:sz w:val="24"/>
          <w:szCs w:val="24"/>
        </w:rPr>
        <w:t>Inkorporeringaf</w:t>
      </w:r>
      <w:proofErr w:type="spellEnd"/>
      <w:r w:rsidRPr="00280FE8">
        <w:rPr>
          <w:sz w:val="24"/>
          <w:szCs w:val="24"/>
        </w:rPr>
        <w:t xml:space="preserve"> yderligere </w:t>
      </w:r>
      <w:proofErr w:type="spellStart"/>
      <w:r w:rsidRPr="00280FE8">
        <w:rPr>
          <w:sz w:val="24"/>
          <w:szCs w:val="24"/>
        </w:rPr>
        <w:t>ETVr</w:t>
      </w:r>
      <w:proofErr w:type="spellEnd"/>
      <w:r w:rsidRPr="00280FE8">
        <w:rPr>
          <w:sz w:val="24"/>
          <w:szCs w:val="24"/>
        </w:rPr>
        <w:t xml:space="preserve">-aminosyreforandringer rtT184, rtS202 eller rtM250 medfører fald i </w:t>
      </w:r>
      <w:proofErr w:type="spellStart"/>
      <w:r w:rsidRPr="00280FE8">
        <w:rPr>
          <w:sz w:val="24"/>
          <w:szCs w:val="24"/>
        </w:rPr>
        <w:t>entecavirfølsomhed</w:t>
      </w:r>
      <w:proofErr w:type="spellEnd"/>
      <w:r w:rsidRPr="00280FE8">
        <w:rPr>
          <w:sz w:val="24"/>
          <w:szCs w:val="24"/>
        </w:rPr>
        <w:t xml:space="preserve"> i cellekulturer. Substitutioner observeret i kliniske </w:t>
      </w:r>
      <w:proofErr w:type="spellStart"/>
      <w:r w:rsidRPr="00280FE8">
        <w:rPr>
          <w:sz w:val="24"/>
          <w:szCs w:val="24"/>
        </w:rPr>
        <w:t>isolater</w:t>
      </w:r>
      <w:proofErr w:type="spellEnd"/>
      <w:r w:rsidRPr="00280FE8">
        <w:rPr>
          <w:sz w:val="24"/>
          <w:szCs w:val="24"/>
        </w:rPr>
        <w:t xml:space="preserve"> (rtT184A, C, F, G, I, L, M eller S; rtS202 C, G eller I; og/eller rtM250I, L eller V) reducerede yderligere </w:t>
      </w:r>
      <w:proofErr w:type="spellStart"/>
      <w:r w:rsidRPr="00280FE8">
        <w:rPr>
          <w:sz w:val="24"/>
          <w:szCs w:val="24"/>
        </w:rPr>
        <w:t>entecavirfølsomheden</w:t>
      </w:r>
      <w:proofErr w:type="spellEnd"/>
      <w:r w:rsidRPr="00280FE8">
        <w:rPr>
          <w:sz w:val="24"/>
          <w:szCs w:val="24"/>
        </w:rPr>
        <w:t xml:space="preserve"> 16 til 741 gange i forhold til wild-type virus. </w:t>
      </w:r>
      <w:proofErr w:type="spellStart"/>
      <w:r w:rsidRPr="00280FE8">
        <w:rPr>
          <w:sz w:val="24"/>
          <w:szCs w:val="24"/>
        </w:rPr>
        <w:t>Lamivudin</w:t>
      </w:r>
      <w:proofErr w:type="spellEnd"/>
      <w:r w:rsidRPr="00280FE8">
        <w:rPr>
          <w:sz w:val="24"/>
          <w:szCs w:val="24"/>
        </w:rPr>
        <w:t xml:space="preserve">-resistente stammer indeholdende rtL180M plus rtM204V i kombination med aminosyresubstitution rtA181C førte til 16 til 122 gange reduktion i </w:t>
      </w:r>
      <w:proofErr w:type="spellStart"/>
      <w:r w:rsidRPr="00280FE8">
        <w:rPr>
          <w:sz w:val="24"/>
          <w:szCs w:val="24"/>
        </w:rPr>
        <w:t>entecavir</w:t>
      </w:r>
      <w:proofErr w:type="spellEnd"/>
      <w:r w:rsidRPr="00280FE8">
        <w:rPr>
          <w:sz w:val="24"/>
          <w:szCs w:val="24"/>
        </w:rPr>
        <w:t xml:space="preserve"> </w:t>
      </w:r>
      <w:proofErr w:type="spellStart"/>
      <w:r w:rsidRPr="00280FE8">
        <w:rPr>
          <w:sz w:val="24"/>
          <w:szCs w:val="24"/>
        </w:rPr>
        <w:t>fænotypisk</w:t>
      </w:r>
      <w:proofErr w:type="spellEnd"/>
      <w:r w:rsidRPr="00280FE8">
        <w:rPr>
          <w:sz w:val="24"/>
          <w:szCs w:val="24"/>
        </w:rPr>
        <w:t xml:space="preserve"> følsomhed. </w:t>
      </w:r>
      <w:proofErr w:type="spellStart"/>
      <w:r w:rsidRPr="00280FE8">
        <w:rPr>
          <w:sz w:val="24"/>
          <w:szCs w:val="24"/>
        </w:rPr>
        <w:t>ETVr</w:t>
      </w:r>
      <w:proofErr w:type="spellEnd"/>
      <w:r w:rsidRPr="00280FE8">
        <w:rPr>
          <w:sz w:val="24"/>
          <w:szCs w:val="24"/>
        </w:rPr>
        <w:t xml:space="preserve">-substitutioner ved aminosyrerest rtT184, rtS202 og rtM250 alene har kun beskeden effekt på </w:t>
      </w:r>
      <w:proofErr w:type="spellStart"/>
      <w:r w:rsidRPr="00280FE8">
        <w:rPr>
          <w:sz w:val="24"/>
          <w:szCs w:val="24"/>
        </w:rPr>
        <w:t>entecavirfølsomheden</w:t>
      </w:r>
      <w:proofErr w:type="spellEnd"/>
      <w:r w:rsidRPr="00280FE8">
        <w:rPr>
          <w:sz w:val="24"/>
          <w:szCs w:val="24"/>
        </w:rPr>
        <w:t xml:space="preserve"> og er i mere end 1000 </w:t>
      </w:r>
      <w:proofErr w:type="spellStart"/>
      <w:r w:rsidRPr="00280FE8">
        <w:rPr>
          <w:sz w:val="24"/>
          <w:szCs w:val="24"/>
        </w:rPr>
        <w:t>sekventerede</w:t>
      </w:r>
      <w:proofErr w:type="spellEnd"/>
      <w:r w:rsidRPr="00280FE8">
        <w:rPr>
          <w:sz w:val="24"/>
          <w:szCs w:val="24"/>
        </w:rPr>
        <w:t xml:space="preserve"> patientprøver ikke observeret ved fravær af </w:t>
      </w:r>
      <w:proofErr w:type="spellStart"/>
      <w:r w:rsidRPr="00280FE8">
        <w:rPr>
          <w:sz w:val="24"/>
          <w:szCs w:val="24"/>
        </w:rPr>
        <w:t>LVDr</w:t>
      </w:r>
      <w:proofErr w:type="spellEnd"/>
      <w:r w:rsidRPr="00280FE8">
        <w:rPr>
          <w:sz w:val="24"/>
          <w:szCs w:val="24"/>
        </w:rPr>
        <w:t>-substitutioner. Resistens medieres ved nedsat inhibitorisk binding til den ændrede HBV-</w:t>
      </w:r>
      <w:proofErr w:type="spellStart"/>
      <w:r w:rsidRPr="00280FE8">
        <w:rPr>
          <w:sz w:val="24"/>
          <w:szCs w:val="24"/>
        </w:rPr>
        <w:t>reverstranskriptase</w:t>
      </w:r>
      <w:proofErr w:type="spellEnd"/>
      <w:r w:rsidRPr="00280FE8">
        <w:rPr>
          <w:sz w:val="24"/>
          <w:szCs w:val="24"/>
        </w:rPr>
        <w:t>, og resistent HBV udviser nedsat replikationskapacitet i cellekulturer.</w:t>
      </w:r>
    </w:p>
    <w:p w:rsidR="008D5948" w:rsidRPr="00543BFE" w:rsidRDefault="008D5948" w:rsidP="008D5948">
      <w:pPr>
        <w:suppressAutoHyphens/>
        <w:ind w:left="851" w:hanging="851"/>
        <w:rPr>
          <w:sz w:val="24"/>
          <w:szCs w:val="24"/>
        </w:rPr>
      </w:pPr>
    </w:p>
    <w:p w:rsidR="008D5948" w:rsidRPr="00543BFE" w:rsidRDefault="008D5948" w:rsidP="008D5948">
      <w:pPr>
        <w:suppressAutoHyphens/>
        <w:ind w:left="851"/>
        <w:rPr>
          <w:sz w:val="24"/>
          <w:szCs w:val="24"/>
          <w:u w:val="single"/>
        </w:rPr>
      </w:pPr>
      <w:r w:rsidRPr="00543BFE">
        <w:rPr>
          <w:sz w:val="24"/>
          <w:szCs w:val="24"/>
          <w:u w:val="single"/>
        </w:rPr>
        <w:t>Klinisk virkning og sikkerhed</w:t>
      </w:r>
    </w:p>
    <w:p w:rsidR="008D5948" w:rsidRPr="00543BFE" w:rsidRDefault="008D5948" w:rsidP="008D5948">
      <w:pPr>
        <w:suppressAutoHyphens/>
        <w:ind w:left="851"/>
        <w:rPr>
          <w:sz w:val="24"/>
          <w:szCs w:val="24"/>
        </w:rPr>
      </w:pPr>
      <w:r w:rsidRPr="00543BFE">
        <w:rPr>
          <w:sz w:val="24"/>
          <w:szCs w:val="24"/>
        </w:rPr>
        <w:t xml:space="preserve">Påvisning af fordelene er baseret på histologisk, virologisk, biokemisk og serologisk respons efter 48 ugers behandling i aktivt kontrollerede kliniske studier med 1.633 voksne med kronisk hepatitis B-infektion, dokumenteret virusreplikation og kompenseret leversygdom. Sikkerhed og virkning af </w:t>
      </w:r>
      <w:proofErr w:type="spellStart"/>
      <w:r w:rsidRPr="00543BFE">
        <w:rPr>
          <w:sz w:val="24"/>
          <w:szCs w:val="24"/>
        </w:rPr>
        <w:t>entecavir</w:t>
      </w:r>
      <w:proofErr w:type="spellEnd"/>
      <w:r w:rsidRPr="00543BFE">
        <w:rPr>
          <w:sz w:val="24"/>
          <w:szCs w:val="24"/>
        </w:rPr>
        <w:t xml:space="preserve"> blev også undersøgt i et aktivt kontrolleret klinisk studie med 191 HBV-inficerede patienter med </w:t>
      </w:r>
      <w:proofErr w:type="spellStart"/>
      <w:r w:rsidRPr="00543BFE">
        <w:rPr>
          <w:sz w:val="24"/>
          <w:szCs w:val="24"/>
        </w:rPr>
        <w:t>dekompenseret</w:t>
      </w:r>
      <w:proofErr w:type="spellEnd"/>
      <w:r w:rsidRPr="00543BFE">
        <w:rPr>
          <w:sz w:val="24"/>
          <w:szCs w:val="24"/>
        </w:rPr>
        <w:t xml:space="preserve"> leversygdom og i et klinisk studie med 68 patienter, der var inficerede med HBV og hiv samtidigt.</w:t>
      </w:r>
    </w:p>
    <w:p w:rsidR="008D5948" w:rsidRPr="00543BFE" w:rsidRDefault="008D5948" w:rsidP="008D5948">
      <w:pPr>
        <w:suppressAutoHyphens/>
        <w:ind w:left="851" w:hanging="851"/>
        <w:rPr>
          <w:sz w:val="24"/>
          <w:szCs w:val="24"/>
        </w:rPr>
      </w:pPr>
    </w:p>
    <w:p w:rsidR="008D5948" w:rsidRPr="00543BFE" w:rsidRDefault="008D5948" w:rsidP="008D5948">
      <w:pPr>
        <w:suppressAutoHyphens/>
        <w:ind w:left="851"/>
        <w:rPr>
          <w:sz w:val="24"/>
          <w:szCs w:val="24"/>
        </w:rPr>
      </w:pPr>
      <w:r w:rsidRPr="00543BFE">
        <w:rPr>
          <w:sz w:val="24"/>
          <w:szCs w:val="24"/>
        </w:rPr>
        <w:t xml:space="preserve">I studier med patienter med kompenseret leversygdom defineredes histologisk forbedring som et ≥ 2-point fald i </w:t>
      </w:r>
      <w:proofErr w:type="spellStart"/>
      <w:r w:rsidRPr="00543BFE">
        <w:rPr>
          <w:sz w:val="24"/>
          <w:szCs w:val="24"/>
        </w:rPr>
        <w:t>Knodell</w:t>
      </w:r>
      <w:proofErr w:type="spellEnd"/>
      <w:r w:rsidRPr="00543BFE">
        <w:rPr>
          <w:sz w:val="24"/>
          <w:szCs w:val="24"/>
        </w:rPr>
        <w:t xml:space="preserve"> </w:t>
      </w:r>
      <w:proofErr w:type="spellStart"/>
      <w:r w:rsidRPr="00543BFE">
        <w:rPr>
          <w:sz w:val="24"/>
          <w:szCs w:val="24"/>
        </w:rPr>
        <w:t>nekroinflammatorisk</w:t>
      </w:r>
      <w:proofErr w:type="spellEnd"/>
      <w:r w:rsidRPr="00543BFE">
        <w:rPr>
          <w:sz w:val="24"/>
          <w:szCs w:val="24"/>
        </w:rPr>
        <w:t xml:space="preserve"> score fra baseline uden forværring i </w:t>
      </w:r>
      <w:proofErr w:type="spellStart"/>
      <w:r w:rsidRPr="00543BFE">
        <w:rPr>
          <w:sz w:val="24"/>
          <w:szCs w:val="24"/>
        </w:rPr>
        <w:t>Knodell</w:t>
      </w:r>
      <w:proofErr w:type="spellEnd"/>
      <w:r w:rsidRPr="00543BFE">
        <w:rPr>
          <w:sz w:val="24"/>
          <w:szCs w:val="24"/>
        </w:rPr>
        <w:t xml:space="preserve"> fibrosescoren. Respons hos patienter med en </w:t>
      </w:r>
      <w:proofErr w:type="spellStart"/>
      <w:r w:rsidRPr="00543BFE">
        <w:rPr>
          <w:sz w:val="24"/>
          <w:szCs w:val="24"/>
        </w:rPr>
        <w:t>Knodell</w:t>
      </w:r>
      <w:proofErr w:type="spellEnd"/>
      <w:r w:rsidRPr="00543BFE">
        <w:rPr>
          <w:sz w:val="24"/>
          <w:szCs w:val="24"/>
        </w:rPr>
        <w:t xml:space="preserve"> fibrosescore på 4 (cirrose) ved baseline var 10 sammenlignelig med det overordnede respons på alle effektmæssige resultatmål (alle patienter havde kompenseret leversygdom). Høje baseline </w:t>
      </w:r>
      <w:proofErr w:type="spellStart"/>
      <w:r w:rsidRPr="00543BFE">
        <w:rPr>
          <w:sz w:val="24"/>
          <w:szCs w:val="24"/>
        </w:rPr>
        <w:t>Knodell</w:t>
      </w:r>
      <w:proofErr w:type="spellEnd"/>
      <w:r w:rsidRPr="00543BFE">
        <w:rPr>
          <w:sz w:val="24"/>
          <w:szCs w:val="24"/>
        </w:rPr>
        <w:t xml:space="preserve"> </w:t>
      </w:r>
      <w:proofErr w:type="spellStart"/>
      <w:r w:rsidRPr="00543BFE">
        <w:rPr>
          <w:sz w:val="24"/>
          <w:szCs w:val="24"/>
        </w:rPr>
        <w:t>nekroinflammatoriske</w:t>
      </w:r>
      <w:proofErr w:type="spellEnd"/>
      <w:r w:rsidRPr="00543BFE">
        <w:rPr>
          <w:sz w:val="24"/>
          <w:szCs w:val="24"/>
        </w:rPr>
        <w:t xml:space="preserve"> scorer (&gt; 10) var forbundet med større histologisk forbedring hos patienter, der ikke tidligere havde været i </w:t>
      </w:r>
      <w:proofErr w:type="spellStart"/>
      <w:r w:rsidRPr="00543BFE">
        <w:rPr>
          <w:sz w:val="24"/>
          <w:szCs w:val="24"/>
        </w:rPr>
        <w:t>nukleosidbehandling</w:t>
      </w:r>
      <w:proofErr w:type="spellEnd"/>
      <w:r w:rsidRPr="00543BFE">
        <w:rPr>
          <w:sz w:val="24"/>
          <w:szCs w:val="24"/>
        </w:rPr>
        <w:t>. Såvel baseline ALAT-niveauer ≥ 2 gange ULN som baseline HBV-DNA ≤ 9,0 log</w:t>
      </w:r>
      <w:r w:rsidRPr="00543BFE">
        <w:rPr>
          <w:sz w:val="24"/>
          <w:szCs w:val="24"/>
          <w:vertAlign w:val="subscript"/>
        </w:rPr>
        <w:t>10</w:t>
      </w:r>
      <w:r w:rsidRPr="00543BFE">
        <w:rPr>
          <w:sz w:val="24"/>
          <w:szCs w:val="24"/>
        </w:rPr>
        <w:t xml:space="preserve"> kopier/ml var forbundet med højere forekomst af virologisk respons (Uge 48 HBV-dna &lt; 400 kopier/ml) hos </w:t>
      </w:r>
      <w:proofErr w:type="spellStart"/>
      <w:r w:rsidRPr="00543BFE">
        <w:rPr>
          <w:sz w:val="24"/>
          <w:szCs w:val="24"/>
        </w:rPr>
        <w:t>nukleosidnaive</w:t>
      </w:r>
      <w:proofErr w:type="spellEnd"/>
      <w:r w:rsidRPr="00543BFE">
        <w:rPr>
          <w:sz w:val="24"/>
          <w:szCs w:val="24"/>
        </w:rPr>
        <w:t xml:space="preserve">, </w:t>
      </w:r>
      <w:proofErr w:type="spellStart"/>
      <w:r w:rsidRPr="00543BFE">
        <w:rPr>
          <w:sz w:val="24"/>
          <w:szCs w:val="24"/>
        </w:rPr>
        <w:t>HBeAg</w:t>
      </w:r>
      <w:proofErr w:type="spellEnd"/>
      <w:r w:rsidRPr="00543BFE">
        <w:rPr>
          <w:sz w:val="24"/>
          <w:szCs w:val="24"/>
        </w:rPr>
        <w:t>-positive patienter. Uafhængigt af baseline-karakteristika viste de fleste patienter histologisk og virologisk respons på behandling.</w:t>
      </w:r>
    </w:p>
    <w:p w:rsidR="008D5948" w:rsidRPr="00543BFE" w:rsidRDefault="008D5948" w:rsidP="008D5948">
      <w:pPr>
        <w:suppressAutoHyphens/>
        <w:ind w:left="851" w:hanging="851"/>
        <w:rPr>
          <w:sz w:val="24"/>
          <w:szCs w:val="24"/>
        </w:rPr>
      </w:pPr>
    </w:p>
    <w:p w:rsidR="008D5948" w:rsidRPr="00543BFE" w:rsidRDefault="008D5948" w:rsidP="008D5948">
      <w:pPr>
        <w:suppressAutoHyphens/>
        <w:ind w:left="851"/>
        <w:rPr>
          <w:sz w:val="24"/>
          <w:szCs w:val="24"/>
        </w:rPr>
      </w:pPr>
      <w:r w:rsidRPr="00543BFE">
        <w:rPr>
          <w:sz w:val="24"/>
          <w:szCs w:val="24"/>
          <w:u w:val="single"/>
        </w:rPr>
        <w:t xml:space="preserve">Erfaring hos patienter med kompenseret leversygdom, der ikke tidligere har været i </w:t>
      </w:r>
      <w:proofErr w:type="spellStart"/>
      <w:r w:rsidRPr="00543BFE">
        <w:rPr>
          <w:sz w:val="24"/>
          <w:szCs w:val="24"/>
          <w:u w:val="single"/>
        </w:rPr>
        <w:t>nukleosidbehandling</w:t>
      </w:r>
      <w:proofErr w:type="spellEnd"/>
      <w:r w:rsidRPr="00543BFE">
        <w:rPr>
          <w:sz w:val="24"/>
          <w:szCs w:val="24"/>
          <w:u w:val="single"/>
        </w:rPr>
        <w:t>:</w:t>
      </w:r>
      <w:r w:rsidRPr="00543BFE">
        <w:rPr>
          <w:sz w:val="24"/>
          <w:szCs w:val="24"/>
        </w:rPr>
        <w:t xml:space="preserve"> </w:t>
      </w:r>
    </w:p>
    <w:p w:rsidR="008D5948" w:rsidRPr="00543BFE" w:rsidRDefault="008D5948" w:rsidP="008D5948">
      <w:pPr>
        <w:suppressAutoHyphens/>
        <w:ind w:left="851"/>
        <w:rPr>
          <w:sz w:val="24"/>
          <w:szCs w:val="24"/>
        </w:rPr>
      </w:pPr>
      <w:r w:rsidRPr="00543BFE">
        <w:rPr>
          <w:sz w:val="24"/>
          <w:szCs w:val="24"/>
        </w:rPr>
        <w:t xml:space="preserve">Tabellen viser resultater efter 48 uger fra randomiserede, dobbeltblinde studie, der sammenligner </w:t>
      </w:r>
      <w:proofErr w:type="spellStart"/>
      <w:r w:rsidRPr="00543BFE">
        <w:rPr>
          <w:sz w:val="24"/>
          <w:szCs w:val="24"/>
        </w:rPr>
        <w:t>entecavir</w:t>
      </w:r>
      <w:proofErr w:type="spellEnd"/>
      <w:r w:rsidRPr="00543BFE">
        <w:rPr>
          <w:sz w:val="24"/>
          <w:szCs w:val="24"/>
        </w:rPr>
        <w:t xml:space="preserve"> (ETV) med </w:t>
      </w:r>
      <w:proofErr w:type="spellStart"/>
      <w:r w:rsidRPr="00543BFE">
        <w:rPr>
          <w:sz w:val="24"/>
          <w:szCs w:val="24"/>
        </w:rPr>
        <w:t>lamivudin</w:t>
      </w:r>
      <w:proofErr w:type="spellEnd"/>
      <w:r w:rsidRPr="00543BFE">
        <w:rPr>
          <w:sz w:val="24"/>
          <w:szCs w:val="24"/>
        </w:rPr>
        <w:t xml:space="preserve"> (LVD) hos </w:t>
      </w:r>
      <w:proofErr w:type="spellStart"/>
      <w:r w:rsidRPr="00543BFE">
        <w:rPr>
          <w:sz w:val="24"/>
          <w:szCs w:val="24"/>
        </w:rPr>
        <w:t>HBeAg</w:t>
      </w:r>
      <w:proofErr w:type="spellEnd"/>
      <w:r w:rsidRPr="00543BFE">
        <w:rPr>
          <w:sz w:val="24"/>
          <w:szCs w:val="24"/>
        </w:rPr>
        <w:t xml:space="preserve">-positive (022) og </w:t>
      </w:r>
      <w:proofErr w:type="spellStart"/>
      <w:r w:rsidRPr="00543BFE">
        <w:rPr>
          <w:sz w:val="24"/>
          <w:szCs w:val="24"/>
        </w:rPr>
        <w:t>HBeAg</w:t>
      </w:r>
      <w:proofErr w:type="spellEnd"/>
      <w:r w:rsidRPr="00543BFE">
        <w:rPr>
          <w:sz w:val="24"/>
          <w:szCs w:val="24"/>
        </w:rPr>
        <w:t>-negative (027) patienter.</w:t>
      </w:r>
    </w:p>
    <w:p w:rsidR="008D5948" w:rsidRPr="00543BFE" w:rsidRDefault="008D5948" w:rsidP="008D5948">
      <w:pPr>
        <w:suppressAutoHyphens/>
        <w:ind w:left="851" w:hanging="851"/>
        <w:rPr>
          <w:sz w:val="24"/>
          <w:szCs w:val="24"/>
        </w:rPr>
      </w:pPr>
    </w:p>
    <w:tbl>
      <w:tblPr>
        <w:tblW w:w="5000" w:type="pct"/>
        <w:tblCellMar>
          <w:left w:w="0" w:type="dxa"/>
          <w:right w:w="0" w:type="dxa"/>
        </w:tblCellMar>
        <w:tblLook w:val="01E0" w:firstRow="1" w:lastRow="1" w:firstColumn="1" w:lastColumn="1" w:noHBand="0" w:noVBand="0"/>
      </w:tblPr>
      <w:tblGrid>
        <w:gridCol w:w="1927"/>
        <w:gridCol w:w="1925"/>
        <w:gridCol w:w="1926"/>
        <w:gridCol w:w="1926"/>
        <w:gridCol w:w="1924"/>
      </w:tblGrid>
      <w:tr w:rsidR="008D5948" w:rsidRPr="003D542B" w:rsidTr="002574EE">
        <w:trPr>
          <w:trHeight w:val="20"/>
        </w:trPr>
        <w:tc>
          <w:tcPr>
            <w:tcW w:w="1001" w:type="pct"/>
            <w:vMerge w:val="restart"/>
            <w:tcBorders>
              <w:top w:val="single" w:sz="4" w:space="0" w:color="000000"/>
              <w:left w:val="single" w:sz="4" w:space="0" w:color="000000"/>
              <w:bottom w:val="single" w:sz="12" w:space="0" w:color="000000"/>
              <w:right w:val="single" w:sz="4" w:space="0" w:color="000000"/>
            </w:tcBorders>
            <w:vAlign w:val="center"/>
          </w:tcPr>
          <w:p w:rsidR="008D5948" w:rsidRPr="003D542B" w:rsidRDefault="008D5948" w:rsidP="002574EE">
            <w:pPr>
              <w:rPr>
                <w:rFonts w:eastAsia="Calibri"/>
                <w:sz w:val="22"/>
                <w:szCs w:val="22"/>
              </w:rPr>
            </w:pPr>
          </w:p>
        </w:tc>
        <w:tc>
          <w:tcPr>
            <w:tcW w:w="3999" w:type="pct"/>
            <w:gridSpan w:val="4"/>
            <w:tcBorders>
              <w:top w:val="single" w:sz="4" w:space="0" w:color="000000"/>
              <w:left w:val="single" w:sz="4" w:space="0" w:color="000000"/>
              <w:bottom w:val="single" w:sz="8" w:space="0" w:color="000000"/>
              <w:right w:val="single" w:sz="4" w:space="0" w:color="000000"/>
            </w:tcBorders>
            <w:vAlign w:val="center"/>
            <w:hideMark/>
          </w:tcPr>
          <w:p w:rsidR="008D5948" w:rsidRPr="003D542B" w:rsidRDefault="008D5948" w:rsidP="002574EE">
            <w:pPr>
              <w:jc w:val="center"/>
              <w:rPr>
                <w:rFonts w:eastAsia="Calibri"/>
                <w:sz w:val="22"/>
                <w:szCs w:val="22"/>
              </w:rPr>
            </w:pPr>
            <w:proofErr w:type="spellStart"/>
            <w:r w:rsidRPr="003D542B">
              <w:rPr>
                <w:rFonts w:eastAsia="Calibri"/>
                <w:sz w:val="22"/>
                <w:szCs w:val="22"/>
              </w:rPr>
              <w:t>Nuk</w:t>
            </w:r>
            <w:r w:rsidRPr="003D542B">
              <w:rPr>
                <w:rFonts w:eastAsia="Calibri"/>
                <w:spacing w:val="1"/>
                <w:sz w:val="22"/>
                <w:szCs w:val="22"/>
              </w:rPr>
              <w:t>l</w:t>
            </w:r>
            <w:r w:rsidRPr="003D542B">
              <w:rPr>
                <w:rFonts w:eastAsia="Calibri"/>
                <w:sz w:val="22"/>
                <w:szCs w:val="22"/>
              </w:rPr>
              <w:t>eosi</w:t>
            </w:r>
            <w:r w:rsidRPr="003D542B">
              <w:rPr>
                <w:rFonts w:eastAsia="Calibri"/>
                <w:spacing w:val="1"/>
                <w:sz w:val="22"/>
                <w:szCs w:val="22"/>
              </w:rPr>
              <w:t>d</w:t>
            </w:r>
            <w:r w:rsidRPr="003D542B">
              <w:rPr>
                <w:rFonts w:eastAsia="Calibri"/>
                <w:sz w:val="22"/>
                <w:szCs w:val="22"/>
              </w:rPr>
              <w:t>n</w:t>
            </w:r>
            <w:r w:rsidRPr="003D542B">
              <w:rPr>
                <w:rFonts w:eastAsia="Calibri"/>
                <w:spacing w:val="1"/>
                <w:w w:val="103"/>
                <w:sz w:val="22"/>
                <w:szCs w:val="22"/>
              </w:rPr>
              <w:t>ai</w:t>
            </w:r>
            <w:r w:rsidRPr="003D542B">
              <w:rPr>
                <w:rFonts w:eastAsia="Calibri"/>
                <w:w w:val="103"/>
                <w:sz w:val="22"/>
                <w:szCs w:val="22"/>
              </w:rPr>
              <w:t>ve</w:t>
            </w:r>
            <w:proofErr w:type="spellEnd"/>
            <w:r w:rsidRPr="003D542B">
              <w:rPr>
                <w:rFonts w:eastAsia="Calibri"/>
                <w:w w:val="103"/>
                <w:sz w:val="22"/>
                <w:szCs w:val="22"/>
              </w:rPr>
              <w:t xml:space="preserve"> patienter</w:t>
            </w:r>
          </w:p>
        </w:tc>
      </w:tr>
      <w:tr w:rsidR="008D5948" w:rsidRPr="003D542B" w:rsidTr="002574EE">
        <w:trPr>
          <w:trHeight w:val="20"/>
        </w:trPr>
        <w:tc>
          <w:tcPr>
            <w:tcW w:w="1001" w:type="pct"/>
            <w:vMerge/>
            <w:tcBorders>
              <w:top w:val="single" w:sz="4" w:space="0" w:color="000000"/>
              <w:left w:val="single" w:sz="4" w:space="0" w:color="000000"/>
              <w:bottom w:val="single" w:sz="12" w:space="0" w:color="000000"/>
              <w:right w:val="single" w:sz="4" w:space="0" w:color="000000"/>
            </w:tcBorders>
            <w:vAlign w:val="center"/>
            <w:hideMark/>
          </w:tcPr>
          <w:p w:rsidR="008D5948" w:rsidRPr="003D542B" w:rsidRDefault="008D5948" w:rsidP="002574EE">
            <w:pPr>
              <w:rPr>
                <w:rFonts w:eastAsia="Calibri"/>
                <w:sz w:val="22"/>
                <w:szCs w:val="22"/>
              </w:rPr>
            </w:pPr>
          </w:p>
        </w:tc>
        <w:tc>
          <w:tcPr>
            <w:tcW w:w="1999" w:type="pct"/>
            <w:gridSpan w:val="2"/>
            <w:tcBorders>
              <w:top w:val="single" w:sz="8" w:space="0" w:color="000000"/>
              <w:left w:val="single" w:sz="4" w:space="0" w:color="000000"/>
              <w:bottom w:val="single" w:sz="8" w:space="0" w:color="000000"/>
              <w:right w:val="single" w:sz="4" w:space="0" w:color="000000"/>
            </w:tcBorders>
            <w:vAlign w:val="center"/>
            <w:hideMark/>
          </w:tcPr>
          <w:p w:rsidR="008D5948" w:rsidRPr="003D542B" w:rsidRDefault="008D5948" w:rsidP="002574EE">
            <w:pPr>
              <w:jc w:val="center"/>
              <w:rPr>
                <w:rFonts w:eastAsia="Calibri"/>
                <w:sz w:val="22"/>
                <w:szCs w:val="22"/>
              </w:rPr>
            </w:pPr>
            <w:proofErr w:type="spellStart"/>
            <w:r w:rsidRPr="003D542B">
              <w:rPr>
                <w:rFonts w:eastAsia="Calibri"/>
                <w:sz w:val="22"/>
                <w:szCs w:val="22"/>
              </w:rPr>
              <w:t>HBeAg</w:t>
            </w:r>
            <w:proofErr w:type="spellEnd"/>
            <w:r w:rsidRPr="003D542B">
              <w:rPr>
                <w:rFonts w:eastAsia="Calibri"/>
                <w:spacing w:val="1"/>
                <w:w w:val="103"/>
                <w:sz w:val="22"/>
                <w:szCs w:val="22"/>
              </w:rPr>
              <w:t>-p</w:t>
            </w:r>
            <w:r w:rsidRPr="003D542B">
              <w:rPr>
                <w:rFonts w:eastAsia="Calibri"/>
                <w:w w:val="103"/>
                <w:sz w:val="22"/>
                <w:szCs w:val="22"/>
              </w:rPr>
              <w:t>o</w:t>
            </w:r>
            <w:r w:rsidRPr="003D542B">
              <w:rPr>
                <w:rFonts w:eastAsia="Calibri"/>
                <w:spacing w:val="-1"/>
                <w:w w:val="103"/>
                <w:sz w:val="22"/>
                <w:szCs w:val="22"/>
              </w:rPr>
              <w:t>s</w:t>
            </w:r>
            <w:r w:rsidRPr="003D542B">
              <w:rPr>
                <w:rFonts w:eastAsia="Calibri"/>
                <w:w w:val="103"/>
                <w:sz w:val="22"/>
                <w:szCs w:val="22"/>
              </w:rPr>
              <w:t>i</w:t>
            </w:r>
            <w:r w:rsidRPr="003D542B">
              <w:rPr>
                <w:rFonts w:eastAsia="Calibri"/>
                <w:spacing w:val="1"/>
                <w:w w:val="103"/>
                <w:sz w:val="22"/>
                <w:szCs w:val="22"/>
              </w:rPr>
              <w:t>t</w:t>
            </w:r>
            <w:r w:rsidRPr="003D542B">
              <w:rPr>
                <w:rFonts w:eastAsia="Calibri"/>
                <w:w w:val="103"/>
                <w:sz w:val="22"/>
                <w:szCs w:val="22"/>
              </w:rPr>
              <w:t>iv</w:t>
            </w:r>
          </w:p>
          <w:p w:rsidR="008D5948" w:rsidRPr="003D542B" w:rsidRDefault="008D5948" w:rsidP="002574EE">
            <w:pPr>
              <w:jc w:val="center"/>
              <w:rPr>
                <w:rFonts w:eastAsia="Calibri"/>
                <w:sz w:val="22"/>
                <w:szCs w:val="22"/>
              </w:rPr>
            </w:pPr>
            <w:r w:rsidRPr="003D542B">
              <w:rPr>
                <w:rFonts w:eastAsia="Calibri"/>
                <w:sz w:val="22"/>
                <w:szCs w:val="22"/>
              </w:rPr>
              <w:t>(stu</w:t>
            </w:r>
            <w:r w:rsidRPr="003D542B">
              <w:rPr>
                <w:rFonts w:eastAsia="Calibri"/>
                <w:spacing w:val="-1"/>
                <w:sz w:val="22"/>
                <w:szCs w:val="22"/>
              </w:rPr>
              <w:t>d</w:t>
            </w:r>
            <w:r w:rsidRPr="003D542B">
              <w:rPr>
                <w:rFonts w:eastAsia="Calibri"/>
                <w:sz w:val="22"/>
                <w:szCs w:val="22"/>
              </w:rPr>
              <w:t>ie</w:t>
            </w:r>
            <w:r w:rsidRPr="003D542B">
              <w:rPr>
                <w:rFonts w:eastAsia="Calibri"/>
                <w:spacing w:val="19"/>
                <w:sz w:val="22"/>
                <w:szCs w:val="22"/>
              </w:rPr>
              <w:t xml:space="preserve"> </w:t>
            </w:r>
            <w:r w:rsidRPr="003D542B">
              <w:rPr>
                <w:rFonts w:eastAsia="Calibri"/>
                <w:w w:val="103"/>
                <w:sz w:val="22"/>
                <w:szCs w:val="22"/>
              </w:rPr>
              <w:t>02</w:t>
            </w:r>
            <w:r w:rsidRPr="003D542B">
              <w:rPr>
                <w:rFonts w:eastAsia="Calibri"/>
                <w:spacing w:val="-1"/>
                <w:w w:val="103"/>
                <w:sz w:val="22"/>
                <w:szCs w:val="22"/>
              </w:rPr>
              <w:t>2</w:t>
            </w:r>
            <w:r w:rsidRPr="003D542B">
              <w:rPr>
                <w:rFonts w:eastAsia="Calibri"/>
                <w:w w:val="103"/>
                <w:sz w:val="22"/>
                <w:szCs w:val="22"/>
              </w:rPr>
              <w:t>)</w:t>
            </w:r>
          </w:p>
        </w:tc>
        <w:tc>
          <w:tcPr>
            <w:tcW w:w="1999" w:type="pct"/>
            <w:gridSpan w:val="2"/>
            <w:tcBorders>
              <w:top w:val="single" w:sz="8" w:space="0" w:color="000000"/>
              <w:left w:val="single" w:sz="4" w:space="0" w:color="000000"/>
              <w:bottom w:val="single" w:sz="8" w:space="0" w:color="000000"/>
              <w:right w:val="single" w:sz="4" w:space="0" w:color="000000"/>
            </w:tcBorders>
            <w:vAlign w:val="center"/>
            <w:hideMark/>
          </w:tcPr>
          <w:p w:rsidR="008D5948" w:rsidRPr="003D542B" w:rsidRDefault="008D5948" w:rsidP="002574EE">
            <w:pPr>
              <w:jc w:val="center"/>
              <w:rPr>
                <w:rFonts w:eastAsia="Calibri"/>
                <w:sz w:val="22"/>
                <w:szCs w:val="22"/>
              </w:rPr>
            </w:pPr>
            <w:proofErr w:type="spellStart"/>
            <w:r w:rsidRPr="003D542B">
              <w:rPr>
                <w:rFonts w:eastAsia="Calibri"/>
                <w:sz w:val="22"/>
                <w:szCs w:val="22"/>
              </w:rPr>
              <w:t>HBe</w:t>
            </w:r>
            <w:r w:rsidRPr="003D542B">
              <w:rPr>
                <w:rFonts w:eastAsia="Calibri"/>
                <w:spacing w:val="2"/>
                <w:sz w:val="22"/>
                <w:szCs w:val="22"/>
              </w:rPr>
              <w:t>A</w:t>
            </w:r>
            <w:r w:rsidRPr="003D542B">
              <w:rPr>
                <w:rFonts w:eastAsia="Calibri"/>
                <w:sz w:val="22"/>
                <w:szCs w:val="22"/>
              </w:rPr>
              <w:t>g</w:t>
            </w:r>
            <w:proofErr w:type="spellEnd"/>
            <w:r w:rsidRPr="003D542B">
              <w:rPr>
                <w:rFonts w:eastAsia="Calibri"/>
                <w:spacing w:val="2"/>
                <w:w w:val="103"/>
                <w:sz w:val="22"/>
                <w:szCs w:val="22"/>
              </w:rPr>
              <w:t>-n</w:t>
            </w:r>
            <w:r w:rsidRPr="003D542B">
              <w:rPr>
                <w:rFonts w:eastAsia="Calibri"/>
                <w:w w:val="103"/>
                <w:sz w:val="22"/>
                <w:szCs w:val="22"/>
              </w:rPr>
              <w:t>eg</w:t>
            </w:r>
            <w:r w:rsidRPr="003D542B">
              <w:rPr>
                <w:rFonts w:eastAsia="Calibri"/>
                <w:spacing w:val="1"/>
                <w:w w:val="103"/>
                <w:sz w:val="22"/>
                <w:szCs w:val="22"/>
              </w:rPr>
              <w:t>a</w:t>
            </w:r>
            <w:r w:rsidRPr="003D542B">
              <w:rPr>
                <w:rFonts w:eastAsia="Calibri"/>
                <w:w w:val="103"/>
                <w:sz w:val="22"/>
                <w:szCs w:val="22"/>
              </w:rPr>
              <w:t>tiv</w:t>
            </w:r>
          </w:p>
          <w:p w:rsidR="008D5948" w:rsidRPr="003D542B" w:rsidRDefault="008D5948" w:rsidP="002574EE">
            <w:pPr>
              <w:jc w:val="center"/>
              <w:rPr>
                <w:rFonts w:eastAsia="Calibri"/>
                <w:sz w:val="22"/>
                <w:szCs w:val="22"/>
              </w:rPr>
            </w:pPr>
            <w:r w:rsidRPr="003D542B">
              <w:rPr>
                <w:rFonts w:eastAsia="Calibri"/>
                <w:spacing w:val="-1"/>
                <w:sz w:val="22"/>
                <w:szCs w:val="22"/>
              </w:rPr>
              <w:t>(</w:t>
            </w:r>
            <w:r w:rsidRPr="003D542B">
              <w:rPr>
                <w:rFonts w:eastAsia="Calibri"/>
                <w:sz w:val="22"/>
                <w:szCs w:val="22"/>
              </w:rPr>
              <w:t>stu</w:t>
            </w:r>
            <w:r w:rsidRPr="003D542B">
              <w:rPr>
                <w:rFonts w:eastAsia="Calibri"/>
                <w:spacing w:val="-1"/>
                <w:sz w:val="22"/>
                <w:szCs w:val="22"/>
              </w:rPr>
              <w:t>d</w:t>
            </w:r>
            <w:r w:rsidRPr="003D542B">
              <w:rPr>
                <w:rFonts w:eastAsia="Calibri"/>
                <w:sz w:val="22"/>
                <w:szCs w:val="22"/>
              </w:rPr>
              <w:t>ie</w:t>
            </w:r>
            <w:r w:rsidRPr="003D542B">
              <w:rPr>
                <w:rFonts w:eastAsia="Calibri"/>
                <w:spacing w:val="20"/>
                <w:sz w:val="22"/>
                <w:szCs w:val="22"/>
              </w:rPr>
              <w:t xml:space="preserve"> </w:t>
            </w:r>
            <w:r w:rsidRPr="003D542B">
              <w:rPr>
                <w:rFonts w:eastAsia="Calibri"/>
                <w:spacing w:val="-1"/>
                <w:w w:val="103"/>
                <w:sz w:val="22"/>
                <w:szCs w:val="22"/>
              </w:rPr>
              <w:t>0</w:t>
            </w:r>
            <w:r w:rsidRPr="003D542B">
              <w:rPr>
                <w:rFonts w:eastAsia="Calibri"/>
                <w:w w:val="103"/>
                <w:sz w:val="22"/>
                <w:szCs w:val="22"/>
              </w:rPr>
              <w:t>27)</w:t>
            </w:r>
          </w:p>
        </w:tc>
      </w:tr>
      <w:tr w:rsidR="008D5948" w:rsidRPr="003D542B" w:rsidTr="002574EE">
        <w:trPr>
          <w:trHeight w:val="20"/>
        </w:trPr>
        <w:tc>
          <w:tcPr>
            <w:tcW w:w="1001" w:type="pct"/>
            <w:vMerge/>
            <w:tcBorders>
              <w:top w:val="single" w:sz="4" w:space="0" w:color="000000"/>
              <w:left w:val="single" w:sz="4" w:space="0" w:color="000000"/>
              <w:bottom w:val="single" w:sz="12" w:space="0" w:color="000000"/>
              <w:right w:val="single" w:sz="4" w:space="0" w:color="000000"/>
            </w:tcBorders>
            <w:vAlign w:val="center"/>
            <w:hideMark/>
          </w:tcPr>
          <w:p w:rsidR="008D5948" w:rsidRPr="003D542B" w:rsidRDefault="008D5948" w:rsidP="002574EE">
            <w:pPr>
              <w:rPr>
                <w:rFonts w:eastAsia="Calibri"/>
                <w:sz w:val="22"/>
                <w:szCs w:val="22"/>
              </w:rPr>
            </w:pPr>
          </w:p>
        </w:tc>
        <w:tc>
          <w:tcPr>
            <w:tcW w:w="1000" w:type="pct"/>
            <w:tcBorders>
              <w:top w:val="single" w:sz="8" w:space="0" w:color="000000"/>
              <w:left w:val="single" w:sz="4" w:space="0" w:color="000000"/>
              <w:bottom w:val="single" w:sz="12" w:space="0" w:color="000000"/>
              <w:right w:val="single" w:sz="2"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ETV</w:t>
            </w:r>
          </w:p>
          <w:p w:rsidR="008D5948" w:rsidRPr="003D542B" w:rsidRDefault="008D5948" w:rsidP="002574EE">
            <w:pPr>
              <w:jc w:val="center"/>
              <w:rPr>
                <w:rFonts w:eastAsia="Calibri"/>
                <w:sz w:val="22"/>
                <w:szCs w:val="22"/>
              </w:rPr>
            </w:pPr>
            <w:r w:rsidRPr="003D542B">
              <w:rPr>
                <w:rFonts w:eastAsia="Calibri"/>
                <w:sz w:val="22"/>
                <w:szCs w:val="22"/>
              </w:rPr>
              <w:t>0,5</w:t>
            </w:r>
            <w:r w:rsidRPr="003D542B">
              <w:rPr>
                <w:rFonts w:eastAsia="Calibri"/>
                <w:spacing w:val="11"/>
                <w:sz w:val="22"/>
                <w:szCs w:val="22"/>
              </w:rPr>
              <w:t xml:space="preserve"> </w:t>
            </w:r>
            <w:r w:rsidRPr="003D542B">
              <w:rPr>
                <w:rFonts w:eastAsia="Calibri"/>
                <w:spacing w:val="-2"/>
                <w:w w:val="103"/>
                <w:sz w:val="22"/>
                <w:szCs w:val="22"/>
              </w:rPr>
              <w:t>m</w:t>
            </w:r>
            <w:r w:rsidRPr="003D542B">
              <w:rPr>
                <w:rFonts w:eastAsia="Calibri"/>
                <w:w w:val="103"/>
                <w:sz w:val="22"/>
                <w:szCs w:val="22"/>
              </w:rPr>
              <w:t xml:space="preserve">g </w:t>
            </w:r>
            <w:r w:rsidRPr="003D542B">
              <w:rPr>
                <w:rFonts w:eastAsia="Calibri"/>
                <w:sz w:val="22"/>
                <w:szCs w:val="22"/>
              </w:rPr>
              <w:t>en gang daglig</w:t>
            </w:r>
          </w:p>
        </w:tc>
        <w:tc>
          <w:tcPr>
            <w:tcW w:w="1000" w:type="pct"/>
            <w:tcBorders>
              <w:top w:val="single" w:sz="8" w:space="0" w:color="000000"/>
              <w:left w:val="single" w:sz="2" w:space="0" w:color="000000"/>
              <w:bottom w:val="single" w:sz="12" w:space="0" w:color="000000"/>
              <w:right w:val="single" w:sz="4"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LVD</w:t>
            </w:r>
          </w:p>
          <w:p w:rsidR="008D5948" w:rsidRPr="003D542B" w:rsidRDefault="008D5948" w:rsidP="002574EE">
            <w:pPr>
              <w:jc w:val="center"/>
              <w:rPr>
                <w:rFonts w:eastAsia="Calibri"/>
                <w:sz w:val="22"/>
                <w:szCs w:val="22"/>
              </w:rPr>
            </w:pPr>
            <w:r w:rsidRPr="003D542B">
              <w:rPr>
                <w:rFonts w:eastAsia="Calibri"/>
                <w:sz w:val="22"/>
                <w:szCs w:val="22"/>
              </w:rPr>
              <w:t>100</w:t>
            </w:r>
            <w:r w:rsidRPr="003D542B">
              <w:rPr>
                <w:rFonts w:eastAsia="Calibri"/>
                <w:spacing w:val="12"/>
                <w:sz w:val="22"/>
                <w:szCs w:val="22"/>
              </w:rPr>
              <w:t xml:space="preserve"> </w:t>
            </w:r>
            <w:r w:rsidRPr="003D542B">
              <w:rPr>
                <w:rFonts w:eastAsia="Calibri"/>
                <w:w w:val="103"/>
                <w:sz w:val="22"/>
                <w:szCs w:val="22"/>
              </w:rPr>
              <w:t xml:space="preserve">mg </w:t>
            </w:r>
            <w:r w:rsidRPr="003D542B">
              <w:rPr>
                <w:rFonts w:eastAsia="Calibri"/>
                <w:sz w:val="22"/>
                <w:szCs w:val="22"/>
              </w:rPr>
              <w:t>en gang daglig</w:t>
            </w:r>
          </w:p>
        </w:tc>
        <w:tc>
          <w:tcPr>
            <w:tcW w:w="1000" w:type="pct"/>
            <w:tcBorders>
              <w:top w:val="single" w:sz="8" w:space="0" w:color="000000"/>
              <w:left w:val="single" w:sz="4" w:space="0" w:color="000000"/>
              <w:bottom w:val="single" w:sz="12" w:space="0" w:color="000000"/>
              <w:right w:val="single" w:sz="2"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E</w:t>
            </w:r>
            <w:r w:rsidRPr="003D542B">
              <w:rPr>
                <w:rFonts w:eastAsia="Calibri"/>
                <w:spacing w:val="1"/>
                <w:w w:val="103"/>
                <w:sz w:val="22"/>
                <w:szCs w:val="22"/>
              </w:rPr>
              <w:t>T</w:t>
            </w:r>
            <w:r w:rsidRPr="003D542B">
              <w:rPr>
                <w:rFonts w:eastAsia="Calibri"/>
                <w:w w:val="103"/>
                <w:sz w:val="22"/>
                <w:szCs w:val="22"/>
              </w:rPr>
              <w:t>V</w:t>
            </w:r>
          </w:p>
          <w:p w:rsidR="008D5948" w:rsidRPr="003D542B" w:rsidRDefault="008D5948" w:rsidP="002574EE">
            <w:pPr>
              <w:jc w:val="center"/>
              <w:rPr>
                <w:rFonts w:eastAsia="Calibri"/>
                <w:sz w:val="22"/>
                <w:szCs w:val="22"/>
              </w:rPr>
            </w:pPr>
            <w:r w:rsidRPr="003D542B">
              <w:rPr>
                <w:rFonts w:eastAsia="Calibri"/>
                <w:sz w:val="22"/>
                <w:szCs w:val="22"/>
              </w:rPr>
              <w:t>0,5</w:t>
            </w:r>
            <w:r w:rsidRPr="003D542B">
              <w:rPr>
                <w:rFonts w:eastAsia="Calibri"/>
                <w:spacing w:val="11"/>
                <w:sz w:val="22"/>
                <w:szCs w:val="22"/>
              </w:rPr>
              <w:t xml:space="preserve"> </w:t>
            </w:r>
            <w:r w:rsidRPr="003D542B">
              <w:rPr>
                <w:rFonts w:eastAsia="Calibri"/>
                <w:w w:val="103"/>
                <w:sz w:val="22"/>
                <w:szCs w:val="22"/>
              </w:rPr>
              <w:t xml:space="preserve">mg </w:t>
            </w:r>
            <w:r w:rsidRPr="003D542B">
              <w:rPr>
                <w:rFonts w:eastAsia="Calibri"/>
                <w:spacing w:val="-1"/>
                <w:sz w:val="22"/>
                <w:szCs w:val="22"/>
              </w:rPr>
              <w:t>en gang daglig</w:t>
            </w:r>
          </w:p>
        </w:tc>
        <w:tc>
          <w:tcPr>
            <w:tcW w:w="1000" w:type="pct"/>
            <w:tcBorders>
              <w:top w:val="single" w:sz="8" w:space="0" w:color="000000"/>
              <w:left w:val="single" w:sz="2" w:space="0" w:color="000000"/>
              <w:bottom w:val="single" w:sz="12" w:space="0" w:color="000000"/>
              <w:right w:val="single" w:sz="4"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LVD</w:t>
            </w:r>
          </w:p>
          <w:p w:rsidR="008D5948" w:rsidRPr="003D542B" w:rsidRDefault="008D5948" w:rsidP="002574EE">
            <w:pPr>
              <w:jc w:val="center"/>
              <w:rPr>
                <w:rFonts w:eastAsia="Calibri"/>
                <w:sz w:val="22"/>
                <w:szCs w:val="22"/>
              </w:rPr>
            </w:pPr>
            <w:r w:rsidRPr="003D542B">
              <w:rPr>
                <w:rFonts w:eastAsia="Calibri"/>
                <w:spacing w:val="-1"/>
                <w:sz w:val="22"/>
                <w:szCs w:val="22"/>
              </w:rPr>
              <w:t>1</w:t>
            </w:r>
            <w:r w:rsidRPr="003D542B">
              <w:rPr>
                <w:rFonts w:eastAsia="Calibri"/>
                <w:spacing w:val="1"/>
                <w:sz w:val="22"/>
                <w:szCs w:val="22"/>
              </w:rPr>
              <w:t>0</w:t>
            </w:r>
            <w:r w:rsidRPr="003D542B">
              <w:rPr>
                <w:rFonts w:eastAsia="Calibri"/>
                <w:sz w:val="22"/>
                <w:szCs w:val="22"/>
              </w:rPr>
              <w:t>0</w:t>
            </w:r>
            <w:r w:rsidRPr="003D542B">
              <w:rPr>
                <w:rFonts w:eastAsia="Calibri"/>
                <w:spacing w:val="11"/>
                <w:sz w:val="22"/>
                <w:szCs w:val="22"/>
              </w:rPr>
              <w:t xml:space="preserve"> </w:t>
            </w:r>
            <w:r w:rsidRPr="003D542B">
              <w:rPr>
                <w:rFonts w:eastAsia="Calibri"/>
                <w:spacing w:val="-1"/>
                <w:w w:val="103"/>
                <w:sz w:val="22"/>
                <w:szCs w:val="22"/>
              </w:rPr>
              <w:t xml:space="preserve">mg </w:t>
            </w:r>
            <w:r w:rsidRPr="003D542B">
              <w:rPr>
                <w:rFonts w:eastAsia="Calibri"/>
                <w:sz w:val="22"/>
                <w:szCs w:val="22"/>
              </w:rPr>
              <w:t>en gang daglig</w:t>
            </w:r>
          </w:p>
        </w:tc>
      </w:tr>
      <w:tr w:rsidR="008D5948" w:rsidRPr="003D542B" w:rsidTr="002574EE">
        <w:trPr>
          <w:trHeight w:val="20"/>
        </w:trPr>
        <w:tc>
          <w:tcPr>
            <w:tcW w:w="1001" w:type="pct"/>
            <w:tcBorders>
              <w:top w:val="single" w:sz="12" w:space="0" w:color="000000"/>
              <w:left w:val="single" w:sz="4" w:space="0" w:color="000000"/>
              <w:bottom w:val="single" w:sz="12" w:space="0" w:color="000000"/>
              <w:right w:val="single" w:sz="4"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n</w:t>
            </w:r>
          </w:p>
        </w:tc>
        <w:tc>
          <w:tcPr>
            <w:tcW w:w="1000" w:type="pct"/>
            <w:tcBorders>
              <w:top w:val="single" w:sz="12" w:space="0" w:color="000000"/>
              <w:left w:val="single" w:sz="4" w:space="0" w:color="000000"/>
              <w:bottom w:val="single" w:sz="12" w:space="0" w:color="000000"/>
              <w:right w:val="single" w:sz="2" w:space="0" w:color="000000"/>
            </w:tcBorders>
            <w:vAlign w:val="center"/>
            <w:hideMark/>
          </w:tcPr>
          <w:p w:rsidR="008D5948" w:rsidRPr="003D542B" w:rsidRDefault="008D5948" w:rsidP="002574EE">
            <w:pPr>
              <w:rPr>
                <w:rFonts w:eastAsia="Calibri"/>
                <w:sz w:val="22"/>
                <w:szCs w:val="22"/>
                <w:vertAlign w:val="superscript"/>
              </w:rPr>
            </w:pPr>
            <w:r w:rsidRPr="003D542B">
              <w:rPr>
                <w:rFonts w:eastAsia="Calibri"/>
                <w:spacing w:val="-1"/>
                <w:w w:val="103"/>
                <w:sz w:val="22"/>
                <w:szCs w:val="22"/>
              </w:rPr>
              <w:t>3</w:t>
            </w:r>
            <w:r w:rsidRPr="003D542B">
              <w:rPr>
                <w:rFonts w:eastAsia="Calibri"/>
                <w:spacing w:val="1"/>
                <w:w w:val="103"/>
                <w:sz w:val="22"/>
                <w:szCs w:val="22"/>
              </w:rPr>
              <w:t>1</w:t>
            </w:r>
            <w:r w:rsidRPr="003D542B">
              <w:rPr>
                <w:rFonts w:eastAsia="Calibri"/>
                <w:spacing w:val="-1"/>
                <w:w w:val="103"/>
                <w:sz w:val="22"/>
                <w:szCs w:val="22"/>
              </w:rPr>
              <w:t>4</w:t>
            </w:r>
            <w:r w:rsidRPr="003D542B">
              <w:rPr>
                <w:rFonts w:eastAsia="Calibri"/>
                <w:spacing w:val="-1"/>
                <w:w w:val="103"/>
                <w:sz w:val="22"/>
                <w:szCs w:val="22"/>
                <w:vertAlign w:val="superscript"/>
              </w:rPr>
              <w:t>a</w:t>
            </w:r>
          </w:p>
        </w:tc>
        <w:tc>
          <w:tcPr>
            <w:tcW w:w="1000" w:type="pct"/>
            <w:tcBorders>
              <w:top w:val="single" w:sz="12" w:space="0" w:color="000000"/>
              <w:left w:val="single" w:sz="2" w:space="0" w:color="000000"/>
              <w:bottom w:val="single" w:sz="12" w:space="0" w:color="000000"/>
              <w:right w:val="single" w:sz="4" w:space="0" w:color="000000"/>
            </w:tcBorders>
            <w:vAlign w:val="center"/>
            <w:hideMark/>
          </w:tcPr>
          <w:p w:rsidR="008D5948" w:rsidRPr="003D542B" w:rsidRDefault="008D5948" w:rsidP="002574EE">
            <w:pPr>
              <w:rPr>
                <w:rFonts w:eastAsia="Calibri"/>
                <w:sz w:val="22"/>
                <w:szCs w:val="22"/>
                <w:vertAlign w:val="superscript"/>
              </w:rPr>
            </w:pPr>
            <w:r w:rsidRPr="003D542B">
              <w:rPr>
                <w:rFonts w:eastAsia="Calibri"/>
                <w:w w:val="103"/>
                <w:sz w:val="22"/>
                <w:szCs w:val="22"/>
              </w:rPr>
              <w:t>3</w:t>
            </w:r>
            <w:r w:rsidRPr="003D542B">
              <w:rPr>
                <w:rFonts w:eastAsia="Calibri"/>
                <w:spacing w:val="1"/>
                <w:w w:val="103"/>
                <w:sz w:val="22"/>
                <w:szCs w:val="22"/>
              </w:rPr>
              <w:t>1</w:t>
            </w:r>
            <w:r w:rsidRPr="003D542B">
              <w:rPr>
                <w:rFonts w:eastAsia="Calibri"/>
                <w:spacing w:val="-1"/>
                <w:w w:val="103"/>
                <w:sz w:val="22"/>
                <w:szCs w:val="22"/>
              </w:rPr>
              <w:t>4</w:t>
            </w:r>
            <w:r w:rsidRPr="003D542B">
              <w:rPr>
                <w:rFonts w:eastAsia="Calibri"/>
                <w:spacing w:val="-1"/>
                <w:w w:val="103"/>
                <w:sz w:val="22"/>
                <w:szCs w:val="22"/>
                <w:vertAlign w:val="superscript"/>
              </w:rPr>
              <w:t>a</w:t>
            </w:r>
          </w:p>
        </w:tc>
        <w:tc>
          <w:tcPr>
            <w:tcW w:w="1000" w:type="pct"/>
            <w:tcBorders>
              <w:top w:val="single" w:sz="12" w:space="0" w:color="000000"/>
              <w:left w:val="single" w:sz="4" w:space="0" w:color="000000"/>
              <w:bottom w:val="single" w:sz="12" w:space="0" w:color="000000"/>
              <w:right w:val="single" w:sz="2" w:space="0" w:color="000000"/>
            </w:tcBorders>
            <w:vAlign w:val="center"/>
            <w:hideMark/>
          </w:tcPr>
          <w:p w:rsidR="008D5948" w:rsidRPr="003D542B" w:rsidRDefault="008D5948" w:rsidP="002574EE">
            <w:pPr>
              <w:rPr>
                <w:rFonts w:eastAsia="Calibri"/>
                <w:sz w:val="22"/>
                <w:szCs w:val="22"/>
                <w:vertAlign w:val="superscript"/>
              </w:rPr>
            </w:pPr>
            <w:r w:rsidRPr="003D542B">
              <w:rPr>
                <w:rFonts w:eastAsia="Calibri"/>
                <w:w w:val="103"/>
                <w:sz w:val="22"/>
                <w:szCs w:val="22"/>
              </w:rPr>
              <w:t>296</w:t>
            </w:r>
            <w:r w:rsidRPr="003D542B">
              <w:rPr>
                <w:rFonts w:eastAsia="Calibri"/>
                <w:w w:val="103"/>
                <w:sz w:val="22"/>
                <w:szCs w:val="22"/>
                <w:vertAlign w:val="superscript"/>
              </w:rPr>
              <w:t>a</w:t>
            </w:r>
          </w:p>
        </w:tc>
        <w:tc>
          <w:tcPr>
            <w:tcW w:w="1000" w:type="pct"/>
            <w:tcBorders>
              <w:top w:val="single" w:sz="12" w:space="0" w:color="000000"/>
              <w:left w:val="single" w:sz="2" w:space="0" w:color="000000"/>
              <w:bottom w:val="single" w:sz="12" w:space="0" w:color="000000"/>
              <w:right w:val="single" w:sz="4" w:space="0" w:color="000000"/>
            </w:tcBorders>
            <w:vAlign w:val="center"/>
            <w:hideMark/>
          </w:tcPr>
          <w:p w:rsidR="008D5948" w:rsidRPr="003D542B" w:rsidRDefault="008D5948" w:rsidP="002574EE">
            <w:pPr>
              <w:rPr>
                <w:rFonts w:eastAsia="Calibri"/>
                <w:sz w:val="22"/>
                <w:szCs w:val="22"/>
                <w:vertAlign w:val="superscript"/>
              </w:rPr>
            </w:pPr>
            <w:r w:rsidRPr="003D542B">
              <w:rPr>
                <w:rFonts w:eastAsia="Calibri"/>
                <w:spacing w:val="-1"/>
                <w:w w:val="103"/>
                <w:sz w:val="22"/>
                <w:szCs w:val="22"/>
              </w:rPr>
              <w:t>2</w:t>
            </w:r>
            <w:r w:rsidRPr="003D542B">
              <w:rPr>
                <w:rFonts w:eastAsia="Calibri"/>
                <w:spacing w:val="1"/>
                <w:w w:val="103"/>
                <w:sz w:val="22"/>
                <w:szCs w:val="22"/>
              </w:rPr>
              <w:t>8</w:t>
            </w:r>
            <w:r w:rsidRPr="003D542B">
              <w:rPr>
                <w:rFonts w:eastAsia="Calibri"/>
                <w:spacing w:val="-1"/>
                <w:w w:val="103"/>
                <w:sz w:val="22"/>
                <w:szCs w:val="22"/>
              </w:rPr>
              <w:t>7</w:t>
            </w:r>
            <w:r w:rsidRPr="003D542B">
              <w:rPr>
                <w:rFonts w:eastAsia="Calibri"/>
                <w:spacing w:val="-1"/>
                <w:w w:val="103"/>
                <w:sz w:val="22"/>
                <w:szCs w:val="22"/>
                <w:vertAlign w:val="superscript"/>
              </w:rPr>
              <w:t>a</w:t>
            </w:r>
          </w:p>
        </w:tc>
      </w:tr>
      <w:tr w:rsidR="008D5948" w:rsidRPr="003D542B" w:rsidTr="002574EE">
        <w:trPr>
          <w:trHeight w:val="20"/>
        </w:trPr>
        <w:tc>
          <w:tcPr>
            <w:tcW w:w="1001" w:type="pct"/>
            <w:tcBorders>
              <w:top w:val="single" w:sz="12" w:space="0" w:color="000000"/>
              <w:left w:val="single" w:sz="4" w:space="0" w:color="000000"/>
              <w:bottom w:val="single" w:sz="8" w:space="0" w:color="000000"/>
              <w:right w:val="single" w:sz="4" w:space="0" w:color="000000"/>
            </w:tcBorders>
            <w:vAlign w:val="center"/>
            <w:hideMark/>
          </w:tcPr>
          <w:p w:rsidR="008D5948" w:rsidRPr="003D542B" w:rsidRDefault="008D5948" w:rsidP="002574EE">
            <w:pPr>
              <w:jc w:val="center"/>
              <w:rPr>
                <w:rFonts w:eastAsia="Calibri"/>
                <w:sz w:val="22"/>
                <w:szCs w:val="22"/>
                <w:vertAlign w:val="superscript"/>
              </w:rPr>
            </w:pPr>
            <w:r w:rsidRPr="003D542B">
              <w:rPr>
                <w:rFonts w:eastAsia="Calibri"/>
                <w:sz w:val="22"/>
                <w:szCs w:val="22"/>
              </w:rPr>
              <w:t>Hist</w:t>
            </w:r>
            <w:r w:rsidRPr="003D542B">
              <w:rPr>
                <w:rFonts w:eastAsia="Calibri"/>
                <w:spacing w:val="-1"/>
                <w:sz w:val="22"/>
                <w:szCs w:val="22"/>
              </w:rPr>
              <w:t>o</w:t>
            </w:r>
            <w:r w:rsidRPr="003D542B">
              <w:rPr>
                <w:rFonts w:eastAsia="Calibri"/>
                <w:spacing w:val="1"/>
                <w:sz w:val="22"/>
                <w:szCs w:val="22"/>
              </w:rPr>
              <w:t>lo</w:t>
            </w:r>
            <w:r w:rsidRPr="003D542B">
              <w:rPr>
                <w:rFonts w:eastAsia="Calibri"/>
                <w:sz w:val="22"/>
                <w:szCs w:val="22"/>
              </w:rPr>
              <w:t xml:space="preserve">gisk </w:t>
            </w:r>
            <w:proofErr w:type="spellStart"/>
            <w:r w:rsidRPr="003D542B">
              <w:rPr>
                <w:rFonts w:eastAsia="Calibri"/>
                <w:sz w:val="22"/>
                <w:szCs w:val="22"/>
              </w:rPr>
              <w:t>forbedring</w:t>
            </w:r>
            <w:r w:rsidRPr="003D542B">
              <w:rPr>
                <w:rFonts w:eastAsia="Calibri"/>
                <w:sz w:val="22"/>
                <w:szCs w:val="22"/>
                <w:vertAlign w:val="superscript"/>
              </w:rPr>
              <w:t>b</w:t>
            </w:r>
            <w:proofErr w:type="spellEnd"/>
          </w:p>
        </w:tc>
        <w:tc>
          <w:tcPr>
            <w:tcW w:w="1000" w:type="pct"/>
            <w:tcBorders>
              <w:top w:val="single" w:sz="12" w:space="0" w:color="000000"/>
              <w:left w:val="single" w:sz="4" w:space="0" w:color="000000"/>
              <w:bottom w:val="single" w:sz="8" w:space="0" w:color="000000"/>
              <w:right w:val="single" w:sz="2" w:space="0" w:color="000000"/>
            </w:tcBorders>
            <w:vAlign w:val="center"/>
            <w:hideMark/>
          </w:tcPr>
          <w:p w:rsidR="008D5948" w:rsidRPr="003D542B" w:rsidRDefault="008D5948" w:rsidP="002574EE">
            <w:pPr>
              <w:jc w:val="center"/>
              <w:rPr>
                <w:rFonts w:eastAsia="Calibri"/>
                <w:sz w:val="22"/>
                <w:szCs w:val="22"/>
              </w:rPr>
            </w:pPr>
            <w:r w:rsidRPr="003D542B">
              <w:rPr>
                <w:rFonts w:eastAsia="Calibri"/>
                <w:spacing w:val="-1"/>
                <w:w w:val="103"/>
                <w:sz w:val="22"/>
                <w:szCs w:val="22"/>
              </w:rPr>
              <w:t>7</w:t>
            </w:r>
            <w:r w:rsidRPr="003D542B">
              <w:rPr>
                <w:rFonts w:eastAsia="Calibri"/>
                <w:spacing w:val="1"/>
                <w:w w:val="103"/>
                <w:sz w:val="22"/>
                <w:szCs w:val="22"/>
              </w:rPr>
              <w:t xml:space="preserve">2 </w:t>
            </w:r>
            <w:r w:rsidRPr="003D542B">
              <w:rPr>
                <w:rFonts w:eastAsia="Calibri"/>
                <w:w w:val="103"/>
                <w:sz w:val="22"/>
                <w:szCs w:val="22"/>
              </w:rPr>
              <w:t>%*</w:t>
            </w:r>
          </w:p>
        </w:tc>
        <w:tc>
          <w:tcPr>
            <w:tcW w:w="1000" w:type="pct"/>
            <w:tcBorders>
              <w:top w:val="single" w:sz="12" w:space="0" w:color="000000"/>
              <w:left w:val="single" w:sz="2" w:space="0" w:color="000000"/>
              <w:bottom w:val="single" w:sz="8" w:space="0" w:color="000000"/>
              <w:right w:val="single" w:sz="4" w:space="0" w:color="000000"/>
            </w:tcBorders>
            <w:vAlign w:val="center"/>
            <w:hideMark/>
          </w:tcPr>
          <w:p w:rsidR="008D5948" w:rsidRPr="003D542B" w:rsidRDefault="008D5948" w:rsidP="002574EE">
            <w:pPr>
              <w:jc w:val="center"/>
              <w:rPr>
                <w:rFonts w:eastAsia="Calibri"/>
                <w:sz w:val="22"/>
                <w:szCs w:val="22"/>
              </w:rPr>
            </w:pPr>
            <w:r w:rsidRPr="003D542B">
              <w:rPr>
                <w:rFonts w:eastAsia="Calibri"/>
                <w:spacing w:val="-1"/>
                <w:w w:val="103"/>
                <w:sz w:val="22"/>
                <w:szCs w:val="22"/>
              </w:rPr>
              <w:t>6</w:t>
            </w:r>
            <w:r w:rsidRPr="003D542B">
              <w:rPr>
                <w:rFonts w:eastAsia="Calibri"/>
                <w:spacing w:val="1"/>
                <w:w w:val="103"/>
                <w:sz w:val="22"/>
                <w:szCs w:val="22"/>
              </w:rPr>
              <w:t xml:space="preserve">2 </w:t>
            </w:r>
            <w:r w:rsidRPr="003D542B">
              <w:rPr>
                <w:rFonts w:eastAsia="Calibri"/>
                <w:w w:val="103"/>
                <w:sz w:val="22"/>
                <w:szCs w:val="22"/>
              </w:rPr>
              <w:t>%</w:t>
            </w:r>
          </w:p>
        </w:tc>
        <w:tc>
          <w:tcPr>
            <w:tcW w:w="1000" w:type="pct"/>
            <w:tcBorders>
              <w:top w:val="single" w:sz="12" w:space="0" w:color="000000"/>
              <w:left w:val="single" w:sz="4" w:space="0" w:color="000000"/>
              <w:bottom w:val="single" w:sz="8" w:space="0" w:color="000000"/>
              <w:right w:val="single" w:sz="2"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70 %*</w:t>
            </w:r>
          </w:p>
        </w:tc>
        <w:tc>
          <w:tcPr>
            <w:tcW w:w="1000" w:type="pct"/>
            <w:tcBorders>
              <w:top w:val="single" w:sz="12" w:space="0" w:color="000000"/>
              <w:left w:val="single" w:sz="2" w:space="0" w:color="000000"/>
              <w:bottom w:val="single" w:sz="8" w:space="0" w:color="000000"/>
              <w:right w:val="single" w:sz="4"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61 %</w:t>
            </w:r>
          </w:p>
        </w:tc>
      </w:tr>
      <w:tr w:rsidR="008D5948" w:rsidRPr="003D542B" w:rsidTr="002574EE">
        <w:trPr>
          <w:trHeight w:val="20"/>
        </w:trPr>
        <w:tc>
          <w:tcPr>
            <w:tcW w:w="1001" w:type="pct"/>
            <w:tcBorders>
              <w:top w:val="single" w:sz="8" w:space="0" w:color="000000"/>
              <w:left w:val="single" w:sz="4" w:space="0" w:color="000000"/>
              <w:bottom w:val="single" w:sz="8" w:space="0" w:color="000000"/>
              <w:right w:val="single" w:sz="4" w:space="0" w:color="000000"/>
            </w:tcBorders>
            <w:vAlign w:val="center"/>
            <w:hideMark/>
          </w:tcPr>
          <w:p w:rsidR="008D5948" w:rsidRPr="003D542B" w:rsidRDefault="008D5948" w:rsidP="002574EE">
            <w:pPr>
              <w:jc w:val="center"/>
              <w:rPr>
                <w:rFonts w:eastAsia="Calibri"/>
                <w:sz w:val="22"/>
                <w:szCs w:val="22"/>
              </w:rPr>
            </w:pPr>
            <w:r w:rsidRPr="003D542B">
              <w:rPr>
                <w:rFonts w:eastAsia="Calibri"/>
                <w:sz w:val="22"/>
                <w:szCs w:val="22"/>
              </w:rPr>
              <w:t>Forbedring i Ishak</w:t>
            </w:r>
            <w:r w:rsidRPr="003D542B">
              <w:rPr>
                <w:rFonts w:eastAsia="Calibri"/>
                <w:spacing w:val="15"/>
                <w:sz w:val="22"/>
                <w:szCs w:val="22"/>
              </w:rPr>
              <w:t xml:space="preserve"> </w:t>
            </w:r>
            <w:r w:rsidRPr="003D542B">
              <w:rPr>
                <w:rFonts w:eastAsia="Calibri"/>
                <w:sz w:val="22"/>
                <w:szCs w:val="22"/>
              </w:rPr>
              <w:t>f</w:t>
            </w:r>
            <w:r w:rsidRPr="003D542B">
              <w:rPr>
                <w:rFonts w:eastAsia="Calibri"/>
                <w:spacing w:val="1"/>
                <w:sz w:val="22"/>
                <w:szCs w:val="22"/>
              </w:rPr>
              <w:t>i</w:t>
            </w:r>
            <w:r w:rsidRPr="003D542B">
              <w:rPr>
                <w:rFonts w:eastAsia="Calibri"/>
                <w:sz w:val="22"/>
                <w:szCs w:val="22"/>
              </w:rPr>
              <w:t>br</w:t>
            </w:r>
            <w:r w:rsidRPr="003D542B">
              <w:rPr>
                <w:rFonts w:eastAsia="Calibri"/>
                <w:spacing w:val="1"/>
                <w:sz w:val="22"/>
                <w:szCs w:val="22"/>
              </w:rPr>
              <w:t>o</w:t>
            </w:r>
            <w:r w:rsidRPr="003D542B">
              <w:rPr>
                <w:rFonts w:eastAsia="Calibri"/>
                <w:spacing w:val="-1"/>
                <w:sz w:val="22"/>
                <w:szCs w:val="22"/>
              </w:rPr>
              <w:t>se</w:t>
            </w:r>
            <w:r w:rsidRPr="003D542B">
              <w:rPr>
                <w:rFonts w:eastAsia="Calibri"/>
                <w:sz w:val="22"/>
                <w:szCs w:val="22"/>
              </w:rPr>
              <w:t>-score</w:t>
            </w:r>
          </w:p>
        </w:tc>
        <w:tc>
          <w:tcPr>
            <w:tcW w:w="1000" w:type="pct"/>
            <w:tcBorders>
              <w:top w:val="single" w:sz="8" w:space="0" w:color="000000"/>
              <w:left w:val="single" w:sz="4" w:space="0" w:color="000000"/>
              <w:bottom w:val="single" w:sz="8" w:space="0" w:color="000000"/>
              <w:right w:val="single" w:sz="2"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39 %</w:t>
            </w:r>
          </w:p>
        </w:tc>
        <w:tc>
          <w:tcPr>
            <w:tcW w:w="1000" w:type="pct"/>
            <w:tcBorders>
              <w:top w:val="single" w:sz="8" w:space="0" w:color="000000"/>
              <w:left w:val="single" w:sz="2" w:space="0" w:color="000000"/>
              <w:bottom w:val="single" w:sz="8" w:space="0" w:color="000000"/>
              <w:right w:val="single" w:sz="4" w:space="0" w:color="000000"/>
            </w:tcBorders>
            <w:vAlign w:val="center"/>
            <w:hideMark/>
          </w:tcPr>
          <w:p w:rsidR="008D5948" w:rsidRPr="003D542B" w:rsidRDefault="008D5948" w:rsidP="002574EE">
            <w:pPr>
              <w:jc w:val="center"/>
              <w:rPr>
                <w:rFonts w:eastAsia="Calibri"/>
                <w:sz w:val="22"/>
                <w:szCs w:val="22"/>
              </w:rPr>
            </w:pPr>
            <w:r w:rsidRPr="003D542B">
              <w:rPr>
                <w:rFonts w:eastAsia="Calibri"/>
                <w:spacing w:val="-1"/>
                <w:w w:val="103"/>
                <w:sz w:val="22"/>
                <w:szCs w:val="22"/>
              </w:rPr>
              <w:t>3</w:t>
            </w:r>
            <w:r w:rsidRPr="003D542B">
              <w:rPr>
                <w:rFonts w:eastAsia="Calibri"/>
                <w:spacing w:val="1"/>
                <w:w w:val="103"/>
                <w:sz w:val="22"/>
                <w:szCs w:val="22"/>
              </w:rPr>
              <w:t xml:space="preserve">5 </w:t>
            </w:r>
            <w:r w:rsidRPr="003D542B">
              <w:rPr>
                <w:rFonts w:eastAsia="Calibri"/>
                <w:w w:val="103"/>
                <w:sz w:val="22"/>
                <w:szCs w:val="22"/>
              </w:rPr>
              <w:t>%</w:t>
            </w:r>
          </w:p>
        </w:tc>
        <w:tc>
          <w:tcPr>
            <w:tcW w:w="1000" w:type="pct"/>
            <w:tcBorders>
              <w:top w:val="single" w:sz="8" w:space="0" w:color="000000"/>
              <w:left w:val="single" w:sz="4" w:space="0" w:color="000000"/>
              <w:bottom w:val="single" w:sz="8" w:space="0" w:color="000000"/>
              <w:right w:val="single" w:sz="2"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3</w:t>
            </w:r>
            <w:r w:rsidRPr="003D542B">
              <w:rPr>
                <w:rFonts w:eastAsia="Calibri"/>
                <w:spacing w:val="1"/>
                <w:w w:val="103"/>
                <w:sz w:val="22"/>
                <w:szCs w:val="22"/>
              </w:rPr>
              <w:t xml:space="preserve">6 </w:t>
            </w:r>
            <w:r w:rsidRPr="003D542B">
              <w:rPr>
                <w:rFonts w:eastAsia="Calibri"/>
                <w:w w:val="103"/>
                <w:sz w:val="22"/>
                <w:szCs w:val="22"/>
              </w:rPr>
              <w:t>%</w:t>
            </w:r>
          </w:p>
        </w:tc>
        <w:tc>
          <w:tcPr>
            <w:tcW w:w="1000" w:type="pct"/>
            <w:tcBorders>
              <w:top w:val="single" w:sz="8" w:space="0" w:color="000000"/>
              <w:left w:val="single" w:sz="2" w:space="0" w:color="000000"/>
              <w:bottom w:val="single" w:sz="8" w:space="0" w:color="000000"/>
              <w:right w:val="single" w:sz="4"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38 %</w:t>
            </w:r>
          </w:p>
        </w:tc>
      </w:tr>
      <w:tr w:rsidR="008D5948" w:rsidRPr="003D542B" w:rsidTr="002574EE">
        <w:trPr>
          <w:trHeight w:val="20"/>
        </w:trPr>
        <w:tc>
          <w:tcPr>
            <w:tcW w:w="1001" w:type="pct"/>
            <w:tcBorders>
              <w:top w:val="single" w:sz="8" w:space="0" w:color="000000"/>
              <w:left w:val="single" w:sz="4" w:space="0" w:color="000000"/>
              <w:bottom w:val="single" w:sz="12" w:space="0" w:color="000000"/>
              <w:right w:val="single" w:sz="4" w:space="0" w:color="000000"/>
            </w:tcBorders>
            <w:vAlign w:val="center"/>
            <w:hideMark/>
          </w:tcPr>
          <w:p w:rsidR="008D5948" w:rsidRPr="003D542B" w:rsidRDefault="008D5948" w:rsidP="002574EE">
            <w:pPr>
              <w:jc w:val="center"/>
              <w:rPr>
                <w:rFonts w:eastAsia="Calibri"/>
                <w:sz w:val="22"/>
                <w:szCs w:val="22"/>
                <w:lang w:val="en-US"/>
              </w:rPr>
            </w:pPr>
            <w:proofErr w:type="spellStart"/>
            <w:r w:rsidRPr="003D542B">
              <w:rPr>
                <w:rFonts w:eastAsia="Calibri"/>
                <w:sz w:val="22"/>
                <w:szCs w:val="22"/>
                <w:lang w:val="en-US"/>
              </w:rPr>
              <w:t>Forværring</w:t>
            </w:r>
            <w:proofErr w:type="spellEnd"/>
            <w:r w:rsidRPr="003D542B">
              <w:rPr>
                <w:rFonts w:eastAsia="Calibri"/>
                <w:sz w:val="22"/>
                <w:szCs w:val="22"/>
                <w:lang w:val="en-US"/>
              </w:rPr>
              <w:t xml:space="preserve"> i Ishak</w:t>
            </w:r>
            <w:r w:rsidRPr="003D542B">
              <w:rPr>
                <w:rFonts w:eastAsia="Calibri"/>
                <w:spacing w:val="15"/>
                <w:sz w:val="22"/>
                <w:szCs w:val="22"/>
                <w:lang w:val="en-US"/>
              </w:rPr>
              <w:t xml:space="preserve"> </w:t>
            </w:r>
            <w:proofErr w:type="spellStart"/>
            <w:r w:rsidRPr="003D542B">
              <w:rPr>
                <w:rFonts w:eastAsia="Calibri"/>
                <w:sz w:val="22"/>
                <w:szCs w:val="22"/>
                <w:lang w:val="en-US"/>
              </w:rPr>
              <w:t>f</w:t>
            </w:r>
            <w:r w:rsidRPr="003D542B">
              <w:rPr>
                <w:rFonts w:eastAsia="Calibri"/>
                <w:spacing w:val="1"/>
                <w:sz w:val="22"/>
                <w:szCs w:val="22"/>
                <w:lang w:val="en-US"/>
              </w:rPr>
              <w:t>i</w:t>
            </w:r>
            <w:r w:rsidRPr="003D542B">
              <w:rPr>
                <w:rFonts w:eastAsia="Calibri"/>
                <w:sz w:val="22"/>
                <w:szCs w:val="22"/>
                <w:lang w:val="en-US"/>
              </w:rPr>
              <w:t>br</w:t>
            </w:r>
            <w:r w:rsidRPr="003D542B">
              <w:rPr>
                <w:rFonts w:eastAsia="Calibri"/>
                <w:spacing w:val="1"/>
                <w:sz w:val="22"/>
                <w:szCs w:val="22"/>
                <w:lang w:val="en-US"/>
              </w:rPr>
              <w:t>o</w:t>
            </w:r>
            <w:r w:rsidRPr="003D542B">
              <w:rPr>
                <w:rFonts w:eastAsia="Calibri"/>
                <w:spacing w:val="-1"/>
                <w:sz w:val="22"/>
                <w:szCs w:val="22"/>
                <w:lang w:val="en-US"/>
              </w:rPr>
              <w:t>se</w:t>
            </w:r>
            <w:proofErr w:type="spellEnd"/>
            <w:r w:rsidRPr="003D542B">
              <w:rPr>
                <w:rFonts w:eastAsia="Calibri"/>
                <w:spacing w:val="21"/>
                <w:sz w:val="22"/>
                <w:szCs w:val="22"/>
                <w:lang w:val="en-US"/>
              </w:rPr>
              <w:t>-</w:t>
            </w:r>
            <w:r w:rsidRPr="003D542B">
              <w:rPr>
                <w:rFonts w:eastAsia="Calibri"/>
                <w:sz w:val="22"/>
                <w:szCs w:val="22"/>
                <w:lang w:val="en-US"/>
              </w:rPr>
              <w:t>score</w:t>
            </w:r>
            <w:r w:rsidRPr="003D542B">
              <w:rPr>
                <w:rFonts w:eastAsia="Calibri"/>
                <w:spacing w:val="15"/>
                <w:sz w:val="22"/>
                <w:szCs w:val="22"/>
                <w:lang w:val="en-US"/>
              </w:rPr>
              <w:t xml:space="preserve"> </w:t>
            </w:r>
            <w:r w:rsidRPr="003D542B">
              <w:rPr>
                <w:rFonts w:eastAsia="Calibri"/>
                <w:w w:val="103"/>
                <w:sz w:val="22"/>
                <w:szCs w:val="22"/>
                <w:lang w:val="en-US"/>
              </w:rPr>
              <w:t>worsening</w:t>
            </w:r>
          </w:p>
        </w:tc>
        <w:tc>
          <w:tcPr>
            <w:tcW w:w="1000" w:type="pct"/>
            <w:tcBorders>
              <w:top w:val="single" w:sz="8" w:space="0" w:color="000000"/>
              <w:left w:val="single" w:sz="4" w:space="0" w:color="000000"/>
              <w:bottom w:val="single" w:sz="12" w:space="0" w:color="000000"/>
              <w:right w:val="single" w:sz="2"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8 %</w:t>
            </w:r>
          </w:p>
        </w:tc>
        <w:tc>
          <w:tcPr>
            <w:tcW w:w="1000" w:type="pct"/>
            <w:tcBorders>
              <w:top w:val="single" w:sz="8" w:space="0" w:color="000000"/>
              <w:left w:val="single" w:sz="2" w:space="0" w:color="000000"/>
              <w:bottom w:val="single" w:sz="12" w:space="0" w:color="000000"/>
              <w:right w:val="single" w:sz="4" w:space="0" w:color="000000"/>
            </w:tcBorders>
            <w:vAlign w:val="center"/>
            <w:hideMark/>
          </w:tcPr>
          <w:p w:rsidR="008D5948" w:rsidRPr="003D542B" w:rsidRDefault="008D5948" w:rsidP="002574EE">
            <w:pPr>
              <w:jc w:val="center"/>
              <w:rPr>
                <w:rFonts w:eastAsia="Calibri"/>
                <w:sz w:val="22"/>
                <w:szCs w:val="22"/>
              </w:rPr>
            </w:pPr>
            <w:r w:rsidRPr="003D542B">
              <w:rPr>
                <w:rFonts w:eastAsia="Calibri"/>
                <w:spacing w:val="-1"/>
                <w:w w:val="103"/>
                <w:sz w:val="22"/>
                <w:szCs w:val="22"/>
              </w:rPr>
              <w:t>1</w:t>
            </w:r>
            <w:r w:rsidRPr="003D542B">
              <w:rPr>
                <w:rFonts w:eastAsia="Calibri"/>
                <w:spacing w:val="1"/>
                <w:w w:val="103"/>
                <w:sz w:val="22"/>
                <w:szCs w:val="22"/>
              </w:rPr>
              <w:t xml:space="preserve">0 </w:t>
            </w:r>
            <w:r w:rsidRPr="003D542B">
              <w:rPr>
                <w:rFonts w:eastAsia="Calibri"/>
                <w:w w:val="103"/>
                <w:sz w:val="22"/>
                <w:szCs w:val="22"/>
              </w:rPr>
              <w:t>%</w:t>
            </w:r>
          </w:p>
        </w:tc>
        <w:tc>
          <w:tcPr>
            <w:tcW w:w="1000" w:type="pct"/>
            <w:tcBorders>
              <w:top w:val="single" w:sz="8" w:space="0" w:color="000000"/>
              <w:left w:val="single" w:sz="4" w:space="0" w:color="000000"/>
              <w:bottom w:val="single" w:sz="12" w:space="0" w:color="000000"/>
              <w:right w:val="single" w:sz="2"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1</w:t>
            </w:r>
            <w:r w:rsidRPr="003D542B">
              <w:rPr>
                <w:rFonts w:eastAsia="Calibri"/>
                <w:spacing w:val="1"/>
                <w:w w:val="103"/>
                <w:sz w:val="22"/>
                <w:szCs w:val="22"/>
              </w:rPr>
              <w:t xml:space="preserve">2 </w:t>
            </w:r>
            <w:r w:rsidRPr="003D542B">
              <w:rPr>
                <w:rFonts w:eastAsia="Calibri"/>
                <w:w w:val="103"/>
                <w:sz w:val="22"/>
                <w:szCs w:val="22"/>
              </w:rPr>
              <w:t>%</w:t>
            </w:r>
          </w:p>
        </w:tc>
        <w:tc>
          <w:tcPr>
            <w:tcW w:w="1000" w:type="pct"/>
            <w:tcBorders>
              <w:top w:val="single" w:sz="8" w:space="0" w:color="000000"/>
              <w:left w:val="single" w:sz="2" w:space="0" w:color="000000"/>
              <w:bottom w:val="single" w:sz="12" w:space="0" w:color="000000"/>
              <w:right w:val="single" w:sz="4"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15 %</w:t>
            </w:r>
          </w:p>
        </w:tc>
      </w:tr>
      <w:tr w:rsidR="008D5948" w:rsidRPr="003D542B" w:rsidTr="002574EE">
        <w:trPr>
          <w:trHeight w:val="20"/>
        </w:trPr>
        <w:tc>
          <w:tcPr>
            <w:tcW w:w="1001" w:type="pct"/>
            <w:tcBorders>
              <w:top w:val="single" w:sz="12" w:space="0" w:color="000000"/>
              <w:left w:val="single" w:sz="4" w:space="0" w:color="000000"/>
              <w:bottom w:val="single" w:sz="12" w:space="0" w:color="000000"/>
              <w:right w:val="single" w:sz="4"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n</w:t>
            </w:r>
          </w:p>
        </w:tc>
        <w:tc>
          <w:tcPr>
            <w:tcW w:w="1000" w:type="pct"/>
            <w:tcBorders>
              <w:top w:val="single" w:sz="12" w:space="0" w:color="000000"/>
              <w:left w:val="single" w:sz="4" w:space="0" w:color="000000"/>
              <w:bottom w:val="single" w:sz="12" w:space="0" w:color="000000"/>
              <w:right w:val="single" w:sz="2"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354</w:t>
            </w:r>
          </w:p>
        </w:tc>
        <w:tc>
          <w:tcPr>
            <w:tcW w:w="1000" w:type="pct"/>
            <w:tcBorders>
              <w:top w:val="single" w:sz="12" w:space="0" w:color="000000"/>
              <w:left w:val="single" w:sz="2" w:space="0" w:color="000000"/>
              <w:bottom w:val="single" w:sz="12" w:space="0" w:color="000000"/>
              <w:right w:val="single" w:sz="4" w:space="0" w:color="000000"/>
            </w:tcBorders>
            <w:vAlign w:val="center"/>
            <w:hideMark/>
          </w:tcPr>
          <w:p w:rsidR="008D5948" w:rsidRPr="003D542B" w:rsidRDefault="008D5948" w:rsidP="002574EE">
            <w:pPr>
              <w:jc w:val="center"/>
              <w:rPr>
                <w:rFonts w:eastAsia="Calibri"/>
                <w:sz w:val="22"/>
                <w:szCs w:val="22"/>
              </w:rPr>
            </w:pPr>
            <w:r w:rsidRPr="003D542B">
              <w:rPr>
                <w:rFonts w:eastAsia="Calibri"/>
                <w:spacing w:val="-1"/>
                <w:w w:val="103"/>
                <w:sz w:val="22"/>
                <w:szCs w:val="22"/>
              </w:rPr>
              <w:t>3</w:t>
            </w:r>
            <w:r w:rsidRPr="003D542B">
              <w:rPr>
                <w:rFonts w:eastAsia="Calibri"/>
                <w:spacing w:val="1"/>
                <w:w w:val="103"/>
                <w:sz w:val="22"/>
                <w:szCs w:val="22"/>
              </w:rPr>
              <w:t>5</w:t>
            </w:r>
            <w:r w:rsidRPr="003D542B">
              <w:rPr>
                <w:rFonts w:eastAsia="Calibri"/>
                <w:w w:val="103"/>
                <w:sz w:val="22"/>
                <w:szCs w:val="22"/>
              </w:rPr>
              <w:t>5</w:t>
            </w:r>
          </w:p>
        </w:tc>
        <w:tc>
          <w:tcPr>
            <w:tcW w:w="1000" w:type="pct"/>
            <w:tcBorders>
              <w:top w:val="single" w:sz="12" w:space="0" w:color="000000"/>
              <w:left w:val="single" w:sz="4" w:space="0" w:color="000000"/>
              <w:bottom w:val="single" w:sz="12" w:space="0" w:color="000000"/>
              <w:right w:val="single" w:sz="2" w:space="0" w:color="000000"/>
            </w:tcBorders>
            <w:vAlign w:val="center"/>
            <w:hideMark/>
          </w:tcPr>
          <w:p w:rsidR="008D5948" w:rsidRPr="003D542B" w:rsidRDefault="008D5948" w:rsidP="002574EE">
            <w:pPr>
              <w:jc w:val="center"/>
              <w:rPr>
                <w:rFonts w:eastAsia="Calibri"/>
                <w:sz w:val="22"/>
                <w:szCs w:val="22"/>
              </w:rPr>
            </w:pPr>
            <w:r w:rsidRPr="003D542B">
              <w:rPr>
                <w:rFonts w:eastAsia="Calibri"/>
                <w:spacing w:val="-1"/>
                <w:w w:val="103"/>
                <w:sz w:val="22"/>
                <w:szCs w:val="22"/>
              </w:rPr>
              <w:t>3</w:t>
            </w:r>
            <w:r w:rsidRPr="003D542B">
              <w:rPr>
                <w:rFonts w:eastAsia="Calibri"/>
                <w:spacing w:val="1"/>
                <w:w w:val="103"/>
                <w:sz w:val="22"/>
                <w:szCs w:val="22"/>
              </w:rPr>
              <w:t>2</w:t>
            </w:r>
            <w:r w:rsidRPr="003D542B">
              <w:rPr>
                <w:rFonts w:eastAsia="Calibri"/>
                <w:w w:val="103"/>
                <w:sz w:val="22"/>
                <w:szCs w:val="22"/>
              </w:rPr>
              <w:t>5</w:t>
            </w:r>
          </w:p>
        </w:tc>
        <w:tc>
          <w:tcPr>
            <w:tcW w:w="1000" w:type="pct"/>
            <w:tcBorders>
              <w:top w:val="single" w:sz="12" w:space="0" w:color="000000"/>
              <w:left w:val="single" w:sz="2" w:space="0" w:color="000000"/>
              <w:bottom w:val="single" w:sz="12" w:space="0" w:color="000000"/>
              <w:right w:val="single" w:sz="4"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313</w:t>
            </w:r>
          </w:p>
        </w:tc>
      </w:tr>
      <w:tr w:rsidR="008D5948" w:rsidRPr="003D542B" w:rsidTr="002574EE">
        <w:trPr>
          <w:trHeight w:val="20"/>
        </w:trPr>
        <w:tc>
          <w:tcPr>
            <w:tcW w:w="1001" w:type="pct"/>
            <w:tcBorders>
              <w:top w:val="single" w:sz="12" w:space="0" w:color="000000"/>
              <w:left w:val="single" w:sz="4" w:space="0" w:color="000000"/>
              <w:bottom w:val="single" w:sz="8" w:space="0" w:color="000000"/>
              <w:right w:val="single" w:sz="4" w:space="0" w:color="000000"/>
            </w:tcBorders>
            <w:vAlign w:val="center"/>
            <w:hideMark/>
          </w:tcPr>
          <w:p w:rsidR="008D5948" w:rsidRPr="003D542B" w:rsidRDefault="008D5948" w:rsidP="002574EE">
            <w:pPr>
              <w:jc w:val="center"/>
              <w:rPr>
                <w:rFonts w:eastAsia="Calibri"/>
                <w:sz w:val="22"/>
                <w:szCs w:val="22"/>
                <w:vertAlign w:val="superscript"/>
              </w:rPr>
            </w:pPr>
            <w:r w:rsidRPr="003D542B">
              <w:rPr>
                <w:rFonts w:eastAsia="Calibri"/>
                <w:sz w:val="22"/>
                <w:szCs w:val="22"/>
              </w:rPr>
              <w:t>Fald i vir</w:t>
            </w:r>
            <w:r w:rsidRPr="003D542B">
              <w:rPr>
                <w:rFonts w:eastAsia="Calibri"/>
                <w:spacing w:val="1"/>
                <w:sz w:val="22"/>
                <w:szCs w:val="22"/>
              </w:rPr>
              <w:t>a</w:t>
            </w:r>
            <w:r w:rsidRPr="003D542B">
              <w:rPr>
                <w:rFonts w:eastAsia="Calibri"/>
                <w:sz w:val="22"/>
                <w:szCs w:val="22"/>
              </w:rPr>
              <w:t>l</w:t>
            </w:r>
            <w:r w:rsidRPr="003D542B">
              <w:rPr>
                <w:rFonts w:eastAsia="Calibri"/>
                <w:spacing w:val="13"/>
                <w:sz w:val="22"/>
                <w:szCs w:val="22"/>
              </w:rPr>
              <w:t xml:space="preserve"> </w:t>
            </w:r>
            <w:r w:rsidRPr="003D542B">
              <w:rPr>
                <w:rFonts w:eastAsia="Calibri"/>
                <w:sz w:val="22"/>
                <w:szCs w:val="22"/>
              </w:rPr>
              <w:t>lo</w:t>
            </w:r>
            <w:r w:rsidRPr="003D542B">
              <w:rPr>
                <w:rFonts w:eastAsia="Calibri"/>
                <w:spacing w:val="2"/>
                <w:sz w:val="22"/>
                <w:szCs w:val="22"/>
              </w:rPr>
              <w:t>a</w:t>
            </w:r>
            <w:r w:rsidRPr="003D542B">
              <w:rPr>
                <w:rFonts w:eastAsia="Calibri"/>
                <w:sz w:val="22"/>
                <w:szCs w:val="22"/>
              </w:rPr>
              <w:t>d</w:t>
            </w:r>
            <w:r w:rsidRPr="003D542B">
              <w:rPr>
                <w:rFonts w:eastAsia="Calibri"/>
                <w:spacing w:val="24"/>
                <w:sz w:val="22"/>
                <w:szCs w:val="22"/>
              </w:rPr>
              <w:t xml:space="preserve"> </w:t>
            </w:r>
            <w:r w:rsidRPr="003D542B">
              <w:rPr>
                <w:rFonts w:eastAsia="Calibri"/>
                <w:sz w:val="22"/>
                <w:szCs w:val="22"/>
              </w:rPr>
              <w:t>(</w:t>
            </w:r>
            <w:r w:rsidRPr="003D542B">
              <w:rPr>
                <w:rFonts w:eastAsia="Calibri"/>
                <w:spacing w:val="1"/>
                <w:sz w:val="22"/>
                <w:szCs w:val="22"/>
              </w:rPr>
              <w:t>l</w:t>
            </w:r>
            <w:r w:rsidRPr="003D542B">
              <w:rPr>
                <w:rFonts w:eastAsia="Calibri"/>
                <w:sz w:val="22"/>
                <w:szCs w:val="22"/>
              </w:rPr>
              <w:t>o</w:t>
            </w:r>
            <w:r w:rsidRPr="003D542B">
              <w:rPr>
                <w:rFonts w:eastAsia="Calibri"/>
                <w:spacing w:val="-1"/>
                <w:sz w:val="22"/>
                <w:szCs w:val="22"/>
              </w:rPr>
              <w:t>g</w:t>
            </w:r>
            <w:r w:rsidRPr="003D542B">
              <w:rPr>
                <w:rFonts w:eastAsia="Calibri"/>
                <w:position w:val="-3"/>
                <w:sz w:val="22"/>
                <w:szCs w:val="22"/>
                <w:vertAlign w:val="subscript"/>
              </w:rPr>
              <w:t>10</w:t>
            </w:r>
            <w:r w:rsidRPr="003D542B">
              <w:rPr>
                <w:rFonts w:eastAsia="Calibri"/>
                <w:spacing w:val="31"/>
                <w:position w:val="-3"/>
                <w:sz w:val="22"/>
                <w:szCs w:val="22"/>
              </w:rPr>
              <w:t xml:space="preserve"> </w:t>
            </w:r>
            <w:r w:rsidRPr="003D542B">
              <w:rPr>
                <w:rFonts w:eastAsia="Calibri"/>
                <w:w w:val="103"/>
                <w:sz w:val="22"/>
                <w:szCs w:val="22"/>
              </w:rPr>
              <w:t>kopier</w:t>
            </w:r>
            <w:r w:rsidRPr="003D542B">
              <w:rPr>
                <w:rFonts w:eastAsia="Calibri"/>
                <w:spacing w:val="3"/>
                <w:w w:val="103"/>
                <w:sz w:val="22"/>
                <w:szCs w:val="22"/>
              </w:rPr>
              <w:t>/</w:t>
            </w:r>
            <w:proofErr w:type="gramStart"/>
            <w:r w:rsidRPr="003D542B">
              <w:rPr>
                <w:rFonts w:eastAsia="Calibri"/>
                <w:spacing w:val="-1"/>
                <w:w w:val="103"/>
                <w:sz w:val="22"/>
                <w:szCs w:val="22"/>
              </w:rPr>
              <w:t>m</w:t>
            </w:r>
            <w:r w:rsidRPr="003D542B">
              <w:rPr>
                <w:rFonts w:eastAsia="Calibri"/>
                <w:w w:val="103"/>
                <w:sz w:val="22"/>
                <w:szCs w:val="22"/>
              </w:rPr>
              <w:t>l</w:t>
            </w:r>
            <w:r w:rsidRPr="003D542B">
              <w:rPr>
                <w:rFonts w:eastAsia="Calibri"/>
                <w:spacing w:val="-1"/>
                <w:w w:val="103"/>
                <w:sz w:val="22"/>
                <w:szCs w:val="22"/>
              </w:rPr>
              <w:t>)</w:t>
            </w:r>
            <w:r w:rsidRPr="003D542B">
              <w:rPr>
                <w:rFonts w:eastAsia="Calibri"/>
                <w:spacing w:val="-1"/>
                <w:w w:val="103"/>
                <w:sz w:val="22"/>
                <w:szCs w:val="22"/>
                <w:vertAlign w:val="superscript"/>
              </w:rPr>
              <w:t>c</w:t>
            </w:r>
            <w:proofErr w:type="gramEnd"/>
          </w:p>
        </w:tc>
        <w:tc>
          <w:tcPr>
            <w:tcW w:w="1000" w:type="pct"/>
            <w:tcBorders>
              <w:top w:val="single" w:sz="12" w:space="0" w:color="000000"/>
              <w:left w:val="single" w:sz="4" w:space="0" w:color="000000"/>
              <w:bottom w:val="single" w:sz="8" w:space="0" w:color="000000"/>
              <w:right w:val="single" w:sz="2"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-6,</w:t>
            </w:r>
            <w:r w:rsidRPr="003D542B">
              <w:rPr>
                <w:rFonts w:eastAsia="Calibri"/>
                <w:spacing w:val="1"/>
                <w:w w:val="103"/>
                <w:sz w:val="22"/>
                <w:szCs w:val="22"/>
              </w:rPr>
              <w:t>8</w:t>
            </w:r>
            <w:r w:rsidRPr="003D542B">
              <w:rPr>
                <w:rFonts w:eastAsia="Calibri"/>
                <w:w w:val="103"/>
                <w:sz w:val="22"/>
                <w:szCs w:val="22"/>
              </w:rPr>
              <w:t>6*</w:t>
            </w:r>
          </w:p>
        </w:tc>
        <w:tc>
          <w:tcPr>
            <w:tcW w:w="1000" w:type="pct"/>
            <w:tcBorders>
              <w:top w:val="single" w:sz="12" w:space="0" w:color="000000"/>
              <w:left w:val="single" w:sz="2" w:space="0" w:color="000000"/>
              <w:bottom w:val="single" w:sz="8" w:space="0" w:color="000000"/>
              <w:right w:val="single" w:sz="4"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-5,</w:t>
            </w:r>
            <w:r w:rsidRPr="003D542B">
              <w:rPr>
                <w:rFonts w:eastAsia="Calibri"/>
                <w:spacing w:val="1"/>
                <w:w w:val="103"/>
                <w:sz w:val="22"/>
                <w:szCs w:val="22"/>
              </w:rPr>
              <w:t>3</w:t>
            </w:r>
            <w:r w:rsidRPr="003D542B">
              <w:rPr>
                <w:rFonts w:eastAsia="Calibri"/>
                <w:w w:val="103"/>
                <w:sz w:val="22"/>
                <w:szCs w:val="22"/>
              </w:rPr>
              <w:t>9</w:t>
            </w:r>
          </w:p>
        </w:tc>
        <w:tc>
          <w:tcPr>
            <w:tcW w:w="1000" w:type="pct"/>
            <w:tcBorders>
              <w:top w:val="single" w:sz="12" w:space="0" w:color="000000"/>
              <w:left w:val="single" w:sz="4" w:space="0" w:color="000000"/>
              <w:bottom w:val="single" w:sz="8" w:space="0" w:color="000000"/>
              <w:right w:val="single" w:sz="2" w:space="0" w:color="000000"/>
            </w:tcBorders>
            <w:vAlign w:val="center"/>
            <w:hideMark/>
          </w:tcPr>
          <w:p w:rsidR="008D5948" w:rsidRPr="003D542B" w:rsidRDefault="008D5948" w:rsidP="002574EE">
            <w:pPr>
              <w:jc w:val="center"/>
              <w:rPr>
                <w:rFonts w:eastAsia="Calibri"/>
                <w:sz w:val="22"/>
                <w:szCs w:val="22"/>
              </w:rPr>
            </w:pPr>
            <w:r w:rsidRPr="003D542B">
              <w:rPr>
                <w:rFonts w:eastAsia="Calibri"/>
                <w:spacing w:val="1"/>
                <w:w w:val="103"/>
                <w:sz w:val="22"/>
                <w:szCs w:val="22"/>
              </w:rPr>
              <w:t>-</w:t>
            </w:r>
            <w:r w:rsidRPr="003D542B">
              <w:rPr>
                <w:rFonts w:eastAsia="Calibri"/>
                <w:spacing w:val="-1"/>
                <w:w w:val="103"/>
                <w:sz w:val="22"/>
                <w:szCs w:val="22"/>
              </w:rPr>
              <w:t>5,</w:t>
            </w:r>
            <w:r w:rsidRPr="003D542B">
              <w:rPr>
                <w:rFonts w:eastAsia="Calibri"/>
                <w:w w:val="103"/>
                <w:sz w:val="22"/>
                <w:szCs w:val="22"/>
              </w:rPr>
              <w:t>0</w:t>
            </w:r>
            <w:r w:rsidRPr="003D542B">
              <w:rPr>
                <w:rFonts w:eastAsia="Calibri"/>
                <w:spacing w:val="1"/>
                <w:w w:val="103"/>
                <w:sz w:val="22"/>
                <w:szCs w:val="22"/>
              </w:rPr>
              <w:t>4</w:t>
            </w:r>
            <w:r w:rsidRPr="003D542B">
              <w:rPr>
                <w:rFonts w:eastAsia="Calibri"/>
                <w:w w:val="103"/>
                <w:sz w:val="22"/>
                <w:szCs w:val="22"/>
              </w:rPr>
              <w:t>*</w:t>
            </w:r>
          </w:p>
        </w:tc>
        <w:tc>
          <w:tcPr>
            <w:tcW w:w="1000" w:type="pct"/>
            <w:tcBorders>
              <w:top w:val="single" w:sz="12" w:space="0" w:color="000000"/>
              <w:left w:val="single" w:sz="2" w:space="0" w:color="000000"/>
              <w:bottom w:val="single" w:sz="8" w:space="0" w:color="000000"/>
              <w:right w:val="single" w:sz="4" w:space="0" w:color="000000"/>
            </w:tcBorders>
            <w:vAlign w:val="center"/>
            <w:hideMark/>
          </w:tcPr>
          <w:p w:rsidR="008D5948" w:rsidRPr="003D542B" w:rsidRDefault="008D5948" w:rsidP="002574EE">
            <w:pPr>
              <w:jc w:val="center"/>
              <w:rPr>
                <w:rFonts w:eastAsia="Calibri"/>
                <w:sz w:val="22"/>
                <w:szCs w:val="22"/>
              </w:rPr>
            </w:pPr>
            <w:r w:rsidRPr="003D542B">
              <w:rPr>
                <w:rFonts w:eastAsia="Calibri"/>
                <w:spacing w:val="1"/>
                <w:w w:val="103"/>
                <w:sz w:val="22"/>
                <w:szCs w:val="22"/>
              </w:rPr>
              <w:t>-</w:t>
            </w:r>
            <w:r w:rsidRPr="003D542B">
              <w:rPr>
                <w:rFonts w:eastAsia="Calibri"/>
                <w:spacing w:val="-1"/>
                <w:w w:val="103"/>
                <w:sz w:val="22"/>
                <w:szCs w:val="22"/>
              </w:rPr>
              <w:t>4</w:t>
            </w:r>
            <w:r w:rsidRPr="003D542B">
              <w:rPr>
                <w:rFonts w:eastAsia="Calibri"/>
                <w:spacing w:val="1"/>
                <w:w w:val="103"/>
                <w:sz w:val="22"/>
                <w:szCs w:val="22"/>
              </w:rPr>
              <w:t>,</w:t>
            </w:r>
            <w:r w:rsidRPr="003D542B">
              <w:rPr>
                <w:rFonts w:eastAsia="Calibri"/>
                <w:w w:val="103"/>
                <w:sz w:val="22"/>
                <w:szCs w:val="22"/>
              </w:rPr>
              <w:t>53</w:t>
            </w:r>
          </w:p>
        </w:tc>
      </w:tr>
      <w:tr w:rsidR="008D5948" w:rsidRPr="003D542B" w:rsidTr="002574EE">
        <w:trPr>
          <w:trHeight w:val="20"/>
        </w:trPr>
        <w:tc>
          <w:tcPr>
            <w:tcW w:w="1001" w:type="pct"/>
            <w:tcBorders>
              <w:top w:val="single" w:sz="8" w:space="0" w:color="000000"/>
              <w:left w:val="single" w:sz="4" w:space="0" w:color="000000"/>
              <w:bottom w:val="single" w:sz="8" w:space="0" w:color="000000"/>
              <w:right w:val="single" w:sz="4" w:space="0" w:color="000000"/>
            </w:tcBorders>
            <w:vAlign w:val="center"/>
            <w:hideMark/>
          </w:tcPr>
          <w:p w:rsidR="008D5948" w:rsidRPr="003D542B" w:rsidRDefault="008D5948" w:rsidP="002574EE">
            <w:pPr>
              <w:jc w:val="center"/>
              <w:rPr>
                <w:rFonts w:eastAsia="Calibri"/>
                <w:sz w:val="22"/>
                <w:szCs w:val="22"/>
              </w:rPr>
            </w:pPr>
            <w:r w:rsidRPr="003D542B">
              <w:rPr>
                <w:rFonts w:eastAsia="Calibri"/>
                <w:sz w:val="22"/>
                <w:szCs w:val="22"/>
              </w:rPr>
              <w:t>HBV</w:t>
            </w:r>
            <w:r w:rsidRPr="003D542B">
              <w:rPr>
                <w:rFonts w:eastAsia="Calibri"/>
                <w:spacing w:val="14"/>
                <w:sz w:val="22"/>
                <w:szCs w:val="22"/>
              </w:rPr>
              <w:t>-</w:t>
            </w:r>
            <w:r w:rsidRPr="003D542B">
              <w:rPr>
                <w:rFonts w:eastAsia="Calibri"/>
                <w:spacing w:val="1"/>
                <w:sz w:val="22"/>
                <w:szCs w:val="22"/>
              </w:rPr>
              <w:t>dna</w:t>
            </w:r>
            <w:r w:rsidRPr="003D542B">
              <w:rPr>
                <w:rFonts w:eastAsia="Calibri"/>
                <w:spacing w:val="15"/>
                <w:sz w:val="22"/>
                <w:szCs w:val="22"/>
              </w:rPr>
              <w:t xml:space="preserve"> </w:t>
            </w:r>
            <w:r w:rsidRPr="003D542B">
              <w:rPr>
                <w:rFonts w:eastAsia="Calibri"/>
                <w:spacing w:val="1"/>
                <w:w w:val="103"/>
                <w:sz w:val="22"/>
                <w:szCs w:val="22"/>
              </w:rPr>
              <w:t>kan ikke påvises</w:t>
            </w:r>
          </w:p>
          <w:p w:rsidR="008D5948" w:rsidRPr="003D542B" w:rsidRDefault="008D5948" w:rsidP="002574EE">
            <w:pPr>
              <w:jc w:val="center"/>
              <w:rPr>
                <w:rFonts w:eastAsia="Calibri"/>
                <w:sz w:val="22"/>
                <w:szCs w:val="22"/>
                <w:vertAlign w:val="superscript"/>
              </w:rPr>
            </w:pPr>
            <w:r w:rsidRPr="003D542B">
              <w:rPr>
                <w:rFonts w:eastAsia="Calibri"/>
                <w:sz w:val="22"/>
                <w:szCs w:val="22"/>
              </w:rPr>
              <w:t>(&lt;</w:t>
            </w:r>
            <w:r w:rsidRPr="003D542B">
              <w:rPr>
                <w:rFonts w:eastAsia="Calibri"/>
                <w:spacing w:val="6"/>
                <w:sz w:val="22"/>
                <w:szCs w:val="22"/>
              </w:rPr>
              <w:t xml:space="preserve"> </w:t>
            </w:r>
            <w:r w:rsidRPr="003D542B">
              <w:rPr>
                <w:rFonts w:eastAsia="Calibri"/>
                <w:spacing w:val="1"/>
                <w:sz w:val="22"/>
                <w:szCs w:val="22"/>
              </w:rPr>
              <w:t>3</w:t>
            </w:r>
            <w:r w:rsidRPr="003D542B">
              <w:rPr>
                <w:rFonts w:eastAsia="Calibri"/>
                <w:sz w:val="22"/>
                <w:szCs w:val="22"/>
              </w:rPr>
              <w:t>00</w:t>
            </w:r>
            <w:r w:rsidRPr="003D542B">
              <w:rPr>
                <w:rFonts w:eastAsia="Calibri"/>
                <w:spacing w:val="9"/>
                <w:sz w:val="22"/>
                <w:szCs w:val="22"/>
              </w:rPr>
              <w:t xml:space="preserve"> </w:t>
            </w:r>
            <w:r w:rsidRPr="003D542B">
              <w:rPr>
                <w:rFonts w:eastAsia="Calibri"/>
                <w:spacing w:val="2"/>
                <w:sz w:val="22"/>
                <w:szCs w:val="22"/>
              </w:rPr>
              <w:t>kopier</w:t>
            </w:r>
            <w:r w:rsidRPr="003D542B">
              <w:rPr>
                <w:rFonts w:eastAsia="Calibri"/>
                <w:spacing w:val="1"/>
                <w:sz w:val="22"/>
                <w:szCs w:val="22"/>
              </w:rPr>
              <w:t>/</w:t>
            </w:r>
            <w:r w:rsidRPr="003D542B">
              <w:rPr>
                <w:rFonts w:eastAsia="Calibri"/>
                <w:spacing w:val="-3"/>
                <w:sz w:val="22"/>
                <w:szCs w:val="22"/>
              </w:rPr>
              <w:t>m</w:t>
            </w:r>
            <w:r w:rsidRPr="003D542B">
              <w:rPr>
                <w:rFonts w:eastAsia="Calibri"/>
                <w:sz w:val="22"/>
                <w:szCs w:val="22"/>
              </w:rPr>
              <w:t>l</w:t>
            </w:r>
            <w:r w:rsidRPr="003D542B">
              <w:rPr>
                <w:rFonts w:eastAsia="Calibri"/>
                <w:spacing w:val="27"/>
                <w:sz w:val="22"/>
                <w:szCs w:val="22"/>
              </w:rPr>
              <w:t xml:space="preserve"> ved</w:t>
            </w:r>
            <w:r w:rsidRPr="003D542B">
              <w:rPr>
                <w:rFonts w:eastAsia="Calibri"/>
                <w:spacing w:val="10"/>
                <w:sz w:val="22"/>
                <w:szCs w:val="22"/>
              </w:rPr>
              <w:t xml:space="preserve"> </w:t>
            </w:r>
            <w:proofErr w:type="gramStart"/>
            <w:r w:rsidRPr="003D542B">
              <w:rPr>
                <w:rFonts w:eastAsia="Calibri"/>
                <w:w w:val="103"/>
                <w:sz w:val="22"/>
                <w:szCs w:val="22"/>
              </w:rPr>
              <w:t>PC</w:t>
            </w:r>
            <w:r w:rsidRPr="003D542B">
              <w:rPr>
                <w:rFonts w:eastAsia="Calibri"/>
                <w:spacing w:val="-1"/>
                <w:w w:val="103"/>
                <w:sz w:val="22"/>
                <w:szCs w:val="22"/>
              </w:rPr>
              <w:t>R</w:t>
            </w:r>
            <w:r w:rsidRPr="003D542B">
              <w:rPr>
                <w:rFonts w:eastAsia="Calibri"/>
                <w:spacing w:val="1"/>
                <w:w w:val="103"/>
                <w:sz w:val="22"/>
                <w:szCs w:val="22"/>
              </w:rPr>
              <w:t>)</w:t>
            </w:r>
            <w:r w:rsidRPr="003D542B">
              <w:rPr>
                <w:rFonts w:eastAsia="Calibri"/>
                <w:spacing w:val="1"/>
                <w:w w:val="103"/>
                <w:sz w:val="22"/>
                <w:szCs w:val="22"/>
                <w:vertAlign w:val="superscript"/>
              </w:rPr>
              <w:t>c</w:t>
            </w:r>
            <w:proofErr w:type="gramEnd"/>
          </w:p>
        </w:tc>
        <w:tc>
          <w:tcPr>
            <w:tcW w:w="1000" w:type="pct"/>
            <w:tcBorders>
              <w:top w:val="single" w:sz="8" w:space="0" w:color="000000"/>
              <w:left w:val="single" w:sz="4" w:space="0" w:color="000000"/>
              <w:bottom w:val="single" w:sz="8" w:space="0" w:color="000000"/>
              <w:right w:val="single" w:sz="2" w:space="0" w:color="000000"/>
            </w:tcBorders>
            <w:vAlign w:val="center"/>
            <w:hideMark/>
          </w:tcPr>
          <w:p w:rsidR="008D5948" w:rsidRPr="003D542B" w:rsidRDefault="008D5948" w:rsidP="002574EE">
            <w:pPr>
              <w:jc w:val="center"/>
              <w:rPr>
                <w:rFonts w:eastAsia="Calibri"/>
                <w:sz w:val="22"/>
                <w:szCs w:val="22"/>
              </w:rPr>
            </w:pPr>
            <w:r w:rsidRPr="003D542B">
              <w:rPr>
                <w:rFonts w:eastAsia="Calibri"/>
                <w:spacing w:val="-1"/>
                <w:w w:val="103"/>
                <w:sz w:val="22"/>
                <w:szCs w:val="22"/>
              </w:rPr>
              <w:t>6</w:t>
            </w:r>
            <w:r w:rsidRPr="003D542B">
              <w:rPr>
                <w:rFonts w:eastAsia="Calibri"/>
                <w:spacing w:val="1"/>
                <w:w w:val="103"/>
                <w:sz w:val="22"/>
                <w:szCs w:val="22"/>
              </w:rPr>
              <w:t xml:space="preserve">7 </w:t>
            </w:r>
            <w:r w:rsidRPr="003D542B">
              <w:rPr>
                <w:rFonts w:eastAsia="Calibri"/>
                <w:w w:val="103"/>
                <w:sz w:val="22"/>
                <w:szCs w:val="22"/>
              </w:rPr>
              <w:t>%*</w:t>
            </w:r>
          </w:p>
        </w:tc>
        <w:tc>
          <w:tcPr>
            <w:tcW w:w="1000" w:type="pct"/>
            <w:tcBorders>
              <w:top w:val="single" w:sz="8" w:space="0" w:color="000000"/>
              <w:left w:val="single" w:sz="2" w:space="0" w:color="000000"/>
              <w:bottom w:val="single" w:sz="8" w:space="0" w:color="000000"/>
              <w:right w:val="single" w:sz="4" w:space="0" w:color="000000"/>
            </w:tcBorders>
            <w:vAlign w:val="center"/>
            <w:hideMark/>
          </w:tcPr>
          <w:p w:rsidR="008D5948" w:rsidRPr="003D542B" w:rsidRDefault="008D5948" w:rsidP="002574EE">
            <w:pPr>
              <w:jc w:val="center"/>
              <w:rPr>
                <w:rFonts w:eastAsia="Calibri"/>
                <w:sz w:val="22"/>
                <w:szCs w:val="22"/>
              </w:rPr>
            </w:pPr>
            <w:r w:rsidRPr="003D542B">
              <w:rPr>
                <w:rFonts w:eastAsia="Calibri"/>
                <w:spacing w:val="-1"/>
                <w:w w:val="103"/>
                <w:sz w:val="22"/>
                <w:szCs w:val="22"/>
              </w:rPr>
              <w:t>3</w:t>
            </w:r>
            <w:r w:rsidRPr="003D542B">
              <w:rPr>
                <w:rFonts w:eastAsia="Calibri"/>
                <w:spacing w:val="1"/>
                <w:w w:val="103"/>
                <w:sz w:val="22"/>
                <w:szCs w:val="22"/>
              </w:rPr>
              <w:t xml:space="preserve">6 </w:t>
            </w:r>
            <w:r w:rsidRPr="003D542B">
              <w:rPr>
                <w:rFonts w:eastAsia="Calibri"/>
                <w:w w:val="103"/>
                <w:sz w:val="22"/>
                <w:szCs w:val="22"/>
              </w:rPr>
              <w:t>%</w:t>
            </w:r>
          </w:p>
        </w:tc>
        <w:tc>
          <w:tcPr>
            <w:tcW w:w="1000" w:type="pct"/>
            <w:tcBorders>
              <w:top w:val="single" w:sz="8" w:space="0" w:color="000000"/>
              <w:left w:val="single" w:sz="4" w:space="0" w:color="000000"/>
              <w:bottom w:val="single" w:sz="8" w:space="0" w:color="000000"/>
              <w:right w:val="single" w:sz="2"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90 %*</w:t>
            </w:r>
          </w:p>
        </w:tc>
        <w:tc>
          <w:tcPr>
            <w:tcW w:w="1000" w:type="pct"/>
            <w:tcBorders>
              <w:top w:val="single" w:sz="8" w:space="0" w:color="000000"/>
              <w:left w:val="single" w:sz="2" w:space="0" w:color="000000"/>
              <w:bottom w:val="single" w:sz="8" w:space="0" w:color="000000"/>
              <w:right w:val="single" w:sz="4"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72 %</w:t>
            </w:r>
          </w:p>
        </w:tc>
      </w:tr>
      <w:tr w:rsidR="008D5948" w:rsidRPr="003D542B" w:rsidTr="002574EE">
        <w:trPr>
          <w:trHeight w:val="20"/>
        </w:trPr>
        <w:tc>
          <w:tcPr>
            <w:tcW w:w="1001" w:type="pct"/>
            <w:tcBorders>
              <w:top w:val="single" w:sz="8" w:space="0" w:color="000000"/>
              <w:left w:val="single" w:sz="4" w:space="0" w:color="000000"/>
              <w:bottom w:val="single" w:sz="8" w:space="0" w:color="000000"/>
              <w:right w:val="single" w:sz="4" w:space="0" w:color="000000"/>
            </w:tcBorders>
            <w:vAlign w:val="center"/>
            <w:hideMark/>
          </w:tcPr>
          <w:p w:rsidR="008D5948" w:rsidRPr="003D542B" w:rsidRDefault="008D5948" w:rsidP="002574EE">
            <w:pPr>
              <w:jc w:val="center"/>
              <w:rPr>
                <w:rFonts w:eastAsia="Calibri"/>
                <w:sz w:val="22"/>
                <w:szCs w:val="22"/>
              </w:rPr>
            </w:pPr>
            <w:r w:rsidRPr="003D542B">
              <w:rPr>
                <w:rFonts w:eastAsia="Calibri"/>
                <w:sz w:val="22"/>
                <w:szCs w:val="22"/>
              </w:rPr>
              <w:lastRenderedPageBreak/>
              <w:t>ALAT</w:t>
            </w:r>
            <w:r w:rsidRPr="003D542B">
              <w:rPr>
                <w:rFonts w:eastAsia="Calibri"/>
                <w:spacing w:val="15"/>
                <w:sz w:val="22"/>
                <w:szCs w:val="22"/>
              </w:rPr>
              <w:t>-</w:t>
            </w:r>
            <w:r w:rsidRPr="003D542B">
              <w:rPr>
                <w:rFonts w:eastAsia="Calibri"/>
                <w:spacing w:val="1"/>
                <w:sz w:val="22"/>
                <w:szCs w:val="22"/>
              </w:rPr>
              <w:t>n</w:t>
            </w:r>
            <w:r w:rsidRPr="003D542B">
              <w:rPr>
                <w:rFonts w:eastAsia="Calibri"/>
                <w:spacing w:val="-1"/>
                <w:sz w:val="22"/>
                <w:szCs w:val="22"/>
              </w:rPr>
              <w:t>o</w:t>
            </w:r>
            <w:r w:rsidRPr="003D542B">
              <w:rPr>
                <w:rFonts w:eastAsia="Calibri"/>
                <w:spacing w:val="2"/>
                <w:sz w:val="22"/>
                <w:szCs w:val="22"/>
              </w:rPr>
              <w:t>r</w:t>
            </w:r>
            <w:r w:rsidRPr="003D542B">
              <w:rPr>
                <w:rFonts w:eastAsia="Calibri"/>
                <w:spacing w:val="-2"/>
                <w:sz w:val="22"/>
                <w:szCs w:val="22"/>
              </w:rPr>
              <w:t>m</w:t>
            </w:r>
            <w:r w:rsidRPr="003D542B">
              <w:rPr>
                <w:rFonts w:eastAsia="Calibri"/>
                <w:sz w:val="22"/>
                <w:szCs w:val="22"/>
              </w:rPr>
              <w:t>al</w:t>
            </w:r>
            <w:r w:rsidRPr="003D542B">
              <w:rPr>
                <w:rFonts w:eastAsia="Calibri"/>
                <w:spacing w:val="2"/>
                <w:sz w:val="22"/>
                <w:szCs w:val="22"/>
              </w:rPr>
              <w:t>i</w:t>
            </w:r>
            <w:r w:rsidRPr="003D542B">
              <w:rPr>
                <w:rFonts w:eastAsia="Calibri"/>
                <w:sz w:val="22"/>
                <w:szCs w:val="22"/>
              </w:rPr>
              <w:t>sering</w:t>
            </w:r>
            <w:r w:rsidRPr="003D542B">
              <w:rPr>
                <w:rFonts w:eastAsia="Calibri"/>
                <w:spacing w:val="35"/>
                <w:sz w:val="22"/>
                <w:szCs w:val="22"/>
              </w:rPr>
              <w:t xml:space="preserve"> </w:t>
            </w:r>
            <w:r w:rsidRPr="003D542B">
              <w:rPr>
                <w:rFonts w:eastAsia="Calibri"/>
                <w:sz w:val="22"/>
                <w:szCs w:val="22"/>
              </w:rPr>
              <w:t>(≤</w:t>
            </w:r>
            <w:r w:rsidRPr="003D542B">
              <w:rPr>
                <w:rFonts w:eastAsia="Calibri"/>
                <w:spacing w:val="7"/>
                <w:sz w:val="22"/>
                <w:szCs w:val="22"/>
              </w:rPr>
              <w:t xml:space="preserve"> </w:t>
            </w:r>
            <w:r w:rsidRPr="003D542B">
              <w:rPr>
                <w:rFonts w:eastAsia="Calibri"/>
                <w:sz w:val="22"/>
                <w:szCs w:val="22"/>
              </w:rPr>
              <w:t>1</w:t>
            </w:r>
            <w:r w:rsidRPr="003D542B">
              <w:rPr>
                <w:rFonts w:eastAsia="Calibri"/>
                <w:spacing w:val="5"/>
                <w:sz w:val="22"/>
                <w:szCs w:val="22"/>
              </w:rPr>
              <w:t xml:space="preserve"> </w:t>
            </w:r>
            <w:r w:rsidRPr="003D542B">
              <w:rPr>
                <w:rFonts w:eastAsia="Calibri"/>
                <w:sz w:val="22"/>
                <w:szCs w:val="22"/>
              </w:rPr>
              <w:t>t</w:t>
            </w:r>
            <w:r w:rsidRPr="003D542B">
              <w:rPr>
                <w:rFonts w:eastAsia="Calibri"/>
                <w:spacing w:val="1"/>
                <w:sz w:val="22"/>
                <w:szCs w:val="22"/>
              </w:rPr>
              <w:t>i</w:t>
            </w:r>
            <w:r w:rsidRPr="003D542B">
              <w:rPr>
                <w:rFonts w:eastAsia="Calibri"/>
                <w:sz w:val="22"/>
                <w:szCs w:val="22"/>
              </w:rPr>
              <w:t>me</w:t>
            </w:r>
            <w:r w:rsidRPr="003D542B">
              <w:rPr>
                <w:rFonts w:eastAsia="Calibri"/>
                <w:spacing w:val="16"/>
                <w:sz w:val="22"/>
                <w:szCs w:val="22"/>
              </w:rPr>
              <w:t xml:space="preserve"> </w:t>
            </w:r>
            <w:r w:rsidRPr="003D542B">
              <w:rPr>
                <w:rFonts w:eastAsia="Calibri"/>
                <w:w w:val="103"/>
                <w:sz w:val="22"/>
                <w:szCs w:val="22"/>
              </w:rPr>
              <w:t>U</w:t>
            </w:r>
            <w:r w:rsidRPr="003D542B">
              <w:rPr>
                <w:rFonts w:eastAsia="Calibri"/>
                <w:spacing w:val="1"/>
                <w:w w:val="103"/>
                <w:sz w:val="22"/>
                <w:szCs w:val="22"/>
              </w:rPr>
              <w:t>L</w:t>
            </w:r>
            <w:r w:rsidRPr="003D542B">
              <w:rPr>
                <w:rFonts w:eastAsia="Calibri"/>
                <w:w w:val="103"/>
                <w:sz w:val="22"/>
                <w:szCs w:val="22"/>
              </w:rPr>
              <w:t>N)</w:t>
            </w:r>
          </w:p>
        </w:tc>
        <w:tc>
          <w:tcPr>
            <w:tcW w:w="1000" w:type="pct"/>
            <w:tcBorders>
              <w:top w:val="single" w:sz="8" w:space="0" w:color="000000"/>
              <w:left w:val="single" w:sz="4" w:space="0" w:color="000000"/>
              <w:bottom w:val="single" w:sz="8" w:space="0" w:color="000000"/>
              <w:right w:val="single" w:sz="2" w:space="0" w:color="000000"/>
            </w:tcBorders>
            <w:vAlign w:val="center"/>
            <w:hideMark/>
          </w:tcPr>
          <w:p w:rsidR="008D5948" w:rsidRPr="003D542B" w:rsidRDefault="008D5948" w:rsidP="002574EE">
            <w:pPr>
              <w:jc w:val="center"/>
              <w:rPr>
                <w:rFonts w:eastAsia="Calibri"/>
                <w:sz w:val="22"/>
                <w:szCs w:val="22"/>
              </w:rPr>
            </w:pPr>
            <w:r w:rsidRPr="003D542B">
              <w:rPr>
                <w:rFonts w:eastAsia="Calibri"/>
                <w:spacing w:val="-1"/>
                <w:w w:val="103"/>
                <w:sz w:val="22"/>
                <w:szCs w:val="22"/>
              </w:rPr>
              <w:t>6</w:t>
            </w:r>
            <w:r w:rsidRPr="003D542B">
              <w:rPr>
                <w:rFonts w:eastAsia="Calibri"/>
                <w:spacing w:val="1"/>
                <w:w w:val="103"/>
                <w:sz w:val="22"/>
                <w:szCs w:val="22"/>
              </w:rPr>
              <w:t xml:space="preserve">8 </w:t>
            </w:r>
            <w:r w:rsidRPr="003D542B">
              <w:rPr>
                <w:rFonts w:eastAsia="Calibri"/>
                <w:w w:val="103"/>
                <w:sz w:val="22"/>
                <w:szCs w:val="22"/>
              </w:rPr>
              <w:t>%*</w:t>
            </w:r>
          </w:p>
        </w:tc>
        <w:tc>
          <w:tcPr>
            <w:tcW w:w="1000" w:type="pct"/>
            <w:tcBorders>
              <w:top w:val="single" w:sz="8" w:space="0" w:color="000000"/>
              <w:left w:val="single" w:sz="2" w:space="0" w:color="000000"/>
              <w:bottom w:val="single" w:sz="8" w:space="0" w:color="000000"/>
              <w:right w:val="single" w:sz="4" w:space="0" w:color="000000"/>
            </w:tcBorders>
            <w:vAlign w:val="center"/>
            <w:hideMark/>
          </w:tcPr>
          <w:p w:rsidR="008D5948" w:rsidRPr="003D542B" w:rsidRDefault="008D5948" w:rsidP="002574EE">
            <w:pPr>
              <w:jc w:val="center"/>
              <w:rPr>
                <w:rFonts w:eastAsia="Calibri"/>
                <w:sz w:val="22"/>
                <w:szCs w:val="22"/>
              </w:rPr>
            </w:pPr>
            <w:r w:rsidRPr="003D542B">
              <w:rPr>
                <w:rFonts w:eastAsia="Calibri"/>
                <w:spacing w:val="-1"/>
                <w:w w:val="103"/>
                <w:sz w:val="22"/>
                <w:szCs w:val="22"/>
              </w:rPr>
              <w:t>6</w:t>
            </w:r>
            <w:r w:rsidRPr="003D542B">
              <w:rPr>
                <w:rFonts w:eastAsia="Calibri"/>
                <w:spacing w:val="1"/>
                <w:w w:val="103"/>
                <w:sz w:val="22"/>
                <w:szCs w:val="22"/>
              </w:rPr>
              <w:t xml:space="preserve">0 </w:t>
            </w:r>
            <w:r w:rsidRPr="003D542B">
              <w:rPr>
                <w:rFonts w:eastAsia="Calibri"/>
                <w:w w:val="103"/>
                <w:sz w:val="22"/>
                <w:szCs w:val="22"/>
              </w:rPr>
              <w:t>%</w:t>
            </w:r>
          </w:p>
        </w:tc>
        <w:tc>
          <w:tcPr>
            <w:tcW w:w="1000" w:type="pct"/>
            <w:tcBorders>
              <w:top w:val="single" w:sz="8" w:space="0" w:color="000000"/>
              <w:left w:val="single" w:sz="4" w:space="0" w:color="000000"/>
              <w:bottom w:val="single" w:sz="8" w:space="0" w:color="000000"/>
              <w:right w:val="single" w:sz="2"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78 %*</w:t>
            </w:r>
          </w:p>
        </w:tc>
        <w:tc>
          <w:tcPr>
            <w:tcW w:w="1000" w:type="pct"/>
            <w:tcBorders>
              <w:top w:val="single" w:sz="8" w:space="0" w:color="000000"/>
              <w:left w:val="single" w:sz="2" w:space="0" w:color="000000"/>
              <w:bottom w:val="single" w:sz="8" w:space="0" w:color="000000"/>
              <w:right w:val="single" w:sz="4"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71 %</w:t>
            </w:r>
          </w:p>
        </w:tc>
      </w:tr>
      <w:tr w:rsidR="008D5948" w:rsidRPr="003D542B" w:rsidTr="002574EE">
        <w:trPr>
          <w:trHeight w:val="20"/>
        </w:trPr>
        <w:tc>
          <w:tcPr>
            <w:tcW w:w="1001" w:type="pct"/>
            <w:tcBorders>
              <w:top w:val="single" w:sz="8" w:space="0" w:color="000000"/>
              <w:left w:val="single" w:sz="4" w:space="0" w:color="000000"/>
              <w:bottom w:val="single" w:sz="4" w:space="0" w:color="000000"/>
              <w:right w:val="single" w:sz="4" w:space="0" w:color="000000"/>
            </w:tcBorders>
            <w:vAlign w:val="center"/>
            <w:hideMark/>
          </w:tcPr>
          <w:p w:rsidR="008D5948" w:rsidRPr="003D542B" w:rsidRDefault="008D5948" w:rsidP="002574EE">
            <w:pPr>
              <w:jc w:val="center"/>
              <w:rPr>
                <w:rFonts w:eastAsia="Calibri"/>
                <w:sz w:val="22"/>
                <w:szCs w:val="22"/>
              </w:rPr>
            </w:pPr>
            <w:proofErr w:type="spellStart"/>
            <w:r w:rsidRPr="003D542B">
              <w:rPr>
                <w:rFonts w:eastAsia="Calibri"/>
                <w:sz w:val="22"/>
                <w:szCs w:val="22"/>
              </w:rPr>
              <w:t>HBeAg</w:t>
            </w:r>
            <w:r w:rsidRPr="003D542B">
              <w:rPr>
                <w:rFonts w:eastAsia="Calibri"/>
                <w:spacing w:val="20"/>
                <w:sz w:val="22"/>
                <w:szCs w:val="22"/>
              </w:rPr>
              <w:t>-</w:t>
            </w:r>
            <w:r w:rsidRPr="003D542B">
              <w:rPr>
                <w:rFonts w:eastAsia="Calibri"/>
                <w:w w:val="103"/>
                <w:sz w:val="22"/>
                <w:szCs w:val="22"/>
              </w:rPr>
              <w:t>se</w:t>
            </w:r>
            <w:r w:rsidRPr="003D542B">
              <w:rPr>
                <w:rFonts w:eastAsia="Calibri"/>
                <w:spacing w:val="2"/>
                <w:w w:val="103"/>
                <w:sz w:val="22"/>
                <w:szCs w:val="22"/>
              </w:rPr>
              <w:t>r</w:t>
            </w:r>
            <w:r w:rsidRPr="003D542B">
              <w:rPr>
                <w:rFonts w:eastAsia="Calibri"/>
                <w:spacing w:val="-1"/>
                <w:w w:val="103"/>
                <w:sz w:val="22"/>
                <w:szCs w:val="22"/>
              </w:rPr>
              <w:t>o</w:t>
            </w:r>
            <w:r w:rsidRPr="003D542B">
              <w:rPr>
                <w:rFonts w:eastAsia="Calibri"/>
                <w:w w:val="103"/>
                <w:sz w:val="22"/>
                <w:szCs w:val="22"/>
              </w:rPr>
              <w:t>konvertering</w:t>
            </w:r>
            <w:proofErr w:type="spellEnd"/>
          </w:p>
        </w:tc>
        <w:tc>
          <w:tcPr>
            <w:tcW w:w="1000" w:type="pct"/>
            <w:tcBorders>
              <w:top w:val="single" w:sz="8" w:space="0" w:color="000000"/>
              <w:left w:val="single" w:sz="4" w:space="0" w:color="000000"/>
              <w:bottom w:val="single" w:sz="4" w:space="0" w:color="000000"/>
              <w:right w:val="single" w:sz="2" w:space="0" w:color="000000"/>
            </w:tcBorders>
            <w:vAlign w:val="center"/>
            <w:hideMark/>
          </w:tcPr>
          <w:p w:rsidR="008D5948" w:rsidRPr="003D542B" w:rsidRDefault="008D5948" w:rsidP="002574EE">
            <w:pPr>
              <w:jc w:val="center"/>
              <w:rPr>
                <w:rFonts w:eastAsia="Calibri"/>
                <w:sz w:val="22"/>
                <w:szCs w:val="22"/>
              </w:rPr>
            </w:pPr>
            <w:r w:rsidRPr="003D542B">
              <w:rPr>
                <w:rFonts w:eastAsia="Calibri"/>
                <w:w w:val="103"/>
                <w:sz w:val="22"/>
                <w:szCs w:val="22"/>
              </w:rPr>
              <w:t>21 %</w:t>
            </w:r>
          </w:p>
        </w:tc>
        <w:tc>
          <w:tcPr>
            <w:tcW w:w="1000" w:type="pct"/>
            <w:tcBorders>
              <w:top w:val="single" w:sz="8" w:space="0" w:color="000000"/>
              <w:left w:val="single" w:sz="2" w:space="0" w:color="000000"/>
              <w:bottom w:val="single" w:sz="4" w:space="0" w:color="000000"/>
              <w:right w:val="single" w:sz="4" w:space="0" w:color="000000"/>
            </w:tcBorders>
            <w:vAlign w:val="center"/>
            <w:hideMark/>
          </w:tcPr>
          <w:p w:rsidR="008D5948" w:rsidRPr="003D542B" w:rsidRDefault="008D5948" w:rsidP="002574EE">
            <w:pPr>
              <w:jc w:val="center"/>
              <w:rPr>
                <w:rFonts w:eastAsia="Calibri"/>
                <w:sz w:val="22"/>
                <w:szCs w:val="22"/>
              </w:rPr>
            </w:pPr>
            <w:r w:rsidRPr="003D542B">
              <w:rPr>
                <w:rFonts w:eastAsia="Calibri"/>
                <w:spacing w:val="-1"/>
                <w:w w:val="103"/>
                <w:sz w:val="22"/>
                <w:szCs w:val="22"/>
              </w:rPr>
              <w:t>1</w:t>
            </w:r>
            <w:r w:rsidRPr="003D542B">
              <w:rPr>
                <w:rFonts w:eastAsia="Calibri"/>
                <w:spacing w:val="1"/>
                <w:w w:val="103"/>
                <w:sz w:val="22"/>
                <w:szCs w:val="22"/>
              </w:rPr>
              <w:t xml:space="preserve">8 </w:t>
            </w:r>
            <w:r w:rsidRPr="003D542B">
              <w:rPr>
                <w:rFonts w:eastAsia="Calibri"/>
                <w:w w:val="103"/>
                <w:sz w:val="22"/>
                <w:szCs w:val="22"/>
              </w:rPr>
              <w:t>%</w:t>
            </w:r>
          </w:p>
        </w:tc>
        <w:tc>
          <w:tcPr>
            <w:tcW w:w="1000" w:type="pct"/>
            <w:tcBorders>
              <w:top w:val="single" w:sz="8" w:space="0" w:color="000000"/>
              <w:left w:val="single" w:sz="4" w:space="0" w:color="000000"/>
              <w:bottom w:val="single" w:sz="4" w:space="0" w:color="000000"/>
              <w:right w:val="single" w:sz="2" w:space="0" w:color="000000"/>
            </w:tcBorders>
            <w:vAlign w:val="center"/>
          </w:tcPr>
          <w:p w:rsidR="008D5948" w:rsidRPr="003D542B" w:rsidRDefault="008D5948" w:rsidP="002574EE">
            <w:pPr>
              <w:jc w:val="center"/>
              <w:rPr>
                <w:rFonts w:eastAsia="Calibri"/>
                <w:sz w:val="22"/>
                <w:szCs w:val="22"/>
              </w:rPr>
            </w:pPr>
          </w:p>
        </w:tc>
        <w:tc>
          <w:tcPr>
            <w:tcW w:w="1000" w:type="pct"/>
            <w:tcBorders>
              <w:top w:val="single" w:sz="8" w:space="0" w:color="000000"/>
              <w:left w:val="single" w:sz="2" w:space="0" w:color="000000"/>
              <w:bottom w:val="single" w:sz="4" w:space="0" w:color="000000"/>
              <w:right w:val="single" w:sz="4" w:space="0" w:color="000000"/>
            </w:tcBorders>
            <w:vAlign w:val="center"/>
          </w:tcPr>
          <w:p w:rsidR="008D5948" w:rsidRPr="003D542B" w:rsidRDefault="008D5948" w:rsidP="002574EE">
            <w:pPr>
              <w:jc w:val="center"/>
              <w:rPr>
                <w:rFonts w:eastAsia="Calibri"/>
                <w:sz w:val="22"/>
                <w:szCs w:val="22"/>
              </w:rPr>
            </w:pPr>
          </w:p>
        </w:tc>
      </w:tr>
    </w:tbl>
    <w:p w:rsidR="008D5948" w:rsidRPr="00543BFE" w:rsidRDefault="008D5948" w:rsidP="008D5948">
      <w:pPr>
        <w:suppressAutoHyphens/>
        <w:rPr>
          <w:sz w:val="24"/>
          <w:szCs w:val="24"/>
        </w:rPr>
      </w:pPr>
      <w:r w:rsidRPr="00543BFE">
        <w:rPr>
          <w:sz w:val="24"/>
          <w:szCs w:val="24"/>
        </w:rPr>
        <w:t>*</w:t>
      </w:r>
      <w:proofErr w:type="spellStart"/>
      <w:r w:rsidRPr="00543BFE">
        <w:rPr>
          <w:sz w:val="24"/>
          <w:szCs w:val="24"/>
        </w:rPr>
        <w:t>p-værdi</w:t>
      </w:r>
      <w:proofErr w:type="spellEnd"/>
      <w:r w:rsidRPr="00543BFE">
        <w:rPr>
          <w:sz w:val="24"/>
          <w:szCs w:val="24"/>
        </w:rPr>
        <w:t xml:space="preserve"> vs. </w:t>
      </w:r>
      <w:proofErr w:type="spellStart"/>
      <w:r w:rsidRPr="00543BFE">
        <w:rPr>
          <w:sz w:val="24"/>
          <w:szCs w:val="24"/>
        </w:rPr>
        <w:t>lamivudin</w:t>
      </w:r>
      <w:proofErr w:type="spellEnd"/>
      <w:r w:rsidRPr="00543BFE">
        <w:rPr>
          <w:sz w:val="24"/>
          <w:szCs w:val="24"/>
        </w:rPr>
        <w:t xml:space="preserve"> &lt; 0,05.</w:t>
      </w:r>
    </w:p>
    <w:p w:rsidR="008D5948" w:rsidRPr="00543BFE" w:rsidRDefault="008D5948" w:rsidP="008D5948">
      <w:pPr>
        <w:suppressAutoHyphens/>
        <w:rPr>
          <w:sz w:val="24"/>
          <w:szCs w:val="24"/>
        </w:rPr>
      </w:pPr>
      <w:r w:rsidRPr="00543BFE">
        <w:rPr>
          <w:sz w:val="24"/>
          <w:szCs w:val="24"/>
          <w:vertAlign w:val="superscript"/>
        </w:rPr>
        <w:t>a</w:t>
      </w:r>
      <w:r w:rsidRPr="00543BFE">
        <w:rPr>
          <w:sz w:val="24"/>
          <w:szCs w:val="24"/>
        </w:rPr>
        <w:t xml:space="preserve"> patienter med </w:t>
      </w:r>
      <w:proofErr w:type="spellStart"/>
      <w:r w:rsidRPr="00543BFE">
        <w:rPr>
          <w:sz w:val="24"/>
          <w:szCs w:val="24"/>
        </w:rPr>
        <w:t>evaluerbar</w:t>
      </w:r>
      <w:proofErr w:type="spellEnd"/>
      <w:r w:rsidRPr="00543BFE">
        <w:rPr>
          <w:sz w:val="24"/>
          <w:szCs w:val="24"/>
        </w:rPr>
        <w:t xml:space="preserve"> histologi ved baseline (baseline </w:t>
      </w:r>
      <w:proofErr w:type="spellStart"/>
      <w:r w:rsidRPr="00543BFE">
        <w:rPr>
          <w:sz w:val="24"/>
          <w:szCs w:val="24"/>
        </w:rPr>
        <w:t>Knodell</w:t>
      </w:r>
      <w:proofErr w:type="spellEnd"/>
      <w:r w:rsidRPr="00543BFE">
        <w:rPr>
          <w:sz w:val="24"/>
          <w:szCs w:val="24"/>
        </w:rPr>
        <w:t xml:space="preserve"> </w:t>
      </w:r>
      <w:proofErr w:type="spellStart"/>
      <w:r w:rsidRPr="00543BFE">
        <w:rPr>
          <w:sz w:val="24"/>
          <w:szCs w:val="24"/>
        </w:rPr>
        <w:t>nekroinflammatorisk</w:t>
      </w:r>
      <w:proofErr w:type="spellEnd"/>
      <w:r w:rsidRPr="00543BFE">
        <w:rPr>
          <w:sz w:val="24"/>
          <w:szCs w:val="24"/>
        </w:rPr>
        <w:t xml:space="preserve"> score ≥ 2).</w:t>
      </w:r>
    </w:p>
    <w:p w:rsidR="008D5948" w:rsidRPr="00543BFE" w:rsidRDefault="008D5948" w:rsidP="008D5948">
      <w:pPr>
        <w:suppressAutoHyphens/>
        <w:rPr>
          <w:sz w:val="24"/>
          <w:szCs w:val="24"/>
        </w:rPr>
      </w:pPr>
      <w:r w:rsidRPr="00543BFE">
        <w:rPr>
          <w:sz w:val="24"/>
          <w:szCs w:val="24"/>
          <w:vertAlign w:val="superscript"/>
        </w:rPr>
        <w:t xml:space="preserve">b </w:t>
      </w:r>
      <w:r w:rsidRPr="00543BFE">
        <w:rPr>
          <w:sz w:val="24"/>
          <w:szCs w:val="24"/>
        </w:rPr>
        <w:t>et primært endepunkt.</w:t>
      </w:r>
    </w:p>
    <w:p w:rsidR="008D5948" w:rsidRPr="00543BFE" w:rsidRDefault="008D5948" w:rsidP="008D5948">
      <w:pPr>
        <w:suppressAutoHyphens/>
        <w:rPr>
          <w:sz w:val="24"/>
          <w:szCs w:val="24"/>
        </w:rPr>
      </w:pPr>
      <w:r w:rsidRPr="00543BFE">
        <w:rPr>
          <w:sz w:val="24"/>
          <w:szCs w:val="24"/>
          <w:vertAlign w:val="superscript"/>
        </w:rPr>
        <w:t>c</w:t>
      </w:r>
      <w:r w:rsidRPr="00543BFE">
        <w:rPr>
          <w:sz w:val="24"/>
          <w:szCs w:val="24"/>
        </w:rPr>
        <w:t xml:space="preserve"> Roche </w:t>
      </w:r>
      <w:proofErr w:type="spellStart"/>
      <w:r w:rsidRPr="00543BFE">
        <w:rPr>
          <w:sz w:val="24"/>
          <w:szCs w:val="24"/>
        </w:rPr>
        <w:t>Cobas</w:t>
      </w:r>
      <w:proofErr w:type="spellEnd"/>
      <w:r w:rsidRPr="00543BFE">
        <w:rPr>
          <w:sz w:val="24"/>
          <w:szCs w:val="24"/>
        </w:rPr>
        <w:t xml:space="preserve"> </w:t>
      </w:r>
      <w:proofErr w:type="spellStart"/>
      <w:r w:rsidRPr="00543BFE">
        <w:rPr>
          <w:sz w:val="24"/>
          <w:szCs w:val="24"/>
        </w:rPr>
        <w:t>Amplicor</w:t>
      </w:r>
      <w:proofErr w:type="spellEnd"/>
      <w:r w:rsidRPr="00543BFE">
        <w:rPr>
          <w:sz w:val="24"/>
          <w:szCs w:val="24"/>
        </w:rPr>
        <w:t xml:space="preserve"> PCR-</w:t>
      </w:r>
      <w:proofErr w:type="spellStart"/>
      <w:r w:rsidRPr="00543BFE">
        <w:rPr>
          <w:sz w:val="24"/>
          <w:szCs w:val="24"/>
        </w:rPr>
        <w:t>assay</w:t>
      </w:r>
      <w:proofErr w:type="spellEnd"/>
      <w:r w:rsidRPr="00543BFE">
        <w:rPr>
          <w:sz w:val="24"/>
          <w:szCs w:val="24"/>
        </w:rPr>
        <w:t xml:space="preserve"> (LLOQ = 300 kopier/ml).</w:t>
      </w:r>
    </w:p>
    <w:p w:rsidR="008D5948" w:rsidRPr="00543BFE" w:rsidRDefault="008D5948" w:rsidP="008D5948">
      <w:pPr>
        <w:suppressAutoHyphens/>
        <w:ind w:left="851" w:hanging="851"/>
        <w:rPr>
          <w:sz w:val="24"/>
          <w:szCs w:val="24"/>
        </w:rPr>
      </w:pPr>
    </w:p>
    <w:p w:rsidR="008D5948" w:rsidRPr="00543BFE" w:rsidRDefault="008D5948" w:rsidP="008D5948">
      <w:pPr>
        <w:suppressAutoHyphens/>
        <w:ind w:left="851"/>
        <w:rPr>
          <w:i/>
          <w:sz w:val="24"/>
          <w:szCs w:val="24"/>
        </w:rPr>
      </w:pPr>
      <w:r w:rsidRPr="00543BFE">
        <w:rPr>
          <w:i/>
          <w:sz w:val="24"/>
          <w:szCs w:val="24"/>
          <w:u w:val="single"/>
        </w:rPr>
        <w:t xml:space="preserve">Erfaring hos </w:t>
      </w:r>
      <w:proofErr w:type="spellStart"/>
      <w:r w:rsidRPr="00543BFE">
        <w:rPr>
          <w:i/>
          <w:sz w:val="24"/>
          <w:szCs w:val="24"/>
          <w:u w:val="single"/>
        </w:rPr>
        <w:t>lamivudinrefraktære</w:t>
      </w:r>
      <w:proofErr w:type="spellEnd"/>
      <w:r w:rsidRPr="00543BFE">
        <w:rPr>
          <w:i/>
          <w:sz w:val="24"/>
          <w:szCs w:val="24"/>
          <w:u w:val="single"/>
        </w:rPr>
        <w:t xml:space="preserve"> patienter med kompenseret leversygdom</w:t>
      </w:r>
      <w:r w:rsidRPr="00543BFE">
        <w:rPr>
          <w:i/>
          <w:sz w:val="24"/>
          <w:szCs w:val="24"/>
        </w:rPr>
        <w:t xml:space="preserve">: </w:t>
      </w:r>
    </w:p>
    <w:p w:rsidR="008D5948" w:rsidRPr="00543BFE" w:rsidRDefault="008D5948" w:rsidP="008D5948">
      <w:pPr>
        <w:suppressAutoHyphens/>
        <w:ind w:left="851"/>
        <w:rPr>
          <w:sz w:val="24"/>
          <w:szCs w:val="24"/>
        </w:rPr>
      </w:pPr>
      <w:r w:rsidRPr="00543BFE">
        <w:rPr>
          <w:sz w:val="24"/>
          <w:szCs w:val="24"/>
        </w:rPr>
        <w:t xml:space="preserve">I et randomiseret, dobbeltblindt studie med </w:t>
      </w:r>
      <w:proofErr w:type="spellStart"/>
      <w:r w:rsidRPr="00543BFE">
        <w:rPr>
          <w:sz w:val="24"/>
          <w:szCs w:val="24"/>
        </w:rPr>
        <w:t>HBeAg</w:t>
      </w:r>
      <w:proofErr w:type="spellEnd"/>
      <w:r w:rsidRPr="00543BFE">
        <w:rPr>
          <w:sz w:val="24"/>
          <w:szCs w:val="24"/>
        </w:rPr>
        <w:t xml:space="preserve">-positive, </w:t>
      </w:r>
      <w:proofErr w:type="spellStart"/>
      <w:r w:rsidRPr="00543BFE">
        <w:rPr>
          <w:sz w:val="24"/>
          <w:szCs w:val="24"/>
        </w:rPr>
        <w:t>lamivudinrefraktære</w:t>
      </w:r>
      <w:proofErr w:type="spellEnd"/>
      <w:r w:rsidRPr="00543BFE">
        <w:rPr>
          <w:sz w:val="24"/>
          <w:szCs w:val="24"/>
        </w:rPr>
        <w:t xml:space="preserve"> patienter (026), hvor 85 % af patienterne havde </w:t>
      </w:r>
      <w:proofErr w:type="spellStart"/>
      <w:r w:rsidRPr="00543BFE">
        <w:rPr>
          <w:sz w:val="24"/>
          <w:szCs w:val="24"/>
        </w:rPr>
        <w:t>LVDr</w:t>
      </w:r>
      <w:proofErr w:type="spellEnd"/>
      <w:r w:rsidRPr="00543BFE">
        <w:rPr>
          <w:sz w:val="24"/>
          <w:szCs w:val="24"/>
        </w:rPr>
        <w:t xml:space="preserve">-mutationer ved baseline, skiftede patienter, der fik </w:t>
      </w:r>
      <w:proofErr w:type="spellStart"/>
      <w:r w:rsidRPr="00543BFE">
        <w:rPr>
          <w:sz w:val="24"/>
          <w:szCs w:val="24"/>
        </w:rPr>
        <w:t>lamivudin</w:t>
      </w:r>
      <w:proofErr w:type="spellEnd"/>
      <w:r w:rsidRPr="00543BFE">
        <w:rPr>
          <w:sz w:val="24"/>
          <w:szCs w:val="24"/>
        </w:rPr>
        <w:t xml:space="preserve"> ved inklusion, til </w:t>
      </w:r>
      <w:proofErr w:type="spellStart"/>
      <w:r w:rsidRPr="00543BFE">
        <w:rPr>
          <w:sz w:val="24"/>
          <w:szCs w:val="24"/>
        </w:rPr>
        <w:t>entecavir</w:t>
      </w:r>
      <w:proofErr w:type="spellEnd"/>
      <w:r w:rsidRPr="00543BFE">
        <w:rPr>
          <w:sz w:val="24"/>
          <w:szCs w:val="24"/>
        </w:rPr>
        <w:t xml:space="preserve"> 1 mg én gang </w:t>
      </w:r>
      <w:r>
        <w:rPr>
          <w:sz w:val="24"/>
          <w:szCs w:val="24"/>
        </w:rPr>
        <w:t>daglig</w:t>
      </w:r>
      <w:r w:rsidRPr="00543BFE">
        <w:rPr>
          <w:sz w:val="24"/>
          <w:szCs w:val="24"/>
        </w:rPr>
        <w:t xml:space="preserve"> uden udvaskning eller overlap (n = 141), eller patienterne fortsatte med </w:t>
      </w:r>
      <w:proofErr w:type="spellStart"/>
      <w:r w:rsidRPr="00543BFE">
        <w:rPr>
          <w:sz w:val="24"/>
          <w:szCs w:val="24"/>
        </w:rPr>
        <w:t>lamivudin</w:t>
      </w:r>
      <w:proofErr w:type="spellEnd"/>
      <w:r w:rsidRPr="00543BFE">
        <w:rPr>
          <w:sz w:val="24"/>
          <w:szCs w:val="24"/>
        </w:rPr>
        <w:t xml:space="preserve"> 100 mg, én gang </w:t>
      </w:r>
      <w:r>
        <w:rPr>
          <w:sz w:val="24"/>
          <w:szCs w:val="24"/>
        </w:rPr>
        <w:t>daglig</w:t>
      </w:r>
      <w:r w:rsidRPr="00543BFE">
        <w:rPr>
          <w:sz w:val="24"/>
          <w:szCs w:val="24"/>
        </w:rPr>
        <w:t xml:space="preserve"> (n = 145). Tabellen viser resultater efter 48 uger.</w:t>
      </w:r>
    </w:p>
    <w:p w:rsidR="008D5948" w:rsidRPr="00543BFE" w:rsidRDefault="008D5948" w:rsidP="008D5948">
      <w:pPr>
        <w:ind w:left="851" w:hanging="851"/>
        <w:rPr>
          <w:sz w:val="24"/>
          <w:szCs w:val="24"/>
        </w:rPr>
      </w:pPr>
    </w:p>
    <w:tbl>
      <w:tblPr>
        <w:tblW w:w="5000" w:type="pct"/>
        <w:tblCellMar>
          <w:left w:w="0" w:type="dxa"/>
          <w:right w:w="0" w:type="dxa"/>
        </w:tblCellMar>
        <w:tblLook w:val="01E0" w:firstRow="1" w:lastRow="1" w:firstColumn="1" w:lastColumn="1" w:noHBand="0" w:noVBand="0"/>
      </w:tblPr>
      <w:tblGrid>
        <w:gridCol w:w="4333"/>
        <w:gridCol w:w="2526"/>
        <w:gridCol w:w="2769"/>
      </w:tblGrid>
      <w:tr w:rsidR="008D5948" w:rsidRPr="00543BFE" w:rsidTr="002574EE">
        <w:trPr>
          <w:trHeight w:val="20"/>
        </w:trPr>
        <w:tc>
          <w:tcPr>
            <w:tcW w:w="2250" w:type="pct"/>
            <w:vMerge w:val="restart"/>
            <w:tcBorders>
              <w:top w:val="single" w:sz="4" w:space="0" w:color="000000"/>
              <w:left w:val="single" w:sz="4" w:space="0" w:color="000000"/>
              <w:bottom w:val="single" w:sz="12" w:space="0" w:color="000000"/>
              <w:right w:val="single" w:sz="4" w:space="0" w:color="000000"/>
            </w:tcBorders>
          </w:tcPr>
          <w:p w:rsidR="008D5948" w:rsidRPr="00543BFE" w:rsidRDefault="008D5948" w:rsidP="002574EE">
            <w:pPr>
              <w:rPr>
                <w:rFonts w:eastAsia="Calibri"/>
              </w:rPr>
            </w:pPr>
          </w:p>
        </w:tc>
        <w:tc>
          <w:tcPr>
            <w:tcW w:w="2750" w:type="pct"/>
            <w:gridSpan w:val="2"/>
            <w:tcBorders>
              <w:top w:val="single" w:sz="4" w:space="0" w:color="000000"/>
              <w:left w:val="single" w:sz="4" w:space="0" w:color="000000"/>
              <w:bottom w:val="single" w:sz="8" w:space="0" w:color="000000"/>
              <w:right w:val="single" w:sz="4" w:space="0" w:color="000000"/>
            </w:tcBorders>
            <w:hideMark/>
          </w:tcPr>
          <w:p w:rsidR="008D5948" w:rsidRPr="00543BFE" w:rsidRDefault="008D5948" w:rsidP="002574EE">
            <w:pPr>
              <w:jc w:val="center"/>
              <w:rPr>
                <w:rFonts w:eastAsia="Calibri"/>
              </w:rPr>
            </w:pPr>
            <w:proofErr w:type="spellStart"/>
            <w:r w:rsidRPr="00543BFE">
              <w:rPr>
                <w:rFonts w:eastAsia="Calibri"/>
                <w:w w:val="103"/>
              </w:rPr>
              <w:t>L</w:t>
            </w:r>
            <w:r w:rsidRPr="00543BFE">
              <w:rPr>
                <w:rFonts w:eastAsia="Calibri"/>
                <w:spacing w:val="2"/>
                <w:w w:val="103"/>
              </w:rPr>
              <w:t>a</w:t>
            </w:r>
            <w:r w:rsidRPr="00543BFE">
              <w:rPr>
                <w:rFonts w:eastAsia="Calibri"/>
                <w:spacing w:val="-2"/>
                <w:w w:val="103"/>
              </w:rPr>
              <w:t>m</w:t>
            </w:r>
            <w:r w:rsidRPr="00543BFE">
              <w:rPr>
                <w:rFonts w:eastAsia="Calibri"/>
                <w:spacing w:val="1"/>
                <w:w w:val="103"/>
              </w:rPr>
              <w:t>i</w:t>
            </w:r>
            <w:r w:rsidRPr="00543BFE">
              <w:rPr>
                <w:rFonts w:eastAsia="Calibri"/>
                <w:w w:val="103"/>
              </w:rPr>
              <w:t>vudinrefraktær</w:t>
            </w:r>
            <w:proofErr w:type="spellEnd"/>
          </w:p>
        </w:tc>
      </w:tr>
      <w:tr w:rsidR="008D5948" w:rsidRPr="00543BFE" w:rsidTr="002574EE">
        <w:trPr>
          <w:trHeight w:val="20"/>
        </w:trPr>
        <w:tc>
          <w:tcPr>
            <w:tcW w:w="2250" w:type="pct"/>
            <w:vMerge/>
            <w:tcBorders>
              <w:top w:val="single" w:sz="4" w:space="0" w:color="000000"/>
              <w:left w:val="single" w:sz="4" w:space="0" w:color="000000"/>
              <w:bottom w:val="single" w:sz="12" w:space="0" w:color="000000"/>
              <w:right w:val="single" w:sz="4" w:space="0" w:color="000000"/>
            </w:tcBorders>
            <w:vAlign w:val="center"/>
            <w:hideMark/>
          </w:tcPr>
          <w:p w:rsidR="008D5948" w:rsidRPr="00543BFE" w:rsidRDefault="008D5948" w:rsidP="002574EE">
            <w:pPr>
              <w:rPr>
                <w:rFonts w:eastAsia="Calibri"/>
              </w:rPr>
            </w:pPr>
          </w:p>
        </w:tc>
        <w:tc>
          <w:tcPr>
            <w:tcW w:w="2750" w:type="pct"/>
            <w:gridSpan w:val="2"/>
            <w:tcBorders>
              <w:top w:val="single" w:sz="8" w:space="0" w:color="000000"/>
              <w:left w:val="single" w:sz="4" w:space="0" w:color="000000"/>
              <w:bottom w:val="nil"/>
              <w:right w:val="single" w:sz="4" w:space="0" w:color="000000"/>
            </w:tcBorders>
            <w:hideMark/>
          </w:tcPr>
          <w:p w:rsidR="008D5948" w:rsidRPr="00543BFE" w:rsidRDefault="008D5948" w:rsidP="002574EE">
            <w:pPr>
              <w:jc w:val="center"/>
              <w:rPr>
                <w:rFonts w:eastAsia="Calibri"/>
              </w:rPr>
            </w:pPr>
            <w:proofErr w:type="spellStart"/>
            <w:r w:rsidRPr="00543BFE">
              <w:rPr>
                <w:rFonts w:eastAsia="Calibri"/>
              </w:rPr>
              <w:t>HBeAg</w:t>
            </w:r>
            <w:proofErr w:type="spellEnd"/>
            <w:r w:rsidRPr="00543BFE">
              <w:rPr>
                <w:rFonts w:eastAsia="Calibri"/>
                <w:spacing w:val="21"/>
              </w:rPr>
              <w:t>-</w:t>
            </w:r>
            <w:r w:rsidRPr="00543BFE">
              <w:rPr>
                <w:rFonts w:eastAsia="Calibri"/>
              </w:rPr>
              <w:t>positiv</w:t>
            </w:r>
            <w:r w:rsidRPr="00543BFE">
              <w:rPr>
                <w:rFonts w:eastAsia="Calibri"/>
                <w:spacing w:val="21"/>
              </w:rPr>
              <w:t xml:space="preserve"> </w:t>
            </w:r>
            <w:r w:rsidRPr="00543BFE">
              <w:rPr>
                <w:rFonts w:eastAsia="Calibri"/>
              </w:rPr>
              <w:t>(s</w:t>
            </w:r>
            <w:r w:rsidRPr="00543BFE">
              <w:rPr>
                <w:rFonts w:eastAsia="Calibri"/>
                <w:spacing w:val="1"/>
              </w:rPr>
              <w:t>tu</w:t>
            </w:r>
            <w:r w:rsidRPr="00543BFE">
              <w:rPr>
                <w:rFonts w:eastAsia="Calibri"/>
                <w:spacing w:val="-2"/>
              </w:rPr>
              <w:t>d</w:t>
            </w:r>
            <w:r w:rsidRPr="00543BFE">
              <w:rPr>
                <w:rFonts w:eastAsia="Calibri"/>
              </w:rPr>
              <w:t>ie</w:t>
            </w:r>
            <w:r w:rsidRPr="00543BFE">
              <w:rPr>
                <w:rFonts w:eastAsia="Calibri"/>
                <w:spacing w:val="20"/>
              </w:rPr>
              <w:t xml:space="preserve"> </w:t>
            </w:r>
            <w:r w:rsidRPr="00543BFE">
              <w:rPr>
                <w:rFonts w:eastAsia="Calibri"/>
                <w:w w:val="103"/>
              </w:rPr>
              <w:t>0</w:t>
            </w:r>
            <w:r w:rsidRPr="00543BFE">
              <w:rPr>
                <w:rFonts w:eastAsia="Calibri"/>
                <w:spacing w:val="-1"/>
                <w:w w:val="103"/>
              </w:rPr>
              <w:t>2</w:t>
            </w:r>
            <w:r w:rsidRPr="00543BFE">
              <w:rPr>
                <w:rFonts w:eastAsia="Calibri"/>
                <w:w w:val="103"/>
              </w:rPr>
              <w:t>6)</w:t>
            </w:r>
          </w:p>
        </w:tc>
      </w:tr>
      <w:tr w:rsidR="008D5948" w:rsidRPr="00543BFE" w:rsidTr="002574EE">
        <w:trPr>
          <w:trHeight w:val="20"/>
        </w:trPr>
        <w:tc>
          <w:tcPr>
            <w:tcW w:w="2250" w:type="pct"/>
            <w:vMerge/>
            <w:tcBorders>
              <w:top w:val="single" w:sz="4" w:space="0" w:color="000000"/>
              <w:left w:val="single" w:sz="4" w:space="0" w:color="000000"/>
              <w:bottom w:val="single" w:sz="12" w:space="0" w:color="000000"/>
              <w:right w:val="single" w:sz="4" w:space="0" w:color="000000"/>
            </w:tcBorders>
            <w:vAlign w:val="center"/>
            <w:hideMark/>
          </w:tcPr>
          <w:p w:rsidR="008D5948" w:rsidRPr="00543BFE" w:rsidRDefault="008D5948" w:rsidP="002574EE">
            <w:pPr>
              <w:rPr>
                <w:rFonts w:eastAsia="Calibri"/>
              </w:rPr>
            </w:pPr>
          </w:p>
        </w:tc>
        <w:tc>
          <w:tcPr>
            <w:tcW w:w="1312" w:type="pct"/>
            <w:tcBorders>
              <w:top w:val="single" w:sz="8" w:space="0" w:color="000000"/>
              <w:left w:val="single" w:sz="4" w:space="0" w:color="000000"/>
              <w:bottom w:val="single" w:sz="12" w:space="0" w:color="000000"/>
              <w:right w:val="single" w:sz="8" w:space="0" w:color="000000"/>
            </w:tcBorders>
            <w:hideMark/>
          </w:tcPr>
          <w:p w:rsidR="008D5948" w:rsidRPr="00543BFE" w:rsidRDefault="008D5948" w:rsidP="002574EE">
            <w:pPr>
              <w:jc w:val="center"/>
              <w:rPr>
                <w:rFonts w:eastAsia="Calibri"/>
              </w:rPr>
            </w:pPr>
            <w:r w:rsidRPr="00543BFE">
              <w:rPr>
                <w:rFonts w:eastAsia="Calibri"/>
              </w:rPr>
              <w:t>ETV</w:t>
            </w:r>
            <w:r w:rsidRPr="00543BFE">
              <w:rPr>
                <w:rFonts w:eastAsia="Calibri"/>
                <w:spacing w:val="13"/>
              </w:rPr>
              <w:t xml:space="preserve"> </w:t>
            </w:r>
            <w:r w:rsidRPr="00543BFE">
              <w:rPr>
                <w:rFonts w:eastAsia="Calibri"/>
              </w:rPr>
              <w:t>1.0</w:t>
            </w:r>
            <w:r w:rsidRPr="00543BFE">
              <w:rPr>
                <w:rFonts w:eastAsia="Calibri"/>
                <w:spacing w:val="11"/>
              </w:rPr>
              <w:t xml:space="preserve"> </w:t>
            </w:r>
            <w:r w:rsidRPr="00543BFE">
              <w:rPr>
                <w:rFonts w:eastAsia="Calibri"/>
                <w:spacing w:val="-2"/>
              </w:rPr>
              <w:t>m</w:t>
            </w:r>
            <w:r w:rsidRPr="00543BFE">
              <w:rPr>
                <w:rFonts w:eastAsia="Calibri"/>
              </w:rPr>
              <w:t>g</w:t>
            </w:r>
            <w:r w:rsidRPr="00543BFE">
              <w:rPr>
                <w:rFonts w:eastAsia="Calibri"/>
                <w:spacing w:val="11"/>
              </w:rPr>
              <w:t xml:space="preserve"> </w:t>
            </w:r>
            <w:r w:rsidRPr="00543BFE">
              <w:rPr>
                <w:rFonts w:eastAsia="Calibri"/>
              </w:rPr>
              <w:t xml:space="preserve">én gang </w:t>
            </w:r>
            <w:r>
              <w:rPr>
                <w:rFonts w:eastAsia="Calibri"/>
              </w:rPr>
              <w:t>daglig</w:t>
            </w:r>
          </w:p>
        </w:tc>
        <w:tc>
          <w:tcPr>
            <w:tcW w:w="1437" w:type="pct"/>
            <w:tcBorders>
              <w:top w:val="single" w:sz="4" w:space="0" w:color="000000"/>
              <w:left w:val="single" w:sz="8" w:space="0" w:color="000000"/>
              <w:bottom w:val="single" w:sz="12" w:space="0" w:color="000000"/>
              <w:right w:val="single" w:sz="4" w:space="0" w:color="000000"/>
            </w:tcBorders>
            <w:hideMark/>
          </w:tcPr>
          <w:p w:rsidR="008D5948" w:rsidRPr="00543BFE" w:rsidRDefault="008D5948" w:rsidP="002574EE">
            <w:pPr>
              <w:jc w:val="center"/>
              <w:rPr>
                <w:rFonts w:eastAsia="Calibri"/>
              </w:rPr>
            </w:pPr>
            <w:r w:rsidRPr="00543BFE">
              <w:rPr>
                <w:rFonts w:eastAsia="Calibri"/>
                <w:spacing w:val="1"/>
              </w:rPr>
              <w:t>L</w:t>
            </w:r>
            <w:r w:rsidRPr="00543BFE">
              <w:rPr>
                <w:rFonts w:eastAsia="Calibri"/>
              </w:rPr>
              <w:t>VD</w:t>
            </w:r>
            <w:r w:rsidRPr="00543BFE">
              <w:rPr>
                <w:rFonts w:eastAsia="Calibri"/>
                <w:spacing w:val="13"/>
              </w:rPr>
              <w:t xml:space="preserve"> </w:t>
            </w:r>
            <w:r w:rsidRPr="00543BFE">
              <w:rPr>
                <w:rFonts w:eastAsia="Calibri"/>
                <w:spacing w:val="1"/>
              </w:rPr>
              <w:t>1</w:t>
            </w:r>
            <w:r w:rsidRPr="00543BFE">
              <w:rPr>
                <w:rFonts w:eastAsia="Calibri"/>
              </w:rPr>
              <w:t>00</w:t>
            </w:r>
            <w:r w:rsidRPr="00543BFE">
              <w:rPr>
                <w:rFonts w:eastAsia="Calibri"/>
                <w:spacing w:val="12"/>
              </w:rPr>
              <w:t xml:space="preserve"> </w:t>
            </w:r>
            <w:r w:rsidRPr="00543BFE">
              <w:rPr>
                <w:rFonts w:eastAsia="Calibri"/>
              </w:rPr>
              <w:t>mg</w:t>
            </w:r>
            <w:r w:rsidRPr="00543BFE">
              <w:rPr>
                <w:rFonts w:eastAsia="Calibri"/>
                <w:spacing w:val="12"/>
              </w:rPr>
              <w:t xml:space="preserve"> </w:t>
            </w:r>
            <w:r w:rsidRPr="00543BFE">
              <w:rPr>
                <w:rFonts w:eastAsia="Calibri"/>
                <w:spacing w:val="-1"/>
              </w:rPr>
              <w:t xml:space="preserve">én gang </w:t>
            </w:r>
            <w:r>
              <w:rPr>
                <w:rFonts w:eastAsia="Calibri"/>
                <w:spacing w:val="-1"/>
              </w:rPr>
              <w:t>daglig</w:t>
            </w:r>
          </w:p>
        </w:tc>
      </w:tr>
      <w:tr w:rsidR="008D5948" w:rsidRPr="00543BFE" w:rsidTr="002574EE">
        <w:trPr>
          <w:trHeight w:val="20"/>
        </w:trPr>
        <w:tc>
          <w:tcPr>
            <w:tcW w:w="2250" w:type="pct"/>
            <w:tcBorders>
              <w:top w:val="single" w:sz="12" w:space="0" w:color="000000"/>
              <w:left w:val="single" w:sz="4" w:space="0" w:color="000000"/>
              <w:bottom w:val="single" w:sz="12" w:space="0" w:color="000000"/>
              <w:right w:val="single" w:sz="4" w:space="0" w:color="000000"/>
            </w:tcBorders>
            <w:hideMark/>
          </w:tcPr>
          <w:p w:rsidR="008D5948" w:rsidRPr="00543BFE" w:rsidRDefault="008D5948" w:rsidP="002574EE">
            <w:pPr>
              <w:jc w:val="center"/>
              <w:rPr>
                <w:rFonts w:eastAsia="Calibri"/>
              </w:rPr>
            </w:pPr>
            <w:r w:rsidRPr="00543BFE">
              <w:rPr>
                <w:rFonts w:eastAsia="Calibri"/>
                <w:w w:val="103"/>
              </w:rPr>
              <w:t>n</w:t>
            </w:r>
          </w:p>
        </w:tc>
        <w:tc>
          <w:tcPr>
            <w:tcW w:w="1312" w:type="pct"/>
            <w:tcBorders>
              <w:top w:val="single" w:sz="12" w:space="0" w:color="000000"/>
              <w:left w:val="single" w:sz="4" w:space="0" w:color="000000"/>
              <w:bottom w:val="single" w:sz="12" w:space="0" w:color="000000"/>
              <w:right w:val="single" w:sz="8" w:space="0" w:color="000000"/>
            </w:tcBorders>
            <w:hideMark/>
          </w:tcPr>
          <w:p w:rsidR="008D5948" w:rsidRPr="00543BFE" w:rsidRDefault="008D5948" w:rsidP="002574EE">
            <w:pPr>
              <w:jc w:val="center"/>
              <w:rPr>
                <w:rFonts w:eastAsia="Calibri"/>
                <w:vertAlign w:val="superscript"/>
              </w:rPr>
            </w:pPr>
            <w:r w:rsidRPr="00543BFE">
              <w:rPr>
                <w:rFonts w:eastAsia="Calibri"/>
                <w:spacing w:val="-1"/>
                <w:w w:val="103"/>
              </w:rPr>
              <w:t>1</w:t>
            </w:r>
            <w:r w:rsidRPr="00543BFE">
              <w:rPr>
                <w:rFonts w:eastAsia="Calibri"/>
                <w:spacing w:val="1"/>
                <w:w w:val="103"/>
              </w:rPr>
              <w:t>2</w:t>
            </w:r>
            <w:r w:rsidRPr="00543BFE">
              <w:rPr>
                <w:rFonts w:eastAsia="Calibri"/>
                <w:spacing w:val="-1"/>
                <w:w w:val="103"/>
              </w:rPr>
              <w:t>4</w:t>
            </w:r>
            <w:r w:rsidRPr="00543BFE">
              <w:rPr>
                <w:rFonts w:eastAsia="Calibri"/>
                <w:spacing w:val="-1"/>
                <w:w w:val="103"/>
                <w:vertAlign w:val="superscript"/>
              </w:rPr>
              <w:t>a</w:t>
            </w:r>
          </w:p>
        </w:tc>
        <w:tc>
          <w:tcPr>
            <w:tcW w:w="1437" w:type="pct"/>
            <w:tcBorders>
              <w:top w:val="single" w:sz="12" w:space="0" w:color="000000"/>
              <w:left w:val="single" w:sz="8" w:space="0" w:color="000000"/>
              <w:bottom w:val="single" w:sz="12" w:space="0" w:color="000000"/>
              <w:right w:val="single" w:sz="4" w:space="0" w:color="000000"/>
            </w:tcBorders>
            <w:hideMark/>
          </w:tcPr>
          <w:p w:rsidR="008D5948" w:rsidRPr="00543BFE" w:rsidRDefault="008D5948" w:rsidP="002574EE">
            <w:pPr>
              <w:jc w:val="center"/>
              <w:rPr>
                <w:rFonts w:eastAsia="Calibri"/>
                <w:vertAlign w:val="superscript"/>
              </w:rPr>
            </w:pPr>
            <w:r w:rsidRPr="00543BFE">
              <w:rPr>
                <w:rFonts w:eastAsia="Calibri"/>
                <w:w w:val="103"/>
              </w:rPr>
              <w:t>1</w:t>
            </w:r>
            <w:r w:rsidRPr="00543BFE">
              <w:rPr>
                <w:rFonts w:eastAsia="Calibri"/>
                <w:spacing w:val="1"/>
                <w:w w:val="103"/>
              </w:rPr>
              <w:t>1</w:t>
            </w:r>
            <w:r w:rsidRPr="00543BFE">
              <w:rPr>
                <w:rFonts w:eastAsia="Calibri"/>
                <w:spacing w:val="-1"/>
                <w:w w:val="103"/>
              </w:rPr>
              <w:t>6</w:t>
            </w:r>
            <w:r w:rsidRPr="00543BFE">
              <w:rPr>
                <w:rFonts w:eastAsia="Calibri"/>
                <w:spacing w:val="-1"/>
                <w:w w:val="103"/>
                <w:vertAlign w:val="superscript"/>
              </w:rPr>
              <w:t>a</w:t>
            </w:r>
          </w:p>
        </w:tc>
      </w:tr>
      <w:tr w:rsidR="008D5948" w:rsidRPr="00543BFE" w:rsidTr="002574EE">
        <w:trPr>
          <w:trHeight w:val="20"/>
        </w:trPr>
        <w:tc>
          <w:tcPr>
            <w:tcW w:w="2250" w:type="pct"/>
            <w:tcBorders>
              <w:top w:val="single" w:sz="12" w:space="0" w:color="000000"/>
              <w:left w:val="single" w:sz="4" w:space="0" w:color="000000"/>
              <w:bottom w:val="single" w:sz="8" w:space="0" w:color="000000"/>
              <w:right w:val="single" w:sz="4" w:space="0" w:color="000000"/>
            </w:tcBorders>
            <w:hideMark/>
          </w:tcPr>
          <w:p w:rsidR="008D5948" w:rsidRPr="00543BFE" w:rsidRDefault="008D5948" w:rsidP="002574EE">
            <w:pPr>
              <w:jc w:val="center"/>
              <w:rPr>
                <w:rFonts w:eastAsia="Calibri"/>
                <w:vertAlign w:val="superscript"/>
              </w:rPr>
            </w:pPr>
            <w:r w:rsidRPr="00543BFE">
              <w:rPr>
                <w:rFonts w:eastAsia="Calibri"/>
              </w:rPr>
              <w:t>Hist</w:t>
            </w:r>
            <w:r w:rsidRPr="00543BFE">
              <w:rPr>
                <w:rFonts w:eastAsia="Calibri"/>
                <w:spacing w:val="-1"/>
              </w:rPr>
              <w:t>o</w:t>
            </w:r>
            <w:r w:rsidRPr="00543BFE">
              <w:rPr>
                <w:rFonts w:eastAsia="Calibri"/>
                <w:spacing w:val="1"/>
              </w:rPr>
              <w:t>lo</w:t>
            </w:r>
            <w:r w:rsidRPr="00543BFE">
              <w:rPr>
                <w:rFonts w:eastAsia="Calibri"/>
              </w:rPr>
              <w:t xml:space="preserve">gisk </w:t>
            </w:r>
            <w:proofErr w:type="spellStart"/>
            <w:r w:rsidRPr="00543BFE">
              <w:rPr>
                <w:rFonts w:eastAsia="Calibri"/>
              </w:rPr>
              <w:t>forbedring</w:t>
            </w:r>
            <w:r w:rsidRPr="00543BFE">
              <w:rPr>
                <w:rFonts w:eastAsia="Calibri"/>
                <w:vertAlign w:val="superscript"/>
              </w:rPr>
              <w:t>b</w:t>
            </w:r>
            <w:proofErr w:type="spellEnd"/>
          </w:p>
        </w:tc>
        <w:tc>
          <w:tcPr>
            <w:tcW w:w="1312" w:type="pct"/>
            <w:tcBorders>
              <w:top w:val="single" w:sz="12" w:space="0" w:color="000000"/>
              <w:left w:val="single" w:sz="4" w:space="0" w:color="000000"/>
              <w:bottom w:val="single" w:sz="8" w:space="0" w:color="000000"/>
              <w:right w:val="single" w:sz="8" w:space="0" w:color="000000"/>
            </w:tcBorders>
            <w:hideMark/>
          </w:tcPr>
          <w:p w:rsidR="008D5948" w:rsidRPr="00543BFE" w:rsidRDefault="008D5948" w:rsidP="002574EE">
            <w:pPr>
              <w:jc w:val="center"/>
              <w:rPr>
                <w:rFonts w:eastAsia="Calibri"/>
              </w:rPr>
            </w:pPr>
            <w:r w:rsidRPr="00543BFE">
              <w:rPr>
                <w:rFonts w:eastAsia="Calibri"/>
                <w:spacing w:val="-1"/>
                <w:w w:val="103"/>
              </w:rPr>
              <w:t>5</w:t>
            </w:r>
            <w:r w:rsidRPr="00543BFE">
              <w:rPr>
                <w:rFonts w:eastAsia="Calibri"/>
                <w:spacing w:val="1"/>
                <w:w w:val="103"/>
              </w:rPr>
              <w:t>5 %</w:t>
            </w:r>
            <w:r w:rsidRPr="00543BFE">
              <w:rPr>
                <w:rFonts w:eastAsia="Calibri"/>
                <w:w w:val="103"/>
              </w:rPr>
              <w:t>*</w:t>
            </w:r>
          </w:p>
        </w:tc>
        <w:tc>
          <w:tcPr>
            <w:tcW w:w="1437" w:type="pct"/>
            <w:tcBorders>
              <w:top w:val="single" w:sz="12" w:space="0" w:color="000000"/>
              <w:left w:val="single" w:sz="8" w:space="0" w:color="000000"/>
              <w:bottom w:val="single" w:sz="8" w:space="0" w:color="000000"/>
              <w:right w:val="single" w:sz="4" w:space="0" w:color="000000"/>
            </w:tcBorders>
            <w:hideMark/>
          </w:tcPr>
          <w:p w:rsidR="008D5948" w:rsidRPr="00543BFE" w:rsidRDefault="008D5948" w:rsidP="002574EE">
            <w:pPr>
              <w:jc w:val="center"/>
              <w:rPr>
                <w:rFonts w:eastAsia="Calibri"/>
              </w:rPr>
            </w:pPr>
            <w:r w:rsidRPr="00543BFE">
              <w:rPr>
                <w:rFonts w:eastAsia="Calibri"/>
                <w:spacing w:val="-1"/>
                <w:w w:val="103"/>
              </w:rPr>
              <w:t>2</w:t>
            </w:r>
            <w:r w:rsidRPr="00543BFE">
              <w:rPr>
                <w:rFonts w:eastAsia="Calibri"/>
                <w:spacing w:val="1"/>
                <w:w w:val="103"/>
              </w:rPr>
              <w:t xml:space="preserve">8 </w:t>
            </w:r>
            <w:r w:rsidRPr="00543BFE">
              <w:rPr>
                <w:rFonts w:eastAsia="Calibri"/>
                <w:w w:val="103"/>
              </w:rPr>
              <w:t>%</w:t>
            </w:r>
          </w:p>
        </w:tc>
      </w:tr>
      <w:tr w:rsidR="008D5948" w:rsidRPr="00543BFE" w:rsidTr="002574EE">
        <w:trPr>
          <w:trHeight w:val="20"/>
        </w:trPr>
        <w:tc>
          <w:tcPr>
            <w:tcW w:w="2250" w:type="pct"/>
            <w:tcBorders>
              <w:top w:val="single" w:sz="8" w:space="0" w:color="000000"/>
              <w:left w:val="single" w:sz="4" w:space="0" w:color="000000"/>
              <w:bottom w:val="single" w:sz="8" w:space="0" w:color="000000"/>
              <w:right w:val="single" w:sz="4" w:space="0" w:color="000000"/>
            </w:tcBorders>
            <w:hideMark/>
          </w:tcPr>
          <w:p w:rsidR="008D5948" w:rsidRPr="00543BFE" w:rsidRDefault="008D5948" w:rsidP="002574EE">
            <w:pPr>
              <w:jc w:val="center"/>
              <w:rPr>
                <w:rFonts w:eastAsia="Calibri"/>
              </w:rPr>
            </w:pPr>
            <w:r w:rsidRPr="00543BFE">
              <w:rPr>
                <w:rFonts w:eastAsia="Calibri"/>
              </w:rPr>
              <w:t>Forbedring i Ishak</w:t>
            </w:r>
            <w:r w:rsidRPr="00543BFE">
              <w:rPr>
                <w:rFonts w:eastAsia="Calibri"/>
                <w:spacing w:val="15"/>
              </w:rPr>
              <w:t xml:space="preserve"> </w:t>
            </w:r>
            <w:r w:rsidRPr="00543BFE">
              <w:rPr>
                <w:rFonts w:eastAsia="Calibri"/>
              </w:rPr>
              <w:t>f</w:t>
            </w:r>
            <w:r w:rsidRPr="00543BFE">
              <w:rPr>
                <w:rFonts w:eastAsia="Calibri"/>
                <w:spacing w:val="1"/>
              </w:rPr>
              <w:t>i</w:t>
            </w:r>
            <w:r w:rsidRPr="00543BFE">
              <w:rPr>
                <w:rFonts w:eastAsia="Calibri"/>
              </w:rPr>
              <w:t>br</w:t>
            </w:r>
            <w:r w:rsidRPr="00543BFE">
              <w:rPr>
                <w:rFonts w:eastAsia="Calibri"/>
                <w:spacing w:val="1"/>
              </w:rPr>
              <w:t>o</w:t>
            </w:r>
            <w:r w:rsidRPr="00543BFE">
              <w:rPr>
                <w:rFonts w:eastAsia="Calibri"/>
                <w:spacing w:val="-1"/>
              </w:rPr>
              <w:t>se</w:t>
            </w:r>
            <w:r w:rsidRPr="00543BFE">
              <w:rPr>
                <w:rFonts w:eastAsia="Calibri"/>
              </w:rPr>
              <w:t>-score</w:t>
            </w:r>
          </w:p>
        </w:tc>
        <w:tc>
          <w:tcPr>
            <w:tcW w:w="1312" w:type="pct"/>
            <w:tcBorders>
              <w:top w:val="single" w:sz="8" w:space="0" w:color="000000"/>
              <w:left w:val="single" w:sz="4" w:space="0" w:color="000000"/>
              <w:bottom w:val="single" w:sz="8" w:space="0" w:color="000000"/>
              <w:right w:val="single" w:sz="8" w:space="0" w:color="000000"/>
            </w:tcBorders>
            <w:hideMark/>
          </w:tcPr>
          <w:p w:rsidR="008D5948" w:rsidRPr="00543BFE" w:rsidRDefault="008D5948" w:rsidP="002574EE">
            <w:pPr>
              <w:jc w:val="center"/>
              <w:rPr>
                <w:rFonts w:eastAsia="Calibri"/>
              </w:rPr>
            </w:pPr>
            <w:r w:rsidRPr="00543BFE">
              <w:rPr>
                <w:rFonts w:eastAsia="Calibri"/>
                <w:spacing w:val="-1"/>
                <w:w w:val="103"/>
              </w:rPr>
              <w:t>3</w:t>
            </w:r>
            <w:r w:rsidRPr="00543BFE">
              <w:rPr>
                <w:rFonts w:eastAsia="Calibri"/>
                <w:spacing w:val="1"/>
                <w:w w:val="103"/>
              </w:rPr>
              <w:t>4 %*</w:t>
            </w:r>
          </w:p>
        </w:tc>
        <w:tc>
          <w:tcPr>
            <w:tcW w:w="1437" w:type="pct"/>
            <w:tcBorders>
              <w:top w:val="single" w:sz="8" w:space="0" w:color="000000"/>
              <w:left w:val="single" w:sz="8" w:space="0" w:color="000000"/>
              <w:bottom w:val="single" w:sz="8" w:space="0" w:color="000000"/>
              <w:right w:val="single" w:sz="4" w:space="0" w:color="000000"/>
            </w:tcBorders>
            <w:hideMark/>
          </w:tcPr>
          <w:p w:rsidR="008D5948" w:rsidRPr="00543BFE" w:rsidRDefault="008D5948" w:rsidP="002574EE">
            <w:pPr>
              <w:jc w:val="center"/>
              <w:rPr>
                <w:rFonts w:eastAsia="Calibri"/>
              </w:rPr>
            </w:pPr>
            <w:r w:rsidRPr="00543BFE">
              <w:rPr>
                <w:rFonts w:eastAsia="Calibri"/>
                <w:spacing w:val="-1"/>
                <w:w w:val="103"/>
              </w:rPr>
              <w:t>1</w:t>
            </w:r>
            <w:r w:rsidRPr="00543BFE">
              <w:rPr>
                <w:rFonts w:eastAsia="Calibri"/>
                <w:spacing w:val="1"/>
                <w:w w:val="103"/>
              </w:rPr>
              <w:t xml:space="preserve">6 </w:t>
            </w:r>
            <w:r w:rsidRPr="00543BFE">
              <w:rPr>
                <w:rFonts w:eastAsia="Calibri"/>
                <w:w w:val="103"/>
              </w:rPr>
              <w:t>%</w:t>
            </w:r>
          </w:p>
        </w:tc>
      </w:tr>
      <w:tr w:rsidR="008D5948" w:rsidRPr="00543BFE" w:rsidTr="002574EE">
        <w:trPr>
          <w:trHeight w:val="20"/>
        </w:trPr>
        <w:tc>
          <w:tcPr>
            <w:tcW w:w="2250" w:type="pct"/>
            <w:tcBorders>
              <w:top w:val="single" w:sz="8" w:space="0" w:color="000000"/>
              <w:left w:val="single" w:sz="4" w:space="0" w:color="000000"/>
              <w:bottom w:val="single" w:sz="12" w:space="0" w:color="000000"/>
              <w:right w:val="single" w:sz="4" w:space="0" w:color="000000"/>
            </w:tcBorders>
            <w:hideMark/>
          </w:tcPr>
          <w:p w:rsidR="008D5948" w:rsidRPr="00543BFE" w:rsidRDefault="008D5948" w:rsidP="002574EE">
            <w:pPr>
              <w:jc w:val="center"/>
              <w:rPr>
                <w:rFonts w:eastAsia="Calibri"/>
              </w:rPr>
            </w:pPr>
            <w:r w:rsidRPr="00543BFE">
              <w:rPr>
                <w:rFonts w:eastAsia="Calibri"/>
              </w:rPr>
              <w:t>Forværring i Ishak</w:t>
            </w:r>
            <w:r w:rsidRPr="00543BFE">
              <w:rPr>
                <w:rFonts w:eastAsia="Calibri"/>
                <w:spacing w:val="15"/>
              </w:rPr>
              <w:t xml:space="preserve"> </w:t>
            </w:r>
            <w:r w:rsidRPr="00543BFE">
              <w:rPr>
                <w:rFonts w:eastAsia="Calibri"/>
              </w:rPr>
              <w:t>f</w:t>
            </w:r>
            <w:r w:rsidRPr="00543BFE">
              <w:rPr>
                <w:rFonts w:eastAsia="Calibri"/>
                <w:spacing w:val="1"/>
              </w:rPr>
              <w:t>i</w:t>
            </w:r>
            <w:r w:rsidRPr="00543BFE">
              <w:rPr>
                <w:rFonts w:eastAsia="Calibri"/>
              </w:rPr>
              <w:t>br</w:t>
            </w:r>
            <w:r w:rsidRPr="00543BFE">
              <w:rPr>
                <w:rFonts w:eastAsia="Calibri"/>
                <w:spacing w:val="1"/>
              </w:rPr>
              <w:t>o</w:t>
            </w:r>
            <w:r w:rsidRPr="00543BFE">
              <w:rPr>
                <w:rFonts w:eastAsia="Calibri"/>
                <w:spacing w:val="-1"/>
              </w:rPr>
              <w:t>s</w:t>
            </w:r>
            <w:r w:rsidRPr="00543BFE">
              <w:rPr>
                <w:rFonts w:eastAsia="Calibri"/>
              </w:rPr>
              <w:t>e</w:t>
            </w:r>
            <w:r w:rsidRPr="00543BFE">
              <w:rPr>
                <w:rFonts w:eastAsia="Calibri"/>
                <w:spacing w:val="21"/>
              </w:rPr>
              <w:t>-</w:t>
            </w:r>
            <w:r w:rsidRPr="00543BFE">
              <w:rPr>
                <w:rFonts w:eastAsia="Calibri"/>
              </w:rPr>
              <w:t>score</w:t>
            </w:r>
          </w:p>
        </w:tc>
        <w:tc>
          <w:tcPr>
            <w:tcW w:w="1312" w:type="pct"/>
            <w:tcBorders>
              <w:top w:val="single" w:sz="8" w:space="0" w:color="000000"/>
              <w:left w:val="single" w:sz="4" w:space="0" w:color="000000"/>
              <w:bottom w:val="single" w:sz="12" w:space="0" w:color="000000"/>
              <w:right w:val="single" w:sz="8" w:space="0" w:color="000000"/>
            </w:tcBorders>
            <w:hideMark/>
          </w:tcPr>
          <w:p w:rsidR="008D5948" w:rsidRPr="00543BFE" w:rsidRDefault="008D5948" w:rsidP="002574EE">
            <w:pPr>
              <w:jc w:val="center"/>
              <w:rPr>
                <w:rFonts w:eastAsia="Calibri"/>
              </w:rPr>
            </w:pPr>
            <w:r w:rsidRPr="00543BFE">
              <w:rPr>
                <w:rFonts w:eastAsia="Calibri"/>
                <w:w w:val="103"/>
              </w:rPr>
              <w:t>11 %</w:t>
            </w:r>
          </w:p>
        </w:tc>
        <w:tc>
          <w:tcPr>
            <w:tcW w:w="1437" w:type="pct"/>
            <w:tcBorders>
              <w:top w:val="single" w:sz="8" w:space="0" w:color="000000"/>
              <w:left w:val="single" w:sz="8" w:space="0" w:color="000000"/>
              <w:bottom w:val="single" w:sz="12" w:space="0" w:color="000000"/>
              <w:right w:val="single" w:sz="4" w:space="0" w:color="000000"/>
            </w:tcBorders>
            <w:hideMark/>
          </w:tcPr>
          <w:p w:rsidR="008D5948" w:rsidRPr="00543BFE" w:rsidRDefault="008D5948" w:rsidP="002574EE">
            <w:pPr>
              <w:jc w:val="center"/>
              <w:rPr>
                <w:rFonts w:eastAsia="Calibri"/>
              </w:rPr>
            </w:pPr>
            <w:r w:rsidRPr="00543BFE">
              <w:rPr>
                <w:rFonts w:eastAsia="Calibri"/>
                <w:spacing w:val="-1"/>
                <w:w w:val="103"/>
              </w:rPr>
              <w:t>2</w:t>
            </w:r>
            <w:r w:rsidRPr="00543BFE">
              <w:rPr>
                <w:rFonts w:eastAsia="Calibri"/>
                <w:spacing w:val="1"/>
                <w:w w:val="103"/>
              </w:rPr>
              <w:t xml:space="preserve">6 </w:t>
            </w:r>
            <w:r w:rsidRPr="00543BFE">
              <w:rPr>
                <w:rFonts w:eastAsia="Calibri"/>
                <w:w w:val="103"/>
              </w:rPr>
              <w:t>%</w:t>
            </w:r>
          </w:p>
        </w:tc>
      </w:tr>
      <w:tr w:rsidR="008D5948" w:rsidRPr="00543BFE" w:rsidTr="002574EE">
        <w:trPr>
          <w:trHeight w:val="20"/>
        </w:trPr>
        <w:tc>
          <w:tcPr>
            <w:tcW w:w="2250" w:type="pct"/>
            <w:tcBorders>
              <w:top w:val="single" w:sz="12" w:space="0" w:color="000000"/>
              <w:left w:val="single" w:sz="4" w:space="0" w:color="000000"/>
              <w:bottom w:val="single" w:sz="12" w:space="0" w:color="000000"/>
              <w:right w:val="single" w:sz="4" w:space="0" w:color="000000"/>
            </w:tcBorders>
            <w:hideMark/>
          </w:tcPr>
          <w:p w:rsidR="008D5948" w:rsidRPr="00543BFE" w:rsidRDefault="008D5948" w:rsidP="002574EE">
            <w:pPr>
              <w:jc w:val="center"/>
              <w:rPr>
                <w:rFonts w:eastAsia="Calibri"/>
              </w:rPr>
            </w:pPr>
            <w:r w:rsidRPr="00543BFE">
              <w:rPr>
                <w:rFonts w:eastAsia="Calibri"/>
                <w:w w:val="103"/>
              </w:rPr>
              <w:t>n</w:t>
            </w:r>
          </w:p>
        </w:tc>
        <w:tc>
          <w:tcPr>
            <w:tcW w:w="1312" w:type="pct"/>
            <w:tcBorders>
              <w:top w:val="single" w:sz="12" w:space="0" w:color="000000"/>
              <w:left w:val="single" w:sz="4" w:space="0" w:color="000000"/>
              <w:bottom w:val="single" w:sz="12" w:space="0" w:color="000000"/>
              <w:right w:val="single" w:sz="8" w:space="0" w:color="000000"/>
            </w:tcBorders>
            <w:hideMark/>
          </w:tcPr>
          <w:p w:rsidR="008D5948" w:rsidRPr="00543BFE" w:rsidRDefault="008D5948" w:rsidP="002574EE">
            <w:pPr>
              <w:jc w:val="center"/>
              <w:rPr>
                <w:rFonts w:eastAsia="Calibri"/>
              </w:rPr>
            </w:pPr>
            <w:r w:rsidRPr="00543BFE">
              <w:rPr>
                <w:rFonts w:eastAsia="Calibri"/>
                <w:w w:val="103"/>
              </w:rPr>
              <w:t>141</w:t>
            </w:r>
          </w:p>
        </w:tc>
        <w:tc>
          <w:tcPr>
            <w:tcW w:w="1437" w:type="pct"/>
            <w:tcBorders>
              <w:top w:val="single" w:sz="12" w:space="0" w:color="000000"/>
              <w:left w:val="single" w:sz="8" w:space="0" w:color="000000"/>
              <w:bottom w:val="single" w:sz="12" w:space="0" w:color="000000"/>
              <w:right w:val="single" w:sz="4" w:space="0" w:color="000000"/>
            </w:tcBorders>
            <w:hideMark/>
          </w:tcPr>
          <w:p w:rsidR="008D5948" w:rsidRPr="00543BFE" w:rsidRDefault="008D5948" w:rsidP="002574EE">
            <w:pPr>
              <w:jc w:val="center"/>
              <w:rPr>
                <w:rFonts w:eastAsia="Calibri"/>
              </w:rPr>
            </w:pPr>
            <w:r w:rsidRPr="00543BFE">
              <w:rPr>
                <w:rFonts w:eastAsia="Calibri"/>
                <w:spacing w:val="-1"/>
                <w:w w:val="103"/>
              </w:rPr>
              <w:t>1</w:t>
            </w:r>
            <w:r w:rsidRPr="00543BFE">
              <w:rPr>
                <w:rFonts w:eastAsia="Calibri"/>
                <w:spacing w:val="1"/>
                <w:w w:val="103"/>
              </w:rPr>
              <w:t>4</w:t>
            </w:r>
            <w:r w:rsidRPr="00543BFE">
              <w:rPr>
                <w:rFonts w:eastAsia="Calibri"/>
                <w:w w:val="103"/>
              </w:rPr>
              <w:t>5</w:t>
            </w:r>
          </w:p>
        </w:tc>
      </w:tr>
      <w:tr w:rsidR="008D5948" w:rsidRPr="00543BFE" w:rsidTr="002574EE">
        <w:trPr>
          <w:trHeight w:val="20"/>
        </w:trPr>
        <w:tc>
          <w:tcPr>
            <w:tcW w:w="2250" w:type="pct"/>
            <w:tcBorders>
              <w:top w:val="single" w:sz="12" w:space="0" w:color="000000"/>
              <w:left w:val="single" w:sz="4" w:space="0" w:color="000000"/>
              <w:bottom w:val="single" w:sz="8" w:space="0" w:color="000000"/>
              <w:right w:val="single" w:sz="4" w:space="0" w:color="000000"/>
            </w:tcBorders>
            <w:hideMark/>
          </w:tcPr>
          <w:p w:rsidR="008D5948" w:rsidRPr="00543BFE" w:rsidRDefault="008D5948" w:rsidP="002574EE">
            <w:pPr>
              <w:jc w:val="center"/>
              <w:rPr>
                <w:rFonts w:eastAsia="Calibri"/>
                <w:vertAlign w:val="superscript"/>
              </w:rPr>
            </w:pPr>
            <w:r w:rsidRPr="00543BFE">
              <w:rPr>
                <w:rFonts w:eastAsia="Calibri"/>
              </w:rPr>
              <w:t>Fald i vir</w:t>
            </w:r>
            <w:r w:rsidRPr="00543BFE">
              <w:rPr>
                <w:rFonts w:eastAsia="Calibri"/>
                <w:spacing w:val="1"/>
              </w:rPr>
              <w:t>a</w:t>
            </w:r>
            <w:r w:rsidRPr="00543BFE">
              <w:rPr>
                <w:rFonts w:eastAsia="Calibri"/>
              </w:rPr>
              <w:t>l</w:t>
            </w:r>
            <w:r w:rsidRPr="00543BFE">
              <w:rPr>
                <w:rFonts w:eastAsia="Calibri"/>
                <w:spacing w:val="13"/>
              </w:rPr>
              <w:t xml:space="preserve"> </w:t>
            </w:r>
            <w:r w:rsidRPr="00543BFE">
              <w:rPr>
                <w:rFonts w:eastAsia="Calibri"/>
              </w:rPr>
              <w:t>lo</w:t>
            </w:r>
            <w:r w:rsidRPr="00543BFE">
              <w:rPr>
                <w:rFonts w:eastAsia="Calibri"/>
                <w:spacing w:val="2"/>
              </w:rPr>
              <w:t>a</w:t>
            </w:r>
            <w:r w:rsidRPr="00543BFE">
              <w:rPr>
                <w:rFonts w:eastAsia="Calibri"/>
              </w:rPr>
              <w:t>d</w:t>
            </w:r>
            <w:r w:rsidRPr="00543BFE">
              <w:rPr>
                <w:rFonts w:eastAsia="Calibri"/>
                <w:spacing w:val="24"/>
              </w:rPr>
              <w:t xml:space="preserve"> </w:t>
            </w:r>
            <w:r w:rsidRPr="00543BFE">
              <w:rPr>
                <w:rFonts w:eastAsia="Calibri"/>
              </w:rPr>
              <w:t>(</w:t>
            </w:r>
            <w:r w:rsidRPr="00543BFE">
              <w:rPr>
                <w:rFonts w:eastAsia="Calibri"/>
                <w:spacing w:val="1"/>
              </w:rPr>
              <w:t>l</w:t>
            </w:r>
            <w:r w:rsidRPr="00543BFE">
              <w:rPr>
                <w:rFonts w:eastAsia="Calibri"/>
              </w:rPr>
              <w:t>o</w:t>
            </w:r>
            <w:r w:rsidRPr="00543BFE">
              <w:rPr>
                <w:rFonts w:eastAsia="Calibri"/>
                <w:spacing w:val="-1"/>
              </w:rPr>
              <w:t>g</w:t>
            </w:r>
            <w:r w:rsidRPr="00543BFE">
              <w:rPr>
                <w:rFonts w:eastAsia="Calibri"/>
                <w:position w:val="-3"/>
                <w:vertAlign w:val="subscript"/>
              </w:rPr>
              <w:t>10</w:t>
            </w:r>
            <w:r w:rsidRPr="00543BFE">
              <w:rPr>
                <w:rFonts w:eastAsia="Calibri"/>
                <w:spacing w:val="31"/>
                <w:position w:val="-3"/>
              </w:rPr>
              <w:t xml:space="preserve"> </w:t>
            </w:r>
            <w:r w:rsidRPr="00543BFE">
              <w:rPr>
                <w:rFonts w:eastAsia="Calibri"/>
                <w:w w:val="103"/>
              </w:rPr>
              <w:t>kopier</w:t>
            </w:r>
            <w:r w:rsidRPr="00543BFE">
              <w:rPr>
                <w:rFonts w:eastAsia="Calibri"/>
                <w:spacing w:val="3"/>
                <w:w w:val="103"/>
              </w:rPr>
              <w:t>/</w:t>
            </w:r>
            <w:proofErr w:type="gramStart"/>
            <w:r w:rsidRPr="00543BFE">
              <w:rPr>
                <w:rFonts w:eastAsia="Calibri"/>
                <w:spacing w:val="-1"/>
                <w:w w:val="103"/>
              </w:rPr>
              <w:t>m</w:t>
            </w:r>
            <w:r w:rsidRPr="00543BFE">
              <w:rPr>
                <w:rFonts w:eastAsia="Calibri"/>
                <w:w w:val="103"/>
              </w:rPr>
              <w:t>l</w:t>
            </w:r>
            <w:r w:rsidRPr="00543BFE">
              <w:rPr>
                <w:rFonts w:eastAsia="Calibri"/>
                <w:spacing w:val="-1"/>
                <w:w w:val="103"/>
              </w:rPr>
              <w:t>)</w:t>
            </w:r>
            <w:r w:rsidRPr="00543BFE">
              <w:rPr>
                <w:rFonts w:eastAsia="Calibri"/>
                <w:spacing w:val="-1"/>
                <w:w w:val="103"/>
                <w:vertAlign w:val="superscript"/>
              </w:rPr>
              <w:t>c</w:t>
            </w:r>
            <w:proofErr w:type="gramEnd"/>
          </w:p>
        </w:tc>
        <w:tc>
          <w:tcPr>
            <w:tcW w:w="1312" w:type="pct"/>
            <w:tcBorders>
              <w:top w:val="single" w:sz="12" w:space="0" w:color="000000"/>
              <w:left w:val="single" w:sz="4" w:space="0" w:color="000000"/>
              <w:bottom w:val="single" w:sz="8" w:space="0" w:color="000000"/>
              <w:right w:val="single" w:sz="8" w:space="0" w:color="000000"/>
            </w:tcBorders>
            <w:hideMark/>
          </w:tcPr>
          <w:p w:rsidR="008D5948" w:rsidRPr="00543BFE" w:rsidRDefault="008D5948" w:rsidP="002574EE">
            <w:pPr>
              <w:jc w:val="center"/>
              <w:rPr>
                <w:rFonts w:eastAsia="Calibri"/>
              </w:rPr>
            </w:pPr>
            <w:r w:rsidRPr="00543BFE">
              <w:rPr>
                <w:rFonts w:eastAsia="Calibri"/>
                <w:w w:val="103"/>
              </w:rPr>
              <w:t>-5,</w:t>
            </w:r>
            <w:r w:rsidRPr="00543BFE">
              <w:rPr>
                <w:rFonts w:eastAsia="Calibri"/>
                <w:spacing w:val="1"/>
                <w:w w:val="103"/>
              </w:rPr>
              <w:t>1</w:t>
            </w:r>
            <w:r w:rsidRPr="00543BFE">
              <w:rPr>
                <w:rFonts w:eastAsia="Calibri"/>
                <w:w w:val="103"/>
              </w:rPr>
              <w:t>1*</w:t>
            </w:r>
          </w:p>
        </w:tc>
        <w:tc>
          <w:tcPr>
            <w:tcW w:w="1437" w:type="pct"/>
            <w:tcBorders>
              <w:top w:val="single" w:sz="12" w:space="0" w:color="000000"/>
              <w:left w:val="single" w:sz="8" w:space="0" w:color="000000"/>
              <w:bottom w:val="single" w:sz="8" w:space="0" w:color="000000"/>
              <w:right w:val="single" w:sz="4" w:space="0" w:color="000000"/>
            </w:tcBorders>
            <w:hideMark/>
          </w:tcPr>
          <w:p w:rsidR="008D5948" w:rsidRPr="00543BFE" w:rsidRDefault="008D5948" w:rsidP="002574EE">
            <w:pPr>
              <w:jc w:val="center"/>
              <w:rPr>
                <w:rFonts w:eastAsia="Calibri"/>
              </w:rPr>
            </w:pPr>
            <w:r w:rsidRPr="00543BFE">
              <w:rPr>
                <w:rFonts w:eastAsia="Calibri"/>
                <w:w w:val="103"/>
              </w:rPr>
              <w:t>-0,</w:t>
            </w:r>
            <w:r w:rsidRPr="00543BFE">
              <w:rPr>
                <w:rFonts w:eastAsia="Calibri"/>
                <w:spacing w:val="1"/>
                <w:w w:val="103"/>
              </w:rPr>
              <w:t>4</w:t>
            </w:r>
            <w:r w:rsidRPr="00543BFE">
              <w:rPr>
                <w:rFonts w:eastAsia="Calibri"/>
                <w:w w:val="103"/>
              </w:rPr>
              <w:t>8</w:t>
            </w:r>
          </w:p>
        </w:tc>
      </w:tr>
      <w:tr w:rsidR="008D5948" w:rsidRPr="00543BFE" w:rsidTr="002574EE">
        <w:trPr>
          <w:trHeight w:val="20"/>
        </w:trPr>
        <w:tc>
          <w:tcPr>
            <w:tcW w:w="2250" w:type="pct"/>
            <w:tcBorders>
              <w:top w:val="single" w:sz="8" w:space="0" w:color="000000"/>
              <w:left w:val="single" w:sz="4" w:space="0" w:color="000000"/>
              <w:bottom w:val="single" w:sz="8" w:space="0" w:color="000000"/>
              <w:right w:val="single" w:sz="4" w:space="0" w:color="000000"/>
            </w:tcBorders>
            <w:hideMark/>
          </w:tcPr>
          <w:p w:rsidR="008D5948" w:rsidRPr="00543BFE" w:rsidRDefault="008D5948" w:rsidP="002574EE">
            <w:pPr>
              <w:jc w:val="center"/>
              <w:rPr>
                <w:rFonts w:eastAsia="Calibri"/>
              </w:rPr>
            </w:pPr>
            <w:r w:rsidRPr="00543BFE">
              <w:rPr>
                <w:rFonts w:eastAsia="Calibri"/>
              </w:rPr>
              <w:t>HBV</w:t>
            </w:r>
            <w:r w:rsidRPr="00543BFE">
              <w:rPr>
                <w:rFonts w:eastAsia="Calibri"/>
                <w:spacing w:val="14"/>
              </w:rPr>
              <w:t>-</w:t>
            </w:r>
            <w:r w:rsidRPr="00543BFE">
              <w:rPr>
                <w:rFonts w:eastAsia="Calibri"/>
                <w:spacing w:val="1"/>
              </w:rPr>
              <w:t>dna</w:t>
            </w:r>
            <w:r w:rsidRPr="00543BFE">
              <w:rPr>
                <w:rFonts w:eastAsia="Calibri"/>
                <w:spacing w:val="15"/>
              </w:rPr>
              <w:t xml:space="preserve"> </w:t>
            </w:r>
            <w:r w:rsidRPr="00543BFE">
              <w:rPr>
                <w:rFonts w:eastAsia="Calibri"/>
                <w:spacing w:val="1"/>
                <w:w w:val="103"/>
              </w:rPr>
              <w:t>kan ikke påvises</w:t>
            </w:r>
          </w:p>
          <w:p w:rsidR="008D5948" w:rsidRPr="00543BFE" w:rsidRDefault="008D5948" w:rsidP="002574EE">
            <w:pPr>
              <w:jc w:val="center"/>
              <w:rPr>
                <w:rFonts w:eastAsia="Calibri"/>
                <w:vertAlign w:val="superscript"/>
              </w:rPr>
            </w:pPr>
            <w:r w:rsidRPr="00543BFE">
              <w:rPr>
                <w:rFonts w:eastAsia="Calibri"/>
              </w:rPr>
              <w:t>(&lt;</w:t>
            </w:r>
            <w:r w:rsidRPr="00543BFE">
              <w:rPr>
                <w:rFonts w:eastAsia="Calibri"/>
                <w:spacing w:val="6"/>
              </w:rPr>
              <w:t xml:space="preserve"> </w:t>
            </w:r>
            <w:r w:rsidRPr="00543BFE">
              <w:rPr>
                <w:rFonts w:eastAsia="Calibri"/>
                <w:spacing w:val="1"/>
              </w:rPr>
              <w:t>3</w:t>
            </w:r>
            <w:r w:rsidRPr="00543BFE">
              <w:rPr>
                <w:rFonts w:eastAsia="Calibri"/>
              </w:rPr>
              <w:t>00</w:t>
            </w:r>
            <w:r w:rsidRPr="00543BFE">
              <w:rPr>
                <w:rFonts w:eastAsia="Calibri"/>
                <w:spacing w:val="9"/>
              </w:rPr>
              <w:t xml:space="preserve"> </w:t>
            </w:r>
            <w:r w:rsidRPr="00543BFE">
              <w:rPr>
                <w:rFonts w:eastAsia="Calibri"/>
                <w:spacing w:val="2"/>
              </w:rPr>
              <w:t>kopier</w:t>
            </w:r>
            <w:r w:rsidRPr="00543BFE">
              <w:rPr>
                <w:rFonts w:eastAsia="Calibri"/>
                <w:spacing w:val="1"/>
              </w:rPr>
              <w:t>/</w:t>
            </w:r>
            <w:r w:rsidRPr="00543BFE">
              <w:rPr>
                <w:rFonts w:eastAsia="Calibri"/>
                <w:spacing w:val="-3"/>
              </w:rPr>
              <w:t>m</w:t>
            </w:r>
            <w:r w:rsidRPr="00543BFE">
              <w:rPr>
                <w:rFonts w:eastAsia="Calibri"/>
              </w:rPr>
              <w:t>l</w:t>
            </w:r>
            <w:r w:rsidRPr="00543BFE">
              <w:rPr>
                <w:rFonts w:eastAsia="Calibri"/>
                <w:spacing w:val="27"/>
              </w:rPr>
              <w:t xml:space="preserve"> ved</w:t>
            </w:r>
            <w:r w:rsidRPr="00543BFE">
              <w:rPr>
                <w:rFonts w:eastAsia="Calibri"/>
                <w:spacing w:val="10"/>
              </w:rPr>
              <w:t xml:space="preserve"> </w:t>
            </w:r>
            <w:proofErr w:type="gramStart"/>
            <w:r w:rsidRPr="00543BFE">
              <w:rPr>
                <w:rFonts w:eastAsia="Calibri"/>
                <w:w w:val="103"/>
              </w:rPr>
              <w:t>PC</w:t>
            </w:r>
            <w:r w:rsidRPr="00543BFE">
              <w:rPr>
                <w:rFonts w:eastAsia="Calibri"/>
                <w:spacing w:val="-1"/>
                <w:w w:val="103"/>
              </w:rPr>
              <w:t>R</w:t>
            </w:r>
            <w:r w:rsidRPr="00543BFE">
              <w:rPr>
                <w:rFonts w:eastAsia="Calibri"/>
                <w:spacing w:val="1"/>
                <w:w w:val="103"/>
              </w:rPr>
              <w:t>)</w:t>
            </w:r>
            <w:r w:rsidRPr="00543BFE">
              <w:rPr>
                <w:rFonts w:eastAsia="Calibri"/>
                <w:spacing w:val="1"/>
                <w:w w:val="103"/>
                <w:vertAlign w:val="superscript"/>
              </w:rPr>
              <w:t>c</w:t>
            </w:r>
            <w:proofErr w:type="gramEnd"/>
          </w:p>
        </w:tc>
        <w:tc>
          <w:tcPr>
            <w:tcW w:w="1312" w:type="pct"/>
            <w:tcBorders>
              <w:top w:val="single" w:sz="8" w:space="0" w:color="000000"/>
              <w:left w:val="single" w:sz="4" w:space="0" w:color="000000"/>
              <w:bottom w:val="single" w:sz="8" w:space="0" w:color="000000"/>
              <w:right w:val="single" w:sz="8" w:space="0" w:color="000000"/>
            </w:tcBorders>
            <w:hideMark/>
          </w:tcPr>
          <w:p w:rsidR="008D5948" w:rsidRPr="00543BFE" w:rsidRDefault="008D5948" w:rsidP="002574EE">
            <w:pPr>
              <w:jc w:val="center"/>
              <w:rPr>
                <w:rFonts w:eastAsia="Calibri"/>
              </w:rPr>
            </w:pPr>
            <w:r w:rsidRPr="00543BFE">
              <w:rPr>
                <w:rFonts w:eastAsia="Calibri"/>
                <w:spacing w:val="-1"/>
                <w:w w:val="103"/>
              </w:rPr>
              <w:t>1</w:t>
            </w:r>
            <w:r w:rsidRPr="00543BFE">
              <w:rPr>
                <w:rFonts w:eastAsia="Calibri"/>
                <w:spacing w:val="1"/>
                <w:w w:val="103"/>
              </w:rPr>
              <w:t>9 %</w:t>
            </w:r>
            <w:r w:rsidRPr="00543BFE">
              <w:rPr>
                <w:rFonts w:eastAsia="Calibri"/>
                <w:w w:val="103"/>
              </w:rPr>
              <w:t>*</w:t>
            </w:r>
          </w:p>
        </w:tc>
        <w:tc>
          <w:tcPr>
            <w:tcW w:w="1437" w:type="pct"/>
            <w:tcBorders>
              <w:top w:val="single" w:sz="8" w:space="0" w:color="000000"/>
              <w:left w:val="single" w:sz="8" w:space="0" w:color="000000"/>
              <w:bottom w:val="single" w:sz="8" w:space="0" w:color="000000"/>
              <w:right w:val="single" w:sz="4" w:space="0" w:color="000000"/>
            </w:tcBorders>
            <w:hideMark/>
          </w:tcPr>
          <w:p w:rsidR="008D5948" w:rsidRPr="00543BFE" w:rsidRDefault="008D5948" w:rsidP="002574EE">
            <w:pPr>
              <w:jc w:val="center"/>
              <w:rPr>
                <w:rFonts w:eastAsia="Calibri"/>
              </w:rPr>
            </w:pPr>
            <w:r w:rsidRPr="00543BFE">
              <w:rPr>
                <w:rFonts w:eastAsia="Calibri"/>
                <w:spacing w:val="-1"/>
                <w:w w:val="103"/>
              </w:rPr>
              <w:t>1 %</w:t>
            </w:r>
          </w:p>
        </w:tc>
      </w:tr>
      <w:tr w:rsidR="008D5948" w:rsidRPr="00543BFE" w:rsidTr="002574EE">
        <w:trPr>
          <w:trHeight w:val="20"/>
        </w:trPr>
        <w:tc>
          <w:tcPr>
            <w:tcW w:w="2250" w:type="pct"/>
            <w:tcBorders>
              <w:top w:val="single" w:sz="8" w:space="0" w:color="000000"/>
              <w:left w:val="single" w:sz="4" w:space="0" w:color="000000"/>
              <w:bottom w:val="single" w:sz="8" w:space="0" w:color="000000"/>
              <w:right w:val="single" w:sz="4" w:space="0" w:color="000000"/>
            </w:tcBorders>
            <w:hideMark/>
          </w:tcPr>
          <w:p w:rsidR="008D5948" w:rsidRPr="00543BFE" w:rsidRDefault="008D5948" w:rsidP="002574EE">
            <w:pPr>
              <w:jc w:val="center"/>
              <w:rPr>
                <w:rFonts w:eastAsia="Calibri"/>
              </w:rPr>
            </w:pPr>
            <w:r w:rsidRPr="00543BFE">
              <w:rPr>
                <w:rFonts w:eastAsia="Calibri"/>
              </w:rPr>
              <w:t>ALAT</w:t>
            </w:r>
            <w:r w:rsidRPr="00543BFE">
              <w:rPr>
                <w:rFonts w:eastAsia="Calibri"/>
                <w:spacing w:val="15"/>
              </w:rPr>
              <w:t>-</w:t>
            </w:r>
            <w:r w:rsidRPr="00543BFE">
              <w:rPr>
                <w:rFonts w:eastAsia="Calibri"/>
                <w:spacing w:val="1"/>
              </w:rPr>
              <w:t>n</w:t>
            </w:r>
            <w:r w:rsidRPr="00543BFE">
              <w:rPr>
                <w:rFonts w:eastAsia="Calibri"/>
                <w:spacing w:val="-1"/>
              </w:rPr>
              <w:t>o</w:t>
            </w:r>
            <w:r w:rsidRPr="00543BFE">
              <w:rPr>
                <w:rFonts w:eastAsia="Calibri"/>
                <w:spacing w:val="2"/>
              </w:rPr>
              <w:t>r</w:t>
            </w:r>
            <w:r w:rsidRPr="00543BFE">
              <w:rPr>
                <w:rFonts w:eastAsia="Calibri"/>
                <w:spacing w:val="-2"/>
              </w:rPr>
              <w:t>m</w:t>
            </w:r>
            <w:r w:rsidRPr="00543BFE">
              <w:rPr>
                <w:rFonts w:eastAsia="Calibri"/>
              </w:rPr>
              <w:t>al</w:t>
            </w:r>
            <w:r w:rsidRPr="00543BFE">
              <w:rPr>
                <w:rFonts w:eastAsia="Calibri"/>
                <w:spacing w:val="2"/>
              </w:rPr>
              <w:t>i</w:t>
            </w:r>
            <w:r w:rsidRPr="00543BFE">
              <w:rPr>
                <w:rFonts w:eastAsia="Calibri"/>
              </w:rPr>
              <w:t>sering</w:t>
            </w:r>
            <w:r w:rsidRPr="00543BFE">
              <w:rPr>
                <w:rFonts w:eastAsia="Calibri"/>
                <w:spacing w:val="35"/>
              </w:rPr>
              <w:t xml:space="preserve"> </w:t>
            </w:r>
            <w:r w:rsidRPr="00543BFE">
              <w:rPr>
                <w:rFonts w:eastAsia="Calibri"/>
              </w:rPr>
              <w:t>(≤</w:t>
            </w:r>
            <w:r w:rsidRPr="00543BFE">
              <w:rPr>
                <w:rFonts w:eastAsia="Calibri"/>
                <w:spacing w:val="7"/>
              </w:rPr>
              <w:t xml:space="preserve"> </w:t>
            </w:r>
            <w:r w:rsidRPr="00543BFE">
              <w:rPr>
                <w:rFonts w:eastAsia="Calibri"/>
              </w:rPr>
              <w:t>1</w:t>
            </w:r>
            <w:r w:rsidRPr="00543BFE">
              <w:rPr>
                <w:rFonts w:eastAsia="Calibri"/>
                <w:spacing w:val="5"/>
              </w:rPr>
              <w:t xml:space="preserve"> </w:t>
            </w:r>
            <w:r w:rsidRPr="00543BFE">
              <w:rPr>
                <w:rFonts w:eastAsia="Calibri"/>
              </w:rPr>
              <w:t>t</w:t>
            </w:r>
            <w:r w:rsidRPr="00543BFE">
              <w:rPr>
                <w:rFonts w:eastAsia="Calibri"/>
                <w:spacing w:val="1"/>
              </w:rPr>
              <w:t>i</w:t>
            </w:r>
            <w:r w:rsidRPr="00543BFE">
              <w:rPr>
                <w:rFonts w:eastAsia="Calibri"/>
              </w:rPr>
              <w:t>me</w:t>
            </w:r>
            <w:r w:rsidRPr="00543BFE">
              <w:rPr>
                <w:rFonts w:eastAsia="Calibri"/>
                <w:spacing w:val="16"/>
              </w:rPr>
              <w:t xml:space="preserve"> </w:t>
            </w:r>
            <w:r w:rsidRPr="00543BFE">
              <w:rPr>
                <w:rFonts w:eastAsia="Calibri"/>
                <w:w w:val="103"/>
              </w:rPr>
              <w:t>U</w:t>
            </w:r>
            <w:r w:rsidRPr="00543BFE">
              <w:rPr>
                <w:rFonts w:eastAsia="Calibri"/>
                <w:spacing w:val="1"/>
                <w:w w:val="103"/>
              </w:rPr>
              <w:t>L</w:t>
            </w:r>
            <w:r w:rsidRPr="00543BFE">
              <w:rPr>
                <w:rFonts w:eastAsia="Calibri"/>
                <w:w w:val="103"/>
              </w:rPr>
              <w:t>N)</w:t>
            </w:r>
          </w:p>
        </w:tc>
        <w:tc>
          <w:tcPr>
            <w:tcW w:w="1312" w:type="pct"/>
            <w:tcBorders>
              <w:top w:val="single" w:sz="8" w:space="0" w:color="000000"/>
              <w:left w:val="single" w:sz="4" w:space="0" w:color="000000"/>
              <w:bottom w:val="single" w:sz="8" w:space="0" w:color="000000"/>
              <w:right w:val="single" w:sz="8" w:space="0" w:color="000000"/>
            </w:tcBorders>
            <w:hideMark/>
          </w:tcPr>
          <w:p w:rsidR="008D5948" w:rsidRPr="00543BFE" w:rsidRDefault="008D5948" w:rsidP="002574EE">
            <w:pPr>
              <w:jc w:val="center"/>
              <w:rPr>
                <w:rFonts w:eastAsia="Calibri"/>
              </w:rPr>
            </w:pPr>
            <w:r w:rsidRPr="00543BFE">
              <w:rPr>
                <w:rFonts w:eastAsia="Calibri"/>
                <w:spacing w:val="-1"/>
                <w:w w:val="103"/>
              </w:rPr>
              <w:t>6</w:t>
            </w:r>
            <w:r w:rsidRPr="00543BFE">
              <w:rPr>
                <w:rFonts w:eastAsia="Calibri"/>
                <w:spacing w:val="1"/>
                <w:w w:val="103"/>
              </w:rPr>
              <w:t>1 %</w:t>
            </w:r>
            <w:r w:rsidRPr="00543BFE">
              <w:rPr>
                <w:rFonts w:eastAsia="Calibri"/>
                <w:w w:val="103"/>
              </w:rPr>
              <w:t>*</w:t>
            </w:r>
          </w:p>
        </w:tc>
        <w:tc>
          <w:tcPr>
            <w:tcW w:w="1437" w:type="pct"/>
            <w:tcBorders>
              <w:top w:val="single" w:sz="8" w:space="0" w:color="000000"/>
              <w:left w:val="single" w:sz="8" w:space="0" w:color="000000"/>
              <w:bottom w:val="single" w:sz="8" w:space="0" w:color="000000"/>
              <w:right w:val="single" w:sz="4" w:space="0" w:color="000000"/>
            </w:tcBorders>
            <w:hideMark/>
          </w:tcPr>
          <w:p w:rsidR="008D5948" w:rsidRPr="00543BFE" w:rsidRDefault="008D5948" w:rsidP="002574EE">
            <w:pPr>
              <w:jc w:val="center"/>
              <w:rPr>
                <w:rFonts w:eastAsia="Calibri"/>
              </w:rPr>
            </w:pPr>
            <w:r w:rsidRPr="00543BFE">
              <w:rPr>
                <w:rFonts w:eastAsia="Calibri"/>
                <w:spacing w:val="-1"/>
                <w:w w:val="103"/>
              </w:rPr>
              <w:t>1</w:t>
            </w:r>
            <w:r w:rsidRPr="00543BFE">
              <w:rPr>
                <w:rFonts w:eastAsia="Calibri"/>
                <w:spacing w:val="1"/>
                <w:w w:val="103"/>
              </w:rPr>
              <w:t xml:space="preserve">5 </w:t>
            </w:r>
            <w:r w:rsidRPr="00543BFE">
              <w:rPr>
                <w:rFonts w:eastAsia="Calibri"/>
                <w:w w:val="103"/>
              </w:rPr>
              <w:t>%</w:t>
            </w:r>
          </w:p>
        </w:tc>
      </w:tr>
      <w:tr w:rsidR="008D5948" w:rsidRPr="00543BFE" w:rsidTr="002574EE">
        <w:trPr>
          <w:trHeight w:val="20"/>
        </w:trPr>
        <w:tc>
          <w:tcPr>
            <w:tcW w:w="2250" w:type="pct"/>
            <w:tcBorders>
              <w:top w:val="single" w:sz="8" w:space="0" w:color="000000"/>
              <w:left w:val="single" w:sz="4" w:space="0" w:color="000000"/>
              <w:bottom w:val="single" w:sz="4" w:space="0" w:color="000000"/>
              <w:right w:val="single" w:sz="4" w:space="0" w:color="000000"/>
            </w:tcBorders>
            <w:hideMark/>
          </w:tcPr>
          <w:p w:rsidR="008D5948" w:rsidRPr="00543BFE" w:rsidRDefault="008D5948" w:rsidP="002574EE">
            <w:pPr>
              <w:jc w:val="center"/>
              <w:rPr>
                <w:rFonts w:eastAsia="Calibri"/>
              </w:rPr>
            </w:pPr>
            <w:proofErr w:type="spellStart"/>
            <w:r w:rsidRPr="00543BFE">
              <w:rPr>
                <w:rFonts w:eastAsia="Calibri"/>
              </w:rPr>
              <w:t>HBeAg</w:t>
            </w:r>
            <w:r w:rsidRPr="00543BFE">
              <w:rPr>
                <w:rFonts w:eastAsia="Calibri"/>
                <w:w w:val="103"/>
              </w:rPr>
              <w:t>-e</w:t>
            </w:r>
            <w:r w:rsidRPr="00543BFE">
              <w:rPr>
                <w:rFonts w:eastAsia="Calibri"/>
                <w:spacing w:val="2"/>
                <w:w w:val="103"/>
              </w:rPr>
              <w:t>r</w:t>
            </w:r>
            <w:r w:rsidRPr="00543BFE">
              <w:rPr>
                <w:rFonts w:eastAsia="Calibri"/>
                <w:spacing w:val="-1"/>
                <w:w w:val="103"/>
              </w:rPr>
              <w:t>o</w:t>
            </w:r>
            <w:r w:rsidRPr="00543BFE">
              <w:rPr>
                <w:rFonts w:eastAsia="Calibri"/>
                <w:w w:val="103"/>
              </w:rPr>
              <w:t>konvertering</w:t>
            </w:r>
            <w:proofErr w:type="spellEnd"/>
          </w:p>
        </w:tc>
        <w:tc>
          <w:tcPr>
            <w:tcW w:w="1312" w:type="pct"/>
            <w:tcBorders>
              <w:top w:val="single" w:sz="8" w:space="0" w:color="000000"/>
              <w:left w:val="single" w:sz="4" w:space="0" w:color="000000"/>
              <w:bottom w:val="single" w:sz="4" w:space="0" w:color="000000"/>
              <w:right w:val="single" w:sz="8" w:space="0" w:color="000000"/>
            </w:tcBorders>
            <w:hideMark/>
          </w:tcPr>
          <w:p w:rsidR="008D5948" w:rsidRPr="00543BFE" w:rsidRDefault="008D5948" w:rsidP="002574EE">
            <w:pPr>
              <w:jc w:val="center"/>
              <w:rPr>
                <w:rFonts w:eastAsia="Calibri"/>
              </w:rPr>
            </w:pPr>
            <w:r w:rsidRPr="00543BFE">
              <w:rPr>
                <w:rFonts w:eastAsia="Calibri"/>
                <w:w w:val="103"/>
              </w:rPr>
              <w:t>8 %</w:t>
            </w:r>
          </w:p>
        </w:tc>
        <w:tc>
          <w:tcPr>
            <w:tcW w:w="1437" w:type="pct"/>
            <w:tcBorders>
              <w:top w:val="single" w:sz="8" w:space="0" w:color="000000"/>
              <w:left w:val="single" w:sz="8" w:space="0" w:color="000000"/>
              <w:bottom w:val="single" w:sz="4" w:space="0" w:color="000000"/>
              <w:right w:val="single" w:sz="4" w:space="0" w:color="000000"/>
            </w:tcBorders>
            <w:hideMark/>
          </w:tcPr>
          <w:p w:rsidR="008D5948" w:rsidRPr="00543BFE" w:rsidRDefault="008D5948" w:rsidP="002574EE">
            <w:pPr>
              <w:jc w:val="center"/>
              <w:rPr>
                <w:rFonts w:eastAsia="Calibri"/>
              </w:rPr>
            </w:pPr>
            <w:r w:rsidRPr="00543BFE">
              <w:rPr>
                <w:rFonts w:eastAsia="Calibri"/>
                <w:spacing w:val="-1"/>
                <w:w w:val="103"/>
              </w:rPr>
              <w:t xml:space="preserve">3 </w:t>
            </w:r>
            <w:r w:rsidRPr="00543BFE">
              <w:rPr>
                <w:rFonts w:eastAsia="Calibri"/>
                <w:w w:val="103"/>
              </w:rPr>
              <w:t>%</w:t>
            </w:r>
          </w:p>
        </w:tc>
      </w:tr>
    </w:tbl>
    <w:p w:rsidR="008D5948" w:rsidRPr="00543BFE" w:rsidRDefault="008D5948" w:rsidP="008D5948">
      <w:pPr>
        <w:rPr>
          <w:sz w:val="24"/>
          <w:szCs w:val="24"/>
        </w:rPr>
      </w:pPr>
      <w:r w:rsidRPr="00543BFE">
        <w:rPr>
          <w:sz w:val="24"/>
          <w:szCs w:val="24"/>
        </w:rPr>
        <w:t>*</w:t>
      </w:r>
      <w:proofErr w:type="spellStart"/>
      <w:r w:rsidRPr="00543BFE">
        <w:rPr>
          <w:sz w:val="24"/>
          <w:szCs w:val="24"/>
        </w:rPr>
        <w:t>p-værdi</w:t>
      </w:r>
      <w:proofErr w:type="spellEnd"/>
      <w:r w:rsidRPr="00543BFE">
        <w:rPr>
          <w:sz w:val="24"/>
          <w:szCs w:val="24"/>
        </w:rPr>
        <w:t xml:space="preserve"> vs. </w:t>
      </w:r>
      <w:proofErr w:type="spellStart"/>
      <w:r w:rsidRPr="00543BFE">
        <w:rPr>
          <w:sz w:val="24"/>
          <w:szCs w:val="24"/>
        </w:rPr>
        <w:t>lamivudin</w:t>
      </w:r>
      <w:proofErr w:type="spellEnd"/>
      <w:r w:rsidRPr="00543BFE">
        <w:rPr>
          <w:sz w:val="24"/>
          <w:szCs w:val="24"/>
        </w:rPr>
        <w:t xml:space="preserve"> &lt; 0,05.</w:t>
      </w:r>
    </w:p>
    <w:p w:rsidR="008D5948" w:rsidRPr="00543BFE" w:rsidRDefault="008D5948" w:rsidP="008D5948">
      <w:pPr>
        <w:rPr>
          <w:sz w:val="24"/>
          <w:szCs w:val="24"/>
        </w:rPr>
      </w:pPr>
      <w:r w:rsidRPr="00543BFE">
        <w:rPr>
          <w:sz w:val="24"/>
          <w:szCs w:val="24"/>
          <w:vertAlign w:val="superscript"/>
        </w:rPr>
        <w:t>a</w:t>
      </w:r>
      <w:r w:rsidRPr="00543BFE">
        <w:rPr>
          <w:sz w:val="24"/>
          <w:szCs w:val="24"/>
        </w:rPr>
        <w:t xml:space="preserve"> patienter med </w:t>
      </w:r>
      <w:proofErr w:type="spellStart"/>
      <w:r w:rsidRPr="00543BFE">
        <w:rPr>
          <w:sz w:val="24"/>
          <w:szCs w:val="24"/>
        </w:rPr>
        <w:t>evaluerbar</w:t>
      </w:r>
      <w:proofErr w:type="spellEnd"/>
      <w:r w:rsidRPr="00543BFE">
        <w:rPr>
          <w:sz w:val="24"/>
          <w:szCs w:val="24"/>
        </w:rPr>
        <w:t xml:space="preserve"> histologi ved baseline (baseline </w:t>
      </w:r>
      <w:proofErr w:type="spellStart"/>
      <w:r w:rsidRPr="00543BFE">
        <w:rPr>
          <w:sz w:val="24"/>
          <w:szCs w:val="24"/>
        </w:rPr>
        <w:t>Knodell</w:t>
      </w:r>
      <w:proofErr w:type="spellEnd"/>
      <w:r w:rsidRPr="00543BFE">
        <w:rPr>
          <w:sz w:val="24"/>
          <w:szCs w:val="24"/>
        </w:rPr>
        <w:t xml:space="preserve"> </w:t>
      </w:r>
      <w:proofErr w:type="spellStart"/>
      <w:r w:rsidRPr="00543BFE">
        <w:rPr>
          <w:sz w:val="24"/>
          <w:szCs w:val="24"/>
        </w:rPr>
        <w:t>nekroinflammatorisk</w:t>
      </w:r>
      <w:proofErr w:type="spellEnd"/>
      <w:r w:rsidRPr="00543BFE">
        <w:rPr>
          <w:sz w:val="24"/>
          <w:szCs w:val="24"/>
        </w:rPr>
        <w:t xml:space="preserve"> score ≥ 2).</w:t>
      </w:r>
    </w:p>
    <w:p w:rsidR="008D5948" w:rsidRPr="00543BFE" w:rsidRDefault="008D5948" w:rsidP="008D5948">
      <w:pPr>
        <w:rPr>
          <w:sz w:val="24"/>
          <w:szCs w:val="24"/>
        </w:rPr>
      </w:pPr>
      <w:r w:rsidRPr="00543BFE">
        <w:rPr>
          <w:sz w:val="24"/>
          <w:szCs w:val="24"/>
          <w:vertAlign w:val="superscript"/>
        </w:rPr>
        <w:t>b</w:t>
      </w:r>
      <w:r w:rsidRPr="00543BFE">
        <w:rPr>
          <w:sz w:val="24"/>
          <w:szCs w:val="24"/>
        </w:rPr>
        <w:t xml:space="preserve"> et primært </w:t>
      </w:r>
      <w:proofErr w:type="gramStart"/>
      <w:r w:rsidRPr="00543BFE">
        <w:rPr>
          <w:sz w:val="24"/>
          <w:szCs w:val="24"/>
        </w:rPr>
        <w:t>endepunkt .</w:t>
      </w:r>
      <w:proofErr w:type="gramEnd"/>
    </w:p>
    <w:p w:rsidR="008D5948" w:rsidRPr="00543BFE" w:rsidRDefault="008D5948" w:rsidP="008D5948">
      <w:pPr>
        <w:rPr>
          <w:sz w:val="24"/>
          <w:szCs w:val="24"/>
        </w:rPr>
      </w:pPr>
      <w:r w:rsidRPr="00543BFE">
        <w:rPr>
          <w:sz w:val="24"/>
          <w:szCs w:val="24"/>
          <w:vertAlign w:val="superscript"/>
        </w:rPr>
        <w:t>c</w:t>
      </w:r>
      <w:r w:rsidRPr="00543BFE">
        <w:rPr>
          <w:sz w:val="24"/>
          <w:szCs w:val="24"/>
        </w:rPr>
        <w:t xml:space="preserve"> Roche </w:t>
      </w:r>
      <w:proofErr w:type="spellStart"/>
      <w:r w:rsidRPr="00543BFE">
        <w:rPr>
          <w:sz w:val="24"/>
          <w:szCs w:val="24"/>
        </w:rPr>
        <w:t>Cobas</w:t>
      </w:r>
      <w:proofErr w:type="spellEnd"/>
      <w:r w:rsidRPr="00543BFE">
        <w:rPr>
          <w:sz w:val="24"/>
          <w:szCs w:val="24"/>
        </w:rPr>
        <w:t xml:space="preserve"> </w:t>
      </w:r>
      <w:proofErr w:type="spellStart"/>
      <w:r w:rsidRPr="00543BFE">
        <w:rPr>
          <w:sz w:val="24"/>
          <w:szCs w:val="24"/>
        </w:rPr>
        <w:t>Amplicor</w:t>
      </w:r>
      <w:proofErr w:type="spellEnd"/>
      <w:r w:rsidRPr="00543BFE">
        <w:rPr>
          <w:sz w:val="24"/>
          <w:szCs w:val="24"/>
        </w:rPr>
        <w:t xml:space="preserve"> PCR-</w:t>
      </w:r>
      <w:proofErr w:type="spellStart"/>
      <w:r w:rsidRPr="00543BFE">
        <w:rPr>
          <w:sz w:val="24"/>
          <w:szCs w:val="24"/>
        </w:rPr>
        <w:t>assay</w:t>
      </w:r>
      <w:proofErr w:type="spellEnd"/>
      <w:r w:rsidRPr="00543BFE">
        <w:rPr>
          <w:sz w:val="24"/>
          <w:szCs w:val="24"/>
        </w:rPr>
        <w:t xml:space="preserve"> (LLOQ = 300 kopier/ml).</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u w:val="single"/>
        </w:rPr>
        <w:t>Resultater efter 48 ugers behandling:</w:t>
      </w:r>
      <w:r w:rsidRPr="00543BFE">
        <w:rPr>
          <w:sz w:val="24"/>
          <w:szCs w:val="24"/>
        </w:rPr>
        <w:t xml:space="preserve"> </w:t>
      </w:r>
    </w:p>
    <w:p w:rsidR="008D5948" w:rsidRPr="00543BFE" w:rsidRDefault="008D5948" w:rsidP="008D5948">
      <w:pPr>
        <w:ind w:left="851"/>
        <w:rPr>
          <w:sz w:val="24"/>
          <w:szCs w:val="24"/>
        </w:rPr>
      </w:pPr>
      <w:r w:rsidRPr="00543BFE">
        <w:rPr>
          <w:sz w:val="24"/>
          <w:szCs w:val="24"/>
        </w:rPr>
        <w:t xml:space="preserve">Behandling blev seponeret, når de præspecificerede responskriterier var opfyldt. Det vil sige enten efter 48 uger eller i løbet af det andet år med behandling. Responskriterier var HBV-virologisk suppression (HBV-dna &lt; 0,7 </w:t>
      </w:r>
      <w:proofErr w:type="spellStart"/>
      <w:r w:rsidRPr="00543BFE">
        <w:rPr>
          <w:sz w:val="24"/>
          <w:szCs w:val="24"/>
        </w:rPr>
        <w:t>MEq</w:t>
      </w:r>
      <w:proofErr w:type="spellEnd"/>
      <w:r w:rsidRPr="00543BFE">
        <w:rPr>
          <w:sz w:val="24"/>
          <w:szCs w:val="24"/>
        </w:rPr>
        <w:t xml:space="preserve">/ml ved b-dna) og tab af </w:t>
      </w:r>
      <w:proofErr w:type="spellStart"/>
      <w:r w:rsidRPr="00543BFE">
        <w:rPr>
          <w:sz w:val="24"/>
          <w:szCs w:val="24"/>
        </w:rPr>
        <w:t>HBeAg</w:t>
      </w:r>
      <w:proofErr w:type="spellEnd"/>
      <w:r w:rsidRPr="00543BFE">
        <w:rPr>
          <w:sz w:val="24"/>
          <w:szCs w:val="24"/>
        </w:rPr>
        <w:t xml:space="preserve"> (hos </w:t>
      </w:r>
      <w:proofErr w:type="spellStart"/>
      <w:r w:rsidRPr="00543BFE">
        <w:rPr>
          <w:sz w:val="24"/>
          <w:szCs w:val="24"/>
        </w:rPr>
        <w:t>HBeAg</w:t>
      </w:r>
      <w:proofErr w:type="spellEnd"/>
      <w:r w:rsidRPr="00543BFE">
        <w:rPr>
          <w:sz w:val="24"/>
          <w:szCs w:val="24"/>
        </w:rPr>
        <w:t xml:space="preserve">-positive patienter) eller ALAT &lt; 1,25 gange ULN (hos </w:t>
      </w:r>
      <w:proofErr w:type="spellStart"/>
      <w:r w:rsidRPr="00543BFE">
        <w:rPr>
          <w:sz w:val="24"/>
          <w:szCs w:val="24"/>
        </w:rPr>
        <w:t>HBeAg</w:t>
      </w:r>
      <w:proofErr w:type="spellEnd"/>
      <w:r w:rsidRPr="00543BFE">
        <w:rPr>
          <w:sz w:val="24"/>
          <w:szCs w:val="24"/>
        </w:rPr>
        <w:t xml:space="preserve">-negative patienter). Patienter, der responderede, blev fulgt i yderligere 24 uger efter </w:t>
      </w:r>
      <w:proofErr w:type="spellStart"/>
      <w:r w:rsidRPr="00543BFE">
        <w:rPr>
          <w:sz w:val="24"/>
          <w:szCs w:val="24"/>
        </w:rPr>
        <w:t>seponering</w:t>
      </w:r>
      <w:proofErr w:type="spellEnd"/>
      <w:r w:rsidRPr="00543BFE">
        <w:rPr>
          <w:sz w:val="24"/>
          <w:szCs w:val="24"/>
        </w:rPr>
        <w:t xml:space="preserve"> af behandling. Patienter, som opfyldte virologiske, men ikke serologiske eller biokemiske responskriterier, fortsatte blindet behandling. Patienter, som ikke havde virologisk respons, blev tilbudt anden behandling.</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i/>
          <w:sz w:val="24"/>
          <w:szCs w:val="24"/>
        </w:rPr>
        <w:t xml:space="preserve">Patienter der ikke tidligere har været i </w:t>
      </w:r>
      <w:proofErr w:type="spellStart"/>
      <w:r w:rsidRPr="00543BFE">
        <w:rPr>
          <w:i/>
          <w:sz w:val="24"/>
          <w:szCs w:val="24"/>
        </w:rPr>
        <w:t>nukleosidbehandling</w:t>
      </w:r>
      <w:proofErr w:type="spellEnd"/>
      <w:r w:rsidRPr="00543BFE">
        <w:rPr>
          <w:i/>
          <w:sz w:val="24"/>
          <w:szCs w:val="24"/>
        </w:rPr>
        <w:t>:</w:t>
      </w:r>
      <w:r w:rsidRPr="00543BFE">
        <w:rPr>
          <w:sz w:val="24"/>
          <w:szCs w:val="24"/>
        </w:rPr>
        <w:t xml:space="preserve"> </w:t>
      </w:r>
    </w:p>
    <w:p w:rsidR="008D5948" w:rsidRPr="00543BFE" w:rsidRDefault="008D5948" w:rsidP="008D5948">
      <w:pPr>
        <w:ind w:left="851"/>
        <w:rPr>
          <w:sz w:val="24"/>
          <w:szCs w:val="24"/>
        </w:rPr>
      </w:pPr>
      <w:proofErr w:type="spellStart"/>
      <w:r w:rsidRPr="00543BFE">
        <w:rPr>
          <w:sz w:val="24"/>
          <w:szCs w:val="24"/>
        </w:rPr>
        <w:t>HBeAg</w:t>
      </w:r>
      <w:proofErr w:type="spellEnd"/>
      <w:r w:rsidRPr="00543BFE">
        <w:rPr>
          <w:sz w:val="24"/>
          <w:szCs w:val="24"/>
        </w:rPr>
        <w:t xml:space="preserve">-positive (studie 022): Behandling med </w:t>
      </w:r>
      <w:proofErr w:type="spellStart"/>
      <w:r w:rsidRPr="00543BFE">
        <w:rPr>
          <w:sz w:val="24"/>
          <w:szCs w:val="24"/>
        </w:rPr>
        <w:t>entecavir</w:t>
      </w:r>
      <w:proofErr w:type="spellEnd"/>
      <w:r w:rsidRPr="00543BFE">
        <w:rPr>
          <w:sz w:val="24"/>
          <w:szCs w:val="24"/>
        </w:rPr>
        <w:t xml:space="preserve"> i op til 96 uger (n = 354) gav kumulative responsrater på 80 % for HBV-dna &lt; 300 kopier/ml ved PCR, 87 % for ALAT-normalisering, 31 % for </w:t>
      </w:r>
      <w:proofErr w:type="spellStart"/>
      <w:r w:rsidRPr="00543BFE">
        <w:rPr>
          <w:sz w:val="24"/>
          <w:szCs w:val="24"/>
        </w:rPr>
        <w:t>HBeAg-serokonvertering</w:t>
      </w:r>
      <w:proofErr w:type="spellEnd"/>
      <w:r w:rsidRPr="00543BFE">
        <w:rPr>
          <w:sz w:val="24"/>
          <w:szCs w:val="24"/>
        </w:rPr>
        <w:t xml:space="preserve"> og 2 % for </w:t>
      </w:r>
      <w:proofErr w:type="spellStart"/>
      <w:r w:rsidRPr="00543BFE">
        <w:rPr>
          <w:sz w:val="24"/>
          <w:szCs w:val="24"/>
        </w:rPr>
        <w:t>HBsAg-serokonvertering</w:t>
      </w:r>
      <w:proofErr w:type="spellEnd"/>
      <w:r w:rsidRPr="00543BFE">
        <w:rPr>
          <w:sz w:val="24"/>
          <w:szCs w:val="24"/>
        </w:rPr>
        <w:t xml:space="preserve"> (5 % for tab af </w:t>
      </w:r>
      <w:proofErr w:type="spellStart"/>
      <w:r w:rsidRPr="00543BFE">
        <w:rPr>
          <w:sz w:val="24"/>
          <w:szCs w:val="24"/>
        </w:rPr>
        <w:t>HBsAg</w:t>
      </w:r>
      <w:proofErr w:type="spellEnd"/>
      <w:r w:rsidRPr="00543BFE">
        <w:rPr>
          <w:sz w:val="24"/>
          <w:szCs w:val="24"/>
        </w:rPr>
        <w:t xml:space="preserve">). For </w:t>
      </w:r>
      <w:proofErr w:type="spellStart"/>
      <w:r w:rsidRPr="00543BFE">
        <w:rPr>
          <w:sz w:val="24"/>
          <w:szCs w:val="24"/>
        </w:rPr>
        <w:t>lamivudin</w:t>
      </w:r>
      <w:proofErr w:type="spellEnd"/>
      <w:r w:rsidRPr="00543BFE">
        <w:rPr>
          <w:sz w:val="24"/>
          <w:szCs w:val="24"/>
        </w:rPr>
        <w:t xml:space="preserve"> (n = 355) var de kumulative responsrater 39 % for </w:t>
      </w:r>
      <w:r w:rsidRPr="00543BFE">
        <w:rPr>
          <w:sz w:val="24"/>
          <w:szCs w:val="24"/>
        </w:rPr>
        <w:lastRenderedPageBreak/>
        <w:t xml:space="preserve">HBV-dna &lt; 300 kopier/ml ved PCR, 79 % for ALAT-normalisering, 26 % for </w:t>
      </w:r>
      <w:proofErr w:type="spellStart"/>
      <w:r w:rsidRPr="00543BFE">
        <w:rPr>
          <w:sz w:val="24"/>
          <w:szCs w:val="24"/>
        </w:rPr>
        <w:t>HBeAg-serokonvertering</w:t>
      </w:r>
      <w:proofErr w:type="spellEnd"/>
      <w:r w:rsidRPr="00543BFE">
        <w:rPr>
          <w:sz w:val="24"/>
          <w:szCs w:val="24"/>
        </w:rPr>
        <w:t xml:space="preserve"> og 2 % for </w:t>
      </w:r>
      <w:proofErr w:type="spellStart"/>
      <w:r w:rsidRPr="00543BFE">
        <w:rPr>
          <w:sz w:val="24"/>
          <w:szCs w:val="24"/>
        </w:rPr>
        <w:t>HBsAg-serokonvertering</w:t>
      </w:r>
      <w:proofErr w:type="spellEnd"/>
      <w:r w:rsidRPr="00543BFE">
        <w:rPr>
          <w:sz w:val="24"/>
          <w:szCs w:val="24"/>
        </w:rPr>
        <w:t xml:space="preserve"> (3 % for tab af </w:t>
      </w:r>
      <w:proofErr w:type="spellStart"/>
      <w:r w:rsidRPr="00543BFE">
        <w:rPr>
          <w:sz w:val="24"/>
          <w:szCs w:val="24"/>
        </w:rPr>
        <w:t>HBsAg</w:t>
      </w:r>
      <w:proofErr w:type="spellEnd"/>
      <w:r w:rsidRPr="00543BFE">
        <w:rPr>
          <w:sz w:val="24"/>
          <w:szCs w:val="24"/>
        </w:rPr>
        <w:t xml:space="preserve">). </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Blandt patienter, som fortsatte behandling ud over 52 uger (i en median periode 96 uger), havde 81 % af de 243 patienter i behandling med </w:t>
      </w:r>
      <w:proofErr w:type="spellStart"/>
      <w:r w:rsidRPr="00543BFE">
        <w:rPr>
          <w:sz w:val="24"/>
          <w:szCs w:val="24"/>
        </w:rPr>
        <w:t>entecavir</w:t>
      </w:r>
      <w:proofErr w:type="spellEnd"/>
      <w:r w:rsidRPr="00543BFE">
        <w:rPr>
          <w:sz w:val="24"/>
          <w:szCs w:val="24"/>
        </w:rPr>
        <w:t xml:space="preserve"> og 39 % af de 164 patienter i behandling med </w:t>
      </w:r>
      <w:proofErr w:type="spellStart"/>
      <w:r w:rsidRPr="00543BFE">
        <w:rPr>
          <w:sz w:val="24"/>
          <w:szCs w:val="24"/>
        </w:rPr>
        <w:t>lamivudin</w:t>
      </w:r>
      <w:proofErr w:type="spellEnd"/>
      <w:r w:rsidRPr="00543BFE">
        <w:rPr>
          <w:sz w:val="24"/>
          <w:szCs w:val="24"/>
        </w:rPr>
        <w:t xml:space="preserve"> HBV-dna &lt; 300 kopier/ml ved PCR ved behandlingens- afslutning. Imens sås der ALAT-normalisering (≤ 1 gang ULN) hos 79 % af de patienter i behandling med </w:t>
      </w:r>
      <w:proofErr w:type="spellStart"/>
      <w:r w:rsidRPr="00543BFE">
        <w:rPr>
          <w:sz w:val="24"/>
          <w:szCs w:val="24"/>
        </w:rPr>
        <w:t>entecavir</w:t>
      </w:r>
      <w:proofErr w:type="spellEnd"/>
      <w:r w:rsidRPr="00543BFE">
        <w:rPr>
          <w:sz w:val="24"/>
          <w:szCs w:val="24"/>
        </w:rPr>
        <w:t xml:space="preserve"> og 68 % af de patienter i behandling med </w:t>
      </w:r>
      <w:proofErr w:type="spellStart"/>
      <w:r w:rsidRPr="00543BFE">
        <w:rPr>
          <w:sz w:val="24"/>
          <w:szCs w:val="24"/>
        </w:rPr>
        <w:t>lamivudin</w:t>
      </w:r>
      <w:proofErr w:type="spellEnd"/>
      <w:r w:rsidRPr="00543BFE">
        <w:rPr>
          <w:sz w:val="24"/>
          <w:szCs w:val="24"/>
        </w:rPr>
        <w:t>.</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proofErr w:type="spellStart"/>
      <w:r w:rsidRPr="00543BFE">
        <w:rPr>
          <w:sz w:val="24"/>
          <w:szCs w:val="24"/>
        </w:rPr>
        <w:t>HBeAg</w:t>
      </w:r>
      <w:proofErr w:type="spellEnd"/>
      <w:r w:rsidRPr="00543BFE">
        <w:rPr>
          <w:sz w:val="24"/>
          <w:szCs w:val="24"/>
        </w:rPr>
        <w:t xml:space="preserve">-negative (studie 027): Behandling med </w:t>
      </w:r>
      <w:proofErr w:type="spellStart"/>
      <w:r w:rsidRPr="00543BFE">
        <w:rPr>
          <w:sz w:val="24"/>
          <w:szCs w:val="24"/>
        </w:rPr>
        <w:t>entecavir</w:t>
      </w:r>
      <w:proofErr w:type="spellEnd"/>
      <w:r w:rsidRPr="00543BFE">
        <w:rPr>
          <w:sz w:val="24"/>
          <w:szCs w:val="24"/>
        </w:rPr>
        <w:t xml:space="preserve"> i op til 96 uger (n = 325) gav kumulative responsrater på 94 % for HBV-dna &lt; 300 kopier/ml ved PCR og 89 % for ALAT-normalisering versus 77 % for HBV-dna &lt; 300 kopier/ml ved PCR og 84 % for ALAT-normalisering for patienter i behandling med </w:t>
      </w:r>
      <w:proofErr w:type="spellStart"/>
      <w:r w:rsidRPr="00543BFE">
        <w:rPr>
          <w:sz w:val="24"/>
          <w:szCs w:val="24"/>
        </w:rPr>
        <w:t>lamivudin</w:t>
      </w:r>
      <w:proofErr w:type="spellEnd"/>
      <w:r w:rsidRPr="00543BFE">
        <w:rPr>
          <w:sz w:val="24"/>
          <w:szCs w:val="24"/>
        </w:rPr>
        <w:t xml:space="preserve"> (n = 313). </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For 26 patienter i behandling med </w:t>
      </w:r>
      <w:proofErr w:type="spellStart"/>
      <w:r w:rsidRPr="00543BFE">
        <w:rPr>
          <w:sz w:val="24"/>
          <w:szCs w:val="24"/>
        </w:rPr>
        <w:t>entecavir</w:t>
      </w:r>
      <w:proofErr w:type="spellEnd"/>
      <w:r w:rsidRPr="00543BFE">
        <w:rPr>
          <w:sz w:val="24"/>
          <w:szCs w:val="24"/>
        </w:rPr>
        <w:t xml:space="preserve"> og 28 patienter i behandling med </w:t>
      </w:r>
      <w:proofErr w:type="spellStart"/>
      <w:r w:rsidRPr="00543BFE">
        <w:rPr>
          <w:sz w:val="24"/>
          <w:szCs w:val="24"/>
        </w:rPr>
        <w:t>lamivudin</w:t>
      </w:r>
      <w:proofErr w:type="spellEnd"/>
      <w:r w:rsidRPr="00543BFE">
        <w:rPr>
          <w:sz w:val="24"/>
          <w:szCs w:val="24"/>
        </w:rPr>
        <w:t xml:space="preserve">, som fortsatte behandling ud over de 52 uger (i en median periode på 96 uger), havde 96 % af de patienter i behandling med </w:t>
      </w:r>
      <w:proofErr w:type="spellStart"/>
      <w:r w:rsidRPr="00543BFE">
        <w:rPr>
          <w:sz w:val="24"/>
          <w:szCs w:val="24"/>
        </w:rPr>
        <w:t>entecavir</w:t>
      </w:r>
      <w:proofErr w:type="spellEnd"/>
      <w:r w:rsidRPr="00543BFE">
        <w:rPr>
          <w:sz w:val="24"/>
          <w:szCs w:val="24"/>
        </w:rPr>
        <w:t xml:space="preserve"> og 64 % af de patienter i behandling med </w:t>
      </w:r>
      <w:proofErr w:type="spellStart"/>
      <w:r w:rsidRPr="00543BFE">
        <w:rPr>
          <w:sz w:val="24"/>
          <w:szCs w:val="24"/>
        </w:rPr>
        <w:t>lamivudin</w:t>
      </w:r>
      <w:proofErr w:type="spellEnd"/>
      <w:r w:rsidRPr="00543BFE">
        <w:rPr>
          <w:sz w:val="24"/>
          <w:szCs w:val="24"/>
        </w:rPr>
        <w:t xml:space="preserve"> HBV-dna &lt; 300 kopier/ml ved PCR ved behandlingens afslutning. Der observeredes ALAT-normalisering (≤ 1 gange ULN) hos 27 % af de patienter i behandling med </w:t>
      </w:r>
      <w:proofErr w:type="spellStart"/>
      <w:r w:rsidRPr="00543BFE">
        <w:rPr>
          <w:sz w:val="24"/>
          <w:szCs w:val="24"/>
        </w:rPr>
        <w:t>entecavir</w:t>
      </w:r>
      <w:proofErr w:type="spellEnd"/>
      <w:r w:rsidRPr="00543BFE">
        <w:rPr>
          <w:sz w:val="24"/>
          <w:szCs w:val="24"/>
        </w:rPr>
        <w:t xml:space="preserve"> og 21 % af de patienter i behandling med </w:t>
      </w:r>
      <w:proofErr w:type="spellStart"/>
      <w:r w:rsidRPr="00543BFE">
        <w:rPr>
          <w:sz w:val="24"/>
          <w:szCs w:val="24"/>
        </w:rPr>
        <w:t>lamivudin</w:t>
      </w:r>
      <w:proofErr w:type="spellEnd"/>
      <w:r w:rsidRPr="00543BFE">
        <w:rPr>
          <w:sz w:val="24"/>
          <w:szCs w:val="24"/>
        </w:rPr>
        <w:t xml:space="preserve"> ved behandlingens afslutning.</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For patienter, som opfyldte de protokoldefinerede responskriterier, opretholdtes respons gennem den 24-ugers opfølgning efter behandlingsafslutning hos 75 % (83/111) af </w:t>
      </w:r>
      <w:proofErr w:type="spellStart"/>
      <w:r w:rsidRPr="00543BFE">
        <w:rPr>
          <w:sz w:val="24"/>
          <w:szCs w:val="24"/>
        </w:rPr>
        <w:t>entecavir</w:t>
      </w:r>
      <w:proofErr w:type="spellEnd"/>
      <w:r w:rsidRPr="00543BFE">
        <w:rPr>
          <w:sz w:val="24"/>
          <w:szCs w:val="24"/>
        </w:rPr>
        <w:t xml:space="preserve">-respondere vs. 73 % (68/93) af </w:t>
      </w:r>
      <w:proofErr w:type="spellStart"/>
      <w:r w:rsidRPr="00543BFE">
        <w:rPr>
          <w:sz w:val="24"/>
          <w:szCs w:val="24"/>
        </w:rPr>
        <w:t>lamivudin</w:t>
      </w:r>
      <w:proofErr w:type="spellEnd"/>
      <w:r w:rsidRPr="00543BFE">
        <w:rPr>
          <w:sz w:val="24"/>
          <w:szCs w:val="24"/>
        </w:rPr>
        <w:t xml:space="preserve">-respondere i studie 022 og hos 46 % (131/286) af </w:t>
      </w:r>
      <w:proofErr w:type="spellStart"/>
      <w:r w:rsidRPr="00543BFE">
        <w:rPr>
          <w:sz w:val="24"/>
          <w:szCs w:val="24"/>
        </w:rPr>
        <w:t>entecavir</w:t>
      </w:r>
      <w:proofErr w:type="spellEnd"/>
      <w:r w:rsidRPr="00543BFE">
        <w:rPr>
          <w:sz w:val="24"/>
          <w:szCs w:val="24"/>
        </w:rPr>
        <w:t xml:space="preserve">-respondere vs. 31 % (79/253) af </w:t>
      </w:r>
      <w:proofErr w:type="spellStart"/>
      <w:r w:rsidRPr="00543BFE">
        <w:rPr>
          <w:sz w:val="24"/>
          <w:szCs w:val="24"/>
        </w:rPr>
        <w:t>lamivudin</w:t>
      </w:r>
      <w:proofErr w:type="spellEnd"/>
      <w:r w:rsidRPr="00543BFE">
        <w:rPr>
          <w:sz w:val="24"/>
          <w:szCs w:val="24"/>
        </w:rPr>
        <w:t xml:space="preserve">-respondere i studie 027. Ved 48 ugers opfølgning efter behandling tabte et betragteligt antal </w:t>
      </w:r>
      <w:proofErr w:type="spellStart"/>
      <w:r w:rsidRPr="00543BFE">
        <w:rPr>
          <w:sz w:val="24"/>
          <w:szCs w:val="24"/>
        </w:rPr>
        <w:t>HBeAg</w:t>
      </w:r>
      <w:proofErr w:type="spellEnd"/>
      <w:r w:rsidRPr="00543BFE">
        <w:rPr>
          <w:sz w:val="24"/>
          <w:szCs w:val="24"/>
        </w:rPr>
        <w:t>-negative patienter respons.</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Resultater fra leverbiopsi: 57 patienter fra pivotale </w:t>
      </w:r>
      <w:proofErr w:type="spellStart"/>
      <w:r w:rsidRPr="00543BFE">
        <w:rPr>
          <w:sz w:val="24"/>
          <w:szCs w:val="24"/>
        </w:rPr>
        <w:t>nukleosidnaive</w:t>
      </w:r>
      <w:proofErr w:type="spellEnd"/>
      <w:r w:rsidRPr="00543BFE">
        <w:rPr>
          <w:sz w:val="24"/>
          <w:szCs w:val="24"/>
        </w:rPr>
        <w:t xml:space="preserve"> studier 022 (</w:t>
      </w:r>
      <w:proofErr w:type="spellStart"/>
      <w:r w:rsidRPr="00543BFE">
        <w:rPr>
          <w:sz w:val="24"/>
          <w:szCs w:val="24"/>
        </w:rPr>
        <w:t>HBeAg</w:t>
      </w:r>
      <w:proofErr w:type="spellEnd"/>
      <w:r w:rsidRPr="00543BFE">
        <w:rPr>
          <w:sz w:val="24"/>
          <w:szCs w:val="24"/>
        </w:rPr>
        <w:t>-positive) og 027 (</w:t>
      </w:r>
      <w:proofErr w:type="spellStart"/>
      <w:r w:rsidRPr="00543BFE">
        <w:rPr>
          <w:sz w:val="24"/>
          <w:szCs w:val="24"/>
        </w:rPr>
        <w:t>HBeAg</w:t>
      </w:r>
      <w:proofErr w:type="spellEnd"/>
      <w:r w:rsidRPr="00543BFE">
        <w:rPr>
          <w:sz w:val="24"/>
          <w:szCs w:val="24"/>
        </w:rPr>
        <w:t xml:space="preserve">-negative), som deltog i et længerevarende roll-over-studie, blev undersøgt for længerevarende påvirkning af leverhistologi. Dosis af </w:t>
      </w:r>
      <w:proofErr w:type="spellStart"/>
      <w:r w:rsidRPr="00543BFE">
        <w:rPr>
          <w:sz w:val="24"/>
          <w:szCs w:val="24"/>
        </w:rPr>
        <w:t>entecavir</w:t>
      </w:r>
      <w:proofErr w:type="spellEnd"/>
      <w:r w:rsidRPr="00543BFE">
        <w:rPr>
          <w:sz w:val="24"/>
          <w:szCs w:val="24"/>
        </w:rPr>
        <w:t xml:space="preserve"> var 0,5 mg </w:t>
      </w:r>
      <w:r>
        <w:rPr>
          <w:sz w:val="24"/>
          <w:szCs w:val="24"/>
        </w:rPr>
        <w:t>daglig</w:t>
      </w:r>
      <w:r w:rsidRPr="00543BFE">
        <w:rPr>
          <w:sz w:val="24"/>
          <w:szCs w:val="24"/>
        </w:rPr>
        <w:t xml:space="preserve"> i de pivotale studier (gennemsnitlig eksponering 85 uger) og 1 mg </w:t>
      </w:r>
      <w:r>
        <w:rPr>
          <w:sz w:val="24"/>
          <w:szCs w:val="24"/>
        </w:rPr>
        <w:t>daglig</w:t>
      </w:r>
      <w:r w:rsidRPr="00543BFE">
        <w:rPr>
          <w:sz w:val="24"/>
          <w:szCs w:val="24"/>
        </w:rPr>
        <w:t xml:space="preserve"> i roll-over-studier (gennemsnitlig eksponering 177 uger), og 51 patienter i roll-over-studiet fik initialt også </w:t>
      </w:r>
      <w:proofErr w:type="spellStart"/>
      <w:r w:rsidRPr="00543BFE">
        <w:rPr>
          <w:sz w:val="24"/>
          <w:szCs w:val="24"/>
        </w:rPr>
        <w:t>lamivudin</w:t>
      </w:r>
      <w:proofErr w:type="spellEnd"/>
      <w:r w:rsidRPr="00543BFE">
        <w:rPr>
          <w:sz w:val="24"/>
          <w:szCs w:val="24"/>
        </w:rPr>
        <w:t xml:space="preserve"> (median varighed 29 uger). Af disse patienter opnåede 55/57 (96 %) histologisk forbedring som tidligere defineret (se ovenstående), og 50/57 (88 %) opnåede ≥ 1 point fald i Ishak fibrose-score. Blandt patienter med baseline Ishak fibrose-score ≥ 2, havde 25/43 (58 %) ≥ 2 point fald. Alle (10/10) patienter med fremskreden fibrose eller cirrose ved baseline (Ishak fibrose-score på 4, 5 eller 6) havde ≥ 1 point fald (median fald fra baseline var 1,5 point). På tidspunktet for langtidsbiopsien havde alle patienter HBV-dna &lt; 300 kopier/ml, og 49/57 (86 %) havde serum ALAT ≤ 1 gange ULN. Alle 57 patienter forblev positive for </w:t>
      </w:r>
      <w:proofErr w:type="spellStart"/>
      <w:r w:rsidRPr="00543BFE">
        <w:rPr>
          <w:sz w:val="24"/>
          <w:szCs w:val="24"/>
        </w:rPr>
        <w:t>HBsAg</w:t>
      </w:r>
      <w:proofErr w:type="spellEnd"/>
      <w:r w:rsidRPr="00543BFE">
        <w:rPr>
          <w:sz w:val="24"/>
          <w:szCs w:val="24"/>
        </w:rPr>
        <w:t>.</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proofErr w:type="spellStart"/>
      <w:r w:rsidRPr="00543BFE">
        <w:rPr>
          <w:i/>
          <w:sz w:val="24"/>
          <w:szCs w:val="24"/>
        </w:rPr>
        <w:t>Lamivudinrefraktære</w:t>
      </w:r>
      <w:proofErr w:type="spellEnd"/>
      <w:r w:rsidRPr="00543BFE">
        <w:rPr>
          <w:i/>
          <w:sz w:val="24"/>
          <w:szCs w:val="24"/>
        </w:rPr>
        <w:t xml:space="preserve"> patienter:</w:t>
      </w:r>
      <w:r w:rsidRPr="00543BFE">
        <w:rPr>
          <w:sz w:val="24"/>
          <w:szCs w:val="24"/>
        </w:rPr>
        <w:t xml:space="preserve"> </w:t>
      </w:r>
    </w:p>
    <w:p w:rsidR="008D5948" w:rsidRPr="00543BFE" w:rsidRDefault="008D5948" w:rsidP="008D5948">
      <w:pPr>
        <w:ind w:left="851"/>
        <w:rPr>
          <w:sz w:val="24"/>
          <w:szCs w:val="24"/>
        </w:rPr>
      </w:pPr>
      <w:proofErr w:type="spellStart"/>
      <w:r w:rsidRPr="00543BFE">
        <w:rPr>
          <w:sz w:val="24"/>
          <w:szCs w:val="24"/>
        </w:rPr>
        <w:t>HBeAg</w:t>
      </w:r>
      <w:proofErr w:type="spellEnd"/>
      <w:r w:rsidRPr="00543BFE">
        <w:rPr>
          <w:sz w:val="24"/>
          <w:szCs w:val="24"/>
        </w:rPr>
        <w:t xml:space="preserve">-positive (studie 026): Behandling med </w:t>
      </w:r>
      <w:proofErr w:type="spellStart"/>
      <w:r w:rsidRPr="00543BFE">
        <w:rPr>
          <w:sz w:val="24"/>
          <w:szCs w:val="24"/>
        </w:rPr>
        <w:t>entecavir</w:t>
      </w:r>
      <w:proofErr w:type="spellEnd"/>
      <w:r w:rsidRPr="00543BFE">
        <w:rPr>
          <w:sz w:val="24"/>
          <w:szCs w:val="24"/>
        </w:rPr>
        <w:t xml:space="preserve"> i op til 96 uger (n = 141) gav kumulative responsrater på 30 % for HBV-dna &lt; 300 kopier/ml ved PCR og 85 % for ALAT-normalisering og 17 % for </w:t>
      </w:r>
      <w:proofErr w:type="spellStart"/>
      <w:r w:rsidRPr="00543BFE">
        <w:rPr>
          <w:sz w:val="24"/>
          <w:szCs w:val="24"/>
        </w:rPr>
        <w:t>HBeAg-serokonvertering</w:t>
      </w:r>
      <w:proofErr w:type="spellEnd"/>
      <w:r w:rsidRPr="00543BFE">
        <w:rPr>
          <w:sz w:val="24"/>
          <w:szCs w:val="24"/>
        </w:rPr>
        <w:t xml:space="preserve">. </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For de 77 patienter, som fortsatte </w:t>
      </w:r>
      <w:proofErr w:type="spellStart"/>
      <w:r w:rsidRPr="00543BFE">
        <w:rPr>
          <w:sz w:val="24"/>
          <w:szCs w:val="24"/>
        </w:rPr>
        <w:t>entecavirbehandling</w:t>
      </w:r>
      <w:proofErr w:type="spellEnd"/>
      <w:r w:rsidRPr="00543BFE">
        <w:rPr>
          <w:sz w:val="24"/>
          <w:szCs w:val="24"/>
        </w:rPr>
        <w:t xml:space="preserve"> ud over de 52 uger (i en median periode på 96 uger), havde 40 % af patienterne HBV-dna &lt; 300 kopier/ml ved PCR, og 81 </w:t>
      </w:r>
      <w:r w:rsidRPr="00543BFE">
        <w:rPr>
          <w:sz w:val="24"/>
          <w:szCs w:val="24"/>
        </w:rPr>
        <w:lastRenderedPageBreak/>
        <w:t>% af patienterne havde ALAT-normalisering (≤ 1 gange ULN) ved behandlingens afslutning.</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i/>
          <w:sz w:val="24"/>
          <w:szCs w:val="24"/>
        </w:rPr>
        <w:t>Alder/køn:</w:t>
      </w:r>
      <w:r w:rsidRPr="00543BFE">
        <w:rPr>
          <w:sz w:val="24"/>
          <w:szCs w:val="24"/>
        </w:rPr>
        <w:t xml:space="preserve"> </w:t>
      </w:r>
    </w:p>
    <w:p w:rsidR="002574EE" w:rsidRPr="00280FE8" w:rsidRDefault="002574EE" w:rsidP="002574EE">
      <w:pPr>
        <w:ind w:left="851"/>
        <w:rPr>
          <w:sz w:val="24"/>
          <w:szCs w:val="24"/>
        </w:rPr>
      </w:pPr>
      <w:r w:rsidRPr="00280FE8">
        <w:rPr>
          <w:sz w:val="24"/>
          <w:szCs w:val="24"/>
        </w:rPr>
        <w:t xml:space="preserve">Der observeredes ingen åbenlyse forskelle i effekt af </w:t>
      </w:r>
      <w:proofErr w:type="spellStart"/>
      <w:r w:rsidRPr="00280FE8">
        <w:rPr>
          <w:sz w:val="24"/>
          <w:szCs w:val="24"/>
        </w:rPr>
        <w:t>entecavir</w:t>
      </w:r>
      <w:proofErr w:type="spellEnd"/>
      <w:r w:rsidRPr="00280FE8">
        <w:rPr>
          <w:sz w:val="24"/>
          <w:szCs w:val="24"/>
        </w:rPr>
        <w:t xml:space="preserve"> baseret på køn (≈ 25 % kvinder i de kliniske forsøg) eller alder (≈ 5 % af patienter var &gt; 65 år).</w:t>
      </w:r>
    </w:p>
    <w:p w:rsidR="002574EE" w:rsidRPr="00280FE8" w:rsidRDefault="002574EE" w:rsidP="002574EE">
      <w:pPr>
        <w:ind w:left="851" w:hanging="851"/>
        <w:rPr>
          <w:sz w:val="24"/>
          <w:szCs w:val="24"/>
        </w:rPr>
      </w:pPr>
    </w:p>
    <w:p w:rsidR="002574EE" w:rsidRPr="004C1C4D" w:rsidRDefault="002574EE" w:rsidP="002574EE">
      <w:pPr>
        <w:ind w:left="851"/>
        <w:rPr>
          <w:i/>
          <w:iCs/>
          <w:sz w:val="24"/>
          <w:szCs w:val="24"/>
        </w:rPr>
      </w:pPr>
      <w:r w:rsidRPr="004C1C4D">
        <w:rPr>
          <w:i/>
          <w:iCs/>
          <w:sz w:val="24"/>
          <w:szCs w:val="24"/>
        </w:rPr>
        <w:t>Længerevarende opfølgningsforsøg</w:t>
      </w:r>
    </w:p>
    <w:p w:rsidR="002574EE" w:rsidRPr="004C1C4D" w:rsidRDefault="002574EE" w:rsidP="002574EE">
      <w:pPr>
        <w:ind w:left="851"/>
        <w:rPr>
          <w:sz w:val="24"/>
          <w:szCs w:val="24"/>
        </w:rPr>
      </w:pPr>
      <w:r w:rsidRPr="004C1C4D">
        <w:rPr>
          <w:sz w:val="24"/>
          <w:szCs w:val="24"/>
        </w:rPr>
        <w:t xml:space="preserve">Studie 080 var et randomiseret, åbent fase 4-observationsstudie til vurdering af de langsigtede risici ved behandling med </w:t>
      </w:r>
      <w:proofErr w:type="spellStart"/>
      <w:r w:rsidRPr="004C1C4D">
        <w:rPr>
          <w:sz w:val="24"/>
          <w:szCs w:val="24"/>
        </w:rPr>
        <w:t>entecavir</w:t>
      </w:r>
      <w:proofErr w:type="spellEnd"/>
      <w:r w:rsidRPr="004C1C4D">
        <w:rPr>
          <w:sz w:val="24"/>
          <w:szCs w:val="24"/>
        </w:rPr>
        <w:t xml:space="preserve"> (ETV, n=6.216) eller anden </w:t>
      </w:r>
      <w:proofErr w:type="spellStart"/>
      <w:r w:rsidRPr="004C1C4D">
        <w:rPr>
          <w:sz w:val="24"/>
          <w:szCs w:val="24"/>
        </w:rPr>
        <w:t>nukleosid</w:t>
      </w:r>
      <w:proofErr w:type="spellEnd"/>
      <w:r w:rsidRPr="004C1C4D">
        <w:rPr>
          <w:sz w:val="24"/>
          <w:szCs w:val="24"/>
        </w:rPr>
        <w:t>-standardbehandling (syre) af HBV (non-ETV) (n=6.162) i op til 10 år hos forsøgspersoner med kronisk HBV (CHB)-infektion. De væsentligste kliniske resultater, der blev vurderet i studiet, var de samlede maligne neoplasmer (sammensat hændelse af HCC og non-HCC maligne neoplasmer), leverrelateret HBV-sygdomsprogression, non-HCC maligne neoplasmer, HCC og dødsfald, herunder leverrelaterede dødsfald. I dette studie blev ETV ikke associeret med en øget risiko for maligne neoplasmer</w:t>
      </w:r>
      <w:r w:rsidRPr="004C1C4D">
        <w:rPr>
          <w:sz w:val="24"/>
          <w:szCs w:val="24"/>
        </w:rPr>
        <w:t xml:space="preserve"> </w:t>
      </w:r>
      <w:r w:rsidRPr="004C1C4D">
        <w:rPr>
          <w:sz w:val="24"/>
          <w:szCs w:val="24"/>
        </w:rPr>
        <w:t>sammenlignet med anvendelsen af non-ETV, vurderet ud fra enten det sammensatte endepunkt, som</w:t>
      </w:r>
      <w:r w:rsidRPr="004C1C4D">
        <w:rPr>
          <w:sz w:val="24"/>
          <w:szCs w:val="24"/>
        </w:rPr>
        <w:t xml:space="preserve"> </w:t>
      </w:r>
      <w:r w:rsidRPr="004C1C4D">
        <w:rPr>
          <w:sz w:val="24"/>
          <w:szCs w:val="24"/>
        </w:rPr>
        <w:t>var samlede maligne neoplasmer (ETV n=331, non-ETV n=337; HR=0,93 [0,8-1,1]), eller det</w:t>
      </w:r>
      <w:r w:rsidRPr="004C1C4D">
        <w:rPr>
          <w:sz w:val="24"/>
          <w:szCs w:val="24"/>
        </w:rPr>
        <w:t xml:space="preserve"> </w:t>
      </w:r>
      <w:r w:rsidRPr="004C1C4D">
        <w:rPr>
          <w:sz w:val="24"/>
          <w:szCs w:val="24"/>
        </w:rPr>
        <w:t xml:space="preserve">individuelle endepunkt, som var non-HCC </w:t>
      </w:r>
      <w:proofErr w:type="gramStart"/>
      <w:r w:rsidRPr="004C1C4D">
        <w:rPr>
          <w:sz w:val="24"/>
          <w:szCs w:val="24"/>
        </w:rPr>
        <w:t xml:space="preserve">malign </w:t>
      </w:r>
      <w:proofErr w:type="spellStart"/>
      <w:r w:rsidRPr="004C1C4D">
        <w:rPr>
          <w:sz w:val="24"/>
          <w:szCs w:val="24"/>
        </w:rPr>
        <w:t>neoplasma</w:t>
      </w:r>
      <w:proofErr w:type="spellEnd"/>
      <w:proofErr w:type="gramEnd"/>
      <w:r w:rsidRPr="004C1C4D">
        <w:rPr>
          <w:sz w:val="24"/>
          <w:szCs w:val="24"/>
        </w:rPr>
        <w:t xml:space="preserve"> (ETV n=95, non-ETV n=81; HR=1,1</w:t>
      </w:r>
    </w:p>
    <w:p w:rsidR="002574EE" w:rsidRPr="004C1C4D" w:rsidRDefault="002574EE" w:rsidP="002574EE">
      <w:pPr>
        <w:ind w:left="851"/>
        <w:rPr>
          <w:sz w:val="24"/>
          <w:szCs w:val="24"/>
        </w:rPr>
      </w:pPr>
      <w:r w:rsidRPr="004C1C4D">
        <w:rPr>
          <w:sz w:val="24"/>
          <w:szCs w:val="24"/>
        </w:rPr>
        <w:t>[0,82-1,5]). De rapporterede hændelser for leverrelateret HBV-sygdomsprogression og HCC var</w:t>
      </w:r>
      <w:r w:rsidRPr="004C1C4D">
        <w:rPr>
          <w:sz w:val="24"/>
          <w:szCs w:val="24"/>
        </w:rPr>
        <w:t xml:space="preserve"> </w:t>
      </w:r>
      <w:r w:rsidRPr="004C1C4D">
        <w:rPr>
          <w:sz w:val="24"/>
          <w:szCs w:val="24"/>
        </w:rPr>
        <w:t xml:space="preserve">sammenlignelige i både ETV- og non-ETV-grupperne. Den hyppigst rapporterede </w:t>
      </w:r>
      <w:proofErr w:type="spellStart"/>
      <w:r w:rsidRPr="004C1C4D">
        <w:rPr>
          <w:sz w:val="24"/>
          <w:szCs w:val="24"/>
        </w:rPr>
        <w:t>malignitet</w:t>
      </w:r>
      <w:proofErr w:type="spellEnd"/>
      <w:r w:rsidRPr="004C1C4D">
        <w:rPr>
          <w:sz w:val="24"/>
          <w:szCs w:val="24"/>
        </w:rPr>
        <w:t xml:space="preserve"> i både</w:t>
      </w:r>
      <w:r w:rsidRPr="004C1C4D">
        <w:rPr>
          <w:sz w:val="24"/>
          <w:szCs w:val="24"/>
        </w:rPr>
        <w:t xml:space="preserve"> </w:t>
      </w:r>
      <w:r w:rsidRPr="004C1C4D">
        <w:rPr>
          <w:sz w:val="24"/>
          <w:szCs w:val="24"/>
        </w:rPr>
        <w:t xml:space="preserve">ETV- og non-ETV-grupperne var HCC efterfulgt af </w:t>
      </w:r>
      <w:proofErr w:type="spellStart"/>
      <w:r w:rsidRPr="004C1C4D">
        <w:rPr>
          <w:sz w:val="24"/>
          <w:szCs w:val="24"/>
        </w:rPr>
        <w:t>gastrointestinale</w:t>
      </w:r>
      <w:proofErr w:type="spellEnd"/>
      <w:r w:rsidRPr="004C1C4D">
        <w:rPr>
          <w:sz w:val="24"/>
          <w:szCs w:val="24"/>
        </w:rPr>
        <w:t xml:space="preserve"> </w:t>
      </w:r>
      <w:proofErr w:type="spellStart"/>
      <w:r w:rsidRPr="004C1C4D">
        <w:rPr>
          <w:sz w:val="24"/>
          <w:szCs w:val="24"/>
        </w:rPr>
        <w:t>maligniteter</w:t>
      </w:r>
      <w:proofErr w:type="spellEnd"/>
      <w:r w:rsidRPr="004C1C4D">
        <w:rPr>
          <w:sz w:val="24"/>
          <w:szCs w:val="24"/>
        </w:rPr>
        <w:t xml:space="preserve">. </w:t>
      </w:r>
    </w:p>
    <w:p w:rsidR="008D5948" w:rsidRPr="00543BFE" w:rsidRDefault="008D5948" w:rsidP="008D5948">
      <w:pPr>
        <w:ind w:left="851" w:hanging="851"/>
        <w:rPr>
          <w:sz w:val="24"/>
          <w:szCs w:val="24"/>
        </w:rPr>
      </w:pPr>
    </w:p>
    <w:p w:rsidR="002574EE" w:rsidRPr="004C1C4D" w:rsidRDefault="002574EE" w:rsidP="002574EE">
      <w:pPr>
        <w:ind w:left="851"/>
        <w:rPr>
          <w:i/>
          <w:sz w:val="24"/>
          <w:szCs w:val="24"/>
        </w:rPr>
      </w:pPr>
      <w:r w:rsidRPr="004C1C4D">
        <w:rPr>
          <w:i/>
          <w:sz w:val="24"/>
          <w:szCs w:val="24"/>
          <w:u w:val="single"/>
        </w:rPr>
        <w:t>Særlige populationer</w:t>
      </w:r>
      <w:r w:rsidRPr="004C1C4D">
        <w:rPr>
          <w:i/>
          <w:sz w:val="24"/>
          <w:szCs w:val="24"/>
        </w:rPr>
        <w:t xml:space="preserve"> </w:t>
      </w:r>
    </w:p>
    <w:p w:rsidR="008D5948" w:rsidRPr="00543BFE" w:rsidRDefault="008D5948" w:rsidP="008D5948">
      <w:pPr>
        <w:ind w:left="851" w:hanging="851"/>
        <w:rPr>
          <w:sz w:val="24"/>
          <w:szCs w:val="24"/>
        </w:rPr>
      </w:pPr>
    </w:p>
    <w:p w:rsidR="008D5948" w:rsidRDefault="008D5948" w:rsidP="008D5948">
      <w:pPr>
        <w:ind w:left="851"/>
        <w:rPr>
          <w:sz w:val="24"/>
          <w:szCs w:val="24"/>
        </w:rPr>
      </w:pPr>
      <w:r w:rsidRPr="00543BFE">
        <w:rPr>
          <w:i/>
          <w:sz w:val="24"/>
          <w:szCs w:val="24"/>
        </w:rPr>
        <w:t xml:space="preserve">Patienter med </w:t>
      </w:r>
      <w:proofErr w:type="spellStart"/>
      <w:r w:rsidRPr="00543BFE">
        <w:rPr>
          <w:i/>
          <w:sz w:val="24"/>
          <w:szCs w:val="24"/>
        </w:rPr>
        <w:t>dekompenseret</w:t>
      </w:r>
      <w:proofErr w:type="spellEnd"/>
      <w:r w:rsidRPr="00543BFE">
        <w:rPr>
          <w:i/>
          <w:sz w:val="24"/>
          <w:szCs w:val="24"/>
        </w:rPr>
        <w:t xml:space="preserve"> leversygdom:</w:t>
      </w:r>
      <w:r w:rsidRPr="00543BFE">
        <w:rPr>
          <w:sz w:val="24"/>
          <w:szCs w:val="24"/>
        </w:rPr>
        <w:t xml:space="preserve"> I studie 048 fik 191 patienter med </w:t>
      </w:r>
      <w:proofErr w:type="spellStart"/>
      <w:r w:rsidRPr="00543BFE">
        <w:rPr>
          <w:sz w:val="24"/>
          <w:szCs w:val="24"/>
        </w:rPr>
        <w:t>HBeAg</w:t>
      </w:r>
      <w:proofErr w:type="spellEnd"/>
      <w:r w:rsidRPr="00543BFE">
        <w:rPr>
          <w:sz w:val="24"/>
          <w:szCs w:val="24"/>
        </w:rPr>
        <w:t xml:space="preserve">-positiv eller </w:t>
      </w:r>
      <w:proofErr w:type="spellStart"/>
      <w:r w:rsidRPr="00543BFE">
        <w:rPr>
          <w:sz w:val="24"/>
          <w:szCs w:val="24"/>
        </w:rPr>
        <w:t>HBeAg</w:t>
      </w:r>
      <w:proofErr w:type="spellEnd"/>
      <w:r w:rsidRPr="00543BFE">
        <w:rPr>
          <w:sz w:val="24"/>
          <w:szCs w:val="24"/>
        </w:rPr>
        <w:t xml:space="preserve">-negativ kronisk HBV-infektion og tegn på </w:t>
      </w:r>
      <w:proofErr w:type="spellStart"/>
      <w:r w:rsidRPr="00543BFE">
        <w:rPr>
          <w:sz w:val="24"/>
          <w:szCs w:val="24"/>
        </w:rPr>
        <w:t>hepatisk</w:t>
      </w:r>
      <w:proofErr w:type="spellEnd"/>
      <w:r w:rsidRPr="00543BFE">
        <w:rPr>
          <w:sz w:val="24"/>
          <w:szCs w:val="24"/>
        </w:rPr>
        <w:t xml:space="preserve"> </w:t>
      </w:r>
      <w:proofErr w:type="spellStart"/>
      <w:r w:rsidRPr="00543BFE">
        <w:rPr>
          <w:sz w:val="24"/>
          <w:szCs w:val="24"/>
        </w:rPr>
        <w:t>dekompensation</w:t>
      </w:r>
      <w:proofErr w:type="spellEnd"/>
      <w:r w:rsidRPr="00543BFE">
        <w:rPr>
          <w:sz w:val="24"/>
          <w:szCs w:val="24"/>
        </w:rPr>
        <w:t xml:space="preserve">, defineret som et CTP-tal på 7 eller højere, 1 mg </w:t>
      </w:r>
      <w:proofErr w:type="spellStart"/>
      <w:r w:rsidRPr="00543BFE">
        <w:rPr>
          <w:sz w:val="24"/>
          <w:szCs w:val="24"/>
        </w:rPr>
        <w:t>entecavir</w:t>
      </w:r>
      <w:proofErr w:type="spellEnd"/>
      <w:r w:rsidRPr="00543BFE">
        <w:rPr>
          <w:sz w:val="24"/>
          <w:szCs w:val="24"/>
        </w:rPr>
        <w:t xml:space="preserve"> én gang </w:t>
      </w:r>
      <w:r>
        <w:rPr>
          <w:sz w:val="24"/>
          <w:szCs w:val="24"/>
        </w:rPr>
        <w:t>daglig</w:t>
      </w:r>
      <w:r w:rsidRPr="00543BFE">
        <w:rPr>
          <w:sz w:val="24"/>
          <w:szCs w:val="24"/>
        </w:rPr>
        <w:t xml:space="preserve"> eller 10 mg </w:t>
      </w:r>
      <w:proofErr w:type="spellStart"/>
      <w:r w:rsidRPr="00543BFE">
        <w:rPr>
          <w:sz w:val="24"/>
          <w:szCs w:val="24"/>
        </w:rPr>
        <w:t>adefovirdipivoxil</w:t>
      </w:r>
      <w:proofErr w:type="spellEnd"/>
      <w:r w:rsidRPr="00543BFE">
        <w:rPr>
          <w:sz w:val="24"/>
          <w:szCs w:val="24"/>
        </w:rPr>
        <w:t xml:space="preserve"> én gang </w:t>
      </w:r>
      <w:r>
        <w:rPr>
          <w:sz w:val="24"/>
          <w:szCs w:val="24"/>
        </w:rPr>
        <w:t>daglig</w:t>
      </w:r>
      <w:r w:rsidRPr="00543BFE">
        <w:rPr>
          <w:sz w:val="24"/>
          <w:szCs w:val="24"/>
        </w:rPr>
        <w:t xml:space="preserve">. Patienterne var enten ikke blevet behandlet for HBV tidligere, eller også var de tidligere behandlet (eksklusive tidligere behandling med </w:t>
      </w:r>
      <w:proofErr w:type="spellStart"/>
      <w:r w:rsidRPr="00543BFE">
        <w:rPr>
          <w:sz w:val="24"/>
          <w:szCs w:val="24"/>
        </w:rPr>
        <w:t>entecavir</w:t>
      </w:r>
      <w:proofErr w:type="spellEnd"/>
      <w:r w:rsidRPr="00543BFE">
        <w:rPr>
          <w:sz w:val="24"/>
          <w:szCs w:val="24"/>
        </w:rPr>
        <w:t xml:space="preserve">, </w:t>
      </w:r>
      <w:proofErr w:type="spellStart"/>
      <w:r w:rsidRPr="00543BFE">
        <w:rPr>
          <w:sz w:val="24"/>
          <w:szCs w:val="24"/>
        </w:rPr>
        <w:t>adefovirdipivoxil</w:t>
      </w:r>
      <w:proofErr w:type="spellEnd"/>
      <w:r w:rsidRPr="00543BFE">
        <w:rPr>
          <w:sz w:val="24"/>
          <w:szCs w:val="24"/>
        </w:rPr>
        <w:t xml:space="preserve"> eller </w:t>
      </w:r>
      <w:proofErr w:type="spellStart"/>
      <w:r w:rsidRPr="00543BFE">
        <w:rPr>
          <w:sz w:val="24"/>
          <w:szCs w:val="24"/>
        </w:rPr>
        <w:t>tenofovirdisoproxilfumarat</w:t>
      </w:r>
      <w:proofErr w:type="spellEnd"/>
      <w:r w:rsidRPr="00543BFE">
        <w:rPr>
          <w:sz w:val="24"/>
          <w:szCs w:val="24"/>
        </w:rPr>
        <w:t xml:space="preserve">). Patienterne havde et gennemsnitligt CTP-tal på 8,59 ved baseline, og 26 % af patienterne var i CTP-klasse C. </w:t>
      </w:r>
      <w:proofErr w:type="gramStart"/>
      <w:r w:rsidRPr="00543BFE">
        <w:rPr>
          <w:sz w:val="24"/>
          <w:szCs w:val="24"/>
        </w:rPr>
        <w:t>Det gennemsnitlige score</w:t>
      </w:r>
      <w:proofErr w:type="gramEnd"/>
      <w:r w:rsidRPr="00543BFE">
        <w:rPr>
          <w:sz w:val="24"/>
          <w:szCs w:val="24"/>
        </w:rPr>
        <w:t xml:space="preserve"> for Model for End Stage Liver </w:t>
      </w:r>
      <w:proofErr w:type="spellStart"/>
      <w:r w:rsidRPr="00543BFE">
        <w:rPr>
          <w:sz w:val="24"/>
          <w:szCs w:val="24"/>
        </w:rPr>
        <w:t>Disease</w:t>
      </w:r>
      <w:proofErr w:type="spellEnd"/>
      <w:r w:rsidRPr="00543BFE">
        <w:rPr>
          <w:sz w:val="24"/>
          <w:szCs w:val="24"/>
        </w:rPr>
        <w:t xml:space="preserve"> (MELD) ved baseline var 16,23. Gennemsnitlig serum-HBV-dna ved PCR var 7,83 log</w:t>
      </w:r>
      <w:r w:rsidRPr="00543BFE">
        <w:rPr>
          <w:sz w:val="24"/>
          <w:szCs w:val="24"/>
          <w:vertAlign w:val="subscript"/>
        </w:rPr>
        <w:t>10</w:t>
      </w:r>
      <w:r w:rsidRPr="00543BFE">
        <w:rPr>
          <w:sz w:val="24"/>
          <w:szCs w:val="24"/>
        </w:rPr>
        <w:t xml:space="preserve"> kopier/ml, og gennemsnitlig serum-ALAT var 100 E/l. 54 % af patienterne var </w:t>
      </w:r>
      <w:proofErr w:type="spellStart"/>
      <w:r w:rsidRPr="00543BFE">
        <w:rPr>
          <w:sz w:val="24"/>
          <w:szCs w:val="24"/>
        </w:rPr>
        <w:t>HBeAg</w:t>
      </w:r>
      <w:proofErr w:type="spellEnd"/>
      <w:r w:rsidRPr="00543BFE">
        <w:rPr>
          <w:sz w:val="24"/>
          <w:szCs w:val="24"/>
        </w:rPr>
        <w:t xml:space="preserve">-positive, og 35 % af patienterne havde </w:t>
      </w:r>
      <w:proofErr w:type="spellStart"/>
      <w:r w:rsidRPr="00543BFE">
        <w:rPr>
          <w:sz w:val="24"/>
          <w:szCs w:val="24"/>
        </w:rPr>
        <w:t>LVDr</w:t>
      </w:r>
      <w:proofErr w:type="spellEnd"/>
      <w:r w:rsidRPr="00543BFE">
        <w:rPr>
          <w:sz w:val="24"/>
          <w:szCs w:val="24"/>
        </w:rPr>
        <w:t xml:space="preserve">-substitutioner ved baseline. </w:t>
      </w:r>
      <w:proofErr w:type="spellStart"/>
      <w:r w:rsidRPr="00543BFE">
        <w:rPr>
          <w:sz w:val="24"/>
          <w:szCs w:val="24"/>
        </w:rPr>
        <w:t>Entecavir</w:t>
      </w:r>
      <w:proofErr w:type="spellEnd"/>
      <w:r w:rsidRPr="00543BFE">
        <w:rPr>
          <w:sz w:val="24"/>
          <w:szCs w:val="24"/>
        </w:rPr>
        <w:t xml:space="preserve"> var bedre end </w:t>
      </w:r>
      <w:proofErr w:type="spellStart"/>
      <w:r w:rsidRPr="00543BFE">
        <w:rPr>
          <w:sz w:val="24"/>
          <w:szCs w:val="24"/>
        </w:rPr>
        <w:t>adefovirdipivoxil</w:t>
      </w:r>
      <w:proofErr w:type="spellEnd"/>
      <w:r w:rsidRPr="00543BFE">
        <w:rPr>
          <w:sz w:val="24"/>
          <w:szCs w:val="24"/>
        </w:rPr>
        <w:t xml:space="preserve"> med hensyn til det primære endepunkt, som var gennemsnitlig ændring fra baseline i serum-HBV-dna ved PCR i uge 24. Resultaterne for udvalgte endepunkter fra studiets uge 24 og 48 er vist i tabellen.</w:t>
      </w:r>
    </w:p>
    <w:p w:rsidR="008D5948" w:rsidRDefault="008D5948" w:rsidP="008D5948">
      <w:pPr>
        <w:ind w:left="851"/>
        <w:rPr>
          <w:sz w:val="24"/>
          <w:szCs w:val="24"/>
        </w:rPr>
      </w:pPr>
    </w:p>
    <w:tbl>
      <w:tblPr>
        <w:tblStyle w:val="Tabel-Gitter"/>
        <w:tblW w:w="5000" w:type="pct"/>
        <w:tblLook w:val="04A0" w:firstRow="1" w:lastRow="0" w:firstColumn="1" w:lastColumn="0" w:noHBand="0" w:noVBand="1"/>
      </w:tblPr>
      <w:tblGrid>
        <w:gridCol w:w="2065"/>
        <w:gridCol w:w="1847"/>
        <w:gridCol w:w="1933"/>
        <w:gridCol w:w="1852"/>
        <w:gridCol w:w="1931"/>
      </w:tblGrid>
      <w:tr w:rsidR="008D5948" w:rsidRPr="003D542B" w:rsidTr="002574EE">
        <w:tc>
          <w:tcPr>
            <w:tcW w:w="1072" w:type="pct"/>
          </w:tcPr>
          <w:p w:rsidR="008D5948" w:rsidRPr="003D542B" w:rsidRDefault="008D5948" w:rsidP="002574EE">
            <w:pPr>
              <w:rPr>
                <w:sz w:val="22"/>
                <w:szCs w:val="22"/>
              </w:rPr>
            </w:pPr>
          </w:p>
        </w:tc>
        <w:tc>
          <w:tcPr>
            <w:tcW w:w="1963" w:type="pct"/>
            <w:gridSpan w:val="2"/>
          </w:tcPr>
          <w:p w:rsidR="008D5948" w:rsidRPr="003D542B" w:rsidRDefault="008D5948" w:rsidP="002574EE">
            <w:pPr>
              <w:jc w:val="center"/>
              <w:rPr>
                <w:sz w:val="22"/>
                <w:szCs w:val="22"/>
              </w:rPr>
            </w:pPr>
            <w:r w:rsidRPr="003D542B">
              <w:rPr>
                <w:rFonts w:eastAsia="Calibri"/>
                <w:sz w:val="22"/>
                <w:szCs w:val="22"/>
              </w:rPr>
              <w:t>Uge</w:t>
            </w:r>
            <w:r w:rsidRPr="003D542B">
              <w:rPr>
                <w:rFonts w:eastAsia="Calibri"/>
                <w:spacing w:val="16"/>
                <w:sz w:val="22"/>
                <w:szCs w:val="22"/>
              </w:rPr>
              <w:t xml:space="preserve"> </w:t>
            </w:r>
            <w:r w:rsidRPr="003D542B">
              <w:rPr>
                <w:rFonts w:eastAsia="Calibri"/>
                <w:w w:val="103"/>
                <w:sz w:val="22"/>
                <w:szCs w:val="22"/>
              </w:rPr>
              <w:t>24</w:t>
            </w:r>
          </w:p>
        </w:tc>
        <w:tc>
          <w:tcPr>
            <w:tcW w:w="1965" w:type="pct"/>
            <w:gridSpan w:val="2"/>
          </w:tcPr>
          <w:p w:rsidR="008D5948" w:rsidRPr="003D542B" w:rsidRDefault="008D5948" w:rsidP="002574EE">
            <w:pPr>
              <w:jc w:val="center"/>
              <w:rPr>
                <w:sz w:val="22"/>
                <w:szCs w:val="22"/>
              </w:rPr>
            </w:pPr>
            <w:r w:rsidRPr="003D542B">
              <w:rPr>
                <w:rFonts w:eastAsia="Calibri"/>
                <w:sz w:val="22"/>
                <w:szCs w:val="22"/>
              </w:rPr>
              <w:t>Uge</w:t>
            </w:r>
            <w:r w:rsidRPr="003D542B">
              <w:rPr>
                <w:rFonts w:eastAsia="Calibri"/>
                <w:spacing w:val="16"/>
                <w:sz w:val="22"/>
                <w:szCs w:val="22"/>
              </w:rPr>
              <w:t xml:space="preserve"> </w:t>
            </w:r>
            <w:r w:rsidRPr="003D542B">
              <w:rPr>
                <w:rFonts w:eastAsia="Calibri"/>
                <w:spacing w:val="1"/>
                <w:w w:val="103"/>
                <w:sz w:val="22"/>
                <w:szCs w:val="22"/>
              </w:rPr>
              <w:t>4</w:t>
            </w:r>
            <w:r w:rsidRPr="003D542B">
              <w:rPr>
                <w:rFonts w:eastAsia="Calibri"/>
                <w:w w:val="103"/>
                <w:sz w:val="22"/>
                <w:szCs w:val="22"/>
              </w:rPr>
              <w:t>8</w:t>
            </w:r>
          </w:p>
        </w:tc>
      </w:tr>
      <w:tr w:rsidR="008D5948" w:rsidRPr="003D542B" w:rsidTr="002574EE">
        <w:tc>
          <w:tcPr>
            <w:tcW w:w="1072" w:type="pct"/>
          </w:tcPr>
          <w:p w:rsidR="008D5948" w:rsidRPr="003D542B" w:rsidRDefault="008D5948" w:rsidP="002574EE">
            <w:pPr>
              <w:rPr>
                <w:sz w:val="22"/>
                <w:szCs w:val="22"/>
              </w:rPr>
            </w:pPr>
          </w:p>
        </w:tc>
        <w:tc>
          <w:tcPr>
            <w:tcW w:w="959" w:type="pct"/>
          </w:tcPr>
          <w:p w:rsidR="008D5948" w:rsidRPr="003D542B" w:rsidRDefault="008D5948" w:rsidP="002574EE">
            <w:pPr>
              <w:jc w:val="center"/>
              <w:rPr>
                <w:rFonts w:eastAsia="Calibri"/>
                <w:sz w:val="22"/>
                <w:szCs w:val="22"/>
              </w:rPr>
            </w:pPr>
          </w:p>
          <w:p w:rsidR="008D5948" w:rsidRPr="003D542B" w:rsidRDefault="008D5948" w:rsidP="002574EE">
            <w:pPr>
              <w:jc w:val="center"/>
              <w:rPr>
                <w:rFonts w:eastAsia="Calibri"/>
                <w:sz w:val="22"/>
                <w:szCs w:val="22"/>
              </w:rPr>
            </w:pPr>
            <w:r w:rsidRPr="003D542B">
              <w:rPr>
                <w:rFonts w:eastAsia="Calibri"/>
                <w:w w:val="103"/>
                <w:sz w:val="22"/>
                <w:szCs w:val="22"/>
              </w:rPr>
              <w:t>E</w:t>
            </w:r>
            <w:r w:rsidRPr="003D542B">
              <w:rPr>
                <w:rFonts w:eastAsia="Calibri"/>
                <w:spacing w:val="1"/>
                <w:w w:val="103"/>
                <w:sz w:val="22"/>
                <w:szCs w:val="22"/>
              </w:rPr>
              <w:t>T</w:t>
            </w:r>
            <w:r w:rsidRPr="003D542B">
              <w:rPr>
                <w:rFonts w:eastAsia="Calibri"/>
                <w:w w:val="103"/>
                <w:sz w:val="22"/>
                <w:szCs w:val="22"/>
              </w:rPr>
              <w:t>V</w:t>
            </w:r>
          </w:p>
          <w:p w:rsidR="008D5948" w:rsidRPr="003D542B" w:rsidRDefault="008D5948" w:rsidP="002574EE">
            <w:pPr>
              <w:jc w:val="center"/>
              <w:rPr>
                <w:sz w:val="22"/>
                <w:szCs w:val="22"/>
              </w:rPr>
            </w:pPr>
            <w:r w:rsidRPr="003D542B">
              <w:rPr>
                <w:rFonts w:eastAsia="Calibri"/>
                <w:sz w:val="22"/>
                <w:szCs w:val="22"/>
              </w:rPr>
              <w:t>1</w:t>
            </w:r>
            <w:r w:rsidRPr="003D542B">
              <w:rPr>
                <w:rFonts w:eastAsia="Calibri"/>
                <w:spacing w:val="5"/>
                <w:sz w:val="22"/>
                <w:szCs w:val="22"/>
              </w:rPr>
              <w:t xml:space="preserve"> </w:t>
            </w:r>
            <w:r w:rsidRPr="003D542B">
              <w:rPr>
                <w:rFonts w:eastAsia="Calibri"/>
                <w:spacing w:val="-1"/>
                <w:sz w:val="22"/>
                <w:szCs w:val="22"/>
              </w:rPr>
              <w:t>mg</w:t>
            </w:r>
            <w:r w:rsidRPr="003D542B">
              <w:rPr>
                <w:rFonts w:eastAsia="Calibri"/>
                <w:spacing w:val="8"/>
                <w:sz w:val="22"/>
                <w:szCs w:val="22"/>
              </w:rPr>
              <w:t xml:space="preserve"> </w:t>
            </w:r>
            <w:r w:rsidRPr="003D542B">
              <w:rPr>
                <w:rFonts w:eastAsia="Calibri"/>
                <w:spacing w:val="-1"/>
                <w:sz w:val="22"/>
                <w:szCs w:val="22"/>
              </w:rPr>
              <w:t>én gang daglig</w:t>
            </w:r>
          </w:p>
        </w:tc>
        <w:tc>
          <w:tcPr>
            <w:tcW w:w="1004" w:type="pct"/>
          </w:tcPr>
          <w:p w:rsidR="008D5948" w:rsidRPr="003D542B" w:rsidRDefault="008D5948" w:rsidP="002574EE">
            <w:pPr>
              <w:jc w:val="center"/>
              <w:rPr>
                <w:sz w:val="22"/>
                <w:szCs w:val="22"/>
              </w:rPr>
            </w:pPr>
            <w:proofErr w:type="spellStart"/>
            <w:r w:rsidRPr="003D542B">
              <w:rPr>
                <w:rFonts w:eastAsia="Calibri"/>
                <w:w w:val="103"/>
                <w:sz w:val="22"/>
                <w:szCs w:val="22"/>
              </w:rPr>
              <w:t>A</w:t>
            </w:r>
            <w:r w:rsidRPr="003D542B">
              <w:rPr>
                <w:rFonts w:eastAsia="Calibri"/>
                <w:spacing w:val="-1"/>
                <w:w w:val="103"/>
                <w:sz w:val="22"/>
                <w:szCs w:val="22"/>
              </w:rPr>
              <w:t>d</w:t>
            </w:r>
            <w:r w:rsidRPr="003D542B">
              <w:rPr>
                <w:rFonts w:eastAsia="Calibri"/>
                <w:w w:val="103"/>
                <w:sz w:val="22"/>
                <w:szCs w:val="22"/>
              </w:rPr>
              <w:t>e</w:t>
            </w:r>
            <w:r w:rsidRPr="003D542B">
              <w:rPr>
                <w:rFonts w:eastAsia="Calibri"/>
                <w:spacing w:val="2"/>
                <w:w w:val="103"/>
                <w:sz w:val="22"/>
                <w:szCs w:val="22"/>
              </w:rPr>
              <w:t>f</w:t>
            </w:r>
            <w:r w:rsidRPr="003D542B">
              <w:rPr>
                <w:rFonts w:eastAsia="Calibri"/>
                <w:w w:val="103"/>
                <w:sz w:val="22"/>
                <w:szCs w:val="22"/>
              </w:rPr>
              <w:t>ovir-dipivoxil</w:t>
            </w:r>
            <w:proofErr w:type="spellEnd"/>
            <w:r w:rsidRPr="003D542B">
              <w:rPr>
                <w:rFonts w:eastAsia="Calibri"/>
                <w:w w:val="103"/>
                <w:sz w:val="22"/>
                <w:szCs w:val="22"/>
              </w:rPr>
              <w:t xml:space="preserve"> </w:t>
            </w:r>
            <w:r w:rsidRPr="003D542B">
              <w:rPr>
                <w:rFonts w:eastAsia="Calibri"/>
                <w:sz w:val="22"/>
                <w:szCs w:val="22"/>
              </w:rPr>
              <w:t>10</w:t>
            </w:r>
            <w:r w:rsidRPr="003D542B">
              <w:rPr>
                <w:rFonts w:eastAsia="Calibri"/>
                <w:spacing w:val="10"/>
                <w:sz w:val="22"/>
                <w:szCs w:val="22"/>
              </w:rPr>
              <w:t xml:space="preserve"> </w:t>
            </w:r>
            <w:r w:rsidRPr="003D542B">
              <w:rPr>
                <w:rFonts w:eastAsia="Calibri"/>
                <w:spacing w:val="-2"/>
                <w:w w:val="103"/>
                <w:sz w:val="22"/>
                <w:szCs w:val="22"/>
              </w:rPr>
              <w:t>m</w:t>
            </w:r>
            <w:r w:rsidRPr="003D542B">
              <w:rPr>
                <w:rFonts w:eastAsia="Calibri"/>
                <w:w w:val="103"/>
                <w:sz w:val="22"/>
                <w:szCs w:val="22"/>
              </w:rPr>
              <w:t xml:space="preserve">g </w:t>
            </w:r>
            <w:r w:rsidRPr="003D542B">
              <w:rPr>
                <w:rFonts w:eastAsia="Calibri"/>
                <w:sz w:val="22"/>
                <w:szCs w:val="22"/>
              </w:rPr>
              <w:t>én gang daglig</w:t>
            </w:r>
          </w:p>
        </w:tc>
        <w:tc>
          <w:tcPr>
            <w:tcW w:w="962" w:type="pct"/>
          </w:tcPr>
          <w:p w:rsidR="008D5948" w:rsidRPr="003D542B" w:rsidRDefault="008D5948" w:rsidP="002574EE">
            <w:pPr>
              <w:jc w:val="center"/>
              <w:rPr>
                <w:rFonts w:eastAsia="Calibri"/>
                <w:sz w:val="22"/>
                <w:szCs w:val="22"/>
              </w:rPr>
            </w:pPr>
          </w:p>
          <w:p w:rsidR="008D5948" w:rsidRPr="003D542B" w:rsidRDefault="008D5948" w:rsidP="002574EE">
            <w:pPr>
              <w:jc w:val="center"/>
              <w:rPr>
                <w:rFonts w:eastAsia="Calibri"/>
                <w:sz w:val="22"/>
                <w:szCs w:val="22"/>
              </w:rPr>
            </w:pPr>
            <w:r w:rsidRPr="003D542B">
              <w:rPr>
                <w:rFonts w:eastAsia="Calibri"/>
                <w:w w:val="103"/>
                <w:sz w:val="22"/>
                <w:szCs w:val="22"/>
              </w:rPr>
              <w:t>ETV</w:t>
            </w:r>
          </w:p>
          <w:p w:rsidR="008D5948" w:rsidRPr="003D542B" w:rsidRDefault="008D5948" w:rsidP="002574EE">
            <w:pPr>
              <w:jc w:val="center"/>
              <w:rPr>
                <w:sz w:val="22"/>
                <w:szCs w:val="22"/>
              </w:rPr>
            </w:pPr>
            <w:r w:rsidRPr="003D542B">
              <w:rPr>
                <w:rFonts w:eastAsia="Calibri"/>
                <w:sz w:val="22"/>
                <w:szCs w:val="22"/>
              </w:rPr>
              <w:t>1</w:t>
            </w:r>
            <w:r w:rsidRPr="003D542B">
              <w:rPr>
                <w:rFonts w:eastAsia="Calibri"/>
                <w:spacing w:val="5"/>
                <w:sz w:val="22"/>
                <w:szCs w:val="22"/>
              </w:rPr>
              <w:t xml:space="preserve"> </w:t>
            </w:r>
            <w:r w:rsidRPr="003D542B">
              <w:rPr>
                <w:rFonts w:eastAsia="Calibri"/>
                <w:spacing w:val="-1"/>
                <w:sz w:val="22"/>
                <w:szCs w:val="22"/>
              </w:rPr>
              <w:t>mg</w:t>
            </w:r>
            <w:r w:rsidRPr="003D542B">
              <w:rPr>
                <w:rFonts w:eastAsia="Calibri"/>
                <w:spacing w:val="8"/>
                <w:sz w:val="22"/>
                <w:szCs w:val="22"/>
              </w:rPr>
              <w:t xml:space="preserve"> </w:t>
            </w:r>
            <w:r w:rsidRPr="003D542B">
              <w:rPr>
                <w:rFonts w:eastAsia="Calibri"/>
                <w:spacing w:val="-1"/>
                <w:w w:val="103"/>
                <w:sz w:val="22"/>
                <w:szCs w:val="22"/>
              </w:rPr>
              <w:t>én gang daglig</w:t>
            </w:r>
          </w:p>
        </w:tc>
        <w:tc>
          <w:tcPr>
            <w:tcW w:w="1003" w:type="pct"/>
          </w:tcPr>
          <w:p w:rsidR="008D5948" w:rsidRPr="003D542B" w:rsidRDefault="008D5948" w:rsidP="002574EE">
            <w:pPr>
              <w:jc w:val="center"/>
              <w:rPr>
                <w:sz w:val="22"/>
                <w:szCs w:val="22"/>
              </w:rPr>
            </w:pPr>
            <w:proofErr w:type="spellStart"/>
            <w:r w:rsidRPr="003D542B">
              <w:rPr>
                <w:rFonts w:eastAsia="Calibri"/>
                <w:w w:val="103"/>
                <w:sz w:val="22"/>
                <w:szCs w:val="22"/>
              </w:rPr>
              <w:t>A</w:t>
            </w:r>
            <w:r w:rsidRPr="003D542B">
              <w:rPr>
                <w:rFonts w:eastAsia="Calibri"/>
                <w:spacing w:val="-1"/>
                <w:w w:val="103"/>
                <w:sz w:val="22"/>
                <w:szCs w:val="22"/>
              </w:rPr>
              <w:t>d</w:t>
            </w:r>
            <w:r w:rsidRPr="003D542B">
              <w:rPr>
                <w:rFonts w:eastAsia="Calibri"/>
                <w:w w:val="103"/>
                <w:sz w:val="22"/>
                <w:szCs w:val="22"/>
              </w:rPr>
              <w:t>e</w:t>
            </w:r>
            <w:r w:rsidRPr="003D542B">
              <w:rPr>
                <w:rFonts w:eastAsia="Calibri"/>
                <w:spacing w:val="2"/>
                <w:w w:val="103"/>
                <w:sz w:val="22"/>
                <w:szCs w:val="22"/>
              </w:rPr>
              <w:t>f</w:t>
            </w:r>
            <w:r w:rsidRPr="003D542B">
              <w:rPr>
                <w:rFonts w:eastAsia="Calibri"/>
                <w:w w:val="103"/>
                <w:sz w:val="22"/>
                <w:szCs w:val="22"/>
              </w:rPr>
              <w:t>ovir-dipivoxil</w:t>
            </w:r>
            <w:proofErr w:type="spellEnd"/>
            <w:r w:rsidRPr="003D542B">
              <w:rPr>
                <w:rFonts w:eastAsia="Calibri"/>
                <w:w w:val="103"/>
                <w:sz w:val="22"/>
                <w:szCs w:val="22"/>
              </w:rPr>
              <w:t xml:space="preserve"> </w:t>
            </w:r>
            <w:r w:rsidRPr="003D542B">
              <w:rPr>
                <w:rFonts w:eastAsia="Calibri"/>
                <w:sz w:val="22"/>
                <w:szCs w:val="22"/>
              </w:rPr>
              <w:t>10</w:t>
            </w:r>
            <w:r w:rsidRPr="003D542B">
              <w:rPr>
                <w:rFonts w:eastAsia="Calibri"/>
                <w:spacing w:val="10"/>
                <w:sz w:val="22"/>
                <w:szCs w:val="22"/>
              </w:rPr>
              <w:t xml:space="preserve"> </w:t>
            </w:r>
            <w:r w:rsidRPr="003D542B">
              <w:rPr>
                <w:rFonts w:eastAsia="Calibri"/>
                <w:spacing w:val="-2"/>
                <w:w w:val="103"/>
                <w:sz w:val="22"/>
                <w:szCs w:val="22"/>
              </w:rPr>
              <w:t>m</w:t>
            </w:r>
            <w:r w:rsidRPr="003D542B">
              <w:rPr>
                <w:rFonts w:eastAsia="Calibri"/>
                <w:w w:val="103"/>
                <w:sz w:val="22"/>
                <w:szCs w:val="22"/>
              </w:rPr>
              <w:t xml:space="preserve">g </w:t>
            </w:r>
            <w:r w:rsidRPr="003D542B">
              <w:rPr>
                <w:rFonts w:eastAsia="Calibri"/>
                <w:sz w:val="22"/>
                <w:szCs w:val="22"/>
              </w:rPr>
              <w:t>én gang daglig</w:t>
            </w:r>
          </w:p>
        </w:tc>
      </w:tr>
      <w:tr w:rsidR="008D5948" w:rsidRPr="003D542B" w:rsidTr="002574EE">
        <w:tc>
          <w:tcPr>
            <w:tcW w:w="1072" w:type="pct"/>
          </w:tcPr>
          <w:p w:rsidR="008D5948" w:rsidRPr="003D542B" w:rsidRDefault="008D5948" w:rsidP="002574EE">
            <w:pPr>
              <w:rPr>
                <w:sz w:val="22"/>
                <w:szCs w:val="22"/>
              </w:rPr>
            </w:pPr>
            <w:r w:rsidRPr="003D542B">
              <w:rPr>
                <w:sz w:val="22"/>
                <w:szCs w:val="22"/>
              </w:rPr>
              <w:t>n</w:t>
            </w:r>
          </w:p>
        </w:tc>
        <w:tc>
          <w:tcPr>
            <w:tcW w:w="959" w:type="pct"/>
          </w:tcPr>
          <w:p w:rsidR="008D5948" w:rsidRPr="003D542B" w:rsidRDefault="008D5948" w:rsidP="002574EE">
            <w:pPr>
              <w:jc w:val="center"/>
              <w:rPr>
                <w:sz w:val="22"/>
                <w:szCs w:val="22"/>
              </w:rPr>
            </w:pPr>
            <w:r w:rsidRPr="003D542B">
              <w:rPr>
                <w:sz w:val="22"/>
                <w:szCs w:val="22"/>
              </w:rPr>
              <w:t>100</w:t>
            </w:r>
          </w:p>
        </w:tc>
        <w:tc>
          <w:tcPr>
            <w:tcW w:w="1004" w:type="pct"/>
          </w:tcPr>
          <w:p w:rsidR="008D5948" w:rsidRPr="003D542B" w:rsidRDefault="008D5948" w:rsidP="002574EE">
            <w:pPr>
              <w:jc w:val="center"/>
              <w:rPr>
                <w:sz w:val="22"/>
                <w:szCs w:val="22"/>
              </w:rPr>
            </w:pPr>
            <w:r w:rsidRPr="003D542B">
              <w:rPr>
                <w:sz w:val="22"/>
                <w:szCs w:val="22"/>
              </w:rPr>
              <w:t>91</w:t>
            </w:r>
          </w:p>
        </w:tc>
        <w:tc>
          <w:tcPr>
            <w:tcW w:w="962" w:type="pct"/>
          </w:tcPr>
          <w:p w:rsidR="008D5948" w:rsidRPr="003D542B" w:rsidRDefault="008D5948" w:rsidP="002574EE">
            <w:pPr>
              <w:jc w:val="center"/>
              <w:rPr>
                <w:sz w:val="22"/>
                <w:szCs w:val="22"/>
              </w:rPr>
            </w:pPr>
            <w:r w:rsidRPr="003D542B">
              <w:rPr>
                <w:sz w:val="22"/>
                <w:szCs w:val="22"/>
              </w:rPr>
              <w:t>100</w:t>
            </w:r>
          </w:p>
        </w:tc>
        <w:tc>
          <w:tcPr>
            <w:tcW w:w="1003" w:type="pct"/>
          </w:tcPr>
          <w:p w:rsidR="008D5948" w:rsidRPr="003D542B" w:rsidRDefault="008D5948" w:rsidP="002574EE">
            <w:pPr>
              <w:jc w:val="center"/>
              <w:rPr>
                <w:sz w:val="22"/>
                <w:szCs w:val="22"/>
              </w:rPr>
            </w:pPr>
            <w:r w:rsidRPr="003D542B">
              <w:rPr>
                <w:sz w:val="22"/>
                <w:szCs w:val="22"/>
              </w:rPr>
              <w:t>91</w:t>
            </w:r>
          </w:p>
        </w:tc>
      </w:tr>
      <w:tr w:rsidR="008D5948" w:rsidRPr="003D542B" w:rsidTr="002574EE">
        <w:tc>
          <w:tcPr>
            <w:tcW w:w="1072" w:type="pct"/>
          </w:tcPr>
          <w:p w:rsidR="008D5948" w:rsidRPr="003D542B" w:rsidRDefault="008D5948" w:rsidP="002574EE">
            <w:pPr>
              <w:rPr>
                <w:sz w:val="22"/>
                <w:szCs w:val="22"/>
              </w:rPr>
            </w:pPr>
            <w:r w:rsidRPr="003D542B">
              <w:rPr>
                <w:rFonts w:eastAsia="Calibri"/>
                <w:sz w:val="22"/>
                <w:szCs w:val="22"/>
                <w:lang w:bidi="he-IL"/>
              </w:rPr>
              <w:t>HBV-</w:t>
            </w:r>
            <w:proofErr w:type="spellStart"/>
            <w:r w:rsidRPr="003D542B">
              <w:rPr>
                <w:rFonts w:eastAsia="Calibri"/>
                <w:sz w:val="22"/>
                <w:szCs w:val="22"/>
                <w:lang w:bidi="he-IL"/>
              </w:rPr>
              <w:t>dna</w:t>
            </w:r>
            <w:r w:rsidRPr="003D542B">
              <w:rPr>
                <w:rFonts w:eastAsia="Calibri"/>
                <w:sz w:val="22"/>
                <w:szCs w:val="22"/>
                <w:vertAlign w:val="superscript"/>
                <w:lang w:bidi="he-IL"/>
              </w:rPr>
              <w:t>a</w:t>
            </w:r>
            <w:proofErr w:type="spellEnd"/>
          </w:p>
        </w:tc>
        <w:tc>
          <w:tcPr>
            <w:tcW w:w="959" w:type="pct"/>
          </w:tcPr>
          <w:p w:rsidR="008D5948" w:rsidRPr="003D542B" w:rsidRDefault="008D5948" w:rsidP="002574EE">
            <w:pPr>
              <w:jc w:val="center"/>
              <w:rPr>
                <w:sz w:val="22"/>
                <w:szCs w:val="22"/>
              </w:rPr>
            </w:pPr>
          </w:p>
        </w:tc>
        <w:tc>
          <w:tcPr>
            <w:tcW w:w="1004" w:type="pct"/>
          </w:tcPr>
          <w:p w:rsidR="008D5948" w:rsidRPr="003D542B" w:rsidRDefault="008D5948" w:rsidP="002574EE">
            <w:pPr>
              <w:jc w:val="center"/>
              <w:rPr>
                <w:sz w:val="22"/>
                <w:szCs w:val="22"/>
              </w:rPr>
            </w:pPr>
          </w:p>
        </w:tc>
        <w:tc>
          <w:tcPr>
            <w:tcW w:w="962" w:type="pct"/>
          </w:tcPr>
          <w:p w:rsidR="008D5948" w:rsidRPr="003D542B" w:rsidRDefault="008D5948" w:rsidP="002574EE">
            <w:pPr>
              <w:jc w:val="center"/>
              <w:rPr>
                <w:sz w:val="22"/>
                <w:szCs w:val="22"/>
              </w:rPr>
            </w:pPr>
          </w:p>
        </w:tc>
        <w:tc>
          <w:tcPr>
            <w:tcW w:w="1003" w:type="pct"/>
          </w:tcPr>
          <w:p w:rsidR="008D5948" w:rsidRPr="003D542B" w:rsidRDefault="008D5948" w:rsidP="002574EE">
            <w:pPr>
              <w:jc w:val="center"/>
              <w:rPr>
                <w:sz w:val="22"/>
                <w:szCs w:val="22"/>
              </w:rPr>
            </w:pPr>
          </w:p>
        </w:tc>
      </w:tr>
      <w:tr w:rsidR="008D5948" w:rsidRPr="003D542B" w:rsidTr="002574EE">
        <w:tc>
          <w:tcPr>
            <w:tcW w:w="1072" w:type="pct"/>
          </w:tcPr>
          <w:p w:rsidR="008D5948" w:rsidRPr="003D542B" w:rsidRDefault="008D5948" w:rsidP="002574EE">
            <w:pPr>
              <w:rPr>
                <w:rFonts w:eastAsia="Calibri"/>
                <w:w w:val="101"/>
                <w:position w:val="9"/>
                <w:sz w:val="22"/>
                <w:szCs w:val="22"/>
              </w:rPr>
            </w:pPr>
            <w:r w:rsidRPr="003D542B">
              <w:rPr>
                <w:rFonts w:eastAsia="Calibri"/>
                <w:w w:val="101"/>
                <w:position w:val="9"/>
                <w:sz w:val="22"/>
                <w:szCs w:val="22"/>
              </w:rPr>
              <w:t>Ikke-</w:t>
            </w:r>
            <w:proofErr w:type="spellStart"/>
            <w:r w:rsidRPr="003D542B">
              <w:rPr>
                <w:rFonts w:eastAsia="Calibri"/>
                <w:w w:val="101"/>
                <w:position w:val="9"/>
                <w:sz w:val="22"/>
                <w:szCs w:val="22"/>
              </w:rPr>
              <w:t>detekterbart</w:t>
            </w:r>
            <w:proofErr w:type="spellEnd"/>
            <w:r w:rsidRPr="003D542B">
              <w:rPr>
                <w:rFonts w:eastAsia="Calibri"/>
                <w:w w:val="101"/>
                <w:position w:val="9"/>
                <w:sz w:val="22"/>
                <w:szCs w:val="22"/>
              </w:rPr>
              <w:t xml:space="preserve"> niveau (&lt; 300</w:t>
            </w:r>
          </w:p>
          <w:p w:rsidR="008D5948" w:rsidRPr="003D542B" w:rsidRDefault="008D5948" w:rsidP="002574EE">
            <w:pPr>
              <w:rPr>
                <w:rFonts w:eastAsia="Calibri"/>
                <w:sz w:val="22"/>
                <w:szCs w:val="22"/>
                <w:lang w:bidi="he-IL"/>
              </w:rPr>
            </w:pPr>
            <w:r w:rsidRPr="003D542B">
              <w:rPr>
                <w:rFonts w:eastAsia="Calibri"/>
                <w:w w:val="101"/>
                <w:position w:val="9"/>
                <w:sz w:val="22"/>
                <w:szCs w:val="22"/>
              </w:rPr>
              <w:t>kopier/</w:t>
            </w:r>
            <w:proofErr w:type="gramStart"/>
            <w:r w:rsidRPr="003D542B">
              <w:rPr>
                <w:rFonts w:eastAsia="Calibri"/>
                <w:w w:val="101"/>
                <w:position w:val="9"/>
                <w:sz w:val="22"/>
                <w:szCs w:val="22"/>
              </w:rPr>
              <w:t>ml)</w:t>
            </w:r>
            <w:r w:rsidRPr="003D542B">
              <w:rPr>
                <w:rFonts w:eastAsia="Calibri"/>
                <w:w w:val="101"/>
                <w:position w:val="9"/>
                <w:sz w:val="22"/>
                <w:szCs w:val="22"/>
                <w:vertAlign w:val="superscript"/>
              </w:rPr>
              <w:t>b</w:t>
            </w:r>
            <w:proofErr w:type="gramEnd"/>
          </w:p>
        </w:tc>
        <w:tc>
          <w:tcPr>
            <w:tcW w:w="959" w:type="pct"/>
          </w:tcPr>
          <w:p w:rsidR="008D5948" w:rsidRPr="003D542B" w:rsidRDefault="008D5948" w:rsidP="002574EE">
            <w:pPr>
              <w:jc w:val="center"/>
              <w:rPr>
                <w:sz w:val="22"/>
                <w:szCs w:val="22"/>
              </w:rPr>
            </w:pPr>
            <w:r w:rsidRPr="003D542B">
              <w:rPr>
                <w:rFonts w:eastAsia="Calibri"/>
                <w:w w:val="103"/>
                <w:sz w:val="22"/>
                <w:szCs w:val="22"/>
              </w:rPr>
              <w:t xml:space="preserve">49 </w:t>
            </w:r>
            <w:r w:rsidRPr="003D542B">
              <w:rPr>
                <w:rFonts w:eastAsia="Calibri"/>
                <w:spacing w:val="1"/>
                <w:w w:val="103"/>
                <w:sz w:val="22"/>
                <w:szCs w:val="22"/>
              </w:rPr>
              <w:t>%</w:t>
            </w:r>
            <w:r w:rsidRPr="003D542B">
              <w:rPr>
                <w:rFonts w:eastAsia="Calibri"/>
                <w:w w:val="103"/>
                <w:sz w:val="22"/>
                <w:szCs w:val="22"/>
              </w:rPr>
              <w:t>*</w:t>
            </w:r>
          </w:p>
        </w:tc>
        <w:tc>
          <w:tcPr>
            <w:tcW w:w="1004" w:type="pct"/>
          </w:tcPr>
          <w:p w:rsidR="008D5948" w:rsidRPr="003D542B" w:rsidRDefault="008D5948" w:rsidP="002574EE">
            <w:pPr>
              <w:jc w:val="center"/>
              <w:rPr>
                <w:sz w:val="22"/>
                <w:szCs w:val="22"/>
              </w:rPr>
            </w:pPr>
            <w:r w:rsidRPr="003D542B">
              <w:rPr>
                <w:rFonts w:eastAsia="Calibri"/>
                <w:spacing w:val="-1"/>
                <w:w w:val="103"/>
                <w:sz w:val="22"/>
                <w:szCs w:val="22"/>
              </w:rPr>
              <w:t>1</w:t>
            </w:r>
            <w:r w:rsidRPr="003D542B">
              <w:rPr>
                <w:rFonts w:eastAsia="Calibri"/>
                <w:spacing w:val="1"/>
                <w:w w:val="103"/>
                <w:sz w:val="22"/>
                <w:szCs w:val="22"/>
              </w:rPr>
              <w:t xml:space="preserve">6 </w:t>
            </w:r>
            <w:r w:rsidRPr="003D542B">
              <w:rPr>
                <w:rFonts w:eastAsia="Calibri"/>
                <w:w w:val="103"/>
                <w:sz w:val="22"/>
                <w:szCs w:val="22"/>
              </w:rPr>
              <w:t>%</w:t>
            </w:r>
          </w:p>
        </w:tc>
        <w:tc>
          <w:tcPr>
            <w:tcW w:w="962" w:type="pct"/>
          </w:tcPr>
          <w:p w:rsidR="008D5948" w:rsidRPr="003D542B" w:rsidRDefault="008D5948" w:rsidP="002574EE">
            <w:pPr>
              <w:jc w:val="center"/>
              <w:rPr>
                <w:sz w:val="22"/>
                <w:szCs w:val="22"/>
              </w:rPr>
            </w:pPr>
            <w:r w:rsidRPr="003D542B">
              <w:rPr>
                <w:rFonts w:eastAsia="Calibri"/>
                <w:spacing w:val="-1"/>
                <w:w w:val="103"/>
                <w:sz w:val="22"/>
                <w:szCs w:val="22"/>
              </w:rPr>
              <w:t>5</w:t>
            </w:r>
            <w:r w:rsidRPr="003D542B">
              <w:rPr>
                <w:rFonts w:eastAsia="Calibri"/>
                <w:spacing w:val="1"/>
                <w:w w:val="103"/>
                <w:sz w:val="22"/>
                <w:szCs w:val="22"/>
              </w:rPr>
              <w:t>7 %</w:t>
            </w:r>
            <w:r w:rsidRPr="003D542B">
              <w:rPr>
                <w:rFonts w:eastAsia="Calibri"/>
                <w:w w:val="103"/>
                <w:sz w:val="22"/>
                <w:szCs w:val="22"/>
              </w:rPr>
              <w:t>*</w:t>
            </w:r>
          </w:p>
        </w:tc>
        <w:tc>
          <w:tcPr>
            <w:tcW w:w="1003" w:type="pct"/>
          </w:tcPr>
          <w:p w:rsidR="008D5948" w:rsidRPr="003D542B" w:rsidRDefault="008D5948" w:rsidP="002574EE">
            <w:pPr>
              <w:jc w:val="center"/>
              <w:rPr>
                <w:sz w:val="22"/>
                <w:szCs w:val="22"/>
              </w:rPr>
            </w:pPr>
            <w:r w:rsidRPr="003D542B">
              <w:rPr>
                <w:rFonts w:eastAsia="Calibri"/>
                <w:spacing w:val="-1"/>
                <w:w w:val="103"/>
                <w:sz w:val="22"/>
                <w:szCs w:val="22"/>
              </w:rPr>
              <w:t>2</w:t>
            </w:r>
            <w:r w:rsidRPr="003D542B">
              <w:rPr>
                <w:rFonts w:eastAsia="Calibri"/>
                <w:spacing w:val="1"/>
                <w:w w:val="103"/>
                <w:sz w:val="22"/>
                <w:szCs w:val="22"/>
              </w:rPr>
              <w:t xml:space="preserve">0 </w:t>
            </w:r>
            <w:r w:rsidRPr="003D542B">
              <w:rPr>
                <w:rFonts w:eastAsia="Calibri"/>
                <w:w w:val="103"/>
                <w:sz w:val="22"/>
                <w:szCs w:val="22"/>
              </w:rPr>
              <w:t>%</w:t>
            </w:r>
          </w:p>
        </w:tc>
      </w:tr>
      <w:tr w:rsidR="008D5948" w:rsidRPr="003D542B" w:rsidTr="002574EE">
        <w:tc>
          <w:tcPr>
            <w:tcW w:w="1072" w:type="pct"/>
          </w:tcPr>
          <w:p w:rsidR="008D5948" w:rsidRPr="003D542B" w:rsidRDefault="008D5948" w:rsidP="002574EE">
            <w:pPr>
              <w:rPr>
                <w:rFonts w:eastAsia="Calibri"/>
                <w:w w:val="101"/>
                <w:position w:val="9"/>
                <w:sz w:val="22"/>
                <w:szCs w:val="22"/>
              </w:rPr>
            </w:pPr>
            <w:r w:rsidRPr="003D542B">
              <w:rPr>
                <w:rFonts w:eastAsia="Calibri"/>
                <w:w w:val="101"/>
                <w:position w:val="9"/>
                <w:sz w:val="22"/>
                <w:szCs w:val="22"/>
              </w:rPr>
              <w:t>Gennemsnitlig ændring fra baseline</w:t>
            </w:r>
          </w:p>
          <w:p w:rsidR="008D5948" w:rsidRPr="003D542B" w:rsidRDefault="008D5948" w:rsidP="002574EE">
            <w:pPr>
              <w:rPr>
                <w:rFonts w:eastAsia="Calibri"/>
                <w:w w:val="101"/>
                <w:position w:val="9"/>
                <w:sz w:val="22"/>
                <w:szCs w:val="22"/>
              </w:rPr>
            </w:pPr>
            <w:r w:rsidRPr="003D542B">
              <w:rPr>
                <w:rFonts w:eastAsia="Calibri"/>
                <w:w w:val="101"/>
                <w:position w:val="9"/>
                <w:sz w:val="22"/>
                <w:szCs w:val="22"/>
              </w:rPr>
              <w:t>(log</w:t>
            </w:r>
            <w:r w:rsidRPr="003D542B">
              <w:rPr>
                <w:rFonts w:eastAsia="Calibri"/>
                <w:w w:val="101"/>
                <w:position w:val="9"/>
                <w:sz w:val="22"/>
                <w:szCs w:val="22"/>
                <w:vertAlign w:val="subscript"/>
              </w:rPr>
              <w:t>10</w:t>
            </w:r>
            <w:r w:rsidRPr="003D542B">
              <w:rPr>
                <w:rFonts w:eastAsia="Calibri"/>
                <w:w w:val="101"/>
                <w:position w:val="9"/>
                <w:sz w:val="22"/>
                <w:szCs w:val="22"/>
              </w:rPr>
              <w:t xml:space="preserve"> kopier/</w:t>
            </w:r>
            <w:proofErr w:type="gramStart"/>
            <w:r w:rsidRPr="003D542B">
              <w:rPr>
                <w:rFonts w:eastAsia="Calibri"/>
                <w:w w:val="101"/>
                <w:position w:val="9"/>
                <w:sz w:val="22"/>
                <w:szCs w:val="22"/>
              </w:rPr>
              <w:t>ml)</w:t>
            </w:r>
            <w:r w:rsidRPr="003D542B">
              <w:rPr>
                <w:rFonts w:eastAsia="Calibri"/>
                <w:w w:val="101"/>
                <w:position w:val="9"/>
                <w:sz w:val="22"/>
                <w:szCs w:val="22"/>
                <w:vertAlign w:val="superscript"/>
              </w:rPr>
              <w:t>c</w:t>
            </w:r>
            <w:proofErr w:type="gramEnd"/>
          </w:p>
        </w:tc>
        <w:tc>
          <w:tcPr>
            <w:tcW w:w="959" w:type="pct"/>
          </w:tcPr>
          <w:p w:rsidR="008D5948" w:rsidRPr="003D542B" w:rsidRDefault="008D5948" w:rsidP="002574EE">
            <w:pPr>
              <w:jc w:val="center"/>
              <w:rPr>
                <w:rFonts w:eastAsia="Calibri"/>
                <w:w w:val="103"/>
                <w:sz w:val="22"/>
                <w:szCs w:val="22"/>
              </w:rPr>
            </w:pPr>
            <w:r w:rsidRPr="003D542B">
              <w:rPr>
                <w:rFonts w:eastAsia="Calibri"/>
                <w:w w:val="103"/>
                <w:sz w:val="22"/>
                <w:szCs w:val="22"/>
              </w:rPr>
              <w:t>-4,4</w:t>
            </w:r>
            <w:r w:rsidRPr="003D542B">
              <w:rPr>
                <w:rFonts w:eastAsia="Calibri"/>
                <w:spacing w:val="1"/>
                <w:w w:val="103"/>
                <w:sz w:val="22"/>
                <w:szCs w:val="22"/>
              </w:rPr>
              <w:t>8*</w:t>
            </w:r>
          </w:p>
        </w:tc>
        <w:tc>
          <w:tcPr>
            <w:tcW w:w="1004" w:type="pct"/>
          </w:tcPr>
          <w:p w:rsidR="008D5948" w:rsidRPr="003D542B" w:rsidRDefault="008D5948" w:rsidP="002574EE">
            <w:pPr>
              <w:jc w:val="center"/>
              <w:rPr>
                <w:rFonts w:eastAsia="Calibri"/>
                <w:spacing w:val="-1"/>
                <w:w w:val="103"/>
                <w:sz w:val="22"/>
                <w:szCs w:val="22"/>
              </w:rPr>
            </w:pPr>
            <w:r w:rsidRPr="003D542B">
              <w:rPr>
                <w:rFonts w:eastAsia="Calibri"/>
                <w:w w:val="103"/>
                <w:sz w:val="22"/>
                <w:szCs w:val="22"/>
              </w:rPr>
              <w:t>-3,</w:t>
            </w:r>
            <w:r w:rsidRPr="003D542B">
              <w:rPr>
                <w:rFonts w:eastAsia="Calibri"/>
                <w:spacing w:val="1"/>
                <w:w w:val="103"/>
                <w:sz w:val="22"/>
                <w:szCs w:val="22"/>
              </w:rPr>
              <w:t>4</w:t>
            </w:r>
            <w:r w:rsidRPr="003D542B">
              <w:rPr>
                <w:rFonts w:eastAsia="Calibri"/>
                <w:w w:val="103"/>
                <w:sz w:val="22"/>
                <w:szCs w:val="22"/>
              </w:rPr>
              <w:t>0</w:t>
            </w:r>
          </w:p>
        </w:tc>
        <w:tc>
          <w:tcPr>
            <w:tcW w:w="962" w:type="pct"/>
          </w:tcPr>
          <w:p w:rsidR="008D5948" w:rsidRPr="003D542B" w:rsidRDefault="008D5948" w:rsidP="002574EE">
            <w:pPr>
              <w:jc w:val="center"/>
              <w:rPr>
                <w:rFonts w:eastAsia="Calibri"/>
                <w:spacing w:val="-1"/>
                <w:w w:val="103"/>
                <w:sz w:val="22"/>
                <w:szCs w:val="22"/>
              </w:rPr>
            </w:pPr>
            <w:r w:rsidRPr="003D542B">
              <w:rPr>
                <w:rFonts w:eastAsia="Calibri"/>
                <w:spacing w:val="1"/>
                <w:w w:val="103"/>
                <w:sz w:val="22"/>
                <w:szCs w:val="22"/>
              </w:rPr>
              <w:t>-</w:t>
            </w:r>
            <w:r w:rsidRPr="003D542B">
              <w:rPr>
                <w:rFonts w:eastAsia="Calibri"/>
                <w:spacing w:val="-1"/>
                <w:w w:val="103"/>
                <w:sz w:val="22"/>
                <w:szCs w:val="22"/>
              </w:rPr>
              <w:t>4,</w:t>
            </w:r>
            <w:r w:rsidRPr="003D542B">
              <w:rPr>
                <w:rFonts w:eastAsia="Calibri"/>
                <w:w w:val="103"/>
                <w:sz w:val="22"/>
                <w:szCs w:val="22"/>
              </w:rPr>
              <w:t>66</w:t>
            </w:r>
          </w:p>
        </w:tc>
        <w:tc>
          <w:tcPr>
            <w:tcW w:w="1003" w:type="pct"/>
          </w:tcPr>
          <w:p w:rsidR="008D5948" w:rsidRPr="003D542B" w:rsidRDefault="008D5948" w:rsidP="002574EE">
            <w:pPr>
              <w:jc w:val="center"/>
              <w:rPr>
                <w:rFonts w:eastAsia="Calibri"/>
                <w:spacing w:val="-1"/>
                <w:w w:val="103"/>
                <w:sz w:val="22"/>
                <w:szCs w:val="22"/>
              </w:rPr>
            </w:pPr>
            <w:r w:rsidRPr="003D542B">
              <w:rPr>
                <w:rFonts w:eastAsia="Calibri"/>
                <w:spacing w:val="1"/>
                <w:w w:val="103"/>
                <w:sz w:val="22"/>
                <w:szCs w:val="22"/>
              </w:rPr>
              <w:t>-</w:t>
            </w:r>
            <w:r w:rsidRPr="003D542B">
              <w:rPr>
                <w:rFonts w:eastAsia="Calibri"/>
                <w:spacing w:val="-1"/>
                <w:w w:val="103"/>
                <w:sz w:val="22"/>
                <w:szCs w:val="22"/>
              </w:rPr>
              <w:t>3,</w:t>
            </w:r>
            <w:r w:rsidRPr="003D542B">
              <w:rPr>
                <w:rFonts w:eastAsia="Calibri"/>
                <w:spacing w:val="1"/>
                <w:w w:val="103"/>
                <w:sz w:val="22"/>
                <w:szCs w:val="22"/>
              </w:rPr>
              <w:t>90</w:t>
            </w:r>
          </w:p>
        </w:tc>
      </w:tr>
      <w:tr w:rsidR="008D5948" w:rsidRPr="003D542B" w:rsidTr="002574EE">
        <w:tc>
          <w:tcPr>
            <w:tcW w:w="1072" w:type="pct"/>
          </w:tcPr>
          <w:p w:rsidR="008D5948" w:rsidRPr="003D542B" w:rsidRDefault="008D5948" w:rsidP="002574EE">
            <w:pPr>
              <w:rPr>
                <w:rFonts w:eastAsia="Calibri"/>
                <w:sz w:val="22"/>
                <w:szCs w:val="22"/>
                <w:vertAlign w:val="superscript"/>
                <w:lang w:bidi="he-IL"/>
              </w:rPr>
            </w:pPr>
            <w:r w:rsidRPr="003D542B">
              <w:rPr>
                <w:sz w:val="22"/>
                <w:szCs w:val="22"/>
              </w:rPr>
              <w:t>Stabilt eller forbedret CTP-</w:t>
            </w:r>
            <w:proofErr w:type="spellStart"/>
            <w:proofErr w:type="gramStart"/>
            <w:r w:rsidRPr="003D542B">
              <w:rPr>
                <w:sz w:val="22"/>
                <w:szCs w:val="22"/>
              </w:rPr>
              <w:t>tal</w:t>
            </w:r>
            <w:r w:rsidRPr="003D542B">
              <w:rPr>
                <w:sz w:val="22"/>
                <w:szCs w:val="22"/>
                <w:vertAlign w:val="superscript"/>
              </w:rPr>
              <w:t>b,d</w:t>
            </w:r>
            <w:proofErr w:type="spellEnd"/>
            <w:proofErr w:type="gramEnd"/>
          </w:p>
        </w:tc>
        <w:tc>
          <w:tcPr>
            <w:tcW w:w="959" w:type="pct"/>
          </w:tcPr>
          <w:p w:rsidR="008D5948" w:rsidRPr="003D542B" w:rsidRDefault="008D5948" w:rsidP="002574EE">
            <w:pPr>
              <w:jc w:val="center"/>
              <w:rPr>
                <w:rFonts w:eastAsia="Calibri"/>
                <w:w w:val="103"/>
                <w:sz w:val="22"/>
                <w:szCs w:val="22"/>
              </w:rPr>
            </w:pPr>
            <w:r w:rsidRPr="003D542B">
              <w:rPr>
                <w:rFonts w:eastAsia="Calibri"/>
                <w:w w:val="103"/>
                <w:sz w:val="22"/>
                <w:szCs w:val="22"/>
              </w:rPr>
              <w:t>66 %</w:t>
            </w:r>
          </w:p>
        </w:tc>
        <w:tc>
          <w:tcPr>
            <w:tcW w:w="1004" w:type="pct"/>
          </w:tcPr>
          <w:p w:rsidR="008D5948" w:rsidRPr="003D542B" w:rsidRDefault="008D5948" w:rsidP="002574EE">
            <w:pPr>
              <w:jc w:val="center"/>
              <w:rPr>
                <w:rFonts w:eastAsia="Calibri"/>
                <w:w w:val="103"/>
                <w:sz w:val="22"/>
                <w:szCs w:val="22"/>
              </w:rPr>
            </w:pPr>
            <w:r w:rsidRPr="003D542B">
              <w:rPr>
                <w:rFonts w:eastAsia="Calibri"/>
                <w:w w:val="103"/>
                <w:sz w:val="22"/>
                <w:szCs w:val="22"/>
              </w:rPr>
              <w:t>71 %</w:t>
            </w:r>
          </w:p>
        </w:tc>
        <w:tc>
          <w:tcPr>
            <w:tcW w:w="962" w:type="pct"/>
          </w:tcPr>
          <w:p w:rsidR="008D5948" w:rsidRPr="003D542B" w:rsidRDefault="008D5948" w:rsidP="002574EE">
            <w:pPr>
              <w:jc w:val="center"/>
              <w:rPr>
                <w:rFonts w:eastAsia="Calibri"/>
                <w:spacing w:val="1"/>
                <w:w w:val="103"/>
                <w:sz w:val="22"/>
                <w:szCs w:val="22"/>
              </w:rPr>
            </w:pPr>
            <w:r w:rsidRPr="003D542B">
              <w:rPr>
                <w:rFonts w:eastAsia="Calibri"/>
                <w:spacing w:val="1"/>
                <w:w w:val="103"/>
                <w:sz w:val="22"/>
                <w:szCs w:val="22"/>
              </w:rPr>
              <w:t>61 %</w:t>
            </w:r>
          </w:p>
        </w:tc>
        <w:tc>
          <w:tcPr>
            <w:tcW w:w="1003" w:type="pct"/>
          </w:tcPr>
          <w:p w:rsidR="008D5948" w:rsidRPr="003D542B" w:rsidRDefault="008D5948" w:rsidP="002574EE">
            <w:pPr>
              <w:jc w:val="center"/>
              <w:rPr>
                <w:rFonts w:eastAsia="Calibri"/>
                <w:spacing w:val="1"/>
                <w:w w:val="103"/>
                <w:sz w:val="22"/>
                <w:szCs w:val="22"/>
              </w:rPr>
            </w:pPr>
            <w:r w:rsidRPr="003D542B">
              <w:rPr>
                <w:rFonts w:eastAsia="Calibri"/>
                <w:spacing w:val="1"/>
                <w:w w:val="103"/>
                <w:sz w:val="22"/>
                <w:szCs w:val="22"/>
              </w:rPr>
              <w:t>67 %</w:t>
            </w:r>
          </w:p>
        </w:tc>
      </w:tr>
      <w:tr w:rsidR="008D5948" w:rsidRPr="003D542B" w:rsidTr="002574EE">
        <w:tc>
          <w:tcPr>
            <w:tcW w:w="1072" w:type="pct"/>
          </w:tcPr>
          <w:p w:rsidR="008D5948" w:rsidRPr="003D542B" w:rsidRDefault="008D5948" w:rsidP="002574EE">
            <w:pPr>
              <w:rPr>
                <w:rFonts w:eastAsia="Calibri"/>
                <w:w w:val="103"/>
                <w:position w:val="-1"/>
                <w:sz w:val="22"/>
                <w:szCs w:val="22"/>
              </w:rPr>
            </w:pPr>
            <w:r w:rsidRPr="003D542B">
              <w:rPr>
                <w:rFonts w:eastAsia="Calibri"/>
                <w:spacing w:val="1"/>
                <w:position w:val="-1"/>
                <w:sz w:val="22"/>
                <w:szCs w:val="22"/>
              </w:rPr>
              <w:t>M</w:t>
            </w:r>
            <w:r w:rsidRPr="003D542B">
              <w:rPr>
                <w:rFonts w:eastAsia="Calibri"/>
                <w:position w:val="-1"/>
                <w:sz w:val="22"/>
                <w:szCs w:val="22"/>
              </w:rPr>
              <w:t>ELD</w:t>
            </w:r>
            <w:r w:rsidRPr="003D542B">
              <w:rPr>
                <w:rFonts w:eastAsia="Calibri"/>
                <w:spacing w:val="20"/>
                <w:position w:val="-1"/>
                <w:sz w:val="22"/>
                <w:szCs w:val="22"/>
              </w:rPr>
              <w:t>-</w:t>
            </w:r>
            <w:r w:rsidRPr="003D542B">
              <w:rPr>
                <w:rFonts w:eastAsia="Calibri"/>
                <w:w w:val="103"/>
                <w:position w:val="-1"/>
                <w:sz w:val="22"/>
                <w:szCs w:val="22"/>
              </w:rPr>
              <w:t>sc</w:t>
            </w:r>
            <w:r w:rsidRPr="003D542B">
              <w:rPr>
                <w:rFonts w:eastAsia="Calibri"/>
                <w:spacing w:val="-1"/>
                <w:w w:val="103"/>
                <w:position w:val="-1"/>
                <w:sz w:val="22"/>
                <w:szCs w:val="22"/>
              </w:rPr>
              <w:t>o</w:t>
            </w:r>
            <w:r w:rsidRPr="003D542B">
              <w:rPr>
                <w:rFonts w:eastAsia="Calibri"/>
                <w:spacing w:val="1"/>
                <w:w w:val="103"/>
                <w:position w:val="-1"/>
                <w:sz w:val="22"/>
                <w:szCs w:val="22"/>
              </w:rPr>
              <w:t>r</w:t>
            </w:r>
            <w:r w:rsidRPr="003D542B">
              <w:rPr>
                <w:rFonts w:eastAsia="Calibri"/>
                <w:w w:val="103"/>
                <w:position w:val="-1"/>
                <w:sz w:val="22"/>
                <w:szCs w:val="22"/>
              </w:rPr>
              <w:t>e</w:t>
            </w:r>
          </w:p>
          <w:p w:rsidR="008D5948" w:rsidRPr="003D542B" w:rsidRDefault="008D5948" w:rsidP="002574EE">
            <w:pPr>
              <w:rPr>
                <w:sz w:val="22"/>
                <w:szCs w:val="22"/>
              </w:rPr>
            </w:pPr>
            <w:r w:rsidRPr="003D542B">
              <w:rPr>
                <w:rFonts w:eastAsia="Calibri"/>
                <w:spacing w:val="1"/>
                <w:position w:val="-1"/>
                <w:sz w:val="22"/>
                <w:szCs w:val="22"/>
              </w:rPr>
              <w:t xml:space="preserve">Gennemsnitlig ændring fra </w:t>
            </w:r>
            <w:proofErr w:type="spellStart"/>
            <w:proofErr w:type="gramStart"/>
            <w:r w:rsidRPr="003D542B">
              <w:rPr>
                <w:rFonts w:eastAsia="Calibri"/>
                <w:i/>
                <w:spacing w:val="1"/>
                <w:position w:val="-1"/>
                <w:sz w:val="22"/>
                <w:szCs w:val="22"/>
              </w:rPr>
              <w:t>baseline</w:t>
            </w:r>
            <w:r w:rsidRPr="003D542B">
              <w:rPr>
                <w:rFonts w:eastAsia="Calibri"/>
                <w:spacing w:val="1"/>
                <w:position w:val="-1"/>
                <w:sz w:val="22"/>
                <w:szCs w:val="22"/>
                <w:vertAlign w:val="superscript"/>
              </w:rPr>
              <w:t>c,e</w:t>
            </w:r>
            <w:proofErr w:type="spellEnd"/>
            <w:proofErr w:type="gramEnd"/>
          </w:p>
        </w:tc>
        <w:tc>
          <w:tcPr>
            <w:tcW w:w="959" w:type="pct"/>
          </w:tcPr>
          <w:p w:rsidR="008D5948" w:rsidRPr="003D542B" w:rsidRDefault="008D5948" w:rsidP="002574EE">
            <w:pPr>
              <w:jc w:val="center"/>
              <w:rPr>
                <w:rFonts w:eastAsia="Calibri"/>
                <w:w w:val="103"/>
                <w:sz w:val="22"/>
                <w:szCs w:val="22"/>
              </w:rPr>
            </w:pPr>
            <w:r w:rsidRPr="003D542B">
              <w:rPr>
                <w:rFonts w:eastAsia="Calibri"/>
                <w:w w:val="103"/>
                <w:sz w:val="22"/>
                <w:szCs w:val="22"/>
              </w:rPr>
              <w:t>-0,2</w:t>
            </w:r>
          </w:p>
        </w:tc>
        <w:tc>
          <w:tcPr>
            <w:tcW w:w="1004" w:type="pct"/>
          </w:tcPr>
          <w:p w:rsidR="008D5948" w:rsidRPr="003D542B" w:rsidRDefault="008D5948" w:rsidP="002574EE">
            <w:pPr>
              <w:jc w:val="center"/>
              <w:rPr>
                <w:rFonts w:eastAsia="Calibri"/>
                <w:w w:val="103"/>
                <w:sz w:val="22"/>
                <w:szCs w:val="22"/>
              </w:rPr>
            </w:pPr>
            <w:r w:rsidRPr="003D542B">
              <w:rPr>
                <w:rFonts w:eastAsia="Calibri"/>
                <w:w w:val="103"/>
                <w:sz w:val="22"/>
                <w:szCs w:val="22"/>
              </w:rPr>
              <w:t>-0,9</w:t>
            </w:r>
          </w:p>
        </w:tc>
        <w:tc>
          <w:tcPr>
            <w:tcW w:w="962" w:type="pct"/>
          </w:tcPr>
          <w:p w:rsidR="008D5948" w:rsidRPr="003D542B" w:rsidRDefault="008D5948" w:rsidP="002574EE">
            <w:pPr>
              <w:jc w:val="center"/>
              <w:rPr>
                <w:rFonts w:eastAsia="Calibri"/>
                <w:spacing w:val="1"/>
                <w:w w:val="103"/>
                <w:sz w:val="22"/>
                <w:szCs w:val="22"/>
              </w:rPr>
            </w:pPr>
            <w:r w:rsidRPr="003D542B">
              <w:rPr>
                <w:rFonts w:eastAsia="Calibri"/>
                <w:spacing w:val="1"/>
                <w:w w:val="103"/>
                <w:sz w:val="22"/>
                <w:szCs w:val="22"/>
              </w:rPr>
              <w:t>-2,6</w:t>
            </w:r>
          </w:p>
        </w:tc>
        <w:tc>
          <w:tcPr>
            <w:tcW w:w="1003" w:type="pct"/>
          </w:tcPr>
          <w:p w:rsidR="008D5948" w:rsidRPr="003D542B" w:rsidRDefault="008D5948" w:rsidP="002574EE">
            <w:pPr>
              <w:jc w:val="center"/>
              <w:rPr>
                <w:rFonts w:eastAsia="Calibri"/>
                <w:spacing w:val="1"/>
                <w:w w:val="103"/>
                <w:sz w:val="22"/>
                <w:szCs w:val="22"/>
              </w:rPr>
            </w:pPr>
            <w:r w:rsidRPr="003D542B">
              <w:rPr>
                <w:rFonts w:eastAsia="Calibri"/>
                <w:spacing w:val="1"/>
                <w:w w:val="103"/>
                <w:sz w:val="22"/>
                <w:szCs w:val="22"/>
              </w:rPr>
              <w:t>-1,7</w:t>
            </w:r>
          </w:p>
        </w:tc>
      </w:tr>
      <w:tr w:rsidR="008D5948" w:rsidRPr="003D542B" w:rsidTr="002574EE">
        <w:tc>
          <w:tcPr>
            <w:tcW w:w="1072" w:type="pct"/>
          </w:tcPr>
          <w:p w:rsidR="008D5948" w:rsidRPr="003D542B" w:rsidRDefault="008D5948" w:rsidP="002574EE">
            <w:pPr>
              <w:rPr>
                <w:rFonts w:eastAsia="Calibri"/>
                <w:spacing w:val="1"/>
                <w:position w:val="-1"/>
                <w:sz w:val="22"/>
                <w:szCs w:val="22"/>
              </w:rPr>
            </w:pPr>
            <w:proofErr w:type="spellStart"/>
            <w:r w:rsidRPr="003D542B">
              <w:rPr>
                <w:rFonts w:eastAsia="Calibri"/>
                <w:position w:val="-2"/>
                <w:sz w:val="22"/>
                <w:szCs w:val="22"/>
              </w:rPr>
              <w:t>HBsAg-tab</w:t>
            </w:r>
            <w:r w:rsidRPr="003D542B">
              <w:rPr>
                <w:rFonts w:eastAsia="Calibri"/>
                <w:w w:val="103"/>
                <w:position w:val="-2"/>
                <w:sz w:val="22"/>
                <w:szCs w:val="22"/>
                <w:vertAlign w:val="superscript"/>
              </w:rPr>
              <w:t>b</w:t>
            </w:r>
            <w:proofErr w:type="spellEnd"/>
          </w:p>
        </w:tc>
        <w:tc>
          <w:tcPr>
            <w:tcW w:w="959" w:type="pct"/>
          </w:tcPr>
          <w:p w:rsidR="008D5948" w:rsidRPr="003D542B" w:rsidRDefault="008D5948" w:rsidP="002574EE">
            <w:pPr>
              <w:jc w:val="center"/>
              <w:rPr>
                <w:rFonts w:eastAsia="Calibri"/>
                <w:w w:val="103"/>
                <w:sz w:val="22"/>
                <w:szCs w:val="22"/>
              </w:rPr>
            </w:pPr>
            <w:r w:rsidRPr="003D542B">
              <w:rPr>
                <w:rFonts w:eastAsia="Calibri"/>
                <w:w w:val="103"/>
                <w:sz w:val="22"/>
                <w:szCs w:val="22"/>
              </w:rPr>
              <w:t>1 %</w:t>
            </w:r>
          </w:p>
        </w:tc>
        <w:tc>
          <w:tcPr>
            <w:tcW w:w="1004" w:type="pct"/>
          </w:tcPr>
          <w:p w:rsidR="008D5948" w:rsidRPr="003D542B" w:rsidRDefault="008D5948" w:rsidP="002574EE">
            <w:pPr>
              <w:jc w:val="center"/>
              <w:rPr>
                <w:rFonts w:eastAsia="Calibri"/>
                <w:w w:val="103"/>
                <w:sz w:val="22"/>
                <w:szCs w:val="22"/>
              </w:rPr>
            </w:pPr>
            <w:r w:rsidRPr="003D542B">
              <w:rPr>
                <w:rFonts w:eastAsia="Calibri"/>
                <w:w w:val="103"/>
                <w:sz w:val="22"/>
                <w:szCs w:val="22"/>
              </w:rPr>
              <w:t>0</w:t>
            </w:r>
          </w:p>
        </w:tc>
        <w:tc>
          <w:tcPr>
            <w:tcW w:w="962" w:type="pct"/>
          </w:tcPr>
          <w:p w:rsidR="008D5948" w:rsidRPr="003D542B" w:rsidRDefault="008D5948" w:rsidP="002574EE">
            <w:pPr>
              <w:jc w:val="center"/>
              <w:rPr>
                <w:rFonts w:eastAsia="Calibri"/>
                <w:spacing w:val="1"/>
                <w:w w:val="103"/>
                <w:sz w:val="22"/>
                <w:szCs w:val="22"/>
              </w:rPr>
            </w:pPr>
            <w:r w:rsidRPr="003D542B">
              <w:rPr>
                <w:rFonts w:eastAsia="Calibri"/>
                <w:spacing w:val="1"/>
                <w:w w:val="103"/>
                <w:sz w:val="22"/>
                <w:szCs w:val="22"/>
              </w:rPr>
              <w:t>5 %</w:t>
            </w:r>
          </w:p>
        </w:tc>
        <w:tc>
          <w:tcPr>
            <w:tcW w:w="1003" w:type="pct"/>
          </w:tcPr>
          <w:p w:rsidR="008D5948" w:rsidRPr="003D542B" w:rsidRDefault="008D5948" w:rsidP="002574EE">
            <w:pPr>
              <w:jc w:val="center"/>
              <w:rPr>
                <w:rFonts w:eastAsia="Calibri"/>
                <w:spacing w:val="1"/>
                <w:w w:val="103"/>
                <w:sz w:val="22"/>
                <w:szCs w:val="22"/>
              </w:rPr>
            </w:pPr>
            <w:r w:rsidRPr="003D542B">
              <w:rPr>
                <w:rFonts w:eastAsia="Calibri"/>
                <w:spacing w:val="1"/>
                <w:w w:val="103"/>
                <w:sz w:val="22"/>
                <w:szCs w:val="22"/>
              </w:rPr>
              <w:t>0</w:t>
            </w:r>
          </w:p>
        </w:tc>
      </w:tr>
      <w:tr w:rsidR="008D5948" w:rsidRPr="003D542B" w:rsidTr="002574EE">
        <w:tc>
          <w:tcPr>
            <w:tcW w:w="1072" w:type="pct"/>
          </w:tcPr>
          <w:p w:rsidR="008D5948" w:rsidRPr="003D542B" w:rsidRDefault="008D5948" w:rsidP="002574EE">
            <w:pPr>
              <w:rPr>
                <w:rFonts w:eastAsia="Calibri"/>
                <w:position w:val="-2"/>
                <w:sz w:val="22"/>
                <w:szCs w:val="22"/>
              </w:rPr>
            </w:pPr>
            <w:r w:rsidRPr="003D542B">
              <w:rPr>
                <w:rFonts w:eastAsia="Calibri"/>
                <w:position w:val="-2"/>
                <w:sz w:val="22"/>
                <w:szCs w:val="22"/>
              </w:rPr>
              <w:t>No</w:t>
            </w:r>
            <w:r w:rsidRPr="003D542B">
              <w:rPr>
                <w:rFonts w:eastAsia="Calibri"/>
                <w:spacing w:val="2"/>
                <w:position w:val="-2"/>
                <w:sz w:val="22"/>
                <w:szCs w:val="22"/>
              </w:rPr>
              <w:t>r</w:t>
            </w:r>
            <w:r w:rsidRPr="003D542B">
              <w:rPr>
                <w:rFonts w:eastAsia="Calibri"/>
                <w:spacing w:val="-1"/>
                <w:position w:val="-2"/>
                <w:sz w:val="22"/>
                <w:szCs w:val="22"/>
              </w:rPr>
              <w:t>m</w:t>
            </w:r>
            <w:r w:rsidRPr="003D542B">
              <w:rPr>
                <w:rFonts w:eastAsia="Calibri"/>
                <w:position w:val="-2"/>
                <w:sz w:val="22"/>
                <w:szCs w:val="22"/>
              </w:rPr>
              <w:t>alisering</w:t>
            </w:r>
            <w:r w:rsidRPr="003D542B">
              <w:rPr>
                <w:rFonts w:eastAsia="Calibri"/>
                <w:spacing w:val="37"/>
                <w:position w:val="-2"/>
                <w:sz w:val="22"/>
                <w:szCs w:val="22"/>
              </w:rPr>
              <w:t xml:space="preserve"> </w:t>
            </w:r>
            <w:proofErr w:type="spellStart"/>
            <w:r w:rsidRPr="003D542B">
              <w:rPr>
                <w:rFonts w:eastAsia="Calibri"/>
                <w:spacing w:val="-1"/>
                <w:w w:val="103"/>
                <w:position w:val="-2"/>
                <w:sz w:val="22"/>
                <w:szCs w:val="22"/>
              </w:rPr>
              <w:t>a</w:t>
            </w:r>
            <w:r w:rsidRPr="003D542B">
              <w:rPr>
                <w:rFonts w:eastAsia="Calibri"/>
                <w:spacing w:val="1"/>
                <w:w w:val="103"/>
                <w:position w:val="-2"/>
                <w:sz w:val="22"/>
                <w:szCs w:val="22"/>
              </w:rPr>
              <w:t>f:</w:t>
            </w:r>
            <w:r w:rsidRPr="003D542B">
              <w:rPr>
                <w:rFonts w:eastAsia="Calibri"/>
                <w:spacing w:val="1"/>
                <w:w w:val="103"/>
                <w:position w:val="-2"/>
                <w:sz w:val="22"/>
                <w:szCs w:val="22"/>
                <w:vertAlign w:val="superscript"/>
              </w:rPr>
              <w:t>f</w:t>
            </w:r>
            <w:proofErr w:type="spellEnd"/>
          </w:p>
        </w:tc>
        <w:tc>
          <w:tcPr>
            <w:tcW w:w="959" w:type="pct"/>
          </w:tcPr>
          <w:p w:rsidR="008D5948" w:rsidRPr="003D542B" w:rsidRDefault="008D5948" w:rsidP="002574EE">
            <w:pPr>
              <w:jc w:val="center"/>
              <w:rPr>
                <w:rFonts w:eastAsia="Calibri"/>
                <w:w w:val="103"/>
                <w:sz w:val="22"/>
                <w:szCs w:val="22"/>
              </w:rPr>
            </w:pPr>
          </w:p>
        </w:tc>
        <w:tc>
          <w:tcPr>
            <w:tcW w:w="1004" w:type="pct"/>
          </w:tcPr>
          <w:p w:rsidR="008D5948" w:rsidRPr="003D542B" w:rsidRDefault="008D5948" w:rsidP="002574EE">
            <w:pPr>
              <w:jc w:val="center"/>
              <w:rPr>
                <w:rFonts w:eastAsia="Calibri"/>
                <w:w w:val="103"/>
                <w:sz w:val="22"/>
                <w:szCs w:val="22"/>
              </w:rPr>
            </w:pPr>
          </w:p>
        </w:tc>
        <w:tc>
          <w:tcPr>
            <w:tcW w:w="962" w:type="pct"/>
          </w:tcPr>
          <w:p w:rsidR="008D5948" w:rsidRPr="003D542B" w:rsidRDefault="008D5948" w:rsidP="002574EE">
            <w:pPr>
              <w:jc w:val="center"/>
              <w:rPr>
                <w:rFonts w:eastAsia="Calibri"/>
                <w:spacing w:val="1"/>
                <w:w w:val="103"/>
                <w:sz w:val="22"/>
                <w:szCs w:val="22"/>
              </w:rPr>
            </w:pPr>
          </w:p>
        </w:tc>
        <w:tc>
          <w:tcPr>
            <w:tcW w:w="1003" w:type="pct"/>
          </w:tcPr>
          <w:p w:rsidR="008D5948" w:rsidRPr="003D542B" w:rsidRDefault="008D5948" w:rsidP="002574EE">
            <w:pPr>
              <w:jc w:val="center"/>
              <w:rPr>
                <w:rFonts w:eastAsia="Calibri"/>
                <w:spacing w:val="1"/>
                <w:w w:val="103"/>
                <w:sz w:val="22"/>
                <w:szCs w:val="22"/>
              </w:rPr>
            </w:pPr>
          </w:p>
        </w:tc>
      </w:tr>
      <w:tr w:rsidR="008D5948" w:rsidRPr="003D542B" w:rsidTr="002574EE">
        <w:tc>
          <w:tcPr>
            <w:tcW w:w="1072" w:type="pct"/>
          </w:tcPr>
          <w:p w:rsidR="008D5948" w:rsidRPr="003D542B" w:rsidRDefault="008D5948" w:rsidP="002574EE">
            <w:pPr>
              <w:rPr>
                <w:rFonts w:eastAsia="Calibri"/>
                <w:position w:val="-2"/>
                <w:sz w:val="22"/>
                <w:szCs w:val="22"/>
              </w:rPr>
            </w:pPr>
            <w:r w:rsidRPr="003D542B">
              <w:rPr>
                <w:rFonts w:eastAsia="Calibri"/>
                <w:position w:val="-2"/>
                <w:sz w:val="22"/>
                <w:szCs w:val="22"/>
              </w:rPr>
              <w:t>A</w:t>
            </w:r>
            <w:r w:rsidRPr="003D542B">
              <w:rPr>
                <w:rFonts w:eastAsia="Calibri"/>
                <w:spacing w:val="1"/>
                <w:position w:val="-2"/>
                <w:sz w:val="22"/>
                <w:szCs w:val="22"/>
              </w:rPr>
              <w:t>LA</w:t>
            </w:r>
            <w:r w:rsidRPr="003D542B">
              <w:rPr>
                <w:rFonts w:eastAsia="Calibri"/>
                <w:position w:val="-2"/>
                <w:sz w:val="22"/>
                <w:szCs w:val="22"/>
              </w:rPr>
              <w:t>T</w:t>
            </w:r>
            <w:r w:rsidRPr="003D542B">
              <w:rPr>
                <w:rFonts w:eastAsia="Calibri"/>
                <w:spacing w:val="13"/>
                <w:position w:val="-2"/>
                <w:sz w:val="22"/>
                <w:szCs w:val="22"/>
              </w:rPr>
              <w:t xml:space="preserve"> </w:t>
            </w:r>
            <w:r w:rsidRPr="003D542B">
              <w:rPr>
                <w:rFonts w:eastAsia="Calibri"/>
                <w:spacing w:val="1"/>
                <w:position w:val="-2"/>
                <w:sz w:val="22"/>
                <w:szCs w:val="22"/>
              </w:rPr>
              <w:t>(≤</w:t>
            </w:r>
            <w:r w:rsidRPr="003D542B">
              <w:rPr>
                <w:rFonts w:eastAsia="Calibri"/>
                <w:position w:val="-2"/>
                <w:sz w:val="22"/>
                <w:szCs w:val="22"/>
              </w:rPr>
              <w:t>1</w:t>
            </w:r>
            <w:r w:rsidRPr="003D542B">
              <w:rPr>
                <w:rFonts w:eastAsia="Calibri"/>
                <w:spacing w:val="10"/>
                <w:position w:val="-2"/>
                <w:sz w:val="22"/>
                <w:szCs w:val="22"/>
              </w:rPr>
              <w:t xml:space="preserve"> </w:t>
            </w:r>
            <w:r w:rsidRPr="003D542B">
              <w:rPr>
                <w:rFonts w:eastAsia="Calibri"/>
                <w:position w:val="-2"/>
                <w:sz w:val="22"/>
                <w:szCs w:val="22"/>
              </w:rPr>
              <w:t>X</w:t>
            </w:r>
            <w:r w:rsidRPr="003D542B">
              <w:rPr>
                <w:rFonts w:eastAsia="Calibri"/>
                <w:spacing w:val="5"/>
                <w:position w:val="-2"/>
                <w:sz w:val="22"/>
                <w:szCs w:val="22"/>
              </w:rPr>
              <w:t xml:space="preserve"> </w:t>
            </w:r>
            <w:proofErr w:type="gramStart"/>
            <w:r w:rsidRPr="003D542B">
              <w:rPr>
                <w:rFonts w:eastAsia="Calibri"/>
                <w:spacing w:val="1"/>
                <w:w w:val="103"/>
                <w:position w:val="-2"/>
                <w:sz w:val="22"/>
                <w:szCs w:val="22"/>
              </w:rPr>
              <w:t>UL</w:t>
            </w:r>
            <w:r w:rsidRPr="003D542B">
              <w:rPr>
                <w:rFonts w:eastAsia="Calibri"/>
                <w:spacing w:val="-1"/>
                <w:w w:val="103"/>
                <w:position w:val="-2"/>
                <w:sz w:val="22"/>
                <w:szCs w:val="22"/>
              </w:rPr>
              <w:t>N</w:t>
            </w:r>
            <w:r w:rsidRPr="003D542B">
              <w:rPr>
                <w:rFonts w:eastAsia="Calibri"/>
                <w:w w:val="103"/>
                <w:position w:val="-2"/>
                <w:sz w:val="22"/>
                <w:szCs w:val="22"/>
              </w:rPr>
              <w:t>)</w:t>
            </w:r>
            <w:r w:rsidRPr="003D542B">
              <w:rPr>
                <w:rFonts w:eastAsia="Calibri"/>
                <w:w w:val="103"/>
                <w:position w:val="-2"/>
                <w:sz w:val="22"/>
                <w:szCs w:val="22"/>
                <w:vertAlign w:val="superscript"/>
              </w:rPr>
              <w:t>b</w:t>
            </w:r>
            <w:proofErr w:type="gramEnd"/>
          </w:p>
        </w:tc>
        <w:tc>
          <w:tcPr>
            <w:tcW w:w="959" w:type="pct"/>
          </w:tcPr>
          <w:p w:rsidR="008D5948" w:rsidRPr="003D542B" w:rsidRDefault="008D5948" w:rsidP="002574EE">
            <w:pPr>
              <w:jc w:val="center"/>
              <w:rPr>
                <w:rFonts w:eastAsia="Calibri"/>
                <w:w w:val="103"/>
                <w:sz w:val="22"/>
                <w:szCs w:val="22"/>
              </w:rPr>
            </w:pPr>
            <w:r w:rsidRPr="003D542B">
              <w:rPr>
                <w:rFonts w:eastAsia="Calibri"/>
                <w:sz w:val="22"/>
                <w:szCs w:val="22"/>
              </w:rPr>
              <w:t>46</w:t>
            </w:r>
            <w:r w:rsidRPr="003D542B">
              <w:rPr>
                <w:rFonts w:eastAsia="Calibri"/>
                <w:spacing w:val="1"/>
                <w:sz w:val="22"/>
                <w:szCs w:val="22"/>
              </w:rPr>
              <w:t>/</w:t>
            </w:r>
            <w:r w:rsidRPr="003D542B">
              <w:rPr>
                <w:rFonts w:eastAsia="Calibri"/>
                <w:sz w:val="22"/>
                <w:szCs w:val="22"/>
              </w:rPr>
              <w:t>78</w:t>
            </w:r>
            <w:r w:rsidRPr="003D542B">
              <w:rPr>
                <w:rFonts w:eastAsia="Calibri"/>
                <w:spacing w:val="15"/>
                <w:sz w:val="22"/>
                <w:szCs w:val="22"/>
              </w:rPr>
              <w:t xml:space="preserve"> </w:t>
            </w:r>
            <w:r w:rsidRPr="003D542B">
              <w:rPr>
                <w:rFonts w:eastAsia="Calibri"/>
                <w:w w:val="103"/>
                <w:sz w:val="22"/>
                <w:szCs w:val="22"/>
              </w:rPr>
              <w:t>(</w:t>
            </w:r>
            <w:r w:rsidRPr="003D542B">
              <w:rPr>
                <w:rFonts w:eastAsia="Calibri"/>
                <w:spacing w:val="1"/>
                <w:w w:val="103"/>
                <w:sz w:val="22"/>
                <w:szCs w:val="22"/>
              </w:rPr>
              <w:t xml:space="preserve">59 </w:t>
            </w:r>
            <w:proofErr w:type="gramStart"/>
            <w:r w:rsidRPr="003D542B">
              <w:rPr>
                <w:rFonts w:eastAsia="Calibri"/>
                <w:w w:val="103"/>
                <w:sz w:val="22"/>
                <w:szCs w:val="22"/>
              </w:rPr>
              <w:t>%)*</w:t>
            </w:r>
            <w:proofErr w:type="gramEnd"/>
          </w:p>
        </w:tc>
        <w:tc>
          <w:tcPr>
            <w:tcW w:w="1004" w:type="pct"/>
          </w:tcPr>
          <w:p w:rsidR="008D5948" w:rsidRPr="003D542B" w:rsidRDefault="008D5948" w:rsidP="002574EE">
            <w:pPr>
              <w:jc w:val="center"/>
              <w:rPr>
                <w:rFonts w:eastAsia="Calibri"/>
                <w:w w:val="103"/>
                <w:sz w:val="22"/>
                <w:szCs w:val="22"/>
              </w:rPr>
            </w:pPr>
            <w:r w:rsidRPr="003D542B">
              <w:rPr>
                <w:rFonts w:eastAsia="Calibri"/>
                <w:sz w:val="22"/>
                <w:szCs w:val="22"/>
              </w:rPr>
              <w:t>2</w:t>
            </w:r>
            <w:r w:rsidRPr="003D542B">
              <w:rPr>
                <w:rFonts w:eastAsia="Calibri"/>
                <w:spacing w:val="-1"/>
                <w:sz w:val="22"/>
                <w:szCs w:val="22"/>
              </w:rPr>
              <w:t>8</w:t>
            </w:r>
            <w:r w:rsidRPr="003D542B">
              <w:rPr>
                <w:rFonts w:eastAsia="Calibri"/>
                <w:spacing w:val="1"/>
                <w:sz w:val="22"/>
                <w:szCs w:val="22"/>
              </w:rPr>
              <w:t>/7</w:t>
            </w:r>
            <w:r w:rsidRPr="003D542B">
              <w:rPr>
                <w:rFonts w:eastAsia="Calibri"/>
                <w:sz w:val="22"/>
                <w:szCs w:val="22"/>
              </w:rPr>
              <w:t>1</w:t>
            </w:r>
            <w:r w:rsidRPr="003D542B">
              <w:rPr>
                <w:rFonts w:eastAsia="Calibri"/>
                <w:spacing w:val="16"/>
                <w:sz w:val="22"/>
                <w:szCs w:val="22"/>
              </w:rPr>
              <w:t xml:space="preserve"> </w:t>
            </w:r>
            <w:r w:rsidRPr="003D542B">
              <w:rPr>
                <w:rFonts w:eastAsia="Calibri"/>
                <w:w w:val="103"/>
                <w:sz w:val="22"/>
                <w:szCs w:val="22"/>
              </w:rPr>
              <w:t>(</w:t>
            </w:r>
            <w:r w:rsidRPr="003D542B">
              <w:rPr>
                <w:rFonts w:eastAsia="Calibri"/>
                <w:spacing w:val="1"/>
                <w:w w:val="103"/>
                <w:sz w:val="22"/>
                <w:szCs w:val="22"/>
              </w:rPr>
              <w:t>3</w:t>
            </w:r>
            <w:r w:rsidRPr="003D542B">
              <w:rPr>
                <w:rFonts w:eastAsia="Calibri"/>
                <w:w w:val="103"/>
                <w:sz w:val="22"/>
                <w:szCs w:val="22"/>
              </w:rPr>
              <w:t>9 %)</w:t>
            </w:r>
          </w:p>
        </w:tc>
        <w:tc>
          <w:tcPr>
            <w:tcW w:w="962" w:type="pct"/>
          </w:tcPr>
          <w:p w:rsidR="008D5948" w:rsidRPr="003D542B" w:rsidRDefault="008D5948" w:rsidP="002574EE">
            <w:pPr>
              <w:jc w:val="center"/>
              <w:rPr>
                <w:rFonts w:eastAsia="Calibri"/>
                <w:spacing w:val="1"/>
                <w:w w:val="103"/>
                <w:sz w:val="22"/>
                <w:szCs w:val="22"/>
              </w:rPr>
            </w:pPr>
            <w:r w:rsidRPr="003D542B">
              <w:rPr>
                <w:rFonts w:eastAsia="Calibri"/>
                <w:sz w:val="22"/>
                <w:szCs w:val="22"/>
              </w:rPr>
              <w:t>4</w:t>
            </w:r>
            <w:r w:rsidRPr="003D542B">
              <w:rPr>
                <w:rFonts w:eastAsia="Calibri"/>
                <w:spacing w:val="-1"/>
                <w:sz w:val="22"/>
                <w:szCs w:val="22"/>
              </w:rPr>
              <w:t>9</w:t>
            </w:r>
            <w:r w:rsidRPr="003D542B">
              <w:rPr>
                <w:rFonts w:eastAsia="Calibri"/>
                <w:spacing w:val="1"/>
                <w:sz w:val="22"/>
                <w:szCs w:val="22"/>
              </w:rPr>
              <w:t>/7</w:t>
            </w:r>
            <w:r w:rsidRPr="003D542B">
              <w:rPr>
                <w:rFonts w:eastAsia="Calibri"/>
                <w:sz w:val="22"/>
                <w:szCs w:val="22"/>
              </w:rPr>
              <w:t>8</w:t>
            </w:r>
            <w:r w:rsidRPr="003D542B">
              <w:rPr>
                <w:rFonts w:eastAsia="Calibri"/>
                <w:spacing w:val="16"/>
                <w:sz w:val="22"/>
                <w:szCs w:val="22"/>
              </w:rPr>
              <w:t xml:space="preserve"> </w:t>
            </w:r>
            <w:r w:rsidRPr="003D542B">
              <w:rPr>
                <w:rFonts w:eastAsia="Calibri"/>
                <w:w w:val="103"/>
                <w:sz w:val="22"/>
                <w:szCs w:val="22"/>
              </w:rPr>
              <w:t>(</w:t>
            </w:r>
            <w:r w:rsidRPr="003D542B">
              <w:rPr>
                <w:rFonts w:eastAsia="Calibri"/>
                <w:spacing w:val="1"/>
                <w:w w:val="103"/>
                <w:sz w:val="22"/>
                <w:szCs w:val="22"/>
              </w:rPr>
              <w:t>6</w:t>
            </w:r>
            <w:r w:rsidRPr="003D542B">
              <w:rPr>
                <w:rFonts w:eastAsia="Calibri"/>
                <w:w w:val="103"/>
                <w:sz w:val="22"/>
                <w:szCs w:val="22"/>
              </w:rPr>
              <w:t xml:space="preserve">3 </w:t>
            </w:r>
            <w:proofErr w:type="gramStart"/>
            <w:r w:rsidRPr="003D542B">
              <w:rPr>
                <w:rFonts w:eastAsia="Calibri"/>
                <w:w w:val="103"/>
                <w:sz w:val="22"/>
                <w:szCs w:val="22"/>
              </w:rPr>
              <w:t>%)*</w:t>
            </w:r>
            <w:proofErr w:type="gramEnd"/>
          </w:p>
        </w:tc>
        <w:tc>
          <w:tcPr>
            <w:tcW w:w="1003" w:type="pct"/>
          </w:tcPr>
          <w:p w:rsidR="008D5948" w:rsidRPr="003D542B" w:rsidRDefault="008D5948" w:rsidP="002574EE">
            <w:pPr>
              <w:jc w:val="center"/>
              <w:rPr>
                <w:rFonts w:eastAsia="Calibri"/>
                <w:spacing w:val="1"/>
                <w:w w:val="103"/>
                <w:sz w:val="22"/>
                <w:szCs w:val="22"/>
              </w:rPr>
            </w:pPr>
            <w:r w:rsidRPr="003D542B">
              <w:rPr>
                <w:rFonts w:eastAsia="Calibri"/>
                <w:sz w:val="22"/>
                <w:szCs w:val="22"/>
              </w:rPr>
              <w:t>3</w:t>
            </w:r>
            <w:r w:rsidRPr="003D542B">
              <w:rPr>
                <w:rFonts w:eastAsia="Calibri"/>
                <w:spacing w:val="-1"/>
                <w:sz w:val="22"/>
                <w:szCs w:val="22"/>
              </w:rPr>
              <w:t>3</w:t>
            </w:r>
            <w:r w:rsidRPr="003D542B">
              <w:rPr>
                <w:rFonts w:eastAsia="Calibri"/>
                <w:spacing w:val="1"/>
                <w:sz w:val="22"/>
                <w:szCs w:val="22"/>
              </w:rPr>
              <w:t>/7</w:t>
            </w:r>
            <w:r w:rsidRPr="003D542B">
              <w:rPr>
                <w:rFonts w:eastAsia="Calibri"/>
                <w:sz w:val="22"/>
                <w:szCs w:val="22"/>
              </w:rPr>
              <w:t>1</w:t>
            </w:r>
            <w:r w:rsidRPr="003D542B">
              <w:rPr>
                <w:rFonts w:eastAsia="Calibri"/>
                <w:spacing w:val="16"/>
                <w:sz w:val="22"/>
                <w:szCs w:val="22"/>
              </w:rPr>
              <w:t xml:space="preserve"> </w:t>
            </w:r>
            <w:r w:rsidRPr="003D542B">
              <w:rPr>
                <w:rFonts w:eastAsia="Calibri"/>
                <w:w w:val="103"/>
                <w:sz w:val="22"/>
                <w:szCs w:val="22"/>
              </w:rPr>
              <w:t>(</w:t>
            </w:r>
            <w:r w:rsidRPr="003D542B">
              <w:rPr>
                <w:rFonts w:eastAsia="Calibri"/>
                <w:spacing w:val="1"/>
                <w:w w:val="103"/>
                <w:sz w:val="22"/>
                <w:szCs w:val="22"/>
              </w:rPr>
              <w:t>4</w:t>
            </w:r>
            <w:r w:rsidRPr="003D542B">
              <w:rPr>
                <w:rFonts w:eastAsia="Calibri"/>
                <w:w w:val="103"/>
                <w:sz w:val="22"/>
                <w:szCs w:val="22"/>
              </w:rPr>
              <w:t>6 %)</w:t>
            </w:r>
          </w:p>
        </w:tc>
      </w:tr>
      <w:tr w:rsidR="008D5948" w:rsidRPr="003D542B" w:rsidTr="002574EE">
        <w:tc>
          <w:tcPr>
            <w:tcW w:w="1072" w:type="pct"/>
          </w:tcPr>
          <w:p w:rsidR="008D5948" w:rsidRPr="003D542B" w:rsidRDefault="008D5948" w:rsidP="002574EE">
            <w:pPr>
              <w:rPr>
                <w:rFonts w:eastAsia="Calibri"/>
                <w:position w:val="-2"/>
                <w:sz w:val="22"/>
                <w:szCs w:val="22"/>
              </w:rPr>
            </w:pPr>
            <w:r w:rsidRPr="003D542B">
              <w:rPr>
                <w:rFonts w:eastAsia="Calibri"/>
                <w:position w:val="-2"/>
                <w:sz w:val="22"/>
                <w:szCs w:val="22"/>
              </w:rPr>
              <w:t>Al</w:t>
            </w:r>
            <w:r w:rsidRPr="003D542B">
              <w:rPr>
                <w:rFonts w:eastAsia="Calibri"/>
                <w:spacing w:val="1"/>
                <w:position w:val="-2"/>
                <w:sz w:val="22"/>
                <w:szCs w:val="22"/>
              </w:rPr>
              <w:t>b</w:t>
            </w:r>
            <w:r w:rsidRPr="003D542B">
              <w:rPr>
                <w:rFonts w:eastAsia="Calibri"/>
                <w:position w:val="-2"/>
                <w:sz w:val="22"/>
                <w:szCs w:val="22"/>
              </w:rPr>
              <w:t>um</w:t>
            </w:r>
            <w:r w:rsidRPr="003D542B">
              <w:rPr>
                <w:rFonts w:eastAsia="Calibri"/>
                <w:spacing w:val="1"/>
                <w:position w:val="-2"/>
                <w:sz w:val="22"/>
                <w:szCs w:val="22"/>
              </w:rPr>
              <w:t>i</w:t>
            </w:r>
            <w:r w:rsidRPr="003D542B">
              <w:rPr>
                <w:rFonts w:eastAsia="Calibri"/>
                <w:position w:val="-2"/>
                <w:sz w:val="22"/>
                <w:szCs w:val="22"/>
              </w:rPr>
              <w:t>n</w:t>
            </w:r>
            <w:r w:rsidRPr="003D542B">
              <w:rPr>
                <w:rFonts w:eastAsia="Calibri"/>
                <w:spacing w:val="22"/>
                <w:position w:val="-2"/>
                <w:sz w:val="22"/>
                <w:szCs w:val="22"/>
              </w:rPr>
              <w:t xml:space="preserve"> </w:t>
            </w:r>
            <w:r w:rsidRPr="003D542B">
              <w:rPr>
                <w:rFonts w:eastAsia="Calibri"/>
                <w:position w:val="-2"/>
                <w:sz w:val="22"/>
                <w:szCs w:val="22"/>
              </w:rPr>
              <w:t>(</w:t>
            </w:r>
            <w:r w:rsidRPr="003D542B">
              <w:rPr>
                <w:rFonts w:eastAsia="Calibri"/>
                <w:spacing w:val="1"/>
                <w:position w:val="-2"/>
                <w:sz w:val="22"/>
                <w:szCs w:val="22"/>
              </w:rPr>
              <w:t>≥</w:t>
            </w:r>
            <w:r w:rsidRPr="003D542B">
              <w:rPr>
                <w:rFonts w:eastAsia="Calibri"/>
                <w:position w:val="-2"/>
                <w:sz w:val="22"/>
                <w:szCs w:val="22"/>
              </w:rPr>
              <w:t>1</w:t>
            </w:r>
            <w:r w:rsidRPr="003D542B">
              <w:rPr>
                <w:rFonts w:eastAsia="Calibri"/>
                <w:spacing w:val="11"/>
                <w:position w:val="-2"/>
                <w:sz w:val="22"/>
                <w:szCs w:val="22"/>
              </w:rPr>
              <w:t xml:space="preserve"> </w:t>
            </w:r>
            <w:r w:rsidRPr="003D542B">
              <w:rPr>
                <w:rFonts w:eastAsia="Calibri"/>
                <w:position w:val="-2"/>
                <w:sz w:val="22"/>
                <w:szCs w:val="22"/>
              </w:rPr>
              <w:t>X</w:t>
            </w:r>
            <w:r w:rsidRPr="003D542B">
              <w:rPr>
                <w:rFonts w:eastAsia="Calibri"/>
                <w:spacing w:val="7"/>
                <w:position w:val="-2"/>
                <w:sz w:val="22"/>
                <w:szCs w:val="22"/>
              </w:rPr>
              <w:t xml:space="preserve"> </w:t>
            </w:r>
            <w:proofErr w:type="gramStart"/>
            <w:r w:rsidRPr="003D542B">
              <w:rPr>
                <w:rFonts w:eastAsia="Calibri"/>
                <w:w w:val="103"/>
                <w:position w:val="-2"/>
                <w:sz w:val="22"/>
                <w:szCs w:val="22"/>
              </w:rPr>
              <w:t>LLN)</w:t>
            </w:r>
            <w:r w:rsidRPr="003D542B">
              <w:rPr>
                <w:rFonts w:eastAsia="Calibri"/>
                <w:w w:val="103"/>
                <w:position w:val="-2"/>
                <w:sz w:val="22"/>
                <w:szCs w:val="22"/>
                <w:vertAlign w:val="superscript"/>
              </w:rPr>
              <w:t>b</w:t>
            </w:r>
            <w:proofErr w:type="gramEnd"/>
          </w:p>
        </w:tc>
        <w:tc>
          <w:tcPr>
            <w:tcW w:w="959" w:type="pct"/>
          </w:tcPr>
          <w:p w:rsidR="008D5948" w:rsidRPr="003D542B" w:rsidRDefault="008D5948" w:rsidP="002574EE">
            <w:pPr>
              <w:jc w:val="center"/>
              <w:rPr>
                <w:rFonts w:eastAsia="Calibri"/>
                <w:sz w:val="22"/>
                <w:szCs w:val="22"/>
              </w:rPr>
            </w:pPr>
            <w:r w:rsidRPr="003D542B">
              <w:rPr>
                <w:rFonts w:eastAsia="Calibri"/>
                <w:spacing w:val="-1"/>
                <w:sz w:val="22"/>
                <w:szCs w:val="22"/>
              </w:rPr>
              <w:t>2</w:t>
            </w:r>
            <w:r w:rsidRPr="003D542B">
              <w:rPr>
                <w:rFonts w:eastAsia="Calibri"/>
                <w:sz w:val="22"/>
                <w:szCs w:val="22"/>
              </w:rPr>
              <w:t>0</w:t>
            </w:r>
            <w:r w:rsidRPr="003D542B">
              <w:rPr>
                <w:rFonts w:eastAsia="Calibri"/>
                <w:spacing w:val="1"/>
                <w:sz w:val="22"/>
                <w:szCs w:val="22"/>
              </w:rPr>
              <w:t>/</w:t>
            </w:r>
            <w:r w:rsidRPr="003D542B">
              <w:rPr>
                <w:rFonts w:eastAsia="Calibri"/>
                <w:sz w:val="22"/>
                <w:szCs w:val="22"/>
              </w:rPr>
              <w:t>82</w:t>
            </w:r>
            <w:r w:rsidRPr="003D542B">
              <w:rPr>
                <w:rFonts w:eastAsia="Calibri"/>
                <w:spacing w:val="15"/>
                <w:sz w:val="22"/>
                <w:szCs w:val="22"/>
              </w:rPr>
              <w:t xml:space="preserve"> </w:t>
            </w:r>
            <w:r w:rsidRPr="003D542B">
              <w:rPr>
                <w:rFonts w:eastAsia="Calibri"/>
                <w:w w:val="103"/>
                <w:sz w:val="22"/>
                <w:szCs w:val="22"/>
              </w:rPr>
              <w:t>(2</w:t>
            </w:r>
            <w:r w:rsidRPr="003D542B">
              <w:rPr>
                <w:rFonts w:eastAsia="Calibri"/>
                <w:spacing w:val="1"/>
                <w:w w:val="103"/>
                <w:sz w:val="22"/>
                <w:szCs w:val="22"/>
              </w:rPr>
              <w:t xml:space="preserve">4 </w:t>
            </w:r>
            <w:r w:rsidRPr="003D542B">
              <w:rPr>
                <w:rFonts w:eastAsia="Calibri"/>
                <w:w w:val="103"/>
                <w:sz w:val="22"/>
                <w:szCs w:val="22"/>
              </w:rPr>
              <w:t>%)</w:t>
            </w:r>
          </w:p>
        </w:tc>
        <w:tc>
          <w:tcPr>
            <w:tcW w:w="1004" w:type="pct"/>
          </w:tcPr>
          <w:p w:rsidR="008D5948" w:rsidRPr="003D542B" w:rsidRDefault="008D5948" w:rsidP="002574EE">
            <w:pPr>
              <w:jc w:val="center"/>
              <w:rPr>
                <w:rFonts w:eastAsia="Calibri"/>
                <w:sz w:val="22"/>
                <w:szCs w:val="22"/>
              </w:rPr>
            </w:pPr>
            <w:r w:rsidRPr="003D542B">
              <w:rPr>
                <w:rFonts w:eastAsia="Calibri"/>
                <w:sz w:val="22"/>
                <w:szCs w:val="22"/>
              </w:rPr>
              <w:t>1</w:t>
            </w:r>
            <w:r w:rsidRPr="003D542B">
              <w:rPr>
                <w:rFonts w:eastAsia="Calibri"/>
                <w:spacing w:val="-1"/>
                <w:sz w:val="22"/>
                <w:szCs w:val="22"/>
              </w:rPr>
              <w:t>4</w:t>
            </w:r>
            <w:r w:rsidRPr="003D542B">
              <w:rPr>
                <w:rFonts w:eastAsia="Calibri"/>
                <w:spacing w:val="1"/>
                <w:sz w:val="22"/>
                <w:szCs w:val="22"/>
              </w:rPr>
              <w:t>/6</w:t>
            </w:r>
            <w:r w:rsidRPr="003D542B">
              <w:rPr>
                <w:rFonts w:eastAsia="Calibri"/>
                <w:sz w:val="22"/>
                <w:szCs w:val="22"/>
              </w:rPr>
              <w:t>9</w:t>
            </w:r>
            <w:r w:rsidRPr="003D542B">
              <w:rPr>
                <w:rFonts w:eastAsia="Calibri"/>
                <w:spacing w:val="16"/>
                <w:sz w:val="22"/>
                <w:szCs w:val="22"/>
              </w:rPr>
              <w:t xml:space="preserve"> </w:t>
            </w:r>
            <w:r w:rsidRPr="003D542B">
              <w:rPr>
                <w:rFonts w:eastAsia="Calibri"/>
                <w:w w:val="103"/>
                <w:sz w:val="22"/>
                <w:szCs w:val="22"/>
              </w:rPr>
              <w:t>(</w:t>
            </w:r>
            <w:r w:rsidRPr="003D542B">
              <w:rPr>
                <w:rFonts w:eastAsia="Calibri"/>
                <w:spacing w:val="1"/>
                <w:w w:val="103"/>
                <w:sz w:val="22"/>
                <w:szCs w:val="22"/>
              </w:rPr>
              <w:t>2</w:t>
            </w:r>
            <w:r w:rsidRPr="003D542B">
              <w:rPr>
                <w:rFonts w:eastAsia="Calibri"/>
                <w:w w:val="103"/>
                <w:sz w:val="22"/>
                <w:szCs w:val="22"/>
              </w:rPr>
              <w:t>0 %)</w:t>
            </w:r>
          </w:p>
        </w:tc>
        <w:tc>
          <w:tcPr>
            <w:tcW w:w="962" w:type="pct"/>
          </w:tcPr>
          <w:p w:rsidR="008D5948" w:rsidRPr="003D542B" w:rsidRDefault="008D5948" w:rsidP="002574EE">
            <w:pPr>
              <w:jc w:val="center"/>
              <w:rPr>
                <w:rFonts w:eastAsia="Calibri"/>
                <w:sz w:val="22"/>
                <w:szCs w:val="22"/>
              </w:rPr>
            </w:pPr>
            <w:r w:rsidRPr="003D542B">
              <w:rPr>
                <w:rFonts w:eastAsia="Calibri"/>
                <w:sz w:val="22"/>
                <w:szCs w:val="22"/>
              </w:rPr>
              <w:t>32/</w:t>
            </w:r>
            <w:r w:rsidRPr="003D542B">
              <w:rPr>
                <w:rFonts w:eastAsia="Calibri"/>
                <w:spacing w:val="1"/>
                <w:sz w:val="22"/>
                <w:szCs w:val="22"/>
              </w:rPr>
              <w:t>8</w:t>
            </w:r>
            <w:r w:rsidRPr="003D542B">
              <w:rPr>
                <w:rFonts w:eastAsia="Calibri"/>
                <w:sz w:val="22"/>
                <w:szCs w:val="22"/>
              </w:rPr>
              <w:t>2</w:t>
            </w:r>
            <w:r w:rsidRPr="003D542B">
              <w:rPr>
                <w:rFonts w:eastAsia="Calibri"/>
                <w:spacing w:val="15"/>
                <w:sz w:val="22"/>
                <w:szCs w:val="22"/>
              </w:rPr>
              <w:t xml:space="preserve"> </w:t>
            </w:r>
            <w:r w:rsidRPr="003D542B">
              <w:rPr>
                <w:rFonts w:eastAsia="Calibri"/>
                <w:w w:val="103"/>
                <w:sz w:val="22"/>
                <w:szCs w:val="22"/>
              </w:rPr>
              <w:t>(</w:t>
            </w:r>
            <w:r w:rsidRPr="003D542B">
              <w:rPr>
                <w:rFonts w:eastAsia="Calibri"/>
                <w:spacing w:val="1"/>
                <w:w w:val="103"/>
                <w:sz w:val="22"/>
                <w:szCs w:val="22"/>
              </w:rPr>
              <w:t>3</w:t>
            </w:r>
            <w:r w:rsidRPr="003D542B">
              <w:rPr>
                <w:rFonts w:eastAsia="Calibri"/>
                <w:w w:val="103"/>
                <w:sz w:val="22"/>
                <w:szCs w:val="22"/>
              </w:rPr>
              <w:t>9 %)</w:t>
            </w:r>
          </w:p>
        </w:tc>
        <w:tc>
          <w:tcPr>
            <w:tcW w:w="1003" w:type="pct"/>
          </w:tcPr>
          <w:p w:rsidR="008D5948" w:rsidRPr="003D542B" w:rsidRDefault="008D5948" w:rsidP="002574EE">
            <w:pPr>
              <w:jc w:val="center"/>
              <w:rPr>
                <w:rFonts w:eastAsia="Calibri"/>
                <w:sz w:val="22"/>
                <w:szCs w:val="22"/>
              </w:rPr>
            </w:pPr>
            <w:r w:rsidRPr="003D542B">
              <w:rPr>
                <w:rFonts w:eastAsia="Calibri"/>
                <w:sz w:val="22"/>
                <w:szCs w:val="22"/>
              </w:rPr>
              <w:t>2</w:t>
            </w:r>
            <w:r w:rsidRPr="003D542B">
              <w:rPr>
                <w:rFonts w:eastAsia="Calibri"/>
                <w:spacing w:val="-1"/>
                <w:sz w:val="22"/>
                <w:szCs w:val="22"/>
              </w:rPr>
              <w:t>0</w:t>
            </w:r>
            <w:r w:rsidRPr="003D542B">
              <w:rPr>
                <w:rFonts w:eastAsia="Calibri"/>
                <w:spacing w:val="1"/>
                <w:sz w:val="22"/>
                <w:szCs w:val="22"/>
              </w:rPr>
              <w:t>/6</w:t>
            </w:r>
            <w:r w:rsidRPr="003D542B">
              <w:rPr>
                <w:rFonts w:eastAsia="Calibri"/>
                <w:sz w:val="22"/>
                <w:szCs w:val="22"/>
              </w:rPr>
              <w:t>9</w:t>
            </w:r>
            <w:r w:rsidRPr="003D542B">
              <w:rPr>
                <w:rFonts w:eastAsia="Calibri"/>
                <w:spacing w:val="16"/>
                <w:sz w:val="22"/>
                <w:szCs w:val="22"/>
              </w:rPr>
              <w:t xml:space="preserve"> </w:t>
            </w:r>
            <w:r w:rsidRPr="003D542B">
              <w:rPr>
                <w:rFonts w:eastAsia="Calibri"/>
                <w:w w:val="103"/>
                <w:sz w:val="22"/>
                <w:szCs w:val="22"/>
              </w:rPr>
              <w:t>(</w:t>
            </w:r>
            <w:r w:rsidRPr="003D542B">
              <w:rPr>
                <w:rFonts w:eastAsia="Calibri"/>
                <w:spacing w:val="1"/>
                <w:w w:val="103"/>
                <w:sz w:val="22"/>
                <w:szCs w:val="22"/>
              </w:rPr>
              <w:t>2</w:t>
            </w:r>
            <w:r w:rsidRPr="003D542B">
              <w:rPr>
                <w:rFonts w:eastAsia="Calibri"/>
                <w:w w:val="103"/>
                <w:sz w:val="22"/>
                <w:szCs w:val="22"/>
              </w:rPr>
              <w:t>9 %)</w:t>
            </w:r>
          </w:p>
        </w:tc>
      </w:tr>
      <w:tr w:rsidR="008D5948" w:rsidRPr="003D542B" w:rsidTr="002574EE">
        <w:tc>
          <w:tcPr>
            <w:tcW w:w="1072" w:type="pct"/>
          </w:tcPr>
          <w:p w:rsidR="008D5948" w:rsidRPr="003D542B" w:rsidRDefault="008D5948" w:rsidP="002574EE">
            <w:pPr>
              <w:rPr>
                <w:rFonts w:eastAsia="Calibri"/>
                <w:position w:val="-2"/>
                <w:sz w:val="22"/>
                <w:szCs w:val="22"/>
              </w:rPr>
            </w:pPr>
            <w:r w:rsidRPr="003D542B">
              <w:rPr>
                <w:rFonts w:eastAsia="Calibri"/>
                <w:position w:val="-2"/>
                <w:sz w:val="22"/>
                <w:szCs w:val="22"/>
              </w:rPr>
              <w:t>Bilirubin</w:t>
            </w:r>
            <w:r w:rsidRPr="003D542B">
              <w:rPr>
                <w:rFonts w:eastAsia="Calibri"/>
                <w:spacing w:val="24"/>
                <w:position w:val="-2"/>
                <w:sz w:val="22"/>
                <w:szCs w:val="22"/>
              </w:rPr>
              <w:t xml:space="preserve"> </w:t>
            </w:r>
            <w:r w:rsidRPr="003D542B">
              <w:rPr>
                <w:rFonts w:eastAsia="Calibri"/>
                <w:spacing w:val="2"/>
                <w:position w:val="-2"/>
                <w:sz w:val="22"/>
                <w:szCs w:val="22"/>
              </w:rPr>
              <w:t>(</w:t>
            </w:r>
            <w:r w:rsidRPr="003D542B">
              <w:rPr>
                <w:rFonts w:eastAsia="Calibri"/>
                <w:spacing w:val="-1"/>
                <w:position w:val="-2"/>
                <w:sz w:val="22"/>
                <w:szCs w:val="22"/>
              </w:rPr>
              <w:t>≤</w:t>
            </w:r>
            <w:r w:rsidRPr="003D542B">
              <w:rPr>
                <w:rFonts w:eastAsia="Calibri"/>
                <w:position w:val="-2"/>
                <w:sz w:val="22"/>
                <w:szCs w:val="22"/>
              </w:rPr>
              <w:t>1</w:t>
            </w:r>
            <w:r w:rsidRPr="003D542B">
              <w:rPr>
                <w:rFonts w:eastAsia="Calibri"/>
                <w:spacing w:val="11"/>
                <w:position w:val="-2"/>
                <w:sz w:val="22"/>
                <w:szCs w:val="22"/>
              </w:rPr>
              <w:t xml:space="preserve"> </w:t>
            </w:r>
            <w:r w:rsidRPr="003D542B">
              <w:rPr>
                <w:rFonts w:eastAsia="Calibri"/>
                <w:position w:val="-2"/>
                <w:sz w:val="22"/>
                <w:szCs w:val="22"/>
              </w:rPr>
              <w:t>X</w:t>
            </w:r>
            <w:r w:rsidRPr="003D542B">
              <w:rPr>
                <w:rFonts w:eastAsia="Calibri"/>
                <w:spacing w:val="5"/>
                <w:position w:val="-2"/>
                <w:sz w:val="22"/>
                <w:szCs w:val="22"/>
              </w:rPr>
              <w:t xml:space="preserve"> </w:t>
            </w:r>
            <w:proofErr w:type="gramStart"/>
            <w:r w:rsidRPr="003D542B">
              <w:rPr>
                <w:rFonts w:eastAsia="Calibri"/>
                <w:spacing w:val="-1"/>
                <w:w w:val="103"/>
                <w:position w:val="-2"/>
                <w:sz w:val="22"/>
                <w:szCs w:val="22"/>
              </w:rPr>
              <w:t>U</w:t>
            </w:r>
            <w:r w:rsidRPr="003D542B">
              <w:rPr>
                <w:rFonts w:eastAsia="Calibri"/>
                <w:spacing w:val="1"/>
                <w:w w:val="103"/>
                <w:position w:val="-2"/>
                <w:sz w:val="22"/>
                <w:szCs w:val="22"/>
              </w:rPr>
              <w:t>L</w:t>
            </w:r>
            <w:r w:rsidRPr="003D542B">
              <w:rPr>
                <w:rFonts w:eastAsia="Calibri"/>
                <w:spacing w:val="-1"/>
                <w:w w:val="103"/>
                <w:position w:val="-2"/>
                <w:sz w:val="22"/>
                <w:szCs w:val="22"/>
              </w:rPr>
              <w:t>N</w:t>
            </w:r>
            <w:r w:rsidRPr="003D542B">
              <w:rPr>
                <w:rFonts w:eastAsia="Calibri"/>
                <w:w w:val="103"/>
                <w:position w:val="-2"/>
                <w:sz w:val="22"/>
                <w:szCs w:val="22"/>
              </w:rPr>
              <w:t>)</w:t>
            </w:r>
            <w:r w:rsidRPr="003D542B">
              <w:rPr>
                <w:rFonts w:eastAsia="Calibri"/>
                <w:w w:val="103"/>
                <w:position w:val="-2"/>
                <w:sz w:val="22"/>
                <w:szCs w:val="22"/>
                <w:vertAlign w:val="superscript"/>
              </w:rPr>
              <w:t>b</w:t>
            </w:r>
            <w:proofErr w:type="gramEnd"/>
          </w:p>
        </w:tc>
        <w:tc>
          <w:tcPr>
            <w:tcW w:w="959" w:type="pct"/>
          </w:tcPr>
          <w:p w:rsidR="008D5948" w:rsidRPr="003D542B" w:rsidRDefault="008D5948" w:rsidP="002574EE">
            <w:pPr>
              <w:jc w:val="center"/>
              <w:rPr>
                <w:rFonts w:eastAsia="Calibri"/>
                <w:spacing w:val="-1"/>
                <w:sz w:val="22"/>
                <w:szCs w:val="22"/>
              </w:rPr>
            </w:pPr>
            <w:r w:rsidRPr="003D542B">
              <w:rPr>
                <w:rFonts w:eastAsia="Calibri"/>
                <w:spacing w:val="-1"/>
                <w:sz w:val="22"/>
                <w:szCs w:val="22"/>
              </w:rPr>
              <w:t>1</w:t>
            </w:r>
            <w:r w:rsidRPr="003D542B">
              <w:rPr>
                <w:rFonts w:eastAsia="Calibri"/>
                <w:sz w:val="22"/>
                <w:szCs w:val="22"/>
              </w:rPr>
              <w:t>2</w:t>
            </w:r>
            <w:r w:rsidRPr="003D542B">
              <w:rPr>
                <w:rFonts w:eastAsia="Calibri"/>
                <w:spacing w:val="1"/>
                <w:sz w:val="22"/>
                <w:szCs w:val="22"/>
              </w:rPr>
              <w:t>/</w:t>
            </w:r>
            <w:r w:rsidRPr="003D542B">
              <w:rPr>
                <w:rFonts w:eastAsia="Calibri"/>
                <w:sz w:val="22"/>
                <w:szCs w:val="22"/>
              </w:rPr>
              <w:t>75</w:t>
            </w:r>
            <w:r w:rsidRPr="003D542B">
              <w:rPr>
                <w:rFonts w:eastAsia="Calibri"/>
                <w:spacing w:val="15"/>
                <w:sz w:val="22"/>
                <w:szCs w:val="22"/>
              </w:rPr>
              <w:t xml:space="preserve"> </w:t>
            </w:r>
            <w:r w:rsidRPr="003D542B">
              <w:rPr>
                <w:rFonts w:eastAsia="Calibri"/>
                <w:w w:val="103"/>
                <w:sz w:val="22"/>
                <w:szCs w:val="22"/>
              </w:rPr>
              <w:t>(1</w:t>
            </w:r>
            <w:r w:rsidRPr="003D542B">
              <w:rPr>
                <w:rFonts w:eastAsia="Calibri"/>
                <w:spacing w:val="1"/>
                <w:w w:val="103"/>
                <w:sz w:val="22"/>
                <w:szCs w:val="22"/>
              </w:rPr>
              <w:t xml:space="preserve">6 </w:t>
            </w:r>
            <w:r w:rsidRPr="003D542B">
              <w:rPr>
                <w:rFonts w:eastAsia="Calibri"/>
                <w:w w:val="103"/>
                <w:sz w:val="22"/>
                <w:szCs w:val="22"/>
              </w:rPr>
              <w:t>%)</w:t>
            </w:r>
          </w:p>
        </w:tc>
        <w:tc>
          <w:tcPr>
            <w:tcW w:w="1004" w:type="pct"/>
          </w:tcPr>
          <w:p w:rsidR="008D5948" w:rsidRPr="003D542B" w:rsidRDefault="008D5948" w:rsidP="002574EE">
            <w:pPr>
              <w:jc w:val="center"/>
              <w:rPr>
                <w:rFonts w:eastAsia="Calibri"/>
                <w:sz w:val="22"/>
                <w:szCs w:val="22"/>
              </w:rPr>
            </w:pPr>
            <w:r w:rsidRPr="003D542B">
              <w:rPr>
                <w:rFonts w:eastAsia="Calibri"/>
                <w:sz w:val="22"/>
                <w:szCs w:val="22"/>
              </w:rPr>
              <w:t>1</w:t>
            </w:r>
            <w:r w:rsidRPr="003D542B">
              <w:rPr>
                <w:rFonts w:eastAsia="Calibri"/>
                <w:spacing w:val="-1"/>
                <w:sz w:val="22"/>
                <w:szCs w:val="22"/>
              </w:rPr>
              <w:t>0</w:t>
            </w:r>
            <w:r w:rsidRPr="003D542B">
              <w:rPr>
                <w:rFonts w:eastAsia="Calibri"/>
                <w:spacing w:val="1"/>
                <w:sz w:val="22"/>
                <w:szCs w:val="22"/>
              </w:rPr>
              <w:t>/6</w:t>
            </w:r>
            <w:r w:rsidRPr="003D542B">
              <w:rPr>
                <w:rFonts w:eastAsia="Calibri"/>
                <w:sz w:val="22"/>
                <w:szCs w:val="22"/>
              </w:rPr>
              <w:t>5</w:t>
            </w:r>
            <w:r w:rsidRPr="003D542B">
              <w:rPr>
                <w:rFonts w:eastAsia="Calibri"/>
                <w:spacing w:val="16"/>
                <w:sz w:val="22"/>
                <w:szCs w:val="22"/>
              </w:rPr>
              <w:t xml:space="preserve"> </w:t>
            </w:r>
            <w:r w:rsidRPr="003D542B">
              <w:rPr>
                <w:rFonts w:eastAsia="Calibri"/>
                <w:w w:val="103"/>
                <w:sz w:val="22"/>
                <w:szCs w:val="22"/>
              </w:rPr>
              <w:t>(</w:t>
            </w:r>
            <w:r w:rsidRPr="003D542B">
              <w:rPr>
                <w:rFonts w:eastAsia="Calibri"/>
                <w:spacing w:val="1"/>
                <w:w w:val="103"/>
                <w:sz w:val="22"/>
                <w:szCs w:val="22"/>
              </w:rPr>
              <w:t>1</w:t>
            </w:r>
            <w:r w:rsidRPr="003D542B">
              <w:rPr>
                <w:rFonts w:eastAsia="Calibri"/>
                <w:w w:val="103"/>
                <w:sz w:val="22"/>
                <w:szCs w:val="22"/>
              </w:rPr>
              <w:t>5 %)</w:t>
            </w:r>
          </w:p>
        </w:tc>
        <w:tc>
          <w:tcPr>
            <w:tcW w:w="962" w:type="pct"/>
          </w:tcPr>
          <w:p w:rsidR="008D5948" w:rsidRPr="003D542B" w:rsidRDefault="008D5948" w:rsidP="002574EE">
            <w:pPr>
              <w:jc w:val="center"/>
              <w:rPr>
                <w:rFonts w:eastAsia="Calibri"/>
                <w:sz w:val="22"/>
                <w:szCs w:val="22"/>
              </w:rPr>
            </w:pPr>
            <w:r w:rsidRPr="003D542B">
              <w:rPr>
                <w:rFonts w:eastAsia="Calibri"/>
                <w:sz w:val="22"/>
                <w:szCs w:val="22"/>
              </w:rPr>
              <w:t>15/</w:t>
            </w:r>
            <w:r w:rsidRPr="003D542B">
              <w:rPr>
                <w:rFonts w:eastAsia="Calibri"/>
                <w:spacing w:val="1"/>
                <w:sz w:val="22"/>
                <w:szCs w:val="22"/>
              </w:rPr>
              <w:t>7</w:t>
            </w:r>
            <w:r w:rsidRPr="003D542B">
              <w:rPr>
                <w:rFonts w:eastAsia="Calibri"/>
                <w:sz w:val="22"/>
                <w:szCs w:val="22"/>
              </w:rPr>
              <w:t>5</w:t>
            </w:r>
            <w:r w:rsidRPr="003D542B">
              <w:rPr>
                <w:rFonts w:eastAsia="Calibri"/>
                <w:spacing w:val="15"/>
                <w:sz w:val="22"/>
                <w:szCs w:val="22"/>
              </w:rPr>
              <w:t xml:space="preserve"> </w:t>
            </w:r>
            <w:r w:rsidRPr="003D542B">
              <w:rPr>
                <w:rFonts w:eastAsia="Calibri"/>
                <w:w w:val="103"/>
                <w:sz w:val="22"/>
                <w:szCs w:val="22"/>
              </w:rPr>
              <w:t>(</w:t>
            </w:r>
            <w:r w:rsidRPr="003D542B">
              <w:rPr>
                <w:rFonts w:eastAsia="Calibri"/>
                <w:spacing w:val="1"/>
                <w:w w:val="103"/>
                <w:sz w:val="22"/>
                <w:szCs w:val="22"/>
              </w:rPr>
              <w:t>2</w:t>
            </w:r>
            <w:r w:rsidRPr="003D542B">
              <w:rPr>
                <w:rFonts w:eastAsia="Calibri"/>
                <w:w w:val="103"/>
                <w:sz w:val="22"/>
                <w:szCs w:val="22"/>
              </w:rPr>
              <w:t>0 %)</w:t>
            </w:r>
          </w:p>
        </w:tc>
        <w:tc>
          <w:tcPr>
            <w:tcW w:w="1003" w:type="pct"/>
          </w:tcPr>
          <w:p w:rsidR="008D5948" w:rsidRPr="003D542B" w:rsidRDefault="008D5948" w:rsidP="002574EE">
            <w:pPr>
              <w:jc w:val="center"/>
              <w:rPr>
                <w:rFonts w:eastAsia="Calibri"/>
                <w:sz w:val="22"/>
                <w:szCs w:val="22"/>
              </w:rPr>
            </w:pPr>
            <w:r w:rsidRPr="003D542B">
              <w:rPr>
                <w:rFonts w:eastAsia="Calibri"/>
                <w:sz w:val="22"/>
                <w:szCs w:val="22"/>
              </w:rPr>
              <w:t>1</w:t>
            </w:r>
            <w:r w:rsidRPr="003D542B">
              <w:rPr>
                <w:rFonts w:eastAsia="Calibri"/>
                <w:spacing w:val="-1"/>
                <w:sz w:val="22"/>
                <w:szCs w:val="22"/>
              </w:rPr>
              <w:t>8</w:t>
            </w:r>
            <w:r w:rsidRPr="003D542B">
              <w:rPr>
                <w:rFonts w:eastAsia="Calibri"/>
                <w:spacing w:val="1"/>
                <w:sz w:val="22"/>
                <w:szCs w:val="22"/>
              </w:rPr>
              <w:t>/6</w:t>
            </w:r>
            <w:r w:rsidRPr="003D542B">
              <w:rPr>
                <w:rFonts w:eastAsia="Calibri"/>
                <w:sz w:val="22"/>
                <w:szCs w:val="22"/>
              </w:rPr>
              <w:t>5</w:t>
            </w:r>
            <w:r w:rsidRPr="003D542B">
              <w:rPr>
                <w:rFonts w:eastAsia="Calibri"/>
                <w:spacing w:val="16"/>
                <w:sz w:val="22"/>
                <w:szCs w:val="22"/>
              </w:rPr>
              <w:t xml:space="preserve"> </w:t>
            </w:r>
            <w:r w:rsidRPr="003D542B">
              <w:rPr>
                <w:rFonts w:eastAsia="Calibri"/>
                <w:w w:val="103"/>
                <w:sz w:val="22"/>
                <w:szCs w:val="22"/>
              </w:rPr>
              <w:t>(</w:t>
            </w:r>
            <w:r w:rsidRPr="003D542B">
              <w:rPr>
                <w:rFonts w:eastAsia="Calibri"/>
                <w:spacing w:val="1"/>
                <w:w w:val="103"/>
                <w:sz w:val="22"/>
                <w:szCs w:val="22"/>
              </w:rPr>
              <w:t>2</w:t>
            </w:r>
            <w:r w:rsidRPr="003D542B">
              <w:rPr>
                <w:rFonts w:eastAsia="Calibri"/>
                <w:w w:val="103"/>
                <w:sz w:val="22"/>
                <w:szCs w:val="22"/>
              </w:rPr>
              <w:t>8 %)</w:t>
            </w:r>
          </w:p>
        </w:tc>
      </w:tr>
      <w:tr w:rsidR="008D5948" w:rsidRPr="003D542B" w:rsidTr="002574EE">
        <w:tc>
          <w:tcPr>
            <w:tcW w:w="1072" w:type="pct"/>
          </w:tcPr>
          <w:p w:rsidR="008D5948" w:rsidRPr="003D542B" w:rsidRDefault="008D5948" w:rsidP="002574EE">
            <w:pPr>
              <w:rPr>
                <w:rFonts w:eastAsia="Calibri"/>
                <w:position w:val="-2"/>
                <w:sz w:val="22"/>
                <w:szCs w:val="22"/>
              </w:rPr>
            </w:pPr>
            <w:proofErr w:type="spellStart"/>
            <w:r w:rsidRPr="003D542B">
              <w:rPr>
                <w:rFonts w:eastAsia="Calibri"/>
                <w:position w:val="-2"/>
                <w:sz w:val="22"/>
                <w:szCs w:val="22"/>
              </w:rPr>
              <w:lastRenderedPageBreak/>
              <w:t>Pr</w:t>
            </w:r>
            <w:r w:rsidRPr="003D542B">
              <w:rPr>
                <w:rFonts w:eastAsia="Calibri"/>
                <w:spacing w:val="-1"/>
                <w:position w:val="-2"/>
                <w:sz w:val="22"/>
                <w:szCs w:val="22"/>
              </w:rPr>
              <w:t>o</w:t>
            </w:r>
            <w:r w:rsidRPr="003D542B">
              <w:rPr>
                <w:rFonts w:eastAsia="Calibri"/>
                <w:position w:val="-2"/>
                <w:sz w:val="22"/>
                <w:szCs w:val="22"/>
              </w:rPr>
              <w:t>thr</w:t>
            </w:r>
            <w:r w:rsidRPr="003D542B">
              <w:rPr>
                <w:rFonts w:eastAsia="Calibri"/>
                <w:spacing w:val="2"/>
                <w:position w:val="-2"/>
                <w:sz w:val="22"/>
                <w:szCs w:val="22"/>
              </w:rPr>
              <w:t>o</w:t>
            </w:r>
            <w:r w:rsidRPr="003D542B">
              <w:rPr>
                <w:rFonts w:eastAsia="Calibri"/>
                <w:spacing w:val="-2"/>
                <w:position w:val="-2"/>
                <w:sz w:val="22"/>
                <w:szCs w:val="22"/>
              </w:rPr>
              <w:t>m</w:t>
            </w:r>
            <w:r w:rsidRPr="003D542B">
              <w:rPr>
                <w:rFonts w:eastAsia="Calibri"/>
                <w:position w:val="-2"/>
                <w:sz w:val="22"/>
                <w:szCs w:val="22"/>
              </w:rPr>
              <w:t>b</w:t>
            </w:r>
            <w:r w:rsidRPr="003D542B">
              <w:rPr>
                <w:rFonts w:eastAsia="Calibri"/>
                <w:spacing w:val="1"/>
                <w:position w:val="-2"/>
                <w:sz w:val="22"/>
                <w:szCs w:val="22"/>
              </w:rPr>
              <w:t>i</w:t>
            </w:r>
            <w:r w:rsidRPr="003D542B">
              <w:rPr>
                <w:rFonts w:eastAsia="Calibri"/>
                <w:position w:val="-2"/>
                <w:sz w:val="22"/>
                <w:szCs w:val="22"/>
              </w:rPr>
              <w:t>n</w:t>
            </w:r>
            <w:r w:rsidRPr="003D542B">
              <w:rPr>
                <w:rFonts w:eastAsia="Calibri"/>
                <w:spacing w:val="33"/>
                <w:position w:val="-2"/>
                <w:sz w:val="22"/>
                <w:szCs w:val="22"/>
              </w:rPr>
              <w:t>tid</w:t>
            </w:r>
            <w:proofErr w:type="spellEnd"/>
            <w:r w:rsidRPr="003D542B">
              <w:rPr>
                <w:rFonts w:eastAsia="Calibri"/>
                <w:spacing w:val="14"/>
                <w:position w:val="-2"/>
                <w:sz w:val="22"/>
                <w:szCs w:val="22"/>
              </w:rPr>
              <w:t xml:space="preserve"> </w:t>
            </w:r>
            <w:r w:rsidRPr="003D542B">
              <w:rPr>
                <w:rFonts w:eastAsia="Calibri"/>
                <w:position w:val="-2"/>
                <w:sz w:val="22"/>
                <w:szCs w:val="22"/>
              </w:rPr>
              <w:t>(</w:t>
            </w:r>
            <w:r w:rsidRPr="003D542B">
              <w:rPr>
                <w:rFonts w:eastAsia="Calibri"/>
                <w:spacing w:val="1"/>
                <w:position w:val="-2"/>
                <w:sz w:val="22"/>
                <w:szCs w:val="22"/>
              </w:rPr>
              <w:t>≤</w:t>
            </w:r>
            <w:r w:rsidRPr="003D542B">
              <w:rPr>
                <w:rFonts w:eastAsia="Calibri"/>
                <w:position w:val="-2"/>
                <w:sz w:val="22"/>
                <w:szCs w:val="22"/>
              </w:rPr>
              <w:t>1</w:t>
            </w:r>
            <w:r w:rsidRPr="003D542B">
              <w:rPr>
                <w:rFonts w:eastAsia="Calibri"/>
                <w:spacing w:val="9"/>
                <w:position w:val="-2"/>
                <w:sz w:val="22"/>
                <w:szCs w:val="22"/>
              </w:rPr>
              <w:t xml:space="preserve"> </w:t>
            </w:r>
            <w:r w:rsidRPr="003D542B">
              <w:rPr>
                <w:rFonts w:eastAsia="Calibri"/>
                <w:position w:val="-2"/>
                <w:sz w:val="22"/>
                <w:szCs w:val="22"/>
              </w:rPr>
              <w:t>X</w:t>
            </w:r>
            <w:r w:rsidRPr="003D542B">
              <w:rPr>
                <w:rFonts w:eastAsia="Calibri"/>
                <w:spacing w:val="5"/>
                <w:position w:val="-2"/>
                <w:sz w:val="22"/>
                <w:szCs w:val="22"/>
              </w:rPr>
              <w:t xml:space="preserve"> </w:t>
            </w:r>
            <w:proofErr w:type="gramStart"/>
            <w:r w:rsidRPr="003D542B">
              <w:rPr>
                <w:rFonts w:eastAsia="Calibri"/>
                <w:spacing w:val="2"/>
                <w:w w:val="103"/>
                <w:position w:val="-2"/>
                <w:sz w:val="22"/>
                <w:szCs w:val="22"/>
              </w:rPr>
              <w:t>U</w:t>
            </w:r>
            <w:r w:rsidRPr="003D542B">
              <w:rPr>
                <w:rFonts w:eastAsia="Calibri"/>
                <w:w w:val="103"/>
                <w:position w:val="-2"/>
                <w:sz w:val="22"/>
                <w:szCs w:val="22"/>
              </w:rPr>
              <w:t>LN</w:t>
            </w:r>
            <w:r w:rsidRPr="003D542B">
              <w:rPr>
                <w:rFonts w:eastAsia="Calibri"/>
                <w:spacing w:val="1"/>
                <w:w w:val="103"/>
                <w:position w:val="-2"/>
                <w:sz w:val="22"/>
                <w:szCs w:val="22"/>
              </w:rPr>
              <w:t>)</w:t>
            </w:r>
            <w:r w:rsidRPr="003D542B">
              <w:rPr>
                <w:rFonts w:eastAsia="Calibri"/>
                <w:spacing w:val="1"/>
                <w:w w:val="103"/>
                <w:position w:val="-2"/>
                <w:sz w:val="22"/>
                <w:szCs w:val="22"/>
                <w:vertAlign w:val="superscript"/>
              </w:rPr>
              <w:t>b</w:t>
            </w:r>
            <w:proofErr w:type="gramEnd"/>
          </w:p>
        </w:tc>
        <w:tc>
          <w:tcPr>
            <w:tcW w:w="959" w:type="pct"/>
          </w:tcPr>
          <w:p w:rsidR="008D5948" w:rsidRPr="003D542B" w:rsidRDefault="008D5948" w:rsidP="002574EE">
            <w:pPr>
              <w:jc w:val="center"/>
              <w:rPr>
                <w:rFonts w:eastAsia="Calibri"/>
                <w:spacing w:val="-1"/>
                <w:sz w:val="22"/>
                <w:szCs w:val="22"/>
              </w:rPr>
            </w:pPr>
            <w:r w:rsidRPr="003D542B">
              <w:rPr>
                <w:rFonts w:eastAsia="Calibri"/>
                <w:sz w:val="22"/>
                <w:szCs w:val="22"/>
              </w:rPr>
              <w:t>9/95</w:t>
            </w:r>
            <w:r w:rsidRPr="003D542B">
              <w:rPr>
                <w:rFonts w:eastAsia="Calibri"/>
                <w:spacing w:val="13"/>
                <w:sz w:val="22"/>
                <w:szCs w:val="22"/>
              </w:rPr>
              <w:t xml:space="preserve"> </w:t>
            </w:r>
            <w:r w:rsidRPr="003D542B">
              <w:rPr>
                <w:rFonts w:eastAsia="Calibri"/>
                <w:w w:val="103"/>
                <w:sz w:val="22"/>
                <w:szCs w:val="22"/>
              </w:rPr>
              <w:t>(9 %)</w:t>
            </w:r>
          </w:p>
        </w:tc>
        <w:tc>
          <w:tcPr>
            <w:tcW w:w="1004" w:type="pct"/>
          </w:tcPr>
          <w:p w:rsidR="008D5948" w:rsidRPr="003D542B" w:rsidRDefault="008D5948" w:rsidP="002574EE">
            <w:pPr>
              <w:jc w:val="center"/>
              <w:rPr>
                <w:rFonts w:eastAsia="Calibri"/>
                <w:sz w:val="22"/>
                <w:szCs w:val="22"/>
              </w:rPr>
            </w:pPr>
            <w:r w:rsidRPr="003D542B">
              <w:rPr>
                <w:rFonts w:eastAsia="Calibri"/>
                <w:spacing w:val="-1"/>
                <w:sz w:val="22"/>
                <w:szCs w:val="22"/>
              </w:rPr>
              <w:t>6</w:t>
            </w:r>
            <w:r w:rsidRPr="003D542B">
              <w:rPr>
                <w:rFonts w:eastAsia="Calibri"/>
                <w:sz w:val="22"/>
                <w:szCs w:val="22"/>
              </w:rPr>
              <w:t>/</w:t>
            </w:r>
            <w:r w:rsidRPr="003D542B">
              <w:rPr>
                <w:rFonts w:eastAsia="Calibri"/>
                <w:spacing w:val="1"/>
                <w:sz w:val="22"/>
                <w:szCs w:val="22"/>
              </w:rPr>
              <w:t>8</w:t>
            </w:r>
            <w:r w:rsidRPr="003D542B">
              <w:rPr>
                <w:rFonts w:eastAsia="Calibri"/>
                <w:sz w:val="22"/>
                <w:szCs w:val="22"/>
              </w:rPr>
              <w:t>2</w:t>
            </w:r>
            <w:r w:rsidRPr="003D542B">
              <w:rPr>
                <w:rFonts w:eastAsia="Calibri"/>
                <w:spacing w:val="13"/>
                <w:sz w:val="22"/>
                <w:szCs w:val="22"/>
              </w:rPr>
              <w:t xml:space="preserve"> </w:t>
            </w:r>
            <w:r w:rsidRPr="003D542B">
              <w:rPr>
                <w:rFonts w:eastAsia="Calibri"/>
                <w:w w:val="103"/>
                <w:sz w:val="22"/>
                <w:szCs w:val="22"/>
              </w:rPr>
              <w:t>(</w:t>
            </w:r>
            <w:r w:rsidRPr="003D542B">
              <w:rPr>
                <w:rFonts w:eastAsia="Calibri"/>
                <w:spacing w:val="1"/>
                <w:w w:val="103"/>
                <w:sz w:val="22"/>
                <w:szCs w:val="22"/>
              </w:rPr>
              <w:t xml:space="preserve">7 </w:t>
            </w:r>
            <w:r w:rsidRPr="003D542B">
              <w:rPr>
                <w:rFonts w:eastAsia="Calibri"/>
                <w:w w:val="103"/>
                <w:sz w:val="22"/>
                <w:szCs w:val="22"/>
              </w:rPr>
              <w:t>%)</w:t>
            </w:r>
          </w:p>
        </w:tc>
        <w:tc>
          <w:tcPr>
            <w:tcW w:w="962" w:type="pct"/>
          </w:tcPr>
          <w:p w:rsidR="008D5948" w:rsidRPr="003D542B" w:rsidRDefault="008D5948" w:rsidP="002574EE">
            <w:pPr>
              <w:jc w:val="center"/>
              <w:rPr>
                <w:rFonts w:eastAsia="Calibri"/>
                <w:sz w:val="22"/>
                <w:szCs w:val="22"/>
              </w:rPr>
            </w:pPr>
            <w:r w:rsidRPr="003D542B">
              <w:rPr>
                <w:rFonts w:eastAsia="Calibri"/>
                <w:sz w:val="22"/>
                <w:szCs w:val="22"/>
              </w:rPr>
              <w:t>8/95</w:t>
            </w:r>
            <w:r w:rsidRPr="003D542B">
              <w:rPr>
                <w:rFonts w:eastAsia="Calibri"/>
                <w:spacing w:val="13"/>
                <w:sz w:val="22"/>
                <w:szCs w:val="22"/>
              </w:rPr>
              <w:t xml:space="preserve"> </w:t>
            </w:r>
            <w:r w:rsidRPr="003D542B">
              <w:rPr>
                <w:rFonts w:eastAsia="Calibri"/>
                <w:w w:val="103"/>
                <w:sz w:val="22"/>
                <w:szCs w:val="22"/>
              </w:rPr>
              <w:t>(</w:t>
            </w:r>
            <w:r w:rsidRPr="003D542B">
              <w:rPr>
                <w:rFonts w:eastAsia="Calibri"/>
                <w:spacing w:val="1"/>
                <w:w w:val="103"/>
                <w:sz w:val="22"/>
                <w:szCs w:val="22"/>
              </w:rPr>
              <w:t xml:space="preserve">8 </w:t>
            </w:r>
            <w:r w:rsidRPr="003D542B">
              <w:rPr>
                <w:rFonts w:eastAsia="Calibri"/>
                <w:w w:val="103"/>
                <w:sz w:val="22"/>
                <w:szCs w:val="22"/>
              </w:rPr>
              <w:t>%)</w:t>
            </w:r>
          </w:p>
        </w:tc>
        <w:tc>
          <w:tcPr>
            <w:tcW w:w="1003" w:type="pct"/>
          </w:tcPr>
          <w:p w:rsidR="008D5948" w:rsidRPr="003D542B" w:rsidRDefault="008D5948" w:rsidP="002574EE">
            <w:pPr>
              <w:jc w:val="center"/>
              <w:rPr>
                <w:rFonts w:eastAsia="Calibri"/>
                <w:sz w:val="22"/>
                <w:szCs w:val="22"/>
              </w:rPr>
            </w:pPr>
            <w:r w:rsidRPr="003D542B">
              <w:rPr>
                <w:rFonts w:eastAsia="Calibri"/>
                <w:spacing w:val="-1"/>
                <w:sz w:val="22"/>
                <w:szCs w:val="22"/>
              </w:rPr>
              <w:t>7</w:t>
            </w:r>
            <w:r w:rsidRPr="003D542B">
              <w:rPr>
                <w:rFonts w:eastAsia="Calibri"/>
                <w:sz w:val="22"/>
                <w:szCs w:val="22"/>
              </w:rPr>
              <w:t>/</w:t>
            </w:r>
            <w:r w:rsidRPr="003D542B">
              <w:rPr>
                <w:rFonts w:eastAsia="Calibri"/>
                <w:spacing w:val="1"/>
                <w:sz w:val="22"/>
                <w:szCs w:val="22"/>
              </w:rPr>
              <w:t>8</w:t>
            </w:r>
            <w:r w:rsidRPr="003D542B">
              <w:rPr>
                <w:rFonts w:eastAsia="Calibri"/>
                <w:sz w:val="22"/>
                <w:szCs w:val="22"/>
              </w:rPr>
              <w:t>2</w:t>
            </w:r>
            <w:r w:rsidRPr="003D542B">
              <w:rPr>
                <w:rFonts w:eastAsia="Calibri"/>
                <w:spacing w:val="13"/>
                <w:sz w:val="22"/>
                <w:szCs w:val="22"/>
              </w:rPr>
              <w:t xml:space="preserve"> </w:t>
            </w:r>
            <w:r w:rsidRPr="003D542B">
              <w:rPr>
                <w:rFonts w:eastAsia="Calibri"/>
                <w:w w:val="103"/>
                <w:sz w:val="22"/>
                <w:szCs w:val="22"/>
              </w:rPr>
              <w:t>(</w:t>
            </w:r>
            <w:r w:rsidRPr="003D542B">
              <w:rPr>
                <w:rFonts w:eastAsia="Calibri"/>
                <w:spacing w:val="1"/>
                <w:w w:val="103"/>
                <w:sz w:val="22"/>
                <w:szCs w:val="22"/>
              </w:rPr>
              <w:t xml:space="preserve">9 </w:t>
            </w:r>
            <w:r w:rsidRPr="003D542B">
              <w:rPr>
                <w:rFonts w:eastAsia="Calibri"/>
                <w:w w:val="103"/>
                <w:sz w:val="22"/>
                <w:szCs w:val="22"/>
              </w:rPr>
              <w:t>%)</w:t>
            </w:r>
          </w:p>
        </w:tc>
      </w:tr>
    </w:tbl>
    <w:p w:rsidR="008D5948" w:rsidRPr="00543BFE" w:rsidRDefault="008D5948" w:rsidP="008D5948">
      <w:pPr>
        <w:rPr>
          <w:sz w:val="24"/>
          <w:szCs w:val="24"/>
          <w:lang w:val="en-US"/>
        </w:rPr>
      </w:pPr>
      <w:r w:rsidRPr="00543BFE">
        <w:rPr>
          <w:sz w:val="24"/>
          <w:szCs w:val="24"/>
          <w:vertAlign w:val="superscript"/>
          <w:lang w:val="en-US"/>
        </w:rPr>
        <w:t>a</w:t>
      </w:r>
      <w:r w:rsidRPr="00543BFE">
        <w:rPr>
          <w:sz w:val="24"/>
          <w:szCs w:val="24"/>
          <w:lang w:val="en-US"/>
        </w:rPr>
        <w:t xml:space="preserve"> Roche COBAS </w:t>
      </w:r>
      <w:proofErr w:type="spellStart"/>
      <w:r w:rsidRPr="00543BFE">
        <w:rPr>
          <w:sz w:val="24"/>
          <w:szCs w:val="24"/>
          <w:lang w:val="en-US"/>
        </w:rPr>
        <w:t>Amplicor</w:t>
      </w:r>
      <w:proofErr w:type="spellEnd"/>
      <w:r w:rsidRPr="00543BFE">
        <w:rPr>
          <w:sz w:val="24"/>
          <w:szCs w:val="24"/>
          <w:lang w:val="en-US"/>
        </w:rPr>
        <w:t xml:space="preserve"> PCR-assay (LLOQ = 300 </w:t>
      </w:r>
      <w:proofErr w:type="spellStart"/>
      <w:r w:rsidRPr="00543BFE">
        <w:rPr>
          <w:sz w:val="24"/>
          <w:szCs w:val="24"/>
          <w:lang w:val="en-US"/>
        </w:rPr>
        <w:t>kopier</w:t>
      </w:r>
      <w:proofErr w:type="spellEnd"/>
      <w:r w:rsidRPr="00543BFE">
        <w:rPr>
          <w:sz w:val="24"/>
          <w:szCs w:val="24"/>
          <w:lang w:val="en-US"/>
        </w:rPr>
        <w:t xml:space="preserve">/ml). </w:t>
      </w:r>
    </w:p>
    <w:p w:rsidR="008D5948" w:rsidRPr="00543BFE" w:rsidRDefault="008D5948" w:rsidP="008D5948">
      <w:pPr>
        <w:rPr>
          <w:sz w:val="24"/>
          <w:szCs w:val="24"/>
        </w:rPr>
      </w:pPr>
      <w:r w:rsidRPr="00543BFE">
        <w:rPr>
          <w:sz w:val="24"/>
          <w:szCs w:val="24"/>
          <w:vertAlign w:val="superscript"/>
        </w:rPr>
        <w:t>b</w:t>
      </w:r>
      <w:r w:rsidRPr="00543BFE">
        <w:rPr>
          <w:sz w:val="24"/>
          <w:szCs w:val="24"/>
        </w:rPr>
        <w:t xml:space="preserve"> NC=F (noncompleter=svigt, dvs. behandlingsafbrydelse før analyseugen. Blandt andet medregnes årsager som død, manglende virkning, bivirkning, noncompliance/manglende opfølgning som svigt (f.eks. HBV-dna ≥ 300 kopier/ml</w:t>
      </w:r>
      <w:proofErr w:type="gramStart"/>
      <w:r w:rsidRPr="00543BFE">
        <w:rPr>
          <w:sz w:val="24"/>
          <w:szCs w:val="24"/>
        </w:rPr>
        <w:t>) .</w:t>
      </w:r>
      <w:proofErr w:type="gramEnd"/>
    </w:p>
    <w:p w:rsidR="008D5948" w:rsidRPr="00543BFE" w:rsidRDefault="008D5948" w:rsidP="008D5948">
      <w:pPr>
        <w:rPr>
          <w:sz w:val="24"/>
          <w:szCs w:val="24"/>
          <w:lang w:val="en-US"/>
        </w:rPr>
      </w:pPr>
      <w:r w:rsidRPr="00543BFE">
        <w:rPr>
          <w:sz w:val="24"/>
          <w:szCs w:val="24"/>
          <w:vertAlign w:val="superscript"/>
          <w:lang w:val="en-US"/>
        </w:rPr>
        <w:t>c</w:t>
      </w:r>
      <w:r w:rsidRPr="00543BFE">
        <w:rPr>
          <w:sz w:val="24"/>
          <w:szCs w:val="24"/>
          <w:lang w:val="en-US"/>
        </w:rPr>
        <w:t xml:space="preserve"> NC=M (</w:t>
      </w:r>
      <w:proofErr w:type="spellStart"/>
      <w:r w:rsidRPr="00543BFE">
        <w:rPr>
          <w:sz w:val="24"/>
          <w:szCs w:val="24"/>
          <w:lang w:val="en-US"/>
        </w:rPr>
        <w:t>noncompleters</w:t>
      </w:r>
      <w:proofErr w:type="spellEnd"/>
      <w:r w:rsidRPr="00543BFE">
        <w:rPr>
          <w:sz w:val="24"/>
          <w:szCs w:val="24"/>
          <w:lang w:val="en-US"/>
        </w:rPr>
        <w:t>=</w:t>
      </w:r>
      <w:proofErr w:type="spellStart"/>
      <w:r w:rsidRPr="00543BFE">
        <w:rPr>
          <w:sz w:val="24"/>
          <w:szCs w:val="24"/>
          <w:lang w:val="en-US"/>
        </w:rPr>
        <w:t>svigt</w:t>
      </w:r>
      <w:proofErr w:type="spellEnd"/>
      <w:r w:rsidRPr="00543BFE">
        <w:rPr>
          <w:sz w:val="24"/>
          <w:szCs w:val="24"/>
          <w:lang w:val="en-US"/>
        </w:rPr>
        <w:t xml:space="preserve">). </w:t>
      </w:r>
    </w:p>
    <w:p w:rsidR="008D5948" w:rsidRPr="00543BFE" w:rsidRDefault="008D5948" w:rsidP="008D5948">
      <w:pPr>
        <w:rPr>
          <w:sz w:val="24"/>
          <w:szCs w:val="24"/>
        </w:rPr>
      </w:pPr>
      <w:r w:rsidRPr="00543BFE">
        <w:rPr>
          <w:sz w:val="24"/>
          <w:szCs w:val="24"/>
          <w:vertAlign w:val="superscript"/>
        </w:rPr>
        <w:t xml:space="preserve">d </w:t>
      </w:r>
      <w:r w:rsidRPr="00543BFE">
        <w:rPr>
          <w:sz w:val="24"/>
          <w:szCs w:val="24"/>
        </w:rPr>
        <w:t xml:space="preserve">Defineres som nedgang eller ingen ændring fra baseline i CTP-tal. </w:t>
      </w:r>
    </w:p>
    <w:p w:rsidR="008D5948" w:rsidRPr="00543BFE" w:rsidRDefault="008D5948" w:rsidP="008D5948">
      <w:pPr>
        <w:rPr>
          <w:sz w:val="24"/>
          <w:szCs w:val="24"/>
        </w:rPr>
      </w:pPr>
      <w:r w:rsidRPr="00543BFE">
        <w:rPr>
          <w:sz w:val="24"/>
          <w:szCs w:val="24"/>
          <w:vertAlign w:val="superscript"/>
        </w:rPr>
        <w:t>e</w:t>
      </w:r>
      <w:r w:rsidRPr="00543BFE">
        <w:rPr>
          <w:sz w:val="24"/>
          <w:szCs w:val="24"/>
        </w:rPr>
        <w:t xml:space="preserve"> Gennemsnitlig MELD-score ved baseline var 17,1 for ETV og 15,3 for </w:t>
      </w:r>
      <w:proofErr w:type="spellStart"/>
      <w:r w:rsidRPr="00543BFE">
        <w:rPr>
          <w:sz w:val="24"/>
          <w:szCs w:val="24"/>
        </w:rPr>
        <w:t>adefovirdipivoxil</w:t>
      </w:r>
      <w:proofErr w:type="spellEnd"/>
      <w:r w:rsidRPr="00543BFE">
        <w:rPr>
          <w:sz w:val="24"/>
          <w:szCs w:val="24"/>
        </w:rPr>
        <w:t xml:space="preserve">. </w:t>
      </w:r>
    </w:p>
    <w:p w:rsidR="008D5948" w:rsidRPr="00543BFE" w:rsidRDefault="008D5948" w:rsidP="008D5948">
      <w:pPr>
        <w:rPr>
          <w:sz w:val="24"/>
          <w:szCs w:val="24"/>
        </w:rPr>
      </w:pPr>
      <w:r w:rsidRPr="00543BFE">
        <w:rPr>
          <w:sz w:val="24"/>
          <w:szCs w:val="24"/>
          <w:vertAlign w:val="superscript"/>
        </w:rPr>
        <w:t>f</w:t>
      </w:r>
      <w:r w:rsidRPr="00543BFE">
        <w:rPr>
          <w:sz w:val="24"/>
          <w:szCs w:val="24"/>
        </w:rPr>
        <w:t xml:space="preserve"> Nævner for patienter med abnorme værdier ved baseline. </w:t>
      </w:r>
    </w:p>
    <w:p w:rsidR="008D5948" w:rsidRPr="00543BFE" w:rsidRDefault="008D5948" w:rsidP="008D5948">
      <w:pPr>
        <w:rPr>
          <w:sz w:val="24"/>
          <w:szCs w:val="24"/>
        </w:rPr>
      </w:pPr>
      <w:r w:rsidRPr="00543BFE">
        <w:rPr>
          <w:sz w:val="24"/>
          <w:szCs w:val="24"/>
        </w:rPr>
        <w:t>* p&lt;0,05</w:t>
      </w:r>
    </w:p>
    <w:p w:rsidR="008D5948" w:rsidRPr="00543BFE" w:rsidRDefault="008D5948" w:rsidP="008D5948">
      <w:pPr>
        <w:rPr>
          <w:sz w:val="24"/>
          <w:szCs w:val="24"/>
        </w:rPr>
      </w:pPr>
      <w:r w:rsidRPr="00543BFE">
        <w:rPr>
          <w:sz w:val="24"/>
          <w:szCs w:val="24"/>
        </w:rPr>
        <w:t>ULN=øvre normalgrænse, LLN=nedre normalgrænse.</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Tiden til indtræden af HCC eller død (afhængigt af hvad der indtraf først) var sammenlignelig i de to behandlingsgrupper. Den kumulative dødelighed i studiet var 23 % (23/102) og 33 % (29/89) for patienter, der blev behandlet med henholdsvis </w:t>
      </w:r>
      <w:proofErr w:type="spellStart"/>
      <w:r w:rsidRPr="00543BFE">
        <w:rPr>
          <w:sz w:val="24"/>
          <w:szCs w:val="24"/>
        </w:rPr>
        <w:t>entecavir</w:t>
      </w:r>
      <w:proofErr w:type="spellEnd"/>
      <w:r w:rsidRPr="00543BFE">
        <w:rPr>
          <w:sz w:val="24"/>
          <w:szCs w:val="24"/>
        </w:rPr>
        <w:t xml:space="preserve"> og </w:t>
      </w:r>
      <w:proofErr w:type="spellStart"/>
      <w:r w:rsidRPr="00543BFE">
        <w:rPr>
          <w:sz w:val="24"/>
          <w:szCs w:val="24"/>
        </w:rPr>
        <w:t>adefovirdipivoxil</w:t>
      </w:r>
      <w:proofErr w:type="spellEnd"/>
      <w:r w:rsidRPr="00543BFE">
        <w:rPr>
          <w:sz w:val="24"/>
          <w:szCs w:val="24"/>
        </w:rPr>
        <w:t xml:space="preserve">, og den kumulative forekomst af HCC var 12 % (12/102) og 20 % (18/89) for henholdsvis </w:t>
      </w:r>
      <w:proofErr w:type="spellStart"/>
      <w:r w:rsidRPr="00543BFE">
        <w:rPr>
          <w:sz w:val="24"/>
          <w:szCs w:val="24"/>
        </w:rPr>
        <w:t>entecavir</w:t>
      </w:r>
      <w:proofErr w:type="spellEnd"/>
      <w:r w:rsidRPr="00543BFE">
        <w:rPr>
          <w:sz w:val="24"/>
          <w:szCs w:val="24"/>
        </w:rPr>
        <w:t xml:space="preserve"> og </w:t>
      </w:r>
      <w:proofErr w:type="spellStart"/>
      <w:r w:rsidRPr="00543BFE">
        <w:rPr>
          <w:sz w:val="24"/>
          <w:szCs w:val="24"/>
        </w:rPr>
        <w:t>adefovirdipivoxil</w:t>
      </w:r>
      <w:proofErr w:type="spellEnd"/>
      <w:r w:rsidRPr="00543BFE">
        <w:rPr>
          <w:sz w:val="24"/>
          <w:szCs w:val="24"/>
        </w:rPr>
        <w:t xml:space="preserve">. </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For patienter med </w:t>
      </w:r>
      <w:proofErr w:type="spellStart"/>
      <w:r w:rsidRPr="00543BFE">
        <w:rPr>
          <w:sz w:val="24"/>
          <w:szCs w:val="24"/>
        </w:rPr>
        <w:t>LVDr</w:t>
      </w:r>
      <w:proofErr w:type="spellEnd"/>
      <w:r w:rsidRPr="00543BFE">
        <w:rPr>
          <w:sz w:val="24"/>
          <w:szCs w:val="24"/>
        </w:rPr>
        <w:t xml:space="preserve">-substitutioner ved baseline var andelen af patienter med HBV-dna &lt;300 kopier/ml 44 % for </w:t>
      </w:r>
      <w:proofErr w:type="spellStart"/>
      <w:r w:rsidRPr="00543BFE">
        <w:rPr>
          <w:sz w:val="24"/>
          <w:szCs w:val="24"/>
        </w:rPr>
        <w:t>entecavir</w:t>
      </w:r>
      <w:proofErr w:type="spellEnd"/>
      <w:r w:rsidRPr="00543BFE">
        <w:rPr>
          <w:sz w:val="24"/>
          <w:szCs w:val="24"/>
        </w:rPr>
        <w:t xml:space="preserve"> og 20 % for </w:t>
      </w:r>
      <w:proofErr w:type="spellStart"/>
      <w:r w:rsidRPr="00543BFE">
        <w:rPr>
          <w:sz w:val="24"/>
          <w:szCs w:val="24"/>
        </w:rPr>
        <w:t>adefovir</w:t>
      </w:r>
      <w:proofErr w:type="spellEnd"/>
      <w:r w:rsidRPr="00543BFE">
        <w:rPr>
          <w:sz w:val="24"/>
          <w:szCs w:val="24"/>
        </w:rPr>
        <w:t xml:space="preserve"> ved uge 24 og 50 % for </w:t>
      </w:r>
      <w:proofErr w:type="spellStart"/>
      <w:r w:rsidRPr="00543BFE">
        <w:rPr>
          <w:sz w:val="24"/>
          <w:szCs w:val="24"/>
        </w:rPr>
        <w:t>entecavir</w:t>
      </w:r>
      <w:proofErr w:type="spellEnd"/>
      <w:r w:rsidRPr="00543BFE">
        <w:rPr>
          <w:sz w:val="24"/>
          <w:szCs w:val="24"/>
        </w:rPr>
        <w:t xml:space="preserve"> og 17% for </w:t>
      </w:r>
      <w:proofErr w:type="spellStart"/>
      <w:r w:rsidRPr="00543BFE">
        <w:rPr>
          <w:sz w:val="24"/>
          <w:szCs w:val="24"/>
        </w:rPr>
        <w:t>adefovir</w:t>
      </w:r>
      <w:proofErr w:type="spellEnd"/>
      <w:r w:rsidRPr="00543BFE">
        <w:rPr>
          <w:sz w:val="24"/>
          <w:szCs w:val="24"/>
        </w:rPr>
        <w:t xml:space="preserve"> ved uge 48.</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i/>
          <w:sz w:val="24"/>
          <w:szCs w:val="24"/>
        </w:rPr>
        <w:t>Patienter inficeret med hiv og HBV samtidig, som samtidig fik HAART-behandling:</w:t>
      </w:r>
      <w:r w:rsidRPr="00543BFE">
        <w:rPr>
          <w:sz w:val="24"/>
          <w:szCs w:val="24"/>
        </w:rPr>
        <w:t xml:space="preserve"> Studie 038 inkluderede 67 </w:t>
      </w:r>
      <w:proofErr w:type="spellStart"/>
      <w:r w:rsidRPr="00543BFE">
        <w:rPr>
          <w:sz w:val="24"/>
          <w:szCs w:val="24"/>
        </w:rPr>
        <w:t>HBeAg</w:t>
      </w:r>
      <w:proofErr w:type="spellEnd"/>
      <w:r w:rsidRPr="00543BFE">
        <w:rPr>
          <w:sz w:val="24"/>
          <w:szCs w:val="24"/>
        </w:rPr>
        <w:t xml:space="preserve">-positive patienter og 1 </w:t>
      </w:r>
      <w:proofErr w:type="spellStart"/>
      <w:r w:rsidRPr="00543BFE">
        <w:rPr>
          <w:sz w:val="24"/>
          <w:szCs w:val="24"/>
        </w:rPr>
        <w:t>HBeAg</w:t>
      </w:r>
      <w:proofErr w:type="spellEnd"/>
      <w:r w:rsidRPr="00543BFE">
        <w:rPr>
          <w:sz w:val="24"/>
          <w:szCs w:val="24"/>
        </w:rPr>
        <w:t>-negativ patient med samtidig hiv-infektion. Patienterne havde stabil, kontrolleret hiv (hiv-</w:t>
      </w:r>
      <w:proofErr w:type="spellStart"/>
      <w:r w:rsidRPr="00543BFE">
        <w:rPr>
          <w:sz w:val="24"/>
          <w:szCs w:val="24"/>
        </w:rPr>
        <w:t>rna</w:t>
      </w:r>
      <w:proofErr w:type="spellEnd"/>
      <w:r w:rsidRPr="00543BFE">
        <w:rPr>
          <w:sz w:val="24"/>
          <w:szCs w:val="24"/>
        </w:rPr>
        <w:t xml:space="preserve"> &lt; 400 kopier/ml) med recidiv af HBV-</w:t>
      </w:r>
      <w:proofErr w:type="spellStart"/>
      <w:r w:rsidRPr="00543BFE">
        <w:rPr>
          <w:sz w:val="24"/>
          <w:szCs w:val="24"/>
        </w:rPr>
        <w:t>viræmi</w:t>
      </w:r>
      <w:proofErr w:type="spellEnd"/>
      <w:r w:rsidRPr="00543BFE">
        <w:rPr>
          <w:sz w:val="24"/>
          <w:szCs w:val="24"/>
        </w:rPr>
        <w:t xml:space="preserve"> i et </w:t>
      </w:r>
      <w:proofErr w:type="spellStart"/>
      <w:r w:rsidRPr="00543BFE">
        <w:rPr>
          <w:sz w:val="24"/>
          <w:szCs w:val="24"/>
        </w:rPr>
        <w:t>lamivudin</w:t>
      </w:r>
      <w:proofErr w:type="spellEnd"/>
      <w:r w:rsidRPr="00543BFE">
        <w:rPr>
          <w:sz w:val="24"/>
          <w:szCs w:val="24"/>
        </w:rPr>
        <w:t xml:space="preserve">-indeholdende HAART-regime. HAART-regimet indeholdt ikke </w:t>
      </w:r>
      <w:proofErr w:type="spellStart"/>
      <w:r w:rsidRPr="00543BFE">
        <w:rPr>
          <w:sz w:val="24"/>
          <w:szCs w:val="24"/>
        </w:rPr>
        <w:t>emtricitabin</w:t>
      </w:r>
      <w:proofErr w:type="spellEnd"/>
      <w:r w:rsidRPr="00543BFE">
        <w:rPr>
          <w:sz w:val="24"/>
          <w:szCs w:val="24"/>
        </w:rPr>
        <w:t xml:space="preserve"> eller </w:t>
      </w:r>
      <w:proofErr w:type="spellStart"/>
      <w:r w:rsidRPr="00543BFE">
        <w:rPr>
          <w:sz w:val="24"/>
          <w:szCs w:val="24"/>
        </w:rPr>
        <w:t>tenofovirdisoproxilfumerat</w:t>
      </w:r>
      <w:proofErr w:type="spellEnd"/>
      <w:r w:rsidRPr="00543BFE">
        <w:rPr>
          <w:sz w:val="24"/>
          <w:szCs w:val="24"/>
        </w:rPr>
        <w:t xml:space="preserve">. De </w:t>
      </w:r>
      <w:proofErr w:type="spellStart"/>
      <w:r w:rsidRPr="00543BFE">
        <w:rPr>
          <w:sz w:val="24"/>
          <w:szCs w:val="24"/>
        </w:rPr>
        <w:t>entecavir</w:t>
      </w:r>
      <w:proofErr w:type="spellEnd"/>
      <w:r w:rsidRPr="00543BFE">
        <w:rPr>
          <w:sz w:val="24"/>
          <w:szCs w:val="24"/>
        </w:rPr>
        <w:t xml:space="preserve">-behandlede patienter havde ved baseline tidligere været behandlet med </w:t>
      </w:r>
      <w:proofErr w:type="spellStart"/>
      <w:r w:rsidRPr="00543BFE">
        <w:rPr>
          <w:sz w:val="24"/>
          <w:szCs w:val="24"/>
        </w:rPr>
        <w:t>lamivudin</w:t>
      </w:r>
      <w:proofErr w:type="spellEnd"/>
      <w:r w:rsidRPr="00543BFE">
        <w:rPr>
          <w:sz w:val="24"/>
          <w:szCs w:val="24"/>
        </w:rPr>
        <w:t xml:space="preserve"> i en median periode </w:t>
      </w:r>
      <w:proofErr w:type="spellStart"/>
      <w:r w:rsidRPr="00543BFE">
        <w:rPr>
          <w:sz w:val="24"/>
          <w:szCs w:val="24"/>
        </w:rPr>
        <w:t>pågennemsnitligt</w:t>
      </w:r>
      <w:proofErr w:type="spellEnd"/>
      <w:r w:rsidRPr="00543BFE">
        <w:rPr>
          <w:sz w:val="24"/>
          <w:szCs w:val="24"/>
        </w:rPr>
        <w:t xml:space="preserve"> 4,8 år og havde et mediangennemsnitligt CD4-celletal på 494 celler/mm</w:t>
      </w:r>
      <w:r w:rsidRPr="00543BFE">
        <w:rPr>
          <w:sz w:val="24"/>
          <w:szCs w:val="24"/>
          <w:vertAlign w:val="superscript"/>
        </w:rPr>
        <w:t>3</w:t>
      </w:r>
      <w:r w:rsidRPr="00543BFE">
        <w:rPr>
          <w:sz w:val="24"/>
          <w:szCs w:val="24"/>
        </w:rPr>
        <w:t xml:space="preserve"> (kun 5 patienter havde CD4-celletal &lt; 200 celler/mm</w:t>
      </w:r>
      <w:r w:rsidRPr="00543BFE">
        <w:rPr>
          <w:sz w:val="24"/>
          <w:szCs w:val="24"/>
          <w:vertAlign w:val="superscript"/>
        </w:rPr>
        <w:t>3</w:t>
      </w:r>
      <w:r w:rsidRPr="00543BFE">
        <w:rPr>
          <w:sz w:val="24"/>
          <w:szCs w:val="24"/>
        </w:rPr>
        <w:t xml:space="preserve">). Patienterne fortsatte deres </w:t>
      </w:r>
      <w:proofErr w:type="spellStart"/>
      <w:r w:rsidRPr="00543BFE">
        <w:rPr>
          <w:sz w:val="24"/>
          <w:szCs w:val="24"/>
        </w:rPr>
        <w:t>lamivudin</w:t>
      </w:r>
      <w:proofErr w:type="spellEnd"/>
      <w:r w:rsidRPr="00543BFE">
        <w:rPr>
          <w:sz w:val="24"/>
          <w:szCs w:val="24"/>
        </w:rPr>
        <w:t xml:space="preserve">-regime og blev allokeret til tillæg af </w:t>
      </w:r>
      <w:proofErr w:type="spellStart"/>
      <w:r w:rsidRPr="00543BFE">
        <w:rPr>
          <w:sz w:val="24"/>
          <w:szCs w:val="24"/>
        </w:rPr>
        <w:t>entecavir</w:t>
      </w:r>
      <w:proofErr w:type="spellEnd"/>
      <w:r w:rsidRPr="00543BFE">
        <w:rPr>
          <w:sz w:val="24"/>
          <w:szCs w:val="24"/>
        </w:rPr>
        <w:t xml:space="preserve"> 1 mg én gang </w:t>
      </w:r>
      <w:r>
        <w:rPr>
          <w:sz w:val="24"/>
          <w:szCs w:val="24"/>
        </w:rPr>
        <w:t>daglig</w:t>
      </w:r>
      <w:r w:rsidRPr="00543BFE">
        <w:rPr>
          <w:sz w:val="24"/>
          <w:szCs w:val="24"/>
        </w:rPr>
        <w:t xml:space="preserve"> (n = 51) eller placebo (n = 17) i 24 uger efterfulgt af yderligere 24 uger, hvor alle fik </w:t>
      </w:r>
      <w:proofErr w:type="spellStart"/>
      <w:r w:rsidRPr="00543BFE">
        <w:rPr>
          <w:sz w:val="24"/>
          <w:szCs w:val="24"/>
        </w:rPr>
        <w:t>entecavir</w:t>
      </w:r>
      <w:proofErr w:type="spellEnd"/>
      <w:r w:rsidRPr="00543BFE">
        <w:rPr>
          <w:sz w:val="24"/>
          <w:szCs w:val="24"/>
        </w:rPr>
        <w:t xml:space="preserve">. Ved 24 uger var fald i HBV viral load signifikant større med </w:t>
      </w:r>
      <w:proofErr w:type="spellStart"/>
      <w:r w:rsidRPr="00543BFE">
        <w:rPr>
          <w:sz w:val="24"/>
          <w:szCs w:val="24"/>
        </w:rPr>
        <w:t>entecavir</w:t>
      </w:r>
      <w:proofErr w:type="spellEnd"/>
      <w:r w:rsidRPr="00543BFE">
        <w:rPr>
          <w:sz w:val="24"/>
          <w:szCs w:val="24"/>
        </w:rPr>
        <w:t xml:space="preserve"> (-3,65 vs. en stigning på 0,11 log</w:t>
      </w:r>
      <w:r w:rsidRPr="00543BFE">
        <w:rPr>
          <w:sz w:val="24"/>
          <w:szCs w:val="24"/>
          <w:vertAlign w:val="subscript"/>
        </w:rPr>
        <w:t>10</w:t>
      </w:r>
      <w:r w:rsidRPr="00543BFE">
        <w:rPr>
          <w:sz w:val="24"/>
          <w:szCs w:val="24"/>
        </w:rPr>
        <w:t xml:space="preserve"> kopier/ml). For patienter, der oprindelig blev allokeret til </w:t>
      </w:r>
      <w:proofErr w:type="spellStart"/>
      <w:r w:rsidRPr="00543BFE">
        <w:rPr>
          <w:sz w:val="24"/>
          <w:szCs w:val="24"/>
        </w:rPr>
        <w:t>entecavir</w:t>
      </w:r>
      <w:proofErr w:type="spellEnd"/>
      <w:r w:rsidRPr="00543BFE">
        <w:rPr>
          <w:sz w:val="24"/>
          <w:szCs w:val="24"/>
        </w:rPr>
        <w:t>, var fald i HBV-dna ved 48 uger -4,20 log</w:t>
      </w:r>
      <w:r w:rsidRPr="00543BFE">
        <w:rPr>
          <w:sz w:val="24"/>
          <w:szCs w:val="24"/>
          <w:vertAlign w:val="subscript"/>
        </w:rPr>
        <w:t>10</w:t>
      </w:r>
      <w:r w:rsidRPr="00543BFE">
        <w:rPr>
          <w:sz w:val="24"/>
          <w:szCs w:val="24"/>
        </w:rPr>
        <w:t xml:space="preserve"> kopier/ml. Der </w:t>
      </w:r>
      <w:proofErr w:type="spellStart"/>
      <w:r w:rsidRPr="00543BFE">
        <w:rPr>
          <w:sz w:val="24"/>
          <w:szCs w:val="24"/>
        </w:rPr>
        <w:t>observeredessås</w:t>
      </w:r>
      <w:proofErr w:type="spellEnd"/>
      <w:r w:rsidRPr="00543BFE">
        <w:rPr>
          <w:sz w:val="24"/>
          <w:szCs w:val="24"/>
        </w:rPr>
        <w:t xml:space="preserve"> ALAT-normalisering hos 37 % af patienterne med abnorm ALAT ved baseline, og ingen opnåede </w:t>
      </w:r>
      <w:proofErr w:type="spellStart"/>
      <w:r w:rsidRPr="00543BFE">
        <w:rPr>
          <w:sz w:val="24"/>
          <w:szCs w:val="24"/>
        </w:rPr>
        <w:t>HBeAg-serokonvertering</w:t>
      </w:r>
      <w:proofErr w:type="spellEnd"/>
      <w:r w:rsidRPr="00543BFE">
        <w:rPr>
          <w:sz w:val="24"/>
          <w:szCs w:val="24"/>
        </w:rPr>
        <w:t>.</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i/>
          <w:iCs/>
          <w:sz w:val="24"/>
          <w:szCs w:val="24"/>
        </w:rPr>
        <w:t xml:space="preserve">Patienter inficeret med hiv og HBV samtidig, som ikke samtidig fik HAART-behandling: </w:t>
      </w:r>
      <w:proofErr w:type="spellStart"/>
      <w:r w:rsidRPr="00543BFE">
        <w:rPr>
          <w:sz w:val="24"/>
          <w:szCs w:val="24"/>
        </w:rPr>
        <w:t>Entecavir</w:t>
      </w:r>
      <w:proofErr w:type="spellEnd"/>
      <w:r w:rsidRPr="00543BFE">
        <w:rPr>
          <w:sz w:val="24"/>
          <w:szCs w:val="24"/>
        </w:rPr>
        <w:t xml:space="preserve"> er ikke blevet evalueret hos hiv/HBV-inficerede patienter, der ikke samtidig fik effektiv hiv-behandling. Reduktioner i hiv-</w:t>
      </w:r>
      <w:proofErr w:type="spellStart"/>
      <w:r w:rsidRPr="00543BFE">
        <w:rPr>
          <w:sz w:val="24"/>
          <w:szCs w:val="24"/>
        </w:rPr>
        <w:t>rna</w:t>
      </w:r>
      <w:proofErr w:type="spellEnd"/>
      <w:r w:rsidRPr="00543BFE">
        <w:rPr>
          <w:sz w:val="24"/>
          <w:szCs w:val="24"/>
        </w:rPr>
        <w:t xml:space="preserve"> er blevet rapporteret hos hiv/HBV-inficerede patienter, der modtog </w:t>
      </w:r>
      <w:proofErr w:type="spellStart"/>
      <w:r w:rsidRPr="00543BFE">
        <w:rPr>
          <w:sz w:val="24"/>
          <w:szCs w:val="24"/>
        </w:rPr>
        <w:t>entecavir</w:t>
      </w:r>
      <w:proofErr w:type="spellEnd"/>
      <w:r w:rsidRPr="00543BFE">
        <w:rPr>
          <w:sz w:val="24"/>
          <w:szCs w:val="24"/>
        </w:rPr>
        <w:t xml:space="preserve">-monoterapi uden HAART. I nogle tilfælde er selektion af hiv-varianten M184V blevet observeret, som har implikation på valget af HAART-regimet, som patienten kan få i fremtiden. På grund af den potentielle risiko for udvikling af hiv-resistens bør </w:t>
      </w:r>
      <w:proofErr w:type="spellStart"/>
      <w:r w:rsidRPr="00543BFE">
        <w:rPr>
          <w:sz w:val="24"/>
          <w:szCs w:val="24"/>
        </w:rPr>
        <w:t>entecavir</w:t>
      </w:r>
      <w:proofErr w:type="spellEnd"/>
      <w:r w:rsidRPr="00543BFE">
        <w:rPr>
          <w:sz w:val="24"/>
          <w:szCs w:val="24"/>
        </w:rPr>
        <w:t xml:space="preserve"> derfor ikke bruges i disse tilfælde (se pkt. 4.4).</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i/>
          <w:iCs/>
          <w:sz w:val="24"/>
          <w:szCs w:val="24"/>
        </w:rPr>
        <w:t xml:space="preserve">Levertransplanterede patienter: </w:t>
      </w:r>
      <w:r w:rsidRPr="00543BFE">
        <w:rPr>
          <w:sz w:val="24"/>
          <w:szCs w:val="24"/>
        </w:rPr>
        <w:t xml:space="preserve">Sikkerheden og virkningen af </w:t>
      </w:r>
      <w:proofErr w:type="spellStart"/>
      <w:r w:rsidRPr="00543BFE">
        <w:rPr>
          <w:sz w:val="24"/>
          <w:szCs w:val="24"/>
        </w:rPr>
        <w:t>entecavir</w:t>
      </w:r>
      <w:proofErr w:type="spellEnd"/>
      <w:r w:rsidRPr="00543BFE">
        <w:rPr>
          <w:sz w:val="24"/>
          <w:szCs w:val="24"/>
        </w:rPr>
        <w:t xml:space="preserve"> 1 mg én gang </w:t>
      </w:r>
      <w:r>
        <w:rPr>
          <w:sz w:val="24"/>
          <w:szCs w:val="24"/>
        </w:rPr>
        <w:t>daglig</w:t>
      </w:r>
      <w:r w:rsidRPr="00543BFE">
        <w:rPr>
          <w:sz w:val="24"/>
          <w:szCs w:val="24"/>
        </w:rPr>
        <w:t xml:space="preserve"> blev vurderet i et enkelt-gruppe-studie med 65 patienter, som gennemgik en levertransplantation på grund af komplikationer ved kronisk HBV-infektion, og som havde HBV-dna &lt; 172 IE/ml (ca. 1.000 kopier/ml) på tidspunktet for transplantationen. </w:t>
      </w:r>
      <w:r w:rsidRPr="00543BFE">
        <w:rPr>
          <w:sz w:val="24"/>
          <w:szCs w:val="24"/>
        </w:rPr>
        <w:lastRenderedPageBreak/>
        <w:t xml:space="preserve">Studiepopulationen bestod af 82 % mænd, 39 % var kaukasiere og 37 % asiatere, og gennemsnitsalderen var 49 år; 89 % af patienterne havde </w:t>
      </w:r>
      <w:proofErr w:type="spellStart"/>
      <w:r w:rsidRPr="00543BFE">
        <w:rPr>
          <w:sz w:val="24"/>
          <w:szCs w:val="24"/>
        </w:rPr>
        <w:t>HBeAg</w:t>
      </w:r>
      <w:proofErr w:type="spellEnd"/>
      <w:r w:rsidRPr="00543BFE">
        <w:rPr>
          <w:sz w:val="24"/>
          <w:szCs w:val="24"/>
        </w:rPr>
        <w:t xml:space="preserve">-negativ sygdom på transplantationstidspunktet. Af de 61 patienter, hvor virkningen kunne evalueres (behandling med </w:t>
      </w:r>
      <w:proofErr w:type="spellStart"/>
      <w:r w:rsidRPr="00543BFE">
        <w:rPr>
          <w:sz w:val="24"/>
          <w:szCs w:val="24"/>
        </w:rPr>
        <w:t>entecavir</w:t>
      </w:r>
      <w:proofErr w:type="spellEnd"/>
      <w:r w:rsidRPr="00543BFE">
        <w:rPr>
          <w:sz w:val="24"/>
          <w:szCs w:val="24"/>
        </w:rPr>
        <w:t xml:space="preserve"> i mindst 1 måned), fik 60 patienter også hepatitis </w:t>
      </w:r>
      <w:proofErr w:type="spellStart"/>
      <w:r w:rsidRPr="00543BFE">
        <w:rPr>
          <w:sz w:val="24"/>
          <w:szCs w:val="24"/>
        </w:rPr>
        <w:t>B-immun</w:t>
      </w:r>
      <w:r>
        <w:rPr>
          <w:sz w:val="24"/>
          <w:szCs w:val="24"/>
        </w:rPr>
        <w:softHyphen/>
      </w:r>
      <w:r w:rsidRPr="00543BFE">
        <w:rPr>
          <w:sz w:val="24"/>
          <w:szCs w:val="24"/>
        </w:rPr>
        <w:t>globulin</w:t>
      </w:r>
      <w:proofErr w:type="spellEnd"/>
      <w:r w:rsidRPr="00543BFE">
        <w:rPr>
          <w:sz w:val="24"/>
          <w:szCs w:val="24"/>
        </w:rPr>
        <w:t xml:space="preserve"> (</w:t>
      </w:r>
      <w:proofErr w:type="spellStart"/>
      <w:r w:rsidRPr="00543BFE">
        <w:rPr>
          <w:sz w:val="24"/>
          <w:szCs w:val="24"/>
        </w:rPr>
        <w:t>HBIg</w:t>
      </w:r>
      <w:proofErr w:type="spellEnd"/>
      <w:r w:rsidRPr="00543BFE">
        <w:rPr>
          <w:sz w:val="24"/>
          <w:szCs w:val="24"/>
        </w:rPr>
        <w:t xml:space="preserve">) som en del af den forebyggende behandling efter transplantationen. Af disse 60 patienter, fik 49 </w:t>
      </w:r>
      <w:proofErr w:type="spellStart"/>
      <w:r w:rsidRPr="00543BFE">
        <w:rPr>
          <w:sz w:val="24"/>
          <w:szCs w:val="24"/>
        </w:rPr>
        <w:t>HBIg</w:t>
      </w:r>
      <w:proofErr w:type="spellEnd"/>
      <w:r w:rsidRPr="00543BFE">
        <w:rPr>
          <w:sz w:val="24"/>
          <w:szCs w:val="24"/>
        </w:rPr>
        <w:t xml:space="preserve">-behandling i mere end 6 måneder. Ved uge 72 efter transplantationen havde ingen af de 55 observerede patienter virologisk tilbagefald af HBV (defineret som HBV-dna ≥50 IE/ml (ca. 300 kopier/ml)), og der var ingen rapporterede virologiske tilbagefald hos de resterende 6 patienter på undersøgelsestidspunktet. Alle 61 patienter var </w:t>
      </w:r>
      <w:proofErr w:type="spellStart"/>
      <w:r w:rsidRPr="00543BFE">
        <w:rPr>
          <w:sz w:val="24"/>
          <w:szCs w:val="24"/>
        </w:rPr>
        <w:t>HBsAg</w:t>
      </w:r>
      <w:proofErr w:type="spellEnd"/>
      <w:r w:rsidRPr="00543BFE">
        <w:rPr>
          <w:sz w:val="24"/>
          <w:szCs w:val="24"/>
        </w:rPr>
        <w:t xml:space="preserve">-negative efter transplantationen. 2 af patienterne blev senere </w:t>
      </w:r>
      <w:proofErr w:type="spellStart"/>
      <w:r w:rsidRPr="00543BFE">
        <w:rPr>
          <w:sz w:val="24"/>
          <w:szCs w:val="24"/>
        </w:rPr>
        <w:t>HBsAg</w:t>
      </w:r>
      <w:proofErr w:type="spellEnd"/>
      <w:r w:rsidRPr="00543BFE">
        <w:rPr>
          <w:sz w:val="24"/>
          <w:szCs w:val="24"/>
        </w:rPr>
        <w:t>-positive på trods af ikke-</w:t>
      </w:r>
      <w:proofErr w:type="spellStart"/>
      <w:r w:rsidRPr="00543BFE">
        <w:rPr>
          <w:sz w:val="24"/>
          <w:szCs w:val="24"/>
        </w:rPr>
        <w:t>detekterbart</w:t>
      </w:r>
      <w:proofErr w:type="spellEnd"/>
      <w:r w:rsidRPr="00543BFE">
        <w:rPr>
          <w:sz w:val="24"/>
          <w:szCs w:val="24"/>
        </w:rPr>
        <w:t xml:space="preserve"> HBV-dna (&lt;6 IE/ml). Hyppigheden og typen af bivirkninger i dette studie var sammenlignelige med de bivirkninger, der forventes hos patienter, som har gennemgået en levertransplantation, og i overensstemmelse med </w:t>
      </w:r>
      <w:proofErr w:type="spellStart"/>
      <w:r w:rsidRPr="00543BFE">
        <w:rPr>
          <w:sz w:val="24"/>
          <w:szCs w:val="24"/>
        </w:rPr>
        <w:t>entecavirs</w:t>
      </w:r>
      <w:proofErr w:type="spellEnd"/>
      <w:r w:rsidRPr="00543BFE">
        <w:rPr>
          <w:sz w:val="24"/>
          <w:szCs w:val="24"/>
        </w:rPr>
        <w:t xml:space="preserve"> kendte sikkerhedsprofil.</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i/>
          <w:iCs/>
          <w:sz w:val="24"/>
          <w:szCs w:val="24"/>
        </w:rPr>
        <w:t xml:space="preserve">Pædiatrisk population: </w:t>
      </w:r>
      <w:r w:rsidRPr="00543BFE">
        <w:rPr>
          <w:sz w:val="24"/>
          <w:szCs w:val="24"/>
        </w:rPr>
        <w:t xml:space="preserve">Studie 189 er et studie vedrørende </w:t>
      </w:r>
      <w:proofErr w:type="spellStart"/>
      <w:r w:rsidRPr="00543BFE">
        <w:rPr>
          <w:sz w:val="24"/>
          <w:szCs w:val="24"/>
        </w:rPr>
        <w:t>entecavirs</w:t>
      </w:r>
      <w:proofErr w:type="spellEnd"/>
      <w:r w:rsidRPr="00543BFE">
        <w:rPr>
          <w:sz w:val="24"/>
          <w:szCs w:val="24"/>
        </w:rPr>
        <w:t xml:space="preserve"> virkning og sikkerhed hos 180 </w:t>
      </w:r>
      <w:proofErr w:type="spellStart"/>
      <w:r w:rsidRPr="00543BFE">
        <w:rPr>
          <w:sz w:val="24"/>
          <w:szCs w:val="24"/>
        </w:rPr>
        <w:t>nukleosid</w:t>
      </w:r>
      <w:proofErr w:type="spellEnd"/>
      <w:r w:rsidRPr="00543BFE">
        <w:rPr>
          <w:sz w:val="24"/>
          <w:szCs w:val="24"/>
        </w:rPr>
        <w:t xml:space="preserve">-behandlingsnaive børn og unge i alderen 2 til &lt; 18 år med </w:t>
      </w:r>
      <w:proofErr w:type="spellStart"/>
      <w:r w:rsidRPr="00543BFE">
        <w:rPr>
          <w:sz w:val="24"/>
          <w:szCs w:val="24"/>
        </w:rPr>
        <w:t>HBeAg</w:t>
      </w:r>
      <w:proofErr w:type="spellEnd"/>
      <w:r w:rsidRPr="00543BFE">
        <w:rPr>
          <w:sz w:val="24"/>
          <w:szCs w:val="24"/>
        </w:rPr>
        <w:t xml:space="preserve">-positiv kronisk hepatitis B-infektion, kompenseret leversygdom og forhøjet ALAT. Patienterne blev randomiseret (2:1) til blindet behandling med </w:t>
      </w:r>
      <w:proofErr w:type="spellStart"/>
      <w:r w:rsidRPr="00543BFE">
        <w:rPr>
          <w:sz w:val="24"/>
          <w:szCs w:val="24"/>
        </w:rPr>
        <w:t>entecavir</w:t>
      </w:r>
      <w:proofErr w:type="spellEnd"/>
      <w:r w:rsidRPr="00543BFE">
        <w:rPr>
          <w:sz w:val="24"/>
          <w:szCs w:val="24"/>
        </w:rPr>
        <w:t xml:space="preserve"> 0,015 mg/kg op til 0,5 mg/dag (N = 120) eller placebo (N = 60). </w:t>
      </w:r>
      <w:proofErr w:type="spellStart"/>
      <w:r w:rsidRPr="00543BFE">
        <w:rPr>
          <w:sz w:val="24"/>
          <w:szCs w:val="24"/>
        </w:rPr>
        <w:t>Randomiseringen</w:t>
      </w:r>
      <w:proofErr w:type="spellEnd"/>
      <w:r w:rsidRPr="00543BFE">
        <w:rPr>
          <w:sz w:val="24"/>
          <w:szCs w:val="24"/>
        </w:rPr>
        <w:t xml:space="preserve"> blev stratificeret efter aldersgruppe (2 til 6 år; &gt; 6 til 12 år og &gt; 12 til &lt; 18 år). Demografien</w:t>
      </w:r>
      <w:r w:rsidRPr="00543BFE">
        <w:rPr>
          <w:i/>
          <w:iCs/>
          <w:sz w:val="24"/>
          <w:szCs w:val="24"/>
        </w:rPr>
        <w:t xml:space="preserve"> </w:t>
      </w:r>
      <w:r w:rsidRPr="00543BFE">
        <w:rPr>
          <w:sz w:val="24"/>
          <w:szCs w:val="24"/>
        </w:rPr>
        <w:t xml:space="preserve">og HBV-sygdomskarakteristika ved </w:t>
      </w:r>
      <w:r w:rsidRPr="00543BFE">
        <w:rPr>
          <w:i/>
          <w:sz w:val="24"/>
          <w:szCs w:val="24"/>
        </w:rPr>
        <w:t>baseline</w:t>
      </w:r>
      <w:r w:rsidRPr="00543BFE">
        <w:rPr>
          <w:sz w:val="24"/>
          <w:szCs w:val="24"/>
        </w:rPr>
        <w:t xml:space="preserve"> var sammenlignelige mellem de 2 behandlings</w:t>
      </w:r>
      <w:r>
        <w:rPr>
          <w:sz w:val="24"/>
          <w:szCs w:val="24"/>
        </w:rPr>
        <w:softHyphen/>
      </w:r>
      <w:r w:rsidRPr="00543BFE">
        <w:rPr>
          <w:sz w:val="24"/>
          <w:szCs w:val="24"/>
        </w:rPr>
        <w:t>grupper og på tværs af aldersgrupper. Ved studiets start var gennemsnitlig HBV-dna 8,1 log</w:t>
      </w:r>
      <w:r w:rsidRPr="00543BFE">
        <w:rPr>
          <w:sz w:val="24"/>
          <w:szCs w:val="24"/>
          <w:vertAlign w:val="subscript"/>
        </w:rPr>
        <w:t>10</w:t>
      </w:r>
      <w:r w:rsidRPr="00543BFE">
        <w:rPr>
          <w:sz w:val="24"/>
          <w:szCs w:val="24"/>
        </w:rPr>
        <w:t xml:space="preserve"> IE/ml og gennemsnitlig ALAT var 103 E/l på tværs af studiepopulationen. Resultaterne for de vigtigste endepunkter ved uge 48 og uge 96 er vist i nedenstående tabel.</w:t>
      </w:r>
    </w:p>
    <w:p w:rsidR="008D5948" w:rsidRPr="00543BFE" w:rsidRDefault="008D5948" w:rsidP="008D5948">
      <w:pPr>
        <w:ind w:left="851" w:hanging="851"/>
        <w:rPr>
          <w:sz w:val="24"/>
          <w:szCs w:val="24"/>
        </w:rPr>
      </w:pPr>
    </w:p>
    <w:tbl>
      <w:tblPr>
        <w:tblpPr w:leftFromText="180" w:rightFromText="180" w:vertAnchor="text" w:tblpY="1"/>
        <w:tblOverlap w:val="never"/>
        <w:tblW w:w="5000" w:type="pct"/>
        <w:tblCellMar>
          <w:left w:w="0" w:type="dxa"/>
          <w:right w:w="0" w:type="dxa"/>
        </w:tblCellMar>
        <w:tblLook w:val="01E0" w:firstRow="1" w:lastRow="1" w:firstColumn="1" w:lastColumn="1" w:noHBand="0" w:noVBand="0"/>
      </w:tblPr>
      <w:tblGrid>
        <w:gridCol w:w="4576"/>
        <w:gridCol w:w="1359"/>
        <w:gridCol w:w="1359"/>
        <w:gridCol w:w="2331"/>
      </w:tblGrid>
      <w:tr w:rsidR="008D5948" w:rsidRPr="00543BFE" w:rsidTr="002574EE">
        <w:trPr>
          <w:trHeight w:hRule="exact" w:val="308"/>
        </w:trPr>
        <w:tc>
          <w:tcPr>
            <w:tcW w:w="2377" w:type="pct"/>
            <w:tcBorders>
              <w:top w:val="single" w:sz="6" w:space="0" w:color="000000"/>
              <w:left w:val="single" w:sz="6" w:space="0" w:color="000000"/>
              <w:bottom w:val="single" w:sz="6" w:space="0" w:color="000000"/>
              <w:right w:val="single" w:sz="6" w:space="0" w:color="000000"/>
            </w:tcBorders>
          </w:tcPr>
          <w:p w:rsidR="008D5948" w:rsidRPr="00543BFE" w:rsidRDefault="008D5948" w:rsidP="002574EE">
            <w:pPr>
              <w:rPr>
                <w:rFonts w:eastAsia="Calibri"/>
              </w:rPr>
            </w:pPr>
          </w:p>
        </w:tc>
        <w:tc>
          <w:tcPr>
            <w:tcW w:w="1412" w:type="pct"/>
            <w:gridSpan w:val="2"/>
            <w:tcBorders>
              <w:top w:val="single" w:sz="6" w:space="0" w:color="000000"/>
              <w:left w:val="single" w:sz="6" w:space="0" w:color="000000"/>
              <w:bottom w:val="single" w:sz="6" w:space="0" w:color="000000"/>
              <w:right w:val="single" w:sz="6" w:space="0" w:color="000000"/>
            </w:tcBorders>
            <w:hideMark/>
          </w:tcPr>
          <w:p w:rsidR="008D5948" w:rsidRPr="00543BFE" w:rsidRDefault="008D5948" w:rsidP="002574EE">
            <w:pPr>
              <w:rPr>
                <w:b/>
                <w:bCs/>
              </w:rPr>
            </w:pPr>
            <w:proofErr w:type="spellStart"/>
            <w:r w:rsidRPr="00543BFE">
              <w:rPr>
                <w:b/>
                <w:bCs/>
              </w:rPr>
              <w:t>Entecavir</w:t>
            </w:r>
            <w:proofErr w:type="spellEnd"/>
          </w:p>
        </w:tc>
        <w:tc>
          <w:tcPr>
            <w:tcW w:w="1211" w:type="pct"/>
            <w:tcBorders>
              <w:top w:val="single" w:sz="6" w:space="0" w:color="000000"/>
              <w:left w:val="single" w:sz="6" w:space="0" w:color="000000"/>
              <w:bottom w:val="single" w:sz="6" w:space="0" w:color="000000"/>
              <w:right w:val="single" w:sz="4" w:space="0" w:color="auto"/>
            </w:tcBorders>
            <w:hideMark/>
          </w:tcPr>
          <w:p w:rsidR="008D5948" w:rsidRPr="00543BFE" w:rsidRDefault="008D5948" w:rsidP="002574EE">
            <w:r w:rsidRPr="00543BFE">
              <w:rPr>
                <w:b/>
                <w:bCs/>
              </w:rPr>
              <w:t>Placebo*</w:t>
            </w:r>
          </w:p>
        </w:tc>
      </w:tr>
      <w:tr w:rsidR="008D5948" w:rsidRPr="00543BFE" w:rsidTr="002574EE">
        <w:trPr>
          <w:trHeight w:hRule="exact" w:val="423"/>
        </w:trPr>
        <w:tc>
          <w:tcPr>
            <w:tcW w:w="2377" w:type="pct"/>
            <w:tcBorders>
              <w:top w:val="single" w:sz="6" w:space="0" w:color="000000"/>
              <w:left w:val="single" w:sz="6" w:space="0" w:color="000000"/>
              <w:bottom w:val="single" w:sz="4" w:space="0" w:color="000000"/>
              <w:right w:val="single" w:sz="6" w:space="0" w:color="000000"/>
            </w:tcBorders>
          </w:tcPr>
          <w:p w:rsidR="008D5948" w:rsidRPr="00543BFE" w:rsidRDefault="008D5948" w:rsidP="002574EE">
            <w:pPr>
              <w:rPr>
                <w:rFonts w:eastAsia="Calibri"/>
              </w:rPr>
            </w:pPr>
          </w:p>
        </w:tc>
        <w:tc>
          <w:tcPr>
            <w:tcW w:w="706" w:type="pct"/>
            <w:tcBorders>
              <w:top w:val="single" w:sz="6" w:space="0" w:color="000000"/>
              <w:left w:val="single" w:sz="6" w:space="0" w:color="000000"/>
              <w:bottom w:val="single" w:sz="4" w:space="0" w:color="000000"/>
              <w:right w:val="single" w:sz="6" w:space="0" w:color="000000"/>
            </w:tcBorders>
            <w:hideMark/>
          </w:tcPr>
          <w:p w:rsidR="008D5948" w:rsidRPr="00543BFE" w:rsidRDefault="008D5948" w:rsidP="002574EE">
            <w:r w:rsidRPr="00543BFE">
              <w:t xml:space="preserve">Uge 48 </w:t>
            </w:r>
          </w:p>
        </w:tc>
        <w:tc>
          <w:tcPr>
            <w:tcW w:w="706" w:type="pct"/>
            <w:tcBorders>
              <w:top w:val="single" w:sz="6" w:space="0" w:color="000000"/>
              <w:left w:val="single" w:sz="6" w:space="0" w:color="000000"/>
              <w:bottom w:val="single" w:sz="4" w:space="0" w:color="000000"/>
              <w:right w:val="single" w:sz="6" w:space="0" w:color="000000"/>
            </w:tcBorders>
            <w:hideMark/>
          </w:tcPr>
          <w:p w:rsidR="008D5948" w:rsidRPr="00543BFE" w:rsidRDefault="008D5948" w:rsidP="002574EE">
            <w:r w:rsidRPr="00543BFE">
              <w:t xml:space="preserve">Uge 96 </w:t>
            </w:r>
          </w:p>
        </w:tc>
        <w:tc>
          <w:tcPr>
            <w:tcW w:w="1211" w:type="pct"/>
            <w:tcBorders>
              <w:top w:val="single" w:sz="6" w:space="0" w:color="000000"/>
              <w:left w:val="single" w:sz="6" w:space="0" w:color="000000"/>
              <w:bottom w:val="single" w:sz="4" w:space="0" w:color="000000"/>
              <w:right w:val="single" w:sz="6" w:space="0" w:color="000000"/>
            </w:tcBorders>
            <w:hideMark/>
          </w:tcPr>
          <w:p w:rsidR="008D5948" w:rsidRPr="00543BFE" w:rsidRDefault="008D5948" w:rsidP="002574EE">
            <w:r w:rsidRPr="00543BFE">
              <w:t xml:space="preserve">Uge 48 </w:t>
            </w:r>
          </w:p>
        </w:tc>
      </w:tr>
      <w:tr w:rsidR="008D5948" w:rsidRPr="00543BFE" w:rsidTr="002574EE">
        <w:trPr>
          <w:trHeight w:hRule="exact" w:val="304"/>
        </w:trPr>
        <w:tc>
          <w:tcPr>
            <w:tcW w:w="2377" w:type="pct"/>
            <w:tcBorders>
              <w:top w:val="single" w:sz="4" w:space="0" w:color="000000"/>
              <w:left w:val="single" w:sz="6" w:space="0" w:color="000000"/>
              <w:bottom w:val="single" w:sz="4" w:space="0" w:color="000000"/>
              <w:right w:val="single" w:sz="6" w:space="0" w:color="000000"/>
            </w:tcBorders>
            <w:hideMark/>
          </w:tcPr>
          <w:p w:rsidR="008D5948" w:rsidRPr="00543BFE" w:rsidRDefault="008D5948" w:rsidP="002574EE">
            <w:pPr>
              <w:rPr>
                <w:rFonts w:eastAsia="Calibri"/>
              </w:rPr>
            </w:pPr>
            <w:r w:rsidRPr="00543BFE">
              <w:rPr>
                <w:rFonts w:eastAsia="Calibri"/>
                <w:w w:val="103"/>
              </w:rPr>
              <w:t>n</w:t>
            </w:r>
          </w:p>
        </w:tc>
        <w:tc>
          <w:tcPr>
            <w:tcW w:w="706" w:type="pct"/>
            <w:tcBorders>
              <w:top w:val="single" w:sz="4" w:space="0" w:color="000000"/>
              <w:left w:val="single" w:sz="6" w:space="0" w:color="000000"/>
              <w:bottom w:val="single" w:sz="4" w:space="0" w:color="000000"/>
              <w:right w:val="single" w:sz="6" w:space="0" w:color="000000"/>
            </w:tcBorders>
            <w:hideMark/>
          </w:tcPr>
          <w:p w:rsidR="008D5948" w:rsidRPr="00543BFE" w:rsidRDefault="008D5948" w:rsidP="002574EE">
            <w:r w:rsidRPr="00543BFE">
              <w:t xml:space="preserve">120 </w:t>
            </w:r>
          </w:p>
        </w:tc>
        <w:tc>
          <w:tcPr>
            <w:tcW w:w="706" w:type="pct"/>
            <w:tcBorders>
              <w:top w:val="single" w:sz="4" w:space="0" w:color="000000"/>
              <w:left w:val="single" w:sz="6" w:space="0" w:color="000000"/>
              <w:bottom w:val="single" w:sz="4" w:space="0" w:color="000000"/>
              <w:right w:val="single" w:sz="6" w:space="0" w:color="000000"/>
            </w:tcBorders>
            <w:hideMark/>
          </w:tcPr>
          <w:p w:rsidR="008D5948" w:rsidRPr="00543BFE" w:rsidRDefault="008D5948" w:rsidP="002574EE">
            <w:r w:rsidRPr="00543BFE">
              <w:t xml:space="preserve">120 </w:t>
            </w:r>
          </w:p>
        </w:tc>
        <w:tc>
          <w:tcPr>
            <w:tcW w:w="1211" w:type="pct"/>
            <w:tcBorders>
              <w:top w:val="single" w:sz="4" w:space="0" w:color="000000"/>
              <w:left w:val="single" w:sz="6" w:space="0" w:color="000000"/>
              <w:bottom w:val="single" w:sz="4" w:space="0" w:color="000000"/>
              <w:right w:val="single" w:sz="6" w:space="0" w:color="000000"/>
            </w:tcBorders>
            <w:hideMark/>
          </w:tcPr>
          <w:p w:rsidR="008D5948" w:rsidRPr="00543BFE" w:rsidRDefault="008D5948" w:rsidP="002574EE">
            <w:r w:rsidRPr="00543BFE">
              <w:t xml:space="preserve">60 </w:t>
            </w:r>
          </w:p>
        </w:tc>
      </w:tr>
      <w:tr w:rsidR="008D5948" w:rsidRPr="00543BFE" w:rsidTr="002574EE">
        <w:trPr>
          <w:trHeight w:hRule="exact" w:val="603"/>
        </w:trPr>
        <w:tc>
          <w:tcPr>
            <w:tcW w:w="2377" w:type="pct"/>
            <w:tcBorders>
              <w:top w:val="single" w:sz="6" w:space="0" w:color="000000"/>
              <w:left w:val="single" w:sz="6" w:space="0" w:color="000000"/>
              <w:bottom w:val="single" w:sz="6" w:space="0" w:color="000000"/>
              <w:right w:val="single" w:sz="6" w:space="0" w:color="000000"/>
            </w:tcBorders>
            <w:hideMark/>
          </w:tcPr>
          <w:p w:rsidR="008D5948" w:rsidRPr="00543BFE" w:rsidRDefault="008D5948" w:rsidP="002574EE">
            <w:r w:rsidRPr="00543BFE">
              <w:t xml:space="preserve">HBV-dna &lt; 50 IU/ml og </w:t>
            </w:r>
            <w:proofErr w:type="spellStart"/>
            <w:r w:rsidRPr="00543BFE">
              <w:t>HBeAg</w:t>
            </w:r>
            <w:proofErr w:type="spellEnd"/>
            <w:r w:rsidRPr="00543BFE">
              <w:t xml:space="preserve">- </w:t>
            </w:r>
            <w:proofErr w:type="spellStart"/>
            <w:r w:rsidRPr="00543BFE">
              <w:t>serokonvertering</w:t>
            </w:r>
            <w:r w:rsidRPr="00543BFE">
              <w:rPr>
                <w:vertAlign w:val="superscript"/>
              </w:rPr>
              <w:t>a</w:t>
            </w:r>
            <w:proofErr w:type="spellEnd"/>
            <w:r w:rsidRPr="00543BFE">
              <w:rPr>
                <w:vertAlign w:val="superscript"/>
              </w:rPr>
              <w:t xml:space="preserve"> </w:t>
            </w:r>
          </w:p>
        </w:tc>
        <w:tc>
          <w:tcPr>
            <w:tcW w:w="706" w:type="pct"/>
            <w:tcBorders>
              <w:top w:val="single" w:sz="6" w:space="0" w:color="000000"/>
              <w:left w:val="single" w:sz="6" w:space="0" w:color="000000"/>
              <w:bottom w:val="single" w:sz="6" w:space="0" w:color="000000"/>
              <w:right w:val="single" w:sz="6" w:space="0" w:color="000000"/>
            </w:tcBorders>
            <w:hideMark/>
          </w:tcPr>
          <w:p w:rsidR="008D5948" w:rsidRPr="00543BFE" w:rsidRDefault="008D5948" w:rsidP="002574EE">
            <w:r w:rsidRPr="00543BFE">
              <w:t xml:space="preserve">24,2 % </w:t>
            </w:r>
          </w:p>
        </w:tc>
        <w:tc>
          <w:tcPr>
            <w:tcW w:w="706" w:type="pct"/>
            <w:tcBorders>
              <w:top w:val="single" w:sz="6" w:space="0" w:color="000000"/>
              <w:left w:val="single" w:sz="6" w:space="0" w:color="000000"/>
              <w:bottom w:val="single" w:sz="6" w:space="0" w:color="000000"/>
              <w:right w:val="single" w:sz="6" w:space="0" w:color="000000"/>
            </w:tcBorders>
            <w:hideMark/>
          </w:tcPr>
          <w:p w:rsidR="008D5948" w:rsidRPr="00543BFE" w:rsidRDefault="008D5948" w:rsidP="002574EE">
            <w:r w:rsidRPr="00543BFE">
              <w:t xml:space="preserve">35,8 % </w:t>
            </w:r>
          </w:p>
        </w:tc>
        <w:tc>
          <w:tcPr>
            <w:tcW w:w="1211" w:type="pct"/>
            <w:tcBorders>
              <w:top w:val="single" w:sz="6" w:space="0" w:color="000000"/>
              <w:left w:val="single" w:sz="6" w:space="0" w:color="000000"/>
              <w:bottom w:val="single" w:sz="6" w:space="0" w:color="000000"/>
              <w:right w:val="single" w:sz="6" w:space="0" w:color="000000"/>
            </w:tcBorders>
            <w:hideMark/>
          </w:tcPr>
          <w:p w:rsidR="008D5948" w:rsidRPr="00543BFE" w:rsidRDefault="008D5948" w:rsidP="002574EE">
            <w:r w:rsidRPr="00543BFE">
              <w:t xml:space="preserve">3,3 % </w:t>
            </w:r>
          </w:p>
        </w:tc>
      </w:tr>
      <w:tr w:rsidR="008D5948" w:rsidRPr="00543BFE" w:rsidTr="002574EE">
        <w:trPr>
          <w:trHeight w:hRule="exact" w:val="360"/>
        </w:trPr>
        <w:tc>
          <w:tcPr>
            <w:tcW w:w="2377" w:type="pct"/>
            <w:tcBorders>
              <w:top w:val="single" w:sz="6" w:space="0" w:color="000000"/>
              <w:left w:val="single" w:sz="6" w:space="0" w:color="000000"/>
              <w:bottom w:val="single" w:sz="6" w:space="0" w:color="000000"/>
              <w:right w:val="single" w:sz="6" w:space="0" w:color="000000"/>
            </w:tcBorders>
            <w:hideMark/>
          </w:tcPr>
          <w:p w:rsidR="008D5948" w:rsidRPr="00543BFE" w:rsidRDefault="008D5948" w:rsidP="002574EE">
            <w:pPr>
              <w:rPr>
                <w:vertAlign w:val="superscript"/>
              </w:rPr>
            </w:pPr>
            <w:r w:rsidRPr="00543BFE">
              <w:t>HBV-dna &lt; 50 IU/</w:t>
            </w:r>
            <w:proofErr w:type="spellStart"/>
            <w:r w:rsidRPr="00543BFE">
              <w:t>ml</w:t>
            </w:r>
            <w:r w:rsidRPr="00543BFE">
              <w:rPr>
                <w:vertAlign w:val="superscript"/>
              </w:rPr>
              <w:t>a</w:t>
            </w:r>
            <w:proofErr w:type="spellEnd"/>
          </w:p>
        </w:tc>
        <w:tc>
          <w:tcPr>
            <w:tcW w:w="706" w:type="pct"/>
            <w:tcBorders>
              <w:top w:val="single" w:sz="6" w:space="0" w:color="000000"/>
              <w:left w:val="single" w:sz="6" w:space="0" w:color="000000"/>
              <w:bottom w:val="single" w:sz="6" w:space="0" w:color="000000"/>
              <w:right w:val="single" w:sz="6" w:space="0" w:color="000000"/>
            </w:tcBorders>
            <w:hideMark/>
          </w:tcPr>
          <w:p w:rsidR="008D5948" w:rsidRPr="00543BFE" w:rsidRDefault="008D5948" w:rsidP="002574EE">
            <w:r w:rsidRPr="00543BFE">
              <w:t xml:space="preserve">49,2 % </w:t>
            </w:r>
          </w:p>
        </w:tc>
        <w:tc>
          <w:tcPr>
            <w:tcW w:w="706" w:type="pct"/>
            <w:tcBorders>
              <w:top w:val="single" w:sz="6" w:space="0" w:color="000000"/>
              <w:left w:val="single" w:sz="6" w:space="0" w:color="000000"/>
              <w:bottom w:val="single" w:sz="6" w:space="0" w:color="000000"/>
              <w:right w:val="single" w:sz="6" w:space="0" w:color="000000"/>
            </w:tcBorders>
            <w:hideMark/>
          </w:tcPr>
          <w:p w:rsidR="008D5948" w:rsidRPr="00543BFE" w:rsidRDefault="008D5948" w:rsidP="002574EE">
            <w:r w:rsidRPr="00543BFE">
              <w:t xml:space="preserve">64,2 % </w:t>
            </w:r>
          </w:p>
        </w:tc>
        <w:tc>
          <w:tcPr>
            <w:tcW w:w="1211" w:type="pct"/>
            <w:tcBorders>
              <w:top w:val="single" w:sz="6" w:space="0" w:color="000000"/>
              <w:left w:val="single" w:sz="6" w:space="0" w:color="000000"/>
              <w:bottom w:val="single" w:sz="6" w:space="0" w:color="000000"/>
              <w:right w:val="single" w:sz="6" w:space="0" w:color="000000"/>
            </w:tcBorders>
            <w:hideMark/>
          </w:tcPr>
          <w:p w:rsidR="008D5948" w:rsidRPr="00543BFE" w:rsidRDefault="008D5948" w:rsidP="002574EE">
            <w:r w:rsidRPr="00543BFE">
              <w:t xml:space="preserve">3,3 % </w:t>
            </w:r>
          </w:p>
        </w:tc>
      </w:tr>
      <w:tr w:rsidR="008D5948" w:rsidRPr="00543BFE" w:rsidTr="002574EE">
        <w:trPr>
          <w:trHeight w:hRule="exact" w:val="374"/>
        </w:trPr>
        <w:tc>
          <w:tcPr>
            <w:tcW w:w="2377" w:type="pct"/>
            <w:tcBorders>
              <w:top w:val="single" w:sz="6" w:space="0" w:color="000000"/>
              <w:left w:val="single" w:sz="6" w:space="0" w:color="000000"/>
              <w:bottom w:val="single" w:sz="6" w:space="0" w:color="000000"/>
              <w:right w:val="single" w:sz="6" w:space="0" w:color="000000"/>
            </w:tcBorders>
            <w:hideMark/>
          </w:tcPr>
          <w:p w:rsidR="008D5948" w:rsidRPr="00543BFE" w:rsidRDefault="008D5948" w:rsidP="002574EE">
            <w:pPr>
              <w:rPr>
                <w:vertAlign w:val="superscript"/>
              </w:rPr>
            </w:pPr>
            <w:proofErr w:type="spellStart"/>
            <w:r w:rsidRPr="00543BFE">
              <w:t>HBeAg-serokonvertering</w:t>
            </w:r>
            <w:r w:rsidRPr="00543BFE">
              <w:rPr>
                <w:vertAlign w:val="superscript"/>
              </w:rPr>
              <w:t>a</w:t>
            </w:r>
            <w:proofErr w:type="spellEnd"/>
          </w:p>
        </w:tc>
        <w:tc>
          <w:tcPr>
            <w:tcW w:w="706" w:type="pct"/>
            <w:tcBorders>
              <w:top w:val="single" w:sz="6" w:space="0" w:color="000000"/>
              <w:left w:val="single" w:sz="6" w:space="0" w:color="000000"/>
              <w:bottom w:val="single" w:sz="6" w:space="0" w:color="000000"/>
              <w:right w:val="single" w:sz="6" w:space="0" w:color="000000"/>
            </w:tcBorders>
            <w:hideMark/>
          </w:tcPr>
          <w:p w:rsidR="008D5948" w:rsidRPr="00543BFE" w:rsidRDefault="008D5948" w:rsidP="002574EE">
            <w:r w:rsidRPr="00543BFE">
              <w:t xml:space="preserve">24,2 % </w:t>
            </w:r>
          </w:p>
        </w:tc>
        <w:tc>
          <w:tcPr>
            <w:tcW w:w="706" w:type="pct"/>
            <w:tcBorders>
              <w:top w:val="single" w:sz="6" w:space="0" w:color="000000"/>
              <w:left w:val="single" w:sz="6" w:space="0" w:color="000000"/>
              <w:bottom w:val="single" w:sz="6" w:space="0" w:color="000000"/>
              <w:right w:val="single" w:sz="6" w:space="0" w:color="000000"/>
            </w:tcBorders>
            <w:hideMark/>
          </w:tcPr>
          <w:p w:rsidR="008D5948" w:rsidRPr="00543BFE" w:rsidRDefault="008D5948" w:rsidP="002574EE">
            <w:r w:rsidRPr="00543BFE">
              <w:t xml:space="preserve">36,7 % </w:t>
            </w:r>
          </w:p>
        </w:tc>
        <w:tc>
          <w:tcPr>
            <w:tcW w:w="1211" w:type="pct"/>
            <w:tcBorders>
              <w:top w:val="single" w:sz="6" w:space="0" w:color="000000"/>
              <w:left w:val="single" w:sz="6" w:space="0" w:color="000000"/>
              <w:bottom w:val="single" w:sz="6" w:space="0" w:color="000000"/>
              <w:right w:val="single" w:sz="6" w:space="0" w:color="000000"/>
            </w:tcBorders>
            <w:hideMark/>
          </w:tcPr>
          <w:p w:rsidR="008D5948" w:rsidRPr="00543BFE" w:rsidRDefault="008D5948" w:rsidP="002574EE">
            <w:r w:rsidRPr="00543BFE">
              <w:t xml:space="preserve">10,0 % </w:t>
            </w:r>
          </w:p>
        </w:tc>
      </w:tr>
      <w:tr w:rsidR="008D5948" w:rsidRPr="00543BFE" w:rsidTr="002574EE">
        <w:trPr>
          <w:trHeight w:hRule="exact" w:val="342"/>
        </w:trPr>
        <w:tc>
          <w:tcPr>
            <w:tcW w:w="2377" w:type="pct"/>
            <w:tcBorders>
              <w:top w:val="single" w:sz="6" w:space="0" w:color="000000"/>
              <w:left w:val="single" w:sz="6" w:space="0" w:color="000000"/>
              <w:bottom w:val="single" w:sz="6" w:space="0" w:color="000000"/>
              <w:right w:val="single" w:sz="6" w:space="0" w:color="000000"/>
            </w:tcBorders>
            <w:hideMark/>
          </w:tcPr>
          <w:p w:rsidR="008D5948" w:rsidRPr="00543BFE" w:rsidRDefault="008D5948" w:rsidP="002574EE">
            <w:pPr>
              <w:rPr>
                <w:vertAlign w:val="superscript"/>
              </w:rPr>
            </w:pPr>
            <w:r w:rsidRPr="00543BFE">
              <w:t>ALAT-</w:t>
            </w:r>
            <w:proofErr w:type="spellStart"/>
            <w:r w:rsidRPr="00543BFE">
              <w:t>normalisering</w:t>
            </w:r>
            <w:r w:rsidRPr="00543BFE">
              <w:rPr>
                <w:vertAlign w:val="superscript"/>
              </w:rPr>
              <w:t>a</w:t>
            </w:r>
            <w:proofErr w:type="spellEnd"/>
          </w:p>
        </w:tc>
        <w:tc>
          <w:tcPr>
            <w:tcW w:w="706" w:type="pct"/>
            <w:tcBorders>
              <w:top w:val="single" w:sz="6" w:space="0" w:color="000000"/>
              <w:left w:val="single" w:sz="6" w:space="0" w:color="000000"/>
              <w:bottom w:val="single" w:sz="6" w:space="0" w:color="000000"/>
              <w:right w:val="single" w:sz="6" w:space="0" w:color="000000"/>
            </w:tcBorders>
            <w:hideMark/>
          </w:tcPr>
          <w:p w:rsidR="008D5948" w:rsidRPr="00543BFE" w:rsidRDefault="008D5948" w:rsidP="002574EE">
            <w:r w:rsidRPr="00543BFE">
              <w:t xml:space="preserve">67,5 % </w:t>
            </w:r>
          </w:p>
        </w:tc>
        <w:tc>
          <w:tcPr>
            <w:tcW w:w="706" w:type="pct"/>
            <w:tcBorders>
              <w:top w:val="single" w:sz="6" w:space="0" w:color="000000"/>
              <w:left w:val="single" w:sz="6" w:space="0" w:color="000000"/>
              <w:bottom w:val="single" w:sz="6" w:space="0" w:color="000000"/>
              <w:right w:val="single" w:sz="6" w:space="0" w:color="000000"/>
            </w:tcBorders>
            <w:hideMark/>
          </w:tcPr>
          <w:p w:rsidR="008D5948" w:rsidRPr="00543BFE" w:rsidRDefault="008D5948" w:rsidP="002574EE">
            <w:r w:rsidRPr="00543BFE">
              <w:t xml:space="preserve">81,7 % </w:t>
            </w:r>
          </w:p>
        </w:tc>
        <w:tc>
          <w:tcPr>
            <w:tcW w:w="1211" w:type="pct"/>
            <w:tcBorders>
              <w:top w:val="single" w:sz="6" w:space="0" w:color="000000"/>
              <w:left w:val="single" w:sz="6" w:space="0" w:color="000000"/>
              <w:bottom w:val="single" w:sz="6" w:space="0" w:color="000000"/>
              <w:right w:val="single" w:sz="6" w:space="0" w:color="000000"/>
            </w:tcBorders>
            <w:hideMark/>
          </w:tcPr>
          <w:p w:rsidR="008D5948" w:rsidRPr="00543BFE" w:rsidRDefault="008D5948" w:rsidP="002574EE">
            <w:r w:rsidRPr="00543BFE">
              <w:t xml:space="preserve">23,3 % </w:t>
            </w:r>
          </w:p>
        </w:tc>
      </w:tr>
      <w:tr w:rsidR="008D5948" w:rsidRPr="00543BFE" w:rsidTr="002574EE">
        <w:trPr>
          <w:trHeight w:hRule="exact" w:val="450"/>
        </w:trPr>
        <w:tc>
          <w:tcPr>
            <w:tcW w:w="2377" w:type="pct"/>
            <w:tcBorders>
              <w:top w:val="single" w:sz="6" w:space="0" w:color="000000"/>
              <w:left w:val="single" w:sz="6" w:space="0" w:color="000000"/>
              <w:bottom w:val="single" w:sz="6" w:space="0" w:color="000000"/>
              <w:right w:val="single" w:sz="6" w:space="0" w:color="000000"/>
            </w:tcBorders>
          </w:tcPr>
          <w:p w:rsidR="008D5948" w:rsidRPr="00543BFE" w:rsidRDefault="008D5948" w:rsidP="002574EE">
            <w:pPr>
              <w:rPr>
                <w:rFonts w:eastAsia="Calibri"/>
                <w:lang w:bidi="he-IL"/>
              </w:rPr>
            </w:pPr>
            <w:r w:rsidRPr="00543BFE">
              <w:rPr>
                <w:rFonts w:eastAsia="Calibri"/>
                <w:lang w:bidi="he-IL"/>
              </w:rPr>
              <w:t>HBV-dna &lt; 50 IU/</w:t>
            </w:r>
            <w:proofErr w:type="spellStart"/>
            <w:r w:rsidRPr="00543BFE">
              <w:rPr>
                <w:rFonts w:eastAsia="Calibri"/>
                <w:lang w:bidi="he-IL"/>
              </w:rPr>
              <w:t>ml</w:t>
            </w:r>
            <w:r w:rsidRPr="00543BFE">
              <w:rPr>
                <w:rFonts w:eastAsia="Calibri"/>
                <w:vertAlign w:val="superscript"/>
                <w:lang w:bidi="he-IL"/>
              </w:rPr>
              <w:t>a</w:t>
            </w:r>
            <w:proofErr w:type="spellEnd"/>
            <w:r w:rsidRPr="00543BFE">
              <w:rPr>
                <w:rFonts w:eastAsia="Calibri"/>
                <w:vertAlign w:val="superscript"/>
                <w:lang w:bidi="he-IL"/>
              </w:rPr>
              <w:t xml:space="preserve"> </w:t>
            </w:r>
          </w:p>
          <w:p w:rsidR="008D5948" w:rsidRPr="00543BFE" w:rsidRDefault="008D5948" w:rsidP="002574EE"/>
        </w:tc>
        <w:tc>
          <w:tcPr>
            <w:tcW w:w="706" w:type="pct"/>
            <w:tcBorders>
              <w:top w:val="single" w:sz="6" w:space="0" w:color="000000"/>
              <w:left w:val="single" w:sz="6" w:space="0" w:color="000000"/>
              <w:bottom w:val="single" w:sz="6" w:space="0" w:color="000000"/>
              <w:right w:val="single" w:sz="6" w:space="0" w:color="000000"/>
            </w:tcBorders>
          </w:tcPr>
          <w:p w:rsidR="008D5948" w:rsidRPr="00543BFE" w:rsidRDefault="008D5948" w:rsidP="002574EE"/>
        </w:tc>
        <w:tc>
          <w:tcPr>
            <w:tcW w:w="706" w:type="pct"/>
            <w:tcBorders>
              <w:top w:val="single" w:sz="6" w:space="0" w:color="000000"/>
              <w:left w:val="single" w:sz="6" w:space="0" w:color="000000"/>
              <w:bottom w:val="single" w:sz="6" w:space="0" w:color="000000"/>
              <w:right w:val="single" w:sz="6" w:space="0" w:color="000000"/>
            </w:tcBorders>
          </w:tcPr>
          <w:p w:rsidR="008D5948" w:rsidRPr="00543BFE" w:rsidRDefault="008D5948" w:rsidP="002574EE"/>
        </w:tc>
        <w:tc>
          <w:tcPr>
            <w:tcW w:w="1211" w:type="pct"/>
            <w:tcBorders>
              <w:top w:val="single" w:sz="6" w:space="0" w:color="000000"/>
              <w:left w:val="single" w:sz="6" w:space="0" w:color="000000"/>
              <w:bottom w:val="single" w:sz="6" w:space="0" w:color="000000"/>
              <w:right w:val="single" w:sz="6" w:space="0" w:color="000000"/>
            </w:tcBorders>
          </w:tcPr>
          <w:p w:rsidR="008D5948" w:rsidRPr="00543BFE" w:rsidRDefault="008D5948" w:rsidP="002574EE"/>
        </w:tc>
      </w:tr>
      <w:tr w:rsidR="008D5948" w:rsidRPr="00543BFE" w:rsidTr="002574EE">
        <w:trPr>
          <w:trHeight w:hRule="exact" w:val="342"/>
        </w:trPr>
        <w:tc>
          <w:tcPr>
            <w:tcW w:w="2377" w:type="pct"/>
            <w:tcBorders>
              <w:top w:val="single" w:sz="6" w:space="0" w:color="000000"/>
              <w:left w:val="single" w:sz="6" w:space="0" w:color="000000"/>
              <w:bottom w:val="single" w:sz="6" w:space="0" w:color="000000"/>
              <w:right w:val="single" w:sz="6" w:space="0" w:color="000000"/>
            </w:tcBorders>
            <w:hideMark/>
          </w:tcPr>
          <w:p w:rsidR="008D5948" w:rsidRPr="00543BFE" w:rsidRDefault="008D5948" w:rsidP="002574EE">
            <w:r w:rsidRPr="00543BFE">
              <w:rPr>
                <w:i/>
              </w:rPr>
              <w:t>Baseline</w:t>
            </w:r>
            <w:r w:rsidRPr="00543BFE">
              <w:t xml:space="preserve"> HBV-dna &lt; 8 log</w:t>
            </w:r>
            <w:r w:rsidRPr="00543BFE">
              <w:rPr>
                <w:vertAlign w:val="subscript"/>
              </w:rPr>
              <w:t>10</w:t>
            </w:r>
            <w:r w:rsidRPr="00543BFE">
              <w:t xml:space="preserve"> IU/ml </w:t>
            </w:r>
          </w:p>
        </w:tc>
        <w:tc>
          <w:tcPr>
            <w:tcW w:w="706" w:type="pct"/>
            <w:tcBorders>
              <w:top w:val="single" w:sz="6" w:space="0" w:color="000000"/>
              <w:left w:val="single" w:sz="6" w:space="0" w:color="000000"/>
              <w:bottom w:val="single" w:sz="6" w:space="0" w:color="000000"/>
              <w:right w:val="single" w:sz="6" w:space="0" w:color="000000"/>
            </w:tcBorders>
            <w:hideMark/>
          </w:tcPr>
          <w:p w:rsidR="008D5948" w:rsidRPr="00543BFE" w:rsidRDefault="008D5948" w:rsidP="002574EE">
            <w:r w:rsidRPr="00543BFE">
              <w:t xml:space="preserve">82,6 % (38/46) </w:t>
            </w:r>
          </w:p>
        </w:tc>
        <w:tc>
          <w:tcPr>
            <w:tcW w:w="706" w:type="pct"/>
            <w:tcBorders>
              <w:top w:val="single" w:sz="6" w:space="0" w:color="000000"/>
              <w:left w:val="single" w:sz="6" w:space="0" w:color="000000"/>
              <w:bottom w:val="single" w:sz="6" w:space="0" w:color="000000"/>
              <w:right w:val="single" w:sz="6" w:space="0" w:color="000000"/>
            </w:tcBorders>
            <w:hideMark/>
          </w:tcPr>
          <w:p w:rsidR="008D5948" w:rsidRPr="00543BFE" w:rsidRDefault="008D5948" w:rsidP="002574EE">
            <w:r w:rsidRPr="00543BFE">
              <w:t xml:space="preserve">82,6 % (38/46) </w:t>
            </w:r>
          </w:p>
        </w:tc>
        <w:tc>
          <w:tcPr>
            <w:tcW w:w="1211" w:type="pct"/>
            <w:tcBorders>
              <w:top w:val="single" w:sz="6" w:space="0" w:color="000000"/>
              <w:left w:val="single" w:sz="6" w:space="0" w:color="000000"/>
              <w:bottom w:val="single" w:sz="6" w:space="0" w:color="000000"/>
              <w:right w:val="single" w:sz="6" w:space="0" w:color="000000"/>
            </w:tcBorders>
            <w:hideMark/>
          </w:tcPr>
          <w:p w:rsidR="008D5948" w:rsidRPr="00543BFE" w:rsidRDefault="008D5948" w:rsidP="002574EE">
            <w:r w:rsidRPr="00543BFE">
              <w:t xml:space="preserve">6,5 % (2/31) </w:t>
            </w:r>
          </w:p>
        </w:tc>
      </w:tr>
      <w:tr w:rsidR="008D5948" w:rsidRPr="00543BFE" w:rsidTr="002574EE">
        <w:trPr>
          <w:trHeight w:hRule="exact" w:val="360"/>
        </w:trPr>
        <w:tc>
          <w:tcPr>
            <w:tcW w:w="2377" w:type="pct"/>
            <w:tcBorders>
              <w:top w:val="single" w:sz="6" w:space="0" w:color="000000"/>
              <w:left w:val="single" w:sz="6" w:space="0" w:color="000000"/>
              <w:bottom w:val="single" w:sz="4" w:space="0" w:color="auto"/>
              <w:right w:val="single" w:sz="6" w:space="0" w:color="000000"/>
            </w:tcBorders>
            <w:hideMark/>
          </w:tcPr>
          <w:p w:rsidR="008D5948" w:rsidRPr="00543BFE" w:rsidRDefault="008D5948" w:rsidP="002574EE">
            <w:r w:rsidRPr="00543BFE">
              <w:rPr>
                <w:i/>
              </w:rPr>
              <w:t>Baseline</w:t>
            </w:r>
            <w:r w:rsidRPr="00543BFE">
              <w:t xml:space="preserve"> HBV-dna ≥ 8 log</w:t>
            </w:r>
            <w:r w:rsidRPr="00543BFE">
              <w:rPr>
                <w:vertAlign w:val="subscript"/>
              </w:rPr>
              <w:t>10</w:t>
            </w:r>
            <w:r w:rsidRPr="00543BFE">
              <w:t xml:space="preserve"> IU/ml </w:t>
            </w:r>
          </w:p>
        </w:tc>
        <w:tc>
          <w:tcPr>
            <w:tcW w:w="706" w:type="pct"/>
            <w:tcBorders>
              <w:top w:val="single" w:sz="6" w:space="0" w:color="000000"/>
              <w:left w:val="single" w:sz="6" w:space="0" w:color="000000"/>
              <w:bottom w:val="single" w:sz="4" w:space="0" w:color="auto"/>
              <w:right w:val="single" w:sz="6" w:space="0" w:color="000000"/>
            </w:tcBorders>
            <w:hideMark/>
          </w:tcPr>
          <w:p w:rsidR="008D5948" w:rsidRPr="00543BFE" w:rsidRDefault="008D5948" w:rsidP="002574EE">
            <w:r w:rsidRPr="00543BFE">
              <w:t xml:space="preserve">28,4 % (21/74) </w:t>
            </w:r>
          </w:p>
        </w:tc>
        <w:tc>
          <w:tcPr>
            <w:tcW w:w="706" w:type="pct"/>
            <w:tcBorders>
              <w:top w:val="single" w:sz="6" w:space="0" w:color="000000"/>
              <w:left w:val="single" w:sz="6" w:space="0" w:color="000000"/>
              <w:bottom w:val="single" w:sz="4" w:space="0" w:color="auto"/>
              <w:right w:val="single" w:sz="6" w:space="0" w:color="000000"/>
            </w:tcBorders>
            <w:hideMark/>
          </w:tcPr>
          <w:p w:rsidR="008D5948" w:rsidRPr="00543BFE" w:rsidRDefault="008D5948" w:rsidP="002574EE">
            <w:r w:rsidRPr="00543BFE">
              <w:t xml:space="preserve">52,7 % (39/74) </w:t>
            </w:r>
          </w:p>
        </w:tc>
        <w:tc>
          <w:tcPr>
            <w:tcW w:w="1211" w:type="pct"/>
            <w:tcBorders>
              <w:top w:val="single" w:sz="6" w:space="0" w:color="000000"/>
              <w:left w:val="single" w:sz="6" w:space="0" w:color="000000"/>
              <w:bottom w:val="single" w:sz="4" w:space="0" w:color="auto"/>
              <w:right w:val="single" w:sz="6" w:space="0" w:color="000000"/>
            </w:tcBorders>
            <w:hideMark/>
          </w:tcPr>
          <w:p w:rsidR="008D5948" w:rsidRPr="00543BFE" w:rsidRDefault="008D5948" w:rsidP="002574EE">
            <w:r w:rsidRPr="00543BFE">
              <w:t xml:space="preserve">0 % (0/29) </w:t>
            </w:r>
          </w:p>
        </w:tc>
      </w:tr>
    </w:tbl>
    <w:p w:rsidR="008D5948" w:rsidRPr="00543BFE" w:rsidRDefault="008D5948" w:rsidP="008D5948">
      <w:pPr>
        <w:rPr>
          <w:sz w:val="24"/>
          <w:szCs w:val="24"/>
        </w:rPr>
      </w:pPr>
      <w:proofErr w:type="spellStart"/>
      <w:r w:rsidRPr="00543BFE">
        <w:rPr>
          <w:sz w:val="24"/>
          <w:szCs w:val="24"/>
          <w:vertAlign w:val="superscript"/>
        </w:rPr>
        <w:t>a</w:t>
      </w:r>
      <w:r w:rsidRPr="00543BFE">
        <w:rPr>
          <w:sz w:val="24"/>
          <w:szCs w:val="24"/>
        </w:rPr>
        <w:t>NC</w:t>
      </w:r>
      <w:proofErr w:type="spellEnd"/>
      <w:r w:rsidRPr="00543BFE">
        <w:rPr>
          <w:sz w:val="24"/>
          <w:szCs w:val="24"/>
        </w:rPr>
        <w:t>=F (færdiggøre ikke behandlingen=svigt).</w:t>
      </w:r>
    </w:p>
    <w:p w:rsidR="008D5948" w:rsidRPr="00543BFE" w:rsidRDefault="008D5948" w:rsidP="008D5948">
      <w:pPr>
        <w:rPr>
          <w:sz w:val="24"/>
          <w:szCs w:val="24"/>
        </w:rPr>
      </w:pPr>
      <w:r w:rsidRPr="00543BFE">
        <w:rPr>
          <w:sz w:val="24"/>
          <w:szCs w:val="24"/>
        </w:rPr>
        <w:t xml:space="preserve">* Patienter randomiseret til placebo, som ikke opnåede </w:t>
      </w:r>
      <w:proofErr w:type="spellStart"/>
      <w:r w:rsidRPr="00543BFE">
        <w:rPr>
          <w:sz w:val="24"/>
          <w:szCs w:val="24"/>
        </w:rPr>
        <w:t>HBe-serokonvertering</w:t>
      </w:r>
      <w:proofErr w:type="spellEnd"/>
      <w:r w:rsidRPr="00543BFE">
        <w:rPr>
          <w:sz w:val="24"/>
          <w:szCs w:val="24"/>
        </w:rPr>
        <w:t xml:space="preserve"> ved uge 48, skiftede til åben </w:t>
      </w:r>
      <w:proofErr w:type="spellStart"/>
      <w:r w:rsidRPr="00543BFE">
        <w:rPr>
          <w:sz w:val="24"/>
          <w:szCs w:val="24"/>
        </w:rPr>
        <w:t>entecavir</w:t>
      </w:r>
      <w:proofErr w:type="spellEnd"/>
      <w:r w:rsidRPr="00543BFE">
        <w:rPr>
          <w:sz w:val="24"/>
          <w:szCs w:val="24"/>
        </w:rPr>
        <w:t xml:space="preserve"> i studiets andet år; derfor foreligger der kun randomiserede sammenligningsdata indtil uge 48.</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Vurdering af resistens hos børn og unge er baseret på data fra </w:t>
      </w:r>
      <w:proofErr w:type="spellStart"/>
      <w:r w:rsidRPr="00543BFE">
        <w:rPr>
          <w:sz w:val="24"/>
          <w:szCs w:val="24"/>
        </w:rPr>
        <w:t>nukleosid</w:t>
      </w:r>
      <w:proofErr w:type="spellEnd"/>
      <w:r w:rsidRPr="00543BFE">
        <w:rPr>
          <w:sz w:val="24"/>
          <w:szCs w:val="24"/>
        </w:rPr>
        <w:t xml:space="preserve">-behandlingsnaive pædiatriske patienter med </w:t>
      </w:r>
      <w:proofErr w:type="spellStart"/>
      <w:r w:rsidRPr="00543BFE">
        <w:rPr>
          <w:sz w:val="24"/>
          <w:szCs w:val="24"/>
        </w:rPr>
        <w:t>HBeAg</w:t>
      </w:r>
      <w:proofErr w:type="spellEnd"/>
      <w:r w:rsidRPr="00543BFE">
        <w:rPr>
          <w:sz w:val="24"/>
          <w:szCs w:val="24"/>
        </w:rPr>
        <w:t xml:space="preserve">-positiv kronisk HBV-infektion i to kliniske studier (028 og 189). De to studier fremsætter resistensdata hos 183 patienter behandlet og monitoreret i år 1, og 180 patienter behandlet og monitoreret i år 2. Genotypevurdering blev udført hos alle patienter med tilgængelige prøver, som havde </w:t>
      </w:r>
      <w:r w:rsidRPr="00543BFE">
        <w:rPr>
          <w:sz w:val="24"/>
          <w:szCs w:val="24"/>
        </w:rPr>
        <w:lastRenderedPageBreak/>
        <w:t>virologisk svigt til og med uge 96 eller HBV-dna ≥ 50 IE/ml ved uge 48 eller uge 96. I år 2 blev genotyperesistens over for ETV detekteret hos 2 patienter (1,1 % kumulativ sandsynlighed for resistens i år 2).</w:t>
      </w:r>
    </w:p>
    <w:p w:rsidR="008D5948" w:rsidRPr="00543BFE" w:rsidRDefault="008D5948" w:rsidP="008D5948">
      <w:pPr>
        <w:ind w:left="851" w:hanging="851"/>
        <w:rPr>
          <w:sz w:val="24"/>
          <w:szCs w:val="24"/>
        </w:rPr>
      </w:pPr>
    </w:p>
    <w:p w:rsidR="008D5948" w:rsidRPr="00543BFE" w:rsidRDefault="008D5948" w:rsidP="008D5948">
      <w:pPr>
        <w:pStyle w:val="Default"/>
        <w:ind w:left="851"/>
      </w:pPr>
      <w:r w:rsidRPr="00543BFE">
        <w:rPr>
          <w:b/>
          <w:bCs/>
        </w:rPr>
        <w:t xml:space="preserve">Klinisk resistens hos voksne: </w:t>
      </w:r>
      <w:r w:rsidRPr="00543BFE">
        <w:t xml:space="preserve">Patienter i kliniske studier, der initialt blev behandlet med </w:t>
      </w:r>
      <w:proofErr w:type="spellStart"/>
      <w:r w:rsidRPr="00543BFE">
        <w:t>entecavir</w:t>
      </w:r>
      <w:proofErr w:type="spellEnd"/>
      <w:r w:rsidRPr="00543BFE">
        <w:t xml:space="preserve"> 0,5 mg (ikke tidligere behandlet med </w:t>
      </w:r>
      <w:proofErr w:type="spellStart"/>
      <w:r w:rsidRPr="00543BFE">
        <w:t>nukleosidpræparater</w:t>
      </w:r>
      <w:proofErr w:type="spellEnd"/>
      <w:r w:rsidRPr="00543BFE">
        <w:t>) eller 1,0 mg (</w:t>
      </w:r>
      <w:proofErr w:type="spellStart"/>
      <w:r w:rsidRPr="00543BFE">
        <w:t>lamivudinrefraktære</w:t>
      </w:r>
      <w:proofErr w:type="spellEnd"/>
      <w:r w:rsidRPr="00543BFE">
        <w:t xml:space="preserve">), og hvor PCR HBV-dna er målt under behandling ved eller efter Uge 24, blev monitoreret for resistens. </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I uge 240 blev der hos patienter, som ikke før har været i behandling med </w:t>
      </w:r>
      <w:proofErr w:type="spellStart"/>
      <w:r w:rsidRPr="00543BFE">
        <w:rPr>
          <w:sz w:val="24"/>
          <w:szCs w:val="24"/>
        </w:rPr>
        <w:t>nukleosidpræparater</w:t>
      </w:r>
      <w:proofErr w:type="spellEnd"/>
      <w:r w:rsidRPr="00543BFE">
        <w:rPr>
          <w:sz w:val="24"/>
          <w:szCs w:val="24"/>
        </w:rPr>
        <w:t xml:space="preserve">, identificeret genotypeevidens for </w:t>
      </w:r>
      <w:proofErr w:type="spellStart"/>
      <w:r w:rsidRPr="00543BFE">
        <w:rPr>
          <w:sz w:val="24"/>
          <w:szCs w:val="24"/>
        </w:rPr>
        <w:t>ETVr</w:t>
      </w:r>
      <w:proofErr w:type="spellEnd"/>
      <w:r w:rsidRPr="00543BFE">
        <w:rPr>
          <w:sz w:val="24"/>
          <w:szCs w:val="24"/>
        </w:rPr>
        <w:t xml:space="preserve">-substitutioner ved rtT184, rtS202 og/eller rtM250 hos 3 af patienterne, der blev behandlet med </w:t>
      </w:r>
      <w:proofErr w:type="spellStart"/>
      <w:r w:rsidRPr="00543BFE">
        <w:rPr>
          <w:sz w:val="24"/>
          <w:szCs w:val="24"/>
        </w:rPr>
        <w:t>entecavir</w:t>
      </w:r>
      <w:proofErr w:type="spellEnd"/>
      <w:r w:rsidRPr="00543BFE">
        <w:rPr>
          <w:sz w:val="24"/>
          <w:szCs w:val="24"/>
        </w:rPr>
        <w:t xml:space="preserve">. Heraf oplevede 2 af patienterne virologisk svigt (se tabel). Disse substitutioner sås kun ved tilstedeværelsen af </w:t>
      </w:r>
      <w:proofErr w:type="spellStart"/>
      <w:r w:rsidRPr="00543BFE">
        <w:rPr>
          <w:sz w:val="24"/>
          <w:szCs w:val="24"/>
        </w:rPr>
        <w:t>LVDr</w:t>
      </w:r>
      <w:proofErr w:type="spellEnd"/>
      <w:r w:rsidRPr="00543BFE">
        <w:rPr>
          <w:sz w:val="24"/>
          <w:szCs w:val="24"/>
        </w:rPr>
        <w:t>-substitutioner (rtM204V og rtL180M).</w:t>
      </w:r>
    </w:p>
    <w:p w:rsidR="008D5948" w:rsidRPr="00543BFE" w:rsidRDefault="008D5948" w:rsidP="008D5948">
      <w:pPr>
        <w:ind w:left="851" w:hanging="851"/>
        <w:rPr>
          <w:sz w:val="24"/>
          <w:szCs w:val="24"/>
        </w:rPr>
      </w:pPr>
    </w:p>
    <w:tbl>
      <w:tblPr>
        <w:tblW w:w="5000" w:type="pct"/>
        <w:tblCellMar>
          <w:left w:w="30" w:type="dxa"/>
          <w:right w:w="30" w:type="dxa"/>
        </w:tblCellMar>
        <w:tblLook w:val="04A0" w:firstRow="1" w:lastRow="0" w:firstColumn="1" w:lastColumn="0" w:noHBand="0" w:noVBand="1"/>
      </w:tblPr>
      <w:tblGrid>
        <w:gridCol w:w="3357"/>
        <w:gridCol w:w="1247"/>
        <w:gridCol w:w="1247"/>
        <w:gridCol w:w="1247"/>
        <w:gridCol w:w="1247"/>
        <w:gridCol w:w="1247"/>
      </w:tblGrid>
      <w:tr w:rsidR="008D5948" w:rsidRPr="00543BFE" w:rsidTr="002574EE">
        <w:trPr>
          <w:trHeight w:val="475"/>
        </w:trPr>
        <w:tc>
          <w:tcPr>
            <w:tcW w:w="5000" w:type="pct"/>
            <w:gridSpan w:val="6"/>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r w:rsidRPr="00543BFE">
              <w:t xml:space="preserve">Opståen af </w:t>
            </w:r>
            <w:proofErr w:type="spellStart"/>
            <w:r w:rsidRPr="00543BFE">
              <w:t>entecavir</w:t>
            </w:r>
            <w:proofErr w:type="spellEnd"/>
            <w:r w:rsidRPr="00543BFE">
              <w:t xml:space="preserve">-genotype-resistens til og med år 5 i studie med </w:t>
            </w:r>
            <w:proofErr w:type="spellStart"/>
            <w:r w:rsidRPr="00543BFE">
              <w:t>nukleosid</w:t>
            </w:r>
            <w:proofErr w:type="spellEnd"/>
            <w:r w:rsidRPr="00543BFE">
              <w:t xml:space="preserve">-behandlingsnaive patienter </w:t>
            </w:r>
          </w:p>
          <w:p w:rsidR="008D5948" w:rsidRPr="00543BFE" w:rsidRDefault="008D5948" w:rsidP="002574EE">
            <w:pPr>
              <w:rPr>
                <w:rFonts w:eastAsia="Calibri"/>
                <w:sz w:val="24"/>
                <w:szCs w:val="24"/>
                <w:lang w:bidi="he-IL"/>
              </w:rPr>
            </w:pPr>
          </w:p>
        </w:tc>
      </w:tr>
      <w:tr w:rsidR="008D5948" w:rsidRPr="00543BFE" w:rsidTr="002574EE">
        <w:trPr>
          <w:trHeight w:val="475"/>
        </w:trPr>
        <w:tc>
          <w:tcPr>
            <w:tcW w:w="1750"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sz w:val="24"/>
                <w:szCs w:val="24"/>
                <w:lang w:bidi="he-IL"/>
              </w:rPr>
            </w:pP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År 1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År 2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År 3</w:t>
            </w:r>
            <w:r w:rsidRPr="00543BFE">
              <w:rPr>
                <w:rFonts w:eastAsia="Calibri"/>
                <w:sz w:val="24"/>
                <w:szCs w:val="24"/>
                <w:vertAlign w:val="superscript"/>
                <w:lang w:bidi="he-IL"/>
              </w:rPr>
              <w:t>a</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År 4</w:t>
            </w:r>
            <w:r w:rsidRPr="00543BFE">
              <w:rPr>
                <w:rFonts w:eastAsia="Calibri"/>
                <w:sz w:val="24"/>
                <w:szCs w:val="24"/>
                <w:vertAlign w:val="superscript"/>
                <w:lang w:bidi="he-IL"/>
              </w:rPr>
              <w:t>a</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År 5</w:t>
            </w:r>
            <w:r w:rsidRPr="00543BFE">
              <w:rPr>
                <w:rFonts w:eastAsia="Calibri"/>
                <w:sz w:val="24"/>
                <w:szCs w:val="24"/>
                <w:vertAlign w:val="superscript"/>
                <w:lang w:bidi="he-IL"/>
              </w:rPr>
              <w:t>a</w:t>
            </w:r>
          </w:p>
        </w:tc>
      </w:tr>
      <w:tr w:rsidR="008D5948" w:rsidRPr="00543BFE" w:rsidTr="002574EE">
        <w:trPr>
          <w:trHeight w:val="742"/>
        </w:trPr>
        <w:tc>
          <w:tcPr>
            <w:tcW w:w="17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vertAlign w:val="superscript"/>
                <w:lang w:bidi="he-IL"/>
              </w:rPr>
            </w:pPr>
            <w:r w:rsidRPr="00543BFE">
              <w:rPr>
                <w:rFonts w:eastAsia="Calibri"/>
                <w:sz w:val="24"/>
                <w:szCs w:val="24"/>
                <w:lang w:bidi="he-IL"/>
              </w:rPr>
              <w:t xml:space="preserve">Patienter behandlet og monitoreret for </w:t>
            </w:r>
            <w:proofErr w:type="spellStart"/>
            <w:r w:rsidRPr="00543BFE">
              <w:rPr>
                <w:rFonts w:eastAsia="Calibri"/>
                <w:sz w:val="24"/>
                <w:szCs w:val="24"/>
                <w:lang w:bidi="he-IL"/>
              </w:rPr>
              <w:t>resistens</w:t>
            </w:r>
            <w:r w:rsidRPr="00543BFE">
              <w:rPr>
                <w:rFonts w:eastAsia="Calibri"/>
                <w:sz w:val="24"/>
                <w:szCs w:val="24"/>
                <w:vertAlign w:val="superscript"/>
                <w:lang w:bidi="he-IL"/>
              </w:rPr>
              <w:t>b</w:t>
            </w:r>
            <w:proofErr w:type="spellEnd"/>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663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278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149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121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108 </w:t>
            </w:r>
          </w:p>
        </w:tc>
      </w:tr>
      <w:tr w:rsidR="008D5948" w:rsidRPr="00543BFE" w:rsidTr="002574EE">
        <w:trPr>
          <w:trHeight w:val="475"/>
        </w:trPr>
        <w:tc>
          <w:tcPr>
            <w:tcW w:w="17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b/>
                <w:bCs/>
                <w:sz w:val="24"/>
                <w:szCs w:val="24"/>
                <w:lang w:bidi="he-IL"/>
              </w:rPr>
              <w:t>Patienter i specifikt år og med:</w:t>
            </w:r>
          </w:p>
        </w:tc>
        <w:tc>
          <w:tcPr>
            <w:tcW w:w="650"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sz w:val="24"/>
                <w:szCs w:val="24"/>
                <w:lang w:bidi="he-IL"/>
              </w:rPr>
            </w:pPr>
          </w:p>
        </w:tc>
        <w:tc>
          <w:tcPr>
            <w:tcW w:w="650"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sz w:val="24"/>
                <w:szCs w:val="24"/>
                <w:lang w:bidi="he-IL"/>
              </w:rPr>
            </w:pPr>
          </w:p>
        </w:tc>
        <w:tc>
          <w:tcPr>
            <w:tcW w:w="650"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sz w:val="24"/>
                <w:szCs w:val="24"/>
                <w:lang w:bidi="he-IL"/>
              </w:rPr>
            </w:pPr>
          </w:p>
        </w:tc>
        <w:tc>
          <w:tcPr>
            <w:tcW w:w="650"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sz w:val="24"/>
                <w:szCs w:val="24"/>
                <w:lang w:bidi="he-IL"/>
              </w:rPr>
            </w:pPr>
          </w:p>
        </w:tc>
        <w:tc>
          <w:tcPr>
            <w:tcW w:w="650"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sz w:val="24"/>
                <w:szCs w:val="24"/>
                <w:lang w:bidi="he-IL"/>
              </w:rPr>
            </w:pPr>
          </w:p>
        </w:tc>
      </w:tr>
      <w:tr w:rsidR="008D5948" w:rsidRPr="00543BFE" w:rsidTr="002574EE">
        <w:trPr>
          <w:trHeight w:val="475"/>
        </w:trPr>
        <w:tc>
          <w:tcPr>
            <w:tcW w:w="17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 Opståen af genotype </w:t>
            </w:r>
            <w:proofErr w:type="spellStart"/>
            <w:r w:rsidRPr="00543BFE">
              <w:rPr>
                <w:rFonts w:eastAsia="Calibri"/>
                <w:sz w:val="24"/>
                <w:szCs w:val="24"/>
                <w:lang w:bidi="he-IL"/>
              </w:rPr>
              <w:t>ETVr</w:t>
            </w:r>
            <w:r w:rsidRPr="00543BFE">
              <w:rPr>
                <w:rFonts w:eastAsia="Calibri"/>
                <w:sz w:val="24"/>
                <w:szCs w:val="24"/>
                <w:vertAlign w:val="superscript"/>
                <w:lang w:bidi="he-IL"/>
              </w:rPr>
              <w:t>c</w:t>
            </w:r>
            <w:proofErr w:type="spellEnd"/>
            <w:r w:rsidRPr="00543BFE">
              <w:rPr>
                <w:rFonts w:eastAsia="Calibri"/>
                <w:sz w:val="24"/>
                <w:szCs w:val="24"/>
                <w:vertAlign w:val="superscript"/>
                <w:lang w:bidi="he-IL"/>
              </w:rPr>
              <w:t xml:space="preserve">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1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1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1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0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0 </w:t>
            </w:r>
          </w:p>
        </w:tc>
      </w:tr>
      <w:tr w:rsidR="008D5948" w:rsidRPr="00543BFE" w:rsidTr="002574EE">
        <w:trPr>
          <w:trHeight w:val="742"/>
        </w:trPr>
        <w:tc>
          <w:tcPr>
            <w:tcW w:w="17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vertAlign w:val="superscript"/>
                <w:lang w:bidi="he-IL"/>
              </w:rPr>
            </w:pPr>
            <w:r w:rsidRPr="00543BFE">
              <w:rPr>
                <w:rFonts w:eastAsia="Calibri"/>
                <w:sz w:val="24"/>
                <w:szCs w:val="24"/>
                <w:lang w:bidi="he-IL"/>
              </w:rPr>
              <w:t xml:space="preserve">- Genotype </w:t>
            </w:r>
            <w:proofErr w:type="spellStart"/>
            <w:r w:rsidRPr="00543BFE">
              <w:rPr>
                <w:rFonts w:eastAsia="Calibri"/>
                <w:sz w:val="24"/>
                <w:szCs w:val="24"/>
                <w:lang w:bidi="he-IL"/>
              </w:rPr>
              <w:t>ETVr</w:t>
            </w:r>
            <w:r w:rsidRPr="00543BFE">
              <w:rPr>
                <w:rFonts w:eastAsia="Calibri"/>
                <w:sz w:val="24"/>
                <w:szCs w:val="24"/>
                <w:vertAlign w:val="superscript"/>
                <w:lang w:bidi="he-IL"/>
              </w:rPr>
              <w:t>c</w:t>
            </w:r>
            <w:proofErr w:type="spellEnd"/>
            <w:r w:rsidRPr="00543BFE">
              <w:rPr>
                <w:rFonts w:eastAsia="Calibri"/>
                <w:sz w:val="24"/>
                <w:szCs w:val="24"/>
                <w:lang w:bidi="he-IL"/>
              </w:rPr>
              <w:t xml:space="preserve"> med virologisk </w:t>
            </w:r>
            <w:proofErr w:type="spellStart"/>
            <w:r w:rsidRPr="00543BFE">
              <w:rPr>
                <w:rFonts w:eastAsia="Calibri"/>
                <w:sz w:val="24"/>
                <w:szCs w:val="24"/>
                <w:lang w:bidi="he-IL"/>
              </w:rPr>
              <w:t>svigt</w:t>
            </w:r>
            <w:r w:rsidRPr="00543BFE">
              <w:rPr>
                <w:rFonts w:eastAsia="Calibri"/>
                <w:sz w:val="24"/>
                <w:szCs w:val="24"/>
                <w:vertAlign w:val="superscript"/>
                <w:lang w:bidi="he-IL"/>
              </w:rPr>
              <w:t>d</w:t>
            </w:r>
            <w:proofErr w:type="spellEnd"/>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1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0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1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0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0 </w:t>
            </w:r>
          </w:p>
        </w:tc>
      </w:tr>
      <w:tr w:rsidR="008D5948" w:rsidRPr="00543BFE" w:rsidTr="002574EE">
        <w:trPr>
          <w:trHeight w:val="475"/>
        </w:trPr>
        <w:tc>
          <w:tcPr>
            <w:tcW w:w="17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r w:rsidRPr="00543BFE">
              <w:rPr>
                <w:b/>
                <w:bCs/>
              </w:rPr>
              <w:t xml:space="preserve">Kumulativ sandsynlighed for: </w:t>
            </w:r>
          </w:p>
        </w:tc>
        <w:tc>
          <w:tcPr>
            <w:tcW w:w="650"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sz w:val="24"/>
                <w:szCs w:val="24"/>
                <w:lang w:bidi="he-IL"/>
              </w:rPr>
            </w:pPr>
          </w:p>
        </w:tc>
        <w:tc>
          <w:tcPr>
            <w:tcW w:w="650"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sz w:val="24"/>
                <w:szCs w:val="24"/>
                <w:lang w:bidi="he-IL"/>
              </w:rPr>
            </w:pPr>
          </w:p>
        </w:tc>
        <w:tc>
          <w:tcPr>
            <w:tcW w:w="650"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sz w:val="24"/>
                <w:szCs w:val="24"/>
                <w:lang w:bidi="he-IL"/>
              </w:rPr>
            </w:pPr>
          </w:p>
        </w:tc>
        <w:tc>
          <w:tcPr>
            <w:tcW w:w="650"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sz w:val="24"/>
                <w:szCs w:val="24"/>
                <w:lang w:bidi="he-IL"/>
              </w:rPr>
            </w:pPr>
          </w:p>
        </w:tc>
        <w:tc>
          <w:tcPr>
            <w:tcW w:w="650"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sz w:val="24"/>
                <w:szCs w:val="24"/>
                <w:lang w:bidi="he-IL"/>
              </w:rPr>
            </w:pPr>
          </w:p>
        </w:tc>
      </w:tr>
      <w:tr w:rsidR="008D5948" w:rsidRPr="00543BFE" w:rsidTr="002574EE">
        <w:trPr>
          <w:trHeight w:val="475"/>
        </w:trPr>
        <w:tc>
          <w:tcPr>
            <w:tcW w:w="17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vertAlign w:val="superscript"/>
                <w:lang w:bidi="he-IL"/>
              </w:rPr>
            </w:pPr>
            <w:r w:rsidRPr="00543BFE">
              <w:rPr>
                <w:rFonts w:eastAsia="Calibri"/>
                <w:sz w:val="24"/>
                <w:szCs w:val="24"/>
                <w:lang w:bidi="he-IL"/>
              </w:rPr>
              <w:t xml:space="preserve">- Opståen af genotype </w:t>
            </w:r>
            <w:proofErr w:type="spellStart"/>
            <w:r w:rsidRPr="00543BFE">
              <w:rPr>
                <w:rFonts w:eastAsia="Calibri"/>
                <w:sz w:val="24"/>
                <w:szCs w:val="24"/>
                <w:lang w:bidi="he-IL"/>
              </w:rPr>
              <w:t>ETVr</w:t>
            </w:r>
            <w:r w:rsidRPr="00543BFE">
              <w:rPr>
                <w:rFonts w:eastAsia="Calibri"/>
                <w:sz w:val="24"/>
                <w:szCs w:val="24"/>
                <w:vertAlign w:val="superscript"/>
                <w:lang w:bidi="he-IL"/>
              </w:rPr>
              <w:t>c</w:t>
            </w:r>
            <w:proofErr w:type="spellEnd"/>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0,2 %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0,5 %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1,2 %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1,2 %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1,2 % </w:t>
            </w:r>
          </w:p>
        </w:tc>
      </w:tr>
      <w:tr w:rsidR="008D5948" w:rsidRPr="00543BFE" w:rsidTr="002574EE">
        <w:trPr>
          <w:trHeight w:val="742"/>
        </w:trPr>
        <w:tc>
          <w:tcPr>
            <w:tcW w:w="17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 genotype </w:t>
            </w:r>
            <w:proofErr w:type="spellStart"/>
            <w:r w:rsidRPr="00543BFE">
              <w:rPr>
                <w:rFonts w:eastAsia="Calibri"/>
                <w:sz w:val="24"/>
                <w:szCs w:val="24"/>
                <w:lang w:bidi="he-IL"/>
              </w:rPr>
              <w:t>ETVr</w:t>
            </w:r>
            <w:r w:rsidRPr="00543BFE">
              <w:rPr>
                <w:rFonts w:eastAsia="Calibri"/>
                <w:sz w:val="24"/>
                <w:szCs w:val="24"/>
                <w:vertAlign w:val="superscript"/>
                <w:lang w:bidi="he-IL"/>
              </w:rPr>
              <w:t>c</w:t>
            </w:r>
            <w:proofErr w:type="spellEnd"/>
            <w:r w:rsidRPr="00543BFE">
              <w:rPr>
                <w:rFonts w:eastAsia="Calibri"/>
                <w:sz w:val="24"/>
                <w:szCs w:val="24"/>
                <w:lang w:bidi="he-IL"/>
              </w:rPr>
              <w:t xml:space="preserve"> med virologisk </w:t>
            </w:r>
            <w:proofErr w:type="spellStart"/>
            <w:r w:rsidRPr="00543BFE">
              <w:rPr>
                <w:rFonts w:eastAsia="Calibri"/>
                <w:sz w:val="24"/>
                <w:szCs w:val="24"/>
                <w:lang w:bidi="he-IL"/>
              </w:rPr>
              <w:t>svigt</w:t>
            </w:r>
            <w:r w:rsidRPr="00543BFE">
              <w:rPr>
                <w:rFonts w:eastAsia="Calibri"/>
                <w:sz w:val="24"/>
                <w:szCs w:val="24"/>
                <w:vertAlign w:val="superscript"/>
                <w:lang w:bidi="he-IL"/>
              </w:rPr>
              <w:t>d</w:t>
            </w:r>
            <w:proofErr w:type="spellEnd"/>
            <w:r w:rsidRPr="00543BFE">
              <w:rPr>
                <w:rFonts w:eastAsia="Calibri"/>
                <w:sz w:val="24"/>
                <w:szCs w:val="24"/>
                <w:vertAlign w:val="superscript"/>
                <w:lang w:bidi="he-IL"/>
              </w:rPr>
              <w:t xml:space="preserve">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0,2 %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0,2 %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0,8 %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0,8 %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0,8 % </w:t>
            </w:r>
          </w:p>
        </w:tc>
      </w:tr>
    </w:tbl>
    <w:p w:rsidR="008D5948" w:rsidRPr="00543BFE" w:rsidRDefault="008D5948" w:rsidP="008D5948">
      <w:pPr>
        <w:pStyle w:val="Default"/>
      </w:pPr>
      <w:r w:rsidRPr="00543BFE">
        <w:rPr>
          <w:vertAlign w:val="superscript"/>
        </w:rPr>
        <w:t xml:space="preserve">a </w:t>
      </w:r>
      <w:r w:rsidRPr="00543BFE">
        <w:t xml:space="preserve">Resultater afspejler brug af dosis på 1 mg </w:t>
      </w:r>
      <w:proofErr w:type="spellStart"/>
      <w:r w:rsidRPr="00543BFE">
        <w:t>entecavir</w:t>
      </w:r>
      <w:proofErr w:type="spellEnd"/>
      <w:r w:rsidRPr="00543BFE">
        <w:t xml:space="preserve"> hos 147 ud af 149 patienter i År 3 og hos alle patienter i År 4 og 5 og i kombinationsbehandling med </w:t>
      </w:r>
      <w:proofErr w:type="spellStart"/>
      <w:r w:rsidRPr="00543BFE">
        <w:t>entecavir</w:t>
      </w:r>
      <w:proofErr w:type="spellEnd"/>
      <w:r w:rsidRPr="00543BFE">
        <w:t xml:space="preserve"> og </w:t>
      </w:r>
      <w:proofErr w:type="spellStart"/>
      <w:r w:rsidRPr="00543BFE">
        <w:t>lamivudin</w:t>
      </w:r>
      <w:proofErr w:type="spellEnd"/>
      <w:r w:rsidRPr="00543BFE">
        <w:t xml:space="preserve"> (efterfulgt af længerevarende </w:t>
      </w:r>
      <w:proofErr w:type="spellStart"/>
      <w:r w:rsidRPr="00543BFE">
        <w:t>entecavirbehandling</w:t>
      </w:r>
      <w:proofErr w:type="spellEnd"/>
      <w:r w:rsidRPr="00543BFE">
        <w:t xml:space="preserve">) i en median periode på 20 uger hos 130 ud af 149 patienter i År 3 og i 1 uge for 1 ud af 121 patienter i År 4 i et roll-over-studie. </w:t>
      </w:r>
    </w:p>
    <w:p w:rsidR="008D5948" w:rsidRPr="00543BFE" w:rsidRDefault="008D5948" w:rsidP="008D5948">
      <w:pPr>
        <w:pStyle w:val="Default"/>
      </w:pPr>
      <w:r w:rsidRPr="00543BFE">
        <w:rPr>
          <w:vertAlign w:val="superscript"/>
        </w:rPr>
        <w:t>b</w:t>
      </w:r>
      <w:r w:rsidRPr="00543BFE">
        <w:t xml:space="preserve"> Inkluderer patienter med mindst én HBV-dna-måling under behandling ved PCR ved eller efter uge 24 til og med uge 58 (År 1), efter uge 58 til og med uge 102 (År 2) eller efter uge 102 til og med uge 156 (År 3), efter uge 156 til og med uge 204 (År 4) eller efter uge 204 til og med uge 252 (År 5). </w:t>
      </w:r>
    </w:p>
    <w:p w:rsidR="008D5948" w:rsidRPr="00543BFE" w:rsidRDefault="008D5948" w:rsidP="008D5948">
      <w:pPr>
        <w:pStyle w:val="Default"/>
      </w:pPr>
      <w:r w:rsidRPr="00543BFE">
        <w:rPr>
          <w:vertAlign w:val="superscript"/>
        </w:rPr>
        <w:t xml:space="preserve">c </w:t>
      </w:r>
      <w:r w:rsidRPr="00543BFE">
        <w:t xml:space="preserve">Patienterne skal også have </w:t>
      </w:r>
      <w:proofErr w:type="spellStart"/>
      <w:r w:rsidRPr="00543BFE">
        <w:t>LVDr</w:t>
      </w:r>
      <w:proofErr w:type="spellEnd"/>
      <w:r w:rsidRPr="00543BFE">
        <w:t xml:space="preserve">-substitutioner. </w:t>
      </w:r>
    </w:p>
    <w:p w:rsidR="008D5948" w:rsidRPr="00543BFE" w:rsidRDefault="008D5948" w:rsidP="008D5948">
      <w:pPr>
        <w:rPr>
          <w:sz w:val="24"/>
          <w:szCs w:val="24"/>
        </w:rPr>
      </w:pPr>
      <w:r w:rsidRPr="00543BFE">
        <w:rPr>
          <w:sz w:val="24"/>
          <w:szCs w:val="24"/>
          <w:vertAlign w:val="superscript"/>
        </w:rPr>
        <w:t xml:space="preserve">d </w:t>
      </w:r>
      <w:r w:rsidRPr="00543BFE">
        <w:rPr>
          <w:sz w:val="24"/>
          <w:szCs w:val="24"/>
        </w:rPr>
        <w:t>≥ 1 log</w:t>
      </w:r>
      <w:r w:rsidRPr="00543BFE">
        <w:rPr>
          <w:sz w:val="24"/>
          <w:szCs w:val="24"/>
          <w:vertAlign w:val="subscript"/>
        </w:rPr>
        <w:t>10</w:t>
      </w:r>
      <w:r w:rsidRPr="00543BFE">
        <w:rPr>
          <w:sz w:val="24"/>
          <w:szCs w:val="24"/>
        </w:rPr>
        <w:t xml:space="preserve"> stigning over nadir i HBV-dna ved PCR, bekræftet ved på hinanden følgende målinger eller ved afslutningen af tidsvinduet. </w:t>
      </w:r>
    </w:p>
    <w:p w:rsidR="008D5948" w:rsidRPr="00543BFE" w:rsidRDefault="008D5948" w:rsidP="008D5948">
      <w:pPr>
        <w:ind w:left="851" w:hanging="851"/>
        <w:rPr>
          <w:sz w:val="24"/>
          <w:szCs w:val="24"/>
        </w:rPr>
      </w:pPr>
    </w:p>
    <w:p w:rsidR="008D5948" w:rsidRPr="00543BFE" w:rsidRDefault="008D5948" w:rsidP="008D5948">
      <w:pPr>
        <w:ind w:left="851"/>
        <w:rPr>
          <w:sz w:val="24"/>
          <w:szCs w:val="24"/>
        </w:rPr>
      </w:pPr>
      <w:r w:rsidRPr="00543BFE">
        <w:rPr>
          <w:sz w:val="24"/>
          <w:szCs w:val="24"/>
        </w:rPr>
        <w:t xml:space="preserve">Der blev observeret </w:t>
      </w:r>
      <w:proofErr w:type="spellStart"/>
      <w:r w:rsidRPr="00543BFE">
        <w:rPr>
          <w:sz w:val="24"/>
          <w:szCs w:val="24"/>
        </w:rPr>
        <w:t>ETVr</w:t>
      </w:r>
      <w:proofErr w:type="spellEnd"/>
      <w:r w:rsidRPr="00543BFE">
        <w:rPr>
          <w:sz w:val="24"/>
          <w:szCs w:val="24"/>
        </w:rPr>
        <w:t xml:space="preserve">-substitutioner (foruden </w:t>
      </w:r>
      <w:proofErr w:type="spellStart"/>
      <w:r w:rsidRPr="00543BFE">
        <w:rPr>
          <w:sz w:val="24"/>
          <w:szCs w:val="24"/>
        </w:rPr>
        <w:t>LVDr</w:t>
      </w:r>
      <w:proofErr w:type="spellEnd"/>
      <w:r w:rsidRPr="00543BFE">
        <w:rPr>
          <w:sz w:val="24"/>
          <w:szCs w:val="24"/>
        </w:rPr>
        <w:t xml:space="preserve">-substitutioner rtM204V/I ± rtL180M) ved </w:t>
      </w:r>
      <w:r w:rsidRPr="00543BFE">
        <w:rPr>
          <w:i/>
          <w:iCs/>
          <w:sz w:val="24"/>
          <w:szCs w:val="24"/>
        </w:rPr>
        <w:t xml:space="preserve">baseline </w:t>
      </w:r>
      <w:r w:rsidRPr="00543BFE">
        <w:rPr>
          <w:sz w:val="24"/>
          <w:szCs w:val="24"/>
        </w:rPr>
        <w:t xml:space="preserve">i </w:t>
      </w:r>
      <w:proofErr w:type="spellStart"/>
      <w:r w:rsidRPr="00543BFE">
        <w:rPr>
          <w:sz w:val="24"/>
          <w:szCs w:val="24"/>
        </w:rPr>
        <w:t>isolater</w:t>
      </w:r>
      <w:proofErr w:type="spellEnd"/>
      <w:r w:rsidRPr="00543BFE">
        <w:rPr>
          <w:sz w:val="24"/>
          <w:szCs w:val="24"/>
        </w:rPr>
        <w:t xml:space="preserve"> fra 10/187 (5 %) </w:t>
      </w:r>
      <w:proofErr w:type="spellStart"/>
      <w:r w:rsidRPr="00543BFE">
        <w:rPr>
          <w:sz w:val="24"/>
          <w:szCs w:val="24"/>
        </w:rPr>
        <w:t>lamivudinrefraktære</w:t>
      </w:r>
      <w:proofErr w:type="spellEnd"/>
      <w:r w:rsidRPr="00543BFE">
        <w:rPr>
          <w:sz w:val="24"/>
          <w:szCs w:val="24"/>
        </w:rPr>
        <w:t xml:space="preserve"> patienter, der blev behandlet med </w:t>
      </w:r>
      <w:proofErr w:type="spellStart"/>
      <w:r w:rsidRPr="00543BFE">
        <w:rPr>
          <w:sz w:val="24"/>
          <w:szCs w:val="24"/>
        </w:rPr>
        <w:t>entecavir</w:t>
      </w:r>
      <w:proofErr w:type="spellEnd"/>
      <w:r w:rsidRPr="00543BFE">
        <w:rPr>
          <w:sz w:val="24"/>
          <w:szCs w:val="24"/>
        </w:rPr>
        <w:t xml:space="preserve"> og monitoreret for resistens. Dette indikerer at tidligere </w:t>
      </w:r>
      <w:proofErr w:type="spellStart"/>
      <w:r w:rsidRPr="00543BFE">
        <w:rPr>
          <w:sz w:val="24"/>
          <w:szCs w:val="24"/>
        </w:rPr>
        <w:lastRenderedPageBreak/>
        <w:t>lamivudinbehandling</w:t>
      </w:r>
      <w:proofErr w:type="spellEnd"/>
      <w:r w:rsidRPr="00543BFE">
        <w:rPr>
          <w:sz w:val="24"/>
          <w:szCs w:val="24"/>
        </w:rPr>
        <w:t xml:space="preserve"> kan selektere disse resistenssubstitutioner, og at de kan eksistere i mindre grad inden </w:t>
      </w:r>
      <w:proofErr w:type="spellStart"/>
      <w:r w:rsidRPr="00543BFE">
        <w:rPr>
          <w:sz w:val="24"/>
          <w:szCs w:val="24"/>
        </w:rPr>
        <w:t>entecavirbehandling</w:t>
      </w:r>
      <w:proofErr w:type="spellEnd"/>
      <w:r w:rsidRPr="00543BFE">
        <w:rPr>
          <w:sz w:val="24"/>
          <w:szCs w:val="24"/>
        </w:rPr>
        <w:t>. Til og med uge 240 oplevede 3 ud af de 10 patienter virologisk svigt (≥ 1 log</w:t>
      </w:r>
      <w:r w:rsidRPr="00543BFE">
        <w:rPr>
          <w:sz w:val="24"/>
          <w:szCs w:val="24"/>
          <w:vertAlign w:val="subscript"/>
        </w:rPr>
        <w:t>10</w:t>
      </w:r>
      <w:r w:rsidRPr="00543BFE">
        <w:rPr>
          <w:sz w:val="24"/>
          <w:szCs w:val="24"/>
        </w:rPr>
        <w:t xml:space="preserve"> stigning over nadir). Opståen af </w:t>
      </w:r>
      <w:proofErr w:type="spellStart"/>
      <w:r w:rsidRPr="00543BFE">
        <w:rPr>
          <w:sz w:val="24"/>
          <w:szCs w:val="24"/>
        </w:rPr>
        <w:t>entecavirresistens</w:t>
      </w:r>
      <w:proofErr w:type="spellEnd"/>
      <w:r w:rsidRPr="00543BFE">
        <w:rPr>
          <w:sz w:val="24"/>
          <w:szCs w:val="24"/>
        </w:rPr>
        <w:t xml:space="preserve"> i </w:t>
      </w:r>
      <w:proofErr w:type="spellStart"/>
      <w:r w:rsidRPr="00543BFE">
        <w:rPr>
          <w:sz w:val="24"/>
          <w:szCs w:val="24"/>
        </w:rPr>
        <w:t>lamivudinrefraktære</w:t>
      </w:r>
      <w:proofErr w:type="spellEnd"/>
      <w:r w:rsidRPr="00543BFE">
        <w:rPr>
          <w:sz w:val="24"/>
          <w:szCs w:val="24"/>
        </w:rPr>
        <w:t xml:space="preserve"> studier til og med uge 240 opsummeres i tabellen.</w:t>
      </w:r>
    </w:p>
    <w:p w:rsidR="008D5948" w:rsidRPr="00543BFE" w:rsidRDefault="008D5948" w:rsidP="008D5948">
      <w:pPr>
        <w:ind w:left="851" w:hanging="851"/>
        <w:rPr>
          <w:sz w:val="24"/>
          <w:szCs w:val="24"/>
        </w:rPr>
      </w:pPr>
    </w:p>
    <w:tbl>
      <w:tblPr>
        <w:tblW w:w="5000" w:type="pct"/>
        <w:tblCellMar>
          <w:left w:w="30" w:type="dxa"/>
          <w:right w:w="30" w:type="dxa"/>
        </w:tblCellMar>
        <w:tblLook w:val="04A0" w:firstRow="1" w:lastRow="0" w:firstColumn="1" w:lastColumn="0" w:noHBand="0" w:noVBand="1"/>
      </w:tblPr>
      <w:tblGrid>
        <w:gridCol w:w="3359"/>
        <w:gridCol w:w="1247"/>
        <w:gridCol w:w="1247"/>
        <w:gridCol w:w="1247"/>
        <w:gridCol w:w="1247"/>
        <w:gridCol w:w="1245"/>
      </w:tblGrid>
      <w:tr w:rsidR="008D5948" w:rsidRPr="00543BFE" w:rsidTr="002574EE">
        <w:trPr>
          <w:trHeight w:val="505"/>
        </w:trPr>
        <w:tc>
          <w:tcPr>
            <w:tcW w:w="5000" w:type="pct"/>
            <w:gridSpan w:val="6"/>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r w:rsidRPr="00543BFE">
              <w:t xml:space="preserve">Opståen af </w:t>
            </w:r>
            <w:proofErr w:type="spellStart"/>
            <w:r w:rsidRPr="00543BFE">
              <w:t>entecavir</w:t>
            </w:r>
            <w:proofErr w:type="spellEnd"/>
            <w:r w:rsidRPr="00543BFE">
              <w:t xml:space="preserve">-genotype-resistens til og med år 5, </w:t>
            </w:r>
            <w:proofErr w:type="spellStart"/>
            <w:r w:rsidRPr="00543BFE">
              <w:t>lamivudinrefraktære</w:t>
            </w:r>
            <w:proofErr w:type="spellEnd"/>
            <w:r w:rsidRPr="00543BFE">
              <w:t xml:space="preserve"> studier </w:t>
            </w:r>
          </w:p>
        </w:tc>
      </w:tr>
      <w:tr w:rsidR="008D5948" w:rsidRPr="00543BFE" w:rsidTr="002574EE">
        <w:trPr>
          <w:trHeight w:val="505"/>
        </w:trPr>
        <w:tc>
          <w:tcPr>
            <w:tcW w:w="1751"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sz w:val="24"/>
                <w:szCs w:val="24"/>
                <w:lang w:bidi="he-IL"/>
              </w:rPr>
            </w:pP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År 1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År 2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År 3</w:t>
            </w:r>
            <w:r w:rsidRPr="00543BFE">
              <w:rPr>
                <w:rFonts w:eastAsia="Calibri"/>
                <w:sz w:val="24"/>
                <w:szCs w:val="24"/>
                <w:vertAlign w:val="superscript"/>
                <w:lang w:bidi="he-IL"/>
              </w:rPr>
              <w:t>a</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År 4</w:t>
            </w:r>
            <w:r w:rsidRPr="00543BFE">
              <w:rPr>
                <w:rFonts w:eastAsia="Calibri"/>
                <w:sz w:val="24"/>
                <w:szCs w:val="24"/>
                <w:vertAlign w:val="superscript"/>
                <w:lang w:bidi="he-IL"/>
              </w:rPr>
              <w:t xml:space="preserve"> a</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År 5</w:t>
            </w:r>
            <w:r w:rsidRPr="00543BFE">
              <w:rPr>
                <w:rFonts w:eastAsia="Calibri"/>
                <w:sz w:val="24"/>
                <w:szCs w:val="24"/>
                <w:vertAlign w:val="superscript"/>
                <w:lang w:bidi="he-IL"/>
              </w:rPr>
              <w:t xml:space="preserve"> a</w:t>
            </w:r>
          </w:p>
        </w:tc>
      </w:tr>
      <w:tr w:rsidR="008D5948" w:rsidRPr="00543BFE" w:rsidTr="002574EE">
        <w:trPr>
          <w:trHeight w:val="802"/>
        </w:trPr>
        <w:tc>
          <w:tcPr>
            <w:tcW w:w="1751"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Patienter behandlet og monitoreret for </w:t>
            </w:r>
            <w:proofErr w:type="spellStart"/>
            <w:r w:rsidRPr="00543BFE">
              <w:rPr>
                <w:rFonts w:eastAsia="Calibri"/>
                <w:sz w:val="24"/>
                <w:szCs w:val="24"/>
                <w:lang w:bidi="he-IL"/>
              </w:rPr>
              <w:t>resistens</w:t>
            </w:r>
            <w:r w:rsidRPr="00543BFE">
              <w:rPr>
                <w:rFonts w:eastAsia="Calibri"/>
                <w:sz w:val="24"/>
                <w:szCs w:val="24"/>
                <w:vertAlign w:val="superscript"/>
                <w:lang w:bidi="he-IL"/>
              </w:rPr>
              <w:t>b</w:t>
            </w:r>
            <w:proofErr w:type="spellEnd"/>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187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146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80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52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33 </w:t>
            </w:r>
          </w:p>
        </w:tc>
      </w:tr>
      <w:tr w:rsidR="008D5948" w:rsidRPr="00543BFE" w:rsidTr="002574EE">
        <w:trPr>
          <w:trHeight w:val="505"/>
        </w:trPr>
        <w:tc>
          <w:tcPr>
            <w:tcW w:w="1751"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b/>
                <w:bCs/>
                <w:sz w:val="24"/>
                <w:szCs w:val="24"/>
                <w:lang w:bidi="he-IL"/>
              </w:rPr>
              <w:t>Patienter i specifikke år med:</w:t>
            </w:r>
          </w:p>
        </w:tc>
        <w:tc>
          <w:tcPr>
            <w:tcW w:w="650"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sz w:val="24"/>
                <w:szCs w:val="24"/>
                <w:lang w:bidi="he-IL"/>
              </w:rPr>
            </w:pPr>
          </w:p>
        </w:tc>
        <w:tc>
          <w:tcPr>
            <w:tcW w:w="650"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sz w:val="24"/>
                <w:szCs w:val="24"/>
                <w:lang w:bidi="he-IL"/>
              </w:rPr>
            </w:pPr>
          </w:p>
        </w:tc>
        <w:tc>
          <w:tcPr>
            <w:tcW w:w="650"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sz w:val="24"/>
                <w:szCs w:val="24"/>
                <w:lang w:bidi="he-IL"/>
              </w:rPr>
            </w:pPr>
          </w:p>
        </w:tc>
        <w:tc>
          <w:tcPr>
            <w:tcW w:w="650"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sz w:val="24"/>
                <w:szCs w:val="24"/>
                <w:lang w:bidi="he-IL"/>
              </w:rPr>
            </w:pPr>
          </w:p>
        </w:tc>
        <w:tc>
          <w:tcPr>
            <w:tcW w:w="650"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sz w:val="24"/>
                <w:szCs w:val="24"/>
                <w:lang w:bidi="he-IL"/>
              </w:rPr>
            </w:pPr>
          </w:p>
        </w:tc>
      </w:tr>
      <w:tr w:rsidR="008D5948" w:rsidRPr="00543BFE" w:rsidTr="002574EE">
        <w:trPr>
          <w:trHeight w:val="505"/>
        </w:trPr>
        <w:tc>
          <w:tcPr>
            <w:tcW w:w="1751"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 Opståen genotype </w:t>
            </w:r>
            <w:proofErr w:type="spellStart"/>
            <w:r w:rsidRPr="00543BFE">
              <w:rPr>
                <w:rFonts w:eastAsia="Calibri"/>
                <w:sz w:val="24"/>
                <w:szCs w:val="24"/>
                <w:lang w:bidi="he-IL"/>
              </w:rPr>
              <w:t>ETVr</w:t>
            </w:r>
            <w:r w:rsidRPr="00543BFE">
              <w:rPr>
                <w:rFonts w:eastAsia="Calibri"/>
                <w:sz w:val="24"/>
                <w:szCs w:val="24"/>
                <w:vertAlign w:val="superscript"/>
                <w:lang w:bidi="he-IL"/>
              </w:rPr>
              <w:t>c</w:t>
            </w:r>
            <w:proofErr w:type="spellEnd"/>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11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12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16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6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2 </w:t>
            </w:r>
          </w:p>
        </w:tc>
      </w:tr>
      <w:tr w:rsidR="008D5948" w:rsidRPr="00543BFE" w:rsidTr="002574EE">
        <w:trPr>
          <w:trHeight w:val="802"/>
        </w:trPr>
        <w:tc>
          <w:tcPr>
            <w:tcW w:w="1751"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 genotype </w:t>
            </w:r>
            <w:proofErr w:type="spellStart"/>
            <w:r w:rsidRPr="00543BFE">
              <w:rPr>
                <w:rFonts w:eastAsia="Calibri"/>
                <w:sz w:val="24"/>
                <w:szCs w:val="24"/>
                <w:lang w:bidi="he-IL"/>
              </w:rPr>
              <w:t>ETVr</w:t>
            </w:r>
            <w:r w:rsidRPr="00543BFE">
              <w:rPr>
                <w:rFonts w:eastAsia="Calibri"/>
                <w:sz w:val="24"/>
                <w:szCs w:val="24"/>
                <w:vertAlign w:val="superscript"/>
                <w:lang w:bidi="he-IL"/>
              </w:rPr>
              <w:t>c</w:t>
            </w:r>
            <w:proofErr w:type="spellEnd"/>
            <w:r w:rsidRPr="00543BFE">
              <w:rPr>
                <w:rFonts w:eastAsia="Calibri"/>
                <w:sz w:val="24"/>
                <w:szCs w:val="24"/>
                <w:lang w:bidi="he-IL"/>
              </w:rPr>
              <w:t xml:space="preserve"> med virologisk </w:t>
            </w:r>
            <w:proofErr w:type="spellStart"/>
            <w:r w:rsidRPr="00543BFE">
              <w:rPr>
                <w:rFonts w:eastAsia="Calibri"/>
                <w:sz w:val="24"/>
                <w:szCs w:val="24"/>
                <w:lang w:bidi="he-IL"/>
              </w:rPr>
              <w:t>svigt</w:t>
            </w:r>
            <w:r w:rsidRPr="00543BFE">
              <w:rPr>
                <w:rFonts w:eastAsia="Calibri"/>
                <w:sz w:val="24"/>
                <w:szCs w:val="24"/>
                <w:vertAlign w:val="superscript"/>
                <w:lang w:bidi="he-IL"/>
              </w:rPr>
              <w:t>d</w:t>
            </w:r>
            <w:proofErr w:type="spellEnd"/>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2</w:t>
            </w:r>
            <w:r w:rsidRPr="00543BFE">
              <w:rPr>
                <w:rFonts w:eastAsia="Calibri"/>
                <w:sz w:val="24"/>
                <w:szCs w:val="24"/>
                <w:vertAlign w:val="superscript"/>
                <w:lang w:bidi="he-IL"/>
              </w:rPr>
              <w:t>e</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14</w:t>
            </w:r>
            <w:r w:rsidRPr="00543BFE">
              <w:rPr>
                <w:rFonts w:eastAsia="Calibri"/>
                <w:sz w:val="24"/>
                <w:szCs w:val="24"/>
                <w:vertAlign w:val="superscript"/>
                <w:lang w:bidi="he-IL"/>
              </w:rPr>
              <w:t>e</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13</w:t>
            </w:r>
            <w:r w:rsidRPr="00543BFE">
              <w:rPr>
                <w:rFonts w:eastAsia="Calibri"/>
                <w:sz w:val="24"/>
                <w:szCs w:val="24"/>
                <w:vertAlign w:val="superscript"/>
                <w:lang w:bidi="he-IL"/>
              </w:rPr>
              <w:t>e</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9</w:t>
            </w:r>
            <w:r w:rsidRPr="00543BFE">
              <w:rPr>
                <w:rFonts w:eastAsia="Calibri"/>
                <w:sz w:val="24"/>
                <w:szCs w:val="24"/>
                <w:vertAlign w:val="superscript"/>
                <w:lang w:bidi="he-IL"/>
              </w:rPr>
              <w:t>e</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1</w:t>
            </w:r>
            <w:r w:rsidRPr="00543BFE">
              <w:rPr>
                <w:rFonts w:eastAsia="Calibri"/>
                <w:sz w:val="24"/>
                <w:szCs w:val="24"/>
                <w:vertAlign w:val="superscript"/>
                <w:lang w:bidi="he-IL"/>
              </w:rPr>
              <w:t>e</w:t>
            </w:r>
          </w:p>
        </w:tc>
      </w:tr>
      <w:tr w:rsidR="008D5948" w:rsidRPr="00543BFE" w:rsidTr="002574EE">
        <w:trPr>
          <w:trHeight w:val="505"/>
        </w:trPr>
        <w:tc>
          <w:tcPr>
            <w:tcW w:w="1751"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b/>
                <w:bCs/>
                <w:sz w:val="24"/>
                <w:szCs w:val="24"/>
                <w:lang w:bidi="he-IL"/>
              </w:rPr>
              <w:t>Kumulativ sandsynlighed for:</w:t>
            </w:r>
          </w:p>
        </w:tc>
        <w:tc>
          <w:tcPr>
            <w:tcW w:w="650"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sz w:val="24"/>
                <w:szCs w:val="24"/>
                <w:lang w:bidi="he-IL"/>
              </w:rPr>
            </w:pPr>
          </w:p>
        </w:tc>
        <w:tc>
          <w:tcPr>
            <w:tcW w:w="650"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sz w:val="24"/>
                <w:szCs w:val="24"/>
                <w:lang w:bidi="he-IL"/>
              </w:rPr>
            </w:pPr>
          </w:p>
        </w:tc>
        <w:tc>
          <w:tcPr>
            <w:tcW w:w="650"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sz w:val="24"/>
                <w:szCs w:val="24"/>
                <w:lang w:bidi="he-IL"/>
              </w:rPr>
            </w:pPr>
          </w:p>
        </w:tc>
        <w:tc>
          <w:tcPr>
            <w:tcW w:w="650"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sz w:val="24"/>
                <w:szCs w:val="24"/>
                <w:lang w:bidi="he-IL"/>
              </w:rPr>
            </w:pPr>
          </w:p>
        </w:tc>
        <w:tc>
          <w:tcPr>
            <w:tcW w:w="650"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sz w:val="24"/>
                <w:szCs w:val="24"/>
                <w:lang w:bidi="he-IL"/>
              </w:rPr>
            </w:pPr>
          </w:p>
        </w:tc>
      </w:tr>
      <w:tr w:rsidR="008D5948" w:rsidRPr="00543BFE" w:rsidTr="002574EE">
        <w:trPr>
          <w:trHeight w:val="505"/>
        </w:trPr>
        <w:tc>
          <w:tcPr>
            <w:tcW w:w="1751"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 Opståen genotype </w:t>
            </w:r>
            <w:proofErr w:type="spellStart"/>
            <w:r w:rsidRPr="00543BFE">
              <w:rPr>
                <w:rFonts w:eastAsia="Calibri"/>
                <w:sz w:val="24"/>
                <w:szCs w:val="24"/>
                <w:lang w:bidi="he-IL"/>
              </w:rPr>
              <w:t>ETVr</w:t>
            </w:r>
            <w:r w:rsidRPr="00543BFE">
              <w:rPr>
                <w:rFonts w:eastAsia="Calibri"/>
                <w:sz w:val="24"/>
                <w:szCs w:val="24"/>
                <w:vertAlign w:val="superscript"/>
                <w:lang w:bidi="he-IL"/>
              </w:rPr>
              <w:t>c</w:t>
            </w:r>
            <w:proofErr w:type="spellEnd"/>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6,2 %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15 %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36,3 %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46,6 % </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51,45 % </w:t>
            </w:r>
          </w:p>
        </w:tc>
      </w:tr>
      <w:tr w:rsidR="008D5948" w:rsidRPr="00543BFE" w:rsidTr="002574EE">
        <w:trPr>
          <w:trHeight w:val="802"/>
        </w:trPr>
        <w:tc>
          <w:tcPr>
            <w:tcW w:w="1751"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 genotype </w:t>
            </w:r>
            <w:proofErr w:type="spellStart"/>
            <w:r w:rsidRPr="00543BFE">
              <w:rPr>
                <w:rFonts w:eastAsia="Calibri"/>
                <w:sz w:val="24"/>
                <w:szCs w:val="24"/>
                <w:lang w:bidi="he-IL"/>
              </w:rPr>
              <w:t>ETVr</w:t>
            </w:r>
            <w:r w:rsidRPr="00543BFE">
              <w:rPr>
                <w:rFonts w:eastAsia="Calibri"/>
                <w:sz w:val="24"/>
                <w:szCs w:val="24"/>
                <w:vertAlign w:val="superscript"/>
                <w:lang w:bidi="he-IL"/>
              </w:rPr>
              <w:t>c</w:t>
            </w:r>
            <w:proofErr w:type="spellEnd"/>
            <w:r w:rsidRPr="00543BFE">
              <w:rPr>
                <w:rFonts w:eastAsia="Calibri"/>
                <w:sz w:val="24"/>
                <w:szCs w:val="24"/>
                <w:lang w:bidi="he-IL"/>
              </w:rPr>
              <w:t xml:space="preserve"> med virologisk </w:t>
            </w:r>
            <w:proofErr w:type="spellStart"/>
            <w:r w:rsidRPr="00543BFE">
              <w:rPr>
                <w:rFonts w:eastAsia="Calibri"/>
                <w:sz w:val="24"/>
                <w:szCs w:val="24"/>
                <w:lang w:bidi="he-IL"/>
              </w:rPr>
              <w:t>svigt</w:t>
            </w:r>
            <w:r w:rsidRPr="00543BFE">
              <w:rPr>
                <w:rFonts w:eastAsia="Calibri"/>
                <w:sz w:val="24"/>
                <w:szCs w:val="24"/>
                <w:vertAlign w:val="superscript"/>
                <w:lang w:bidi="he-IL"/>
              </w:rPr>
              <w:t>d</w:t>
            </w:r>
            <w:proofErr w:type="spellEnd"/>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1,1 %</w:t>
            </w:r>
            <w:r w:rsidRPr="00543BFE">
              <w:rPr>
                <w:rFonts w:eastAsia="Calibri"/>
                <w:sz w:val="24"/>
                <w:szCs w:val="24"/>
                <w:vertAlign w:val="superscript"/>
                <w:lang w:bidi="he-IL"/>
              </w:rPr>
              <w:t>e</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10,7 % </w:t>
            </w:r>
            <w:r w:rsidRPr="00543BFE">
              <w:rPr>
                <w:rFonts w:eastAsia="Calibri"/>
                <w:sz w:val="24"/>
                <w:szCs w:val="24"/>
                <w:vertAlign w:val="superscript"/>
                <w:lang w:bidi="he-IL"/>
              </w:rPr>
              <w:t>e</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27 % </w:t>
            </w:r>
            <w:r w:rsidRPr="00543BFE">
              <w:rPr>
                <w:rFonts w:eastAsia="Calibri"/>
                <w:sz w:val="24"/>
                <w:szCs w:val="24"/>
                <w:vertAlign w:val="superscript"/>
                <w:lang w:bidi="he-IL"/>
              </w:rPr>
              <w:t>e</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41,3 % </w:t>
            </w:r>
            <w:r w:rsidRPr="00543BFE">
              <w:rPr>
                <w:rFonts w:eastAsia="Calibri"/>
                <w:sz w:val="24"/>
                <w:szCs w:val="24"/>
                <w:vertAlign w:val="superscript"/>
                <w:lang w:bidi="he-IL"/>
              </w:rPr>
              <w:t>e</w:t>
            </w:r>
          </w:p>
        </w:tc>
        <w:tc>
          <w:tcPr>
            <w:tcW w:w="65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sz w:val="24"/>
                <w:szCs w:val="24"/>
                <w:lang w:bidi="he-IL"/>
              </w:rPr>
            </w:pPr>
            <w:r w:rsidRPr="00543BFE">
              <w:rPr>
                <w:rFonts w:eastAsia="Calibri"/>
                <w:sz w:val="24"/>
                <w:szCs w:val="24"/>
                <w:lang w:bidi="he-IL"/>
              </w:rPr>
              <w:t xml:space="preserve">43,6 % </w:t>
            </w:r>
            <w:r w:rsidRPr="00543BFE">
              <w:rPr>
                <w:rFonts w:eastAsia="Calibri"/>
                <w:sz w:val="24"/>
                <w:szCs w:val="24"/>
                <w:vertAlign w:val="superscript"/>
                <w:lang w:bidi="he-IL"/>
              </w:rPr>
              <w:t>e</w:t>
            </w:r>
          </w:p>
        </w:tc>
      </w:tr>
    </w:tbl>
    <w:p w:rsidR="008D5948" w:rsidRPr="00543BFE" w:rsidRDefault="008D5948" w:rsidP="008D5948">
      <w:pPr>
        <w:pStyle w:val="Default"/>
      </w:pPr>
      <w:r w:rsidRPr="00543BFE">
        <w:rPr>
          <w:vertAlign w:val="superscript"/>
        </w:rPr>
        <w:t>a</w:t>
      </w:r>
      <w:r w:rsidRPr="00543BFE">
        <w:t xml:space="preserve"> Resultater afspejler kombinationsbehandling med </w:t>
      </w:r>
      <w:proofErr w:type="spellStart"/>
      <w:r w:rsidRPr="00543BFE">
        <w:t>entecavir</w:t>
      </w:r>
      <w:proofErr w:type="spellEnd"/>
      <w:r w:rsidRPr="00543BFE">
        <w:t xml:space="preserve"> og </w:t>
      </w:r>
      <w:proofErr w:type="spellStart"/>
      <w:r w:rsidRPr="00543BFE">
        <w:t>lamivudin</w:t>
      </w:r>
      <w:proofErr w:type="spellEnd"/>
      <w:r w:rsidRPr="00543BFE">
        <w:t xml:space="preserve"> i en median periode på 13 uger (efterfulgt af længerevarende behandling med </w:t>
      </w:r>
      <w:proofErr w:type="spellStart"/>
      <w:r w:rsidRPr="00543BFE">
        <w:t>entecavir</w:t>
      </w:r>
      <w:proofErr w:type="spellEnd"/>
      <w:r w:rsidRPr="00543BFE">
        <w:t xml:space="preserve">) hos 48 ud af 80 patienter i År 3, en median periode på 38 uger for 10 ud af 52 patienter i År 4 og i 16 uger for 1 ud af 33 patienter i År 5 i et roll-over-studie. </w:t>
      </w:r>
    </w:p>
    <w:p w:rsidR="008D5948" w:rsidRPr="00543BFE" w:rsidRDefault="008D5948" w:rsidP="008D5948">
      <w:pPr>
        <w:pStyle w:val="Default"/>
      </w:pPr>
      <w:r w:rsidRPr="00543BFE">
        <w:rPr>
          <w:vertAlign w:val="superscript"/>
        </w:rPr>
        <w:t>b</w:t>
      </w:r>
      <w:r w:rsidRPr="00543BFE">
        <w:t xml:space="preserve"> Inkluderer patienter med mindst én HBV-dna-måling under behandling ved PCR ved eller efter uge 24 til og med uge 58 (År 1), efter uge 58 til og med uge 102 (År 2) eller efter uge 102 til og med uge 156 (År 3), efter uge 156 til og med uge 204 (År 4) eller efter uge 204 til og med uge 252 (År 5). </w:t>
      </w:r>
    </w:p>
    <w:p w:rsidR="008D5948" w:rsidRPr="00543BFE" w:rsidRDefault="008D5948" w:rsidP="008D5948">
      <w:pPr>
        <w:pStyle w:val="Default"/>
      </w:pPr>
      <w:r w:rsidRPr="00543BFE">
        <w:rPr>
          <w:vertAlign w:val="superscript"/>
        </w:rPr>
        <w:t>c</w:t>
      </w:r>
      <w:r w:rsidRPr="00543BFE">
        <w:t xml:space="preserve"> Patienterne skal også have </w:t>
      </w:r>
      <w:proofErr w:type="spellStart"/>
      <w:r w:rsidRPr="00543BFE">
        <w:t>LVDr</w:t>
      </w:r>
      <w:proofErr w:type="spellEnd"/>
      <w:r w:rsidRPr="00543BFE">
        <w:t xml:space="preserve">-substitutioner. </w:t>
      </w:r>
    </w:p>
    <w:p w:rsidR="008D5948" w:rsidRPr="00543BFE" w:rsidRDefault="008D5948" w:rsidP="008D5948">
      <w:pPr>
        <w:pStyle w:val="Default"/>
      </w:pPr>
      <w:r w:rsidRPr="00543BFE">
        <w:rPr>
          <w:vertAlign w:val="superscript"/>
        </w:rPr>
        <w:t>d</w:t>
      </w:r>
      <w:r w:rsidRPr="00543BFE">
        <w:t xml:space="preserve"> ≥ 1 log</w:t>
      </w:r>
      <w:r w:rsidRPr="00543BFE">
        <w:rPr>
          <w:vertAlign w:val="subscript"/>
        </w:rPr>
        <w:t>10</w:t>
      </w:r>
      <w:r w:rsidRPr="00543BFE">
        <w:t xml:space="preserve"> stigning over nadir i HBV-dna ved PCR, bekræftet ved på hinanden følgende målinger eller ved afslutningen af tidsvinduet. </w:t>
      </w:r>
    </w:p>
    <w:p w:rsidR="008D5948" w:rsidRPr="00543BFE" w:rsidRDefault="008D5948" w:rsidP="008D5948">
      <w:pPr>
        <w:rPr>
          <w:sz w:val="24"/>
          <w:szCs w:val="24"/>
        </w:rPr>
      </w:pPr>
      <w:r w:rsidRPr="00543BFE">
        <w:rPr>
          <w:sz w:val="24"/>
          <w:szCs w:val="24"/>
          <w:vertAlign w:val="superscript"/>
        </w:rPr>
        <w:t>e</w:t>
      </w:r>
      <w:r w:rsidRPr="00543BFE">
        <w:rPr>
          <w:sz w:val="24"/>
          <w:szCs w:val="24"/>
        </w:rPr>
        <w:t xml:space="preserve"> </w:t>
      </w:r>
      <w:proofErr w:type="spellStart"/>
      <w:r w:rsidRPr="00543BFE">
        <w:rPr>
          <w:sz w:val="24"/>
          <w:szCs w:val="24"/>
        </w:rPr>
        <w:t>ETVr</w:t>
      </w:r>
      <w:proofErr w:type="spellEnd"/>
      <w:r w:rsidRPr="00543BFE">
        <w:rPr>
          <w:sz w:val="24"/>
          <w:szCs w:val="24"/>
        </w:rPr>
        <w:t xml:space="preserve"> der forekommer i et givent år, virologisk svigt i det specificerede år. </w:t>
      </w:r>
    </w:p>
    <w:p w:rsidR="008D5948" w:rsidRPr="00543BFE" w:rsidRDefault="008D5948" w:rsidP="008D5948">
      <w:pPr>
        <w:ind w:left="851" w:hanging="851"/>
        <w:rPr>
          <w:sz w:val="24"/>
          <w:szCs w:val="24"/>
        </w:rPr>
      </w:pPr>
    </w:p>
    <w:p w:rsidR="002574EE" w:rsidRPr="00280FE8" w:rsidRDefault="002574EE" w:rsidP="002574EE">
      <w:pPr>
        <w:ind w:left="851"/>
        <w:rPr>
          <w:sz w:val="24"/>
          <w:szCs w:val="24"/>
        </w:rPr>
      </w:pPr>
      <w:r w:rsidRPr="00280FE8">
        <w:rPr>
          <w:sz w:val="24"/>
          <w:szCs w:val="24"/>
        </w:rPr>
        <w:t xml:space="preserve">Blandt </w:t>
      </w:r>
      <w:proofErr w:type="spellStart"/>
      <w:r w:rsidRPr="00280FE8">
        <w:rPr>
          <w:sz w:val="24"/>
          <w:szCs w:val="24"/>
        </w:rPr>
        <w:t>lamivudinrefraktære</w:t>
      </w:r>
      <w:proofErr w:type="spellEnd"/>
      <w:r w:rsidRPr="00280FE8">
        <w:rPr>
          <w:sz w:val="24"/>
          <w:szCs w:val="24"/>
        </w:rPr>
        <w:t xml:space="preserve"> patienter med </w:t>
      </w:r>
      <w:r w:rsidRPr="00280FE8">
        <w:rPr>
          <w:i/>
          <w:iCs/>
          <w:sz w:val="24"/>
          <w:szCs w:val="24"/>
        </w:rPr>
        <w:t xml:space="preserve">baseline </w:t>
      </w:r>
      <w:r w:rsidRPr="00280FE8">
        <w:rPr>
          <w:sz w:val="24"/>
          <w:szCs w:val="24"/>
        </w:rPr>
        <w:t>HBV-dna &lt; 10</w:t>
      </w:r>
      <w:r w:rsidRPr="00280FE8">
        <w:rPr>
          <w:sz w:val="24"/>
          <w:szCs w:val="24"/>
          <w:vertAlign w:val="superscript"/>
        </w:rPr>
        <w:t>7</w:t>
      </w:r>
      <w:r w:rsidRPr="00280FE8">
        <w:rPr>
          <w:sz w:val="24"/>
          <w:szCs w:val="24"/>
        </w:rPr>
        <w:t xml:space="preserve"> log</w:t>
      </w:r>
      <w:r w:rsidRPr="00280FE8">
        <w:rPr>
          <w:sz w:val="24"/>
          <w:szCs w:val="24"/>
          <w:vertAlign w:val="subscript"/>
        </w:rPr>
        <w:t>10</w:t>
      </w:r>
      <w:r w:rsidRPr="00280FE8">
        <w:rPr>
          <w:sz w:val="24"/>
          <w:szCs w:val="24"/>
        </w:rPr>
        <w:t xml:space="preserve"> kopier/ml opnåede 64 % (9/14) HBV-dna &lt; 300 kopier/ml i uge 48. Disse 14 patienter havde en lavere forekomst af genotype-</w:t>
      </w:r>
      <w:proofErr w:type="spellStart"/>
      <w:r w:rsidRPr="00280FE8">
        <w:rPr>
          <w:sz w:val="24"/>
          <w:szCs w:val="24"/>
        </w:rPr>
        <w:t>entecavir</w:t>
      </w:r>
      <w:proofErr w:type="spellEnd"/>
      <w:r w:rsidRPr="00280FE8">
        <w:rPr>
          <w:sz w:val="24"/>
          <w:szCs w:val="24"/>
        </w:rPr>
        <w:t xml:space="preserve">-resistens (kumulativ sandsynlighed på 18,8 % i 5 års opfølgningsperiode) end den samlede forsøgspopulation (se tabel). Ligeledes havde </w:t>
      </w:r>
      <w:proofErr w:type="spellStart"/>
      <w:r w:rsidRPr="00280FE8">
        <w:rPr>
          <w:sz w:val="24"/>
          <w:szCs w:val="24"/>
        </w:rPr>
        <w:t>lamivudinrefraktære</w:t>
      </w:r>
      <w:proofErr w:type="spellEnd"/>
      <w:r w:rsidRPr="00280FE8">
        <w:rPr>
          <w:sz w:val="24"/>
          <w:szCs w:val="24"/>
        </w:rPr>
        <w:t xml:space="preserve"> patienter, som opnåede HBV-dna &lt; 10</w:t>
      </w:r>
      <w:r w:rsidRPr="00280FE8">
        <w:rPr>
          <w:sz w:val="24"/>
          <w:szCs w:val="24"/>
          <w:vertAlign w:val="superscript"/>
        </w:rPr>
        <w:t>4</w:t>
      </w:r>
      <w:r w:rsidRPr="00280FE8">
        <w:rPr>
          <w:sz w:val="24"/>
          <w:szCs w:val="24"/>
        </w:rPr>
        <w:t xml:space="preserve"> log</w:t>
      </w:r>
      <w:r w:rsidRPr="00280FE8">
        <w:rPr>
          <w:sz w:val="24"/>
          <w:szCs w:val="24"/>
          <w:vertAlign w:val="subscript"/>
        </w:rPr>
        <w:t>10</w:t>
      </w:r>
      <w:r w:rsidRPr="00280FE8">
        <w:rPr>
          <w:sz w:val="24"/>
          <w:szCs w:val="24"/>
        </w:rPr>
        <w:t xml:space="preserve"> kopier/ml ved PCR i uge 24, en lavere forekomst af resistens end de patienter, der ikke opnåede denne HBV-dna (kumulativ sandsynlighed over 5 år på henholdsvis 17,6 % [n=50] versus 60,5 % [n=135]).</w:t>
      </w:r>
    </w:p>
    <w:p w:rsidR="002574EE" w:rsidRPr="00280FE8" w:rsidRDefault="002574EE" w:rsidP="002574EE">
      <w:pPr>
        <w:ind w:left="851"/>
        <w:rPr>
          <w:sz w:val="24"/>
          <w:szCs w:val="24"/>
        </w:rPr>
      </w:pPr>
    </w:p>
    <w:p w:rsidR="002574EE" w:rsidRPr="00280FE8" w:rsidRDefault="002574EE" w:rsidP="002574EE">
      <w:pPr>
        <w:ind w:left="851"/>
        <w:rPr>
          <w:i/>
          <w:iCs/>
          <w:sz w:val="24"/>
          <w:szCs w:val="24"/>
        </w:rPr>
      </w:pPr>
      <w:r w:rsidRPr="00280FE8">
        <w:rPr>
          <w:i/>
          <w:iCs/>
          <w:sz w:val="24"/>
          <w:szCs w:val="24"/>
        </w:rPr>
        <w:t xml:space="preserve">Integreret analyse af fase 2 og 3 kliniske studier: </w:t>
      </w:r>
    </w:p>
    <w:p w:rsidR="002574EE" w:rsidRPr="00280FE8" w:rsidRDefault="002574EE" w:rsidP="002574EE">
      <w:pPr>
        <w:ind w:left="851"/>
        <w:rPr>
          <w:sz w:val="24"/>
          <w:szCs w:val="24"/>
        </w:rPr>
      </w:pPr>
      <w:r w:rsidRPr="00280FE8">
        <w:rPr>
          <w:sz w:val="24"/>
          <w:szCs w:val="24"/>
        </w:rPr>
        <w:t xml:space="preserve">I en integreret analyse efter markedsføring af </w:t>
      </w:r>
      <w:proofErr w:type="spellStart"/>
      <w:r w:rsidRPr="00280FE8">
        <w:rPr>
          <w:sz w:val="24"/>
          <w:szCs w:val="24"/>
        </w:rPr>
        <w:t>entecavir</w:t>
      </w:r>
      <w:proofErr w:type="spellEnd"/>
      <w:r w:rsidRPr="00280FE8">
        <w:rPr>
          <w:sz w:val="24"/>
          <w:szCs w:val="24"/>
        </w:rPr>
        <w:t xml:space="preserve">-resistensdata fra 17 fase 2 og 3 kliniske studier blev der fundet en ny </w:t>
      </w:r>
      <w:proofErr w:type="spellStart"/>
      <w:r w:rsidRPr="00280FE8">
        <w:rPr>
          <w:sz w:val="24"/>
          <w:szCs w:val="24"/>
        </w:rPr>
        <w:t>entecavir</w:t>
      </w:r>
      <w:proofErr w:type="spellEnd"/>
      <w:r w:rsidRPr="00280FE8">
        <w:rPr>
          <w:sz w:val="24"/>
          <w:szCs w:val="24"/>
        </w:rPr>
        <w:t>-</w:t>
      </w:r>
      <w:r w:rsidRPr="00280FE8">
        <w:rPr>
          <w:sz w:val="24"/>
          <w:szCs w:val="24"/>
        </w:rPr>
        <w:t>resistensassocieret</w:t>
      </w:r>
    </w:p>
    <w:p w:rsidR="002574EE" w:rsidRPr="00280FE8" w:rsidRDefault="002574EE" w:rsidP="002574EE">
      <w:pPr>
        <w:ind w:left="851"/>
        <w:rPr>
          <w:sz w:val="24"/>
          <w:szCs w:val="24"/>
        </w:rPr>
      </w:pPr>
      <w:r w:rsidRPr="00280FE8">
        <w:rPr>
          <w:sz w:val="24"/>
          <w:szCs w:val="24"/>
        </w:rPr>
        <w:t>substitution rtA181C i 5 ud af 1461 forsøgspersoner under behandlingen med</w:t>
      </w:r>
    </w:p>
    <w:p w:rsidR="008D5948" w:rsidRDefault="002574EE" w:rsidP="002574EE">
      <w:pPr>
        <w:ind w:left="851"/>
        <w:rPr>
          <w:sz w:val="24"/>
          <w:szCs w:val="24"/>
        </w:rPr>
      </w:pPr>
      <w:proofErr w:type="spellStart"/>
      <w:r w:rsidRPr="00280FE8">
        <w:rPr>
          <w:sz w:val="24"/>
          <w:szCs w:val="24"/>
        </w:rPr>
        <w:t>entecavir</w:t>
      </w:r>
      <w:proofErr w:type="spellEnd"/>
      <w:r w:rsidRPr="00280FE8">
        <w:rPr>
          <w:sz w:val="24"/>
          <w:szCs w:val="24"/>
        </w:rPr>
        <w:t xml:space="preserve">. Denne substitution blev kun fundet ved tilstedeværelsen af </w:t>
      </w:r>
      <w:proofErr w:type="spellStart"/>
      <w:r w:rsidRPr="00280FE8">
        <w:rPr>
          <w:sz w:val="24"/>
          <w:szCs w:val="24"/>
        </w:rPr>
        <w:t>lamivudin</w:t>
      </w:r>
      <w:proofErr w:type="spellEnd"/>
      <w:r w:rsidRPr="00280FE8">
        <w:rPr>
          <w:sz w:val="24"/>
          <w:szCs w:val="24"/>
        </w:rPr>
        <w:t>-resistensassocierede</w:t>
      </w:r>
      <w:r w:rsidRPr="00280FE8">
        <w:rPr>
          <w:sz w:val="24"/>
          <w:szCs w:val="24"/>
        </w:rPr>
        <w:t xml:space="preserve"> </w:t>
      </w:r>
      <w:r w:rsidRPr="00280FE8">
        <w:rPr>
          <w:sz w:val="24"/>
          <w:szCs w:val="24"/>
        </w:rPr>
        <w:t>substitutioner rtL180M plus rtM204V.</w:t>
      </w: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5.2</w:t>
      </w:r>
      <w:r w:rsidRPr="00543BFE">
        <w:rPr>
          <w:b/>
          <w:sz w:val="24"/>
          <w:szCs w:val="24"/>
        </w:rPr>
        <w:tab/>
      </w:r>
      <w:proofErr w:type="spellStart"/>
      <w:r w:rsidRPr="00543BFE">
        <w:rPr>
          <w:b/>
          <w:sz w:val="24"/>
          <w:szCs w:val="24"/>
        </w:rPr>
        <w:t>Farmakokinetiske</w:t>
      </w:r>
      <w:proofErr w:type="spellEnd"/>
      <w:r w:rsidRPr="00543BFE">
        <w:rPr>
          <w:b/>
          <w:sz w:val="24"/>
          <w:szCs w:val="24"/>
        </w:rPr>
        <w:t xml:space="preserve"> egenskaber</w:t>
      </w:r>
    </w:p>
    <w:p w:rsidR="008D5948" w:rsidRDefault="008D5948" w:rsidP="008D5948">
      <w:pPr>
        <w:ind w:left="851" w:hanging="851"/>
        <w:rPr>
          <w:sz w:val="24"/>
          <w:szCs w:val="24"/>
          <w:u w:val="single"/>
        </w:rPr>
      </w:pPr>
    </w:p>
    <w:p w:rsidR="008D5948" w:rsidRPr="00543BFE" w:rsidRDefault="008D5948" w:rsidP="008D5948">
      <w:pPr>
        <w:ind w:left="851"/>
        <w:rPr>
          <w:sz w:val="24"/>
          <w:szCs w:val="24"/>
          <w:u w:val="single"/>
          <w:lang w:eastAsia="da-DK"/>
        </w:rPr>
      </w:pPr>
      <w:r w:rsidRPr="00543BFE">
        <w:rPr>
          <w:sz w:val="24"/>
          <w:szCs w:val="24"/>
          <w:u w:val="single"/>
        </w:rPr>
        <w:t>Absorption</w:t>
      </w:r>
    </w:p>
    <w:p w:rsidR="008D5948" w:rsidRPr="00543BFE" w:rsidRDefault="008D5948" w:rsidP="008D5948">
      <w:pPr>
        <w:ind w:left="851"/>
        <w:rPr>
          <w:sz w:val="24"/>
          <w:szCs w:val="24"/>
        </w:rPr>
      </w:pPr>
      <w:proofErr w:type="spellStart"/>
      <w:r w:rsidRPr="00543BFE">
        <w:rPr>
          <w:sz w:val="24"/>
          <w:szCs w:val="24"/>
        </w:rPr>
        <w:t>Entecavir</w:t>
      </w:r>
      <w:proofErr w:type="spellEnd"/>
      <w:r w:rsidRPr="00543BFE">
        <w:rPr>
          <w:sz w:val="24"/>
          <w:szCs w:val="24"/>
        </w:rPr>
        <w:t xml:space="preserve"> absorberes hurtigt, og maksimal plasmakoncentration nås efter 0,5-1,5 time. Den absolutte biotilgængelighed er ikke bestemt. Baseret på urinudskillelsen af </w:t>
      </w:r>
      <w:proofErr w:type="spellStart"/>
      <w:r w:rsidRPr="00543BFE">
        <w:rPr>
          <w:sz w:val="24"/>
          <w:szCs w:val="24"/>
        </w:rPr>
        <w:t>uomdannet</w:t>
      </w:r>
      <w:proofErr w:type="spellEnd"/>
      <w:r w:rsidRPr="00543BFE">
        <w:rPr>
          <w:sz w:val="24"/>
          <w:szCs w:val="24"/>
        </w:rPr>
        <w:t xml:space="preserve"> lægemiddel vurderes biotilgængeligheden at være mindst 70 %. Der er en dosis</w:t>
      </w:r>
      <w:r>
        <w:rPr>
          <w:sz w:val="24"/>
          <w:szCs w:val="24"/>
        </w:rPr>
        <w:softHyphen/>
      </w:r>
      <w:r w:rsidRPr="00543BFE">
        <w:rPr>
          <w:sz w:val="24"/>
          <w:szCs w:val="24"/>
        </w:rPr>
        <w:t xml:space="preserve">proportional stigning i </w:t>
      </w:r>
      <w:proofErr w:type="spellStart"/>
      <w:r w:rsidRPr="00543BFE">
        <w:rPr>
          <w:sz w:val="24"/>
          <w:szCs w:val="24"/>
        </w:rPr>
        <w:t>C</w:t>
      </w:r>
      <w:r w:rsidRPr="00543BFE">
        <w:rPr>
          <w:sz w:val="24"/>
          <w:szCs w:val="24"/>
          <w:vertAlign w:val="subscript"/>
        </w:rPr>
        <w:t>max</w:t>
      </w:r>
      <w:proofErr w:type="spellEnd"/>
      <w:r w:rsidRPr="00543BFE">
        <w:rPr>
          <w:sz w:val="24"/>
          <w:szCs w:val="24"/>
        </w:rPr>
        <w:t xml:space="preserve"> og AUC-værdier efter gentagne doser på 0,1-1 mg. </w:t>
      </w:r>
      <w:proofErr w:type="spellStart"/>
      <w:r>
        <w:rPr>
          <w:sz w:val="24"/>
          <w:szCs w:val="24"/>
        </w:rPr>
        <w:t>Steady-state</w:t>
      </w:r>
      <w:proofErr w:type="spellEnd"/>
      <w:r w:rsidRPr="00543BFE">
        <w:rPr>
          <w:sz w:val="24"/>
          <w:szCs w:val="24"/>
        </w:rPr>
        <w:t xml:space="preserve"> opnås 6-10 dage efter én gang daglig dosering med ≈ 2 gange akkumulering. </w:t>
      </w:r>
      <w:proofErr w:type="spellStart"/>
      <w:r w:rsidRPr="00543BFE">
        <w:rPr>
          <w:sz w:val="24"/>
          <w:szCs w:val="24"/>
        </w:rPr>
        <w:t>C</w:t>
      </w:r>
      <w:r w:rsidRPr="00543BFE">
        <w:rPr>
          <w:sz w:val="24"/>
          <w:szCs w:val="24"/>
          <w:vertAlign w:val="subscript"/>
        </w:rPr>
        <w:t>max</w:t>
      </w:r>
      <w:proofErr w:type="spellEnd"/>
      <w:r w:rsidRPr="00543BFE">
        <w:rPr>
          <w:sz w:val="24"/>
          <w:szCs w:val="24"/>
        </w:rPr>
        <w:t xml:space="preserve"> og </w:t>
      </w:r>
      <w:proofErr w:type="spellStart"/>
      <w:r w:rsidRPr="00543BFE">
        <w:rPr>
          <w:sz w:val="24"/>
          <w:szCs w:val="24"/>
        </w:rPr>
        <w:t>C</w:t>
      </w:r>
      <w:r w:rsidRPr="00543BFE">
        <w:rPr>
          <w:sz w:val="24"/>
          <w:szCs w:val="24"/>
          <w:vertAlign w:val="subscript"/>
        </w:rPr>
        <w:t>min</w:t>
      </w:r>
      <w:proofErr w:type="spellEnd"/>
      <w:r w:rsidRPr="00543BFE">
        <w:rPr>
          <w:sz w:val="24"/>
          <w:szCs w:val="24"/>
        </w:rPr>
        <w:t xml:space="preserve"> ved </w:t>
      </w:r>
      <w:proofErr w:type="spellStart"/>
      <w:r>
        <w:rPr>
          <w:sz w:val="24"/>
          <w:szCs w:val="24"/>
        </w:rPr>
        <w:t>steady-state</w:t>
      </w:r>
      <w:proofErr w:type="spellEnd"/>
      <w:r w:rsidRPr="00543BFE">
        <w:rPr>
          <w:sz w:val="24"/>
          <w:szCs w:val="24"/>
        </w:rPr>
        <w:t xml:space="preserve"> er henholdsvis 4,2 og 0,3 </w:t>
      </w:r>
      <w:proofErr w:type="spellStart"/>
      <w:r w:rsidRPr="00543BFE">
        <w:rPr>
          <w:sz w:val="24"/>
          <w:szCs w:val="24"/>
        </w:rPr>
        <w:t>ng</w:t>
      </w:r>
      <w:proofErr w:type="spellEnd"/>
      <w:r w:rsidRPr="00543BFE">
        <w:rPr>
          <w:sz w:val="24"/>
          <w:szCs w:val="24"/>
        </w:rPr>
        <w:t xml:space="preserve">/ml for en dosis på 0,5 mg, og henholdsvis 8,2 og 0,5 </w:t>
      </w:r>
      <w:proofErr w:type="spellStart"/>
      <w:r w:rsidRPr="00543BFE">
        <w:rPr>
          <w:sz w:val="24"/>
          <w:szCs w:val="24"/>
        </w:rPr>
        <w:t>ng</w:t>
      </w:r>
      <w:proofErr w:type="spellEnd"/>
      <w:r w:rsidRPr="00543BFE">
        <w:rPr>
          <w:sz w:val="24"/>
          <w:szCs w:val="24"/>
        </w:rPr>
        <w:t>/ml for 1 mg. Tabletten og den orale opløsning var bioækvivalente hos raske frivillige, og de to former kan derfor erstatte hinanden.</w:t>
      </w:r>
    </w:p>
    <w:p w:rsidR="008D5948" w:rsidRPr="00543BFE" w:rsidRDefault="008D5948" w:rsidP="008D5948">
      <w:pPr>
        <w:ind w:left="851" w:hanging="851"/>
        <w:rPr>
          <w:sz w:val="24"/>
          <w:szCs w:val="24"/>
        </w:rPr>
      </w:pPr>
    </w:p>
    <w:p w:rsidR="008D5948" w:rsidRPr="00543BFE" w:rsidRDefault="008D5948" w:rsidP="008D5948">
      <w:pPr>
        <w:pStyle w:val="Default"/>
        <w:ind w:left="851"/>
        <w:rPr>
          <w:u w:val="single"/>
        </w:rPr>
      </w:pPr>
      <w:r w:rsidRPr="00543BFE">
        <w:t xml:space="preserve">Administration af 0,5 mg </w:t>
      </w:r>
      <w:proofErr w:type="spellStart"/>
      <w:r w:rsidRPr="00543BFE">
        <w:t>entecavir</w:t>
      </w:r>
      <w:proofErr w:type="spellEnd"/>
      <w:r w:rsidRPr="00543BFE">
        <w:t xml:space="preserve"> med et fedtrigt standardmåltid (945 kcal, 54,6 g fedt) eller et fedtfattigt måltid (379 kcal, 8,2 g fedt) forårsagede en minimal forsinkelse i absorption (1-1,5 time efter fødeindtagelse </w:t>
      </w:r>
      <w:r w:rsidRPr="00543BFE">
        <w:rPr>
          <w:i/>
          <w:iCs/>
        </w:rPr>
        <w:t xml:space="preserve">vs. </w:t>
      </w:r>
      <w:r w:rsidRPr="00543BFE">
        <w:t xml:space="preserve">0,75 time fastende), et fald i </w:t>
      </w:r>
      <w:proofErr w:type="spellStart"/>
      <w:r w:rsidRPr="00543BFE">
        <w:t>C</w:t>
      </w:r>
      <w:r w:rsidRPr="00543BFE">
        <w:rPr>
          <w:vertAlign w:val="subscript"/>
        </w:rPr>
        <w:t>max</w:t>
      </w:r>
      <w:proofErr w:type="spellEnd"/>
      <w:r w:rsidRPr="00543BFE">
        <w:t xml:space="preserve"> på 44- 46 % samt et fald i AUC på 18-20 %. Det lavere </w:t>
      </w:r>
      <w:proofErr w:type="spellStart"/>
      <w:r w:rsidRPr="00543BFE">
        <w:t>C</w:t>
      </w:r>
      <w:r w:rsidRPr="00543BFE">
        <w:rPr>
          <w:vertAlign w:val="subscript"/>
        </w:rPr>
        <w:t>max</w:t>
      </w:r>
      <w:proofErr w:type="spellEnd"/>
      <w:r w:rsidRPr="00543BFE">
        <w:t xml:space="preserve"> og AUC ved samtidig fødeindtagelse betragtes ikke som værende klinisk relevant hos </w:t>
      </w:r>
      <w:r w:rsidRPr="00543BFE">
        <w:rPr>
          <w:color w:val="auto"/>
        </w:rPr>
        <w:t xml:space="preserve">patienter, der ikke tidligere har været behandlet med </w:t>
      </w:r>
      <w:proofErr w:type="spellStart"/>
      <w:r w:rsidRPr="00543BFE">
        <w:rPr>
          <w:color w:val="auto"/>
        </w:rPr>
        <w:t>nukleosidpræparater</w:t>
      </w:r>
      <w:proofErr w:type="spellEnd"/>
      <w:r w:rsidRPr="00543BFE">
        <w:rPr>
          <w:color w:val="auto"/>
        </w:rPr>
        <w:t xml:space="preserve">, men kan påvirke virkningen hos </w:t>
      </w:r>
      <w:proofErr w:type="spellStart"/>
      <w:r w:rsidRPr="00543BFE">
        <w:rPr>
          <w:color w:val="auto"/>
        </w:rPr>
        <w:t>lamivudinrefraktære</w:t>
      </w:r>
      <w:proofErr w:type="spellEnd"/>
      <w:r w:rsidRPr="00543BFE">
        <w:rPr>
          <w:color w:val="auto"/>
        </w:rPr>
        <w:t xml:space="preserve"> patienter (se pkt. 4.2).</w:t>
      </w:r>
    </w:p>
    <w:p w:rsidR="008D5948" w:rsidRPr="00543BFE" w:rsidRDefault="008D5948" w:rsidP="008D5948">
      <w:pPr>
        <w:ind w:left="851" w:hanging="851"/>
        <w:rPr>
          <w:sz w:val="24"/>
          <w:szCs w:val="24"/>
          <w:u w:val="single"/>
        </w:rPr>
      </w:pPr>
    </w:p>
    <w:p w:rsidR="008D5948" w:rsidRPr="00543BFE" w:rsidRDefault="008D5948" w:rsidP="008D5948">
      <w:pPr>
        <w:ind w:left="851"/>
        <w:rPr>
          <w:sz w:val="24"/>
          <w:szCs w:val="24"/>
          <w:u w:val="single"/>
        </w:rPr>
      </w:pPr>
      <w:r w:rsidRPr="00543BFE">
        <w:rPr>
          <w:sz w:val="24"/>
          <w:szCs w:val="24"/>
          <w:u w:val="single"/>
        </w:rPr>
        <w:t>Fordeling</w:t>
      </w:r>
    </w:p>
    <w:p w:rsidR="008D5948" w:rsidRPr="00543BFE" w:rsidRDefault="008D5948" w:rsidP="008D5948">
      <w:pPr>
        <w:ind w:left="851"/>
        <w:rPr>
          <w:sz w:val="24"/>
          <w:szCs w:val="24"/>
          <w:u w:val="single"/>
        </w:rPr>
      </w:pPr>
      <w:r w:rsidRPr="00543BFE">
        <w:rPr>
          <w:sz w:val="24"/>
          <w:szCs w:val="24"/>
        </w:rPr>
        <w:t xml:space="preserve">Det estimerede fordelingsvolumen for </w:t>
      </w:r>
      <w:proofErr w:type="spellStart"/>
      <w:r w:rsidRPr="00543BFE">
        <w:rPr>
          <w:sz w:val="24"/>
          <w:szCs w:val="24"/>
        </w:rPr>
        <w:t>entecavir</w:t>
      </w:r>
      <w:proofErr w:type="spellEnd"/>
      <w:r w:rsidRPr="00543BFE">
        <w:rPr>
          <w:sz w:val="24"/>
          <w:szCs w:val="24"/>
        </w:rPr>
        <w:t xml:space="preserve"> er større end kroppens totale vandindhold. Proteinbinding til humant serumprotein </w:t>
      </w:r>
      <w:r w:rsidRPr="00543BFE">
        <w:rPr>
          <w:i/>
          <w:iCs/>
          <w:sz w:val="24"/>
          <w:szCs w:val="24"/>
        </w:rPr>
        <w:t xml:space="preserve">in </w:t>
      </w:r>
      <w:proofErr w:type="spellStart"/>
      <w:r w:rsidRPr="00543BFE">
        <w:rPr>
          <w:i/>
          <w:iCs/>
          <w:sz w:val="24"/>
          <w:szCs w:val="24"/>
        </w:rPr>
        <w:t>vitro</w:t>
      </w:r>
      <w:proofErr w:type="spellEnd"/>
      <w:r w:rsidRPr="00543BFE">
        <w:rPr>
          <w:i/>
          <w:iCs/>
          <w:sz w:val="24"/>
          <w:szCs w:val="24"/>
        </w:rPr>
        <w:t xml:space="preserve"> </w:t>
      </w:r>
      <w:r w:rsidRPr="00543BFE">
        <w:rPr>
          <w:sz w:val="24"/>
          <w:szCs w:val="24"/>
        </w:rPr>
        <w:t>er ≈ 13 %.</w:t>
      </w:r>
    </w:p>
    <w:p w:rsidR="008D5948" w:rsidRPr="00543BFE" w:rsidRDefault="008D5948" w:rsidP="008D5948">
      <w:pPr>
        <w:ind w:left="851" w:hanging="851"/>
        <w:rPr>
          <w:sz w:val="24"/>
          <w:szCs w:val="24"/>
          <w:u w:val="single"/>
        </w:rPr>
      </w:pPr>
    </w:p>
    <w:p w:rsidR="008D5948" w:rsidRPr="00543BFE" w:rsidRDefault="008D5948" w:rsidP="008D5948">
      <w:pPr>
        <w:ind w:left="851"/>
        <w:rPr>
          <w:sz w:val="24"/>
          <w:szCs w:val="24"/>
          <w:u w:val="single"/>
        </w:rPr>
      </w:pPr>
      <w:r w:rsidRPr="00543BFE">
        <w:rPr>
          <w:sz w:val="24"/>
          <w:szCs w:val="24"/>
          <w:u w:val="single"/>
        </w:rPr>
        <w:t>Biotransformation</w:t>
      </w:r>
    </w:p>
    <w:p w:rsidR="008D5948" w:rsidRPr="00543BFE" w:rsidRDefault="008D5948" w:rsidP="008D5948">
      <w:pPr>
        <w:ind w:left="851"/>
        <w:rPr>
          <w:sz w:val="24"/>
          <w:szCs w:val="24"/>
          <w:u w:val="single"/>
        </w:rPr>
      </w:pPr>
      <w:proofErr w:type="spellStart"/>
      <w:r w:rsidRPr="00543BFE">
        <w:rPr>
          <w:sz w:val="24"/>
          <w:szCs w:val="24"/>
        </w:rPr>
        <w:t>Entecavir</w:t>
      </w:r>
      <w:proofErr w:type="spellEnd"/>
      <w:r w:rsidRPr="00543BFE">
        <w:rPr>
          <w:sz w:val="24"/>
          <w:szCs w:val="24"/>
        </w:rPr>
        <w:t xml:space="preserve"> er ikke et substrat af og virker ikke inducerende eller hæmmende på CYP450-enzymsystemet. Efter administration af </w:t>
      </w:r>
      <w:r w:rsidRPr="00543BFE">
        <w:rPr>
          <w:sz w:val="24"/>
          <w:szCs w:val="24"/>
          <w:vertAlign w:val="subscript"/>
        </w:rPr>
        <w:t>14</w:t>
      </w:r>
      <w:r w:rsidRPr="00543BFE">
        <w:rPr>
          <w:sz w:val="24"/>
          <w:szCs w:val="24"/>
        </w:rPr>
        <w:t xml:space="preserve">C-entecavir blev ingen </w:t>
      </w:r>
      <w:proofErr w:type="spellStart"/>
      <w:r w:rsidRPr="00543BFE">
        <w:rPr>
          <w:sz w:val="24"/>
          <w:szCs w:val="24"/>
        </w:rPr>
        <w:t>oxidative</w:t>
      </w:r>
      <w:proofErr w:type="spellEnd"/>
      <w:r w:rsidRPr="00543BFE">
        <w:rPr>
          <w:sz w:val="24"/>
          <w:szCs w:val="24"/>
        </w:rPr>
        <w:t xml:space="preserve"> eller </w:t>
      </w:r>
      <w:proofErr w:type="spellStart"/>
      <w:r w:rsidRPr="00543BFE">
        <w:rPr>
          <w:sz w:val="24"/>
          <w:szCs w:val="24"/>
        </w:rPr>
        <w:t>acetylerede</w:t>
      </w:r>
      <w:proofErr w:type="spellEnd"/>
      <w:r w:rsidRPr="00543BFE">
        <w:rPr>
          <w:sz w:val="24"/>
          <w:szCs w:val="24"/>
        </w:rPr>
        <w:t xml:space="preserve"> metabolitter observeret og der blev observeret mindre mængder af fase II-metabolitterne, </w:t>
      </w:r>
      <w:proofErr w:type="spellStart"/>
      <w:r w:rsidRPr="00543BFE">
        <w:rPr>
          <w:sz w:val="24"/>
          <w:szCs w:val="24"/>
        </w:rPr>
        <w:t>glucuronid</w:t>
      </w:r>
      <w:proofErr w:type="spellEnd"/>
      <w:r w:rsidRPr="00543BFE">
        <w:rPr>
          <w:sz w:val="24"/>
          <w:szCs w:val="24"/>
        </w:rPr>
        <w:t xml:space="preserve">- og </w:t>
      </w:r>
      <w:proofErr w:type="spellStart"/>
      <w:r w:rsidRPr="00543BFE">
        <w:rPr>
          <w:sz w:val="24"/>
          <w:szCs w:val="24"/>
        </w:rPr>
        <w:t>sulfatkonjugater</w:t>
      </w:r>
      <w:proofErr w:type="spellEnd"/>
      <w:r w:rsidRPr="00543BFE">
        <w:rPr>
          <w:sz w:val="24"/>
          <w:szCs w:val="24"/>
        </w:rPr>
        <w:t>.</w:t>
      </w:r>
    </w:p>
    <w:p w:rsidR="002574EE" w:rsidRDefault="002574EE" w:rsidP="004C1C4D">
      <w:pPr>
        <w:rPr>
          <w:sz w:val="24"/>
          <w:szCs w:val="24"/>
          <w:u w:val="single"/>
        </w:rPr>
      </w:pPr>
    </w:p>
    <w:p w:rsidR="004C1C4D" w:rsidRDefault="004C1C4D" w:rsidP="004C1C4D">
      <w:pPr>
        <w:rPr>
          <w:sz w:val="24"/>
          <w:szCs w:val="24"/>
          <w:u w:val="single"/>
        </w:rPr>
      </w:pPr>
    </w:p>
    <w:p w:rsidR="004C1C4D" w:rsidRPr="00543BFE" w:rsidRDefault="004C1C4D" w:rsidP="004C1C4D">
      <w:pPr>
        <w:rPr>
          <w:sz w:val="24"/>
          <w:szCs w:val="24"/>
          <w:u w:val="single"/>
        </w:rPr>
      </w:pPr>
    </w:p>
    <w:p w:rsidR="008D5948" w:rsidRPr="00543BFE" w:rsidRDefault="008D5948" w:rsidP="008D5948">
      <w:pPr>
        <w:ind w:left="851"/>
        <w:rPr>
          <w:sz w:val="24"/>
          <w:szCs w:val="24"/>
          <w:u w:val="single"/>
        </w:rPr>
      </w:pPr>
      <w:r w:rsidRPr="00543BFE">
        <w:rPr>
          <w:sz w:val="24"/>
          <w:szCs w:val="24"/>
          <w:u w:val="single"/>
        </w:rPr>
        <w:t>Elimination</w:t>
      </w:r>
    </w:p>
    <w:p w:rsidR="008D5948" w:rsidRPr="00543BFE" w:rsidRDefault="008D5948" w:rsidP="008D5948">
      <w:pPr>
        <w:ind w:left="851"/>
        <w:rPr>
          <w:sz w:val="24"/>
          <w:szCs w:val="24"/>
        </w:rPr>
      </w:pPr>
      <w:proofErr w:type="spellStart"/>
      <w:r w:rsidRPr="00543BFE">
        <w:rPr>
          <w:sz w:val="24"/>
          <w:szCs w:val="24"/>
        </w:rPr>
        <w:t>Entecavir</w:t>
      </w:r>
      <w:proofErr w:type="spellEnd"/>
      <w:r w:rsidRPr="00543BFE">
        <w:rPr>
          <w:sz w:val="24"/>
          <w:szCs w:val="24"/>
        </w:rPr>
        <w:t xml:space="preserve"> elimineres primært via nyrerne, hvor omkring 75 % af dosis ved </w:t>
      </w:r>
      <w:proofErr w:type="spellStart"/>
      <w:r>
        <w:rPr>
          <w:sz w:val="24"/>
          <w:szCs w:val="24"/>
        </w:rPr>
        <w:t>steady-state</w:t>
      </w:r>
      <w:proofErr w:type="spellEnd"/>
      <w:r w:rsidRPr="00543BFE">
        <w:rPr>
          <w:sz w:val="24"/>
          <w:szCs w:val="24"/>
        </w:rPr>
        <w:t xml:space="preserve"> kan genfindes som </w:t>
      </w:r>
      <w:proofErr w:type="spellStart"/>
      <w:r w:rsidRPr="00543BFE">
        <w:rPr>
          <w:sz w:val="24"/>
          <w:szCs w:val="24"/>
        </w:rPr>
        <w:t>uomdannet</w:t>
      </w:r>
      <w:proofErr w:type="spellEnd"/>
      <w:r w:rsidRPr="00543BFE">
        <w:rPr>
          <w:sz w:val="24"/>
          <w:szCs w:val="24"/>
        </w:rPr>
        <w:t xml:space="preserve"> lægemiddel i urinen. </w:t>
      </w:r>
      <w:proofErr w:type="spellStart"/>
      <w:r w:rsidRPr="00543BFE">
        <w:rPr>
          <w:sz w:val="24"/>
          <w:szCs w:val="24"/>
        </w:rPr>
        <w:t>Renal</w:t>
      </w:r>
      <w:proofErr w:type="spellEnd"/>
      <w:r w:rsidRPr="00543BFE">
        <w:rPr>
          <w:sz w:val="24"/>
          <w:szCs w:val="24"/>
        </w:rPr>
        <w:t xml:space="preserve"> </w:t>
      </w:r>
      <w:proofErr w:type="spellStart"/>
      <w:r w:rsidRPr="00543BFE">
        <w:rPr>
          <w:sz w:val="24"/>
          <w:szCs w:val="24"/>
        </w:rPr>
        <w:t>clearance</w:t>
      </w:r>
      <w:proofErr w:type="spellEnd"/>
      <w:r w:rsidRPr="00543BFE">
        <w:rPr>
          <w:sz w:val="24"/>
          <w:szCs w:val="24"/>
        </w:rPr>
        <w:t xml:space="preserve"> er uafhængig af dosis inden for området 360-471 ml/min, hvilket tyder på, at </w:t>
      </w:r>
      <w:proofErr w:type="spellStart"/>
      <w:r w:rsidRPr="00543BFE">
        <w:rPr>
          <w:sz w:val="24"/>
          <w:szCs w:val="24"/>
        </w:rPr>
        <w:t>entecavir</w:t>
      </w:r>
      <w:proofErr w:type="spellEnd"/>
      <w:r w:rsidRPr="00543BFE">
        <w:rPr>
          <w:sz w:val="24"/>
          <w:szCs w:val="24"/>
        </w:rPr>
        <w:t xml:space="preserve"> gennemgår såvel </w:t>
      </w:r>
      <w:proofErr w:type="spellStart"/>
      <w:r w:rsidRPr="00543BFE">
        <w:rPr>
          <w:sz w:val="24"/>
          <w:szCs w:val="24"/>
        </w:rPr>
        <w:t>glomerulær</w:t>
      </w:r>
      <w:proofErr w:type="spellEnd"/>
      <w:r w:rsidRPr="00543BFE">
        <w:rPr>
          <w:sz w:val="24"/>
          <w:szCs w:val="24"/>
        </w:rPr>
        <w:t xml:space="preserve"> filtration som net </w:t>
      </w:r>
      <w:proofErr w:type="spellStart"/>
      <w:r w:rsidRPr="00543BFE">
        <w:rPr>
          <w:sz w:val="24"/>
          <w:szCs w:val="24"/>
        </w:rPr>
        <w:t>tubulær</w:t>
      </w:r>
      <w:proofErr w:type="spellEnd"/>
      <w:r w:rsidRPr="00543BFE">
        <w:rPr>
          <w:sz w:val="24"/>
          <w:szCs w:val="24"/>
        </w:rPr>
        <w:t xml:space="preserve"> udskillelse. Efter maksimalt koncentrationsniveau er nået, falder plasmakoncentrationen af </w:t>
      </w:r>
      <w:proofErr w:type="spellStart"/>
      <w:r w:rsidRPr="00543BFE">
        <w:rPr>
          <w:sz w:val="24"/>
          <w:szCs w:val="24"/>
        </w:rPr>
        <w:t>entecavir</w:t>
      </w:r>
      <w:proofErr w:type="spellEnd"/>
      <w:r w:rsidRPr="00543BFE">
        <w:rPr>
          <w:sz w:val="24"/>
          <w:szCs w:val="24"/>
        </w:rPr>
        <w:t xml:space="preserve"> bi-eksponentielt med en halveringstid på ≈ 128-149 timer. Det observerede lægemiddelakkumuleringsindeks er ≈ 2 timer ved dosering én gang </w:t>
      </w:r>
      <w:r>
        <w:rPr>
          <w:sz w:val="24"/>
          <w:szCs w:val="24"/>
        </w:rPr>
        <w:t>daglig</w:t>
      </w:r>
      <w:r w:rsidRPr="00543BFE">
        <w:rPr>
          <w:sz w:val="24"/>
          <w:szCs w:val="24"/>
        </w:rPr>
        <w:t>, hvilket tyder på en effektiv akkumuleringshalveringstid på ca. 24 timer.</w:t>
      </w:r>
    </w:p>
    <w:p w:rsidR="008D5948" w:rsidRPr="00543BFE" w:rsidRDefault="008D5948" w:rsidP="008D5948">
      <w:pPr>
        <w:ind w:left="851" w:hanging="851"/>
        <w:rPr>
          <w:sz w:val="24"/>
          <w:szCs w:val="24"/>
        </w:rPr>
      </w:pPr>
    </w:p>
    <w:p w:rsidR="008D5948" w:rsidRPr="00543BFE" w:rsidRDefault="008D5948" w:rsidP="008D5948">
      <w:pPr>
        <w:ind w:left="851"/>
        <w:rPr>
          <w:sz w:val="24"/>
          <w:szCs w:val="24"/>
          <w:u w:val="single"/>
        </w:rPr>
      </w:pPr>
      <w:r w:rsidRPr="00543BFE">
        <w:rPr>
          <w:sz w:val="24"/>
          <w:szCs w:val="24"/>
          <w:u w:val="single"/>
        </w:rPr>
        <w:t>Leverinsufficiens</w:t>
      </w:r>
    </w:p>
    <w:p w:rsidR="008D5948" w:rsidRPr="00543BFE" w:rsidRDefault="008D5948" w:rsidP="008D5948">
      <w:pPr>
        <w:ind w:left="851"/>
        <w:rPr>
          <w:iCs/>
          <w:sz w:val="24"/>
          <w:szCs w:val="24"/>
        </w:rPr>
      </w:pPr>
      <w:proofErr w:type="spellStart"/>
      <w:r w:rsidRPr="00543BFE">
        <w:rPr>
          <w:sz w:val="24"/>
          <w:szCs w:val="24"/>
        </w:rPr>
        <w:t>Farmakokinetiske</w:t>
      </w:r>
      <w:proofErr w:type="spellEnd"/>
      <w:r w:rsidRPr="00543BFE">
        <w:rPr>
          <w:sz w:val="24"/>
          <w:szCs w:val="24"/>
        </w:rPr>
        <w:t xml:space="preserve"> parametre hos patienter med moderat eller svær leverinsufficiens svarede til dem hos patienter med normal leverfunktion</w:t>
      </w:r>
      <w:r w:rsidRPr="00543BFE">
        <w:rPr>
          <w:i/>
          <w:iCs/>
          <w:sz w:val="24"/>
          <w:szCs w:val="24"/>
        </w:rPr>
        <w:t>.</w:t>
      </w:r>
    </w:p>
    <w:p w:rsidR="008D5948" w:rsidRPr="00543BFE" w:rsidRDefault="008D5948" w:rsidP="008D5948">
      <w:pPr>
        <w:ind w:left="851" w:hanging="851"/>
        <w:rPr>
          <w:iCs/>
          <w:sz w:val="24"/>
          <w:szCs w:val="24"/>
        </w:rPr>
      </w:pPr>
    </w:p>
    <w:p w:rsidR="008D5948" w:rsidRPr="00543BFE" w:rsidRDefault="008D5948" w:rsidP="008D5948">
      <w:pPr>
        <w:ind w:left="851"/>
        <w:rPr>
          <w:iCs/>
          <w:sz w:val="24"/>
          <w:szCs w:val="24"/>
          <w:u w:val="single"/>
        </w:rPr>
      </w:pPr>
      <w:r w:rsidRPr="00543BFE">
        <w:rPr>
          <w:iCs/>
          <w:sz w:val="24"/>
          <w:szCs w:val="24"/>
          <w:u w:val="single"/>
        </w:rPr>
        <w:t>Nyreinsufficiens</w:t>
      </w:r>
    </w:p>
    <w:p w:rsidR="008D5948" w:rsidRPr="00543BFE" w:rsidRDefault="008D5948" w:rsidP="008D5948">
      <w:pPr>
        <w:ind w:left="851"/>
        <w:rPr>
          <w:sz w:val="24"/>
          <w:szCs w:val="24"/>
        </w:rPr>
      </w:pPr>
      <w:proofErr w:type="spellStart"/>
      <w:r w:rsidRPr="00543BFE">
        <w:rPr>
          <w:sz w:val="24"/>
          <w:szCs w:val="24"/>
        </w:rPr>
        <w:t>Entecavir-clearance</w:t>
      </w:r>
      <w:proofErr w:type="spellEnd"/>
      <w:r w:rsidRPr="00543BFE">
        <w:rPr>
          <w:sz w:val="24"/>
          <w:szCs w:val="24"/>
        </w:rPr>
        <w:t xml:space="preserve"> falder med faldende </w:t>
      </w:r>
      <w:proofErr w:type="spellStart"/>
      <w:r w:rsidRPr="00543BFE">
        <w:rPr>
          <w:sz w:val="24"/>
          <w:szCs w:val="24"/>
        </w:rPr>
        <w:t>kreatininclearance</w:t>
      </w:r>
      <w:proofErr w:type="spellEnd"/>
      <w:r w:rsidRPr="00543BFE">
        <w:rPr>
          <w:sz w:val="24"/>
          <w:szCs w:val="24"/>
        </w:rPr>
        <w:t xml:space="preserve">. En 4 timers hæmodialyseperiode fjernede ≈ 13 % af dosis, og 0,3 % blev fjernet ved CAPD. Tabellen viser </w:t>
      </w:r>
      <w:proofErr w:type="spellStart"/>
      <w:r w:rsidRPr="00543BFE">
        <w:rPr>
          <w:sz w:val="24"/>
          <w:szCs w:val="24"/>
        </w:rPr>
        <w:t>entecavirs</w:t>
      </w:r>
      <w:proofErr w:type="spellEnd"/>
      <w:r w:rsidRPr="00543BFE">
        <w:rPr>
          <w:sz w:val="24"/>
          <w:szCs w:val="24"/>
        </w:rPr>
        <w:t xml:space="preserve"> farmakokinetik efter enkelt 1 mg dosis (til patienter uden kronisk hepatitis B-infektion):</w:t>
      </w:r>
    </w:p>
    <w:p w:rsidR="008D5948" w:rsidRPr="00543BFE" w:rsidRDefault="008D5948" w:rsidP="008D5948">
      <w:pPr>
        <w:ind w:left="851" w:hanging="851"/>
        <w:rPr>
          <w:sz w:val="24"/>
          <w:szCs w:val="24"/>
        </w:rPr>
      </w:pPr>
    </w:p>
    <w:tbl>
      <w:tblPr>
        <w:tblW w:w="5000" w:type="pct"/>
        <w:tblCellMar>
          <w:left w:w="30" w:type="dxa"/>
          <w:right w:w="30" w:type="dxa"/>
        </w:tblCellMar>
        <w:tblLook w:val="04A0" w:firstRow="1" w:lastRow="0" w:firstColumn="1" w:lastColumn="0" w:noHBand="0" w:noVBand="1"/>
      </w:tblPr>
      <w:tblGrid>
        <w:gridCol w:w="1536"/>
        <w:gridCol w:w="1343"/>
        <w:gridCol w:w="1343"/>
        <w:gridCol w:w="1343"/>
        <w:gridCol w:w="1343"/>
        <w:gridCol w:w="1343"/>
        <w:gridCol w:w="1341"/>
      </w:tblGrid>
      <w:tr w:rsidR="008D5948" w:rsidRPr="00543BFE" w:rsidTr="002574EE">
        <w:trPr>
          <w:trHeight w:val="471"/>
        </w:trPr>
        <w:tc>
          <w:tcPr>
            <w:tcW w:w="801" w:type="pct"/>
            <w:vMerge w:val="restar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lang w:bidi="he-IL"/>
              </w:rPr>
            </w:pPr>
          </w:p>
        </w:tc>
        <w:tc>
          <w:tcPr>
            <w:tcW w:w="4199" w:type="pct"/>
            <w:gridSpan w:val="6"/>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proofErr w:type="spellStart"/>
            <w:r w:rsidRPr="00543BFE">
              <w:rPr>
                <w:rFonts w:eastAsia="Calibri"/>
                <w:b/>
                <w:bCs/>
                <w:lang w:bidi="he-IL"/>
              </w:rPr>
              <w:t>Kreatininclearance</w:t>
            </w:r>
            <w:proofErr w:type="spellEnd"/>
            <w:r w:rsidRPr="00543BFE">
              <w:rPr>
                <w:rFonts w:eastAsia="Calibri"/>
                <w:b/>
                <w:bCs/>
                <w:lang w:bidi="he-IL"/>
              </w:rPr>
              <w:t xml:space="preserve"> ved </w:t>
            </w:r>
            <w:r w:rsidRPr="00543BFE">
              <w:rPr>
                <w:rFonts w:eastAsia="Calibri"/>
                <w:b/>
                <w:bCs/>
                <w:i/>
                <w:lang w:bidi="he-IL"/>
              </w:rPr>
              <w:t>baseline</w:t>
            </w:r>
            <w:r w:rsidRPr="00543BFE">
              <w:rPr>
                <w:rFonts w:eastAsia="Calibri"/>
                <w:b/>
                <w:bCs/>
                <w:lang w:bidi="he-IL"/>
              </w:rPr>
              <w:t xml:space="preserve"> (ml/min)</w:t>
            </w:r>
          </w:p>
        </w:tc>
      </w:tr>
      <w:tr w:rsidR="008D5948" w:rsidRPr="00543BFE" w:rsidTr="002574EE">
        <w:trPr>
          <w:trHeight w:val="141"/>
        </w:trPr>
        <w:tc>
          <w:tcPr>
            <w:tcW w:w="801" w:type="pct"/>
            <w:vMerge/>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b/>
                <w:bCs/>
                <w:lang w:bidi="he-IL"/>
              </w:rPr>
              <w:t>Normal</w:t>
            </w:r>
            <w:r w:rsidRPr="00543BFE">
              <w:rPr>
                <w:rFonts w:eastAsia="Calibri"/>
                <w:lang w:bidi="he-IL"/>
              </w:rPr>
              <w:t xml:space="preserve"> </w:t>
            </w:r>
          </w:p>
          <w:p w:rsidR="008D5948" w:rsidRPr="00543BFE" w:rsidRDefault="008D5948" w:rsidP="002574EE">
            <w:pPr>
              <w:rPr>
                <w:rFonts w:eastAsia="Calibri"/>
                <w:lang w:bidi="he-IL"/>
              </w:rPr>
            </w:pPr>
            <w:r w:rsidRPr="00543BFE">
              <w:rPr>
                <w:rFonts w:eastAsia="Calibri"/>
                <w:lang w:bidi="he-IL"/>
              </w:rPr>
              <w:t xml:space="preserve">&gt; 80 </w:t>
            </w:r>
          </w:p>
          <w:p w:rsidR="008D5948" w:rsidRPr="00543BFE" w:rsidRDefault="008D5948" w:rsidP="002574EE">
            <w:pPr>
              <w:rPr>
                <w:rFonts w:eastAsia="Calibri"/>
                <w:lang w:bidi="he-IL"/>
              </w:rPr>
            </w:pPr>
            <w:r w:rsidRPr="00543BFE">
              <w:rPr>
                <w:rFonts w:eastAsia="Calibri"/>
                <w:lang w:bidi="he-IL"/>
              </w:rPr>
              <w:t xml:space="preserve">(n = 6)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b/>
                <w:bCs/>
                <w:lang w:bidi="he-IL"/>
              </w:rPr>
              <w:t>Mild</w:t>
            </w:r>
            <w:r w:rsidRPr="00543BFE">
              <w:rPr>
                <w:rFonts w:eastAsia="Calibri"/>
                <w:lang w:bidi="he-IL"/>
              </w:rPr>
              <w:t xml:space="preserve"> </w:t>
            </w:r>
          </w:p>
          <w:p w:rsidR="008D5948" w:rsidRPr="00543BFE" w:rsidRDefault="008D5948" w:rsidP="002574EE">
            <w:pPr>
              <w:rPr>
                <w:rFonts w:eastAsia="Calibri"/>
                <w:lang w:bidi="he-IL"/>
              </w:rPr>
            </w:pPr>
            <w:r w:rsidRPr="00543BFE">
              <w:rPr>
                <w:rFonts w:eastAsia="Calibri"/>
                <w:lang w:bidi="he-IL"/>
              </w:rPr>
              <w:t xml:space="preserve">&gt; 50; ≤ 80 </w:t>
            </w:r>
          </w:p>
          <w:p w:rsidR="008D5948" w:rsidRPr="00543BFE" w:rsidRDefault="008D5948" w:rsidP="002574EE">
            <w:pPr>
              <w:rPr>
                <w:rFonts w:eastAsia="Calibri"/>
                <w:lang w:bidi="he-IL"/>
              </w:rPr>
            </w:pPr>
            <w:r w:rsidRPr="00543BFE">
              <w:rPr>
                <w:rFonts w:eastAsia="Calibri"/>
                <w:lang w:bidi="he-IL"/>
              </w:rPr>
              <w:t xml:space="preserve">(n = 6)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b/>
                <w:bCs/>
                <w:lang w:bidi="he-IL"/>
              </w:rPr>
              <w:t>Moderat</w:t>
            </w:r>
            <w:r w:rsidRPr="00543BFE">
              <w:rPr>
                <w:rFonts w:eastAsia="Calibri"/>
                <w:lang w:bidi="he-IL"/>
              </w:rPr>
              <w:t xml:space="preserve"> </w:t>
            </w:r>
          </w:p>
          <w:p w:rsidR="008D5948" w:rsidRPr="00543BFE" w:rsidRDefault="008D5948" w:rsidP="002574EE">
            <w:pPr>
              <w:rPr>
                <w:rFonts w:eastAsia="Calibri"/>
                <w:lang w:bidi="he-IL"/>
              </w:rPr>
            </w:pPr>
            <w:r w:rsidRPr="00543BFE">
              <w:rPr>
                <w:rFonts w:eastAsia="Calibri"/>
                <w:lang w:bidi="he-IL"/>
              </w:rPr>
              <w:t xml:space="preserve">30-50 </w:t>
            </w:r>
          </w:p>
          <w:p w:rsidR="008D5948" w:rsidRPr="00543BFE" w:rsidRDefault="008D5948" w:rsidP="002574EE">
            <w:pPr>
              <w:rPr>
                <w:rFonts w:eastAsia="Calibri"/>
                <w:lang w:bidi="he-IL"/>
              </w:rPr>
            </w:pPr>
            <w:r w:rsidRPr="00543BFE">
              <w:rPr>
                <w:rFonts w:eastAsia="Calibri"/>
                <w:lang w:bidi="he-IL"/>
              </w:rPr>
              <w:t xml:space="preserve">(n = 6)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b/>
                <w:bCs/>
                <w:lang w:bidi="he-IL"/>
              </w:rPr>
              <w:t>Svær</w:t>
            </w:r>
            <w:r w:rsidRPr="00543BFE">
              <w:rPr>
                <w:rFonts w:eastAsia="Calibri"/>
                <w:lang w:bidi="he-IL"/>
              </w:rPr>
              <w:t xml:space="preserve"> </w:t>
            </w:r>
          </w:p>
          <w:p w:rsidR="008D5948" w:rsidRPr="00543BFE" w:rsidRDefault="008D5948" w:rsidP="002574EE">
            <w:pPr>
              <w:rPr>
                <w:rFonts w:eastAsia="Calibri"/>
                <w:lang w:bidi="he-IL"/>
              </w:rPr>
            </w:pPr>
            <w:r w:rsidRPr="00543BFE">
              <w:rPr>
                <w:rFonts w:eastAsia="Calibri"/>
                <w:lang w:bidi="he-IL"/>
              </w:rPr>
              <w:t xml:space="preserve">20-&lt; 30 </w:t>
            </w:r>
          </w:p>
          <w:p w:rsidR="008D5948" w:rsidRPr="00543BFE" w:rsidRDefault="008D5948" w:rsidP="002574EE">
            <w:pPr>
              <w:rPr>
                <w:rFonts w:eastAsia="Calibri"/>
                <w:lang w:bidi="he-IL"/>
              </w:rPr>
            </w:pPr>
            <w:r w:rsidRPr="00543BFE">
              <w:rPr>
                <w:rFonts w:eastAsia="Calibri"/>
                <w:lang w:bidi="he-IL"/>
              </w:rPr>
              <w:t xml:space="preserve">(n = 6)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b/>
                <w:bCs/>
                <w:lang w:bidi="he-IL"/>
              </w:rPr>
              <w:t>Svær, behandlet med hæmodialyse</w:t>
            </w:r>
            <w:r w:rsidRPr="00543BFE">
              <w:rPr>
                <w:rFonts w:eastAsia="Calibri"/>
                <w:lang w:bidi="he-IL"/>
              </w:rPr>
              <w:t xml:space="preserve"> </w:t>
            </w:r>
          </w:p>
          <w:p w:rsidR="008D5948" w:rsidRPr="00543BFE" w:rsidRDefault="008D5948" w:rsidP="002574EE">
            <w:pPr>
              <w:rPr>
                <w:rFonts w:eastAsia="Calibri"/>
                <w:lang w:bidi="he-IL"/>
              </w:rPr>
            </w:pPr>
            <w:r w:rsidRPr="00543BFE">
              <w:rPr>
                <w:rFonts w:eastAsia="Calibri"/>
                <w:lang w:bidi="he-IL"/>
              </w:rPr>
              <w:t xml:space="preserve">(n = 6) </w:t>
            </w:r>
          </w:p>
        </w:tc>
        <w:tc>
          <w:tcPr>
            <w:tcW w:w="701" w:type="pct"/>
            <w:tcBorders>
              <w:top w:val="threeDEmboss" w:sz="6" w:space="0" w:color="auto"/>
              <w:left w:val="threeDEmboss" w:sz="6" w:space="0" w:color="auto"/>
              <w:bottom w:val="threeDEmboss" w:sz="6" w:space="0" w:color="auto"/>
              <w:right w:val="threeDEmboss" w:sz="6" w:space="0" w:color="auto"/>
            </w:tcBorders>
            <w:vAlign w:val="center"/>
          </w:tcPr>
          <w:p w:rsidR="008D5948" w:rsidRPr="00543BFE" w:rsidRDefault="008D5948" w:rsidP="002574EE">
            <w:pPr>
              <w:rPr>
                <w:rFonts w:eastAsia="Calibri"/>
                <w:lang w:bidi="he-IL"/>
              </w:rPr>
            </w:pPr>
            <w:r w:rsidRPr="00543BFE">
              <w:rPr>
                <w:rFonts w:eastAsia="Calibri"/>
                <w:b/>
                <w:bCs/>
                <w:lang w:bidi="he-IL"/>
              </w:rPr>
              <w:t>Svær, behandlet med CAPD</w:t>
            </w:r>
            <w:r w:rsidRPr="00543BFE">
              <w:rPr>
                <w:rFonts w:eastAsia="Calibri"/>
                <w:lang w:bidi="he-IL"/>
              </w:rPr>
              <w:t xml:space="preserve"> </w:t>
            </w:r>
          </w:p>
          <w:p w:rsidR="008D5948" w:rsidRPr="00543BFE" w:rsidRDefault="008D5948" w:rsidP="002574EE">
            <w:pPr>
              <w:rPr>
                <w:rFonts w:eastAsia="Calibri"/>
                <w:lang w:bidi="he-IL"/>
              </w:rPr>
            </w:pPr>
          </w:p>
          <w:p w:rsidR="008D5948" w:rsidRPr="00543BFE" w:rsidRDefault="008D5948" w:rsidP="002574EE">
            <w:pPr>
              <w:rPr>
                <w:rFonts w:eastAsia="Calibri"/>
                <w:lang w:bidi="he-IL"/>
              </w:rPr>
            </w:pPr>
          </w:p>
          <w:p w:rsidR="008D5948" w:rsidRPr="00543BFE" w:rsidRDefault="008D5948" w:rsidP="002574EE">
            <w:pPr>
              <w:rPr>
                <w:rFonts w:eastAsia="Calibri"/>
                <w:lang w:bidi="he-IL"/>
              </w:rPr>
            </w:pPr>
            <w:r w:rsidRPr="00543BFE">
              <w:rPr>
                <w:rFonts w:eastAsia="Calibri"/>
                <w:lang w:bidi="he-IL"/>
              </w:rPr>
              <w:t xml:space="preserve">(n = 4) </w:t>
            </w:r>
          </w:p>
        </w:tc>
      </w:tr>
      <w:tr w:rsidR="008D5948" w:rsidRPr="00543BFE" w:rsidTr="002574EE">
        <w:trPr>
          <w:trHeight w:val="943"/>
        </w:trPr>
        <w:tc>
          <w:tcPr>
            <w:tcW w:w="801"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proofErr w:type="spellStart"/>
            <w:r w:rsidRPr="00543BFE">
              <w:rPr>
                <w:rFonts w:eastAsia="Calibri"/>
                <w:lang w:bidi="he-IL"/>
              </w:rPr>
              <w:t>C</w:t>
            </w:r>
            <w:r w:rsidRPr="00543BFE">
              <w:rPr>
                <w:rFonts w:eastAsia="Calibri"/>
                <w:vertAlign w:val="subscript"/>
                <w:lang w:bidi="he-IL"/>
              </w:rPr>
              <w:t>max</w:t>
            </w:r>
            <w:proofErr w:type="spellEnd"/>
            <w:r w:rsidRPr="00543BFE">
              <w:rPr>
                <w:rFonts w:eastAsia="Calibri"/>
                <w:lang w:bidi="he-IL"/>
              </w:rPr>
              <w:t xml:space="preserve"> (</w:t>
            </w:r>
            <w:proofErr w:type="spellStart"/>
            <w:r w:rsidRPr="00543BFE">
              <w:rPr>
                <w:rFonts w:eastAsia="Calibri"/>
                <w:lang w:bidi="he-IL"/>
              </w:rPr>
              <w:t>ng</w:t>
            </w:r>
            <w:proofErr w:type="spellEnd"/>
            <w:r w:rsidRPr="00543BFE">
              <w:rPr>
                <w:rFonts w:eastAsia="Calibri"/>
                <w:lang w:bidi="he-IL"/>
              </w:rPr>
              <w:t xml:space="preserve">/ml) </w:t>
            </w:r>
          </w:p>
          <w:p w:rsidR="008D5948" w:rsidRPr="00543BFE" w:rsidRDefault="008D5948" w:rsidP="002574EE">
            <w:pPr>
              <w:rPr>
                <w:rFonts w:eastAsia="Calibri"/>
                <w:lang w:bidi="he-IL"/>
              </w:rPr>
            </w:pPr>
            <w:r w:rsidRPr="00543BFE">
              <w:rPr>
                <w:rFonts w:eastAsia="Calibri"/>
                <w:lang w:bidi="he-IL"/>
              </w:rPr>
              <w:t xml:space="preserve">(CV %)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8,1 </w:t>
            </w:r>
          </w:p>
          <w:p w:rsidR="008D5948" w:rsidRPr="00543BFE" w:rsidRDefault="008D5948" w:rsidP="002574EE">
            <w:pPr>
              <w:rPr>
                <w:rFonts w:eastAsia="Calibri"/>
                <w:lang w:bidi="he-IL"/>
              </w:rPr>
            </w:pPr>
            <w:r w:rsidRPr="00543BFE">
              <w:rPr>
                <w:rFonts w:eastAsia="Calibri"/>
                <w:lang w:bidi="he-IL"/>
              </w:rPr>
              <w:t xml:space="preserve">(30,7)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10,4 </w:t>
            </w:r>
          </w:p>
          <w:p w:rsidR="008D5948" w:rsidRPr="00543BFE" w:rsidRDefault="008D5948" w:rsidP="002574EE">
            <w:pPr>
              <w:rPr>
                <w:rFonts w:eastAsia="Calibri"/>
                <w:lang w:bidi="he-IL"/>
              </w:rPr>
            </w:pPr>
            <w:r w:rsidRPr="00543BFE">
              <w:rPr>
                <w:rFonts w:eastAsia="Calibri"/>
                <w:lang w:bidi="he-IL"/>
              </w:rPr>
              <w:t xml:space="preserve">(37,2)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10,5 </w:t>
            </w:r>
          </w:p>
          <w:p w:rsidR="008D5948" w:rsidRPr="00543BFE" w:rsidRDefault="008D5948" w:rsidP="002574EE">
            <w:pPr>
              <w:rPr>
                <w:rFonts w:eastAsia="Calibri"/>
                <w:lang w:bidi="he-IL"/>
              </w:rPr>
            </w:pPr>
            <w:r w:rsidRPr="00543BFE">
              <w:rPr>
                <w:rFonts w:eastAsia="Calibri"/>
                <w:lang w:bidi="he-IL"/>
              </w:rPr>
              <w:t xml:space="preserve">(22,7)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15,3 </w:t>
            </w:r>
          </w:p>
          <w:p w:rsidR="008D5948" w:rsidRPr="00543BFE" w:rsidRDefault="008D5948" w:rsidP="002574EE">
            <w:pPr>
              <w:rPr>
                <w:rFonts w:eastAsia="Calibri"/>
                <w:lang w:bidi="he-IL"/>
              </w:rPr>
            </w:pPr>
            <w:r w:rsidRPr="00543BFE">
              <w:rPr>
                <w:rFonts w:eastAsia="Calibri"/>
                <w:lang w:bidi="he-IL"/>
              </w:rPr>
              <w:t xml:space="preserve">(33,8)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15,4 </w:t>
            </w:r>
          </w:p>
          <w:p w:rsidR="008D5948" w:rsidRPr="00543BFE" w:rsidRDefault="008D5948" w:rsidP="002574EE">
            <w:pPr>
              <w:rPr>
                <w:rFonts w:eastAsia="Calibri"/>
                <w:lang w:bidi="he-IL"/>
              </w:rPr>
            </w:pPr>
            <w:r w:rsidRPr="00543BFE">
              <w:rPr>
                <w:rFonts w:eastAsia="Calibri"/>
                <w:lang w:bidi="he-IL"/>
              </w:rPr>
              <w:t xml:space="preserve">(56,4) </w:t>
            </w:r>
          </w:p>
        </w:tc>
        <w:tc>
          <w:tcPr>
            <w:tcW w:w="701"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16,6 </w:t>
            </w:r>
          </w:p>
          <w:p w:rsidR="008D5948" w:rsidRPr="00543BFE" w:rsidRDefault="008D5948" w:rsidP="002574EE">
            <w:pPr>
              <w:rPr>
                <w:rFonts w:eastAsia="Calibri"/>
                <w:lang w:bidi="he-IL"/>
              </w:rPr>
            </w:pPr>
            <w:r w:rsidRPr="00543BFE">
              <w:rPr>
                <w:rFonts w:eastAsia="Calibri"/>
                <w:lang w:bidi="he-IL"/>
              </w:rPr>
              <w:t xml:space="preserve">(29,7) </w:t>
            </w:r>
          </w:p>
        </w:tc>
      </w:tr>
      <w:tr w:rsidR="008D5948" w:rsidRPr="00543BFE" w:rsidTr="002574EE">
        <w:trPr>
          <w:trHeight w:val="1414"/>
        </w:trPr>
        <w:tc>
          <w:tcPr>
            <w:tcW w:w="801"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val="en-US" w:bidi="he-IL"/>
              </w:rPr>
            </w:pPr>
            <w:r w:rsidRPr="00543BFE">
              <w:rPr>
                <w:rFonts w:eastAsia="Calibri"/>
                <w:lang w:val="en-US" w:bidi="he-IL"/>
              </w:rPr>
              <w:t>AUC</w:t>
            </w:r>
            <w:r w:rsidRPr="00543BFE">
              <w:rPr>
                <w:rFonts w:eastAsia="Calibri"/>
                <w:vertAlign w:val="subscript"/>
                <w:lang w:val="en-US" w:bidi="he-IL"/>
              </w:rPr>
              <w:t>(0-T)</w:t>
            </w:r>
            <w:r w:rsidRPr="00543BFE">
              <w:rPr>
                <w:rFonts w:eastAsia="Calibri"/>
                <w:lang w:val="en-US" w:bidi="he-IL"/>
              </w:rPr>
              <w:t xml:space="preserve"> </w:t>
            </w:r>
          </w:p>
          <w:p w:rsidR="008D5948" w:rsidRPr="00543BFE" w:rsidRDefault="008D5948" w:rsidP="002574EE">
            <w:pPr>
              <w:rPr>
                <w:rFonts w:eastAsia="Calibri"/>
                <w:lang w:val="en-US" w:bidi="he-IL"/>
              </w:rPr>
            </w:pPr>
            <w:r w:rsidRPr="00543BFE">
              <w:rPr>
                <w:rFonts w:eastAsia="Calibri"/>
                <w:lang w:val="en-US" w:bidi="he-IL"/>
              </w:rPr>
              <w:t>(</w:t>
            </w:r>
            <w:proofErr w:type="spellStart"/>
            <w:r w:rsidRPr="00543BFE">
              <w:rPr>
                <w:rFonts w:eastAsia="Calibri"/>
                <w:lang w:val="en-US" w:bidi="he-IL"/>
              </w:rPr>
              <w:t>ng·h</w:t>
            </w:r>
            <w:proofErr w:type="spellEnd"/>
            <w:r w:rsidRPr="00543BFE">
              <w:rPr>
                <w:rFonts w:eastAsia="Calibri"/>
                <w:lang w:val="en-US" w:bidi="he-IL"/>
              </w:rPr>
              <w:t xml:space="preserve"> /ml) </w:t>
            </w:r>
          </w:p>
          <w:p w:rsidR="008D5948" w:rsidRPr="00543BFE" w:rsidRDefault="008D5948" w:rsidP="002574EE">
            <w:pPr>
              <w:rPr>
                <w:rFonts w:eastAsia="Calibri"/>
                <w:lang w:val="en-US" w:bidi="he-IL"/>
              </w:rPr>
            </w:pPr>
            <w:r w:rsidRPr="00543BFE">
              <w:rPr>
                <w:rFonts w:eastAsia="Calibri"/>
                <w:lang w:val="en-US" w:bidi="he-IL"/>
              </w:rPr>
              <w:t xml:space="preserve">(CV)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27,9 </w:t>
            </w:r>
          </w:p>
          <w:p w:rsidR="008D5948" w:rsidRPr="00543BFE" w:rsidRDefault="008D5948" w:rsidP="002574EE">
            <w:pPr>
              <w:rPr>
                <w:rFonts w:eastAsia="Calibri"/>
                <w:lang w:bidi="he-IL"/>
              </w:rPr>
            </w:pPr>
            <w:r w:rsidRPr="00543BFE">
              <w:rPr>
                <w:rFonts w:eastAsia="Calibri"/>
                <w:lang w:bidi="he-IL"/>
              </w:rPr>
              <w:t xml:space="preserve">(25,6)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51,5 </w:t>
            </w:r>
          </w:p>
          <w:p w:rsidR="008D5948" w:rsidRPr="00543BFE" w:rsidRDefault="008D5948" w:rsidP="002574EE">
            <w:pPr>
              <w:rPr>
                <w:rFonts w:eastAsia="Calibri"/>
                <w:lang w:bidi="he-IL"/>
              </w:rPr>
            </w:pPr>
            <w:r w:rsidRPr="00543BFE">
              <w:rPr>
                <w:rFonts w:eastAsia="Calibri"/>
                <w:lang w:bidi="he-IL"/>
              </w:rPr>
              <w:t xml:space="preserve">(22,8)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69,5 </w:t>
            </w:r>
          </w:p>
          <w:p w:rsidR="008D5948" w:rsidRPr="00543BFE" w:rsidRDefault="008D5948" w:rsidP="002574EE">
            <w:pPr>
              <w:rPr>
                <w:rFonts w:eastAsia="Calibri"/>
                <w:lang w:bidi="he-IL"/>
              </w:rPr>
            </w:pPr>
            <w:r w:rsidRPr="00543BFE">
              <w:rPr>
                <w:rFonts w:eastAsia="Calibri"/>
                <w:lang w:bidi="he-IL"/>
              </w:rPr>
              <w:t xml:space="preserve">(22,7)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145,7 </w:t>
            </w:r>
          </w:p>
          <w:p w:rsidR="008D5948" w:rsidRPr="00543BFE" w:rsidRDefault="008D5948" w:rsidP="002574EE">
            <w:pPr>
              <w:rPr>
                <w:rFonts w:eastAsia="Calibri"/>
                <w:lang w:bidi="he-IL"/>
              </w:rPr>
            </w:pPr>
            <w:r w:rsidRPr="00543BFE">
              <w:rPr>
                <w:rFonts w:eastAsia="Calibri"/>
                <w:lang w:bidi="he-IL"/>
              </w:rPr>
              <w:t xml:space="preserve">(31,5)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233,9 </w:t>
            </w:r>
          </w:p>
          <w:p w:rsidR="008D5948" w:rsidRPr="00543BFE" w:rsidRDefault="008D5948" w:rsidP="002574EE">
            <w:pPr>
              <w:rPr>
                <w:rFonts w:eastAsia="Calibri"/>
                <w:lang w:bidi="he-IL"/>
              </w:rPr>
            </w:pPr>
            <w:r w:rsidRPr="00543BFE">
              <w:rPr>
                <w:rFonts w:eastAsia="Calibri"/>
                <w:lang w:bidi="he-IL"/>
              </w:rPr>
              <w:t xml:space="preserve">(28,4) </w:t>
            </w:r>
          </w:p>
        </w:tc>
        <w:tc>
          <w:tcPr>
            <w:tcW w:w="701"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221,8 </w:t>
            </w:r>
          </w:p>
          <w:p w:rsidR="008D5948" w:rsidRPr="00543BFE" w:rsidRDefault="008D5948" w:rsidP="002574EE">
            <w:pPr>
              <w:rPr>
                <w:rFonts w:eastAsia="Calibri"/>
                <w:lang w:bidi="he-IL"/>
              </w:rPr>
            </w:pPr>
            <w:r w:rsidRPr="00543BFE">
              <w:rPr>
                <w:rFonts w:eastAsia="Calibri"/>
                <w:lang w:bidi="he-IL"/>
              </w:rPr>
              <w:t xml:space="preserve">(11,6) </w:t>
            </w:r>
          </w:p>
        </w:tc>
      </w:tr>
      <w:tr w:rsidR="008D5948" w:rsidRPr="00543BFE" w:rsidTr="002574EE">
        <w:trPr>
          <w:trHeight w:val="943"/>
        </w:trPr>
        <w:tc>
          <w:tcPr>
            <w:tcW w:w="801"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CLR (ml/min) </w:t>
            </w:r>
          </w:p>
          <w:p w:rsidR="008D5948" w:rsidRPr="00543BFE" w:rsidRDefault="008D5948" w:rsidP="002574EE">
            <w:pPr>
              <w:rPr>
                <w:rFonts w:eastAsia="Calibri"/>
                <w:lang w:bidi="he-IL"/>
              </w:rPr>
            </w:pPr>
            <w:r w:rsidRPr="00543BFE">
              <w:rPr>
                <w:rFonts w:eastAsia="Calibri"/>
                <w:lang w:bidi="he-IL"/>
              </w:rPr>
              <w:t xml:space="preserve">(SD)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383,2 </w:t>
            </w:r>
          </w:p>
          <w:p w:rsidR="008D5948" w:rsidRPr="00543BFE" w:rsidRDefault="008D5948" w:rsidP="002574EE">
            <w:pPr>
              <w:rPr>
                <w:rFonts w:eastAsia="Calibri"/>
                <w:lang w:bidi="he-IL"/>
              </w:rPr>
            </w:pPr>
            <w:r w:rsidRPr="00543BFE">
              <w:rPr>
                <w:rFonts w:eastAsia="Calibri"/>
                <w:lang w:bidi="he-IL"/>
              </w:rPr>
              <w:t xml:space="preserve">(101,8)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197,9 </w:t>
            </w:r>
          </w:p>
          <w:p w:rsidR="008D5948" w:rsidRPr="00543BFE" w:rsidRDefault="008D5948" w:rsidP="002574EE">
            <w:pPr>
              <w:rPr>
                <w:rFonts w:eastAsia="Calibri"/>
                <w:lang w:bidi="he-IL"/>
              </w:rPr>
            </w:pPr>
            <w:r w:rsidRPr="00543BFE">
              <w:rPr>
                <w:rFonts w:eastAsia="Calibri"/>
                <w:lang w:bidi="he-IL"/>
              </w:rPr>
              <w:t xml:space="preserve">(78,1)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135,6 </w:t>
            </w:r>
          </w:p>
          <w:p w:rsidR="008D5948" w:rsidRPr="00543BFE" w:rsidRDefault="008D5948" w:rsidP="002574EE">
            <w:pPr>
              <w:rPr>
                <w:rFonts w:eastAsia="Calibri"/>
                <w:lang w:bidi="he-IL"/>
              </w:rPr>
            </w:pPr>
            <w:r w:rsidRPr="00543BFE">
              <w:rPr>
                <w:rFonts w:eastAsia="Calibri"/>
                <w:lang w:bidi="he-IL"/>
              </w:rPr>
              <w:t xml:space="preserve">(31,6)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40,3 </w:t>
            </w:r>
          </w:p>
          <w:p w:rsidR="008D5948" w:rsidRPr="00543BFE" w:rsidRDefault="008D5948" w:rsidP="002574EE">
            <w:pPr>
              <w:rPr>
                <w:rFonts w:eastAsia="Calibri"/>
                <w:lang w:bidi="he-IL"/>
              </w:rPr>
            </w:pPr>
            <w:r w:rsidRPr="00543BFE">
              <w:rPr>
                <w:rFonts w:eastAsia="Calibri"/>
                <w:lang w:bidi="he-IL"/>
              </w:rPr>
              <w:t xml:space="preserve">(10,1)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NA </w:t>
            </w:r>
          </w:p>
        </w:tc>
        <w:tc>
          <w:tcPr>
            <w:tcW w:w="701"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NA </w:t>
            </w:r>
          </w:p>
        </w:tc>
      </w:tr>
      <w:tr w:rsidR="008D5948" w:rsidRPr="00543BFE" w:rsidTr="002574EE">
        <w:trPr>
          <w:trHeight w:val="471"/>
        </w:trPr>
        <w:tc>
          <w:tcPr>
            <w:tcW w:w="801"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CLT/F (ml/min) </w:t>
            </w:r>
          </w:p>
          <w:p w:rsidR="008D5948" w:rsidRPr="00543BFE" w:rsidRDefault="008D5948" w:rsidP="002574EE">
            <w:pPr>
              <w:rPr>
                <w:rFonts w:eastAsia="Calibri"/>
                <w:lang w:bidi="he-IL"/>
              </w:rPr>
            </w:pPr>
            <w:r w:rsidRPr="00543BFE">
              <w:rPr>
                <w:rFonts w:eastAsia="Calibri"/>
                <w:lang w:bidi="he-IL"/>
              </w:rPr>
              <w:t xml:space="preserve">(SD)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588,1 </w:t>
            </w:r>
          </w:p>
          <w:p w:rsidR="008D5948" w:rsidRPr="00543BFE" w:rsidRDefault="008D5948" w:rsidP="002574EE">
            <w:pPr>
              <w:rPr>
                <w:rFonts w:eastAsia="Calibri"/>
                <w:lang w:bidi="he-IL"/>
              </w:rPr>
            </w:pPr>
            <w:r w:rsidRPr="00543BFE">
              <w:rPr>
                <w:rFonts w:eastAsia="Calibri"/>
                <w:lang w:bidi="he-IL"/>
              </w:rPr>
              <w:t xml:space="preserve">(153,7)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309,2 </w:t>
            </w:r>
          </w:p>
          <w:p w:rsidR="008D5948" w:rsidRPr="00543BFE" w:rsidRDefault="008D5948" w:rsidP="002574EE">
            <w:pPr>
              <w:rPr>
                <w:rFonts w:eastAsia="Calibri"/>
                <w:lang w:bidi="he-IL"/>
              </w:rPr>
            </w:pPr>
            <w:r w:rsidRPr="00543BFE">
              <w:rPr>
                <w:rFonts w:eastAsia="Calibri"/>
                <w:lang w:bidi="he-IL"/>
              </w:rPr>
              <w:t xml:space="preserve">(62,6)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226,3 </w:t>
            </w:r>
          </w:p>
          <w:p w:rsidR="008D5948" w:rsidRPr="00543BFE" w:rsidRDefault="008D5948" w:rsidP="002574EE">
            <w:pPr>
              <w:rPr>
                <w:rFonts w:eastAsia="Calibri"/>
                <w:lang w:bidi="he-IL"/>
              </w:rPr>
            </w:pPr>
            <w:r w:rsidRPr="00543BFE">
              <w:rPr>
                <w:rFonts w:eastAsia="Calibri"/>
                <w:lang w:bidi="he-IL"/>
              </w:rPr>
              <w:t xml:space="preserve">(60,1)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100,6 </w:t>
            </w:r>
          </w:p>
          <w:p w:rsidR="008D5948" w:rsidRPr="00543BFE" w:rsidRDefault="008D5948" w:rsidP="002574EE">
            <w:pPr>
              <w:rPr>
                <w:rFonts w:eastAsia="Calibri"/>
                <w:lang w:bidi="he-IL"/>
              </w:rPr>
            </w:pPr>
            <w:r w:rsidRPr="00543BFE">
              <w:rPr>
                <w:rFonts w:eastAsia="Calibri"/>
                <w:lang w:bidi="he-IL"/>
              </w:rPr>
              <w:t xml:space="preserve">(29,1) </w:t>
            </w:r>
          </w:p>
        </w:tc>
        <w:tc>
          <w:tcPr>
            <w:tcW w:w="700"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50,6 </w:t>
            </w:r>
          </w:p>
          <w:p w:rsidR="008D5948" w:rsidRPr="00543BFE" w:rsidRDefault="008D5948" w:rsidP="002574EE">
            <w:pPr>
              <w:rPr>
                <w:rFonts w:eastAsia="Calibri"/>
                <w:lang w:bidi="he-IL"/>
              </w:rPr>
            </w:pPr>
            <w:r w:rsidRPr="00543BFE">
              <w:rPr>
                <w:rFonts w:eastAsia="Calibri"/>
                <w:lang w:bidi="he-IL"/>
              </w:rPr>
              <w:t xml:space="preserve">(16,5) </w:t>
            </w:r>
          </w:p>
        </w:tc>
        <w:tc>
          <w:tcPr>
            <w:tcW w:w="701" w:type="pct"/>
            <w:tcBorders>
              <w:top w:val="threeDEmboss" w:sz="6" w:space="0" w:color="auto"/>
              <w:left w:val="threeDEmboss" w:sz="6" w:space="0" w:color="auto"/>
              <w:bottom w:val="threeDEmboss" w:sz="6" w:space="0" w:color="auto"/>
              <w:right w:val="threeDEmboss" w:sz="6" w:space="0" w:color="auto"/>
            </w:tcBorders>
            <w:vAlign w:val="center"/>
            <w:hideMark/>
          </w:tcPr>
          <w:p w:rsidR="008D5948" w:rsidRPr="00543BFE" w:rsidRDefault="008D5948" w:rsidP="002574EE">
            <w:pPr>
              <w:rPr>
                <w:rFonts w:eastAsia="Calibri"/>
                <w:lang w:bidi="he-IL"/>
              </w:rPr>
            </w:pPr>
            <w:r w:rsidRPr="00543BFE">
              <w:rPr>
                <w:rFonts w:eastAsia="Calibri"/>
                <w:lang w:bidi="he-IL"/>
              </w:rPr>
              <w:t xml:space="preserve">35,7 </w:t>
            </w:r>
          </w:p>
          <w:p w:rsidR="008D5948" w:rsidRPr="00543BFE" w:rsidRDefault="008D5948" w:rsidP="002574EE">
            <w:pPr>
              <w:rPr>
                <w:rFonts w:eastAsia="Calibri"/>
                <w:lang w:bidi="he-IL"/>
              </w:rPr>
            </w:pPr>
            <w:r w:rsidRPr="00543BFE">
              <w:rPr>
                <w:rFonts w:eastAsia="Calibri"/>
                <w:lang w:bidi="he-IL"/>
              </w:rPr>
              <w:t xml:space="preserve">(19,6) </w:t>
            </w:r>
          </w:p>
        </w:tc>
      </w:tr>
    </w:tbl>
    <w:p w:rsidR="008D5948" w:rsidRPr="00543BFE" w:rsidRDefault="008D5948" w:rsidP="008D5948">
      <w:pPr>
        <w:ind w:left="851" w:hanging="851"/>
        <w:rPr>
          <w:sz w:val="24"/>
          <w:szCs w:val="24"/>
        </w:rPr>
      </w:pPr>
    </w:p>
    <w:p w:rsidR="008D5948" w:rsidRPr="00543BFE" w:rsidRDefault="008D5948" w:rsidP="008D5948">
      <w:pPr>
        <w:ind w:left="851"/>
        <w:rPr>
          <w:sz w:val="24"/>
          <w:szCs w:val="24"/>
          <w:u w:val="single"/>
        </w:rPr>
      </w:pPr>
      <w:r w:rsidRPr="00543BFE">
        <w:rPr>
          <w:sz w:val="24"/>
          <w:szCs w:val="24"/>
          <w:u w:val="single"/>
        </w:rPr>
        <w:t>Efter levertransplantation</w:t>
      </w:r>
    </w:p>
    <w:p w:rsidR="008D5948" w:rsidRPr="00543BFE" w:rsidRDefault="008D5948" w:rsidP="008D5948">
      <w:pPr>
        <w:ind w:left="851"/>
        <w:rPr>
          <w:sz w:val="24"/>
          <w:szCs w:val="24"/>
        </w:rPr>
      </w:pPr>
      <w:proofErr w:type="spellStart"/>
      <w:r w:rsidRPr="00543BFE">
        <w:rPr>
          <w:sz w:val="24"/>
          <w:szCs w:val="24"/>
        </w:rPr>
        <w:t>Entecavir</w:t>
      </w:r>
      <w:proofErr w:type="spellEnd"/>
      <w:r w:rsidRPr="00543BFE">
        <w:rPr>
          <w:sz w:val="24"/>
          <w:szCs w:val="24"/>
        </w:rPr>
        <w:t xml:space="preserve"> eksponering hos HBV-inficerede levertransplanterede patienter i behandling med stabil dosis </w:t>
      </w:r>
      <w:proofErr w:type="spellStart"/>
      <w:r w:rsidRPr="00543BFE">
        <w:rPr>
          <w:sz w:val="24"/>
          <w:szCs w:val="24"/>
        </w:rPr>
        <w:t>ciclosporin</w:t>
      </w:r>
      <w:proofErr w:type="spellEnd"/>
      <w:r w:rsidRPr="00543BFE">
        <w:rPr>
          <w:sz w:val="24"/>
          <w:szCs w:val="24"/>
        </w:rPr>
        <w:t xml:space="preserve"> A eller </w:t>
      </w:r>
      <w:proofErr w:type="spellStart"/>
      <w:r w:rsidRPr="00543BFE">
        <w:rPr>
          <w:sz w:val="24"/>
          <w:szCs w:val="24"/>
        </w:rPr>
        <w:t>tacrolimus</w:t>
      </w:r>
      <w:proofErr w:type="spellEnd"/>
      <w:r w:rsidRPr="00543BFE">
        <w:rPr>
          <w:sz w:val="24"/>
          <w:szCs w:val="24"/>
        </w:rPr>
        <w:t xml:space="preserve"> (n = 9) var ≈ 2 gange eksponeringen hos raske frivillige med normal nyrefunktion. Ændret nyrefunktion bidrog til stigningen i eksponeringen af </w:t>
      </w:r>
      <w:proofErr w:type="spellStart"/>
      <w:r w:rsidRPr="00543BFE">
        <w:rPr>
          <w:sz w:val="24"/>
          <w:szCs w:val="24"/>
        </w:rPr>
        <w:t>entecavir</w:t>
      </w:r>
      <w:proofErr w:type="spellEnd"/>
      <w:r w:rsidRPr="00543BFE">
        <w:rPr>
          <w:sz w:val="24"/>
          <w:szCs w:val="24"/>
        </w:rPr>
        <w:t xml:space="preserve"> hos disse patienter (se pkt. 4.4).</w:t>
      </w:r>
    </w:p>
    <w:p w:rsidR="008D5948" w:rsidRDefault="008D5948" w:rsidP="008D5948">
      <w:pPr>
        <w:ind w:left="851" w:hanging="851"/>
        <w:rPr>
          <w:sz w:val="24"/>
          <w:szCs w:val="24"/>
        </w:rPr>
      </w:pPr>
    </w:p>
    <w:p w:rsidR="002574EE" w:rsidRDefault="002574EE" w:rsidP="008D5948">
      <w:pPr>
        <w:ind w:left="851" w:hanging="851"/>
        <w:rPr>
          <w:sz w:val="24"/>
          <w:szCs w:val="24"/>
        </w:rPr>
      </w:pPr>
    </w:p>
    <w:p w:rsidR="002574EE" w:rsidRPr="00543BFE" w:rsidRDefault="002574EE" w:rsidP="008D5948">
      <w:pPr>
        <w:ind w:left="851" w:hanging="851"/>
        <w:rPr>
          <w:sz w:val="24"/>
          <w:szCs w:val="24"/>
        </w:rPr>
      </w:pPr>
    </w:p>
    <w:p w:rsidR="008D5948" w:rsidRPr="00543BFE" w:rsidRDefault="008D5948" w:rsidP="008D5948">
      <w:pPr>
        <w:ind w:left="851"/>
        <w:rPr>
          <w:sz w:val="24"/>
          <w:szCs w:val="24"/>
        </w:rPr>
      </w:pPr>
      <w:r w:rsidRPr="00543BFE">
        <w:rPr>
          <w:sz w:val="24"/>
          <w:szCs w:val="24"/>
          <w:u w:val="single"/>
        </w:rPr>
        <w:t>Køn</w:t>
      </w:r>
    </w:p>
    <w:p w:rsidR="008D5948" w:rsidRPr="00543BFE" w:rsidRDefault="008D5948" w:rsidP="008D5948">
      <w:pPr>
        <w:ind w:left="851"/>
        <w:rPr>
          <w:sz w:val="24"/>
          <w:szCs w:val="24"/>
        </w:rPr>
      </w:pPr>
      <w:r w:rsidRPr="00543BFE">
        <w:rPr>
          <w:sz w:val="24"/>
          <w:szCs w:val="24"/>
        </w:rPr>
        <w:t xml:space="preserve">AUC var 14 % højere hos kvinder end hos mænd på grund af forskellen i nyrefunktion og vægt. Efter justering for forskelle i </w:t>
      </w:r>
      <w:proofErr w:type="spellStart"/>
      <w:r w:rsidRPr="00543BFE">
        <w:rPr>
          <w:sz w:val="24"/>
          <w:szCs w:val="24"/>
        </w:rPr>
        <w:t>kreatininclearance</w:t>
      </w:r>
      <w:proofErr w:type="spellEnd"/>
      <w:r w:rsidRPr="00543BFE">
        <w:rPr>
          <w:sz w:val="24"/>
          <w:szCs w:val="24"/>
        </w:rPr>
        <w:t xml:space="preserve"> og kropsvægt var der ingen forskel i optagelse hos kvindelige og mandlige patienter.</w:t>
      </w:r>
    </w:p>
    <w:p w:rsidR="008D5948" w:rsidRPr="00543BFE" w:rsidRDefault="008D5948" w:rsidP="008D5948">
      <w:pPr>
        <w:ind w:left="851" w:hanging="851"/>
        <w:rPr>
          <w:sz w:val="24"/>
          <w:szCs w:val="24"/>
        </w:rPr>
      </w:pPr>
    </w:p>
    <w:p w:rsidR="008D5948" w:rsidRPr="00543BFE" w:rsidRDefault="008D5948" w:rsidP="008D5948">
      <w:pPr>
        <w:ind w:left="851"/>
        <w:rPr>
          <w:sz w:val="24"/>
          <w:szCs w:val="24"/>
          <w:u w:val="single"/>
        </w:rPr>
      </w:pPr>
      <w:r w:rsidRPr="00543BFE">
        <w:rPr>
          <w:sz w:val="24"/>
          <w:szCs w:val="24"/>
          <w:u w:val="single"/>
        </w:rPr>
        <w:t>Ældre</w:t>
      </w:r>
    </w:p>
    <w:p w:rsidR="008D5948" w:rsidRPr="00543BFE" w:rsidRDefault="008D5948" w:rsidP="008D5948">
      <w:pPr>
        <w:ind w:left="851"/>
        <w:rPr>
          <w:sz w:val="24"/>
          <w:szCs w:val="24"/>
        </w:rPr>
      </w:pPr>
      <w:r w:rsidRPr="00543BFE">
        <w:rPr>
          <w:sz w:val="24"/>
          <w:szCs w:val="24"/>
        </w:rPr>
        <w:t xml:space="preserve">Effekt af alder på </w:t>
      </w:r>
      <w:proofErr w:type="spellStart"/>
      <w:r w:rsidRPr="00543BFE">
        <w:rPr>
          <w:sz w:val="24"/>
          <w:szCs w:val="24"/>
        </w:rPr>
        <w:t>entecavirs</w:t>
      </w:r>
      <w:proofErr w:type="spellEnd"/>
      <w:r w:rsidRPr="00543BFE">
        <w:rPr>
          <w:sz w:val="24"/>
          <w:szCs w:val="24"/>
        </w:rPr>
        <w:t xml:space="preserve"> farmakokinetik er vurderet ved at sammenligne ældre patienter i aldersgruppen 65-83 år (gennemsnitsalder for kvinder 69 år, for mænd 74 år) med yngre patienter i aldersgruppen 20-40 år (gennemsnitsalder for kvinder 29 år, for mænd 25 år). AUC var 29 % højere hos ældre end hos yngre patienter, primært på grund af forskelle i nyrefunktion og vægt. Efter justering for forskelle i </w:t>
      </w:r>
      <w:proofErr w:type="spellStart"/>
      <w:r w:rsidRPr="00543BFE">
        <w:rPr>
          <w:sz w:val="24"/>
          <w:szCs w:val="24"/>
        </w:rPr>
        <w:t>kreatininclearance</w:t>
      </w:r>
      <w:proofErr w:type="spellEnd"/>
      <w:r w:rsidRPr="00543BFE">
        <w:rPr>
          <w:sz w:val="24"/>
          <w:szCs w:val="24"/>
        </w:rPr>
        <w:t xml:space="preserve"> og kropsvægt havde ældre patienter 12,5 % højere AUC end yngre patienter. Den populations-</w:t>
      </w:r>
      <w:proofErr w:type="spellStart"/>
      <w:r w:rsidRPr="00543BFE">
        <w:rPr>
          <w:sz w:val="24"/>
          <w:szCs w:val="24"/>
        </w:rPr>
        <w:t>farmakokinetiske</w:t>
      </w:r>
      <w:proofErr w:type="spellEnd"/>
      <w:r w:rsidRPr="00543BFE">
        <w:rPr>
          <w:sz w:val="24"/>
          <w:szCs w:val="24"/>
        </w:rPr>
        <w:t xml:space="preserve"> analyse, der dækker patienter i aldersgruppen 16-75 år, kunne ikke påvise at alder i signifikant grad påvirkede </w:t>
      </w:r>
      <w:proofErr w:type="spellStart"/>
      <w:r w:rsidRPr="00543BFE">
        <w:rPr>
          <w:sz w:val="24"/>
          <w:szCs w:val="24"/>
        </w:rPr>
        <w:t>entecavirs</w:t>
      </w:r>
      <w:proofErr w:type="spellEnd"/>
      <w:r w:rsidRPr="00543BFE">
        <w:rPr>
          <w:sz w:val="24"/>
          <w:szCs w:val="24"/>
        </w:rPr>
        <w:t xml:space="preserve"> farmakokinetik.</w:t>
      </w:r>
    </w:p>
    <w:p w:rsidR="008D5948" w:rsidRPr="00543BFE" w:rsidRDefault="008D5948" w:rsidP="008D5948">
      <w:pPr>
        <w:ind w:left="851" w:hanging="851"/>
        <w:rPr>
          <w:sz w:val="24"/>
          <w:szCs w:val="24"/>
        </w:rPr>
      </w:pPr>
    </w:p>
    <w:p w:rsidR="008D5948" w:rsidRPr="00543BFE" w:rsidRDefault="008D5948" w:rsidP="008D5948">
      <w:pPr>
        <w:ind w:left="851"/>
        <w:rPr>
          <w:sz w:val="24"/>
          <w:szCs w:val="24"/>
          <w:u w:val="single"/>
        </w:rPr>
      </w:pPr>
      <w:r w:rsidRPr="00543BFE">
        <w:rPr>
          <w:sz w:val="24"/>
          <w:szCs w:val="24"/>
          <w:u w:val="single"/>
        </w:rPr>
        <w:t>Race</w:t>
      </w:r>
    </w:p>
    <w:p w:rsidR="008D5948" w:rsidRDefault="008D5948" w:rsidP="002574EE">
      <w:pPr>
        <w:ind w:left="851"/>
        <w:rPr>
          <w:sz w:val="24"/>
          <w:szCs w:val="24"/>
        </w:rPr>
      </w:pPr>
      <w:r w:rsidRPr="00543BFE">
        <w:rPr>
          <w:sz w:val="24"/>
          <w:szCs w:val="24"/>
        </w:rPr>
        <w:t>Den populations-</w:t>
      </w:r>
      <w:proofErr w:type="spellStart"/>
      <w:r w:rsidRPr="00543BFE">
        <w:rPr>
          <w:sz w:val="24"/>
          <w:szCs w:val="24"/>
        </w:rPr>
        <w:t>farmakokinetiske</w:t>
      </w:r>
      <w:proofErr w:type="spellEnd"/>
      <w:r w:rsidRPr="00543BFE">
        <w:rPr>
          <w:sz w:val="24"/>
          <w:szCs w:val="24"/>
        </w:rPr>
        <w:t xml:space="preserve"> analyse viste ikke, at race i signifikant grad påvirkede </w:t>
      </w:r>
      <w:proofErr w:type="spellStart"/>
      <w:r w:rsidRPr="00543BFE">
        <w:rPr>
          <w:sz w:val="24"/>
          <w:szCs w:val="24"/>
        </w:rPr>
        <w:t>entecavirs</w:t>
      </w:r>
      <w:proofErr w:type="spellEnd"/>
      <w:r w:rsidRPr="00543BFE">
        <w:rPr>
          <w:sz w:val="24"/>
          <w:szCs w:val="24"/>
        </w:rPr>
        <w:t xml:space="preserve"> farmakokinetik. Der kan dog kun drages konklusioner for grupperne af kaukasisk og asiatisk etnicitet, da der var for få patienter i de andre kategorier.</w:t>
      </w:r>
    </w:p>
    <w:p w:rsidR="008D5948" w:rsidRPr="00543BFE" w:rsidRDefault="008D5948" w:rsidP="008D5948">
      <w:pPr>
        <w:ind w:left="851" w:hanging="851"/>
        <w:rPr>
          <w:sz w:val="24"/>
          <w:szCs w:val="24"/>
        </w:rPr>
      </w:pPr>
    </w:p>
    <w:p w:rsidR="002574EE" w:rsidRPr="00280FE8" w:rsidRDefault="002574EE" w:rsidP="002574EE">
      <w:pPr>
        <w:ind w:left="851"/>
        <w:rPr>
          <w:sz w:val="24"/>
          <w:szCs w:val="24"/>
          <w:u w:val="single"/>
        </w:rPr>
      </w:pPr>
      <w:r w:rsidRPr="00280FE8">
        <w:rPr>
          <w:sz w:val="24"/>
          <w:szCs w:val="24"/>
          <w:u w:val="single"/>
        </w:rPr>
        <w:t>Pædiatrisk population</w:t>
      </w:r>
    </w:p>
    <w:p w:rsidR="002574EE" w:rsidRPr="00280FE8" w:rsidRDefault="002574EE" w:rsidP="002574EE">
      <w:pPr>
        <w:ind w:left="851"/>
        <w:rPr>
          <w:sz w:val="24"/>
          <w:szCs w:val="24"/>
        </w:rPr>
      </w:pPr>
      <w:proofErr w:type="spellStart"/>
      <w:r w:rsidRPr="00280FE8">
        <w:rPr>
          <w:sz w:val="24"/>
          <w:szCs w:val="24"/>
        </w:rPr>
        <w:t>Entecavirs</w:t>
      </w:r>
      <w:proofErr w:type="spellEnd"/>
      <w:r w:rsidRPr="00280FE8">
        <w:rPr>
          <w:sz w:val="24"/>
          <w:szCs w:val="24"/>
        </w:rPr>
        <w:t xml:space="preserve"> farmakokinetik ved </w:t>
      </w:r>
      <w:proofErr w:type="spellStart"/>
      <w:r w:rsidRPr="00280FE8">
        <w:rPr>
          <w:iCs/>
          <w:sz w:val="24"/>
          <w:szCs w:val="24"/>
        </w:rPr>
        <w:t>steady-state</w:t>
      </w:r>
      <w:proofErr w:type="spellEnd"/>
      <w:r w:rsidRPr="00280FE8">
        <w:rPr>
          <w:i/>
          <w:iCs/>
          <w:sz w:val="24"/>
          <w:szCs w:val="24"/>
        </w:rPr>
        <w:t xml:space="preserve"> </w:t>
      </w:r>
      <w:r w:rsidRPr="00280FE8">
        <w:rPr>
          <w:sz w:val="24"/>
          <w:szCs w:val="24"/>
        </w:rPr>
        <w:t xml:space="preserve">blev undersøgt (studie 028) hos 24 </w:t>
      </w:r>
      <w:proofErr w:type="spellStart"/>
      <w:r w:rsidRPr="00280FE8">
        <w:rPr>
          <w:sz w:val="24"/>
          <w:szCs w:val="24"/>
        </w:rPr>
        <w:t>nukleosid</w:t>
      </w:r>
      <w:proofErr w:type="spellEnd"/>
      <w:r w:rsidRPr="00280FE8">
        <w:rPr>
          <w:sz w:val="24"/>
          <w:szCs w:val="24"/>
        </w:rPr>
        <w:t>-</w:t>
      </w:r>
      <w:r w:rsidRPr="00280FE8">
        <w:rPr>
          <w:sz w:val="24"/>
          <w:szCs w:val="24"/>
        </w:rPr>
        <w:t>naive</w:t>
      </w:r>
      <w:r w:rsidRPr="00280FE8">
        <w:rPr>
          <w:sz w:val="24"/>
          <w:szCs w:val="24"/>
        </w:rPr>
        <w:t xml:space="preserve"> </w:t>
      </w:r>
      <w:proofErr w:type="spellStart"/>
      <w:r w:rsidRPr="00280FE8">
        <w:rPr>
          <w:sz w:val="24"/>
          <w:szCs w:val="24"/>
        </w:rPr>
        <w:t>HBeAG</w:t>
      </w:r>
      <w:proofErr w:type="spellEnd"/>
      <w:r w:rsidRPr="00280FE8">
        <w:rPr>
          <w:sz w:val="24"/>
          <w:szCs w:val="24"/>
        </w:rPr>
        <w:t xml:space="preserve">-positive pædiatriske </w:t>
      </w:r>
      <w:r w:rsidRPr="00280FE8">
        <w:rPr>
          <w:sz w:val="24"/>
          <w:szCs w:val="24"/>
        </w:rPr>
        <w:t>forsøgs</w:t>
      </w:r>
      <w:r w:rsidRPr="00280FE8">
        <w:rPr>
          <w:sz w:val="24"/>
          <w:szCs w:val="24"/>
        </w:rPr>
        <w:t>personer</w:t>
      </w:r>
      <w:r w:rsidRPr="00280FE8">
        <w:rPr>
          <w:sz w:val="24"/>
          <w:szCs w:val="24"/>
        </w:rPr>
        <w:t xml:space="preserve"> i alderen 2 til &lt; 18 år med kompenseret leversygdom. </w:t>
      </w:r>
      <w:proofErr w:type="spellStart"/>
      <w:r w:rsidRPr="00280FE8">
        <w:rPr>
          <w:sz w:val="24"/>
          <w:szCs w:val="24"/>
        </w:rPr>
        <w:t>Entecavir</w:t>
      </w:r>
      <w:proofErr w:type="spellEnd"/>
      <w:r w:rsidRPr="00280FE8">
        <w:rPr>
          <w:sz w:val="24"/>
          <w:szCs w:val="24"/>
        </w:rPr>
        <w:t xml:space="preserve">-eksponeringen hos </w:t>
      </w:r>
      <w:proofErr w:type="spellStart"/>
      <w:r w:rsidRPr="00280FE8">
        <w:rPr>
          <w:sz w:val="24"/>
          <w:szCs w:val="24"/>
        </w:rPr>
        <w:t>nukleosidnaive</w:t>
      </w:r>
      <w:proofErr w:type="spellEnd"/>
      <w:r w:rsidRPr="00280FE8">
        <w:rPr>
          <w:sz w:val="24"/>
          <w:szCs w:val="24"/>
        </w:rPr>
        <w:t xml:space="preserve"> patienter, som fik </w:t>
      </w:r>
      <w:proofErr w:type="spellStart"/>
      <w:r w:rsidRPr="00280FE8">
        <w:rPr>
          <w:sz w:val="24"/>
          <w:szCs w:val="24"/>
        </w:rPr>
        <w:t>entecavirdoser</w:t>
      </w:r>
      <w:proofErr w:type="spellEnd"/>
      <w:r w:rsidRPr="00280FE8">
        <w:rPr>
          <w:sz w:val="24"/>
          <w:szCs w:val="24"/>
        </w:rPr>
        <w:t xml:space="preserve"> på 0,015 mg/kg og op til en maksimal dosis på 0,5 mg en gang daglig var sammenlignelig med eksponeringen hos voksne, der fik en dosis på 0,5 mg en gang daglig. </w:t>
      </w:r>
      <w:proofErr w:type="spellStart"/>
      <w:r w:rsidRPr="00280FE8">
        <w:rPr>
          <w:sz w:val="24"/>
          <w:szCs w:val="24"/>
        </w:rPr>
        <w:t>C</w:t>
      </w:r>
      <w:r w:rsidRPr="00280FE8">
        <w:rPr>
          <w:sz w:val="24"/>
          <w:szCs w:val="24"/>
          <w:vertAlign w:val="subscript"/>
        </w:rPr>
        <w:t>max</w:t>
      </w:r>
      <w:proofErr w:type="spellEnd"/>
      <w:r w:rsidRPr="00280FE8">
        <w:rPr>
          <w:sz w:val="24"/>
          <w:szCs w:val="24"/>
        </w:rPr>
        <w:t xml:space="preserve">, AUC (0-24) og </w:t>
      </w:r>
      <w:proofErr w:type="spellStart"/>
      <w:r w:rsidRPr="00280FE8">
        <w:rPr>
          <w:sz w:val="24"/>
          <w:szCs w:val="24"/>
        </w:rPr>
        <w:t>C</w:t>
      </w:r>
      <w:r w:rsidRPr="00280FE8">
        <w:rPr>
          <w:sz w:val="24"/>
          <w:szCs w:val="24"/>
          <w:vertAlign w:val="subscript"/>
        </w:rPr>
        <w:t>min</w:t>
      </w:r>
      <w:proofErr w:type="spellEnd"/>
      <w:r w:rsidRPr="00280FE8">
        <w:rPr>
          <w:sz w:val="24"/>
          <w:szCs w:val="24"/>
        </w:rPr>
        <w:t xml:space="preserve"> for disse patienter var henholdsvis 6,32 </w:t>
      </w:r>
      <w:proofErr w:type="spellStart"/>
      <w:r w:rsidRPr="00280FE8">
        <w:rPr>
          <w:sz w:val="24"/>
          <w:szCs w:val="24"/>
        </w:rPr>
        <w:t>ng</w:t>
      </w:r>
      <w:proofErr w:type="spellEnd"/>
      <w:r w:rsidRPr="00280FE8">
        <w:rPr>
          <w:sz w:val="24"/>
          <w:szCs w:val="24"/>
        </w:rPr>
        <w:t xml:space="preserve">/ml, 18,33 </w:t>
      </w:r>
      <w:proofErr w:type="spellStart"/>
      <w:r w:rsidRPr="00280FE8">
        <w:rPr>
          <w:sz w:val="24"/>
          <w:szCs w:val="24"/>
        </w:rPr>
        <w:t>ng∙h</w:t>
      </w:r>
      <w:proofErr w:type="spellEnd"/>
      <w:r w:rsidRPr="00280FE8">
        <w:rPr>
          <w:sz w:val="24"/>
          <w:szCs w:val="24"/>
        </w:rPr>
        <w:t xml:space="preserve">/ml og 0,28 </w:t>
      </w:r>
      <w:proofErr w:type="spellStart"/>
      <w:r w:rsidRPr="00280FE8">
        <w:rPr>
          <w:sz w:val="24"/>
          <w:szCs w:val="24"/>
        </w:rPr>
        <w:t>ng</w:t>
      </w:r>
      <w:proofErr w:type="spellEnd"/>
      <w:r w:rsidRPr="00280FE8">
        <w:rPr>
          <w:sz w:val="24"/>
          <w:szCs w:val="24"/>
        </w:rPr>
        <w:t xml:space="preserve">/ml. </w:t>
      </w: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5.3</w:t>
      </w:r>
      <w:r w:rsidRPr="00543BFE">
        <w:rPr>
          <w:b/>
          <w:sz w:val="24"/>
          <w:szCs w:val="24"/>
        </w:rPr>
        <w:tab/>
      </w:r>
      <w:r w:rsidR="00A54635">
        <w:rPr>
          <w:b/>
          <w:sz w:val="24"/>
          <w:szCs w:val="24"/>
        </w:rPr>
        <w:t>Non-</w:t>
      </w:r>
      <w:r w:rsidRPr="00543BFE">
        <w:rPr>
          <w:b/>
          <w:sz w:val="24"/>
          <w:szCs w:val="24"/>
        </w:rPr>
        <w:t>kliniske sikkerhedsdata</w:t>
      </w:r>
    </w:p>
    <w:p w:rsidR="008D5948" w:rsidRPr="00543BFE" w:rsidRDefault="008D5948" w:rsidP="008D5948">
      <w:pPr>
        <w:pStyle w:val="Default"/>
        <w:ind w:left="851"/>
      </w:pPr>
      <w:r w:rsidRPr="00543BFE">
        <w:t xml:space="preserve">I toksikologiske studier med gentagne doser til hunde, blev reversibel </w:t>
      </w:r>
      <w:proofErr w:type="spellStart"/>
      <w:r w:rsidRPr="00543BFE">
        <w:t>perivaskulær</w:t>
      </w:r>
      <w:proofErr w:type="spellEnd"/>
      <w:r w:rsidRPr="00543BFE">
        <w:t xml:space="preserve"> inflammation i det centrale nervesystem observeret, hvor doser, som ikke udviste effekt, svarede til 19 og 10 gange den hos mennesker (ved henholdsvis 0,5 og 1 mg). Disse fund blev ikke observeret i studier med gentagne doser til andre arter, inklusive aber, der fik </w:t>
      </w:r>
      <w:proofErr w:type="spellStart"/>
      <w:r w:rsidRPr="00543BFE">
        <w:t>entecavir</w:t>
      </w:r>
      <w:proofErr w:type="spellEnd"/>
      <w:r w:rsidRPr="00543BFE">
        <w:t xml:space="preserve"> </w:t>
      </w:r>
      <w:r>
        <w:t>daglig</w:t>
      </w:r>
      <w:r w:rsidRPr="00543BFE">
        <w:t xml:space="preserve"> i 1 år i doser ≥ 100 gange den humane dosis. </w:t>
      </w:r>
    </w:p>
    <w:p w:rsidR="008D5948" w:rsidRPr="00543BFE" w:rsidRDefault="008D5948" w:rsidP="008D5948">
      <w:pPr>
        <w:numPr>
          <w:ilvl w:val="12"/>
          <w:numId w:val="0"/>
        </w:numPr>
        <w:ind w:left="851" w:right="11" w:hanging="851"/>
        <w:rPr>
          <w:sz w:val="24"/>
          <w:szCs w:val="24"/>
        </w:rPr>
      </w:pPr>
    </w:p>
    <w:p w:rsidR="008D5948" w:rsidRPr="00543BFE" w:rsidRDefault="008D5948" w:rsidP="008D5948">
      <w:pPr>
        <w:numPr>
          <w:ilvl w:val="12"/>
          <w:numId w:val="0"/>
        </w:numPr>
        <w:ind w:left="851" w:right="11"/>
        <w:rPr>
          <w:sz w:val="24"/>
          <w:szCs w:val="24"/>
        </w:rPr>
      </w:pPr>
      <w:r w:rsidRPr="00543BFE">
        <w:rPr>
          <w:sz w:val="24"/>
          <w:szCs w:val="24"/>
        </w:rPr>
        <w:t xml:space="preserve">I reproduktions-toksikologiske studier, hvor dyr fik </w:t>
      </w:r>
      <w:proofErr w:type="spellStart"/>
      <w:r w:rsidRPr="00543BFE">
        <w:rPr>
          <w:sz w:val="24"/>
          <w:szCs w:val="24"/>
        </w:rPr>
        <w:t>entecavir</w:t>
      </w:r>
      <w:proofErr w:type="spellEnd"/>
      <w:r w:rsidRPr="00543BFE">
        <w:rPr>
          <w:sz w:val="24"/>
          <w:szCs w:val="24"/>
        </w:rPr>
        <w:t xml:space="preserve"> i op til 4 uger, blev der ikke fundet evidens for nedsat fertilitet hos han- eller hunrotter ved høje doser. I toksikologiske studier med gentagne doser til gnavere og hunde med doser ≥ 26 gange humandosis blev der fundet evidens for testikelforandringer (</w:t>
      </w:r>
      <w:proofErr w:type="spellStart"/>
      <w:r w:rsidRPr="00543BFE">
        <w:rPr>
          <w:sz w:val="24"/>
          <w:szCs w:val="24"/>
        </w:rPr>
        <w:t>seminiferøs</w:t>
      </w:r>
      <w:proofErr w:type="spellEnd"/>
      <w:r w:rsidRPr="00543BFE">
        <w:rPr>
          <w:sz w:val="24"/>
          <w:szCs w:val="24"/>
        </w:rPr>
        <w:t xml:space="preserve"> </w:t>
      </w:r>
      <w:proofErr w:type="spellStart"/>
      <w:r w:rsidRPr="00543BFE">
        <w:rPr>
          <w:sz w:val="24"/>
          <w:szCs w:val="24"/>
        </w:rPr>
        <w:t>tubulær</w:t>
      </w:r>
      <w:proofErr w:type="spellEnd"/>
      <w:r w:rsidRPr="00543BFE">
        <w:rPr>
          <w:sz w:val="24"/>
          <w:szCs w:val="24"/>
        </w:rPr>
        <w:t xml:space="preserve"> degeneration). Der var ikke fundet evidens for testikelforandringer i et 1-årigt studie med aber.</w:t>
      </w:r>
    </w:p>
    <w:p w:rsidR="008D5948" w:rsidRPr="00543BFE" w:rsidRDefault="008D5948" w:rsidP="008D5948">
      <w:pPr>
        <w:numPr>
          <w:ilvl w:val="12"/>
          <w:numId w:val="0"/>
        </w:numPr>
        <w:ind w:left="851" w:right="11" w:hanging="851"/>
        <w:rPr>
          <w:sz w:val="24"/>
          <w:szCs w:val="24"/>
        </w:rPr>
      </w:pPr>
    </w:p>
    <w:p w:rsidR="008D5948" w:rsidRPr="00543BFE" w:rsidRDefault="008D5948" w:rsidP="008D5948">
      <w:pPr>
        <w:numPr>
          <w:ilvl w:val="12"/>
          <w:numId w:val="0"/>
        </w:numPr>
        <w:ind w:left="851" w:right="11"/>
        <w:rPr>
          <w:sz w:val="24"/>
          <w:szCs w:val="24"/>
        </w:rPr>
      </w:pPr>
      <w:r w:rsidRPr="00543BFE">
        <w:rPr>
          <w:sz w:val="24"/>
          <w:szCs w:val="24"/>
        </w:rPr>
        <w:t xml:space="preserve">Hos gravide rotter og kaniner, der fik </w:t>
      </w:r>
      <w:proofErr w:type="spellStart"/>
      <w:r w:rsidRPr="00543BFE">
        <w:rPr>
          <w:sz w:val="24"/>
          <w:szCs w:val="24"/>
        </w:rPr>
        <w:t>entecavir</w:t>
      </w:r>
      <w:proofErr w:type="spellEnd"/>
      <w:r w:rsidRPr="00543BFE">
        <w:rPr>
          <w:sz w:val="24"/>
          <w:szCs w:val="24"/>
        </w:rPr>
        <w:t>, svarede dosisniveauet, som ikke udviste effekt, for embryotoksicitet og toksicitet hos moderdyret til doser ≥ 21 gange den humane dosis. Der er hos rotter observeret toksicitet hos moderdyret, embryo-</w:t>
      </w:r>
      <w:proofErr w:type="spellStart"/>
      <w:r w:rsidRPr="00543BFE">
        <w:rPr>
          <w:sz w:val="24"/>
          <w:szCs w:val="24"/>
        </w:rPr>
        <w:t>føtal</w:t>
      </w:r>
      <w:proofErr w:type="spellEnd"/>
      <w:r w:rsidRPr="00543BFE">
        <w:rPr>
          <w:sz w:val="24"/>
          <w:szCs w:val="24"/>
        </w:rPr>
        <w:t xml:space="preserve"> toksicitet (resorptioner), lavere </w:t>
      </w:r>
      <w:proofErr w:type="spellStart"/>
      <w:r w:rsidRPr="00543BFE">
        <w:rPr>
          <w:sz w:val="24"/>
          <w:szCs w:val="24"/>
        </w:rPr>
        <w:t>føtal</w:t>
      </w:r>
      <w:proofErr w:type="spellEnd"/>
      <w:r w:rsidRPr="00543BFE">
        <w:rPr>
          <w:sz w:val="24"/>
          <w:szCs w:val="24"/>
        </w:rPr>
        <w:t xml:space="preserve"> kropsvægt, hale- og </w:t>
      </w:r>
      <w:proofErr w:type="spellStart"/>
      <w:r w:rsidRPr="00543BFE">
        <w:rPr>
          <w:sz w:val="24"/>
          <w:szCs w:val="24"/>
        </w:rPr>
        <w:t>vertebrale</w:t>
      </w:r>
      <w:proofErr w:type="spellEnd"/>
      <w:r w:rsidRPr="00543BFE">
        <w:rPr>
          <w:sz w:val="24"/>
          <w:szCs w:val="24"/>
        </w:rPr>
        <w:t xml:space="preserve"> misdannelser, reduceret </w:t>
      </w:r>
      <w:proofErr w:type="spellStart"/>
      <w:r w:rsidRPr="00543BFE">
        <w:rPr>
          <w:sz w:val="24"/>
          <w:szCs w:val="24"/>
        </w:rPr>
        <w:t>ossifikation</w:t>
      </w:r>
      <w:proofErr w:type="spellEnd"/>
      <w:r w:rsidRPr="00543BFE">
        <w:rPr>
          <w:sz w:val="24"/>
          <w:szCs w:val="24"/>
        </w:rPr>
        <w:t xml:space="preserve"> (</w:t>
      </w:r>
      <w:proofErr w:type="spellStart"/>
      <w:r w:rsidRPr="00543BFE">
        <w:rPr>
          <w:sz w:val="24"/>
          <w:szCs w:val="24"/>
        </w:rPr>
        <w:t>vertebra</w:t>
      </w:r>
      <w:proofErr w:type="spellEnd"/>
      <w:r w:rsidRPr="00543BFE">
        <w:rPr>
          <w:sz w:val="24"/>
          <w:szCs w:val="24"/>
        </w:rPr>
        <w:t xml:space="preserve">, </w:t>
      </w:r>
      <w:proofErr w:type="spellStart"/>
      <w:r w:rsidRPr="00543BFE">
        <w:rPr>
          <w:sz w:val="24"/>
          <w:szCs w:val="24"/>
        </w:rPr>
        <w:t>sternebra</w:t>
      </w:r>
      <w:proofErr w:type="spellEnd"/>
      <w:r w:rsidRPr="00543BFE">
        <w:rPr>
          <w:sz w:val="24"/>
          <w:szCs w:val="24"/>
        </w:rPr>
        <w:t xml:space="preserve"> og </w:t>
      </w:r>
      <w:proofErr w:type="spellStart"/>
      <w:r w:rsidRPr="00543BFE">
        <w:rPr>
          <w:sz w:val="24"/>
          <w:szCs w:val="24"/>
        </w:rPr>
        <w:t>falanger</w:t>
      </w:r>
      <w:proofErr w:type="spellEnd"/>
      <w:r w:rsidRPr="00543BFE">
        <w:rPr>
          <w:sz w:val="24"/>
          <w:szCs w:val="24"/>
        </w:rPr>
        <w:t xml:space="preserve">) samt ekstra </w:t>
      </w:r>
      <w:proofErr w:type="spellStart"/>
      <w:r w:rsidRPr="00543BFE">
        <w:rPr>
          <w:sz w:val="24"/>
          <w:szCs w:val="24"/>
        </w:rPr>
        <w:t>vertebrae</w:t>
      </w:r>
      <w:proofErr w:type="spellEnd"/>
      <w:r w:rsidRPr="00543BFE">
        <w:rPr>
          <w:sz w:val="24"/>
          <w:szCs w:val="24"/>
        </w:rPr>
        <w:t xml:space="preserve"> </w:t>
      </w:r>
      <w:proofErr w:type="spellStart"/>
      <w:r w:rsidRPr="00543BFE">
        <w:rPr>
          <w:sz w:val="24"/>
          <w:szCs w:val="24"/>
        </w:rPr>
        <w:t>lumbalis</w:t>
      </w:r>
      <w:proofErr w:type="spellEnd"/>
      <w:r w:rsidRPr="00543BFE">
        <w:rPr>
          <w:sz w:val="24"/>
          <w:szCs w:val="24"/>
        </w:rPr>
        <w:t xml:space="preserve"> og ribben ved store doser. Der er hos kaniner observeret embryo-</w:t>
      </w:r>
      <w:proofErr w:type="spellStart"/>
      <w:r w:rsidRPr="00543BFE">
        <w:rPr>
          <w:sz w:val="24"/>
          <w:szCs w:val="24"/>
        </w:rPr>
        <w:t>føtal</w:t>
      </w:r>
      <w:proofErr w:type="spellEnd"/>
      <w:r w:rsidRPr="00543BFE">
        <w:rPr>
          <w:sz w:val="24"/>
          <w:szCs w:val="24"/>
        </w:rPr>
        <w:t xml:space="preserve"> toksicitet (resorptioner), reduceret </w:t>
      </w:r>
      <w:proofErr w:type="spellStart"/>
      <w:r w:rsidRPr="00543BFE">
        <w:rPr>
          <w:sz w:val="24"/>
          <w:szCs w:val="24"/>
        </w:rPr>
        <w:t>ossifikation</w:t>
      </w:r>
      <w:proofErr w:type="spellEnd"/>
      <w:r w:rsidRPr="00543BFE">
        <w:rPr>
          <w:sz w:val="24"/>
          <w:szCs w:val="24"/>
        </w:rPr>
        <w:t xml:space="preserve"> (</w:t>
      </w:r>
      <w:proofErr w:type="spellStart"/>
      <w:r w:rsidRPr="00543BFE">
        <w:rPr>
          <w:sz w:val="24"/>
          <w:szCs w:val="24"/>
        </w:rPr>
        <w:t>hyoid</w:t>
      </w:r>
      <w:proofErr w:type="spellEnd"/>
      <w:r w:rsidRPr="00543BFE">
        <w:rPr>
          <w:sz w:val="24"/>
          <w:szCs w:val="24"/>
        </w:rPr>
        <w:t xml:space="preserve">) samt øget forekomst af 13. ribben ved store doser. I et </w:t>
      </w:r>
      <w:proofErr w:type="spellStart"/>
      <w:r w:rsidRPr="00543BFE">
        <w:rPr>
          <w:sz w:val="24"/>
          <w:szCs w:val="24"/>
        </w:rPr>
        <w:t>peri-postnatalt</w:t>
      </w:r>
      <w:proofErr w:type="spellEnd"/>
      <w:r w:rsidRPr="00543BFE">
        <w:rPr>
          <w:sz w:val="24"/>
          <w:szCs w:val="24"/>
        </w:rPr>
        <w:t xml:space="preserve"> studie med rotter blev der ikke observeret nogen bivirkninger hos afkommet. I et separat studie, hvor </w:t>
      </w:r>
      <w:proofErr w:type="spellStart"/>
      <w:r w:rsidRPr="00543BFE">
        <w:rPr>
          <w:sz w:val="24"/>
          <w:szCs w:val="24"/>
        </w:rPr>
        <w:t>entecavir</w:t>
      </w:r>
      <w:proofErr w:type="spellEnd"/>
      <w:r w:rsidRPr="00543BFE">
        <w:rPr>
          <w:sz w:val="24"/>
          <w:szCs w:val="24"/>
        </w:rPr>
        <w:t xml:space="preserve"> blev administreret til gravide, diegivende rotter med 10 mg/kg, påvistes både </w:t>
      </w:r>
      <w:proofErr w:type="spellStart"/>
      <w:r w:rsidRPr="00543BFE">
        <w:rPr>
          <w:sz w:val="24"/>
          <w:szCs w:val="24"/>
        </w:rPr>
        <w:t>føtal</w:t>
      </w:r>
      <w:proofErr w:type="spellEnd"/>
      <w:r w:rsidRPr="00543BFE">
        <w:rPr>
          <w:sz w:val="24"/>
          <w:szCs w:val="24"/>
        </w:rPr>
        <w:t xml:space="preserve"> optagelse af </w:t>
      </w:r>
      <w:proofErr w:type="spellStart"/>
      <w:r w:rsidRPr="00543BFE">
        <w:rPr>
          <w:sz w:val="24"/>
          <w:szCs w:val="24"/>
        </w:rPr>
        <w:t>entecavir</w:t>
      </w:r>
      <w:proofErr w:type="spellEnd"/>
      <w:r w:rsidRPr="00543BFE">
        <w:rPr>
          <w:sz w:val="24"/>
          <w:szCs w:val="24"/>
        </w:rPr>
        <w:t xml:space="preserve"> og udskillelse af </w:t>
      </w:r>
      <w:proofErr w:type="spellStart"/>
      <w:r w:rsidRPr="00543BFE">
        <w:rPr>
          <w:sz w:val="24"/>
          <w:szCs w:val="24"/>
        </w:rPr>
        <w:t>entecavir</w:t>
      </w:r>
      <w:proofErr w:type="spellEnd"/>
      <w:r w:rsidRPr="00543BFE">
        <w:rPr>
          <w:sz w:val="24"/>
          <w:szCs w:val="24"/>
        </w:rPr>
        <w:t xml:space="preserve"> i mælken. Hos unge rotter, der fik </w:t>
      </w:r>
      <w:proofErr w:type="spellStart"/>
      <w:r w:rsidRPr="00543BFE">
        <w:rPr>
          <w:sz w:val="24"/>
          <w:szCs w:val="24"/>
        </w:rPr>
        <w:t>entecavir</w:t>
      </w:r>
      <w:proofErr w:type="spellEnd"/>
      <w:r w:rsidRPr="00543BFE">
        <w:rPr>
          <w:sz w:val="24"/>
          <w:szCs w:val="24"/>
        </w:rPr>
        <w:t xml:space="preserve"> fra dag 4 til 80 </w:t>
      </w:r>
      <w:proofErr w:type="spellStart"/>
      <w:r w:rsidRPr="00543BFE">
        <w:rPr>
          <w:sz w:val="24"/>
          <w:szCs w:val="24"/>
        </w:rPr>
        <w:t>postnatalt</w:t>
      </w:r>
      <w:proofErr w:type="spellEnd"/>
      <w:r w:rsidRPr="00543BFE">
        <w:rPr>
          <w:sz w:val="24"/>
          <w:szCs w:val="24"/>
        </w:rPr>
        <w:t xml:space="preserve">, blev der observeret et reduceret respons for akustisk forskrækkelse i restitutionsperioden (dag 110 til 114 </w:t>
      </w:r>
      <w:proofErr w:type="spellStart"/>
      <w:r w:rsidRPr="00543BFE">
        <w:rPr>
          <w:sz w:val="24"/>
          <w:szCs w:val="24"/>
        </w:rPr>
        <w:t>postnatalt</w:t>
      </w:r>
      <w:proofErr w:type="spellEnd"/>
      <w:r w:rsidRPr="00543BFE">
        <w:rPr>
          <w:sz w:val="24"/>
          <w:szCs w:val="24"/>
        </w:rPr>
        <w:t xml:space="preserve">) men ikke i doseringsperioden, ved AUC-værdier ≥ 92 gange AUC hos mennesker ved en dosis på 0,5 mg eller den tilsvarende dosis til børn og unge. På grund af </w:t>
      </w:r>
      <w:proofErr w:type="spellStart"/>
      <w:r w:rsidRPr="00543BFE">
        <w:rPr>
          <w:sz w:val="24"/>
          <w:szCs w:val="24"/>
        </w:rPr>
        <w:t>eksponeringmarginen</w:t>
      </w:r>
      <w:proofErr w:type="spellEnd"/>
      <w:r w:rsidRPr="00543BFE">
        <w:rPr>
          <w:sz w:val="24"/>
          <w:szCs w:val="24"/>
        </w:rPr>
        <w:t xml:space="preserve"> anses det for usandsynligt, at disse fund har klinisk betydning.</w:t>
      </w:r>
    </w:p>
    <w:p w:rsidR="008D5948" w:rsidRPr="00543BFE" w:rsidRDefault="008D5948" w:rsidP="008D5948">
      <w:pPr>
        <w:numPr>
          <w:ilvl w:val="12"/>
          <w:numId w:val="0"/>
        </w:numPr>
        <w:ind w:left="851" w:right="11" w:hanging="851"/>
        <w:rPr>
          <w:sz w:val="24"/>
          <w:szCs w:val="24"/>
        </w:rPr>
      </w:pPr>
    </w:p>
    <w:p w:rsidR="008D5948" w:rsidRPr="00543BFE" w:rsidRDefault="008D5948" w:rsidP="008D5948">
      <w:pPr>
        <w:numPr>
          <w:ilvl w:val="12"/>
          <w:numId w:val="0"/>
        </w:numPr>
        <w:ind w:left="851" w:right="11"/>
        <w:rPr>
          <w:sz w:val="24"/>
          <w:szCs w:val="24"/>
        </w:rPr>
      </w:pPr>
      <w:r w:rsidRPr="00543BFE">
        <w:rPr>
          <w:sz w:val="24"/>
          <w:szCs w:val="24"/>
        </w:rPr>
        <w:t xml:space="preserve">Der blev ikke observeret evidens på genotoksicitet i </w:t>
      </w:r>
      <w:proofErr w:type="spellStart"/>
      <w:r w:rsidRPr="00543BFE">
        <w:rPr>
          <w:sz w:val="24"/>
          <w:szCs w:val="24"/>
        </w:rPr>
        <w:t>Ames</w:t>
      </w:r>
      <w:proofErr w:type="spellEnd"/>
      <w:r w:rsidRPr="00543BFE">
        <w:rPr>
          <w:sz w:val="24"/>
          <w:szCs w:val="24"/>
        </w:rPr>
        <w:t xml:space="preserve"> mikrobielle </w:t>
      </w:r>
      <w:proofErr w:type="spellStart"/>
      <w:r w:rsidRPr="00543BFE">
        <w:rPr>
          <w:sz w:val="24"/>
          <w:szCs w:val="24"/>
        </w:rPr>
        <w:t>mutagenicitets</w:t>
      </w:r>
      <w:r>
        <w:rPr>
          <w:sz w:val="24"/>
          <w:szCs w:val="24"/>
        </w:rPr>
        <w:softHyphen/>
      </w:r>
      <w:r w:rsidRPr="00543BFE">
        <w:rPr>
          <w:sz w:val="24"/>
          <w:szCs w:val="24"/>
        </w:rPr>
        <w:t>assay</w:t>
      </w:r>
      <w:proofErr w:type="spellEnd"/>
      <w:r w:rsidRPr="00543BFE">
        <w:rPr>
          <w:sz w:val="24"/>
          <w:szCs w:val="24"/>
        </w:rPr>
        <w:t>, en genmutations-</w:t>
      </w:r>
      <w:proofErr w:type="spellStart"/>
      <w:r w:rsidRPr="00543BFE">
        <w:rPr>
          <w:sz w:val="24"/>
          <w:szCs w:val="24"/>
        </w:rPr>
        <w:t>assay</w:t>
      </w:r>
      <w:proofErr w:type="spellEnd"/>
      <w:r w:rsidRPr="00543BFE">
        <w:rPr>
          <w:sz w:val="24"/>
          <w:szCs w:val="24"/>
        </w:rPr>
        <w:t xml:space="preserve"> med pattedyrsceller og en transformations-</w:t>
      </w:r>
      <w:proofErr w:type="spellStart"/>
      <w:r w:rsidRPr="00543BFE">
        <w:rPr>
          <w:sz w:val="24"/>
          <w:szCs w:val="24"/>
        </w:rPr>
        <w:t>assay</w:t>
      </w:r>
      <w:proofErr w:type="spellEnd"/>
      <w:r w:rsidRPr="00543BFE">
        <w:rPr>
          <w:sz w:val="24"/>
          <w:szCs w:val="24"/>
        </w:rPr>
        <w:t xml:space="preserve"> med embryoceller fra syriske hamster. Et </w:t>
      </w:r>
      <w:proofErr w:type="spellStart"/>
      <w:r w:rsidRPr="00543BFE">
        <w:rPr>
          <w:sz w:val="24"/>
          <w:szCs w:val="24"/>
        </w:rPr>
        <w:t>mikronukleus</w:t>
      </w:r>
      <w:proofErr w:type="spellEnd"/>
      <w:r w:rsidRPr="00543BFE">
        <w:rPr>
          <w:sz w:val="24"/>
          <w:szCs w:val="24"/>
        </w:rPr>
        <w:t xml:space="preserve">-studie og et dna-reparationsstudie med rotter var ligeledes negative. </w:t>
      </w:r>
      <w:proofErr w:type="spellStart"/>
      <w:r w:rsidRPr="00543BFE">
        <w:rPr>
          <w:sz w:val="24"/>
          <w:szCs w:val="24"/>
        </w:rPr>
        <w:t>Entecavir</w:t>
      </w:r>
      <w:proofErr w:type="spellEnd"/>
      <w:r w:rsidRPr="00543BFE">
        <w:rPr>
          <w:sz w:val="24"/>
          <w:szCs w:val="24"/>
        </w:rPr>
        <w:t xml:space="preserve"> var </w:t>
      </w:r>
      <w:proofErr w:type="spellStart"/>
      <w:r w:rsidRPr="00543BFE">
        <w:rPr>
          <w:sz w:val="24"/>
          <w:szCs w:val="24"/>
        </w:rPr>
        <w:t>clastogent</w:t>
      </w:r>
      <w:proofErr w:type="spellEnd"/>
      <w:r w:rsidRPr="00543BFE">
        <w:rPr>
          <w:sz w:val="24"/>
          <w:szCs w:val="24"/>
        </w:rPr>
        <w:t xml:space="preserve"> over for humane lymfocytkulturer ved koncentrationer, der var betragteligt større end de kliniske.</w:t>
      </w:r>
    </w:p>
    <w:p w:rsidR="008D5948" w:rsidRPr="00543BFE" w:rsidRDefault="008D5948" w:rsidP="008D5948">
      <w:pPr>
        <w:numPr>
          <w:ilvl w:val="12"/>
          <w:numId w:val="0"/>
        </w:numPr>
        <w:ind w:left="851" w:right="11" w:hanging="851"/>
        <w:rPr>
          <w:sz w:val="24"/>
          <w:szCs w:val="24"/>
        </w:rPr>
      </w:pPr>
    </w:p>
    <w:p w:rsidR="002574EE" w:rsidRDefault="008D5948" w:rsidP="002574EE">
      <w:pPr>
        <w:numPr>
          <w:ilvl w:val="12"/>
          <w:numId w:val="0"/>
        </w:numPr>
        <w:ind w:left="851" w:right="11"/>
        <w:rPr>
          <w:sz w:val="24"/>
          <w:szCs w:val="24"/>
        </w:rPr>
      </w:pPr>
      <w:r w:rsidRPr="00543BFE">
        <w:rPr>
          <w:sz w:val="24"/>
          <w:szCs w:val="24"/>
        </w:rPr>
        <w:t xml:space="preserve">I 2-årige </w:t>
      </w:r>
      <w:proofErr w:type="spellStart"/>
      <w:r w:rsidRPr="00543BFE">
        <w:rPr>
          <w:sz w:val="24"/>
          <w:szCs w:val="24"/>
        </w:rPr>
        <w:t>carcinogenicitetsstudier</w:t>
      </w:r>
      <w:proofErr w:type="spellEnd"/>
      <w:r w:rsidRPr="00543BFE">
        <w:rPr>
          <w:sz w:val="24"/>
          <w:szCs w:val="24"/>
        </w:rPr>
        <w:t xml:space="preserve"> med </w:t>
      </w:r>
      <w:proofErr w:type="spellStart"/>
      <w:r w:rsidRPr="00543BFE">
        <w:rPr>
          <w:sz w:val="24"/>
          <w:szCs w:val="24"/>
        </w:rPr>
        <w:t>hanmus</w:t>
      </w:r>
      <w:proofErr w:type="spellEnd"/>
      <w:r w:rsidRPr="00543BFE">
        <w:rPr>
          <w:sz w:val="24"/>
          <w:szCs w:val="24"/>
        </w:rPr>
        <w:t xml:space="preserve"> blev der observeret stigninger i forekomsten af lungetumorer ved doser ≥ 4 og ≥ 2 gange humandosis ved doser på henholdsvis 0,5 mg </w:t>
      </w:r>
      <w:r w:rsidRPr="00543BFE">
        <w:rPr>
          <w:sz w:val="24"/>
          <w:szCs w:val="24"/>
        </w:rPr>
        <w:lastRenderedPageBreak/>
        <w:t xml:space="preserve">og 1 mg. Tumorudviklingen blev </w:t>
      </w:r>
      <w:proofErr w:type="spellStart"/>
      <w:r w:rsidRPr="00543BFE">
        <w:rPr>
          <w:sz w:val="24"/>
          <w:szCs w:val="24"/>
        </w:rPr>
        <w:t>forudgået</w:t>
      </w:r>
      <w:proofErr w:type="spellEnd"/>
      <w:r w:rsidRPr="00543BFE">
        <w:rPr>
          <w:sz w:val="24"/>
          <w:szCs w:val="24"/>
        </w:rPr>
        <w:t xml:space="preserve"> af </w:t>
      </w:r>
      <w:proofErr w:type="spellStart"/>
      <w:r w:rsidRPr="00543BFE">
        <w:rPr>
          <w:sz w:val="24"/>
          <w:szCs w:val="24"/>
        </w:rPr>
        <w:t>pneumocytproliferation</w:t>
      </w:r>
      <w:proofErr w:type="spellEnd"/>
      <w:r w:rsidRPr="00543BFE">
        <w:rPr>
          <w:sz w:val="24"/>
          <w:szCs w:val="24"/>
        </w:rPr>
        <w:t xml:space="preserve"> i lungen, som ikke observeredes hos rotter, hunde eller aber, hvilket tyder på, at nøglehændelsen i udviklingen af lungetumorer hos mus sandsynligvis er artsspecifik. Øget forekomst af andre tumorer, inklusive hjernegliomer hos han- og hunrotter, </w:t>
      </w:r>
      <w:proofErr w:type="spellStart"/>
      <w:r w:rsidRPr="00543BFE">
        <w:rPr>
          <w:sz w:val="24"/>
          <w:szCs w:val="24"/>
        </w:rPr>
        <w:t>levercarcinomer</w:t>
      </w:r>
      <w:proofErr w:type="spellEnd"/>
      <w:r w:rsidRPr="00543BFE">
        <w:rPr>
          <w:sz w:val="24"/>
          <w:szCs w:val="24"/>
        </w:rPr>
        <w:t xml:space="preserve"> hos </w:t>
      </w:r>
      <w:proofErr w:type="spellStart"/>
      <w:r w:rsidRPr="00543BFE">
        <w:rPr>
          <w:sz w:val="24"/>
          <w:szCs w:val="24"/>
        </w:rPr>
        <w:t>hanmus</w:t>
      </w:r>
      <w:proofErr w:type="spellEnd"/>
      <w:r w:rsidRPr="00543BFE">
        <w:rPr>
          <w:sz w:val="24"/>
          <w:szCs w:val="24"/>
        </w:rPr>
        <w:t xml:space="preserve">, benigne </w:t>
      </w:r>
      <w:proofErr w:type="spellStart"/>
      <w:r w:rsidRPr="00543BFE">
        <w:rPr>
          <w:sz w:val="24"/>
          <w:szCs w:val="24"/>
        </w:rPr>
        <w:t>vaskulæretumorer</w:t>
      </w:r>
      <w:proofErr w:type="spellEnd"/>
      <w:r w:rsidRPr="00543BFE">
        <w:rPr>
          <w:sz w:val="24"/>
          <w:szCs w:val="24"/>
        </w:rPr>
        <w:t xml:space="preserve"> hos </w:t>
      </w:r>
      <w:proofErr w:type="spellStart"/>
      <w:r w:rsidRPr="00543BFE">
        <w:rPr>
          <w:sz w:val="24"/>
          <w:szCs w:val="24"/>
        </w:rPr>
        <w:t>hunmus</w:t>
      </w:r>
      <w:proofErr w:type="spellEnd"/>
      <w:r w:rsidRPr="00543BFE">
        <w:rPr>
          <w:sz w:val="24"/>
          <w:szCs w:val="24"/>
        </w:rPr>
        <w:t xml:space="preserve"> samt </w:t>
      </w:r>
      <w:proofErr w:type="spellStart"/>
      <w:r w:rsidRPr="00543BFE">
        <w:rPr>
          <w:sz w:val="24"/>
          <w:szCs w:val="24"/>
        </w:rPr>
        <w:t>leveradenomer</w:t>
      </w:r>
      <w:proofErr w:type="spellEnd"/>
      <w:r w:rsidRPr="00543BFE">
        <w:rPr>
          <w:sz w:val="24"/>
          <w:szCs w:val="24"/>
        </w:rPr>
        <w:t xml:space="preserve"> og </w:t>
      </w:r>
      <w:proofErr w:type="spellStart"/>
      <w:r w:rsidRPr="00543BFE">
        <w:rPr>
          <w:sz w:val="24"/>
          <w:szCs w:val="24"/>
        </w:rPr>
        <w:t>carcinomer</w:t>
      </w:r>
      <w:proofErr w:type="spellEnd"/>
      <w:r w:rsidRPr="00543BFE">
        <w:rPr>
          <w:sz w:val="24"/>
          <w:szCs w:val="24"/>
        </w:rPr>
        <w:t xml:space="preserve"> hos hunrotter blev udelukkende observeret ved høje livstidsdoser. Det er dog ikke muligt at bestemme præcise nul-effektniveauer. Det vides ikke, om fundene er prædiktive for mennesker.</w:t>
      </w:r>
      <w:r w:rsidR="002574EE">
        <w:rPr>
          <w:sz w:val="24"/>
          <w:szCs w:val="24"/>
        </w:rPr>
        <w:t xml:space="preserve"> </w:t>
      </w:r>
    </w:p>
    <w:p w:rsidR="002574EE" w:rsidRPr="00280FE8" w:rsidRDefault="002574EE" w:rsidP="002574EE">
      <w:pPr>
        <w:numPr>
          <w:ilvl w:val="12"/>
          <w:numId w:val="0"/>
        </w:numPr>
        <w:ind w:left="851" w:right="11"/>
        <w:rPr>
          <w:sz w:val="24"/>
          <w:szCs w:val="24"/>
        </w:rPr>
      </w:pPr>
      <w:r w:rsidRPr="004C1C4D">
        <w:rPr>
          <w:rFonts w:ascii="TimesNewRomanPSMT" w:hAnsi="TimesNewRomanPSMT" w:cs="TimesNewRomanPSMT"/>
          <w:sz w:val="24"/>
          <w:szCs w:val="24"/>
          <w:lang w:eastAsia="da-DK"/>
        </w:rPr>
        <w:t>Se pkt. 5.1 for kliniske data.</w:t>
      </w:r>
    </w:p>
    <w:p w:rsidR="008D5948" w:rsidRPr="00543BFE" w:rsidRDefault="008D5948" w:rsidP="008D5948">
      <w:pPr>
        <w:ind w:left="851" w:hanging="851"/>
        <w:rPr>
          <w:sz w:val="24"/>
          <w:szCs w:val="24"/>
        </w:rPr>
      </w:pP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6.</w:t>
      </w:r>
      <w:r w:rsidRPr="00543BFE">
        <w:rPr>
          <w:b/>
          <w:sz w:val="24"/>
          <w:szCs w:val="24"/>
        </w:rPr>
        <w:tab/>
        <w:t>FARMACEUTISKE OPLYSNINGER</w:t>
      </w: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6.1</w:t>
      </w:r>
      <w:r w:rsidRPr="00543BFE">
        <w:rPr>
          <w:b/>
          <w:sz w:val="24"/>
          <w:szCs w:val="24"/>
        </w:rPr>
        <w:tab/>
        <w:t>Hjælpestoffer</w:t>
      </w:r>
    </w:p>
    <w:p w:rsidR="008D5948" w:rsidRPr="00543BFE" w:rsidRDefault="008D5948" w:rsidP="008D5948">
      <w:pPr>
        <w:ind w:left="851" w:hanging="851"/>
        <w:rPr>
          <w:sz w:val="24"/>
          <w:szCs w:val="24"/>
          <w:lang w:eastAsia="da-DK"/>
        </w:rPr>
      </w:pPr>
    </w:p>
    <w:p w:rsidR="008D5948" w:rsidRPr="00543BFE" w:rsidRDefault="008D5948" w:rsidP="008D5948">
      <w:pPr>
        <w:ind w:left="851"/>
        <w:rPr>
          <w:b/>
          <w:sz w:val="24"/>
          <w:szCs w:val="24"/>
          <w:u w:val="single"/>
        </w:rPr>
      </w:pPr>
      <w:proofErr w:type="spellStart"/>
      <w:r w:rsidRPr="00543BFE">
        <w:rPr>
          <w:b/>
          <w:sz w:val="24"/>
          <w:szCs w:val="24"/>
          <w:u w:val="single"/>
        </w:rPr>
        <w:t>Entecavir</w:t>
      </w:r>
      <w:proofErr w:type="spellEnd"/>
      <w:r w:rsidRPr="00543BFE">
        <w:rPr>
          <w:b/>
          <w:sz w:val="24"/>
          <w:szCs w:val="24"/>
          <w:u w:val="single"/>
        </w:rPr>
        <w:t xml:space="preserve"> </w:t>
      </w:r>
      <w:r>
        <w:rPr>
          <w:b/>
          <w:sz w:val="24"/>
          <w:szCs w:val="24"/>
          <w:u w:val="single"/>
        </w:rPr>
        <w:t>"</w:t>
      </w:r>
      <w:proofErr w:type="spellStart"/>
      <w:r w:rsidRPr="00543BFE">
        <w:rPr>
          <w:b/>
          <w:sz w:val="24"/>
          <w:szCs w:val="24"/>
          <w:u w:val="single"/>
        </w:rPr>
        <w:t>Teva</w:t>
      </w:r>
      <w:proofErr w:type="spellEnd"/>
      <w:r>
        <w:rPr>
          <w:b/>
          <w:sz w:val="24"/>
          <w:szCs w:val="24"/>
          <w:u w:val="single"/>
        </w:rPr>
        <w:t>"</w:t>
      </w:r>
      <w:r w:rsidRPr="00543BFE">
        <w:rPr>
          <w:b/>
          <w:sz w:val="24"/>
          <w:szCs w:val="24"/>
          <w:u w:val="single"/>
        </w:rPr>
        <w:t xml:space="preserve"> 0,5 mg filmovertrukne tabletter</w:t>
      </w:r>
    </w:p>
    <w:p w:rsidR="008D5948" w:rsidRPr="00543BFE" w:rsidRDefault="008D5948" w:rsidP="008D5948">
      <w:pPr>
        <w:ind w:left="851"/>
        <w:rPr>
          <w:sz w:val="24"/>
          <w:szCs w:val="24"/>
        </w:rPr>
      </w:pPr>
    </w:p>
    <w:p w:rsidR="008D5948" w:rsidRPr="00543BFE" w:rsidRDefault="008D5948" w:rsidP="008D5948">
      <w:pPr>
        <w:ind w:left="851"/>
        <w:rPr>
          <w:sz w:val="24"/>
          <w:szCs w:val="24"/>
          <w:u w:val="single"/>
        </w:rPr>
      </w:pPr>
      <w:r w:rsidRPr="00543BFE">
        <w:rPr>
          <w:sz w:val="24"/>
          <w:szCs w:val="24"/>
          <w:u w:val="single"/>
        </w:rPr>
        <w:t>Tabletkerne:</w:t>
      </w:r>
    </w:p>
    <w:p w:rsidR="008D5948" w:rsidRPr="00543BFE" w:rsidRDefault="008D5948" w:rsidP="008D5948">
      <w:pPr>
        <w:ind w:left="851"/>
        <w:rPr>
          <w:sz w:val="24"/>
          <w:szCs w:val="24"/>
        </w:rPr>
      </w:pPr>
      <w:proofErr w:type="spellStart"/>
      <w:r w:rsidRPr="00543BFE">
        <w:rPr>
          <w:sz w:val="24"/>
          <w:szCs w:val="24"/>
        </w:rPr>
        <w:t>Mannitol</w:t>
      </w:r>
      <w:proofErr w:type="spellEnd"/>
      <w:r w:rsidRPr="00543BFE">
        <w:rPr>
          <w:sz w:val="24"/>
          <w:szCs w:val="24"/>
        </w:rPr>
        <w:t xml:space="preserve"> (E421)</w:t>
      </w:r>
    </w:p>
    <w:p w:rsidR="008D5948" w:rsidRPr="00543BFE" w:rsidRDefault="008D5948" w:rsidP="008D5948">
      <w:pPr>
        <w:ind w:left="851"/>
        <w:rPr>
          <w:sz w:val="24"/>
          <w:szCs w:val="24"/>
        </w:rPr>
      </w:pPr>
      <w:r w:rsidRPr="00543BFE">
        <w:rPr>
          <w:sz w:val="24"/>
          <w:szCs w:val="24"/>
        </w:rPr>
        <w:t>Cellulose, mikrokrystallinsk (E460)</w:t>
      </w:r>
    </w:p>
    <w:p w:rsidR="008D5948" w:rsidRPr="00543BFE" w:rsidRDefault="008D5948" w:rsidP="008D5948">
      <w:pPr>
        <w:ind w:left="851"/>
        <w:rPr>
          <w:sz w:val="24"/>
          <w:szCs w:val="24"/>
        </w:rPr>
      </w:pPr>
      <w:r w:rsidRPr="00543BFE">
        <w:rPr>
          <w:sz w:val="24"/>
          <w:szCs w:val="24"/>
        </w:rPr>
        <w:t xml:space="preserve">Majsstivelse, </w:t>
      </w:r>
      <w:proofErr w:type="spellStart"/>
      <w:r w:rsidRPr="00543BFE">
        <w:rPr>
          <w:sz w:val="24"/>
          <w:szCs w:val="24"/>
        </w:rPr>
        <w:t>pr</w:t>
      </w:r>
      <w:r>
        <w:rPr>
          <w:sz w:val="24"/>
          <w:szCs w:val="24"/>
        </w:rPr>
        <w:t>e</w:t>
      </w:r>
      <w:r w:rsidRPr="00543BFE">
        <w:rPr>
          <w:sz w:val="24"/>
          <w:szCs w:val="24"/>
        </w:rPr>
        <w:t>gelatineret</w:t>
      </w:r>
      <w:proofErr w:type="spellEnd"/>
      <w:r w:rsidRPr="00543BFE">
        <w:rPr>
          <w:sz w:val="24"/>
          <w:szCs w:val="24"/>
        </w:rPr>
        <w:t xml:space="preserve"> </w:t>
      </w:r>
    </w:p>
    <w:p w:rsidR="008D5948" w:rsidRPr="00543BFE" w:rsidRDefault="008D5948" w:rsidP="008D5948">
      <w:pPr>
        <w:ind w:left="851"/>
        <w:rPr>
          <w:sz w:val="24"/>
          <w:szCs w:val="24"/>
        </w:rPr>
      </w:pPr>
      <w:proofErr w:type="spellStart"/>
      <w:r w:rsidRPr="00543BFE">
        <w:rPr>
          <w:sz w:val="24"/>
          <w:szCs w:val="24"/>
        </w:rPr>
        <w:t>Crospovidon</w:t>
      </w:r>
      <w:proofErr w:type="spellEnd"/>
      <w:r w:rsidRPr="00543BFE">
        <w:rPr>
          <w:sz w:val="24"/>
          <w:szCs w:val="24"/>
        </w:rPr>
        <w:t xml:space="preserve">, type A (E1202) </w:t>
      </w:r>
    </w:p>
    <w:p w:rsidR="008D5948" w:rsidRPr="00543BFE" w:rsidRDefault="008D5948" w:rsidP="008D5948">
      <w:pPr>
        <w:ind w:left="851"/>
        <w:rPr>
          <w:sz w:val="24"/>
          <w:szCs w:val="24"/>
        </w:rPr>
      </w:pPr>
      <w:proofErr w:type="spellStart"/>
      <w:r w:rsidRPr="00543BFE">
        <w:rPr>
          <w:sz w:val="24"/>
          <w:szCs w:val="24"/>
        </w:rPr>
        <w:t>Magnesiumsterat</w:t>
      </w:r>
      <w:proofErr w:type="spellEnd"/>
    </w:p>
    <w:p w:rsidR="008D5948" w:rsidRPr="00543BFE" w:rsidRDefault="008D5948" w:rsidP="008D5948">
      <w:pPr>
        <w:ind w:left="851"/>
        <w:rPr>
          <w:sz w:val="24"/>
          <w:szCs w:val="24"/>
        </w:rPr>
      </w:pPr>
    </w:p>
    <w:p w:rsidR="008D5948" w:rsidRPr="00543BFE" w:rsidRDefault="008D5948" w:rsidP="008D5948">
      <w:pPr>
        <w:ind w:left="851"/>
        <w:rPr>
          <w:sz w:val="24"/>
          <w:szCs w:val="24"/>
          <w:u w:val="single"/>
        </w:rPr>
      </w:pPr>
      <w:r w:rsidRPr="00543BFE">
        <w:rPr>
          <w:sz w:val="24"/>
          <w:szCs w:val="24"/>
          <w:u w:val="single"/>
        </w:rPr>
        <w:t>Tabletovertræk:</w:t>
      </w:r>
    </w:p>
    <w:p w:rsidR="008D5948" w:rsidRPr="00543BFE" w:rsidRDefault="008D5948" w:rsidP="008D5948">
      <w:pPr>
        <w:ind w:left="851"/>
        <w:rPr>
          <w:sz w:val="24"/>
          <w:szCs w:val="24"/>
        </w:rPr>
      </w:pPr>
      <w:proofErr w:type="spellStart"/>
      <w:r w:rsidRPr="00543BFE">
        <w:rPr>
          <w:sz w:val="24"/>
          <w:szCs w:val="24"/>
        </w:rPr>
        <w:t>Poly</w:t>
      </w:r>
      <w:proofErr w:type="spellEnd"/>
      <w:r w:rsidRPr="00543BFE">
        <w:rPr>
          <w:sz w:val="24"/>
          <w:szCs w:val="24"/>
        </w:rPr>
        <w:t>(vinylalkohol), delvist hydrolyseret (E1203)</w:t>
      </w:r>
    </w:p>
    <w:p w:rsidR="008D5948" w:rsidRPr="00543BFE" w:rsidRDefault="008D5948" w:rsidP="008D5948">
      <w:pPr>
        <w:ind w:left="851"/>
        <w:rPr>
          <w:sz w:val="24"/>
          <w:szCs w:val="24"/>
          <w:lang w:val="en-US"/>
        </w:rPr>
      </w:pPr>
      <w:proofErr w:type="spellStart"/>
      <w:r w:rsidRPr="00543BFE">
        <w:rPr>
          <w:sz w:val="24"/>
          <w:szCs w:val="24"/>
          <w:lang w:val="en-US"/>
        </w:rPr>
        <w:t>Titandioxid</w:t>
      </w:r>
      <w:proofErr w:type="spellEnd"/>
      <w:r w:rsidRPr="00543BFE">
        <w:rPr>
          <w:sz w:val="24"/>
          <w:szCs w:val="24"/>
          <w:lang w:val="en-US"/>
        </w:rPr>
        <w:t xml:space="preserve"> (E171)</w:t>
      </w:r>
    </w:p>
    <w:p w:rsidR="008D5948" w:rsidRPr="00543BFE" w:rsidRDefault="008D5948" w:rsidP="008D5948">
      <w:pPr>
        <w:ind w:left="851"/>
        <w:rPr>
          <w:sz w:val="24"/>
          <w:szCs w:val="24"/>
          <w:lang w:val="en-US"/>
        </w:rPr>
      </w:pPr>
      <w:r w:rsidRPr="00543BFE">
        <w:rPr>
          <w:sz w:val="24"/>
          <w:szCs w:val="24"/>
          <w:lang w:val="en-US"/>
        </w:rPr>
        <w:t>Macrogol 3350 (</w:t>
      </w:r>
      <w:proofErr w:type="spellStart"/>
      <w:r w:rsidRPr="00543BFE">
        <w:rPr>
          <w:sz w:val="24"/>
          <w:szCs w:val="24"/>
          <w:lang w:val="en-US"/>
        </w:rPr>
        <w:t>polyetylenglycol</w:t>
      </w:r>
      <w:proofErr w:type="spellEnd"/>
      <w:r w:rsidRPr="00543BFE">
        <w:rPr>
          <w:sz w:val="24"/>
          <w:szCs w:val="24"/>
          <w:lang w:val="en-US"/>
        </w:rPr>
        <w:t>)</w:t>
      </w:r>
    </w:p>
    <w:p w:rsidR="008D5948" w:rsidRPr="00543BFE" w:rsidRDefault="008D5948" w:rsidP="008D5948">
      <w:pPr>
        <w:ind w:left="851"/>
        <w:rPr>
          <w:sz w:val="24"/>
          <w:szCs w:val="24"/>
          <w:lang w:val="en-US"/>
        </w:rPr>
      </w:pPr>
      <w:r w:rsidRPr="00543BFE">
        <w:rPr>
          <w:sz w:val="24"/>
          <w:szCs w:val="24"/>
          <w:lang w:val="en-US"/>
        </w:rPr>
        <w:t>Talcum (E553b)</w:t>
      </w:r>
    </w:p>
    <w:p w:rsidR="008D5948" w:rsidRPr="00543BFE" w:rsidRDefault="008D5948" w:rsidP="008D5948">
      <w:pPr>
        <w:ind w:left="851"/>
        <w:rPr>
          <w:sz w:val="24"/>
          <w:szCs w:val="24"/>
          <w:lang w:val="en-US"/>
        </w:rPr>
      </w:pPr>
    </w:p>
    <w:p w:rsidR="008D5948" w:rsidRPr="00543BFE" w:rsidRDefault="008D5948" w:rsidP="008D5948">
      <w:pPr>
        <w:ind w:left="851"/>
        <w:rPr>
          <w:b/>
          <w:sz w:val="24"/>
          <w:szCs w:val="24"/>
          <w:u w:val="single"/>
        </w:rPr>
      </w:pPr>
      <w:proofErr w:type="spellStart"/>
      <w:r w:rsidRPr="00543BFE">
        <w:rPr>
          <w:b/>
          <w:sz w:val="24"/>
          <w:szCs w:val="24"/>
          <w:u w:val="single"/>
        </w:rPr>
        <w:t>Entecavir</w:t>
      </w:r>
      <w:proofErr w:type="spellEnd"/>
      <w:r w:rsidRPr="00543BFE">
        <w:rPr>
          <w:b/>
          <w:sz w:val="24"/>
          <w:szCs w:val="24"/>
          <w:u w:val="single"/>
        </w:rPr>
        <w:t xml:space="preserve"> </w:t>
      </w:r>
      <w:r>
        <w:rPr>
          <w:b/>
          <w:sz w:val="24"/>
          <w:szCs w:val="24"/>
          <w:u w:val="single"/>
        </w:rPr>
        <w:t>"</w:t>
      </w:r>
      <w:proofErr w:type="spellStart"/>
      <w:r w:rsidRPr="00543BFE">
        <w:rPr>
          <w:b/>
          <w:sz w:val="24"/>
          <w:szCs w:val="24"/>
          <w:u w:val="single"/>
        </w:rPr>
        <w:t>Teva</w:t>
      </w:r>
      <w:proofErr w:type="spellEnd"/>
      <w:r>
        <w:rPr>
          <w:b/>
          <w:sz w:val="24"/>
          <w:szCs w:val="24"/>
          <w:u w:val="single"/>
        </w:rPr>
        <w:t>"</w:t>
      </w:r>
      <w:r w:rsidRPr="00543BFE">
        <w:rPr>
          <w:b/>
          <w:sz w:val="24"/>
          <w:szCs w:val="24"/>
          <w:u w:val="single"/>
        </w:rPr>
        <w:t xml:space="preserve"> 1 mg filmovertrukne tabletter</w:t>
      </w:r>
    </w:p>
    <w:p w:rsidR="008D5948" w:rsidRPr="00543BFE" w:rsidRDefault="008D5948" w:rsidP="008D5948">
      <w:pPr>
        <w:ind w:left="851"/>
        <w:rPr>
          <w:sz w:val="24"/>
          <w:szCs w:val="24"/>
        </w:rPr>
      </w:pPr>
    </w:p>
    <w:p w:rsidR="008D5948" w:rsidRPr="00543BFE" w:rsidRDefault="008D5948" w:rsidP="008D5948">
      <w:pPr>
        <w:ind w:left="851"/>
        <w:rPr>
          <w:sz w:val="24"/>
          <w:szCs w:val="24"/>
          <w:u w:val="single"/>
        </w:rPr>
      </w:pPr>
      <w:r w:rsidRPr="00543BFE">
        <w:rPr>
          <w:sz w:val="24"/>
          <w:szCs w:val="24"/>
          <w:u w:val="single"/>
        </w:rPr>
        <w:t>Tabletkerne:</w:t>
      </w:r>
    </w:p>
    <w:p w:rsidR="008D5948" w:rsidRPr="00543BFE" w:rsidRDefault="008D5948" w:rsidP="008D5948">
      <w:pPr>
        <w:ind w:left="851"/>
        <w:rPr>
          <w:sz w:val="24"/>
          <w:szCs w:val="24"/>
        </w:rPr>
      </w:pPr>
      <w:proofErr w:type="spellStart"/>
      <w:r w:rsidRPr="00543BFE">
        <w:rPr>
          <w:sz w:val="24"/>
          <w:szCs w:val="24"/>
        </w:rPr>
        <w:t>Mannitol</w:t>
      </w:r>
      <w:proofErr w:type="spellEnd"/>
      <w:r w:rsidRPr="00543BFE">
        <w:rPr>
          <w:sz w:val="24"/>
          <w:szCs w:val="24"/>
        </w:rPr>
        <w:t xml:space="preserve"> (E421)</w:t>
      </w:r>
    </w:p>
    <w:p w:rsidR="008D5948" w:rsidRPr="00543BFE" w:rsidRDefault="008D5948" w:rsidP="008D5948">
      <w:pPr>
        <w:ind w:left="851"/>
        <w:rPr>
          <w:sz w:val="24"/>
          <w:szCs w:val="24"/>
        </w:rPr>
      </w:pPr>
      <w:r w:rsidRPr="00543BFE">
        <w:rPr>
          <w:sz w:val="24"/>
          <w:szCs w:val="24"/>
        </w:rPr>
        <w:t>Cellulose, mikrokrystallinsk (E460)</w:t>
      </w:r>
    </w:p>
    <w:p w:rsidR="008D5948" w:rsidRPr="00543BFE" w:rsidRDefault="008D5948" w:rsidP="008D5948">
      <w:pPr>
        <w:ind w:left="851"/>
        <w:rPr>
          <w:sz w:val="24"/>
          <w:szCs w:val="24"/>
        </w:rPr>
      </w:pPr>
      <w:r w:rsidRPr="00543BFE">
        <w:rPr>
          <w:sz w:val="24"/>
          <w:szCs w:val="24"/>
        </w:rPr>
        <w:t xml:space="preserve">Majsstivelse, </w:t>
      </w:r>
      <w:proofErr w:type="spellStart"/>
      <w:r w:rsidRPr="00543BFE">
        <w:rPr>
          <w:sz w:val="24"/>
          <w:szCs w:val="24"/>
        </w:rPr>
        <w:t>pr</w:t>
      </w:r>
      <w:r>
        <w:rPr>
          <w:sz w:val="24"/>
          <w:szCs w:val="24"/>
        </w:rPr>
        <w:t>e</w:t>
      </w:r>
      <w:r w:rsidRPr="00543BFE">
        <w:rPr>
          <w:sz w:val="24"/>
          <w:szCs w:val="24"/>
        </w:rPr>
        <w:t>gelatineret</w:t>
      </w:r>
      <w:proofErr w:type="spellEnd"/>
      <w:r w:rsidRPr="00543BFE">
        <w:rPr>
          <w:sz w:val="24"/>
          <w:szCs w:val="24"/>
        </w:rPr>
        <w:t xml:space="preserve"> </w:t>
      </w:r>
    </w:p>
    <w:p w:rsidR="008D5948" w:rsidRPr="00543BFE" w:rsidRDefault="008D5948" w:rsidP="008D5948">
      <w:pPr>
        <w:ind w:left="851"/>
        <w:rPr>
          <w:sz w:val="24"/>
          <w:szCs w:val="24"/>
        </w:rPr>
      </w:pPr>
      <w:proofErr w:type="spellStart"/>
      <w:r w:rsidRPr="00543BFE">
        <w:rPr>
          <w:sz w:val="24"/>
          <w:szCs w:val="24"/>
        </w:rPr>
        <w:t>Crospovidon</w:t>
      </w:r>
      <w:proofErr w:type="spellEnd"/>
      <w:r w:rsidRPr="00543BFE">
        <w:rPr>
          <w:sz w:val="24"/>
          <w:szCs w:val="24"/>
        </w:rPr>
        <w:t xml:space="preserve">, type A (E1202) </w:t>
      </w:r>
    </w:p>
    <w:p w:rsidR="008D5948" w:rsidRPr="00543BFE" w:rsidRDefault="008D5948" w:rsidP="008D5948">
      <w:pPr>
        <w:ind w:left="851"/>
        <w:rPr>
          <w:sz w:val="24"/>
          <w:szCs w:val="24"/>
        </w:rPr>
      </w:pPr>
      <w:proofErr w:type="spellStart"/>
      <w:r w:rsidRPr="00543BFE">
        <w:rPr>
          <w:sz w:val="24"/>
          <w:szCs w:val="24"/>
        </w:rPr>
        <w:t>Magnesiumsterat</w:t>
      </w:r>
      <w:proofErr w:type="spellEnd"/>
    </w:p>
    <w:p w:rsidR="008D5948" w:rsidRPr="00543BFE" w:rsidRDefault="008D5948" w:rsidP="008D5948">
      <w:pPr>
        <w:ind w:left="851"/>
        <w:rPr>
          <w:sz w:val="24"/>
          <w:szCs w:val="24"/>
        </w:rPr>
      </w:pPr>
    </w:p>
    <w:p w:rsidR="008D5948" w:rsidRPr="00543BFE" w:rsidRDefault="008D5948" w:rsidP="008D5948">
      <w:pPr>
        <w:ind w:left="851"/>
        <w:rPr>
          <w:sz w:val="24"/>
          <w:szCs w:val="24"/>
          <w:u w:val="single"/>
        </w:rPr>
      </w:pPr>
      <w:r w:rsidRPr="00543BFE">
        <w:rPr>
          <w:sz w:val="24"/>
          <w:szCs w:val="24"/>
          <w:u w:val="single"/>
        </w:rPr>
        <w:t>Tabletovertræk</w:t>
      </w:r>
    </w:p>
    <w:p w:rsidR="008D5948" w:rsidRPr="00543BFE" w:rsidRDefault="008D5948" w:rsidP="008D5948">
      <w:pPr>
        <w:ind w:left="851"/>
        <w:rPr>
          <w:sz w:val="24"/>
          <w:szCs w:val="24"/>
        </w:rPr>
      </w:pPr>
      <w:proofErr w:type="spellStart"/>
      <w:r w:rsidRPr="00543BFE">
        <w:rPr>
          <w:sz w:val="24"/>
          <w:szCs w:val="24"/>
        </w:rPr>
        <w:t>Poly</w:t>
      </w:r>
      <w:proofErr w:type="spellEnd"/>
      <w:r w:rsidRPr="00543BFE">
        <w:rPr>
          <w:sz w:val="24"/>
          <w:szCs w:val="24"/>
        </w:rPr>
        <w:t>(vinylalkohol), delvist hydrolyseret (E1203)</w:t>
      </w:r>
    </w:p>
    <w:p w:rsidR="008D5948" w:rsidRPr="00543BFE" w:rsidRDefault="008D5948" w:rsidP="008D5948">
      <w:pPr>
        <w:ind w:left="851"/>
        <w:rPr>
          <w:sz w:val="24"/>
          <w:szCs w:val="24"/>
          <w:lang w:val="en-US"/>
        </w:rPr>
      </w:pPr>
      <w:proofErr w:type="spellStart"/>
      <w:r w:rsidRPr="00543BFE">
        <w:rPr>
          <w:sz w:val="24"/>
          <w:szCs w:val="24"/>
          <w:lang w:val="en-US"/>
        </w:rPr>
        <w:t>Titandioxid</w:t>
      </w:r>
      <w:proofErr w:type="spellEnd"/>
      <w:r w:rsidRPr="00543BFE">
        <w:rPr>
          <w:sz w:val="24"/>
          <w:szCs w:val="24"/>
          <w:lang w:val="en-US"/>
        </w:rPr>
        <w:t xml:space="preserve"> (E171)</w:t>
      </w:r>
    </w:p>
    <w:p w:rsidR="008D5948" w:rsidRPr="00543BFE" w:rsidRDefault="008D5948" w:rsidP="008D5948">
      <w:pPr>
        <w:ind w:left="851"/>
        <w:rPr>
          <w:sz w:val="24"/>
          <w:szCs w:val="24"/>
          <w:lang w:val="en-US"/>
        </w:rPr>
      </w:pPr>
      <w:r w:rsidRPr="00543BFE">
        <w:rPr>
          <w:sz w:val="24"/>
          <w:szCs w:val="24"/>
          <w:lang w:val="en-US"/>
        </w:rPr>
        <w:t>Macrogol 3350 (</w:t>
      </w:r>
      <w:proofErr w:type="spellStart"/>
      <w:r w:rsidRPr="00543BFE">
        <w:rPr>
          <w:sz w:val="24"/>
          <w:szCs w:val="24"/>
          <w:lang w:val="en-US"/>
        </w:rPr>
        <w:t>polyetylenglycol</w:t>
      </w:r>
      <w:proofErr w:type="spellEnd"/>
      <w:r w:rsidRPr="00543BFE">
        <w:rPr>
          <w:sz w:val="24"/>
          <w:szCs w:val="24"/>
          <w:lang w:val="en-US"/>
        </w:rPr>
        <w:t>)</w:t>
      </w:r>
    </w:p>
    <w:p w:rsidR="008D5948" w:rsidRPr="00543BFE" w:rsidRDefault="008D5948" w:rsidP="008D5948">
      <w:pPr>
        <w:ind w:left="851"/>
        <w:rPr>
          <w:sz w:val="24"/>
          <w:szCs w:val="24"/>
          <w:lang w:val="en-US"/>
        </w:rPr>
      </w:pPr>
      <w:r w:rsidRPr="00543BFE">
        <w:rPr>
          <w:sz w:val="24"/>
          <w:szCs w:val="24"/>
          <w:lang w:val="en-US"/>
        </w:rPr>
        <w:t>Talcum (E553b)</w:t>
      </w:r>
    </w:p>
    <w:p w:rsidR="008D5948" w:rsidRPr="00543BFE" w:rsidRDefault="008D5948" w:rsidP="008D5948">
      <w:pPr>
        <w:ind w:left="851"/>
        <w:rPr>
          <w:sz w:val="24"/>
          <w:szCs w:val="24"/>
        </w:rPr>
      </w:pPr>
      <w:r w:rsidRPr="00543BFE">
        <w:rPr>
          <w:sz w:val="24"/>
          <w:szCs w:val="24"/>
        </w:rPr>
        <w:t>Jernoxid, rød (E172)</w:t>
      </w: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6.2</w:t>
      </w:r>
      <w:r w:rsidRPr="00543BFE">
        <w:rPr>
          <w:b/>
          <w:sz w:val="24"/>
          <w:szCs w:val="24"/>
        </w:rPr>
        <w:tab/>
        <w:t>Uforligeligheder</w:t>
      </w:r>
    </w:p>
    <w:p w:rsidR="008D5948" w:rsidRPr="00543BFE" w:rsidRDefault="008D5948" w:rsidP="008D5948">
      <w:pPr>
        <w:ind w:left="851"/>
        <w:rPr>
          <w:sz w:val="24"/>
          <w:szCs w:val="24"/>
          <w:lang w:eastAsia="da-DK"/>
        </w:rPr>
      </w:pPr>
      <w:r w:rsidRPr="00543BFE">
        <w:rPr>
          <w:sz w:val="24"/>
          <w:szCs w:val="24"/>
        </w:rPr>
        <w:t>Ikke relevant.</w:t>
      </w: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6.3</w:t>
      </w:r>
      <w:r w:rsidRPr="00543BFE">
        <w:rPr>
          <w:b/>
          <w:sz w:val="24"/>
          <w:szCs w:val="24"/>
        </w:rPr>
        <w:tab/>
        <w:t>Opbevaringstid</w:t>
      </w:r>
    </w:p>
    <w:p w:rsidR="008D5948" w:rsidRDefault="008D5948" w:rsidP="008D5948">
      <w:pPr>
        <w:ind w:left="851" w:hanging="851"/>
        <w:rPr>
          <w:sz w:val="24"/>
          <w:szCs w:val="24"/>
        </w:rPr>
      </w:pPr>
      <w:r w:rsidRPr="00543BFE">
        <w:rPr>
          <w:sz w:val="24"/>
          <w:szCs w:val="24"/>
        </w:rPr>
        <w:tab/>
        <w:t>30 måneder.</w:t>
      </w:r>
    </w:p>
    <w:p w:rsidR="00A54635" w:rsidRDefault="00A54635" w:rsidP="008D5948">
      <w:pPr>
        <w:ind w:left="851" w:hanging="851"/>
        <w:rPr>
          <w:sz w:val="24"/>
          <w:szCs w:val="24"/>
          <w:lang w:eastAsia="da-DK"/>
        </w:rPr>
      </w:pPr>
    </w:p>
    <w:p w:rsidR="00A54635" w:rsidRDefault="00A54635" w:rsidP="008D5948">
      <w:pPr>
        <w:ind w:left="851" w:hanging="851"/>
        <w:rPr>
          <w:sz w:val="24"/>
          <w:szCs w:val="24"/>
          <w:lang w:eastAsia="da-DK"/>
        </w:rPr>
      </w:pPr>
      <w:r>
        <w:rPr>
          <w:sz w:val="24"/>
          <w:szCs w:val="24"/>
          <w:lang w:eastAsia="da-DK"/>
        </w:rPr>
        <w:tab/>
        <w:t>Aluminium/OPA/PVC – aluminium (enkeltdosis) blisterpakninger:</w:t>
      </w:r>
    </w:p>
    <w:p w:rsidR="008D5948" w:rsidRDefault="00A54635" w:rsidP="00A54635">
      <w:pPr>
        <w:ind w:left="851" w:hanging="851"/>
        <w:rPr>
          <w:sz w:val="24"/>
          <w:szCs w:val="24"/>
        </w:rPr>
      </w:pPr>
      <w:r>
        <w:rPr>
          <w:sz w:val="24"/>
          <w:szCs w:val="24"/>
          <w:lang w:eastAsia="da-DK"/>
        </w:rPr>
        <w:lastRenderedPageBreak/>
        <w:tab/>
        <w:t>3 år.</w:t>
      </w: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6.4</w:t>
      </w:r>
      <w:r w:rsidRPr="00543BFE">
        <w:rPr>
          <w:b/>
          <w:sz w:val="24"/>
          <w:szCs w:val="24"/>
        </w:rPr>
        <w:tab/>
        <w:t>Særlige opbevaringsforhold</w:t>
      </w:r>
    </w:p>
    <w:p w:rsidR="008D5948" w:rsidRPr="00543BFE" w:rsidRDefault="008D5948" w:rsidP="008D5948">
      <w:pPr>
        <w:ind w:left="851"/>
        <w:rPr>
          <w:sz w:val="24"/>
          <w:szCs w:val="24"/>
          <w:lang w:eastAsia="da-DK"/>
        </w:rPr>
      </w:pPr>
      <w:r w:rsidRPr="00543BFE">
        <w:rPr>
          <w:sz w:val="24"/>
          <w:szCs w:val="24"/>
        </w:rPr>
        <w:t>Dette lægemiddel kræver ingen særlige forholdsregler vedrørende opbevaringen.</w:t>
      </w: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6.5</w:t>
      </w:r>
      <w:r w:rsidRPr="00543BFE">
        <w:rPr>
          <w:b/>
          <w:sz w:val="24"/>
          <w:szCs w:val="24"/>
        </w:rPr>
        <w:tab/>
        <w:t>Emballagetype og pakningsstørrelser</w:t>
      </w:r>
    </w:p>
    <w:p w:rsidR="008D5948" w:rsidRPr="00543BFE" w:rsidRDefault="008D5948" w:rsidP="008D5948">
      <w:pPr>
        <w:suppressAutoHyphens/>
        <w:ind w:left="851"/>
        <w:rPr>
          <w:sz w:val="24"/>
          <w:szCs w:val="24"/>
          <w:lang w:eastAsia="da-DK"/>
        </w:rPr>
      </w:pPr>
      <w:r w:rsidRPr="00543BFE">
        <w:rPr>
          <w:sz w:val="24"/>
          <w:szCs w:val="24"/>
        </w:rPr>
        <w:t>PVC/</w:t>
      </w:r>
      <w:proofErr w:type="spellStart"/>
      <w:r w:rsidRPr="00543BFE">
        <w:rPr>
          <w:sz w:val="24"/>
          <w:szCs w:val="24"/>
        </w:rPr>
        <w:t>PVdC</w:t>
      </w:r>
      <w:proofErr w:type="spellEnd"/>
      <w:r w:rsidRPr="00543BFE">
        <w:rPr>
          <w:sz w:val="24"/>
          <w:szCs w:val="24"/>
        </w:rPr>
        <w:t>-aluminiumblister i æske, som indeholder 10, 30, 60, eller 90 tabletter.</w:t>
      </w:r>
    </w:p>
    <w:p w:rsidR="008D5948" w:rsidRPr="00543BFE" w:rsidRDefault="008D5948" w:rsidP="008D5948">
      <w:pPr>
        <w:suppressAutoHyphens/>
        <w:ind w:left="851"/>
        <w:rPr>
          <w:sz w:val="24"/>
          <w:szCs w:val="24"/>
        </w:rPr>
      </w:pPr>
      <w:r w:rsidRPr="00543BFE">
        <w:rPr>
          <w:sz w:val="24"/>
          <w:szCs w:val="24"/>
        </w:rPr>
        <w:t>PVC/</w:t>
      </w:r>
      <w:proofErr w:type="spellStart"/>
      <w:r w:rsidRPr="00543BFE">
        <w:rPr>
          <w:sz w:val="24"/>
          <w:szCs w:val="24"/>
        </w:rPr>
        <w:t>PVdC</w:t>
      </w:r>
      <w:proofErr w:type="spellEnd"/>
      <w:r w:rsidRPr="00543BFE">
        <w:rPr>
          <w:sz w:val="24"/>
          <w:szCs w:val="24"/>
        </w:rPr>
        <w:t>-enkeltdosis-aluminiumsblister i æske, som indeholder 30</w:t>
      </w:r>
      <w:r>
        <w:rPr>
          <w:sz w:val="24"/>
          <w:szCs w:val="24"/>
        </w:rPr>
        <w:t>×</w:t>
      </w:r>
      <w:r w:rsidRPr="00543BFE">
        <w:rPr>
          <w:sz w:val="24"/>
          <w:szCs w:val="24"/>
        </w:rPr>
        <w:t>1, 60</w:t>
      </w:r>
      <w:r>
        <w:rPr>
          <w:sz w:val="24"/>
          <w:szCs w:val="24"/>
        </w:rPr>
        <w:t>×</w:t>
      </w:r>
      <w:r w:rsidRPr="00543BFE">
        <w:rPr>
          <w:sz w:val="24"/>
          <w:szCs w:val="24"/>
        </w:rPr>
        <w:t>1 eller 90</w:t>
      </w:r>
      <w:r>
        <w:rPr>
          <w:sz w:val="24"/>
          <w:szCs w:val="24"/>
        </w:rPr>
        <w:t>×</w:t>
      </w:r>
      <w:r w:rsidRPr="00543BFE">
        <w:rPr>
          <w:sz w:val="24"/>
          <w:szCs w:val="24"/>
        </w:rPr>
        <w:t>1 tabletter.</w:t>
      </w:r>
    </w:p>
    <w:p w:rsidR="008D5948" w:rsidRPr="00543BFE" w:rsidRDefault="008D5948" w:rsidP="008D5948">
      <w:pPr>
        <w:suppressAutoHyphens/>
        <w:ind w:left="851" w:hanging="851"/>
        <w:rPr>
          <w:sz w:val="24"/>
          <w:szCs w:val="24"/>
        </w:rPr>
      </w:pPr>
    </w:p>
    <w:p w:rsidR="008D5948" w:rsidRPr="00543BFE" w:rsidRDefault="008D5948" w:rsidP="008D5948">
      <w:pPr>
        <w:suppressAutoHyphens/>
        <w:ind w:left="851"/>
        <w:rPr>
          <w:sz w:val="24"/>
          <w:szCs w:val="24"/>
        </w:rPr>
      </w:pPr>
      <w:r w:rsidRPr="00543BFE">
        <w:rPr>
          <w:sz w:val="24"/>
          <w:szCs w:val="24"/>
        </w:rPr>
        <w:t>Aluminium/OPA/PVC-aluminiumsblister i æske, som indeholder 10, 30, 60 eller 90 tabletter.</w:t>
      </w:r>
    </w:p>
    <w:p w:rsidR="008D5948" w:rsidRPr="00543BFE" w:rsidRDefault="008D5948" w:rsidP="008D5948">
      <w:pPr>
        <w:suppressAutoHyphens/>
        <w:ind w:left="851"/>
        <w:rPr>
          <w:sz w:val="24"/>
          <w:szCs w:val="24"/>
        </w:rPr>
      </w:pPr>
      <w:r w:rsidRPr="00543BFE">
        <w:rPr>
          <w:sz w:val="24"/>
          <w:szCs w:val="24"/>
        </w:rPr>
        <w:t>Aluminium/OPA/PVC-enkeltdosis-aluminiumsblister i æske, som indeholder 30</w:t>
      </w:r>
      <w:r>
        <w:rPr>
          <w:sz w:val="24"/>
          <w:szCs w:val="24"/>
        </w:rPr>
        <w:t>×1, 60×</w:t>
      </w:r>
      <w:r w:rsidRPr="00543BFE">
        <w:rPr>
          <w:sz w:val="24"/>
          <w:szCs w:val="24"/>
        </w:rPr>
        <w:t>1 eller 90</w:t>
      </w:r>
      <w:r>
        <w:rPr>
          <w:sz w:val="24"/>
          <w:szCs w:val="24"/>
        </w:rPr>
        <w:t>×</w:t>
      </w:r>
      <w:r w:rsidRPr="00543BFE">
        <w:rPr>
          <w:sz w:val="24"/>
          <w:szCs w:val="24"/>
        </w:rPr>
        <w:t>1 tabletter.</w:t>
      </w:r>
    </w:p>
    <w:p w:rsidR="008D5948" w:rsidRPr="00543BFE" w:rsidRDefault="008D5948" w:rsidP="008D5948">
      <w:pPr>
        <w:suppressAutoHyphens/>
        <w:ind w:left="851" w:hanging="851"/>
        <w:rPr>
          <w:sz w:val="24"/>
          <w:szCs w:val="24"/>
        </w:rPr>
      </w:pPr>
    </w:p>
    <w:p w:rsidR="008D5948" w:rsidRPr="00543BFE" w:rsidRDefault="008D5948" w:rsidP="008D5948">
      <w:pPr>
        <w:suppressAutoHyphens/>
        <w:ind w:left="851"/>
        <w:rPr>
          <w:sz w:val="24"/>
          <w:szCs w:val="24"/>
        </w:rPr>
      </w:pPr>
      <w:r w:rsidRPr="00543BFE">
        <w:rPr>
          <w:sz w:val="24"/>
          <w:szCs w:val="24"/>
        </w:rPr>
        <w:t xml:space="preserve">Hvid HDPE-beholder udstyret med et hvidt, børnesikkert låg af polypropylen i æske, som indeholder 30 eller 100 tabletter. </w:t>
      </w:r>
    </w:p>
    <w:p w:rsidR="008D5948" w:rsidRPr="00543BFE" w:rsidRDefault="008D5948" w:rsidP="008D5948">
      <w:pPr>
        <w:suppressAutoHyphens/>
        <w:ind w:left="851" w:hanging="851"/>
        <w:rPr>
          <w:sz w:val="24"/>
          <w:szCs w:val="24"/>
        </w:rPr>
      </w:pPr>
    </w:p>
    <w:p w:rsidR="008D5948" w:rsidRPr="00543BFE" w:rsidRDefault="008D5948" w:rsidP="008D5948">
      <w:pPr>
        <w:suppressAutoHyphens/>
        <w:ind w:left="851"/>
        <w:rPr>
          <w:sz w:val="24"/>
          <w:szCs w:val="24"/>
        </w:rPr>
      </w:pPr>
      <w:r w:rsidRPr="00543BFE">
        <w:rPr>
          <w:sz w:val="24"/>
          <w:szCs w:val="24"/>
        </w:rPr>
        <w:t xml:space="preserve">Hvid HDPE-beholder udstyret med et hvidt, børnesikkert låg af polypropylen og 1 gram </w:t>
      </w:r>
      <w:proofErr w:type="spellStart"/>
      <w:r w:rsidRPr="00543BFE">
        <w:rPr>
          <w:sz w:val="24"/>
          <w:szCs w:val="24"/>
        </w:rPr>
        <w:t>silicagel</w:t>
      </w:r>
      <w:proofErr w:type="spellEnd"/>
      <w:r w:rsidRPr="00543BFE">
        <w:rPr>
          <w:sz w:val="24"/>
          <w:szCs w:val="24"/>
        </w:rPr>
        <w:t>-tørmiddel, i æske, som indeholder 30 eller 100 tabletter.</w:t>
      </w:r>
    </w:p>
    <w:p w:rsidR="008D5948" w:rsidRPr="00543BFE" w:rsidRDefault="008D5948" w:rsidP="008D5948">
      <w:pPr>
        <w:suppressAutoHyphens/>
        <w:ind w:left="851" w:hanging="851"/>
        <w:rPr>
          <w:sz w:val="24"/>
          <w:szCs w:val="24"/>
        </w:rPr>
      </w:pPr>
    </w:p>
    <w:p w:rsidR="008D5948" w:rsidRPr="00543BFE" w:rsidRDefault="008D5948" w:rsidP="008D5948">
      <w:pPr>
        <w:suppressAutoHyphens/>
        <w:ind w:left="851"/>
        <w:rPr>
          <w:sz w:val="24"/>
          <w:szCs w:val="24"/>
        </w:rPr>
      </w:pPr>
      <w:r w:rsidRPr="00543BFE">
        <w:rPr>
          <w:sz w:val="24"/>
          <w:szCs w:val="24"/>
        </w:rPr>
        <w:t>Ikke alle pakningsstørrelser er nødvendigvis markedsført.</w:t>
      </w: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6.6</w:t>
      </w:r>
      <w:r w:rsidRPr="00543BFE">
        <w:rPr>
          <w:b/>
          <w:sz w:val="24"/>
          <w:szCs w:val="24"/>
        </w:rPr>
        <w:tab/>
        <w:t xml:space="preserve">Regler for </w:t>
      </w:r>
      <w:r w:rsidR="00A54635">
        <w:rPr>
          <w:b/>
          <w:sz w:val="24"/>
          <w:szCs w:val="24"/>
        </w:rPr>
        <w:t>bortskaffelse</w:t>
      </w:r>
      <w:r w:rsidRPr="00543BFE">
        <w:rPr>
          <w:b/>
          <w:sz w:val="24"/>
          <w:szCs w:val="24"/>
        </w:rPr>
        <w:t xml:space="preserve"> og anden håndtering</w:t>
      </w:r>
    </w:p>
    <w:p w:rsidR="008D5948" w:rsidRPr="00543BFE" w:rsidRDefault="008D5948" w:rsidP="008D5948">
      <w:pPr>
        <w:ind w:left="851"/>
        <w:rPr>
          <w:sz w:val="24"/>
          <w:szCs w:val="24"/>
          <w:lang w:eastAsia="da-DK"/>
        </w:rPr>
      </w:pPr>
      <w:r w:rsidRPr="00543BFE">
        <w:rPr>
          <w:sz w:val="24"/>
          <w:szCs w:val="24"/>
        </w:rPr>
        <w:t>Ingen særlige forholdsregler ved bortskaffelse.</w:t>
      </w:r>
    </w:p>
    <w:p w:rsidR="008D5948" w:rsidRPr="00543BFE" w:rsidRDefault="008D5948" w:rsidP="008D5948">
      <w:pPr>
        <w:ind w:left="851" w:hanging="851"/>
        <w:jc w:val="both"/>
        <w:rPr>
          <w:sz w:val="24"/>
          <w:szCs w:val="24"/>
        </w:rPr>
      </w:pPr>
    </w:p>
    <w:p w:rsidR="008D5948" w:rsidRPr="00543BFE" w:rsidRDefault="008D5948" w:rsidP="008D5948">
      <w:pPr>
        <w:ind w:left="851" w:hanging="851"/>
        <w:rPr>
          <w:b/>
          <w:sz w:val="24"/>
          <w:szCs w:val="24"/>
        </w:rPr>
      </w:pPr>
      <w:r w:rsidRPr="00543BFE">
        <w:rPr>
          <w:b/>
          <w:sz w:val="24"/>
          <w:szCs w:val="24"/>
        </w:rPr>
        <w:t>7.</w:t>
      </w:r>
      <w:r w:rsidRPr="00543BFE">
        <w:rPr>
          <w:b/>
          <w:sz w:val="24"/>
          <w:szCs w:val="24"/>
        </w:rPr>
        <w:tab/>
        <w:t>INDEHAVER AF MARKEDSFØRINGSTILLADELSEN</w:t>
      </w:r>
    </w:p>
    <w:p w:rsidR="008D5948" w:rsidRPr="00543BFE" w:rsidRDefault="008D5948" w:rsidP="008D5948">
      <w:pPr>
        <w:ind w:left="851"/>
        <w:rPr>
          <w:spacing w:val="-3"/>
          <w:sz w:val="24"/>
          <w:szCs w:val="24"/>
          <w:lang w:eastAsia="da-DK"/>
        </w:rPr>
      </w:pPr>
      <w:proofErr w:type="spellStart"/>
      <w:r w:rsidRPr="00543BFE">
        <w:rPr>
          <w:spacing w:val="-3"/>
          <w:sz w:val="24"/>
          <w:szCs w:val="24"/>
        </w:rPr>
        <w:t>Teva</w:t>
      </w:r>
      <w:proofErr w:type="spellEnd"/>
      <w:r w:rsidRPr="00543BFE">
        <w:rPr>
          <w:spacing w:val="-3"/>
          <w:sz w:val="24"/>
          <w:szCs w:val="24"/>
        </w:rPr>
        <w:t xml:space="preserve"> B.V.</w:t>
      </w:r>
    </w:p>
    <w:p w:rsidR="008D5948" w:rsidRPr="00543BFE" w:rsidRDefault="008D5948" w:rsidP="008D5948">
      <w:pPr>
        <w:ind w:left="851"/>
        <w:rPr>
          <w:spacing w:val="-3"/>
          <w:sz w:val="24"/>
          <w:szCs w:val="24"/>
        </w:rPr>
      </w:pPr>
      <w:proofErr w:type="spellStart"/>
      <w:r w:rsidRPr="00543BFE">
        <w:rPr>
          <w:spacing w:val="-3"/>
          <w:sz w:val="24"/>
          <w:szCs w:val="24"/>
        </w:rPr>
        <w:t>Swensweg</w:t>
      </w:r>
      <w:proofErr w:type="spellEnd"/>
      <w:r w:rsidRPr="00543BFE">
        <w:rPr>
          <w:spacing w:val="-3"/>
          <w:sz w:val="24"/>
          <w:szCs w:val="24"/>
        </w:rPr>
        <w:t xml:space="preserve"> 5</w:t>
      </w:r>
    </w:p>
    <w:p w:rsidR="008D5948" w:rsidRPr="00543BFE" w:rsidRDefault="008D5948" w:rsidP="008D5948">
      <w:pPr>
        <w:ind w:left="851"/>
        <w:rPr>
          <w:spacing w:val="-3"/>
          <w:sz w:val="24"/>
          <w:szCs w:val="24"/>
        </w:rPr>
      </w:pPr>
      <w:r w:rsidRPr="00543BFE">
        <w:rPr>
          <w:spacing w:val="-3"/>
          <w:sz w:val="24"/>
          <w:szCs w:val="24"/>
        </w:rPr>
        <w:t xml:space="preserve">2031 GA </w:t>
      </w:r>
      <w:proofErr w:type="spellStart"/>
      <w:r w:rsidRPr="00543BFE">
        <w:rPr>
          <w:spacing w:val="-3"/>
          <w:sz w:val="24"/>
          <w:szCs w:val="24"/>
        </w:rPr>
        <w:t>Haarlem</w:t>
      </w:r>
      <w:proofErr w:type="spellEnd"/>
    </w:p>
    <w:p w:rsidR="008D5948" w:rsidRPr="00543BFE" w:rsidRDefault="008D5948" w:rsidP="008D5948">
      <w:pPr>
        <w:ind w:left="851"/>
        <w:rPr>
          <w:spacing w:val="-3"/>
          <w:sz w:val="24"/>
          <w:szCs w:val="24"/>
        </w:rPr>
      </w:pPr>
      <w:r w:rsidRPr="00543BFE">
        <w:rPr>
          <w:spacing w:val="-3"/>
          <w:sz w:val="24"/>
          <w:szCs w:val="24"/>
        </w:rPr>
        <w:t>Holland</w:t>
      </w:r>
    </w:p>
    <w:p w:rsidR="008D5948" w:rsidRDefault="008D5948" w:rsidP="008D5948">
      <w:pPr>
        <w:ind w:left="851"/>
        <w:rPr>
          <w:spacing w:val="-3"/>
          <w:sz w:val="24"/>
          <w:szCs w:val="24"/>
        </w:rPr>
      </w:pPr>
    </w:p>
    <w:p w:rsidR="004C1C4D" w:rsidRDefault="004C1C4D" w:rsidP="008D5948">
      <w:pPr>
        <w:ind w:left="851"/>
        <w:rPr>
          <w:spacing w:val="-3"/>
          <w:sz w:val="24"/>
          <w:szCs w:val="24"/>
        </w:rPr>
      </w:pPr>
    </w:p>
    <w:p w:rsidR="004C1C4D" w:rsidRDefault="004C1C4D" w:rsidP="008D5948">
      <w:pPr>
        <w:ind w:left="851"/>
        <w:rPr>
          <w:spacing w:val="-3"/>
          <w:sz w:val="24"/>
          <w:szCs w:val="24"/>
        </w:rPr>
      </w:pPr>
    </w:p>
    <w:p w:rsidR="004C1C4D" w:rsidRPr="00543BFE" w:rsidRDefault="004C1C4D" w:rsidP="008D5948">
      <w:pPr>
        <w:ind w:left="851"/>
        <w:rPr>
          <w:spacing w:val="-3"/>
          <w:sz w:val="24"/>
          <w:szCs w:val="24"/>
        </w:rPr>
      </w:pPr>
    </w:p>
    <w:p w:rsidR="008D5948" w:rsidRPr="00A131D1" w:rsidRDefault="008D5948" w:rsidP="008D5948">
      <w:pPr>
        <w:ind w:left="851"/>
        <w:rPr>
          <w:b/>
          <w:spacing w:val="-3"/>
          <w:sz w:val="24"/>
          <w:szCs w:val="24"/>
        </w:rPr>
      </w:pPr>
      <w:r w:rsidRPr="00A131D1">
        <w:rPr>
          <w:b/>
          <w:spacing w:val="-3"/>
          <w:sz w:val="24"/>
          <w:szCs w:val="24"/>
        </w:rPr>
        <w:t>Repræsentant</w:t>
      </w:r>
    </w:p>
    <w:p w:rsidR="008D5948" w:rsidRPr="00231594" w:rsidRDefault="008D5948" w:rsidP="008D5948">
      <w:pPr>
        <w:ind w:left="851"/>
        <w:rPr>
          <w:spacing w:val="-3"/>
          <w:sz w:val="24"/>
          <w:szCs w:val="24"/>
        </w:rPr>
      </w:pPr>
      <w:proofErr w:type="spellStart"/>
      <w:r w:rsidRPr="00231594">
        <w:rPr>
          <w:spacing w:val="-3"/>
          <w:sz w:val="24"/>
          <w:szCs w:val="24"/>
        </w:rPr>
        <w:t>Teva</w:t>
      </w:r>
      <w:proofErr w:type="spellEnd"/>
      <w:r w:rsidRPr="00231594">
        <w:rPr>
          <w:spacing w:val="-3"/>
          <w:sz w:val="24"/>
          <w:szCs w:val="24"/>
        </w:rPr>
        <w:t xml:space="preserve"> Denmark A/S</w:t>
      </w:r>
    </w:p>
    <w:p w:rsidR="008D5948" w:rsidRPr="00231594" w:rsidRDefault="008D5948" w:rsidP="008D5948">
      <w:pPr>
        <w:ind w:left="851"/>
        <w:rPr>
          <w:spacing w:val="-3"/>
          <w:sz w:val="24"/>
          <w:szCs w:val="24"/>
        </w:rPr>
      </w:pPr>
      <w:r w:rsidRPr="00231594">
        <w:rPr>
          <w:spacing w:val="-3"/>
          <w:sz w:val="24"/>
          <w:szCs w:val="24"/>
        </w:rPr>
        <w:t>Vandtårnsvej 83A</w:t>
      </w:r>
    </w:p>
    <w:p w:rsidR="008D5948" w:rsidRPr="00543BFE" w:rsidRDefault="008D5948" w:rsidP="008D5948">
      <w:pPr>
        <w:ind w:left="851"/>
        <w:rPr>
          <w:sz w:val="24"/>
          <w:szCs w:val="24"/>
        </w:rPr>
      </w:pPr>
      <w:r w:rsidRPr="00543BFE">
        <w:rPr>
          <w:spacing w:val="-3"/>
          <w:sz w:val="24"/>
          <w:szCs w:val="24"/>
        </w:rPr>
        <w:t>2860 Søborg</w:t>
      </w: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8.</w:t>
      </w:r>
      <w:r w:rsidRPr="00543BFE">
        <w:rPr>
          <w:b/>
          <w:sz w:val="24"/>
          <w:szCs w:val="24"/>
        </w:rPr>
        <w:tab/>
        <w:t>MARKEDSFØRINGSTILLADELSESNUMMER (</w:t>
      </w:r>
      <w:r w:rsidR="00A54635">
        <w:rPr>
          <w:b/>
          <w:sz w:val="24"/>
          <w:szCs w:val="24"/>
        </w:rPr>
        <w:t>-</w:t>
      </w:r>
      <w:r w:rsidRPr="00543BFE">
        <w:rPr>
          <w:b/>
          <w:sz w:val="24"/>
          <w:szCs w:val="24"/>
        </w:rPr>
        <w:t>NUMRE)</w:t>
      </w:r>
    </w:p>
    <w:p w:rsidR="008D5948" w:rsidRPr="00543BFE" w:rsidRDefault="008D5948" w:rsidP="008D5948">
      <w:pPr>
        <w:tabs>
          <w:tab w:val="left" w:pos="1701"/>
        </w:tabs>
        <w:ind w:left="851"/>
        <w:rPr>
          <w:sz w:val="24"/>
          <w:szCs w:val="24"/>
        </w:rPr>
      </w:pPr>
      <w:r w:rsidRPr="00543BFE">
        <w:rPr>
          <w:sz w:val="24"/>
          <w:szCs w:val="24"/>
        </w:rPr>
        <w:t>0,5 mg:</w:t>
      </w:r>
      <w:r>
        <w:rPr>
          <w:sz w:val="24"/>
          <w:szCs w:val="24"/>
        </w:rPr>
        <w:tab/>
        <w:t>58107</w:t>
      </w:r>
    </w:p>
    <w:p w:rsidR="008D5948" w:rsidRPr="00543BFE" w:rsidRDefault="008D5948" w:rsidP="008D5948">
      <w:pPr>
        <w:tabs>
          <w:tab w:val="left" w:pos="1701"/>
        </w:tabs>
        <w:ind w:left="851"/>
        <w:rPr>
          <w:sz w:val="24"/>
          <w:szCs w:val="24"/>
        </w:rPr>
      </w:pPr>
      <w:r w:rsidRPr="00543BFE">
        <w:rPr>
          <w:sz w:val="24"/>
          <w:szCs w:val="24"/>
        </w:rPr>
        <w:t>1 mg:</w:t>
      </w:r>
      <w:r>
        <w:rPr>
          <w:sz w:val="24"/>
          <w:szCs w:val="24"/>
        </w:rPr>
        <w:tab/>
        <w:t>58108</w:t>
      </w:r>
    </w:p>
    <w:p w:rsidR="008D5948" w:rsidRPr="00543BFE" w:rsidRDefault="008D5948" w:rsidP="008D5948">
      <w:pPr>
        <w:ind w:left="851" w:hanging="851"/>
        <w:jc w:val="both"/>
        <w:rPr>
          <w:sz w:val="24"/>
          <w:szCs w:val="24"/>
        </w:rPr>
      </w:pPr>
    </w:p>
    <w:p w:rsidR="008D5948" w:rsidRPr="00543BFE" w:rsidRDefault="008D5948" w:rsidP="008D5948">
      <w:pPr>
        <w:ind w:left="851" w:hanging="851"/>
        <w:rPr>
          <w:b/>
          <w:sz w:val="24"/>
          <w:szCs w:val="24"/>
        </w:rPr>
      </w:pPr>
      <w:r w:rsidRPr="00543BFE">
        <w:rPr>
          <w:b/>
          <w:sz w:val="24"/>
          <w:szCs w:val="24"/>
        </w:rPr>
        <w:t>9.</w:t>
      </w:r>
      <w:r w:rsidRPr="00543BFE">
        <w:rPr>
          <w:b/>
          <w:sz w:val="24"/>
          <w:szCs w:val="24"/>
        </w:rPr>
        <w:tab/>
        <w:t>DATO FOR FØRSTE MARKEDSFØRINGSTILLADELSE</w:t>
      </w:r>
    </w:p>
    <w:p w:rsidR="008D5948" w:rsidRPr="00543BFE" w:rsidRDefault="008D5948" w:rsidP="008D5948">
      <w:pPr>
        <w:ind w:left="851"/>
        <w:rPr>
          <w:sz w:val="24"/>
          <w:szCs w:val="24"/>
        </w:rPr>
      </w:pPr>
      <w:r w:rsidRPr="00543BFE">
        <w:rPr>
          <w:sz w:val="24"/>
          <w:szCs w:val="24"/>
        </w:rPr>
        <w:t>1. juni 2017</w:t>
      </w:r>
    </w:p>
    <w:p w:rsidR="008D5948" w:rsidRPr="00543BFE" w:rsidRDefault="008D5948" w:rsidP="008D5948">
      <w:pPr>
        <w:ind w:left="851" w:hanging="851"/>
        <w:rPr>
          <w:sz w:val="24"/>
          <w:szCs w:val="24"/>
        </w:rPr>
      </w:pPr>
    </w:p>
    <w:p w:rsidR="008D5948" w:rsidRPr="00543BFE" w:rsidRDefault="008D5948" w:rsidP="008D5948">
      <w:pPr>
        <w:ind w:left="851" w:hanging="851"/>
        <w:rPr>
          <w:b/>
          <w:sz w:val="24"/>
          <w:szCs w:val="24"/>
        </w:rPr>
      </w:pPr>
      <w:r w:rsidRPr="00543BFE">
        <w:rPr>
          <w:b/>
          <w:sz w:val="24"/>
          <w:szCs w:val="24"/>
        </w:rPr>
        <w:t>10.</w:t>
      </w:r>
      <w:r w:rsidRPr="00543BFE">
        <w:rPr>
          <w:b/>
          <w:sz w:val="24"/>
          <w:szCs w:val="24"/>
        </w:rPr>
        <w:tab/>
        <w:t>DATO FOR ÆNDRING AF TEKSTEN</w:t>
      </w:r>
    </w:p>
    <w:p w:rsidR="008D5948" w:rsidRPr="00543BFE" w:rsidRDefault="002574EE" w:rsidP="008D5948">
      <w:pPr>
        <w:ind w:left="851"/>
        <w:rPr>
          <w:sz w:val="24"/>
          <w:szCs w:val="24"/>
        </w:rPr>
      </w:pPr>
      <w:r>
        <w:rPr>
          <w:sz w:val="24"/>
          <w:szCs w:val="24"/>
        </w:rPr>
        <w:t>18. december</w:t>
      </w:r>
      <w:r w:rsidR="00A54635">
        <w:rPr>
          <w:sz w:val="24"/>
          <w:szCs w:val="24"/>
        </w:rPr>
        <w:t xml:space="preserve"> 2023</w:t>
      </w:r>
    </w:p>
    <w:p w:rsidR="008D5948" w:rsidRPr="00F81179" w:rsidRDefault="008D5948" w:rsidP="008D5948"/>
    <w:p w:rsidR="008D5948" w:rsidRPr="007A329D" w:rsidRDefault="008D5948" w:rsidP="008D5948"/>
    <w:p w:rsidR="009260DE" w:rsidRPr="008D5948" w:rsidRDefault="009260DE" w:rsidP="008D5948"/>
    <w:sectPr w:rsidR="009260DE" w:rsidRPr="008D594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4EE" w:rsidRDefault="002574EE">
      <w:r>
        <w:separator/>
      </w:r>
    </w:p>
  </w:endnote>
  <w:endnote w:type="continuationSeparator" w:id="0">
    <w:p w:rsidR="002574EE" w:rsidRDefault="00257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4EE" w:rsidRDefault="002574EE">
    <w:pPr>
      <w:pStyle w:val="Sidefod"/>
      <w:pBdr>
        <w:bottom w:val="single" w:sz="6" w:space="1" w:color="auto"/>
      </w:pBdr>
    </w:pPr>
  </w:p>
  <w:p w:rsidR="002574EE" w:rsidRDefault="002574EE" w:rsidP="00C42586">
    <w:pPr>
      <w:pStyle w:val="Sidefod"/>
      <w:tabs>
        <w:tab w:val="clear" w:pos="4819"/>
        <w:tab w:val="left" w:pos="8505"/>
      </w:tabs>
      <w:rPr>
        <w:i/>
        <w:sz w:val="18"/>
        <w:szCs w:val="18"/>
      </w:rPr>
    </w:pPr>
  </w:p>
  <w:p w:rsidR="002574EE" w:rsidRPr="00B373D7" w:rsidRDefault="002574EE" w:rsidP="00C42586">
    <w:pPr>
      <w:pStyle w:val="Sidefod"/>
      <w:tabs>
        <w:tab w:val="clear" w:pos="4819"/>
        <w:tab w:val="left" w:pos="8505"/>
      </w:tabs>
      <w:rPr>
        <w:i/>
        <w:sz w:val="18"/>
        <w:szCs w:val="18"/>
      </w:rPr>
    </w:pPr>
    <w:proofErr w:type="spellStart"/>
    <w:r w:rsidRPr="002574EE">
      <w:rPr>
        <w:i/>
        <w:sz w:val="18"/>
        <w:szCs w:val="18"/>
      </w:rPr>
      <w:t>Entecavir</w:t>
    </w:r>
    <w:proofErr w:type="spellEnd"/>
    <w:r w:rsidRPr="002574EE">
      <w:rPr>
        <w:i/>
        <w:sz w:val="18"/>
        <w:szCs w:val="18"/>
      </w:rPr>
      <w:t xml:space="preserve"> </w:t>
    </w:r>
    <w:proofErr w:type="spellStart"/>
    <w:r w:rsidRPr="002574EE">
      <w:rPr>
        <w:i/>
        <w:sz w:val="18"/>
        <w:szCs w:val="18"/>
      </w:rPr>
      <w:t>Teva</w:t>
    </w:r>
    <w:proofErr w:type="spellEnd"/>
    <w:r w:rsidRPr="002574EE">
      <w:rPr>
        <w:i/>
        <w:sz w:val="18"/>
        <w:szCs w:val="18"/>
      </w:rPr>
      <w:t>, filmovertrukne tabletter 0,5 mg og 1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4EE" w:rsidRDefault="002574EE">
      <w:r>
        <w:separator/>
      </w:r>
    </w:p>
  </w:footnote>
  <w:footnote w:type="continuationSeparator" w:id="0">
    <w:p w:rsidR="002574EE" w:rsidRDefault="00257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4951C05"/>
    <w:multiLevelType w:val="hybridMultilevel"/>
    <w:tmpl w:val="6B04EAC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D5C2D59"/>
    <w:multiLevelType w:val="hybridMultilevel"/>
    <w:tmpl w:val="8C74B864"/>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8C54FDC"/>
    <w:multiLevelType w:val="hybridMultilevel"/>
    <w:tmpl w:val="C2BE91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DB05364"/>
    <w:multiLevelType w:val="hybridMultilevel"/>
    <w:tmpl w:val="B986FBC2"/>
    <w:lvl w:ilvl="0" w:tplc="04060001">
      <w:start w:val="1"/>
      <w:numFmt w:val="bullet"/>
      <w:lvlText w:val=""/>
      <w:lvlJc w:val="left"/>
      <w:pPr>
        <w:ind w:left="78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7B7C1414"/>
    <w:multiLevelType w:val="hybridMultilevel"/>
    <w:tmpl w:val="D7A4545C"/>
    <w:lvl w:ilvl="0" w:tplc="04060001">
      <w:start w:val="1"/>
      <w:numFmt w:val="bullet"/>
      <w:lvlText w:val=""/>
      <w:lvlJc w:val="left"/>
      <w:pPr>
        <w:ind w:left="780" w:hanging="360"/>
      </w:pPr>
      <w:rPr>
        <w:rFonts w:ascii="Symbol" w:hAnsi="Symbol" w:hint="default"/>
      </w:rPr>
    </w:lvl>
    <w:lvl w:ilvl="1" w:tplc="04060003">
      <w:start w:val="1"/>
      <w:numFmt w:val="bullet"/>
      <w:lvlText w:val="o"/>
      <w:lvlJc w:val="left"/>
      <w:pPr>
        <w:ind w:left="1500" w:hanging="360"/>
      </w:pPr>
      <w:rPr>
        <w:rFonts w:ascii="Courier New" w:hAnsi="Courier New" w:cs="Courier New" w:hint="default"/>
      </w:rPr>
    </w:lvl>
    <w:lvl w:ilvl="2" w:tplc="04060005">
      <w:start w:val="1"/>
      <w:numFmt w:val="bullet"/>
      <w:lvlText w:val=""/>
      <w:lvlJc w:val="left"/>
      <w:pPr>
        <w:ind w:left="2220" w:hanging="360"/>
      </w:pPr>
      <w:rPr>
        <w:rFonts w:ascii="Wingdings" w:hAnsi="Wingdings" w:hint="default"/>
      </w:rPr>
    </w:lvl>
    <w:lvl w:ilvl="3" w:tplc="04060001">
      <w:start w:val="1"/>
      <w:numFmt w:val="bullet"/>
      <w:lvlText w:val=""/>
      <w:lvlJc w:val="left"/>
      <w:pPr>
        <w:ind w:left="2940" w:hanging="360"/>
      </w:pPr>
      <w:rPr>
        <w:rFonts w:ascii="Symbol" w:hAnsi="Symbol" w:hint="default"/>
      </w:rPr>
    </w:lvl>
    <w:lvl w:ilvl="4" w:tplc="04060003">
      <w:start w:val="1"/>
      <w:numFmt w:val="bullet"/>
      <w:lvlText w:val="o"/>
      <w:lvlJc w:val="left"/>
      <w:pPr>
        <w:ind w:left="3660" w:hanging="360"/>
      </w:pPr>
      <w:rPr>
        <w:rFonts w:ascii="Courier New" w:hAnsi="Courier New" w:cs="Courier New" w:hint="default"/>
      </w:rPr>
    </w:lvl>
    <w:lvl w:ilvl="5" w:tplc="04060005">
      <w:start w:val="1"/>
      <w:numFmt w:val="bullet"/>
      <w:lvlText w:val=""/>
      <w:lvlJc w:val="left"/>
      <w:pPr>
        <w:ind w:left="4380" w:hanging="360"/>
      </w:pPr>
      <w:rPr>
        <w:rFonts w:ascii="Wingdings" w:hAnsi="Wingdings" w:hint="default"/>
      </w:rPr>
    </w:lvl>
    <w:lvl w:ilvl="6" w:tplc="04060001">
      <w:start w:val="1"/>
      <w:numFmt w:val="bullet"/>
      <w:lvlText w:val=""/>
      <w:lvlJc w:val="left"/>
      <w:pPr>
        <w:ind w:left="5100" w:hanging="360"/>
      </w:pPr>
      <w:rPr>
        <w:rFonts w:ascii="Symbol" w:hAnsi="Symbol" w:hint="default"/>
      </w:rPr>
    </w:lvl>
    <w:lvl w:ilvl="7" w:tplc="04060003">
      <w:start w:val="1"/>
      <w:numFmt w:val="bullet"/>
      <w:lvlText w:val="o"/>
      <w:lvlJc w:val="left"/>
      <w:pPr>
        <w:ind w:left="5820" w:hanging="360"/>
      </w:pPr>
      <w:rPr>
        <w:rFonts w:ascii="Courier New" w:hAnsi="Courier New" w:cs="Courier New" w:hint="default"/>
      </w:rPr>
    </w:lvl>
    <w:lvl w:ilvl="8" w:tplc="04060005">
      <w:start w:val="1"/>
      <w:numFmt w:val="bullet"/>
      <w:lvlText w:val=""/>
      <w:lvlJc w:val="left"/>
      <w:pPr>
        <w:ind w:left="654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7"/>
  </w:num>
  <w:num w:numId="9">
    <w:abstractNumId w:val="9"/>
  </w:num>
  <w:num w:numId="10">
    <w:abstractNumId w:val="12"/>
  </w:num>
  <w:num w:numId="11">
    <w:abstractNumId w:val="1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48"/>
    <w:rsid w:val="000259B9"/>
    <w:rsid w:val="00041491"/>
    <w:rsid w:val="00047903"/>
    <w:rsid w:val="00050D16"/>
    <w:rsid w:val="00074F2A"/>
    <w:rsid w:val="000A1CA8"/>
    <w:rsid w:val="000A466B"/>
    <w:rsid w:val="000B058C"/>
    <w:rsid w:val="000C148C"/>
    <w:rsid w:val="000E4EE6"/>
    <w:rsid w:val="001454E2"/>
    <w:rsid w:val="00206CE8"/>
    <w:rsid w:val="0021526C"/>
    <w:rsid w:val="002574EE"/>
    <w:rsid w:val="00283A2B"/>
    <w:rsid w:val="002B30AD"/>
    <w:rsid w:val="002C2C01"/>
    <w:rsid w:val="003A29AE"/>
    <w:rsid w:val="003A32D7"/>
    <w:rsid w:val="003B4074"/>
    <w:rsid w:val="003C769A"/>
    <w:rsid w:val="003F1838"/>
    <w:rsid w:val="0045746C"/>
    <w:rsid w:val="0049104B"/>
    <w:rsid w:val="004C1C4D"/>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33C2C"/>
    <w:rsid w:val="008D5948"/>
    <w:rsid w:val="00907F75"/>
    <w:rsid w:val="009260DE"/>
    <w:rsid w:val="0093258A"/>
    <w:rsid w:val="009C7BA3"/>
    <w:rsid w:val="009D1F5A"/>
    <w:rsid w:val="00A54635"/>
    <w:rsid w:val="00B003BF"/>
    <w:rsid w:val="00B1132D"/>
    <w:rsid w:val="00B373D7"/>
    <w:rsid w:val="00C36276"/>
    <w:rsid w:val="00C42586"/>
    <w:rsid w:val="00C60CCD"/>
    <w:rsid w:val="00C668FA"/>
    <w:rsid w:val="00C84483"/>
    <w:rsid w:val="00C95551"/>
    <w:rsid w:val="00CB20D7"/>
    <w:rsid w:val="00D020B0"/>
    <w:rsid w:val="00D0686B"/>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84DF0"/>
  <w15:chartTrackingRefBased/>
  <w15:docId w15:val="{E4C453F8-31A6-4F59-BECE-62DDD2DF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635"/>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8D5948"/>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8D5948"/>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8D5948"/>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8D5948"/>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8D5948"/>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8D5948"/>
    <w:pPr>
      <w:keepNext/>
      <w:ind w:left="1701" w:hanging="567"/>
      <w:outlineLvl w:val="7"/>
    </w:pPr>
    <w:rPr>
      <w:b/>
      <w:sz w:val="22"/>
    </w:rPr>
  </w:style>
  <w:style w:type="paragraph" w:styleId="Overskrift9">
    <w:name w:val="heading 9"/>
    <w:basedOn w:val="Normal"/>
    <w:next w:val="Normal"/>
    <w:link w:val="Overskrift9Tegn"/>
    <w:semiHidden/>
    <w:unhideWhenUsed/>
    <w:qFormat/>
    <w:rsid w:val="008D5948"/>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customStyle="1" w:styleId="Overskrift2Tegn">
    <w:name w:val="Overskrift 2 Tegn"/>
    <w:basedOn w:val="Standardskrifttypeiafsnit"/>
    <w:link w:val="Overskrift2"/>
    <w:semiHidden/>
    <w:rsid w:val="008D5948"/>
    <w:rPr>
      <w:b/>
      <w:noProof/>
      <w:sz w:val="22"/>
      <w:lang w:eastAsia="en-US"/>
    </w:rPr>
  </w:style>
  <w:style w:type="character" w:customStyle="1" w:styleId="Overskrift4Tegn">
    <w:name w:val="Overskrift 4 Tegn"/>
    <w:basedOn w:val="Standardskrifttypeiafsnit"/>
    <w:link w:val="Overskrift4"/>
    <w:semiHidden/>
    <w:rsid w:val="008D5948"/>
    <w:rPr>
      <w:b/>
      <w:noProof/>
      <w:sz w:val="22"/>
      <w:lang w:eastAsia="en-US"/>
    </w:rPr>
  </w:style>
  <w:style w:type="character" w:customStyle="1" w:styleId="Overskrift5Tegn">
    <w:name w:val="Overskrift 5 Tegn"/>
    <w:basedOn w:val="Standardskrifttypeiafsnit"/>
    <w:link w:val="Overskrift5"/>
    <w:semiHidden/>
    <w:rsid w:val="008D5948"/>
    <w:rPr>
      <w:b/>
      <w:sz w:val="22"/>
      <w:lang w:eastAsia="en-US"/>
    </w:rPr>
  </w:style>
  <w:style w:type="character" w:customStyle="1" w:styleId="Overskrift6Tegn">
    <w:name w:val="Overskrift 6 Tegn"/>
    <w:basedOn w:val="Standardskrifttypeiafsnit"/>
    <w:link w:val="Overskrift6"/>
    <w:semiHidden/>
    <w:rsid w:val="008D5948"/>
    <w:rPr>
      <w:i/>
      <w:sz w:val="22"/>
      <w:lang w:val="en-GB" w:eastAsia="en-US"/>
    </w:rPr>
  </w:style>
  <w:style w:type="character" w:customStyle="1" w:styleId="Overskrift7Tegn">
    <w:name w:val="Overskrift 7 Tegn"/>
    <w:basedOn w:val="Standardskrifttypeiafsnit"/>
    <w:link w:val="Overskrift7"/>
    <w:semiHidden/>
    <w:rsid w:val="008D5948"/>
    <w:rPr>
      <w:i/>
      <w:sz w:val="22"/>
      <w:lang w:val="en-GB" w:eastAsia="en-US"/>
    </w:rPr>
  </w:style>
  <w:style w:type="character" w:customStyle="1" w:styleId="Overskrift8Tegn">
    <w:name w:val="Overskrift 8 Tegn"/>
    <w:basedOn w:val="Standardskrifttypeiafsnit"/>
    <w:link w:val="Overskrift8"/>
    <w:semiHidden/>
    <w:rsid w:val="008D5948"/>
    <w:rPr>
      <w:b/>
      <w:sz w:val="22"/>
      <w:lang w:eastAsia="en-US"/>
    </w:rPr>
  </w:style>
  <w:style w:type="character" w:customStyle="1" w:styleId="Overskrift9Tegn">
    <w:name w:val="Overskrift 9 Tegn"/>
    <w:basedOn w:val="Standardskrifttypeiafsnit"/>
    <w:link w:val="Overskrift9"/>
    <w:semiHidden/>
    <w:rsid w:val="008D5948"/>
    <w:rPr>
      <w:b/>
      <w:sz w:val="22"/>
      <w:lang w:eastAsia="en-US"/>
    </w:rPr>
  </w:style>
  <w:style w:type="character" w:styleId="Pladsholdertekst">
    <w:name w:val="Placeholder Text"/>
    <w:basedOn w:val="Standardskrifttypeiafsnit"/>
    <w:uiPriority w:val="99"/>
    <w:semiHidden/>
    <w:rsid w:val="008D5948"/>
    <w:rPr>
      <w:color w:val="808080"/>
    </w:rPr>
  </w:style>
  <w:style w:type="character" w:customStyle="1" w:styleId="Overskrift1Tegn">
    <w:name w:val="Overskrift 1 Tegn"/>
    <w:basedOn w:val="Standardskrifttypeiafsnit"/>
    <w:link w:val="Overskrift1"/>
    <w:rsid w:val="008D5948"/>
    <w:rPr>
      <w:rFonts w:ascii="Arial" w:hAnsi="Arial"/>
      <w:b/>
      <w:kern w:val="28"/>
      <w:sz w:val="28"/>
      <w:lang w:eastAsia="en-US"/>
    </w:rPr>
  </w:style>
  <w:style w:type="character" w:customStyle="1" w:styleId="Overskrift3Tegn">
    <w:name w:val="Overskrift 3 Tegn"/>
    <w:basedOn w:val="Standardskrifttypeiafsnit"/>
    <w:link w:val="Overskrift3"/>
    <w:rsid w:val="008D5948"/>
    <w:rPr>
      <w:rFonts w:ascii="Arial" w:hAnsi="Arial"/>
      <w:sz w:val="24"/>
      <w:lang w:eastAsia="en-US"/>
    </w:rPr>
  </w:style>
  <w:style w:type="character" w:customStyle="1" w:styleId="MarkeringsbobletekstTegn">
    <w:name w:val="Markeringsbobletekst Tegn"/>
    <w:basedOn w:val="Standardskrifttypeiafsnit"/>
    <w:link w:val="Markeringsbobletekst"/>
    <w:semiHidden/>
    <w:rsid w:val="008D5948"/>
    <w:rPr>
      <w:rFonts w:ascii="Tahoma" w:hAnsi="Tahoma" w:cs="Tahoma"/>
      <w:sz w:val="16"/>
      <w:szCs w:val="16"/>
      <w:lang w:eastAsia="en-US"/>
    </w:rPr>
  </w:style>
  <w:style w:type="character" w:customStyle="1" w:styleId="SidefodTegn">
    <w:name w:val="Sidefod Tegn"/>
    <w:basedOn w:val="Standardskrifttypeiafsnit"/>
    <w:link w:val="Sidefod"/>
    <w:rsid w:val="008D5948"/>
    <w:rPr>
      <w:sz w:val="23"/>
      <w:lang w:eastAsia="en-US"/>
    </w:rPr>
  </w:style>
  <w:style w:type="paragraph" w:customStyle="1" w:styleId="EMEAEnBodyText">
    <w:name w:val="EMEA En Body Text"/>
    <w:basedOn w:val="Normal"/>
    <w:rsid w:val="008D5948"/>
    <w:pPr>
      <w:spacing w:before="120" w:after="120"/>
      <w:jc w:val="both"/>
    </w:pPr>
    <w:rPr>
      <w:sz w:val="22"/>
      <w:lang w:val="en-US"/>
    </w:rPr>
  </w:style>
  <w:style w:type="paragraph" w:customStyle="1" w:styleId="Default">
    <w:name w:val="Default"/>
    <w:rsid w:val="008D5948"/>
    <w:pPr>
      <w:autoSpaceDE w:val="0"/>
      <w:autoSpaceDN w:val="0"/>
      <w:adjustRightInd w:val="0"/>
    </w:pPr>
    <w:rPr>
      <w:color w:val="000000"/>
      <w:sz w:val="24"/>
      <w:szCs w:val="24"/>
    </w:rPr>
  </w:style>
  <w:style w:type="character" w:styleId="Hyperlink">
    <w:name w:val="Hyperlink"/>
    <w:basedOn w:val="Standardskrifttypeiafsnit"/>
    <w:uiPriority w:val="99"/>
    <w:unhideWhenUsed/>
    <w:rsid w:val="008D5948"/>
    <w:rPr>
      <w:color w:val="0563C1" w:themeColor="hyperlink"/>
      <w:u w:val="single"/>
    </w:rPr>
  </w:style>
  <w:style w:type="table" w:styleId="Tabel-Gitter">
    <w:name w:val="Table Grid"/>
    <w:basedOn w:val="Tabel-Normal"/>
    <w:uiPriority w:val="59"/>
    <w:rsid w:val="008D5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57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25</Pages>
  <Words>9288</Words>
  <Characters>55848</Characters>
  <Application>Microsoft Office Word</Application>
  <DocSecurity>0</DocSecurity>
  <Lines>465</Lines>
  <Paragraphs>130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65006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2022043944_x000d_
SPC opdat. pkt. 4.1, 4.8, 5.1, 5.2, 5.3</dc:description>
  <cp:lastModifiedBy>Marianne Ott Jensen</cp:lastModifiedBy>
  <cp:revision>4</cp:revision>
  <cp:lastPrinted>2012-08-22T08:53:00Z</cp:lastPrinted>
  <dcterms:created xsi:type="dcterms:W3CDTF">2023-12-14T10:54:00Z</dcterms:created>
  <dcterms:modified xsi:type="dcterms:W3CDTF">2023-12-14T11:04:00Z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