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BF4" w:rsidRPr="00B23B00" w:rsidRDefault="00056601" w:rsidP="004A3BF4">
      <w:pPr>
        <w:rPr>
          <w:sz w:val="24"/>
          <w:szCs w:val="24"/>
          <w:lang w:val="en-GB"/>
        </w:rPr>
      </w:pPr>
      <w:r w:rsidRPr="00B23B00">
        <w:rPr>
          <w:noProof/>
          <w:sz w:val="24"/>
          <w:szCs w:val="24"/>
          <w:lang w:val="en-GB"/>
        </w:rPr>
        <w:drawing>
          <wp:inline distT="0" distB="0" distL="0" distR="0" wp14:anchorId="63A7D1A9" wp14:editId="382335A8">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6B3847" w:rsidRPr="00B23B00" w:rsidRDefault="006B3847" w:rsidP="006B3847">
      <w:pPr>
        <w:rPr>
          <w:sz w:val="24"/>
          <w:szCs w:val="24"/>
          <w:lang w:val="en-GB"/>
        </w:rPr>
      </w:pPr>
    </w:p>
    <w:p w:rsidR="006B3847" w:rsidRPr="00B23B00" w:rsidRDefault="006B3847" w:rsidP="006B3847">
      <w:pPr>
        <w:tabs>
          <w:tab w:val="right" w:pos="9356"/>
        </w:tabs>
        <w:rPr>
          <w:b/>
          <w:sz w:val="24"/>
          <w:szCs w:val="24"/>
          <w:lang w:val="en-GB"/>
        </w:rPr>
      </w:pPr>
      <w:r w:rsidRPr="00B23B00">
        <w:rPr>
          <w:b/>
          <w:sz w:val="24"/>
          <w:szCs w:val="24"/>
          <w:lang w:val="en-GB"/>
        </w:rPr>
        <w:tab/>
      </w:r>
      <w:r w:rsidR="00567B29">
        <w:rPr>
          <w:b/>
          <w:sz w:val="24"/>
          <w:szCs w:val="24"/>
          <w:lang w:val="en-GB"/>
        </w:rPr>
        <w:t>4</w:t>
      </w:r>
      <w:r w:rsidR="003863FE">
        <w:rPr>
          <w:b/>
          <w:sz w:val="24"/>
          <w:szCs w:val="24"/>
          <w:lang w:val="en-GB"/>
        </w:rPr>
        <w:t xml:space="preserve"> April 2025</w:t>
      </w:r>
    </w:p>
    <w:p w:rsidR="007C5D2A" w:rsidRPr="00B23B00" w:rsidRDefault="007C5D2A" w:rsidP="007C5D2A">
      <w:pPr>
        <w:rPr>
          <w:sz w:val="24"/>
          <w:szCs w:val="24"/>
          <w:lang w:val="en-GB"/>
        </w:rPr>
      </w:pPr>
    </w:p>
    <w:p w:rsidR="007C5D2A" w:rsidRPr="00B23B00" w:rsidRDefault="007C5D2A" w:rsidP="007C5D2A">
      <w:pPr>
        <w:jc w:val="center"/>
        <w:rPr>
          <w:b/>
          <w:sz w:val="24"/>
          <w:szCs w:val="24"/>
          <w:lang w:val="en-GB"/>
        </w:rPr>
      </w:pPr>
      <w:bookmarkStart w:id="0" w:name="_Hlk49158549"/>
      <w:r w:rsidRPr="00B23B00">
        <w:rPr>
          <w:b/>
          <w:sz w:val="24"/>
          <w:szCs w:val="24"/>
          <w:lang w:val="en-GB"/>
        </w:rPr>
        <w:t>SUMMARY OF PRODUCT CHARACTERISTICS</w:t>
      </w:r>
    </w:p>
    <w:bookmarkEnd w:id="0"/>
    <w:p w:rsidR="007C5D2A" w:rsidRPr="00B23B00" w:rsidRDefault="007C5D2A" w:rsidP="007C5D2A">
      <w:pPr>
        <w:jc w:val="center"/>
        <w:rPr>
          <w:sz w:val="24"/>
          <w:szCs w:val="24"/>
          <w:lang w:val="en-GB"/>
        </w:rPr>
      </w:pPr>
    </w:p>
    <w:p w:rsidR="007C5D2A" w:rsidRPr="00B23B00" w:rsidRDefault="007C5D2A" w:rsidP="007C5D2A">
      <w:pPr>
        <w:jc w:val="center"/>
        <w:rPr>
          <w:b/>
          <w:sz w:val="24"/>
          <w:szCs w:val="24"/>
          <w:lang w:val="en-GB"/>
        </w:rPr>
      </w:pPr>
      <w:r w:rsidRPr="00B23B00">
        <w:rPr>
          <w:b/>
          <w:sz w:val="24"/>
          <w:szCs w:val="24"/>
          <w:lang w:val="en-GB"/>
        </w:rPr>
        <w:t>for</w:t>
      </w:r>
    </w:p>
    <w:p w:rsidR="007C5D2A" w:rsidRPr="00B23B00" w:rsidRDefault="007C5D2A" w:rsidP="007C5D2A">
      <w:pPr>
        <w:jc w:val="center"/>
        <w:rPr>
          <w:sz w:val="24"/>
          <w:szCs w:val="24"/>
          <w:lang w:val="en-GB"/>
        </w:rPr>
      </w:pPr>
    </w:p>
    <w:p w:rsidR="007C5D2A" w:rsidRPr="00B23B00" w:rsidRDefault="00026479" w:rsidP="007C5D2A">
      <w:pPr>
        <w:jc w:val="center"/>
        <w:rPr>
          <w:b/>
          <w:sz w:val="24"/>
          <w:szCs w:val="24"/>
          <w:lang w:val="en-GB"/>
        </w:rPr>
      </w:pPr>
      <w:r w:rsidRPr="00B23B00">
        <w:rPr>
          <w:b/>
          <w:sz w:val="24"/>
          <w:szCs w:val="24"/>
          <w:lang w:val="en-GB"/>
        </w:rPr>
        <w:t>Enzalutamide "Sandoz", film-coated tablets</w:t>
      </w:r>
    </w:p>
    <w:p w:rsidR="007C5D2A" w:rsidRPr="00B23B00" w:rsidRDefault="007C5D2A" w:rsidP="007C5D2A">
      <w:pPr>
        <w:jc w:val="both"/>
        <w:rPr>
          <w:sz w:val="24"/>
          <w:szCs w:val="24"/>
          <w:lang w:val="en-GB"/>
        </w:rPr>
      </w:pPr>
    </w:p>
    <w:p w:rsidR="0042292D" w:rsidRPr="00B23B00" w:rsidRDefault="0042292D" w:rsidP="007C5D2A">
      <w:pPr>
        <w:jc w:val="both"/>
        <w:rPr>
          <w:sz w:val="24"/>
          <w:szCs w:val="24"/>
          <w:lang w:val="en-GB"/>
        </w:rPr>
      </w:pPr>
    </w:p>
    <w:p w:rsidR="008F2F8C" w:rsidRPr="00B23B00" w:rsidRDefault="008F2F8C" w:rsidP="008F2F8C">
      <w:pPr>
        <w:tabs>
          <w:tab w:val="left" w:pos="8222"/>
        </w:tabs>
        <w:ind w:left="851" w:hanging="851"/>
        <w:rPr>
          <w:b/>
          <w:sz w:val="24"/>
          <w:szCs w:val="24"/>
          <w:lang w:val="en-GB"/>
        </w:rPr>
      </w:pPr>
      <w:r w:rsidRPr="00B23B00">
        <w:rPr>
          <w:b/>
          <w:sz w:val="24"/>
          <w:szCs w:val="24"/>
          <w:lang w:val="en-GB"/>
        </w:rPr>
        <w:t>0.</w:t>
      </w:r>
      <w:r w:rsidRPr="00B23B00">
        <w:rPr>
          <w:b/>
          <w:sz w:val="24"/>
          <w:szCs w:val="24"/>
          <w:lang w:val="en-GB"/>
        </w:rPr>
        <w:tab/>
      </w:r>
      <w:proofErr w:type="gramStart"/>
      <w:r w:rsidRPr="00B23B00">
        <w:rPr>
          <w:b/>
          <w:sz w:val="24"/>
          <w:szCs w:val="24"/>
          <w:lang w:val="en-GB"/>
        </w:rPr>
        <w:t>D.SP.NO</w:t>
      </w:r>
      <w:proofErr w:type="gramEnd"/>
      <w:r w:rsidRPr="00B23B00">
        <w:rPr>
          <w:b/>
          <w:sz w:val="24"/>
          <w:szCs w:val="24"/>
          <w:lang w:val="en-GB"/>
        </w:rPr>
        <w:t>.</w:t>
      </w:r>
    </w:p>
    <w:p w:rsidR="008F2F8C" w:rsidRPr="00B23B00" w:rsidRDefault="00026479" w:rsidP="008F2F8C">
      <w:pPr>
        <w:tabs>
          <w:tab w:val="left" w:pos="8222"/>
        </w:tabs>
        <w:ind w:left="851"/>
        <w:rPr>
          <w:sz w:val="24"/>
          <w:szCs w:val="24"/>
          <w:lang w:val="en-GB"/>
        </w:rPr>
      </w:pPr>
      <w:r w:rsidRPr="00B23B00">
        <w:rPr>
          <w:sz w:val="24"/>
          <w:szCs w:val="24"/>
          <w:lang w:val="en-GB"/>
        </w:rPr>
        <w:t>33434</w:t>
      </w:r>
    </w:p>
    <w:p w:rsidR="007C5D2A" w:rsidRPr="00B23B00" w:rsidRDefault="007C5D2A" w:rsidP="007C5D2A">
      <w:pPr>
        <w:tabs>
          <w:tab w:val="left" w:pos="851"/>
        </w:tabs>
        <w:jc w:val="both"/>
        <w:rPr>
          <w:sz w:val="24"/>
          <w:szCs w:val="24"/>
          <w:lang w:val="en-GB"/>
        </w:rPr>
      </w:pPr>
    </w:p>
    <w:p w:rsidR="007C5D2A" w:rsidRPr="00B23B00" w:rsidRDefault="009925C9" w:rsidP="007C5D2A">
      <w:pPr>
        <w:tabs>
          <w:tab w:val="left" w:pos="851"/>
        </w:tabs>
        <w:ind w:left="851" w:hanging="851"/>
        <w:rPr>
          <w:sz w:val="24"/>
          <w:szCs w:val="24"/>
          <w:lang w:val="en-GB"/>
        </w:rPr>
      </w:pPr>
      <w:r w:rsidRPr="00B23B00">
        <w:rPr>
          <w:b/>
          <w:sz w:val="24"/>
          <w:szCs w:val="24"/>
          <w:lang w:val="en-GB"/>
        </w:rPr>
        <w:t>1.</w:t>
      </w:r>
      <w:r w:rsidR="007C5D2A" w:rsidRPr="00B23B00">
        <w:rPr>
          <w:b/>
          <w:sz w:val="24"/>
          <w:szCs w:val="24"/>
          <w:lang w:val="en-GB"/>
        </w:rPr>
        <w:tab/>
        <w:t>NAME OF THE MEDICINAL PRODUCT</w:t>
      </w:r>
    </w:p>
    <w:p w:rsidR="007C5D2A" w:rsidRPr="00B23B00" w:rsidRDefault="00026479" w:rsidP="004A3BF4">
      <w:pPr>
        <w:tabs>
          <w:tab w:val="left" w:pos="851"/>
        </w:tabs>
        <w:ind w:left="851"/>
        <w:rPr>
          <w:sz w:val="24"/>
          <w:szCs w:val="24"/>
          <w:lang w:val="en-GB"/>
        </w:rPr>
      </w:pPr>
      <w:r w:rsidRPr="00B23B00">
        <w:rPr>
          <w:sz w:val="24"/>
          <w:szCs w:val="24"/>
          <w:lang w:val="en-GB"/>
        </w:rPr>
        <w:t>Enzalutamide "Sandoz"</w:t>
      </w:r>
      <w:r w:rsidR="009F7C89">
        <w:rPr>
          <w:sz w:val="24"/>
          <w:szCs w:val="24"/>
          <w:lang w:val="en-GB"/>
        </w:rPr>
        <w:t xml:space="preserve"> 40 mg film-coated tablets</w:t>
      </w:r>
    </w:p>
    <w:p w:rsidR="007C5D2A" w:rsidRDefault="009F7C89" w:rsidP="009F7C89">
      <w:pPr>
        <w:tabs>
          <w:tab w:val="left" w:pos="851"/>
        </w:tabs>
        <w:ind w:left="851"/>
        <w:rPr>
          <w:sz w:val="24"/>
          <w:szCs w:val="24"/>
          <w:lang w:val="en-GB"/>
        </w:rPr>
      </w:pPr>
      <w:r w:rsidRPr="00B23B00">
        <w:rPr>
          <w:sz w:val="24"/>
          <w:szCs w:val="24"/>
          <w:lang w:val="en-GB"/>
        </w:rPr>
        <w:t>Enzalutamide "Sandoz"</w:t>
      </w:r>
      <w:r>
        <w:rPr>
          <w:sz w:val="24"/>
          <w:szCs w:val="24"/>
          <w:lang w:val="en-GB"/>
        </w:rPr>
        <w:t xml:space="preserve"> 80 mg film-coated tablets</w:t>
      </w:r>
    </w:p>
    <w:p w:rsidR="009F7C89" w:rsidRPr="00B23B00" w:rsidRDefault="009F7C89" w:rsidP="004A3BF4">
      <w:pPr>
        <w:tabs>
          <w:tab w:val="left" w:pos="851"/>
        </w:tabs>
        <w:ind w:left="851"/>
        <w:rPr>
          <w:sz w:val="24"/>
          <w:szCs w:val="24"/>
          <w:lang w:val="en-GB"/>
        </w:rPr>
      </w:pPr>
    </w:p>
    <w:p w:rsidR="007C5D2A" w:rsidRPr="00B23B00" w:rsidRDefault="009925C9" w:rsidP="007C5D2A">
      <w:pPr>
        <w:ind w:left="851" w:hanging="851"/>
        <w:rPr>
          <w:b/>
          <w:sz w:val="24"/>
          <w:szCs w:val="24"/>
          <w:lang w:val="en-GB"/>
        </w:rPr>
      </w:pPr>
      <w:r w:rsidRPr="00B23B00">
        <w:rPr>
          <w:b/>
          <w:sz w:val="24"/>
          <w:szCs w:val="24"/>
          <w:lang w:val="en-GB"/>
        </w:rPr>
        <w:t>2.</w:t>
      </w:r>
      <w:r w:rsidR="007C5D2A" w:rsidRPr="00B23B00">
        <w:rPr>
          <w:b/>
          <w:sz w:val="24"/>
          <w:szCs w:val="24"/>
          <w:lang w:val="en-GB"/>
        </w:rPr>
        <w:tab/>
        <w:t>QUALITATIVE AND QUANTITATIVE COMPOSITION</w:t>
      </w:r>
    </w:p>
    <w:p w:rsidR="00B924DE" w:rsidRPr="00B23B00" w:rsidRDefault="00B924DE" w:rsidP="00DE37FA">
      <w:pPr>
        <w:ind w:left="851"/>
        <w:rPr>
          <w:sz w:val="24"/>
          <w:szCs w:val="24"/>
          <w:lang w:val="en-US"/>
        </w:rPr>
      </w:pPr>
    </w:p>
    <w:p w:rsidR="00360DE0" w:rsidRPr="00B23B00" w:rsidRDefault="00B924DE" w:rsidP="00DE37FA">
      <w:pPr>
        <w:ind w:left="851"/>
        <w:rPr>
          <w:sz w:val="24"/>
          <w:szCs w:val="24"/>
          <w:u w:val="single"/>
          <w:lang w:val="en-US"/>
        </w:rPr>
      </w:pPr>
      <w:r w:rsidRPr="00B23B00">
        <w:rPr>
          <w:sz w:val="24"/>
          <w:szCs w:val="24"/>
          <w:u w:val="single"/>
          <w:lang w:val="en-US"/>
        </w:rPr>
        <w:t>Enzalutamide "Sandoz"</w:t>
      </w:r>
      <w:r w:rsidR="00360DE0" w:rsidRPr="00B23B00">
        <w:rPr>
          <w:sz w:val="24"/>
          <w:szCs w:val="24"/>
          <w:u w:val="single"/>
          <w:lang w:val="en-US"/>
        </w:rPr>
        <w:t xml:space="preserve"> 40 mg film-coated tablets</w:t>
      </w:r>
    </w:p>
    <w:p w:rsidR="00360DE0" w:rsidRPr="00B23B00" w:rsidRDefault="00360DE0" w:rsidP="00DE37FA">
      <w:pPr>
        <w:ind w:left="851"/>
        <w:rPr>
          <w:sz w:val="24"/>
          <w:szCs w:val="24"/>
          <w:lang w:val="en-US"/>
        </w:rPr>
      </w:pPr>
      <w:r w:rsidRPr="00B23B00">
        <w:rPr>
          <w:sz w:val="24"/>
          <w:szCs w:val="24"/>
          <w:lang w:val="en-US"/>
        </w:rPr>
        <w:t>Each film-coated tablet contains 40 mg of enzalutamide.</w:t>
      </w:r>
    </w:p>
    <w:p w:rsidR="00360DE0" w:rsidRPr="00B23B00" w:rsidRDefault="00360DE0" w:rsidP="00DE37FA">
      <w:pPr>
        <w:ind w:left="851"/>
        <w:rPr>
          <w:sz w:val="24"/>
          <w:szCs w:val="24"/>
          <w:u w:val="single"/>
          <w:lang w:val="en-US"/>
        </w:rPr>
      </w:pPr>
      <w:r w:rsidRPr="00B23B00">
        <w:rPr>
          <w:sz w:val="24"/>
          <w:szCs w:val="24"/>
          <w:u w:val="single"/>
          <w:lang w:val="en-US"/>
        </w:rPr>
        <w:t>Excipient(s) with known effect</w:t>
      </w:r>
    </w:p>
    <w:p w:rsidR="00360DE0" w:rsidRPr="00B23B00" w:rsidRDefault="00360DE0" w:rsidP="00DE37FA">
      <w:pPr>
        <w:ind w:left="851"/>
        <w:rPr>
          <w:sz w:val="24"/>
          <w:szCs w:val="24"/>
          <w:lang w:val="en-US"/>
        </w:rPr>
      </w:pPr>
      <w:r w:rsidRPr="00B23B00">
        <w:rPr>
          <w:sz w:val="24"/>
          <w:szCs w:val="24"/>
          <w:lang w:val="en-US"/>
        </w:rPr>
        <w:t>Each film-coated tablet contains 58 mg lactose (as monohydrate).</w:t>
      </w:r>
    </w:p>
    <w:p w:rsidR="00360DE0" w:rsidRPr="00B23B00" w:rsidRDefault="00360DE0" w:rsidP="00DE37FA">
      <w:pPr>
        <w:ind w:left="851"/>
        <w:rPr>
          <w:sz w:val="24"/>
          <w:szCs w:val="24"/>
          <w:lang w:val="en-US"/>
        </w:rPr>
      </w:pPr>
    </w:p>
    <w:p w:rsidR="00360DE0" w:rsidRPr="00B23B00" w:rsidRDefault="00B924DE" w:rsidP="00DE37FA">
      <w:pPr>
        <w:ind w:left="851"/>
        <w:rPr>
          <w:sz w:val="24"/>
          <w:szCs w:val="24"/>
          <w:u w:val="single"/>
          <w:lang w:val="en-US"/>
        </w:rPr>
      </w:pPr>
      <w:r w:rsidRPr="00B23B00">
        <w:rPr>
          <w:sz w:val="24"/>
          <w:szCs w:val="24"/>
          <w:u w:val="single"/>
          <w:lang w:val="en-US"/>
        </w:rPr>
        <w:t>Enzalutamide "Sandoz"</w:t>
      </w:r>
      <w:r w:rsidR="00360DE0" w:rsidRPr="00B23B00">
        <w:rPr>
          <w:sz w:val="24"/>
          <w:szCs w:val="24"/>
          <w:u w:val="single"/>
          <w:lang w:val="en-US"/>
        </w:rPr>
        <w:t xml:space="preserve"> 80 mg film-coated tablets</w:t>
      </w:r>
    </w:p>
    <w:p w:rsidR="00360DE0" w:rsidRPr="00B23B00" w:rsidRDefault="00360DE0" w:rsidP="00DE37FA">
      <w:pPr>
        <w:ind w:left="851"/>
        <w:rPr>
          <w:sz w:val="24"/>
          <w:szCs w:val="24"/>
          <w:lang w:val="en-US"/>
        </w:rPr>
      </w:pPr>
      <w:r w:rsidRPr="00B23B00">
        <w:rPr>
          <w:sz w:val="24"/>
          <w:szCs w:val="24"/>
          <w:lang w:val="en-US"/>
        </w:rPr>
        <w:t>Each film-coated tablet contains 80 mg of enzalutamide.</w:t>
      </w:r>
    </w:p>
    <w:p w:rsidR="00360DE0" w:rsidRPr="00B23B00" w:rsidRDefault="00360DE0" w:rsidP="00DE37FA">
      <w:pPr>
        <w:ind w:left="851"/>
        <w:rPr>
          <w:sz w:val="24"/>
          <w:szCs w:val="24"/>
          <w:u w:val="single"/>
          <w:lang w:val="en-US"/>
        </w:rPr>
      </w:pPr>
      <w:r w:rsidRPr="00B23B00">
        <w:rPr>
          <w:sz w:val="24"/>
          <w:szCs w:val="24"/>
          <w:u w:val="single"/>
          <w:lang w:val="en-US"/>
        </w:rPr>
        <w:t>Excipient(s) with known effect</w:t>
      </w:r>
    </w:p>
    <w:p w:rsidR="00360DE0" w:rsidRPr="00B23B00" w:rsidRDefault="00360DE0" w:rsidP="00DE37FA">
      <w:pPr>
        <w:ind w:left="851"/>
        <w:rPr>
          <w:sz w:val="24"/>
          <w:szCs w:val="24"/>
          <w:lang w:val="en-US"/>
        </w:rPr>
      </w:pPr>
      <w:r w:rsidRPr="00B23B00">
        <w:rPr>
          <w:sz w:val="24"/>
          <w:szCs w:val="24"/>
          <w:lang w:val="en-US"/>
        </w:rPr>
        <w:t>Each film-coated tablet contains 116 mg lactose (as monohydrate).</w:t>
      </w:r>
    </w:p>
    <w:p w:rsidR="00360DE0" w:rsidRPr="00B23B00" w:rsidRDefault="00360DE0" w:rsidP="00DE37FA">
      <w:pPr>
        <w:ind w:left="851"/>
        <w:rPr>
          <w:sz w:val="24"/>
          <w:szCs w:val="24"/>
          <w:lang w:val="en-US"/>
        </w:rPr>
      </w:pPr>
    </w:p>
    <w:p w:rsidR="00360DE0" w:rsidRPr="00B23B00" w:rsidRDefault="00360DE0" w:rsidP="00DE37FA">
      <w:pPr>
        <w:ind w:left="851"/>
        <w:rPr>
          <w:sz w:val="24"/>
          <w:szCs w:val="24"/>
          <w:lang w:val="en-US"/>
        </w:rPr>
      </w:pPr>
      <w:r w:rsidRPr="00B23B00">
        <w:rPr>
          <w:sz w:val="24"/>
          <w:szCs w:val="24"/>
          <w:lang w:val="en-US"/>
        </w:rPr>
        <w:t>For the full list of excipients, see section 6.1.</w:t>
      </w:r>
    </w:p>
    <w:p w:rsidR="007C5D2A" w:rsidRPr="00B23B00" w:rsidRDefault="007C5D2A" w:rsidP="004A3BF4">
      <w:pPr>
        <w:tabs>
          <w:tab w:val="left" w:pos="851"/>
        </w:tabs>
        <w:ind w:left="851"/>
        <w:rPr>
          <w:sz w:val="24"/>
          <w:szCs w:val="24"/>
          <w:lang w:val="en-GB"/>
        </w:rPr>
      </w:pPr>
    </w:p>
    <w:p w:rsidR="007C5D2A" w:rsidRPr="00B23B00" w:rsidRDefault="007C5D2A" w:rsidP="007C5D2A">
      <w:pPr>
        <w:tabs>
          <w:tab w:val="left" w:pos="851"/>
        </w:tabs>
        <w:ind w:left="851" w:hanging="851"/>
        <w:rPr>
          <w:b/>
          <w:sz w:val="24"/>
          <w:szCs w:val="24"/>
          <w:lang w:val="en-GB"/>
        </w:rPr>
      </w:pPr>
      <w:r w:rsidRPr="00B23B00">
        <w:rPr>
          <w:b/>
          <w:sz w:val="24"/>
          <w:szCs w:val="24"/>
          <w:lang w:val="en-GB"/>
        </w:rPr>
        <w:t>3.</w:t>
      </w:r>
      <w:r w:rsidRPr="00B23B00">
        <w:rPr>
          <w:b/>
          <w:sz w:val="24"/>
          <w:szCs w:val="24"/>
          <w:lang w:val="en-GB"/>
        </w:rPr>
        <w:tab/>
        <w:t>PHARMACEUTICAL FORM</w:t>
      </w:r>
    </w:p>
    <w:p w:rsidR="00360DE0" w:rsidRPr="00B23B00" w:rsidRDefault="00360DE0" w:rsidP="00DE37FA">
      <w:pPr>
        <w:ind w:left="851"/>
        <w:rPr>
          <w:sz w:val="24"/>
          <w:szCs w:val="24"/>
          <w:lang w:val="en-US"/>
        </w:rPr>
      </w:pPr>
      <w:r w:rsidRPr="00B23B00">
        <w:rPr>
          <w:sz w:val="24"/>
          <w:szCs w:val="24"/>
          <w:lang w:val="en-US"/>
        </w:rPr>
        <w:t>Film-coated tablet.</w:t>
      </w:r>
    </w:p>
    <w:p w:rsidR="00360DE0" w:rsidRPr="00B23B00" w:rsidRDefault="00360DE0" w:rsidP="00DE37FA">
      <w:pPr>
        <w:ind w:left="851"/>
        <w:rPr>
          <w:sz w:val="24"/>
          <w:szCs w:val="24"/>
          <w:lang w:val="en-US"/>
        </w:rPr>
      </w:pPr>
    </w:p>
    <w:p w:rsidR="00360DE0" w:rsidRPr="00B23B00" w:rsidRDefault="00B924DE" w:rsidP="00DE37FA">
      <w:pPr>
        <w:ind w:left="851"/>
        <w:rPr>
          <w:sz w:val="24"/>
          <w:szCs w:val="24"/>
          <w:u w:val="single"/>
          <w:lang w:val="en-US"/>
        </w:rPr>
      </w:pPr>
      <w:r w:rsidRPr="00B23B00">
        <w:rPr>
          <w:sz w:val="24"/>
          <w:szCs w:val="24"/>
          <w:u w:val="single"/>
          <w:lang w:val="en-US"/>
        </w:rPr>
        <w:t>Enzalutamide "Sandoz"</w:t>
      </w:r>
      <w:r w:rsidR="00360DE0" w:rsidRPr="00B23B00">
        <w:rPr>
          <w:sz w:val="24"/>
          <w:szCs w:val="24"/>
          <w:u w:val="single"/>
          <w:lang w:val="en-US"/>
        </w:rPr>
        <w:t xml:space="preserve"> 40 mg film-coated tablets</w:t>
      </w:r>
    </w:p>
    <w:p w:rsidR="00360DE0" w:rsidRPr="00B23B00" w:rsidRDefault="009F7C89" w:rsidP="00DE37FA">
      <w:pPr>
        <w:ind w:left="851"/>
        <w:rPr>
          <w:sz w:val="24"/>
          <w:szCs w:val="24"/>
          <w:lang w:val="en-US"/>
        </w:rPr>
      </w:pPr>
      <w:r w:rsidRPr="009F7C89">
        <w:rPr>
          <w:sz w:val="24"/>
          <w:szCs w:val="24"/>
          <w:lang w:val="en-US"/>
        </w:rPr>
        <w:t>Yellow, round, biconvex film-coated tablet debossed with “EN” on one side and “40” on the other side; diameter 11 mm</w:t>
      </w:r>
      <w:r w:rsidR="00360DE0" w:rsidRPr="00B23B00">
        <w:rPr>
          <w:sz w:val="24"/>
          <w:szCs w:val="24"/>
          <w:lang w:val="en-US"/>
        </w:rPr>
        <w:t>.</w:t>
      </w:r>
    </w:p>
    <w:p w:rsidR="00360DE0" w:rsidRPr="00B23B00" w:rsidRDefault="00360DE0" w:rsidP="00DE37FA">
      <w:pPr>
        <w:ind w:left="851"/>
        <w:rPr>
          <w:sz w:val="24"/>
          <w:szCs w:val="24"/>
          <w:lang w:val="en-US"/>
        </w:rPr>
      </w:pPr>
    </w:p>
    <w:p w:rsidR="00360DE0" w:rsidRPr="00B23B00" w:rsidRDefault="00B924DE" w:rsidP="00DE37FA">
      <w:pPr>
        <w:ind w:left="851"/>
        <w:rPr>
          <w:sz w:val="24"/>
          <w:szCs w:val="24"/>
          <w:u w:val="single"/>
          <w:lang w:val="en-US"/>
        </w:rPr>
      </w:pPr>
      <w:r w:rsidRPr="00B23B00">
        <w:rPr>
          <w:sz w:val="24"/>
          <w:szCs w:val="24"/>
          <w:u w:val="single"/>
          <w:lang w:val="en-US"/>
        </w:rPr>
        <w:t>Enzalutamide "Sandoz"</w:t>
      </w:r>
      <w:r w:rsidR="00360DE0" w:rsidRPr="00B23B00">
        <w:rPr>
          <w:sz w:val="24"/>
          <w:szCs w:val="24"/>
          <w:u w:val="single"/>
          <w:lang w:val="en-US"/>
        </w:rPr>
        <w:t xml:space="preserve"> 80 mg film-coated tablets</w:t>
      </w:r>
    </w:p>
    <w:p w:rsidR="00360DE0" w:rsidRPr="00B23B00" w:rsidRDefault="00360DE0" w:rsidP="00DE37FA">
      <w:pPr>
        <w:ind w:left="851"/>
        <w:rPr>
          <w:sz w:val="24"/>
          <w:szCs w:val="24"/>
          <w:lang w:val="en-US"/>
        </w:rPr>
      </w:pPr>
      <w:r w:rsidRPr="00B23B00">
        <w:rPr>
          <w:sz w:val="24"/>
          <w:szCs w:val="24"/>
          <w:lang w:val="en-US"/>
        </w:rPr>
        <w:t>Yellow, oval, biconvex film-coated tablet debossed with “EN” on one side and “80” on the other side; length 16.9 – 17.7 mm; width 8.9 – 9.7 mm.</w:t>
      </w:r>
    </w:p>
    <w:p w:rsidR="007C5D2A" w:rsidRPr="00B23B00" w:rsidRDefault="007C5D2A" w:rsidP="004A3BF4">
      <w:pPr>
        <w:tabs>
          <w:tab w:val="left" w:pos="851"/>
        </w:tabs>
        <w:ind w:left="851"/>
        <w:rPr>
          <w:sz w:val="24"/>
          <w:szCs w:val="24"/>
          <w:lang w:val="en-GB"/>
        </w:rPr>
      </w:pPr>
    </w:p>
    <w:p w:rsidR="00B23B00" w:rsidRDefault="00B23B00">
      <w:pPr>
        <w:rPr>
          <w:sz w:val="24"/>
          <w:szCs w:val="24"/>
          <w:lang w:val="en-GB"/>
        </w:rPr>
      </w:pPr>
      <w:r>
        <w:rPr>
          <w:sz w:val="24"/>
          <w:szCs w:val="24"/>
          <w:lang w:val="en-GB"/>
        </w:rPr>
        <w:br w:type="page"/>
      </w:r>
    </w:p>
    <w:p w:rsidR="007C5D2A" w:rsidRPr="00B23B00" w:rsidRDefault="007C5D2A" w:rsidP="004A3BF4">
      <w:pPr>
        <w:tabs>
          <w:tab w:val="left" w:pos="851"/>
        </w:tabs>
        <w:ind w:left="851"/>
        <w:rPr>
          <w:sz w:val="24"/>
          <w:szCs w:val="24"/>
          <w:lang w:val="en-GB"/>
        </w:rPr>
      </w:pPr>
    </w:p>
    <w:p w:rsidR="007C5D2A" w:rsidRPr="00B23B00" w:rsidRDefault="007C5D2A" w:rsidP="007C5D2A">
      <w:pPr>
        <w:ind w:left="851" w:hanging="851"/>
        <w:rPr>
          <w:b/>
          <w:sz w:val="24"/>
          <w:szCs w:val="24"/>
          <w:lang w:val="en-GB"/>
        </w:rPr>
      </w:pPr>
      <w:r w:rsidRPr="00B23B00">
        <w:rPr>
          <w:b/>
          <w:sz w:val="24"/>
          <w:szCs w:val="24"/>
          <w:lang w:val="en-GB"/>
        </w:rPr>
        <w:t>4.</w:t>
      </w:r>
      <w:r w:rsidRPr="00B23B00">
        <w:rPr>
          <w:b/>
          <w:sz w:val="24"/>
          <w:szCs w:val="24"/>
          <w:lang w:val="en-GB"/>
        </w:rPr>
        <w:tab/>
        <w:t>CLINICAL PARTICULARS</w:t>
      </w:r>
    </w:p>
    <w:p w:rsidR="007C5D2A" w:rsidRPr="00B23B00" w:rsidRDefault="007C5D2A" w:rsidP="004A3BF4">
      <w:pPr>
        <w:tabs>
          <w:tab w:val="left" w:pos="851"/>
        </w:tabs>
        <w:ind w:left="851"/>
        <w:rPr>
          <w:sz w:val="24"/>
          <w:szCs w:val="24"/>
          <w:lang w:val="en-GB"/>
        </w:rPr>
      </w:pPr>
    </w:p>
    <w:p w:rsidR="007C5D2A" w:rsidRPr="00B23B00" w:rsidRDefault="007C5D2A" w:rsidP="007C5D2A">
      <w:pPr>
        <w:ind w:left="851" w:hanging="851"/>
        <w:rPr>
          <w:b/>
          <w:sz w:val="24"/>
          <w:szCs w:val="24"/>
          <w:u w:val="single"/>
          <w:lang w:val="en-GB"/>
        </w:rPr>
      </w:pPr>
      <w:r w:rsidRPr="00B23B00">
        <w:rPr>
          <w:b/>
          <w:sz w:val="24"/>
          <w:szCs w:val="24"/>
          <w:lang w:val="en-GB"/>
        </w:rPr>
        <w:t>4.1</w:t>
      </w:r>
      <w:r w:rsidRPr="00B23B00">
        <w:rPr>
          <w:b/>
          <w:sz w:val="24"/>
          <w:szCs w:val="24"/>
          <w:lang w:val="en-GB"/>
        </w:rPr>
        <w:tab/>
        <w:t>Therapeutic indications</w:t>
      </w:r>
    </w:p>
    <w:p w:rsidR="00360DE0" w:rsidRPr="00B23B00" w:rsidRDefault="00360DE0" w:rsidP="00DE37FA">
      <w:pPr>
        <w:ind w:left="851"/>
        <w:rPr>
          <w:sz w:val="24"/>
          <w:szCs w:val="24"/>
          <w:lang w:val="en-US"/>
        </w:rPr>
      </w:pPr>
    </w:p>
    <w:p w:rsidR="00360DE0" w:rsidRPr="00B23B00" w:rsidRDefault="00B924DE" w:rsidP="00DE37FA">
      <w:pPr>
        <w:ind w:left="851"/>
        <w:rPr>
          <w:sz w:val="24"/>
          <w:szCs w:val="24"/>
          <w:lang w:val="en-US"/>
        </w:rPr>
      </w:pPr>
      <w:r w:rsidRPr="00B23B00">
        <w:rPr>
          <w:sz w:val="24"/>
          <w:szCs w:val="24"/>
          <w:lang w:val="en-US"/>
        </w:rPr>
        <w:t xml:space="preserve">Enzalutamide </w:t>
      </w:r>
      <w:r w:rsidR="00180206" w:rsidRPr="00B23B00">
        <w:rPr>
          <w:sz w:val="24"/>
          <w:szCs w:val="24"/>
          <w:lang w:val="en-US"/>
        </w:rPr>
        <w:t>"Sandoz"</w:t>
      </w:r>
      <w:r w:rsidR="00360DE0" w:rsidRPr="00B23B00">
        <w:rPr>
          <w:sz w:val="24"/>
          <w:szCs w:val="24"/>
          <w:lang w:val="en-US"/>
        </w:rPr>
        <w:t xml:space="preserve"> is indicated for:</w:t>
      </w:r>
    </w:p>
    <w:p w:rsidR="003863FE" w:rsidRPr="003863FE" w:rsidRDefault="003863FE" w:rsidP="003863FE">
      <w:pPr>
        <w:pStyle w:val="Listeafsnit"/>
        <w:numPr>
          <w:ilvl w:val="0"/>
          <w:numId w:val="11"/>
        </w:numPr>
        <w:ind w:left="1276" w:hanging="425"/>
        <w:rPr>
          <w:sz w:val="24"/>
          <w:szCs w:val="24"/>
        </w:rPr>
      </w:pPr>
      <w:r w:rsidRPr="003863FE">
        <w:rPr>
          <w:sz w:val="24"/>
          <w:szCs w:val="24"/>
        </w:rPr>
        <w:t>as monotherapy or in combination with androgen deprivation therapy for the treatment of adult men with high-risk biochemical recurrent (BCR) non-metastatic hormone-sensitive prostate cancer (</w:t>
      </w:r>
      <w:proofErr w:type="spellStart"/>
      <w:r w:rsidRPr="003863FE">
        <w:rPr>
          <w:sz w:val="24"/>
          <w:szCs w:val="24"/>
        </w:rPr>
        <w:t>nmHSPC</w:t>
      </w:r>
      <w:proofErr w:type="spellEnd"/>
      <w:r w:rsidRPr="003863FE">
        <w:rPr>
          <w:sz w:val="24"/>
          <w:szCs w:val="24"/>
        </w:rPr>
        <w:t>) who are unsuitable for salvage-radiotherapy (see section 5.1).</w:t>
      </w:r>
    </w:p>
    <w:p w:rsidR="003863FE" w:rsidRPr="003863FE" w:rsidRDefault="003863FE" w:rsidP="003863FE">
      <w:pPr>
        <w:pStyle w:val="Listeafsnit"/>
        <w:numPr>
          <w:ilvl w:val="0"/>
          <w:numId w:val="11"/>
        </w:numPr>
        <w:ind w:left="1276" w:hanging="425"/>
        <w:rPr>
          <w:sz w:val="24"/>
          <w:szCs w:val="24"/>
        </w:rPr>
      </w:pPr>
      <w:r w:rsidRPr="003863FE">
        <w:rPr>
          <w:sz w:val="24"/>
          <w:szCs w:val="24"/>
        </w:rPr>
        <w:t>in combination with androgen deprivation therapy for the treatment of adult men with metastatic hormone-sensitive prostate cancer (</w:t>
      </w:r>
      <w:proofErr w:type="spellStart"/>
      <w:r w:rsidRPr="003863FE">
        <w:rPr>
          <w:sz w:val="24"/>
          <w:szCs w:val="24"/>
        </w:rPr>
        <w:t>mHSPC</w:t>
      </w:r>
      <w:proofErr w:type="spellEnd"/>
      <w:r w:rsidRPr="003863FE">
        <w:rPr>
          <w:sz w:val="24"/>
          <w:szCs w:val="24"/>
        </w:rPr>
        <w:t>) (see section 5.1).</w:t>
      </w:r>
    </w:p>
    <w:p w:rsidR="003863FE" w:rsidRPr="003863FE" w:rsidRDefault="003863FE" w:rsidP="003863FE">
      <w:pPr>
        <w:pStyle w:val="Listeafsnit"/>
        <w:numPr>
          <w:ilvl w:val="0"/>
          <w:numId w:val="11"/>
        </w:numPr>
        <w:ind w:left="1276" w:hanging="425"/>
        <w:rPr>
          <w:sz w:val="24"/>
          <w:szCs w:val="24"/>
        </w:rPr>
      </w:pPr>
      <w:r w:rsidRPr="003863FE">
        <w:rPr>
          <w:sz w:val="24"/>
          <w:szCs w:val="24"/>
        </w:rPr>
        <w:t>for the treatment of adult men with high-risk non-metastatic castration-resistant prostate cancer (CRPC) (see section 5.1).</w:t>
      </w:r>
    </w:p>
    <w:p w:rsidR="003863FE" w:rsidRPr="003863FE" w:rsidRDefault="003863FE" w:rsidP="003863FE">
      <w:pPr>
        <w:pStyle w:val="Listeafsnit"/>
        <w:numPr>
          <w:ilvl w:val="0"/>
          <w:numId w:val="11"/>
        </w:numPr>
        <w:ind w:left="1276" w:hanging="425"/>
        <w:rPr>
          <w:sz w:val="24"/>
          <w:szCs w:val="24"/>
        </w:rPr>
      </w:pPr>
      <w:r w:rsidRPr="003863FE">
        <w:rPr>
          <w:sz w:val="24"/>
          <w:szCs w:val="24"/>
        </w:rPr>
        <w:t>for the treatment of adult men with metastatic CRPC who are asymptomatic or mildly symptomatic after failure of androgen deprivation therapy in whom chemotherapy is not yet clinically indicated (see section 5.1).</w:t>
      </w:r>
    </w:p>
    <w:p w:rsidR="003863FE" w:rsidRPr="003863FE" w:rsidRDefault="003863FE" w:rsidP="003863FE">
      <w:pPr>
        <w:pStyle w:val="Listeafsnit"/>
        <w:numPr>
          <w:ilvl w:val="0"/>
          <w:numId w:val="11"/>
        </w:numPr>
        <w:ind w:left="1276" w:hanging="425"/>
        <w:rPr>
          <w:sz w:val="24"/>
          <w:szCs w:val="24"/>
        </w:rPr>
      </w:pPr>
      <w:r w:rsidRPr="003863FE">
        <w:rPr>
          <w:sz w:val="24"/>
          <w:szCs w:val="24"/>
        </w:rPr>
        <w:t>for the treatment of adult men with metastatic CRPC whose disease has progressed on or after docetaxel therapy.</w:t>
      </w:r>
    </w:p>
    <w:p w:rsidR="007C5D2A" w:rsidRPr="00B23B00" w:rsidRDefault="007C5D2A" w:rsidP="00A85D26">
      <w:pPr>
        <w:tabs>
          <w:tab w:val="left" w:pos="851"/>
        </w:tabs>
        <w:ind w:left="851"/>
        <w:rPr>
          <w:sz w:val="24"/>
          <w:szCs w:val="24"/>
          <w:lang w:val="en-GB"/>
        </w:rPr>
      </w:pPr>
    </w:p>
    <w:p w:rsidR="007C5D2A" w:rsidRPr="00B23B00" w:rsidRDefault="009925C9" w:rsidP="007C5D2A">
      <w:pPr>
        <w:tabs>
          <w:tab w:val="left" w:pos="851"/>
        </w:tabs>
        <w:ind w:left="851" w:hanging="851"/>
        <w:rPr>
          <w:sz w:val="24"/>
          <w:szCs w:val="24"/>
          <w:lang w:val="en-GB"/>
        </w:rPr>
      </w:pPr>
      <w:r w:rsidRPr="00B23B00">
        <w:rPr>
          <w:b/>
          <w:sz w:val="24"/>
          <w:szCs w:val="24"/>
          <w:lang w:val="en-GB"/>
        </w:rPr>
        <w:t>4.2</w:t>
      </w:r>
      <w:r w:rsidR="007C5D2A" w:rsidRPr="00B23B00">
        <w:rPr>
          <w:b/>
          <w:sz w:val="24"/>
          <w:szCs w:val="24"/>
          <w:lang w:val="en-GB"/>
        </w:rPr>
        <w:tab/>
        <w:t>Posology and method of administration</w:t>
      </w:r>
    </w:p>
    <w:p w:rsidR="00360DE0" w:rsidRPr="00B23B00" w:rsidRDefault="00360DE0" w:rsidP="00DE37FA">
      <w:pPr>
        <w:ind w:left="851"/>
        <w:rPr>
          <w:sz w:val="24"/>
          <w:szCs w:val="24"/>
          <w:lang w:val="en-US"/>
        </w:rPr>
      </w:pPr>
      <w:r w:rsidRPr="00B23B00">
        <w:rPr>
          <w:sz w:val="24"/>
          <w:szCs w:val="24"/>
          <w:lang w:val="en-US"/>
        </w:rPr>
        <w:t>Treatment with enzalutamide should be initiated and supervised by specialist physicians experienced in the medical treatment of prostate cancer.</w:t>
      </w:r>
    </w:p>
    <w:p w:rsidR="00360DE0" w:rsidRPr="00B23B00" w:rsidRDefault="00360DE0" w:rsidP="00DE37FA">
      <w:pPr>
        <w:ind w:left="851"/>
        <w:rPr>
          <w:sz w:val="24"/>
          <w:szCs w:val="24"/>
          <w:lang w:val="en-US"/>
        </w:rPr>
      </w:pPr>
    </w:p>
    <w:p w:rsidR="00360DE0" w:rsidRPr="00B23B00" w:rsidRDefault="00360DE0" w:rsidP="00DE37FA">
      <w:pPr>
        <w:ind w:left="851"/>
        <w:rPr>
          <w:sz w:val="24"/>
          <w:szCs w:val="24"/>
          <w:u w:val="single"/>
          <w:lang w:val="en-US"/>
        </w:rPr>
      </w:pPr>
      <w:r w:rsidRPr="00B23B00">
        <w:rPr>
          <w:sz w:val="24"/>
          <w:szCs w:val="24"/>
          <w:u w:val="single"/>
          <w:lang w:val="en-US"/>
        </w:rPr>
        <w:t>Posology</w:t>
      </w:r>
    </w:p>
    <w:p w:rsidR="00360DE0" w:rsidRPr="00B23B00" w:rsidRDefault="00360DE0" w:rsidP="00DE37FA">
      <w:pPr>
        <w:ind w:left="851"/>
        <w:rPr>
          <w:sz w:val="24"/>
          <w:szCs w:val="24"/>
          <w:lang w:val="en-US"/>
        </w:rPr>
      </w:pPr>
      <w:r w:rsidRPr="00B23B00">
        <w:rPr>
          <w:sz w:val="24"/>
          <w:szCs w:val="24"/>
          <w:lang w:val="en-US"/>
        </w:rPr>
        <w:t>The recommended dose is 160 mg enzalutamide (four 40 mg film-coated tablets or two 80 mg film-coated tablets) as a single oral daily dose.</w:t>
      </w:r>
    </w:p>
    <w:p w:rsidR="00360DE0" w:rsidRPr="00B23B00" w:rsidRDefault="00360DE0" w:rsidP="00DE37FA">
      <w:pPr>
        <w:ind w:left="851"/>
        <w:rPr>
          <w:sz w:val="24"/>
          <w:szCs w:val="24"/>
          <w:lang w:val="en-US"/>
        </w:rPr>
      </w:pPr>
    </w:p>
    <w:p w:rsidR="003863FE" w:rsidRPr="003863FE" w:rsidRDefault="003863FE" w:rsidP="003863FE">
      <w:pPr>
        <w:ind w:left="851"/>
        <w:rPr>
          <w:sz w:val="24"/>
          <w:szCs w:val="24"/>
          <w:lang w:val="en-US"/>
        </w:rPr>
      </w:pPr>
      <w:r w:rsidRPr="003863FE">
        <w:rPr>
          <w:sz w:val="24"/>
          <w:szCs w:val="24"/>
          <w:lang w:val="en-US"/>
        </w:rPr>
        <w:t xml:space="preserve">Medical castration with a </w:t>
      </w:r>
      <w:proofErr w:type="spellStart"/>
      <w:r w:rsidRPr="003863FE">
        <w:rPr>
          <w:sz w:val="24"/>
          <w:szCs w:val="24"/>
          <w:lang w:val="en-US"/>
        </w:rPr>
        <w:t>luteinising</w:t>
      </w:r>
      <w:proofErr w:type="spellEnd"/>
      <w:r w:rsidRPr="003863FE">
        <w:rPr>
          <w:sz w:val="24"/>
          <w:szCs w:val="24"/>
          <w:lang w:val="en-US"/>
        </w:rPr>
        <w:t xml:space="preserve"> hormone-releasing hormone (LHRH) analogue should be continued during treatment of patients with CRPC or </w:t>
      </w:r>
      <w:proofErr w:type="spellStart"/>
      <w:r w:rsidRPr="003863FE">
        <w:rPr>
          <w:sz w:val="24"/>
          <w:szCs w:val="24"/>
          <w:lang w:val="en-US"/>
        </w:rPr>
        <w:t>mHSPC</w:t>
      </w:r>
      <w:proofErr w:type="spellEnd"/>
      <w:r w:rsidRPr="003863FE">
        <w:rPr>
          <w:sz w:val="24"/>
          <w:szCs w:val="24"/>
          <w:lang w:val="en-US"/>
        </w:rPr>
        <w:t xml:space="preserve"> who are not surgically castrated.</w:t>
      </w:r>
    </w:p>
    <w:p w:rsidR="003863FE" w:rsidRPr="003863FE" w:rsidRDefault="003863FE" w:rsidP="003863FE">
      <w:pPr>
        <w:ind w:left="851"/>
        <w:rPr>
          <w:sz w:val="24"/>
          <w:szCs w:val="24"/>
          <w:lang w:val="en-US"/>
        </w:rPr>
      </w:pPr>
    </w:p>
    <w:p w:rsidR="003863FE" w:rsidRPr="003863FE" w:rsidRDefault="003863FE" w:rsidP="003863FE">
      <w:pPr>
        <w:ind w:left="851"/>
        <w:rPr>
          <w:sz w:val="24"/>
          <w:szCs w:val="24"/>
          <w:lang w:val="en-US"/>
        </w:rPr>
      </w:pPr>
      <w:r w:rsidRPr="003863FE">
        <w:rPr>
          <w:sz w:val="24"/>
          <w:szCs w:val="24"/>
          <w:lang w:val="en-US"/>
        </w:rPr>
        <w:t xml:space="preserve">Patients with high-risk BCR </w:t>
      </w:r>
      <w:proofErr w:type="spellStart"/>
      <w:r w:rsidRPr="003863FE">
        <w:rPr>
          <w:sz w:val="24"/>
          <w:szCs w:val="24"/>
          <w:lang w:val="en-US"/>
        </w:rPr>
        <w:t>nmHSPC</w:t>
      </w:r>
      <w:proofErr w:type="spellEnd"/>
      <w:r w:rsidRPr="003863FE">
        <w:rPr>
          <w:sz w:val="24"/>
          <w:szCs w:val="24"/>
          <w:lang w:val="en-US"/>
        </w:rPr>
        <w:t xml:space="preserve"> may be treated with [Nationally completed name] with or without a LHRH analogue. For patients who receive [Nationally completed name] with or without a LHRH analogue, treatment can be suspended if PSA is undetectable (&lt; 0.2 ng/mL) after 36 weeks of therapy. Treatment should be reinitiated when PSA has increased to ≥ 2.0 ng/mL for patients who had prior radical prostatectomy or ≥ 5.0 ng/mL for patients who had prior primary radiation therapy. If PSA is detectable (≥ 0.2 ng/mL) after 36 weeks of therapy, treatment should continue (see section 5.1).</w:t>
      </w:r>
    </w:p>
    <w:p w:rsidR="00360DE0" w:rsidRPr="00B23B00" w:rsidRDefault="00360DE0" w:rsidP="00DE37FA">
      <w:pPr>
        <w:ind w:left="851"/>
        <w:rPr>
          <w:sz w:val="24"/>
          <w:szCs w:val="24"/>
          <w:lang w:val="en-US"/>
        </w:rPr>
      </w:pPr>
    </w:p>
    <w:p w:rsidR="00360DE0" w:rsidRPr="00B23B00" w:rsidRDefault="00360DE0" w:rsidP="00DE37FA">
      <w:pPr>
        <w:ind w:left="851"/>
        <w:rPr>
          <w:sz w:val="24"/>
          <w:szCs w:val="24"/>
          <w:lang w:val="en-US"/>
        </w:rPr>
      </w:pPr>
      <w:r w:rsidRPr="00B23B00">
        <w:rPr>
          <w:sz w:val="24"/>
          <w:szCs w:val="24"/>
          <w:lang w:val="en-US"/>
        </w:rPr>
        <w:t xml:space="preserve">If a patient misses taking </w:t>
      </w:r>
      <w:r w:rsidR="00B924DE" w:rsidRPr="00B23B00">
        <w:rPr>
          <w:sz w:val="24"/>
          <w:szCs w:val="24"/>
          <w:lang w:val="en-US"/>
        </w:rPr>
        <w:t xml:space="preserve">Enzalutamide </w:t>
      </w:r>
      <w:r w:rsidR="00180206" w:rsidRPr="00B23B00">
        <w:rPr>
          <w:sz w:val="24"/>
          <w:szCs w:val="24"/>
          <w:lang w:val="en-US"/>
        </w:rPr>
        <w:t>"Sandoz"</w:t>
      </w:r>
      <w:r w:rsidRPr="00B23B00">
        <w:rPr>
          <w:sz w:val="24"/>
          <w:szCs w:val="24"/>
          <w:lang w:val="en-US"/>
        </w:rPr>
        <w:t xml:space="preserve"> at the usual time, the prescribed dose should be taken as close as possible to the usual time. If a patient misses a dose for a whole day, treatment should be resumed the following day with the usual daily dose.</w:t>
      </w:r>
    </w:p>
    <w:p w:rsidR="00360DE0" w:rsidRPr="00B23B00" w:rsidRDefault="00360DE0" w:rsidP="00DE37FA">
      <w:pPr>
        <w:ind w:left="851"/>
        <w:rPr>
          <w:sz w:val="24"/>
          <w:szCs w:val="24"/>
          <w:lang w:val="en-US"/>
        </w:rPr>
      </w:pPr>
      <w:r w:rsidRPr="00B23B00">
        <w:rPr>
          <w:sz w:val="24"/>
          <w:szCs w:val="24"/>
          <w:lang w:val="en-US"/>
        </w:rPr>
        <w:t>If a patient experiences a ≥ Grade 3 toxicity or an intolerable adverse reaction, dosing should be withheld for one week or until symptoms improve to ≤ Grade 2, then resumed at the same or a reduced dose (120 mg or 80 mg) if warranted.</w:t>
      </w:r>
    </w:p>
    <w:p w:rsidR="00360DE0" w:rsidRPr="00B23B00" w:rsidRDefault="00360DE0" w:rsidP="00DE37FA">
      <w:pPr>
        <w:ind w:left="851"/>
        <w:rPr>
          <w:sz w:val="24"/>
          <w:szCs w:val="24"/>
          <w:lang w:val="en-US"/>
        </w:rPr>
      </w:pPr>
    </w:p>
    <w:p w:rsidR="00360DE0" w:rsidRPr="00B23B00" w:rsidRDefault="00360DE0" w:rsidP="00DE37FA">
      <w:pPr>
        <w:ind w:left="851"/>
        <w:rPr>
          <w:i/>
          <w:sz w:val="24"/>
          <w:szCs w:val="24"/>
          <w:lang w:val="en-US"/>
        </w:rPr>
      </w:pPr>
      <w:r w:rsidRPr="00B23B00">
        <w:rPr>
          <w:i/>
          <w:sz w:val="24"/>
          <w:szCs w:val="24"/>
          <w:lang w:val="en-US"/>
        </w:rPr>
        <w:t>Concomitant use with strong CYP2C8 inhibitors</w:t>
      </w:r>
    </w:p>
    <w:p w:rsidR="00360DE0" w:rsidRPr="00B23B00" w:rsidRDefault="00360DE0" w:rsidP="00DE37FA">
      <w:pPr>
        <w:ind w:left="851"/>
        <w:rPr>
          <w:sz w:val="24"/>
          <w:szCs w:val="24"/>
          <w:lang w:val="en-US"/>
        </w:rPr>
      </w:pPr>
      <w:r w:rsidRPr="00B23B00">
        <w:rPr>
          <w:sz w:val="24"/>
          <w:szCs w:val="24"/>
          <w:lang w:val="en-US"/>
        </w:rPr>
        <w:t>The concomitant use of strong CYP2C8 inhibitors should be avoided if possible. If patients must be co-</w:t>
      </w:r>
      <w:proofErr w:type="gramStart"/>
      <w:r w:rsidRPr="00B23B00">
        <w:rPr>
          <w:sz w:val="24"/>
          <w:szCs w:val="24"/>
          <w:lang w:val="en-US"/>
        </w:rPr>
        <w:t>administered</w:t>
      </w:r>
      <w:proofErr w:type="gramEnd"/>
      <w:r w:rsidRPr="00B23B00">
        <w:rPr>
          <w:sz w:val="24"/>
          <w:szCs w:val="24"/>
          <w:lang w:val="en-US"/>
        </w:rPr>
        <w:t xml:space="preserve"> a strong CYP2C8 inhibitor, the dose of enzalutamide should be </w:t>
      </w:r>
      <w:r w:rsidRPr="00B23B00">
        <w:rPr>
          <w:sz w:val="24"/>
          <w:szCs w:val="24"/>
          <w:lang w:val="en-US"/>
        </w:rPr>
        <w:lastRenderedPageBreak/>
        <w:t>reduced to 80 mg once daily. If co-administration of the strong CYP2C8 inhibitor is discontinued, the enzalutamide dose should be returned to the dose used prior to initiation of the strong CYP2C8 inhibitor (see section 4.5).</w:t>
      </w:r>
    </w:p>
    <w:p w:rsidR="00360DE0" w:rsidRPr="00B23B00" w:rsidRDefault="00360DE0" w:rsidP="00DE37FA">
      <w:pPr>
        <w:ind w:left="851"/>
        <w:rPr>
          <w:sz w:val="24"/>
          <w:szCs w:val="24"/>
          <w:lang w:val="en-US"/>
        </w:rPr>
      </w:pPr>
    </w:p>
    <w:p w:rsidR="00360DE0" w:rsidRPr="00B23B00" w:rsidRDefault="00360DE0" w:rsidP="00DE37FA">
      <w:pPr>
        <w:ind w:left="851"/>
        <w:rPr>
          <w:i/>
          <w:sz w:val="24"/>
          <w:szCs w:val="24"/>
          <w:lang w:val="en-US"/>
        </w:rPr>
      </w:pPr>
      <w:r w:rsidRPr="00B23B00">
        <w:rPr>
          <w:i/>
          <w:sz w:val="24"/>
          <w:szCs w:val="24"/>
          <w:lang w:val="en-US"/>
        </w:rPr>
        <w:t>Elderly</w:t>
      </w:r>
    </w:p>
    <w:p w:rsidR="00360DE0" w:rsidRPr="00B23B00" w:rsidRDefault="00360DE0" w:rsidP="00DE37FA">
      <w:pPr>
        <w:ind w:left="851"/>
        <w:rPr>
          <w:sz w:val="24"/>
          <w:szCs w:val="24"/>
          <w:lang w:val="en-US"/>
        </w:rPr>
      </w:pPr>
      <w:r w:rsidRPr="00B23B00">
        <w:rPr>
          <w:sz w:val="24"/>
          <w:szCs w:val="24"/>
          <w:lang w:val="en-US"/>
        </w:rPr>
        <w:t>No dose adjustment is necessary for elderly patients (see sections 5.1 and 5.2).</w:t>
      </w:r>
    </w:p>
    <w:p w:rsidR="00360DE0" w:rsidRPr="00B23B00" w:rsidRDefault="00360DE0" w:rsidP="00DE37FA">
      <w:pPr>
        <w:ind w:left="851"/>
        <w:rPr>
          <w:sz w:val="24"/>
          <w:szCs w:val="24"/>
          <w:lang w:val="en-US"/>
        </w:rPr>
      </w:pPr>
    </w:p>
    <w:p w:rsidR="00360DE0" w:rsidRPr="00B23B00" w:rsidRDefault="00360DE0" w:rsidP="00DE37FA">
      <w:pPr>
        <w:ind w:left="851"/>
        <w:rPr>
          <w:i/>
          <w:sz w:val="24"/>
          <w:szCs w:val="24"/>
          <w:lang w:val="en-US"/>
        </w:rPr>
      </w:pPr>
      <w:r w:rsidRPr="00B23B00">
        <w:rPr>
          <w:i/>
          <w:sz w:val="24"/>
          <w:szCs w:val="24"/>
          <w:lang w:val="en-US"/>
        </w:rPr>
        <w:t>Hepatic impairment</w:t>
      </w:r>
    </w:p>
    <w:p w:rsidR="00360DE0" w:rsidRPr="00B23B00" w:rsidRDefault="00360DE0" w:rsidP="00DE37FA">
      <w:pPr>
        <w:ind w:left="851"/>
        <w:rPr>
          <w:sz w:val="24"/>
          <w:szCs w:val="24"/>
          <w:lang w:val="en-US"/>
        </w:rPr>
      </w:pPr>
      <w:r w:rsidRPr="00B23B00">
        <w:rPr>
          <w:sz w:val="24"/>
          <w:szCs w:val="24"/>
          <w:lang w:val="en-US"/>
        </w:rPr>
        <w:t>No dose adjustment is necessary for patients with mild, moderate or severe hepatic impairment (Child-Pugh Class A, B or C, respectively). An increased half-life of enzalutamide has however been observed in patients with severe hepatic impairment (see sections 4.4 and 5.2).</w:t>
      </w:r>
    </w:p>
    <w:p w:rsidR="00360DE0" w:rsidRPr="00B23B00" w:rsidRDefault="00360DE0" w:rsidP="003863FE">
      <w:pPr>
        <w:rPr>
          <w:sz w:val="24"/>
          <w:szCs w:val="24"/>
          <w:lang w:val="en-US"/>
        </w:rPr>
      </w:pPr>
    </w:p>
    <w:p w:rsidR="00360DE0" w:rsidRPr="00B23B00" w:rsidRDefault="00360DE0" w:rsidP="00DE37FA">
      <w:pPr>
        <w:ind w:left="851"/>
        <w:rPr>
          <w:i/>
          <w:sz w:val="24"/>
          <w:szCs w:val="24"/>
          <w:lang w:val="en-US"/>
        </w:rPr>
      </w:pPr>
      <w:r w:rsidRPr="00B23B00">
        <w:rPr>
          <w:i/>
          <w:sz w:val="24"/>
          <w:szCs w:val="24"/>
          <w:lang w:val="en-US"/>
        </w:rPr>
        <w:t>Renal impairment</w:t>
      </w:r>
    </w:p>
    <w:p w:rsidR="00360DE0" w:rsidRPr="00B23B00" w:rsidRDefault="00360DE0" w:rsidP="00DE37FA">
      <w:pPr>
        <w:ind w:left="851"/>
        <w:rPr>
          <w:sz w:val="24"/>
          <w:szCs w:val="24"/>
          <w:lang w:val="en-US"/>
        </w:rPr>
      </w:pPr>
      <w:r w:rsidRPr="00B23B00">
        <w:rPr>
          <w:sz w:val="24"/>
          <w:szCs w:val="24"/>
          <w:lang w:val="en-US"/>
        </w:rPr>
        <w:t>No dose adjustment is necessary for patients with mild or moderate renal impairment (see section 5.2). Caution is advised in patients with severe renal impairment or end-stage renal disease (see section 4.4).</w:t>
      </w:r>
    </w:p>
    <w:p w:rsidR="00360DE0" w:rsidRPr="00B23B00" w:rsidRDefault="00360DE0" w:rsidP="00DE37FA">
      <w:pPr>
        <w:ind w:left="851"/>
        <w:rPr>
          <w:sz w:val="24"/>
          <w:szCs w:val="24"/>
          <w:lang w:val="en-US"/>
        </w:rPr>
      </w:pPr>
    </w:p>
    <w:p w:rsidR="00360DE0" w:rsidRPr="00B23B00" w:rsidRDefault="00360DE0" w:rsidP="00DE37FA">
      <w:pPr>
        <w:ind w:left="851"/>
        <w:rPr>
          <w:i/>
          <w:sz w:val="24"/>
          <w:szCs w:val="24"/>
          <w:lang w:val="en-US"/>
        </w:rPr>
      </w:pPr>
      <w:proofErr w:type="spellStart"/>
      <w:r w:rsidRPr="00B23B00">
        <w:rPr>
          <w:i/>
          <w:sz w:val="24"/>
          <w:szCs w:val="24"/>
          <w:lang w:val="en-US"/>
        </w:rPr>
        <w:t>Paediatric</w:t>
      </w:r>
      <w:proofErr w:type="spellEnd"/>
      <w:r w:rsidRPr="00B23B00">
        <w:rPr>
          <w:i/>
          <w:sz w:val="24"/>
          <w:szCs w:val="24"/>
          <w:lang w:val="en-US"/>
        </w:rPr>
        <w:t xml:space="preserve"> population</w:t>
      </w:r>
    </w:p>
    <w:p w:rsidR="003863FE" w:rsidRPr="003863FE" w:rsidRDefault="003863FE" w:rsidP="003863FE">
      <w:pPr>
        <w:ind w:left="851"/>
        <w:rPr>
          <w:sz w:val="24"/>
          <w:szCs w:val="24"/>
          <w:lang w:val="en-US"/>
        </w:rPr>
      </w:pPr>
      <w:r w:rsidRPr="003863FE">
        <w:rPr>
          <w:sz w:val="24"/>
          <w:szCs w:val="24"/>
          <w:lang w:val="en-US"/>
        </w:rPr>
        <w:t xml:space="preserve">There is no relevant use of enzalutamide in the </w:t>
      </w:r>
      <w:proofErr w:type="spellStart"/>
      <w:r w:rsidRPr="003863FE">
        <w:rPr>
          <w:sz w:val="24"/>
          <w:szCs w:val="24"/>
          <w:lang w:val="en-US"/>
        </w:rPr>
        <w:t>paediatric</w:t>
      </w:r>
      <w:proofErr w:type="spellEnd"/>
      <w:r w:rsidRPr="003863FE">
        <w:rPr>
          <w:sz w:val="24"/>
          <w:szCs w:val="24"/>
          <w:lang w:val="en-US"/>
        </w:rPr>
        <w:t xml:space="preserve"> population in the indication of treatment of adult men with CRPC, </w:t>
      </w:r>
      <w:proofErr w:type="spellStart"/>
      <w:r w:rsidRPr="003863FE">
        <w:rPr>
          <w:sz w:val="24"/>
          <w:szCs w:val="24"/>
          <w:lang w:val="en-US"/>
        </w:rPr>
        <w:t>mHSPC</w:t>
      </w:r>
      <w:proofErr w:type="spellEnd"/>
      <w:r w:rsidRPr="003863FE">
        <w:rPr>
          <w:sz w:val="24"/>
          <w:szCs w:val="24"/>
          <w:lang w:val="en-US"/>
        </w:rPr>
        <w:t xml:space="preserve">, or high-risk BCR </w:t>
      </w:r>
      <w:proofErr w:type="spellStart"/>
      <w:r w:rsidRPr="003863FE">
        <w:rPr>
          <w:sz w:val="24"/>
          <w:szCs w:val="24"/>
          <w:lang w:val="en-US"/>
        </w:rPr>
        <w:t>nmHSPC</w:t>
      </w:r>
      <w:proofErr w:type="spellEnd"/>
      <w:r w:rsidRPr="003863FE">
        <w:rPr>
          <w:sz w:val="24"/>
          <w:szCs w:val="24"/>
          <w:lang w:val="en-US"/>
        </w:rPr>
        <w:t>.</w:t>
      </w:r>
    </w:p>
    <w:p w:rsidR="00360DE0" w:rsidRPr="00B23B00" w:rsidRDefault="00360DE0" w:rsidP="00DE37FA">
      <w:pPr>
        <w:ind w:left="851"/>
        <w:rPr>
          <w:sz w:val="24"/>
          <w:szCs w:val="24"/>
          <w:lang w:val="en-US"/>
        </w:rPr>
      </w:pPr>
    </w:p>
    <w:p w:rsidR="00360DE0" w:rsidRPr="00B23B00" w:rsidRDefault="00360DE0" w:rsidP="00DE37FA">
      <w:pPr>
        <w:ind w:left="851"/>
        <w:rPr>
          <w:sz w:val="24"/>
          <w:szCs w:val="24"/>
          <w:u w:val="single"/>
          <w:lang w:val="en-US"/>
        </w:rPr>
      </w:pPr>
      <w:r w:rsidRPr="00B23B00">
        <w:rPr>
          <w:sz w:val="24"/>
          <w:szCs w:val="24"/>
          <w:u w:val="single"/>
          <w:lang w:val="en-US"/>
        </w:rPr>
        <w:t>Method of administration</w:t>
      </w:r>
    </w:p>
    <w:p w:rsidR="00360DE0" w:rsidRPr="009F7C89" w:rsidRDefault="00B924DE" w:rsidP="00DE37FA">
      <w:pPr>
        <w:ind w:left="851"/>
        <w:rPr>
          <w:sz w:val="24"/>
          <w:szCs w:val="24"/>
          <w:lang w:val="en-US"/>
        </w:rPr>
      </w:pPr>
      <w:r w:rsidRPr="00B23B00">
        <w:rPr>
          <w:sz w:val="24"/>
          <w:szCs w:val="24"/>
          <w:lang w:val="en-US"/>
        </w:rPr>
        <w:t>Enzalutamide "Sandoz"</w:t>
      </w:r>
      <w:r w:rsidR="00360DE0" w:rsidRPr="00B23B00">
        <w:rPr>
          <w:sz w:val="24"/>
          <w:szCs w:val="24"/>
          <w:lang w:val="en-US"/>
        </w:rPr>
        <w:t xml:space="preserve"> is for oral use. The film-coated tablets should not be cut, crushed or chewed but should be swallowed whole with water, and can be taken with or without food.</w:t>
      </w:r>
      <w:r w:rsidR="009F7C89">
        <w:rPr>
          <w:sz w:val="24"/>
          <w:szCs w:val="24"/>
          <w:lang w:val="en-US"/>
        </w:rPr>
        <w:t xml:space="preserve"> </w:t>
      </w:r>
      <w:r w:rsidR="009F7C89" w:rsidRPr="009F7C89">
        <w:rPr>
          <w:lang w:val="en-US"/>
        </w:rPr>
        <w:t>Cutting, crushing and chewing the tablet can cause unpleasant taste in the mouth. Disruption of the film coating on a drug may result in rapid degradation of the active ingredient and may also cause skin irritation in patients or care givers. It can also cause alteration of the drug's absorption and lead to an inaccurate dosing.</w:t>
      </w:r>
    </w:p>
    <w:p w:rsidR="007C5D2A" w:rsidRPr="00B23B00" w:rsidRDefault="007C5D2A" w:rsidP="00A85D26">
      <w:pPr>
        <w:tabs>
          <w:tab w:val="left" w:pos="851"/>
        </w:tabs>
        <w:ind w:left="851"/>
        <w:rPr>
          <w:sz w:val="24"/>
          <w:szCs w:val="24"/>
          <w:lang w:val="en-GB"/>
        </w:rPr>
      </w:pPr>
    </w:p>
    <w:p w:rsidR="007C5D2A" w:rsidRPr="00B23B00" w:rsidRDefault="007C5D2A" w:rsidP="007C5D2A">
      <w:pPr>
        <w:tabs>
          <w:tab w:val="left" w:pos="851"/>
        </w:tabs>
        <w:ind w:left="851" w:hanging="851"/>
        <w:rPr>
          <w:b/>
          <w:sz w:val="24"/>
          <w:szCs w:val="24"/>
          <w:lang w:val="en-GB"/>
        </w:rPr>
      </w:pPr>
      <w:r w:rsidRPr="00B23B00">
        <w:rPr>
          <w:b/>
          <w:sz w:val="24"/>
          <w:szCs w:val="24"/>
          <w:lang w:val="en-GB"/>
        </w:rPr>
        <w:t>4.3</w:t>
      </w:r>
      <w:r w:rsidRPr="00B23B00">
        <w:rPr>
          <w:b/>
          <w:sz w:val="24"/>
          <w:szCs w:val="24"/>
          <w:lang w:val="en-GB"/>
        </w:rPr>
        <w:tab/>
        <w:t>Contraindications</w:t>
      </w:r>
    </w:p>
    <w:p w:rsidR="00360DE0" w:rsidRPr="00B23B00" w:rsidRDefault="00360DE0" w:rsidP="00DE37FA">
      <w:pPr>
        <w:ind w:left="851"/>
        <w:rPr>
          <w:sz w:val="24"/>
          <w:szCs w:val="24"/>
          <w:lang w:val="en-US"/>
        </w:rPr>
      </w:pPr>
      <w:r w:rsidRPr="00B23B00">
        <w:rPr>
          <w:sz w:val="24"/>
          <w:szCs w:val="24"/>
          <w:lang w:val="en-US"/>
        </w:rPr>
        <w:t>Hypersensitivity to the active substance(s) or to any of the excipients listed in section 6.1. Women who are or may become pregnant (see sections 4.6 and 6.6).</w:t>
      </w:r>
    </w:p>
    <w:p w:rsidR="007C5D2A" w:rsidRDefault="007C5D2A" w:rsidP="003E0341">
      <w:pPr>
        <w:tabs>
          <w:tab w:val="left" w:pos="851"/>
        </w:tabs>
        <w:ind w:left="851"/>
        <w:rPr>
          <w:sz w:val="24"/>
          <w:szCs w:val="24"/>
          <w:lang w:val="en-GB"/>
        </w:rPr>
      </w:pPr>
    </w:p>
    <w:p w:rsidR="003863FE" w:rsidRPr="00B23B00" w:rsidRDefault="003863FE" w:rsidP="003E0341">
      <w:pPr>
        <w:tabs>
          <w:tab w:val="left" w:pos="851"/>
        </w:tabs>
        <w:ind w:left="851"/>
        <w:rPr>
          <w:sz w:val="24"/>
          <w:szCs w:val="24"/>
          <w:lang w:val="en-GB"/>
        </w:rPr>
      </w:pPr>
    </w:p>
    <w:p w:rsidR="007C5D2A" w:rsidRPr="00B23B00" w:rsidRDefault="007C5D2A" w:rsidP="007C5D2A">
      <w:pPr>
        <w:tabs>
          <w:tab w:val="left" w:pos="851"/>
        </w:tabs>
        <w:rPr>
          <w:b/>
          <w:sz w:val="24"/>
          <w:szCs w:val="24"/>
          <w:lang w:val="en-GB"/>
        </w:rPr>
      </w:pPr>
      <w:r w:rsidRPr="00B23B00">
        <w:rPr>
          <w:b/>
          <w:sz w:val="24"/>
          <w:szCs w:val="24"/>
          <w:lang w:val="en-GB"/>
        </w:rPr>
        <w:t>4.4</w:t>
      </w:r>
      <w:r w:rsidRPr="00B23B00">
        <w:rPr>
          <w:b/>
          <w:sz w:val="24"/>
          <w:szCs w:val="24"/>
          <w:lang w:val="en-GB"/>
        </w:rPr>
        <w:tab/>
        <w:t>Special warnings and precautions for use</w:t>
      </w:r>
    </w:p>
    <w:p w:rsidR="00180206" w:rsidRPr="00B23B00" w:rsidRDefault="00180206" w:rsidP="00DE37FA">
      <w:pPr>
        <w:ind w:left="851"/>
        <w:rPr>
          <w:sz w:val="24"/>
          <w:szCs w:val="24"/>
          <w:lang w:val="en-GB"/>
        </w:rPr>
      </w:pPr>
    </w:p>
    <w:p w:rsidR="00360DE0" w:rsidRPr="00B23B00" w:rsidRDefault="00360DE0" w:rsidP="00DE37FA">
      <w:pPr>
        <w:ind w:left="851"/>
        <w:rPr>
          <w:sz w:val="24"/>
          <w:szCs w:val="24"/>
          <w:u w:val="single"/>
          <w:lang w:val="en-US"/>
        </w:rPr>
      </w:pPr>
      <w:r w:rsidRPr="00B23B00">
        <w:rPr>
          <w:sz w:val="24"/>
          <w:szCs w:val="24"/>
          <w:u w:val="single"/>
          <w:lang w:val="en-US"/>
        </w:rPr>
        <w:t>Risk of seizure</w:t>
      </w:r>
    </w:p>
    <w:p w:rsidR="00360DE0" w:rsidRPr="00B23B00" w:rsidRDefault="00360DE0" w:rsidP="00DE37FA">
      <w:pPr>
        <w:ind w:left="851"/>
        <w:rPr>
          <w:sz w:val="24"/>
          <w:szCs w:val="24"/>
          <w:lang w:val="en-US"/>
        </w:rPr>
      </w:pPr>
      <w:r w:rsidRPr="00B23B00">
        <w:rPr>
          <w:sz w:val="24"/>
          <w:szCs w:val="24"/>
          <w:lang w:val="en-US"/>
        </w:rPr>
        <w:t>Use of enzalutamide has been associated with seizure (see section 4.8). The decision to continue treatment in patients who develop seizures should be taken case by case.</w:t>
      </w:r>
    </w:p>
    <w:p w:rsidR="00360DE0" w:rsidRPr="00B23B00" w:rsidRDefault="00360DE0" w:rsidP="00DE37FA">
      <w:pPr>
        <w:ind w:left="851"/>
        <w:rPr>
          <w:sz w:val="24"/>
          <w:szCs w:val="24"/>
          <w:lang w:val="en-US"/>
        </w:rPr>
      </w:pPr>
    </w:p>
    <w:p w:rsidR="00360DE0" w:rsidRPr="00B23B00" w:rsidRDefault="00360DE0" w:rsidP="00DE37FA">
      <w:pPr>
        <w:ind w:left="851"/>
        <w:rPr>
          <w:sz w:val="24"/>
          <w:szCs w:val="24"/>
          <w:u w:val="single"/>
          <w:lang w:val="en-US"/>
        </w:rPr>
      </w:pPr>
      <w:r w:rsidRPr="00B23B00">
        <w:rPr>
          <w:sz w:val="24"/>
          <w:szCs w:val="24"/>
          <w:u w:val="single"/>
          <w:lang w:val="en-US"/>
        </w:rPr>
        <w:t>Posterior reversible encephalopathy syndrome</w:t>
      </w:r>
    </w:p>
    <w:p w:rsidR="00360DE0" w:rsidRPr="00B23B00" w:rsidRDefault="00360DE0" w:rsidP="00DE37FA">
      <w:pPr>
        <w:ind w:left="851"/>
        <w:rPr>
          <w:sz w:val="24"/>
          <w:szCs w:val="24"/>
          <w:lang w:val="en-US"/>
        </w:rPr>
      </w:pPr>
      <w:r w:rsidRPr="00B23B00">
        <w:rPr>
          <w:sz w:val="24"/>
          <w:szCs w:val="24"/>
          <w:lang w:val="en-US"/>
        </w:rPr>
        <w:t xml:space="preserve">There have been rare reports of posterior reversible encephalopathy syndrome (PRES) in patients receiving enzalutamide (see section 4.8). PRES is a rare, reversible, neurological disorder which can present with rapidly evolving symptoms including seizure, headache, confusion, blindness, and other visual and neurological disturbances, with or without associated hypertension. A diagnosis of PRES requires confirmation by brain imaging, preferably magnetic resonance imaging (MRI). Discontinuation of </w:t>
      </w:r>
      <w:r w:rsidR="00B924DE" w:rsidRPr="00B23B00">
        <w:rPr>
          <w:sz w:val="24"/>
          <w:szCs w:val="24"/>
          <w:lang w:val="en-US"/>
        </w:rPr>
        <w:t>Enzalutamide "Sandoz"</w:t>
      </w:r>
      <w:r w:rsidRPr="00B23B00">
        <w:rPr>
          <w:sz w:val="24"/>
          <w:szCs w:val="24"/>
          <w:lang w:val="en-US"/>
        </w:rPr>
        <w:t xml:space="preserve"> in patients who develop PRES is recommended.</w:t>
      </w:r>
    </w:p>
    <w:p w:rsidR="00360DE0" w:rsidRPr="00B23B00" w:rsidRDefault="00360DE0" w:rsidP="00DE37FA">
      <w:pPr>
        <w:ind w:left="851"/>
        <w:rPr>
          <w:sz w:val="24"/>
          <w:szCs w:val="24"/>
          <w:lang w:val="en-US"/>
        </w:rPr>
      </w:pPr>
    </w:p>
    <w:p w:rsidR="00360DE0" w:rsidRPr="00B23B00" w:rsidRDefault="00360DE0" w:rsidP="00DE37FA">
      <w:pPr>
        <w:ind w:left="851"/>
        <w:rPr>
          <w:sz w:val="24"/>
          <w:szCs w:val="24"/>
          <w:u w:val="single"/>
          <w:lang w:val="en-US"/>
        </w:rPr>
      </w:pPr>
      <w:r w:rsidRPr="00B23B00">
        <w:rPr>
          <w:sz w:val="24"/>
          <w:szCs w:val="24"/>
          <w:u w:val="single"/>
          <w:lang w:val="en-US"/>
        </w:rPr>
        <w:t>Second Primary Malignancies</w:t>
      </w:r>
    </w:p>
    <w:p w:rsidR="003863FE" w:rsidRPr="003863FE" w:rsidRDefault="003863FE" w:rsidP="003863FE">
      <w:pPr>
        <w:ind w:left="851"/>
        <w:rPr>
          <w:sz w:val="24"/>
          <w:szCs w:val="24"/>
          <w:lang w:val="en-US"/>
        </w:rPr>
      </w:pPr>
      <w:r w:rsidRPr="003863FE">
        <w:rPr>
          <w:sz w:val="24"/>
          <w:szCs w:val="24"/>
          <w:lang w:val="en-US"/>
        </w:rPr>
        <w:lastRenderedPageBreak/>
        <w:t>Cases of second primary malignancies have been reported in patients treated with enzalutamide in clinical studies. In phase 3 clinical studies, the most frequently reported events in enzalutamide treated patients, and greater than placebo, were bladder cancer (0.3%), adenocarcinoma of the colon (0.2%), transitional cell carcinoma (0.2%) and bladder transitional cell carcinoma (0.1%) malignant melanoma (0.2%).</w:t>
      </w:r>
    </w:p>
    <w:p w:rsidR="00360DE0" w:rsidRPr="00B23B00" w:rsidRDefault="00360DE0" w:rsidP="00DE37FA">
      <w:pPr>
        <w:ind w:left="851"/>
        <w:rPr>
          <w:sz w:val="24"/>
          <w:szCs w:val="24"/>
          <w:lang w:val="en-US"/>
        </w:rPr>
      </w:pPr>
    </w:p>
    <w:p w:rsidR="00360DE0" w:rsidRPr="00B23B00" w:rsidRDefault="00360DE0" w:rsidP="00DE37FA">
      <w:pPr>
        <w:ind w:left="851"/>
        <w:rPr>
          <w:sz w:val="24"/>
          <w:szCs w:val="24"/>
          <w:lang w:val="en-US"/>
        </w:rPr>
      </w:pPr>
      <w:r w:rsidRPr="00B23B00">
        <w:rPr>
          <w:sz w:val="24"/>
          <w:szCs w:val="24"/>
          <w:lang w:val="en-US"/>
        </w:rPr>
        <w:t xml:space="preserve">Patients should be advised to promptly seek the attention of their physician if they notice signs of gastrointestinal bleeding, macroscopic </w:t>
      </w:r>
      <w:proofErr w:type="spellStart"/>
      <w:r w:rsidRPr="00B23B00">
        <w:rPr>
          <w:sz w:val="24"/>
          <w:szCs w:val="24"/>
          <w:lang w:val="en-US"/>
        </w:rPr>
        <w:t>haematuria</w:t>
      </w:r>
      <w:proofErr w:type="spellEnd"/>
      <w:r w:rsidRPr="00B23B00">
        <w:rPr>
          <w:sz w:val="24"/>
          <w:szCs w:val="24"/>
          <w:lang w:val="en-US"/>
        </w:rPr>
        <w:t>, or other symptoms such as dysuria or urinary urgency develop during treatment with enzalutamide.</w:t>
      </w:r>
    </w:p>
    <w:p w:rsidR="00360DE0" w:rsidRPr="00B23B00" w:rsidRDefault="00360DE0" w:rsidP="00DE37FA">
      <w:pPr>
        <w:ind w:left="851"/>
        <w:rPr>
          <w:sz w:val="24"/>
          <w:szCs w:val="24"/>
          <w:lang w:val="en-US"/>
        </w:rPr>
      </w:pPr>
    </w:p>
    <w:p w:rsidR="00360DE0" w:rsidRPr="00B23B00" w:rsidRDefault="00360DE0" w:rsidP="00DE37FA">
      <w:pPr>
        <w:ind w:left="851"/>
        <w:rPr>
          <w:sz w:val="24"/>
          <w:szCs w:val="24"/>
          <w:u w:val="single"/>
          <w:lang w:val="en-US"/>
        </w:rPr>
      </w:pPr>
      <w:r w:rsidRPr="00B23B00">
        <w:rPr>
          <w:sz w:val="24"/>
          <w:szCs w:val="24"/>
          <w:u w:val="single"/>
          <w:lang w:val="en-US"/>
        </w:rPr>
        <w:t>Concomitant use with other medicinal products</w:t>
      </w:r>
    </w:p>
    <w:p w:rsidR="00360DE0" w:rsidRPr="00B23B00" w:rsidRDefault="00360DE0" w:rsidP="00DE37FA">
      <w:pPr>
        <w:ind w:left="851"/>
        <w:rPr>
          <w:sz w:val="24"/>
          <w:szCs w:val="24"/>
          <w:lang w:val="en-US"/>
        </w:rPr>
      </w:pPr>
      <w:r w:rsidRPr="00B23B00">
        <w:rPr>
          <w:sz w:val="24"/>
          <w:szCs w:val="24"/>
          <w:lang w:val="en-US"/>
        </w:rPr>
        <w:t xml:space="preserve">Enzalutamide is a potent enzyme inducer and may lead to loss of efficacy of many commonly used medicinal products (see examples in section 4.5). A review of concomitant medicinal products should therefore be conducted when initiating enzalutamide treatment. Concomitant use of enzalutamide with medicinal products that are sensitive substrates of many </w:t>
      </w:r>
      <w:proofErr w:type="spellStart"/>
      <w:r w:rsidRPr="00B23B00">
        <w:rPr>
          <w:sz w:val="24"/>
          <w:szCs w:val="24"/>
          <w:lang w:val="en-US"/>
        </w:rPr>
        <w:t>metabolising</w:t>
      </w:r>
      <w:proofErr w:type="spellEnd"/>
      <w:r w:rsidRPr="00B23B00">
        <w:rPr>
          <w:sz w:val="24"/>
          <w:szCs w:val="24"/>
          <w:lang w:val="en-US"/>
        </w:rPr>
        <w:t xml:space="preserve"> enzymes or transporters (see section 4.5) should generally be avoided if their therapeutic effect is of large importance to the patient, and if dose adjustments cannot easily be performed based on monitoring of efficacy or plasma concentrations.</w:t>
      </w:r>
    </w:p>
    <w:p w:rsidR="00360DE0" w:rsidRPr="00B23B00" w:rsidRDefault="00360DE0" w:rsidP="00DE37FA">
      <w:pPr>
        <w:ind w:left="851"/>
        <w:rPr>
          <w:sz w:val="24"/>
          <w:szCs w:val="24"/>
          <w:lang w:val="en-US"/>
        </w:rPr>
      </w:pPr>
    </w:p>
    <w:p w:rsidR="00360DE0" w:rsidRPr="00B23B00" w:rsidRDefault="00360DE0" w:rsidP="00DE37FA">
      <w:pPr>
        <w:ind w:left="851"/>
        <w:rPr>
          <w:sz w:val="24"/>
          <w:szCs w:val="24"/>
          <w:lang w:val="en-US"/>
        </w:rPr>
      </w:pPr>
      <w:r w:rsidRPr="00B23B00">
        <w:rPr>
          <w:sz w:val="24"/>
          <w:szCs w:val="24"/>
          <w:lang w:val="en-US"/>
        </w:rPr>
        <w:t xml:space="preserve">Co-administration with warfarin and coumarin-like anticoagulants should be avoided. If </w:t>
      </w:r>
      <w:r w:rsidR="00B924DE" w:rsidRPr="00B23B00">
        <w:rPr>
          <w:sz w:val="24"/>
          <w:szCs w:val="24"/>
          <w:lang w:val="en-US"/>
        </w:rPr>
        <w:t xml:space="preserve">Enzalutamide </w:t>
      </w:r>
      <w:r w:rsidR="00180206" w:rsidRPr="00B23B00">
        <w:rPr>
          <w:sz w:val="24"/>
          <w:szCs w:val="24"/>
          <w:lang w:val="en-US"/>
        </w:rPr>
        <w:t>"Sandoz"</w:t>
      </w:r>
      <w:r w:rsidRPr="00B23B00">
        <w:rPr>
          <w:sz w:val="24"/>
          <w:szCs w:val="24"/>
          <w:lang w:val="en-US"/>
        </w:rPr>
        <w:t xml:space="preserve"> is co-administered with an anticoagulant </w:t>
      </w:r>
      <w:proofErr w:type="spellStart"/>
      <w:r w:rsidRPr="00B23B00">
        <w:rPr>
          <w:sz w:val="24"/>
          <w:szCs w:val="24"/>
          <w:lang w:val="en-US"/>
        </w:rPr>
        <w:t>metabolised</w:t>
      </w:r>
      <w:proofErr w:type="spellEnd"/>
      <w:r w:rsidRPr="00B23B00">
        <w:rPr>
          <w:sz w:val="24"/>
          <w:szCs w:val="24"/>
          <w:lang w:val="en-US"/>
        </w:rPr>
        <w:t xml:space="preserve"> by CYP2C9 (such as warfarin or </w:t>
      </w:r>
      <w:proofErr w:type="spellStart"/>
      <w:r w:rsidRPr="00B23B00">
        <w:rPr>
          <w:sz w:val="24"/>
          <w:szCs w:val="24"/>
          <w:lang w:val="en-US"/>
        </w:rPr>
        <w:t>acenocoumarol</w:t>
      </w:r>
      <w:proofErr w:type="spellEnd"/>
      <w:r w:rsidRPr="00B23B00">
        <w:rPr>
          <w:sz w:val="24"/>
          <w:szCs w:val="24"/>
          <w:lang w:val="en-US"/>
        </w:rPr>
        <w:t xml:space="preserve">), additional International </w:t>
      </w:r>
      <w:proofErr w:type="spellStart"/>
      <w:r w:rsidRPr="00B23B00">
        <w:rPr>
          <w:sz w:val="24"/>
          <w:szCs w:val="24"/>
          <w:lang w:val="en-US"/>
        </w:rPr>
        <w:t>Normalised</w:t>
      </w:r>
      <w:proofErr w:type="spellEnd"/>
      <w:r w:rsidRPr="00B23B00">
        <w:rPr>
          <w:sz w:val="24"/>
          <w:szCs w:val="24"/>
          <w:lang w:val="en-US"/>
        </w:rPr>
        <w:t xml:space="preserve"> Ratio (INR) monitoring should be conducted (see section 4.5).</w:t>
      </w:r>
    </w:p>
    <w:p w:rsidR="00360DE0" w:rsidRPr="00B23B00" w:rsidRDefault="00360DE0" w:rsidP="00DE37FA">
      <w:pPr>
        <w:ind w:left="851"/>
        <w:rPr>
          <w:sz w:val="24"/>
          <w:szCs w:val="24"/>
          <w:lang w:val="en-US"/>
        </w:rPr>
      </w:pPr>
    </w:p>
    <w:p w:rsidR="00360DE0" w:rsidRPr="00B23B00" w:rsidRDefault="00360DE0" w:rsidP="00DE37FA">
      <w:pPr>
        <w:ind w:left="851"/>
        <w:rPr>
          <w:sz w:val="24"/>
          <w:szCs w:val="24"/>
          <w:u w:val="single"/>
          <w:lang w:val="en-US"/>
        </w:rPr>
      </w:pPr>
      <w:r w:rsidRPr="00B23B00">
        <w:rPr>
          <w:sz w:val="24"/>
          <w:szCs w:val="24"/>
          <w:u w:val="single"/>
          <w:lang w:val="en-US"/>
        </w:rPr>
        <w:t>Renal impairment</w:t>
      </w:r>
    </w:p>
    <w:p w:rsidR="00360DE0" w:rsidRPr="00B23B00" w:rsidRDefault="00360DE0" w:rsidP="00DE37FA">
      <w:pPr>
        <w:ind w:left="851"/>
        <w:rPr>
          <w:sz w:val="24"/>
          <w:szCs w:val="24"/>
          <w:lang w:val="en-US"/>
        </w:rPr>
      </w:pPr>
      <w:r w:rsidRPr="00B23B00">
        <w:rPr>
          <w:sz w:val="24"/>
          <w:szCs w:val="24"/>
          <w:lang w:val="en-US"/>
        </w:rPr>
        <w:t>Caution is required in patients with severe renal impairment as enzalutamide has not been studied in this patient population.</w:t>
      </w:r>
    </w:p>
    <w:p w:rsidR="00360DE0" w:rsidRPr="00B23B00" w:rsidRDefault="00360DE0" w:rsidP="00DE37FA">
      <w:pPr>
        <w:ind w:left="851"/>
        <w:rPr>
          <w:sz w:val="24"/>
          <w:szCs w:val="24"/>
          <w:lang w:val="en-US"/>
        </w:rPr>
      </w:pPr>
    </w:p>
    <w:p w:rsidR="00360DE0" w:rsidRPr="00B23B00" w:rsidRDefault="00360DE0" w:rsidP="00DE37FA">
      <w:pPr>
        <w:ind w:left="851"/>
        <w:rPr>
          <w:sz w:val="24"/>
          <w:szCs w:val="24"/>
          <w:u w:val="single"/>
          <w:lang w:val="en-US"/>
        </w:rPr>
      </w:pPr>
      <w:r w:rsidRPr="00B23B00">
        <w:rPr>
          <w:sz w:val="24"/>
          <w:szCs w:val="24"/>
          <w:u w:val="single"/>
          <w:lang w:val="en-US"/>
        </w:rPr>
        <w:t>Severe hepatic impairment</w:t>
      </w:r>
    </w:p>
    <w:p w:rsidR="00360DE0" w:rsidRPr="00B23B00" w:rsidRDefault="00360DE0" w:rsidP="00DE37FA">
      <w:pPr>
        <w:ind w:left="851"/>
        <w:rPr>
          <w:sz w:val="24"/>
          <w:szCs w:val="24"/>
          <w:lang w:val="en-US"/>
        </w:rPr>
      </w:pPr>
      <w:r w:rsidRPr="00B23B00">
        <w:rPr>
          <w:sz w:val="24"/>
          <w:szCs w:val="24"/>
          <w:lang w:val="en-US"/>
        </w:rPr>
        <w:t>An increased half-life of enzalutamide has been observed in patients with severe hepatic impairment, possibly related to increased tissue distribution. The clinical relevance of this observation remains unknown. A prolonged time to reach steady state concentrations is however anticipated, and the time to maximum pharmacological effect as well as time for onset and decline of enzyme induction (see section 4.5) may be increased.</w:t>
      </w:r>
    </w:p>
    <w:p w:rsidR="00360DE0" w:rsidRPr="00B23B00" w:rsidRDefault="00360DE0" w:rsidP="00DE37FA">
      <w:pPr>
        <w:ind w:left="851"/>
        <w:rPr>
          <w:sz w:val="24"/>
          <w:szCs w:val="24"/>
          <w:lang w:val="en-US"/>
        </w:rPr>
      </w:pPr>
    </w:p>
    <w:p w:rsidR="00360DE0" w:rsidRPr="007B5D05" w:rsidRDefault="00360DE0" w:rsidP="00DE37FA">
      <w:pPr>
        <w:ind w:left="851"/>
        <w:rPr>
          <w:sz w:val="24"/>
          <w:szCs w:val="24"/>
          <w:u w:val="single"/>
          <w:lang w:val="en-US"/>
        </w:rPr>
      </w:pPr>
      <w:r w:rsidRPr="007B5D05">
        <w:rPr>
          <w:sz w:val="24"/>
          <w:szCs w:val="24"/>
          <w:u w:val="single"/>
          <w:lang w:val="en-US"/>
        </w:rPr>
        <w:t>Recent cardiovascular disease</w:t>
      </w:r>
    </w:p>
    <w:p w:rsidR="00360DE0" w:rsidRPr="00B23B00" w:rsidRDefault="00360DE0" w:rsidP="00DE37FA">
      <w:pPr>
        <w:ind w:left="851"/>
        <w:rPr>
          <w:sz w:val="24"/>
          <w:szCs w:val="24"/>
          <w:lang w:val="en-US"/>
        </w:rPr>
      </w:pPr>
      <w:r w:rsidRPr="00B23B00">
        <w:rPr>
          <w:sz w:val="24"/>
          <w:szCs w:val="24"/>
          <w:lang w:val="en-US"/>
        </w:rPr>
        <w:t>The phase 3 studies excluded patients with recent myocardial infarction (in the past 6 months) or unstable angina (in the past 3 months), New York Heart Association Class (NYHA) III or IV heart failure except if Left Ventricular Ejection Fraction (LVEF) ≥ 45</w:t>
      </w:r>
      <w:r w:rsidR="00B23B00">
        <w:rPr>
          <w:sz w:val="24"/>
          <w:szCs w:val="24"/>
          <w:lang w:val="en-US"/>
        </w:rPr>
        <w:t xml:space="preserve"> %</w:t>
      </w:r>
      <w:r w:rsidRPr="00B23B00">
        <w:rPr>
          <w:sz w:val="24"/>
          <w:szCs w:val="24"/>
          <w:lang w:val="en-US"/>
        </w:rPr>
        <w:t xml:space="preserve">, bradycardia or uncontrolled hypertension. This should be </w:t>
      </w:r>
      <w:proofErr w:type="gramStart"/>
      <w:r w:rsidRPr="00B23B00">
        <w:rPr>
          <w:sz w:val="24"/>
          <w:szCs w:val="24"/>
          <w:lang w:val="en-US"/>
        </w:rPr>
        <w:t>taken into account</w:t>
      </w:r>
      <w:proofErr w:type="gramEnd"/>
      <w:r w:rsidRPr="00B23B00">
        <w:rPr>
          <w:sz w:val="24"/>
          <w:szCs w:val="24"/>
          <w:lang w:val="en-US"/>
        </w:rPr>
        <w:t xml:space="preserve"> if </w:t>
      </w:r>
      <w:r w:rsidR="00B924DE" w:rsidRPr="00B23B00">
        <w:rPr>
          <w:sz w:val="24"/>
          <w:szCs w:val="24"/>
          <w:lang w:val="en-US"/>
        </w:rPr>
        <w:t xml:space="preserve">Enzalutamide </w:t>
      </w:r>
      <w:r w:rsidR="00180206" w:rsidRPr="00B23B00">
        <w:rPr>
          <w:sz w:val="24"/>
          <w:szCs w:val="24"/>
          <w:lang w:val="en-US"/>
        </w:rPr>
        <w:t>"Sandoz"</w:t>
      </w:r>
      <w:r w:rsidRPr="00B23B00">
        <w:rPr>
          <w:sz w:val="24"/>
          <w:szCs w:val="24"/>
          <w:lang w:val="en-US"/>
        </w:rPr>
        <w:t xml:space="preserve"> is prescribed in these patients.</w:t>
      </w:r>
    </w:p>
    <w:p w:rsidR="00360DE0" w:rsidRPr="00B23B00" w:rsidRDefault="00360DE0" w:rsidP="00DE37FA">
      <w:pPr>
        <w:ind w:left="851"/>
        <w:rPr>
          <w:sz w:val="24"/>
          <w:szCs w:val="24"/>
          <w:lang w:val="en-US"/>
        </w:rPr>
      </w:pPr>
    </w:p>
    <w:p w:rsidR="00360DE0" w:rsidRPr="00B23B00" w:rsidRDefault="00360DE0" w:rsidP="00DE37FA">
      <w:pPr>
        <w:ind w:left="851"/>
        <w:rPr>
          <w:sz w:val="24"/>
          <w:szCs w:val="24"/>
          <w:u w:val="single"/>
          <w:lang w:val="en-US"/>
        </w:rPr>
      </w:pPr>
      <w:r w:rsidRPr="00B23B00">
        <w:rPr>
          <w:sz w:val="24"/>
          <w:szCs w:val="24"/>
          <w:u w:val="single"/>
          <w:lang w:val="en-US"/>
        </w:rPr>
        <w:t>Androgen deprivation therapy may prolong the QT interval</w:t>
      </w:r>
    </w:p>
    <w:p w:rsidR="00360DE0" w:rsidRPr="00B23B00" w:rsidRDefault="00360DE0" w:rsidP="00DE37FA">
      <w:pPr>
        <w:ind w:left="851"/>
        <w:rPr>
          <w:sz w:val="24"/>
          <w:szCs w:val="24"/>
          <w:lang w:val="en-US"/>
        </w:rPr>
      </w:pPr>
      <w:r w:rsidRPr="00B23B00">
        <w:rPr>
          <w:sz w:val="24"/>
          <w:szCs w:val="24"/>
          <w:lang w:val="en-US"/>
        </w:rPr>
        <w:t xml:space="preserve">In patients with a history of or risk factors for QT prolongation and in patients receiving concomitant medicinal products that might prolong the QT interval (see section 4.5) physicians should assess the benefit risk ratio including the potential for Torsade de pointes prior to initiating </w:t>
      </w:r>
      <w:r w:rsidR="00B924DE" w:rsidRPr="00B23B00">
        <w:rPr>
          <w:sz w:val="24"/>
          <w:szCs w:val="24"/>
          <w:lang w:val="en-US"/>
        </w:rPr>
        <w:t xml:space="preserve">Enzalutamide </w:t>
      </w:r>
      <w:r w:rsidR="00180206" w:rsidRPr="00B23B00">
        <w:rPr>
          <w:sz w:val="24"/>
          <w:szCs w:val="24"/>
          <w:lang w:val="en-US"/>
        </w:rPr>
        <w:t>"Sandoz"</w:t>
      </w:r>
      <w:r w:rsidRPr="00B23B00">
        <w:rPr>
          <w:sz w:val="24"/>
          <w:szCs w:val="24"/>
          <w:lang w:val="en-US"/>
        </w:rPr>
        <w:t>.</w:t>
      </w:r>
    </w:p>
    <w:p w:rsidR="00360DE0" w:rsidRPr="00B23B00" w:rsidRDefault="00360DE0" w:rsidP="00DE37FA">
      <w:pPr>
        <w:ind w:left="851"/>
        <w:rPr>
          <w:sz w:val="24"/>
          <w:szCs w:val="24"/>
          <w:lang w:val="en-US"/>
        </w:rPr>
      </w:pPr>
    </w:p>
    <w:p w:rsidR="00360DE0" w:rsidRPr="00B23B00" w:rsidRDefault="00360DE0" w:rsidP="00DE37FA">
      <w:pPr>
        <w:ind w:left="851"/>
        <w:rPr>
          <w:sz w:val="24"/>
          <w:szCs w:val="24"/>
          <w:u w:val="single"/>
          <w:lang w:val="en-US"/>
        </w:rPr>
      </w:pPr>
      <w:r w:rsidRPr="00B23B00">
        <w:rPr>
          <w:sz w:val="24"/>
          <w:szCs w:val="24"/>
          <w:u w:val="single"/>
          <w:lang w:val="en-US"/>
        </w:rPr>
        <w:t>Use with chemotherapy</w:t>
      </w:r>
    </w:p>
    <w:p w:rsidR="00360DE0" w:rsidRPr="00B23B00" w:rsidRDefault="00360DE0" w:rsidP="00DE37FA">
      <w:pPr>
        <w:ind w:left="851"/>
        <w:rPr>
          <w:sz w:val="24"/>
          <w:szCs w:val="24"/>
          <w:lang w:val="en-US"/>
        </w:rPr>
      </w:pPr>
      <w:r w:rsidRPr="00B23B00">
        <w:rPr>
          <w:sz w:val="24"/>
          <w:szCs w:val="24"/>
          <w:lang w:val="en-US"/>
        </w:rPr>
        <w:t xml:space="preserve">The safety and efficacy of concomitant use of </w:t>
      </w:r>
      <w:r w:rsidR="00B924DE" w:rsidRPr="00B23B00">
        <w:rPr>
          <w:sz w:val="24"/>
          <w:szCs w:val="24"/>
          <w:lang w:val="en-US"/>
        </w:rPr>
        <w:t xml:space="preserve">Enzalutamide </w:t>
      </w:r>
      <w:r w:rsidR="00180206" w:rsidRPr="00B23B00">
        <w:rPr>
          <w:sz w:val="24"/>
          <w:szCs w:val="24"/>
          <w:lang w:val="en-US"/>
        </w:rPr>
        <w:t>"Sandoz"</w:t>
      </w:r>
      <w:r w:rsidRPr="00B23B00">
        <w:rPr>
          <w:sz w:val="24"/>
          <w:szCs w:val="24"/>
          <w:lang w:val="en-US"/>
        </w:rPr>
        <w:t xml:space="preserve"> with cytotoxic chemotherapy has not been established. Co-administration of enzalutamide has no </w:t>
      </w:r>
      <w:r w:rsidRPr="00B23B00">
        <w:rPr>
          <w:sz w:val="24"/>
          <w:szCs w:val="24"/>
          <w:lang w:val="en-US"/>
        </w:rPr>
        <w:lastRenderedPageBreak/>
        <w:t>clinically relevant effect on the pharmacokinetics of intravenous docetaxel (see section 4.5); however, an increase in the occurrence of docetaxel-induced neutropenia cannot be excluded.</w:t>
      </w:r>
    </w:p>
    <w:p w:rsidR="00360DE0" w:rsidRPr="00B23B00" w:rsidRDefault="00360DE0" w:rsidP="00DE37FA">
      <w:pPr>
        <w:ind w:left="851"/>
        <w:rPr>
          <w:sz w:val="24"/>
          <w:szCs w:val="24"/>
          <w:lang w:val="en-US"/>
        </w:rPr>
      </w:pPr>
    </w:p>
    <w:p w:rsidR="003863FE" w:rsidRPr="003863FE" w:rsidRDefault="003863FE" w:rsidP="003863FE">
      <w:pPr>
        <w:ind w:left="851"/>
        <w:rPr>
          <w:sz w:val="24"/>
          <w:szCs w:val="24"/>
          <w:u w:val="single"/>
          <w:lang w:val="en-US"/>
        </w:rPr>
      </w:pPr>
      <w:r w:rsidRPr="003863FE">
        <w:rPr>
          <w:sz w:val="24"/>
          <w:szCs w:val="24"/>
          <w:u w:val="single"/>
          <w:lang w:val="en-US"/>
        </w:rPr>
        <w:t>Severe skin reactions</w:t>
      </w:r>
    </w:p>
    <w:p w:rsidR="003863FE" w:rsidRPr="003863FE" w:rsidRDefault="003863FE" w:rsidP="003863FE">
      <w:pPr>
        <w:ind w:left="851"/>
        <w:rPr>
          <w:sz w:val="24"/>
          <w:szCs w:val="24"/>
          <w:lang w:val="en-US"/>
        </w:rPr>
      </w:pPr>
      <w:r w:rsidRPr="003863FE">
        <w:rPr>
          <w:sz w:val="24"/>
          <w:szCs w:val="24"/>
          <w:lang w:val="en-US"/>
        </w:rPr>
        <w:t>Severe cutaneous adverse reactions (SCARs), including Stevens-Johnson syndrome, which can be life threatening or fatal, have been reported with enzalutamide treatment.</w:t>
      </w:r>
    </w:p>
    <w:p w:rsidR="003863FE" w:rsidRPr="003863FE" w:rsidRDefault="003863FE" w:rsidP="003863FE">
      <w:pPr>
        <w:ind w:left="851"/>
        <w:rPr>
          <w:sz w:val="24"/>
          <w:szCs w:val="24"/>
          <w:lang w:val="en-US"/>
        </w:rPr>
      </w:pPr>
      <w:r w:rsidRPr="003863FE">
        <w:rPr>
          <w:sz w:val="24"/>
          <w:szCs w:val="24"/>
          <w:lang w:val="en-US"/>
        </w:rPr>
        <w:t>At the time of prescription, patients should be advised of the signs and symptoms and monitored</w:t>
      </w:r>
    </w:p>
    <w:p w:rsidR="003863FE" w:rsidRPr="003863FE" w:rsidRDefault="003863FE" w:rsidP="003863FE">
      <w:pPr>
        <w:ind w:left="851"/>
        <w:rPr>
          <w:sz w:val="24"/>
          <w:szCs w:val="24"/>
          <w:lang w:val="en-US"/>
        </w:rPr>
      </w:pPr>
      <w:r w:rsidRPr="003863FE">
        <w:rPr>
          <w:sz w:val="24"/>
          <w:szCs w:val="24"/>
          <w:lang w:val="en-US"/>
        </w:rPr>
        <w:t>closely for skin reactions.</w:t>
      </w:r>
    </w:p>
    <w:p w:rsidR="003863FE" w:rsidRPr="003863FE" w:rsidRDefault="003863FE" w:rsidP="003863FE">
      <w:pPr>
        <w:ind w:left="851"/>
        <w:rPr>
          <w:sz w:val="24"/>
          <w:szCs w:val="24"/>
          <w:u w:val="single"/>
          <w:lang w:val="en-US"/>
        </w:rPr>
      </w:pPr>
    </w:p>
    <w:p w:rsidR="003863FE" w:rsidRPr="003863FE" w:rsidRDefault="003863FE" w:rsidP="003863FE">
      <w:pPr>
        <w:ind w:left="851"/>
        <w:rPr>
          <w:sz w:val="24"/>
          <w:szCs w:val="24"/>
          <w:lang w:val="en-US"/>
        </w:rPr>
      </w:pPr>
      <w:r w:rsidRPr="003863FE">
        <w:rPr>
          <w:sz w:val="24"/>
          <w:szCs w:val="24"/>
          <w:lang w:val="en-US"/>
        </w:rPr>
        <w:t>If signs and symptoms suggestive of this reaction appear, enzalutamide should be withdrawn</w:t>
      </w:r>
    </w:p>
    <w:p w:rsidR="003863FE" w:rsidRPr="003863FE" w:rsidRDefault="003863FE" w:rsidP="003863FE">
      <w:pPr>
        <w:ind w:left="851"/>
        <w:rPr>
          <w:sz w:val="24"/>
          <w:szCs w:val="24"/>
          <w:lang w:val="en-US"/>
        </w:rPr>
      </w:pPr>
      <w:r w:rsidRPr="003863FE">
        <w:rPr>
          <w:sz w:val="24"/>
          <w:szCs w:val="24"/>
          <w:lang w:val="en-US"/>
        </w:rPr>
        <w:t>immediately and an alternative treatment considered (as appropriate).</w:t>
      </w:r>
    </w:p>
    <w:p w:rsidR="003863FE" w:rsidRPr="003863FE" w:rsidRDefault="003863FE" w:rsidP="003863FE">
      <w:pPr>
        <w:ind w:left="851"/>
        <w:rPr>
          <w:sz w:val="24"/>
          <w:szCs w:val="24"/>
          <w:u w:val="single"/>
          <w:lang w:val="en-US"/>
        </w:rPr>
      </w:pPr>
    </w:p>
    <w:p w:rsidR="003863FE" w:rsidRPr="003863FE" w:rsidRDefault="003863FE" w:rsidP="003863FE">
      <w:pPr>
        <w:ind w:left="851"/>
        <w:rPr>
          <w:sz w:val="24"/>
          <w:szCs w:val="24"/>
          <w:u w:val="single"/>
          <w:lang w:val="en-US"/>
        </w:rPr>
      </w:pPr>
      <w:r w:rsidRPr="003863FE">
        <w:rPr>
          <w:sz w:val="24"/>
          <w:szCs w:val="24"/>
          <w:u w:val="single"/>
          <w:lang w:val="en-US"/>
        </w:rPr>
        <w:t>Hypersensitivity reactions</w:t>
      </w:r>
    </w:p>
    <w:p w:rsidR="003863FE" w:rsidRPr="003863FE" w:rsidRDefault="003863FE" w:rsidP="003863FE">
      <w:pPr>
        <w:ind w:left="851"/>
        <w:rPr>
          <w:sz w:val="24"/>
          <w:szCs w:val="24"/>
          <w:lang w:val="en-US"/>
        </w:rPr>
      </w:pPr>
      <w:r w:rsidRPr="003863FE">
        <w:rPr>
          <w:sz w:val="24"/>
          <w:szCs w:val="24"/>
          <w:lang w:val="en-US"/>
        </w:rPr>
        <w:t xml:space="preserve">Hypersensitivity reactions manifested by symptoms including, but not limited to, rash, or face, tongue, lip, or pharyngeal </w:t>
      </w:r>
      <w:proofErr w:type="spellStart"/>
      <w:r w:rsidRPr="003863FE">
        <w:rPr>
          <w:sz w:val="24"/>
          <w:szCs w:val="24"/>
          <w:lang w:val="en-US"/>
        </w:rPr>
        <w:t>oedema</w:t>
      </w:r>
      <w:proofErr w:type="spellEnd"/>
      <w:r w:rsidRPr="003863FE">
        <w:rPr>
          <w:sz w:val="24"/>
          <w:szCs w:val="24"/>
          <w:lang w:val="en-US"/>
        </w:rPr>
        <w:t xml:space="preserve">, have been observed with enzalutamide (see section 4.8). </w:t>
      </w:r>
    </w:p>
    <w:p w:rsidR="003863FE" w:rsidRPr="003863FE" w:rsidRDefault="003863FE" w:rsidP="003863FE">
      <w:pPr>
        <w:ind w:left="851"/>
        <w:rPr>
          <w:sz w:val="24"/>
          <w:szCs w:val="24"/>
          <w:u w:val="single"/>
          <w:lang w:val="en-US"/>
        </w:rPr>
      </w:pPr>
    </w:p>
    <w:p w:rsidR="003863FE" w:rsidRPr="003863FE" w:rsidRDefault="003863FE" w:rsidP="003863FE">
      <w:pPr>
        <w:ind w:left="851"/>
        <w:rPr>
          <w:sz w:val="24"/>
          <w:szCs w:val="24"/>
          <w:u w:val="single"/>
          <w:lang w:val="en-US"/>
        </w:rPr>
      </w:pPr>
      <w:r w:rsidRPr="003863FE">
        <w:rPr>
          <w:sz w:val="24"/>
          <w:szCs w:val="24"/>
          <w:u w:val="single"/>
          <w:lang w:val="en-US"/>
        </w:rPr>
        <w:t xml:space="preserve">Enzalutamide as monotherapy in patients with high-risk BCR </w:t>
      </w:r>
      <w:proofErr w:type="spellStart"/>
      <w:r w:rsidRPr="003863FE">
        <w:rPr>
          <w:sz w:val="24"/>
          <w:szCs w:val="24"/>
          <w:u w:val="single"/>
          <w:lang w:val="en-US"/>
        </w:rPr>
        <w:t>nmHSPC</w:t>
      </w:r>
      <w:proofErr w:type="spellEnd"/>
    </w:p>
    <w:p w:rsidR="003863FE" w:rsidRPr="003863FE" w:rsidRDefault="003863FE" w:rsidP="003863FE">
      <w:pPr>
        <w:ind w:left="851"/>
        <w:rPr>
          <w:sz w:val="24"/>
          <w:szCs w:val="24"/>
          <w:lang w:val="en-US"/>
        </w:rPr>
      </w:pPr>
      <w:r w:rsidRPr="003863FE">
        <w:rPr>
          <w:sz w:val="24"/>
          <w:szCs w:val="24"/>
          <w:lang w:val="en-US"/>
        </w:rPr>
        <w:t xml:space="preserve">Results of the EMBARK study suggest that enzalutamide as monotherapy and in combination with androgen deprivation therapy are not equivalent treatment options in patients with high-risk BCR </w:t>
      </w:r>
      <w:proofErr w:type="spellStart"/>
      <w:r w:rsidRPr="003863FE">
        <w:rPr>
          <w:sz w:val="24"/>
          <w:szCs w:val="24"/>
          <w:lang w:val="en-US"/>
        </w:rPr>
        <w:t>nmHSPC</w:t>
      </w:r>
      <w:proofErr w:type="spellEnd"/>
      <w:r w:rsidRPr="003863FE">
        <w:rPr>
          <w:sz w:val="24"/>
          <w:szCs w:val="24"/>
          <w:lang w:val="en-US"/>
        </w:rPr>
        <w:t xml:space="preserve"> (see sections 4.8 and 5.1). Enzalutamide in combination with androgen deprivation therapy is considered the preferred treatment option except for cases in which the addition of androgen deprivation therapy may result in unacceptable toxicity or risk.</w:t>
      </w:r>
    </w:p>
    <w:p w:rsidR="005D59AD" w:rsidRDefault="005D59AD" w:rsidP="005D59AD">
      <w:pPr>
        <w:ind w:left="851"/>
        <w:rPr>
          <w:sz w:val="24"/>
          <w:szCs w:val="24"/>
          <w:u w:val="single"/>
          <w:lang w:val="en-US"/>
        </w:rPr>
      </w:pPr>
    </w:p>
    <w:p w:rsidR="005D59AD" w:rsidRPr="005D59AD" w:rsidRDefault="005D59AD" w:rsidP="005D59AD">
      <w:pPr>
        <w:ind w:left="851"/>
        <w:rPr>
          <w:sz w:val="24"/>
          <w:szCs w:val="24"/>
          <w:u w:val="single"/>
          <w:lang w:val="en-US"/>
        </w:rPr>
      </w:pPr>
      <w:r w:rsidRPr="00B23B00">
        <w:rPr>
          <w:sz w:val="24"/>
          <w:szCs w:val="24"/>
          <w:u w:val="single"/>
          <w:lang w:val="en-US"/>
        </w:rPr>
        <w:t>Enzalutamide "Sandoz"</w:t>
      </w:r>
      <w:r>
        <w:rPr>
          <w:sz w:val="24"/>
          <w:szCs w:val="24"/>
          <w:u w:val="single"/>
          <w:lang w:val="en-US"/>
        </w:rPr>
        <w:t xml:space="preserve"> </w:t>
      </w:r>
      <w:r w:rsidRPr="005D59AD">
        <w:rPr>
          <w:sz w:val="24"/>
          <w:szCs w:val="24"/>
          <w:u w:val="single"/>
          <w:lang w:val="en-US"/>
        </w:rPr>
        <w:t>contains lactose</w:t>
      </w:r>
    </w:p>
    <w:p w:rsidR="005D59AD" w:rsidRPr="005D59AD" w:rsidRDefault="005D59AD" w:rsidP="005D59AD">
      <w:pPr>
        <w:ind w:left="851"/>
        <w:rPr>
          <w:sz w:val="24"/>
          <w:szCs w:val="24"/>
          <w:lang w:val="en-US"/>
        </w:rPr>
      </w:pPr>
      <w:r w:rsidRPr="005D59AD">
        <w:rPr>
          <w:sz w:val="24"/>
          <w:szCs w:val="24"/>
          <w:lang w:val="en-US"/>
        </w:rPr>
        <w:t>Patients with rare hereditary problems of galactose intolerance, total lactase deficiency or glucose-galactose malabsorption should not take this medicinal product.</w:t>
      </w:r>
    </w:p>
    <w:p w:rsidR="00360DE0" w:rsidRPr="00B23B00" w:rsidRDefault="00360DE0" w:rsidP="00DE37FA">
      <w:pPr>
        <w:ind w:left="851"/>
        <w:rPr>
          <w:sz w:val="24"/>
          <w:szCs w:val="24"/>
          <w:lang w:val="en-US"/>
        </w:rPr>
      </w:pPr>
    </w:p>
    <w:p w:rsidR="00360DE0" w:rsidRPr="00B23B00" w:rsidRDefault="00B924DE" w:rsidP="00DE37FA">
      <w:pPr>
        <w:ind w:left="851"/>
        <w:rPr>
          <w:sz w:val="24"/>
          <w:szCs w:val="24"/>
          <w:u w:val="single"/>
          <w:lang w:val="en-US"/>
        </w:rPr>
      </w:pPr>
      <w:r w:rsidRPr="00B23B00">
        <w:rPr>
          <w:sz w:val="24"/>
          <w:szCs w:val="24"/>
          <w:u w:val="single"/>
          <w:lang w:val="en-US"/>
        </w:rPr>
        <w:t xml:space="preserve">Enzalutamide </w:t>
      </w:r>
      <w:r w:rsidR="00180206" w:rsidRPr="00B23B00">
        <w:rPr>
          <w:sz w:val="24"/>
          <w:szCs w:val="24"/>
          <w:u w:val="single"/>
          <w:lang w:val="en-US"/>
        </w:rPr>
        <w:t>"Sandoz"</w:t>
      </w:r>
      <w:r w:rsidR="00360DE0" w:rsidRPr="00B23B00">
        <w:rPr>
          <w:sz w:val="24"/>
          <w:szCs w:val="24"/>
          <w:u w:val="single"/>
          <w:lang w:val="en-US"/>
        </w:rPr>
        <w:t xml:space="preserve"> contains sodium</w:t>
      </w:r>
    </w:p>
    <w:p w:rsidR="00360DE0" w:rsidRPr="00B23B00" w:rsidRDefault="00360DE0" w:rsidP="00DE37FA">
      <w:pPr>
        <w:ind w:left="851"/>
        <w:rPr>
          <w:sz w:val="24"/>
          <w:szCs w:val="24"/>
          <w:lang w:val="en-US"/>
        </w:rPr>
      </w:pPr>
      <w:r w:rsidRPr="00B23B00">
        <w:rPr>
          <w:sz w:val="24"/>
          <w:szCs w:val="24"/>
          <w:lang w:val="en-US"/>
        </w:rPr>
        <w:t>This medicine contains less than 1 mmol sodium (less than 23 mg) per film-coated tablet, that is to say essentially ‘sodium-free’.</w:t>
      </w:r>
    </w:p>
    <w:p w:rsidR="007C5D2A" w:rsidRPr="00B23B00" w:rsidRDefault="007C5D2A" w:rsidP="003E0341">
      <w:pPr>
        <w:tabs>
          <w:tab w:val="left" w:pos="851"/>
        </w:tabs>
        <w:ind w:left="851"/>
        <w:rPr>
          <w:sz w:val="24"/>
          <w:szCs w:val="24"/>
          <w:lang w:val="en-GB"/>
        </w:rPr>
      </w:pPr>
    </w:p>
    <w:p w:rsidR="007C5D2A" w:rsidRPr="00B23B00" w:rsidRDefault="007C5D2A" w:rsidP="007C5D2A">
      <w:pPr>
        <w:ind w:left="851" w:hanging="851"/>
        <w:rPr>
          <w:b/>
          <w:sz w:val="24"/>
          <w:szCs w:val="24"/>
          <w:lang w:val="en-GB"/>
        </w:rPr>
      </w:pPr>
      <w:r w:rsidRPr="00B23B00">
        <w:rPr>
          <w:b/>
          <w:sz w:val="24"/>
          <w:szCs w:val="24"/>
          <w:lang w:val="en-GB"/>
        </w:rPr>
        <w:t>4.5</w:t>
      </w:r>
      <w:r w:rsidRPr="00B23B00">
        <w:rPr>
          <w:b/>
          <w:sz w:val="24"/>
          <w:szCs w:val="24"/>
          <w:lang w:val="en-GB"/>
        </w:rPr>
        <w:tab/>
        <w:t>Interaction with other medicinal products and other forms of interaction</w:t>
      </w:r>
    </w:p>
    <w:p w:rsidR="00902AD5" w:rsidRPr="00B23B00" w:rsidRDefault="00902AD5" w:rsidP="00DE37FA">
      <w:pPr>
        <w:ind w:left="851"/>
        <w:rPr>
          <w:sz w:val="24"/>
          <w:szCs w:val="24"/>
          <w:lang w:val="en-GB"/>
        </w:rPr>
      </w:pPr>
    </w:p>
    <w:p w:rsidR="00360DE0" w:rsidRPr="00B23B00" w:rsidRDefault="00360DE0" w:rsidP="00DE37FA">
      <w:pPr>
        <w:ind w:left="851"/>
        <w:rPr>
          <w:sz w:val="24"/>
          <w:szCs w:val="24"/>
          <w:u w:val="single"/>
          <w:lang w:val="en-US"/>
        </w:rPr>
      </w:pPr>
      <w:r w:rsidRPr="00B23B00">
        <w:rPr>
          <w:sz w:val="24"/>
          <w:szCs w:val="24"/>
          <w:u w:val="single"/>
          <w:lang w:val="en-US"/>
        </w:rPr>
        <w:t>Potential for other medicinal products to affect enzalutamide exposures</w:t>
      </w:r>
    </w:p>
    <w:p w:rsidR="00902AD5" w:rsidRPr="00B23B00" w:rsidRDefault="00902AD5" w:rsidP="00DE37FA">
      <w:pPr>
        <w:ind w:left="851"/>
        <w:rPr>
          <w:sz w:val="24"/>
          <w:szCs w:val="24"/>
          <w:lang w:val="en-US"/>
        </w:rPr>
      </w:pPr>
    </w:p>
    <w:p w:rsidR="00360DE0" w:rsidRPr="00B23B00" w:rsidRDefault="00360DE0" w:rsidP="00DE37FA">
      <w:pPr>
        <w:ind w:left="851"/>
        <w:rPr>
          <w:i/>
          <w:sz w:val="24"/>
          <w:szCs w:val="24"/>
          <w:lang w:val="en-US"/>
        </w:rPr>
      </w:pPr>
      <w:r w:rsidRPr="00B23B00">
        <w:rPr>
          <w:i/>
          <w:sz w:val="24"/>
          <w:szCs w:val="24"/>
          <w:lang w:val="en-US"/>
        </w:rPr>
        <w:t>CYP2C8 inhibitors</w:t>
      </w:r>
    </w:p>
    <w:p w:rsidR="00360DE0" w:rsidRPr="00B23B00" w:rsidRDefault="00360DE0" w:rsidP="00902AD5">
      <w:pPr>
        <w:tabs>
          <w:tab w:val="left" w:pos="1843"/>
        </w:tabs>
        <w:ind w:left="851"/>
        <w:rPr>
          <w:sz w:val="24"/>
          <w:szCs w:val="24"/>
          <w:lang w:val="en-US"/>
        </w:rPr>
      </w:pPr>
      <w:r w:rsidRPr="00B23B00">
        <w:rPr>
          <w:sz w:val="24"/>
          <w:szCs w:val="24"/>
          <w:lang w:val="en-US"/>
        </w:rPr>
        <w:t>CYP2C8 plays an important role in the elimination of enzalutamide and in the formation of its active metabolite. Following oral administration of the strong CYP2C8 inhibitor gemfibrozil (600 mg twice daily) to healthy male subjects, the AUC of enzalutamide increased by 326</w:t>
      </w:r>
      <w:r w:rsidR="00B23B00">
        <w:rPr>
          <w:sz w:val="24"/>
          <w:szCs w:val="24"/>
          <w:lang w:val="en-US"/>
        </w:rPr>
        <w:t xml:space="preserve"> %</w:t>
      </w:r>
      <w:r w:rsidRPr="00B23B00">
        <w:rPr>
          <w:sz w:val="24"/>
          <w:szCs w:val="24"/>
          <w:lang w:val="en-US"/>
        </w:rPr>
        <w:t xml:space="preserve"> while </w:t>
      </w:r>
      <w:proofErr w:type="spellStart"/>
      <w:r w:rsidRPr="00B23B00">
        <w:rPr>
          <w:sz w:val="24"/>
          <w:szCs w:val="24"/>
          <w:lang w:val="en-US"/>
        </w:rPr>
        <w:t>C</w:t>
      </w:r>
      <w:r w:rsidRPr="00B23B00">
        <w:rPr>
          <w:sz w:val="24"/>
          <w:szCs w:val="24"/>
          <w:vertAlign w:val="subscript"/>
          <w:lang w:val="en-US"/>
        </w:rPr>
        <w:t>max</w:t>
      </w:r>
      <w:proofErr w:type="spellEnd"/>
      <w:r w:rsidRPr="00B23B00">
        <w:rPr>
          <w:sz w:val="24"/>
          <w:szCs w:val="24"/>
          <w:lang w:val="en-US"/>
        </w:rPr>
        <w:t xml:space="preserve"> of </w:t>
      </w:r>
      <w:r w:rsidR="003863FE" w:rsidRPr="003863FE">
        <w:rPr>
          <w:sz w:val="24"/>
          <w:szCs w:val="24"/>
          <w:lang w:val="en-US"/>
        </w:rPr>
        <w:t>enzalutamide decreased by 18%. For the sum of unbound enzalutamide plus the unbound active</w:t>
      </w:r>
      <w:r w:rsidRPr="00B23B00">
        <w:rPr>
          <w:sz w:val="24"/>
          <w:szCs w:val="24"/>
          <w:lang w:val="en-US"/>
        </w:rPr>
        <w:t xml:space="preserve"> metabolite, the AUC increased by 77</w:t>
      </w:r>
      <w:r w:rsidR="00B23B00">
        <w:rPr>
          <w:sz w:val="24"/>
          <w:szCs w:val="24"/>
          <w:lang w:val="en-US"/>
        </w:rPr>
        <w:t xml:space="preserve"> %</w:t>
      </w:r>
      <w:r w:rsidRPr="00B23B00">
        <w:rPr>
          <w:sz w:val="24"/>
          <w:szCs w:val="24"/>
          <w:lang w:val="en-US"/>
        </w:rPr>
        <w:t xml:space="preserve"> while </w:t>
      </w:r>
      <w:proofErr w:type="spellStart"/>
      <w:r w:rsidRPr="00B23B00">
        <w:rPr>
          <w:sz w:val="24"/>
          <w:szCs w:val="24"/>
          <w:lang w:val="en-US"/>
        </w:rPr>
        <w:t>C</w:t>
      </w:r>
      <w:r w:rsidRPr="00B23B00">
        <w:rPr>
          <w:sz w:val="24"/>
          <w:szCs w:val="24"/>
          <w:vertAlign w:val="subscript"/>
          <w:lang w:val="en-US"/>
        </w:rPr>
        <w:t>max</w:t>
      </w:r>
      <w:proofErr w:type="spellEnd"/>
      <w:r w:rsidRPr="00B23B00">
        <w:rPr>
          <w:sz w:val="24"/>
          <w:szCs w:val="24"/>
          <w:lang w:val="en-US"/>
        </w:rPr>
        <w:t xml:space="preserve"> decreased by 19</w:t>
      </w:r>
      <w:r w:rsidR="00B23B00">
        <w:rPr>
          <w:sz w:val="24"/>
          <w:szCs w:val="24"/>
          <w:lang w:val="en-US"/>
        </w:rPr>
        <w:t xml:space="preserve"> %</w:t>
      </w:r>
      <w:r w:rsidRPr="00B23B00">
        <w:rPr>
          <w:sz w:val="24"/>
          <w:szCs w:val="24"/>
          <w:lang w:val="en-US"/>
        </w:rPr>
        <w:t>. Strong inhibitors (e.g. gemfibrozil) of CYP2C8 are to be avoided or used with caution during enzalutamide treatment. If patients must be co-</w:t>
      </w:r>
      <w:proofErr w:type="gramStart"/>
      <w:r w:rsidR="00A31852">
        <w:rPr>
          <w:sz w:val="24"/>
          <w:szCs w:val="24"/>
          <w:lang w:val="en-US"/>
        </w:rPr>
        <w:t>a</w:t>
      </w:r>
      <w:r w:rsidRPr="00B23B00">
        <w:rPr>
          <w:sz w:val="24"/>
          <w:szCs w:val="24"/>
          <w:lang w:val="en-US"/>
        </w:rPr>
        <w:t>dministered</w:t>
      </w:r>
      <w:proofErr w:type="gramEnd"/>
      <w:r w:rsidRPr="00B23B00">
        <w:rPr>
          <w:sz w:val="24"/>
          <w:szCs w:val="24"/>
          <w:lang w:val="en-US"/>
        </w:rPr>
        <w:t xml:space="preserve"> a strong CYP2C8 inhibitor, the dose of enzalutamide should be reduced to 80 mg once daily (see section 4.2).</w:t>
      </w:r>
    </w:p>
    <w:p w:rsidR="00360DE0" w:rsidRPr="00B23B00" w:rsidRDefault="00360DE0" w:rsidP="00DE37FA">
      <w:pPr>
        <w:ind w:left="851"/>
        <w:rPr>
          <w:sz w:val="24"/>
          <w:szCs w:val="24"/>
          <w:lang w:val="en-US"/>
        </w:rPr>
      </w:pPr>
    </w:p>
    <w:p w:rsidR="00360DE0" w:rsidRPr="00B23B00" w:rsidRDefault="00360DE0" w:rsidP="00DE37FA">
      <w:pPr>
        <w:ind w:left="851"/>
        <w:rPr>
          <w:i/>
          <w:sz w:val="24"/>
          <w:szCs w:val="24"/>
          <w:lang w:val="en-US"/>
        </w:rPr>
      </w:pPr>
      <w:r w:rsidRPr="00B23B00">
        <w:rPr>
          <w:i/>
          <w:sz w:val="24"/>
          <w:szCs w:val="24"/>
          <w:lang w:val="en-US"/>
        </w:rPr>
        <w:lastRenderedPageBreak/>
        <w:t>CYP3A4 inhibitors</w:t>
      </w:r>
    </w:p>
    <w:p w:rsidR="00360DE0" w:rsidRPr="00B23B00" w:rsidRDefault="00360DE0" w:rsidP="00DE37FA">
      <w:pPr>
        <w:ind w:left="851"/>
        <w:rPr>
          <w:sz w:val="24"/>
          <w:szCs w:val="24"/>
          <w:lang w:val="en-US"/>
        </w:rPr>
      </w:pPr>
      <w:r w:rsidRPr="00B23B00">
        <w:rPr>
          <w:sz w:val="24"/>
          <w:szCs w:val="24"/>
          <w:lang w:val="en-US"/>
        </w:rPr>
        <w:t>CYP3A4 plays a minor role in the metabolism of enzalutamide. Following oral administration of the strong CYP3A4 inhibitor itraconazole (200 mg once daily) to healthy male subjects, the AUC of enzalutamide increased by 41</w:t>
      </w:r>
      <w:r w:rsidR="00B23B00">
        <w:rPr>
          <w:sz w:val="24"/>
          <w:szCs w:val="24"/>
          <w:lang w:val="en-US"/>
        </w:rPr>
        <w:t xml:space="preserve"> %</w:t>
      </w:r>
      <w:r w:rsidRPr="00B23B00">
        <w:rPr>
          <w:sz w:val="24"/>
          <w:szCs w:val="24"/>
          <w:lang w:val="en-US"/>
        </w:rPr>
        <w:t xml:space="preserve"> while </w:t>
      </w:r>
      <w:proofErr w:type="spellStart"/>
      <w:r w:rsidRPr="00B23B00">
        <w:rPr>
          <w:sz w:val="24"/>
          <w:szCs w:val="24"/>
          <w:lang w:val="en-US"/>
        </w:rPr>
        <w:t>C</w:t>
      </w:r>
      <w:r w:rsidRPr="00B23B00">
        <w:rPr>
          <w:sz w:val="24"/>
          <w:szCs w:val="24"/>
          <w:vertAlign w:val="subscript"/>
          <w:lang w:val="en-US"/>
        </w:rPr>
        <w:t>max</w:t>
      </w:r>
      <w:proofErr w:type="spellEnd"/>
      <w:r w:rsidRPr="00B23B00">
        <w:rPr>
          <w:sz w:val="24"/>
          <w:szCs w:val="24"/>
          <w:lang w:val="en-US"/>
        </w:rPr>
        <w:t xml:space="preserve"> was unchanged. For the sum of unbound enzalutamide plus the unbound active metabolite, the AUC increased by 27</w:t>
      </w:r>
      <w:r w:rsidR="00B23B00">
        <w:rPr>
          <w:sz w:val="24"/>
          <w:szCs w:val="24"/>
          <w:lang w:val="en-US"/>
        </w:rPr>
        <w:t xml:space="preserve"> %</w:t>
      </w:r>
      <w:r w:rsidRPr="00B23B00">
        <w:rPr>
          <w:sz w:val="24"/>
          <w:szCs w:val="24"/>
          <w:lang w:val="en-US"/>
        </w:rPr>
        <w:t xml:space="preserve"> while </w:t>
      </w:r>
      <w:proofErr w:type="spellStart"/>
      <w:r w:rsidRPr="00B23B00">
        <w:rPr>
          <w:sz w:val="24"/>
          <w:szCs w:val="24"/>
          <w:lang w:val="en-US"/>
        </w:rPr>
        <w:t>C</w:t>
      </w:r>
      <w:r w:rsidRPr="00B23B00">
        <w:rPr>
          <w:sz w:val="24"/>
          <w:szCs w:val="24"/>
          <w:vertAlign w:val="subscript"/>
          <w:lang w:val="en-US"/>
        </w:rPr>
        <w:t>max</w:t>
      </w:r>
      <w:proofErr w:type="spellEnd"/>
      <w:r w:rsidRPr="00B23B00">
        <w:rPr>
          <w:sz w:val="24"/>
          <w:szCs w:val="24"/>
          <w:lang w:val="en-US"/>
        </w:rPr>
        <w:t xml:space="preserve"> was again unchanged. No dose adjustment is necessary when </w:t>
      </w:r>
      <w:r w:rsidR="00B924DE" w:rsidRPr="00B23B00">
        <w:rPr>
          <w:sz w:val="24"/>
          <w:szCs w:val="24"/>
          <w:lang w:val="en-US"/>
        </w:rPr>
        <w:t xml:space="preserve">Enzalutamide </w:t>
      </w:r>
      <w:r w:rsidR="00180206" w:rsidRPr="00B23B00">
        <w:rPr>
          <w:sz w:val="24"/>
          <w:szCs w:val="24"/>
          <w:lang w:val="en-US"/>
        </w:rPr>
        <w:t>"Sandoz"</w:t>
      </w:r>
      <w:r w:rsidRPr="00B23B00">
        <w:rPr>
          <w:sz w:val="24"/>
          <w:szCs w:val="24"/>
          <w:lang w:val="en-US"/>
        </w:rPr>
        <w:t xml:space="preserve"> is co-administered with inhibitors of CYP3A4.</w:t>
      </w:r>
    </w:p>
    <w:p w:rsidR="00360DE0" w:rsidRPr="00B23B00" w:rsidRDefault="00360DE0" w:rsidP="00DE37FA">
      <w:pPr>
        <w:ind w:left="851"/>
        <w:rPr>
          <w:sz w:val="24"/>
          <w:szCs w:val="24"/>
          <w:lang w:val="en-US"/>
        </w:rPr>
      </w:pPr>
    </w:p>
    <w:p w:rsidR="00360DE0" w:rsidRPr="00B23B00" w:rsidRDefault="00360DE0" w:rsidP="00DE37FA">
      <w:pPr>
        <w:ind w:left="851"/>
        <w:rPr>
          <w:i/>
          <w:sz w:val="24"/>
          <w:szCs w:val="24"/>
          <w:lang w:val="en-US"/>
        </w:rPr>
      </w:pPr>
      <w:r w:rsidRPr="00B23B00">
        <w:rPr>
          <w:i/>
          <w:sz w:val="24"/>
          <w:szCs w:val="24"/>
          <w:lang w:val="en-US"/>
        </w:rPr>
        <w:t>CYP2C8 and CYP3A4 inducers</w:t>
      </w:r>
    </w:p>
    <w:p w:rsidR="00360DE0" w:rsidRPr="00B23B00" w:rsidRDefault="00360DE0" w:rsidP="00DE37FA">
      <w:pPr>
        <w:ind w:left="851"/>
        <w:rPr>
          <w:sz w:val="24"/>
          <w:szCs w:val="24"/>
          <w:lang w:val="en-US"/>
        </w:rPr>
      </w:pPr>
      <w:r w:rsidRPr="00B23B00">
        <w:rPr>
          <w:sz w:val="24"/>
          <w:szCs w:val="24"/>
          <w:lang w:val="en-US"/>
        </w:rPr>
        <w:t>Following oral administration of the moderate CYP2C8 and strong CYP3A4 inducer rifampin (600 mg once daily) to healthy male subjects, the AUC of enzalutamide plus the active metabolite decreased by 37</w:t>
      </w:r>
      <w:r w:rsidR="00B23B00">
        <w:rPr>
          <w:sz w:val="24"/>
          <w:szCs w:val="24"/>
          <w:lang w:val="en-US"/>
        </w:rPr>
        <w:t xml:space="preserve"> %</w:t>
      </w:r>
      <w:r w:rsidRPr="00B23B00">
        <w:rPr>
          <w:sz w:val="24"/>
          <w:szCs w:val="24"/>
          <w:lang w:val="en-US"/>
        </w:rPr>
        <w:t xml:space="preserve"> while </w:t>
      </w:r>
      <w:proofErr w:type="spellStart"/>
      <w:r w:rsidRPr="00B23B00">
        <w:rPr>
          <w:sz w:val="24"/>
          <w:szCs w:val="24"/>
          <w:lang w:val="en-US"/>
        </w:rPr>
        <w:t>C</w:t>
      </w:r>
      <w:r w:rsidRPr="00B23B00">
        <w:rPr>
          <w:sz w:val="24"/>
          <w:szCs w:val="24"/>
          <w:vertAlign w:val="subscript"/>
          <w:lang w:val="en-US"/>
        </w:rPr>
        <w:t>max</w:t>
      </w:r>
      <w:proofErr w:type="spellEnd"/>
      <w:r w:rsidRPr="00B23B00">
        <w:rPr>
          <w:sz w:val="24"/>
          <w:szCs w:val="24"/>
          <w:lang w:val="en-US"/>
        </w:rPr>
        <w:t xml:space="preserve"> remained unchanged. No dose adjustment is necessary when </w:t>
      </w:r>
      <w:r w:rsidR="00B924DE" w:rsidRPr="00B23B00">
        <w:rPr>
          <w:sz w:val="24"/>
          <w:szCs w:val="24"/>
          <w:lang w:val="en-US"/>
        </w:rPr>
        <w:t xml:space="preserve">Enzalutamide </w:t>
      </w:r>
      <w:r w:rsidR="00180206" w:rsidRPr="00B23B00">
        <w:rPr>
          <w:sz w:val="24"/>
          <w:szCs w:val="24"/>
          <w:lang w:val="en-US"/>
        </w:rPr>
        <w:t>"Sandoz"</w:t>
      </w:r>
      <w:r w:rsidRPr="00B23B00">
        <w:rPr>
          <w:sz w:val="24"/>
          <w:szCs w:val="24"/>
          <w:lang w:val="en-US"/>
        </w:rPr>
        <w:t xml:space="preserve"> is co-administered with inducers of CYP2C8 or CYP3A4.</w:t>
      </w:r>
    </w:p>
    <w:p w:rsidR="00360DE0" w:rsidRPr="00B23B00" w:rsidRDefault="00360DE0" w:rsidP="00DE37FA">
      <w:pPr>
        <w:ind w:left="851"/>
        <w:rPr>
          <w:sz w:val="24"/>
          <w:szCs w:val="24"/>
          <w:lang w:val="en-US"/>
        </w:rPr>
      </w:pPr>
    </w:p>
    <w:p w:rsidR="00360DE0" w:rsidRPr="00B23B00" w:rsidRDefault="00360DE0" w:rsidP="00DE37FA">
      <w:pPr>
        <w:ind w:left="851"/>
        <w:rPr>
          <w:sz w:val="24"/>
          <w:szCs w:val="24"/>
          <w:u w:val="single"/>
          <w:lang w:val="en-US"/>
        </w:rPr>
      </w:pPr>
      <w:r w:rsidRPr="00B23B00">
        <w:rPr>
          <w:sz w:val="24"/>
          <w:szCs w:val="24"/>
          <w:u w:val="single"/>
          <w:lang w:val="en-US"/>
        </w:rPr>
        <w:t>Potential for enzalutamide to affect exposures to other medicinal products</w:t>
      </w:r>
    </w:p>
    <w:p w:rsidR="00360DE0" w:rsidRPr="00B23B00" w:rsidRDefault="00360DE0" w:rsidP="00DE37FA">
      <w:pPr>
        <w:ind w:left="851"/>
        <w:rPr>
          <w:sz w:val="24"/>
          <w:szCs w:val="24"/>
          <w:lang w:val="en-US"/>
        </w:rPr>
      </w:pPr>
    </w:p>
    <w:p w:rsidR="00360DE0" w:rsidRPr="00B23B00" w:rsidRDefault="00360DE0" w:rsidP="00DE37FA">
      <w:pPr>
        <w:ind w:left="851"/>
        <w:rPr>
          <w:i/>
          <w:sz w:val="24"/>
          <w:szCs w:val="24"/>
          <w:lang w:val="en-US"/>
        </w:rPr>
      </w:pPr>
      <w:r w:rsidRPr="00B23B00">
        <w:rPr>
          <w:i/>
          <w:sz w:val="24"/>
          <w:szCs w:val="24"/>
          <w:lang w:val="en-US"/>
        </w:rPr>
        <w:t>Enzyme induction</w:t>
      </w:r>
    </w:p>
    <w:p w:rsidR="00D421EB" w:rsidRPr="00567B29" w:rsidRDefault="00360DE0" w:rsidP="00D421EB">
      <w:pPr>
        <w:ind w:left="851"/>
        <w:rPr>
          <w:b/>
          <w:sz w:val="24"/>
          <w:szCs w:val="24"/>
          <w:lang w:val="en-GB"/>
        </w:rPr>
      </w:pPr>
      <w:r w:rsidRPr="00B23B00">
        <w:rPr>
          <w:sz w:val="24"/>
          <w:szCs w:val="24"/>
          <w:lang w:val="en-US"/>
        </w:rPr>
        <w:t xml:space="preserve">Enzalutamide is a potent enzyme inducer and increases the synthesis of many enzymes and transporters; therefore, interaction with many common medicinal products that are substrates of enzymes or transporters is expected. The reduction in plasma concentrations can be substantial, and lead to lost or reduced clinical effect. There is also a risk of increased formation of active metabolites. Enzymes that may be induced include CYP3A in the liver and gut, CYP2B6, CYP2C9, CYP2C19, and uridine 5'-diphospho-glucuronosyltransferase (UGTs - glucuronide conjugating enzymes). </w:t>
      </w:r>
    </w:p>
    <w:p w:rsidR="00D421EB" w:rsidRPr="00D421EB" w:rsidRDefault="00D421EB" w:rsidP="00D421EB">
      <w:pPr>
        <w:ind w:left="851"/>
        <w:rPr>
          <w:sz w:val="24"/>
          <w:szCs w:val="24"/>
          <w:lang w:val="en-US"/>
        </w:rPr>
      </w:pPr>
      <w:r w:rsidRPr="00D421EB">
        <w:rPr>
          <w:sz w:val="24"/>
          <w:szCs w:val="24"/>
          <w:lang w:val="en-US"/>
        </w:rPr>
        <w:t>Some transporters may also be induced, e.g. multidrug resistance-associated protein 2 (MRP2) and the organic anion transporting polypeptide 1B1 (OATP1B1).</w:t>
      </w:r>
    </w:p>
    <w:p w:rsidR="00360DE0" w:rsidRPr="00B23B00" w:rsidRDefault="00360DE0" w:rsidP="00DE37FA">
      <w:pPr>
        <w:ind w:left="851"/>
        <w:rPr>
          <w:sz w:val="24"/>
          <w:szCs w:val="24"/>
          <w:lang w:val="en-US"/>
        </w:rPr>
      </w:pPr>
    </w:p>
    <w:p w:rsidR="00360DE0" w:rsidRPr="00B23B00" w:rsidRDefault="00360DE0" w:rsidP="00DE37FA">
      <w:pPr>
        <w:ind w:left="851"/>
        <w:rPr>
          <w:sz w:val="24"/>
          <w:szCs w:val="24"/>
          <w:lang w:val="en-US"/>
        </w:rPr>
      </w:pPr>
      <w:r w:rsidRPr="00B23B00">
        <w:rPr>
          <w:i/>
          <w:sz w:val="24"/>
          <w:szCs w:val="24"/>
          <w:lang w:val="en-US"/>
        </w:rPr>
        <w:t>In vivo</w:t>
      </w:r>
      <w:r w:rsidRPr="00B23B00">
        <w:rPr>
          <w:sz w:val="24"/>
          <w:szCs w:val="24"/>
          <w:lang w:val="en-US"/>
        </w:rPr>
        <w:t xml:space="preserve"> studies have shown that enzalutamide is a strong inducer of CYP3A4 and a moderate inducer of CYP2C9 and CYP2C19. Co-administration of enzalutamide (160 mg once daily) with single oral doses of sensitive CYP substrates in prostate cancer patients resulted in an 86</w:t>
      </w:r>
      <w:r w:rsidR="00B23B00">
        <w:rPr>
          <w:sz w:val="24"/>
          <w:szCs w:val="24"/>
          <w:lang w:val="en-US"/>
        </w:rPr>
        <w:t xml:space="preserve"> %</w:t>
      </w:r>
      <w:r w:rsidRPr="00B23B00">
        <w:rPr>
          <w:sz w:val="24"/>
          <w:szCs w:val="24"/>
          <w:lang w:val="en-US"/>
        </w:rPr>
        <w:t xml:space="preserve"> decrease in the AUC of midazolam (CYP3A4 substrate), a 56</w:t>
      </w:r>
      <w:r w:rsidR="00B23B00">
        <w:rPr>
          <w:sz w:val="24"/>
          <w:szCs w:val="24"/>
          <w:lang w:val="en-US"/>
        </w:rPr>
        <w:t xml:space="preserve"> %</w:t>
      </w:r>
      <w:r w:rsidRPr="00B23B00">
        <w:rPr>
          <w:sz w:val="24"/>
          <w:szCs w:val="24"/>
          <w:lang w:val="en-US"/>
        </w:rPr>
        <w:t xml:space="preserve"> decrease in the AUC of S-warfarin (CYP2C9 substrate), and a 70</w:t>
      </w:r>
      <w:r w:rsidR="00B23B00">
        <w:rPr>
          <w:sz w:val="24"/>
          <w:szCs w:val="24"/>
          <w:lang w:val="en-US"/>
        </w:rPr>
        <w:t xml:space="preserve"> %</w:t>
      </w:r>
      <w:r w:rsidRPr="00B23B00">
        <w:rPr>
          <w:sz w:val="24"/>
          <w:szCs w:val="24"/>
          <w:lang w:val="en-US"/>
        </w:rPr>
        <w:t xml:space="preserve"> decrease in the AUC of omeprazole (CYP2C19 substrate). UGT1A1 may have been induced as well. In a clinical study in patients with metastatic CRPC, </w:t>
      </w:r>
      <w:r w:rsidR="00B924DE" w:rsidRPr="00B23B00">
        <w:rPr>
          <w:sz w:val="24"/>
          <w:szCs w:val="24"/>
          <w:lang w:val="en-US"/>
        </w:rPr>
        <w:t xml:space="preserve">Enzalutamide </w:t>
      </w:r>
      <w:r w:rsidR="00180206" w:rsidRPr="00B23B00">
        <w:rPr>
          <w:sz w:val="24"/>
          <w:szCs w:val="24"/>
          <w:lang w:val="en-US"/>
        </w:rPr>
        <w:t>"Sandoz"</w:t>
      </w:r>
      <w:r w:rsidRPr="00B23B00">
        <w:rPr>
          <w:sz w:val="24"/>
          <w:szCs w:val="24"/>
          <w:lang w:val="en-US"/>
        </w:rPr>
        <w:t xml:space="preserve"> (160 mg once daily) had no clinically relevant effect on the pharmacokinetics of intravenously administered docetaxel (75 mg/m</w:t>
      </w:r>
      <w:r w:rsidRPr="00B23B00">
        <w:rPr>
          <w:sz w:val="24"/>
          <w:szCs w:val="24"/>
          <w:vertAlign w:val="superscript"/>
          <w:lang w:val="en-US"/>
        </w:rPr>
        <w:t>2</w:t>
      </w:r>
      <w:r w:rsidRPr="00B23B00">
        <w:rPr>
          <w:sz w:val="24"/>
          <w:szCs w:val="24"/>
          <w:lang w:val="en-US"/>
        </w:rPr>
        <w:t xml:space="preserve"> by infusion every 3 weeks). The AUC of docetaxel decreased by 12</w:t>
      </w:r>
      <w:r w:rsidR="00B23B00">
        <w:rPr>
          <w:sz w:val="24"/>
          <w:szCs w:val="24"/>
          <w:lang w:val="en-US"/>
        </w:rPr>
        <w:t xml:space="preserve"> %</w:t>
      </w:r>
      <w:r w:rsidRPr="00B23B00">
        <w:rPr>
          <w:sz w:val="24"/>
          <w:szCs w:val="24"/>
          <w:lang w:val="en-US"/>
        </w:rPr>
        <w:t xml:space="preserve"> [geometric mean ratio (GMR) = 0.882 (90</w:t>
      </w:r>
      <w:r w:rsidR="00B23B00">
        <w:rPr>
          <w:sz w:val="24"/>
          <w:szCs w:val="24"/>
          <w:lang w:val="en-US"/>
        </w:rPr>
        <w:t xml:space="preserve"> %</w:t>
      </w:r>
      <w:r w:rsidRPr="00B23B00">
        <w:rPr>
          <w:sz w:val="24"/>
          <w:szCs w:val="24"/>
          <w:lang w:val="en-US"/>
        </w:rPr>
        <w:t xml:space="preserve"> CI: 0.767, 1.02)] while </w:t>
      </w:r>
      <w:proofErr w:type="spellStart"/>
      <w:r w:rsidRPr="00B23B00">
        <w:rPr>
          <w:sz w:val="24"/>
          <w:szCs w:val="24"/>
          <w:lang w:val="en-US"/>
        </w:rPr>
        <w:t>C</w:t>
      </w:r>
      <w:r w:rsidRPr="00B23B00">
        <w:rPr>
          <w:sz w:val="24"/>
          <w:szCs w:val="24"/>
          <w:vertAlign w:val="subscript"/>
          <w:lang w:val="en-US"/>
        </w:rPr>
        <w:t>max</w:t>
      </w:r>
      <w:proofErr w:type="spellEnd"/>
      <w:r w:rsidRPr="00B23B00">
        <w:rPr>
          <w:sz w:val="24"/>
          <w:szCs w:val="24"/>
          <w:lang w:val="en-US"/>
        </w:rPr>
        <w:t xml:space="preserve"> decreased by 4</w:t>
      </w:r>
      <w:r w:rsidR="00B23B00">
        <w:rPr>
          <w:sz w:val="24"/>
          <w:szCs w:val="24"/>
          <w:lang w:val="en-US"/>
        </w:rPr>
        <w:t xml:space="preserve"> %</w:t>
      </w:r>
      <w:r w:rsidRPr="00B23B00">
        <w:rPr>
          <w:sz w:val="24"/>
          <w:szCs w:val="24"/>
          <w:lang w:val="en-US"/>
        </w:rPr>
        <w:t xml:space="preserve"> [GMR = 0.963 (90</w:t>
      </w:r>
      <w:r w:rsidR="00B23B00">
        <w:rPr>
          <w:sz w:val="24"/>
          <w:szCs w:val="24"/>
          <w:lang w:val="en-US"/>
        </w:rPr>
        <w:t xml:space="preserve"> %</w:t>
      </w:r>
      <w:r w:rsidRPr="00B23B00">
        <w:rPr>
          <w:sz w:val="24"/>
          <w:szCs w:val="24"/>
          <w:lang w:val="en-US"/>
        </w:rPr>
        <w:t xml:space="preserve"> CI: 0.834, 1.11)].</w:t>
      </w:r>
    </w:p>
    <w:p w:rsidR="00360DE0" w:rsidRPr="00B23B00" w:rsidRDefault="00360DE0" w:rsidP="00DE37FA">
      <w:pPr>
        <w:ind w:left="851"/>
        <w:rPr>
          <w:sz w:val="24"/>
          <w:szCs w:val="24"/>
          <w:lang w:val="en-US"/>
        </w:rPr>
      </w:pPr>
    </w:p>
    <w:p w:rsidR="00360DE0" w:rsidRPr="00B23B00" w:rsidRDefault="00360DE0" w:rsidP="00DE37FA">
      <w:pPr>
        <w:ind w:left="851"/>
        <w:rPr>
          <w:sz w:val="24"/>
          <w:szCs w:val="24"/>
          <w:lang w:val="en-US"/>
        </w:rPr>
      </w:pPr>
      <w:r w:rsidRPr="00B23B00">
        <w:rPr>
          <w:sz w:val="24"/>
          <w:szCs w:val="24"/>
          <w:lang w:val="en-US"/>
        </w:rPr>
        <w:t>Interactions with certain medicinal products that are eliminated through metabolism or active transport are expected. If their therapeutic effect is of large importance to the patient, and dose adjustments are not easily performed based on monitoring of efficacy or plasma concentrations, these medicinal products are to be avoided or used with caution. The risk for liver injury after paracetamol administration is suspected to be higher in patients concomitantly treated with enzyme inducers.</w:t>
      </w:r>
    </w:p>
    <w:p w:rsidR="00360DE0" w:rsidRPr="00B23B00" w:rsidRDefault="00360DE0" w:rsidP="00DE37FA">
      <w:pPr>
        <w:ind w:left="851"/>
        <w:rPr>
          <w:sz w:val="24"/>
          <w:szCs w:val="24"/>
          <w:lang w:val="en-US"/>
        </w:rPr>
      </w:pPr>
    </w:p>
    <w:p w:rsidR="00360DE0" w:rsidRPr="00B23B00" w:rsidRDefault="00360DE0" w:rsidP="00DE37FA">
      <w:pPr>
        <w:ind w:left="851"/>
        <w:rPr>
          <w:sz w:val="24"/>
          <w:szCs w:val="24"/>
          <w:lang w:val="en-US"/>
        </w:rPr>
      </w:pPr>
      <w:r w:rsidRPr="00B23B00">
        <w:rPr>
          <w:sz w:val="24"/>
          <w:szCs w:val="24"/>
          <w:lang w:val="en-US"/>
        </w:rPr>
        <w:t>Groups of medicinal products that can be affected include, but are not limited to:</w:t>
      </w:r>
    </w:p>
    <w:p w:rsidR="00360DE0" w:rsidRPr="00B23B00" w:rsidRDefault="00360DE0" w:rsidP="00DE37FA">
      <w:pPr>
        <w:ind w:left="851"/>
        <w:rPr>
          <w:sz w:val="24"/>
          <w:szCs w:val="24"/>
          <w:lang w:val="en-US"/>
        </w:rPr>
      </w:pPr>
    </w:p>
    <w:p w:rsidR="00360DE0" w:rsidRPr="003863FE" w:rsidRDefault="00360DE0" w:rsidP="00902AD5">
      <w:pPr>
        <w:pStyle w:val="Listeafsnit"/>
        <w:numPr>
          <w:ilvl w:val="0"/>
          <w:numId w:val="12"/>
        </w:numPr>
        <w:ind w:left="1276" w:hanging="425"/>
        <w:rPr>
          <w:sz w:val="24"/>
          <w:szCs w:val="24"/>
          <w:lang w:val="sv-SE"/>
        </w:rPr>
      </w:pPr>
      <w:proofErr w:type="spellStart"/>
      <w:r w:rsidRPr="003863FE">
        <w:rPr>
          <w:sz w:val="24"/>
          <w:szCs w:val="24"/>
          <w:lang w:val="sv-SE"/>
        </w:rPr>
        <w:t>Analgesics</w:t>
      </w:r>
      <w:proofErr w:type="spellEnd"/>
      <w:r w:rsidRPr="003863FE">
        <w:rPr>
          <w:sz w:val="24"/>
          <w:szCs w:val="24"/>
          <w:lang w:val="sv-SE"/>
        </w:rPr>
        <w:t xml:space="preserve"> (</w:t>
      </w:r>
      <w:proofErr w:type="spellStart"/>
      <w:r w:rsidRPr="003863FE">
        <w:rPr>
          <w:sz w:val="24"/>
          <w:szCs w:val="24"/>
          <w:lang w:val="sv-SE"/>
        </w:rPr>
        <w:t>e.g</w:t>
      </w:r>
      <w:proofErr w:type="spellEnd"/>
      <w:r w:rsidRPr="003863FE">
        <w:rPr>
          <w:sz w:val="24"/>
          <w:szCs w:val="24"/>
          <w:lang w:val="sv-SE"/>
        </w:rPr>
        <w:t xml:space="preserve">. </w:t>
      </w:r>
      <w:proofErr w:type="spellStart"/>
      <w:r w:rsidRPr="003863FE">
        <w:rPr>
          <w:sz w:val="24"/>
          <w:szCs w:val="24"/>
          <w:lang w:val="sv-SE"/>
        </w:rPr>
        <w:t>fentanyl</w:t>
      </w:r>
      <w:proofErr w:type="spellEnd"/>
      <w:r w:rsidRPr="003863FE">
        <w:rPr>
          <w:sz w:val="24"/>
          <w:szCs w:val="24"/>
          <w:lang w:val="sv-SE"/>
        </w:rPr>
        <w:t xml:space="preserve">, </w:t>
      </w:r>
      <w:proofErr w:type="spellStart"/>
      <w:r w:rsidRPr="003863FE">
        <w:rPr>
          <w:sz w:val="24"/>
          <w:szCs w:val="24"/>
          <w:lang w:val="sv-SE"/>
        </w:rPr>
        <w:t>tramadol</w:t>
      </w:r>
      <w:proofErr w:type="spellEnd"/>
      <w:r w:rsidRPr="003863FE">
        <w:rPr>
          <w:sz w:val="24"/>
          <w:szCs w:val="24"/>
          <w:lang w:val="sv-SE"/>
        </w:rPr>
        <w:t>)</w:t>
      </w:r>
    </w:p>
    <w:p w:rsidR="00360DE0" w:rsidRPr="00B23B00" w:rsidRDefault="00360DE0" w:rsidP="00902AD5">
      <w:pPr>
        <w:pStyle w:val="Listeafsnit"/>
        <w:numPr>
          <w:ilvl w:val="0"/>
          <w:numId w:val="12"/>
        </w:numPr>
        <w:ind w:left="1276" w:hanging="425"/>
        <w:rPr>
          <w:sz w:val="24"/>
          <w:szCs w:val="24"/>
        </w:rPr>
      </w:pPr>
      <w:r w:rsidRPr="00B23B00">
        <w:rPr>
          <w:sz w:val="24"/>
          <w:szCs w:val="24"/>
        </w:rPr>
        <w:t>Antibiotics (e.g. clarithromycin, doxycycline)</w:t>
      </w:r>
    </w:p>
    <w:p w:rsidR="00360DE0" w:rsidRPr="00B23B00" w:rsidRDefault="00360DE0" w:rsidP="00902AD5">
      <w:pPr>
        <w:pStyle w:val="Listeafsnit"/>
        <w:numPr>
          <w:ilvl w:val="0"/>
          <w:numId w:val="12"/>
        </w:numPr>
        <w:ind w:left="1276" w:hanging="425"/>
        <w:rPr>
          <w:sz w:val="24"/>
          <w:szCs w:val="24"/>
        </w:rPr>
      </w:pPr>
      <w:r w:rsidRPr="00B23B00">
        <w:rPr>
          <w:sz w:val="24"/>
          <w:szCs w:val="24"/>
        </w:rPr>
        <w:lastRenderedPageBreak/>
        <w:t xml:space="preserve">Anticancer agents (e.g. </w:t>
      </w:r>
      <w:proofErr w:type="spellStart"/>
      <w:r w:rsidRPr="00B23B00">
        <w:rPr>
          <w:sz w:val="24"/>
          <w:szCs w:val="24"/>
        </w:rPr>
        <w:t>cabazitaxel</w:t>
      </w:r>
      <w:proofErr w:type="spellEnd"/>
      <w:r w:rsidRPr="00B23B00">
        <w:rPr>
          <w:sz w:val="24"/>
          <w:szCs w:val="24"/>
        </w:rPr>
        <w:t>)</w:t>
      </w:r>
    </w:p>
    <w:p w:rsidR="00360DE0" w:rsidRPr="00B23B00" w:rsidRDefault="00360DE0" w:rsidP="00902AD5">
      <w:pPr>
        <w:pStyle w:val="Listeafsnit"/>
        <w:numPr>
          <w:ilvl w:val="0"/>
          <w:numId w:val="12"/>
        </w:numPr>
        <w:ind w:left="1276" w:hanging="425"/>
        <w:rPr>
          <w:sz w:val="24"/>
          <w:szCs w:val="24"/>
        </w:rPr>
      </w:pPr>
      <w:r w:rsidRPr="00B23B00">
        <w:rPr>
          <w:sz w:val="24"/>
          <w:szCs w:val="24"/>
        </w:rPr>
        <w:t>Antiepileptics (e.g. carbamazepine, clonazepam, phenytoin, primidone, valproic acid)</w:t>
      </w:r>
    </w:p>
    <w:p w:rsidR="00360DE0" w:rsidRPr="00B23B00" w:rsidRDefault="00360DE0" w:rsidP="00902AD5">
      <w:pPr>
        <w:pStyle w:val="Listeafsnit"/>
        <w:numPr>
          <w:ilvl w:val="0"/>
          <w:numId w:val="12"/>
        </w:numPr>
        <w:ind w:left="1276" w:hanging="425"/>
        <w:rPr>
          <w:sz w:val="24"/>
          <w:szCs w:val="24"/>
        </w:rPr>
      </w:pPr>
      <w:r w:rsidRPr="00B23B00">
        <w:rPr>
          <w:sz w:val="24"/>
          <w:szCs w:val="24"/>
        </w:rPr>
        <w:t>Antipsychotics (e.g. haloperidol)</w:t>
      </w:r>
    </w:p>
    <w:p w:rsidR="00360DE0" w:rsidRPr="00B23B00" w:rsidRDefault="00360DE0" w:rsidP="00902AD5">
      <w:pPr>
        <w:pStyle w:val="Listeafsnit"/>
        <w:numPr>
          <w:ilvl w:val="0"/>
          <w:numId w:val="12"/>
        </w:numPr>
        <w:ind w:left="1276" w:hanging="425"/>
        <w:rPr>
          <w:sz w:val="24"/>
          <w:szCs w:val="24"/>
        </w:rPr>
      </w:pPr>
      <w:proofErr w:type="spellStart"/>
      <w:r w:rsidRPr="00B23B00">
        <w:rPr>
          <w:sz w:val="24"/>
          <w:szCs w:val="24"/>
        </w:rPr>
        <w:t>Antithrombotics</w:t>
      </w:r>
      <w:proofErr w:type="spellEnd"/>
      <w:r w:rsidRPr="00B23B00">
        <w:rPr>
          <w:sz w:val="24"/>
          <w:szCs w:val="24"/>
        </w:rPr>
        <w:t xml:space="preserve"> (e.g. </w:t>
      </w:r>
      <w:proofErr w:type="spellStart"/>
      <w:r w:rsidRPr="00B23B00">
        <w:rPr>
          <w:sz w:val="24"/>
          <w:szCs w:val="24"/>
        </w:rPr>
        <w:t>acenocoumarol</w:t>
      </w:r>
      <w:proofErr w:type="spellEnd"/>
      <w:r w:rsidRPr="00B23B00">
        <w:rPr>
          <w:sz w:val="24"/>
          <w:szCs w:val="24"/>
        </w:rPr>
        <w:t>, warfarin, clopidogrel)</w:t>
      </w:r>
    </w:p>
    <w:p w:rsidR="00360DE0" w:rsidRPr="00B23B00" w:rsidRDefault="00360DE0" w:rsidP="00902AD5">
      <w:pPr>
        <w:pStyle w:val="Listeafsnit"/>
        <w:numPr>
          <w:ilvl w:val="0"/>
          <w:numId w:val="12"/>
        </w:numPr>
        <w:ind w:left="1276" w:hanging="425"/>
        <w:rPr>
          <w:sz w:val="24"/>
          <w:szCs w:val="24"/>
        </w:rPr>
      </w:pPr>
      <w:r w:rsidRPr="00B23B00">
        <w:rPr>
          <w:sz w:val="24"/>
          <w:szCs w:val="24"/>
        </w:rPr>
        <w:t>Betablockers (e.g. bisoprolol, propranolol)</w:t>
      </w:r>
    </w:p>
    <w:p w:rsidR="00360DE0" w:rsidRPr="00B23B00" w:rsidRDefault="00360DE0" w:rsidP="00902AD5">
      <w:pPr>
        <w:pStyle w:val="Listeafsnit"/>
        <w:numPr>
          <w:ilvl w:val="0"/>
          <w:numId w:val="12"/>
        </w:numPr>
        <w:ind w:left="1276" w:hanging="425"/>
        <w:rPr>
          <w:sz w:val="24"/>
          <w:szCs w:val="24"/>
        </w:rPr>
      </w:pPr>
      <w:r w:rsidRPr="00B23B00">
        <w:rPr>
          <w:sz w:val="24"/>
          <w:szCs w:val="24"/>
        </w:rPr>
        <w:t>Calcium channel blockers (e.g. diltiazem, felodipine, nicardipine, nifedipine, verapamil)</w:t>
      </w:r>
    </w:p>
    <w:p w:rsidR="00360DE0" w:rsidRPr="00B23B00" w:rsidRDefault="00360DE0" w:rsidP="00902AD5">
      <w:pPr>
        <w:pStyle w:val="Listeafsnit"/>
        <w:numPr>
          <w:ilvl w:val="0"/>
          <w:numId w:val="12"/>
        </w:numPr>
        <w:ind w:left="1276" w:hanging="425"/>
        <w:rPr>
          <w:sz w:val="24"/>
          <w:szCs w:val="24"/>
        </w:rPr>
      </w:pPr>
      <w:r w:rsidRPr="00B23B00">
        <w:rPr>
          <w:sz w:val="24"/>
          <w:szCs w:val="24"/>
        </w:rPr>
        <w:t>Cardiac glycosides (e.g. digoxin)</w:t>
      </w:r>
    </w:p>
    <w:p w:rsidR="00360DE0" w:rsidRPr="00B23B00" w:rsidRDefault="00360DE0" w:rsidP="00902AD5">
      <w:pPr>
        <w:pStyle w:val="Listeafsnit"/>
        <w:numPr>
          <w:ilvl w:val="0"/>
          <w:numId w:val="12"/>
        </w:numPr>
        <w:ind w:left="1276" w:hanging="425"/>
        <w:rPr>
          <w:sz w:val="24"/>
          <w:szCs w:val="24"/>
        </w:rPr>
      </w:pPr>
      <w:r w:rsidRPr="00B23B00">
        <w:rPr>
          <w:sz w:val="24"/>
          <w:szCs w:val="24"/>
        </w:rPr>
        <w:t>Corticosteroids (e.g. dexamethasone, prednisolone)</w:t>
      </w:r>
    </w:p>
    <w:p w:rsidR="00360DE0" w:rsidRPr="00567B29" w:rsidRDefault="00360DE0" w:rsidP="00902AD5">
      <w:pPr>
        <w:pStyle w:val="Listeafsnit"/>
        <w:numPr>
          <w:ilvl w:val="0"/>
          <w:numId w:val="12"/>
        </w:numPr>
        <w:ind w:left="1276" w:hanging="425"/>
        <w:rPr>
          <w:sz w:val="24"/>
          <w:szCs w:val="24"/>
          <w:lang w:val="fr-FR"/>
        </w:rPr>
      </w:pPr>
      <w:r w:rsidRPr="00567B29">
        <w:rPr>
          <w:sz w:val="24"/>
          <w:szCs w:val="24"/>
          <w:lang w:val="fr-FR"/>
        </w:rPr>
        <w:t>HIV antivirals (e.g. indinavir, ritonavir)</w:t>
      </w:r>
    </w:p>
    <w:p w:rsidR="00360DE0" w:rsidRPr="00567B29" w:rsidRDefault="00360DE0" w:rsidP="00902AD5">
      <w:pPr>
        <w:pStyle w:val="Listeafsnit"/>
        <w:numPr>
          <w:ilvl w:val="0"/>
          <w:numId w:val="12"/>
        </w:numPr>
        <w:ind w:left="1276" w:hanging="425"/>
        <w:rPr>
          <w:sz w:val="24"/>
          <w:szCs w:val="24"/>
          <w:lang w:val="fr-FR"/>
        </w:rPr>
      </w:pPr>
      <w:r w:rsidRPr="00567B29">
        <w:rPr>
          <w:sz w:val="24"/>
          <w:szCs w:val="24"/>
          <w:lang w:val="fr-FR"/>
        </w:rPr>
        <w:t>Hypnotics (e.g. diazepam, midazolam, zolpidem)</w:t>
      </w:r>
    </w:p>
    <w:p w:rsidR="00360DE0" w:rsidRPr="00B23B00" w:rsidRDefault="00360DE0" w:rsidP="00902AD5">
      <w:pPr>
        <w:pStyle w:val="Listeafsnit"/>
        <w:numPr>
          <w:ilvl w:val="0"/>
          <w:numId w:val="12"/>
        </w:numPr>
        <w:ind w:left="1276" w:hanging="425"/>
        <w:rPr>
          <w:sz w:val="24"/>
          <w:szCs w:val="24"/>
        </w:rPr>
      </w:pPr>
      <w:r w:rsidRPr="00B23B00">
        <w:rPr>
          <w:sz w:val="24"/>
          <w:szCs w:val="24"/>
        </w:rPr>
        <w:t>Immunosuppressant (e.g. tacrolimus)</w:t>
      </w:r>
    </w:p>
    <w:p w:rsidR="00360DE0" w:rsidRPr="003863FE" w:rsidRDefault="00360DE0" w:rsidP="00902AD5">
      <w:pPr>
        <w:pStyle w:val="Listeafsnit"/>
        <w:numPr>
          <w:ilvl w:val="0"/>
          <w:numId w:val="12"/>
        </w:numPr>
        <w:ind w:left="1276" w:hanging="425"/>
        <w:rPr>
          <w:sz w:val="24"/>
          <w:szCs w:val="24"/>
          <w:lang w:val="sv-SE"/>
        </w:rPr>
      </w:pPr>
      <w:proofErr w:type="gramStart"/>
      <w:r w:rsidRPr="003863FE">
        <w:rPr>
          <w:sz w:val="24"/>
          <w:szCs w:val="24"/>
          <w:lang w:val="sv-SE"/>
        </w:rPr>
        <w:t>Proton pump</w:t>
      </w:r>
      <w:proofErr w:type="gramEnd"/>
      <w:r w:rsidRPr="003863FE">
        <w:rPr>
          <w:sz w:val="24"/>
          <w:szCs w:val="24"/>
          <w:lang w:val="sv-SE"/>
        </w:rPr>
        <w:t xml:space="preserve"> inhibitor (</w:t>
      </w:r>
      <w:proofErr w:type="spellStart"/>
      <w:r w:rsidRPr="003863FE">
        <w:rPr>
          <w:sz w:val="24"/>
          <w:szCs w:val="24"/>
          <w:lang w:val="sv-SE"/>
        </w:rPr>
        <w:t>e.g</w:t>
      </w:r>
      <w:proofErr w:type="spellEnd"/>
      <w:r w:rsidRPr="003863FE">
        <w:rPr>
          <w:sz w:val="24"/>
          <w:szCs w:val="24"/>
          <w:lang w:val="sv-SE"/>
        </w:rPr>
        <w:t xml:space="preserve">. </w:t>
      </w:r>
      <w:proofErr w:type="spellStart"/>
      <w:r w:rsidRPr="003863FE">
        <w:rPr>
          <w:sz w:val="24"/>
          <w:szCs w:val="24"/>
          <w:lang w:val="sv-SE"/>
        </w:rPr>
        <w:t>omeprazole</w:t>
      </w:r>
      <w:proofErr w:type="spellEnd"/>
      <w:r w:rsidRPr="003863FE">
        <w:rPr>
          <w:sz w:val="24"/>
          <w:szCs w:val="24"/>
          <w:lang w:val="sv-SE"/>
        </w:rPr>
        <w:t>)</w:t>
      </w:r>
    </w:p>
    <w:p w:rsidR="00360DE0" w:rsidRPr="00B23B00" w:rsidRDefault="00360DE0" w:rsidP="00902AD5">
      <w:pPr>
        <w:pStyle w:val="Listeafsnit"/>
        <w:numPr>
          <w:ilvl w:val="0"/>
          <w:numId w:val="12"/>
        </w:numPr>
        <w:ind w:left="1276" w:hanging="425"/>
        <w:rPr>
          <w:sz w:val="24"/>
          <w:szCs w:val="24"/>
        </w:rPr>
      </w:pPr>
      <w:r w:rsidRPr="00B23B00">
        <w:rPr>
          <w:sz w:val="24"/>
          <w:szCs w:val="24"/>
        </w:rPr>
        <w:t xml:space="preserve">Statins </w:t>
      </w:r>
      <w:proofErr w:type="spellStart"/>
      <w:r w:rsidRPr="00B23B00">
        <w:rPr>
          <w:sz w:val="24"/>
          <w:szCs w:val="24"/>
        </w:rPr>
        <w:t>metabolised</w:t>
      </w:r>
      <w:proofErr w:type="spellEnd"/>
      <w:r w:rsidRPr="00B23B00">
        <w:rPr>
          <w:sz w:val="24"/>
          <w:szCs w:val="24"/>
        </w:rPr>
        <w:t xml:space="preserve"> by CYP3A4 (e.g. atorvastatin, simvastatin)</w:t>
      </w:r>
    </w:p>
    <w:p w:rsidR="00360DE0" w:rsidRPr="00B23B00" w:rsidRDefault="00360DE0" w:rsidP="00902AD5">
      <w:pPr>
        <w:pStyle w:val="Listeafsnit"/>
        <w:numPr>
          <w:ilvl w:val="0"/>
          <w:numId w:val="12"/>
        </w:numPr>
        <w:ind w:left="1276" w:hanging="425"/>
        <w:rPr>
          <w:sz w:val="24"/>
          <w:szCs w:val="24"/>
        </w:rPr>
      </w:pPr>
      <w:r w:rsidRPr="00B23B00">
        <w:rPr>
          <w:sz w:val="24"/>
          <w:szCs w:val="24"/>
        </w:rPr>
        <w:t>Thyroid agents (e.g. levothyroxine)</w:t>
      </w:r>
    </w:p>
    <w:p w:rsidR="00360DE0" w:rsidRPr="00B23B00" w:rsidRDefault="00360DE0" w:rsidP="00DE37FA">
      <w:pPr>
        <w:ind w:left="851"/>
        <w:rPr>
          <w:sz w:val="24"/>
          <w:szCs w:val="24"/>
          <w:lang w:val="en-US"/>
        </w:rPr>
      </w:pPr>
    </w:p>
    <w:p w:rsidR="00360DE0" w:rsidRPr="00B23B00" w:rsidRDefault="00360DE0" w:rsidP="00D421EB">
      <w:pPr>
        <w:ind w:left="851"/>
        <w:rPr>
          <w:i/>
          <w:sz w:val="24"/>
          <w:szCs w:val="24"/>
          <w:lang w:val="en-US"/>
        </w:rPr>
      </w:pPr>
      <w:r w:rsidRPr="00B23B00">
        <w:rPr>
          <w:sz w:val="24"/>
          <w:szCs w:val="24"/>
          <w:lang w:val="en-US"/>
        </w:rPr>
        <w:t xml:space="preserve">The full induction potential of enzalutamide may not occur until approximately 1 month after the start of treatment, when steady-state plasma concentrations of enzalutamide are reached, although some induction effects may be apparent earlier. Patients taking medicinal products that are substrates of CYP2B6, CYP3A4, CYP2C9, CYP2C19 or UGT1A1 should be evaluated for possible loss of pharmacological effects (or increase in effects in cases where active metabolites are formed) during the first month of enzalutamide treatment and dose adjustment should be considered as appropriate. In consideration of the long half-life of enzalutamide (5.8 days, see section 5.2), effects on enzymes may persist for one month or longer after stopping enzalutamide. A gradual dose reduction of the concomitant medicinal product may be necessary when stopping enzalutamide </w:t>
      </w:r>
      <w:proofErr w:type="gramStart"/>
      <w:r w:rsidRPr="00B23B00">
        <w:rPr>
          <w:sz w:val="24"/>
          <w:szCs w:val="24"/>
          <w:lang w:val="en-US"/>
        </w:rPr>
        <w:t>treatment.</w:t>
      </w:r>
      <w:r w:rsidRPr="00B23B00">
        <w:rPr>
          <w:i/>
          <w:sz w:val="24"/>
          <w:szCs w:val="24"/>
          <w:lang w:val="en-US"/>
        </w:rPr>
        <w:t>CYP</w:t>
      </w:r>
      <w:proofErr w:type="gramEnd"/>
      <w:r w:rsidRPr="00B23B00">
        <w:rPr>
          <w:i/>
          <w:sz w:val="24"/>
          <w:szCs w:val="24"/>
          <w:lang w:val="en-US"/>
        </w:rPr>
        <w:t>1A2 and CYP2C8 substrates</w:t>
      </w:r>
    </w:p>
    <w:p w:rsidR="00360DE0" w:rsidRPr="00B23B00" w:rsidRDefault="00360DE0" w:rsidP="00DE37FA">
      <w:pPr>
        <w:ind w:left="851"/>
        <w:rPr>
          <w:sz w:val="24"/>
          <w:szCs w:val="24"/>
          <w:lang w:val="en-US"/>
        </w:rPr>
      </w:pPr>
      <w:r w:rsidRPr="00B23B00">
        <w:rPr>
          <w:sz w:val="24"/>
          <w:szCs w:val="24"/>
          <w:lang w:val="en-US"/>
        </w:rPr>
        <w:t xml:space="preserve">Enzalutamide (160 mg once daily) did not cause a clinically relevant change in the AUC or </w:t>
      </w:r>
      <w:proofErr w:type="spellStart"/>
      <w:r w:rsidRPr="00B23B00">
        <w:rPr>
          <w:sz w:val="24"/>
          <w:szCs w:val="24"/>
          <w:lang w:val="en-US"/>
        </w:rPr>
        <w:t>C</w:t>
      </w:r>
      <w:r w:rsidRPr="00B23B00">
        <w:rPr>
          <w:sz w:val="24"/>
          <w:szCs w:val="24"/>
          <w:vertAlign w:val="subscript"/>
          <w:lang w:val="en-US"/>
        </w:rPr>
        <w:t>max</w:t>
      </w:r>
      <w:proofErr w:type="spellEnd"/>
      <w:r w:rsidRPr="00B23B00">
        <w:rPr>
          <w:sz w:val="24"/>
          <w:szCs w:val="24"/>
          <w:lang w:val="en-US"/>
        </w:rPr>
        <w:t xml:space="preserve"> of caffeine (CYP1A2 substrate) or pioglitazone (CYP2C8 substrate). The AUC of pioglitazone increased by 20</w:t>
      </w:r>
      <w:r w:rsidR="00B23B00">
        <w:rPr>
          <w:sz w:val="24"/>
          <w:szCs w:val="24"/>
          <w:lang w:val="en-US"/>
        </w:rPr>
        <w:t xml:space="preserve"> %</w:t>
      </w:r>
      <w:r w:rsidRPr="00B23B00">
        <w:rPr>
          <w:sz w:val="24"/>
          <w:szCs w:val="24"/>
          <w:lang w:val="en-US"/>
        </w:rPr>
        <w:t xml:space="preserve"> while </w:t>
      </w:r>
      <w:proofErr w:type="spellStart"/>
      <w:r w:rsidRPr="00B23B00">
        <w:rPr>
          <w:sz w:val="24"/>
          <w:szCs w:val="24"/>
          <w:lang w:val="en-US"/>
        </w:rPr>
        <w:t>C</w:t>
      </w:r>
      <w:r w:rsidRPr="00B23B00">
        <w:rPr>
          <w:sz w:val="24"/>
          <w:szCs w:val="24"/>
          <w:vertAlign w:val="subscript"/>
          <w:lang w:val="en-US"/>
        </w:rPr>
        <w:t>max</w:t>
      </w:r>
      <w:proofErr w:type="spellEnd"/>
      <w:r w:rsidRPr="00B23B00">
        <w:rPr>
          <w:sz w:val="24"/>
          <w:szCs w:val="24"/>
          <w:lang w:val="en-US"/>
        </w:rPr>
        <w:t xml:space="preserve"> decreased by 18</w:t>
      </w:r>
      <w:r w:rsidR="00B23B00">
        <w:rPr>
          <w:sz w:val="24"/>
          <w:szCs w:val="24"/>
          <w:lang w:val="en-US"/>
        </w:rPr>
        <w:t xml:space="preserve"> %</w:t>
      </w:r>
      <w:r w:rsidRPr="00B23B00">
        <w:rPr>
          <w:sz w:val="24"/>
          <w:szCs w:val="24"/>
          <w:lang w:val="en-US"/>
        </w:rPr>
        <w:t xml:space="preserve">. The AUC and </w:t>
      </w:r>
      <w:proofErr w:type="spellStart"/>
      <w:r w:rsidRPr="00B23B00">
        <w:rPr>
          <w:sz w:val="24"/>
          <w:szCs w:val="24"/>
          <w:lang w:val="en-US"/>
        </w:rPr>
        <w:t>C</w:t>
      </w:r>
      <w:r w:rsidRPr="00B23B00">
        <w:rPr>
          <w:sz w:val="24"/>
          <w:szCs w:val="24"/>
          <w:vertAlign w:val="subscript"/>
          <w:lang w:val="en-US"/>
        </w:rPr>
        <w:t>max</w:t>
      </w:r>
      <w:proofErr w:type="spellEnd"/>
      <w:r w:rsidRPr="00B23B00">
        <w:rPr>
          <w:sz w:val="24"/>
          <w:szCs w:val="24"/>
          <w:lang w:val="en-US"/>
        </w:rPr>
        <w:t xml:space="preserve"> of caffeine decreased by 11</w:t>
      </w:r>
      <w:r w:rsidR="00B23B00">
        <w:rPr>
          <w:sz w:val="24"/>
          <w:szCs w:val="24"/>
          <w:lang w:val="en-US"/>
        </w:rPr>
        <w:t xml:space="preserve"> %</w:t>
      </w:r>
      <w:r w:rsidRPr="00B23B00">
        <w:rPr>
          <w:sz w:val="24"/>
          <w:szCs w:val="24"/>
          <w:lang w:val="en-US"/>
        </w:rPr>
        <w:t xml:space="preserve"> and 4</w:t>
      </w:r>
      <w:r w:rsidR="00B23B00">
        <w:rPr>
          <w:sz w:val="24"/>
          <w:szCs w:val="24"/>
          <w:lang w:val="en-US"/>
        </w:rPr>
        <w:t xml:space="preserve"> %</w:t>
      </w:r>
      <w:r w:rsidRPr="00B23B00">
        <w:rPr>
          <w:sz w:val="24"/>
          <w:szCs w:val="24"/>
          <w:lang w:val="en-US"/>
        </w:rPr>
        <w:t xml:space="preserve">, respectively. No dose adjustment is indicated when a CYP1A2 or CYP2C8 substrate is co-administered with </w:t>
      </w:r>
      <w:r w:rsidR="00B924DE" w:rsidRPr="00B23B00">
        <w:rPr>
          <w:sz w:val="24"/>
          <w:szCs w:val="24"/>
          <w:lang w:val="en-US"/>
        </w:rPr>
        <w:t xml:space="preserve">Enzalutamide </w:t>
      </w:r>
      <w:r w:rsidR="00180206" w:rsidRPr="00B23B00">
        <w:rPr>
          <w:sz w:val="24"/>
          <w:szCs w:val="24"/>
          <w:lang w:val="en-US"/>
        </w:rPr>
        <w:t>"Sandoz"</w:t>
      </w:r>
      <w:r w:rsidRPr="00B23B00">
        <w:rPr>
          <w:sz w:val="24"/>
          <w:szCs w:val="24"/>
          <w:lang w:val="en-US"/>
        </w:rPr>
        <w:t>.</w:t>
      </w:r>
    </w:p>
    <w:p w:rsidR="00360DE0" w:rsidRPr="00B23B00" w:rsidRDefault="00360DE0" w:rsidP="00DE37FA">
      <w:pPr>
        <w:ind w:left="851"/>
        <w:rPr>
          <w:sz w:val="24"/>
          <w:szCs w:val="24"/>
          <w:lang w:val="en-US"/>
        </w:rPr>
      </w:pPr>
    </w:p>
    <w:p w:rsidR="009F7C89" w:rsidRPr="00D421EB" w:rsidRDefault="009F7C89" w:rsidP="009F7C89">
      <w:pPr>
        <w:ind w:left="851"/>
        <w:rPr>
          <w:i/>
          <w:sz w:val="24"/>
          <w:szCs w:val="24"/>
          <w:lang w:val="en-US"/>
        </w:rPr>
      </w:pPr>
      <w:r w:rsidRPr="00D421EB">
        <w:rPr>
          <w:i/>
          <w:sz w:val="24"/>
          <w:szCs w:val="24"/>
          <w:lang w:val="en-US"/>
        </w:rPr>
        <w:t>P-</w:t>
      </w:r>
      <w:proofErr w:type="spellStart"/>
      <w:r w:rsidRPr="00D421EB">
        <w:rPr>
          <w:i/>
          <w:sz w:val="24"/>
          <w:szCs w:val="24"/>
          <w:lang w:val="en-US"/>
        </w:rPr>
        <w:t>gp</w:t>
      </w:r>
      <w:proofErr w:type="spellEnd"/>
      <w:r w:rsidRPr="00D421EB">
        <w:rPr>
          <w:i/>
          <w:sz w:val="24"/>
          <w:szCs w:val="24"/>
          <w:lang w:val="en-US"/>
        </w:rPr>
        <w:t xml:space="preserve"> substrates</w:t>
      </w:r>
    </w:p>
    <w:p w:rsidR="00360DE0" w:rsidRPr="00D421EB" w:rsidRDefault="009F7C89" w:rsidP="00DE37FA">
      <w:pPr>
        <w:ind w:left="851"/>
        <w:rPr>
          <w:sz w:val="24"/>
          <w:szCs w:val="24"/>
          <w:lang w:val="en-US"/>
        </w:rPr>
      </w:pPr>
      <w:r w:rsidRPr="00D421EB">
        <w:rPr>
          <w:i/>
          <w:sz w:val="24"/>
          <w:szCs w:val="24"/>
          <w:lang w:val="en-US"/>
        </w:rPr>
        <w:t xml:space="preserve">In vitro </w:t>
      </w:r>
      <w:r w:rsidRPr="00D421EB">
        <w:rPr>
          <w:sz w:val="24"/>
          <w:szCs w:val="24"/>
          <w:lang w:val="en-US"/>
        </w:rPr>
        <w:t>data indicate that enzalutamide may be an inhibitor of the efflux transporter P-</w:t>
      </w:r>
      <w:proofErr w:type="spellStart"/>
      <w:r w:rsidRPr="00D421EB">
        <w:rPr>
          <w:sz w:val="24"/>
          <w:szCs w:val="24"/>
          <w:lang w:val="en-US"/>
        </w:rPr>
        <w:t>gp</w:t>
      </w:r>
      <w:proofErr w:type="spellEnd"/>
      <w:r w:rsidRPr="00D421EB">
        <w:rPr>
          <w:sz w:val="24"/>
          <w:szCs w:val="24"/>
          <w:lang w:val="en-US"/>
        </w:rPr>
        <w:t>. A mild inhibitory effect of enzalutamide, at steady-state, on P-</w:t>
      </w:r>
      <w:proofErr w:type="spellStart"/>
      <w:r w:rsidRPr="00D421EB">
        <w:rPr>
          <w:sz w:val="24"/>
          <w:szCs w:val="24"/>
          <w:lang w:val="en-US"/>
        </w:rPr>
        <w:t>gp</w:t>
      </w:r>
      <w:proofErr w:type="spellEnd"/>
      <w:r w:rsidRPr="00D421EB">
        <w:rPr>
          <w:sz w:val="24"/>
          <w:szCs w:val="24"/>
          <w:lang w:val="en-US"/>
        </w:rPr>
        <w:t xml:space="preserve"> was observed in a study in patients with prostate cancer that received a single oral dose of the probe P-</w:t>
      </w:r>
      <w:proofErr w:type="spellStart"/>
      <w:r w:rsidRPr="00D421EB">
        <w:rPr>
          <w:sz w:val="24"/>
          <w:szCs w:val="24"/>
          <w:lang w:val="en-US"/>
        </w:rPr>
        <w:t>gp</w:t>
      </w:r>
      <w:proofErr w:type="spellEnd"/>
      <w:r w:rsidRPr="00D421EB">
        <w:rPr>
          <w:sz w:val="24"/>
          <w:szCs w:val="24"/>
          <w:lang w:val="en-US"/>
        </w:rPr>
        <w:t xml:space="preserve"> substrate digoxin before and concomitantly with enzalutamide (concomitant administration followed at least 55 days of once daily dosing of 160 mg enzalutamide). </w:t>
      </w:r>
      <w:r w:rsidR="00D421EB" w:rsidRPr="00D421EB">
        <w:rPr>
          <w:sz w:val="24"/>
          <w:szCs w:val="24"/>
          <w:lang w:val="en-US"/>
        </w:rPr>
        <w:t xml:space="preserve">The AUC and </w:t>
      </w:r>
      <w:proofErr w:type="spellStart"/>
      <w:r w:rsidR="00D421EB" w:rsidRPr="00D421EB">
        <w:rPr>
          <w:sz w:val="24"/>
          <w:szCs w:val="24"/>
          <w:lang w:val="en-US"/>
        </w:rPr>
        <w:t>Cmax</w:t>
      </w:r>
      <w:proofErr w:type="spellEnd"/>
      <w:r w:rsidR="00D421EB" w:rsidRPr="00D421EB">
        <w:rPr>
          <w:sz w:val="24"/>
          <w:szCs w:val="24"/>
          <w:lang w:val="en-US"/>
        </w:rPr>
        <w:t xml:space="preserve"> of digoxin increased by 33% and 17%, respectively. </w:t>
      </w:r>
      <w:r w:rsidR="00360DE0" w:rsidRPr="00D421EB">
        <w:rPr>
          <w:sz w:val="24"/>
          <w:szCs w:val="24"/>
          <w:lang w:val="en-US"/>
        </w:rPr>
        <w:t>Medicinal products with a narrow therapeutic range that are substrates for P-</w:t>
      </w:r>
      <w:proofErr w:type="spellStart"/>
      <w:r w:rsidR="00360DE0" w:rsidRPr="00D421EB">
        <w:rPr>
          <w:sz w:val="24"/>
          <w:szCs w:val="24"/>
          <w:lang w:val="en-US"/>
        </w:rPr>
        <w:t>gp</w:t>
      </w:r>
      <w:proofErr w:type="spellEnd"/>
      <w:r w:rsidR="00360DE0" w:rsidRPr="00D421EB">
        <w:rPr>
          <w:sz w:val="24"/>
          <w:szCs w:val="24"/>
          <w:lang w:val="en-US"/>
        </w:rPr>
        <w:t xml:space="preserve"> (e.g. colchicine, dabigatran </w:t>
      </w:r>
      <w:proofErr w:type="spellStart"/>
      <w:r w:rsidR="00360DE0" w:rsidRPr="00D421EB">
        <w:rPr>
          <w:sz w:val="24"/>
          <w:szCs w:val="24"/>
          <w:lang w:val="en-US"/>
        </w:rPr>
        <w:t>etexilate</w:t>
      </w:r>
      <w:proofErr w:type="spellEnd"/>
      <w:r w:rsidR="00360DE0" w:rsidRPr="00D421EB">
        <w:rPr>
          <w:sz w:val="24"/>
          <w:szCs w:val="24"/>
          <w:lang w:val="en-US"/>
        </w:rPr>
        <w:t xml:space="preserve">, digoxin) should be used with caution when administered concomitantly with </w:t>
      </w:r>
      <w:r w:rsidR="00B924DE" w:rsidRPr="00D421EB">
        <w:rPr>
          <w:sz w:val="24"/>
          <w:szCs w:val="24"/>
          <w:lang w:val="en-US"/>
        </w:rPr>
        <w:t xml:space="preserve">Enzalutamide </w:t>
      </w:r>
      <w:r w:rsidR="00180206" w:rsidRPr="00D421EB">
        <w:rPr>
          <w:sz w:val="24"/>
          <w:szCs w:val="24"/>
          <w:lang w:val="en-US"/>
        </w:rPr>
        <w:t>"Sandoz"</w:t>
      </w:r>
      <w:r w:rsidR="00360DE0" w:rsidRPr="00D421EB">
        <w:rPr>
          <w:sz w:val="24"/>
          <w:szCs w:val="24"/>
          <w:lang w:val="en-US"/>
        </w:rPr>
        <w:t xml:space="preserve"> and may require dose adjustment to maintain optimal plasma concentrations.</w:t>
      </w:r>
    </w:p>
    <w:p w:rsidR="00360DE0" w:rsidRPr="00B23B00" w:rsidRDefault="00360DE0" w:rsidP="00DE37FA">
      <w:pPr>
        <w:ind w:left="851"/>
        <w:rPr>
          <w:sz w:val="24"/>
          <w:szCs w:val="24"/>
          <w:lang w:val="en-US"/>
        </w:rPr>
      </w:pPr>
    </w:p>
    <w:p w:rsidR="006E57A0" w:rsidRPr="00D421EB" w:rsidRDefault="006E57A0" w:rsidP="006E57A0">
      <w:pPr>
        <w:pStyle w:val="Brdtekst"/>
        <w:spacing w:before="10"/>
        <w:ind w:left="851"/>
        <w:rPr>
          <w:i/>
          <w:sz w:val="24"/>
          <w:szCs w:val="24"/>
        </w:rPr>
      </w:pPr>
      <w:r w:rsidRPr="00D421EB">
        <w:rPr>
          <w:i/>
          <w:sz w:val="24"/>
          <w:szCs w:val="24"/>
        </w:rPr>
        <w:t>BCRP substrates</w:t>
      </w:r>
    </w:p>
    <w:p w:rsidR="006E57A0" w:rsidRPr="00D421EB" w:rsidRDefault="006E57A0" w:rsidP="006E57A0">
      <w:pPr>
        <w:pStyle w:val="Brdtekst"/>
        <w:spacing w:before="10"/>
        <w:ind w:left="851"/>
        <w:rPr>
          <w:sz w:val="24"/>
          <w:szCs w:val="24"/>
        </w:rPr>
      </w:pPr>
      <w:r w:rsidRPr="00D421EB">
        <w:rPr>
          <w:sz w:val="24"/>
          <w:szCs w:val="24"/>
        </w:rPr>
        <w:t xml:space="preserve">At steady-state, enzalutamide did not cause a clinically meaningful change in exposure to the probe breast cancer resistance protein (BCRP) substrate rosuvastatin in patients with prostate cancer that received a single oral dose of rosuvastatin before and concomitantly with enzalutamide (concomitant administration followed at least 55 days of once daily dosing of 160 mg enzalutamide). The AUC of rosuvastatin decreased by 14% while </w:t>
      </w:r>
      <w:proofErr w:type="spellStart"/>
      <w:r w:rsidR="00D421EB" w:rsidRPr="00D421EB">
        <w:rPr>
          <w:sz w:val="24"/>
          <w:szCs w:val="24"/>
        </w:rPr>
        <w:t>C</w:t>
      </w:r>
      <w:r w:rsidR="00D421EB" w:rsidRPr="00D421EB">
        <w:rPr>
          <w:sz w:val="24"/>
          <w:szCs w:val="24"/>
          <w:vertAlign w:val="subscript"/>
        </w:rPr>
        <w:t>max</w:t>
      </w:r>
      <w:proofErr w:type="spellEnd"/>
      <w:r w:rsidR="00D421EB" w:rsidRPr="00D421EB">
        <w:rPr>
          <w:sz w:val="24"/>
          <w:szCs w:val="24"/>
        </w:rPr>
        <w:t xml:space="preserve"> </w:t>
      </w:r>
      <w:r w:rsidRPr="00D421EB">
        <w:rPr>
          <w:sz w:val="24"/>
          <w:szCs w:val="24"/>
        </w:rPr>
        <w:lastRenderedPageBreak/>
        <w:t>increased by 6%. No dose adjustment is necessary when a BCRP substrate is co-administered with enzalutamide.</w:t>
      </w:r>
    </w:p>
    <w:p w:rsidR="006E57A0" w:rsidRPr="00D421EB" w:rsidRDefault="006E57A0" w:rsidP="006E57A0">
      <w:pPr>
        <w:pStyle w:val="Brdtekst"/>
        <w:spacing w:before="10"/>
        <w:ind w:left="851"/>
        <w:rPr>
          <w:sz w:val="24"/>
          <w:szCs w:val="24"/>
        </w:rPr>
      </w:pPr>
    </w:p>
    <w:p w:rsidR="006E57A0" w:rsidRPr="00D421EB" w:rsidRDefault="006E57A0" w:rsidP="006E57A0">
      <w:pPr>
        <w:ind w:left="851"/>
        <w:rPr>
          <w:i/>
          <w:sz w:val="24"/>
          <w:szCs w:val="24"/>
          <w:lang w:val="en-US"/>
        </w:rPr>
      </w:pPr>
      <w:r w:rsidRPr="00D421EB">
        <w:rPr>
          <w:i/>
          <w:sz w:val="24"/>
          <w:szCs w:val="24"/>
          <w:lang w:val="en-US"/>
        </w:rPr>
        <w:t>MRP2, OAT3 and OCT1 substrates</w:t>
      </w:r>
    </w:p>
    <w:p w:rsidR="006E57A0" w:rsidRPr="00D421EB" w:rsidRDefault="006E57A0" w:rsidP="006E57A0">
      <w:pPr>
        <w:pStyle w:val="Brdtekst"/>
        <w:ind w:left="851" w:right="217"/>
        <w:rPr>
          <w:sz w:val="24"/>
          <w:szCs w:val="24"/>
        </w:rPr>
      </w:pPr>
      <w:r w:rsidRPr="00D421EB">
        <w:rPr>
          <w:sz w:val="24"/>
          <w:szCs w:val="24"/>
        </w:rPr>
        <w:t xml:space="preserve">Based on </w:t>
      </w:r>
      <w:r w:rsidRPr="00D421EB">
        <w:rPr>
          <w:i/>
          <w:sz w:val="24"/>
          <w:szCs w:val="24"/>
        </w:rPr>
        <w:t xml:space="preserve">in vitro </w:t>
      </w:r>
      <w:r w:rsidRPr="00D421EB">
        <w:rPr>
          <w:sz w:val="24"/>
          <w:szCs w:val="24"/>
        </w:rPr>
        <w:t>data, inhibition of MRP2 (in the intestine), as well as organic anion transporter 3 (OAT3) and organic cation transporter 1 (OCT1) (systemically) cannot be excluded. Theoretically, induction of these transporters is also possible, and the net effect is presently unknown.</w:t>
      </w:r>
    </w:p>
    <w:p w:rsidR="006E57A0" w:rsidRPr="00D421EB" w:rsidRDefault="006E57A0" w:rsidP="006E57A0">
      <w:pPr>
        <w:pStyle w:val="Brdtekst"/>
        <w:spacing w:before="10"/>
        <w:ind w:left="851"/>
        <w:rPr>
          <w:sz w:val="24"/>
          <w:szCs w:val="24"/>
        </w:rPr>
      </w:pPr>
    </w:p>
    <w:p w:rsidR="00360DE0" w:rsidRPr="00D421EB" w:rsidRDefault="00360DE0" w:rsidP="00DE37FA">
      <w:pPr>
        <w:ind w:left="851"/>
        <w:rPr>
          <w:i/>
          <w:sz w:val="24"/>
          <w:szCs w:val="24"/>
          <w:lang w:val="en-US"/>
        </w:rPr>
      </w:pPr>
      <w:r w:rsidRPr="00D421EB">
        <w:rPr>
          <w:i/>
          <w:sz w:val="24"/>
          <w:szCs w:val="24"/>
          <w:lang w:val="en-US"/>
        </w:rPr>
        <w:t>Medicinal products which prolong the QT interval</w:t>
      </w:r>
    </w:p>
    <w:p w:rsidR="00360DE0" w:rsidRPr="00B23B00" w:rsidRDefault="00360DE0" w:rsidP="00DE37FA">
      <w:pPr>
        <w:ind w:left="851"/>
        <w:rPr>
          <w:sz w:val="24"/>
          <w:szCs w:val="24"/>
          <w:lang w:val="en-US"/>
        </w:rPr>
      </w:pPr>
      <w:r w:rsidRPr="00D421EB">
        <w:rPr>
          <w:sz w:val="24"/>
          <w:szCs w:val="24"/>
          <w:lang w:val="en-US"/>
        </w:rPr>
        <w:t xml:space="preserve">Since androgen deprivation treatment may prolong the QT interval, the concomitant use of </w:t>
      </w:r>
      <w:r w:rsidR="00B924DE" w:rsidRPr="00D421EB">
        <w:rPr>
          <w:sz w:val="24"/>
          <w:szCs w:val="24"/>
          <w:lang w:val="en-US"/>
        </w:rPr>
        <w:t xml:space="preserve">Enzalutamide </w:t>
      </w:r>
      <w:r w:rsidR="00180206" w:rsidRPr="00D421EB">
        <w:rPr>
          <w:sz w:val="24"/>
          <w:szCs w:val="24"/>
          <w:lang w:val="en-US"/>
        </w:rPr>
        <w:t>"Sandoz"</w:t>
      </w:r>
      <w:r w:rsidRPr="00D421EB">
        <w:rPr>
          <w:sz w:val="24"/>
          <w:szCs w:val="24"/>
          <w:lang w:val="en-US"/>
        </w:rPr>
        <w:t xml:space="preserve"> with medicinal products known to prolong the QT interval or</w:t>
      </w:r>
      <w:r w:rsidRPr="00B23B00">
        <w:rPr>
          <w:sz w:val="24"/>
          <w:szCs w:val="24"/>
          <w:lang w:val="en-US"/>
        </w:rPr>
        <w:t xml:space="preserve"> medicinal products able to induce Torsade de pointes such as class IA (e.g. quinidine, disopyramide) or class III (e.g. amiodarone, sotalol, </w:t>
      </w:r>
      <w:proofErr w:type="spellStart"/>
      <w:r w:rsidRPr="00B23B00">
        <w:rPr>
          <w:sz w:val="24"/>
          <w:szCs w:val="24"/>
          <w:lang w:val="en-US"/>
        </w:rPr>
        <w:t>dofetilide</w:t>
      </w:r>
      <w:proofErr w:type="spellEnd"/>
      <w:r w:rsidRPr="00B23B00">
        <w:rPr>
          <w:sz w:val="24"/>
          <w:szCs w:val="24"/>
          <w:lang w:val="en-US"/>
        </w:rPr>
        <w:t xml:space="preserve">, </w:t>
      </w:r>
      <w:proofErr w:type="spellStart"/>
      <w:r w:rsidRPr="00B23B00">
        <w:rPr>
          <w:sz w:val="24"/>
          <w:szCs w:val="24"/>
          <w:lang w:val="en-US"/>
        </w:rPr>
        <w:t>ibutilide</w:t>
      </w:r>
      <w:proofErr w:type="spellEnd"/>
      <w:r w:rsidRPr="00B23B00">
        <w:rPr>
          <w:sz w:val="24"/>
          <w:szCs w:val="24"/>
          <w:lang w:val="en-US"/>
        </w:rPr>
        <w:t>) antiarrhythmic medicinal products, methadone, moxifloxacin, antipsychotics, etc. should be carefully evaluated (see section 4.4).</w:t>
      </w:r>
    </w:p>
    <w:p w:rsidR="00360DE0" w:rsidRPr="00B23B00" w:rsidRDefault="00360DE0" w:rsidP="00DE37FA">
      <w:pPr>
        <w:ind w:left="851"/>
        <w:rPr>
          <w:sz w:val="24"/>
          <w:szCs w:val="24"/>
          <w:lang w:val="en-US"/>
        </w:rPr>
      </w:pPr>
    </w:p>
    <w:p w:rsidR="00360DE0" w:rsidRPr="00B23B00" w:rsidRDefault="00360DE0" w:rsidP="00DE37FA">
      <w:pPr>
        <w:ind w:left="851"/>
        <w:rPr>
          <w:sz w:val="24"/>
          <w:szCs w:val="24"/>
          <w:u w:val="single"/>
          <w:lang w:val="en-US"/>
        </w:rPr>
      </w:pPr>
      <w:r w:rsidRPr="00B23B00">
        <w:rPr>
          <w:sz w:val="24"/>
          <w:szCs w:val="24"/>
          <w:u w:val="single"/>
          <w:lang w:val="en-US"/>
        </w:rPr>
        <w:t>Effect of food on enzalutamide exposures</w:t>
      </w:r>
    </w:p>
    <w:p w:rsidR="00360DE0" w:rsidRPr="00B23B00" w:rsidRDefault="00360DE0" w:rsidP="00DE37FA">
      <w:pPr>
        <w:ind w:left="851"/>
        <w:rPr>
          <w:sz w:val="24"/>
          <w:szCs w:val="24"/>
          <w:lang w:val="en-US"/>
        </w:rPr>
      </w:pPr>
      <w:r w:rsidRPr="00B23B00">
        <w:rPr>
          <w:sz w:val="24"/>
          <w:szCs w:val="24"/>
          <w:lang w:val="en-US"/>
        </w:rPr>
        <w:t xml:space="preserve">Food has no clinically significant effect on the extent of exposure to enzalutamide. In clinical trials, </w:t>
      </w:r>
      <w:r w:rsidR="00B924DE" w:rsidRPr="00B23B00">
        <w:rPr>
          <w:sz w:val="24"/>
          <w:szCs w:val="24"/>
          <w:lang w:val="en-US"/>
        </w:rPr>
        <w:t xml:space="preserve">Enzalutamide </w:t>
      </w:r>
      <w:r w:rsidR="00180206" w:rsidRPr="00B23B00">
        <w:rPr>
          <w:sz w:val="24"/>
          <w:szCs w:val="24"/>
          <w:lang w:val="en-US"/>
        </w:rPr>
        <w:t>"Sandoz"</w:t>
      </w:r>
      <w:r w:rsidRPr="00B23B00">
        <w:rPr>
          <w:sz w:val="24"/>
          <w:szCs w:val="24"/>
          <w:lang w:val="en-US"/>
        </w:rPr>
        <w:t xml:space="preserve"> was administered without regard to food.</w:t>
      </w:r>
    </w:p>
    <w:p w:rsidR="007C5D2A" w:rsidRPr="00B23B00" w:rsidRDefault="007C5D2A" w:rsidP="003E0341">
      <w:pPr>
        <w:tabs>
          <w:tab w:val="left" w:pos="851"/>
        </w:tabs>
        <w:ind w:left="851"/>
        <w:rPr>
          <w:sz w:val="24"/>
          <w:szCs w:val="24"/>
          <w:lang w:val="en-GB"/>
        </w:rPr>
      </w:pPr>
    </w:p>
    <w:p w:rsidR="007C5D2A" w:rsidRPr="00B23B00" w:rsidRDefault="007C5D2A" w:rsidP="007C5D2A">
      <w:pPr>
        <w:tabs>
          <w:tab w:val="left" w:pos="851"/>
        </w:tabs>
        <w:ind w:left="851" w:hanging="851"/>
        <w:rPr>
          <w:b/>
          <w:sz w:val="24"/>
          <w:szCs w:val="24"/>
          <w:lang w:val="en-GB"/>
        </w:rPr>
      </w:pPr>
      <w:r w:rsidRPr="00B23B00">
        <w:rPr>
          <w:b/>
          <w:sz w:val="24"/>
          <w:szCs w:val="24"/>
          <w:lang w:val="en-GB"/>
        </w:rPr>
        <w:t>4.6</w:t>
      </w:r>
      <w:r w:rsidRPr="00B23B00">
        <w:rPr>
          <w:b/>
          <w:sz w:val="24"/>
          <w:szCs w:val="24"/>
          <w:lang w:val="en-GB"/>
        </w:rPr>
        <w:tab/>
      </w:r>
      <w:r w:rsidR="004860D3" w:rsidRPr="00B23B00">
        <w:rPr>
          <w:b/>
          <w:sz w:val="24"/>
          <w:szCs w:val="24"/>
          <w:lang w:val="en-GB"/>
        </w:rPr>
        <w:t>Fertility, p</w:t>
      </w:r>
      <w:r w:rsidRPr="00B23B00">
        <w:rPr>
          <w:b/>
          <w:sz w:val="24"/>
          <w:szCs w:val="24"/>
          <w:lang w:val="en-GB"/>
        </w:rPr>
        <w:t>regnancy and lactation</w:t>
      </w:r>
    </w:p>
    <w:p w:rsidR="00360DE0" w:rsidRPr="00B23B00" w:rsidRDefault="00360DE0" w:rsidP="00DE37FA">
      <w:pPr>
        <w:ind w:left="851"/>
        <w:rPr>
          <w:sz w:val="24"/>
          <w:szCs w:val="24"/>
          <w:lang w:val="en-US"/>
        </w:rPr>
      </w:pPr>
    </w:p>
    <w:p w:rsidR="00360DE0" w:rsidRPr="00B23B00" w:rsidRDefault="00360DE0" w:rsidP="00DE37FA">
      <w:pPr>
        <w:ind w:left="851"/>
        <w:rPr>
          <w:sz w:val="24"/>
          <w:szCs w:val="24"/>
          <w:u w:val="single"/>
          <w:lang w:val="en-US"/>
        </w:rPr>
      </w:pPr>
      <w:r w:rsidRPr="00B23B00">
        <w:rPr>
          <w:sz w:val="24"/>
          <w:szCs w:val="24"/>
          <w:u w:val="single"/>
          <w:lang w:val="en-US"/>
        </w:rPr>
        <w:t>Women of childbearing potential</w:t>
      </w:r>
    </w:p>
    <w:p w:rsidR="00360DE0" w:rsidRPr="00B23B00" w:rsidRDefault="00D421EB" w:rsidP="00DE37FA">
      <w:pPr>
        <w:ind w:left="851"/>
        <w:rPr>
          <w:sz w:val="24"/>
          <w:szCs w:val="24"/>
          <w:lang w:val="en-US"/>
        </w:rPr>
      </w:pPr>
      <w:r w:rsidRPr="00D421EB">
        <w:rPr>
          <w:sz w:val="24"/>
          <w:szCs w:val="24"/>
          <w:lang w:val="en-US"/>
        </w:rPr>
        <w:t>There are no human data on the use of enzalutamide in pregnancy and this medicinal product is not</w:t>
      </w:r>
      <w:r w:rsidR="00360DE0" w:rsidRPr="00B23B00">
        <w:rPr>
          <w:sz w:val="24"/>
          <w:szCs w:val="24"/>
          <w:lang w:val="en-US"/>
        </w:rPr>
        <w:t xml:space="preserve"> for use in women of childbearing potential. This medicine may cause harm to the unborn child or potential loss of pregnancy if taken by women who are pregnant (see sections 4.3, 5.3, and 6.6).</w:t>
      </w:r>
    </w:p>
    <w:p w:rsidR="00360DE0" w:rsidRPr="00B23B00" w:rsidRDefault="00360DE0" w:rsidP="00DE37FA">
      <w:pPr>
        <w:ind w:left="851"/>
        <w:rPr>
          <w:sz w:val="24"/>
          <w:szCs w:val="24"/>
          <w:lang w:val="en-US"/>
        </w:rPr>
      </w:pPr>
    </w:p>
    <w:p w:rsidR="00360DE0" w:rsidRPr="00B23B00" w:rsidRDefault="00360DE0" w:rsidP="00DE37FA">
      <w:pPr>
        <w:ind w:left="851"/>
        <w:rPr>
          <w:sz w:val="24"/>
          <w:szCs w:val="24"/>
          <w:u w:val="single"/>
          <w:lang w:val="en-US"/>
        </w:rPr>
      </w:pPr>
      <w:r w:rsidRPr="00B23B00">
        <w:rPr>
          <w:sz w:val="24"/>
          <w:szCs w:val="24"/>
          <w:u w:val="single"/>
          <w:lang w:val="en-US"/>
        </w:rPr>
        <w:t>Contraception in males and females</w:t>
      </w:r>
    </w:p>
    <w:p w:rsidR="00360DE0" w:rsidRPr="00B23B00" w:rsidRDefault="00360DE0" w:rsidP="00DE37FA">
      <w:pPr>
        <w:ind w:left="851"/>
        <w:rPr>
          <w:sz w:val="24"/>
          <w:szCs w:val="24"/>
          <w:lang w:val="en-US"/>
        </w:rPr>
      </w:pPr>
      <w:r w:rsidRPr="00B23B00">
        <w:rPr>
          <w:sz w:val="24"/>
          <w:szCs w:val="24"/>
          <w:lang w:val="en-US"/>
        </w:rPr>
        <w:t>It is not known whether enzalutamide or its metabolites are present in semen. A condom is required during and for 3 months after treatment with enzalutamide if the patient is engaged in sexual activity with a pregnant woman. If the patient engages in sexual intercourse with a woman of childbearing potential, a condom and another form of birth control must be used during and for 3 months after treatment. Studies in animals have shown reproductive toxicity (see section 5.3).</w:t>
      </w:r>
    </w:p>
    <w:p w:rsidR="00360DE0" w:rsidRPr="00B23B00" w:rsidRDefault="00360DE0" w:rsidP="00DE37FA">
      <w:pPr>
        <w:ind w:left="851"/>
        <w:rPr>
          <w:sz w:val="24"/>
          <w:szCs w:val="24"/>
          <w:lang w:val="en-US"/>
        </w:rPr>
      </w:pPr>
    </w:p>
    <w:p w:rsidR="00360DE0" w:rsidRPr="00B23B00" w:rsidRDefault="00360DE0" w:rsidP="00DE37FA">
      <w:pPr>
        <w:ind w:left="851"/>
        <w:rPr>
          <w:sz w:val="24"/>
          <w:szCs w:val="24"/>
          <w:u w:val="single"/>
          <w:lang w:val="en-US"/>
        </w:rPr>
      </w:pPr>
      <w:r w:rsidRPr="00B23B00">
        <w:rPr>
          <w:sz w:val="24"/>
          <w:szCs w:val="24"/>
          <w:u w:val="single"/>
          <w:lang w:val="en-US"/>
        </w:rPr>
        <w:t>Pregnancy</w:t>
      </w:r>
    </w:p>
    <w:p w:rsidR="00360DE0" w:rsidRPr="00B23B00" w:rsidRDefault="00360DE0" w:rsidP="00DE37FA">
      <w:pPr>
        <w:ind w:left="851"/>
        <w:rPr>
          <w:sz w:val="24"/>
          <w:szCs w:val="24"/>
          <w:lang w:val="en-US"/>
        </w:rPr>
      </w:pPr>
      <w:r w:rsidRPr="00B23B00">
        <w:rPr>
          <w:sz w:val="24"/>
          <w:szCs w:val="24"/>
          <w:lang w:val="en-US"/>
        </w:rPr>
        <w:t>Enzalutamide is not for use in women. Enzalutamide is contraindicated in women who are or may become pregnant (see sections 4.3, 5.3, and 6.6).</w:t>
      </w:r>
    </w:p>
    <w:p w:rsidR="00360DE0" w:rsidRPr="00B23B00" w:rsidRDefault="00360DE0" w:rsidP="00DE37FA">
      <w:pPr>
        <w:ind w:left="851"/>
        <w:rPr>
          <w:sz w:val="24"/>
          <w:szCs w:val="24"/>
          <w:lang w:val="en-US"/>
        </w:rPr>
      </w:pPr>
    </w:p>
    <w:p w:rsidR="00360DE0" w:rsidRPr="00B23B00" w:rsidRDefault="00360DE0" w:rsidP="00DE37FA">
      <w:pPr>
        <w:ind w:left="851"/>
        <w:rPr>
          <w:sz w:val="24"/>
          <w:szCs w:val="24"/>
          <w:u w:val="single"/>
          <w:lang w:val="en-US"/>
        </w:rPr>
      </w:pPr>
      <w:r w:rsidRPr="00B23B00">
        <w:rPr>
          <w:sz w:val="24"/>
          <w:szCs w:val="24"/>
          <w:u w:val="single"/>
          <w:lang w:val="en-US"/>
        </w:rPr>
        <w:t>Breast-feeding</w:t>
      </w:r>
    </w:p>
    <w:p w:rsidR="00360DE0" w:rsidRPr="00B23B00" w:rsidRDefault="00360DE0" w:rsidP="00DE37FA">
      <w:pPr>
        <w:ind w:left="851"/>
        <w:rPr>
          <w:sz w:val="24"/>
          <w:szCs w:val="24"/>
          <w:lang w:val="en-US"/>
        </w:rPr>
      </w:pPr>
      <w:r w:rsidRPr="00B23B00">
        <w:rPr>
          <w:sz w:val="24"/>
          <w:szCs w:val="24"/>
          <w:lang w:val="en-US"/>
        </w:rPr>
        <w:t>Enzalutamide is not for use in women. It is not known if enzalutamide is present in human milk. Enzalutamide and/or its metabolites are secreted in rat milk (see section 5.3).</w:t>
      </w:r>
    </w:p>
    <w:p w:rsidR="00360DE0" w:rsidRPr="00B23B00" w:rsidRDefault="00360DE0" w:rsidP="00DE37FA">
      <w:pPr>
        <w:ind w:left="851"/>
        <w:rPr>
          <w:sz w:val="24"/>
          <w:szCs w:val="24"/>
          <w:lang w:val="en-US"/>
        </w:rPr>
      </w:pPr>
    </w:p>
    <w:p w:rsidR="00360DE0" w:rsidRPr="00B23B00" w:rsidRDefault="00360DE0" w:rsidP="00DE37FA">
      <w:pPr>
        <w:ind w:left="851"/>
        <w:rPr>
          <w:sz w:val="24"/>
          <w:szCs w:val="24"/>
          <w:u w:val="single"/>
          <w:lang w:val="en-US"/>
        </w:rPr>
      </w:pPr>
      <w:r w:rsidRPr="00B23B00">
        <w:rPr>
          <w:sz w:val="24"/>
          <w:szCs w:val="24"/>
          <w:u w:val="single"/>
          <w:lang w:val="en-US"/>
        </w:rPr>
        <w:t>Fertility</w:t>
      </w:r>
    </w:p>
    <w:p w:rsidR="00360DE0" w:rsidRPr="00B23B00" w:rsidRDefault="00360DE0" w:rsidP="00DE37FA">
      <w:pPr>
        <w:ind w:left="851"/>
        <w:rPr>
          <w:sz w:val="24"/>
          <w:szCs w:val="24"/>
          <w:lang w:val="en-US"/>
        </w:rPr>
      </w:pPr>
      <w:r w:rsidRPr="00B23B00">
        <w:rPr>
          <w:sz w:val="24"/>
          <w:szCs w:val="24"/>
          <w:lang w:val="en-US"/>
        </w:rPr>
        <w:t>Animal studies showed that enzalutamide affected the reproductive system in male rats and dogs (see section 5.3).</w:t>
      </w:r>
    </w:p>
    <w:p w:rsidR="007C5D2A" w:rsidRPr="00B23B00" w:rsidRDefault="007C5D2A" w:rsidP="003E0341">
      <w:pPr>
        <w:tabs>
          <w:tab w:val="left" w:pos="851"/>
        </w:tabs>
        <w:ind w:left="851"/>
        <w:rPr>
          <w:sz w:val="24"/>
          <w:szCs w:val="24"/>
          <w:lang w:val="en-GB"/>
        </w:rPr>
      </w:pPr>
    </w:p>
    <w:p w:rsidR="007C5D2A" w:rsidRPr="00B23B00" w:rsidRDefault="007C5D2A" w:rsidP="007C5D2A">
      <w:pPr>
        <w:tabs>
          <w:tab w:val="left" w:pos="851"/>
        </w:tabs>
        <w:ind w:left="851" w:hanging="851"/>
        <w:rPr>
          <w:b/>
          <w:sz w:val="24"/>
          <w:szCs w:val="24"/>
          <w:lang w:val="en-GB"/>
        </w:rPr>
      </w:pPr>
      <w:r w:rsidRPr="00B23B00">
        <w:rPr>
          <w:b/>
          <w:sz w:val="24"/>
          <w:szCs w:val="24"/>
          <w:lang w:val="en-GB"/>
        </w:rPr>
        <w:t>4.7</w:t>
      </w:r>
      <w:r w:rsidRPr="00B23B00">
        <w:rPr>
          <w:b/>
          <w:sz w:val="24"/>
          <w:szCs w:val="24"/>
          <w:lang w:val="en-GB"/>
        </w:rPr>
        <w:tab/>
        <w:t>Effects on ability to drive and use machines</w:t>
      </w:r>
    </w:p>
    <w:p w:rsidR="00902AD5" w:rsidRPr="00B23B00" w:rsidRDefault="00902AD5" w:rsidP="00DE37FA">
      <w:pPr>
        <w:ind w:left="851"/>
        <w:rPr>
          <w:sz w:val="24"/>
          <w:szCs w:val="24"/>
          <w:lang w:val="en-US"/>
        </w:rPr>
      </w:pPr>
      <w:r w:rsidRPr="00B23B00">
        <w:rPr>
          <w:sz w:val="24"/>
          <w:szCs w:val="24"/>
          <w:lang w:val="en-US"/>
        </w:rPr>
        <w:t>No traffic warning.</w:t>
      </w:r>
    </w:p>
    <w:p w:rsidR="00360DE0" w:rsidRPr="00B23B00" w:rsidRDefault="00B924DE" w:rsidP="00DE37FA">
      <w:pPr>
        <w:ind w:left="851"/>
        <w:rPr>
          <w:sz w:val="24"/>
          <w:szCs w:val="24"/>
          <w:lang w:val="en-US"/>
        </w:rPr>
      </w:pPr>
      <w:r w:rsidRPr="00B23B00">
        <w:rPr>
          <w:sz w:val="24"/>
          <w:szCs w:val="24"/>
          <w:lang w:val="en-US"/>
        </w:rPr>
        <w:lastRenderedPageBreak/>
        <w:t xml:space="preserve">Enzalutamide </w:t>
      </w:r>
      <w:r w:rsidR="00180206" w:rsidRPr="00B23B00">
        <w:rPr>
          <w:sz w:val="24"/>
          <w:szCs w:val="24"/>
          <w:lang w:val="en-US"/>
        </w:rPr>
        <w:t>"Sandoz"</w:t>
      </w:r>
      <w:r w:rsidR="00360DE0" w:rsidRPr="00B23B00">
        <w:rPr>
          <w:sz w:val="24"/>
          <w:szCs w:val="24"/>
          <w:lang w:val="en-US"/>
        </w:rPr>
        <w:t xml:space="preserve"> may have moderate influence on the ability to drive and use machines as psychiatric and neurologic events including seizure have been reported (see section 4.8). Patients should be advised of the potential risk of experiencing a psychiatric or neurological event while driving or operating machines. No studies to evaluate the effects of enzalutamide on the ability to drive and use machines have been conducted.</w:t>
      </w:r>
    </w:p>
    <w:p w:rsidR="007C5D2A" w:rsidRPr="00B23B00" w:rsidRDefault="007C5D2A" w:rsidP="003E0341">
      <w:pPr>
        <w:tabs>
          <w:tab w:val="left" w:pos="851"/>
        </w:tabs>
        <w:ind w:left="851"/>
        <w:rPr>
          <w:sz w:val="24"/>
          <w:szCs w:val="24"/>
          <w:lang w:val="en-GB"/>
        </w:rPr>
      </w:pPr>
    </w:p>
    <w:p w:rsidR="007C5D2A" w:rsidRPr="00B23B00" w:rsidRDefault="007C5D2A" w:rsidP="007C5D2A">
      <w:pPr>
        <w:tabs>
          <w:tab w:val="left" w:pos="851"/>
        </w:tabs>
        <w:ind w:left="851" w:hanging="851"/>
        <w:rPr>
          <w:b/>
          <w:sz w:val="24"/>
          <w:szCs w:val="24"/>
          <w:lang w:val="en-GB"/>
        </w:rPr>
      </w:pPr>
      <w:r w:rsidRPr="00B23B00">
        <w:rPr>
          <w:b/>
          <w:sz w:val="24"/>
          <w:szCs w:val="24"/>
          <w:lang w:val="en-GB"/>
        </w:rPr>
        <w:t>4.8</w:t>
      </w:r>
      <w:r w:rsidRPr="00B23B00">
        <w:rPr>
          <w:b/>
          <w:sz w:val="24"/>
          <w:szCs w:val="24"/>
          <w:lang w:val="en-GB"/>
        </w:rPr>
        <w:tab/>
        <w:t>Undesirable effects</w:t>
      </w:r>
    </w:p>
    <w:p w:rsidR="00902AD5" w:rsidRPr="00B23B00" w:rsidRDefault="00902AD5" w:rsidP="00DE37FA">
      <w:pPr>
        <w:ind w:left="851"/>
        <w:rPr>
          <w:sz w:val="24"/>
          <w:szCs w:val="24"/>
          <w:lang w:val="en-US"/>
        </w:rPr>
      </w:pPr>
    </w:p>
    <w:p w:rsidR="00360DE0" w:rsidRPr="00B23B00" w:rsidRDefault="00360DE0" w:rsidP="00DE37FA">
      <w:pPr>
        <w:ind w:left="851"/>
        <w:rPr>
          <w:sz w:val="24"/>
          <w:szCs w:val="24"/>
          <w:u w:val="single"/>
          <w:lang w:val="en-US"/>
        </w:rPr>
      </w:pPr>
      <w:r w:rsidRPr="00B23B00">
        <w:rPr>
          <w:sz w:val="24"/>
          <w:szCs w:val="24"/>
          <w:u w:val="single"/>
          <w:lang w:val="en-US"/>
        </w:rPr>
        <w:t>Summary of the safety profile</w:t>
      </w:r>
    </w:p>
    <w:p w:rsidR="00D421EB" w:rsidRPr="00D421EB" w:rsidRDefault="006E57A0" w:rsidP="00D421EB">
      <w:pPr>
        <w:pStyle w:val="Brdtekst"/>
        <w:ind w:left="851" w:right="299"/>
        <w:rPr>
          <w:b/>
        </w:rPr>
      </w:pPr>
      <w:r>
        <w:t xml:space="preserve">The most common adverse reactions are asthenia/fatigue, hot flush, hypertension, fractures, and fall. Other important adverse reactions include ischemic heart </w:t>
      </w:r>
    </w:p>
    <w:p w:rsidR="00D421EB" w:rsidRPr="00D421EB" w:rsidRDefault="00D421EB" w:rsidP="00D421EB">
      <w:pPr>
        <w:pStyle w:val="Brdtekst"/>
        <w:ind w:left="851" w:right="299"/>
      </w:pPr>
      <w:r w:rsidRPr="00D421EB">
        <w:t>disease and seizure.</w:t>
      </w:r>
    </w:p>
    <w:p w:rsidR="00D421EB" w:rsidRPr="00D421EB" w:rsidRDefault="00D421EB" w:rsidP="00D421EB">
      <w:pPr>
        <w:pStyle w:val="Brdtekst"/>
        <w:ind w:left="851" w:right="299"/>
      </w:pPr>
    </w:p>
    <w:p w:rsidR="006E57A0" w:rsidRDefault="00D421EB" w:rsidP="00D421EB">
      <w:pPr>
        <w:pStyle w:val="Brdtekst"/>
        <w:ind w:left="851" w:right="299"/>
      </w:pPr>
      <w:r w:rsidRPr="00D421EB">
        <w:t xml:space="preserve">Seizure occurred in 0.6% of enzalutamide-treated patients, 0.1% of placebo-treated patients and </w:t>
      </w:r>
      <w:r w:rsidR="006E57A0">
        <w:t>0.3% in bicalutamide-treated patients.</w:t>
      </w:r>
    </w:p>
    <w:p w:rsidR="00360DE0" w:rsidRPr="00B23B00" w:rsidRDefault="00360DE0" w:rsidP="00DE37FA">
      <w:pPr>
        <w:ind w:left="851"/>
        <w:rPr>
          <w:sz w:val="24"/>
          <w:szCs w:val="24"/>
          <w:lang w:val="en-US"/>
        </w:rPr>
      </w:pPr>
    </w:p>
    <w:p w:rsidR="00360DE0" w:rsidRDefault="00360DE0" w:rsidP="00DE37FA">
      <w:pPr>
        <w:ind w:left="851"/>
        <w:rPr>
          <w:sz w:val="24"/>
          <w:szCs w:val="24"/>
          <w:lang w:val="en-US"/>
        </w:rPr>
      </w:pPr>
      <w:r w:rsidRPr="00B23B00">
        <w:rPr>
          <w:sz w:val="24"/>
          <w:szCs w:val="24"/>
          <w:lang w:val="en-US"/>
        </w:rPr>
        <w:t>Rare cases of posterior reversible encephalopathy syndrome have been reported in enzalutamide- treated patients (see section 4.4).</w:t>
      </w:r>
    </w:p>
    <w:p w:rsidR="00D421EB" w:rsidRDefault="00D421EB" w:rsidP="00DE37FA">
      <w:pPr>
        <w:ind w:left="851"/>
        <w:rPr>
          <w:sz w:val="24"/>
          <w:szCs w:val="24"/>
          <w:lang w:val="en-US"/>
        </w:rPr>
      </w:pPr>
    </w:p>
    <w:p w:rsidR="00D421EB" w:rsidRPr="00D421EB" w:rsidRDefault="00D421EB" w:rsidP="00D421EB">
      <w:pPr>
        <w:ind w:left="851"/>
        <w:rPr>
          <w:sz w:val="24"/>
          <w:szCs w:val="24"/>
          <w:lang w:val="en-US"/>
        </w:rPr>
      </w:pPr>
      <w:r w:rsidRPr="00D421EB">
        <w:rPr>
          <w:sz w:val="24"/>
          <w:szCs w:val="24"/>
          <w:lang w:val="en-US"/>
        </w:rPr>
        <w:t>Stevens-Johnson syndrome has been reported with enzalutamide treatment (see section 4.4).</w:t>
      </w:r>
    </w:p>
    <w:p w:rsidR="00D421EB" w:rsidRDefault="00D421EB" w:rsidP="00DE37FA">
      <w:pPr>
        <w:ind w:left="851"/>
        <w:rPr>
          <w:sz w:val="24"/>
          <w:szCs w:val="24"/>
          <w:u w:val="single"/>
          <w:lang w:val="en-US"/>
        </w:rPr>
      </w:pPr>
    </w:p>
    <w:p w:rsidR="00360DE0" w:rsidRPr="00B23B00" w:rsidRDefault="00360DE0" w:rsidP="00DE37FA">
      <w:pPr>
        <w:ind w:left="851"/>
        <w:rPr>
          <w:sz w:val="24"/>
          <w:szCs w:val="24"/>
          <w:u w:val="single"/>
          <w:lang w:val="en-US"/>
        </w:rPr>
      </w:pPr>
      <w:r w:rsidRPr="00B23B00">
        <w:rPr>
          <w:sz w:val="24"/>
          <w:szCs w:val="24"/>
          <w:u w:val="single"/>
          <w:lang w:val="en-US"/>
        </w:rPr>
        <w:t>Tabulated list of adverse reactions</w:t>
      </w:r>
    </w:p>
    <w:p w:rsidR="00360DE0" w:rsidRPr="00B23B00" w:rsidRDefault="00360DE0" w:rsidP="00DE37FA">
      <w:pPr>
        <w:ind w:left="851"/>
        <w:rPr>
          <w:sz w:val="24"/>
          <w:szCs w:val="24"/>
          <w:lang w:val="en-US"/>
        </w:rPr>
      </w:pPr>
      <w:r w:rsidRPr="00B23B00">
        <w:rPr>
          <w:sz w:val="24"/>
          <w:szCs w:val="24"/>
          <w:lang w:val="en-US"/>
        </w:rPr>
        <w:t>Adverse reactions observed during clinical studies are listed below by frequency category. Frequency categories are defined as follows: very common (≥ 1/10); common (≥ 1/100 to &lt; 1/10); uncommon (≥ 1/1,000 to &lt; 1/100); rare (≥ 1/10,000 to &lt; 1/1,000); very rare (&lt;</w:t>
      </w:r>
      <w:r w:rsidR="00B23B00">
        <w:rPr>
          <w:sz w:val="24"/>
          <w:szCs w:val="24"/>
          <w:lang w:val="en-US"/>
        </w:rPr>
        <w:t> </w:t>
      </w:r>
      <w:r w:rsidRPr="00B23B00">
        <w:rPr>
          <w:sz w:val="24"/>
          <w:szCs w:val="24"/>
          <w:lang w:val="en-US"/>
        </w:rPr>
        <w:t>1/10,000); not known (cannot be estimated from the available data). Within each frequency grouping, adverse reactions are presented in order of decreasing seriousness.</w:t>
      </w:r>
    </w:p>
    <w:p w:rsidR="00C55F31" w:rsidRPr="00B23B00" w:rsidRDefault="00C55F31" w:rsidP="00DE37FA">
      <w:pPr>
        <w:ind w:left="851"/>
        <w:rPr>
          <w:sz w:val="24"/>
          <w:szCs w:val="24"/>
          <w:lang w:val="en-US"/>
        </w:rPr>
      </w:pPr>
    </w:p>
    <w:p w:rsidR="00360DE0" w:rsidRPr="00B23B00" w:rsidRDefault="00360DE0" w:rsidP="00B23B00">
      <w:pPr>
        <w:rPr>
          <w:b/>
          <w:sz w:val="24"/>
          <w:szCs w:val="24"/>
          <w:lang w:val="en-US"/>
        </w:rPr>
      </w:pPr>
      <w:r w:rsidRPr="00B23B00">
        <w:rPr>
          <w:b/>
          <w:sz w:val="24"/>
          <w:szCs w:val="24"/>
          <w:lang w:val="en-US"/>
        </w:rPr>
        <w:t>Table 1: Adverse reactions identified in controlled clinical trials and post-marketing</w:t>
      </w:r>
    </w:p>
    <w:p w:rsidR="00360DE0" w:rsidRPr="00B23B00" w:rsidRDefault="00360DE0" w:rsidP="00DE37FA">
      <w:pPr>
        <w:ind w:left="851"/>
        <w:rPr>
          <w:sz w:val="24"/>
          <w:szCs w:val="24"/>
          <w:lang w:val="en-US"/>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3203"/>
        <w:gridCol w:w="6415"/>
      </w:tblGrid>
      <w:tr w:rsidR="00360DE0" w:rsidRPr="00B23B00" w:rsidTr="00C55F31">
        <w:trPr>
          <w:trHeight w:val="20"/>
        </w:trPr>
        <w:tc>
          <w:tcPr>
            <w:tcW w:w="1665" w:type="pct"/>
            <w:tcBorders>
              <w:top w:val="single" w:sz="8" w:space="0" w:color="000000"/>
              <w:left w:val="single" w:sz="8" w:space="0" w:color="000000"/>
              <w:bottom w:val="single" w:sz="8" w:space="0" w:color="000000"/>
              <w:right w:val="single" w:sz="8" w:space="0" w:color="000000"/>
            </w:tcBorders>
            <w:hideMark/>
          </w:tcPr>
          <w:p w:rsidR="00360DE0" w:rsidRPr="00B23B00" w:rsidRDefault="00360DE0" w:rsidP="00C55F31">
            <w:pPr>
              <w:ind w:left="122"/>
              <w:rPr>
                <w:b/>
                <w:sz w:val="24"/>
                <w:szCs w:val="24"/>
              </w:rPr>
            </w:pPr>
            <w:proofErr w:type="spellStart"/>
            <w:r w:rsidRPr="00B23B00">
              <w:rPr>
                <w:b/>
                <w:sz w:val="24"/>
                <w:szCs w:val="24"/>
              </w:rPr>
              <w:t>MedDRA</w:t>
            </w:r>
            <w:proofErr w:type="spellEnd"/>
            <w:r w:rsidRPr="00B23B00">
              <w:rPr>
                <w:b/>
                <w:sz w:val="24"/>
                <w:szCs w:val="24"/>
              </w:rPr>
              <w:t xml:space="preserve"> System organ class</w:t>
            </w:r>
          </w:p>
        </w:tc>
        <w:tc>
          <w:tcPr>
            <w:tcW w:w="3335" w:type="pct"/>
            <w:tcBorders>
              <w:top w:val="single" w:sz="8" w:space="0" w:color="000000"/>
              <w:left w:val="single" w:sz="8" w:space="0" w:color="000000"/>
              <w:bottom w:val="single" w:sz="8" w:space="0" w:color="000000"/>
              <w:right w:val="single" w:sz="8" w:space="0" w:color="000000"/>
            </w:tcBorders>
            <w:hideMark/>
          </w:tcPr>
          <w:p w:rsidR="00360DE0" w:rsidRPr="00B23B00" w:rsidRDefault="00360DE0" w:rsidP="00C55F31">
            <w:pPr>
              <w:ind w:left="122"/>
              <w:rPr>
                <w:b/>
                <w:sz w:val="24"/>
                <w:szCs w:val="24"/>
              </w:rPr>
            </w:pPr>
            <w:proofErr w:type="spellStart"/>
            <w:r w:rsidRPr="00B23B00">
              <w:rPr>
                <w:b/>
                <w:sz w:val="24"/>
                <w:szCs w:val="24"/>
              </w:rPr>
              <w:t>Adverse</w:t>
            </w:r>
            <w:proofErr w:type="spellEnd"/>
            <w:r w:rsidRPr="00B23B00">
              <w:rPr>
                <w:b/>
                <w:sz w:val="24"/>
                <w:szCs w:val="24"/>
              </w:rPr>
              <w:t xml:space="preserve"> </w:t>
            </w:r>
            <w:proofErr w:type="spellStart"/>
            <w:r w:rsidRPr="00B23B00">
              <w:rPr>
                <w:b/>
                <w:sz w:val="24"/>
                <w:szCs w:val="24"/>
              </w:rPr>
              <w:t>reaction</w:t>
            </w:r>
            <w:proofErr w:type="spellEnd"/>
            <w:r w:rsidRPr="00B23B00">
              <w:rPr>
                <w:b/>
                <w:sz w:val="24"/>
                <w:szCs w:val="24"/>
              </w:rPr>
              <w:t xml:space="preserve"> and </w:t>
            </w:r>
            <w:proofErr w:type="spellStart"/>
            <w:r w:rsidRPr="00B23B00">
              <w:rPr>
                <w:b/>
                <w:sz w:val="24"/>
                <w:szCs w:val="24"/>
              </w:rPr>
              <w:t>frequency</w:t>
            </w:r>
            <w:proofErr w:type="spellEnd"/>
          </w:p>
        </w:tc>
      </w:tr>
      <w:tr w:rsidR="00360DE0" w:rsidRPr="00567B29" w:rsidTr="00C55F31">
        <w:trPr>
          <w:trHeight w:val="20"/>
        </w:trPr>
        <w:tc>
          <w:tcPr>
            <w:tcW w:w="1665" w:type="pct"/>
            <w:tcBorders>
              <w:top w:val="single" w:sz="8" w:space="0" w:color="000000"/>
              <w:left w:val="single" w:sz="8" w:space="0" w:color="000000"/>
              <w:bottom w:val="single" w:sz="8" w:space="0" w:color="000000"/>
              <w:right w:val="single" w:sz="8" w:space="0" w:color="000000"/>
            </w:tcBorders>
            <w:hideMark/>
          </w:tcPr>
          <w:p w:rsidR="00360DE0" w:rsidRPr="00B23B00" w:rsidRDefault="00360DE0" w:rsidP="00C55F31">
            <w:pPr>
              <w:ind w:left="122"/>
              <w:rPr>
                <w:sz w:val="24"/>
                <w:szCs w:val="24"/>
                <w:lang w:val="en-US"/>
              </w:rPr>
            </w:pPr>
            <w:r w:rsidRPr="00B23B00">
              <w:rPr>
                <w:sz w:val="24"/>
                <w:szCs w:val="24"/>
                <w:lang w:val="en-US"/>
              </w:rPr>
              <w:t>Blood and lymphatic system disorders</w:t>
            </w:r>
          </w:p>
        </w:tc>
        <w:tc>
          <w:tcPr>
            <w:tcW w:w="3335" w:type="pct"/>
            <w:tcBorders>
              <w:top w:val="single" w:sz="8" w:space="0" w:color="000000"/>
              <w:left w:val="single" w:sz="8" w:space="0" w:color="000000"/>
              <w:bottom w:val="single" w:sz="8" w:space="0" w:color="000000"/>
              <w:right w:val="single" w:sz="8" w:space="0" w:color="000000"/>
            </w:tcBorders>
            <w:hideMark/>
          </w:tcPr>
          <w:p w:rsidR="00B23B00" w:rsidRDefault="00360DE0" w:rsidP="00C55F31">
            <w:pPr>
              <w:ind w:left="122"/>
              <w:rPr>
                <w:sz w:val="24"/>
                <w:szCs w:val="24"/>
                <w:lang w:val="en-US"/>
              </w:rPr>
            </w:pPr>
            <w:r w:rsidRPr="00B23B00">
              <w:rPr>
                <w:sz w:val="24"/>
                <w:szCs w:val="24"/>
                <w:lang w:val="en-US"/>
              </w:rPr>
              <w:t xml:space="preserve">Uncommon: leucopenia, neutropenia </w:t>
            </w:r>
          </w:p>
          <w:p w:rsidR="00360DE0" w:rsidRPr="00B23B00" w:rsidRDefault="00360DE0" w:rsidP="00C55F31">
            <w:pPr>
              <w:ind w:left="122"/>
              <w:rPr>
                <w:sz w:val="24"/>
                <w:szCs w:val="24"/>
                <w:lang w:val="en-US"/>
              </w:rPr>
            </w:pPr>
            <w:r w:rsidRPr="00B23B00">
              <w:rPr>
                <w:sz w:val="24"/>
                <w:szCs w:val="24"/>
                <w:lang w:val="en-US"/>
              </w:rPr>
              <w:t>Not known</w:t>
            </w:r>
            <w:r w:rsidRPr="00B23B00">
              <w:rPr>
                <w:sz w:val="24"/>
                <w:szCs w:val="24"/>
                <w:vertAlign w:val="superscript"/>
                <w:lang w:val="en-US"/>
              </w:rPr>
              <w:t>*</w:t>
            </w:r>
            <w:r w:rsidRPr="00B23B00">
              <w:rPr>
                <w:sz w:val="24"/>
                <w:szCs w:val="24"/>
                <w:lang w:val="en-US"/>
              </w:rPr>
              <w:t>: thrombocytopenia</w:t>
            </w:r>
          </w:p>
        </w:tc>
      </w:tr>
      <w:tr w:rsidR="00360DE0" w:rsidRPr="00567B29" w:rsidTr="00C55F31">
        <w:trPr>
          <w:trHeight w:val="20"/>
        </w:trPr>
        <w:tc>
          <w:tcPr>
            <w:tcW w:w="1665" w:type="pct"/>
            <w:tcBorders>
              <w:top w:val="single" w:sz="8" w:space="0" w:color="000000"/>
              <w:left w:val="single" w:sz="8" w:space="0" w:color="000000"/>
              <w:bottom w:val="single" w:sz="8" w:space="0" w:color="000000"/>
              <w:right w:val="single" w:sz="8" w:space="0" w:color="000000"/>
            </w:tcBorders>
            <w:hideMark/>
          </w:tcPr>
          <w:p w:rsidR="00360DE0" w:rsidRPr="00B23B00" w:rsidRDefault="00360DE0" w:rsidP="00C55F31">
            <w:pPr>
              <w:ind w:left="122"/>
              <w:rPr>
                <w:sz w:val="24"/>
                <w:szCs w:val="24"/>
              </w:rPr>
            </w:pPr>
            <w:r w:rsidRPr="00B23B00">
              <w:rPr>
                <w:sz w:val="24"/>
                <w:szCs w:val="24"/>
              </w:rPr>
              <w:t xml:space="preserve">Immune system </w:t>
            </w:r>
            <w:proofErr w:type="spellStart"/>
            <w:r w:rsidRPr="00B23B00">
              <w:rPr>
                <w:sz w:val="24"/>
                <w:szCs w:val="24"/>
              </w:rPr>
              <w:t>disorders</w:t>
            </w:r>
            <w:proofErr w:type="spellEnd"/>
          </w:p>
        </w:tc>
        <w:tc>
          <w:tcPr>
            <w:tcW w:w="3335" w:type="pct"/>
            <w:tcBorders>
              <w:top w:val="single" w:sz="8" w:space="0" w:color="000000"/>
              <w:left w:val="single" w:sz="8" w:space="0" w:color="000000"/>
              <w:bottom w:val="single" w:sz="8" w:space="0" w:color="000000"/>
              <w:right w:val="single" w:sz="8" w:space="0" w:color="000000"/>
            </w:tcBorders>
            <w:hideMark/>
          </w:tcPr>
          <w:p w:rsidR="00360DE0" w:rsidRPr="00567B29" w:rsidRDefault="00360DE0" w:rsidP="00C55F31">
            <w:pPr>
              <w:ind w:left="122"/>
              <w:rPr>
                <w:sz w:val="24"/>
                <w:szCs w:val="24"/>
                <w:lang w:val="en-US"/>
              </w:rPr>
            </w:pPr>
            <w:r w:rsidRPr="00567B29">
              <w:rPr>
                <w:sz w:val="24"/>
                <w:szCs w:val="24"/>
                <w:lang w:val="en-US"/>
              </w:rPr>
              <w:t>Not known</w:t>
            </w:r>
            <w:r w:rsidRPr="00567B29">
              <w:rPr>
                <w:sz w:val="24"/>
                <w:szCs w:val="24"/>
                <w:vertAlign w:val="superscript"/>
                <w:lang w:val="en-US"/>
              </w:rPr>
              <w:t>*</w:t>
            </w:r>
            <w:r w:rsidRPr="00567B29">
              <w:rPr>
                <w:sz w:val="24"/>
                <w:szCs w:val="24"/>
                <w:lang w:val="en-US"/>
              </w:rPr>
              <w:t xml:space="preserve">: face </w:t>
            </w:r>
            <w:proofErr w:type="spellStart"/>
            <w:r w:rsidRPr="00567B29">
              <w:rPr>
                <w:sz w:val="24"/>
                <w:szCs w:val="24"/>
                <w:lang w:val="en-US"/>
              </w:rPr>
              <w:t>oedema</w:t>
            </w:r>
            <w:proofErr w:type="spellEnd"/>
            <w:r w:rsidRPr="00567B29">
              <w:rPr>
                <w:sz w:val="24"/>
                <w:szCs w:val="24"/>
                <w:lang w:val="en-US"/>
              </w:rPr>
              <w:t xml:space="preserve">, tongue </w:t>
            </w:r>
            <w:proofErr w:type="spellStart"/>
            <w:r w:rsidRPr="00567B29">
              <w:rPr>
                <w:sz w:val="24"/>
                <w:szCs w:val="24"/>
                <w:lang w:val="en-US"/>
              </w:rPr>
              <w:t>oedema</w:t>
            </w:r>
            <w:proofErr w:type="spellEnd"/>
            <w:r w:rsidRPr="00567B29">
              <w:rPr>
                <w:sz w:val="24"/>
                <w:szCs w:val="24"/>
                <w:lang w:val="en-US"/>
              </w:rPr>
              <w:t xml:space="preserve">, lip </w:t>
            </w:r>
            <w:proofErr w:type="spellStart"/>
            <w:r w:rsidRPr="00567B29">
              <w:rPr>
                <w:sz w:val="24"/>
                <w:szCs w:val="24"/>
                <w:lang w:val="en-US"/>
              </w:rPr>
              <w:t>oedema</w:t>
            </w:r>
            <w:proofErr w:type="spellEnd"/>
            <w:r w:rsidRPr="00567B29">
              <w:rPr>
                <w:sz w:val="24"/>
                <w:szCs w:val="24"/>
                <w:lang w:val="en-US"/>
              </w:rPr>
              <w:t xml:space="preserve">, pharyngeal </w:t>
            </w:r>
            <w:proofErr w:type="spellStart"/>
            <w:r w:rsidRPr="00567B29">
              <w:rPr>
                <w:sz w:val="24"/>
                <w:szCs w:val="24"/>
                <w:lang w:val="en-US"/>
              </w:rPr>
              <w:t>oedema</w:t>
            </w:r>
            <w:proofErr w:type="spellEnd"/>
          </w:p>
        </w:tc>
      </w:tr>
      <w:tr w:rsidR="00360DE0" w:rsidRPr="00567B29" w:rsidTr="00C55F31">
        <w:trPr>
          <w:trHeight w:val="20"/>
        </w:trPr>
        <w:tc>
          <w:tcPr>
            <w:tcW w:w="1665" w:type="pct"/>
            <w:tcBorders>
              <w:top w:val="single" w:sz="8" w:space="0" w:color="000000"/>
              <w:left w:val="single" w:sz="8" w:space="0" w:color="000000"/>
              <w:bottom w:val="single" w:sz="8" w:space="0" w:color="000000"/>
              <w:right w:val="single" w:sz="8" w:space="0" w:color="000000"/>
            </w:tcBorders>
            <w:hideMark/>
          </w:tcPr>
          <w:p w:rsidR="00360DE0" w:rsidRPr="00B23B00" w:rsidRDefault="00360DE0" w:rsidP="00C55F31">
            <w:pPr>
              <w:ind w:left="122"/>
              <w:rPr>
                <w:sz w:val="24"/>
                <w:szCs w:val="24"/>
              </w:rPr>
            </w:pPr>
            <w:proofErr w:type="spellStart"/>
            <w:r w:rsidRPr="00B23B00">
              <w:rPr>
                <w:sz w:val="24"/>
                <w:szCs w:val="24"/>
              </w:rPr>
              <w:t>Psychiatric</w:t>
            </w:r>
            <w:proofErr w:type="spellEnd"/>
            <w:r w:rsidRPr="00B23B00">
              <w:rPr>
                <w:sz w:val="24"/>
                <w:szCs w:val="24"/>
              </w:rPr>
              <w:t xml:space="preserve"> </w:t>
            </w:r>
            <w:proofErr w:type="spellStart"/>
            <w:r w:rsidRPr="00B23B00">
              <w:rPr>
                <w:sz w:val="24"/>
                <w:szCs w:val="24"/>
              </w:rPr>
              <w:t>disorders</w:t>
            </w:r>
            <w:proofErr w:type="spellEnd"/>
          </w:p>
        </w:tc>
        <w:tc>
          <w:tcPr>
            <w:tcW w:w="3335" w:type="pct"/>
            <w:tcBorders>
              <w:top w:val="single" w:sz="8" w:space="0" w:color="000000"/>
              <w:left w:val="single" w:sz="8" w:space="0" w:color="000000"/>
              <w:bottom w:val="single" w:sz="8" w:space="0" w:color="000000"/>
              <w:right w:val="single" w:sz="8" w:space="0" w:color="000000"/>
            </w:tcBorders>
            <w:hideMark/>
          </w:tcPr>
          <w:p w:rsidR="00360DE0" w:rsidRPr="00B23B00" w:rsidRDefault="00360DE0" w:rsidP="00C55F31">
            <w:pPr>
              <w:ind w:left="122"/>
              <w:rPr>
                <w:sz w:val="24"/>
                <w:szCs w:val="24"/>
                <w:lang w:val="en-US"/>
              </w:rPr>
            </w:pPr>
            <w:r w:rsidRPr="00B23B00">
              <w:rPr>
                <w:sz w:val="24"/>
                <w:szCs w:val="24"/>
                <w:lang w:val="en-US"/>
              </w:rPr>
              <w:t>Common: anxiety</w:t>
            </w:r>
          </w:p>
          <w:p w:rsidR="00360DE0" w:rsidRPr="00B23B00" w:rsidRDefault="00360DE0" w:rsidP="00C55F31">
            <w:pPr>
              <w:ind w:left="122"/>
              <w:rPr>
                <w:sz w:val="24"/>
                <w:szCs w:val="24"/>
                <w:lang w:val="en-US"/>
              </w:rPr>
            </w:pPr>
            <w:r w:rsidRPr="00B23B00">
              <w:rPr>
                <w:sz w:val="24"/>
                <w:szCs w:val="24"/>
                <w:lang w:val="en-US"/>
              </w:rPr>
              <w:t>Uncommon: visual hallucination</w:t>
            </w:r>
          </w:p>
        </w:tc>
      </w:tr>
      <w:tr w:rsidR="00360DE0" w:rsidRPr="00567B29" w:rsidTr="00C55F31">
        <w:trPr>
          <w:trHeight w:val="20"/>
        </w:trPr>
        <w:tc>
          <w:tcPr>
            <w:tcW w:w="1665" w:type="pct"/>
            <w:tcBorders>
              <w:top w:val="single" w:sz="8" w:space="0" w:color="000000"/>
              <w:left w:val="single" w:sz="8" w:space="0" w:color="000000"/>
              <w:bottom w:val="single" w:sz="8" w:space="0" w:color="000000"/>
              <w:right w:val="single" w:sz="8" w:space="0" w:color="000000"/>
            </w:tcBorders>
            <w:hideMark/>
          </w:tcPr>
          <w:p w:rsidR="00360DE0" w:rsidRPr="00B23B00" w:rsidRDefault="00360DE0" w:rsidP="00C55F31">
            <w:pPr>
              <w:ind w:left="122"/>
              <w:rPr>
                <w:sz w:val="24"/>
                <w:szCs w:val="24"/>
              </w:rPr>
            </w:pPr>
            <w:proofErr w:type="spellStart"/>
            <w:r w:rsidRPr="00B23B00">
              <w:rPr>
                <w:sz w:val="24"/>
                <w:szCs w:val="24"/>
              </w:rPr>
              <w:t>Nervous</w:t>
            </w:r>
            <w:proofErr w:type="spellEnd"/>
            <w:r w:rsidRPr="00B23B00">
              <w:rPr>
                <w:sz w:val="24"/>
                <w:szCs w:val="24"/>
              </w:rPr>
              <w:t xml:space="preserve"> system </w:t>
            </w:r>
            <w:proofErr w:type="spellStart"/>
            <w:r w:rsidRPr="00B23B00">
              <w:rPr>
                <w:sz w:val="24"/>
                <w:szCs w:val="24"/>
              </w:rPr>
              <w:t>disorders</w:t>
            </w:r>
            <w:proofErr w:type="spellEnd"/>
          </w:p>
        </w:tc>
        <w:tc>
          <w:tcPr>
            <w:tcW w:w="3335" w:type="pct"/>
            <w:tcBorders>
              <w:top w:val="single" w:sz="8" w:space="0" w:color="000000"/>
              <w:left w:val="single" w:sz="8" w:space="0" w:color="000000"/>
              <w:bottom w:val="single" w:sz="8" w:space="0" w:color="000000"/>
              <w:right w:val="single" w:sz="8" w:space="0" w:color="000000"/>
            </w:tcBorders>
            <w:hideMark/>
          </w:tcPr>
          <w:p w:rsidR="004E6427" w:rsidRPr="003A3099" w:rsidRDefault="006E57A0" w:rsidP="004E6427">
            <w:pPr>
              <w:pStyle w:val="TableParagraph"/>
              <w:rPr>
                <w:sz w:val="24"/>
                <w:szCs w:val="24"/>
              </w:rPr>
            </w:pPr>
            <w:r w:rsidRPr="003A3099">
              <w:rPr>
                <w:sz w:val="24"/>
                <w:szCs w:val="24"/>
              </w:rPr>
              <w:t xml:space="preserve">Common: headache, memory impairment, amnesia, disturbance in attention, dysgeusia, restless legs </w:t>
            </w:r>
            <w:r w:rsidR="004E6427" w:rsidRPr="003A3099">
              <w:rPr>
                <w:sz w:val="24"/>
                <w:szCs w:val="24"/>
              </w:rPr>
              <w:t xml:space="preserve">syndrome, cognitive </w:t>
            </w:r>
            <w:proofErr w:type="spellStart"/>
            <w:r w:rsidR="004E6427" w:rsidRPr="003A3099">
              <w:rPr>
                <w:sz w:val="24"/>
                <w:szCs w:val="24"/>
              </w:rPr>
              <w:t>disorderUncommon</w:t>
            </w:r>
            <w:proofErr w:type="spellEnd"/>
            <w:r w:rsidR="004E6427" w:rsidRPr="003A3099">
              <w:rPr>
                <w:sz w:val="24"/>
                <w:szCs w:val="24"/>
              </w:rPr>
              <w:t>: seizure¥</w:t>
            </w:r>
          </w:p>
          <w:p w:rsidR="00087D3A" w:rsidRPr="003A3099" w:rsidRDefault="003A3099" w:rsidP="00C55F31">
            <w:pPr>
              <w:ind w:left="122"/>
              <w:rPr>
                <w:sz w:val="24"/>
                <w:szCs w:val="24"/>
                <w:lang w:val="en-US"/>
              </w:rPr>
            </w:pPr>
            <w:r w:rsidRPr="003A3099">
              <w:rPr>
                <w:sz w:val="24"/>
                <w:szCs w:val="24"/>
                <w:lang w:val="en-US"/>
              </w:rPr>
              <w:t xml:space="preserve"> </w:t>
            </w:r>
            <w:r w:rsidR="00087D3A" w:rsidRPr="003A3099">
              <w:rPr>
                <w:sz w:val="24"/>
                <w:szCs w:val="24"/>
                <w:lang w:val="en-US"/>
              </w:rPr>
              <w:t>Not known</w:t>
            </w:r>
            <w:r w:rsidR="00087D3A" w:rsidRPr="003A3099">
              <w:rPr>
                <w:position w:val="9"/>
                <w:sz w:val="24"/>
                <w:szCs w:val="24"/>
                <w:lang w:val="en-US"/>
              </w:rPr>
              <w:t>*</w:t>
            </w:r>
            <w:r w:rsidR="00087D3A" w:rsidRPr="003A3099">
              <w:rPr>
                <w:sz w:val="24"/>
                <w:szCs w:val="24"/>
                <w:lang w:val="en-US"/>
              </w:rPr>
              <w:t>: posterior reversible encephalopathy syndrome</w:t>
            </w:r>
          </w:p>
          <w:p w:rsidR="006E57A0" w:rsidRPr="00B23B00" w:rsidRDefault="006E57A0" w:rsidP="00C55F31">
            <w:pPr>
              <w:ind w:left="122"/>
              <w:rPr>
                <w:sz w:val="24"/>
                <w:szCs w:val="24"/>
                <w:lang w:val="en-US"/>
              </w:rPr>
            </w:pPr>
          </w:p>
        </w:tc>
      </w:tr>
      <w:tr w:rsidR="00360DE0" w:rsidRPr="00567B29" w:rsidTr="00C55F31">
        <w:trPr>
          <w:trHeight w:val="20"/>
        </w:trPr>
        <w:tc>
          <w:tcPr>
            <w:tcW w:w="1665" w:type="pct"/>
            <w:tcBorders>
              <w:top w:val="single" w:sz="8" w:space="0" w:color="000000"/>
              <w:left w:val="single" w:sz="8" w:space="0" w:color="000000"/>
              <w:bottom w:val="single" w:sz="8" w:space="0" w:color="000000"/>
              <w:right w:val="single" w:sz="8" w:space="0" w:color="000000"/>
            </w:tcBorders>
            <w:hideMark/>
          </w:tcPr>
          <w:p w:rsidR="00360DE0" w:rsidRPr="00B23B00" w:rsidRDefault="00360DE0" w:rsidP="00C55F31">
            <w:pPr>
              <w:ind w:left="122"/>
              <w:rPr>
                <w:sz w:val="24"/>
                <w:szCs w:val="24"/>
              </w:rPr>
            </w:pPr>
            <w:proofErr w:type="spellStart"/>
            <w:r w:rsidRPr="00B23B00">
              <w:rPr>
                <w:sz w:val="24"/>
                <w:szCs w:val="24"/>
              </w:rPr>
              <w:t>Cardiac</w:t>
            </w:r>
            <w:proofErr w:type="spellEnd"/>
            <w:r w:rsidRPr="00B23B00">
              <w:rPr>
                <w:sz w:val="24"/>
                <w:szCs w:val="24"/>
              </w:rPr>
              <w:t xml:space="preserve"> </w:t>
            </w:r>
            <w:proofErr w:type="spellStart"/>
            <w:r w:rsidRPr="00B23B00">
              <w:rPr>
                <w:sz w:val="24"/>
                <w:szCs w:val="24"/>
              </w:rPr>
              <w:t>disorders</w:t>
            </w:r>
            <w:proofErr w:type="spellEnd"/>
          </w:p>
        </w:tc>
        <w:tc>
          <w:tcPr>
            <w:tcW w:w="3335" w:type="pct"/>
            <w:tcBorders>
              <w:top w:val="single" w:sz="8" w:space="0" w:color="000000"/>
              <w:left w:val="single" w:sz="8" w:space="0" w:color="000000"/>
              <w:bottom w:val="single" w:sz="8" w:space="0" w:color="000000"/>
              <w:right w:val="single" w:sz="8" w:space="0" w:color="000000"/>
            </w:tcBorders>
            <w:hideMark/>
          </w:tcPr>
          <w:p w:rsidR="00360DE0" w:rsidRPr="00B23B00" w:rsidRDefault="00360DE0" w:rsidP="00C55F31">
            <w:pPr>
              <w:ind w:left="122"/>
              <w:rPr>
                <w:sz w:val="24"/>
                <w:szCs w:val="24"/>
                <w:lang w:val="en-US"/>
              </w:rPr>
            </w:pPr>
            <w:r w:rsidRPr="00B23B00">
              <w:rPr>
                <w:sz w:val="24"/>
                <w:szCs w:val="24"/>
                <w:lang w:val="en-US"/>
              </w:rPr>
              <w:t>Common: ischemic heart disease</w:t>
            </w:r>
            <w:r w:rsidRPr="00B23B00">
              <w:rPr>
                <w:sz w:val="24"/>
                <w:szCs w:val="24"/>
                <w:vertAlign w:val="superscript"/>
                <w:lang w:val="en-US"/>
              </w:rPr>
              <w:t>†</w:t>
            </w:r>
          </w:p>
          <w:p w:rsidR="00360DE0" w:rsidRPr="00B23B00" w:rsidRDefault="00360DE0" w:rsidP="00C55F31">
            <w:pPr>
              <w:ind w:left="122"/>
              <w:rPr>
                <w:sz w:val="24"/>
                <w:szCs w:val="24"/>
                <w:lang w:val="en-US"/>
              </w:rPr>
            </w:pPr>
            <w:r w:rsidRPr="00B23B00">
              <w:rPr>
                <w:sz w:val="24"/>
                <w:szCs w:val="24"/>
                <w:lang w:val="en-US"/>
              </w:rPr>
              <w:t>Not known*: QT-prolongation (see sections 4.4 and 4.5)</w:t>
            </w:r>
          </w:p>
        </w:tc>
      </w:tr>
      <w:tr w:rsidR="00360DE0" w:rsidRPr="00567B29" w:rsidTr="00C55F31">
        <w:trPr>
          <w:trHeight w:val="20"/>
        </w:trPr>
        <w:tc>
          <w:tcPr>
            <w:tcW w:w="1665" w:type="pct"/>
            <w:tcBorders>
              <w:top w:val="single" w:sz="8" w:space="0" w:color="000000"/>
              <w:left w:val="single" w:sz="8" w:space="0" w:color="000000"/>
              <w:bottom w:val="single" w:sz="8" w:space="0" w:color="000000"/>
              <w:right w:val="single" w:sz="8" w:space="0" w:color="000000"/>
            </w:tcBorders>
            <w:hideMark/>
          </w:tcPr>
          <w:p w:rsidR="00360DE0" w:rsidRPr="00B23B00" w:rsidRDefault="00360DE0" w:rsidP="00C55F31">
            <w:pPr>
              <w:ind w:left="122"/>
              <w:rPr>
                <w:sz w:val="24"/>
                <w:szCs w:val="24"/>
              </w:rPr>
            </w:pPr>
            <w:proofErr w:type="spellStart"/>
            <w:r w:rsidRPr="00B23B00">
              <w:rPr>
                <w:sz w:val="24"/>
                <w:szCs w:val="24"/>
              </w:rPr>
              <w:t>Vascular</w:t>
            </w:r>
            <w:proofErr w:type="spellEnd"/>
            <w:r w:rsidRPr="00B23B00">
              <w:rPr>
                <w:sz w:val="24"/>
                <w:szCs w:val="24"/>
              </w:rPr>
              <w:t xml:space="preserve"> </w:t>
            </w:r>
            <w:proofErr w:type="spellStart"/>
            <w:r w:rsidRPr="00B23B00">
              <w:rPr>
                <w:sz w:val="24"/>
                <w:szCs w:val="24"/>
              </w:rPr>
              <w:t>disorders</w:t>
            </w:r>
            <w:proofErr w:type="spellEnd"/>
          </w:p>
        </w:tc>
        <w:tc>
          <w:tcPr>
            <w:tcW w:w="3335" w:type="pct"/>
            <w:tcBorders>
              <w:top w:val="single" w:sz="8" w:space="0" w:color="000000"/>
              <w:left w:val="single" w:sz="8" w:space="0" w:color="000000"/>
              <w:bottom w:val="single" w:sz="8" w:space="0" w:color="000000"/>
              <w:right w:val="single" w:sz="8" w:space="0" w:color="000000"/>
            </w:tcBorders>
            <w:hideMark/>
          </w:tcPr>
          <w:p w:rsidR="00360DE0" w:rsidRPr="00B23B00" w:rsidRDefault="00360DE0" w:rsidP="00C55F31">
            <w:pPr>
              <w:ind w:left="122"/>
              <w:rPr>
                <w:sz w:val="24"/>
                <w:szCs w:val="24"/>
                <w:lang w:val="en-US"/>
              </w:rPr>
            </w:pPr>
            <w:r w:rsidRPr="00B23B00">
              <w:rPr>
                <w:sz w:val="24"/>
                <w:szCs w:val="24"/>
                <w:lang w:val="en-US"/>
              </w:rPr>
              <w:t>Very common: hot flush, hypertension</w:t>
            </w:r>
          </w:p>
        </w:tc>
      </w:tr>
      <w:tr w:rsidR="00360DE0" w:rsidRPr="00567B29" w:rsidTr="00C55F31">
        <w:trPr>
          <w:trHeight w:val="20"/>
        </w:trPr>
        <w:tc>
          <w:tcPr>
            <w:tcW w:w="1665" w:type="pct"/>
            <w:tcBorders>
              <w:top w:val="single" w:sz="8" w:space="0" w:color="000000"/>
              <w:left w:val="single" w:sz="8" w:space="0" w:color="000000"/>
              <w:bottom w:val="single" w:sz="8" w:space="0" w:color="000000"/>
              <w:right w:val="single" w:sz="8" w:space="0" w:color="000000"/>
            </w:tcBorders>
            <w:hideMark/>
          </w:tcPr>
          <w:p w:rsidR="00360DE0" w:rsidRPr="00B23B00" w:rsidRDefault="00360DE0" w:rsidP="00C55F31">
            <w:pPr>
              <w:ind w:left="122"/>
              <w:rPr>
                <w:sz w:val="24"/>
                <w:szCs w:val="24"/>
              </w:rPr>
            </w:pPr>
            <w:proofErr w:type="spellStart"/>
            <w:r w:rsidRPr="00B23B00">
              <w:rPr>
                <w:sz w:val="24"/>
                <w:szCs w:val="24"/>
              </w:rPr>
              <w:t>Gastrointestinal</w:t>
            </w:r>
            <w:proofErr w:type="spellEnd"/>
            <w:r w:rsidRPr="00B23B00">
              <w:rPr>
                <w:sz w:val="24"/>
                <w:szCs w:val="24"/>
              </w:rPr>
              <w:t xml:space="preserve"> </w:t>
            </w:r>
            <w:proofErr w:type="spellStart"/>
            <w:r w:rsidRPr="00B23B00">
              <w:rPr>
                <w:sz w:val="24"/>
                <w:szCs w:val="24"/>
              </w:rPr>
              <w:t>disorders</w:t>
            </w:r>
            <w:proofErr w:type="spellEnd"/>
          </w:p>
        </w:tc>
        <w:tc>
          <w:tcPr>
            <w:tcW w:w="3335" w:type="pct"/>
            <w:tcBorders>
              <w:top w:val="single" w:sz="8" w:space="0" w:color="000000"/>
              <w:left w:val="single" w:sz="8" w:space="0" w:color="000000"/>
              <w:bottom w:val="single" w:sz="8" w:space="0" w:color="000000"/>
              <w:right w:val="single" w:sz="8" w:space="0" w:color="000000"/>
            </w:tcBorders>
            <w:hideMark/>
          </w:tcPr>
          <w:p w:rsidR="00360DE0" w:rsidRPr="00B23B00" w:rsidRDefault="00360DE0" w:rsidP="00C55F31">
            <w:pPr>
              <w:ind w:left="122"/>
              <w:rPr>
                <w:sz w:val="24"/>
                <w:szCs w:val="24"/>
                <w:lang w:val="en-US"/>
              </w:rPr>
            </w:pPr>
            <w:r w:rsidRPr="00B23B00">
              <w:rPr>
                <w:sz w:val="24"/>
                <w:szCs w:val="24"/>
                <w:lang w:val="en-US"/>
              </w:rPr>
              <w:t>Not known</w:t>
            </w:r>
            <w:r w:rsidRPr="00B23B00">
              <w:rPr>
                <w:sz w:val="24"/>
                <w:szCs w:val="24"/>
                <w:vertAlign w:val="superscript"/>
                <w:lang w:val="en-US"/>
              </w:rPr>
              <w:t>*</w:t>
            </w:r>
            <w:r w:rsidRPr="00B23B00">
              <w:rPr>
                <w:sz w:val="24"/>
                <w:szCs w:val="24"/>
                <w:lang w:val="en-US"/>
              </w:rPr>
              <w:t xml:space="preserve">: nausea, vomiting, </w:t>
            </w:r>
            <w:proofErr w:type="spellStart"/>
            <w:r w:rsidRPr="00B23B00">
              <w:rPr>
                <w:sz w:val="24"/>
                <w:szCs w:val="24"/>
                <w:lang w:val="en-US"/>
              </w:rPr>
              <w:t>diarrhoea</w:t>
            </w:r>
            <w:proofErr w:type="spellEnd"/>
          </w:p>
        </w:tc>
      </w:tr>
      <w:tr w:rsidR="003A3099" w:rsidRPr="003863FE" w:rsidTr="00C55F31">
        <w:trPr>
          <w:trHeight w:val="20"/>
        </w:trPr>
        <w:tc>
          <w:tcPr>
            <w:tcW w:w="1665" w:type="pct"/>
            <w:tcBorders>
              <w:top w:val="single" w:sz="8" w:space="0" w:color="000000"/>
              <w:left w:val="single" w:sz="8" w:space="0" w:color="000000"/>
              <w:bottom w:val="single" w:sz="8" w:space="0" w:color="000000"/>
              <w:right w:val="single" w:sz="8" w:space="0" w:color="000000"/>
            </w:tcBorders>
          </w:tcPr>
          <w:p w:rsidR="003A3099" w:rsidRPr="00B23B00" w:rsidRDefault="003A3099" w:rsidP="00C55F31">
            <w:pPr>
              <w:ind w:left="122"/>
              <w:rPr>
                <w:sz w:val="24"/>
                <w:szCs w:val="24"/>
              </w:rPr>
            </w:pPr>
            <w:proofErr w:type="spellStart"/>
            <w:r w:rsidRPr="003A3099">
              <w:rPr>
                <w:sz w:val="24"/>
                <w:szCs w:val="24"/>
                <w:lang w:val="de-DE"/>
              </w:rPr>
              <w:t>Hepatobiliary</w:t>
            </w:r>
            <w:proofErr w:type="spellEnd"/>
            <w:r w:rsidRPr="003A3099">
              <w:rPr>
                <w:sz w:val="24"/>
                <w:szCs w:val="24"/>
                <w:lang w:val="de-DE"/>
              </w:rPr>
              <w:t xml:space="preserve"> </w:t>
            </w:r>
            <w:proofErr w:type="spellStart"/>
            <w:r w:rsidRPr="003A3099">
              <w:rPr>
                <w:sz w:val="24"/>
                <w:szCs w:val="24"/>
                <w:lang w:val="de-DE"/>
              </w:rPr>
              <w:t>disorders</w:t>
            </w:r>
            <w:proofErr w:type="spellEnd"/>
          </w:p>
        </w:tc>
        <w:tc>
          <w:tcPr>
            <w:tcW w:w="3335" w:type="pct"/>
            <w:tcBorders>
              <w:top w:val="single" w:sz="8" w:space="0" w:color="000000"/>
              <w:left w:val="single" w:sz="8" w:space="0" w:color="000000"/>
              <w:bottom w:val="single" w:sz="8" w:space="0" w:color="000000"/>
              <w:right w:val="single" w:sz="8" w:space="0" w:color="000000"/>
            </w:tcBorders>
          </w:tcPr>
          <w:p w:rsidR="003A3099" w:rsidRPr="00B23B00" w:rsidRDefault="003A3099" w:rsidP="00C55F31">
            <w:pPr>
              <w:ind w:left="122"/>
              <w:rPr>
                <w:sz w:val="24"/>
                <w:szCs w:val="24"/>
                <w:lang w:val="en-US"/>
              </w:rPr>
            </w:pPr>
            <w:proofErr w:type="spellStart"/>
            <w:r w:rsidRPr="003A3099">
              <w:rPr>
                <w:sz w:val="24"/>
                <w:szCs w:val="24"/>
                <w:lang w:val="de-DE"/>
              </w:rPr>
              <w:t>Uncommon</w:t>
            </w:r>
            <w:proofErr w:type="spellEnd"/>
            <w:r w:rsidRPr="003A3099">
              <w:rPr>
                <w:sz w:val="24"/>
                <w:szCs w:val="24"/>
                <w:lang w:val="de-DE"/>
              </w:rPr>
              <w:t xml:space="preserve">: </w:t>
            </w:r>
            <w:proofErr w:type="spellStart"/>
            <w:r w:rsidRPr="003A3099">
              <w:rPr>
                <w:sz w:val="24"/>
                <w:szCs w:val="24"/>
                <w:lang w:val="de-DE"/>
              </w:rPr>
              <w:t>hepatic</w:t>
            </w:r>
            <w:proofErr w:type="spellEnd"/>
            <w:r w:rsidRPr="003A3099">
              <w:rPr>
                <w:sz w:val="24"/>
                <w:szCs w:val="24"/>
                <w:lang w:val="de-DE"/>
              </w:rPr>
              <w:t xml:space="preserve"> </w:t>
            </w:r>
            <w:proofErr w:type="spellStart"/>
            <w:r w:rsidRPr="003A3099">
              <w:rPr>
                <w:sz w:val="24"/>
                <w:szCs w:val="24"/>
                <w:lang w:val="de-DE"/>
              </w:rPr>
              <w:t>enzymes</w:t>
            </w:r>
            <w:proofErr w:type="spellEnd"/>
            <w:r w:rsidRPr="003A3099">
              <w:rPr>
                <w:sz w:val="24"/>
                <w:szCs w:val="24"/>
                <w:lang w:val="de-DE"/>
              </w:rPr>
              <w:t xml:space="preserve"> </w:t>
            </w:r>
            <w:proofErr w:type="spellStart"/>
            <w:r w:rsidRPr="003A3099">
              <w:rPr>
                <w:sz w:val="24"/>
                <w:szCs w:val="24"/>
                <w:lang w:val="de-DE"/>
              </w:rPr>
              <w:t>increased</w:t>
            </w:r>
            <w:proofErr w:type="spellEnd"/>
          </w:p>
        </w:tc>
      </w:tr>
      <w:tr w:rsidR="00360DE0" w:rsidRPr="00567B29" w:rsidTr="00C55F31">
        <w:trPr>
          <w:trHeight w:val="20"/>
        </w:trPr>
        <w:tc>
          <w:tcPr>
            <w:tcW w:w="1665" w:type="pct"/>
            <w:tcBorders>
              <w:top w:val="single" w:sz="8" w:space="0" w:color="000000"/>
              <w:left w:val="single" w:sz="8" w:space="0" w:color="000000"/>
              <w:bottom w:val="single" w:sz="8" w:space="0" w:color="000000"/>
              <w:right w:val="single" w:sz="8" w:space="0" w:color="000000"/>
            </w:tcBorders>
            <w:hideMark/>
          </w:tcPr>
          <w:p w:rsidR="00360DE0" w:rsidRPr="00B23B00" w:rsidRDefault="00360DE0" w:rsidP="00C55F31">
            <w:pPr>
              <w:ind w:left="122"/>
              <w:rPr>
                <w:sz w:val="24"/>
                <w:szCs w:val="24"/>
                <w:lang w:val="en-US"/>
              </w:rPr>
            </w:pPr>
            <w:r w:rsidRPr="00B23B00">
              <w:rPr>
                <w:sz w:val="24"/>
                <w:szCs w:val="24"/>
                <w:lang w:val="en-US"/>
              </w:rPr>
              <w:t>Skin and subcutaneous tissue disorders</w:t>
            </w:r>
          </w:p>
        </w:tc>
        <w:tc>
          <w:tcPr>
            <w:tcW w:w="3335" w:type="pct"/>
            <w:tcBorders>
              <w:top w:val="single" w:sz="8" w:space="0" w:color="000000"/>
              <w:left w:val="single" w:sz="8" w:space="0" w:color="000000"/>
              <w:bottom w:val="single" w:sz="8" w:space="0" w:color="000000"/>
              <w:right w:val="single" w:sz="8" w:space="0" w:color="000000"/>
            </w:tcBorders>
            <w:hideMark/>
          </w:tcPr>
          <w:p w:rsidR="006E57A0" w:rsidRDefault="006E57A0" w:rsidP="006E57A0">
            <w:pPr>
              <w:pStyle w:val="TableParagraph"/>
              <w:spacing w:before="3" w:line="254" w:lineRule="exact"/>
              <w:ind w:left="100" w:right="56"/>
            </w:pPr>
            <w:r>
              <w:t xml:space="preserve">Common: dry skin, pruritus </w:t>
            </w:r>
          </w:p>
          <w:p w:rsidR="00360DE0" w:rsidRPr="006E57A0" w:rsidRDefault="006E57A0" w:rsidP="006E57A0">
            <w:pPr>
              <w:ind w:left="122"/>
              <w:rPr>
                <w:sz w:val="24"/>
                <w:szCs w:val="24"/>
                <w:lang w:val="en-US"/>
              </w:rPr>
            </w:pPr>
            <w:r w:rsidRPr="006E57A0">
              <w:rPr>
                <w:lang w:val="en-US"/>
              </w:rPr>
              <w:lastRenderedPageBreak/>
              <w:t>Not known</w:t>
            </w:r>
            <w:r w:rsidRPr="006E57A0">
              <w:rPr>
                <w:position w:val="9"/>
                <w:sz w:val="14"/>
                <w:lang w:val="en-US"/>
              </w:rPr>
              <w:t>*</w:t>
            </w:r>
            <w:r w:rsidRPr="006E57A0">
              <w:rPr>
                <w:lang w:val="en-US"/>
              </w:rPr>
              <w:t xml:space="preserve">: erythema </w:t>
            </w:r>
            <w:r w:rsidR="003A3099" w:rsidRPr="003A3099">
              <w:rPr>
                <w:lang w:val="en-US"/>
              </w:rPr>
              <w:t>multiforme, Stevens-Johnson syndrome, rash</w:t>
            </w:r>
          </w:p>
        </w:tc>
      </w:tr>
      <w:tr w:rsidR="00360DE0" w:rsidRPr="00567B29" w:rsidTr="00C55F31">
        <w:trPr>
          <w:trHeight w:val="20"/>
        </w:trPr>
        <w:tc>
          <w:tcPr>
            <w:tcW w:w="1665" w:type="pct"/>
            <w:tcBorders>
              <w:top w:val="single" w:sz="8" w:space="0" w:color="000000"/>
              <w:left w:val="single" w:sz="8" w:space="0" w:color="000000"/>
              <w:bottom w:val="single" w:sz="8" w:space="0" w:color="000000"/>
              <w:right w:val="single" w:sz="8" w:space="0" w:color="000000"/>
            </w:tcBorders>
            <w:hideMark/>
          </w:tcPr>
          <w:p w:rsidR="00360DE0" w:rsidRPr="00B23B00" w:rsidRDefault="00360DE0" w:rsidP="00C55F31">
            <w:pPr>
              <w:ind w:left="122"/>
              <w:rPr>
                <w:sz w:val="24"/>
                <w:szCs w:val="24"/>
                <w:lang w:val="en-US"/>
              </w:rPr>
            </w:pPr>
            <w:r w:rsidRPr="00B23B00">
              <w:rPr>
                <w:sz w:val="24"/>
                <w:szCs w:val="24"/>
                <w:lang w:val="en-US"/>
              </w:rPr>
              <w:lastRenderedPageBreak/>
              <w:t>Musculoskeletal and connective tissue disorders</w:t>
            </w:r>
          </w:p>
        </w:tc>
        <w:tc>
          <w:tcPr>
            <w:tcW w:w="3335" w:type="pct"/>
            <w:tcBorders>
              <w:top w:val="single" w:sz="8" w:space="0" w:color="000000"/>
              <w:left w:val="single" w:sz="8" w:space="0" w:color="000000"/>
              <w:bottom w:val="single" w:sz="8" w:space="0" w:color="000000"/>
              <w:right w:val="single" w:sz="8" w:space="0" w:color="000000"/>
            </w:tcBorders>
            <w:hideMark/>
          </w:tcPr>
          <w:p w:rsidR="006E57A0" w:rsidRDefault="006E57A0" w:rsidP="006E57A0">
            <w:pPr>
              <w:pStyle w:val="TableParagraph"/>
              <w:spacing w:before="0" w:line="245" w:lineRule="exact"/>
              <w:ind w:left="100" w:right="56"/>
            </w:pPr>
            <w:r>
              <w:t>Very common: fractures</w:t>
            </w:r>
            <w:r>
              <w:rPr>
                <w:position w:val="9"/>
                <w:sz w:val="14"/>
              </w:rPr>
              <w:t>‡</w:t>
            </w:r>
          </w:p>
          <w:p w:rsidR="00360DE0" w:rsidRPr="006E57A0" w:rsidRDefault="006E57A0" w:rsidP="006E57A0">
            <w:pPr>
              <w:ind w:left="122"/>
              <w:rPr>
                <w:sz w:val="24"/>
                <w:szCs w:val="24"/>
                <w:lang w:val="en-US"/>
              </w:rPr>
            </w:pPr>
            <w:r w:rsidRPr="006E57A0">
              <w:rPr>
                <w:lang w:val="en-US"/>
              </w:rPr>
              <w:t>Not known</w:t>
            </w:r>
            <w:r w:rsidRPr="006E57A0">
              <w:rPr>
                <w:position w:val="9"/>
                <w:sz w:val="14"/>
                <w:lang w:val="en-US"/>
              </w:rPr>
              <w:t>*</w:t>
            </w:r>
            <w:r w:rsidRPr="006E57A0">
              <w:rPr>
                <w:lang w:val="en-US"/>
              </w:rPr>
              <w:t>: myalgia, muscle spasms, muscular weakness, back</w:t>
            </w:r>
            <w:r w:rsidR="007B5D05">
              <w:rPr>
                <w:lang w:val="en-US"/>
              </w:rPr>
              <w:t xml:space="preserve"> pain</w:t>
            </w:r>
          </w:p>
        </w:tc>
      </w:tr>
      <w:tr w:rsidR="00360DE0" w:rsidRPr="00567B29" w:rsidTr="00C55F31">
        <w:trPr>
          <w:trHeight w:val="20"/>
        </w:trPr>
        <w:tc>
          <w:tcPr>
            <w:tcW w:w="1665" w:type="pct"/>
            <w:tcBorders>
              <w:top w:val="single" w:sz="8" w:space="0" w:color="000000"/>
              <w:left w:val="single" w:sz="8" w:space="0" w:color="000000"/>
              <w:bottom w:val="single" w:sz="8" w:space="0" w:color="000000"/>
              <w:right w:val="single" w:sz="8" w:space="0" w:color="000000"/>
            </w:tcBorders>
            <w:hideMark/>
          </w:tcPr>
          <w:p w:rsidR="00360DE0" w:rsidRPr="00B23B00" w:rsidRDefault="00360DE0" w:rsidP="00C55F31">
            <w:pPr>
              <w:ind w:left="122"/>
              <w:rPr>
                <w:sz w:val="24"/>
                <w:szCs w:val="24"/>
                <w:lang w:val="en-US"/>
              </w:rPr>
            </w:pPr>
            <w:r w:rsidRPr="00B23B00">
              <w:rPr>
                <w:sz w:val="24"/>
                <w:szCs w:val="24"/>
                <w:lang w:val="en-US"/>
              </w:rPr>
              <w:t>Reproductive system and breast disorder</w:t>
            </w:r>
          </w:p>
        </w:tc>
        <w:tc>
          <w:tcPr>
            <w:tcW w:w="3335" w:type="pct"/>
            <w:tcBorders>
              <w:top w:val="single" w:sz="8" w:space="0" w:color="000000"/>
              <w:left w:val="single" w:sz="8" w:space="0" w:color="000000"/>
              <w:bottom w:val="single" w:sz="8" w:space="0" w:color="000000"/>
              <w:right w:val="single" w:sz="8" w:space="0" w:color="000000"/>
            </w:tcBorders>
            <w:hideMark/>
          </w:tcPr>
          <w:p w:rsidR="00360DE0" w:rsidRPr="003A3099" w:rsidRDefault="00360DE0" w:rsidP="00C55F31">
            <w:pPr>
              <w:ind w:left="122"/>
              <w:rPr>
                <w:sz w:val="24"/>
                <w:szCs w:val="24"/>
                <w:lang w:val="en-US"/>
              </w:rPr>
            </w:pPr>
            <w:r w:rsidRPr="003A3099">
              <w:rPr>
                <w:sz w:val="24"/>
                <w:szCs w:val="24"/>
                <w:lang w:val="en-US"/>
              </w:rPr>
              <w:t xml:space="preserve">Common: </w:t>
            </w:r>
            <w:proofErr w:type="spellStart"/>
            <w:r w:rsidR="003A3099" w:rsidRPr="003A3099">
              <w:rPr>
                <w:sz w:val="24"/>
                <w:szCs w:val="24"/>
                <w:lang w:val="en-US"/>
              </w:rPr>
              <w:t>gynaecomastia</w:t>
            </w:r>
            <w:proofErr w:type="spellEnd"/>
            <w:r w:rsidR="003A3099" w:rsidRPr="003A3099">
              <w:rPr>
                <w:sz w:val="24"/>
                <w:szCs w:val="24"/>
                <w:lang w:val="en-US"/>
              </w:rPr>
              <w:t>, nipple pain</w:t>
            </w:r>
            <w:r w:rsidR="003A3099" w:rsidRPr="003A3099">
              <w:rPr>
                <w:sz w:val="24"/>
                <w:szCs w:val="24"/>
                <w:vertAlign w:val="superscript"/>
                <w:lang w:val="en-US"/>
              </w:rPr>
              <w:t>#</w:t>
            </w:r>
            <w:r w:rsidR="003A3099" w:rsidRPr="003A3099">
              <w:rPr>
                <w:sz w:val="24"/>
                <w:szCs w:val="24"/>
                <w:lang w:val="en-US"/>
              </w:rPr>
              <w:t>, breast tenderness</w:t>
            </w:r>
            <w:r w:rsidR="003A3099" w:rsidRPr="003A3099">
              <w:rPr>
                <w:sz w:val="24"/>
                <w:szCs w:val="24"/>
                <w:vertAlign w:val="superscript"/>
                <w:lang w:val="en-US"/>
              </w:rPr>
              <w:t>#</w:t>
            </w:r>
          </w:p>
        </w:tc>
      </w:tr>
      <w:tr w:rsidR="00360DE0" w:rsidRPr="00B23B00" w:rsidTr="00C55F31">
        <w:trPr>
          <w:trHeight w:val="20"/>
        </w:trPr>
        <w:tc>
          <w:tcPr>
            <w:tcW w:w="1665" w:type="pct"/>
            <w:tcBorders>
              <w:top w:val="single" w:sz="8" w:space="0" w:color="000000"/>
              <w:left w:val="single" w:sz="8" w:space="0" w:color="000000"/>
              <w:bottom w:val="single" w:sz="8" w:space="0" w:color="000000"/>
              <w:right w:val="single" w:sz="8" w:space="0" w:color="000000"/>
            </w:tcBorders>
            <w:hideMark/>
          </w:tcPr>
          <w:p w:rsidR="00360DE0" w:rsidRPr="00B23B00" w:rsidRDefault="00360DE0" w:rsidP="00C55F31">
            <w:pPr>
              <w:ind w:left="122"/>
              <w:rPr>
                <w:sz w:val="24"/>
                <w:szCs w:val="24"/>
                <w:lang w:val="en-US"/>
              </w:rPr>
            </w:pPr>
            <w:r w:rsidRPr="00B23B00">
              <w:rPr>
                <w:sz w:val="24"/>
                <w:szCs w:val="24"/>
                <w:lang w:val="en-US"/>
              </w:rPr>
              <w:t>General disorders and administration site conditions</w:t>
            </w:r>
          </w:p>
        </w:tc>
        <w:tc>
          <w:tcPr>
            <w:tcW w:w="3335" w:type="pct"/>
            <w:tcBorders>
              <w:top w:val="single" w:sz="8" w:space="0" w:color="000000"/>
              <w:left w:val="single" w:sz="8" w:space="0" w:color="000000"/>
              <w:bottom w:val="single" w:sz="8" w:space="0" w:color="000000"/>
              <w:right w:val="single" w:sz="8" w:space="0" w:color="000000"/>
            </w:tcBorders>
            <w:hideMark/>
          </w:tcPr>
          <w:p w:rsidR="00360DE0" w:rsidRPr="00B23B00" w:rsidRDefault="00360DE0" w:rsidP="00C55F31">
            <w:pPr>
              <w:ind w:left="122"/>
              <w:rPr>
                <w:sz w:val="24"/>
                <w:szCs w:val="24"/>
              </w:rPr>
            </w:pPr>
            <w:proofErr w:type="spellStart"/>
            <w:r w:rsidRPr="00B23B00">
              <w:rPr>
                <w:sz w:val="24"/>
                <w:szCs w:val="24"/>
              </w:rPr>
              <w:t>Very</w:t>
            </w:r>
            <w:proofErr w:type="spellEnd"/>
            <w:r w:rsidRPr="00B23B00">
              <w:rPr>
                <w:sz w:val="24"/>
                <w:szCs w:val="24"/>
              </w:rPr>
              <w:t xml:space="preserve"> common: </w:t>
            </w:r>
            <w:proofErr w:type="spellStart"/>
            <w:r w:rsidRPr="00B23B00">
              <w:rPr>
                <w:sz w:val="24"/>
                <w:szCs w:val="24"/>
              </w:rPr>
              <w:t>asthenia</w:t>
            </w:r>
            <w:proofErr w:type="spellEnd"/>
            <w:r w:rsidRPr="00B23B00">
              <w:rPr>
                <w:sz w:val="24"/>
                <w:szCs w:val="24"/>
              </w:rPr>
              <w:t xml:space="preserve">, </w:t>
            </w:r>
            <w:proofErr w:type="spellStart"/>
            <w:r w:rsidRPr="00B23B00">
              <w:rPr>
                <w:sz w:val="24"/>
                <w:szCs w:val="24"/>
              </w:rPr>
              <w:t>fatigue</w:t>
            </w:r>
            <w:proofErr w:type="spellEnd"/>
          </w:p>
        </w:tc>
      </w:tr>
      <w:tr w:rsidR="00360DE0" w:rsidRPr="00B23B00" w:rsidTr="00C55F31">
        <w:trPr>
          <w:trHeight w:val="20"/>
        </w:trPr>
        <w:tc>
          <w:tcPr>
            <w:tcW w:w="1665" w:type="pct"/>
            <w:tcBorders>
              <w:top w:val="single" w:sz="8" w:space="0" w:color="000000"/>
              <w:left w:val="single" w:sz="8" w:space="0" w:color="000000"/>
              <w:bottom w:val="single" w:sz="8" w:space="0" w:color="000000"/>
              <w:right w:val="single" w:sz="8" w:space="0" w:color="000000"/>
            </w:tcBorders>
            <w:hideMark/>
          </w:tcPr>
          <w:p w:rsidR="00360DE0" w:rsidRPr="00B23B00" w:rsidRDefault="00360DE0" w:rsidP="00C55F31">
            <w:pPr>
              <w:ind w:left="122"/>
              <w:rPr>
                <w:sz w:val="24"/>
                <w:szCs w:val="24"/>
                <w:lang w:val="en-US"/>
              </w:rPr>
            </w:pPr>
            <w:r w:rsidRPr="00B23B00">
              <w:rPr>
                <w:sz w:val="24"/>
                <w:szCs w:val="24"/>
                <w:lang w:val="en-US"/>
              </w:rPr>
              <w:t>Injury, poisoning and procedural complications</w:t>
            </w:r>
          </w:p>
        </w:tc>
        <w:tc>
          <w:tcPr>
            <w:tcW w:w="3335" w:type="pct"/>
            <w:tcBorders>
              <w:top w:val="single" w:sz="8" w:space="0" w:color="000000"/>
              <w:left w:val="single" w:sz="8" w:space="0" w:color="000000"/>
              <w:bottom w:val="single" w:sz="8" w:space="0" w:color="000000"/>
              <w:right w:val="single" w:sz="8" w:space="0" w:color="000000"/>
            </w:tcBorders>
            <w:hideMark/>
          </w:tcPr>
          <w:p w:rsidR="00360DE0" w:rsidRPr="00B23B00" w:rsidRDefault="00360DE0" w:rsidP="00C55F31">
            <w:pPr>
              <w:ind w:left="122"/>
              <w:rPr>
                <w:sz w:val="24"/>
                <w:szCs w:val="24"/>
              </w:rPr>
            </w:pPr>
            <w:proofErr w:type="spellStart"/>
            <w:r w:rsidRPr="00B23B00">
              <w:rPr>
                <w:sz w:val="24"/>
                <w:szCs w:val="24"/>
              </w:rPr>
              <w:t>Very</w:t>
            </w:r>
            <w:proofErr w:type="spellEnd"/>
            <w:r w:rsidRPr="00B23B00">
              <w:rPr>
                <w:sz w:val="24"/>
                <w:szCs w:val="24"/>
              </w:rPr>
              <w:t xml:space="preserve"> common: </w:t>
            </w:r>
            <w:proofErr w:type="spellStart"/>
            <w:r w:rsidRPr="00B23B00">
              <w:rPr>
                <w:sz w:val="24"/>
                <w:szCs w:val="24"/>
              </w:rPr>
              <w:t>fall</w:t>
            </w:r>
            <w:proofErr w:type="spellEnd"/>
          </w:p>
        </w:tc>
      </w:tr>
    </w:tbl>
    <w:p w:rsidR="006E57A0" w:rsidRPr="006E57A0" w:rsidRDefault="006E57A0" w:rsidP="006E57A0">
      <w:pPr>
        <w:ind w:left="709"/>
        <w:rPr>
          <w:sz w:val="18"/>
          <w:lang w:val="en-US"/>
        </w:rPr>
      </w:pPr>
      <w:r w:rsidRPr="006E57A0">
        <w:rPr>
          <w:sz w:val="18"/>
          <w:lang w:val="en-US"/>
        </w:rPr>
        <w:t>*  Spontaneous reports from post-marketing experience.</w:t>
      </w:r>
    </w:p>
    <w:p w:rsidR="006E57A0" w:rsidRDefault="006E57A0" w:rsidP="006E57A0">
      <w:pPr>
        <w:spacing w:before="119"/>
        <w:ind w:left="851" w:right="404" w:hanging="178"/>
        <w:rPr>
          <w:sz w:val="18"/>
          <w:lang w:val="en-US"/>
        </w:rPr>
      </w:pPr>
      <w:r w:rsidRPr="006E57A0">
        <w:rPr>
          <w:sz w:val="18"/>
          <w:lang w:val="en-US"/>
        </w:rPr>
        <w:t>¥ As evaluated by narrow SMQs of ‘Convulsions’ including convulsion, grand mal convulsion, complex partial seizures, partial seizures, and status epilepticus. This includes rare cases of seizure with complications leading to death.</w:t>
      </w:r>
    </w:p>
    <w:p w:rsidR="006E57A0" w:rsidRPr="006E57A0" w:rsidRDefault="006E57A0" w:rsidP="006E57A0">
      <w:pPr>
        <w:spacing w:before="119"/>
        <w:ind w:left="851" w:right="404" w:hanging="178"/>
        <w:rPr>
          <w:sz w:val="18"/>
          <w:lang w:val="en-US"/>
        </w:rPr>
      </w:pPr>
    </w:p>
    <w:p w:rsidR="003A3099" w:rsidRDefault="00360DE0" w:rsidP="003A3099">
      <w:pPr>
        <w:ind w:left="851" w:hanging="142"/>
        <w:rPr>
          <w:sz w:val="20"/>
          <w:lang w:val="en-US"/>
        </w:rPr>
      </w:pPr>
      <w:r w:rsidRPr="00105F96">
        <w:rPr>
          <w:sz w:val="20"/>
          <w:lang w:val="en-US"/>
        </w:rPr>
        <w:t xml:space="preserve">† As evaluated by narrow SMQs of ‘Myocardial Infarction’ and ‘Other Ischemic Heart Disease’ including the following preferred terms observed in at least two patients in randomized placebo-controlled phase 3 studies: angina pectoris, coronary artery disease, myocardial infarctions, acute myocardial infarction, acute coronary syndrome, angina unstable, myocardial </w:t>
      </w:r>
      <w:proofErr w:type="spellStart"/>
      <w:r w:rsidRPr="00105F96">
        <w:rPr>
          <w:sz w:val="20"/>
          <w:lang w:val="en-US"/>
        </w:rPr>
        <w:t>ischaemia</w:t>
      </w:r>
      <w:proofErr w:type="spellEnd"/>
      <w:r w:rsidRPr="00105F96">
        <w:rPr>
          <w:sz w:val="20"/>
          <w:lang w:val="en-US"/>
        </w:rPr>
        <w:t>, and arteriosclerosis coronary artery.</w:t>
      </w:r>
    </w:p>
    <w:p w:rsidR="003A3099" w:rsidRDefault="003A3099" w:rsidP="003A3099">
      <w:pPr>
        <w:ind w:left="851" w:hanging="142"/>
        <w:rPr>
          <w:sz w:val="20"/>
          <w:lang w:val="en-US"/>
        </w:rPr>
      </w:pPr>
      <w:proofErr w:type="gramStart"/>
      <w:r w:rsidRPr="003A3099">
        <w:rPr>
          <w:sz w:val="20"/>
          <w:lang w:val="en-US"/>
        </w:rPr>
        <w:t>‡  Includes</w:t>
      </w:r>
      <w:proofErr w:type="gramEnd"/>
      <w:r w:rsidRPr="003A3099">
        <w:rPr>
          <w:sz w:val="20"/>
          <w:lang w:val="en-US"/>
        </w:rPr>
        <w:t xml:space="preserve"> all preferred terms with the word ‘fracture’ in bones.</w:t>
      </w:r>
    </w:p>
    <w:p w:rsidR="003A3099" w:rsidRPr="003A3099" w:rsidRDefault="003A3099" w:rsidP="003A3099">
      <w:pPr>
        <w:ind w:left="851" w:hanging="142"/>
        <w:rPr>
          <w:sz w:val="20"/>
          <w:lang w:val="en-US"/>
        </w:rPr>
      </w:pPr>
    </w:p>
    <w:p w:rsidR="003A3099" w:rsidRPr="003A3099" w:rsidRDefault="003A3099" w:rsidP="003A3099">
      <w:pPr>
        <w:ind w:left="851" w:hanging="142"/>
        <w:rPr>
          <w:sz w:val="20"/>
          <w:lang w:val="en-US"/>
        </w:rPr>
      </w:pPr>
      <w:r w:rsidRPr="003A3099">
        <w:rPr>
          <w:sz w:val="20"/>
          <w:lang w:val="en-US"/>
        </w:rPr>
        <w:t># Adverse reactions for enzalutamide as monotherapy.</w:t>
      </w:r>
    </w:p>
    <w:p w:rsidR="00360DE0" w:rsidRPr="00B23B00" w:rsidRDefault="00360DE0" w:rsidP="00DE37FA">
      <w:pPr>
        <w:ind w:left="851"/>
        <w:rPr>
          <w:sz w:val="24"/>
          <w:szCs w:val="24"/>
          <w:lang w:val="en-US"/>
        </w:rPr>
      </w:pPr>
    </w:p>
    <w:p w:rsidR="00360DE0" w:rsidRPr="00B23B00" w:rsidRDefault="00360DE0" w:rsidP="00DE37FA">
      <w:pPr>
        <w:ind w:left="851"/>
        <w:rPr>
          <w:sz w:val="24"/>
          <w:szCs w:val="24"/>
          <w:u w:val="single"/>
          <w:lang w:val="en-US"/>
        </w:rPr>
      </w:pPr>
      <w:r w:rsidRPr="00B23B00">
        <w:rPr>
          <w:sz w:val="24"/>
          <w:szCs w:val="24"/>
          <w:u w:val="single"/>
          <w:lang w:val="en-US"/>
        </w:rPr>
        <w:t>Description of selected adverse reactions</w:t>
      </w:r>
    </w:p>
    <w:p w:rsidR="007235E8" w:rsidRPr="00B23B00" w:rsidRDefault="007235E8" w:rsidP="00DE37FA">
      <w:pPr>
        <w:ind w:left="851"/>
        <w:rPr>
          <w:sz w:val="24"/>
          <w:szCs w:val="24"/>
          <w:lang w:val="en-US"/>
        </w:rPr>
      </w:pPr>
    </w:p>
    <w:p w:rsidR="00087D3A" w:rsidRPr="003A3099" w:rsidRDefault="00087D3A" w:rsidP="00087D3A">
      <w:pPr>
        <w:spacing w:before="92" w:line="251" w:lineRule="exact"/>
        <w:ind w:left="111" w:firstLine="740"/>
        <w:rPr>
          <w:i/>
          <w:sz w:val="24"/>
          <w:szCs w:val="24"/>
          <w:lang w:val="en-US"/>
        </w:rPr>
      </w:pPr>
      <w:r w:rsidRPr="003A3099">
        <w:rPr>
          <w:i/>
          <w:sz w:val="24"/>
          <w:szCs w:val="24"/>
          <w:lang w:val="en-US"/>
        </w:rPr>
        <w:t>Seizure</w:t>
      </w:r>
    </w:p>
    <w:p w:rsidR="00087D3A" w:rsidRPr="003A3099" w:rsidRDefault="003A3099" w:rsidP="00087D3A">
      <w:pPr>
        <w:pStyle w:val="Brdtekst"/>
        <w:ind w:left="851" w:right="354"/>
        <w:rPr>
          <w:sz w:val="24"/>
          <w:szCs w:val="24"/>
        </w:rPr>
      </w:pPr>
      <w:r w:rsidRPr="003A3099">
        <w:rPr>
          <w:sz w:val="24"/>
          <w:szCs w:val="24"/>
        </w:rPr>
        <w:t xml:space="preserve">In controlled clinical studies, 31 patients (0.6%) experienced a seizure out of 5110 patients treated with a daily dose of 160 mg enzalutamide, whereas four patients (0.1%) </w:t>
      </w:r>
      <w:r w:rsidR="00087D3A" w:rsidRPr="003A3099">
        <w:rPr>
          <w:sz w:val="24"/>
          <w:szCs w:val="24"/>
        </w:rPr>
        <w:t>receiving placebo and one patient (0.3%) receiving bicalutamide, experienced a seizure. Dose appears to be an important predictor of the risk of seizure, as reflected by preclinical data, and data from a dose-escalation study. In the controlled clinical studies, patients with prior seizure or risk factors for seizure were excluded.</w:t>
      </w:r>
    </w:p>
    <w:p w:rsidR="00360DE0" w:rsidRPr="00B23B00" w:rsidRDefault="00360DE0" w:rsidP="00DE37FA">
      <w:pPr>
        <w:ind w:left="851"/>
        <w:rPr>
          <w:sz w:val="24"/>
          <w:szCs w:val="24"/>
          <w:lang w:val="en-US"/>
        </w:rPr>
      </w:pPr>
    </w:p>
    <w:p w:rsidR="00360DE0" w:rsidRPr="00B23B00" w:rsidRDefault="00360DE0" w:rsidP="00DE37FA">
      <w:pPr>
        <w:ind w:left="851"/>
        <w:rPr>
          <w:sz w:val="24"/>
          <w:szCs w:val="24"/>
          <w:lang w:val="en-US"/>
        </w:rPr>
      </w:pPr>
      <w:r w:rsidRPr="00B23B00">
        <w:rPr>
          <w:sz w:val="24"/>
          <w:szCs w:val="24"/>
          <w:lang w:val="en-US"/>
        </w:rPr>
        <w:t>In the 9785-CL-0403 (UPWARD) single-arm trial to assess incidence of seizure in patients with predisposing factors for seizure (whereof 1.6</w:t>
      </w:r>
      <w:r w:rsidR="00B23B00">
        <w:rPr>
          <w:sz w:val="24"/>
          <w:szCs w:val="24"/>
          <w:lang w:val="en-US"/>
        </w:rPr>
        <w:t xml:space="preserve"> %</w:t>
      </w:r>
      <w:r w:rsidRPr="00B23B00">
        <w:rPr>
          <w:sz w:val="24"/>
          <w:szCs w:val="24"/>
          <w:lang w:val="en-US"/>
        </w:rPr>
        <w:t xml:space="preserve"> had a history of seizures), 8 of 366 (2.2</w:t>
      </w:r>
      <w:r w:rsidR="00B23B00">
        <w:rPr>
          <w:sz w:val="24"/>
          <w:szCs w:val="24"/>
          <w:lang w:val="en-US"/>
        </w:rPr>
        <w:t xml:space="preserve"> %</w:t>
      </w:r>
      <w:r w:rsidRPr="00B23B00">
        <w:rPr>
          <w:sz w:val="24"/>
          <w:szCs w:val="24"/>
          <w:lang w:val="en-US"/>
        </w:rPr>
        <w:t>) patients treated with enzalutamide experienced a seizure. The median duration of treatment was 9.3 months.</w:t>
      </w:r>
    </w:p>
    <w:p w:rsidR="00360DE0" w:rsidRPr="00B23B00" w:rsidRDefault="00360DE0" w:rsidP="00DE37FA">
      <w:pPr>
        <w:ind w:left="851"/>
        <w:rPr>
          <w:sz w:val="24"/>
          <w:szCs w:val="24"/>
          <w:lang w:val="en-US"/>
        </w:rPr>
      </w:pPr>
    </w:p>
    <w:p w:rsidR="00105F96" w:rsidRDefault="00087D3A" w:rsidP="00DE37FA">
      <w:pPr>
        <w:ind w:left="851"/>
        <w:rPr>
          <w:lang w:val="en-US"/>
        </w:rPr>
      </w:pPr>
      <w:r w:rsidRPr="00087D3A">
        <w:rPr>
          <w:lang w:val="en-US"/>
        </w:rPr>
        <w:t xml:space="preserve">The mechanism by which enzalutamide may lower the seizure threshold is not known but could be related to data from </w:t>
      </w:r>
      <w:r w:rsidRPr="00087D3A">
        <w:rPr>
          <w:i/>
          <w:lang w:val="en-US"/>
        </w:rPr>
        <w:t xml:space="preserve">in vitro </w:t>
      </w:r>
      <w:r w:rsidRPr="00087D3A">
        <w:rPr>
          <w:lang w:val="en-US"/>
        </w:rPr>
        <w:t>studies showing that enzalutamide and its active metabolite bind to and can inhibit the activity of the GABA-gated chloride channel.</w:t>
      </w:r>
    </w:p>
    <w:p w:rsidR="00087D3A" w:rsidRPr="00087D3A" w:rsidRDefault="00087D3A" w:rsidP="00DE37FA">
      <w:pPr>
        <w:ind w:left="851"/>
        <w:rPr>
          <w:sz w:val="24"/>
          <w:szCs w:val="24"/>
          <w:lang w:val="en-US"/>
        </w:rPr>
      </w:pPr>
    </w:p>
    <w:p w:rsidR="003A3099" w:rsidRPr="003A3099" w:rsidRDefault="003A3099" w:rsidP="003A3099">
      <w:pPr>
        <w:spacing w:line="251" w:lineRule="exact"/>
        <w:ind w:left="851"/>
        <w:rPr>
          <w:i/>
          <w:sz w:val="24"/>
          <w:szCs w:val="24"/>
          <w:lang w:val="en-US"/>
        </w:rPr>
      </w:pPr>
      <w:r w:rsidRPr="003A3099">
        <w:rPr>
          <w:i/>
          <w:sz w:val="24"/>
          <w:szCs w:val="24"/>
          <w:lang w:val="en-US"/>
        </w:rPr>
        <w:t>Ischemic Heart Disease</w:t>
      </w:r>
    </w:p>
    <w:p w:rsidR="003A3099" w:rsidRPr="003A3099" w:rsidRDefault="003A3099" w:rsidP="003A3099">
      <w:pPr>
        <w:pStyle w:val="Brdtekst"/>
        <w:ind w:left="851" w:right="203"/>
        <w:rPr>
          <w:sz w:val="24"/>
          <w:szCs w:val="24"/>
        </w:rPr>
      </w:pPr>
      <w:r w:rsidRPr="003A3099">
        <w:rPr>
          <w:sz w:val="24"/>
          <w:szCs w:val="24"/>
        </w:rPr>
        <w:t xml:space="preserve">In </w:t>
      </w:r>
      <w:proofErr w:type="spellStart"/>
      <w:r w:rsidRPr="003A3099">
        <w:rPr>
          <w:sz w:val="24"/>
          <w:szCs w:val="24"/>
        </w:rPr>
        <w:t>randomised</w:t>
      </w:r>
      <w:proofErr w:type="spellEnd"/>
      <w:r w:rsidRPr="003A3099">
        <w:rPr>
          <w:sz w:val="24"/>
          <w:szCs w:val="24"/>
        </w:rPr>
        <w:t xml:space="preserve"> placebo-controlled clinical studies, ischemic heart disease occurred in 3.5% of patients treated with enzalutamide plus ADT compared to 2% of patients treated with placebo plus ADT. Fourteen (0.4%) patients treated with enzalutamide plus ADT and 3 (0.1%) patients treated with placebo plus </w:t>
      </w:r>
      <w:proofErr w:type="gramStart"/>
      <w:r w:rsidRPr="003A3099">
        <w:rPr>
          <w:sz w:val="24"/>
          <w:szCs w:val="24"/>
        </w:rPr>
        <w:t>ADT  had</w:t>
      </w:r>
      <w:proofErr w:type="gramEnd"/>
      <w:r w:rsidRPr="003A3099">
        <w:rPr>
          <w:sz w:val="24"/>
          <w:szCs w:val="24"/>
        </w:rPr>
        <w:t xml:space="preserve"> an ischemic heart disease event that led to death.</w:t>
      </w:r>
    </w:p>
    <w:p w:rsidR="003A3099" w:rsidRPr="003A3099" w:rsidRDefault="003A3099" w:rsidP="003A3099">
      <w:pPr>
        <w:pStyle w:val="Brdtekst"/>
        <w:spacing w:before="1"/>
        <w:ind w:left="851"/>
        <w:rPr>
          <w:sz w:val="24"/>
          <w:szCs w:val="24"/>
        </w:rPr>
      </w:pPr>
    </w:p>
    <w:p w:rsidR="003A3099" w:rsidRPr="003A3099" w:rsidRDefault="003A3099" w:rsidP="003A3099">
      <w:pPr>
        <w:pStyle w:val="Brdtekst"/>
        <w:spacing w:before="1"/>
        <w:ind w:left="851"/>
        <w:rPr>
          <w:sz w:val="24"/>
          <w:szCs w:val="24"/>
        </w:rPr>
      </w:pPr>
      <w:r w:rsidRPr="003A3099">
        <w:rPr>
          <w:sz w:val="24"/>
          <w:szCs w:val="24"/>
        </w:rPr>
        <w:t xml:space="preserve">In the EMBARK study, ischemic heart disease occurred in 5.4% of patients treated with enzalutamide plus leuprolide and 9% of patients treated with enzalutamide as </w:t>
      </w:r>
      <w:r w:rsidRPr="003A3099">
        <w:rPr>
          <w:sz w:val="24"/>
          <w:szCs w:val="24"/>
        </w:rPr>
        <w:lastRenderedPageBreak/>
        <w:t>monotherapy. No patients treated with enzalutamide plus leuprolide and one (0.3%) patient treated with enzalutamide as monotherapy had an ischemic heart disease event that led to death.</w:t>
      </w:r>
    </w:p>
    <w:p w:rsidR="003A3099" w:rsidRPr="003A3099" w:rsidRDefault="003A3099" w:rsidP="003A3099">
      <w:pPr>
        <w:pStyle w:val="Brdtekst"/>
        <w:spacing w:before="1"/>
        <w:ind w:left="851"/>
        <w:rPr>
          <w:sz w:val="24"/>
          <w:szCs w:val="24"/>
        </w:rPr>
      </w:pPr>
    </w:p>
    <w:p w:rsidR="003A3099" w:rsidRPr="003A3099" w:rsidRDefault="003A3099" w:rsidP="003A3099">
      <w:pPr>
        <w:pStyle w:val="Brdtekst"/>
        <w:spacing w:before="1"/>
        <w:ind w:left="851"/>
        <w:rPr>
          <w:i/>
          <w:sz w:val="24"/>
          <w:szCs w:val="24"/>
        </w:rPr>
      </w:pPr>
      <w:proofErr w:type="spellStart"/>
      <w:r w:rsidRPr="003A3099">
        <w:rPr>
          <w:i/>
          <w:sz w:val="24"/>
          <w:szCs w:val="24"/>
        </w:rPr>
        <w:t>Gynaecomastia</w:t>
      </w:r>
      <w:proofErr w:type="spellEnd"/>
    </w:p>
    <w:p w:rsidR="003A3099" w:rsidRPr="003A3099" w:rsidRDefault="003A3099" w:rsidP="003A3099">
      <w:pPr>
        <w:pStyle w:val="Brdtekst"/>
        <w:spacing w:before="1"/>
        <w:ind w:left="851"/>
        <w:rPr>
          <w:sz w:val="24"/>
          <w:szCs w:val="24"/>
        </w:rPr>
      </w:pPr>
      <w:r w:rsidRPr="003A3099">
        <w:rPr>
          <w:sz w:val="24"/>
          <w:szCs w:val="24"/>
        </w:rPr>
        <w:t xml:space="preserve">In the EMBARK study, </w:t>
      </w:r>
      <w:proofErr w:type="spellStart"/>
      <w:r w:rsidRPr="003A3099">
        <w:rPr>
          <w:sz w:val="24"/>
          <w:szCs w:val="24"/>
        </w:rPr>
        <w:t>gynaecomastia</w:t>
      </w:r>
      <w:proofErr w:type="spellEnd"/>
      <w:r w:rsidRPr="003A3099">
        <w:rPr>
          <w:sz w:val="24"/>
          <w:szCs w:val="24"/>
        </w:rPr>
        <w:t xml:space="preserve"> (all grades) was observed in 29 of 353 patients (8.2%) who</w:t>
      </w:r>
    </w:p>
    <w:p w:rsidR="003A3099" w:rsidRPr="003A3099" w:rsidRDefault="003A3099" w:rsidP="003A3099">
      <w:pPr>
        <w:pStyle w:val="Brdtekst"/>
        <w:spacing w:before="1"/>
        <w:ind w:left="851"/>
        <w:rPr>
          <w:sz w:val="24"/>
          <w:szCs w:val="24"/>
        </w:rPr>
      </w:pPr>
      <w:r w:rsidRPr="003A3099">
        <w:rPr>
          <w:sz w:val="24"/>
          <w:szCs w:val="24"/>
        </w:rPr>
        <w:t xml:space="preserve">were treated with enzalutamide plus leuprolide and 159 of 354 patients (44.9%) who were treated with enzalutamide as monotherapy. Grade 3 or higher </w:t>
      </w:r>
      <w:proofErr w:type="spellStart"/>
      <w:r w:rsidRPr="003A3099">
        <w:rPr>
          <w:sz w:val="24"/>
          <w:szCs w:val="24"/>
        </w:rPr>
        <w:t>gynaecomastia</w:t>
      </w:r>
      <w:proofErr w:type="spellEnd"/>
      <w:r w:rsidRPr="003A3099">
        <w:rPr>
          <w:sz w:val="24"/>
          <w:szCs w:val="24"/>
        </w:rPr>
        <w:t xml:space="preserve"> was not observed in any patients who were treated with enzalutamide plus leuprolide, and was observed in 3 patients (0.8%) who were treated with enzalutamide as monotherapy.</w:t>
      </w:r>
    </w:p>
    <w:p w:rsidR="003A3099" w:rsidRPr="003A3099" w:rsidRDefault="003A3099" w:rsidP="003A3099">
      <w:pPr>
        <w:pStyle w:val="Brdtekst"/>
        <w:spacing w:before="1"/>
        <w:ind w:left="851"/>
        <w:rPr>
          <w:sz w:val="24"/>
          <w:szCs w:val="24"/>
        </w:rPr>
      </w:pPr>
    </w:p>
    <w:p w:rsidR="003A3099" w:rsidRPr="003A3099" w:rsidRDefault="003A3099" w:rsidP="003A3099">
      <w:pPr>
        <w:pStyle w:val="Brdtekst"/>
        <w:spacing w:before="1"/>
        <w:ind w:left="851"/>
        <w:rPr>
          <w:i/>
          <w:iCs/>
          <w:sz w:val="24"/>
          <w:szCs w:val="24"/>
        </w:rPr>
      </w:pPr>
      <w:r w:rsidRPr="003A3099">
        <w:rPr>
          <w:i/>
          <w:iCs/>
          <w:sz w:val="24"/>
          <w:szCs w:val="24"/>
        </w:rPr>
        <w:t>Nipple pain</w:t>
      </w:r>
    </w:p>
    <w:p w:rsidR="003A3099" w:rsidRPr="003A3099" w:rsidRDefault="003A3099" w:rsidP="003A3099">
      <w:pPr>
        <w:pStyle w:val="Brdtekst"/>
        <w:spacing w:before="1"/>
        <w:ind w:left="851"/>
        <w:rPr>
          <w:sz w:val="24"/>
          <w:szCs w:val="24"/>
        </w:rPr>
      </w:pPr>
      <w:r w:rsidRPr="003A3099">
        <w:rPr>
          <w:sz w:val="24"/>
          <w:szCs w:val="24"/>
        </w:rPr>
        <w:t>In the EMBARK study, nipple pain (all grades) was observed in 11 of 353 patients (3.1%) who were</w:t>
      </w:r>
    </w:p>
    <w:p w:rsidR="003A3099" w:rsidRPr="003A3099" w:rsidRDefault="003A3099" w:rsidP="003A3099">
      <w:pPr>
        <w:pStyle w:val="Brdtekst"/>
        <w:spacing w:before="1"/>
        <w:ind w:left="851"/>
        <w:rPr>
          <w:sz w:val="24"/>
          <w:szCs w:val="24"/>
        </w:rPr>
      </w:pPr>
      <w:r w:rsidRPr="003A3099">
        <w:rPr>
          <w:sz w:val="24"/>
          <w:szCs w:val="24"/>
        </w:rPr>
        <w:t>treated with enzalutamide plus leuprolide and 54 of 354 patients (15.3%) who were treated with</w:t>
      </w:r>
    </w:p>
    <w:p w:rsidR="003A3099" w:rsidRPr="003A3099" w:rsidRDefault="003A3099" w:rsidP="003A3099">
      <w:pPr>
        <w:pStyle w:val="Brdtekst"/>
        <w:spacing w:before="1"/>
        <w:ind w:left="851"/>
        <w:rPr>
          <w:sz w:val="24"/>
          <w:szCs w:val="24"/>
        </w:rPr>
      </w:pPr>
      <w:r w:rsidRPr="003A3099">
        <w:rPr>
          <w:sz w:val="24"/>
          <w:szCs w:val="24"/>
        </w:rPr>
        <w:t>enzalutamide as monotherapy. Grade 3 or higher nipple pain was not observed in any patients who</w:t>
      </w:r>
    </w:p>
    <w:p w:rsidR="003A3099" w:rsidRPr="003A3099" w:rsidRDefault="003A3099" w:rsidP="003A3099">
      <w:pPr>
        <w:pStyle w:val="Brdtekst"/>
        <w:spacing w:before="1"/>
        <w:ind w:left="851"/>
        <w:rPr>
          <w:sz w:val="24"/>
          <w:szCs w:val="24"/>
        </w:rPr>
      </w:pPr>
      <w:r w:rsidRPr="003A3099">
        <w:rPr>
          <w:sz w:val="24"/>
          <w:szCs w:val="24"/>
        </w:rPr>
        <w:t>were treated with enzalutamide plus leuprolide or with enzalutamide as monotherapy.</w:t>
      </w:r>
    </w:p>
    <w:p w:rsidR="003A3099" w:rsidRPr="003A3099" w:rsidRDefault="003A3099" w:rsidP="003A3099">
      <w:pPr>
        <w:pStyle w:val="Brdtekst"/>
        <w:spacing w:before="1"/>
        <w:ind w:left="851"/>
        <w:rPr>
          <w:sz w:val="24"/>
          <w:szCs w:val="24"/>
        </w:rPr>
      </w:pPr>
    </w:p>
    <w:p w:rsidR="003A3099" w:rsidRPr="003A3099" w:rsidRDefault="003A3099" w:rsidP="003A3099">
      <w:pPr>
        <w:pStyle w:val="Brdtekst"/>
        <w:spacing w:before="1"/>
        <w:ind w:left="851"/>
        <w:rPr>
          <w:i/>
          <w:iCs/>
          <w:sz w:val="24"/>
          <w:szCs w:val="24"/>
        </w:rPr>
      </w:pPr>
      <w:r w:rsidRPr="003A3099">
        <w:rPr>
          <w:i/>
          <w:iCs/>
          <w:sz w:val="24"/>
          <w:szCs w:val="24"/>
        </w:rPr>
        <w:t>Breast tenderness</w:t>
      </w:r>
    </w:p>
    <w:p w:rsidR="003A3099" w:rsidRPr="003A3099" w:rsidRDefault="003A3099" w:rsidP="003A3099">
      <w:pPr>
        <w:pStyle w:val="Brdtekst"/>
        <w:spacing w:before="1"/>
        <w:ind w:left="851"/>
        <w:rPr>
          <w:sz w:val="24"/>
          <w:szCs w:val="24"/>
        </w:rPr>
      </w:pPr>
      <w:r w:rsidRPr="003A3099">
        <w:rPr>
          <w:sz w:val="24"/>
          <w:szCs w:val="24"/>
        </w:rPr>
        <w:t>In the EMBARK study, breast tenderness (all grades) was observed in 5 of 353 patients (1.4%) who</w:t>
      </w:r>
    </w:p>
    <w:p w:rsidR="003A3099" w:rsidRPr="003A3099" w:rsidRDefault="003A3099" w:rsidP="003A3099">
      <w:pPr>
        <w:pStyle w:val="Brdtekst"/>
        <w:spacing w:before="1"/>
        <w:ind w:left="851"/>
        <w:rPr>
          <w:sz w:val="24"/>
          <w:szCs w:val="24"/>
        </w:rPr>
      </w:pPr>
      <w:r w:rsidRPr="003A3099">
        <w:rPr>
          <w:sz w:val="24"/>
          <w:szCs w:val="24"/>
        </w:rPr>
        <w:t>were treated with enzalutamide plus leuprolide and 51 of 354 patients (14.4%) who were treated with</w:t>
      </w:r>
    </w:p>
    <w:p w:rsidR="003A3099" w:rsidRPr="003A3099" w:rsidRDefault="003A3099" w:rsidP="003A3099">
      <w:pPr>
        <w:pStyle w:val="Brdtekst"/>
        <w:spacing w:before="1"/>
        <w:ind w:left="851"/>
        <w:rPr>
          <w:sz w:val="24"/>
          <w:szCs w:val="24"/>
        </w:rPr>
      </w:pPr>
      <w:r w:rsidRPr="003A3099">
        <w:rPr>
          <w:sz w:val="24"/>
          <w:szCs w:val="24"/>
        </w:rPr>
        <w:t>enzalutamide as monotherapy. Grade 3 or higher breast tenderness was not observed in any patients</w:t>
      </w:r>
    </w:p>
    <w:p w:rsidR="003A3099" w:rsidRPr="003A3099" w:rsidRDefault="003A3099" w:rsidP="003A3099">
      <w:pPr>
        <w:pStyle w:val="Brdtekst"/>
        <w:spacing w:before="1"/>
        <w:ind w:left="851"/>
        <w:rPr>
          <w:sz w:val="24"/>
          <w:szCs w:val="24"/>
        </w:rPr>
      </w:pPr>
      <w:r w:rsidRPr="003A3099">
        <w:rPr>
          <w:sz w:val="24"/>
          <w:szCs w:val="24"/>
        </w:rPr>
        <w:t>who were treated with enzalutamide plus leuprolide or with enzalutamide as monotherapy.</w:t>
      </w:r>
    </w:p>
    <w:p w:rsidR="007C5D2A" w:rsidRPr="003A3099" w:rsidRDefault="007C5D2A" w:rsidP="003A3099">
      <w:pPr>
        <w:ind w:left="851"/>
        <w:rPr>
          <w:sz w:val="24"/>
          <w:szCs w:val="24"/>
          <w:lang w:val="en-US"/>
        </w:rPr>
      </w:pPr>
    </w:p>
    <w:p w:rsidR="00360DE0" w:rsidRPr="003A3099" w:rsidRDefault="00360DE0" w:rsidP="003A3099">
      <w:pPr>
        <w:ind w:left="851"/>
        <w:rPr>
          <w:sz w:val="24"/>
          <w:szCs w:val="24"/>
          <w:u w:val="single"/>
          <w:lang w:val="en-GB"/>
        </w:rPr>
      </w:pPr>
      <w:r w:rsidRPr="003A3099">
        <w:rPr>
          <w:sz w:val="24"/>
          <w:szCs w:val="24"/>
          <w:u w:val="single"/>
          <w:lang w:val="en-GB"/>
        </w:rPr>
        <w:t>Reporting of suspected adverse reactions</w:t>
      </w:r>
    </w:p>
    <w:p w:rsidR="00360DE0" w:rsidRPr="003A3099" w:rsidRDefault="00360DE0" w:rsidP="003A3099">
      <w:pPr>
        <w:ind w:left="851"/>
        <w:rPr>
          <w:sz w:val="24"/>
          <w:szCs w:val="24"/>
          <w:lang w:val="en-GB"/>
        </w:rPr>
      </w:pPr>
      <w:r w:rsidRPr="003A3099">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rsidR="00360DE0" w:rsidRPr="003A3099" w:rsidRDefault="00360DE0" w:rsidP="003A3099">
      <w:pPr>
        <w:ind w:left="851"/>
        <w:rPr>
          <w:sz w:val="24"/>
          <w:szCs w:val="24"/>
          <w:lang w:val="en-GB"/>
        </w:rPr>
      </w:pPr>
    </w:p>
    <w:p w:rsidR="00360DE0" w:rsidRPr="003A3099" w:rsidRDefault="00360DE0" w:rsidP="003A3099">
      <w:pPr>
        <w:ind w:left="851"/>
        <w:rPr>
          <w:sz w:val="24"/>
          <w:szCs w:val="24"/>
        </w:rPr>
      </w:pPr>
      <w:r w:rsidRPr="003A3099">
        <w:rPr>
          <w:sz w:val="24"/>
          <w:szCs w:val="24"/>
        </w:rPr>
        <w:t>Lægemiddelstyrelsen</w:t>
      </w:r>
    </w:p>
    <w:p w:rsidR="00360DE0" w:rsidRPr="003A3099" w:rsidRDefault="00360DE0" w:rsidP="003A3099">
      <w:pPr>
        <w:ind w:left="851"/>
        <w:rPr>
          <w:sz w:val="24"/>
          <w:szCs w:val="24"/>
        </w:rPr>
      </w:pPr>
      <w:r w:rsidRPr="003A3099">
        <w:rPr>
          <w:sz w:val="24"/>
          <w:szCs w:val="24"/>
        </w:rPr>
        <w:t>Axel Heides Gade 1</w:t>
      </w:r>
    </w:p>
    <w:p w:rsidR="00360DE0" w:rsidRPr="003A3099" w:rsidRDefault="00360DE0" w:rsidP="003A3099">
      <w:pPr>
        <w:ind w:left="851"/>
        <w:rPr>
          <w:sz w:val="24"/>
          <w:szCs w:val="24"/>
        </w:rPr>
      </w:pPr>
      <w:r w:rsidRPr="003A3099">
        <w:rPr>
          <w:sz w:val="24"/>
          <w:szCs w:val="24"/>
        </w:rPr>
        <w:t>DK-2300 København S</w:t>
      </w:r>
    </w:p>
    <w:p w:rsidR="00360DE0" w:rsidRPr="003A3099" w:rsidRDefault="00360DE0" w:rsidP="003A3099">
      <w:pPr>
        <w:ind w:left="851"/>
        <w:rPr>
          <w:sz w:val="24"/>
          <w:szCs w:val="24"/>
          <w:lang w:val="en-US"/>
        </w:rPr>
      </w:pPr>
      <w:r w:rsidRPr="003A3099">
        <w:rPr>
          <w:sz w:val="24"/>
          <w:szCs w:val="24"/>
          <w:lang w:val="en-US"/>
        </w:rPr>
        <w:t>Website: www.meldenbivirkning.dk</w:t>
      </w:r>
    </w:p>
    <w:p w:rsidR="007C5D2A" w:rsidRPr="00B23B00" w:rsidRDefault="007C5D2A" w:rsidP="007A4CC6">
      <w:pPr>
        <w:tabs>
          <w:tab w:val="left" w:pos="851"/>
        </w:tabs>
        <w:ind w:left="851"/>
        <w:rPr>
          <w:sz w:val="24"/>
          <w:szCs w:val="24"/>
          <w:lang w:val="en-GB"/>
        </w:rPr>
      </w:pPr>
    </w:p>
    <w:p w:rsidR="007C5D2A" w:rsidRPr="00B23B00" w:rsidRDefault="007C5D2A" w:rsidP="007C5D2A">
      <w:pPr>
        <w:tabs>
          <w:tab w:val="left" w:pos="851"/>
        </w:tabs>
        <w:ind w:left="851" w:hanging="851"/>
        <w:rPr>
          <w:b/>
          <w:sz w:val="24"/>
          <w:szCs w:val="24"/>
          <w:lang w:val="en-GB"/>
        </w:rPr>
      </w:pPr>
      <w:r w:rsidRPr="00B23B00">
        <w:rPr>
          <w:b/>
          <w:sz w:val="24"/>
          <w:szCs w:val="24"/>
          <w:lang w:val="en-GB"/>
        </w:rPr>
        <w:t>4.9</w:t>
      </w:r>
      <w:r w:rsidRPr="00B23B00">
        <w:rPr>
          <w:b/>
          <w:sz w:val="24"/>
          <w:szCs w:val="24"/>
          <w:lang w:val="en-GB"/>
        </w:rPr>
        <w:tab/>
        <w:t>Overdose</w:t>
      </w:r>
    </w:p>
    <w:p w:rsidR="00360DE0" w:rsidRPr="00B23B00" w:rsidRDefault="00360DE0" w:rsidP="00DE37FA">
      <w:pPr>
        <w:ind w:left="851"/>
        <w:rPr>
          <w:sz w:val="24"/>
          <w:szCs w:val="24"/>
          <w:lang w:val="en-US"/>
        </w:rPr>
      </w:pPr>
      <w:r w:rsidRPr="00B23B00">
        <w:rPr>
          <w:sz w:val="24"/>
          <w:szCs w:val="24"/>
          <w:lang w:val="en-US"/>
        </w:rPr>
        <w:t>There is no antidote for enzalutamide. In the event of an overdose, treatment with enzalutamide should be stopped and general supportive measures initiated taking into consideration the half-life of 5.8 days. Patients may be at increased risk of seizures following an overdose.</w:t>
      </w:r>
    </w:p>
    <w:p w:rsidR="007C5D2A" w:rsidRPr="00B23B00" w:rsidRDefault="007C5D2A" w:rsidP="003E0341">
      <w:pPr>
        <w:tabs>
          <w:tab w:val="left" w:pos="851"/>
        </w:tabs>
        <w:ind w:left="851"/>
        <w:rPr>
          <w:sz w:val="24"/>
          <w:szCs w:val="24"/>
          <w:lang w:val="en-GB"/>
        </w:rPr>
      </w:pPr>
    </w:p>
    <w:p w:rsidR="008F2F8C" w:rsidRPr="00B23B00" w:rsidRDefault="0042292D" w:rsidP="0042292D">
      <w:pPr>
        <w:tabs>
          <w:tab w:val="left" w:pos="851"/>
        </w:tabs>
        <w:rPr>
          <w:b/>
          <w:sz w:val="24"/>
          <w:szCs w:val="24"/>
          <w:lang w:val="en-GB"/>
        </w:rPr>
      </w:pPr>
      <w:r w:rsidRPr="00B23B00">
        <w:rPr>
          <w:b/>
          <w:sz w:val="24"/>
          <w:szCs w:val="24"/>
          <w:lang w:val="en-GB"/>
        </w:rPr>
        <w:t>4.10</w:t>
      </w:r>
      <w:r w:rsidRPr="00B23B00">
        <w:rPr>
          <w:b/>
          <w:sz w:val="24"/>
          <w:szCs w:val="24"/>
          <w:lang w:val="en-GB"/>
        </w:rPr>
        <w:tab/>
        <w:t>Legal status</w:t>
      </w:r>
    </w:p>
    <w:p w:rsidR="00AD2E36" w:rsidRPr="00B23B00" w:rsidRDefault="00360DE0" w:rsidP="00AD2E36">
      <w:pPr>
        <w:tabs>
          <w:tab w:val="left" w:pos="851"/>
        </w:tabs>
        <w:ind w:left="851"/>
        <w:rPr>
          <w:sz w:val="24"/>
          <w:szCs w:val="24"/>
          <w:lang w:val="en-US"/>
        </w:rPr>
      </w:pPr>
      <w:r w:rsidRPr="00B23B00">
        <w:rPr>
          <w:sz w:val="24"/>
          <w:szCs w:val="24"/>
          <w:lang w:val="en-US"/>
        </w:rPr>
        <w:t>BEGR (only for hospitals)</w:t>
      </w:r>
    </w:p>
    <w:p w:rsidR="007C5D2A" w:rsidRPr="00B23B00" w:rsidRDefault="007C5D2A" w:rsidP="003E0341">
      <w:pPr>
        <w:tabs>
          <w:tab w:val="left" w:pos="851"/>
        </w:tabs>
        <w:ind w:left="851"/>
        <w:rPr>
          <w:sz w:val="24"/>
          <w:szCs w:val="24"/>
          <w:lang w:val="en-GB"/>
        </w:rPr>
      </w:pPr>
    </w:p>
    <w:p w:rsidR="00AD2E36" w:rsidRPr="00B23B00" w:rsidRDefault="00AD2E36" w:rsidP="003E0341">
      <w:pPr>
        <w:tabs>
          <w:tab w:val="left" w:pos="851"/>
        </w:tabs>
        <w:ind w:left="851"/>
        <w:rPr>
          <w:sz w:val="24"/>
          <w:szCs w:val="24"/>
          <w:lang w:val="en-GB"/>
        </w:rPr>
      </w:pPr>
    </w:p>
    <w:p w:rsidR="007C5D2A" w:rsidRPr="00B23B00" w:rsidRDefault="007C5D2A" w:rsidP="007C5D2A">
      <w:pPr>
        <w:tabs>
          <w:tab w:val="left" w:pos="851"/>
        </w:tabs>
        <w:rPr>
          <w:b/>
          <w:sz w:val="24"/>
          <w:szCs w:val="24"/>
          <w:lang w:val="en-GB"/>
        </w:rPr>
      </w:pPr>
      <w:r w:rsidRPr="00B23B00">
        <w:rPr>
          <w:b/>
          <w:sz w:val="24"/>
          <w:szCs w:val="24"/>
          <w:lang w:val="en-GB"/>
        </w:rPr>
        <w:t>5.</w:t>
      </w:r>
      <w:r w:rsidRPr="00B23B00">
        <w:rPr>
          <w:b/>
          <w:sz w:val="24"/>
          <w:szCs w:val="24"/>
          <w:lang w:val="en-GB"/>
        </w:rPr>
        <w:tab/>
        <w:t>PHARMACOLOGICAL PROPERTIES</w:t>
      </w:r>
    </w:p>
    <w:p w:rsidR="007C5D2A" w:rsidRPr="00B23B00" w:rsidRDefault="007C5D2A" w:rsidP="003E0341">
      <w:pPr>
        <w:tabs>
          <w:tab w:val="left" w:pos="851"/>
        </w:tabs>
        <w:ind w:left="851"/>
        <w:rPr>
          <w:sz w:val="24"/>
          <w:szCs w:val="24"/>
          <w:lang w:val="en-GB"/>
        </w:rPr>
      </w:pPr>
    </w:p>
    <w:p w:rsidR="007C5D2A" w:rsidRPr="00B23B00" w:rsidRDefault="007C5D2A" w:rsidP="007C5D2A">
      <w:pPr>
        <w:tabs>
          <w:tab w:val="left" w:pos="851"/>
        </w:tabs>
        <w:ind w:left="851" w:hanging="851"/>
        <w:rPr>
          <w:b/>
          <w:sz w:val="24"/>
          <w:szCs w:val="24"/>
          <w:lang w:val="en-GB"/>
        </w:rPr>
      </w:pPr>
      <w:r w:rsidRPr="00B23B00">
        <w:rPr>
          <w:b/>
          <w:sz w:val="24"/>
          <w:szCs w:val="24"/>
          <w:lang w:val="en-GB"/>
        </w:rPr>
        <w:t>5.1</w:t>
      </w:r>
      <w:r w:rsidRPr="00B23B00">
        <w:rPr>
          <w:b/>
          <w:sz w:val="24"/>
          <w:szCs w:val="24"/>
          <w:lang w:val="en-GB"/>
        </w:rPr>
        <w:tab/>
        <w:t>Pharmacodynamic properties</w:t>
      </w:r>
      <w:r w:rsidRPr="00B23B00">
        <w:rPr>
          <w:b/>
          <w:sz w:val="24"/>
          <w:szCs w:val="24"/>
          <w:lang w:val="en-GB"/>
        </w:rPr>
        <w:tab/>
      </w:r>
    </w:p>
    <w:p w:rsidR="00360DE0" w:rsidRPr="00B23B00" w:rsidRDefault="00360DE0" w:rsidP="00DE37FA">
      <w:pPr>
        <w:ind w:left="851"/>
        <w:rPr>
          <w:sz w:val="24"/>
          <w:szCs w:val="24"/>
          <w:lang w:val="en-US"/>
        </w:rPr>
      </w:pPr>
      <w:r w:rsidRPr="00B23B00">
        <w:rPr>
          <w:sz w:val="24"/>
          <w:szCs w:val="24"/>
          <w:lang w:val="en-US"/>
        </w:rPr>
        <w:t>Pharmacotherapeutic group: hormone antagonists and related agents, anti-androgens, ATC</w:t>
      </w:r>
      <w:r w:rsidR="009A75D1">
        <w:rPr>
          <w:sz w:val="24"/>
          <w:szCs w:val="24"/>
          <w:lang w:val="en-US"/>
        </w:rPr>
        <w:t>-</w:t>
      </w:r>
      <w:r w:rsidRPr="00B23B00">
        <w:rPr>
          <w:sz w:val="24"/>
          <w:szCs w:val="24"/>
          <w:lang w:val="en-US"/>
        </w:rPr>
        <w:t>code: L02BB04.</w:t>
      </w:r>
    </w:p>
    <w:p w:rsidR="00360DE0" w:rsidRPr="00B23B00" w:rsidRDefault="00360DE0" w:rsidP="00DE37FA">
      <w:pPr>
        <w:ind w:left="851"/>
        <w:rPr>
          <w:sz w:val="24"/>
          <w:szCs w:val="24"/>
          <w:lang w:val="en-US"/>
        </w:rPr>
      </w:pPr>
    </w:p>
    <w:p w:rsidR="00360DE0" w:rsidRPr="00B23B00" w:rsidRDefault="00360DE0" w:rsidP="00DE37FA">
      <w:pPr>
        <w:ind w:left="851"/>
        <w:rPr>
          <w:sz w:val="24"/>
          <w:szCs w:val="24"/>
          <w:u w:val="single"/>
          <w:lang w:val="en-US"/>
        </w:rPr>
      </w:pPr>
      <w:r w:rsidRPr="00B23B00">
        <w:rPr>
          <w:sz w:val="24"/>
          <w:szCs w:val="24"/>
          <w:u w:val="single"/>
          <w:lang w:val="en-US"/>
        </w:rPr>
        <w:t>Mechanism of action</w:t>
      </w:r>
    </w:p>
    <w:p w:rsidR="00360DE0" w:rsidRPr="00B23B00" w:rsidRDefault="00360DE0" w:rsidP="00DE37FA">
      <w:pPr>
        <w:ind w:left="851"/>
        <w:rPr>
          <w:sz w:val="24"/>
          <w:szCs w:val="24"/>
          <w:lang w:val="en-US"/>
        </w:rPr>
      </w:pPr>
      <w:r w:rsidRPr="00B23B00">
        <w:rPr>
          <w:sz w:val="24"/>
          <w:szCs w:val="24"/>
          <w:lang w:val="en-US"/>
        </w:rPr>
        <w:t xml:space="preserve">Prostate cancer is known to be androgen sensitive and responds to inhibition of androgen receptor </w:t>
      </w:r>
      <w:proofErr w:type="spellStart"/>
      <w:r w:rsidRPr="00B23B00">
        <w:rPr>
          <w:sz w:val="24"/>
          <w:szCs w:val="24"/>
          <w:lang w:val="en-US"/>
        </w:rPr>
        <w:t>signalling</w:t>
      </w:r>
      <w:proofErr w:type="spellEnd"/>
      <w:r w:rsidRPr="00B23B00">
        <w:rPr>
          <w:sz w:val="24"/>
          <w:szCs w:val="24"/>
          <w:lang w:val="en-US"/>
        </w:rPr>
        <w:t xml:space="preserve">. Despite low or even undetectable levels of serum androgen, androgen receptor </w:t>
      </w:r>
      <w:proofErr w:type="spellStart"/>
      <w:r w:rsidRPr="00B23B00">
        <w:rPr>
          <w:sz w:val="24"/>
          <w:szCs w:val="24"/>
          <w:lang w:val="en-US"/>
        </w:rPr>
        <w:t>signalling</w:t>
      </w:r>
      <w:proofErr w:type="spellEnd"/>
      <w:r w:rsidRPr="00B23B00">
        <w:rPr>
          <w:sz w:val="24"/>
          <w:szCs w:val="24"/>
          <w:lang w:val="en-US"/>
        </w:rPr>
        <w:t xml:space="preserve"> continues to promote disease progression. Stimulation of </w:t>
      </w:r>
      <w:proofErr w:type="spellStart"/>
      <w:r w:rsidRPr="00B23B00">
        <w:rPr>
          <w:sz w:val="24"/>
          <w:szCs w:val="24"/>
          <w:lang w:val="en-US"/>
        </w:rPr>
        <w:t>tumour</w:t>
      </w:r>
      <w:proofErr w:type="spellEnd"/>
      <w:r w:rsidRPr="00B23B00">
        <w:rPr>
          <w:sz w:val="24"/>
          <w:szCs w:val="24"/>
          <w:lang w:val="en-US"/>
        </w:rPr>
        <w:t xml:space="preserve"> cell growth via the androgen receptor requires nuclear localization and DNA binding. Enzalutamide is a potent androgen receptor </w:t>
      </w:r>
      <w:proofErr w:type="spellStart"/>
      <w:r w:rsidRPr="00B23B00">
        <w:rPr>
          <w:sz w:val="24"/>
          <w:szCs w:val="24"/>
          <w:lang w:val="en-US"/>
        </w:rPr>
        <w:t>signalling</w:t>
      </w:r>
      <w:proofErr w:type="spellEnd"/>
      <w:r w:rsidRPr="00B23B00">
        <w:rPr>
          <w:sz w:val="24"/>
          <w:szCs w:val="24"/>
          <w:lang w:val="en-US"/>
        </w:rPr>
        <w:t xml:space="preserve"> inhibitor that blocks several steps in the androgen receptor </w:t>
      </w:r>
      <w:proofErr w:type="spellStart"/>
      <w:r w:rsidRPr="00B23B00">
        <w:rPr>
          <w:sz w:val="24"/>
          <w:szCs w:val="24"/>
          <w:lang w:val="en-US"/>
        </w:rPr>
        <w:t>signalling</w:t>
      </w:r>
      <w:proofErr w:type="spellEnd"/>
      <w:r w:rsidRPr="00B23B00">
        <w:rPr>
          <w:sz w:val="24"/>
          <w:szCs w:val="24"/>
          <w:lang w:val="en-US"/>
        </w:rPr>
        <w:t xml:space="preserve"> pathway. Enzalutamide competitively inhibits androgen binding to androgen receptors, and consequently; inhibits nuclear translocation of activated receptors and inhibits the association of the activated androgen receptor with DNA even in the setting of androgen receptor overexpression and in prostate cancer cells resistant to anti-androgens. Enzalutamide treatment decreases the growth of prostate cancer cells and can induce cancer cell death and </w:t>
      </w:r>
      <w:proofErr w:type="spellStart"/>
      <w:r w:rsidRPr="00B23B00">
        <w:rPr>
          <w:sz w:val="24"/>
          <w:szCs w:val="24"/>
          <w:lang w:val="en-US"/>
        </w:rPr>
        <w:t>tumour</w:t>
      </w:r>
      <w:proofErr w:type="spellEnd"/>
      <w:r w:rsidRPr="00B23B00">
        <w:rPr>
          <w:sz w:val="24"/>
          <w:szCs w:val="24"/>
          <w:lang w:val="en-US"/>
        </w:rPr>
        <w:t xml:space="preserve"> regression. In preclinical studies enzalutamide lacks androgen receptor agonist activity.</w:t>
      </w:r>
    </w:p>
    <w:p w:rsidR="00360DE0" w:rsidRPr="00B23B00" w:rsidRDefault="00360DE0" w:rsidP="00DE37FA">
      <w:pPr>
        <w:ind w:left="851"/>
        <w:rPr>
          <w:sz w:val="24"/>
          <w:szCs w:val="24"/>
          <w:lang w:val="en-US"/>
        </w:rPr>
      </w:pPr>
    </w:p>
    <w:p w:rsidR="00360DE0" w:rsidRPr="00B23B00" w:rsidRDefault="00360DE0" w:rsidP="00DE37FA">
      <w:pPr>
        <w:ind w:left="851"/>
        <w:rPr>
          <w:sz w:val="24"/>
          <w:szCs w:val="24"/>
          <w:u w:val="single"/>
          <w:lang w:val="en-US"/>
        </w:rPr>
      </w:pPr>
      <w:r w:rsidRPr="00B23B00">
        <w:rPr>
          <w:sz w:val="24"/>
          <w:szCs w:val="24"/>
          <w:u w:val="single"/>
          <w:lang w:val="en-US"/>
        </w:rPr>
        <w:t>Pharmacodynamic effects</w:t>
      </w:r>
    </w:p>
    <w:p w:rsidR="00360DE0" w:rsidRPr="00B23B00" w:rsidRDefault="00360DE0" w:rsidP="00DE37FA">
      <w:pPr>
        <w:ind w:left="851"/>
        <w:rPr>
          <w:sz w:val="24"/>
          <w:szCs w:val="24"/>
          <w:lang w:val="en-US"/>
        </w:rPr>
      </w:pPr>
      <w:r w:rsidRPr="00B23B00">
        <w:rPr>
          <w:sz w:val="24"/>
          <w:szCs w:val="24"/>
          <w:lang w:val="en-US"/>
        </w:rPr>
        <w:t>In a phase 3 clinical trial (AFFIRM) of patients who failed prior chemotherapy with docetaxel, 54</w:t>
      </w:r>
      <w:r w:rsidR="00B23B00">
        <w:rPr>
          <w:sz w:val="24"/>
          <w:szCs w:val="24"/>
          <w:lang w:val="en-US"/>
        </w:rPr>
        <w:t xml:space="preserve"> %</w:t>
      </w:r>
      <w:r w:rsidRPr="00B23B00">
        <w:rPr>
          <w:sz w:val="24"/>
          <w:szCs w:val="24"/>
          <w:lang w:val="en-US"/>
        </w:rPr>
        <w:t xml:space="preserve"> of patients treated with enzalutamide, versus 1.5</w:t>
      </w:r>
      <w:r w:rsidR="00B23B00">
        <w:rPr>
          <w:sz w:val="24"/>
          <w:szCs w:val="24"/>
          <w:lang w:val="en-US"/>
        </w:rPr>
        <w:t xml:space="preserve"> %</w:t>
      </w:r>
      <w:r w:rsidRPr="00B23B00">
        <w:rPr>
          <w:sz w:val="24"/>
          <w:szCs w:val="24"/>
          <w:lang w:val="en-US"/>
        </w:rPr>
        <w:t xml:space="preserve"> of patients who received placebo, had at least a 50</w:t>
      </w:r>
      <w:r w:rsidR="00B23B00">
        <w:rPr>
          <w:sz w:val="24"/>
          <w:szCs w:val="24"/>
          <w:lang w:val="en-US"/>
        </w:rPr>
        <w:t xml:space="preserve"> %</w:t>
      </w:r>
      <w:r w:rsidRPr="00B23B00">
        <w:rPr>
          <w:sz w:val="24"/>
          <w:szCs w:val="24"/>
          <w:lang w:val="en-US"/>
        </w:rPr>
        <w:t xml:space="preserve"> decline from baseline in PSA levels.</w:t>
      </w:r>
    </w:p>
    <w:p w:rsidR="00360DE0" w:rsidRPr="00B23B00" w:rsidRDefault="00360DE0" w:rsidP="00DE37FA">
      <w:pPr>
        <w:ind w:left="851"/>
        <w:rPr>
          <w:sz w:val="24"/>
          <w:szCs w:val="24"/>
          <w:lang w:val="en-US"/>
        </w:rPr>
      </w:pPr>
    </w:p>
    <w:p w:rsidR="00360DE0" w:rsidRPr="00B23B00" w:rsidRDefault="00360DE0" w:rsidP="00DE37FA">
      <w:pPr>
        <w:ind w:left="851"/>
        <w:rPr>
          <w:sz w:val="24"/>
          <w:szCs w:val="24"/>
          <w:lang w:val="en-US"/>
        </w:rPr>
      </w:pPr>
      <w:r w:rsidRPr="00B23B00">
        <w:rPr>
          <w:sz w:val="24"/>
          <w:szCs w:val="24"/>
          <w:lang w:val="en-US"/>
        </w:rPr>
        <w:t>In another phase 3 clinical trial (PREVAIL) in chemo-naïve patients, patients receiving enzalutamide demonstrated a significantly higher total PSA response rate (defined as a ≥</w:t>
      </w:r>
      <w:r w:rsidR="00A31852">
        <w:rPr>
          <w:sz w:val="24"/>
          <w:szCs w:val="24"/>
          <w:lang w:val="en-US"/>
        </w:rPr>
        <w:t> </w:t>
      </w:r>
      <w:r w:rsidRPr="00B23B00">
        <w:rPr>
          <w:sz w:val="24"/>
          <w:szCs w:val="24"/>
          <w:lang w:val="en-US"/>
        </w:rPr>
        <w:t>50</w:t>
      </w:r>
      <w:r w:rsidR="00B23B00">
        <w:rPr>
          <w:sz w:val="24"/>
          <w:szCs w:val="24"/>
          <w:lang w:val="en-US"/>
        </w:rPr>
        <w:t xml:space="preserve"> %</w:t>
      </w:r>
      <w:r w:rsidRPr="00B23B00">
        <w:rPr>
          <w:sz w:val="24"/>
          <w:szCs w:val="24"/>
          <w:lang w:val="en-US"/>
        </w:rPr>
        <w:t xml:space="preserve"> reduction from baseline), compared with patients receiving placebo, 78.0</w:t>
      </w:r>
      <w:r w:rsidR="00B23B00">
        <w:rPr>
          <w:sz w:val="24"/>
          <w:szCs w:val="24"/>
          <w:lang w:val="en-US"/>
        </w:rPr>
        <w:t xml:space="preserve"> %</w:t>
      </w:r>
      <w:r w:rsidRPr="00B23B00">
        <w:rPr>
          <w:sz w:val="24"/>
          <w:szCs w:val="24"/>
          <w:lang w:val="en-US"/>
        </w:rPr>
        <w:t xml:space="preserve"> versus 3.5</w:t>
      </w:r>
      <w:r w:rsidR="00B23B00">
        <w:rPr>
          <w:sz w:val="24"/>
          <w:szCs w:val="24"/>
          <w:lang w:val="en-US"/>
        </w:rPr>
        <w:t xml:space="preserve"> %</w:t>
      </w:r>
      <w:r w:rsidRPr="00B23B00">
        <w:rPr>
          <w:sz w:val="24"/>
          <w:szCs w:val="24"/>
          <w:lang w:val="en-US"/>
        </w:rPr>
        <w:t xml:space="preserve"> (difference = 74.5</w:t>
      </w:r>
      <w:r w:rsidR="00B23B00">
        <w:rPr>
          <w:sz w:val="24"/>
          <w:szCs w:val="24"/>
          <w:lang w:val="en-US"/>
        </w:rPr>
        <w:t xml:space="preserve"> %</w:t>
      </w:r>
      <w:r w:rsidRPr="00B23B00">
        <w:rPr>
          <w:sz w:val="24"/>
          <w:szCs w:val="24"/>
          <w:lang w:val="en-US"/>
        </w:rPr>
        <w:t>, p &lt; 0.0001).</w:t>
      </w:r>
    </w:p>
    <w:p w:rsidR="00360DE0" w:rsidRPr="00B23B00" w:rsidRDefault="00360DE0" w:rsidP="00DE37FA">
      <w:pPr>
        <w:ind w:left="851"/>
        <w:rPr>
          <w:sz w:val="24"/>
          <w:szCs w:val="24"/>
          <w:lang w:val="en-US"/>
        </w:rPr>
      </w:pPr>
    </w:p>
    <w:p w:rsidR="00360DE0" w:rsidRPr="00B23B00" w:rsidRDefault="00360DE0" w:rsidP="00DE37FA">
      <w:pPr>
        <w:ind w:left="851"/>
        <w:rPr>
          <w:sz w:val="24"/>
          <w:szCs w:val="24"/>
          <w:lang w:val="en-US"/>
        </w:rPr>
      </w:pPr>
      <w:r w:rsidRPr="00B23B00">
        <w:rPr>
          <w:sz w:val="24"/>
          <w:szCs w:val="24"/>
          <w:lang w:val="en-US"/>
        </w:rPr>
        <w:t>In a phase 2 clinical trial (TERRAIN) in chemo-naïve patients, patients receiving enzalutamide demonstrated a significantly higher total PSA response rate (defined as a ≥ 50</w:t>
      </w:r>
      <w:r w:rsidR="00B23B00">
        <w:rPr>
          <w:sz w:val="24"/>
          <w:szCs w:val="24"/>
          <w:lang w:val="en-US"/>
        </w:rPr>
        <w:t xml:space="preserve"> %</w:t>
      </w:r>
      <w:r w:rsidRPr="00B23B00">
        <w:rPr>
          <w:sz w:val="24"/>
          <w:szCs w:val="24"/>
          <w:lang w:val="en-US"/>
        </w:rPr>
        <w:t xml:space="preserve"> reduction from baseline), compared with patients receiving bicalutamide, 82.1</w:t>
      </w:r>
      <w:r w:rsidR="00B23B00">
        <w:rPr>
          <w:sz w:val="24"/>
          <w:szCs w:val="24"/>
          <w:lang w:val="en-US"/>
        </w:rPr>
        <w:t xml:space="preserve"> %</w:t>
      </w:r>
      <w:r w:rsidRPr="00B23B00">
        <w:rPr>
          <w:sz w:val="24"/>
          <w:szCs w:val="24"/>
          <w:lang w:val="en-US"/>
        </w:rPr>
        <w:t xml:space="preserve"> versus 20.9</w:t>
      </w:r>
      <w:r w:rsidR="00B23B00">
        <w:rPr>
          <w:sz w:val="24"/>
          <w:szCs w:val="24"/>
          <w:lang w:val="en-US"/>
        </w:rPr>
        <w:t xml:space="preserve"> %</w:t>
      </w:r>
      <w:r w:rsidRPr="00B23B00">
        <w:rPr>
          <w:sz w:val="24"/>
          <w:szCs w:val="24"/>
          <w:lang w:val="en-US"/>
        </w:rPr>
        <w:t xml:space="preserve"> (difference = 61.2</w:t>
      </w:r>
      <w:r w:rsidR="00B23B00">
        <w:rPr>
          <w:sz w:val="24"/>
          <w:szCs w:val="24"/>
          <w:lang w:val="en-US"/>
        </w:rPr>
        <w:t xml:space="preserve"> %</w:t>
      </w:r>
      <w:r w:rsidRPr="00B23B00">
        <w:rPr>
          <w:sz w:val="24"/>
          <w:szCs w:val="24"/>
          <w:lang w:val="en-US"/>
        </w:rPr>
        <w:t>, p &lt; 0.0001).</w:t>
      </w:r>
    </w:p>
    <w:p w:rsidR="00360DE0" w:rsidRPr="00B23B00" w:rsidRDefault="00360DE0" w:rsidP="00DE37FA">
      <w:pPr>
        <w:ind w:left="851"/>
        <w:rPr>
          <w:sz w:val="24"/>
          <w:szCs w:val="24"/>
          <w:lang w:val="en-US"/>
        </w:rPr>
      </w:pPr>
    </w:p>
    <w:p w:rsidR="00360DE0" w:rsidRPr="00B23B00" w:rsidRDefault="00360DE0" w:rsidP="00DE37FA">
      <w:pPr>
        <w:ind w:left="851"/>
        <w:rPr>
          <w:sz w:val="24"/>
          <w:szCs w:val="24"/>
          <w:lang w:val="en-US"/>
        </w:rPr>
      </w:pPr>
      <w:r w:rsidRPr="00B23B00">
        <w:rPr>
          <w:sz w:val="24"/>
          <w:szCs w:val="24"/>
          <w:lang w:val="en-US"/>
        </w:rPr>
        <w:t>In a single arm trial (9785-CL-0410) of patients previously treated with at least 24 weeks of abiraterone (plus prednisone), 22.4</w:t>
      </w:r>
      <w:r w:rsidR="00B23B00">
        <w:rPr>
          <w:sz w:val="24"/>
          <w:szCs w:val="24"/>
          <w:lang w:val="en-US"/>
        </w:rPr>
        <w:t xml:space="preserve"> %</w:t>
      </w:r>
      <w:r w:rsidRPr="00B23B00">
        <w:rPr>
          <w:sz w:val="24"/>
          <w:szCs w:val="24"/>
          <w:lang w:val="en-US"/>
        </w:rPr>
        <w:t xml:space="preserve"> had a ≥ 50</w:t>
      </w:r>
      <w:r w:rsidR="00B23B00">
        <w:rPr>
          <w:sz w:val="24"/>
          <w:szCs w:val="24"/>
          <w:lang w:val="en-US"/>
        </w:rPr>
        <w:t xml:space="preserve"> %</w:t>
      </w:r>
      <w:r w:rsidRPr="00B23B00">
        <w:rPr>
          <w:sz w:val="24"/>
          <w:szCs w:val="24"/>
          <w:lang w:val="en-US"/>
        </w:rPr>
        <w:t xml:space="preserve"> decrease from baseline in PSA levels. According to prior chemotherapy history, the results proportion of patients with a ≥</w:t>
      </w:r>
      <w:r w:rsidR="00A31852">
        <w:rPr>
          <w:sz w:val="24"/>
          <w:szCs w:val="24"/>
          <w:lang w:val="en-US"/>
        </w:rPr>
        <w:t> </w:t>
      </w:r>
      <w:r w:rsidRPr="00B23B00">
        <w:rPr>
          <w:sz w:val="24"/>
          <w:szCs w:val="24"/>
          <w:lang w:val="en-US"/>
        </w:rPr>
        <w:t>50</w:t>
      </w:r>
      <w:r w:rsidR="00B23B00">
        <w:rPr>
          <w:sz w:val="24"/>
          <w:szCs w:val="24"/>
          <w:lang w:val="en-US"/>
        </w:rPr>
        <w:t xml:space="preserve"> %</w:t>
      </w:r>
      <w:r w:rsidRPr="00B23B00">
        <w:rPr>
          <w:sz w:val="24"/>
          <w:szCs w:val="24"/>
          <w:lang w:val="en-US"/>
        </w:rPr>
        <w:t xml:space="preserve"> decrease in PSA levels were 22.1</w:t>
      </w:r>
      <w:r w:rsidR="00B23B00">
        <w:rPr>
          <w:sz w:val="24"/>
          <w:szCs w:val="24"/>
          <w:lang w:val="en-US"/>
        </w:rPr>
        <w:t xml:space="preserve"> %</w:t>
      </w:r>
      <w:r w:rsidRPr="00B23B00">
        <w:rPr>
          <w:sz w:val="24"/>
          <w:szCs w:val="24"/>
          <w:lang w:val="en-US"/>
        </w:rPr>
        <w:t xml:space="preserve"> and 23.2</w:t>
      </w:r>
      <w:r w:rsidR="00B23B00">
        <w:rPr>
          <w:sz w:val="24"/>
          <w:szCs w:val="24"/>
          <w:lang w:val="en-US"/>
        </w:rPr>
        <w:t xml:space="preserve"> %</w:t>
      </w:r>
      <w:r w:rsidRPr="00B23B00">
        <w:rPr>
          <w:sz w:val="24"/>
          <w:szCs w:val="24"/>
          <w:lang w:val="en-US"/>
        </w:rPr>
        <w:t>, for the no prior chemotherapy and prior chemotherapy patient groups, respectively.</w:t>
      </w:r>
    </w:p>
    <w:p w:rsidR="00360DE0" w:rsidRPr="00B23B00" w:rsidRDefault="00360DE0" w:rsidP="00DE37FA">
      <w:pPr>
        <w:ind w:left="851"/>
        <w:rPr>
          <w:sz w:val="24"/>
          <w:szCs w:val="24"/>
          <w:lang w:val="en-US"/>
        </w:rPr>
      </w:pPr>
    </w:p>
    <w:p w:rsidR="00360DE0" w:rsidRPr="00B23B00" w:rsidRDefault="00360DE0" w:rsidP="00DE37FA">
      <w:pPr>
        <w:ind w:left="851"/>
        <w:rPr>
          <w:sz w:val="24"/>
          <w:szCs w:val="24"/>
          <w:lang w:val="en-US"/>
        </w:rPr>
      </w:pPr>
      <w:r w:rsidRPr="00B23B00">
        <w:rPr>
          <w:sz w:val="24"/>
          <w:szCs w:val="24"/>
          <w:lang w:val="en-US"/>
        </w:rPr>
        <w:t>In the MDV3100-09 clinical trial (STRIVE) of non-metastatic and metastatic CRPC, patients receiving enzalutamide demonstrated a significantly higher total confirmed PSA response rate (defined as a ≥ 50</w:t>
      </w:r>
      <w:r w:rsidR="00B23B00">
        <w:rPr>
          <w:sz w:val="24"/>
          <w:szCs w:val="24"/>
          <w:lang w:val="en-US"/>
        </w:rPr>
        <w:t xml:space="preserve"> %</w:t>
      </w:r>
      <w:r w:rsidRPr="00B23B00">
        <w:rPr>
          <w:sz w:val="24"/>
          <w:szCs w:val="24"/>
          <w:lang w:val="en-US"/>
        </w:rPr>
        <w:t xml:space="preserve"> reduction from baseline) compared with patients receiving bicalutamide, 81.3</w:t>
      </w:r>
      <w:r w:rsidR="00B23B00">
        <w:rPr>
          <w:sz w:val="24"/>
          <w:szCs w:val="24"/>
          <w:lang w:val="en-US"/>
        </w:rPr>
        <w:t xml:space="preserve"> %</w:t>
      </w:r>
      <w:r w:rsidRPr="00B23B00">
        <w:rPr>
          <w:sz w:val="24"/>
          <w:szCs w:val="24"/>
          <w:lang w:val="en-US"/>
        </w:rPr>
        <w:t xml:space="preserve"> versus 31.3</w:t>
      </w:r>
      <w:r w:rsidR="00B23B00">
        <w:rPr>
          <w:sz w:val="24"/>
          <w:szCs w:val="24"/>
          <w:lang w:val="en-US"/>
        </w:rPr>
        <w:t xml:space="preserve"> %</w:t>
      </w:r>
      <w:r w:rsidRPr="00B23B00">
        <w:rPr>
          <w:sz w:val="24"/>
          <w:szCs w:val="24"/>
          <w:lang w:val="en-US"/>
        </w:rPr>
        <w:t xml:space="preserve"> (difference = 50.0</w:t>
      </w:r>
      <w:r w:rsidR="00B23B00">
        <w:rPr>
          <w:sz w:val="24"/>
          <w:szCs w:val="24"/>
          <w:lang w:val="en-US"/>
        </w:rPr>
        <w:t xml:space="preserve"> %</w:t>
      </w:r>
      <w:r w:rsidRPr="00B23B00">
        <w:rPr>
          <w:sz w:val="24"/>
          <w:szCs w:val="24"/>
          <w:lang w:val="en-US"/>
        </w:rPr>
        <w:t>, p &lt; 0.0001).</w:t>
      </w:r>
    </w:p>
    <w:p w:rsidR="00360DE0" w:rsidRPr="00B23B00" w:rsidRDefault="00360DE0" w:rsidP="00DE37FA">
      <w:pPr>
        <w:ind w:left="851"/>
        <w:rPr>
          <w:sz w:val="24"/>
          <w:szCs w:val="24"/>
          <w:lang w:val="en-US"/>
        </w:rPr>
      </w:pPr>
    </w:p>
    <w:p w:rsidR="00360DE0" w:rsidRPr="00B23B00" w:rsidRDefault="00360DE0" w:rsidP="00DE37FA">
      <w:pPr>
        <w:ind w:left="851"/>
        <w:rPr>
          <w:sz w:val="24"/>
          <w:szCs w:val="24"/>
          <w:lang w:val="en-US"/>
        </w:rPr>
      </w:pPr>
      <w:r w:rsidRPr="00B23B00">
        <w:rPr>
          <w:sz w:val="24"/>
          <w:szCs w:val="24"/>
          <w:lang w:val="en-US"/>
        </w:rPr>
        <w:t>In the MDV3100-14 clinical trial (PROSPER) of non-metastatic CRPC, patients receiving enzalutamide demonstrated a significantly higher confirmed PSA response rate (defined as a ≥ 50</w:t>
      </w:r>
      <w:r w:rsidR="00B23B00">
        <w:rPr>
          <w:sz w:val="24"/>
          <w:szCs w:val="24"/>
          <w:lang w:val="en-US"/>
        </w:rPr>
        <w:t xml:space="preserve"> %</w:t>
      </w:r>
      <w:r w:rsidRPr="00B23B00">
        <w:rPr>
          <w:sz w:val="24"/>
          <w:szCs w:val="24"/>
          <w:lang w:val="en-US"/>
        </w:rPr>
        <w:t xml:space="preserve"> reduction from baseline), compared with patients receiving placebo, 76.3</w:t>
      </w:r>
      <w:r w:rsidR="00B23B00">
        <w:rPr>
          <w:sz w:val="24"/>
          <w:szCs w:val="24"/>
          <w:lang w:val="en-US"/>
        </w:rPr>
        <w:t xml:space="preserve"> %</w:t>
      </w:r>
      <w:r w:rsidRPr="00B23B00">
        <w:rPr>
          <w:sz w:val="24"/>
          <w:szCs w:val="24"/>
          <w:lang w:val="en-US"/>
        </w:rPr>
        <w:t xml:space="preserve"> versus 2.4</w:t>
      </w:r>
      <w:r w:rsidR="00B23B00">
        <w:rPr>
          <w:sz w:val="24"/>
          <w:szCs w:val="24"/>
          <w:lang w:val="en-US"/>
        </w:rPr>
        <w:t xml:space="preserve"> %</w:t>
      </w:r>
      <w:r w:rsidRPr="00B23B00">
        <w:rPr>
          <w:sz w:val="24"/>
          <w:szCs w:val="24"/>
          <w:lang w:val="en-US"/>
        </w:rPr>
        <w:t xml:space="preserve"> (difference = 73.9</w:t>
      </w:r>
      <w:r w:rsidR="00B23B00">
        <w:rPr>
          <w:sz w:val="24"/>
          <w:szCs w:val="24"/>
          <w:lang w:val="en-US"/>
        </w:rPr>
        <w:t xml:space="preserve"> %</w:t>
      </w:r>
      <w:r w:rsidRPr="00B23B00">
        <w:rPr>
          <w:sz w:val="24"/>
          <w:szCs w:val="24"/>
          <w:lang w:val="en-US"/>
        </w:rPr>
        <w:t>, p &lt; 0.0001).</w:t>
      </w:r>
    </w:p>
    <w:p w:rsidR="00360DE0" w:rsidRPr="00B23B00" w:rsidRDefault="00360DE0" w:rsidP="00DE37FA">
      <w:pPr>
        <w:ind w:left="851"/>
        <w:rPr>
          <w:sz w:val="24"/>
          <w:szCs w:val="24"/>
          <w:lang w:val="en-US"/>
        </w:rPr>
      </w:pPr>
    </w:p>
    <w:p w:rsidR="00360DE0" w:rsidRPr="00B23B00" w:rsidRDefault="00360DE0" w:rsidP="00DE37FA">
      <w:pPr>
        <w:ind w:left="851"/>
        <w:rPr>
          <w:sz w:val="24"/>
          <w:szCs w:val="24"/>
          <w:u w:val="single"/>
          <w:lang w:val="en-US"/>
        </w:rPr>
      </w:pPr>
      <w:r w:rsidRPr="00B23B00">
        <w:rPr>
          <w:sz w:val="24"/>
          <w:szCs w:val="24"/>
          <w:u w:val="single"/>
          <w:lang w:val="en-US"/>
        </w:rPr>
        <w:t>Clinical efficacy and safety</w:t>
      </w:r>
    </w:p>
    <w:p w:rsidR="003A3099" w:rsidRPr="003A3099" w:rsidRDefault="00360DE0" w:rsidP="003A3099">
      <w:pPr>
        <w:pStyle w:val="Brdtekst"/>
        <w:spacing w:before="10"/>
        <w:ind w:left="851"/>
        <w:rPr>
          <w:sz w:val="24"/>
          <w:szCs w:val="24"/>
        </w:rPr>
      </w:pPr>
      <w:r w:rsidRPr="003A3099">
        <w:rPr>
          <w:sz w:val="24"/>
          <w:szCs w:val="24"/>
        </w:rPr>
        <w:lastRenderedPageBreak/>
        <w:t xml:space="preserve">Efficacy of enzalutamide was established in three </w:t>
      </w:r>
      <w:proofErr w:type="spellStart"/>
      <w:r w:rsidRPr="003A3099">
        <w:rPr>
          <w:sz w:val="24"/>
          <w:szCs w:val="24"/>
        </w:rPr>
        <w:t>randomised</w:t>
      </w:r>
      <w:proofErr w:type="spellEnd"/>
      <w:r w:rsidRPr="003A3099">
        <w:rPr>
          <w:sz w:val="24"/>
          <w:szCs w:val="24"/>
        </w:rPr>
        <w:t xml:space="preserve"> placebo-controlled </w:t>
      </w:r>
      <w:proofErr w:type="spellStart"/>
      <w:r w:rsidRPr="003A3099">
        <w:rPr>
          <w:sz w:val="24"/>
          <w:szCs w:val="24"/>
        </w:rPr>
        <w:t>multicentre</w:t>
      </w:r>
      <w:proofErr w:type="spellEnd"/>
      <w:r w:rsidRPr="003A3099">
        <w:rPr>
          <w:sz w:val="24"/>
          <w:szCs w:val="24"/>
        </w:rPr>
        <w:t xml:space="preserve"> phase 3 clinical studies [MDV3100-14 (PROSPER), CRPC2 (AFFIRM), MDV3100-03 (PREVAIL)] of patients with progressive prostate cancer who had disease progression on androgen deprivation therapy [LHRH analogue or after bilateral orchiectomy]. The PREVAIL study enrolled metastatic CRPC chemotherapy-naïve patients; whereas the AFFIRM study enrolled metastatic CRPC patients who had received prior docetaxel; and the PROSPER study enrolled patients with non-metastatic CRPC. </w:t>
      </w:r>
    </w:p>
    <w:p w:rsidR="003A3099" w:rsidRPr="003A3099" w:rsidRDefault="003A3099" w:rsidP="003A3099">
      <w:pPr>
        <w:pStyle w:val="Brdtekst"/>
        <w:spacing w:before="10"/>
        <w:ind w:left="851"/>
        <w:rPr>
          <w:sz w:val="24"/>
          <w:szCs w:val="24"/>
        </w:rPr>
      </w:pPr>
      <w:r w:rsidRPr="003A3099">
        <w:rPr>
          <w:sz w:val="24"/>
          <w:szCs w:val="24"/>
        </w:rPr>
        <w:t xml:space="preserve">Efficacy in patients with </w:t>
      </w:r>
      <w:proofErr w:type="spellStart"/>
      <w:r w:rsidRPr="003A3099">
        <w:rPr>
          <w:sz w:val="24"/>
          <w:szCs w:val="24"/>
        </w:rPr>
        <w:t>mHSPC</w:t>
      </w:r>
      <w:proofErr w:type="spellEnd"/>
      <w:r w:rsidRPr="003A3099">
        <w:rPr>
          <w:sz w:val="24"/>
          <w:szCs w:val="24"/>
        </w:rPr>
        <w:t xml:space="preserve"> was established in one </w:t>
      </w:r>
      <w:proofErr w:type="spellStart"/>
      <w:r w:rsidRPr="003A3099">
        <w:rPr>
          <w:sz w:val="24"/>
          <w:szCs w:val="24"/>
        </w:rPr>
        <w:t>randomised</w:t>
      </w:r>
      <w:proofErr w:type="spellEnd"/>
      <w:r w:rsidRPr="003A3099">
        <w:rPr>
          <w:sz w:val="24"/>
          <w:szCs w:val="24"/>
        </w:rPr>
        <w:t xml:space="preserve">, placebo-controlled </w:t>
      </w:r>
      <w:proofErr w:type="spellStart"/>
      <w:r w:rsidRPr="003A3099">
        <w:rPr>
          <w:sz w:val="24"/>
          <w:szCs w:val="24"/>
        </w:rPr>
        <w:t>multicentre</w:t>
      </w:r>
      <w:proofErr w:type="spellEnd"/>
      <w:r w:rsidRPr="003A3099">
        <w:rPr>
          <w:sz w:val="24"/>
          <w:szCs w:val="24"/>
        </w:rPr>
        <w:t xml:space="preserve"> phase 3 clinical study [9785-CL-0335 (ARCHES)]. Another </w:t>
      </w:r>
      <w:proofErr w:type="spellStart"/>
      <w:r w:rsidRPr="003A3099">
        <w:rPr>
          <w:sz w:val="24"/>
          <w:szCs w:val="24"/>
        </w:rPr>
        <w:t>randomised</w:t>
      </w:r>
      <w:proofErr w:type="spellEnd"/>
      <w:r w:rsidRPr="003A3099">
        <w:rPr>
          <w:sz w:val="24"/>
          <w:szCs w:val="24"/>
        </w:rPr>
        <w:t xml:space="preserve">, placebo-controlled </w:t>
      </w:r>
      <w:proofErr w:type="spellStart"/>
      <w:r w:rsidRPr="003A3099">
        <w:rPr>
          <w:sz w:val="24"/>
          <w:szCs w:val="24"/>
        </w:rPr>
        <w:t>multicentre</w:t>
      </w:r>
      <w:proofErr w:type="spellEnd"/>
      <w:r w:rsidRPr="003A3099">
        <w:rPr>
          <w:sz w:val="24"/>
          <w:szCs w:val="24"/>
        </w:rPr>
        <w:t xml:space="preserve"> phase 3 clinical study [MDV3100-13 (EMBARK)] established efficacy in patients with high-risk BCR </w:t>
      </w:r>
      <w:proofErr w:type="spellStart"/>
      <w:r w:rsidRPr="003A3099">
        <w:rPr>
          <w:sz w:val="24"/>
          <w:szCs w:val="24"/>
        </w:rPr>
        <w:t>nmHSPC</w:t>
      </w:r>
      <w:proofErr w:type="spellEnd"/>
      <w:r w:rsidRPr="003A3099">
        <w:rPr>
          <w:sz w:val="24"/>
          <w:szCs w:val="24"/>
        </w:rPr>
        <w:t xml:space="preserve">. All patients were treated with a LHRH analogue or had bilateral orchiectomy, </w:t>
      </w:r>
      <w:r w:rsidRPr="003A3099">
        <w:rPr>
          <w:sz w:val="24"/>
          <w:szCs w:val="24"/>
          <w:lang w:eastAsia="de-DE"/>
        </w:rPr>
        <w:t>unless otherwise indicated.</w:t>
      </w:r>
    </w:p>
    <w:p w:rsidR="003A3099" w:rsidRPr="003A3099" w:rsidRDefault="003A3099" w:rsidP="003A3099">
      <w:pPr>
        <w:pStyle w:val="Brdtekst"/>
        <w:ind w:left="851"/>
        <w:rPr>
          <w:sz w:val="24"/>
          <w:szCs w:val="24"/>
        </w:rPr>
      </w:pPr>
    </w:p>
    <w:p w:rsidR="003A3099" w:rsidRPr="003A3099" w:rsidRDefault="003A3099" w:rsidP="003A3099">
      <w:pPr>
        <w:pStyle w:val="Brdtekst"/>
        <w:spacing w:before="10"/>
        <w:ind w:left="851"/>
        <w:rPr>
          <w:sz w:val="24"/>
          <w:szCs w:val="24"/>
        </w:rPr>
      </w:pPr>
      <w:r w:rsidRPr="003A3099">
        <w:rPr>
          <w:sz w:val="24"/>
          <w:szCs w:val="24"/>
        </w:rPr>
        <w:t>In the active treatment arms, enzalutamide was administered orally at a dose of 160 mg daily. In the five clinical studies (EMBARK, ARCHES, PROSPER, AFFIRM and PREVAIL), patients received placebo in the control arm and patients were not required to take prednisone.</w:t>
      </w:r>
    </w:p>
    <w:p w:rsidR="00360DE0" w:rsidRPr="00B23B00" w:rsidRDefault="00360DE0" w:rsidP="00DE37FA">
      <w:pPr>
        <w:ind w:left="851"/>
        <w:rPr>
          <w:sz w:val="24"/>
          <w:szCs w:val="24"/>
          <w:lang w:val="en-US"/>
        </w:rPr>
      </w:pPr>
    </w:p>
    <w:p w:rsidR="003A3099" w:rsidRPr="00550718" w:rsidRDefault="003A3099" w:rsidP="003A3099">
      <w:pPr>
        <w:pStyle w:val="Brdtekst"/>
        <w:spacing w:before="10"/>
        <w:ind w:left="851"/>
        <w:rPr>
          <w:sz w:val="24"/>
          <w:szCs w:val="24"/>
        </w:rPr>
      </w:pPr>
      <w:r w:rsidRPr="00550718">
        <w:rPr>
          <w:sz w:val="24"/>
          <w:szCs w:val="24"/>
        </w:rPr>
        <w:t xml:space="preserve">Changes in PSA serum concentration independently do not always predict clinical benefit. Therefore, in the five studies it was recommended that patients be maintained on their study treatments until </w:t>
      </w:r>
      <w:r w:rsidRPr="00550718">
        <w:rPr>
          <w:sz w:val="24"/>
          <w:szCs w:val="24"/>
          <w:lang w:eastAsia="de-DE"/>
        </w:rPr>
        <w:t>suspension or</w:t>
      </w:r>
      <w:r w:rsidRPr="00550718">
        <w:rPr>
          <w:sz w:val="24"/>
          <w:szCs w:val="24"/>
        </w:rPr>
        <w:t xml:space="preserve"> discontinuation criteria were met as specified below for each study.</w:t>
      </w:r>
    </w:p>
    <w:p w:rsidR="003A3099" w:rsidRPr="003A3099" w:rsidRDefault="003A3099" w:rsidP="00550718">
      <w:pPr>
        <w:pStyle w:val="Brdtekst"/>
        <w:ind w:left="851"/>
        <w:rPr>
          <w:sz w:val="24"/>
          <w:szCs w:val="24"/>
        </w:rPr>
      </w:pPr>
    </w:p>
    <w:p w:rsidR="003A3099" w:rsidRPr="00550718" w:rsidRDefault="003A3099" w:rsidP="00550718">
      <w:pPr>
        <w:pStyle w:val="Brdtekst"/>
        <w:ind w:left="851"/>
        <w:rPr>
          <w:i/>
          <w:iCs/>
          <w:sz w:val="24"/>
          <w:szCs w:val="24"/>
        </w:rPr>
      </w:pPr>
      <w:r w:rsidRPr="00550718">
        <w:rPr>
          <w:i/>
          <w:iCs/>
          <w:sz w:val="24"/>
          <w:szCs w:val="24"/>
        </w:rPr>
        <w:t>MDV3100-13 (EMBARK) Study (patients with high-risk BCR non-metastatic HSPC)</w:t>
      </w:r>
    </w:p>
    <w:p w:rsidR="003A3099" w:rsidRPr="00550718" w:rsidRDefault="003A3099" w:rsidP="00550718">
      <w:pPr>
        <w:pStyle w:val="Brdtekst"/>
        <w:ind w:left="851"/>
        <w:rPr>
          <w:i/>
          <w:iCs/>
          <w:sz w:val="24"/>
          <w:szCs w:val="24"/>
        </w:rPr>
      </w:pPr>
    </w:p>
    <w:p w:rsidR="003A3099" w:rsidRPr="00550718" w:rsidRDefault="003A3099" w:rsidP="00550718">
      <w:pPr>
        <w:pStyle w:val="Brdtekst"/>
        <w:ind w:left="851"/>
        <w:rPr>
          <w:sz w:val="24"/>
          <w:szCs w:val="24"/>
        </w:rPr>
      </w:pPr>
      <w:r w:rsidRPr="00550718">
        <w:rPr>
          <w:sz w:val="24"/>
          <w:szCs w:val="24"/>
        </w:rPr>
        <w:t xml:space="preserve">The EMBARK study enrolled 1068 patients with high-risk BCR </w:t>
      </w:r>
      <w:proofErr w:type="spellStart"/>
      <w:r w:rsidRPr="00550718">
        <w:rPr>
          <w:sz w:val="24"/>
          <w:szCs w:val="24"/>
        </w:rPr>
        <w:t>nmHSPC</w:t>
      </w:r>
      <w:proofErr w:type="spellEnd"/>
      <w:r w:rsidRPr="00550718">
        <w:rPr>
          <w:sz w:val="24"/>
          <w:szCs w:val="24"/>
        </w:rPr>
        <w:t xml:space="preserve"> who were </w:t>
      </w:r>
      <w:proofErr w:type="spellStart"/>
      <w:r w:rsidRPr="00550718">
        <w:rPr>
          <w:sz w:val="24"/>
          <w:szCs w:val="24"/>
        </w:rPr>
        <w:t>randomised</w:t>
      </w:r>
      <w:proofErr w:type="spellEnd"/>
      <w:r w:rsidRPr="00550718">
        <w:rPr>
          <w:sz w:val="24"/>
          <w:szCs w:val="24"/>
        </w:rPr>
        <w:t xml:space="preserve"> 1:1:1 to receive treatment with enzalutamide orally at a dose of 160 mg once daily concurrently with ADT (N = 355), enzalutamide orally at a dose of 160 mg once daily as open-label monotherapy (N = 355), or placebo orally once daily concurrently with ADT (N = 358) (ADT defined as leuprolide). All patients had prior definitive therapy with radical prostatectomy or radiotherapy (including brachytherapy) or both, with curative intent. Patients were required to have confirmation of non-metastatic disease by blinded independent central review (BICR), and high-risk biochemical recurrence (defined by a PSA doubling time ≤ 9 months). Patients were also required to have PSA values ≥ 1 ng/mL if they had prior radical prostatectomy (with or without radiotherapy) as the primary treatment for prostate cancer, or PSA values at least 2 ng/mL above the nadir if they had prior radiotherapy only. Patients who had a prior prostatectomy and were suitable candidates for salvage radiotherapy as determined by the investigator were excluded from the study.</w:t>
      </w:r>
    </w:p>
    <w:p w:rsidR="003A3099" w:rsidRPr="00550718" w:rsidRDefault="003A3099" w:rsidP="00550718">
      <w:pPr>
        <w:pStyle w:val="Brdtekst"/>
        <w:spacing w:before="10"/>
        <w:ind w:left="851"/>
        <w:rPr>
          <w:i/>
          <w:sz w:val="24"/>
          <w:szCs w:val="24"/>
        </w:rPr>
      </w:pPr>
    </w:p>
    <w:p w:rsidR="003A3099" w:rsidRPr="00550718" w:rsidRDefault="003A3099" w:rsidP="00550718">
      <w:pPr>
        <w:pStyle w:val="Brdtekst"/>
        <w:spacing w:before="10"/>
        <w:ind w:left="851"/>
        <w:rPr>
          <w:iCs/>
          <w:sz w:val="24"/>
          <w:szCs w:val="24"/>
        </w:rPr>
      </w:pPr>
      <w:r w:rsidRPr="00550718">
        <w:rPr>
          <w:iCs/>
          <w:sz w:val="24"/>
          <w:szCs w:val="24"/>
        </w:rPr>
        <w:t>Patients were stratified by screening PSA (≤ 10 ng/mL vs. &gt; 10 ng/mL), PSA doubling time (≤ 3 months versus &gt; 3 months to ≤ 9 months), and prior hormonal therapy (prior hormonal therapy vs. no prior hormonal therapy). For patients whose PSA values were undetectable (&lt; 0.2 ng/mL) at week 36, treatment was suspended at week 37 and then reinitiated when PSA values increased to ≥ 2.0 ng/mL for patients with prior prostatectomy or ≥ 5.0 ng/mL for patients without prior prostatectomy. For patients whose PSA values were detectable at week 36 (≥ 0.2 ng/mL), treatment continued without suspension until permanent treatment discontinuation criteria were met. Treatment was permanently discontinued when development of radiographic progression was confirmed by central review after the initial local read.</w:t>
      </w:r>
    </w:p>
    <w:p w:rsidR="003A3099" w:rsidRDefault="003A3099" w:rsidP="003A3099">
      <w:pPr>
        <w:pStyle w:val="Brdtekst"/>
        <w:spacing w:before="10"/>
        <w:rPr>
          <w:iCs/>
        </w:rPr>
      </w:pPr>
    </w:p>
    <w:p w:rsidR="003A3099" w:rsidRPr="00550718" w:rsidRDefault="003A3099" w:rsidP="00550718">
      <w:pPr>
        <w:pStyle w:val="Brdtekst"/>
        <w:spacing w:before="10"/>
        <w:ind w:left="851"/>
        <w:rPr>
          <w:iCs/>
          <w:sz w:val="24"/>
          <w:szCs w:val="24"/>
        </w:rPr>
      </w:pPr>
      <w:r w:rsidRPr="00550718">
        <w:rPr>
          <w:iCs/>
          <w:sz w:val="24"/>
          <w:szCs w:val="24"/>
        </w:rPr>
        <w:lastRenderedPageBreak/>
        <w:t xml:space="preserve">The demographic and baseline characteristics were well balanced between the three treatment groups. The overall median age at </w:t>
      </w:r>
      <w:proofErr w:type="spellStart"/>
      <w:r w:rsidRPr="00550718">
        <w:rPr>
          <w:iCs/>
          <w:sz w:val="24"/>
          <w:szCs w:val="24"/>
        </w:rPr>
        <w:t>randomisation</w:t>
      </w:r>
      <w:proofErr w:type="spellEnd"/>
      <w:r w:rsidRPr="00550718">
        <w:rPr>
          <w:iCs/>
          <w:sz w:val="24"/>
          <w:szCs w:val="24"/>
        </w:rPr>
        <w:t xml:space="preserve"> was 69 years (range: 49.0 – 93.0). Most patients in the total population were Caucasian (83.2%), 7.3% were Asian, and 4.4% were Black. The median PSA doubling time was 4.9 months. Seventy-four percent of patients had prior definitive therapy with radical prostatectomy, 75% of patients had prior therapy with radiotherapy (including brachytherapy), and 49% of patients had prior therapy with both. Thirty-two percent of patients had a Gleason score of ≥ 8. The Eastern Cooperative Oncology Group Performance Status (ECOG PS) score was 0 for 92% of patients and 1 for 8% of patients at study entry.</w:t>
      </w:r>
    </w:p>
    <w:p w:rsidR="003A3099" w:rsidRPr="00550718" w:rsidRDefault="003A3099" w:rsidP="00550718">
      <w:pPr>
        <w:pStyle w:val="Brdtekst"/>
        <w:spacing w:before="10"/>
        <w:ind w:left="851"/>
        <w:rPr>
          <w:iCs/>
          <w:sz w:val="24"/>
          <w:szCs w:val="24"/>
        </w:rPr>
      </w:pPr>
    </w:p>
    <w:p w:rsidR="003A3099" w:rsidRPr="00550718" w:rsidRDefault="003A3099" w:rsidP="00550718">
      <w:pPr>
        <w:pStyle w:val="Brdtekst"/>
        <w:spacing w:before="10"/>
        <w:ind w:left="851"/>
        <w:rPr>
          <w:iCs/>
          <w:sz w:val="24"/>
          <w:szCs w:val="24"/>
        </w:rPr>
      </w:pPr>
      <w:r w:rsidRPr="00550718">
        <w:rPr>
          <w:iCs/>
          <w:sz w:val="24"/>
          <w:szCs w:val="24"/>
        </w:rPr>
        <w:t xml:space="preserve">Metastasis-free survival (MFS) in patients </w:t>
      </w:r>
      <w:proofErr w:type="spellStart"/>
      <w:r w:rsidRPr="00550718">
        <w:rPr>
          <w:iCs/>
          <w:sz w:val="24"/>
          <w:szCs w:val="24"/>
        </w:rPr>
        <w:t>randomised</w:t>
      </w:r>
      <w:proofErr w:type="spellEnd"/>
      <w:r w:rsidRPr="00550718">
        <w:rPr>
          <w:iCs/>
          <w:sz w:val="24"/>
          <w:szCs w:val="24"/>
        </w:rPr>
        <w:t xml:space="preserve"> to receive enzalutamide plus ADT compared to patients </w:t>
      </w:r>
      <w:proofErr w:type="spellStart"/>
      <w:r w:rsidRPr="00550718">
        <w:rPr>
          <w:iCs/>
          <w:sz w:val="24"/>
          <w:szCs w:val="24"/>
        </w:rPr>
        <w:t>randomised</w:t>
      </w:r>
      <w:proofErr w:type="spellEnd"/>
      <w:r w:rsidRPr="00550718">
        <w:rPr>
          <w:iCs/>
          <w:sz w:val="24"/>
          <w:szCs w:val="24"/>
        </w:rPr>
        <w:t xml:space="preserve"> to receive placebo plus ADT was the primary endpoint. Metastasis-free survival was defined as the time from </w:t>
      </w:r>
      <w:proofErr w:type="spellStart"/>
      <w:r w:rsidRPr="00550718">
        <w:rPr>
          <w:iCs/>
          <w:sz w:val="24"/>
          <w:szCs w:val="24"/>
        </w:rPr>
        <w:t>randomisation</w:t>
      </w:r>
      <w:proofErr w:type="spellEnd"/>
      <w:r w:rsidRPr="00550718">
        <w:rPr>
          <w:iCs/>
          <w:sz w:val="24"/>
          <w:szCs w:val="24"/>
        </w:rPr>
        <w:t xml:space="preserve"> to radiographic progression or death on study, whichever occurred first.</w:t>
      </w:r>
    </w:p>
    <w:p w:rsidR="003A3099" w:rsidRPr="00550718" w:rsidRDefault="003A3099" w:rsidP="00550718">
      <w:pPr>
        <w:pStyle w:val="Brdtekst"/>
        <w:spacing w:before="10"/>
        <w:ind w:left="851"/>
        <w:rPr>
          <w:iCs/>
          <w:sz w:val="24"/>
          <w:szCs w:val="24"/>
        </w:rPr>
      </w:pPr>
    </w:p>
    <w:p w:rsidR="003A3099" w:rsidRPr="00550718" w:rsidRDefault="003A3099" w:rsidP="00550718">
      <w:pPr>
        <w:pStyle w:val="Brdtekst"/>
        <w:spacing w:before="10"/>
        <w:ind w:left="851"/>
        <w:rPr>
          <w:iCs/>
          <w:sz w:val="24"/>
          <w:szCs w:val="24"/>
        </w:rPr>
      </w:pPr>
      <w:r w:rsidRPr="00550718">
        <w:rPr>
          <w:iCs/>
          <w:sz w:val="24"/>
          <w:szCs w:val="24"/>
        </w:rPr>
        <w:t xml:space="preserve">Multiplicity tested secondary endpoints that were assessed were time to PSA progression, time to first use of antineoplastic therapy, and overall survival. Another multiplicity tested secondary endpoint was MFS in patients </w:t>
      </w:r>
      <w:proofErr w:type="spellStart"/>
      <w:r w:rsidRPr="00550718">
        <w:rPr>
          <w:iCs/>
          <w:sz w:val="24"/>
          <w:szCs w:val="24"/>
        </w:rPr>
        <w:t>randomised</w:t>
      </w:r>
      <w:proofErr w:type="spellEnd"/>
      <w:r w:rsidRPr="00550718">
        <w:rPr>
          <w:iCs/>
          <w:sz w:val="24"/>
          <w:szCs w:val="24"/>
        </w:rPr>
        <w:t xml:space="preserve"> to receive enzalutamide as monotherapy compared to patients </w:t>
      </w:r>
      <w:proofErr w:type="spellStart"/>
      <w:r w:rsidRPr="00550718">
        <w:rPr>
          <w:iCs/>
          <w:sz w:val="24"/>
          <w:szCs w:val="24"/>
        </w:rPr>
        <w:t>randomised</w:t>
      </w:r>
      <w:proofErr w:type="spellEnd"/>
      <w:r w:rsidRPr="00550718">
        <w:rPr>
          <w:iCs/>
          <w:sz w:val="24"/>
          <w:szCs w:val="24"/>
        </w:rPr>
        <w:t xml:space="preserve"> to receive placebo plus ADT.</w:t>
      </w:r>
    </w:p>
    <w:p w:rsidR="003A3099" w:rsidRPr="00550718" w:rsidRDefault="003A3099" w:rsidP="00550718">
      <w:pPr>
        <w:pStyle w:val="Brdtekst"/>
        <w:spacing w:before="10"/>
        <w:ind w:left="851"/>
        <w:rPr>
          <w:iCs/>
          <w:sz w:val="24"/>
          <w:szCs w:val="24"/>
        </w:rPr>
      </w:pPr>
      <w:r w:rsidRPr="00550718">
        <w:rPr>
          <w:iCs/>
          <w:sz w:val="24"/>
          <w:szCs w:val="24"/>
        </w:rPr>
        <w:t>Enzalutamide plus ADT</w:t>
      </w:r>
      <w:r w:rsidRPr="00550718">
        <w:rPr>
          <w:i/>
          <w:sz w:val="24"/>
          <w:szCs w:val="24"/>
        </w:rPr>
        <w:t xml:space="preserve"> </w:t>
      </w:r>
      <w:r w:rsidRPr="00550718">
        <w:rPr>
          <w:iCs/>
          <w:sz w:val="24"/>
          <w:szCs w:val="24"/>
        </w:rPr>
        <w:t>and as monotherapy demonstrated a statistically significant improvement in MFS as compared to placebo plus ADT. Key efficacy results are presented in Table 2.</w:t>
      </w:r>
    </w:p>
    <w:p w:rsidR="003A3099" w:rsidRPr="00550718" w:rsidRDefault="003A3099" w:rsidP="00550718">
      <w:pPr>
        <w:pStyle w:val="Brdtekst"/>
        <w:spacing w:before="10"/>
        <w:ind w:left="851"/>
        <w:rPr>
          <w:iCs/>
          <w:sz w:val="24"/>
          <w:szCs w:val="24"/>
        </w:rPr>
      </w:pPr>
    </w:p>
    <w:p w:rsidR="003A3099" w:rsidRPr="00550718" w:rsidRDefault="003A3099" w:rsidP="00550718">
      <w:pPr>
        <w:autoSpaceDE w:val="0"/>
        <w:autoSpaceDN w:val="0"/>
        <w:adjustRightInd w:val="0"/>
        <w:ind w:left="851"/>
        <w:rPr>
          <w:b/>
          <w:bCs/>
          <w:sz w:val="24"/>
          <w:szCs w:val="24"/>
          <w:lang w:val="en-US" w:eastAsia="de-DE"/>
        </w:rPr>
      </w:pPr>
      <w:r w:rsidRPr="00550718">
        <w:rPr>
          <w:b/>
          <w:bCs/>
          <w:sz w:val="24"/>
          <w:szCs w:val="24"/>
          <w:lang w:val="en-US" w:eastAsia="de-DE"/>
        </w:rPr>
        <w:t>Table 2: Summary of efficacy in patients treated with either enzalutamide plus ADT, placebo plus ADT, or enzalutamide as monotherapy, in the EMBARK study (intent-to-treat analysis)</w:t>
      </w:r>
    </w:p>
    <w:p w:rsidR="003A3099" w:rsidRDefault="003A3099" w:rsidP="003A3099">
      <w:pPr>
        <w:pStyle w:val="Brdtekst"/>
        <w:spacing w:before="10"/>
        <w:rPr>
          <w:i/>
          <w:vertAlign w:val="super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4"/>
        <w:gridCol w:w="2304"/>
        <w:gridCol w:w="2304"/>
        <w:gridCol w:w="2304"/>
      </w:tblGrid>
      <w:tr w:rsidR="003A3099" w:rsidTr="003A3099">
        <w:tc>
          <w:tcPr>
            <w:tcW w:w="2304" w:type="dxa"/>
            <w:tcBorders>
              <w:top w:val="single" w:sz="4" w:space="0" w:color="auto"/>
              <w:left w:val="single" w:sz="4" w:space="0" w:color="auto"/>
              <w:bottom w:val="single" w:sz="4" w:space="0" w:color="auto"/>
              <w:right w:val="single" w:sz="4" w:space="0" w:color="auto"/>
            </w:tcBorders>
          </w:tcPr>
          <w:p w:rsidR="003A3099" w:rsidRDefault="003A3099">
            <w:pPr>
              <w:pStyle w:val="Brdtekst"/>
              <w:spacing w:before="10"/>
              <w:rPr>
                <w:i/>
              </w:rPr>
            </w:pPr>
          </w:p>
        </w:tc>
        <w:tc>
          <w:tcPr>
            <w:tcW w:w="2304" w:type="dxa"/>
            <w:tcBorders>
              <w:top w:val="single" w:sz="4" w:space="0" w:color="auto"/>
              <w:left w:val="single" w:sz="4" w:space="0" w:color="auto"/>
              <w:bottom w:val="single" w:sz="4" w:space="0" w:color="auto"/>
              <w:right w:val="single" w:sz="4" w:space="0" w:color="auto"/>
            </w:tcBorders>
            <w:hideMark/>
          </w:tcPr>
          <w:p w:rsidR="003A3099" w:rsidRDefault="003A3099" w:rsidP="003A3099">
            <w:pPr>
              <w:autoSpaceDE w:val="0"/>
              <w:autoSpaceDN w:val="0"/>
              <w:adjustRightInd w:val="0"/>
              <w:jc w:val="center"/>
              <w:rPr>
                <w:b/>
                <w:bCs/>
                <w:sz w:val="22"/>
                <w:szCs w:val="22"/>
                <w:lang w:eastAsia="de-DE"/>
              </w:rPr>
            </w:pPr>
            <w:proofErr w:type="spellStart"/>
            <w:r>
              <w:rPr>
                <w:b/>
                <w:bCs/>
                <w:sz w:val="22"/>
                <w:szCs w:val="22"/>
                <w:lang w:eastAsia="de-DE"/>
              </w:rPr>
              <w:t>Enzalutamide</w:t>
            </w:r>
            <w:proofErr w:type="spellEnd"/>
            <w:r>
              <w:rPr>
                <w:b/>
                <w:bCs/>
                <w:sz w:val="22"/>
                <w:szCs w:val="22"/>
                <w:lang w:eastAsia="de-DE"/>
              </w:rPr>
              <w:t xml:space="preserve"> plus ADT</w:t>
            </w:r>
          </w:p>
          <w:p w:rsidR="003A3099" w:rsidRDefault="003A3099" w:rsidP="003A3099">
            <w:pPr>
              <w:autoSpaceDE w:val="0"/>
              <w:autoSpaceDN w:val="0"/>
              <w:adjustRightInd w:val="0"/>
              <w:jc w:val="center"/>
              <w:rPr>
                <w:i/>
                <w:sz w:val="24"/>
                <w:lang w:eastAsia="en-US"/>
              </w:rPr>
            </w:pPr>
            <w:r>
              <w:rPr>
                <w:b/>
                <w:bCs/>
                <w:sz w:val="22"/>
                <w:szCs w:val="22"/>
                <w:lang w:eastAsia="de-DE"/>
              </w:rPr>
              <w:t>(N = 355)</w:t>
            </w:r>
          </w:p>
        </w:tc>
        <w:tc>
          <w:tcPr>
            <w:tcW w:w="2304" w:type="dxa"/>
            <w:tcBorders>
              <w:top w:val="single" w:sz="4" w:space="0" w:color="auto"/>
              <w:left w:val="single" w:sz="4" w:space="0" w:color="auto"/>
              <w:bottom w:val="single" w:sz="4" w:space="0" w:color="auto"/>
              <w:right w:val="single" w:sz="4" w:space="0" w:color="auto"/>
            </w:tcBorders>
            <w:hideMark/>
          </w:tcPr>
          <w:p w:rsidR="003A3099" w:rsidRDefault="003A3099" w:rsidP="003A3099">
            <w:pPr>
              <w:autoSpaceDE w:val="0"/>
              <w:autoSpaceDN w:val="0"/>
              <w:adjustRightInd w:val="0"/>
              <w:jc w:val="center"/>
              <w:rPr>
                <w:b/>
                <w:bCs/>
                <w:sz w:val="22"/>
                <w:szCs w:val="22"/>
                <w:lang w:eastAsia="de-DE"/>
              </w:rPr>
            </w:pPr>
            <w:r>
              <w:rPr>
                <w:b/>
                <w:bCs/>
                <w:sz w:val="22"/>
                <w:szCs w:val="22"/>
                <w:lang w:eastAsia="de-DE"/>
              </w:rPr>
              <w:t>Placebo plus ADT</w:t>
            </w:r>
          </w:p>
          <w:p w:rsidR="003A3099" w:rsidRDefault="003A3099" w:rsidP="003A3099">
            <w:pPr>
              <w:autoSpaceDE w:val="0"/>
              <w:autoSpaceDN w:val="0"/>
              <w:adjustRightInd w:val="0"/>
              <w:jc w:val="center"/>
              <w:rPr>
                <w:i/>
                <w:sz w:val="24"/>
                <w:lang w:eastAsia="en-US"/>
              </w:rPr>
            </w:pPr>
            <w:r>
              <w:rPr>
                <w:b/>
                <w:bCs/>
                <w:sz w:val="22"/>
                <w:szCs w:val="22"/>
                <w:lang w:eastAsia="de-DE"/>
              </w:rPr>
              <w:t>(N = 358)</w:t>
            </w:r>
          </w:p>
        </w:tc>
        <w:tc>
          <w:tcPr>
            <w:tcW w:w="2304" w:type="dxa"/>
            <w:tcBorders>
              <w:top w:val="single" w:sz="4" w:space="0" w:color="auto"/>
              <w:left w:val="single" w:sz="4" w:space="0" w:color="auto"/>
              <w:bottom w:val="single" w:sz="4" w:space="0" w:color="auto"/>
              <w:right w:val="single" w:sz="4" w:space="0" w:color="auto"/>
            </w:tcBorders>
            <w:hideMark/>
          </w:tcPr>
          <w:p w:rsidR="003A3099" w:rsidRDefault="003A3099" w:rsidP="003A3099">
            <w:pPr>
              <w:autoSpaceDE w:val="0"/>
              <w:autoSpaceDN w:val="0"/>
              <w:adjustRightInd w:val="0"/>
              <w:jc w:val="center"/>
              <w:rPr>
                <w:b/>
                <w:bCs/>
                <w:sz w:val="22"/>
                <w:szCs w:val="22"/>
                <w:lang w:val="de-DE" w:eastAsia="de-DE"/>
              </w:rPr>
            </w:pPr>
            <w:proofErr w:type="spellStart"/>
            <w:r>
              <w:rPr>
                <w:b/>
                <w:bCs/>
                <w:sz w:val="22"/>
                <w:szCs w:val="22"/>
                <w:lang w:val="de-DE" w:eastAsia="de-DE"/>
              </w:rPr>
              <w:t>Enzalutamide</w:t>
            </w:r>
            <w:proofErr w:type="spellEnd"/>
            <w:r>
              <w:rPr>
                <w:b/>
                <w:bCs/>
                <w:sz w:val="22"/>
                <w:szCs w:val="22"/>
                <w:lang w:val="de-DE" w:eastAsia="de-DE"/>
              </w:rPr>
              <w:t xml:space="preserve"> </w:t>
            </w:r>
            <w:proofErr w:type="spellStart"/>
            <w:r>
              <w:rPr>
                <w:b/>
                <w:bCs/>
                <w:sz w:val="22"/>
                <w:szCs w:val="22"/>
                <w:lang w:val="de-DE" w:eastAsia="de-DE"/>
              </w:rPr>
              <w:t>as</w:t>
            </w:r>
            <w:proofErr w:type="spellEnd"/>
            <w:r>
              <w:rPr>
                <w:b/>
                <w:bCs/>
                <w:sz w:val="22"/>
                <w:szCs w:val="22"/>
                <w:lang w:val="de-DE" w:eastAsia="de-DE"/>
              </w:rPr>
              <w:t xml:space="preserve"> </w:t>
            </w:r>
            <w:proofErr w:type="spellStart"/>
            <w:r>
              <w:rPr>
                <w:b/>
                <w:bCs/>
                <w:sz w:val="22"/>
                <w:szCs w:val="22"/>
                <w:lang w:val="de-DE" w:eastAsia="de-DE"/>
              </w:rPr>
              <w:t>Monotherapy</w:t>
            </w:r>
            <w:proofErr w:type="spellEnd"/>
          </w:p>
          <w:p w:rsidR="003A3099" w:rsidRDefault="003A3099" w:rsidP="003A3099">
            <w:pPr>
              <w:pStyle w:val="Brdtekst"/>
              <w:spacing w:before="10"/>
              <w:jc w:val="center"/>
              <w:rPr>
                <w:i/>
              </w:rPr>
            </w:pPr>
            <w:r>
              <w:rPr>
                <w:b/>
                <w:bCs/>
                <w:lang w:val="de-DE" w:eastAsia="de-DE"/>
              </w:rPr>
              <w:t>(N = 355)</w:t>
            </w:r>
          </w:p>
        </w:tc>
      </w:tr>
      <w:tr w:rsidR="003A3099" w:rsidTr="003A3099">
        <w:tc>
          <w:tcPr>
            <w:tcW w:w="9216" w:type="dxa"/>
            <w:gridSpan w:val="4"/>
            <w:tcBorders>
              <w:top w:val="single" w:sz="4" w:space="0" w:color="auto"/>
              <w:left w:val="single" w:sz="4" w:space="0" w:color="auto"/>
              <w:bottom w:val="single" w:sz="4" w:space="0" w:color="auto"/>
              <w:right w:val="single" w:sz="4" w:space="0" w:color="auto"/>
            </w:tcBorders>
            <w:hideMark/>
          </w:tcPr>
          <w:p w:rsidR="003A3099" w:rsidRDefault="003A3099">
            <w:pPr>
              <w:pStyle w:val="Brdtekst"/>
              <w:spacing w:before="10"/>
              <w:rPr>
                <w:i/>
              </w:rPr>
            </w:pPr>
            <w:r>
              <w:rPr>
                <w:b/>
                <w:bCs/>
                <w:lang w:val="de-DE" w:eastAsia="de-DE"/>
              </w:rPr>
              <w:t>Metastasis-</w:t>
            </w:r>
            <w:proofErr w:type="spellStart"/>
            <w:r>
              <w:rPr>
                <w:b/>
                <w:bCs/>
                <w:lang w:val="de-DE" w:eastAsia="de-DE"/>
              </w:rPr>
              <w:t>free</w:t>
            </w:r>
            <w:proofErr w:type="spellEnd"/>
            <w:r>
              <w:rPr>
                <w:b/>
                <w:bCs/>
                <w:lang w:val="de-DE" w:eastAsia="de-DE"/>
              </w:rPr>
              <w:t xml:space="preserve"> Survival</w:t>
            </w:r>
            <w:r>
              <w:rPr>
                <w:b/>
                <w:bCs/>
                <w:vertAlign w:val="superscript"/>
                <w:lang w:val="de-DE" w:eastAsia="de-DE"/>
              </w:rPr>
              <w:t>1</w:t>
            </w:r>
          </w:p>
        </w:tc>
      </w:tr>
      <w:tr w:rsidR="003A3099" w:rsidTr="003A3099">
        <w:tc>
          <w:tcPr>
            <w:tcW w:w="2304" w:type="dxa"/>
            <w:tcBorders>
              <w:top w:val="single" w:sz="4" w:space="0" w:color="auto"/>
              <w:left w:val="single" w:sz="4" w:space="0" w:color="auto"/>
              <w:bottom w:val="single" w:sz="4" w:space="0" w:color="auto"/>
              <w:right w:val="single" w:sz="4" w:space="0" w:color="auto"/>
            </w:tcBorders>
            <w:hideMark/>
          </w:tcPr>
          <w:p w:rsidR="003A3099" w:rsidRDefault="003A3099">
            <w:pPr>
              <w:pStyle w:val="Brdtekst"/>
              <w:spacing w:before="10"/>
              <w:rPr>
                <w:i/>
              </w:rPr>
            </w:pPr>
            <w:r>
              <w:rPr>
                <w:lang w:eastAsia="de-DE"/>
              </w:rPr>
              <w:t>Number of events (%)</w:t>
            </w:r>
            <w:r>
              <w:rPr>
                <w:i/>
                <w:iCs/>
                <w:vertAlign w:val="superscript"/>
                <w:lang w:eastAsia="de-DE"/>
              </w:rPr>
              <w:t>2</w:t>
            </w:r>
          </w:p>
        </w:tc>
        <w:tc>
          <w:tcPr>
            <w:tcW w:w="2304" w:type="dxa"/>
            <w:tcBorders>
              <w:top w:val="single" w:sz="4" w:space="0" w:color="auto"/>
              <w:left w:val="single" w:sz="4" w:space="0" w:color="auto"/>
              <w:bottom w:val="single" w:sz="4" w:space="0" w:color="auto"/>
              <w:right w:val="single" w:sz="4" w:space="0" w:color="auto"/>
            </w:tcBorders>
            <w:hideMark/>
          </w:tcPr>
          <w:p w:rsidR="003A3099" w:rsidRDefault="003A3099" w:rsidP="003A3099">
            <w:pPr>
              <w:pStyle w:val="Brdtekst"/>
              <w:spacing w:before="10"/>
              <w:jc w:val="center"/>
              <w:rPr>
                <w:i/>
              </w:rPr>
            </w:pPr>
            <w:r>
              <w:rPr>
                <w:lang w:eastAsia="de-DE"/>
              </w:rPr>
              <w:t>45 (12.7)</w:t>
            </w:r>
          </w:p>
        </w:tc>
        <w:tc>
          <w:tcPr>
            <w:tcW w:w="2304" w:type="dxa"/>
            <w:tcBorders>
              <w:top w:val="single" w:sz="4" w:space="0" w:color="auto"/>
              <w:left w:val="single" w:sz="4" w:space="0" w:color="auto"/>
              <w:bottom w:val="single" w:sz="4" w:space="0" w:color="auto"/>
              <w:right w:val="single" w:sz="4" w:space="0" w:color="auto"/>
            </w:tcBorders>
            <w:hideMark/>
          </w:tcPr>
          <w:p w:rsidR="003A3099" w:rsidRDefault="003A3099" w:rsidP="003A3099">
            <w:pPr>
              <w:pStyle w:val="Brdtekst"/>
              <w:spacing w:before="10"/>
              <w:jc w:val="center"/>
              <w:rPr>
                <w:i/>
              </w:rPr>
            </w:pPr>
            <w:r>
              <w:rPr>
                <w:lang w:eastAsia="de-DE"/>
              </w:rPr>
              <w:t>92 (25.7)</w:t>
            </w:r>
          </w:p>
        </w:tc>
        <w:tc>
          <w:tcPr>
            <w:tcW w:w="2304" w:type="dxa"/>
            <w:tcBorders>
              <w:top w:val="single" w:sz="4" w:space="0" w:color="auto"/>
              <w:left w:val="single" w:sz="4" w:space="0" w:color="auto"/>
              <w:bottom w:val="single" w:sz="4" w:space="0" w:color="auto"/>
              <w:right w:val="single" w:sz="4" w:space="0" w:color="auto"/>
            </w:tcBorders>
            <w:hideMark/>
          </w:tcPr>
          <w:p w:rsidR="003A3099" w:rsidRDefault="003A3099" w:rsidP="003A3099">
            <w:pPr>
              <w:pStyle w:val="Brdtekst"/>
              <w:spacing w:before="10"/>
              <w:jc w:val="center"/>
              <w:rPr>
                <w:i/>
              </w:rPr>
            </w:pPr>
            <w:r>
              <w:rPr>
                <w:lang w:eastAsia="de-DE"/>
              </w:rPr>
              <w:t>63 (17.7)</w:t>
            </w:r>
          </w:p>
        </w:tc>
      </w:tr>
      <w:tr w:rsidR="003A3099" w:rsidTr="003A3099">
        <w:tc>
          <w:tcPr>
            <w:tcW w:w="2304" w:type="dxa"/>
            <w:tcBorders>
              <w:top w:val="single" w:sz="4" w:space="0" w:color="auto"/>
              <w:left w:val="single" w:sz="4" w:space="0" w:color="auto"/>
              <w:bottom w:val="single" w:sz="4" w:space="0" w:color="auto"/>
              <w:right w:val="single" w:sz="4" w:space="0" w:color="auto"/>
            </w:tcBorders>
            <w:hideMark/>
          </w:tcPr>
          <w:p w:rsidR="003A3099" w:rsidRDefault="003A3099">
            <w:pPr>
              <w:pStyle w:val="Brdtekst"/>
              <w:spacing w:before="10"/>
              <w:rPr>
                <w:i/>
              </w:rPr>
            </w:pPr>
            <w:r>
              <w:rPr>
                <w:lang w:eastAsia="de-DE"/>
              </w:rPr>
              <w:t>Median, months (95% CI)</w:t>
            </w:r>
            <w:r>
              <w:rPr>
                <w:i/>
                <w:iCs/>
                <w:vertAlign w:val="superscript"/>
                <w:lang w:eastAsia="de-DE"/>
              </w:rPr>
              <w:t>3</w:t>
            </w:r>
          </w:p>
        </w:tc>
        <w:tc>
          <w:tcPr>
            <w:tcW w:w="2304" w:type="dxa"/>
            <w:tcBorders>
              <w:top w:val="single" w:sz="4" w:space="0" w:color="auto"/>
              <w:left w:val="single" w:sz="4" w:space="0" w:color="auto"/>
              <w:bottom w:val="single" w:sz="4" w:space="0" w:color="auto"/>
              <w:right w:val="single" w:sz="4" w:space="0" w:color="auto"/>
            </w:tcBorders>
            <w:hideMark/>
          </w:tcPr>
          <w:p w:rsidR="003A3099" w:rsidRDefault="003A3099" w:rsidP="003A3099">
            <w:pPr>
              <w:pStyle w:val="Brdtekst"/>
              <w:spacing w:before="10"/>
              <w:jc w:val="center"/>
              <w:rPr>
                <w:i/>
              </w:rPr>
            </w:pPr>
            <w:r>
              <w:rPr>
                <w:lang w:eastAsia="de-DE"/>
              </w:rPr>
              <w:t>NR (NR, NR)</w:t>
            </w:r>
          </w:p>
        </w:tc>
        <w:tc>
          <w:tcPr>
            <w:tcW w:w="2304" w:type="dxa"/>
            <w:tcBorders>
              <w:top w:val="single" w:sz="4" w:space="0" w:color="auto"/>
              <w:left w:val="single" w:sz="4" w:space="0" w:color="auto"/>
              <w:bottom w:val="single" w:sz="4" w:space="0" w:color="auto"/>
              <w:right w:val="single" w:sz="4" w:space="0" w:color="auto"/>
            </w:tcBorders>
            <w:hideMark/>
          </w:tcPr>
          <w:p w:rsidR="003A3099" w:rsidRDefault="003A3099" w:rsidP="003A3099">
            <w:pPr>
              <w:pStyle w:val="Brdtekst"/>
              <w:spacing w:before="10"/>
              <w:jc w:val="center"/>
              <w:rPr>
                <w:i/>
              </w:rPr>
            </w:pPr>
            <w:r>
              <w:rPr>
                <w:lang w:eastAsia="de-DE"/>
              </w:rPr>
              <w:t>NR (85.1, NR)</w:t>
            </w:r>
          </w:p>
        </w:tc>
        <w:tc>
          <w:tcPr>
            <w:tcW w:w="2304" w:type="dxa"/>
            <w:tcBorders>
              <w:top w:val="single" w:sz="4" w:space="0" w:color="auto"/>
              <w:left w:val="single" w:sz="4" w:space="0" w:color="auto"/>
              <w:bottom w:val="single" w:sz="4" w:space="0" w:color="auto"/>
              <w:right w:val="single" w:sz="4" w:space="0" w:color="auto"/>
            </w:tcBorders>
            <w:hideMark/>
          </w:tcPr>
          <w:p w:rsidR="003A3099" w:rsidRDefault="003A3099" w:rsidP="003A3099">
            <w:pPr>
              <w:pStyle w:val="Brdtekst"/>
              <w:spacing w:before="10"/>
              <w:jc w:val="center"/>
              <w:rPr>
                <w:i/>
              </w:rPr>
            </w:pPr>
            <w:r>
              <w:rPr>
                <w:lang w:eastAsia="de-DE"/>
              </w:rPr>
              <w:t>NR (NR, NR)</w:t>
            </w:r>
          </w:p>
        </w:tc>
      </w:tr>
      <w:tr w:rsidR="003A3099" w:rsidTr="003A3099">
        <w:tc>
          <w:tcPr>
            <w:tcW w:w="2304" w:type="dxa"/>
            <w:tcBorders>
              <w:top w:val="single" w:sz="4" w:space="0" w:color="auto"/>
              <w:left w:val="single" w:sz="4" w:space="0" w:color="auto"/>
              <w:bottom w:val="single" w:sz="4" w:space="0" w:color="auto"/>
              <w:right w:val="single" w:sz="4" w:space="0" w:color="auto"/>
            </w:tcBorders>
            <w:hideMark/>
          </w:tcPr>
          <w:p w:rsidR="003A3099" w:rsidRPr="003A3099" w:rsidRDefault="003A3099" w:rsidP="003A3099">
            <w:pPr>
              <w:autoSpaceDE w:val="0"/>
              <w:autoSpaceDN w:val="0"/>
              <w:adjustRightInd w:val="0"/>
              <w:rPr>
                <w:i/>
                <w:lang w:val="en-US"/>
              </w:rPr>
            </w:pPr>
            <w:r w:rsidRPr="003A3099">
              <w:rPr>
                <w:sz w:val="22"/>
                <w:szCs w:val="22"/>
                <w:lang w:val="en-US" w:eastAsia="de-DE"/>
              </w:rPr>
              <w:t>Hazard ratio relative to Placebo plus ADT (95% CI)</w:t>
            </w:r>
            <w:r w:rsidRPr="003A3099">
              <w:rPr>
                <w:i/>
                <w:iCs/>
                <w:sz w:val="22"/>
                <w:szCs w:val="22"/>
                <w:vertAlign w:val="superscript"/>
                <w:lang w:val="en-US" w:eastAsia="de-DE"/>
              </w:rPr>
              <w:t>4</w:t>
            </w:r>
          </w:p>
        </w:tc>
        <w:tc>
          <w:tcPr>
            <w:tcW w:w="2304" w:type="dxa"/>
            <w:tcBorders>
              <w:top w:val="single" w:sz="4" w:space="0" w:color="auto"/>
              <w:left w:val="single" w:sz="4" w:space="0" w:color="auto"/>
              <w:bottom w:val="single" w:sz="4" w:space="0" w:color="auto"/>
              <w:right w:val="single" w:sz="4" w:space="0" w:color="auto"/>
            </w:tcBorders>
            <w:hideMark/>
          </w:tcPr>
          <w:p w:rsidR="003A3099" w:rsidRDefault="003A3099" w:rsidP="003A3099">
            <w:pPr>
              <w:pStyle w:val="Brdtekst"/>
              <w:spacing w:before="10"/>
              <w:jc w:val="center"/>
              <w:rPr>
                <w:i/>
              </w:rPr>
            </w:pPr>
            <w:r>
              <w:rPr>
                <w:lang w:eastAsia="de-DE"/>
              </w:rPr>
              <w:t>0.42 (0.30, 0.61)</w:t>
            </w:r>
          </w:p>
        </w:tc>
        <w:tc>
          <w:tcPr>
            <w:tcW w:w="2304" w:type="dxa"/>
            <w:tcBorders>
              <w:top w:val="single" w:sz="4" w:space="0" w:color="auto"/>
              <w:left w:val="single" w:sz="4" w:space="0" w:color="auto"/>
              <w:bottom w:val="single" w:sz="4" w:space="0" w:color="auto"/>
              <w:right w:val="single" w:sz="4" w:space="0" w:color="auto"/>
            </w:tcBorders>
            <w:hideMark/>
          </w:tcPr>
          <w:p w:rsidR="003A3099" w:rsidRDefault="003A3099" w:rsidP="003A3099">
            <w:pPr>
              <w:pStyle w:val="Brdtekst"/>
              <w:spacing w:before="10"/>
              <w:jc w:val="center"/>
              <w:rPr>
                <w:i/>
              </w:rPr>
            </w:pPr>
            <w:r>
              <w:rPr>
                <w:i/>
              </w:rPr>
              <w:t>--</w:t>
            </w:r>
          </w:p>
        </w:tc>
        <w:tc>
          <w:tcPr>
            <w:tcW w:w="2304" w:type="dxa"/>
            <w:tcBorders>
              <w:top w:val="single" w:sz="4" w:space="0" w:color="auto"/>
              <w:left w:val="single" w:sz="4" w:space="0" w:color="auto"/>
              <w:bottom w:val="single" w:sz="4" w:space="0" w:color="auto"/>
              <w:right w:val="single" w:sz="4" w:space="0" w:color="auto"/>
            </w:tcBorders>
          </w:tcPr>
          <w:p w:rsidR="003A3099" w:rsidRDefault="003A3099" w:rsidP="003A3099">
            <w:pPr>
              <w:autoSpaceDE w:val="0"/>
              <w:autoSpaceDN w:val="0"/>
              <w:adjustRightInd w:val="0"/>
              <w:jc w:val="center"/>
              <w:rPr>
                <w:sz w:val="22"/>
                <w:szCs w:val="22"/>
                <w:lang w:eastAsia="de-DE"/>
              </w:rPr>
            </w:pPr>
            <w:r>
              <w:rPr>
                <w:sz w:val="22"/>
                <w:szCs w:val="22"/>
                <w:lang w:eastAsia="de-DE"/>
              </w:rPr>
              <w:t>0.63 (0.46, 0.87)</w:t>
            </w:r>
          </w:p>
          <w:p w:rsidR="003A3099" w:rsidRDefault="003A3099" w:rsidP="003A3099">
            <w:pPr>
              <w:pStyle w:val="Brdtekst"/>
              <w:spacing w:before="10"/>
              <w:jc w:val="center"/>
              <w:rPr>
                <w:i/>
              </w:rPr>
            </w:pPr>
          </w:p>
        </w:tc>
      </w:tr>
      <w:tr w:rsidR="003A3099" w:rsidTr="003A3099">
        <w:tc>
          <w:tcPr>
            <w:tcW w:w="2304" w:type="dxa"/>
            <w:tcBorders>
              <w:top w:val="single" w:sz="4" w:space="0" w:color="auto"/>
              <w:left w:val="single" w:sz="4" w:space="0" w:color="auto"/>
              <w:bottom w:val="single" w:sz="4" w:space="0" w:color="auto"/>
              <w:right w:val="single" w:sz="4" w:space="0" w:color="auto"/>
            </w:tcBorders>
            <w:hideMark/>
          </w:tcPr>
          <w:p w:rsidR="003A3099" w:rsidRPr="003A3099" w:rsidRDefault="003A3099" w:rsidP="003A3099">
            <w:pPr>
              <w:autoSpaceDE w:val="0"/>
              <w:autoSpaceDN w:val="0"/>
              <w:adjustRightInd w:val="0"/>
              <w:rPr>
                <w:i/>
                <w:lang w:val="en-US"/>
              </w:rPr>
            </w:pPr>
            <w:r w:rsidRPr="003A3099">
              <w:rPr>
                <w:sz w:val="22"/>
                <w:szCs w:val="22"/>
                <w:lang w:val="en-US" w:eastAsia="de-DE"/>
              </w:rPr>
              <w:t>P-value for comparison to Placebo plus ADT</w:t>
            </w:r>
            <w:r w:rsidRPr="003A3099">
              <w:rPr>
                <w:i/>
                <w:iCs/>
                <w:sz w:val="22"/>
                <w:szCs w:val="22"/>
                <w:vertAlign w:val="superscript"/>
                <w:lang w:val="en-US" w:eastAsia="de-DE"/>
              </w:rPr>
              <w:t>5</w:t>
            </w:r>
          </w:p>
        </w:tc>
        <w:tc>
          <w:tcPr>
            <w:tcW w:w="2304" w:type="dxa"/>
            <w:tcBorders>
              <w:top w:val="single" w:sz="4" w:space="0" w:color="auto"/>
              <w:left w:val="single" w:sz="4" w:space="0" w:color="auto"/>
              <w:bottom w:val="single" w:sz="4" w:space="0" w:color="auto"/>
              <w:right w:val="single" w:sz="4" w:space="0" w:color="auto"/>
            </w:tcBorders>
            <w:hideMark/>
          </w:tcPr>
          <w:p w:rsidR="003A3099" w:rsidRDefault="003A3099" w:rsidP="003A3099">
            <w:pPr>
              <w:pStyle w:val="Brdtekst"/>
              <w:spacing w:before="10"/>
              <w:jc w:val="center"/>
              <w:rPr>
                <w:i/>
              </w:rPr>
            </w:pPr>
            <w:r>
              <w:rPr>
                <w:lang w:eastAsia="de-DE"/>
              </w:rPr>
              <w:t>p &lt; 0.0001</w:t>
            </w:r>
          </w:p>
        </w:tc>
        <w:tc>
          <w:tcPr>
            <w:tcW w:w="2304" w:type="dxa"/>
            <w:tcBorders>
              <w:top w:val="single" w:sz="4" w:space="0" w:color="auto"/>
              <w:left w:val="single" w:sz="4" w:space="0" w:color="auto"/>
              <w:bottom w:val="single" w:sz="4" w:space="0" w:color="auto"/>
              <w:right w:val="single" w:sz="4" w:space="0" w:color="auto"/>
            </w:tcBorders>
            <w:hideMark/>
          </w:tcPr>
          <w:p w:rsidR="003A3099" w:rsidRDefault="003A3099" w:rsidP="003A3099">
            <w:pPr>
              <w:jc w:val="center"/>
            </w:pPr>
            <w:r>
              <w:t>--</w:t>
            </w:r>
          </w:p>
        </w:tc>
        <w:tc>
          <w:tcPr>
            <w:tcW w:w="2304" w:type="dxa"/>
            <w:tcBorders>
              <w:top w:val="single" w:sz="4" w:space="0" w:color="auto"/>
              <w:left w:val="single" w:sz="4" w:space="0" w:color="auto"/>
              <w:bottom w:val="single" w:sz="4" w:space="0" w:color="auto"/>
              <w:right w:val="single" w:sz="4" w:space="0" w:color="auto"/>
            </w:tcBorders>
            <w:hideMark/>
          </w:tcPr>
          <w:p w:rsidR="003A3099" w:rsidRDefault="003A3099" w:rsidP="003A3099">
            <w:pPr>
              <w:pStyle w:val="Brdtekst"/>
              <w:spacing w:before="10"/>
              <w:jc w:val="center"/>
              <w:rPr>
                <w:i/>
              </w:rPr>
            </w:pPr>
            <w:r>
              <w:rPr>
                <w:lang w:eastAsia="de-DE"/>
              </w:rPr>
              <w:t>p = 0.0049</w:t>
            </w:r>
          </w:p>
        </w:tc>
      </w:tr>
      <w:tr w:rsidR="003A3099" w:rsidTr="003A3099">
        <w:tc>
          <w:tcPr>
            <w:tcW w:w="9216" w:type="dxa"/>
            <w:gridSpan w:val="4"/>
            <w:tcBorders>
              <w:top w:val="single" w:sz="4" w:space="0" w:color="auto"/>
              <w:left w:val="single" w:sz="4" w:space="0" w:color="auto"/>
              <w:bottom w:val="single" w:sz="4" w:space="0" w:color="auto"/>
              <w:right w:val="single" w:sz="4" w:space="0" w:color="auto"/>
            </w:tcBorders>
            <w:hideMark/>
          </w:tcPr>
          <w:p w:rsidR="003A3099" w:rsidRDefault="003A3099" w:rsidP="003A3099">
            <w:pPr>
              <w:autoSpaceDE w:val="0"/>
              <w:autoSpaceDN w:val="0"/>
              <w:adjustRightInd w:val="0"/>
              <w:rPr>
                <w:i/>
              </w:rPr>
            </w:pPr>
            <w:r>
              <w:rPr>
                <w:b/>
                <w:bCs/>
                <w:sz w:val="22"/>
                <w:szCs w:val="22"/>
                <w:lang w:eastAsia="de-DE"/>
              </w:rPr>
              <w:t>Time to PSA Progression</w:t>
            </w:r>
            <w:r>
              <w:rPr>
                <w:b/>
                <w:bCs/>
                <w:sz w:val="22"/>
                <w:szCs w:val="22"/>
                <w:vertAlign w:val="superscript"/>
                <w:lang w:eastAsia="de-DE"/>
              </w:rPr>
              <w:t>6</w:t>
            </w:r>
          </w:p>
        </w:tc>
      </w:tr>
      <w:tr w:rsidR="003A3099" w:rsidTr="003A3099">
        <w:tc>
          <w:tcPr>
            <w:tcW w:w="2304" w:type="dxa"/>
            <w:tcBorders>
              <w:top w:val="single" w:sz="4" w:space="0" w:color="auto"/>
              <w:left w:val="single" w:sz="4" w:space="0" w:color="auto"/>
              <w:bottom w:val="single" w:sz="4" w:space="0" w:color="auto"/>
              <w:right w:val="single" w:sz="4" w:space="0" w:color="auto"/>
            </w:tcBorders>
            <w:hideMark/>
          </w:tcPr>
          <w:p w:rsidR="003A3099" w:rsidRDefault="003A3099">
            <w:pPr>
              <w:pStyle w:val="Brdtekst"/>
              <w:spacing w:before="10"/>
              <w:rPr>
                <w:i/>
              </w:rPr>
            </w:pPr>
            <w:r>
              <w:rPr>
                <w:lang w:eastAsia="de-DE"/>
              </w:rPr>
              <w:t>Number of events (%)</w:t>
            </w:r>
            <w:r>
              <w:rPr>
                <w:i/>
                <w:iCs/>
                <w:vertAlign w:val="superscript"/>
                <w:lang w:eastAsia="de-DE"/>
              </w:rPr>
              <w:t>2</w:t>
            </w:r>
          </w:p>
        </w:tc>
        <w:tc>
          <w:tcPr>
            <w:tcW w:w="2304" w:type="dxa"/>
            <w:tcBorders>
              <w:top w:val="single" w:sz="4" w:space="0" w:color="auto"/>
              <w:left w:val="single" w:sz="4" w:space="0" w:color="auto"/>
              <w:bottom w:val="single" w:sz="4" w:space="0" w:color="auto"/>
              <w:right w:val="single" w:sz="4" w:space="0" w:color="auto"/>
            </w:tcBorders>
            <w:hideMark/>
          </w:tcPr>
          <w:p w:rsidR="003A3099" w:rsidRDefault="003A3099" w:rsidP="003A3099">
            <w:pPr>
              <w:pStyle w:val="Brdtekst"/>
              <w:spacing w:before="10"/>
              <w:jc w:val="center"/>
              <w:rPr>
                <w:i/>
              </w:rPr>
            </w:pPr>
            <w:r>
              <w:rPr>
                <w:lang w:eastAsia="de-DE"/>
              </w:rPr>
              <w:t>8 (2.3)</w:t>
            </w:r>
          </w:p>
        </w:tc>
        <w:tc>
          <w:tcPr>
            <w:tcW w:w="2304" w:type="dxa"/>
            <w:tcBorders>
              <w:top w:val="single" w:sz="4" w:space="0" w:color="auto"/>
              <w:left w:val="single" w:sz="4" w:space="0" w:color="auto"/>
              <w:bottom w:val="single" w:sz="4" w:space="0" w:color="auto"/>
              <w:right w:val="single" w:sz="4" w:space="0" w:color="auto"/>
            </w:tcBorders>
            <w:hideMark/>
          </w:tcPr>
          <w:p w:rsidR="003A3099" w:rsidRDefault="003A3099" w:rsidP="003A3099">
            <w:pPr>
              <w:pStyle w:val="Brdtekst"/>
              <w:spacing w:before="10"/>
              <w:jc w:val="center"/>
              <w:rPr>
                <w:i/>
              </w:rPr>
            </w:pPr>
            <w:r>
              <w:rPr>
                <w:lang w:eastAsia="de-DE"/>
              </w:rPr>
              <w:t>93 (26.0)</w:t>
            </w:r>
          </w:p>
        </w:tc>
        <w:tc>
          <w:tcPr>
            <w:tcW w:w="2304" w:type="dxa"/>
            <w:tcBorders>
              <w:top w:val="single" w:sz="4" w:space="0" w:color="auto"/>
              <w:left w:val="single" w:sz="4" w:space="0" w:color="auto"/>
              <w:bottom w:val="single" w:sz="4" w:space="0" w:color="auto"/>
              <w:right w:val="single" w:sz="4" w:space="0" w:color="auto"/>
            </w:tcBorders>
            <w:hideMark/>
          </w:tcPr>
          <w:p w:rsidR="003A3099" w:rsidRDefault="003A3099" w:rsidP="003A3099">
            <w:pPr>
              <w:pStyle w:val="Brdtekst"/>
              <w:spacing w:before="10"/>
              <w:jc w:val="center"/>
              <w:rPr>
                <w:i/>
              </w:rPr>
            </w:pPr>
            <w:r>
              <w:rPr>
                <w:lang w:eastAsia="de-DE"/>
              </w:rPr>
              <w:t>37 (10.4)</w:t>
            </w:r>
          </w:p>
        </w:tc>
      </w:tr>
      <w:tr w:rsidR="003A3099" w:rsidTr="003A3099">
        <w:tc>
          <w:tcPr>
            <w:tcW w:w="2304" w:type="dxa"/>
            <w:tcBorders>
              <w:top w:val="single" w:sz="4" w:space="0" w:color="auto"/>
              <w:left w:val="single" w:sz="4" w:space="0" w:color="auto"/>
              <w:bottom w:val="single" w:sz="4" w:space="0" w:color="auto"/>
              <w:right w:val="single" w:sz="4" w:space="0" w:color="auto"/>
            </w:tcBorders>
            <w:hideMark/>
          </w:tcPr>
          <w:p w:rsidR="003A3099" w:rsidRDefault="003A3099">
            <w:pPr>
              <w:pStyle w:val="Brdtekst"/>
              <w:spacing w:before="10"/>
              <w:rPr>
                <w:lang w:eastAsia="de-DE"/>
              </w:rPr>
            </w:pPr>
            <w:r>
              <w:rPr>
                <w:lang w:eastAsia="de-DE"/>
              </w:rPr>
              <w:t>Median, months (95% CI)</w:t>
            </w:r>
            <w:r>
              <w:rPr>
                <w:i/>
                <w:iCs/>
                <w:vertAlign w:val="superscript"/>
                <w:lang w:eastAsia="de-DE"/>
              </w:rPr>
              <w:t>3</w:t>
            </w:r>
          </w:p>
        </w:tc>
        <w:tc>
          <w:tcPr>
            <w:tcW w:w="2304" w:type="dxa"/>
            <w:tcBorders>
              <w:top w:val="single" w:sz="4" w:space="0" w:color="auto"/>
              <w:left w:val="single" w:sz="4" w:space="0" w:color="auto"/>
              <w:bottom w:val="single" w:sz="4" w:space="0" w:color="auto"/>
              <w:right w:val="single" w:sz="4" w:space="0" w:color="auto"/>
            </w:tcBorders>
            <w:hideMark/>
          </w:tcPr>
          <w:p w:rsidR="003A3099" w:rsidRDefault="003A3099" w:rsidP="003A3099">
            <w:pPr>
              <w:pStyle w:val="Brdtekst"/>
              <w:spacing w:before="10"/>
              <w:jc w:val="center"/>
              <w:rPr>
                <w:lang w:eastAsia="de-DE"/>
              </w:rPr>
            </w:pPr>
            <w:r>
              <w:rPr>
                <w:lang w:eastAsia="de-DE"/>
              </w:rPr>
              <w:t>NR (NR, NR)</w:t>
            </w:r>
          </w:p>
        </w:tc>
        <w:tc>
          <w:tcPr>
            <w:tcW w:w="2304" w:type="dxa"/>
            <w:tcBorders>
              <w:top w:val="single" w:sz="4" w:space="0" w:color="auto"/>
              <w:left w:val="single" w:sz="4" w:space="0" w:color="auto"/>
              <w:bottom w:val="single" w:sz="4" w:space="0" w:color="auto"/>
              <w:right w:val="single" w:sz="4" w:space="0" w:color="auto"/>
            </w:tcBorders>
            <w:hideMark/>
          </w:tcPr>
          <w:p w:rsidR="003A3099" w:rsidRDefault="003A3099" w:rsidP="003A3099">
            <w:pPr>
              <w:pStyle w:val="Brdtekst"/>
              <w:spacing w:before="10"/>
              <w:jc w:val="center"/>
              <w:rPr>
                <w:lang w:eastAsia="de-DE"/>
              </w:rPr>
            </w:pPr>
            <w:r>
              <w:rPr>
                <w:lang w:eastAsia="de-DE"/>
              </w:rPr>
              <w:t>NR (NR, NR)</w:t>
            </w:r>
          </w:p>
        </w:tc>
        <w:tc>
          <w:tcPr>
            <w:tcW w:w="2304" w:type="dxa"/>
            <w:tcBorders>
              <w:top w:val="single" w:sz="4" w:space="0" w:color="auto"/>
              <w:left w:val="single" w:sz="4" w:space="0" w:color="auto"/>
              <w:bottom w:val="single" w:sz="4" w:space="0" w:color="auto"/>
              <w:right w:val="single" w:sz="4" w:space="0" w:color="auto"/>
            </w:tcBorders>
            <w:hideMark/>
          </w:tcPr>
          <w:p w:rsidR="003A3099" w:rsidRDefault="003A3099" w:rsidP="003A3099">
            <w:pPr>
              <w:pStyle w:val="Brdtekst"/>
              <w:spacing w:before="10"/>
              <w:jc w:val="center"/>
              <w:rPr>
                <w:lang w:eastAsia="de-DE"/>
              </w:rPr>
            </w:pPr>
            <w:r>
              <w:rPr>
                <w:lang w:eastAsia="de-DE"/>
              </w:rPr>
              <w:t>NR (NR, NR)</w:t>
            </w:r>
          </w:p>
        </w:tc>
      </w:tr>
      <w:tr w:rsidR="003A3099" w:rsidTr="003A3099">
        <w:tc>
          <w:tcPr>
            <w:tcW w:w="2304" w:type="dxa"/>
            <w:tcBorders>
              <w:top w:val="single" w:sz="4" w:space="0" w:color="auto"/>
              <w:left w:val="single" w:sz="4" w:space="0" w:color="auto"/>
              <w:bottom w:val="single" w:sz="4" w:space="0" w:color="auto"/>
              <w:right w:val="single" w:sz="4" w:space="0" w:color="auto"/>
            </w:tcBorders>
            <w:hideMark/>
          </w:tcPr>
          <w:p w:rsidR="003A3099" w:rsidRPr="003A3099" w:rsidRDefault="003A3099" w:rsidP="003A3099">
            <w:pPr>
              <w:autoSpaceDE w:val="0"/>
              <w:autoSpaceDN w:val="0"/>
              <w:adjustRightInd w:val="0"/>
              <w:rPr>
                <w:lang w:val="en-US" w:eastAsia="de-DE"/>
              </w:rPr>
            </w:pPr>
            <w:r w:rsidRPr="003A3099">
              <w:rPr>
                <w:sz w:val="22"/>
                <w:szCs w:val="22"/>
                <w:lang w:val="en-US" w:eastAsia="de-DE"/>
              </w:rPr>
              <w:t>Hazard ratio relative to Placebo plus ADT (95% CI)</w:t>
            </w:r>
            <w:r w:rsidRPr="003A3099">
              <w:rPr>
                <w:i/>
                <w:iCs/>
                <w:sz w:val="22"/>
                <w:szCs w:val="22"/>
                <w:vertAlign w:val="superscript"/>
                <w:lang w:val="en-US" w:eastAsia="de-DE"/>
              </w:rPr>
              <w:t>4</w:t>
            </w:r>
          </w:p>
        </w:tc>
        <w:tc>
          <w:tcPr>
            <w:tcW w:w="2304" w:type="dxa"/>
            <w:tcBorders>
              <w:top w:val="single" w:sz="4" w:space="0" w:color="auto"/>
              <w:left w:val="single" w:sz="4" w:space="0" w:color="auto"/>
              <w:bottom w:val="single" w:sz="4" w:space="0" w:color="auto"/>
              <w:right w:val="single" w:sz="4" w:space="0" w:color="auto"/>
            </w:tcBorders>
            <w:hideMark/>
          </w:tcPr>
          <w:p w:rsidR="003A3099" w:rsidRDefault="003A3099" w:rsidP="003A3099">
            <w:pPr>
              <w:pStyle w:val="Brdtekst"/>
              <w:spacing w:before="10"/>
              <w:jc w:val="center"/>
              <w:rPr>
                <w:lang w:eastAsia="de-DE"/>
              </w:rPr>
            </w:pPr>
            <w:r>
              <w:rPr>
                <w:lang w:eastAsia="de-DE"/>
              </w:rPr>
              <w:t>0.07 (0.03, 0.14)</w:t>
            </w:r>
          </w:p>
        </w:tc>
        <w:tc>
          <w:tcPr>
            <w:tcW w:w="2304" w:type="dxa"/>
            <w:tcBorders>
              <w:top w:val="single" w:sz="4" w:space="0" w:color="auto"/>
              <w:left w:val="single" w:sz="4" w:space="0" w:color="auto"/>
              <w:bottom w:val="single" w:sz="4" w:space="0" w:color="auto"/>
              <w:right w:val="single" w:sz="4" w:space="0" w:color="auto"/>
            </w:tcBorders>
            <w:hideMark/>
          </w:tcPr>
          <w:p w:rsidR="003A3099" w:rsidRDefault="003A3099" w:rsidP="003A3099">
            <w:pPr>
              <w:pStyle w:val="Brdtekst"/>
              <w:spacing w:before="10"/>
              <w:jc w:val="center"/>
              <w:rPr>
                <w:lang w:eastAsia="de-DE"/>
              </w:rPr>
            </w:pPr>
            <w:r>
              <w:rPr>
                <w:lang w:eastAsia="de-DE"/>
              </w:rPr>
              <w:t>--</w:t>
            </w:r>
          </w:p>
        </w:tc>
        <w:tc>
          <w:tcPr>
            <w:tcW w:w="2304" w:type="dxa"/>
            <w:tcBorders>
              <w:top w:val="single" w:sz="4" w:space="0" w:color="auto"/>
              <w:left w:val="single" w:sz="4" w:space="0" w:color="auto"/>
              <w:bottom w:val="single" w:sz="4" w:space="0" w:color="auto"/>
              <w:right w:val="single" w:sz="4" w:space="0" w:color="auto"/>
            </w:tcBorders>
          </w:tcPr>
          <w:p w:rsidR="003A3099" w:rsidRDefault="003A3099" w:rsidP="003A3099">
            <w:pPr>
              <w:autoSpaceDE w:val="0"/>
              <w:autoSpaceDN w:val="0"/>
              <w:adjustRightInd w:val="0"/>
              <w:jc w:val="center"/>
              <w:rPr>
                <w:sz w:val="22"/>
                <w:szCs w:val="22"/>
                <w:lang w:eastAsia="de-DE"/>
              </w:rPr>
            </w:pPr>
            <w:r>
              <w:rPr>
                <w:sz w:val="22"/>
                <w:szCs w:val="22"/>
                <w:lang w:eastAsia="de-DE"/>
              </w:rPr>
              <w:t>0.33 (0.23, 0.49)</w:t>
            </w:r>
          </w:p>
          <w:p w:rsidR="003A3099" w:rsidRDefault="003A3099" w:rsidP="003A3099">
            <w:pPr>
              <w:pStyle w:val="Brdtekst"/>
              <w:spacing w:before="10"/>
              <w:jc w:val="center"/>
              <w:rPr>
                <w:lang w:eastAsia="de-DE"/>
              </w:rPr>
            </w:pPr>
          </w:p>
        </w:tc>
      </w:tr>
      <w:tr w:rsidR="003A3099" w:rsidTr="003A3099">
        <w:tc>
          <w:tcPr>
            <w:tcW w:w="2304" w:type="dxa"/>
            <w:tcBorders>
              <w:top w:val="single" w:sz="4" w:space="0" w:color="auto"/>
              <w:left w:val="single" w:sz="4" w:space="0" w:color="auto"/>
              <w:bottom w:val="single" w:sz="4" w:space="0" w:color="auto"/>
              <w:right w:val="single" w:sz="4" w:space="0" w:color="auto"/>
            </w:tcBorders>
            <w:hideMark/>
          </w:tcPr>
          <w:p w:rsidR="003A3099" w:rsidRPr="003A3099" w:rsidRDefault="003A3099" w:rsidP="003A3099">
            <w:pPr>
              <w:autoSpaceDE w:val="0"/>
              <w:autoSpaceDN w:val="0"/>
              <w:adjustRightInd w:val="0"/>
              <w:rPr>
                <w:lang w:val="en-US" w:eastAsia="de-DE"/>
              </w:rPr>
            </w:pPr>
            <w:r w:rsidRPr="003A3099">
              <w:rPr>
                <w:sz w:val="22"/>
                <w:szCs w:val="22"/>
                <w:lang w:val="en-US" w:eastAsia="de-DE"/>
              </w:rPr>
              <w:t>P-value for comparison to Placebo plus ADT</w:t>
            </w:r>
            <w:r w:rsidRPr="003A3099">
              <w:rPr>
                <w:i/>
                <w:iCs/>
                <w:sz w:val="22"/>
                <w:szCs w:val="22"/>
                <w:vertAlign w:val="superscript"/>
                <w:lang w:val="en-US" w:eastAsia="de-DE"/>
              </w:rPr>
              <w:t>5</w:t>
            </w:r>
          </w:p>
        </w:tc>
        <w:tc>
          <w:tcPr>
            <w:tcW w:w="2304" w:type="dxa"/>
            <w:tcBorders>
              <w:top w:val="single" w:sz="4" w:space="0" w:color="auto"/>
              <w:left w:val="single" w:sz="4" w:space="0" w:color="auto"/>
              <w:bottom w:val="single" w:sz="4" w:space="0" w:color="auto"/>
              <w:right w:val="single" w:sz="4" w:space="0" w:color="auto"/>
            </w:tcBorders>
            <w:hideMark/>
          </w:tcPr>
          <w:p w:rsidR="003A3099" w:rsidRDefault="003A3099" w:rsidP="003A3099">
            <w:pPr>
              <w:pStyle w:val="Brdtekst"/>
              <w:spacing w:before="10"/>
              <w:jc w:val="center"/>
              <w:rPr>
                <w:lang w:eastAsia="de-DE"/>
              </w:rPr>
            </w:pPr>
            <w:r>
              <w:rPr>
                <w:lang w:eastAsia="de-DE"/>
              </w:rPr>
              <w:t>p &lt; 0.0001</w:t>
            </w:r>
          </w:p>
        </w:tc>
        <w:tc>
          <w:tcPr>
            <w:tcW w:w="2304" w:type="dxa"/>
            <w:tcBorders>
              <w:top w:val="single" w:sz="4" w:space="0" w:color="auto"/>
              <w:left w:val="single" w:sz="4" w:space="0" w:color="auto"/>
              <w:bottom w:val="single" w:sz="4" w:space="0" w:color="auto"/>
              <w:right w:val="single" w:sz="4" w:space="0" w:color="auto"/>
            </w:tcBorders>
            <w:hideMark/>
          </w:tcPr>
          <w:p w:rsidR="003A3099" w:rsidRDefault="003A3099" w:rsidP="003A3099">
            <w:pPr>
              <w:pStyle w:val="Brdtekst"/>
              <w:spacing w:before="10"/>
              <w:jc w:val="center"/>
              <w:rPr>
                <w:lang w:eastAsia="de-DE"/>
              </w:rPr>
            </w:pPr>
            <w:r>
              <w:rPr>
                <w:lang w:eastAsia="de-DE"/>
              </w:rPr>
              <w:t>--</w:t>
            </w:r>
          </w:p>
        </w:tc>
        <w:tc>
          <w:tcPr>
            <w:tcW w:w="2304" w:type="dxa"/>
            <w:tcBorders>
              <w:top w:val="single" w:sz="4" w:space="0" w:color="auto"/>
              <w:left w:val="single" w:sz="4" w:space="0" w:color="auto"/>
              <w:bottom w:val="single" w:sz="4" w:space="0" w:color="auto"/>
              <w:right w:val="single" w:sz="4" w:space="0" w:color="auto"/>
            </w:tcBorders>
            <w:hideMark/>
          </w:tcPr>
          <w:p w:rsidR="003A3099" w:rsidRDefault="003A3099" w:rsidP="003A3099">
            <w:pPr>
              <w:pStyle w:val="Brdtekst"/>
              <w:spacing w:before="10"/>
              <w:jc w:val="center"/>
              <w:rPr>
                <w:lang w:eastAsia="de-DE"/>
              </w:rPr>
            </w:pPr>
            <w:r>
              <w:rPr>
                <w:lang w:eastAsia="de-DE"/>
              </w:rPr>
              <w:t>p &lt; 0.0001</w:t>
            </w:r>
          </w:p>
        </w:tc>
      </w:tr>
      <w:tr w:rsidR="003A3099" w:rsidRPr="00567B29" w:rsidTr="003A3099">
        <w:tc>
          <w:tcPr>
            <w:tcW w:w="9216" w:type="dxa"/>
            <w:gridSpan w:val="4"/>
            <w:tcBorders>
              <w:top w:val="single" w:sz="4" w:space="0" w:color="auto"/>
              <w:left w:val="single" w:sz="4" w:space="0" w:color="auto"/>
              <w:bottom w:val="single" w:sz="4" w:space="0" w:color="auto"/>
              <w:right w:val="single" w:sz="4" w:space="0" w:color="auto"/>
            </w:tcBorders>
            <w:hideMark/>
          </w:tcPr>
          <w:p w:rsidR="003A3099" w:rsidRPr="003A3099" w:rsidRDefault="003A3099" w:rsidP="003A3099">
            <w:pPr>
              <w:autoSpaceDE w:val="0"/>
              <w:autoSpaceDN w:val="0"/>
              <w:adjustRightInd w:val="0"/>
              <w:rPr>
                <w:lang w:val="en-US" w:eastAsia="de-DE"/>
              </w:rPr>
            </w:pPr>
            <w:r w:rsidRPr="003A3099">
              <w:rPr>
                <w:b/>
                <w:bCs/>
                <w:sz w:val="22"/>
                <w:szCs w:val="22"/>
                <w:lang w:val="en-US" w:eastAsia="de-DE"/>
              </w:rPr>
              <w:t>Time to Start of New Antineoplastic Therapy</w:t>
            </w:r>
          </w:p>
        </w:tc>
      </w:tr>
      <w:tr w:rsidR="003A3099" w:rsidTr="003A3099">
        <w:tc>
          <w:tcPr>
            <w:tcW w:w="2304" w:type="dxa"/>
            <w:tcBorders>
              <w:top w:val="single" w:sz="4" w:space="0" w:color="auto"/>
              <w:left w:val="single" w:sz="4" w:space="0" w:color="auto"/>
              <w:bottom w:val="single" w:sz="4" w:space="0" w:color="auto"/>
              <w:right w:val="single" w:sz="4" w:space="0" w:color="auto"/>
            </w:tcBorders>
            <w:hideMark/>
          </w:tcPr>
          <w:p w:rsidR="003A3099" w:rsidRDefault="003A3099">
            <w:pPr>
              <w:pStyle w:val="Brdtekst"/>
              <w:spacing w:before="10"/>
              <w:rPr>
                <w:lang w:eastAsia="de-DE"/>
              </w:rPr>
            </w:pPr>
            <w:proofErr w:type="spellStart"/>
            <w:r>
              <w:rPr>
                <w:lang w:val="de-DE" w:eastAsia="de-DE"/>
              </w:rPr>
              <w:t>Number</w:t>
            </w:r>
            <w:proofErr w:type="spellEnd"/>
            <w:r>
              <w:rPr>
                <w:lang w:val="de-DE" w:eastAsia="de-DE"/>
              </w:rPr>
              <w:t xml:space="preserve"> </w:t>
            </w:r>
            <w:proofErr w:type="spellStart"/>
            <w:r>
              <w:rPr>
                <w:lang w:val="de-DE" w:eastAsia="de-DE"/>
              </w:rPr>
              <w:t>of</w:t>
            </w:r>
            <w:proofErr w:type="spellEnd"/>
            <w:r>
              <w:rPr>
                <w:lang w:val="de-DE" w:eastAsia="de-DE"/>
              </w:rPr>
              <w:t xml:space="preserve"> </w:t>
            </w:r>
            <w:proofErr w:type="spellStart"/>
            <w:r>
              <w:rPr>
                <w:lang w:val="de-DE" w:eastAsia="de-DE"/>
              </w:rPr>
              <w:t>events</w:t>
            </w:r>
            <w:proofErr w:type="spellEnd"/>
            <w:r>
              <w:rPr>
                <w:lang w:val="de-DE" w:eastAsia="de-DE"/>
              </w:rPr>
              <w:t xml:space="preserve"> (%)</w:t>
            </w:r>
            <w:r>
              <w:rPr>
                <w:i/>
                <w:iCs/>
                <w:lang w:val="de-DE" w:eastAsia="de-DE"/>
              </w:rPr>
              <w:t>7</w:t>
            </w:r>
          </w:p>
        </w:tc>
        <w:tc>
          <w:tcPr>
            <w:tcW w:w="2304" w:type="dxa"/>
            <w:tcBorders>
              <w:top w:val="single" w:sz="4" w:space="0" w:color="auto"/>
              <w:left w:val="single" w:sz="4" w:space="0" w:color="auto"/>
              <w:bottom w:val="single" w:sz="4" w:space="0" w:color="auto"/>
              <w:right w:val="single" w:sz="4" w:space="0" w:color="auto"/>
            </w:tcBorders>
            <w:hideMark/>
          </w:tcPr>
          <w:p w:rsidR="003A3099" w:rsidRDefault="003A3099" w:rsidP="003A3099">
            <w:pPr>
              <w:pStyle w:val="Brdtekst"/>
              <w:spacing w:before="10"/>
              <w:jc w:val="center"/>
              <w:rPr>
                <w:lang w:eastAsia="de-DE"/>
              </w:rPr>
            </w:pPr>
            <w:r>
              <w:rPr>
                <w:lang w:val="de-DE" w:eastAsia="de-DE"/>
              </w:rPr>
              <w:t>58 (16.3)</w:t>
            </w:r>
          </w:p>
        </w:tc>
        <w:tc>
          <w:tcPr>
            <w:tcW w:w="2304" w:type="dxa"/>
            <w:tcBorders>
              <w:top w:val="single" w:sz="4" w:space="0" w:color="auto"/>
              <w:left w:val="single" w:sz="4" w:space="0" w:color="auto"/>
              <w:bottom w:val="single" w:sz="4" w:space="0" w:color="auto"/>
              <w:right w:val="single" w:sz="4" w:space="0" w:color="auto"/>
            </w:tcBorders>
            <w:hideMark/>
          </w:tcPr>
          <w:p w:rsidR="003A3099" w:rsidRDefault="003A3099" w:rsidP="003A3099">
            <w:pPr>
              <w:pStyle w:val="Brdtekst"/>
              <w:spacing w:before="10"/>
              <w:jc w:val="center"/>
              <w:rPr>
                <w:lang w:eastAsia="de-DE"/>
              </w:rPr>
            </w:pPr>
            <w:r>
              <w:rPr>
                <w:lang w:val="de-DE" w:eastAsia="de-DE"/>
              </w:rPr>
              <w:t>140 (39.1)</w:t>
            </w:r>
          </w:p>
        </w:tc>
        <w:tc>
          <w:tcPr>
            <w:tcW w:w="2304" w:type="dxa"/>
            <w:tcBorders>
              <w:top w:val="single" w:sz="4" w:space="0" w:color="auto"/>
              <w:left w:val="single" w:sz="4" w:space="0" w:color="auto"/>
              <w:bottom w:val="single" w:sz="4" w:space="0" w:color="auto"/>
              <w:right w:val="single" w:sz="4" w:space="0" w:color="auto"/>
            </w:tcBorders>
            <w:hideMark/>
          </w:tcPr>
          <w:p w:rsidR="003A3099" w:rsidRDefault="003A3099" w:rsidP="003A3099">
            <w:pPr>
              <w:pStyle w:val="Brdtekst"/>
              <w:spacing w:before="10"/>
              <w:jc w:val="center"/>
              <w:rPr>
                <w:lang w:eastAsia="de-DE"/>
              </w:rPr>
            </w:pPr>
            <w:r>
              <w:rPr>
                <w:lang w:val="de-DE" w:eastAsia="de-DE"/>
              </w:rPr>
              <w:t>84 (23.7)</w:t>
            </w:r>
          </w:p>
        </w:tc>
      </w:tr>
      <w:tr w:rsidR="003A3099" w:rsidTr="003A3099">
        <w:tc>
          <w:tcPr>
            <w:tcW w:w="2304" w:type="dxa"/>
            <w:tcBorders>
              <w:top w:val="single" w:sz="4" w:space="0" w:color="auto"/>
              <w:left w:val="single" w:sz="4" w:space="0" w:color="auto"/>
              <w:bottom w:val="single" w:sz="4" w:space="0" w:color="auto"/>
              <w:right w:val="single" w:sz="4" w:space="0" w:color="auto"/>
            </w:tcBorders>
            <w:hideMark/>
          </w:tcPr>
          <w:p w:rsidR="003A3099" w:rsidRDefault="003A3099">
            <w:pPr>
              <w:pStyle w:val="Brdtekst"/>
              <w:spacing w:before="10"/>
              <w:rPr>
                <w:lang w:eastAsia="de-DE"/>
              </w:rPr>
            </w:pPr>
            <w:r>
              <w:rPr>
                <w:lang w:eastAsia="de-DE"/>
              </w:rPr>
              <w:t>Median, months (95% CI)</w:t>
            </w:r>
            <w:r>
              <w:rPr>
                <w:i/>
                <w:iCs/>
                <w:vertAlign w:val="superscript"/>
                <w:lang w:eastAsia="de-DE"/>
              </w:rPr>
              <w:t>3</w:t>
            </w:r>
          </w:p>
        </w:tc>
        <w:tc>
          <w:tcPr>
            <w:tcW w:w="2304" w:type="dxa"/>
            <w:tcBorders>
              <w:top w:val="single" w:sz="4" w:space="0" w:color="auto"/>
              <w:left w:val="single" w:sz="4" w:space="0" w:color="auto"/>
              <w:bottom w:val="single" w:sz="4" w:space="0" w:color="auto"/>
              <w:right w:val="single" w:sz="4" w:space="0" w:color="auto"/>
            </w:tcBorders>
            <w:hideMark/>
          </w:tcPr>
          <w:p w:rsidR="003A3099" w:rsidRDefault="003A3099" w:rsidP="003A3099">
            <w:pPr>
              <w:pStyle w:val="Brdtekst"/>
              <w:spacing w:before="10"/>
              <w:jc w:val="center"/>
              <w:rPr>
                <w:lang w:eastAsia="de-DE"/>
              </w:rPr>
            </w:pPr>
            <w:r>
              <w:rPr>
                <w:lang w:eastAsia="de-DE"/>
              </w:rPr>
              <w:t>NR (NR, NR)</w:t>
            </w:r>
          </w:p>
        </w:tc>
        <w:tc>
          <w:tcPr>
            <w:tcW w:w="2304" w:type="dxa"/>
            <w:tcBorders>
              <w:top w:val="single" w:sz="4" w:space="0" w:color="auto"/>
              <w:left w:val="single" w:sz="4" w:space="0" w:color="auto"/>
              <w:bottom w:val="single" w:sz="4" w:space="0" w:color="auto"/>
              <w:right w:val="single" w:sz="4" w:space="0" w:color="auto"/>
            </w:tcBorders>
            <w:hideMark/>
          </w:tcPr>
          <w:p w:rsidR="003A3099" w:rsidRDefault="003A3099" w:rsidP="003A3099">
            <w:pPr>
              <w:pStyle w:val="Brdtekst"/>
              <w:spacing w:before="10"/>
              <w:jc w:val="center"/>
              <w:rPr>
                <w:lang w:eastAsia="de-DE"/>
              </w:rPr>
            </w:pPr>
            <w:r>
              <w:rPr>
                <w:lang w:eastAsia="de-DE"/>
              </w:rPr>
              <w:t>76.2 (71.3, NR)</w:t>
            </w:r>
          </w:p>
        </w:tc>
        <w:tc>
          <w:tcPr>
            <w:tcW w:w="2304" w:type="dxa"/>
            <w:tcBorders>
              <w:top w:val="single" w:sz="4" w:space="0" w:color="auto"/>
              <w:left w:val="single" w:sz="4" w:space="0" w:color="auto"/>
              <w:bottom w:val="single" w:sz="4" w:space="0" w:color="auto"/>
              <w:right w:val="single" w:sz="4" w:space="0" w:color="auto"/>
            </w:tcBorders>
          </w:tcPr>
          <w:p w:rsidR="003A3099" w:rsidRDefault="003A3099" w:rsidP="003A3099">
            <w:pPr>
              <w:autoSpaceDE w:val="0"/>
              <w:autoSpaceDN w:val="0"/>
              <w:adjustRightInd w:val="0"/>
              <w:jc w:val="center"/>
              <w:rPr>
                <w:sz w:val="22"/>
                <w:szCs w:val="22"/>
                <w:lang w:eastAsia="de-DE"/>
              </w:rPr>
            </w:pPr>
            <w:r>
              <w:rPr>
                <w:sz w:val="22"/>
                <w:szCs w:val="22"/>
                <w:lang w:eastAsia="de-DE"/>
              </w:rPr>
              <w:t>NR (NR, NR)</w:t>
            </w:r>
          </w:p>
          <w:p w:rsidR="003A3099" w:rsidRDefault="003A3099" w:rsidP="003A3099">
            <w:pPr>
              <w:pStyle w:val="Brdtekst"/>
              <w:spacing w:before="10"/>
              <w:jc w:val="center"/>
              <w:rPr>
                <w:lang w:eastAsia="de-DE"/>
              </w:rPr>
            </w:pPr>
          </w:p>
        </w:tc>
      </w:tr>
      <w:tr w:rsidR="003A3099" w:rsidTr="003A3099">
        <w:tc>
          <w:tcPr>
            <w:tcW w:w="2304" w:type="dxa"/>
            <w:tcBorders>
              <w:top w:val="single" w:sz="4" w:space="0" w:color="auto"/>
              <w:left w:val="single" w:sz="4" w:space="0" w:color="auto"/>
              <w:bottom w:val="single" w:sz="4" w:space="0" w:color="auto"/>
              <w:right w:val="single" w:sz="4" w:space="0" w:color="auto"/>
            </w:tcBorders>
            <w:hideMark/>
          </w:tcPr>
          <w:p w:rsidR="003A3099" w:rsidRPr="003A3099" w:rsidRDefault="003A3099" w:rsidP="003A3099">
            <w:pPr>
              <w:autoSpaceDE w:val="0"/>
              <w:autoSpaceDN w:val="0"/>
              <w:adjustRightInd w:val="0"/>
              <w:rPr>
                <w:lang w:val="en-US" w:eastAsia="de-DE"/>
              </w:rPr>
            </w:pPr>
            <w:r w:rsidRPr="003A3099">
              <w:rPr>
                <w:sz w:val="22"/>
                <w:szCs w:val="22"/>
                <w:lang w:val="en-US" w:eastAsia="de-DE"/>
              </w:rPr>
              <w:lastRenderedPageBreak/>
              <w:t>Hazard ratio relative to Placebo plus ADT (95% CI)</w:t>
            </w:r>
            <w:r w:rsidRPr="003A3099">
              <w:rPr>
                <w:i/>
                <w:iCs/>
                <w:sz w:val="22"/>
                <w:szCs w:val="22"/>
                <w:vertAlign w:val="superscript"/>
                <w:lang w:val="en-US" w:eastAsia="de-DE"/>
              </w:rPr>
              <w:t>4</w:t>
            </w:r>
          </w:p>
        </w:tc>
        <w:tc>
          <w:tcPr>
            <w:tcW w:w="2304" w:type="dxa"/>
            <w:tcBorders>
              <w:top w:val="single" w:sz="4" w:space="0" w:color="auto"/>
              <w:left w:val="single" w:sz="4" w:space="0" w:color="auto"/>
              <w:bottom w:val="single" w:sz="4" w:space="0" w:color="auto"/>
              <w:right w:val="single" w:sz="4" w:space="0" w:color="auto"/>
            </w:tcBorders>
            <w:hideMark/>
          </w:tcPr>
          <w:p w:rsidR="003A3099" w:rsidRDefault="003A3099" w:rsidP="003A3099">
            <w:pPr>
              <w:pStyle w:val="Brdtekst"/>
              <w:spacing w:before="10"/>
              <w:jc w:val="center"/>
              <w:rPr>
                <w:lang w:eastAsia="de-DE"/>
              </w:rPr>
            </w:pPr>
            <w:r>
              <w:rPr>
                <w:lang w:eastAsia="de-DE"/>
              </w:rPr>
              <w:t>0.36 (0.26, 0.49)</w:t>
            </w:r>
          </w:p>
        </w:tc>
        <w:tc>
          <w:tcPr>
            <w:tcW w:w="2304" w:type="dxa"/>
            <w:tcBorders>
              <w:top w:val="single" w:sz="4" w:space="0" w:color="auto"/>
              <w:left w:val="single" w:sz="4" w:space="0" w:color="auto"/>
              <w:bottom w:val="single" w:sz="4" w:space="0" w:color="auto"/>
              <w:right w:val="single" w:sz="4" w:space="0" w:color="auto"/>
            </w:tcBorders>
            <w:hideMark/>
          </w:tcPr>
          <w:p w:rsidR="003A3099" w:rsidRDefault="003A3099" w:rsidP="003A3099">
            <w:pPr>
              <w:pStyle w:val="Brdtekst"/>
              <w:spacing w:before="10"/>
              <w:jc w:val="center"/>
              <w:rPr>
                <w:lang w:eastAsia="de-DE"/>
              </w:rPr>
            </w:pPr>
            <w:r>
              <w:rPr>
                <w:lang w:eastAsia="de-DE"/>
              </w:rPr>
              <w:t>--</w:t>
            </w:r>
          </w:p>
        </w:tc>
        <w:tc>
          <w:tcPr>
            <w:tcW w:w="2304" w:type="dxa"/>
            <w:tcBorders>
              <w:top w:val="single" w:sz="4" w:space="0" w:color="auto"/>
              <w:left w:val="single" w:sz="4" w:space="0" w:color="auto"/>
              <w:bottom w:val="single" w:sz="4" w:space="0" w:color="auto"/>
              <w:right w:val="single" w:sz="4" w:space="0" w:color="auto"/>
            </w:tcBorders>
          </w:tcPr>
          <w:p w:rsidR="003A3099" w:rsidRDefault="003A3099" w:rsidP="003A3099">
            <w:pPr>
              <w:autoSpaceDE w:val="0"/>
              <w:autoSpaceDN w:val="0"/>
              <w:adjustRightInd w:val="0"/>
              <w:jc w:val="center"/>
              <w:rPr>
                <w:sz w:val="22"/>
                <w:szCs w:val="22"/>
                <w:lang w:eastAsia="de-DE"/>
              </w:rPr>
            </w:pPr>
            <w:r>
              <w:rPr>
                <w:sz w:val="22"/>
                <w:szCs w:val="22"/>
                <w:lang w:eastAsia="de-DE"/>
              </w:rPr>
              <w:t>0.54 (0.41, 0.71)</w:t>
            </w:r>
          </w:p>
          <w:p w:rsidR="003A3099" w:rsidRDefault="003A3099" w:rsidP="003A3099">
            <w:pPr>
              <w:pStyle w:val="Brdtekst"/>
              <w:spacing w:before="10"/>
              <w:jc w:val="center"/>
              <w:rPr>
                <w:lang w:eastAsia="de-DE"/>
              </w:rPr>
            </w:pPr>
          </w:p>
        </w:tc>
      </w:tr>
      <w:tr w:rsidR="003A3099" w:rsidTr="003A3099">
        <w:tc>
          <w:tcPr>
            <w:tcW w:w="2304" w:type="dxa"/>
            <w:tcBorders>
              <w:top w:val="single" w:sz="4" w:space="0" w:color="auto"/>
              <w:left w:val="single" w:sz="4" w:space="0" w:color="auto"/>
              <w:bottom w:val="single" w:sz="4" w:space="0" w:color="auto"/>
              <w:right w:val="single" w:sz="4" w:space="0" w:color="auto"/>
            </w:tcBorders>
            <w:hideMark/>
          </w:tcPr>
          <w:p w:rsidR="003A3099" w:rsidRPr="003A3099" w:rsidRDefault="003A3099">
            <w:pPr>
              <w:autoSpaceDE w:val="0"/>
              <w:autoSpaceDN w:val="0"/>
              <w:adjustRightInd w:val="0"/>
              <w:rPr>
                <w:sz w:val="22"/>
                <w:szCs w:val="22"/>
                <w:lang w:val="en-US" w:eastAsia="de-DE"/>
              </w:rPr>
            </w:pPr>
            <w:r w:rsidRPr="003A3099">
              <w:rPr>
                <w:sz w:val="22"/>
                <w:szCs w:val="22"/>
                <w:lang w:val="en-US" w:eastAsia="de-DE"/>
              </w:rPr>
              <w:t>P-value for comparison to Placebo plus ADT</w:t>
            </w:r>
            <w:r w:rsidRPr="003A3099">
              <w:rPr>
                <w:i/>
                <w:iCs/>
                <w:sz w:val="22"/>
                <w:szCs w:val="22"/>
                <w:vertAlign w:val="superscript"/>
                <w:lang w:val="en-US" w:eastAsia="de-DE"/>
              </w:rPr>
              <w:t>5</w:t>
            </w:r>
          </w:p>
        </w:tc>
        <w:tc>
          <w:tcPr>
            <w:tcW w:w="2304" w:type="dxa"/>
            <w:tcBorders>
              <w:top w:val="single" w:sz="4" w:space="0" w:color="auto"/>
              <w:left w:val="single" w:sz="4" w:space="0" w:color="auto"/>
              <w:bottom w:val="single" w:sz="4" w:space="0" w:color="auto"/>
              <w:right w:val="single" w:sz="4" w:space="0" w:color="auto"/>
            </w:tcBorders>
            <w:hideMark/>
          </w:tcPr>
          <w:p w:rsidR="003A3099" w:rsidRDefault="003A3099" w:rsidP="003A3099">
            <w:pPr>
              <w:pStyle w:val="Brdtekst"/>
              <w:spacing w:before="10"/>
              <w:jc w:val="center"/>
              <w:rPr>
                <w:lang w:eastAsia="de-DE"/>
              </w:rPr>
            </w:pPr>
            <w:r>
              <w:rPr>
                <w:lang w:eastAsia="de-DE"/>
              </w:rPr>
              <w:t>p &lt; 0.0001</w:t>
            </w:r>
          </w:p>
        </w:tc>
        <w:tc>
          <w:tcPr>
            <w:tcW w:w="2304" w:type="dxa"/>
            <w:tcBorders>
              <w:top w:val="single" w:sz="4" w:space="0" w:color="auto"/>
              <w:left w:val="single" w:sz="4" w:space="0" w:color="auto"/>
              <w:bottom w:val="single" w:sz="4" w:space="0" w:color="auto"/>
              <w:right w:val="single" w:sz="4" w:space="0" w:color="auto"/>
            </w:tcBorders>
            <w:hideMark/>
          </w:tcPr>
          <w:p w:rsidR="003A3099" w:rsidRDefault="003A3099" w:rsidP="003A3099">
            <w:pPr>
              <w:pStyle w:val="Brdtekst"/>
              <w:spacing w:before="10"/>
              <w:jc w:val="center"/>
              <w:rPr>
                <w:lang w:eastAsia="de-DE"/>
              </w:rPr>
            </w:pPr>
            <w:r>
              <w:rPr>
                <w:lang w:eastAsia="de-DE"/>
              </w:rPr>
              <w:t>--</w:t>
            </w:r>
          </w:p>
        </w:tc>
        <w:tc>
          <w:tcPr>
            <w:tcW w:w="2304" w:type="dxa"/>
            <w:tcBorders>
              <w:top w:val="single" w:sz="4" w:space="0" w:color="auto"/>
              <w:left w:val="single" w:sz="4" w:space="0" w:color="auto"/>
              <w:bottom w:val="single" w:sz="4" w:space="0" w:color="auto"/>
              <w:right w:val="single" w:sz="4" w:space="0" w:color="auto"/>
            </w:tcBorders>
            <w:hideMark/>
          </w:tcPr>
          <w:p w:rsidR="003A3099" w:rsidRDefault="003A3099" w:rsidP="003A3099">
            <w:pPr>
              <w:autoSpaceDE w:val="0"/>
              <w:autoSpaceDN w:val="0"/>
              <w:adjustRightInd w:val="0"/>
              <w:jc w:val="center"/>
              <w:rPr>
                <w:sz w:val="22"/>
                <w:szCs w:val="22"/>
                <w:lang w:eastAsia="de-DE"/>
              </w:rPr>
            </w:pPr>
            <w:r>
              <w:rPr>
                <w:sz w:val="22"/>
                <w:szCs w:val="22"/>
                <w:lang w:eastAsia="de-DE"/>
              </w:rPr>
              <w:t>p &lt; 0.0001</w:t>
            </w:r>
          </w:p>
        </w:tc>
      </w:tr>
      <w:tr w:rsidR="003A3099" w:rsidTr="003A3099">
        <w:tc>
          <w:tcPr>
            <w:tcW w:w="9216" w:type="dxa"/>
            <w:gridSpan w:val="4"/>
            <w:tcBorders>
              <w:top w:val="single" w:sz="4" w:space="0" w:color="auto"/>
              <w:left w:val="single" w:sz="4" w:space="0" w:color="auto"/>
              <w:bottom w:val="single" w:sz="4" w:space="0" w:color="auto"/>
              <w:right w:val="single" w:sz="4" w:space="0" w:color="auto"/>
            </w:tcBorders>
            <w:hideMark/>
          </w:tcPr>
          <w:p w:rsidR="003A3099" w:rsidRDefault="003A3099">
            <w:pPr>
              <w:autoSpaceDE w:val="0"/>
              <w:autoSpaceDN w:val="0"/>
              <w:adjustRightInd w:val="0"/>
              <w:rPr>
                <w:sz w:val="22"/>
                <w:szCs w:val="22"/>
                <w:lang w:eastAsia="de-DE"/>
              </w:rPr>
            </w:pPr>
            <w:r>
              <w:rPr>
                <w:b/>
                <w:bCs/>
                <w:sz w:val="22"/>
                <w:szCs w:val="22"/>
                <w:lang w:val="de-DE" w:eastAsia="de-DE"/>
              </w:rPr>
              <w:t>Overall Survival</w:t>
            </w:r>
            <w:r>
              <w:rPr>
                <w:b/>
                <w:bCs/>
                <w:sz w:val="22"/>
                <w:szCs w:val="22"/>
                <w:vertAlign w:val="superscript"/>
                <w:lang w:val="de-DE" w:eastAsia="de-DE"/>
              </w:rPr>
              <w:t>8</w:t>
            </w:r>
          </w:p>
        </w:tc>
      </w:tr>
      <w:tr w:rsidR="003A3099" w:rsidTr="003A3099">
        <w:tc>
          <w:tcPr>
            <w:tcW w:w="2304" w:type="dxa"/>
            <w:tcBorders>
              <w:top w:val="single" w:sz="4" w:space="0" w:color="auto"/>
              <w:left w:val="single" w:sz="4" w:space="0" w:color="auto"/>
              <w:bottom w:val="single" w:sz="4" w:space="0" w:color="auto"/>
              <w:right w:val="single" w:sz="4" w:space="0" w:color="auto"/>
            </w:tcBorders>
            <w:hideMark/>
          </w:tcPr>
          <w:p w:rsidR="003A3099" w:rsidRDefault="003A3099">
            <w:pPr>
              <w:autoSpaceDE w:val="0"/>
              <w:autoSpaceDN w:val="0"/>
              <w:adjustRightInd w:val="0"/>
              <w:rPr>
                <w:sz w:val="22"/>
                <w:szCs w:val="22"/>
                <w:lang w:eastAsia="de-DE"/>
              </w:rPr>
            </w:pPr>
            <w:proofErr w:type="spellStart"/>
            <w:r>
              <w:rPr>
                <w:sz w:val="22"/>
                <w:szCs w:val="22"/>
                <w:lang w:eastAsia="de-DE"/>
              </w:rPr>
              <w:t>Number</w:t>
            </w:r>
            <w:proofErr w:type="spellEnd"/>
            <w:r>
              <w:rPr>
                <w:sz w:val="22"/>
                <w:szCs w:val="22"/>
                <w:lang w:eastAsia="de-DE"/>
              </w:rPr>
              <w:t xml:space="preserve"> of events (%)</w:t>
            </w:r>
          </w:p>
        </w:tc>
        <w:tc>
          <w:tcPr>
            <w:tcW w:w="2304" w:type="dxa"/>
            <w:tcBorders>
              <w:top w:val="single" w:sz="4" w:space="0" w:color="auto"/>
              <w:left w:val="single" w:sz="4" w:space="0" w:color="auto"/>
              <w:bottom w:val="single" w:sz="4" w:space="0" w:color="auto"/>
              <w:right w:val="single" w:sz="4" w:space="0" w:color="auto"/>
            </w:tcBorders>
            <w:hideMark/>
          </w:tcPr>
          <w:p w:rsidR="003A3099" w:rsidRDefault="003A3099" w:rsidP="003A3099">
            <w:pPr>
              <w:pStyle w:val="Brdtekst"/>
              <w:spacing w:before="10"/>
              <w:jc w:val="center"/>
              <w:rPr>
                <w:lang w:eastAsia="de-DE"/>
              </w:rPr>
            </w:pPr>
            <w:r>
              <w:rPr>
                <w:lang w:eastAsia="de-DE"/>
              </w:rPr>
              <w:t>33 (9.3)</w:t>
            </w:r>
          </w:p>
        </w:tc>
        <w:tc>
          <w:tcPr>
            <w:tcW w:w="2304" w:type="dxa"/>
            <w:tcBorders>
              <w:top w:val="single" w:sz="4" w:space="0" w:color="auto"/>
              <w:left w:val="single" w:sz="4" w:space="0" w:color="auto"/>
              <w:bottom w:val="single" w:sz="4" w:space="0" w:color="auto"/>
              <w:right w:val="single" w:sz="4" w:space="0" w:color="auto"/>
            </w:tcBorders>
            <w:hideMark/>
          </w:tcPr>
          <w:p w:rsidR="003A3099" w:rsidRDefault="003A3099" w:rsidP="003A3099">
            <w:pPr>
              <w:pStyle w:val="Brdtekst"/>
              <w:spacing w:before="10"/>
              <w:jc w:val="center"/>
              <w:rPr>
                <w:lang w:eastAsia="de-DE"/>
              </w:rPr>
            </w:pPr>
            <w:r>
              <w:rPr>
                <w:lang w:eastAsia="de-DE"/>
              </w:rPr>
              <w:t>55 (15.4)</w:t>
            </w:r>
          </w:p>
        </w:tc>
        <w:tc>
          <w:tcPr>
            <w:tcW w:w="2304" w:type="dxa"/>
            <w:tcBorders>
              <w:top w:val="single" w:sz="4" w:space="0" w:color="auto"/>
              <w:left w:val="single" w:sz="4" w:space="0" w:color="auto"/>
              <w:bottom w:val="single" w:sz="4" w:space="0" w:color="auto"/>
              <w:right w:val="single" w:sz="4" w:space="0" w:color="auto"/>
            </w:tcBorders>
            <w:hideMark/>
          </w:tcPr>
          <w:p w:rsidR="003A3099" w:rsidRDefault="003A3099" w:rsidP="003A3099">
            <w:pPr>
              <w:autoSpaceDE w:val="0"/>
              <w:autoSpaceDN w:val="0"/>
              <w:adjustRightInd w:val="0"/>
              <w:jc w:val="center"/>
              <w:rPr>
                <w:sz w:val="22"/>
                <w:szCs w:val="22"/>
                <w:lang w:eastAsia="de-DE"/>
              </w:rPr>
            </w:pPr>
            <w:r>
              <w:rPr>
                <w:sz w:val="22"/>
                <w:szCs w:val="22"/>
                <w:lang w:eastAsia="de-DE"/>
              </w:rPr>
              <w:t>42 (11.8)</w:t>
            </w:r>
          </w:p>
        </w:tc>
      </w:tr>
      <w:tr w:rsidR="003A3099" w:rsidTr="003A3099">
        <w:tc>
          <w:tcPr>
            <w:tcW w:w="2304" w:type="dxa"/>
            <w:tcBorders>
              <w:top w:val="single" w:sz="4" w:space="0" w:color="auto"/>
              <w:left w:val="single" w:sz="4" w:space="0" w:color="auto"/>
              <w:bottom w:val="single" w:sz="4" w:space="0" w:color="auto"/>
              <w:right w:val="single" w:sz="4" w:space="0" w:color="auto"/>
            </w:tcBorders>
            <w:hideMark/>
          </w:tcPr>
          <w:p w:rsidR="003A3099" w:rsidRDefault="003A3099">
            <w:pPr>
              <w:autoSpaceDE w:val="0"/>
              <w:autoSpaceDN w:val="0"/>
              <w:adjustRightInd w:val="0"/>
              <w:rPr>
                <w:sz w:val="22"/>
                <w:szCs w:val="22"/>
                <w:lang w:eastAsia="de-DE"/>
              </w:rPr>
            </w:pPr>
            <w:r>
              <w:rPr>
                <w:sz w:val="22"/>
                <w:szCs w:val="22"/>
                <w:lang w:eastAsia="de-DE"/>
              </w:rPr>
              <w:t xml:space="preserve">Median, </w:t>
            </w:r>
            <w:proofErr w:type="spellStart"/>
            <w:r>
              <w:rPr>
                <w:sz w:val="22"/>
                <w:szCs w:val="22"/>
                <w:lang w:eastAsia="de-DE"/>
              </w:rPr>
              <w:t>months</w:t>
            </w:r>
            <w:proofErr w:type="spellEnd"/>
            <w:r>
              <w:rPr>
                <w:sz w:val="22"/>
                <w:szCs w:val="22"/>
                <w:lang w:eastAsia="de-DE"/>
              </w:rPr>
              <w:t xml:space="preserve"> (95% CI)</w:t>
            </w:r>
            <w:r>
              <w:rPr>
                <w:i/>
                <w:iCs/>
                <w:sz w:val="22"/>
                <w:szCs w:val="22"/>
                <w:vertAlign w:val="superscript"/>
                <w:lang w:eastAsia="de-DE"/>
              </w:rPr>
              <w:t>3</w:t>
            </w:r>
          </w:p>
        </w:tc>
        <w:tc>
          <w:tcPr>
            <w:tcW w:w="2304" w:type="dxa"/>
            <w:tcBorders>
              <w:top w:val="single" w:sz="4" w:space="0" w:color="auto"/>
              <w:left w:val="single" w:sz="4" w:space="0" w:color="auto"/>
              <w:bottom w:val="single" w:sz="4" w:space="0" w:color="auto"/>
              <w:right w:val="single" w:sz="4" w:space="0" w:color="auto"/>
            </w:tcBorders>
            <w:hideMark/>
          </w:tcPr>
          <w:p w:rsidR="003A3099" w:rsidRDefault="003A3099" w:rsidP="003A3099">
            <w:pPr>
              <w:pStyle w:val="Brdtekst"/>
              <w:spacing w:before="10"/>
              <w:jc w:val="center"/>
              <w:rPr>
                <w:lang w:eastAsia="de-DE"/>
              </w:rPr>
            </w:pPr>
            <w:r>
              <w:rPr>
                <w:lang w:eastAsia="de-DE"/>
              </w:rPr>
              <w:t>NR (NR, NR)</w:t>
            </w:r>
          </w:p>
        </w:tc>
        <w:tc>
          <w:tcPr>
            <w:tcW w:w="2304" w:type="dxa"/>
            <w:tcBorders>
              <w:top w:val="single" w:sz="4" w:space="0" w:color="auto"/>
              <w:left w:val="single" w:sz="4" w:space="0" w:color="auto"/>
              <w:bottom w:val="single" w:sz="4" w:space="0" w:color="auto"/>
              <w:right w:val="single" w:sz="4" w:space="0" w:color="auto"/>
            </w:tcBorders>
            <w:hideMark/>
          </w:tcPr>
          <w:p w:rsidR="003A3099" w:rsidRDefault="003A3099" w:rsidP="003A3099">
            <w:pPr>
              <w:pStyle w:val="Brdtekst"/>
              <w:spacing w:before="10"/>
              <w:jc w:val="center"/>
              <w:rPr>
                <w:lang w:eastAsia="de-DE"/>
              </w:rPr>
            </w:pPr>
            <w:r>
              <w:rPr>
                <w:lang w:eastAsia="de-DE"/>
              </w:rPr>
              <w:t>NR (NR, NR)</w:t>
            </w:r>
          </w:p>
        </w:tc>
        <w:tc>
          <w:tcPr>
            <w:tcW w:w="2304" w:type="dxa"/>
            <w:tcBorders>
              <w:top w:val="single" w:sz="4" w:space="0" w:color="auto"/>
              <w:left w:val="single" w:sz="4" w:space="0" w:color="auto"/>
              <w:bottom w:val="single" w:sz="4" w:space="0" w:color="auto"/>
              <w:right w:val="single" w:sz="4" w:space="0" w:color="auto"/>
            </w:tcBorders>
            <w:hideMark/>
          </w:tcPr>
          <w:p w:rsidR="003A3099" w:rsidRDefault="003A3099" w:rsidP="003A3099">
            <w:pPr>
              <w:autoSpaceDE w:val="0"/>
              <w:autoSpaceDN w:val="0"/>
              <w:adjustRightInd w:val="0"/>
              <w:jc w:val="center"/>
              <w:rPr>
                <w:sz w:val="22"/>
                <w:szCs w:val="22"/>
                <w:lang w:eastAsia="de-DE"/>
              </w:rPr>
            </w:pPr>
            <w:r>
              <w:rPr>
                <w:sz w:val="22"/>
                <w:szCs w:val="22"/>
                <w:lang w:eastAsia="de-DE"/>
              </w:rPr>
              <w:t>NR (NR, NR)</w:t>
            </w:r>
          </w:p>
        </w:tc>
      </w:tr>
      <w:tr w:rsidR="003A3099" w:rsidTr="003A3099">
        <w:tc>
          <w:tcPr>
            <w:tcW w:w="2304" w:type="dxa"/>
            <w:tcBorders>
              <w:top w:val="single" w:sz="4" w:space="0" w:color="auto"/>
              <w:left w:val="single" w:sz="4" w:space="0" w:color="auto"/>
              <w:bottom w:val="single" w:sz="4" w:space="0" w:color="auto"/>
              <w:right w:val="single" w:sz="4" w:space="0" w:color="auto"/>
            </w:tcBorders>
            <w:hideMark/>
          </w:tcPr>
          <w:p w:rsidR="003A3099" w:rsidRPr="003A3099" w:rsidRDefault="003A3099">
            <w:pPr>
              <w:autoSpaceDE w:val="0"/>
              <w:autoSpaceDN w:val="0"/>
              <w:adjustRightInd w:val="0"/>
              <w:rPr>
                <w:sz w:val="22"/>
                <w:szCs w:val="22"/>
                <w:vertAlign w:val="superscript"/>
                <w:lang w:val="en-US" w:eastAsia="de-DE"/>
              </w:rPr>
            </w:pPr>
            <w:r w:rsidRPr="003A3099">
              <w:rPr>
                <w:sz w:val="22"/>
                <w:szCs w:val="22"/>
                <w:lang w:val="en-US" w:eastAsia="de-DE"/>
              </w:rPr>
              <w:t>Hazard ratio relative to Placebo plus ADT (95% CI)</w:t>
            </w:r>
            <w:r w:rsidRPr="003A3099">
              <w:rPr>
                <w:i/>
                <w:iCs/>
                <w:sz w:val="22"/>
                <w:szCs w:val="22"/>
                <w:vertAlign w:val="superscript"/>
                <w:lang w:val="en-US" w:eastAsia="de-DE"/>
              </w:rPr>
              <w:t>4</w:t>
            </w:r>
          </w:p>
        </w:tc>
        <w:tc>
          <w:tcPr>
            <w:tcW w:w="2304" w:type="dxa"/>
            <w:tcBorders>
              <w:top w:val="single" w:sz="4" w:space="0" w:color="auto"/>
              <w:left w:val="single" w:sz="4" w:space="0" w:color="auto"/>
              <w:bottom w:val="single" w:sz="4" w:space="0" w:color="auto"/>
              <w:right w:val="single" w:sz="4" w:space="0" w:color="auto"/>
            </w:tcBorders>
            <w:hideMark/>
          </w:tcPr>
          <w:p w:rsidR="003A3099" w:rsidRDefault="003A3099" w:rsidP="003A3099">
            <w:pPr>
              <w:pStyle w:val="Brdtekst"/>
              <w:spacing w:before="10"/>
              <w:jc w:val="center"/>
              <w:rPr>
                <w:lang w:eastAsia="de-DE"/>
              </w:rPr>
            </w:pPr>
            <w:r>
              <w:rPr>
                <w:lang w:eastAsia="de-DE"/>
              </w:rPr>
              <w:t>0.59 (0.38, 0.91)</w:t>
            </w:r>
          </w:p>
        </w:tc>
        <w:tc>
          <w:tcPr>
            <w:tcW w:w="2304" w:type="dxa"/>
            <w:tcBorders>
              <w:top w:val="single" w:sz="4" w:space="0" w:color="auto"/>
              <w:left w:val="single" w:sz="4" w:space="0" w:color="auto"/>
              <w:bottom w:val="single" w:sz="4" w:space="0" w:color="auto"/>
              <w:right w:val="single" w:sz="4" w:space="0" w:color="auto"/>
            </w:tcBorders>
            <w:hideMark/>
          </w:tcPr>
          <w:p w:rsidR="003A3099" w:rsidRDefault="003A3099" w:rsidP="003A3099">
            <w:pPr>
              <w:pStyle w:val="Brdtekst"/>
              <w:spacing w:before="10"/>
              <w:jc w:val="center"/>
              <w:rPr>
                <w:lang w:eastAsia="de-DE"/>
              </w:rPr>
            </w:pPr>
            <w:r>
              <w:rPr>
                <w:lang w:eastAsia="de-DE"/>
              </w:rPr>
              <w:t>--</w:t>
            </w:r>
          </w:p>
        </w:tc>
        <w:tc>
          <w:tcPr>
            <w:tcW w:w="2304" w:type="dxa"/>
            <w:tcBorders>
              <w:top w:val="single" w:sz="4" w:space="0" w:color="auto"/>
              <w:left w:val="single" w:sz="4" w:space="0" w:color="auto"/>
              <w:bottom w:val="single" w:sz="4" w:space="0" w:color="auto"/>
              <w:right w:val="single" w:sz="4" w:space="0" w:color="auto"/>
            </w:tcBorders>
          </w:tcPr>
          <w:p w:rsidR="003A3099" w:rsidRDefault="003A3099" w:rsidP="003A3099">
            <w:pPr>
              <w:autoSpaceDE w:val="0"/>
              <w:autoSpaceDN w:val="0"/>
              <w:adjustRightInd w:val="0"/>
              <w:jc w:val="center"/>
              <w:rPr>
                <w:sz w:val="22"/>
                <w:szCs w:val="22"/>
                <w:lang w:eastAsia="de-DE"/>
              </w:rPr>
            </w:pPr>
            <w:r>
              <w:rPr>
                <w:sz w:val="22"/>
                <w:szCs w:val="22"/>
                <w:lang w:eastAsia="de-DE"/>
              </w:rPr>
              <w:t>0.78 (0.52, 1.17)</w:t>
            </w:r>
          </w:p>
          <w:p w:rsidR="003A3099" w:rsidRDefault="003A3099" w:rsidP="003A3099">
            <w:pPr>
              <w:autoSpaceDE w:val="0"/>
              <w:autoSpaceDN w:val="0"/>
              <w:adjustRightInd w:val="0"/>
              <w:jc w:val="center"/>
              <w:rPr>
                <w:sz w:val="22"/>
                <w:szCs w:val="22"/>
                <w:lang w:eastAsia="de-DE"/>
              </w:rPr>
            </w:pPr>
          </w:p>
        </w:tc>
      </w:tr>
      <w:tr w:rsidR="003A3099" w:rsidTr="003A3099">
        <w:tc>
          <w:tcPr>
            <w:tcW w:w="2304" w:type="dxa"/>
            <w:tcBorders>
              <w:top w:val="single" w:sz="4" w:space="0" w:color="auto"/>
              <w:left w:val="single" w:sz="4" w:space="0" w:color="auto"/>
              <w:bottom w:val="single" w:sz="4" w:space="0" w:color="auto"/>
              <w:right w:val="single" w:sz="4" w:space="0" w:color="auto"/>
            </w:tcBorders>
            <w:hideMark/>
          </w:tcPr>
          <w:p w:rsidR="003A3099" w:rsidRPr="003A3099" w:rsidRDefault="003A3099">
            <w:pPr>
              <w:autoSpaceDE w:val="0"/>
              <w:autoSpaceDN w:val="0"/>
              <w:adjustRightInd w:val="0"/>
              <w:rPr>
                <w:sz w:val="22"/>
                <w:szCs w:val="22"/>
                <w:lang w:val="en-US" w:eastAsia="de-DE"/>
              </w:rPr>
            </w:pPr>
            <w:r w:rsidRPr="003A3099">
              <w:rPr>
                <w:sz w:val="22"/>
                <w:szCs w:val="22"/>
                <w:lang w:val="en-US" w:eastAsia="de-DE"/>
              </w:rPr>
              <w:t>P-value for comparison to Placebo plus ADT</w:t>
            </w:r>
            <w:r w:rsidRPr="003A3099">
              <w:rPr>
                <w:i/>
                <w:iCs/>
                <w:sz w:val="22"/>
                <w:szCs w:val="22"/>
                <w:vertAlign w:val="superscript"/>
                <w:lang w:val="en-US" w:eastAsia="de-DE"/>
              </w:rPr>
              <w:t>5</w:t>
            </w:r>
          </w:p>
        </w:tc>
        <w:tc>
          <w:tcPr>
            <w:tcW w:w="2304" w:type="dxa"/>
            <w:tcBorders>
              <w:top w:val="single" w:sz="4" w:space="0" w:color="auto"/>
              <w:left w:val="single" w:sz="4" w:space="0" w:color="auto"/>
              <w:bottom w:val="single" w:sz="4" w:space="0" w:color="auto"/>
              <w:right w:val="single" w:sz="4" w:space="0" w:color="auto"/>
            </w:tcBorders>
            <w:hideMark/>
          </w:tcPr>
          <w:p w:rsidR="003A3099" w:rsidRDefault="003A3099" w:rsidP="003A3099">
            <w:pPr>
              <w:pStyle w:val="Brdtekst"/>
              <w:spacing w:before="10"/>
              <w:jc w:val="center"/>
              <w:rPr>
                <w:vertAlign w:val="superscript"/>
                <w:lang w:eastAsia="de-DE"/>
              </w:rPr>
            </w:pPr>
            <w:r>
              <w:rPr>
                <w:lang w:eastAsia="de-DE"/>
              </w:rPr>
              <w:t>p = 0.0153</w:t>
            </w:r>
            <w:r>
              <w:rPr>
                <w:i/>
                <w:iCs/>
                <w:vertAlign w:val="superscript"/>
                <w:lang w:eastAsia="de-DE"/>
              </w:rPr>
              <w:t>9</w:t>
            </w:r>
          </w:p>
        </w:tc>
        <w:tc>
          <w:tcPr>
            <w:tcW w:w="2304" w:type="dxa"/>
            <w:tcBorders>
              <w:top w:val="single" w:sz="4" w:space="0" w:color="auto"/>
              <w:left w:val="single" w:sz="4" w:space="0" w:color="auto"/>
              <w:bottom w:val="single" w:sz="4" w:space="0" w:color="auto"/>
              <w:right w:val="single" w:sz="4" w:space="0" w:color="auto"/>
            </w:tcBorders>
            <w:hideMark/>
          </w:tcPr>
          <w:p w:rsidR="003A3099" w:rsidRDefault="003A3099" w:rsidP="003A3099">
            <w:pPr>
              <w:pStyle w:val="Brdtekst"/>
              <w:spacing w:before="10"/>
              <w:jc w:val="center"/>
              <w:rPr>
                <w:lang w:eastAsia="de-DE"/>
              </w:rPr>
            </w:pPr>
            <w:r>
              <w:rPr>
                <w:lang w:eastAsia="de-DE"/>
              </w:rPr>
              <w:t>--</w:t>
            </w:r>
          </w:p>
        </w:tc>
        <w:tc>
          <w:tcPr>
            <w:tcW w:w="2304" w:type="dxa"/>
            <w:tcBorders>
              <w:top w:val="single" w:sz="4" w:space="0" w:color="auto"/>
              <w:left w:val="single" w:sz="4" w:space="0" w:color="auto"/>
              <w:bottom w:val="single" w:sz="4" w:space="0" w:color="auto"/>
              <w:right w:val="single" w:sz="4" w:space="0" w:color="auto"/>
            </w:tcBorders>
            <w:hideMark/>
          </w:tcPr>
          <w:p w:rsidR="003A3099" w:rsidRDefault="003A3099" w:rsidP="003A3099">
            <w:pPr>
              <w:autoSpaceDE w:val="0"/>
              <w:autoSpaceDN w:val="0"/>
              <w:adjustRightInd w:val="0"/>
              <w:jc w:val="center"/>
              <w:rPr>
                <w:sz w:val="22"/>
                <w:szCs w:val="22"/>
                <w:lang w:eastAsia="de-DE"/>
              </w:rPr>
            </w:pPr>
            <w:r>
              <w:rPr>
                <w:sz w:val="22"/>
                <w:szCs w:val="22"/>
                <w:lang w:eastAsia="de-DE"/>
              </w:rPr>
              <w:t>p = 0.2304</w:t>
            </w:r>
            <w:r>
              <w:rPr>
                <w:i/>
                <w:iCs/>
                <w:sz w:val="22"/>
                <w:szCs w:val="22"/>
                <w:vertAlign w:val="superscript"/>
                <w:lang w:eastAsia="de-DE"/>
              </w:rPr>
              <w:t>9</w:t>
            </w:r>
          </w:p>
        </w:tc>
      </w:tr>
    </w:tbl>
    <w:p w:rsidR="003A3099" w:rsidRDefault="003A3099" w:rsidP="003A3099">
      <w:pPr>
        <w:autoSpaceDE w:val="0"/>
        <w:autoSpaceDN w:val="0"/>
        <w:adjustRightInd w:val="0"/>
        <w:rPr>
          <w:sz w:val="18"/>
          <w:szCs w:val="18"/>
          <w:lang w:val="en-US" w:eastAsia="de-DE"/>
        </w:rPr>
      </w:pPr>
      <w:r>
        <w:rPr>
          <w:sz w:val="18"/>
          <w:szCs w:val="18"/>
          <w:lang w:eastAsia="de-DE"/>
        </w:rPr>
        <w:t xml:space="preserve">NR = Not </w:t>
      </w:r>
      <w:proofErr w:type="spellStart"/>
      <w:r>
        <w:rPr>
          <w:sz w:val="18"/>
          <w:szCs w:val="18"/>
          <w:lang w:eastAsia="de-DE"/>
        </w:rPr>
        <w:t>reached</w:t>
      </w:r>
      <w:proofErr w:type="spellEnd"/>
      <w:r>
        <w:rPr>
          <w:sz w:val="18"/>
          <w:szCs w:val="18"/>
          <w:lang w:eastAsia="de-DE"/>
        </w:rPr>
        <w:t>.</w:t>
      </w:r>
    </w:p>
    <w:p w:rsidR="003A3099" w:rsidRPr="003A3099" w:rsidRDefault="003A3099" w:rsidP="003A3099">
      <w:pPr>
        <w:numPr>
          <w:ilvl w:val="0"/>
          <w:numId w:val="18"/>
        </w:numPr>
        <w:autoSpaceDE w:val="0"/>
        <w:autoSpaceDN w:val="0"/>
        <w:adjustRightInd w:val="0"/>
        <w:rPr>
          <w:sz w:val="18"/>
          <w:szCs w:val="18"/>
          <w:lang w:val="en-US" w:eastAsia="de-DE"/>
        </w:rPr>
      </w:pPr>
      <w:r w:rsidRPr="003A3099">
        <w:rPr>
          <w:sz w:val="18"/>
          <w:szCs w:val="18"/>
          <w:lang w:val="en-US" w:eastAsia="de-DE"/>
        </w:rPr>
        <w:t>Median follow-up time of 61 months.</w:t>
      </w:r>
    </w:p>
    <w:p w:rsidR="003A3099" w:rsidRPr="003A3099" w:rsidRDefault="003A3099" w:rsidP="003A3099">
      <w:pPr>
        <w:numPr>
          <w:ilvl w:val="0"/>
          <w:numId w:val="18"/>
        </w:numPr>
        <w:autoSpaceDE w:val="0"/>
        <w:autoSpaceDN w:val="0"/>
        <w:adjustRightInd w:val="0"/>
        <w:rPr>
          <w:sz w:val="18"/>
          <w:szCs w:val="18"/>
          <w:lang w:val="en-US" w:eastAsia="de-DE"/>
        </w:rPr>
      </w:pPr>
      <w:r w:rsidRPr="003A3099">
        <w:rPr>
          <w:sz w:val="18"/>
          <w:szCs w:val="18"/>
          <w:lang w:val="en-US" w:eastAsia="de-DE"/>
        </w:rPr>
        <w:t>Based on the earliest contributing event (radiographic progression or death).</w:t>
      </w:r>
    </w:p>
    <w:p w:rsidR="003A3099" w:rsidRPr="003A3099" w:rsidRDefault="003A3099" w:rsidP="003A3099">
      <w:pPr>
        <w:numPr>
          <w:ilvl w:val="0"/>
          <w:numId w:val="18"/>
        </w:numPr>
        <w:autoSpaceDE w:val="0"/>
        <w:autoSpaceDN w:val="0"/>
        <w:adjustRightInd w:val="0"/>
        <w:rPr>
          <w:sz w:val="18"/>
          <w:szCs w:val="18"/>
          <w:lang w:val="en-US" w:eastAsia="de-DE"/>
        </w:rPr>
      </w:pPr>
      <w:r w:rsidRPr="003A3099">
        <w:rPr>
          <w:sz w:val="18"/>
          <w:szCs w:val="18"/>
          <w:lang w:val="en-US" w:eastAsia="de-DE"/>
        </w:rPr>
        <w:t>Based on Kaplan-Meier estimates.</w:t>
      </w:r>
    </w:p>
    <w:p w:rsidR="003A3099" w:rsidRPr="003A3099" w:rsidRDefault="003A3099" w:rsidP="003A3099">
      <w:pPr>
        <w:numPr>
          <w:ilvl w:val="0"/>
          <w:numId w:val="18"/>
        </w:numPr>
        <w:autoSpaceDE w:val="0"/>
        <w:autoSpaceDN w:val="0"/>
        <w:adjustRightInd w:val="0"/>
        <w:rPr>
          <w:sz w:val="18"/>
          <w:szCs w:val="18"/>
          <w:lang w:val="en-US" w:eastAsia="de-DE"/>
        </w:rPr>
      </w:pPr>
      <w:r w:rsidRPr="003A3099">
        <w:rPr>
          <w:sz w:val="18"/>
          <w:szCs w:val="18"/>
          <w:lang w:val="en-US" w:eastAsia="de-DE"/>
        </w:rPr>
        <w:t>Hazard Ratio is based on a Cox regression model stratified by screening PSA, PSA doubling time, and prior hormonal therapy.</w:t>
      </w:r>
    </w:p>
    <w:p w:rsidR="003A3099" w:rsidRPr="003A3099" w:rsidRDefault="003A3099" w:rsidP="003A3099">
      <w:pPr>
        <w:numPr>
          <w:ilvl w:val="0"/>
          <w:numId w:val="18"/>
        </w:numPr>
        <w:autoSpaceDE w:val="0"/>
        <w:autoSpaceDN w:val="0"/>
        <w:adjustRightInd w:val="0"/>
        <w:rPr>
          <w:sz w:val="18"/>
          <w:szCs w:val="18"/>
          <w:lang w:val="en-US" w:eastAsia="de-DE"/>
        </w:rPr>
      </w:pPr>
      <w:r w:rsidRPr="003A3099">
        <w:rPr>
          <w:sz w:val="18"/>
          <w:szCs w:val="18"/>
          <w:lang w:val="en-US" w:eastAsia="de-DE"/>
        </w:rPr>
        <w:t>Two-sided P-value is based on a stratified log-rank test by screening PSA, PSA doubling time, and prior hormonal therapy.</w:t>
      </w:r>
    </w:p>
    <w:p w:rsidR="003A3099" w:rsidRPr="003A3099" w:rsidRDefault="003A3099" w:rsidP="003A3099">
      <w:pPr>
        <w:numPr>
          <w:ilvl w:val="0"/>
          <w:numId w:val="18"/>
        </w:numPr>
        <w:autoSpaceDE w:val="0"/>
        <w:autoSpaceDN w:val="0"/>
        <w:adjustRightInd w:val="0"/>
        <w:rPr>
          <w:sz w:val="18"/>
          <w:szCs w:val="18"/>
          <w:lang w:val="en-US" w:eastAsia="de-DE"/>
        </w:rPr>
      </w:pPr>
      <w:r w:rsidRPr="003A3099">
        <w:rPr>
          <w:sz w:val="18"/>
          <w:szCs w:val="18"/>
          <w:lang w:val="en-US" w:eastAsia="de-DE"/>
        </w:rPr>
        <w:t>Based on the PSA Progression compliant with Prostate Cancer Clinical Trials Working Group 2 criteria.</w:t>
      </w:r>
    </w:p>
    <w:p w:rsidR="003A3099" w:rsidRPr="003A3099" w:rsidRDefault="003A3099" w:rsidP="003A3099">
      <w:pPr>
        <w:numPr>
          <w:ilvl w:val="0"/>
          <w:numId w:val="18"/>
        </w:numPr>
        <w:autoSpaceDE w:val="0"/>
        <w:autoSpaceDN w:val="0"/>
        <w:adjustRightInd w:val="0"/>
        <w:rPr>
          <w:sz w:val="18"/>
          <w:szCs w:val="18"/>
          <w:lang w:val="en-US" w:eastAsia="de-DE"/>
        </w:rPr>
      </w:pPr>
      <w:r w:rsidRPr="003A3099">
        <w:rPr>
          <w:sz w:val="18"/>
          <w:szCs w:val="18"/>
          <w:lang w:val="en-US" w:eastAsia="de-DE"/>
        </w:rPr>
        <w:t>Based on the first postbaseline use of antineoplastic therapy for prostate cancer.</w:t>
      </w:r>
    </w:p>
    <w:p w:rsidR="003A3099" w:rsidRPr="003A3099" w:rsidRDefault="003A3099" w:rsidP="003A3099">
      <w:pPr>
        <w:numPr>
          <w:ilvl w:val="0"/>
          <w:numId w:val="18"/>
        </w:numPr>
        <w:autoSpaceDE w:val="0"/>
        <w:autoSpaceDN w:val="0"/>
        <w:adjustRightInd w:val="0"/>
        <w:rPr>
          <w:sz w:val="18"/>
          <w:szCs w:val="18"/>
          <w:lang w:val="en-US" w:eastAsia="de-DE"/>
        </w:rPr>
      </w:pPr>
      <w:r w:rsidRPr="003A3099">
        <w:rPr>
          <w:sz w:val="18"/>
          <w:szCs w:val="18"/>
          <w:lang w:val="en-US" w:eastAsia="de-DE"/>
        </w:rPr>
        <w:t>Based upon a pre-specified interim analysis with data cutoff date of 31 Jan 2023 and a median follow-up time of 65 months.</w:t>
      </w:r>
    </w:p>
    <w:p w:rsidR="003A3099" w:rsidRDefault="003A3099" w:rsidP="003A3099">
      <w:pPr>
        <w:pStyle w:val="Brdtekst"/>
        <w:numPr>
          <w:ilvl w:val="0"/>
          <w:numId w:val="18"/>
        </w:numPr>
        <w:spacing w:before="10"/>
        <w:rPr>
          <w:sz w:val="18"/>
          <w:szCs w:val="18"/>
          <w:lang w:eastAsia="de-DE"/>
        </w:rPr>
      </w:pPr>
      <w:r>
        <w:rPr>
          <w:sz w:val="18"/>
          <w:szCs w:val="18"/>
          <w:lang w:eastAsia="de-DE"/>
        </w:rPr>
        <w:t>The result did not meet the pre-specified two-sided significance level of p ≤ 0.0001</w:t>
      </w:r>
    </w:p>
    <w:p w:rsidR="003A3099" w:rsidRDefault="003A3099" w:rsidP="003A3099">
      <w:pPr>
        <w:pStyle w:val="Brdtekst"/>
        <w:spacing w:before="10"/>
        <w:rPr>
          <w:i/>
        </w:rPr>
      </w:pPr>
    </w:p>
    <w:p w:rsidR="003A3099" w:rsidRDefault="003A3099" w:rsidP="003A3099">
      <w:pPr>
        <w:pStyle w:val="Brdtekst"/>
        <w:spacing w:before="10"/>
        <w:rPr>
          <w:i/>
        </w:rPr>
      </w:pPr>
      <w:r>
        <w:rPr>
          <w:i/>
          <w:noProof/>
        </w:rPr>
        <w:drawing>
          <wp:inline distT="0" distB="0" distL="0" distR="0">
            <wp:extent cx="5706110" cy="2801620"/>
            <wp:effectExtent l="0" t="0" r="8890" b="0"/>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06110" cy="2801620"/>
                    </a:xfrm>
                    <a:prstGeom prst="rect">
                      <a:avLst/>
                    </a:prstGeom>
                    <a:noFill/>
                    <a:ln>
                      <a:noFill/>
                    </a:ln>
                  </pic:spPr>
                </pic:pic>
              </a:graphicData>
            </a:graphic>
          </wp:inline>
        </w:drawing>
      </w:r>
    </w:p>
    <w:p w:rsidR="003A3099" w:rsidRDefault="003A3099" w:rsidP="003A3099">
      <w:pPr>
        <w:pStyle w:val="Brdtekst"/>
        <w:spacing w:before="10"/>
        <w:rPr>
          <w:i/>
        </w:rPr>
      </w:pPr>
    </w:p>
    <w:p w:rsidR="003A3099" w:rsidRDefault="003A3099" w:rsidP="003A3099">
      <w:pPr>
        <w:pStyle w:val="Brdtekst"/>
        <w:spacing w:before="10"/>
        <w:rPr>
          <w:i/>
        </w:rPr>
      </w:pPr>
      <w:r>
        <w:rPr>
          <w:b/>
          <w:bCs/>
        </w:rPr>
        <w:t>Figure 1: Kaplan-Meier curves of MFS in the Enzalutamide plus ADT vs. Placebo plus ADT treatment arms of the EMBARK study (intent-to-treat analysis)</w:t>
      </w:r>
    </w:p>
    <w:p w:rsidR="003A3099" w:rsidRDefault="003A3099" w:rsidP="003A3099">
      <w:pPr>
        <w:pStyle w:val="Brdtekst"/>
        <w:spacing w:before="10"/>
        <w:rPr>
          <w:i/>
        </w:rPr>
      </w:pPr>
    </w:p>
    <w:p w:rsidR="003A3099" w:rsidRDefault="003A3099" w:rsidP="003A3099">
      <w:pPr>
        <w:pStyle w:val="Brdtekst"/>
        <w:spacing w:before="10"/>
        <w:rPr>
          <w:i/>
        </w:rPr>
      </w:pPr>
      <w:r>
        <w:rPr>
          <w:i/>
          <w:noProof/>
        </w:rPr>
        <w:lastRenderedPageBreak/>
        <w:drawing>
          <wp:inline distT="0" distB="0" distL="0" distR="0">
            <wp:extent cx="5537835" cy="2670175"/>
            <wp:effectExtent l="0" t="0" r="5715"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37835" cy="2670175"/>
                    </a:xfrm>
                    <a:prstGeom prst="rect">
                      <a:avLst/>
                    </a:prstGeom>
                    <a:noFill/>
                    <a:ln>
                      <a:noFill/>
                    </a:ln>
                  </pic:spPr>
                </pic:pic>
              </a:graphicData>
            </a:graphic>
          </wp:inline>
        </w:drawing>
      </w:r>
    </w:p>
    <w:p w:rsidR="003A3099" w:rsidRDefault="003A3099" w:rsidP="003A3099">
      <w:pPr>
        <w:pStyle w:val="Brdtekst"/>
        <w:spacing w:before="10"/>
        <w:rPr>
          <w:i/>
        </w:rPr>
      </w:pPr>
    </w:p>
    <w:p w:rsidR="003A3099" w:rsidRDefault="003A3099" w:rsidP="003A3099">
      <w:pPr>
        <w:pStyle w:val="Default"/>
        <w:rPr>
          <w:b/>
          <w:bCs/>
          <w:sz w:val="22"/>
          <w:szCs w:val="22"/>
        </w:rPr>
      </w:pPr>
      <w:r>
        <w:rPr>
          <w:b/>
          <w:bCs/>
          <w:sz w:val="22"/>
          <w:szCs w:val="22"/>
        </w:rPr>
        <w:t xml:space="preserve">Figure 2: Kaplan-Meier curves of MFS in the Enzalutamide as Monotherapy vs. Placebo plus ADT treatment arms of the EMBARK study (intent-to-treat analysis) </w:t>
      </w:r>
    </w:p>
    <w:p w:rsidR="003A3099" w:rsidRDefault="003A3099" w:rsidP="003A3099">
      <w:pPr>
        <w:pStyle w:val="Default"/>
        <w:rPr>
          <w:sz w:val="22"/>
          <w:szCs w:val="22"/>
        </w:rPr>
      </w:pPr>
    </w:p>
    <w:p w:rsidR="003A3099" w:rsidRPr="00550718" w:rsidRDefault="003A3099" w:rsidP="00550718">
      <w:pPr>
        <w:pStyle w:val="Brdtekst"/>
        <w:spacing w:before="10"/>
        <w:ind w:left="851"/>
        <w:rPr>
          <w:sz w:val="24"/>
          <w:szCs w:val="24"/>
        </w:rPr>
      </w:pPr>
      <w:r w:rsidRPr="00550718">
        <w:rPr>
          <w:sz w:val="24"/>
          <w:szCs w:val="24"/>
        </w:rPr>
        <w:t>Following the administration of ADT as enzalutamide plus ADT or placebo plus ADT, testosterone levels rapidly decreased to castrate levels and remained low until treatment interruption at 37 weeks. Following the interruption, testosterone levels gradually rose to near-baseline levels. Upon re-initiation of treatment, they fell again to castrate levels. In the enzalutamide as monotherapy arm, testosterone levels increased after treatment initiation and returned towards baseline levels upon treatment interruption. They increased once again after treatment with enzalutamide was re-initiated.</w:t>
      </w:r>
    </w:p>
    <w:p w:rsidR="003A3099" w:rsidRPr="00550718" w:rsidRDefault="003A3099" w:rsidP="00DE37FA">
      <w:pPr>
        <w:ind w:left="851"/>
        <w:rPr>
          <w:sz w:val="24"/>
          <w:szCs w:val="24"/>
          <w:lang w:val="en-US"/>
        </w:rPr>
      </w:pPr>
    </w:p>
    <w:p w:rsidR="00360DE0" w:rsidRPr="00550718" w:rsidRDefault="00360DE0" w:rsidP="00DE37FA">
      <w:pPr>
        <w:ind w:left="851"/>
        <w:rPr>
          <w:i/>
          <w:sz w:val="24"/>
          <w:szCs w:val="24"/>
          <w:lang w:val="en-US"/>
        </w:rPr>
      </w:pPr>
      <w:r w:rsidRPr="00550718">
        <w:rPr>
          <w:i/>
          <w:sz w:val="24"/>
          <w:szCs w:val="24"/>
          <w:lang w:val="en-US"/>
        </w:rPr>
        <w:t>9785-CL-0335 (ARCHES) Study (patients with metastatic HSPC)</w:t>
      </w:r>
    </w:p>
    <w:p w:rsidR="00360DE0" w:rsidRPr="00550718" w:rsidRDefault="00360DE0" w:rsidP="00DE37FA">
      <w:pPr>
        <w:ind w:left="851"/>
        <w:rPr>
          <w:sz w:val="24"/>
          <w:szCs w:val="24"/>
          <w:lang w:val="en-US"/>
        </w:rPr>
      </w:pPr>
    </w:p>
    <w:p w:rsidR="00360DE0" w:rsidRPr="00B23B00" w:rsidRDefault="00360DE0" w:rsidP="00DE37FA">
      <w:pPr>
        <w:ind w:left="851"/>
        <w:rPr>
          <w:sz w:val="24"/>
          <w:szCs w:val="24"/>
          <w:lang w:val="en-US"/>
        </w:rPr>
      </w:pPr>
      <w:r w:rsidRPr="00550718">
        <w:rPr>
          <w:sz w:val="24"/>
          <w:szCs w:val="24"/>
          <w:lang w:val="en-US"/>
        </w:rPr>
        <w:t xml:space="preserve">The ARCHES study enrolled 1150 patients with </w:t>
      </w:r>
      <w:proofErr w:type="spellStart"/>
      <w:r w:rsidRPr="00550718">
        <w:rPr>
          <w:sz w:val="24"/>
          <w:szCs w:val="24"/>
          <w:lang w:val="en-US"/>
        </w:rPr>
        <w:t>mHSPC</w:t>
      </w:r>
      <w:proofErr w:type="spellEnd"/>
      <w:r w:rsidRPr="00550718">
        <w:rPr>
          <w:sz w:val="24"/>
          <w:szCs w:val="24"/>
          <w:lang w:val="en-US"/>
        </w:rPr>
        <w:t xml:space="preserve"> </w:t>
      </w:r>
      <w:proofErr w:type="spellStart"/>
      <w:r w:rsidRPr="00550718">
        <w:rPr>
          <w:sz w:val="24"/>
          <w:szCs w:val="24"/>
          <w:lang w:val="en-US"/>
        </w:rPr>
        <w:t>randomised</w:t>
      </w:r>
      <w:proofErr w:type="spellEnd"/>
      <w:r w:rsidRPr="00550718">
        <w:rPr>
          <w:sz w:val="24"/>
          <w:szCs w:val="24"/>
          <w:lang w:val="en-US"/>
        </w:rPr>
        <w:t xml:space="preserve"> 1:1 to receive treatment with enzalutamide plus ADT or placebo plus ADT (ADT defined as LHRH analogue or bilateral orchiectomy). Patients received enzalutamide at 160 mg once daily</w:t>
      </w:r>
      <w:r w:rsidRPr="00B23B00">
        <w:rPr>
          <w:sz w:val="24"/>
          <w:szCs w:val="24"/>
          <w:lang w:val="en-US"/>
        </w:rPr>
        <w:t xml:space="preserve"> (N=574) or placebo (N=576).</w:t>
      </w:r>
    </w:p>
    <w:p w:rsidR="00360DE0" w:rsidRPr="00B23B00" w:rsidRDefault="00360DE0" w:rsidP="00DE37FA">
      <w:pPr>
        <w:ind w:left="851"/>
        <w:rPr>
          <w:sz w:val="24"/>
          <w:szCs w:val="24"/>
          <w:lang w:val="en-US"/>
        </w:rPr>
      </w:pPr>
    </w:p>
    <w:p w:rsidR="00360DE0" w:rsidRPr="00B23B00" w:rsidRDefault="00360DE0" w:rsidP="00DE37FA">
      <w:pPr>
        <w:ind w:left="851"/>
        <w:rPr>
          <w:sz w:val="24"/>
          <w:szCs w:val="24"/>
          <w:lang w:val="en-US"/>
        </w:rPr>
      </w:pPr>
      <w:r w:rsidRPr="00B23B00">
        <w:rPr>
          <w:sz w:val="24"/>
          <w:szCs w:val="24"/>
          <w:lang w:val="en-US"/>
        </w:rPr>
        <w:t>Patients with metastatic prostate cancer documented by positive bone scan (for bone disease) or metastatic lesions on CT or MRI scan (for soft tissue) were eligible. Patients whose disease spread was limited to regional pelvic lymph nodes were not eligible. Patients were allowed to receive up to 6 cycles of docetaxel therapy with final treatment administration completed within 2 months of day 1 and no evidence of disease progression during or after the completion of docetaxel therapy. Excluded were patients with known or suspected brain metastasis or active leptomeningeal disease or with a history of seizure or any contribution that may dispose to seizure.</w:t>
      </w:r>
    </w:p>
    <w:p w:rsidR="00360DE0" w:rsidRPr="00B23B00" w:rsidRDefault="00360DE0" w:rsidP="00DE37FA">
      <w:pPr>
        <w:ind w:left="851"/>
        <w:rPr>
          <w:sz w:val="24"/>
          <w:szCs w:val="24"/>
          <w:lang w:val="en-US"/>
        </w:rPr>
      </w:pPr>
    </w:p>
    <w:p w:rsidR="00360DE0" w:rsidRPr="00B23B00" w:rsidRDefault="00360DE0" w:rsidP="00DE37FA">
      <w:pPr>
        <w:ind w:left="851"/>
        <w:rPr>
          <w:sz w:val="24"/>
          <w:szCs w:val="24"/>
          <w:lang w:val="en-US"/>
        </w:rPr>
      </w:pPr>
      <w:r w:rsidRPr="00B23B00">
        <w:rPr>
          <w:sz w:val="24"/>
          <w:szCs w:val="24"/>
          <w:lang w:val="en-US"/>
        </w:rPr>
        <w:t xml:space="preserve">The demographic and baseline characteristics were well balanced between the two treatment groups. The median age at </w:t>
      </w:r>
      <w:proofErr w:type="spellStart"/>
      <w:r w:rsidRPr="00B23B00">
        <w:rPr>
          <w:sz w:val="24"/>
          <w:szCs w:val="24"/>
          <w:lang w:val="en-US"/>
        </w:rPr>
        <w:t>randomisation</w:t>
      </w:r>
      <w:proofErr w:type="spellEnd"/>
      <w:r w:rsidRPr="00B23B00">
        <w:rPr>
          <w:sz w:val="24"/>
          <w:szCs w:val="24"/>
          <w:lang w:val="en-US"/>
        </w:rPr>
        <w:t xml:space="preserve"> was 70 years in both treatment groups. Most patients in the total population were Caucasian (80.5</w:t>
      </w:r>
      <w:r w:rsidR="00B23B00">
        <w:rPr>
          <w:sz w:val="24"/>
          <w:szCs w:val="24"/>
          <w:lang w:val="en-US"/>
        </w:rPr>
        <w:t xml:space="preserve"> %</w:t>
      </w:r>
      <w:r w:rsidRPr="00B23B00">
        <w:rPr>
          <w:sz w:val="24"/>
          <w:szCs w:val="24"/>
          <w:lang w:val="en-US"/>
        </w:rPr>
        <w:t>); 13.5</w:t>
      </w:r>
      <w:r w:rsidR="00B23B00">
        <w:rPr>
          <w:sz w:val="24"/>
          <w:szCs w:val="24"/>
          <w:lang w:val="en-US"/>
        </w:rPr>
        <w:t xml:space="preserve"> %</w:t>
      </w:r>
      <w:r w:rsidRPr="00B23B00">
        <w:rPr>
          <w:sz w:val="24"/>
          <w:szCs w:val="24"/>
          <w:lang w:val="en-US"/>
        </w:rPr>
        <w:t xml:space="preserve"> were Asian and 1.4</w:t>
      </w:r>
      <w:r w:rsidR="00105F96">
        <w:rPr>
          <w:sz w:val="24"/>
          <w:szCs w:val="24"/>
          <w:lang w:val="en-US"/>
        </w:rPr>
        <w:t> </w:t>
      </w:r>
      <w:r w:rsidR="00B23B00">
        <w:rPr>
          <w:sz w:val="24"/>
          <w:szCs w:val="24"/>
          <w:lang w:val="en-US"/>
        </w:rPr>
        <w:t>%</w:t>
      </w:r>
      <w:r w:rsidRPr="00B23B00">
        <w:rPr>
          <w:sz w:val="24"/>
          <w:szCs w:val="24"/>
          <w:lang w:val="en-US"/>
        </w:rPr>
        <w:t xml:space="preserve"> were Black. The Eastern Cooperative Oncology Group Performance Status (ECOG PS) score was 0 for 78</w:t>
      </w:r>
      <w:r w:rsidR="00B23B00">
        <w:rPr>
          <w:sz w:val="24"/>
          <w:szCs w:val="24"/>
          <w:lang w:val="en-US"/>
        </w:rPr>
        <w:t xml:space="preserve"> %</w:t>
      </w:r>
      <w:r w:rsidRPr="00B23B00">
        <w:rPr>
          <w:sz w:val="24"/>
          <w:szCs w:val="24"/>
          <w:lang w:val="en-US"/>
        </w:rPr>
        <w:t xml:space="preserve"> of patients and 1 for 22</w:t>
      </w:r>
      <w:r w:rsidR="00B23B00">
        <w:rPr>
          <w:sz w:val="24"/>
          <w:szCs w:val="24"/>
          <w:lang w:val="en-US"/>
        </w:rPr>
        <w:t xml:space="preserve"> %</w:t>
      </w:r>
      <w:r w:rsidRPr="00B23B00">
        <w:rPr>
          <w:sz w:val="24"/>
          <w:szCs w:val="24"/>
          <w:lang w:val="en-US"/>
        </w:rPr>
        <w:t xml:space="preserve"> of patients at study entry. Patients were stratified by low versus high volume of disease and prior docetaxel therapy for prostate cancer. Thirty-seven percent of patients had a low volume of disease and 63</w:t>
      </w:r>
      <w:r w:rsidR="00B23B00">
        <w:rPr>
          <w:sz w:val="24"/>
          <w:szCs w:val="24"/>
          <w:lang w:val="en-US"/>
        </w:rPr>
        <w:t xml:space="preserve"> %</w:t>
      </w:r>
      <w:r w:rsidRPr="00B23B00">
        <w:rPr>
          <w:sz w:val="24"/>
          <w:szCs w:val="24"/>
          <w:lang w:val="en-US"/>
        </w:rPr>
        <w:t xml:space="preserve"> of patients had a high volume of disease. Eighty-two percent of patients had not received </w:t>
      </w:r>
      <w:r w:rsidRPr="00B23B00">
        <w:rPr>
          <w:sz w:val="24"/>
          <w:szCs w:val="24"/>
          <w:lang w:val="en-US"/>
        </w:rPr>
        <w:lastRenderedPageBreak/>
        <w:t>prior docetaxel therapy, 2</w:t>
      </w:r>
      <w:r w:rsidR="00B23B00">
        <w:rPr>
          <w:sz w:val="24"/>
          <w:szCs w:val="24"/>
          <w:lang w:val="en-US"/>
        </w:rPr>
        <w:t xml:space="preserve"> %</w:t>
      </w:r>
      <w:r w:rsidRPr="00B23B00">
        <w:rPr>
          <w:sz w:val="24"/>
          <w:szCs w:val="24"/>
          <w:lang w:val="en-US"/>
        </w:rPr>
        <w:t xml:space="preserve"> received 1-5 cycles and 16</w:t>
      </w:r>
      <w:r w:rsidR="00B23B00">
        <w:rPr>
          <w:sz w:val="24"/>
          <w:szCs w:val="24"/>
          <w:lang w:val="en-US"/>
        </w:rPr>
        <w:t xml:space="preserve"> %</w:t>
      </w:r>
      <w:r w:rsidRPr="00B23B00">
        <w:rPr>
          <w:sz w:val="24"/>
          <w:szCs w:val="24"/>
          <w:lang w:val="en-US"/>
        </w:rPr>
        <w:t xml:space="preserve"> received 6 prior cycles. Treatment with concurrent docetaxel was not allowed.</w:t>
      </w:r>
    </w:p>
    <w:p w:rsidR="00360DE0" w:rsidRPr="00B23B00" w:rsidRDefault="00360DE0" w:rsidP="00DE37FA">
      <w:pPr>
        <w:ind w:left="851"/>
        <w:rPr>
          <w:sz w:val="24"/>
          <w:szCs w:val="24"/>
          <w:lang w:val="en-US"/>
        </w:rPr>
      </w:pPr>
    </w:p>
    <w:p w:rsidR="00360DE0" w:rsidRPr="00B23B00" w:rsidRDefault="00360DE0" w:rsidP="00DE37FA">
      <w:pPr>
        <w:ind w:left="851"/>
        <w:rPr>
          <w:sz w:val="24"/>
          <w:szCs w:val="24"/>
          <w:lang w:val="en-US"/>
        </w:rPr>
      </w:pPr>
      <w:r w:rsidRPr="00B23B00">
        <w:rPr>
          <w:sz w:val="24"/>
          <w:szCs w:val="24"/>
          <w:lang w:val="en-US"/>
        </w:rPr>
        <w:t>Radiographic progression-free survival (</w:t>
      </w:r>
      <w:proofErr w:type="spellStart"/>
      <w:r w:rsidRPr="00B23B00">
        <w:rPr>
          <w:sz w:val="24"/>
          <w:szCs w:val="24"/>
          <w:lang w:val="en-US"/>
        </w:rPr>
        <w:t>rPFS</w:t>
      </w:r>
      <w:proofErr w:type="spellEnd"/>
      <w:r w:rsidRPr="00B23B00">
        <w:rPr>
          <w:sz w:val="24"/>
          <w:szCs w:val="24"/>
          <w:lang w:val="en-US"/>
        </w:rPr>
        <w:t xml:space="preserve">), based on independent central review, was the primary endpoint defined as the time from </w:t>
      </w:r>
      <w:proofErr w:type="spellStart"/>
      <w:r w:rsidRPr="00B23B00">
        <w:rPr>
          <w:sz w:val="24"/>
          <w:szCs w:val="24"/>
          <w:lang w:val="en-US"/>
        </w:rPr>
        <w:t>randomisation</w:t>
      </w:r>
      <w:proofErr w:type="spellEnd"/>
      <w:r w:rsidRPr="00B23B00">
        <w:rPr>
          <w:sz w:val="24"/>
          <w:szCs w:val="24"/>
          <w:lang w:val="en-US"/>
        </w:rPr>
        <w:t xml:space="preserve"> to the first objective evidence of radiographic disease progression or death (due to any cause from time of </w:t>
      </w:r>
      <w:proofErr w:type="spellStart"/>
      <w:r w:rsidRPr="00B23B00">
        <w:rPr>
          <w:sz w:val="24"/>
          <w:szCs w:val="24"/>
          <w:lang w:val="en-US"/>
        </w:rPr>
        <w:t>randomisation</w:t>
      </w:r>
      <w:proofErr w:type="spellEnd"/>
      <w:r w:rsidRPr="00B23B00">
        <w:rPr>
          <w:sz w:val="24"/>
          <w:szCs w:val="24"/>
          <w:lang w:val="en-US"/>
        </w:rPr>
        <w:t xml:space="preserve"> up until 24 weeks from study drug discontinuation), whichever occurred first.</w:t>
      </w:r>
    </w:p>
    <w:p w:rsidR="00360DE0" w:rsidRPr="00B23B00" w:rsidRDefault="00360DE0" w:rsidP="00DE37FA">
      <w:pPr>
        <w:ind w:left="851"/>
        <w:rPr>
          <w:sz w:val="24"/>
          <w:szCs w:val="24"/>
          <w:lang w:val="en-US"/>
        </w:rPr>
      </w:pPr>
    </w:p>
    <w:p w:rsidR="00360DE0" w:rsidRPr="00B23B00" w:rsidRDefault="00360DE0" w:rsidP="00DE37FA">
      <w:pPr>
        <w:ind w:left="851"/>
        <w:rPr>
          <w:sz w:val="24"/>
          <w:szCs w:val="24"/>
          <w:lang w:val="en-US"/>
        </w:rPr>
      </w:pPr>
      <w:r w:rsidRPr="00B23B00">
        <w:rPr>
          <w:sz w:val="24"/>
          <w:szCs w:val="24"/>
          <w:lang w:val="en-US"/>
        </w:rPr>
        <w:t>Enzalutamide demonstrated a statistically significant 61</w:t>
      </w:r>
      <w:r w:rsidR="00B23B00">
        <w:rPr>
          <w:sz w:val="24"/>
          <w:szCs w:val="24"/>
          <w:lang w:val="en-US"/>
        </w:rPr>
        <w:t xml:space="preserve"> %</w:t>
      </w:r>
      <w:r w:rsidRPr="00B23B00">
        <w:rPr>
          <w:sz w:val="24"/>
          <w:szCs w:val="24"/>
          <w:lang w:val="en-US"/>
        </w:rPr>
        <w:t xml:space="preserve"> reduction in the risk of an </w:t>
      </w:r>
      <w:proofErr w:type="spellStart"/>
      <w:r w:rsidRPr="00B23B00">
        <w:rPr>
          <w:sz w:val="24"/>
          <w:szCs w:val="24"/>
          <w:lang w:val="en-US"/>
        </w:rPr>
        <w:t>rPFS</w:t>
      </w:r>
      <w:proofErr w:type="spellEnd"/>
      <w:r w:rsidRPr="00B23B00">
        <w:rPr>
          <w:sz w:val="24"/>
          <w:szCs w:val="24"/>
          <w:lang w:val="en-US"/>
        </w:rPr>
        <w:t xml:space="preserve"> event compared to placebo [HR = 0.39 (95</w:t>
      </w:r>
      <w:r w:rsidR="00B23B00">
        <w:rPr>
          <w:sz w:val="24"/>
          <w:szCs w:val="24"/>
          <w:lang w:val="en-US"/>
        </w:rPr>
        <w:t xml:space="preserve"> %</w:t>
      </w:r>
      <w:r w:rsidRPr="00B23B00">
        <w:rPr>
          <w:sz w:val="24"/>
          <w:szCs w:val="24"/>
          <w:lang w:val="en-US"/>
        </w:rPr>
        <w:t xml:space="preserve"> CI: 0.30, 0.50); p &lt; 0.0001]. Consistent </w:t>
      </w:r>
      <w:proofErr w:type="spellStart"/>
      <w:r w:rsidRPr="00B23B00">
        <w:rPr>
          <w:sz w:val="24"/>
          <w:szCs w:val="24"/>
          <w:lang w:val="en-US"/>
        </w:rPr>
        <w:t>rPFS</w:t>
      </w:r>
      <w:proofErr w:type="spellEnd"/>
      <w:r w:rsidRPr="00B23B00">
        <w:rPr>
          <w:sz w:val="24"/>
          <w:szCs w:val="24"/>
          <w:lang w:val="en-US"/>
        </w:rPr>
        <w:t xml:space="preserve"> results were observed in patients with high or low volume of disease and patients with and without prior docetaxel therapy. The median time to an </w:t>
      </w:r>
      <w:proofErr w:type="spellStart"/>
      <w:r w:rsidRPr="00B23B00">
        <w:rPr>
          <w:sz w:val="24"/>
          <w:szCs w:val="24"/>
          <w:lang w:val="en-US"/>
        </w:rPr>
        <w:t>rPFS</w:t>
      </w:r>
      <w:proofErr w:type="spellEnd"/>
      <w:r w:rsidRPr="00B23B00">
        <w:rPr>
          <w:sz w:val="24"/>
          <w:szCs w:val="24"/>
          <w:lang w:val="en-US"/>
        </w:rPr>
        <w:t xml:space="preserve"> event was not reached in the enzalutamide arm and was 19.0 months (95</w:t>
      </w:r>
      <w:r w:rsidR="00B23B00">
        <w:rPr>
          <w:sz w:val="24"/>
          <w:szCs w:val="24"/>
          <w:lang w:val="en-US"/>
        </w:rPr>
        <w:t xml:space="preserve"> %</w:t>
      </w:r>
      <w:r w:rsidRPr="00B23B00">
        <w:rPr>
          <w:sz w:val="24"/>
          <w:szCs w:val="24"/>
          <w:lang w:val="en-US"/>
        </w:rPr>
        <w:t xml:space="preserve"> CI: 16.6, 22.2) in the placebo arm.</w:t>
      </w:r>
    </w:p>
    <w:p w:rsidR="00360DE0" w:rsidRPr="00B23B00" w:rsidRDefault="00360DE0" w:rsidP="00DE37FA">
      <w:pPr>
        <w:ind w:left="851"/>
        <w:rPr>
          <w:sz w:val="24"/>
          <w:szCs w:val="24"/>
          <w:lang w:val="en-US"/>
        </w:rPr>
      </w:pPr>
    </w:p>
    <w:p w:rsidR="00360DE0" w:rsidRPr="00B23B00" w:rsidRDefault="00550718" w:rsidP="00105F96">
      <w:pPr>
        <w:ind w:left="851"/>
        <w:rPr>
          <w:b/>
          <w:sz w:val="24"/>
          <w:szCs w:val="24"/>
          <w:lang w:val="en-US"/>
        </w:rPr>
      </w:pPr>
      <w:r w:rsidRPr="00550718">
        <w:rPr>
          <w:b/>
          <w:lang w:val="en-US"/>
        </w:rPr>
        <w:t xml:space="preserve">Table 3: Summary </w:t>
      </w:r>
      <w:r w:rsidR="00360DE0" w:rsidRPr="00550718">
        <w:rPr>
          <w:b/>
          <w:sz w:val="24"/>
          <w:szCs w:val="24"/>
          <w:lang w:val="en-US"/>
        </w:rPr>
        <w:t>of efficacy in patients treated with either enzalutamide or placebo in the ARCHES study</w:t>
      </w:r>
      <w:r w:rsidR="00360DE0" w:rsidRPr="00B23B00">
        <w:rPr>
          <w:b/>
          <w:sz w:val="24"/>
          <w:szCs w:val="24"/>
          <w:lang w:val="en-US"/>
        </w:rPr>
        <w:t xml:space="preserve"> (intent-to-treat analysis)</w:t>
      </w:r>
    </w:p>
    <w:p w:rsidR="00360DE0" w:rsidRPr="00B23B00" w:rsidRDefault="00360DE0" w:rsidP="00105F96">
      <w:pPr>
        <w:ind w:left="851"/>
        <w:rPr>
          <w:sz w:val="24"/>
          <w:szCs w:val="24"/>
          <w:lang w:val="en-US"/>
        </w:rPr>
      </w:pPr>
    </w:p>
    <w:tbl>
      <w:tblPr>
        <w:tblW w:w="5000" w:type="pct"/>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197"/>
        <w:gridCol w:w="3233"/>
        <w:gridCol w:w="3198"/>
      </w:tblGrid>
      <w:tr w:rsidR="00360DE0" w:rsidRPr="00B23B00" w:rsidTr="00087D3A">
        <w:trPr>
          <w:trHeight w:hRule="exact" w:val="518"/>
        </w:trPr>
        <w:tc>
          <w:tcPr>
            <w:tcW w:w="1660" w:type="pct"/>
            <w:tcBorders>
              <w:top w:val="single" w:sz="4" w:space="0" w:color="000000"/>
              <w:left w:val="single" w:sz="4" w:space="0" w:color="000000"/>
              <w:bottom w:val="single" w:sz="4" w:space="0" w:color="000000"/>
              <w:right w:val="single" w:sz="4" w:space="0" w:color="000000"/>
            </w:tcBorders>
          </w:tcPr>
          <w:p w:rsidR="00360DE0" w:rsidRPr="00B23B00" w:rsidRDefault="00360DE0" w:rsidP="00A31852">
            <w:pPr>
              <w:ind w:left="132"/>
              <w:jc w:val="center"/>
              <w:rPr>
                <w:b/>
                <w:sz w:val="24"/>
                <w:szCs w:val="24"/>
                <w:lang w:val="en-US"/>
              </w:rPr>
            </w:pPr>
          </w:p>
        </w:tc>
        <w:tc>
          <w:tcPr>
            <w:tcW w:w="1679" w:type="pct"/>
            <w:tcBorders>
              <w:top w:val="single" w:sz="4" w:space="0" w:color="000000"/>
              <w:left w:val="single" w:sz="4" w:space="0" w:color="000000"/>
              <w:bottom w:val="single" w:sz="4" w:space="0" w:color="000000"/>
              <w:right w:val="single" w:sz="4" w:space="0" w:color="000000"/>
            </w:tcBorders>
            <w:hideMark/>
          </w:tcPr>
          <w:p w:rsidR="007235E8" w:rsidRPr="00B23B00" w:rsidRDefault="00360DE0" w:rsidP="00A31852">
            <w:pPr>
              <w:ind w:left="132"/>
              <w:jc w:val="center"/>
              <w:rPr>
                <w:b/>
                <w:sz w:val="24"/>
                <w:szCs w:val="24"/>
              </w:rPr>
            </w:pPr>
            <w:proofErr w:type="spellStart"/>
            <w:r w:rsidRPr="00B23B00">
              <w:rPr>
                <w:b/>
                <w:sz w:val="24"/>
                <w:szCs w:val="24"/>
              </w:rPr>
              <w:t>Enzalutamide</w:t>
            </w:r>
            <w:proofErr w:type="spellEnd"/>
            <w:r w:rsidRPr="00B23B00">
              <w:rPr>
                <w:b/>
                <w:sz w:val="24"/>
                <w:szCs w:val="24"/>
              </w:rPr>
              <w:t xml:space="preserve"> plus ADT </w:t>
            </w:r>
          </w:p>
          <w:p w:rsidR="00360DE0" w:rsidRPr="00B23B00" w:rsidRDefault="00360DE0" w:rsidP="00A31852">
            <w:pPr>
              <w:ind w:left="132"/>
              <w:jc w:val="center"/>
              <w:rPr>
                <w:b/>
                <w:sz w:val="24"/>
                <w:szCs w:val="24"/>
              </w:rPr>
            </w:pPr>
            <w:r w:rsidRPr="00B23B00">
              <w:rPr>
                <w:b/>
                <w:sz w:val="24"/>
                <w:szCs w:val="24"/>
              </w:rPr>
              <w:t>(N = 574)</w:t>
            </w:r>
          </w:p>
        </w:tc>
        <w:tc>
          <w:tcPr>
            <w:tcW w:w="1661" w:type="pct"/>
            <w:tcBorders>
              <w:top w:val="single" w:sz="4" w:space="0" w:color="000000"/>
              <w:left w:val="single" w:sz="4" w:space="0" w:color="000000"/>
              <w:bottom w:val="single" w:sz="4" w:space="0" w:color="000000"/>
              <w:right w:val="single" w:sz="4" w:space="0" w:color="000000"/>
            </w:tcBorders>
            <w:hideMark/>
          </w:tcPr>
          <w:p w:rsidR="007235E8" w:rsidRPr="00B23B00" w:rsidRDefault="00360DE0" w:rsidP="00105F96">
            <w:pPr>
              <w:jc w:val="center"/>
              <w:rPr>
                <w:b/>
                <w:sz w:val="24"/>
                <w:szCs w:val="24"/>
              </w:rPr>
            </w:pPr>
            <w:r w:rsidRPr="00B23B00">
              <w:rPr>
                <w:b/>
                <w:sz w:val="24"/>
                <w:szCs w:val="24"/>
              </w:rPr>
              <w:t xml:space="preserve">Placebo plus ADT </w:t>
            </w:r>
          </w:p>
          <w:p w:rsidR="00360DE0" w:rsidRPr="00B23B00" w:rsidRDefault="00360DE0" w:rsidP="00105F96">
            <w:pPr>
              <w:jc w:val="center"/>
              <w:rPr>
                <w:b/>
                <w:sz w:val="24"/>
                <w:szCs w:val="24"/>
              </w:rPr>
            </w:pPr>
            <w:r w:rsidRPr="00B23B00">
              <w:rPr>
                <w:b/>
                <w:sz w:val="24"/>
                <w:szCs w:val="24"/>
              </w:rPr>
              <w:t>(N=576)</w:t>
            </w:r>
          </w:p>
        </w:tc>
      </w:tr>
      <w:tr w:rsidR="00360DE0" w:rsidRPr="00B23B00" w:rsidTr="00087D3A">
        <w:trPr>
          <w:trHeight w:val="259"/>
        </w:trPr>
        <w:tc>
          <w:tcPr>
            <w:tcW w:w="5000" w:type="pct"/>
            <w:gridSpan w:val="3"/>
            <w:tcBorders>
              <w:top w:val="single" w:sz="4" w:space="0" w:color="000000"/>
              <w:left w:val="single" w:sz="4" w:space="0" w:color="000000"/>
              <w:bottom w:val="single" w:sz="4" w:space="0" w:color="000000"/>
              <w:right w:val="single" w:sz="4" w:space="0" w:color="000000"/>
            </w:tcBorders>
            <w:hideMark/>
          </w:tcPr>
          <w:p w:rsidR="00360DE0" w:rsidRPr="00B23B00" w:rsidRDefault="00360DE0" w:rsidP="00A31852">
            <w:pPr>
              <w:ind w:left="132"/>
              <w:rPr>
                <w:b/>
                <w:sz w:val="24"/>
                <w:szCs w:val="24"/>
              </w:rPr>
            </w:pPr>
            <w:proofErr w:type="spellStart"/>
            <w:r w:rsidRPr="00B23B00">
              <w:rPr>
                <w:b/>
                <w:sz w:val="24"/>
                <w:szCs w:val="24"/>
              </w:rPr>
              <w:t>Radiographic</w:t>
            </w:r>
            <w:proofErr w:type="spellEnd"/>
            <w:r w:rsidRPr="00B23B00">
              <w:rPr>
                <w:b/>
                <w:sz w:val="24"/>
                <w:szCs w:val="24"/>
              </w:rPr>
              <w:t xml:space="preserve"> Progression-</w:t>
            </w:r>
            <w:proofErr w:type="spellStart"/>
            <w:r w:rsidRPr="00B23B00">
              <w:rPr>
                <w:b/>
                <w:sz w:val="24"/>
                <w:szCs w:val="24"/>
              </w:rPr>
              <w:t>free</w:t>
            </w:r>
            <w:proofErr w:type="spellEnd"/>
            <w:r w:rsidRPr="00B23B00">
              <w:rPr>
                <w:b/>
                <w:sz w:val="24"/>
                <w:szCs w:val="24"/>
              </w:rPr>
              <w:t xml:space="preserve"> </w:t>
            </w:r>
            <w:proofErr w:type="spellStart"/>
            <w:r w:rsidRPr="00B23B00">
              <w:rPr>
                <w:b/>
                <w:sz w:val="24"/>
                <w:szCs w:val="24"/>
              </w:rPr>
              <w:t>Survival</w:t>
            </w:r>
            <w:proofErr w:type="spellEnd"/>
          </w:p>
        </w:tc>
      </w:tr>
      <w:tr w:rsidR="00360DE0" w:rsidRPr="00B23B00" w:rsidTr="00087D3A">
        <w:trPr>
          <w:trHeight w:hRule="exact" w:val="264"/>
        </w:trPr>
        <w:tc>
          <w:tcPr>
            <w:tcW w:w="1660" w:type="pct"/>
            <w:tcBorders>
              <w:top w:val="single" w:sz="4" w:space="0" w:color="000000"/>
              <w:left w:val="single" w:sz="4" w:space="0" w:color="000000"/>
              <w:bottom w:val="single" w:sz="4" w:space="0" w:color="000000"/>
              <w:right w:val="single" w:sz="4" w:space="0" w:color="000000"/>
            </w:tcBorders>
            <w:hideMark/>
          </w:tcPr>
          <w:p w:rsidR="00360DE0" w:rsidRPr="00B23B00" w:rsidRDefault="00360DE0" w:rsidP="00A31852">
            <w:pPr>
              <w:ind w:left="132"/>
              <w:rPr>
                <w:sz w:val="24"/>
                <w:szCs w:val="24"/>
              </w:rPr>
            </w:pPr>
            <w:proofErr w:type="spellStart"/>
            <w:r w:rsidRPr="00B23B00">
              <w:rPr>
                <w:sz w:val="24"/>
                <w:szCs w:val="24"/>
              </w:rPr>
              <w:t>Number</w:t>
            </w:r>
            <w:proofErr w:type="spellEnd"/>
            <w:r w:rsidRPr="00B23B00">
              <w:rPr>
                <w:sz w:val="24"/>
                <w:szCs w:val="24"/>
              </w:rPr>
              <w:t xml:space="preserve"> of events (</w:t>
            </w:r>
            <w:r w:rsidR="00B23B00">
              <w:rPr>
                <w:sz w:val="24"/>
                <w:szCs w:val="24"/>
              </w:rPr>
              <w:t>%</w:t>
            </w:r>
            <w:r w:rsidRPr="00B23B00">
              <w:rPr>
                <w:sz w:val="24"/>
                <w:szCs w:val="24"/>
              </w:rPr>
              <w:t>)</w:t>
            </w:r>
          </w:p>
        </w:tc>
        <w:tc>
          <w:tcPr>
            <w:tcW w:w="1679" w:type="pct"/>
            <w:tcBorders>
              <w:top w:val="single" w:sz="4" w:space="0" w:color="000000"/>
              <w:left w:val="single" w:sz="4" w:space="0" w:color="000000"/>
              <w:bottom w:val="single" w:sz="4" w:space="0" w:color="000000"/>
              <w:right w:val="single" w:sz="4" w:space="0" w:color="000000"/>
            </w:tcBorders>
            <w:hideMark/>
          </w:tcPr>
          <w:p w:rsidR="00360DE0" w:rsidRPr="00B23B00" w:rsidRDefault="00360DE0" w:rsidP="00A31852">
            <w:pPr>
              <w:ind w:left="132"/>
              <w:jc w:val="center"/>
              <w:rPr>
                <w:sz w:val="24"/>
                <w:szCs w:val="24"/>
              </w:rPr>
            </w:pPr>
            <w:r w:rsidRPr="00B23B00">
              <w:rPr>
                <w:sz w:val="24"/>
                <w:szCs w:val="24"/>
              </w:rPr>
              <w:t>91 (15.9)</w:t>
            </w:r>
          </w:p>
        </w:tc>
        <w:tc>
          <w:tcPr>
            <w:tcW w:w="1661" w:type="pct"/>
            <w:tcBorders>
              <w:top w:val="single" w:sz="4" w:space="0" w:color="000000"/>
              <w:left w:val="single" w:sz="4" w:space="0" w:color="000000"/>
              <w:bottom w:val="single" w:sz="4" w:space="0" w:color="000000"/>
              <w:right w:val="single" w:sz="4" w:space="0" w:color="000000"/>
            </w:tcBorders>
            <w:hideMark/>
          </w:tcPr>
          <w:p w:rsidR="00360DE0" w:rsidRPr="00B23B00" w:rsidRDefault="00360DE0" w:rsidP="00105F96">
            <w:pPr>
              <w:jc w:val="center"/>
              <w:rPr>
                <w:sz w:val="24"/>
                <w:szCs w:val="24"/>
              </w:rPr>
            </w:pPr>
            <w:r w:rsidRPr="00B23B00">
              <w:rPr>
                <w:sz w:val="24"/>
                <w:szCs w:val="24"/>
              </w:rPr>
              <w:t>201 (34.9)</w:t>
            </w:r>
          </w:p>
        </w:tc>
      </w:tr>
      <w:tr w:rsidR="00360DE0" w:rsidRPr="00B23B00" w:rsidTr="00087D3A">
        <w:trPr>
          <w:trHeight w:hRule="exact" w:val="264"/>
        </w:trPr>
        <w:tc>
          <w:tcPr>
            <w:tcW w:w="1660" w:type="pct"/>
            <w:tcBorders>
              <w:top w:val="single" w:sz="4" w:space="0" w:color="000000"/>
              <w:left w:val="single" w:sz="4" w:space="0" w:color="000000"/>
              <w:bottom w:val="single" w:sz="4" w:space="0" w:color="000000"/>
              <w:right w:val="single" w:sz="4" w:space="0" w:color="000000"/>
            </w:tcBorders>
            <w:hideMark/>
          </w:tcPr>
          <w:p w:rsidR="00360DE0" w:rsidRPr="00B23B00" w:rsidRDefault="00360DE0" w:rsidP="00A31852">
            <w:pPr>
              <w:ind w:left="132"/>
              <w:rPr>
                <w:sz w:val="24"/>
                <w:szCs w:val="24"/>
              </w:rPr>
            </w:pPr>
            <w:r w:rsidRPr="00B23B00">
              <w:rPr>
                <w:sz w:val="24"/>
                <w:szCs w:val="24"/>
              </w:rPr>
              <w:t xml:space="preserve">Median, </w:t>
            </w:r>
            <w:proofErr w:type="spellStart"/>
            <w:r w:rsidRPr="00B23B00">
              <w:rPr>
                <w:sz w:val="24"/>
                <w:szCs w:val="24"/>
              </w:rPr>
              <w:t>months</w:t>
            </w:r>
            <w:proofErr w:type="spellEnd"/>
            <w:r w:rsidRPr="00B23B00">
              <w:rPr>
                <w:sz w:val="24"/>
                <w:szCs w:val="24"/>
              </w:rPr>
              <w:t xml:space="preserve"> (95</w:t>
            </w:r>
            <w:r w:rsidR="00B23B00">
              <w:rPr>
                <w:sz w:val="24"/>
                <w:szCs w:val="24"/>
              </w:rPr>
              <w:t xml:space="preserve"> %</w:t>
            </w:r>
            <w:r w:rsidRPr="00B23B00">
              <w:rPr>
                <w:sz w:val="24"/>
                <w:szCs w:val="24"/>
              </w:rPr>
              <w:t xml:space="preserve"> CI)</w:t>
            </w:r>
            <w:r w:rsidRPr="00B23B00">
              <w:rPr>
                <w:sz w:val="24"/>
                <w:szCs w:val="24"/>
                <w:vertAlign w:val="superscript"/>
              </w:rPr>
              <w:t>1</w:t>
            </w:r>
          </w:p>
        </w:tc>
        <w:tc>
          <w:tcPr>
            <w:tcW w:w="1679" w:type="pct"/>
            <w:tcBorders>
              <w:top w:val="single" w:sz="4" w:space="0" w:color="000000"/>
              <w:left w:val="single" w:sz="4" w:space="0" w:color="000000"/>
              <w:bottom w:val="single" w:sz="4" w:space="0" w:color="000000"/>
              <w:right w:val="single" w:sz="4" w:space="0" w:color="000000"/>
            </w:tcBorders>
            <w:hideMark/>
          </w:tcPr>
          <w:p w:rsidR="00360DE0" w:rsidRPr="00B23B00" w:rsidRDefault="00360DE0" w:rsidP="00A31852">
            <w:pPr>
              <w:ind w:left="132"/>
              <w:jc w:val="center"/>
              <w:rPr>
                <w:sz w:val="24"/>
                <w:szCs w:val="24"/>
              </w:rPr>
            </w:pPr>
            <w:r w:rsidRPr="00B23B00">
              <w:rPr>
                <w:sz w:val="24"/>
                <w:szCs w:val="24"/>
              </w:rPr>
              <w:t>NR</w:t>
            </w:r>
          </w:p>
        </w:tc>
        <w:tc>
          <w:tcPr>
            <w:tcW w:w="1661" w:type="pct"/>
            <w:tcBorders>
              <w:top w:val="single" w:sz="4" w:space="0" w:color="000000"/>
              <w:left w:val="single" w:sz="4" w:space="0" w:color="000000"/>
              <w:bottom w:val="single" w:sz="4" w:space="0" w:color="000000"/>
              <w:right w:val="single" w:sz="4" w:space="0" w:color="000000"/>
            </w:tcBorders>
            <w:hideMark/>
          </w:tcPr>
          <w:p w:rsidR="00360DE0" w:rsidRPr="00B23B00" w:rsidRDefault="00360DE0" w:rsidP="00105F96">
            <w:pPr>
              <w:jc w:val="center"/>
              <w:rPr>
                <w:sz w:val="24"/>
                <w:szCs w:val="24"/>
              </w:rPr>
            </w:pPr>
            <w:r w:rsidRPr="00B23B00">
              <w:rPr>
                <w:sz w:val="24"/>
                <w:szCs w:val="24"/>
              </w:rPr>
              <w:t>19.0 (16.6, 22.2)</w:t>
            </w:r>
          </w:p>
        </w:tc>
      </w:tr>
      <w:tr w:rsidR="00360DE0" w:rsidRPr="00B23B00" w:rsidTr="00087D3A">
        <w:trPr>
          <w:trHeight w:hRule="exact" w:val="264"/>
        </w:trPr>
        <w:tc>
          <w:tcPr>
            <w:tcW w:w="1660" w:type="pct"/>
            <w:tcBorders>
              <w:top w:val="single" w:sz="4" w:space="0" w:color="000000"/>
              <w:left w:val="single" w:sz="4" w:space="0" w:color="000000"/>
              <w:bottom w:val="single" w:sz="4" w:space="0" w:color="000000"/>
              <w:right w:val="single" w:sz="4" w:space="0" w:color="000000"/>
            </w:tcBorders>
            <w:hideMark/>
          </w:tcPr>
          <w:p w:rsidR="00360DE0" w:rsidRPr="00B23B00" w:rsidRDefault="00360DE0" w:rsidP="00A31852">
            <w:pPr>
              <w:ind w:left="132"/>
              <w:rPr>
                <w:sz w:val="24"/>
                <w:szCs w:val="24"/>
              </w:rPr>
            </w:pPr>
            <w:proofErr w:type="spellStart"/>
            <w:r w:rsidRPr="00B23B00">
              <w:rPr>
                <w:sz w:val="24"/>
                <w:szCs w:val="24"/>
              </w:rPr>
              <w:t>Hazard</w:t>
            </w:r>
            <w:proofErr w:type="spellEnd"/>
            <w:r w:rsidRPr="00B23B00">
              <w:rPr>
                <w:sz w:val="24"/>
                <w:szCs w:val="24"/>
              </w:rPr>
              <w:t xml:space="preserve"> ratio (95</w:t>
            </w:r>
            <w:r w:rsidR="00B23B00">
              <w:rPr>
                <w:sz w:val="24"/>
                <w:szCs w:val="24"/>
              </w:rPr>
              <w:t xml:space="preserve"> %</w:t>
            </w:r>
            <w:r w:rsidRPr="00B23B00">
              <w:rPr>
                <w:sz w:val="24"/>
                <w:szCs w:val="24"/>
              </w:rPr>
              <w:t xml:space="preserve"> CI)</w:t>
            </w:r>
            <w:r w:rsidRPr="00B23B00">
              <w:rPr>
                <w:sz w:val="24"/>
                <w:szCs w:val="24"/>
                <w:vertAlign w:val="superscript"/>
              </w:rPr>
              <w:t>2</w:t>
            </w:r>
          </w:p>
        </w:tc>
        <w:tc>
          <w:tcPr>
            <w:tcW w:w="3340" w:type="pct"/>
            <w:gridSpan w:val="2"/>
            <w:tcBorders>
              <w:top w:val="single" w:sz="4" w:space="0" w:color="000000"/>
              <w:left w:val="single" w:sz="4" w:space="0" w:color="000000"/>
              <w:bottom w:val="single" w:sz="4" w:space="0" w:color="000000"/>
              <w:right w:val="single" w:sz="4" w:space="0" w:color="000000"/>
            </w:tcBorders>
            <w:hideMark/>
          </w:tcPr>
          <w:p w:rsidR="00360DE0" w:rsidRPr="00B23B00" w:rsidRDefault="00360DE0" w:rsidP="00A31852">
            <w:pPr>
              <w:ind w:left="132"/>
              <w:jc w:val="center"/>
              <w:rPr>
                <w:sz w:val="24"/>
                <w:szCs w:val="24"/>
              </w:rPr>
            </w:pPr>
            <w:r w:rsidRPr="00B23B00">
              <w:rPr>
                <w:sz w:val="24"/>
                <w:szCs w:val="24"/>
              </w:rPr>
              <w:t>0.39 (0.30, 0.50)</w:t>
            </w:r>
          </w:p>
        </w:tc>
      </w:tr>
      <w:tr w:rsidR="00360DE0" w:rsidRPr="00B23B00" w:rsidTr="00087D3A">
        <w:trPr>
          <w:trHeight w:hRule="exact" w:val="264"/>
        </w:trPr>
        <w:tc>
          <w:tcPr>
            <w:tcW w:w="1660" w:type="pct"/>
            <w:tcBorders>
              <w:top w:val="single" w:sz="4" w:space="0" w:color="000000"/>
              <w:left w:val="single" w:sz="4" w:space="0" w:color="000000"/>
              <w:bottom w:val="single" w:sz="4" w:space="0" w:color="000000"/>
              <w:right w:val="single" w:sz="4" w:space="0" w:color="000000"/>
            </w:tcBorders>
            <w:hideMark/>
          </w:tcPr>
          <w:p w:rsidR="00360DE0" w:rsidRPr="00B23B00" w:rsidRDefault="00360DE0" w:rsidP="00A31852">
            <w:pPr>
              <w:ind w:left="132"/>
              <w:rPr>
                <w:sz w:val="24"/>
                <w:szCs w:val="24"/>
              </w:rPr>
            </w:pPr>
            <w:r w:rsidRPr="00B23B00">
              <w:rPr>
                <w:sz w:val="24"/>
                <w:szCs w:val="24"/>
              </w:rPr>
              <w:t>P-value</w:t>
            </w:r>
            <w:r w:rsidRPr="00B23B00">
              <w:rPr>
                <w:sz w:val="24"/>
                <w:szCs w:val="24"/>
                <w:vertAlign w:val="superscript"/>
              </w:rPr>
              <w:t>2</w:t>
            </w:r>
          </w:p>
        </w:tc>
        <w:tc>
          <w:tcPr>
            <w:tcW w:w="3340" w:type="pct"/>
            <w:gridSpan w:val="2"/>
            <w:tcBorders>
              <w:top w:val="single" w:sz="4" w:space="0" w:color="000000"/>
              <w:left w:val="single" w:sz="4" w:space="0" w:color="000000"/>
              <w:bottom w:val="single" w:sz="4" w:space="0" w:color="000000"/>
              <w:right w:val="single" w:sz="4" w:space="0" w:color="000000"/>
            </w:tcBorders>
            <w:hideMark/>
          </w:tcPr>
          <w:p w:rsidR="00360DE0" w:rsidRPr="00B23B00" w:rsidRDefault="00360DE0" w:rsidP="00A31852">
            <w:pPr>
              <w:ind w:left="132"/>
              <w:jc w:val="center"/>
              <w:rPr>
                <w:sz w:val="24"/>
                <w:szCs w:val="24"/>
              </w:rPr>
            </w:pPr>
            <w:r w:rsidRPr="00B23B00">
              <w:rPr>
                <w:sz w:val="24"/>
                <w:szCs w:val="24"/>
              </w:rPr>
              <w:t>p &lt; 0.0001</w:t>
            </w:r>
          </w:p>
        </w:tc>
      </w:tr>
    </w:tbl>
    <w:p w:rsidR="00360DE0" w:rsidRPr="00105F96" w:rsidRDefault="00360DE0" w:rsidP="00087D3A">
      <w:pPr>
        <w:ind w:left="851"/>
        <w:rPr>
          <w:sz w:val="20"/>
          <w:lang w:val="en-US" w:eastAsia="en-US"/>
        </w:rPr>
      </w:pPr>
      <w:r w:rsidRPr="00105F96">
        <w:rPr>
          <w:sz w:val="20"/>
        </w:rPr>
        <w:t xml:space="preserve">NR = Not </w:t>
      </w:r>
      <w:proofErr w:type="spellStart"/>
      <w:r w:rsidRPr="00105F96">
        <w:rPr>
          <w:sz w:val="20"/>
        </w:rPr>
        <w:t>reached</w:t>
      </w:r>
      <w:proofErr w:type="spellEnd"/>
      <w:r w:rsidR="00087D3A">
        <w:rPr>
          <w:sz w:val="20"/>
        </w:rPr>
        <w:t>.</w:t>
      </w:r>
    </w:p>
    <w:p w:rsidR="00360DE0" w:rsidRPr="00105F96" w:rsidRDefault="00360DE0" w:rsidP="00087D3A">
      <w:pPr>
        <w:pStyle w:val="Listeafsnit"/>
        <w:numPr>
          <w:ilvl w:val="0"/>
          <w:numId w:val="6"/>
        </w:numPr>
        <w:ind w:left="851" w:firstLine="0"/>
        <w:rPr>
          <w:sz w:val="20"/>
          <w:szCs w:val="20"/>
        </w:rPr>
      </w:pPr>
      <w:r w:rsidRPr="00105F96">
        <w:rPr>
          <w:sz w:val="20"/>
          <w:szCs w:val="20"/>
        </w:rPr>
        <w:t>Calculated using Brookmeyer and Crowley</w:t>
      </w:r>
      <w:r w:rsidRPr="00105F96">
        <w:rPr>
          <w:spacing w:val="-8"/>
          <w:sz w:val="20"/>
          <w:szCs w:val="20"/>
        </w:rPr>
        <w:t xml:space="preserve"> </w:t>
      </w:r>
      <w:r w:rsidRPr="00105F96">
        <w:rPr>
          <w:sz w:val="20"/>
          <w:szCs w:val="20"/>
        </w:rPr>
        <w:t>method</w:t>
      </w:r>
    </w:p>
    <w:p w:rsidR="00360DE0" w:rsidRPr="00105F96" w:rsidRDefault="00360DE0" w:rsidP="00087D3A">
      <w:pPr>
        <w:pStyle w:val="Listeafsnit"/>
        <w:numPr>
          <w:ilvl w:val="0"/>
          <w:numId w:val="6"/>
        </w:numPr>
        <w:ind w:left="851" w:firstLine="0"/>
        <w:rPr>
          <w:sz w:val="20"/>
          <w:szCs w:val="20"/>
        </w:rPr>
      </w:pPr>
      <w:r w:rsidRPr="00105F96">
        <w:rPr>
          <w:sz w:val="20"/>
          <w:szCs w:val="20"/>
        </w:rPr>
        <w:t xml:space="preserve">Stratified </w:t>
      </w:r>
      <w:r w:rsidRPr="00105F96">
        <w:rPr>
          <w:spacing w:val="-3"/>
          <w:sz w:val="20"/>
          <w:szCs w:val="20"/>
        </w:rPr>
        <w:t xml:space="preserve">by </w:t>
      </w:r>
      <w:r w:rsidRPr="00105F96">
        <w:rPr>
          <w:sz w:val="20"/>
          <w:szCs w:val="20"/>
        </w:rPr>
        <w:t xml:space="preserve">volume of disease (low </w:t>
      </w:r>
      <w:r w:rsidRPr="00105F96">
        <w:rPr>
          <w:spacing w:val="-3"/>
          <w:sz w:val="20"/>
          <w:szCs w:val="20"/>
        </w:rPr>
        <w:t xml:space="preserve">vs </w:t>
      </w:r>
      <w:r w:rsidRPr="00105F96">
        <w:rPr>
          <w:sz w:val="20"/>
          <w:szCs w:val="20"/>
        </w:rPr>
        <w:t xml:space="preserve">high) and prior docetaxel </w:t>
      </w:r>
      <w:r w:rsidRPr="00105F96">
        <w:rPr>
          <w:spacing w:val="-3"/>
          <w:sz w:val="20"/>
          <w:szCs w:val="20"/>
        </w:rPr>
        <w:t>use (yes or</w:t>
      </w:r>
      <w:r w:rsidRPr="00105F96">
        <w:rPr>
          <w:spacing w:val="25"/>
          <w:sz w:val="20"/>
          <w:szCs w:val="20"/>
        </w:rPr>
        <w:t xml:space="preserve"> </w:t>
      </w:r>
      <w:r w:rsidRPr="00105F96">
        <w:rPr>
          <w:sz w:val="20"/>
          <w:szCs w:val="20"/>
        </w:rPr>
        <w:t>no)</w:t>
      </w:r>
    </w:p>
    <w:p w:rsidR="00DE37FA" w:rsidRPr="00B23B00" w:rsidRDefault="00DE37FA" w:rsidP="007235E8">
      <w:pPr>
        <w:pStyle w:val="Brdtekst"/>
        <w:keepNext/>
        <w:rPr>
          <w:sz w:val="24"/>
          <w:szCs w:val="24"/>
        </w:rPr>
      </w:pPr>
    </w:p>
    <w:p w:rsidR="00360DE0" w:rsidRPr="00B23B00" w:rsidRDefault="00550718" w:rsidP="007235E8">
      <w:pPr>
        <w:pStyle w:val="Brdtekst"/>
        <w:keepNext/>
        <w:rPr>
          <w:sz w:val="24"/>
          <w:szCs w:val="24"/>
        </w:rPr>
      </w:pPr>
      <w:r>
        <w:rPr>
          <w:noProof/>
          <w:sz w:val="24"/>
          <w:szCs w:val="24"/>
        </w:rPr>
        <w:drawing>
          <wp:anchor distT="0" distB="0" distL="0" distR="0" simplePos="0" relativeHeight="251658240" behindDoc="1" locked="0" layoutInCell="1" allowOverlap="1" wp14:editId="1B6BF3DD">
            <wp:simplePos x="0" y="0"/>
            <wp:positionH relativeFrom="page">
              <wp:posOffset>1032256</wp:posOffset>
            </wp:positionH>
            <wp:positionV relativeFrom="paragraph">
              <wp:posOffset>89129</wp:posOffset>
            </wp:positionV>
            <wp:extent cx="5603875" cy="3127375"/>
            <wp:effectExtent l="0" t="0" r="0" b="0"/>
            <wp:wrapNone/>
            <wp:docPr id="22" name="Bille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3875" cy="3127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37FA" w:rsidRPr="00B23B00" w:rsidRDefault="00DE37FA" w:rsidP="007235E8">
      <w:pPr>
        <w:pStyle w:val="Brdtekst"/>
        <w:keepNext/>
        <w:rPr>
          <w:sz w:val="24"/>
          <w:szCs w:val="24"/>
        </w:rPr>
      </w:pPr>
    </w:p>
    <w:p w:rsidR="00765990" w:rsidRDefault="00765990" w:rsidP="007235E8">
      <w:pPr>
        <w:pStyle w:val="Billedtekst"/>
        <w:keepNext/>
        <w:spacing w:before="0" w:after="0"/>
        <w:rPr>
          <w:szCs w:val="24"/>
        </w:rPr>
      </w:pPr>
    </w:p>
    <w:p w:rsidR="00765990" w:rsidRDefault="00765990" w:rsidP="007235E8">
      <w:pPr>
        <w:pStyle w:val="Billedtekst"/>
        <w:keepNext/>
        <w:spacing w:before="0" w:after="0"/>
        <w:rPr>
          <w:szCs w:val="24"/>
        </w:rPr>
      </w:pPr>
    </w:p>
    <w:p w:rsidR="00765990" w:rsidRDefault="00765990" w:rsidP="007235E8">
      <w:pPr>
        <w:pStyle w:val="Billedtekst"/>
        <w:keepNext/>
        <w:spacing w:before="0" w:after="0"/>
        <w:rPr>
          <w:szCs w:val="24"/>
        </w:rPr>
      </w:pPr>
    </w:p>
    <w:p w:rsidR="00765990" w:rsidRDefault="00765990" w:rsidP="007235E8">
      <w:pPr>
        <w:pStyle w:val="Billedtekst"/>
        <w:keepNext/>
        <w:spacing w:before="0" w:after="0"/>
        <w:rPr>
          <w:szCs w:val="24"/>
        </w:rPr>
      </w:pPr>
    </w:p>
    <w:p w:rsidR="00765990" w:rsidRDefault="00765990" w:rsidP="007235E8">
      <w:pPr>
        <w:pStyle w:val="Billedtekst"/>
        <w:keepNext/>
        <w:spacing w:before="0" w:after="0"/>
        <w:rPr>
          <w:szCs w:val="24"/>
        </w:rPr>
      </w:pPr>
    </w:p>
    <w:p w:rsidR="00765990" w:rsidRDefault="00765990" w:rsidP="007235E8">
      <w:pPr>
        <w:pStyle w:val="Billedtekst"/>
        <w:keepNext/>
        <w:spacing w:before="0" w:after="0"/>
        <w:rPr>
          <w:szCs w:val="24"/>
        </w:rPr>
      </w:pPr>
    </w:p>
    <w:p w:rsidR="00765990" w:rsidRDefault="00765990" w:rsidP="007235E8">
      <w:pPr>
        <w:pStyle w:val="Billedtekst"/>
        <w:keepNext/>
        <w:spacing w:before="0" w:after="0"/>
        <w:rPr>
          <w:szCs w:val="24"/>
        </w:rPr>
      </w:pPr>
    </w:p>
    <w:p w:rsidR="00765990" w:rsidRDefault="00765990" w:rsidP="007235E8">
      <w:pPr>
        <w:pStyle w:val="Billedtekst"/>
        <w:keepNext/>
        <w:spacing w:before="0" w:after="0"/>
        <w:rPr>
          <w:szCs w:val="24"/>
        </w:rPr>
      </w:pPr>
    </w:p>
    <w:p w:rsidR="00765990" w:rsidRDefault="00765990" w:rsidP="007235E8">
      <w:pPr>
        <w:pStyle w:val="Billedtekst"/>
        <w:keepNext/>
        <w:spacing w:before="0" w:after="0"/>
        <w:rPr>
          <w:szCs w:val="24"/>
        </w:rPr>
      </w:pPr>
    </w:p>
    <w:p w:rsidR="00765990" w:rsidRDefault="00765990" w:rsidP="007235E8">
      <w:pPr>
        <w:pStyle w:val="Billedtekst"/>
        <w:keepNext/>
        <w:spacing w:before="0" w:after="0"/>
        <w:rPr>
          <w:szCs w:val="24"/>
        </w:rPr>
      </w:pPr>
    </w:p>
    <w:p w:rsidR="00765990" w:rsidRDefault="00765990" w:rsidP="007235E8">
      <w:pPr>
        <w:pStyle w:val="Billedtekst"/>
        <w:keepNext/>
        <w:spacing w:before="0" w:after="0"/>
        <w:rPr>
          <w:szCs w:val="24"/>
        </w:rPr>
      </w:pPr>
    </w:p>
    <w:p w:rsidR="00765990" w:rsidRDefault="00765990" w:rsidP="007235E8">
      <w:pPr>
        <w:pStyle w:val="Billedtekst"/>
        <w:keepNext/>
        <w:spacing w:before="0" w:after="0"/>
        <w:rPr>
          <w:szCs w:val="24"/>
        </w:rPr>
      </w:pPr>
    </w:p>
    <w:p w:rsidR="00765990" w:rsidRDefault="00765990" w:rsidP="007235E8">
      <w:pPr>
        <w:pStyle w:val="Billedtekst"/>
        <w:keepNext/>
        <w:spacing w:before="0" w:after="0"/>
        <w:rPr>
          <w:szCs w:val="24"/>
        </w:rPr>
      </w:pPr>
    </w:p>
    <w:p w:rsidR="00765990" w:rsidRDefault="00765990" w:rsidP="007235E8">
      <w:pPr>
        <w:pStyle w:val="Billedtekst"/>
        <w:keepNext/>
        <w:spacing w:before="0" w:after="0"/>
        <w:rPr>
          <w:szCs w:val="24"/>
        </w:rPr>
      </w:pPr>
    </w:p>
    <w:p w:rsidR="00550718" w:rsidRDefault="00550718" w:rsidP="00E37F9E">
      <w:pPr>
        <w:pStyle w:val="Billedtekst"/>
        <w:ind w:left="851"/>
      </w:pPr>
    </w:p>
    <w:p w:rsidR="00550718" w:rsidRDefault="00550718" w:rsidP="00E37F9E">
      <w:pPr>
        <w:pStyle w:val="Billedtekst"/>
        <w:ind w:left="851"/>
      </w:pPr>
    </w:p>
    <w:p w:rsidR="00765990" w:rsidRDefault="00765990" w:rsidP="00E37F9E">
      <w:pPr>
        <w:pStyle w:val="Billedtekst"/>
        <w:ind w:left="851"/>
      </w:pPr>
      <w:r>
        <w:t xml:space="preserve">Figure </w:t>
      </w:r>
      <w:r w:rsidR="00550718">
        <w:t>3:</w:t>
      </w:r>
      <w:r>
        <w:t xml:space="preserve"> Kaplan-Meier curve of </w:t>
      </w:r>
      <w:proofErr w:type="spellStart"/>
      <w:r>
        <w:t>rPFS</w:t>
      </w:r>
      <w:proofErr w:type="spellEnd"/>
      <w:r>
        <w:t xml:space="preserve"> in ARCHES study (intent-to-treat analysis)</w:t>
      </w:r>
    </w:p>
    <w:p w:rsidR="00E37F9E" w:rsidRDefault="00E37F9E" w:rsidP="00E37F9E">
      <w:pPr>
        <w:pStyle w:val="Brdtekst"/>
        <w:spacing w:before="10"/>
        <w:ind w:left="851"/>
      </w:pPr>
      <w:bookmarkStart w:id="1" w:name="_Hlk185418226"/>
      <w:r>
        <w:t xml:space="preserve">Key secondary efficacy endpoints assessed in the study included time to PSA progression, time to start of new antineoplastic therapy, PSA undetectable rate (decline to &lt;0.2 µg/L) and objective response rate (RECIST 1.1 based on independent review). Statistically significant improvements in </w:t>
      </w:r>
      <w:r>
        <w:lastRenderedPageBreak/>
        <w:t>patients treated with enzalutamide compared to placebo were demonstrated for all these secondary endpoints.</w:t>
      </w:r>
    </w:p>
    <w:p w:rsidR="00550718" w:rsidRDefault="00550718" w:rsidP="00E37F9E">
      <w:pPr>
        <w:pStyle w:val="Brdtekst"/>
        <w:spacing w:before="10"/>
        <w:ind w:left="851"/>
      </w:pPr>
    </w:p>
    <w:p w:rsidR="00E37F9E" w:rsidRDefault="00E37F9E" w:rsidP="00E37F9E">
      <w:pPr>
        <w:pStyle w:val="Brdtekst"/>
        <w:ind w:left="851"/>
        <w:rPr>
          <w:sz w:val="24"/>
        </w:rPr>
      </w:pPr>
      <w:r w:rsidRPr="008E291A">
        <w:t xml:space="preserve">Another key secondary efficacy endpoint assessed in the study was overall survival. At the pre-specified final analysis for overall survival, conducted when 356 deaths were observed, a statistically significant 34% reduction in the risk of death was demonstrated in the group </w:t>
      </w:r>
      <w:proofErr w:type="spellStart"/>
      <w:r w:rsidRPr="008E291A">
        <w:t>randomised</w:t>
      </w:r>
      <w:proofErr w:type="spellEnd"/>
      <w:r w:rsidRPr="008E291A">
        <w:t xml:space="preserve"> to receive enzalutamide compared with the group </w:t>
      </w:r>
      <w:proofErr w:type="spellStart"/>
      <w:r w:rsidRPr="008E291A">
        <w:t>randomised</w:t>
      </w:r>
      <w:proofErr w:type="spellEnd"/>
      <w:r w:rsidRPr="008E291A">
        <w:t xml:space="preserve"> to receive placebo [HR = 0.66, (95% CI: 0.53; 0.81), p &lt; 0.0001]. The median time for overall survival was not reached in either treatment group. The estimated median follow-up time for all patients was 44.6 months (see Figure </w:t>
      </w:r>
      <w:r w:rsidR="00550718">
        <w:t>4</w:t>
      </w:r>
      <w:r w:rsidRPr="008E291A">
        <w:t>).</w:t>
      </w:r>
      <w:bookmarkEnd w:id="1"/>
    </w:p>
    <w:p w:rsidR="00E37F9E" w:rsidRDefault="00E37F9E" w:rsidP="00E37F9E">
      <w:pPr>
        <w:pStyle w:val="Brdtekst"/>
        <w:spacing w:before="3"/>
        <w:rPr>
          <w:sz w:val="21"/>
        </w:rPr>
      </w:pPr>
    </w:p>
    <w:p w:rsidR="00E37F9E" w:rsidRDefault="00E37F9E" w:rsidP="00E37F9E">
      <w:pPr>
        <w:pStyle w:val="Brdtekst"/>
        <w:spacing w:before="10"/>
        <w:rPr>
          <w:i/>
        </w:rPr>
      </w:pPr>
      <w:bookmarkStart w:id="2" w:name="_Hlk185418862"/>
    </w:p>
    <w:p w:rsidR="00E37F9E" w:rsidRDefault="00E37F9E" w:rsidP="00E37F9E">
      <w:pPr>
        <w:pStyle w:val="Brdtekst"/>
        <w:spacing w:before="10"/>
        <w:rPr>
          <w:i/>
        </w:rPr>
      </w:pPr>
      <w:r w:rsidRPr="00E37F9E">
        <w:rPr>
          <w:i/>
          <w:noProof/>
        </w:rPr>
        <w:drawing>
          <wp:inline distT="0" distB="0" distL="0" distR="0" wp14:anchorId="09438CA5" wp14:editId="1F3ACBDF">
            <wp:extent cx="6120130" cy="2934335"/>
            <wp:effectExtent l="0" t="0" r="0" b="0"/>
            <wp:docPr id="30" name="Billed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130" cy="2934335"/>
                    </a:xfrm>
                    <a:prstGeom prst="rect">
                      <a:avLst/>
                    </a:prstGeom>
                  </pic:spPr>
                </pic:pic>
              </a:graphicData>
            </a:graphic>
          </wp:inline>
        </w:drawing>
      </w:r>
    </w:p>
    <w:p w:rsidR="00E37F9E" w:rsidRPr="008E291A" w:rsidRDefault="00E37F9E" w:rsidP="00E37F9E">
      <w:pPr>
        <w:pStyle w:val="Brdtekst"/>
        <w:spacing w:before="10"/>
        <w:ind w:left="851"/>
        <w:rPr>
          <w:i/>
          <w:sz w:val="24"/>
          <w:szCs w:val="24"/>
        </w:rPr>
      </w:pPr>
      <w:bookmarkStart w:id="3" w:name="_Hlk185418367"/>
      <w:bookmarkEnd w:id="2"/>
      <w:r w:rsidRPr="008E291A">
        <w:rPr>
          <w:b/>
          <w:bCs/>
          <w:sz w:val="24"/>
          <w:szCs w:val="24"/>
        </w:rPr>
        <w:t xml:space="preserve">Figure </w:t>
      </w:r>
      <w:r w:rsidR="00550718">
        <w:rPr>
          <w:b/>
          <w:bCs/>
          <w:sz w:val="24"/>
          <w:szCs w:val="24"/>
        </w:rPr>
        <w:t>4</w:t>
      </w:r>
      <w:r w:rsidRPr="008E291A">
        <w:rPr>
          <w:b/>
          <w:bCs/>
          <w:sz w:val="24"/>
          <w:szCs w:val="24"/>
        </w:rPr>
        <w:t>: Kaplan-Meier Curves of overall survival in the ARCHES study (intent-to-treat analysis)</w:t>
      </w:r>
    </w:p>
    <w:bookmarkEnd w:id="3"/>
    <w:p w:rsidR="00E37F9E" w:rsidRDefault="00E37F9E" w:rsidP="00E37F9E">
      <w:pPr>
        <w:pStyle w:val="Brdtekst"/>
        <w:spacing w:before="10"/>
        <w:rPr>
          <w:i/>
        </w:rPr>
      </w:pPr>
    </w:p>
    <w:p w:rsidR="00E37F9E" w:rsidRDefault="00E37F9E" w:rsidP="00E37F9E">
      <w:pPr>
        <w:pStyle w:val="Brdtekst"/>
        <w:spacing w:before="10"/>
        <w:ind w:left="851"/>
        <w:rPr>
          <w:i/>
        </w:rPr>
      </w:pPr>
      <w:r>
        <w:rPr>
          <w:i/>
        </w:rPr>
        <w:t>MDV3100-14 (PROSPER) study (patients with non-metastatic CRPC)</w:t>
      </w:r>
    </w:p>
    <w:p w:rsidR="00E37F9E" w:rsidRDefault="00E37F9E" w:rsidP="00E37F9E">
      <w:pPr>
        <w:pStyle w:val="Brdtekst"/>
        <w:spacing w:before="2"/>
        <w:ind w:left="851"/>
        <w:rPr>
          <w:i/>
        </w:rPr>
      </w:pPr>
    </w:p>
    <w:p w:rsidR="00E37F9E" w:rsidRDefault="00E37F9E" w:rsidP="00E37F9E">
      <w:pPr>
        <w:pStyle w:val="Brdtekst"/>
        <w:spacing w:before="10"/>
        <w:ind w:left="851"/>
      </w:pPr>
      <w:r>
        <w:t>The PROSPER study enrolled 1401 patients with asymptomatic, high-risk non-metastatic CRPC who continued on androgen deprivation therapy (ADT; defined as LHRH analogue or prior bilateral orchiectomy). Patients were required to have a PSA doubling time ≤ 10 months, PSA ≥ 2 ng/mL, and confirmation of non-metastatic disease by blinded independent central review (BICR).</w:t>
      </w:r>
    </w:p>
    <w:p w:rsidR="00E37F9E" w:rsidRDefault="00E37F9E" w:rsidP="00E37F9E">
      <w:pPr>
        <w:pStyle w:val="Brdtekst"/>
        <w:spacing w:before="9"/>
        <w:ind w:left="851"/>
        <w:rPr>
          <w:sz w:val="21"/>
        </w:rPr>
      </w:pPr>
    </w:p>
    <w:p w:rsidR="00E37F9E" w:rsidRDefault="00E37F9E" w:rsidP="00E37F9E">
      <w:pPr>
        <w:pStyle w:val="Brdtekst"/>
        <w:spacing w:before="10"/>
        <w:ind w:left="851"/>
      </w:pPr>
      <w:r>
        <w:t>Patients with a history of mild to moderate heart failure (NYHA Class I or II), and patients taking medicinal products associated with lowering the seizure threshold were allowed. Patients were excluded with a previous history of seizure, a condition that might predispose them to seizure, or certain prior treatments for prostate cancer (i.e., chemotherapy, ketoconazole, abiraterone acetate, aminoglutethimide and/or enzalutamide).</w:t>
      </w:r>
    </w:p>
    <w:p w:rsidR="00E37F9E" w:rsidRDefault="00E37F9E" w:rsidP="00E37F9E">
      <w:pPr>
        <w:pStyle w:val="Brdtekst"/>
        <w:spacing w:before="9"/>
        <w:ind w:left="851"/>
        <w:rPr>
          <w:sz w:val="21"/>
        </w:rPr>
      </w:pPr>
    </w:p>
    <w:p w:rsidR="00E37F9E" w:rsidRDefault="00E37F9E" w:rsidP="00E37F9E">
      <w:pPr>
        <w:pStyle w:val="Brdtekst"/>
        <w:spacing w:before="10"/>
        <w:ind w:left="851"/>
      </w:pPr>
      <w:r>
        <w:t xml:space="preserve">Patients were </w:t>
      </w:r>
      <w:proofErr w:type="spellStart"/>
      <w:r>
        <w:t>randomised</w:t>
      </w:r>
      <w:proofErr w:type="spellEnd"/>
      <w:r>
        <w:t xml:space="preserve"> 2:1 to receive either enzalutamide at a dose of 160 mg once daily (N = 933) or placebo (N = 468). Patients were stratified by Prostate Specific Antigen (PSA) Doubling Time (PSADT) (&lt; 6 months or ≥ 6 months) and the use of bone-targeting agents (yes or no).</w:t>
      </w:r>
    </w:p>
    <w:p w:rsidR="00E37F9E" w:rsidRDefault="00E37F9E" w:rsidP="00E37F9E">
      <w:pPr>
        <w:pStyle w:val="Brdtekst"/>
        <w:spacing w:before="9"/>
        <w:ind w:left="851"/>
        <w:rPr>
          <w:sz w:val="21"/>
        </w:rPr>
      </w:pPr>
    </w:p>
    <w:p w:rsidR="00E37F9E" w:rsidRDefault="00E37F9E" w:rsidP="00E37F9E">
      <w:pPr>
        <w:pStyle w:val="Brdtekst"/>
        <w:spacing w:before="10"/>
        <w:ind w:left="851"/>
      </w:pPr>
      <w:r>
        <w:t xml:space="preserve">The demographic and baseline characteristics were well-balanced between the two treatment arms. The median age at </w:t>
      </w:r>
      <w:proofErr w:type="spellStart"/>
      <w:r>
        <w:t>randomisation</w:t>
      </w:r>
      <w:proofErr w:type="spellEnd"/>
      <w:r>
        <w:t xml:space="preserve"> was 74 years in the enzalutamide arm and 73 years in the placebo arm. Most patients (approximately 71%) in the study were Caucasian; 16% were Asian and 2% were Black. Eighty-one percent (81%) of patients had an ECOG performance status score of 0 and 19% patients had an ECOG performance status of 1.</w:t>
      </w:r>
    </w:p>
    <w:p w:rsidR="00E37F9E" w:rsidRDefault="00E37F9E" w:rsidP="00E37F9E">
      <w:pPr>
        <w:pStyle w:val="Brdtekst"/>
        <w:spacing w:before="9"/>
        <w:ind w:left="851"/>
        <w:rPr>
          <w:sz w:val="21"/>
        </w:rPr>
      </w:pPr>
    </w:p>
    <w:p w:rsidR="00E37F9E" w:rsidRDefault="00E37F9E" w:rsidP="00E37F9E">
      <w:pPr>
        <w:pStyle w:val="Brdtekst"/>
        <w:spacing w:before="10"/>
        <w:ind w:left="851"/>
      </w:pPr>
      <w:r>
        <w:t xml:space="preserve">Metastasis-free survival (MFS) was the primary endpoint defined as the time from </w:t>
      </w:r>
      <w:proofErr w:type="spellStart"/>
      <w:r>
        <w:t>randomisation</w:t>
      </w:r>
      <w:proofErr w:type="spellEnd"/>
      <w:r>
        <w:t xml:space="preserve"> to radiographic progression or death within 112 days of treatment discontinuation without evidence of radiographic progression, whichever occurred first. Key secondary endpoints assessed in the study were time to PSA progression, time to first use of new antineoplastic therapy (TTA), overall survival (OS). Additional secondary endpoints included time to first use of cytotoxic chemotherapy and chemotherapy-free survival. See results below (Table </w:t>
      </w:r>
      <w:r w:rsidR="00550718">
        <w:t>4</w:t>
      </w:r>
      <w:r>
        <w:t>).</w:t>
      </w:r>
    </w:p>
    <w:p w:rsidR="00E37F9E" w:rsidRDefault="00E37F9E" w:rsidP="00E37F9E">
      <w:pPr>
        <w:pStyle w:val="Brdtekst"/>
        <w:spacing w:before="9"/>
        <w:ind w:left="851"/>
        <w:rPr>
          <w:sz w:val="21"/>
        </w:rPr>
      </w:pPr>
    </w:p>
    <w:p w:rsidR="00E37F9E" w:rsidRDefault="00E37F9E" w:rsidP="00E37F9E">
      <w:pPr>
        <w:pStyle w:val="Brdtekst"/>
        <w:spacing w:before="10"/>
        <w:ind w:left="851"/>
      </w:pPr>
      <w:r>
        <w:t xml:space="preserve">Enzalutamide demonstrated a statistically significant 71% reduction in the relative risk of radiographic progression or death compared to placebo [HR = 0.29 (95% CI: 0.24, 0.35), p &lt; 0.0001]. Median MFS was 36.6 months (95% CI: 33.1, NR) on the enzalutamide arm versus 14.7 months (95% CI: 14.2, 15.0) on the placebo arm. Consistent MFS results were also observed in all pre-specified patient sub- groups including PSADT (&lt; 6 months or ≥ 6 months), demographic region (North America, Europe, rest of world), age (&lt; 75 or ≥ 75), use of a prior bone-targeting agent (yes or no) (see figure </w:t>
      </w:r>
      <w:r w:rsidR="00550718">
        <w:t>5</w:t>
      </w:r>
      <w:r>
        <w:t>).</w:t>
      </w:r>
    </w:p>
    <w:p w:rsidR="00360DE0" w:rsidRPr="00B23B00" w:rsidRDefault="00360DE0" w:rsidP="00DE37FA">
      <w:pPr>
        <w:ind w:left="851"/>
        <w:rPr>
          <w:sz w:val="24"/>
          <w:szCs w:val="24"/>
          <w:lang w:val="en-US"/>
        </w:rPr>
      </w:pPr>
      <w:r w:rsidRPr="00B23B00">
        <w:rPr>
          <w:sz w:val="24"/>
          <w:szCs w:val="24"/>
          <w:lang w:val="en-US"/>
        </w:rPr>
        <w:t xml:space="preserve"> </w:t>
      </w:r>
    </w:p>
    <w:p w:rsidR="00360DE0" w:rsidRPr="00B23B00" w:rsidRDefault="00360DE0" w:rsidP="00E37F9E">
      <w:pPr>
        <w:ind w:firstLine="851"/>
        <w:rPr>
          <w:b/>
          <w:sz w:val="24"/>
          <w:szCs w:val="24"/>
          <w:lang w:val="en-US"/>
        </w:rPr>
      </w:pPr>
      <w:r w:rsidRPr="00B23B00">
        <w:rPr>
          <w:b/>
          <w:sz w:val="24"/>
          <w:szCs w:val="24"/>
          <w:lang w:val="en-US"/>
        </w:rPr>
        <w:t xml:space="preserve">Table </w:t>
      </w:r>
      <w:r w:rsidR="00550718">
        <w:rPr>
          <w:b/>
          <w:sz w:val="24"/>
          <w:szCs w:val="24"/>
          <w:lang w:val="en-US"/>
        </w:rPr>
        <w:t>4</w:t>
      </w:r>
      <w:r w:rsidRPr="00B23B00">
        <w:rPr>
          <w:b/>
          <w:sz w:val="24"/>
          <w:szCs w:val="24"/>
          <w:lang w:val="en-US"/>
        </w:rPr>
        <w:t>: Summary of efficacy results in the PROSPER study (intent-to-treat analysis)</w:t>
      </w:r>
    </w:p>
    <w:p w:rsidR="00360DE0" w:rsidRPr="00B23B00" w:rsidRDefault="00360DE0" w:rsidP="00360DE0">
      <w:pPr>
        <w:pStyle w:val="Brdtekst"/>
        <w:spacing w:before="2"/>
        <w:rPr>
          <w:b/>
          <w:sz w:val="24"/>
          <w:szCs w:val="24"/>
        </w:rPr>
      </w:pPr>
    </w:p>
    <w:tbl>
      <w:tblPr>
        <w:tblW w:w="5000" w:type="pct"/>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723"/>
        <w:gridCol w:w="2459"/>
        <w:gridCol w:w="2446"/>
      </w:tblGrid>
      <w:tr w:rsidR="00360DE0" w:rsidRPr="00B23B00" w:rsidTr="00E37F9E">
        <w:trPr>
          <w:trHeight w:val="20"/>
        </w:trPr>
        <w:tc>
          <w:tcPr>
            <w:tcW w:w="2453" w:type="pct"/>
            <w:tcBorders>
              <w:top w:val="single" w:sz="4" w:space="0" w:color="000000"/>
              <w:left w:val="single" w:sz="4" w:space="0" w:color="000000"/>
              <w:bottom w:val="single" w:sz="4" w:space="0" w:color="000000"/>
              <w:right w:val="single" w:sz="4" w:space="0" w:color="000000"/>
            </w:tcBorders>
          </w:tcPr>
          <w:p w:rsidR="00360DE0" w:rsidRPr="00B23B00" w:rsidRDefault="00360DE0">
            <w:pPr>
              <w:rPr>
                <w:sz w:val="24"/>
                <w:szCs w:val="24"/>
                <w:lang w:val="en-US"/>
              </w:rPr>
            </w:pPr>
          </w:p>
        </w:tc>
        <w:tc>
          <w:tcPr>
            <w:tcW w:w="1277" w:type="pct"/>
            <w:tcBorders>
              <w:top w:val="single" w:sz="4" w:space="0" w:color="000000"/>
              <w:left w:val="single" w:sz="4" w:space="0" w:color="000000"/>
              <w:bottom w:val="single" w:sz="4" w:space="0" w:color="000000"/>
              <w:right w:val="single" w:sz="4" w:space="0" w:color="000000"/>
            </w:tcBorders>
            <w:hideMark/>
          </w:tcPr>
          <w:p w:rsidR="00360DE0" w:rsidRPr="00B23B00" w:rsidRDefault="00360DE0">
            <w:pPr>
              <w:pStyle w:val="TableParagraph"/>
              <w:spacing w:before="0"/>
              <w:ind w:left="863" w:right="333" w:hanging="216"/>
              <w:rPr>
                <w:b/>
                <w:sz w:val="24"/>
                <w:szCs w:val="24"/>
              </w:rPr>
            </w:pPr>
            <w:r w:rsidRPr="00B23B00">
              <w:rPr>
                <w:b/>
                <w:sz w:val="24"/>
                <w:szCs w:val="24"/>
              </w:rPr>
              <w:t>Enzalutamide (N = 933)</w:t>
            </w:r>
          </w:p>
        </w:tc>
        <w:tc>
          <w:tcPr>
            <w:tcW w:w="1270" w:type="pct"/>
            <w:tcBorders>
              <w:top w:val="single" w:sz="4" w:space="0" w:color="000000"/>
              <w:left w:val="single" w:sz="4" w:space="0" w:color="000000"/>
              <w:bottom w:val="single" w:sz="4" w:space="0" w:color="000000"/>
              <w:right w:val="single" w:sz="4" w:space="0" w:color="000000"/>
            </w:tcBorders>
            <w:hideMark/>
          </w:tcPr>
          <w:p w:rsidR="00360DE0" w:rsidRPr="00B23B00" w:rsidRDefault="00360DE0">
            <w:pPr>
              <w:pStyle w:val="TableParagraph"/>
              <w:spacing w:before="0"/>
              <w:ind w:left="854" w:right="549" w:firstLine="67"/>
              <w:rPr>
                <w:b/>
                <w:sz w:val="24"/>
                <w:szCs w:val="24"/>
              </w:rPr>
            </w:pPr>
            <w:r w:rsidRPr="00B23B00">
              <w:rPr>
                <w:b/>
                <w:sz w:val="24"/>
                <w:szCs w:val="24"/>
              </w:rPr>
              <w:t>Placebo (N = 468)</w:t>
            </w:r>
          </w:p>
        </w:tc>
      </w:tr>
      <w:tr w:rsidR="00360DE0" w:rsidRPr="00B23B00" w:rsidTr="00E37F9E">
        <w:trPr>
          <w:trHeight w:val="20"/>
        </w:trPr>
        <w:tc>
          <w:tcPr>
            <w:tcW w:w="5000" w:type="pct"/>
            <w:gridSpan w:val="3"/>
            <w:tcBorders>
              <w:top w:val="single" w:sz="4" w:space="0" w:color="000000"/>
              <w:left w:val="single" w:sz="4" w:space="0" w:color="000000"/>
              <w:bottom w:val="single" w:sz="4" w:space="0" w:color="000000"/>
              <w:right w:val="single" w:sz="4" w:space="0" w:color="000000"/>
            </w:tcBorders>
            <w:hideMark/>
          </w:tcPr>
          <w:p w:rsidR="00360DE0" w:rsidRPr="00B23B00" w:rsidRDefault="00360DE0">
            <w:pPr>
              <w:pStyle w:val="TableParagraph"/>
              <w:ind w:left="100"/>
              <w:rPr>
                <w:b/>
                <w:sz w:val="24"/>
                <w:szCs w:val="24"/>
              </w:rPr>
            </w:pPr>
            <w:r w:rsidRPr="00B23B00">
              <w:rPr>
                <w:b/>
                <w:sz w:val="24"/>
                <w:szCs w:val="24"/>
              </w:rPr>
              <w:t>Primary Endpoint</w:t>
            </w:r>
          </w:p>
        </w:tc>
      </w:tr>
      <w:tr w:rsidR="00360DE0" w:rsidRPr="00B23B00" w:rsidTr="00E37F9E">
        <w:trPr>
          <w:trHeight w:val="20"/>
        </w:trPr>
        <w:tc>
          <w:tcPr>
            <w:tcW w:w="5000" w:type="pct"/>
            <w:gridSpan w:val="3"/>
            <w:tcBorders>
              <w:top w:val="single" w:sz="4" w:space="0" w:color="000000"/>
              <w:left w:val="single" w:sz="4" w:space="0" w:color="000000"/>
              <w:bottom w:val="single" w:sz="4" w:space="0" w:color="000000"/>
              <w:right w:val="single" w:sz="4" w:space="0" w:color="000000"/>
            </w:tcBorders>
            <w:hideMark/>
          </w:tcPr>
          <w:p w:rsidR="00360DE0" w:rsidRPr="00B23B00" w:rsidRDefault="00360DE0">
            <w:pPr>
              <w:pStyle w:val="TableParagraph"/>
              <w:ind w:left="100"/>
              <w:rPr>
                <w:b/>
                <w:sz w:val="24"/>
                <w:szCs w:val="24"/>
              </w:rPr>
            </w:pPr>
            <w:r w:rsidRPr="00B23B00">
              <w:rPr>
                <w:b/>
                <w:sz w:val="24"/>
                <w:szCs w:val="24"/>
              </w:rPr>
              <w:t>Metastasis-free survival</w:t>
            </w:r>
          </w:p>
        </w:tc>
      </w:tr>
      <w:tr w:rsidR="00360DE0" w:rsidRPr="00B23B00" w:rsidTr="00E37F9E">
        <w:trPr>
          <w:trHeight w:val="20"/>
        </w:trPr>
        <w:tc>
          <w:tcPr>
            <w:tcW w:w="2453" w:type="pct"/>
            <w:tcBorders>
              <w:top w:val="single" w:sz="4" w:space="0" w:color="000000"/>
              <w:left w:val="single" w:sz="4" w:space="0" w:color="000000"/>
              <w:bottom w:val="single" w:sz="4" w:space="0" w:color="000000"/>
              <w:right w:val="single" w:sz="4" w:space="0" w:color="000000"/>
            </w:tcBorders>
            <w:hideMark/>
          </w:tcPr>
          <w:p w:rsidR="00360DE0" w:rsidRPr="00B23B00" w:rsidRDefault="00360DE0">
            <w:pPr>
              <w:pStyle w:val="TableParagraph"/>
              <w:spacing w:before="0" w:line="249" w:lineRule="exact"/>
              <w:ind w:left="388"/>
              <w:rPr>
                <w:sz w:val="24"/>
                <w:szCs w:val="24"/>
              </w:rPr>
            </w:pPr>
            <w:r w:rsidRPr="00B23B00">
              <w:rPr>
                <w:sz w:val="24"/>
                <w:szCs w:val="24"/>
              </w:rPr>
              <w:t>Number of Events (</w:t>
            </w:r>
            <w:r w:rsidR="00B23B00">
              <w:rPr>
                <w:sz w:val="24"/>
                <w:szCs w:val="24"/>
              </w:rPr>
              <w:t>%</w:t>
            </w:r>
            <w:r w:rsidRPr="00B23B00">
              <w:rPr>
                <w:sz w:val="24"/>
                <w:szCs w:val="24"/>
              </w:rPr>
              <w:t>)</w:t>
            </w:r>
          </w:p>
        </w:tc>
        <w:tc>
          <w:tcPr>
            <w:tcW w:w="1277" w:type="pct"/>
            <w:tcBorders>
              <w:top w:val="single" w:sz="4" w:space="0" w:color="000000"/>
              <w:left w:val="single" w:sz="4" w:space="0" w:color="000000"/>
              <w:bottom w:val="single" w:sz="4" w:space="0" w:color="000000"/>
              <w:right w:val="single" w:sz="4" w:space="0" w:color="000000"/>
            </w:tcBorders>
            <w:hideMark/>
          </w:tcPr>
          <w:p w:rsidR="00360DE0" w:rsidRPr="00B23B00" w:rsidRDefault="00360DE0">
            <w:pPr>
              <w:pStyle w:val="TableParagraph"/>
              <w:spacing w:before="0" w:line="249" w:lineRule="exact"/>
              <w:ind w:left="587" w:right="293"/>
              <w:jc w:val="center"/>
              <w:rPr>
                <w:sz w:val="24"/>
                <w:szCs w:val="24"/>
              </w:rPr>
            </w:pPr>
            <w:r w:rsidRPr="00B23B00">
              <w:rPr>
                <w:sz w:val="24"/>
                <w:szCs w:val="24"/>
              </w:rPr>
              <w:t>219 (23.5)</w:t>
            </w:r>
          </w:p>
        </w:tc>
        <w:tc>
          <w:tcPr>
            <w:tcW w:w="1270" w:type="pct"/>
            <w:tcBorders>
              <w:top w:val="single" w:sz="4" w:space="0" w:color="000000"/>
              <w:left w:val="single" w:sz="4" w:space="0" w:color="000000"/>
              <w:bottom w:val="single" w:sz="4" w:space="0" w:color="000000"/>
              <w:right w:val="single" w:sz="4" w:space="0" w:color="000000"/>
            </w:tcBorders>
            <w:hideMark/>
          </w:tcPr>
          <w:p w:rsidR="00360DE0" w:rsidRPr="00B23B00" w:rsidRDefault="00360DE0">
            <w:pPr>
              <w:pStyle w:val="TableParagraph"/>
              <w:spacing w:before="0" w:line="249" w:lineRule="exact"/>
              <w:ind w:left="538" w:right="249"/>
              <w:jc w:val="center"/>
              <w:rPr>
                <w:sz w:val="24"/>
                <w:szCs w:val="24"/>
              </w:rPr>
            </w:pPr>
            <w:r w:rsidRPr="00B23B00">
              <w:rPr>
                <w:sz w:val="24"/>
                <w:szCs w:val="24"/>
              </w:rPr>
              <w:t>228 (48.7)</w:t>
            </w:r>
          </w:p>
        </w:tc>
      </w:tr>
      <w:tr w:rsidR="00360DE0" w:rsidRPr="00B23B00" w:rsidTr="00E37F9E">
        <w:trPr>
          <w:trHeight w:val="20"/>
        </w:trPr>
        <w:tc>
          <w:tcPr>
            <w:tcW w:w="2453" w:type="pct"/>
            <w:tcBorders>
              <w:top w:val="single" w:sz="4" w:space="0" w:color="000000"/>
              <w:left w:val="single" w:sz="4" w:space="0" w:color="000000"/>
              <w:bottom w:val="single" w:sz="4" w:space="0" w:color="000000"/>
              <w:right w:val="single" w:sz="4" w:space="0" w:color="000000"/>
            </w:tcBorders>
            <w:hideMark/>
          </w:tcPr>
          <w:p w:rsidR="00360DE0" w:rsidRPr="00B23B00" w:rsidRDefault="00360DE0">
            <w:pPr>
              <w:pStyle w:val="TableParagraph"/>
              <w:spacing w:before="0" w:line="254" w:lineRule="exact"/>
              <w:ind w:left="388"/>
              <w:rPr>
                <w:i/>
                <w:sz w:val="24"/>
                <w:szCs w:val="24"/>
              </w:rPr>
            </w:pPr>
            <w:r w:rsidRPr="00B23B00">
              <w:rPr>
                <w:sz w:val="24"/>
                <w:szCs w:val="24"/>
              </w:rPr>
              <w:t>Median, months (95</w:t>
            </w:r>
            <w:r w:rsidR="00B23B00">
              <w:rPr>
                <w:sz w:val="24"/>
                <w:szCs w:val="24"/>
              </w:rPr>
              <w:t xml:space="preserve"> %</w:t>
            </w:r>
            <w:r w:rsidRPr="00B23B00">
              <w:rPr>
                <w:sz w:val="24"/>
                <w:szCs w:val="24"/>
              </w:rPr>
              <w:t xml:space="preserve"> CI)</w:t>
            </w:r>
            <w:r w:rsidRPr="00105F96">
              <w:rPr>
                <w:vertAlign w:val="superscript"/>
              </w:rPr>
              <w:t>1</w:t>
            </w:r>
          </w:p>
        </w:tc>
        <w:tc>
          <w:tcPr>
            <w:tcW w:w="1277" w:type="pct"/>
            <w:tcBorders>
              <w:top w:val="single" w:sz="4" w:space="0" w:color="000000"/>
              <w:left w:val="single" w:sz="4" w:space="0" w:color="000000"/>
              <w:bottom w:val="single" w:sz="4" w:space="0" w:color="000000"/>
              <w:right w:val="single" w:sz="4" w:space="0" w:color="000000"/>
            </w:tcBorders>
            <w:hideMark/>
          </w:tcPr>
          <w:p w:rsidR="00360DE0" w:rsidRPr="00B23B00" w:rsidRDefault="00360DE0">
            <w:pPr>
              <w:pStyle w:val="TableParagraph"/>
              <w:ind w:left="587" w:right="293"/>
              <w:jc w:val="center"/>
              <w:rPr>
                <w:sz w:val="24"/>
                <w:szCs w:val="24"/>
              </w:rPr>
            </w:pPr>
            <w:r w:rsidRPr="00B23B00">
              <w:rPr>
                <w:sz w:val="24"/>
                <w:szCs w:val="24"/>
              </w:rPr>
              <w:t>36.6 (33.1, NR)</w:t>
            </w:r>
          </w:p>
        </w:tc>
        <w:tc>
          <w:tcPr>
            <w:tcW w:w="1270" w:type="pct"/>
            <w:tcBorders>
              <w:top w:val="single" w:sz="4" w:space="0" w:color="000000"/>
              <w:left w:val="single" w:sz="4" w:space="0" w:color="000000"/>
              <w:bottom w:val="single" w:sz="4" w:space="0" w:color="000000"/>
              <w:right w:val="single" w:sz="4" w:space="0" w:color="000000"/>
            </w:tcBorders>
            <w:hideMark/>
          </w:tcPr>
          <w:p w:rsidR="00360DE0" w:rsidRPr="00B23B00" w:rsidRDefault="00360DE0">
            <w:pPr>
              <w:pStyle w:val="TableParagraph"/>
              <w:ind w:left="538" w:right="249"/>
              <w:jc w:val="center"/>
              <w:rPr>
                <w:sz w:val="24"/>
                <w:szCs w:val="24"/>
              </w:rPr>
            </w:pPr>
            <w:r w:rsidRPr="00B23B00">
              <w:rPr>
                <w:sz w:val="24"/>
                <w:szCs w:val="24"/>
              </w:rPr>
              <w:t>14.7 (14.2, 15.0)</w:t>
            </w:r>
          </w:p>
        </w:tc>
      </w:tr>
      <w:tr w:rsidR="00360DE0" w:rsidRPr="00B23B00" w:rsidTr="00E37F9E">
        <w:trPr>
          <w:trHeight w:val="20"/>
        </w:trPr>
        <w:tc>
          <w:tcPr>
            <w:tcW w:w="2453" w:type="pct"/>
            <w:tcBorders>
              <w:top w:val="single" w:sz="4" w:space="0" w:color="000000"/>
              <w:left w:val="single" w:sz="4" w:space="0" w:color="000000"/>
              <w:bottom w:val="single" w:sz="4" w:space="0" w:color="000000"/>
              <w:right w:val="single" w:sz="4" w:space="0" w:color="000000"/>
            </w:tcBorders>
            <w:hideMark/>
          </w:tcPr>
          <w:p w:rsidR="00360DE0" w:rsidRPr="00B23B00" w:rsidRDefault="00360DE0">
            <w:pPr>
              <w:pStyle w:val="TableParagraph"/>
              <w:spacing w:before="0" w:line="254" w:lineRule="exact"/>
              <w:ind w:left="388"/>
              <w:rPr>
                <w:i/>
                <w:sz w:val="24"/>
                <w:szCs w:val="24"/>
              </w:rPr>
            </w:pPr>
            <w:r w:rsidRPr="00B23B00">
              <w:rPr>
                <w:sz w:val="24"/>
                <w:szCs w:val="24"/>
              </w:rPr>
              <w:t>Hazard Ratio (95</w:t>
            </w:r>
            <w:r w:rsidR="00B23B00">
              <w:rPr>
                <w:sz w:val="24"/>
                <w:szCs w:val="24"/>
              </w:rPr>
              <w:t xml:space="preserve"> %</w:t>
            </w:r>
            <w:r w:rsidRPr="00B23B00">
              <w:rPr>
                <w:sz w:val="24"/>
                <w:szCs w:val="24"/>
              </w:rPr>
              <w:t xml:space="preserve"> CI)</w:t>
            </w:r>
            <w:r w:rsidRPr="00105F96">
              <w:rPr>
                <w:vertAlign w:val="superscript"/>
              </w:rPr>
              <w:t>2</w:t>
            </w:r>
          </w:p>
        </w:tc>
        <w:tc>
          <w:tcPr>
            <w:tcW w:w="2547" w:type="pct"/>
            <w:gridSpan w:val="2"/>
            <w:tcBorders>
              <w:top w:val="single" w:sz="4" w:space="0" w:color="000000"/>
              <w:left w:val="single" w:sz="4" w:space="0" w:color="000000"/>
              <w:bottom w:val="single" w:sz="4" w:space="0" w:color="000000"/>
              <w:right w:val="single" w:sz="4" w:space="0" w:color="000000"/>
            </w:tcBorders>
            <w:hideMark/>
          </w:tcPr>
          <w:p w:rsidR="00360DE0" w:rsidRPr="00B23B00" w:rsidRDefault="00360DE0">
            <w:pPr>
              <w:pStyle w:val="TableParagraph"/>
              <w:ind w:left="1718"/>
              <w:rPr>
                <w:sz w:val="24"/>
                <w:szCs w:val="24"/>
              </w:rPr>
            </w:pPr>
            <w:r w:rsidRPr="00B23B00">
              <w:rPr>
                <w:sz w:val="24"/>
                <w:szCs w:val="24"/>
              </w:rPr>
              <w:t>0.29 (0.24, 0.35)</w:t>
            </w:r>
          </w:p>
        </w:tc>
      </w:tr>
      <w:tr w:rsidR="00360DE0" w:rsidRPr="00B23B00" w:rsidTr="00E37F9E">
        <w:trPr>
          <w:trHeight w:val="20"/>
        </w:trPr>
        <w:tc>
          <w:tcPr>
            <w:tcW w:w="2453" w:type="pct"/>
            <w:tcBorders>
              <w:top w:val="single" w:sz="4" w:space="0" w:color="000000"/>
              <w:left w:val="single" w:sz="4" w:space="0" w:color="000000"/>
              <w:bottom w:val="single" w:sz="4" w:space="0" w:color="000000"/>
              <w:right w:val="single" w:sz="4" w:space="0" w:color="000000"/>
            </w:tcBorders>
            <w:hideMark/>
          </w:tcPr>
          <w:p w:rsidR="00360DE0" w:rsidRPr="00B23B00" w:rsidRDefault="00360DE0">
            <w:pPr>
              <w:pStyle w:val="TableParagraph"/>
              <w:spacing w:before="0" w:line="254" w:lineRule="exact"/>
              <w:ind w:left="388"/>
              <w:rPr>
                <w:i/>
                <w:sz w:val="24"/>
                <w:szCs w:val="24"/>
              </w:rPr>
            </w:pPr>
            <w:r w:rsidRPr="00B23B00">
              <w:rPr>
                <w:sz w:val="24"/>
                <w:szCs w:val="24"/>
              </w:rPr>
              <w:t>P-value</w:t>
            </w:r>
            <w:r w:rsidRPr="00105F96">
              <w:rPr>
                <w:vertAlign w:val="superscript"/>
              </w:rPr>
              <w:t>3</w:t>
            </w:r>
          </w:p>
        </w:tc>
        <w:tc>
          <w:tcPr>
            <w:tcW w:w="2547" w:type="pct"/>
            <w:gridSpan w:val="2"/>
            <w:tcBorders>
              <w:top w:val="single" w:sz="4" w:space="0" w:color="000000"/>
              <w:left w:val="single" w:sz="4" w:space="0" w:color="000000"/>
              <w:bottom w:val="single" w:sz="4" w:space="0" w:color="000000"/>
              <w:right w:val="single" w:sz="4" w:space="0" w:color="000000"/>
            </w:tcBorders>
            <w:hideMark/>
          </w:tcPr>
          <w:p w:rsidR="00360DE0" w:rsidRPr="00B23B00" w:rsidRDefault="00360DE0">
            <w:pPr>
              <w:pStyle w:val="TableParagraph"/>
              <w:ind w:left="1955" w:right="1667"/>
              <w:jc w:val="center"/>
              <w:rPr>
                <w:sz w:val="24"/>
                <w:szCs w:val="24"/>
              </w:rPr>
            </w:pPr>
            <w:r w:rsidRPr="00B23B00">
              <w:rPr>
                <w:sz w:val="24"/>
                <w:szCs w:val="24"/>
              </w:rPr>
              <w:t>p &lt; 0.0001</w:t>
            </w:r>
          </w:p>
        </w:tc>
      </w:tr>
      <w:tr w:rsidR="00360DE0" w:rsidRPr="00B23B00" w:rsidTr="00E37F9E">
        <w:trPr>
          <w:trHeight w:val="20"/>
        </w:trPr>
        <w:tc>
          <w:tcPr>
            <w:tcW w:w="5000" w:type="pct"/>
            <w:gridSpan w:val="3"/>
            <w:tcBorders>
              <w:top w:val="single" w:sz="4" w:space="0" w:color="000000"/>
              <w:left w:val="single" w:sz="4" w:space="0" w:color="000000"/>
              <w:bottom w:val="single" w:sz="4" w:space="0" w:color="000000"/>
              <w:right w:val="single" w:sz="4" w:space="0" w:color="000000"/>
            </w:tcBorders>
            <w:hideMark/>
          </w:tcPr>
          <w:p w:rsidR="00360DE0" w:rsidRPr="00B23B00" w:rsidRDefault="00360DE0">
            <w:pPr>
              <w:pStyle w:val="TableParagraph"/>
              <w:ind w:left="100"/>
              <w:rPr>
                <w:b/>
                <w:sz w:val="24"/>
                <w:szCs w:val="24"/>
              </w:rPr>
            </w:pPr>
            <w:r w:rsidRPr="00B23B00">
              <w:rPr>
                <w:b/>
                <w:sz w:val="24"/>
                <w:szCs w:val="24"/>
              </w:rPr>
              <w:t>Key Secondary Efficacy Endpoints</w:t>
            </w:r>
          </w:p>
        </w:tc>
      </w:tr>
      <w:tr w:rsidR="00360DE0" w:rsidRPr="00B23B00" w:rsidTr="00E37F9E">
        <w:trPr>
          <w:trHeight w:val="20"/>
        </w:trPr>
        <w:tc>
          <w:tcPr>
            <w:tcW w:w="5000" w:type="pct"/>
            <w:gridSpan w:val="3"/>
            <w:tcBorders>
              <w:top w:val="single" w:sz="4" w:space="0" w:color="000000"/>
              <w:left w:val="single" w:sz="4" w:space="0" w:color="000000"/>
              <w:bottom w:val="single" w:sz="4" w:space="0" w:color="000000"/>
              <w:right w:val="single" w:sz="4" w:space="0" w:color="000000"/>
            </w:tcBorders>
            <w:hideMark/>
          </w:tcPr>
          <w:p w:rsidR="00360DE0" w:rsidRPr="00B23B00" w:rsidRDefault="00360DE0">
            <w:pPr>
              <w:pStyle w:val="TableParagraph"/>
              <w:spacing w:before="0" w:line="249" w:lineRule="exact"/>
              <w:ind w:left="100"/>
              <w:rPr>
                <w:b/>
                <w:i/>
                <w:sz w:val="24"/>
                <w:szCs w:val="24"/>
              </w:rPr>
            </w:pPr>
            <w:r w:rsidRPr="00B23B00">
              <w:rPr>
                <w:b/>
                <w:sz w:val="24"/>
                <w:szCs w:val="24"/>
              </w:rPr>
              <w:t>Overall Survival</w:t>
            </w:r>
            <w:r w:rsidRPr="00105F96">
              <w:rPr>
                <w:vertAlign w:val="superscript"/>
              </w:rPr>
              <w:t>4</w:t>
            </w:r>
          </w:p>
        </w:tc>
      </w:tr>
      <w:tr w:rsidR="00360DE0" w:rsidRPr="00B23B00" w:rsidTr="00E37F9E">
        <w:trPr>
          <w:trHeight w:val="20"/>
        </w:trPr>
        <w:tc>
          <w:tcPr>
            <w:tcW w:w="2453" w:type="pct"/>
            <w:tcBorders>
              <w:top w:val="single" w:sz="4" w:space="0" w:color="000000"/>
              <w:left w:val="single" w:sz="4" w:space="0" w:color="000000"/>
              <w:bottom w:val="single" w:sz="4" w:space="0" w:color="000000"/>
              <w:right w:val="single" w:sz="4" w:space="0" w:color="000000"/>
            </w:tcBorders>
            <w:hideMark/>
          </w:tcPr>
          <w:p w:rsidR="00360DE0" w:rsidRPr="00B23B00" w:rsidRDefault="00360DE0">
            <w:pPr>
              <w:pStyle w:val="TableParagraph"/>
              <w:ind w:left="388"/>
              <w:rPr>
                <w:sz w:val="24"/>
                <w:szCs w:val="24"/>
              </w:rPr>
            </w:pPr>
            <w:r w:rsidRPr="00B23B00">
              <w:rPr>
                <w:sz w:val="24"/>
                <w:szCs w:val="24"/>
              </w:rPr>
              <w:t>Number of Events (</w:t>
            </w:r>
            <w:r w:rsidR="00B23B00">
              <w:rPr>
                <w:sz w:val="24"/>
                <w:szCs w:val="24"/>
              </w:rPr>
              <w:t>%</w:t>
            </w:r>
            <w:r w:rsidRPr="00B23B00">
              <w:rPr>
                <w:sz w:val="24"/>
                <w:szCs w:val="24"/>
              </w:rPr>
              <w:t>)</w:t>
            </w:r>
          </w:p>
        </w:tc>
        <w:tc>
          <w:tcPr>
            <w:tcW w:w="1277" w:type="pct"/>
            <w:tcBorders>
              <w:top w:val="single" w:sz="4" w:space="0" w:color="000000"/>
              <w:left w:val="single" w:sz="4" w:space="0" w:color="000000"/>
              <w:bottom w:val="single" w:sz="4" w:space="0" w:color="000000"/>
              <w:right w:val="single" w:sz="4" w:space="0" w:color="000000"/>
            </w:tcBorders>
            <w:hideMark/>
          </w:tcPr>
          <w:p w:rsidR="00360DE0" w:rsidRPr="00B23B00" w:rsidRDefault="00360DE0">
            <w:pPr>
              <w:pStyle w:val="TableParagraph"/>
              <w:ind w:left="587" w:right="293"/>
              <w:jc w:val="center"/>
              <w:rPr>
                <w:sz w:val="24"/>
                <w:szCs w:val="24"/>
              </w:rPr>
            </w:pPr>
            <w:r w:rsidRPr="00B23B00">
              <w:rPr>
                <w:sz w:val="24"/>
                <w:szCs w:val="24"/>
              </w:rPr>
              <w:t>288 (30.9)</w:t>
            </w:r>
          </w:p>
        </w:tc>
        <w:tc>
          <w:tcPr>
            <w:tcW w:w="1270" w:type="pct"/>
            <w:tcBorders>
              <w:top w:val="single" w:sz="4" w:space="0" w:color="000000"/>
              <w:left w:val="single" w:sz="4" w:space="0" w:color="000000"/>
              <w:bottom w:val="single" w:sz="4" w:space="0" w:color="000000"/>
              <w:right w:val="single" w:sz="4" w:space="0" w:color="000000"/>
            </w:tcBorders>
            <w:hideMark/>
          </w:tcPr>
          <w:p w:rsidR="00360DE0" w:rsidRPr="00B23B00" w:rsidRDefault="00360DE0">
            <w:pPr>
              <w:pStyle w:val="TableParagraph"/>
              <w:ind w:left="538" w:right="249"/>
              <w:jc w:val="center"/>
              <w:rPr>
                <w:sz w:val="24"/>
                <w:szCs w:val="24"/>
              </w:rPr>
            </w:pPr>
            <w:r w:rsidRPr="00B23B00">
              <w:rPr>
                <w:sz w:val="24"/>
                <w:szCs w:val="24"/>
              </w:rPr>
              <w:t>178 (38.0)</w:t>
            </w:r>
          </w:p>
        </w:tc>
      </w:tr>
      <w:tr w:rsidR="00360DE0" w:rsidRPr="00B23B00" w:rsidTr="00E37F9E">
        <w:trPr>
          <w:trHeight w:val="20"/>
        </w:trPr>
        <w:tc>
          <w:tcPr>
            <w:tcW w:w="2453" w:type="pct"/>
            <w:tcBorders>
              <w:top w:val="single" w:sz="4" w:space="0" w:color="000000"/>
              <w:left w:val="single" w:sz="4" w:space="0" w:color="000000"/>
              <w:bottom w:val="single" w:sz="4" w:space="0" w:color="000000"/>
              <w:right w:val="single" w:sz="4" w:space="0" w:color="000000"/>
            </w:tcBorders>
            <w:hideMark/>
          </w:tcPr>
          <w:p w:rsidR="00360DE0" w:rsidRPr="00B23B00" w:rsidRDefault="00360DE0">
            <w:pPr>
              <w:pStyle w:val="TableParagraph"/>
              <w:spacing w:before="0" w:line="254" w:lineRule="exact"/>
              <w:ind w:left="388"/>
              <w:rPr>
                <w:i/>
                <w:sz w:val="24"/>
                <w:szCs w:val="24"/>
              </w:rPr>
            </w:pPr>
            <w:r w:rsidRPr="00B23B00">
              <w:rPr>
                <w:sz w:val="24"/>
                <w:szCs w:val="24"/>
              </w:rPr>
              <w:t>Median, months (95</w:t>
            </w:r>
            <w:r w:rsidR="00B23B00">
              <w:rPr>
                <w:sz w:val="24"/>
                <w:szCs w:val="24"/>
              </w:rPr>
              <w:t xml:space="preserve"> %</w:t>
            </w:r>
            <w:r w:rsidRPr="00B23B00">
              <w:rPr>
                <w:sz w:val="24"/>
                <w:szCs w:val="24"/>
              </w:rPr>
              <w:t xml:space="preserve"> CI)</w:t>
            </w:r>
            <w:r w:rsidRPr="00105F96">
              <w:rPr>
                <w:vertAlign w:val="superscript"/>
              </w:rPr>
              <w:t>1</w:t>
            </w:r>
          </w:p>
        </w:tc>
        <w:tc>
          <w:tcPr>
            <w:tcW w:w="1277" w:type="pct"/>
            <w:tcBorders>
              <w:top w:val="single" w:sz="4" w:space="0" w:color="000000"/>
              <w:left w:val="single" w:sz="4" w:space="0" w:color="000000"/>
              <w:bottom w:val="single" w:sz="4" w:space="0" w:color="000000"/>
              <w:right w:val="single" w:sz="4" w:space="0" w:color="000000"/>
            </w:tcBorders>
            <w:hideMark/>
          </w:tcPr>
          <w:p w:rsidR="00360DE0" w:rsidRPr="00B23B00" w:rsidRDefault="00360DE0">
            <w:pPr>
              <w:pStyle w:val="TableParagraph"/>
              <w:ind w:left="587" w:right="293"/>
              <w:jc w:val="center"/>
              <w:rPr>
                <w:sz w:val="24"/>
                <w:szCs w:val="24"/>
              </w:rPr>
            </w:pPr>
            <w:r w:rsidRPr="00B23B00">
              <w:rPr>
                <w:sz w:val="24"/>
                <w:szCs w:val="24"/>
              </w:rPr>
              <w:t>67.0 (64.0, NR)</w:t>
            </w:r>
          </w:p>
        </w:tc>
        <w:tc>
          <w:tcPr>
            <w:tcW w:w="1270" w:type="pct"/>
            <w:tcBorders>
              <w:top w:val="single" w:sz="4" w:space="0" w:color="000000"/>
              <w:left w:val="single" w:sz="4" w:space="0" w:color="000000"/>
              <w:bottom w:val="single" w:sz="4" w:space="0" w:color="000000"/>
              <w:right w:val="single" w:sz="4" w:space="0" w:color="000000"/>
            </w:tcBorders>
            <w:hideMark/>
          </w:tcPr>
          <w:p w:rsidR="00360DE0" w:rsidRPr="00B23B00" w:rsidRDefault="00360DE0">
            <w:pPr>
              <w:pStyle w:val="TableParagraph"/>
              <w:ind w:left="538" w:right="249"/>
              <w:jc w:val="center"/>
              <w:rPr>
                <w:sz w:val="24"/>
                <w:szCs w:val="24"/>
              </w:rPr>
            </w:pPr>
            <w:r w:rsidRPr="00B23B00">
              <w:rPr>
                <w:sz w:val="24"/>
                <w:szCs w:val="24"/>
              </w:rPr>
              <w:t>56.3 (54.4, 63.0)</w:t>
            </w:r>
          </w:p>
        </w:tc>
      </w:tr>
      <w:tr w:rsidR="00360DE0" w:rsidRPr="00B23B00" w:rsidTr="00E37F9E">
        <w:trPr>
          <w:trHeight w:val="20"/>
        </w:trPr>
        <w:tc>
          <w:tcPr>
            <w:tcW w:w="2453" w:type="pct"/>
            <w:tcBorders>
              <w:top w:val="single" w:sz="4" w:space="0" w:color="000000"/>
              <w:left w:val="single" w:sz="4" w:space="0" w:color="000000"/>
              <w:bottom w:val="single" w:sz="4" w:space="0" w:color="000000"/>
              <w:right w:val="single" w:sz="4" w:space="0" w:color="000000"/>
            </w:tcBorders>
            <w:hideMark/>
          </w:tcPr>
          <w:p w:rsidR="00360DE0" w:rsidRPr="00B23B00" w:rsidRDefault="00360DE0">
            <w:pPr>
              <w:pStyle w:val="TableParagraph"/>
              <w:spacing w:before="0" w:line="254" w:lineRule="exact"/>
              <w:ind w:left="388"/>
              <w:rPr>
                <w:i/>
                <w:sz w:val="24"/>
                <w:szCs w:val="24"/>
              </w:rPr>
            </w:pPr>
            <w:r w:rsidRPr="00B23B00">
              <w:rPr>
                <w:sz w:val="24"/>
                <w:szCs w:val="24"/>
              </w:rPr>
              <w:t>Hazard Ratio (95</w:t>
            </w:r>
            <w:r w:rsidR="00B23B00">
              <w:rPr>
                <w:sz w:val="24"/>
                <w:szCs w:val="24"/>
              </w:rPr>
              <w:t xml:space="preserve"> %</w:t>
            </w:r>
            <w:r w:rsidRPr="00B23B00">
              <w:rPr>
                <w:sz w:val="24"/>
                <w:szCs w:val="24"/>
              </w:rPr>
              <w:t xml:space="preserve"> CI)</w:t>
            </w:r>
            <w:r w:rsidRPr="00105F96">
              <w:rPr>
                <w:vertAlign w:val="superscript"/>
              </w:rPr>
              <w:t>2</w:t>
            </w:r>
          </w:p>
        </w:tc>
        <w:tc>
          <w:tcPr>
            <w:tcW w:w="2547" w:type="pct"/>
            <w:gridSpan w:val="2"/>
            <w:tcBorders>
              <w:top w:val="single" w:sz="4" w:space="0" w:color="000000"/>
              <w:left w:val="single" w:sz="4" w:space="0" w:color="000000"/>
              <w:bottom w:val="single" w:sz="4" w:space="0" w:color="000000"/>
              <w:right w:val="single" w:sz="4" w:space="0" w:color="000000"/>
            </w:tcBorders>
            <w:hideMark/>
          </w:tcPr>
          <w:p w:rsidR="00360DE0" w:rsidRPr="00B23B00" w:rsidRDefault="00360DE0">
            <w:pPr>
              <w:pStyle w:val="TableParagraph"/>
              <w:ind w:left="1550"/>
              <w:rPr>
                <w:sz w:val="24"/>
                <w:szCs w:val="24"/>
              </w:rPr>
            </w:pPr>
            <w:r w:rsidRPr="00B23B00">
              <w:rPr>
                <w:sz w:val="24"/>
                <w:szCs w:val="24"/>
              </w:rPr>
              <w:t>0.734 (0.608, 0.885)</w:t>
            </w:r>
          </w:p>
        </w:tc>
      </w:tr>
      <w:tr w:rsidR="00360DE0" w:rsidRPr="00B23B00" w:rsidTr="00E37F9E">
        <w:trPr>
          <w:trHeight w:val="20"/>
        </w:trPr>
        <w:tc>
          <w:tcPr>
            <w:tcW w:w="2453" w:type="pct"/>
            <w:tcBorders>
              <w:top w:val="single" w:sz="4" w:space="0" w:color="000000"/>
              <w:left w:val="single" w:sz="4" w:space="0" w:color="000000"/>
              <w:bottom w:val="single" w:sz="4" w:space="0" w:color="000000"/>
              <w:right w:val="single" w:sz="4" w:space="0" w:color="000000"/>
            </w:tcBorders>
            <w:hideMark/>
          </w:tcPr>
          <w:p w:rsidR="00360DE0" w:rsidRPr="00B23B00" w:rsidRDefault="00360DE0">
            <w:pPr>
              <w:pStyle w:val="TableParagraph"/>
              <w:spacing w:before="0" w:line="254" w:lineRule="exact"/>
              <w:ind w:left="388"/>
              <w:rPr>
                <w:i/>
                <w:sz w:val="24"/>
                <w:szCs w:val="24"/>
              </w:rPr>
            </w:pPr>
            <w:r w:rsidRPr="00B23B00">
              <w:rPr>
                <w:sz w:val="24"/>
                <w:szCs w:val="24"/>
              </w:rPr>
              <w:t>P-value</w:t>
            </w:r>
            <w:r w:rsidRPr="00105F96">
              <w:rPr>
                <w:vertAlign w:val="superscript"/>
              </w:rPr>
              <w:t>3</w:t>
            </w:r>
          </w:p>
        </w:tc>
        <w:tc>
          <w:tcPr>
            <w:tcW w:w="2547" w:type="pct"/>
            <w:gridSpan w:val="2"/>
            <w:tcBorders>
              <w:top w:val="single" w:sz="4" w:space="0" w:color="000000"/>
              <w:left w:val="single" w:sz="4" w:space="0" w:color="000000"/>
              <w:bottom w:val="single" w:sz="4" w:space="0" w:color="000000"/>
              <w:right w:val="single" w:sz="4" w:space="0" w:color="000000"/>
            </w:tcBorders>
            <w:hideMark/>
          </w:tcPr>
          <w:p w:rsidR="00360DE0" w:rsidRPr="00B23B00" w:rsidRDefault="00360DE0">
            <w:pPr>
              <w:pStyle w:val="TableParagraph"/>
              <w:ind w:left="1955" w:right="1667"/>
              <w:jc w:val="center"/>
              <w:rPr>
                <w:sz w:val="24"/>
                <w:szCs w:val="24"/>
              </w:rPr>
            </w:pPr>
            <w:r w:rsidRPr="00B23B00">
              <w:rPr>
                <w:sz w:val="24"/>
                <w:szCs w:val="24"/>
              </w:rPr>
              <w:t>p = 0.0011</w:t>
            </w:r>
          </w:p>
        </w:tc>
      </w:tr>
      <w:tr w:rsidR="00360DE0" w:rsidRPr="00B23B00" w:rsidTr="00E37F9E">
        <w:trPr>
          <w:trHeight w:val="20"/>
        </w:trPr>
        <w:tc>
          <w:tcPr>
            <w:tcW w:w="5000" w:type="pct"/>
            <w:gridSpan w:val="3"/>
            <w:tcBorders>
              <w:top w:val="single" w:sz="4" w:space="0" w:color="000000"/>
              <w:left w:val="single" w:sz="4" w:space="0" w:color="000000"/>
              <w:bottom w:val="single" w:sz="4" w:space="0" w:color="000000"/>
              <w:right w:val="single" w:sz="4" w:space="0" w:color="000000"/>
            </w:tcBorders>
            <w:hideMark/>
          </w:tcPr>
          <w:p w:rsidR="00360DE0" w:rsidRPr="00B23B00" w:rsidRDefault="00360DE0">
            <w:pPr>
              <w:pStyle w:val="TableParagraph"/>
              <w:spacing w:before="0" w:line="249" w:lineRule="exact"/>
              <w:ind w:left="100"/>
              <w:rPr>
                <w:b/>
                <w:sz w:val="24"/>
                <w:szCs w:val="24"/>
              </w:rPr>
            </w:pPr>
            <w:r w:rsidRPr="00B23B00">
              <w:rPr>
                <w:b/>
                <w:sz w:val="24"/>
                <w:szCs w:val="24"/>
              </w:rPr>
              <w:t>Time to PSA progression</w:t>
            </w:r>
          </w:p>
        </w:tc>
      </w:tr>
      <w:tr w:rsidR="00360DE0" w:rsidRPr="00B23B00" w:rsidTr="00E37F9E">
        <w:trPr>
          <w:trHeight w:val="20"/>
        </w:trPr>
        <w:tc>
          <w:tcPr>
            <w:tcW w:w="2453" w:type="pct"/>
            <w:tcBorders>
              <w:top w:val="single" w:sz="4" w:space="0" w:color="000000"/>
              <w:left w:val="single" w:sz="4" w:space="0" w:color="000000"/>
              <w:bottom w:val="single" w:sz="4" w:space="0" w:color="000000"/>
              <w:right w:val="single" w:sz="4" w:space="0" w:color="000000"/>
            </w:tcBorders>
            <w:hideMark/>
          </w:tcPr>
          <w:p w:rsidR="00360DE0" w:rsidRPr="00B23B00" w:rsidRDefault="00360DE0">
            <w:pPr>
              <w:pStyle w:val="TableParagraph"/>
              <w:ind w:left="388"/>
              <w:rPr>
                <w:sz w:val="24"/>
                <w:szCs w:val="24"/>
              </w:rPr>
            </w:pPr>
            <w:r w:rsidRPr="00B23B00">
              <w:rPr>
                <w:sz w:val="24"/>
                <w:szCs w:val="24"/>
              </w:rPr>
              <w:t>Number of Events (</w:t>
            </w:r>
            <w:r w:rsidR="00B23B00">
              <w:rPr>
                <w:sz w:val="24"/>
                <w:szCs w:val="24"/>
              </w:rPr>
              <w:t>%</w:t>
            </w:r>
            <w:r w:rsidRPr="00B23B00">
              <w:rPr>
                <w:sz w:val="24"/>
                <w:szCs w:val="24"/>
              </w:rPr>
              <w:t>)</w:t>
            </w:r>
          </w:p>
        </w:tc>
        <w:tc>
          <w:tcPr>
            <w:tcW w:w="1277" w:type="pct"/>
            <w:tcBorders>
              <w:top w:val="single" w:sz="4" w:space="0" w:color="000000"/>
              <w:left w:val="single" w:sz="4" w:space="0" w:color="000000"/>
              <w:bottom w:val="single" w:sz="4" w:space="0" w:color="000000"/>
              <w:right w:val="single" w:sz="4" w:space="0" w:color="000000"/>
            </w:tcBorders>
            <w:hideMark/>
          </w:tcPr>
          <w:p w:rsidR="00360DE0" w:rsidRPr="00B23B00" w:rsidRDefault="00360DE0">
            <w:pPr>
              <w:pStyle w:val="TableParagraph"/>
              <w:ind w:left="587" w:right="293"/>
              <w:jc w:val="center"/>
              <w:rPr>
                <w:sz w:val="24"/>
                <w:szCs w:val="24"/>
              </w:rPr>
            </w:pPr>
            <w:r w:rsidRPr="00B23B00">
              <w:rPr>
                <w:sz w:val="24"/>
                <w:szCs w:val="24"/>
              </w:rPr>
              <w:t>208 (22.3)</w:t>
            </w:r>
          </w:p>
        </w:tc>
        <w:tc>
          <w:tcPr>
            <w:tcW w:w="1270" w:type="pct"/>
            <w:tcBorders>
              <w:top w:val="single" w:sz="4" w:space="0" w:color="000000"/>
              <w:left w:val="single" w:sz="4" w:space="0" w:color="000000"/>
              <w:bottom w:val="single" w:sz="4" w:space="0" w:color="000000"/>
              <w:right w:val="single" w:sz="4" w:space="0" w:color="000000"/>
            </w:tcBorders>
            <w:hideMark/>
          </w:tcPr>
          <w:p w:rsidR="00360DE0" w:rsidRPr="00B23B00" w:rsidRDefault="00360DE0">
            <w:pPr>
              <w:pStyle w:val="TableParagraph"/>
              <w:ind w:left="538" w:right="249"/>
              <w:jc w:val="center"/>
              <w:rPr>
                <w:sz w:val="24"/>
                <w:szCs w:val="24"/>
              </w:rPr>
            </w:pPr>
            <w:r w:rsidRPr="00B23B00">
              <w:rPr>
                <w:sz w:val="24"/>
                <w:szCs w:val="24"/>
              </w:rPr>
              <w:t>324 (69.2)</w:t>
            </w:r>
          </w:p>
        </w:tc>
      </w:tr>
      <w:tr w:rsidR="00360DE0" w:rsidRPr="00B23B00" w:rsidTr="00E37F9E">
        <w:trPr>
          <w:trHeight w:val="20"/>
        </w:trPr>
        <w:tc>
          <w:tcPr>
            <w:tcW w:w="2453" w:type="pct"/>
            <w:tcBorders>
              <w:top w:val="single" w:sz="4" w:space="0" w:color="000000"/>
              <w:left w:val="single" w:sz="4" w:space="0" w:color="000000"/>
              <w:bottom w:val="single" w:sz="4" w:space="0" w:color="000000"/>
              <w:right w:val="single" w:sz="4" w:space="0" w:color="000000"/>
            </w:tcBorders>
            <w:hideMark/>
          </w:tcPr>
          <w:p w:rsidR="00360DE0" w:rsidRPr="00B23B00" w:rsidRDefault="00360DE0">
            <w:pPr>
              <w:pStyle w:val="TableParagraph"/>
              <w:spacing w:before="0" w:line="254" w:lineRule="exact"/>
              <w:ind w:left="388"/>
              <w:rPr>
                <w:i/>
                <w:sz w:val="24"/>
                <w:szCs w:val="24"/>
              </w:rPr>
            </w:pPr>
            <w:r w:rsidRPr="00B23B00">
              <w:rPr>
                <w:sz w:val="24"/>
                <w:szCs w:val="24"/>
              </w:rPr>
              <w:t>Median, months (95</w:t>
            </w:r>
            <w:r w:rsidR="00B23B00">
              <w:rPr>
                <w:sz w:val="24"/>
                <w:szCs w:val="24"/>
              </w:rPr>
              <w:t xml:space="preserve"> %</w:t>
            </w:r>
            <w:r w:rsidRPr="00B23B00">
              <w:rPr>
                <w:sz w:val="24"/>
                <w:szCs w:val="24"/>
              </w:rPr>
              <w:t xml:space="preserve"> CI)</w:t>
            </w:r>
            <w:r w:rsidRPr="00105F96">
              <w:rPr>
                <w:vertAlign w:val="superscript"/>
              </w:rPr>
              <w:t>1</w:t>
            </w:r>
          </w:p>
        </w:tc>
        <w:tc>
          <w:tcPr>
            <w:tcW w:w="1277" w:type="pct"/>
            <w:tcBorders>
              <w:top w:val="single" w:sz="4" w:space="0" w:color="000000"/>
              <w:left w:val="single" w:sz="4" w:space="0" w:color="000000"/>
              <w:bottom w:val="single" w:sz="4" w:space="0" w:color="000000"/>
              <w:right w:val="single" w:sz="4" w:space="0" w:color="000000"/>
            </w:tcBorders>
            <w:hideMark/>
          </w:tcPr>
          <w:p w:rsidR="00360DE0" w:rsidRPr="00B23B00" w:rsidRDefault="00360DE0">
            <w:pPr>
              <w:pStyle w:val="TableParagraph"/>
              <w:ind w:left="587" w:right="293"/>
              <w:jc w:val="center"/>
              <w:rPr>
                <w:sz w:val="24"/>
                <w:szCs w:val="24"/>
              </w:rPr>
            </w:pPr>
            <w:r w:rsidRPr="00B23B00">
              <w:rPr>
                <w:sz w:val="24"/>
                <w:szCs w:val="24"/>
              </w:rPr>
              <w:t>37.2 (33.1, NR)</w:t>
            </w:r>
          </w:p>
        </w:tc>
        <w:tc>
          <w:tcPr>
            <w:tcW w:w="1270" w:type="pct"/>
            <w:tcBorders>
              <w:top w:val="single" w:sz="4" w:space="0" w:color="000000"/>
              <w:left w:val="single" w:sz="4" w:space="0" w:color="000000"/>
              <w:bottom w:val="single" w:sz="4" w:space="0" w:color="000000"/>
              <w:right w:val="single" w:sz="4" w:space="0" w:color="000000"/>
            </w:tcBorders>
            <w:hideMark/>
          </w:tcPr>
          <w:p w:rsidR="00360DE0" w:rsidRPr="00B23B00" w:rsidRDefault="00360DE0">
            <w:pPr>
              <w:pStyle w:val="TableParagraph"/>
              <w:ind w:left="533" w:right="249"/>
              <w:jc w:val="center"/>
              <w:rPr>
                <w:sz w:val="24"/>
                <w:szCs w:val="24"/>
              </w:rPr>
            </w:pPr>
            <w:r w:rsidRPr="00B23B00">
              <w:rPr>
                <w:sz w:val="24"/>
                <w:szCs w:val="24"/>
              </w:rPr>
              <w:t>3.9 (3.8, 4.0)</w:t>
            </w:r>
          </w:p>
        </w:tc>
      </w:tr>
      <w:tr w:rsidR="00360DE0" w:rsidRPr="00B23B00" w:rsidTr="00E37F9E">
        <w:trPr>
          <w:trHeight w:val="20"/>
        </w:trPr>
        <w:tc>
          <w:tcPr>
            <w:tcW w:w="2453" w:type="pct"/>
            <w:tcBorders>
              <w:top w:val="single" w:sz="4" w:space="0" w:color="000000"/>
              <w:left w:val="single" w:sz="4" w:space="0" w:color="000000"/>
              <w:bottom w:val="single" w:sz="4" w:space="0" w:color="000000"/>
              <w:right w:val="single" w:sz="4" w:space="0" w:color="000000"/>
            </w:tcBorders>
            <w:hideMark/>
          </w:tcPr>
          <w:p w:rsidR="00360DE0" w:rsidRPr="00B23B00" w:rsidRDefault="00360DE0">
            <w:pPr>
              <w:pStyle w:val="TableParagraph"/>
              <w:spacing w:before="0" w:line="254" w:lineRule="exact"/>
              <w:ind w:left="388"/>
              <w:rPr>
                <w:i/>
                <w:sz w:val="24"/>
                <w:szCs w:val="24"/>
              </w:rPr>
            </w:pPr>
            <w:r w:rsidRPr="00B23B00">
              <w:rPr>
                <w:sz w:val="24"/>
                <w:szCs w:val="24"/>
              </w:rPr>
              <w:t>Hazard Ratio (95</w:t>
            </w:r>
            <w:r w:rsidR="00B23B00">
              <w:rPr>
                <w:sz w:val="24"/>
                <w:szCs w:val="24"/>
              </w:rPr>
              <w:t xml:space="preserve"> %</w:t>
            </w:r>
            <w:r w:rsidRPr="00B23B00">
              <w:rPr>
                <w:sz w:val="24"/>
                <w:szCs w:val="24"/>
              </w:rPr>
              <w:t xml:space="preserve"> CI)</w:t>
            </w:r>
            <w:r w:rsidRPr="00105F96">
              <w:rPr>
                <w:vertAlign w:val="superscript"/>
              </w:rPr>
              <w:t>2</w:t>
            </w:r>
          </w:p>
        </w:tc>
        <w:tc>
          <w:tcPr>
            <w:tcW w:w="2547" w:type="pct"/>
            <w:gridSpan w:val="2"/>
            <w:tcBorders>
              <w:top w:val="single" w:sz="4" w:space="0" w:color="000000"/>
              <w:left w:val="single" w:sz="4" w:space="0" w:color="000000"/>
              <w:bottom w:val="single" w:sz="4" w:space="0" w:color="000000"/>
              <w:right w:val="single" w:sz="4" w:space="0" w:color="000000"/>
            </w:tcBorders>
            <w:hideMark/>
          </w:tcPr>
          <w:p w:rsidR="00360DE0" w:rsidRPr="00B23B00" w:rsidRDefault="00360DE0">
            <w:pPr>
              <w:pStyle w:val="TableParagraph"/>
              <w:ind w:left="1718"/>
              <w:rPr>
                <w:sz w:val="24"/>
                <w:szCs w:val="24"/>
              </w:rPr>
            </w:pPr>
            <w:r w:rsidRPr="00B23B00">
              <w:rPr>
                <w:sz w:val="24"/>
                <w:szCs w:val="24"/>
              </w:rPr>
              <w:t>0.07 (0.05, 0.08)</w:t>
            </w:r>
          </w:p>
        </w:tc>
      </w:tr>
      <w:tr w:rsidR="00360DE0" w:rsidRPr="00B23B00" w:rsidTr="00E37F9E">
        <w:trPr>
          <w:trHeight w:val="20"/>
        </w:trPr>
        <w:tc>
          <w:tcPr>
            <w:tcW w:w="2453" w:type="pct"/>
            <w:tcBorders>
              <w:top w:val="single" w:sz="4" w:space="0" w:color="000000"/>
              <w:left w:val="single" w:sz="4" w:space="0" w:color="000000"/>
              <w:bottom w:val="single" w:sz="4" w:space="0" w:color="000000"/>
              <w:right w:val="single" w:sz="4" w:space="0" w:color="000000"/>
            </w:tcBorders>
            <w:hideMark/>
          </w:tcPr>
          <w:p w:rsidR="00360DE0" w:rsidRPr="00B23B00" w:rsidRDefault="00360DE0">
            <w:pPr>
              <w:pStyle w:val="TableParagraph"/>
              <w:spacing w:before="0" w:line="249" w:lineRule="exact"/>
              <w:ind w:left="388"/>
              <w:rPr>
                <w:i/>
                <w:sz w:val="24"/>
                <w:szCs w:val="24"/>
              </w:rPr>
            </w:pPr>
            <w:r w:rsidRPr="00B23B00">
              <w:rPr>
                <w:sz w:val="24"/>
                <w:szCs w:val="24"/>
              </w:rPr>
              <w:t>P-value</w:t>
            </w:r>
            <w:r w:rsidRPr="00105F96">
              <w:rPr>
                <w:vertAlign w:val="superscript"/>
              </w:rPr>
              <w:t>3</w:t>
            </w:r>
          </w:p>
        </w:tc>
        <w:tc>
          <w:tcPr>
            <w:tcW w:w="2547" w:type="pct"/>
            <w:gridSpan w:val="2"/>
            <w:tcBorders>
              <w:top w:val="single" w:sz="4" w:space="0" w:color="000000"/>
              <w:left w:val="single" w:sz="4" w:space="0" w:color="000000"/>
              <w:bottom w:val="single" w:sz="4" w:space="0" w:color="000000"/>
              <w:right w:val="single" w:sz="4" w:space="0" w:color="000000"/>
            </w:tcBorders>
            <w:hideMark/>
          </w:tcPr>
          <w:p w:rsidR="00360DE0" w:rsidRPr="00B23B00" w:rsidRDefault="00360DE0">
            <w:pPr>
              <w:pStyle w:val="TableParagraph"/>
              <w:spacing w:before="0" w:line="249" w:lineRule="exact"/>
              <w:ind w:left="1955" w:right="1667"/>
              <w:jc w:val="center"/>
              <w:rPr>
                <w:sz w:val="24"/>
                <w:szCs w:val="24"/>
              </w:rPr>
            </w:pPr>
            <w:r w:rsidRPr="00B23B00">
              <w:rPr>
                <w:sz w:val="24"/>
                <w:szCs w:val="24"/>
              </w:rPr>
              <w:t>p &lt; 0.0001</w:t>
            </w:r>
          </w:p>
        </w:tc>
      </w:tr>
      <w:tr w:rsidR="00360DE0" w:rsidRPr="00567B29" w:rsidTr="00E37F9E">
        <w:trPr>
          <w:trHeight w:val="20"/>
        </w:trPr>
        <w:tc>
          <w:tcPr>
            <w:tcW w:w="5000" w:type="pct"/>
            <w:gridSpan w:val="3"/>
            <w:tcBorders>
              <w:top w:val="single" w:sz="4" w:space="0" w:color="000000"/>
              <w:left w:val="single" w:sz="4" w:space="0" w:color="000000"/>
              <w:bottom w:val="single" w:sz="4" w:space="0" w:color="000000"/>
              <w:right w:val="single" w:sz="4" w:space="0" w:color="000000"/>
            </w:tcBorders>
            <w:hideMark/>
          </w:tcPr>
          <w:p w:rsidR="00360DE0" w:rsidRPr="00B23B00" w:rsidRDefault="00360DE0">
            <w:pPr>
              <w:pStyle w:val="TableParagraph"/>
              <w:ind w:left="100"/>
              <w:rPr>
                <w:b/>
                <w:sz w:val="24"/>
                <w:szCs w:val="24"/>
              </w:rPr>
            </w:pPr>
            <w:r w:rsidRPr="00B23B00">
              <w:rPr>
                <w:b/>
                <w:sz w:val="24"/>
                <w:szCs w:val="24"/>
              </w:rPr>
              <w:t>Time to first use of new antineoplastic therapy</w:t>
            </w:r>
          </w:p>
        </w:tc>
      </w:tr>
      <w:tr w:rsidR="00360DE0" w:rsidRPr="00B23B00" w:rsidTr="00E37F9E">
        <w:trPr>
          <w:trHeight w:val="20"/>
        </w:trPr>
        <w:tc>
          <w:tcPr>
            <w:tcW w:w="2453" w:type="pct"/>
            <w:tcBorders>
              <w:top w:val="single" w:sz="4" w:space="0" w:color="000000"/>
              <w:left w:val="single" w:sz="4" w:space="0" w:color="000000"/>
              <w:bottom w:val="single" w:sz="4" w:space="0" w:color="000000"/>
              <w:right w:val="single" w:sz="4" w:space="0" w:color="000000"/>
            </w:tcBorders>
            <w:hideMark/>
          </w:tcPr>
          <w:p w:rsidR="00360DE0" w:rsidRPr="00B23B00" w:rsidRDefault="00360DE0">
            <w:pPr>
              <w:pStyle w:val="TableParagraph"/>
              <w:ind w:left="388"/>
              <w:rPr>
                <w:sz w:val="24"/>
                <w:szCs w:val="24"/>
              </w:rPr>
            </w:pPr>
            <w:r w:rsidRPr="00B23B00">
              <w:rPr>
                <w:sz w:val="24"/>
                <w:szCs w:val="24"/>
              </w:rPr>
              <w:t>Number of Events (</w:t>
            </w:r>
            <w:r w:rsidR="00B23B00">
              <w:rPr>
                <w:sz w:val="24"/>
                <w:szCs w:val="24"/>
              </w:rPr>
              <w:t>%</w:t>
            </w:r>
            <w:r w:rsidRPr="00B23B00">
              <w:rPr>
                <w:sz w:val="24"/>
                <w:szCs w:val="24"/>
              </w:rPr>
              <w:t>)</w:t>
            </w:r>
          </w:p>
        </w:tc>
        <w:tc>
          <w:tcPr>
            <w:tcW w:w="1277" w:type="pct"/>
            <w:tcBorders>
              <w:top w:val="single" w:sz="4" w:space="0" w:color="000000"/>
              <w:left w:val="single" w:sz="4" w:space="0" w:color="000000"/>
              <w:bottom w:val="single" w:sz="4" w:space="0" w:color="000000"/>
              <w:right w:val="single" w:sz="4" w:space="0" w:color="000000"/>
            </w:tcBorders>
            <w:hideMark/>
          </w:tcPr>
          <w:p w:rsidR="00360DE0" w:rsidRPr="00B23B00" w:rsidRDefault="00360DE0">
            <w:pPr>
              <w:pStyle w:val="TableParagraph"/>
              <w:ind w:left="587" w:right="293"/>
              <w:jc w:val="center"/>
              <w:rPr>
                <w:sz w:val="24"/>
                <w:szCs w:val="24"/>
              </w:rPr>
            </w:pPr>
            <w:r w:rsidRPr="00B23B00">
              <w:rPr>
                <w:sz w:val="24"/>
                <w:szCs w:val="24"/>
              </w:rPr>
              <w:t>142 (15.2)</w:t>
            </w:r>
          </w:p>
        </w:tc>
        <w:tc>
          <w:tcPr>
            <w:tcW w:w="1270" w:type="pct"/>
            <w:tcBorders>
              <w:top w:val="single" w:sz="4" w:space="0" w:color="000000"/>
              <w:left w:val="single" w:sz="4" w:space="0" w:color="000000"/>
              <w:bottom w:val="single" w:sz="4" w:space="0" w:color="000000"/>
              <w:right w:val="single" w:sz="4" w:space="0" w:color="000000"/>
            </w:tcBorders>
            <w:hideMark/>
          </w:tcPr>
          <w:p w:rsidR="00360DE0" w:rsidRPr="00B23B00" w:rsidRDefault="00360DE0">
            <w:pPr>
              <w:pStyle w:val="TableParagraph"/>
              <w:ind w:left="538" w:right="249"/>
              <w:jc w:val="center"/>
              <w:rPr>
                <w:sz w:val="24"/>
                <w:szCs w:val="24"/>
              </w:rPr>
            </w:pPr>
            <w:r w:rsidRPr="00B23B00">
              <w:rPr>
                <w:sz w:val="24"/>
                <w:szCs w:val="24"/>
              </w:rPr>
              <w:t>226 (48.3)</w:t>
            </w:r>
          </w:p>
        </w:tc>
      </w:tr>
      <w:tr w:rsidR="00360DE0" w:rsidRPr="00B23B00" w:rsidTr="00E37F9E">
        <w:trPr>
          <w:trHeight w:val="20"/>
        </w:trPr>
        <w:tc>
          <w:tcPr>
            <w:tcW w:w="2453" w:type="pct"/>
            <w:tcBorders>
              <w:top w:val="single" w:sz="4" w:space="0" w:color="000000"/>
              <w:left w:val="single" w:sz="4" w:space="0" w:color="000000"/>
              <w:bottom w:val="single" w:sz="4" w:space="0" w:color="000000"/>
              <w:right w:val="single" w:sz="4" w:space="0" w:color="000000"/>
            </w:tcBorders>
            <w:hideMark/>
          </w:tcPr>
          <w:p w:rsidR="00360DE0" w:rsidRPr="00B23B00" w:rsidRDefault="00360DE0">
            <w:pPr>
              <w:pStyle w:val="TableParagraph"/>
              <w:spacing w:before="0" w:line="254" w:lineRule="exact"/>
              <w:ind w:left="388"/>
              <w:rPr>
                <w:i/>
                <w:sz w:val="24"/>
                <w:szCs w:val="24"/>
              </w:rPr>
            </w:pPr>
            <w:r w:rsidRPr="00B23B00">
              <w:rPr>
                <w:sz w:val="24"/>
                <w:szCs w:val="24"/>
              </w:rPr>
              <w:t>Median, months (95</w:t>
            </w:r>
            <w:r w:rsidR="00B23B00">
              <w:rPr>
                <w:sz w:val="24"/>
                <w:szCs w:val="24"/>
              </w:rPr>
              <w:t xml:space="preserve"> %</w:t>
            </w:r>
            <w:r w:rsidRPr="00B23B00">
              <w:rPr>
                <w:sz w:val="24"/>
                <w:szCs w:val="24"/>
              </w:rPr>
              <w:t xml:space="preserve"> CI)</w:t>
            </w:r>
            <w:r w:rsidRPr="00105F96">
              <w:rPr>
                <w:vertAlign w:val="superscript"/>
              </w:rPr>
              <w:t>1</w:t>
            </w:r>
          </w:p>
        </w:tc>
        <w:tc>
          <w:tcPr>
            <w:tcW w:w="1277" w:type="pct"/>
            <w:tcBorders>
              <w:top w:val="single" w:sz="4" w:space="0" w:color="000000"/>
              <w:left w:val="single" w:sz="4" w:space="0" w:color="000000"/>
              <w:bottom w:val="single" w:sz="4" w:space="0" w:color="000000"/>
              <w:right w:val="single" w:sz="4" w:space="0" w:color="000000"/>
            </w:tcBorders>
            <w:hideMark/>
          </w:tcPr>
          <w:p w:rsidR="00360DE0" w:rsidRPr="00B23B00" w:rsidRDefault="00360DE0">
            <w:pPr>
              <w:pStyle w:val="TableParagraph"/>
              <w:ind w:left="587" w:right="293"/>
              <w:jc w:val="center"/>
              <w:rPr>
                <w:sz w:val="24"/>
                <w:szCs w:val="24"/>
              </w:rPr>
            </w:pPr>
            <w:r w:rsidRPr="00B23B00">
              <w:rPr>
                <w:sz w:val="24"/>
                <w:szCs w:val="24"/>
              </w:rPr>
              <w:t>39.6 (37.7, NR)</w:t>
            </w:r>
          </w:p>
        </w:tc>
        <w:tc>
          <w:tcPr>
            <w:tcW w:w="1270" w:type="pct"/>
            <w:tcBorders>
              <w:top w:val="single" w:sz="4" w:space="0" w:color="000000"/>
              <w:left w:val="single" w:sz="4" w:space="0" w:color="000000"/>
              <w:bottom w:val="single" w:sz="4" w:space="0" w:color="000000"/>
              <w:right w:val="single" w:sz="4" w:space="0" w:color="000000"/>
            </w:tcBorders>
            <w:hideMark/>
          </w:tcPr>
          <w:p w:rsidR="00360DE0" w:rsidRPr="00B23B00" w:rsidRDefault="00360DE0">
            <w:pPr>
              <w:pStyle w:val="TableParagraph"/>
              <w:ind w:left="538" w:right="249"/>
              <w:jc w:val="center"/>
              <w:rPr>
                <w:sz w:val="24"/>
                <w:szCs w:val="24"/>
              </w:rPr>
            </w:pPr>
            <w:r w:rsidRPr="00B23B00">
              <w:rPr>
                <w:sz w:val="24"/>
                <w:szCs w:val="24"/>
              </w:rPr>
              <w:t>17.7 (16.2, 19.7)</w:t>
            </w:r>
          </w:p>
        </w:tc>
      </w:tr>
      <w:tr w:rsidR="00360DE0" w:rsidRPr="00B23B00" w:rsidTr="00E37F9E">
        <w:trPr>
          <w:trHeight w:val="20"/>
        </w:trPr>
        <w:tc>
          <w:tcPr>
            <w:tcW w:w="2453" w:type="pct"/>
            <w:tcBorders>
              <w:top w:val="single" w:sz="4" w:space="0" w:color="000000"/>
              <w:left w:val="single" w:sz="4" w:space="0" w:color="000000"/>
              <w:bottom w:val="single" w:sz="4" w:space="0" w:color="000000"/>
              <w:right w:val="single" w:sz="4" w:space="0" w:color="000000"/>
            </w:tcBorders>
            <w:hideMark/>
          </w:tcPr>
          <w:p w:rsidR="00360DE0" w:rsidRPr="00B23B00" w:rsidRDefault="00360DE0">
            <w:pPr>
              <w:pStyle w:val="TableParagraph"/>
              <w:spacing w:before="0" w:line="254" w:lineRule="exact"/>
              <w:ind w:left="388"/>
              <w:rPr>
                <w:i/>
                <w:sz w:val="24"/>
                <w:szCs w:val="24"/>
              </w:rPr>
            </w:pPr>
            <w:r w:rsidRPr="00B23B00">
              <w:rPr>
                <w:sz w:val="24"/>
                <w:szCs w:val="24"/>
              </w:rPr>
              <w:t>Hazard Ratio (95</w:t>
            </w:r>
            <w:r w:rsidR="00B23B00">
              <w:rPr>
                <w:sz w:val="24"/>
                <w:szCs w:val="24"/>
              </w:rPr>
              <w:t xml:space="preserve"> %</w:t>
            </w:r>
            <w:r w:rsidRPr="00B23B00">
              <w:rPr>
                <w:sz w:val="24"/>
                <w:szCs w:val="24"/>
              </w:rPr>
              <w:t xml:space="preserve"> CI)</w:t>
            </w:r>
            <w:r w:rsidRPr="00105F96">
              <w:rPr>
                <w:vertAlign w:val="superscript"/>
              </w:rPr>
              <w:t>2</w:t>
            </w:r>
          </w:p>
        </w:tc>
        <w:tc>
          <w:tcPr>
            <w:tcW w:w="2547" w:type="pct"/>
            <w:gridSpan w:val="2"/>
            <w:tcBorders>
              <w:top w:val="single" w:sz="4" w:space="0" w:color="000000"/>
              <w:left w:val="single" w:sz="4" w:space="0" w:color="000000"/>
              <w:bottom w:val="single" w:sz="4" w:space="0" w:color="000000"/>
              <w:right w:val="single" w:sz="4" w:space="0" w:color="000000"/>
            </w:tcBorders>
            <w:hideMark/>
          </w:tcPr>
          <w:p w:rsidR="00360DE0" w:rsidRPr="00B23B00" w:rsidRDefault="00360DE0">
            <w:pPr>
              <w:pStyle w:val="TableParagraph"/>
              <w:ind w:left="1718"/>
              <w:rPr>
                <w:sz w:val="24"/>
                <w:szCs w:val="24"/>
              </w:rPr>
            </w:pPr>
            <w:r w:rsidRPr="00B23B00">
              <w:rPr>
                <w:sz w:val="24"/>
                <w:szCs w:val="24"/>
              </w:rPr>
              <w:t>0.21 (0.17, 0.26)</w:t>
            </w:r>
          </w:p>
        </w:tc>
      </w:tr>
      <w:tr w:rsidR="00360DE0" w:rsidRPr="00B23B00" w:rsidTr="00E37F9E">
        <w:trPr>
          <w:trHeight w:val="20"/>
        </w:trPr>
        <w:tc>
          <w:tcPr>
            <w:tcW w:w="2453" w:type="pct"/>
            <w:tcBorders>
              <w:top w:val="single" w:sz="4" w:space="0" w:color="000000"/>
              <w:left w:val="single" w:sz="4" w:space="0" w:color="000000"/>
              <w:bottom w:val="single" w:sz="4" w:space="0" w:color="000000"/>
              <w:right w:val="single" w:sz="4" w:space="0" w:color="000000"/>
            </w:tcBorders>
            <w:hideMark/>
          </w:tcPr>
          <w:p w:rsidR="00360DE0" w:rsidRPr="00B23B00" w:rsidRDefault="00360DE0">
            <w:pPr>
              <w:pStyle w:val="TableParagraph"/>
              <w:spacing w:before="0" w:line="249" w:lineRule="exact"/>
              <w:ind w:left="388"/>
              <w:rPr>
                <w:i/>
                <w:sz w:val="24"/>
                <w:szCs w:val="24"/>
              </w:rPr>
            </w:pPr>
            <w:r w:rsidRPr="00B23B00">
              <w:rPr>
                <w:sz w:val="24"/>
                <w:szCs w:val="24"/>
              </w:rPr>
              <w:t>P-value</w:t>
            </w:r>
            <w:r w:rsidRPr="00105F96">
              <w:rPr>
                <w:vertAlign w:val="superscript"/>
              </w:rPr>
              <w:t>3</w:t>
            </w:r>
          </w:p>
        </w:tc>
        <w:tc>
          <w:tcPr>
            <w:tcW w:w="2547" w:type="pct"/>
            <w:gridSpan w:val="2"/>
            <w:tcBorders>
              <w:top w:val="single" w:sz="4" w:space="0" w:color="000000"/>
              <w:left w:val="single" w:sz="4" w:space="0" w:color="000000"/>
              <w:bottom w:val="single" w:sz="4" w:space="0" w:color="000000"/>
              <w:right w:val="single" w:sz="4" w:space="0" w:color="000000"/>
            </w:tcBorders>
            <w:hideMark/>
          </w:tcPr>
          <w:p w:rsidR="00360DE0" w:rsidRPr="00B23B00" w:rsidRDefault="00360DE0">
            <w:pPr>
              <w:pStyle w:val="TableParagraph"/>
              <w:spacing w:before="0" w:line="249" w:lineRule="exact"/>
              <w:ind w:left="1955" w:right="1667"/>
              <w:jc w:val="center"/>
              <w:rPr>
                <w:sz w:val="24"/>
                <w:szCs w:val="24"/>
              </w:rPr>
            </w:pPr>
            <w:r w:rsidRPr="00B23B00">
              <w:rPr>
                <w:sz w:val="24"/>
                <w:szCs w:val="24"/>
              </w:rPr>
              <w:t>p &lt; 0.0001</w:t>
            </w:r>
          </w:p>
        </w:tc>
      </w:tr>
    </w:tbl>
    <w:p w:rsidR="00360DE0" w:rsidRPr="00584AC5" w:rsidRDefault="00360DE0" w:rsidP="00E37F9E">
      <w:pPr>
        <w:ind w:left="1134" w:hanging="284"/>
        <w:rPr>
          <w:sz w:val="20"/>
          <w:lang w:val="en-US" w:eastAsia="en-US"/>
        </w:rPr>
      </w:pPr>
      <w:r w:rsidRPr="00584AC5">
        <w:rPr>
          <w:sz w:val="20"/>
        </w:rPr>
        <w:t xml:space="preserve">NR = Not </w:t>
      </w:r>
      <w:proofErr w:type="spellStart"/>
      <w:r w:rsidRPr="00584AC5">
        <w:rPr>
          <w:sz w:val="20"/>
        </w:rPr>
        <w:t>reached</w:t>
      </w:r>
      <w:proofErr w:type="spellEnd"/>
      <w:r w:rsidRPr="00584AC5">
        <w:rPr>
          <w:sz w:val="20"/>
        </w:rPr>
        <w:t>.</w:t>
      </w:r>
    </w:p>
    <w:p w:rsidR="00360DE0" w:rsidRPr="00584AC5" w:rsidRDefault="00360DE0" w:rsidP="00E37F9E">
      <w:pPr>
        <w:pStyle w:val="Listeafsnit"/>
        <w:numPr>
          <w:ilvl w:val="0"/>
          <w:numId w:val="7"/>
        </w:numPr>
        <w:tabs>
          <w:tab w:val="left" w:pos="832"/>
        </w:tabs>
        <w:ind w:left="1134" w:hanging="284"/>
        <w:rPr>
          <w:sz w:val="20"/>
          <w:szCs w:val="20"/>
        </w:rPr>
      </w:pPr>
      <w:r w:rsidRPr="00584AC5">
        <w:rPr>
          <w:sz w:val="20"/>
          <w:szCs w:val="20"/>
        </w:rPr>
        <w:t xml:space="preserve">Based </w:t>
      </w:r>
      <w:r w:rsidRPr="00584AC5">
        <w:rPr>
          <w:spacing w:val="-3"/>
          <w:sz w:val="20"/>
          <w:szCs w:val="20"/>
        </w:rPr>
        <w:t xml:space="preserve">on </w:t>
      </w:r>
      <w:r w:rsidRPr="00584AC5">
        <w:rPr>
          <w:sz w:val="20"/>
          <w:szCs w:val="20"/>
        </w:rPr>
        <w:t>Kaplan-Meier</w:t>
      </w:r>
      <w:r w:rsidRPr="00584AC5">
        <w:rPr>
          <w:spacing w:val="-4"/>
          <w:sz w:val="20"/>
          <w:szCs w:val="20"/>
        </w:rPr>
        <w:t xml:space="preserve"> </w:t>
      </w:r>
      <w:r w:rsidRPr="00584AC5">
        <w:rPr>
          <w:sz w:val="20"/>
          <w:szCs w:val="20"/>
        </w:rPr>
        <w:t>estimates.</w:t>
      </w:r>
    </w:p>
    <w:p w:rsidR="00360DE0" w:rsidRPr="00584AC5" w:rsidRDefault="00360DE0" w:rsidP="00E37F9E">
      <w:pPr>
        <w:pStyle w:val="Listeafsnit"/>
        <w:numPr>
          <w:ilvl w:val="0"/>
          <w:numId w:val="7"/>
        </w:numPr>
        <w:tabs>
          <w:tab w:val="left" w:pos="832"/>
        </w:tabs>
        <w:ind w:left="1134" w:right="708" w:hanging="284"/>
        <w:rPr>
          <w:sz w:val="20"/>
          <w:szCs w:val="20"/>
        </w:rPr>
      </w:pPr>
      <w:r w:rsidRPr="00584AC5">
        <w:rPr>
          <w:sz w:val="20"/>
          <w:szCs w:val="20"/>
        </w:rPr>
        <w:t xml:space="preserve">HR is based on a Cox regression model (with treatment as the only covariate) stratified </w:t>
      </w:r>
      <w:r w:rsidRPr="00584AC5">
        <w:rPr>
          <w:spacing w:val="-3"/>
          <w:sz w:val="20"/>
          <w:szCs w:val="20"/>
        </w:rPr>
        <w:t xml:space="preserve">by PSA </w:t>
      </w:r>
      <w:r w:rsidRPr="00584AC5">
        <w:rPr>
          <w:sz w:val="20"/>
          <w:szCs w:val="20"/>
        </w:rPr>
        <w:t xml:space="preserve">doubling time and prior </w:t>
      </w:r>
      <w:r w:rsidRPr="00584AC5">
        <w:rPr>
          <w:spacing w:val="-3"/>
          <w:sz w:val="20"/>
          <w:szCs w:val="20"/>
        </w:rPr>
        <w:t xml:space="preserve">or </w:t>
      </w:r>
      <w:r w:rsidRPr="00584AC5">
        <w:rPr>
          <w:sz w:val="20"/>
          <w:szCs w:val="20"/>
        </w:rPr>
        <w:t xml:space="preserve">concurrent use </w:t>
      </w:r>
      <w:r w:rsidRPr="00584AC5">
        <w:rPr>
          <w:spacing w:val="-3"/>
          <w:sz w:val="20"/>
          <w:szCs w:val="20"/>
        </w:rPr>
        <w:t xml:space="preserve">of </w:t>
      </w:r>
      <w:r w:rsidRPr="00584AC5">
        <w:rPr>
          <w:sz w:val="20"/>
          <w:szCs w:val="20"/>
        </w:rPr>
        <w:t xml:space="preserve">a bone targeting agent. The HR is relative to placebo with &lt; 1 </w:t>
      </w:r>
      <w:proofErr w:type="spellStart"/>
      <w:r w:rsidRPr="00584AC5">
        <w:rPr>
          <w:sz w:val="20"/>
          <w:szCs w:val="20"/>
        </w:rPr>
        <w:t>favouring</w:t>
      </w:r>
      <w:proofErr w:type="spellEnd"/>
      <w:r w:rsidRPr="00584AC5">
        <w:rPr>
          <w:spacing w:val="-18"/>
          <w:sz w:val="20"/>
          <w:szCs w:val="20"/>
        </w:rPr>
        <w:t xml:space="preserve"> </w:t>
      </w:r>
      <w:r w:rsidRPr="00584AC5">
        <w:rPr>
          <w:sz w:val="20"/>
          <w:szCs w:val="20"/>
        </w:rPr>
        <w:t>enzalutamide.</w:t>
      </w:r>
    </w:p>
    <w:p w:rsidR="00360DE0" w:rsidRPr="00584AC5" w:rsidRDefault="00360DE0" w:rsidP="00E37F9E">
      <w:pPr>
        <w:pStyle w:val="Listeafsnit"/>
        <w:numPr>
          <w:ilvl w:val="0"/>
          <w:numId w:val="7"/>
        </w:numPr>
        <w:tabs>
          <w:tab w:val="left" w:pos="832"/>
        </w:tabs>
        <w:ind w:left="1134" w:hanging="284"/>
        <w:rPr>
          <w:sz w:val="20"/>
          <w:szCs w:val="20"/>
        </w:rPr>
      </w:pPr>
      <w:r w:rsidRPr="00584AC5">
        <w:rPr>
          <w:sz w:val="20"/>
          <w:szCs w:val="20"/>
        </w:rPr>
        <w:t>P-value is based on a stratified log-rank test by PSA doubling time (&lt; 6 months, ≥ 6 months) and prior</w:t>
      </w:r>
      <w:r w:rsidRPr="00584AC5">
        <w:rPr>
          <w:spacing w:val="-17"/>
          <w:sz w:val="20"/>
          <w:szCs w:val="20"/>
        </w:rPr>
        <w:t xml:space="preserve"> </w:t>
      </w:r>
      <w:r w:rsidRPr="00584AC5">
        <w:rPr>
          <w:spacing w:val="-3"/>
          <w:sz w:val="20"/>
          <w:szCs w:val="20"/>
        </w:rPr>
        <w:t>or</w:t>
      </w:r>
      <w:r w:rsidR="00584AC5" w:rsidRPr="00584AC5">
        <w:rPr>
          <w:spacing w:val="-3"/>
          <w:sz w:val="20"/>
          <w:szCs w:val="20"/>
        </w:rPr>
        <w:t xml:space="preserve"> </w:t>
      </w:r>
      <w:r w:rsidRPr="00584AC5">
        <w:rPr>
          <w:sz w:val="20"/>
          <w:szCs w:val="20"/>
        </w:rPr>
        <w:t>concurrent use of a bone targeting agent (yes, no).</w:t>
      </w:r>
    </w:p>
    <w:p w:rsidR="00360DE0" w:rsidRPr="00584AC5" w:rsidRDefault="00360DE0" w:rsidP="00E37F9E">
      <w:pPr>
        <w:pStyle w:val="Listeafsnit"/>
        <w:numPr>
          <w:ilvl w:val="0"/>
          <w:numId w:val="7"/>
        </w:numPr>
        <w:tabs>
          <w:tab w:val="left" w:pos="832"/>
        </w:tabs>
        <w:ind w:left="1134" w:hanging="284"/>
        <w:rPr>
          <w:sz w:val="20"/>
          <w:szCs w:val="20"/>
        </w:rPr>
      </w:pPr>
      <w:r w:rsidRPr="00584AC5">
        <w:rPr>
          <w:sz w:val="20"/>
          <w:szCs w:val="20"/>
        </w:rPr>
        <w:t xml:space="preserve">Based upon a prespecified interim analysis with data cutoff date of 15 </w:t>
      </w:r>
      <w:r w:rsidRPr="00584AC5">
        <w:rPr>
          <w:spacing w:val="-3"/>
          <w:sz w:val="20"/>
          <w:szCs w:val="20"/>
        </w:rPr>
        <w:t>Oct</w:t>
      </w:r>
      <w:r w:rsidRPr="00584AC5">
        <w:rPr>
          <w:spacing w:val="-13"/>
          <w:sz w:val="20"/>
          <w:szCs w:val="20"/>
        </w:rPr>
        <w:t xml:space="preserve"> </w:t>
      </w:r>
      <w:r w:rsidRPr="00584AC5">
        <w:rPr>
          <w:sz w:val="20"/>
          <w:szCs w:val="20"/>
        </w:rPr>
        <w:t>2019.</w:t>
      </w:r>
    </w:p>
    <w:p w:rsidR="007235E8" w:rsidRPr="00B23B00" w:rsidRDefault="007235E8" w:rsidP="007235E8">
      <w:pPr>
        <w:pStyle w:val="Listeafsnit"/>
        <w:keepNext/>
        <w:tabs>
          <w:tab w:val="left" w:pos="832"/>
        </w:tabs>
        <w:ind w:firstLine="0"/>
        <w:rPr>
          <w:sz w:val="24"/>
          <w:szCs w:val="24"/>
        </w:rPr>
      </w:pPr>
    </w:p>
    <w:p w:rsidR="00360DE0" w:rsidRPr="00B23B00" w:rsidRDefault="00360DE0" w:rsidP="007235E8">
      <w:pPr>
        <w:pStyle w:val="Brdtekst"/>
        <w:keepNext/>
        <w:rPr>
          <w:sz w:val="24"/>
          <w:szCs w:val="24"/>
        </w:rPr>
      </w:pPr>
      <w:r w:rsidRPr="00B23B00">
        <w:rPr>
          <w:noProof/>
          <w:sz w:val="24"/>
          <w:szCs w:val="24"/>
        </w:rPr>
        <w:drawing>
          <wp:inline distT="0" distB="0" distL="0" distR="0" wp14:anchorId="73DB475A" wp14:editId="10DA571C">
            <wp:extent cx="5963920" cy="2633345"/>
            <wp:effectExtent l="0" t="0" r="0" b="0"/>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63920" cy="2633345"/>
                    </a:xfrm>
                    <a:prstGeom prst="rect">
                      <a:avLst/>
                    </a:prstGeom>
                    <a:noFill/>
                  </pic:spPr>
                </pic:pic>
              </a:graphicData>
            </a:graphic>
          </wp:inline>
        </w:drawing>
      </w:r>
    </w:p>
    <w:p w:rsidR="007235E8" w:rsidRPr="00B23B00" w:rsidRDefault="007235E8" w:rsidP="007235E8">
      <w:pPr>
        <w:keepNext/>
        <w:ind w:left="851"/>
        <w:rPr>
          <w:sz w:val="24"/>
          <w:szCs w:val="24"/>
        </w:rPr>
      </w:pPr>
    </w:p>
    <w:p w:rsidR="00360DE0" w:rsidRPr="00B23B00" w:rsidRDefault="00360DE0" w:rsidP="007235E8">
      <w:pPr>
        <w:keepNext/>
        <w:ind w:left="851"/>
        <w:rPr>
          <w:b/>
          <w:sz w:val="24"/>
          <w:szCs w:val="24"/>
          <w:lang w:val="en-US"/>
        </w:rPr>
      </w:pPr>
      <w:r w:rsidRPr="00B23B00">
        <w:rPr>
          <w:b/>
          <w:sz w:val="24"/>
          <w:szCs w:val="24"/>
          <w:lang w:val="en-US"/>
        </w:rPr>
        <w:t xml:space="preserve">Figure </w:t>
      </w:r>
      <w:r w:rsidR="00550718">
        <w:rPr>
          <w:b/>
          <w:sz w:val="24"/>
          <w:szCs w:val="24"/>
          <w:lang w:val="en-US"/>
        </w:rPr>
        <w:t>5</w:t>
      </w:r>
      <w:r w:rsidRPr="00B23B00">
        <w:rPr>
          <w:b/>
          <w:sz w:val="24"/>
          <w:szCs w:val="24"/>
          <w:lang w:val="en-US"/>
        </w:rPr>
        <w:t>: Kaplan-Meier Curves of metastasis-free survival in the PROSPER study (intent-to- treat analysis)</w:t>
      </w:r>
    </w:p>
    <w:p w:rsidR="00360DE0" w:rsidRPr="00B23B00" w:rsidRDefault="00360DE0" w:rsidP="00DE37FA">
      <w:pPr>
        <w:ind w:left="851"/>
        <w:rPr>
          <w:sz w:val="24"/>
          <w:szCs w:val="24"/>
          <w:lang w:val="en-US"/>
        </w:rPr>
      </w:pPr>
    </w:p>
    <w:p w:rsidR="00550718" w:rsidRPr="00550718" w:rsidRDefault="00550718" w:rsidP="00550718">
      <w:pPr>
        <w:pStyle w:val="Brdtekst"/>
        <w:tabs>
          <w:tab w:val="left" w:pos="7513"/>
        </w:tabs>
        <w:spacing w:before="80"/>
        <w:ind w:left="851" w:right="1520"/>
        <w:rPr>
          <w:sz w:val="24"/>
          <w:szCs w:val="24"/>
        </w:rPr>
      </w:pPr>
      <w:r w:rsidRPr="00550718">
        <w:rPr>
          <w:sz w:val="24"/>
          <w:szCs w:val="24"/>
        </w:rPr>
        <w:t xml:space="preserve">At the final analysis for overall survival, conducted when 466 deaths were observed, a statistically significant improvement in overall survival was demonstrated in patients </w:t>
      </w:r>
      <w:proofErr w:type="spellStart"/>
      <w:r w:rsidRPr="00550718">
        <w:rPr>
          <w:sz w:val="24"/>
          <w:szCs w:val="24"/>
        </w:rPr>
        <w:t>randomised</w:t>
      </w:r>
      <w:proofErr w:type="spellEnd"/>
      <w:r w:rsidRPr="00550718">
        <w:rPr>
          <w:sz w:val="24"/>
          <w:szCs w:val="24"/>
        </w:rPr>
        <w:t xml:space="preserve"> to receive enzalutamide compared with patients </w:t>
      </w:r>
      <w:proofErr w:type="spellStart"/>
      <w:r w:rsidRPr="00550718">
        <w:rPr>
          <w:sz w:val="24"/>
          <w:szCs w:val="24"/>
        </w:rPr>
        <w:t>randomised</w:t>
      </w:r>
      <w:proofErr w:type="spellEnd"/>
      <w:r w:rsidRPr="00550718">
        <w:rPr>
          <w:sz w:val="24"/>
          <w:szCs w:val="24"/>
        </w:rPr>
        <w:t xml:space="preserve"> to receive placebo with a 26.6% reduction in risk of death [hazard ratio (HR) = 0.734, (95% CI: 0.608; 0.885), p = 0.0011] (see Figure 6). The median follow-up time was 48.6 and 47.2 months for the enzalutamide and placebo groups, respectively.</w:t>
      </w:r>
    </w:p>
    <w:p w:rsidR="00550718" w:rsidRPr="00550718" w:rsidRDefault="00550718" w:rsidP="00550718">
      <w:pPr>
        <w:pStyle w:val="Brdtekst"/>
        <w:ind w:left="851" w:right="1520"/>
        <w:rPr>
          <w:sz w:val="24"/>
          <w:szCs w:val="24"/>
        </w:rPr>
      </w:pPr>
      <w:r w:rsidRPr="00550718">
        <w:rPr>
          <w:sz w:val="24"/>
          <w:szCs w:val="24"/>
        </w:rPr>
        <w:t>Thirty-three percent of enzalutamide-treated and 65% of placebo-treated patients received at least one subsequent antineoplastic therapy that may prolong overall survival.</w:t>
      </w:r>
    </w:p>
    <w:p w:rsidR="009B3F57" w:rsidRDefault="009B3F57" w:rsidP="00DE37FA">
      <w:pPr>
        <w:ind w:left="851"/>
        <w:rPr>
          <w:sz w:val="24"/>
          <w:szCs w:val="24"/>
          <w:lang w:val="en-US"/>
        </w:rPr>
      </w:pPr>
    </w:p>
    <w:p w:rsidR="009B3F57" w:rsidRDefault="009B3F57" w:rsidP="009B3F57">
      <w:pPr>
        <w:ind w:left="851"/>
        <w:rPr>
          <w:sz w:val="24"/>
          <w:szCs w:val="24"/>
          <w:lang w:val="en-US"/>
        </w:rPr>
      </w:pPr>
      <w:r w:rsidRPr="009B3F57">
        <w:rPr>
          <w:noProof/>
          <w:sz w:val="24"/>
          <w:szCs w:val="24"/>
          <w:lang w:val="en-US"/>
        </w:rPr>
        <w:drawing>
          <wp:anchor distT="0" distB="0" distL="114300" distR="114300" simplePos="0" relativeHeight="251659264" behindDoc="0" locked="0" layoutInCell="1" allowOverlap="1" wp14:anchorId="5FD10F51" wp14:editId="30A3362E">
            <wp:simplePos x="0" y="0"/>
            <wp:positionH relativeFrom="column">
              <wp:posOffset>115179</wp:posOffset>
            </wp:positionH>
            <wp:positionV relativeFrom="paragraph">
              <wp:posOffset>586</wp:posOffset>
            </wp:positionV>
            <wp:extent cx="6030167" cy="3248478"/>
            <wp:effectExtent l="0" t="0" r="8890" b="9525"/>
            <wp:wrapTopAndBottom/>
            <wp:docPr id="33" name="Billed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6030167" cy="3248478"/>
                    </a:xfrm>
                    <a:prstGeom prst="rect">
                      <a:avLst/>
                    </a:prstGeom>
                  </pic:spPr>
                </pic:pic>
              </a:graphicData>
            </a:graphic>
            <wp14:sizeRelH relativeFrom="page">
              <wp14:pctWidth>0</wp14:pctWidth>
            </wp14:sizeRelH>
            <wp14:sizeRelV relativeFrom="page">
              <wp14:pctHeight>0</wp14:pctHeight>
            </wp14:sizeRelV>
          </wp:anchor>
        </w:drawing>
      </w:r>
    </w:p>
    <w:p w:rsidR="00360DE0" w:rsidRPr="009B3F57" w:rsidRDefault="00360DE0" w:rsidP="009B3F57">
      <w:pPr>
        <w:ind w:left="851"/>
        <w:rPr>
          <w:sz w:val="24"/>
          <w:szCs w:val="24"/>
          <w:lang w:val="en-US"/>
        </w:rPr>
      </w:pPr>
      <w:r w:rsidRPr="00B23B00">
        <w:rPr>
          <w:b/>
          <w:sz w:val="24"/>
          <w:szCs w:val="24"/>
          <w:lang w:val="en-US"/>
        </w:rPr>
        <w:lastRenderedPageBreak/>
        <w:t xml:space="preserve">Figure </w:t>
      </w:r>
      <w:r w:rsidR="00550718">
        <w:rPr>
          <w:b/>
          <w:sz w:val="24"/>
          <w:szCs w:val="24"/>
          <w:lang w:val="en-US"/>
        </w:rPr>
        <w:t>6</w:t>
      </w:r>
      <w:r w:rsidRPr="00B23B00">
        <w:rPr>
          <w:b/>
          <w:sz w:val="24"/>
          <w:szCs w:val="24"/>
          <w:lang w:val="en-US"/>
        </w:rPr>
        <w:t>: Kaplan-Meier Curves of overall survival in the PROSPER study (intent-to-treat analysis)</w:t>
      </w:r>
    </w:p>
    <w:p w:rsidR="00360DE0" w:rsidRPr="00B23B00" w:rsidRDefault="00360DE0" w:rsidP="00DE37FA">
      <w:pPr>
        <w:ind w:left="851"/>
        <w:rPr>
          <w:sz w:val="24"/>
          <w:szCs w:val="24"/>
          <w:lang w:val="en-US"/>
        </w:rPr>
      </w:pPr>
    </w:p>
    <w:p w:rsidR="00360DE0" w:rsidRPr="00B23B00" w:rsidRDefault="00360DE0" w:rsidP="00DE37FA">
      <w:pPr>
        <w:ind w:left="851"/>
        <w:rPr>
          <w:sz w:val="24"/>
          <w:szCs w:val="24"/>
          <w:lang w:val="en-US"/>
        </w:rPr>
      </w:pPr>
      <w:r w:rsidRPr="00B23B00">
        <w:rPr>
          <w:sz w:val="24"/>
          <w:szCs w:val="24"/>
          <w:lang w:val="en-US"/>
        </w:rPr>
        <w:t>Enzalutamide demonstrated a statistically significant 93</w:t>
      </w:r>
      <w:r w:rsidR="00B23B00" w:rsidRPr="00B23B00">
        <w:rPr>
          <w:sz w:val="24"/>
          <w:szCs w:val="24"/>
          <w:lang w:val="en-US"/>
        </w:rPr>
        <w:t xml:space="preserve"> %</w:t>
      </w:r>
      <w:r w:rsidRPr="00B23B00">
        <w:rPr>
          <w:sz w:val="24"/>
          <w:szCs w:val="24"/>
          <w:lang w:val="en-US"/>
        </w:rPr>
        <w:t xml:space="preserve"> reduction in the relative risk of PSA progression compared to placebo [HR = 0.07 (95</w:t>
      </w:r>
      <w:r w:rsidR="00B23B00" w:rsidRPr="00B23B00">
        <w:rPr>
          <w:sz w:val="24"/>
          <w:szCs w:val="24"/>
          <w:lang w:val="en-US"/>
        </w:rPr>
        <w:t xml:space="preserve"> %</w:t>
      </w:r>
      <w:r w:rsidRPr="00B23B00">
        <w:rPr>
          <w:sz w:val="24"/>
          <w:szCs w:val="24"/>
          <w:lang w:val="en-US"/>
        </w:rPr>
        <w:t xml:space="preserve"> CI: 0.05, 0.08), p &lt; 0.0001]. Median time to PSA progression was 37.2 months (95</w:t>
      </w:r>
      <w:r w:rsidR="00B23B00" w:rsidRPr="00B23B00">
        <w:rPr>
          <w:sz w:val="24"/>
          <w:szCs w:val="24"/>
          <w:lang w:val="en-US"/>
        </w:rPr>
        <w:t xml:space="preserve"> %</w:t>
      </w:r>
      <w:r w:rsidRPr="00B23B00">
        <w:rPr>
          <w:sz w:val="24"/>
          <w:szCs w:val="24"/>
          <w:lang w:val="en-US"/>
        </w:rPr>
        <w:t xml:space="preserve"> CI: 33.1, NR) on the enzalutamide arm versus 3.9 months (95</w:t>
      </w:r>
      <w:r w:rsidR="00B23B00" w:rsidRPr="00B23B00">
        <w:rPr>
          <w:sz w:val="24"/>
          <w:szCs w:val="24"/>
          <w:lang w:val="en-US"/>
        </w:rPr>
        <w:t xml:space="preserve"> %</w:t>
      </w:r>
      <w:r w:rsidRPr="00B23B00">
        <w:rPr>
          <w:sz w:val="24"/>
          <w:szCs w:val="24"/>
          <w:lang w:val="en-US"/>
        </w:rPr>
        <w:t xml:space="preserve"> CI: 3.8, 4.0) on the placebo arm.</w:t>
      </w:r>
    </w:p>
    <w:p w:rsidR="00360DE0" w:rsidRPr="007B5D05" w:rsidRDefault="006E3C51" w:rsidP="009B3F57">
      <w:pPr>
        <w:ind w:left="851"/>
        <w:rPr>
          <w:sz w:val="24"/>
          <w:szCs w:val="24"/>
          <w:lang w:val="en-US"/>
        </w:rPr>
      </w:pPr>
      <w:r w:rsidRPr="00B23B00">
        <w:rPr>
          <w:noProof/>
          <w:sz w:val="24"/>
          <w:szCs w:val="24"/>
        </w:rPr>
        <w:drawing>
          <wp:anchor distT="0" distB="0" distL="114300" distR="114300" simplePos="0" relativeHeight="251660288" behindDoc="0" locked="0" layoutInCell="1" allowOverlap="1" wp14:anchorId="3E4D4A4C" wp14:editId="5CD1B3A3">
            <wp:simplePos x="0" y="0"/>
            <wp:positionH relativeFrom="margin">
              <wp:posOffset>539242</wp:posOffset>
            </wp:positionH>
            <wp:positionV relativeFrom="paragraph">
              <wp:posOffset>1042873</wp:posOffset>
            </wp:positionV>
            <wp:extent cx="5681980" cy="2731770"/>
            <wp:effectExtent l="0" t="0" r="0" b="0"/>
            <wp:wrapTopAndBottom/>
            <wp:docPr id="9" name="Billede 9" descr="CCDS_Figure13_05Jan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descr="CCDS_Figure13_05Jan20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81980" cy="2731770"/>
                    </a:xfrm>
                    <a:prstGeom prst="rect">
                      <a:avLst/>
                    </a:prstGeom>
                    <a:noFill/>
                  </pic:spPr>
                </pic:pic>
              </a:graphicData>
            </a:graphic>
            <wp14:sizeRelH relativeFrom="page">
              <wp14:pctWidth>0</wp14:pctWidth>
            </wp14:sizeRelH>
            <wp14:sizeRelV relativeFrom="page">
              <wp14:pctHeight>0</wp14:pctHeight>
            </wp14:sizeRelV>
          </wp:anchor>
        </w:drawing>
      </w:r>
      <w:r w:rsidR="00360DE0" w:rsidRPr="00B23B00">
        <w:rPr>
          <w:sz w:val="24"/>
          <w:szCs w:val="24"/>
          <w:lang w:val="en-US"/>
        </w:rPr>
        <w:t>Enzalutamide demonstrated a statistically significant delay in the time to first use of new antineoplastic therapy compared to placebo [HR = 0.21 (95</w:t>
      </w:r>
      <w:r w:rsidR="00B23B00" w:rsidRPr="00B23B00">
        <w:rPr>
          <w:sz w:val="24"/>
          <w:szCs w:val="24"/>
          <w:lang w:val="en-US"/>
        </w:rPr>
        <w:t xml:space="preserve"> %</w:t>
      </w:r>
      <w:r w:rsidR="00360DE0" w:rsidRPr="00B23B00">
        <w:rPr>
          <w:sz w:val="24"/>
          <w:szCs w:val="24"/>
          <w:lang w:val="en-US"/>
        </w:rPr>
        <w:t xml:space="preserve"> CI: 0.17, 0.26), p &lt; 0.0001]. Median time to first use of new antineoplastic therapy was 39.6 months (95</w:t>
      </w:r>
      <w:r w:rsidR="00B23B00" w:rsidRPr="00B23B00">
        <w:rPr>
          <w:sz w:val="24"/>
          <w:szCs w:val="24"/>
          <w:lang w:val="en-US"/>
        </w:rPr>
        <w:t xml:space="preserve"> %</w:t>
      </w:r>
      <w:r w:rsidR="00360DE0" w:rsidRPr="00B23B00">
        <w:rPr>
          <w:sz w:val="24"/>
          <w:szCs w:val="24"/>
          <w:lang w:val="en-US"/>
        </w:rPr>
        <w:t xml:space="preserve"> CI: 37.7, NR) on the enzalutamide arm versus 17.7 months (95</w:t>
      </w:r>
      <w:r w:rsidR="00B23B00" w:rsidRPr="00B23B00">
        <w:rPr>
          <w:sz w:val="24"/>
          <w:szCs w:val="24"/>
          <w:lang w:val="en-US"/>
        </w:rPr>
        <w:t xml:space="preserve"> %</w:t>
      </w:r>
      <w:r w:rsidR="00360DE0" w:rsidRPr="00B23B00">
        <w:rPr>
          <w:sz w:val="24"/>
          <w:szCs w:val="24"/>
          <w:lang w:val="en-US"/>
        </w:rPr>
        <w:t xml:space="preserve"> CI: 16.2, 19.7) on the placebo arm (</w:t>
      </w:r>
      <w:r w:rsidR="00550718" w:rsidRPr="006E3C51">
        <w:rPr>
          <w:lang w:val="en-US"/>
        </w:rPr>
        <w:t>see Figure 7</w:t>
      </w:r>
      <w:r w:rsidR="00360DE0" w:rsidRPr="00B23B00">
        <w:rPr>
          <w:sz w:val="24"/>
          <w:szCs w:val="24"/>
          <w:lang w:val="en-US"/>
        </w:rPr>
        <w:t>).</w:t>
      </w:r>
    </w:p>
    <w:p w:rsidR="006E3C51" w:rsidRDefault="006E3C51" w:rsidP="007235E8">
      <w:pPr>
        <w:keepNext/>
        <w:ind w:left="851"/>
        <w:rPr>
          <w:b/>
          <w:sz w:val="24"/>
          <w:szCs w:val="24"/>
          <w:lang w:val="en-US"/>
        </w:rPr>
      </w:pPr>
    </w:p>
    <w:p w:rsidR="006E3C51" w:rsidRDefault="006E3C51" w:rsidP="007235E8">
      <w:pPr>
        <w:keepNext/>
        <w:ind w:left="851"/>
        <w:rPr>
          <w:b/>
          <w:sz w:val="24"/>
          <w:szCs w:val="24"/>
          <w:lang w:val="en-US"/>
        </w:rPr>
      </w:pPr>
    </w:p>
    <w:p w:rsidR="00360DE0" w:rsidRPr="00B23B00" w:rsidRDefault="00360DE0" w:rsidP="007235E8">
      <w:pPr>
        <w:keepNext/>
        <w:ind w:left="851"/>
        <w:rPr>
          <w:b/>
          <w:sz w:val="24"/>
          <w:szCs w:val="24"/>
          <w:lang w:val="en-US"/>
        </w:rPr>
      </w:pPr>
      <w:r w:rsidRPr="00B23B00">
        <w:rPr>
          <w:b/>
          <w:sz w:val="24"/>
          <w:szCs w:val="24"/>
          <w:lang w:val="en-US"/>
        </w:rPr>
        <w:t xml:space="preserve">Figure </w:t>
      </w:r>
      <w:r w:rsidR="006E3C51">
        <w:rPr>
          <w:b/>
          <w:sz w:val="24"/>
          <w:szCs w:val="24"/>
          <w:lang w:val="en-US"/>
        </w:rPr>
        <w:t>7</w:t>
      </w:r>
      <w:r w:rsidRPr="00B23B00">
        <w:rPr>
          <w:b/>
          <w:sz w:val="24"/>
          <w:szCs w:val="24"/>
          <w:lang w:val="en-US"/>
        </w:rPr>
        <w:t>: Kaplan-Meier curves of time to first use of new antineoplastic therapy in the PROSPER study (intent-to-treat analysis)</w:t>
      </w:r>
    </w:p>
    <w:p w:rsidR="00360DE0" w:rsidRPr="00B23B00" w:rsidRDefault="00360DE0" w:rsidP="007235E8">
      <w:pPr>
        <w:keepNext/>
        <w:ind w:left="851"/>
        <w:rPr>
          <w:sz w:val="24"/>
          <w:szCs w:val="24"/>
          <w:lang w:val="en-US"/>
        </w:rPr>
      </w:pPr>
    </w:p>
    <w:p w:rsidR="00360DE0" w:rsidRPr="00B23B00" w:rsidRDefault="00360DE0" w:rsidP="00DE37FA">
      <w:pPr>
        <w:ind w:left="851"/>
        <w:rPr>
          <w:i/>
          <w:sz w:val="24"/>
          <w:szCs w:val="24"/>
          <w:lang w:val="en-US"/>
        </w:rPr>
      </w:pPr>
      <w:r w:rsidRPr="00B23B00">
        <w:rPr>
          <w:i/>
          <w:sz w:val="24"/>
          <w:szCs w:val="24"/>
          <w:lang w:val="en-US"/>
        </w:rPr>
        <w:t>MDV3100-09 (STRIVE) study (chemotherapy-naïve patients with non-metastatic/meta</w:t>
      </w:r>
      <w:r w:rsidR="00A31852">
        <w:rPr>
          <w:i/>
          <w:sz w:val="24"/>
          <w:szCs w:val="24"/>
          <w:lang w:val="en-US"/>
        </w:rPr>
        <w:softHyphen/>
      </w:r>
      <w:r w:rsidRPr="00B23B00">
        <w:rPr>
          <w:i/>
          <w:sz w:val="24"/>
          <w:szCs w:val="24"/>
          <w:lang w:val="en-US"/>
        </w:rPr>
        <w:t>static CRPC)</w:t>
      </w:r>
    </w:p>
    <w:p w:rsidR="00360DE0" w:rsidRPr="00B23B00" w:rsidRDefault="00360DE0" w:rsidP="00DE37FA">
      <w:pPr>
        <w:ind w:left="851"/>
        <w:rPr>
          <w:sz w:val="24"/>
          <w:szCs w:val="24"/>
          <w:lang w:val="en-US"/>
        </w:rPr>
      </w:pPr>
    </w:p>
    <w:p w:rsidR="00360DE0" w:rsidRPr="00B23B00" w:rsidRDefault="00360DE0" w:rsidP="00DE37FA">
      <w:pPr>
        <w:ind w:left="851"/>
        <w:rPr>
          <w:sz w:val="24"/>
          <w:szCs w:val="24"/>
          <w:lang w:val="en-US"/>
        </w:rPr>
      </w:pPr>
      <w:r w:rsidRPr="00B23B00">
        <w:rPr>
          <w:sz w:val="24"/>
          <w:szCs w:val="24"/>
          <w:lang w:val="en-US"/>
        </w:rPr>
        <w:t xml:space="preserve">The STRIVE study enrolled 396 non-metastatic or metastatic CRPC patients who had serologic or radiographic disease progression despite primary androgen deprivation therapy who were </w:t>
      </w:r>
      <w:proofErr w:type="spellStart"/>
      <w:r w:rsidRPr="00B23B00">
        <w:rPr>
          <w:sz w:val="24"/>
          <w:szCs w:val="24"/>
          <w:lang w:val="en-US"/>
        </w:rPr>
        <w:t>randomised</w:t>
      </w:r>
      <w:proofErr w:type="spellEnd"/>
      <w:r w:rsidRPr="00B23B00">
        <w:rPr>
          <w:sz w:val="24"/>
          <w:szCs w:val="24"/>
          <w:lang w:val="en-US"/>
        </w:rPr>
        <w:t xml:space="preserve"> to receive either enzalutamide at a dose of 160 mg once daily (N = 198) or bicalutamide at a dose of 50 mg once daily (N = 198). PFS was the primary endpoint defined as the time from </w:t>
      </w:r>
      <w:proofErr w:type="spellStart"/>
      <w:r w:rsidRPr="00B23B00">
        <w:rPr>
          <w:sz w:val="24"/>
          <w:szCs w:val="24"/>
          <w:lang w:val="en-US"/>
        </w:rPr>
        <w:t>randomisation</w:t>
      </w:r>
      <w:proofErr w:type="spellEnd"/>
      <w:r w:rsidRPr="00B23B00">
        <w:rPr>
          <w:sz w:val="24"/>
          <w:szCs w:val="24"/>
          <w:lang w:val="en-US"/>
        </w:rPr>
        <w:t xml:space="preserve"> to the earliest objective evidence of radiographic progression, PSA progression, or death on study.</w:t>
      </w:r>
    </w:p>
    <w:p w:rsidR="006E3C51" w:rsidRPr="006E3C51" w:rsidRDefault="00360DE0" w:rsidP="006E3C51">
      <w:pPr>
        <w:pStyle w:val="Brdtekst"/>
        <w:spacing w:before="10"/>
        <w:ind w:left="851"/>
        <w:rPr>
          <w:sz w:val="24"/>
          <w:szCs w:val="24"/>
        </w:rPr>
      </w:pPr>
      <w:r w:rsidRPr="00B23B00">
        <w:rPr>
          <w:sz w:val="24"/>
          <w:szCs w:val="24"/>
        </w:rPr>
        <w:t>Median PFS was 19.4 months (95</w:t>
      </w:r>
      <w:r w:rsidR="00B23B00" w:rsidRPr="00B23B00">
        <w:rPr>
          <w:sz w:val="24"/>
          <w:szCs w:val="24"/>
        </w:rPr>
        <w:t xml:space="preserve"> %</w:t>
      </w:r>
      <w:r w:rsidRPr="00B23B00">
        <w:rPr>
          <w:sz w:val="24"/>
          <w:szCs w:val="24"/>
        </w:rPr>
        <w:t xml:space="preserve"> CI: 16.5, not reached) in the enzalutamide group versus</w:t>
      </w:r>
      <w:r w:rsidR="007C368B">
        <w:rPr>
          <w:sz w:val="24"/>
          <w:szCs w:val="24"/>
        </w:rPr>
        <w:t xml:space="preserve"> </w:t>
      </w:r>
      <w:r w:rsidRPr="00B23B00">
        <w:rPr>
          <w:sz w:val="24"/>
          <w:szCs w:val="24"/>
        </w:rPr>
        <w:t>5.7 months (95</w:t>
      </w:r>
      <w:r w:rsidR="00B23B00" w:rsidRPr="00B23B00">
        <w:rPr>
          <w:sz w:val="24"/>
          <w:szCs w:val="24"/>
        </w:rPr>
        <w:t xml:space="preserve"> %</w:t>
      </w:r>
      <w:r w:rsidRPr="00B23B00">
        <w:rPr>
          <w:sz w:val="24"/>
          <w:szCs w:val="24"/>
        </w:rPr>
        <w:t xml:space="preserve"> CI: 5.6, 8.1) in the bicalutamide group [HR = 0.24 (95</w:t>
      </w:r>
      <w:r w:rsidR="00B23B00" w:rsidRPr="00B23B00">
        <w:rPr>
          <w:sz w:val="24"/>
          <w:szCs w:val="24"/>
        </w:rPr>
        <w:t xml:space="preserve"> %</w:t>
      </w:r>
      <w:r w:rsidRPr="00B23B00">
        <w:rPr>
          <w:sz w:val="24"/>
          <w:szCs w:val="24"/>
        </w:rPr>
        <w:t xml:space="preserve"> CI: 0.18, 0.32), p &lt; 0.0001]. Consistent benefit of enzalutamide over bicalutamide on PFS was observed in all pre-specified patient subgroups. For the non-metastatic subgroup (N = 139) a total of 19 out of 70 (27.1</w:t>
      </w:r>
      <w:r w:rsidR="00B23B00" w:rsidRPr="00B23B00">
        <w:rPr>
          <w:sz w:val="24"/>
          <w:szCs w:val="24"/>
        </w:rPr>
        <w:t xml:space="preserve"> %</w:t>
      </w:r>
      <w:r w:rsidRPr="00B23B00">
        <w:rPr>
          <w:sz w:val="24"/>
          <w:szCs w:val="24"/>
        </w:rPr>
        <w:t>) patients treated with enzalutamide and 49 out of 69 (71.0</w:t>
      </w:r>
      <w:r w:rsidR="00A31852">
        <w:rPr>
          <w:sz w:val="24"/>
          <w:szCs w:val="24"/>
        </w:rPr>
        <w:t> </w:t>
      </w:r>
      <w:r w:rsidR="00B23B00" w:rsidRPr="00B23B00">
        <w:rPr>
          <w:sz w:val="24"/>
          <w:szCs w:val="24"/>
        </w:rPr>
        <w:t>%</w:t>
      </w:r>
      <w:r w:rsidRPr="00B23B00">
        <w:rPr>
          <w:sz w:val="24"/>
          <w:szCs w:val="24"/>
        </w:rPr>
        <w:t>) patients treated with bicalutamide had PFS events</w:t>
      </w:r>
      <w:r w:rsidR="009A75D1">
        <w:rPr>
          <w:sz w:val="24"/>
          <w:szCs w:val="24"/>
        </w:rPr>
        <w:t xml:space="preserve"> </w:t>
      </w:r>
      <w:r w:rsidRPr="00B23B00">
        <w:rPr>
          <w:sz w:val="24"/>
          <w:szCs w:val="24"/>
        </w:rPr>
        <w:t>(68 total events). The hazard ratio was 0.24 (95</w:t>
      </w:r>
      <w:r w:rsidR="00B23B00" w:rsidRPr="00B23B00">
        <w:rPr>
          <w:sz w:val="24"/>
          <w:szCs w:val="24"/>
        </w:rPr>
        <w:t xml:space="preserve"> %</w:t>
      </w:r>
      <w:r w:rsidRPr="00B23B00">
        <w:rPr>
          <w:sz w:val="24"/>
          <w:szCs w:val="24"/>
        </w:rPr>
        <w:t xml:space="preserve"> CI: 0.14, 0.42) and the median time to a PFS event was not reached in the enzalutamide group versus 8.6 months in the bicalutamide </w:t>
      </w:r>
      <w:r w:rsidRPr="006E3C51">
        <w:rPr>
          <w:sz w:val="24"/>
          <w:szCs w:val="24"/>
        </w:rPr>
        <w:t>group (</w:t>
      </w:r>
      <w:r w:rsidR="006E3C51" w:rsidRPr="006E3C51">
        <w:rPr>
          <w:sz w:val="24"/>
          <w:szCs w:val="24"/>
        </w:rPr>
        <w:t>see Figure 8).</w:t>
      </w:r>
    </w:p>
    <w:p w:rsidR="007235E8" w:rsidRPr="00B23B00" w:rsidRDefault="007235E8" w:rsidP="006E3C51">
      <w:pPr>
        <w:ind w:left="851"/>
        <w:rPr>
          <w:sz w:val="24"/>
          <w:szCs w:val="24"/>
          <w:lang w:val="en-US"/>
        </w:rPr>
      </w:pPr>
    </w:p>
    <w:p w:rsidR="00360DE0" w:rsidRPr="00B23B00" w:rsidRDefault="006E3C51" w:rsidP="00A31852">
      <w:pPr>
        <w:pStyle w:val="Brdtekst"/>
        <w:keepNext/>
        <w:rPr>
          <w:sz w:val="24"/>
          <w:szCs w:val="24"/>
        </w:rPr>
      </w:pPr>
      <w:r>
        <w:rPr>
          <w:sz w:val="24"/>
          <w:szCs w:val="24"/>
        </w:rPr>
        <w:t xml:space="preserve">       </w:t>
      </w:r>
      <w:r w:rsidR="00360DE0" w:rsidRPr="00B23B00">
        <w:rPr>
          <w:noProof/>
          <w:sz w:val="24"/>
          <w:szCs w:val="24"/>
        </w:rPr>
        <w:drawing>
          <wp:inline distT="0" distB="0" distL="0" distR="0" wp14:anchorId="3628102A" wp14:editId="61991F4F">
            <wp:extent cx="5819775" cy="2480945"/>
            <wp:effectExtent l="0" t="0" r="9525" b="0"/>
            <wp:docPr id="8" name="Billede 8" descr="CCDS_Figure5_05Jan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descr="CCDS_Figure5_05Jan20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19775" cy="2480945"/>
                    </a:xfrm>
                    <a:prstGeom prst="rect">
                      <a:avLst/>
                    </a:prstGeom>
                    <a:noFill/>
                  </pic:spPr>
                </pic:pic>
              </a:graphicData>
            </a:graphic>
          </wp:inline>
        </w:drawing>
      </w:r>
    </w:p>
    <w:p w:rsidR="007235E8" w:rsidRPr="00B23B00" w:rsidRDefault="007235E8" w:rsidP="00A31852">
      <w:pPr>
        <w:keepNext/>
        <w:rPr>
          <w:sz w:val="24"/>
          <w:szCs w:val="24"/>
        </w:rPr>
      </w:pPr>
    </w:p>
    <w:p w:rsidR="00360DE0" w:rsidRPr="00B23B00" w:rsidRDefault="00360DE0" w:rsidP="00A619F4">
      <w:pPr>
        <w:keepNext/>
        <w:ind w:left="851"/>
        <w:rPr>
          <w:b/>
          <w:sz w:val="24"/>
          <w:szCs w:val="24"/>
          <w:lang w:val="en-US"/>
        </w:rPr>
      </w:pPr>
      <w:r w:rsidRPr="00B23B00">
        <w:rPr>
          <w:b/>
          <w:sz w:val="24"/>
          <w:szCs w:val="24"/>
          <w:lang w:val="en-US"/>
        </w:rPr>
        <w:t xml:space="preserve">Figure </w:t>
      </w:r>
      <w:r w:rsidR="009B3F57">
        <w:rPr>
          <w:b/>
          <w:sz w:val="24"/>
          <w:szCs w:val="24"/>
          <w:lang w:val="en-US"/>
        </w:rPr>
        <w:t>6</w:t>
      </w:r>
      <w:r w:rsidRPr="00B23B00">
        <w:rPr>
          <w:b/>
          <w:sz w:val="24"/>
          <w:szCs w:val="24"/>
          <w:lang w:val="en-US"/>
        </w:rPr>
        <w:t>: Kaplan-Meier Curves of progression-free survival in the STRIVE study (intent-to-treat analysis)</w:t>
      </w:r>
    </w:p>
    <w:p w:rsidR="00360DE0" w:rsidRPr="00B23B00" w:rsidRDefault="00360DE0" w:rsidP="00A31852">
      <w:pPr>
        <w:rPr>
          <w:sz w:val="24"/>
          <w:szCs w:val="24"/>
          <w:lang w:val="en-US"/>
        </w:rPr>
      </w:pPr>
      <w:r w:rsidRPr="00B23B00">
        <w:rPr>
          <w:sz w:val="24"/>
          <w:szCs w:val="24"/>
          <w:lang w:val="en-US"/>
        </w:rPr>
        <w:t xml:space="preserve"> </w:t>
      </w:r>
    </w:p>
    <w:p w:rsidR="00360DE0" w:rsidRPr="00B23B00" w:rsidRDefault="00360DE0" w:rsidP="00DE37FA">
      <w:pPr>
        <w:ind w:left="851"/>
        <w:rPr>
          <w:i/>
          <w:sz w:val="24"/>
          <w:szCs w:val="24"/>
          <w:lang w:val="en-US"/>
        </w:rPr>
      </w:pPr>
      <w:r w:rsidRPr="00B23B00">
        <w:rPr>
          <w:i/>
          <w:sz w:val="24"/>
          <w:szCs w:val="24"/>
          <w:lang w:val="en-US"/>
        </w:rPr>
        <w:t>9785-CL-0222 (TERRAIN) study (chemotherapy-naïve patients with metastatic CRPC)</w:t>
      </w:r>
    </w:p>
    <w:p w:rsidR="00360DE0" w:rsidRPr="00B23B00" w:rsidRDefault="00360DE0" w:rsidP="00DE37FA">
      <w:pPr>
        <w:ind w:left="851"/>
        <w:rPr>
          <w:sz w:val="24"/>
          <w:szCs w:val="24"/>
          <w:lang w:val="en-US"/>
        </w:rPr>
      </w:pPr>
    </w:p>
    <w:p w:rsidR="00360DE0" w:rsidRPr="00B23B00" w:rsidRDefault="00360DE0" w:rsidP="00DE37FA">
      <w:pPr>
        <w:ind w:left="851"/>
        <w:rPr>
          <w:sz w:val="24"/>
          <w:szCs w:val="24"/>
          <w:lang w:val="en-US"/>
        </w:rPr>
      </w:pPr>
      <w:r w:rsidRPr="00B23B00">
        <w:rPr>
          <w:sz w:val="24"/>
          <w:szCs w:val="24"/>
          <w:lang w:val="en-US"/>
        </w:rPr>
        <w:t xml:space="preserve">The TERRAIN study enrolled 375 chemo- and antiandrogen-therapy naïve patients with metastatic CRPC who were </w:t>
      </w:r>
      <w:proofErr w:type="spellStart"/>
      <w:r w:rsidRPr="00B23B00">
        <w:rPr>
          <w:sz w:val="24"/>
          <w:szCs w:val="24"/>
          <w:lang w:val="en-US"/>
        </w:rPr>
        <w:t>randomised</w:t>
      </w:r>
      <w:proofErr w:type="spellEnd"/>
      <w:r w:rsidRPr="00B23B00">
        <w:rPr>
          <w:sz w:val="24"/>
          <w:szCs w:val="24"/>
          <w:lang w:val="en-US"/>
        </w:rPr>
        <w:t xml:space="preserve"> to receive either enzalutamide at a dose of 160 mg once daily (N = 184) or bicalutamide at a dose of 50 mg once daily (N = 191). Median PFS was 15.7 months for patients on enzalutamide versus 5.8 months for patients on bicalutamide [HR = 0.44 (95</w:t>
      </w:r>
      <w:r w:rsidR="00B23B00" w:rsidRPr="00B23B00">
        <w:rPr>
          <w:sz w:val="24"/>
          <w:szCs w:val="24"/>
          <w:lang w:val="en-US"/>
        </w:rPr>
        <w:t xml:space="preserve"> %</w:t>
      </w:r>
      <w:r w:rsidRPr="00B23B00">
        <w:rPr>
          <w:sz w:val="24"/>
          <w:szCs w:val="24"/>
          <w:lang w:val="en-US"/>
        </w:rPr>
        <w:t xml:space="preserve"> CI: 0.34, 0.57), p &lt; 0.0001]. Progression-free survival was defined as objective evidence of radiographic disease progression by independent central review, skeletal-related events, initiation of new antineoplastic therapy or death by any cause, whichever occurred first. Consistent PFS benefit was observed across all pre-specified patient subgroups.</w:t>
      </w:r>
    </w:p>
    <w:p w:rsidR="00360DE0" w:rsidRPr="00B23B00" w:rsidRDefault="00360DE0" w:rsidP="00DE37FA">
      <w:pPr>
        <w:ind w:left="851"/>
        <w:rPr>
          <w:sz w:val="24"/>
          <w:szCs w:val="24"/>
          <w:lang w:val="en-US"/>
        </w:rPr>
      </w:pPr>
    </w:p>
    <w:p w:rsidR="00360DE0" w:rsidRPr="00B23B00" w:rsidRDefault="00360DE0" w:rsidP="00DE37FA">
      <w:pPr>
        <w:ind w:left="851"/>
        <w:rPr>
          <w:i/>
          <w:sz w:val="24"/>
          <w:szCs w:val="24"/>
          <w:lang w:val="en-US"/>
        </w:rPr>
      </w:pPr>
      <w:r w:rsidRPr="00B23B00">
        <w:rPr>
          <w:i/>
          <w:sz w:val="24"/>
          <w:szCs w:val="24"/>
          <w:lang w:val="en-US"/>
        </w:rPr>
        <w:t>MDV3100-03 (PREVAIL) study (chemotherapy-naïve patients with metastatic CRPC)</w:t>
      </w:r>
    </w:p>
    <w:p w:rsidR="00360DE0" w:rsidRPr="00B23B00" w:rsidRDefault="00360DE0" w:rsidP="00DE37FA">
      <w:pPr>
        <w:ind w:left="851"/>
        <w:rPr>
          <w:sz w:val="24"/>
          <w:szCs w:val="24"/>
          <w:lang w:val="en-US"/>
        </w:rPr>
      </w:pPr>
    </w:p>
    <w:p w:rsidR="00360DE0" w:rsidRPr="00B23B00" w:rsidRDefault="00360DE0" w:rsidP="00DE37FA">
      <w:pPr>
        <w:ind w:left="851"/>
        <w:rPr>
          <w:sz w:val="24"/>
          <w:szCs w:val="24"/>
          <w:lang w:val="en-US"/>
        </w:rPr>
      </w:pPr>
      <w:r w:rsidRPr="00B23B00">
        <w:rPr>
          <w:sz w:val="24"/>
          <w:szCs w:val="24"/>
          <w:lang w:val="en-US"/>
        </w:rPr>
        <w:t xml:space="preserve">A total of 1717 asymptomatic or mildly symptomatic chemotherapy-naïve patients were </w:t>
      </w:r>
      <w:proofErr w:type="spellStart"/>
      <w:r w:rsidRPr="00B23B00">
        <w:rPr>
          <w:sz w:val="24"/>
          <w:szCs w:val="24"/>
          <w:lang w:val="en-US"/>
        </w:rPr>
        <w:t>randomised</w:t>
      </w:r>
      <w:proofErr w:type="spellEnd"/>
      <w:r w:rsidRPr="00B23B00">
        <w:rPr>
          <w:sz w:val="24"/>
          <w:szCs w:val="24"/>
          <w:lang w:val="en-US"/>
        </w:rPr>
        <w:t xml:space="preserve"> 1:1 to receive either enzalutamide orally at a dose of 160 mg once daily (N = 872) or placebo orally once daily (N = 845). Patients with visceral disease, patients with a history of mild to moderate heart failure (NYHA Class I or II), and patients taking medicinal products associated with lowering the seizure threshold were allowed. Patients with a previous history of seizure or a condition that might predispose to seizure and patients with moderate or severe pain from prostate cancer were excluded. Study treatment continued until disease progression (evidence of radiographic progression, a skeletal- related event, or clinical progression) and the initiation of either a cytotoxic chemotherapy or an investigational agent, or until unacceptable toxicity.</w:t>
      </w:r>
    </w:p>
    <w:p w:rsidR="00360DE0" w:rsidRPr="00B23B00" w:rsidRDefault="00360DE0" w:rsidP="00DE37FA">
      <w:pPr>
        <w:ind w:left="851"/>
        <w:rPr>
          <w:sz w:val="24"/>
          <w:szCs w:val="24"/>
          <w:lang w:val="en-US"/>
        </w:rPr>
      </w:pPr>
    </w:p>
    <w:p w:rsidR="00360DE0" w:rsidRPr="00B23B00" w:rsidRDefault="00360DE0" w:rsidP="00DE37FA">
      <w:pPr>
        <w:ind w:left="851"/>
        <w:rPr>
          <w:sz w:val="24"/>
          <w:szCs w:val="24"/>
          <w:lang w:val="en-US"/>
        </w:rPr>
      </w:pPr>
      <w:r w:rsidRPr="00B23B00">
        <w:rPr>
          <w:sz w:val="24"/>
          <w:szCs w:val="24"/>
          <w:lang w:val="en-US"/>
        </w:rPr>
        <w:t>Patient demographics and baseline disease characteristics were balanced between the treatment arms. The median age was 71 years (range 42 - 93) and the racial distribution was 77</w:t>
      </w:r>
      <w:r w:rsidR="00B23B00" w:rsidRPr="00B23B00">
        <w:rPr>
          <w:sz w:val="24"/>
          <w:szCs w:val="24"/>
          <w:lang w:val="en-US"/>
        </w:rPr>
        <w:t xml:space="preserve"> %</w:t>
      </w:r>
      <w:r w:rsidRPr="00B23B00">
        <w:rPr>
          <w:sz w:val="24"/>
          <w:szCs w:val="24"/>
          <w:lang w:val="en-US"/>
        </w:rPr>
        <w:t xml:space="preserve"> Caucasian, 10</w:t>
      </w:r>
      <w:r w:rsidR="00B23B00" w:rsidRPr="00B23B00">
        <w:rPr>
          <w:sz w:val="24"/>
          <w:szCs w:val="24"/>
          <w:lang w:val="en-US"/>
        </w:rPr>
        <w:t xml:space="preserve"> %</w:t>
      </w:r>
      <w:r w:rsidRPr="00B23B00">
        <w:rPr>
          <w:sz w:val="24"/>
          <w:szCs w:val="24"/>
          <w:lang w:val="en-US"/>
        </w:rPr>
        <w:t xml:space="preserve"> Asian, 2</w:t>
      </w:r>
      <w:r w:rsidR="00B23B00" w:rsidRPr="00B23B00">
        <w:rPr>
          <w:sz w:val="24"/>
          <w:szCs w:val="24"/>
          <w:lang w:val="en-US"/>
        </w:rPr>
        <w:t xml:space="preserve"> %</w:t>
      </w:r>
      <w:r w:rsidRPr="00B23B00">
        <w:rPr>
          <w:sz w:val="24"/>
          <w:szCs w:val="24"/>
          <w:lang w:val="en-US"/>
        </w:rPr>
        <w:t xml:space="preserve"> Black and 11</w:t>
      </w:r>
      <w:r w:rsidR="00B23B00" w:rsidRPr="00B23B00">
        <w:rPr>
          <w:sz w:val="24"/>
          <w:szCs w:val="24"/>
          <w:lang w:val="en-US"/>
        </w:rPr>
        <w:t xml:space="preserve"> %</w:t>
      </w:r>
      <w:r w:rsidRPr="00B23B00">
        <w:rPr>
          <w:sz w:val="24"/>
          <w:szCs w:val="24"/>
          <w:lang w:val="en-US"/>
        </w:rPr>
        <w:t xml:space="preserve"> other or unknown races. Sixty-eight percent (68</w:t>
      </w:r>
      <w:r w:rsidR="00B23B00" w:rsidRPr="00B23B00">
        <w:rPr>
          <w:sz w:val="24"/>
          <w:szCs w:val="24"/>
          <w:lang w:val="en-US"/>
        </w:rPr>
        <w:t xml:space="preserve"> %</w:t>
      </w:r>
      <w:r w:rsidRPr="00B23B00">
        <w:rPr>
          <w:sz w:val="24"/>
          <w:szCs w:val="24"/>
          <w:lang w:val="en-US"/>
        </w:rPr>
        <w:t>) of patients had an ECOG performance status score of 0 and 32</w:t>
      </w:r>
      <w:r w:rsidR="00B23B00" w:rsidRPr="00B23B00">
        <w:rPr>
          <w:sz w:val="24"/>
          <w:szCs w:val="24"/>
          <w:lang w:val="en-US"/>
        </w:rPr>
        <w:t xml:space="preserve"> %</w:t>
      </w:r>
      <w:r w:rsidRPr="00B23B00">
        <w:rPr>
          <w:sz w:val="24"/>
          <w:szCs w:val="24"/>
          <w:lang w:val="en-US"/>
        </w:rPr>
        <w:t xml:space="preserve"> patients had an ECOG performance status of 1.</w:t>
      </w:r>
    </w:p>
    <w:p w:rsidR="00360DE0" w:rsidRPr="00B23B00" w:rsidRDefault="00360DE0" w:rsidP="00DE37FA">
      <w:pPr>
        <w:ind w:left="851"/>
        <w:rPr>
          <w:sz w:val="24"/>
          <w:szCs w:val="24"/>
          <w:lang w:val="en-US"/>
        </w:rPr>
      </w:pPr>
      <w:r w:rsidRPr="00B23B00">
        <w:rPr>
          <w:sz w:val="24"/>
          <w:szCs w:val="24"/>
          <w:lang w:val="en-US"/>
        </w:rPr>
        <w:t>Baseline pain assessment was 0 - 1 (asymptomatic) in 67</w:t>
      </w:r>
      <w:r w:rsidR="00B23B00" w:rsidRPr="00B23B00">
        <w:rPr>
          <w:sz w:val="24"/>
          <w:szCs w:val="24"/>
          <w:lang w:val="en-US"/>
        </w:rPr>
        <w:t xml:space="preserve"> %</w:t>
      </w:r>
      <w:r w:rsidRPr="00B23B00">
        <w:rPr>
          <w:sz w:val="24"/>
          <w:szCs w:val="24"/>
          <w:lang w:val="en-US"/>
        </w:rPr>
        <w:t xml:space="preserve"> of patients and 2 - 3 (mildly symptomatic) in 32</w:t>
      </w:r>
      <w:r w:rsidR="00B23B00" w:rsidRPr="00B23B00">
        <w:rPr>
          <w:sz w:val="24"/>
          <w:szCs w:val="24"/>
          <w:lang w:val="en-US"/>
        </w:rPr>
        <w:t xml:space="preserve"> %</w:t>
      </w:r>
      <w:r w:rsidRPr="00B23B00">
        <w:rPr>
          <w:sz w:val="24"/>
          <w:szCs w:val="24"/>
          <w:lang w:val="en-US"/>
        </w:rPr>
        <w:t xml:space="preserve"> of patients as defined by the Brief Pain Inventory Short Form (worst </w:t>
      </w:r>
      <w:r w:rsidRPr="00B23B00">
        <w:rPr>
          <w:sz w:val="24"/>
          <w:szCs w:val="24"/>
          <w:lang w:val="en-US"/>
        </w:rPr>
        <w:lastRenderedPageBreak/>
        <w:t>pain over past 24 hours on a scale of 0 to 10). Approximately 45</w:t>
      </w:r>
      <w:r w:rsidR="00B23B00" w:rsidRPr="00B23B00">
        <w:rPr>
          <w:sz w:val="24"/>
          <w:szCs w:val="24"/>
          <w:lang w:val="en-US"/>
        </w:rPr>
        <w:t xml:space="preserve"> %</w:t>
      </w:r>
      <w:r w:rsidRPr="00B23B00">
        <w:rPr>
          <w:sz w:val="24"/>
          <w:szCs w:val="24"/>
          <w:lang w:val="en-US"/>
        </w:rPr>
        <w:t xml:space="preserve"> of patients had measurable soft tissue disease at study entry, and 12</w:t>
      </w:r>
      <w:r w:rsidR="00B23B00" w:rsidRPr="00B23B00">
        <w:rPr>
          <w:sz w:val="24"/>
          <w:szCs w:val="24"/>
          <w:lang w:val="en-US"/>
        </w:rPr>
        <w:t xml:space="preserve"> %</w:t>
      </w:r>
      <w:r w:rsidRPr="00B23B00">
        <w:rPr>
          <w:sz w:val="24"/>
          <w:szCs w:val="24"/>
          <w:lang w:val="en-US"/>
        </w:rPr>
        <w:t xml:space="preserve"> of patients had visceral (lung and/or liver) metastases.</w:t>
      </w:r>
    </w:p>
    <w:p w:rsidR="00360DE0" w:rsidRPr="00B23B00" w:rsidRDefault="00360DE0" w:rsidP="00DE37FA">
      <w:pPr>
        <w:ind w:left="851"/>
        <w:rPr>
          <w:sz w:val="24"/>
          <w:szCs w:val="24"/>
          <w:lang w:val="en-US"/>
        </w:rPr>
      </w:pPr>
    </w:p>
    <w:p w:rsidR="00360DE0" w:rsidRPr="00B23B00" w:rsidRDefault="00360DE0" w:rsidP="00DE37FA">
      <w:pPr>
        <w:ind w:left="851"/>
        <w:rPr>
          <w:sz w:val="24"/>
          <w:szCs w:val="24"/>
          <w:lang w:val="en-US"/>
        </w:rPr>
      </w:pPr>
      <w:r w:rsidRPr="00B23B00">
        <w:rPr>
          <w:sz w:val="24"/>
          <w:szCs w:val="24"/>
          <w:lang w:val="en-US"/>
        </w:rPr>
        <w:t>Co-primary efficacy endpoints were overall survival and radiographic progression-free survival (</w:t>
      </w:r>
      <w:proofErr w:type="spellStart"/>
      <w:r w:rsidRPr="00B23B00">
        <w:rPr>
          <w:sz w:val="24"/>
          <w:szCs w:val="24"/>
          <w:lang w:val="en-US"/>
        </w:rPr>
        <w:t>rPFS</w:t>
      </w:r>
      <w:proofErr w:type="spellEnd"/>
      <w:r w:rsidRPr="00B23B00">
        <w:rPr>
          <w:sz w:val="24"/>
          <w:szCs w:val="24"/>
          <w:lang w:val="en-US"/>
        </w:rPr>
        <w:t>). In addition to the co-primary endpoints, benefit was also assessed using time to initiation of cytotoxic chemotherapy, best overall soft tissue response, time to first skeletal-related event, PSA response (≥ 50</w:t>
      </w:r>
      <w:r w:rsidR="00B23B00" w:rsidRPr="00B23B00">
        <w:rPr>
          <w:sz w:val="24"/>
          <w:szCs w:val="24"/>
          <w:lang w:val="en-US"/>
        </w:rPr>
        <w:t xml:space="preserve"> %</w:t>
      </w:r>
      <w:r w:rsidRPr="00B23B00">
        <w:rPr>
          <w:sz w:val="24"/>
          <w:szCs w:val="24"/>
          <w:lang w:val="en-US"/>
        </w:rPr>
        <w:t xml:space="preserve"> decrease from baseline), time to PSA progression, and time to FACT-P total score degradation.</w:t>
      </w:r>
    </w:p>
    <w:p w:rsidR="00360DE0" w:rsidRPr="00B23B00" w:rsidRDefault="00360DE0" w:rsidP="00DE37FA">
      <w:pPr>
        <w:ind w:left="851"/>
        <w:rPr>
          <w:sz w:val="24"/>
          <w:szCs w:val="24"/>
          <w:lang w:val="en-US"/>
        </w:rPr>
      </w:pPr>
    </w:p>
    <w:p w:rsidR="00360DE0" w:rsidRPr="00B23B00" w:rsidRDefault="00360DE0" w:rsidP="00DE37FA">
      <w:pPr>
        <w:ind w:left="851"/>
        <w:rPr>
          <w:sz w:val="24"/>
          <w:szCs w:val="24"/>
          <w:lang w:val="en-US"/>
        </w:rPr>
      </w:pPr>
      <w:r w:rsidRPr="00B23B00">
        <w:rPr>
          <w:sz w:val="24"/>
          <w:szCs w:val="24"/>
          <w:lang w:val="en-US"/>
        </w:rPr>
        <w:t xml:space="preserve">Radiographic progression was assessed with the use of sequential imaging studies as defined by Prostate Cancer Clinical Trials Working Group 2 (PCWG2) criteria (for bone lesions) and/or Response Evaluation Criteria in Solid Tumors (RECIST v 1.1) criteria (for soft tissue lesions). Analysis of </w:t>
      </w:r>
      <w:proofErr w:type="spellStart"/>
      <w:r w:rsidRPr="00B23B00">
        <w:rPr>
          <w:sz w:val="24"/>
          <w:szCs w:val="24"/>
          <w:lang w:val="en-US"/>
        </w:rPr>
        <w:t>rPFS</w:t>
      </w:r>
      <w:proofErr w:type="spellEnd"/>
      <w:r w:rsidRPr="00B23B00">
        <w:rPr>
          <w:sz w:val="24"/>
          <w:szCs w:val="24"/>
          <w:lang w:val="en-US"/>
        </w:rPr>
        <w:t xml:space="preserve"> </w:t>
      </w:r>
      <w:proofErr w:type="spellStart"/>
      <w:r w:rsidRPr="00B23B00">
        <w:rPr>
          <w:sz w:val="24"/>
          <w:szCs w:val="24"/>
          <w:lang w:val="en-US"/>
        </w:rPr>
        <w:t>utilised</w:t>
      </w:r>
      <w:proofErr w:type="spellEnd"/>
      <w:r w:rsidRPr="00B23B00">
        <w:rPr>
          <w:sz w:val="24"/>
          <w:szCs w:val="24"/>
          <w:lang w:val="en-US"/>
        </w:rPr>
        <w:t xml:space="preserve"> centrally-reviewed radiographic assessment of progression.</w:t>
      </w:r>
    </w:p>
    <w:p w:rsidR="00360DE0" w:rsidRPr="00B23B00" w:rsidRDefault="00360DE0" w:rsidP="00DE37FA">
      <w:pPr>
        <w:ind w:left="851"/>
        <w:rPr>
          <w:sz w:val="24"/>
          <w:szCs w:val="24"/>
          <w:lang w:val="en-US"/>
        </w:rPr>
      </w:pPr>
    </w:p>
    <w:p w:rsidR="00360DE0" w:rsidRPr="00B23B00" w:rsidRDefault="00360DE0" w:rsidP="00DE37FA">
      <w:pPr>
        <w:ind w:left="851"/>
        <w:rPr>
          <w:sz w:val="24"/>
          <w:szCs w:val="24"/>
          <w:lang w:val="en-US"/>
        </w:rPr>
      </w:pPr>
      <w:r w:rsidRPr="00B23B00">
        <w:rPr>
          <w:sz w:val="24"/>
          <w:szCs w:val="24"/>
          <w:lang w:val="en-US"/>
        </w:rPr>
        <w:t>At the pre-specified interim analysis for overall survival when 540 deaths were observed, treatment with enzalutamide demonstrated a statistically significant improvement in overall survival compared to treatment with placebo with a 29.4</w:t>
      </w:r>
      <w:r w:rsidR="00B23B00" w:rsidRPr="00B23B00">
        <w:rPr>
          <w:sz w:val="24"/>
          <w:szCs w:val="24"/>
          <w:lang w:val="en-US"/>
        </w:rPr>
        <w:t xml:space="preserve"> %</w:t>
      </w:r>
      <w:r w:rsidRPr="00B23B00">
        <w:rPr>
          <w:sz w:val="24"/>
          <w:szCs w:val="24"/>
          <w:lang w:val="en-US"/>
        </w:rPr>
        <w:t xml:space="preserve"> reduction in risk of death [HR = 0.706 (95</w:t>
      </w:r>
      <w:r w:rsidR="00B23B00" w:rsidRPr="00B23B00">
        <w:rPr>
          <w:sz w:val="24"/>
          <w:szCs w:val="24"/>
          <w:lang w:val="en-US"/>
        </w:rPr>
        <w:t xml:space="preserve"> %</w:t>
      </w:r>
      <w:r w:rsidRPr="00B23B00">
        <w:rPr>
          <w:sz w:val="24"/>
          <w:szCs w:val="24"/>
          <w:lang w:val="en-US"/>
        </w:rPr>
        <w:t xml:space="preserve"> CI: 0.60; 0.84), p &lt; 0.0001]. An updated survival analysis was conducted when 784 deaths were observed. Results from this analysis were consistent with those from the interim analysis (</w:t>
      </w:r>
      <w:r w:rsidR="00A619F4" w:rsidRPr="00A619F4">
        <w:rPr>
          <w:lang w:val="en-US"/>
        </w:rPr>
        <w:t>Table 5</w:t>
      </w:r>
      <w:r w:rsidRPr="00B23B00">
        <w:rPr>
          <w:sz w:val="24"/>
          <w:szCs w:val="24"/>
          <w:lang w:val="en-US"/>
        </w:rPr>
        <w:t>). At the updated analysis 52</w:t>
      </w:r>
      <w:r w:rsidR="00B23B00" w:rsidRPr="00B23B00">
        <w:rPr>
          <w:sz w:val="24"/>
          <w:szCs w:val="24"/>
          <w:lang w:val="en-US"/>
        </w:rPr>
        <w:t xml:space="preserve"> %</w:t>
      </w:r>
      <w:r w:rsidRPr="00B23B00">
        <w:rPr>
          <w:sz w:val="24"/>
          <w:szCs w:val="24"/>
          <w:lang w:val="en-US"/>
        </w:rPr>
        <w:t xml:space="preserve"> of enzalutamide-treated and 81</w:t>
      </w:r>
      <w:r w:rsidR="00B23B00" w:rsidRPr="00B23B00">
        <w:rPr>
          <w:sz w:val="24"/>
          <w:szCs w:val="24"/>
          <w:lang w:val="en-US"/>
        </w:rPr>
        <w:t xml:space="preserve"> %</w:t>
      </w:r>
      <w:r w:rsidRPr="00B23B00">
        <w:rPr>
          <w:sz w:val="24"/>
          <w:szCs w:val="24"/>
          <w:lang w:val="en-US"/>
        </w:rPr>
        <w:t xml:space="preserve"> of placebo-treated patients had received subsequent therapies for metastatic CRPC that may prolong overall survival.</w:t>
      </w:r>
    </w:p>
    <w:p w:rsidR="00360DE0" w:rsidRPr="00B23B00" w:rsidRDefault="00360DE0" w:rsidP="00DE37FA">
      <w:pPr>
        <w:ind w:left="851"/>
        <w:rPr>
          <w:sz w:val="24"/>
          <w:szCs w:val="24"/>
          <w:lang w:val="en-US"/>
        </w:rPr>
      </w:pPr>
    </w:p>
    <w:p w:rsidR="00360DE0" w:rsidRPr="00B23B00" w:rsidRDefault="00360DE0" w:rsidP="00DE37FA">
      <w:pPr>
        <w:ind w:left="851"/>
        <w:rPr>
          <w:sz w:val="24"/>
          <w:szCs w:val="24"/>
          <w:lang w:val="en-US"/>
        </w:rPr>
      </w:pPr>
      <w:r w:rsidRPr="00B23B00">
        <w:rPr>
          <w:sz w:val="24"/>
          <w:szCs w:val="24"/>
          <w:lang w:val="en-US"/>
        </w:rPr>
        <w:t>A final analysis of 5-year PREVAIL data showed a statistically significant increase in overall survival was maintained in patients treated with enzalutamide compared to placebo [HR = 0.835, (95</w:t>
      </w:r>
      <w:r w:rsidR="00B23B00" w:rsidRPr="00B23B00">
        <w:rPr>
          <w:sz w:val="24"/>
          <w:szCs w:val="24"/>
          <w:lang w:val="en-US"/>
        </w:rPr>
        <w:t xml:space="preserve"> %</w:t>
      </w:r>
      <w:r w:rsidRPr="00B23B00">
        <w:rPr>
          <w:sz w:val="24"/>
          <w:szCs w:val="24"/>
          <w:lang w:val="en-US"/>
        </w:rPr>
        <w:t xml:space="preserve"> CI: 0.75, 0.93); p-value = 0.0008] despite 28</w:t>
      </w:r>
      <w:r w:rsidR="00B23B00" w:rsidRPr="00B23B00">
        <w:rPr>
          <w:sz w:val="24"/>
          <w:szCs w:val="24"/>
          <w:lang w:val="en-US"/>
        </w:rPr>
        <w:t xml:space="preserve"> %</w:t>
      </w:r>
      <w:r w:rsidRPr="00B23B00">
        <w:rPr>
          <w:sz w:val="24"/>
          <w:szCs w:val="24"/>
          <w:lang w:val="en-US"/>
        </w:rPr>
        <w:t xml:space="preserve"> of patients on placebo crossing over to enzalutamide. The 5-year OS rate was 26</w:t>
      </w:r>
      <w:r w:rsidR="00B23B00" w:rsidRPr="00B23B00">
        <w:rPr>
          <w:sz w:val="24"/>
          <w:szCs w:val="24"/>
          <w:lang w:val="en-US"/>
        </w:rPr>
        <w:t xml:space="preserve"> %</w:t>
      </w:r>
      <w:r w:rsidRPr="00B23B00">
        <w:rPr>
          <w:sz w:val="24"/>
          <w:szCs w:val="24"/>
          <w:lang w:val="en-US"/>
        </w:rPr>
        <w:t xml:space="preserve"> for the enzalutamide arm compared to 21</w:t>
      </w:r>
      <w:r w:rsidR="00B23B00" w:rsidRPr="00B23B00">
        <w:rPr>
          <w:sz w:val="24"/>
          <w:szCs w:val="24"/>
          <w:lang w:val="en-US"/>
        </w:rPr>
        <w:t xml:space="preserve"> %</w:t>
      </w:r>
      <w:r w:rsidRPr="00B23B00">
        <w:rPr>
          <w:sz w:val="24"/>
          <w:szCs w:val="24"/>
          <w:lang w:val="en-US"/>
        </w:rPr>
        <w:t xml:space="preserve"> for the placebo arm.</w:t>
      </w:r>
    </w:p>
    <w:p w:rsidR="00360DE0" w:rsidRPr="00B23B00" w:rsidRDefault="00360DE0" w:rsidP="00DE37FA">
      <w:pPr>
        <w:ind w:left="851"/>
        <w:rPr>
          <w:sz w:val="24"/>
          <w:szCs w:val="24"/>
          <w:lang w:val="en-US"/>
        </w:rPr>
      </w:pPr>
    </w:p>
    <w:p w:rsidR="00360DE0" w:rsidRPr="00B23B00" w:rsidRDefault="00360DE0" w:rsidP="00DE37FA">
      <w:pPr>
        <w:ind w:left="851"/>
        <w:rPr>
          <w:b/>
          <w:sz w:val="24"/>
          <w:szCs w:val="24"/>
          <w:lang w:val="en-US"/>
        </w:rPr>
      </w:pPr>
      <w:r w:rsidRPr="00B23B00">
        <w:rPr>
          <w:b/>
          <w:sz w:val="24"/>
          <w:szCs w:val="24"/>
          <w:lang w:val="en-US"/>
        </w:rPr>
        <w:t xml:space="preserve">Table </w:t>
      </w:r>
      <w:r w:rsidR="00A619F4">
        <w:rPr>
          <w:b/>
          <w:sz w:val="24"/>
          <w:szCs w:val="24"/>
          <w:lang w:val="en-US"/>
        </w:rPr>
        <w:t>5</w:t>
      </w:r>
      <w:r w:rsidRPr="00B23B00">
        <w:rPr>
          <w:b/>
          <w:sz w:val="24"/>
          <w:szCs w:val="24"/>
          <w:lang w:val="en-US"/>
        </w:rPr>
        <w:t>: Overall survival of patients treated with either enzalutamide or placebo in the PREVAIL study (intent-to-treat analysis)</w:t>
      </w:r>
    </w:p>
    <w:p w:rsidR="00360DE0" w:rsidRPr="00B23B00" w:rsidRDefault="00360DE0" w:rsidP="00DE37FA">
      <w:pPr>
        <w:ind w:left="851"/>
        <w:rPr>
          <w:sz w:val="24"/>
          <w:szCs w:val="24"/>
          <w:lang w:val="en-US"/>
        </w:rPr>
      </w:pPr>
    </w:p>
    <w:tbl>
      <w:tblPr>
        <w:tblW w:w="5000" w:type="pct"/>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724"/>
        <w:gridCol w:w="1849"/>
        <w:gridCol w:w="104"/>
        <w:gridCol w:w="1951"/>
      </w:tblGrid>
      <w:tr w:rsidR="00360DE0" w:rsidRPr="00B23B00" w:rsidTr="009B3F57">
        <w:trPr>
          <w:trHeight w:val="20"/>
        </w:trPr>
        <w:tc>
          <w:tcPr>
            <w:tcW w:w="2973" w:type="pct"/>
            <w:tcBorders>
              <w:top w:val="single" w:sz="4" w:space="0" w:color="000000"/>
              <w:left w:val="single" w:sz="4" w:space="0" w:color="000000"/>
              <w:bottom w:val="single" w:sz="12" w:space="0" w:color="000000"/>
              <w:right w:val="single" w:sz="4" w:space="0" w:color="000000"/>
            </w:tcBorders>
          </w:tcPr>
          <w:p w:rsidR="00360DE0" w:rsidRPr="00B23B00" w:rsidRDefault="00360DE0">
            <w:pPr>
              <w:rPr>
                <w:sz w:val="24"/>
                <w:szCs w:val="24"/>
                <w:lang w:val="en-US"/>
              </w:rPr>
            </w:pPr>
          </w:p>
        </w:tc>
        <w:tc>
          <w:tcPr>
            <w:tcW w:w="960" w:type="pct"/>
            <w:tcBorders>
              <w:top w:val="single" w:sz="4" w:space="0" w:color="000000"/>
              <w:left w:val="single" w:sz="4" w:space="0" w:color="000000"/>
              <w:bottom w:val="single" w:sz="12" w:space="0" w:color="000000"/>
              <w:right w:val="single" w:sz="4" w:space="0" w:color="000000"/>
            </w:tcBorders>
            <w:hideMark/>
          </w:tcPr>
          <w:p w:rsidR="00360DE0" w:rsidRPr="00B23B00" w:rsidRDefault="00360DE0">
            <w:pPr>
              <w:pStyle w:val="TableParagraph"/>
              <w:ind w:left="412" w:right="180" w:hanging="216"/>
              <w:rPr>
                <w:b/>
                <w:sz w:val="24"/>
                <w:szCs w:val="24"/>
              </w:rPr>
            </w:pPr>
            <w:r w:rsidRPr="00B23B00">
              <w:rPr>
                <w:b/>
                <w:sz w:val="24"/>
                <w:szCs w:val="24"/>
              </w:rPr>
              <w:t>Enzalutamide (N = 872)</w:t>
            </w:r>
          </w:p>
        </w:tc>
        <w:tc>
          <w:tcPr>
            <w:tcW w:w="1067" w:type="pct"/>
            <w:gridSpan w:val="2"/>
            <w:tcBorders>
              <w:top w:val="single" w:sz="4" w:space="0" w:color="000000"/>
              <w:left w:val="single" w:sz="4" w:space="0" w:color="000000"/>
              <w:bottom w:val="single" w:sz="12" w:space="0" w:color="000000"/>
              <w:right w:val="single" w:sz="4" w:space="0" w:color="000000"/>
            </w:tcBorders>
            <w:hideMark/>
          </w:tcPr>
          <w:p w:rsidR="00360DE0" w:rsidRPr="00B23B00" w:rsidRDefault="00360DE0">
            <w:pPr>
              <w:pStyle w:val="TableParagraph"/>
              <w:ind w:left="508" w:right="497" w:firstLine="67"/>
              <w:rPr>
                <w:b/>
                <w:sz w:val="24"/>
                <w:szCs w:val="24"/>
              </w:rPr>
            </w:pPr>
            <w:r w:rsidRPr="00B23B00">
              <w:rPr>
                <w:b/>
                <w:sz w:val="24"/>
                <w:szCs w:val="24"/>
              </w:rPr>
              <w:t>Placebo (N = 845)</w:t>
            </w:r>
          </w:p>
        </w:tc>
      </w:tr>
      <w:tr w:rsidR="00360DE0" w:rsidRPr="00B23B00" w:rsidTr="009B3F57">
        <w:trPr>
          <w:trHeight w:val="20"/>
        </w:trPr>
        <w:tc>
          <w:tcPr>
            <w:tcW w:w="5000" w:type="pct"/>
            <w:gridSpan w:val="4"/>
            <w:tcBorders>
              <w:top w:val="single" w:sz="12" w:space="0" w:color="000000"/>
              <w:left w:val="single" w:sz="4" w:space="0" w:color="000000"/>
              <w:bottom w:val="single" w:sz="4" w:space="0" w:color="000000"/>
              <w:right w:val="single" w:sz="4" w:space="0" w:color="000000"/>
            </w:tcBorders>
            <w:hideMark/>
          </w:tcPr>
          <w:p w:rsidR="00360DE0" w:rsidRPr="00B23B00" w:rsidRDefault="00360DE0">
            <w:pPr>
              <w:pStyle w:val="TableParagraph"/>
              <w:ind w:left="110"/>
              <w:rPr>
                <w:sz w:val="24"/>
                <w:szCs w:val="24"/>
              </w:rPr>
            </w:pPr>
            <w:r w:rsidRPr="00B23B00">
              <w:rPr>
                <w:sz w:val="24"/>
                <w:szCs w:val="24"/>
              </w:rPr>
              <w:t>Pre-specified interim analysis</w:t>
            </w:r>
          </w:p>
        </w:tc>
      </w:tr>
      <w:tr w:rsidR="00360DE0" w:rsidRPr="00B23B00" w:rsidTr="009B3F57">
        <w:trPr>
          <w:trHeight w:val="20"/>
        </w:trPr>
        <w:tc>
          <w:tcPr>
            <w:tcW w:w="2973" w:type="pct"/>
            <w:tcBorders>
              <w:top w:val="single" w:sz="4" w:space="0" w:color="000000"/>
              <w:left w:val="single" w:sz="4" w:space="0" w:color="000000"/>
              <w:bottom w:val="single" w:sz="4" w:space="0" w:color="000000"/>
              <w:right w:val="single" w:sz="4" w:space="0" w:color="000000"/>
            </w:tcBorders>
            <w:hideMark/>
          </w:tcPr>
          <w:p w:rsidR="00360DE0" w:rsidRPr="00B23B00" w:rsidRDefault="00360DE0">
            <w:pPr>
              <w:pStyle w:val="TableParagraph"/>
              <w:ind w:left="297"/>
              <w:rPr>
                <w:sz w:val="24"/>
                <w:szCs w:val="24"/>
              </w:rPr>
            </w:pPr>
            <w:r w:rsidRPr="00B23B00">
              <w:rPr>
                <w:sz w:val="24"/>
                <w:szCs w:val="24"/>
              </w:rPr>
              <w:t>Number of deaths (</w:t>
            </w:r>
            <w:r w:rsidR="00B23B00">
              <w:rPr>
                <w:sz w:val="24"/>
                <w:szCs w:val="24"/>
              </w:rPr>
              <w:t>%</w:t>
            </w:r>
            <w:r w:rsidRPr="00B23B00">
              <w:rPr>
                <w:sz w:val="24"/>
                <w:szCs w:val="24"/>
              </w:rPr>
              <w:t>)</w:t>
            </w:r>
          </w:p>
        </w:tc>
        <w:tc>
          <w:tcPr>
            <w:tcW w:w="960" w:type="pct"/>
            <w:tcBorders>
              <w:top w:val="single" w:sz="4" w:space="0" w:color="000000"/>
              <w:left w:val="single" w:sz="4" w:space="0" w:color="000000"/>
              <w:bottom w:val="single" w:sz="4" w:space="0" w:color="000000"/>
              <w:right w:val="single" w:sz="4" w:space="0" w:color="000000"/>
            </w:tcBorders>
            <w:hideMark/>
          </w:tcPr>
          <w:p w:rsidR="00360DE0" w:rsidRPr="00B23B00" w:rsidRDefault="00360DE0">
            <w:pPr>
              <w:pStyle w:val="TableParagraph"/>
              <w:ind w:left="137" w:right="138"/>
              <w:jc w:val="center"/>
              <w:rPr>
                <w:sz w:val="24"/>
                <w:szCs w:val="24"/>
              </w:rPr>
            </w:pPr>
            <w:r w:rsidRPr="00B23B00">
              <w:rPr>
                <w:sz w:val="24"/>
                <w:szCs w:val="24"/>
              </w:rPr>
              <w:t>241 (27.6</w:t>
            </w:r>
            <w:r w:rsidR="00B23B00">
              <w:rPr>
                <w:sz w:val="24"/>
                <w:szCs w:val="24"/>
              </w:rPr>
              <w:t xml:space="preserve"> %</w:t>
            </w:r>
            <w:r w:rsidRPr="00B23B00">
              <w:rPr>
                <w:sz w:val="24"/>
                <w:szCs w:val="24"/>
              </w:rPr>
              <w:t>)</w:t>
            </w:r>
          </w:p>
        </w:tc>
        <w:tc>
          <w:tcPr>
            <w:tcW w:w="1067" w:type="pct"/>
            <w:gridSpan w:val="2"/>
            <w:tcBorders>
              <w:top w:val="single" w:sz="4" w:space="0" w:color="000000"/>
              <w:left w:val="single" w:sz="4" w:space="0" w:color="000000"/>
              <w:bottom w:val="single" w:sz="4" w:space="0" w:color="000000"/>
              <w:right w:val="single" w:sz="4" w:space="0" w:color="000000"/>
            </w:tcBorders>
            <w:hideMark/>
          </w:tcPr>
          <w:p w:rsidR="00360DE0" w:rsidRPr="00B23B00" w:rsidRDefault="00360DE0">
            <w:pPr>
              <w:pStyle w:val="TableParagraph"/>
              <w:ind w:left="393"/>
              <w:rPr>
                <w:sz w:val="24"/>
                <w:szCs w:val="24"/>
              </w:rPr>
            </w:pPr>
            <w:r w:rsidRPr="00B23B00">
              <w:rPr>
                <w:sz w:val="24"/>
                <w:szCs w:val="24"/>
              </w:rPr>
              <w:t>299 (35.4</w:t>
            </w:r>
            <w:r w:rsidR="00B23B00">
              <w:rPr>
                <w:sz w:val="24"/>
                <w:szCs w:val="24"/>
              </w:rPr>
              <w:t xml:space="preserve"> %</w:t>
            </w:r>
            <w:r w:rsidRPr="00B23B00">
              <w:rPr>
                <w:sz w:val="24"/>
                <w:szCs w:val="24"/>
              </w:rPr>
              <w:t>)</w:t>
            </w:r>
          </w:p>
        </w:tc>
      </w:tr>
      <w:tr w:rsidR="00360DE0" w:rsidRPr="00B23B00" w:rsidTr="009B3F57">
        <w:trPr>
          <w:trHeight w:val="20"/>
        </w:trPr>
        <w:tc>
          <w:tcPr>
            <w:tcW w:w="2973" w:type="pct"/>
            <w:tcBorders>
              <w:top w:val="single" w:sz="4" w:space="0" w:color="000000"/>
              <w:left w:val="single" w:sz="4" w:space="0" w:color="000000"/>
              <w:bottom w:val="single" w:sz="4" w:space="0" w:color="000000"/>
              <w:right w:val="single" w:sz="4" w:space="0" w:color="000000"/>
            </w:tcBorders>
            <w:hideMark/>
          </w:tcPr>
          <w:p w:rsidR="00360DE0" w:rsidRPr="00B23B00" w:rsidRDefault="00360DE0">
            <w:pPr>
              <w:pStyle w:val="TableParagraph"/>
              <w:spacing w:before="0" w:line="249" w:lineRule="exact"/>
              <w:ind w:left="297"/>
              <w:rPr>
                <w:sz w:val="24"/>
                <w:szCs w:val="24"/>
              </w:rPr>
            </w:pPr>
            <w:r w:rsidRPr="00B23B00">
              <w:rPr>
                <w:sz w:val="24"/>
                <w:szCs w:val="24"/>
              </w:rPr>
              <w:t>Median survival, months (95</w:t>
            </w:r>
            <w:r w:rsidR="00B23B00">
              <w:rPr>
                <w:sz w:val="24"/>
                <w:szCs w:val="24"/>
              </w:rPr>
              <w:t xml:space="preserve"> %</w:t>
            </w:r>
            <w:r w:rsidRPr="00B23B00">
              <w:rPr>
                <w:sz w:val="24"/>
                <w:szCs w:val="24"/>
              </w:rPr>
              <w:t xml:space="preserve"> CI)</w:t>
            </w:r>
          </w:p>
        </w:tc>
        <w:tc>
          <w:tcPr>
            <w:tcW w:w="960" w:type="pct"/>
            <w:tcBorders>
              <w:top w:val="single" w:sz="4" w:space="0" w:color="000000"/>
              <w:left w:val="single" w:sz="4" w:space="0" w:color="000000"/>
              <w:bottom w:val="single" w:sz="4" w:space="0" w:color="000000"/>
              <w:right w:val="single" w:sz="4" w:space="0" w:color="000000"/>
            </w:tcBorders>
            <w:hideMark/>
          </w:tcPr>
          <w:p w:rsidR="00360DE0" w:rsidRPr="00B23B00" w:rsidRDefault="00360DE0">
            <w:pPr>
              <w:pStyle w:val="TableParagraph"/>
              <w:spacing w:before="0" w:line="249" w:lineRule="exact"/>
              <w:ind w:left="137" w:right="138"/>
              <w:jc w:val="center"/>
              <w:rPr>
                <w:sz w:val="24"/>
                <w:szCs w:val="24"/>
              </w:rPr>
            </w:pPr>
            <w:r w:rsidRPr="00B23B00">
              <w:rPr>
                <w:sz w:val="24"/>
                <w:szCs w:val="24"/>
              </w:rPr>
              <w:t>32.4 (30.1, NR)</w:t>
            </w:r>
          </w:p>
        </w:tc>
        <w:tc>
          <w:tcPr>
            <w:tcW w:w="1067" w:type="pct"/>
            <w:gridSpan w:val="2"/>
            <w:tcBorders>
              <w:top w:val="single" w:sz="4" w:space="0" w:color="000000"/>
              <w:left w:val="single" w:sz="4" w:space="0" w:color="000000"/>
              <w:bottom w:val="single" w:sz="4" w:space="0" w:color="000000"/>
              <w:right w:val="single" w:sz="4" w:space="0" w:color="000000"/>
            </w:tcBorders>
            <w:hideMark/>
          </w:tcPr>
          <w:p w:rsidR="00360DE0" w:rsidRPr="00B23B00" w:rsidRDefault="00360DE0">
            <w:pPr>
              <w:pStyle w:val="TableParagraph"/>
              <w:spacing w:before="0" w:line="249" w:lineRule="exact"/>
              <w:ind w:left="249"/>
              <w:rPr>
                <w:sz w:val="24"/>
                <w:szCs w:val="24"/>
              </w:rPr>
            </w:pPr>
            <w:r w:rsidRPr="00B23B00">
              <w:rPr>
                <w:sz w:val="24"/>
                <w:szCs w:val="24"/>
              </w:rPr>
              <w:t>30.2 (28.0, NR)</w:t>
            </w:r>
          </w:p>
        </w:tc>
      </w:tr>
      <w:tr w:rsidR="00360DE0" w:rsidRPr="00B23B00" w:rsidTr="009B3F57">
        <w:trPr>
          <w:trHeight w:val="20"/>
        </w:trPr>
        <w:tc>
          <w:tcPr>
            <w:tcW w:w="2973" w:type="pct"/>
            <w:tcBorders>
              <w:top w:val="single" w:sz="4" w:space="0" w:color="000000"/>
              <w:left w:val="single" w:sz="4" w:space="0" w:color="000000"/>
              <w:bottom w:val="single" w:sz="4" w:space="0" w:color="000000"/>
              <w:right w:val="single" w:sz="4" w:space="0" w:color="000000"/>
            </w:tcBorders>
            <w:hideMark/>
          </w:tcPr>
          <w:p w:rsidR="00360DE0" w:rsidRPr="00B23B00" w:rsidRDefault="00360DE0">
            <w:pPr>
              <w:pStyle w:val="TableParagraph"/>
              <w:spacing w:before="0" w:line="254" w:lineRule="exact"/>
              <w:ind w:left="278"/>
              <w:rPr>
                <w:i/>
                <w:sz w:val="24"/>
                <w:szCs w:val="24"/>
              </w:rPr>
            </w:pPr>
            <w:r w:rsidRPr="00B23B00">
              <w:rPr>
                <w:sz w:val="24"/>
                <w:szCs w:val="24"/>
              </w:rPr>
              <w:t>P-value</w:t>
            </w:r>
            <w:r w:rsidRPr="007C368B">
              <w:rPr>
                <w:vertAlign w:val="superscript"/>
              </w:rPr>
              <w:t>1</w:t>
            </w:r>
          </w:p>
        </w:tc>
        <w:tc>
          <w:tcPr>
            <w:tcW w:w="2027" w:type="pct"/>
            <w:gridSpan w:val="3"/>
            <w:tcBorders>
              <w:top w:val="single" w:sz="4" w:space="0" w:color="000000"/>
              <w:left w:val="single" w:sz="4" w:space="0" w:color="000000"/>
              <w:bottom w:val="single" w:sz="4" w:space="0" w:color="000000"/>
              <w:right w:val="single" w:sz="4" w:space="0" w:color="000000"/>
            </w:tcBorders>
            <w:hideMark/>
          </w:tcPr>
          <w:p w:rsidR="00360DE0" w:rsidRPr="00B23B00" w:rsidRDefault="00360DE0">
            <w:pPr>
              <w:pStyle w:val="TableParagraph"/>
              <w:ind w:left="1309" w:right="1311"/>
              <w:jc w:val="center"/>
              <w:rPr>
                <w:sz w:val="24"/>
                <w:szCs w:val="24"/>
              </w:rPr>
            </w:pPr>
            <w:r w:rsidRPr="00B23B00">
              <w:rPr>
                <w:sz w:val="24"/>
                <w:szCs w:val="24"/>
              </w:rPr>
              <w:t>p &lt; 0.0001</w:t>
            </w:r>
          </w:p>
        </w:tc>
      </w:tr>
      <w:tr w:rsidR="00360DE0" w:rsidRPr="00B23B00" w:rsidTr="009B3F57">
        <w:trPr>
          <w:trHeight w:val="20"/>
        </w:trPr>
        <w:tc>
          <w:tcPr>
            <w:tcW w:w="2973" w:type="pct"/>
            <w:tcBorders>
              <w:top w:val="single" w:sz="4" w:space="0" w:color="000000"/>
              <w:left w:val="single" w:sz="4" w:space="0" w:color="000000"/>
              <w:bottom w:val="single" w:sz="4" w:space="0" w:color="000000"/>
              <w:right w:val="single" w:sz="4" w:space="0" w:color="000000"/>
            </w:tcBorders>
            <w:hideMark/>
          </w:tcPr>
          <w:p w:rsidR="00360DE0" w:rsidRPr="00B23B00" w:rsidRDefault="00360DE0">
            <w:pPr>
              <w:pStyle w:val="TableParagraph"/>
              <w:spacing w:before="0" w:line="254" w:lineRule="exact"/>
              <w:ind w:left="278"/>
              <w:rPr>
                <w:i/>
                <w:sz w:val="24"/>
                <w:szCs w:val="24"/>
              </w:rPr>
            </w:pPr>
            <w:r w:rsidRPr="00B23B00">
              <w:rPr>
                <w:sz w:val="24"/>
                <w:szCs w:val="24"/>
              </w:rPr>
              <w:t>Hazard ratio (95</w:t>
            </w:r>
            <w:r w:rsidR="00B23B00">
              <w:rPr>
                <w:sz w:val="24"/>
                <w:szCs w:val="24"/>
              </w:rPr>
              <w:t xml:space="preserve"> %</w:t>
            </w:r>
            <w:r w:rsidRPr="00B23B00">
              <w:rPr>
                <w:sz w:val="24"/>
                <w:szCs w:val="24"/>
              </w:rPr>
              <w:t xml:space="preserve"> CI)</w:t>
            </w:r>
            <w:r w:rsidRPr="007C368B">
              <w:rPr>
                <w:vertAlign w:val="superscript"/>
              </w:rPr>
              <w:t>2</w:t>
            </w:r>
          </w:p>
        </w:tc>
        <w:tc>
          <w:tcPr>
            <w:tcW w:w="2027" w:type="pct"/>
            <w:gridSpan w:val="3"/>
            <w:tcBorders>
              <w:top w:val="single" w:sz="4" w:space="0" w:color="000000"/>
              <w:left w:val="single" w:sz="4" w:space="0" w:color="000000"/>
              <w:bottom w:val="single" w:sz="4" w:space="0" w:color="000000"/>
              <w:right w:val="single" w:sz="4" w:space="0" w:color="000000"/>
            </w:tcBorders>
            <w:hideMark/>
          </w:tcPr>
          <w:p w:rsidR="00360DE0" w:rsidRPr="00B23B00" w:rsidRDefault="00360DE0">
            <w:pPr>
              <w:pStyle w:val="TableParagraph"/>
              <w:ind w:left="1070"/>
              <w:rPr>
                <w:sz w:val="24"/>
                <w:szCs w:val="24"/>
              </w:rPr>
            </w:pPr>
            <w:r w:rsidRPr="00B23B00">
              <w:rPr>
                <w:sz w:val="24"/>
                <w:szCs w:val="24"/>
              </w:rPr>
              <w:t>0.71 (0.60, 0.84)</w:t>
            </w:r>
          </w:p>
        </w:tc>
      </w:tr>
      <w:tr w:rsidR="00360DE0" w:rsidRPr="00B23B00" w:rsidTr="009B3F57">
        <w:trPr>
          <w:trHeight w:val="20"/>
        </w:trPr>
        <w:tc>
          <w:tcPr>
            <w:tcW w:w="5000" w:type="pct"/>
            <w:gridSpan w:val="4"/>
            <w:tcBorders>
              <w:top w:val="single" w:sz="4" w:space="0" w:color="000000"/>
              <w:left w:val="single" w:sz="4" w:space="0" w:color="000000"/>
              <w:bottom w:val="single" w:sz="4" w:space="0" w:color="000000"/>
              <w:right w:val="single" w:sz="4" w:space="0" w:color="000000"/>
            </w:tcBorders>
            <w:hideMark/>
          </w:tcPr>
          <w:p w:rsidR="00360DE0" w:rsidRPr="00B23B00" w:rsidRDefault="00360DE0">
            <w:pPr>
              <w:pStyle w:val="TableParagraph"/>
              <w:ind w:left="110"/>
              <w:rPr>
                <w:sz w:val="24"/>
                <w:szCs w:val="24"/>
              </w:rPr>
            </w:pPr>
            <w:r w:rsidRPr="00B23B00">
              <w:rPr>
                <w:sz w:val="24"/>
                <w:szCs w:val="24"/>
              </w:rPr>
              <w:t>Updated survival analysis</w:t>
            </w:r>
          </w:p>
        </w:tc>
      </w:tr>
      <w:tr w:rsidR="00360DE0" w:rsidRPr="00B23B00" w:rsidTr="009B3F57">
        <w:trPr>
          <w:trHeight w:val="20"/>
        </w:trPr>
        <w:tc>
          <w:tcPr>
            <w:tcW w:w="2973" w:type="pct"/>
            <w:tcBorders>
              <w:top w:val="single" w:sz="4" w:space="0" w:color="000000"/>
              <w:left w:val="single" w:sz="4" w:space="0" w:color="000000"/>
              <w:bottom w:val="single" w:sz="4" w:space="0" w:color="000000"/>
              <w:right w:val="single" w:sz="4" w:space="0" w:color="000000"/>
            </w:tcBorders>
            <w:hideMark/>
          </w:tcPr>
          <w:p w:rsidR="00360DE0" w:rsidRPr="00B23B00" w:rsidRDefault="00360DE0">
            <w:pPr>
              <w:pStyle w:val="TableParagraph"/>
              <w:spacing w:before="0" w:line="249" w:lineRule="exact"/>
              <w:ind w:left="297"/>
              <w:rPr>
                <w:sz w:val="24"/>
                <w:szCs w:val="24"/>
              </w:rPr>
            </w:pPr>
            <w:r w:rsidRPr="00B23B00">
              <w:rPr>
                <w:sz w:val="24"/>
                <w:szCs w:val="24"/>
              </w:rPr>
              <w:t>Number of deaths (</w:t>
            </w:r>
            <w:r w:rsidR="00B23B00">
              <w:rPr>
                <w:sz w:val="24"/>
                <w:szCs w:val="24"/>
              </w:rPr>
              <w:t>%</w:t>
            </w:r>
            <w:r w:rsidRPr="00B23B00">
              <w:rPr>
                <w:sz w:val="24"/>
                <w:szCs w:val="24"/>
              </w:rPr>
              <w:t>)</w:t>
            </w:r>
          </w:p>
        </w:tc>
        <w:tc>
          <w:tcPr>
            <w:tcW w:w="960" w:type="pct"/>
            <w:tcBorders>
              <w:top w:val="single" w:sz="4" w:space="0" w:color="000000"/>
              <w:left w:val="single" w:sz="4" w:space="0" w:color="000000"/>
              <w:bottom w:val="single" w:sz="4" w:space="0" w:color="000000"/>
              <w:right w:val="single" w:sz="4" w:space="0" w:color="000000"/>
            </w:tcBorders>
            <w:hideMark/>
          </w:tcPr>
          <w:p w:rsidR="00360DE0" w:rsidRPr="00B23B00" w:rsidRDefault="00360DE0">
            <w:pPr>
              <w:pStyle w:val="TableParagraph"/>
              <w:spacing w:before="0" w:line="249" w:lineRule="exact"/>
              <w:ind w:left="137" w:right="138"/>
              <w:jc w:val="center"/>
              <w:rPr>
                <w:sz w:val="24"/>
                <w:szCs w:val="24"/>
              </w:rPr>
            </w:pPr>
            <w:r w:rsidRPr="00B23B00">
              <w:rPr>
                <w:sz w:val="24"/>
                <w:szCs w:val="24"/>
              </w:rPr>
              <w:t>368 (42.2</w:t>
            </w:r>
            <w:r w:rsidR="00B23B00">
              <w:rPr>
                <w:sz w:val="24"/>
                <w:szCs w:val="24"/>
              </w:rPr>
              <w:t xml:space="preserve"> %</w:t>
            </w:r>
            <w:r w:rsidRPr="00B23B00">
              <w:rPr>
                <w:sz w:val="24"/>
                <w:szCs w:val="24"/>
              </w:rPr>
              <w:t>)</w:t>
            </w:r>
          </w:p>
        </w:tc>
        <w:tc>
          <w:tcPr>
            <w:tcW w:w="1067" w:type="pct"/>
            <w:gridSpan w:val="2"/>
            <w:tcBorders>
              <w:top w:val="single" w:sz="4" w:space="0" w:color="000000"/>
              <w:left w:val="single" w:sz="4" w:space="0" w:color="000000"/>
              <w:bottom w:val="single" w:sz="4" w:space="0" w:color="000000"/>
              <w:right w:val="single" w:sz="4" w:space="0" w:color="000000"/>
            </w:tcBorders>
            <w:hideMark/>
          </w:tcPr>
          <w:p w:rsidR="00360DE0" w:rsidRPr="00B23B00" w:rsidRDefault="00360DE0">
            <w:pPr>
              <w:pStyle w:val="TableParagraph"/>
              <w:spacing w:before="0" w:line="249" w:lineRule="exact"/>
              <w:ind w:left="393"/>
              <w:rPr>
                <w:sz w:val="24"/>
                <w:szCs w:val="24"/>
              </w:rPr>
            </w:pPr>
            <w:r w:rsidRPr="00B23B00">
              <w:rPr>
                <w:sz w:val="24"/>
                <w:szCs w:val="24"/>
              </w:rPr>
              <w:t>416 (49.2</w:t>
            </w:r>
            <w:r w:rsidR="00B23B00">
              <w:rPr>
                <w:sz w:val="24"/>
                <w:szCs w:val="24"/>
              </w:rPr>
              <w:t xml:space="preserve"> %</w:t>
            </w:r>
            <w:r w:rsidRPr="00B23B00">
              <w:rPr>
                <w:sz w:val="24"/>
                <w:szCs w:val="24"/>
              </w:rPr>
              <w:t>)</w:t>
            </w:r>
          </w:p>
        </w:tc>
      </w:tr>
      <w:tr w:rsidR="00360DE0" w:rsidRPr="00B23B00" w:rsidTr="009B3F57">
        <w:trPr>
          <w:trHeight w:val="20"/>
        </w:trPr>
        <w:tc>
          <w:tcPr>
            <w:tcW w:w="2973" w:type="pct"/>
            <w:tcBorders>
              <w:top w:val="single" w:sz="4" w:space="0" w:color="000000"/>
              <w:left w:val="single" w:sz="4" w:space="0" w:color="000000"/>
              <w:bottom w:val="single" w:sz="4" w:space="0" w:color="000000"/>
              <w:right w:val="single" w:sz="4" w:space="0" w:color="000000"/>
            </w:tcBorders>
            <w:hideMark/>
          </w:tcPr>
          <w:p w:rsidR="00360DE0" w:rsidRPr="00B23B00" w:rsidRDefault="00360DE0">
            <w:pPr>
              <w:pStyle w:val="TableParagraph"/>
              <w:ind w:left="297"/>
              <w:rPr>
                <w:sz w:val="24"/>
                <w:szCs w:val="24"/>
              </w:rPr>
            </w:pPr>
            <w:r w:rsidRPr="00B23B00">
              <w:rPr>
                <w:sz w:val="24"/>
                <w:szCs w:val="24"/>
              </w:rPr>
              <w:t>Median survival, months (95</w:t>
            </w:r>
            <w:r w:rsidR="00B23B00">
              <w:rPr>
                <w:sz w:val="24"/>
                <w:szCs w:val="24"/>
              </w:rPr>
              <w:t xml:space="preserve"> %</w:t>
            </w:r>
            <w:r w:rsidRPr="00B23B00">
              <w:rPr>
                <w:sz w:val="24"/>
                <w:szCs w:val="24"/>
              </w:rPr>
              <w:t xml:space="preserve"> CI)</w:t>
            </w:r>
          </w:p>
        </w:tc>
        <w:tc>
          <w:tcPr>
            <w:tcW w:w="960" w:type="pct"/>
            <w:tcBorders>
              <w:top w:val="single" w:sz="4" w:space="0" w:color="000000"/>
              <w:left w:val="single" w:sz="4" w:space="0" w:color="000000"/>
              <w:bottom w:val="single" w:sz="4" w:space="0" w:color="000000"/>
              <w:right w:val="single" w:sz="4" w:space="0" w:color="000000"/>
            </w:tcBorders>
            <w:hideMark/>
          </w:tcPr>
          <w:p w:rsidR="00360DE0" w:rsidRPr="00B23B00" w:rsidRDefault="00360DE0">
            <w:pPr>
              <w:pStyle w:val="TableParagraph"/>
              <w:ind w:left="137" w:right="138"/>
              <w:jc w:val="center"/>
              <w:rPr>
                <w:sz w:val="24"/>
                <w:szCs w:val="24"/>
              </w:rPr>
            </w:pPr>
            <w:r w:rsidRPr="00B23B00">
              <w:rPr>
                <w:sz w:val="24"/>
                <w:szCs w:val="24"/>
              </w:rPr>
              <w:t>35.3 (32.2, NR)</w:t>
            </w:r>
          </w:p>
        </w:tc>
        <w:tc>
          <w:tcPr>
            <w:tcW w:w="1067" w:type="pct"/>
            <w:gridSpan w:val="2"/>
            <w:tcBorders>
              <w:top w:val="single" w:sz="4" w:space="0" w:color="000000"/>
              <w:left w:val="single" w:sz="4" w:space="0" w:color="000000"/>
              <w:bottom w:val="single" w:sz="4" w:space="0" w:color="000000"/>
              <w:right w:val="single" w:sz="4" w:space="0" w:color="000000"/>
            </w:tcBorders>
            <w:hideMark/>
          </w:tcPr>
          <w:p w:rsidR="00360DE0" w:rsidRPr="00B23B00" w:rsidRDefault="00360DE0">
            <w:pPr>
              <w:pStyle w:val="TableParagraph"/>
              <w:ind w:left="211"/>
              <w:rPr>
                <w:sz w:val="24"/>
                <w:szCs w:val="24"/>
              </w:rPr>
            </w:pPr>
            <w:r w:rsidRPr="00B23B00">
              <w:rPr>
                <w:sz w:val="24"/>
                <w:szCs w:val="24"/>
              </w:rPr>
              <w:t>31.3 (28.8, 34.2)</w:t>
            </w:r>
          </w:p>
        </w:tc>
      </w:tr>
      <w:tr w:rsidR="00360DE0" w:rsidRPr="00B23B00" w:rsidTr="009B3F57">
        <w:trPr>
          <w:trHeight w:val="20"/>
        </w:trPr>
        <w:tc>
          <w:tcPr>
            <w:tcW w:w="2973" w:type="pct"/>
            <w:tcBorders>
              <w:top w:val="single" w:sz="4" w:space="0" w:color="000000"/>
              <w:left w:val="single" w:sz="4" w:space="0" w:color="000000"/>
              <w:bottom w:val="single" w:sz="4" w:space="0" w:color="000000"/>
              <w:right w:val="single" w:sz="4" w:space="0" w:color="000000"/>
            </w:tcBorders>
            <w:hideMark/>
          </w:tcPr>
          <w:p w:rsidR="00360DE0" w:rsidRPr="00B23B00" w:rsidRDefault="00360DE0">
            <w:pPr>
              <w:pStyle w:val="TableParagraph"/>
              <w:spacing w:before="0" w:line="254" w:lineRule="exact"/>
              <w:ind w:left="297"/>
              <w:rPr>
                <w:i/>
                <w:sz w:val="24"/>
                <w:szCs w:val="24"/>
              </w:rPr>
            </w:pPr>
            <w:r w:rsidRPr="00B23B00">
              <w:rPr>
                <w:sz w:val="24"/>
                <w:szCs w:val="24"/>
              </w:rPr>
              <w:t>P-value</w:t>
            </w:r>
            <w:r w:rsidRPr="007C368B">
              <w:rPr>
                <w:vertAlign w:val="superscript"/>
              </w:rPr>
              <w:t>1</w:t>
            </w:r>
          </w:p>
        </w:tc>
        <w:tc>
          <w:tcPr>
            <w:tcW w:w="2027" w:type="pct"/>
            <w:gridSpan w:val="3"/>
            <w:tcBorders>
              <w:top w:val="single" w:sz="4" w:space="0" w:color="000000"/>
              <w:left w:val="single" w:sz="4" w:space="0" w:color="000000"/>
              <w:bottom w:val="single" w:sz="4" w:space="0" w:color="000000"/>
              <w:right w:val="single" w:sz="4" w:space="0" w:color="000000"/>
            </w:tcBorders>
            <w:hideMark/>
          </w:tcPr>
          <w:p w:rsidR="00360DE0" w:rsidRPr="00B23B00" w:rsidRDefault="00360DE0">
            <w:pPr>
              <w:pStyle w:val="TableParagraph"/>
              <w:ind w:left="1309" w:right="1311"/>
              <w:jc w:val="center"/>
              <w:rPr>
                <w:sz w:val="24"/>
                <w:szCs w:val="24"/>
              </w:rPr>
            </w:pPr>
            <w:r w:rsidRPr="00B23B00">
              <w:rPr>
                <w:sz w:val="24"/>
                <w:szCs w:val="24"/>
              </w:rPr>
              <w:t>p = 0.0002</w:t>
            </w:r>
          </w:p>
        </w:tc>
      </w:tr>
      <w:tr w:rsidR="00360DE0" w:rsidRPr="00B23B00" w:rsidTr="009B3F57">
        <w:trPr>
          <w:trHeight w:val="20"/>
        </w:trPr>
        <w:tc>
          <w:tcPr>
            <w:tcW w:w="2973" w:type="pct"/>
            <w:tcBorders>
              <w:top w:val="single" w:sz="4" w:space="0" w:color="000000"/>
              <w:left w:val="single" w:sz="4" w:space="0" w:color="000000"/>
              <w:bottom w:val="single" w:sz="4" w:space="0" w:color="000000"/>
              <w:right w:val="single" w:sz="4" w:space="0" w:color="000000"/>
            </w:tcBorders>
            <w:hideMark/>
          </w:tcPr>
          <w:p w:rsidR="00360DE0" w:rsidRPr="00B23B00" w:rsidRDefault="00360DE0">
            <w:pPr>
              <w:pStyle w:val="TableParagraph"/>
              <w:spacing w:before="0" w:line="254" w:lineRule="exact"/>
              <w:ind w:left="278"/>
              <w:rPr>
                <w:i/>
                <w:sz w:val="24"/>
                <w:szCs w:val="24"/>
              </w:rPr>
            </w:pPr>
            <w:r w:rsidRPr="00B23B00">
              <w:rPr>
                <w:sz w:val="24"/>
                <w:szCs w:val="24"/>
              </w:rPr>
              <w:t>Hazard ratio (95</w:t>
            </w:r>
            <w:r w:rsidR="00B23B00">
              <w:rPr>
                <w:sz w:val="24"/>
                <w:szCs w:val="24"/>
              </w:rPr>
              <w:t xml:space="preserve"> %</w:t>
            </w:r>
            <w:r w:rsidRPr="00B23B00">
              <w:rPr>
                <w:sz w:val="24"/>
                <w:szCs w:val="24"/>
              </w:rPr>
              <w:t xml:space="preserve"> CI)</w:t>
            </w:r>
            <w:r w:rsidRPr="007C368B">
              <w:rPr>
                <w:vertAlign w:val="superscript"/>
              </w:rPr>
              <w:t>2</w:t>
            </w:r>
          </w:p>
        </w:tc>
        <w:tc>
          <w:tcPr>
            <w:tcW w:w="2027" w:type="pct"/>
            <w:gridSpan w:val="3"/>
            <w:tcBorders>
              <w:top w:val="single" w:sz="4" w:space="0" w:color="000000"/>
              <w:left w:val="single" w:sz="4" w:space="0" w:color="000000"/>
              <w:bottom w:val="single" w:sz="4" w:space="0" w:color="000000"/>
              <w:right w:val="single" w:sz="4" w:space="0" w:color="000000"/>
            </w:tcBorders>
            <w:hideMark/>
          </w:tcPr>
          <w:p w:rsidR="00360DE0" w:rsidRPr="00B23B00" w:rsidRDefault="00360DE0">
            <w:pPr>
              <w:pStyle w:val="TableParagraph"/>
              <w:ind w:left="1070"/>
              <w:rPr>
                <w:sz w:val="24"/>
                <w:szCs w:val="24"/>
              </w:rPr>
            </w:pPr>
            <w:r w:rsidRPr="00B23B00">
              <w:rPr>
                <w:sz w:val="24"/>
                <w:szCs w:val="24"/>
              </w:rPr>
              <w:t>0.77 (0.67, 0.88)</w:t>
            </w:r>
          </w:p>
        </w:tc>
      </w:tr>
      <w:tr w:rsidR="00360DE0" w:rsidRPr="00B23B00" w:rsidTr="009B3F57">
        <w:trPr>
          <w:trHeight w:val="20"/>
        </w:trPr>
        <w:tc>
          <w:tcPr>
            <w:tcW w:w="5000" w:type="pct"/>
            <w:gridSpan w:val="4"/>
            <w:tcBorders>
              <w:top w:val="single" w:sz="4" w:space="0" w:color="000000"/>
              <w:left w:val="single" w:sz="4" w:space="0" w:color="000000"/>
              <w:bottom w:val="single" w:sz="4" w:space="0" w:color="000000"/>
              <w:right w:val="single" w:sz="4" w:space="0" w:color="000000"/>
            </w:tcBorders>
            <w:hideMark/>
          </w:tcPr>
          <w:p w:rsidR="00360DE0" w:rsidRPr="00B23B00" w:rsidRDefault="00360DE0">
            <w:pPr>
              <w:pStyle w:val="TableParagraph"/>
              <w:ind w:left="110"/>
              <w:rPr>
                <w:sz w:val="24"/>
                <w:szCs w:val="24"/>
              </w:rPr>
            </w:pPr>
            <w:r w:rsidRPr="00B23B00">
              <w:rPr>
                <w:sz w:val="24"/>
                <w:szCs w:val="24"/>
              </w:rPr>
              <w:t>5-year survival analysis</w:t>
            </w:r>
          </w:p>
        </w:tc>
      </w:tr>
      <w:tr w:rsidR="00360DE0" w:rsidRPr="00B23B00" w:rsidTr="009B3F57">
        <w:trPr>
          <w:trHeight w:val="20"/>
        </w:trPr>
        <w:tc>
          <w:tcPr>
            <w:tcW w:w="2973" w:type="pct"/>
            <w:tcBorders>
              <w:top w:val="single" w:sz="4" w:space="0" w:color="000000"/>
              <w:left w:val="single" w:sz="4" w:space="0" w:color="000000"/>
              <w:bottom w:val="single" w:sz="4" w:space="0" w:color="000000"/>
              <w:right w:val="single" w:sz="4" w:space="0" w:color="000000"/>
            </w:tcBorders>
            <w:hideMark/>
          </w:tcPr>
          <w:p w:rsidR="00360DE0" w:rsidRPr="00B23B00" w:rsidRDefault="00360DE0">
            <w:pPr>
              <w:pStyle w:val="TableParagraph"/>
              <w:spacing w:before="0" w:line="249" w:lineRule="exact"/>
              <w:ind w:left="278"/>
              <w:rPr>
                <w:sz w:val="24"/>
                <w:szCs w:val="24"/>
              </w:rPr>
            </w:pPr>
            <w:r w:rsidRPr="00B23B00">
              <w:rPr>
                <w:sz w:val="24"/>
                <w:szCs w:val="24"/>
              </w:rPr>
              <w:t>Number of deaths (</w:t>
            </w:r>
            <w:r w:rsidR="00B23B00">
              <w:rPr>
                <w:sz w:val="24"/>
                <w:szCs w:val="24"/>
              </w:rPr>
              <w:t>%</w:t>
            </w:r>
            <w:r w:rsidRPr="00B23B00">
              <w:rPr>
                <w:sz w:val="24"/>
                <w:szCs w:val="24"/>
              </w:rPr>
              <w:t>)</w:t>
            </w:r>
          </w:p>
        </w:tc>
        <w:tc>
          <w:tcPr>
            <w:tcW w:w="1014" w:type="pct"/>
            <w:gridSpan w:val="2"/>
            <w:tcBorders>
              <w:top w:val="single" w:sz="4" w:space="0" w:color="000000"/>
              <w:left w:val="single" w:sz="4" w:space="0" w:color="000000"/>
              <w:bottom w:val="single" w:sz="4" w:space="0" w:color="000000"/>
              <w:right w:val="single" w:sz="4" w:space="0" w:color="000000"/>
            </w:tcBorders>
            <w:hideMark/>
          </w:tcPr>
          <w:p w:rsidR="00360DE0" w:rsidRPr="00B23B00" w:rsidRDefault="00360DE0">
            <w:pPr>
              <w:pStyle w:val="TableParagraph"/>
              <w:spacing w:before="0" w:line="249" w:lineRule="exact"/>
              <w:ind w:left="523"/>
              <w:rPr>
                <w:sz w:val="24"/>
                <w:szCs w:val="24"/>
              </w:rPr>
            </w:pPr>
            <w:r w:rsidRPr="00B23B00">
              <w:rPr>
                <w:sz w:val="24"/>
                <w:szCs w:val="24"/>
              </w:rPr>
              <w:t>689 (79)</w:t>
            </w:r>
          </w:p>
        </w:tc>
        <w:tc>
          <w:tcPr>
            <w:tcW w:w="1013" w:type="pct"/>
            <w:tcBorders>
              <w:top w:val="single" w:sz="4" w:space="0" w:color="000000"/>
              <w:left w:val="single" w:sz="4" w:space="0" w:color="000000"/>
              <w:bottom w:val="single" w:sz="4" w:space="0" w:color="000000"/>
              <w:right w:val="single" w:sz="4" w:space="0" w:color="000000"/>
            </w:tcBorders>
            <w:hideMark/>
          </w:tcPr>
          <w:p w:rsidR="00360DE0" w:rsidRPr="00B23B00" w:rsidRDefault="00360DE0">
            <w:pPr>
              <w:pStyle w:val="TableParagraph"/>
              <w:spacing w:before="0" w:line="249" w:lineRule="exact"/>
              <w:ind w:left="144" w:right="143"/>
              <w:jc w:val="center"/>
              <w:rPr>
                <w:sz w:val="24"/>
                <w:szCs w:val="24"/>
              </w:rPr>
            </w:pPr>
            <w:r w:rsidRPr="00B23B00">
              <w:rPr>
                <w:sz w:val="24"/>
                <w:szCs w:val="24"/>
              </w:rPr>
              <w:t>693 (82)</w:t>
            </w:r>
          </w:p>
        </w:tc>
      </w:tr>
      <w:tr w:rsidR="00360DE0" w:rsidRPr="00B23B00" w:rsidTr="009B3F57">
        <w:trPr>
          <w:trHeight w:val="20"/>
        </w:trPr>
        <w:tc>
          <w:tcPr>
            <w:tcW w:w="2973" w:type="pct"/>
            <w:tcBorders>
              <w:top w:val="single" w:sz="4" w:space="0" w:color="000000"/>
              <w:left w:val="single" w:sz="4" w:space="0" w:color="000000"/>
              <w:bottom w:val="single" w:sz="4" w:space="0" w:color="000000"/>
              <w:right w:val="single" w:sz="4" w:space="0" w:color="000000"/>
            </w:tcBorders>
            <w:hideMark/>
          </w:tcPr>
          <w:p w:rsidR="00360DE0" w:rsidRPr="00B23B00" w:rsidRDefault="00360DE0">
            <w:pPr>
              <w:pStyle w:val="TableParagraph"/>
              <w:ind w:left="278"/>
              <w:rPr>
                <w:sz w:val="24"/>
                <w:szCs w:val="24"/>
              </w:rPr>
            </w:pPr>
            <w:r w:rsidRPr="00B23B00">
              <w:rPr>
                <w:sz w:val="24"/>
                <w:szCs w:val="24"/>
              </w:rPr>
              <w:t>Median survival, months (95</w:t>
            </w:r>
            <w:r w:rsidR="00B23B00">
              <w:rPr>
                <w:sz w:val="24"/>
                <w:szCs w:val="24"/>
              </w:rPr>
              <w:t xml:space="preserve"> %</w:t>
            </w:r>
            <w:r w:rsidRPr="00B23B00">
              <w:rPr>
                <w:sz w:val="24"/>
                <w:szCs w:val="24"/>
              </w:rPr>
              <w:t xml:space="preserve"> CI)</w:t>
            </w:r>
          </w:p>
        </w:tc>
        <w:tc>
          <w:tcPr>
            <w:tcW w:w="1014" w:type="pct"/>
            <w:gridSpan w:val="2"/>
            <w:tcBorders>
              <w:top w:val="single" w:sz="4" w:space="0" w:color="000000"/>
              <w:left w:val="single" w:sz="4" w:space="0" w:color="000000"/>
              <w:bottom w:val="single" w:sz="4" w:space="0" w:color="000000"/>
              <w:right w:val="single" w:sz="4" w:space="0" w:color="000000"/>
            </w:tcBorders>
            <w:hideMark/>
          </w:tcPr>
          <w:p w:rsidR="00360DE0" w:rsidRPr="00B23B00" w:rsidRDefault="00360DE0">
            <w:pPr>
              <w:pStyle w:val="TableParagraph"/>
              <w:ind w:left="110"/>
              <w:rPr>
                <w:sz w:val="24"/>
                <w:szCs w:val="24"/>
              </w:rPr>
            </w:pPr>
            <w:r w:rsidRPr="00B23B00">
              <w:rPr>
                <w:sz w:val="24"/>
                <w:szCs w:val="24"/>
              </w:rPr>
              <w:t>35.5 (33.5, 38.0)</w:t>
            </w:r>
          </w:p>
        </w:tc>
        <w:tc>
          <w:tcPr>
            <w:tcW w:w="1013" w:type="pct"/>
            <w:tcBorders>
              <w:top w:val="single" w:sz="4" w:space="0" w:color="000000"/>
              <w:left w:val="single" w:sz="4" w:space="0" w:color="000000"/>
              <w:bottom w:val="single" w:sz="4" w:space="0" w:color="000000"/>
              <w:right w:val="single" w:sz="4" w:space="0" w:color="000000"/>
            </w:tcBorders>
            <w:hideMark/>
          </w:tcPr>
          <w:p w:rsidR="00360DE0" w:rsidRPr="00B23B00" w:rsidRDefault="00360DE0">
            <w:pPr>
              <w:pStyle w:val="TableParagraph"/>
              <w:ind w:left="149" w:right="143"/>
              <w:jc w:val="center"/>
              <w:rPr>
                <w:sz w:val="24"/>
                <w:szCs w:val="24"/>
              </w:rPr>
            </w:pPr>
            <w:r w:rsidRPr="00B23B00">
              <w:rPr>
                <w:sz w:val="24"/>
                <w:szCs w:val="24"/>
              </w:rPr>
              <w:t>31.4 (28.9, 33.8)</w:t>
            </w:r>
          </w:p>
        </w:tc>
      </w:tr>
      <w:tr w:rsidR="00360DE0" w:rsidRPr="00B23B00" w:rsidTr="009B3F57">
        <w:trPr>
          <w:trHeight w:val="20"/>
        </w:trPr>
        <w:tc>
          <w:tcPr>
            <w:tcW w:w="2973" w:type="pct"/>
            <w:tcBorders>
              <w:top w:val="single" w:sz="4" w:space="0" w:color="000000"/>
              <w:left w:val="single" w:sz="4" w:space="0" w:color="000000"/>
              <w:bottom w:val="single" w:sz="4" w:space="0" w:color="000000"/>
              <w:right w:val="single" w:sz="4" w:space="0" w:color="000000"/>
            </w:tcBorders>
            <w:hideMark/>
          </w:tcPr>
          <w:p w:rsidR="00360DE0" w:rsidRPr="00B23B00" w:rsidRDefault="00360DE0">
            <w:pPr>
              <w:pStyle w:val="TableParagraph"/>
              <w:spacing w:before="0" w:line="254" w:lineRule="exact"/>
              <w:ind w:left="278"/>
              <w:rPr>
                <w:i/>
                <w:sz w:val="24"/>
                <w:szCs w:val="24"/>
              </w:rPr>
            </w:pPr>
            <w:r w:rsidRPr="00B23B00">
              <w:rPr>
                <w:sz w:val="24"/>
                <w:szCs w:val="24"/>
              </w:rPr>
              <w:t>P-value</w:t>
            </w:r>
            <w:r w:rsidRPr="007C368B">
              <w:rPr>
                <w:vertAlign w:val="superscript"/>
              </w:rPr>
              <w:t>1</w:t>
            </w:r>
          </w:p>
        </w:tc>
        <w:tc>
          <w:tcPr>
            <w:tcW w:w="2027" w:type="pct"/>
            <w:gridSpan w:val="3"/>
            <w:tcBorders>
              <w:top w:val="single" w:sz="4" w:space="0" w:color="000000"/>
              <w:left w:val="single" w:sz="4" w:space="0" w:color="000000"/>
              <w:bottom w:val="single" w:sz="4" w:space="0" w:color="000000"/>
              <w:right w:val="single" w:sz="4" w:space="0" w:color="000000"/>
            </w:tcBorders>
            <w:hideMark/>
          </w:tcPr>
          <w:p w:rsidR="00360DE0" w:rsidRPr="00B23B00" w:rsidRDefault="00360DE0">
            <w:pPr>
              <w:pStyle w:val="TableParagraph"/>
              <w:ind w:left="1309" w:right="1311"/>
              <w:jc w:val="center"/>
              <w:rPr>
                <w:sz w:val="24"/>
                <w:szCs w:val="24"/>
              </w:rPr>
            </w:pPr>
            <w:r w:rsidRPr="00B23B00">
              <w:rPr>
                <w:sz w:val="24"/>
                <w:szCs w:val="24"/>
              </w:rPr>
              <w:t>p = 0.0008</w:t>
            </w:r>
          </w:p>
        </w:tc>
      </w:tr>
      <w:tr w:rsidR="00360DE0" w:rsidRPr="00B23B00" w:rsidTr="009B3F57">
        <w:trPr>
          <w:trHeight w:val="20"/>
        </w:trPr>
        <w:tc>
          <w:tcPr>
            <w:tcW w:w="2973" w:type="pct"/>
            <w:tcBorders>
              <w:top w:val="single" w:sz="4" w:space="0" w:color="000000"/>
              <w:left w:val="single" w:sz="4" w:space="0" w:color="000000"/>
              <w:bottom w:val="single" w:sz="4" w:space="0" w:color="000000"/>
              <w:right w:val="single" w:sz="4" w:space="0" w:color="000000"/>
            </w:tcBorders>
            <w:hideMark/>
          </w:tcPr>
          <w:p w:rsidR="00360DE0" w:rsidRPr="00B23B00" w:rsidRDefault="00360DE0">
            <w:pPr>
              <w:pStyle w:val="TableParagraph"/>
              <w:spacing w:before="0" w:line="254" w:lineRule="exact"/>
              <w:ind w:left="278"/>
              <w:rPr>
                <w:i/>
                <w:sz w:val="24"/>
                <w:szCs w:val="24"/>
              </w:rPr>
            </w:pPr>
            <w:r w:rsidRPr="00B23B00">
              <w:rPr>
                <w:sz w:val="24"/>
                <w:szCs w:val="24"/>
              </w:rPr>
              <w:lastRenderedPageBreak/>
              <w:t>Hazard ratio (95</w:t>
            </w:r>
            <w:r w:rsidR="00B23B00">
              <w:rPr>
                <w:sz w:val="24"/>
                <w:szCs w:val="24"/>
              </w:rPr>
              <w:t xml:space="preserve"> %</w:t>
            </w:r>
            <w:r w:rsidRPr="00B23B00">
              <w:rPr>
                <w:sz w:val="24"/>
                <w:szCs w:val="24"/>
              </w:rPr>
              <w:t xml:space="preserve"> CI)</w:t>
            </w:r>
            <w:r w:rsidRPr="007C368B">
              <w:rPr>
                <w:vertAlign w:val="superscript"/>
              </w:rPr>
              <w:t>2</w:t>
            </w:r>
          </w:p>
        </w:tc>
        <w:tc>
          <w:tcPr>
            <w:tcW w:w="2027" w:type="pct"/>
            <w:gridSpan w:val="3"/>
            <w:tcBorders>
              <w:top w:val="single" w:sz="4" w:space="0" w:color="000000"/>
              <w:left w:val="single" w:sz="4" w:space="0" w:color="000000"/>
              <w:bottom w:val="single" w:sz="4" w:space="0" w:color="000000"/>
              <w:right w:val="single" w:sz="4" w:space="0" w:color="000000"/>
            </w:tcBorders>
            <w:hideMark/>
          </w:tcPr>
          <w:p w:rsidR="00360DE0" w:rsidRPr="00B23B00" w:rsidRDefault="00360DE0">
            <w:pPr>
              <w:pStyle w:val="TableParagraph"/>
              <w:ind w:left="1012"/>
              <w:rPr>
                <w:sz w:val="24"/>
                <w:szCs w:val="24"/>
              </w:rPr>
            </w:pPr>
            <w:r w:rsidRPr="00B23B00">
              <w:rPr>
                <w:sz w:val="24"/>
                <w:szCs w:val="24"/>
              </w:rPr>
              <w:t>0.835 (0.75, 0.93)</w:t>
            </w:r>
          </w:p>
        </w:tc>
      </w:tr>
    </w:tbl>
    <w:p w:rsidR="00360DE0" w:rsidRPr="007C368B" w:rsidRDefault="00360DE0" w:rsidP="009B3F57">
      <w:pPr>
        <w:ind w:left="1134" w:hanging="284"/>
        <w:rPr>
          <w:sz w:val="20"/>
          <w:lang w:val="en-US" w:eastAsia="en-US"/>
        </w:rPr>
      </w:pPr>
      <w:r w:rsidRPr="007C368B">
        <w:rPr>
          <w:sz w:val="20"/>
        </w:rPr>
        <w:t xml:space="preserve">NR = Not </w:t>
      </w:r>
      <w:proofErr w:type="spellStart"/>
      <w:r w:rsidRPr="007C368B">
        <w:rPr>
          <w:sz w:val="20"/>
        </w:rPr>
        <w:t>reached</w:t>
      </w:r>
      <w:proofErr w:type="spellEnd"/>
      <w:r w:rsidRPr="007C368B">
        <w:rPr>
          <w:sz w:val="20"/>
        </w:rPr>
        <w:t>.</w:t>
      </w:r>
    </w:p>
    <w:p w:rsidR="00360DE0" w:rsidRPr="007C368B" w:rsidRDefault="00360DE0" w:rsidP="009B3F57">
      <w:pPr>
        <w:pStyle w:val="Listeafsnit"/>
        <w:numPr>
          <w:ilvl w:val="0"/>
          <w:numId w:val="8"/>
        </w:numPr>
        <w:tabs>
          <w:tab w:val="left" w:pos="832"/>
        </w:tabs>
        <w:spacing w:before="4"/>
        <w:ind w:left="1134" w:hanging="284"/>
        <w:rPr>
          <w:sz w:val="20"/>
          <w:szCs w:val="20"/>
        </w:rPr>
      </w:pPr>
      <w:r w:rsidRPr="007C368B">
        <w:rPr>
          <w:sz w:val="20"/>
          <w:szCs w:val="20"/>
        </w:rPr>
        <w:t>P-value is derived from an unstratified log-rank</w:t>
      </w:r>
      <w:r w:rsidRPr="007C368B">
        <w:rPr>
          <w:spacing w:val="-15"/>
          <w:sz w:val="20"/>
          <w:szCs w:val="20"/>
        </w:rPr>
        <w:t xml:space="preserve"> </w:t>
      </w:r>
      <w:r w:rsidRPr="007C368B">
        <w:rPr>
          <w:sz w:val="20"/>
          <w:szCs w:val="20"/>
        </w:rPr>
        <w:t>test.</w:t>
      </w:r>
    </w:p>
    <w:p w:rsidR="00360DE0" w:rsidRPr="007C368B" w:rsidRDefault="00360DE0" w:rsidP="009B3F57">
      <w:pPr>
        <w:pStyle w:val="Listeafsnit"/>
        <w:numPr>
          <w:ilvl w:val="0"/>
          <w:numId w:val="8"/>
        </w:numPr>
        <w:tabs>
          <w:tab w:val="left" w:pos="832"/>
        </w:tabs>
        <w:spacing w:before="28"/>
        <w:ind w:left="1134" w:hanging="284"/>
        <w:rPr>
          <w:sz w:val="20"/>
          <w:szCs w:val="20"/>
        </w:rPr>
      </w:pPr>
      <w:r w:rsidRPr="007C368B">
        <w:rPr>
          <w:sz w:val="20"/>
          <w:szCs w:val="20"/>
        </w:rPr>
        <w:t>Hazard</w:t>
      </w:r>
      <w:r w:rsidRPr="007C368B">
        <w:rPr>
          <w:spacing w:val="1"/>
          <w:sz w:val="20"/>
          <w:szCs w:val="20"/>
        </w:rPr>
        <w:t xml:space="preserve"> </w:t>
      </w:r>
      <w:r w:rsidRPr="007C368B">
        <w:rPr>
          <w:sz w:val="20"/>
          <w:szCs w:val="20"/>
        </w:rPr>
        <w:t>Ratio</w:t>
      </w:r>
      <w:r w:rsidRPr="007C368B">
        <w:rPr>
          <w:spacing w:val="-3"/>
          <w:sz w:val="20"/>
          <w:szCs w:val="20"/>
        </w:rPr>
        <w:t xml:space="preserve"> </w:t>
      </w:r>
      <w:r w:rsidRPr="007C368B">
        <w:rPr>
          <w:sz w:val="20"/>
          <w:szCs w:val="20"/>
        </w:rPr>
        <w:t>is</w:t>
      </w:r>
      <w:r w:rsidRPr="007C368B">
        <w:rPr>
          <w:spacing w:val="-2"/>
          <w:sz w:val="20"/>
          <w:szCs w:val="20"/>
        </w:rPr>
        <w:t xml:space="preserve"> </w:t>
      </w:r>
      <w:r w:rsidRPr="007C368B">
        <w:rPr>
          <w:sz w:val="20"/>
          <w:szCs w:val="20"/>
        </w:rPr>
        <w:t>derived</w:t>
      </w:r>
      <w:r w:rsidRPr="007C368B">
        <w:rPr>
          <w:spacing w:val="-3"/>
          <w:sz w:val="20"/>
          <w:szCs w:val="20"/>
        </w:rPr>
        <w:t xml:space="preserve"> </w:t>
      </w:r>
      <w:r w:rsidRPr="007C368B">
        <w:rPr>
          <w:sz w:val="20"/>
          <w:szCs w:val="20"/>
        </w:rPr>
        <w:t>from</w:t>
      </w:r>
      <w:r w:rsidRPr="007C368B">
        <w:rPr>
          <w:spacing w:val="-1"/>
          <w:sz w:val="20"/>
          <w:szCs w:val="20"/>
        </w:rPr>
        <w:t xml:space="preserve"> </w:t>
      </w:r>
      <w:r w:rsidRPr="007C368B">
        <w:rPr>
          <w:sz w:val="20"/>
          <w:szCs w:val="20"/>
        </w:rPr>
        <w:t>an</w:t>
      </w:r>
      <w:r w:rsidRPr="007C368B">
        <w:rPr>
          <w:spacing w:val="-3"/>
          <w:sz w:val="20"/>
          <w:szCs w:val="20"/>
        </w:rPr>
        <w:t xml:space="preserve"> </w:t>
      </w:r>
      <w:r w:rsidRPr="007C368B">
        <w:rPr>
          <w:sz w:val="20"/>
          <w:szCs w:val="20"/>
        </w:rPr>
        <w:t>unstratified</w:t>
      </w:r>
      <w:r w:rsidRPr="007C368B">
        <w:rPr>
          <w:spacing w:val="-3"/>
          <w:sz w:val="20"/>
          <w:szCs w:val="20"/>
        </w:rPr>
        <w:t xml:space="preserve"> </w:t>
      </w:r>
      <w:r w:rsidRPr="007C368B">
        <w:rPr>
          <w:sz w:val="20"/>
          <w:szCs w:val="20"/>
        </w:rPr>
        <w:t>proportional</w:t>
      </w:r>
      <w:r w:rsidRPr="007C368B">
        <w:rPr>
          <w:spacing w:val="-1"/>
          <w:sz w:val="20"/>
          <w:szCs w:val="20"/>
        </w:rPr>
        <w:t xml:space="preserve"> </w:t>
      </w:r>
      <w:r w:rsidRPr="007C368B">
        <w:rPr>
          <w:sz w:val="20"/>
          <w:szCs w:val="20"/>
        </w:rPr>
        <w:t>hazards</w:t>
      </w:r>
      <w:r w:rsidRPr="007C368B">
        <w:rPr>
          <w:spacing w:val="-7"/>
          <w:sz w:val="20"/>
          <w:szCs w:val="20"/>
        </w:rPr>
        <w:t xml:space="preserve"> </w:t>
      </w:r>
      <w:r w:rsidRPr="007C368B">
        <w:rPr>
          <w:sz w:val="20"/>
          <w:szCs w:val="20"/>
        </w:rPr>
        <w:t>model.</w:t>
      </w:r>
      <w:r w:rsidRPr="007C368B">
        <w:rPr>
          <w:spacing w:val="-1"/>
          <w:sz w:val="20"/>
          <w:szCs w:val="20"/>
        </w:rPr>
        <w:t xml:space="preserve"> </w:t>
      </w:r>
      <w:r w:rsidRPr="007C368B">
        <w:rPr>
          <w:sz w:val="20"/>
          <w:szCs w:val="20"/>
        </w:rPr>
        <w:t>Hazard</w:t>
      </w:r>
      <w:r w:rsidRPr="007C368B">
        <w:rPr>
          <w:spacing w:val="-8"/>
          <w:sz w:val="20"/>
          <w:szCs w:val="20"/>
        </w:rPr>
        <w:t xml:space="preserve"> </w:t>
      </w:r>
      <w:r w:rsidRPr="007C368B">
        <w:rPr>
          <w:sz w:val="20"/>
          <w:szCs w:val="20"/>
        </w:rPr>
        <w:t>ratio</w:t>
      </w:r>
      <w:r w:rsidRPr="007C368B">
        <w:rPr>
          <w:spacing w:val="-3"/>
          <w:sz w:val="20"/>
          <w:szCs w:val="20"/>
        </w:rPr>
        <w:t xml:space="preserve"> </w:t>
      </w:r>
      <w:r w:rsidRPr="007C368B">
        <w:rPr>
          <w:sz w:val="20"/>
          <w:szCs w:val="20"/>
        </w:rPr>
        <w:t>&lt;</w:t>
      </w:r>
      <w:r w:rsidRPr="007C368B">
        <w:rPr>
          <w:spacing w:val="-5"/>
          <w:sz w:val="20"/>
          <w:szCs w:val="20"/>
        </w:rPr>
        <w:t xml:space="preserve"> </w:t>
      </w:r>
      <w:r w:rsidRPr="007C368B">
        <w:rPr>
          <w:sz w:val="20"/>
          <w:szCs w:val="20"/>
        </w:rPr>
        <w:t>1</w:t>
      </w:r>
      <w:r w:rsidRPr="007C368B">
        <w:rPr>
          <w:spacing w:val="-3"/>
          <w:sz w:val="20"/>
          <w:szCs w:val="20"/>
        </w:rPr>
        <w:t xml:space="preserve"> </w:t>
      </w:r>
      <w:proofErr w:type="spellStart"/>
      <w:r w:rsidRPr="007C368B">
        <w:rPr>
          <w:sz w:val="20"/>
          <w:szCs w:val="20"/>
        </w:rPr>
        <w:t>favours</w:t>
      </w:r>
      <w:proofErr w:type="spellEnd"/>
      <w:r w:rsidRPr="007C368B">
        <w:rPr>
          <w:spacing w:val="-2"/>
          <w:sz w:val="20"/>
          <w:szCs w:val="20"/>
        </w:rPr>
        <w:t xml:space="preserve"> </w:t>
      </w:r>
      <w:r w:rsidRPr="007C368B">
        <w:rPr>
          <w:sz w:val="20"/>
          <w:szCs w:val="20"/>
        </w:rPr>
        <w:t>enzalutamide.</w:t>
      </w:r>
    </w:p>
    <w:p w:rsidR="00360DE0" w:rsidRPr="00B23B00" w:rsidRDefault="00360DE0" w:rsidP="007235E8">
      <w:pPr>
        <w:pStyle w:val="Brdtekst"/>
        <w:keepNext/>
        <w:rPr>
          <w:sz w:val="24"/>
          <w:szCs w:val="24"/>
        </w:rPr>
      </w:pPr>
    </w:p>
    <w:p w:rsidR="00360DE0" w:rsidRPr="00B23B00" w:rsidRDefault="00360DE0" w:rsidP="007235E8">
      <w:pPr>
        <w:pStyle w:val="Brdtekst"/>
        <w:keepNext/>
        <w:rPr>
          <w:sz w:val="24"/>
          <w:szCs w:val="24"/>
        </w:rPr>
      </w:pPr>
      <w:r w:rsidRPr="00B23B00">
        <w:rPr>
          <w:noProof/>
          <w:sz w:val="24"/>
          <w:szCs w:val="24"/>
        </w:rPr>
        <w:drawing>
          <wp:inline distT="0" distB="0" distL="0" distR="0" wp14:anchorId="3A00EAD5" wp14:editId="725F8895">
            <wp:extent cx="5732780" cy="2801620"/>
            <wp:effectExtent l="0" t="0" r="1270" b="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2780" cy="2801620"/>
                    </a:xfrm>
                    <a:prstGeom prst="rect">
                      <a:avLst/>
                    </a:prstGeom>
                    <a:noFill/>
                  </pic:spPr>
                </pic:pic>
              </a:graphicData>
            </a:graphic>
          </wp:inline>
        </w:drawing>
      </w:r>
    </w:p>
    <w:p w:rsidR="00360DE0" w:rsidRPr="00B23B00" w:rsidRDefault="00360DE0" w:rsidP="007235E8">
      <w:pPr>
        <w:pStyle w:val="Brdtekst"/>
        <w:keepNext/>
        <w:rPr>
          <w:sz w:val="24"/>
          <w:szCs w:val="24"/>
        </w:rPr>
      </w:pPr>
    </w:p>
    <w:p w:rsidR="00360DE0" w:rsidRPr="00B23B00" w:rsidRDefault="00360DE0" w:rsidP="007235E8">
      <w:pPr>
        <w:pStyle w:val="Brdtekst"/>
        <w:keepNext/>
        <w:rPr>
          <w:b/>
          <w:bCs/>
          <w:sz w:val="24"/>
          <w:szCs w:val="24"/>
        </w:rPr>
      </w:pPr>
      <w:r w:rsidRPr="00B23B00">
        <w:rPr>
          <w:b/>
          <w:bCs/>
          <w:sz w:val="24"/>
          <w:szCs w:val="24"/>
        </w:rPr>
        <w:t xml:space="preserve">Figure </w:t>
      </w:r>
      <w:r w:rsidR="00A619F4">
        <w:rPr>
          <w:b/>
          <w:bCs/>
          <w:sz w:val="24"/>
          <w:szCs w:val="24"/>
        </w:rPr>
        <w:t>9</w:t>
      </w:r>
      <w:r w:rsidRPr="00B23B00">
        <w:rPr>
          <w:b/>
          <w:bCs/>
          <w:sz w:val="24"/>
          <w:szCs w:val="24"/>
        </w:rPr>
        <w:t>: Kaplan-Meier curves of overall survival based on 5-year survival analysis in the PREVAIL study (intent-to-treat analysis)</w:t>
      </w:r>
    </w:p>
    <w:p w:rsidR="007235E8" w:rsidRPr="00B23B00" w:rsidRDefault="007235E8" w:rsidP="007235E8">
      <w:pPr>
        <w:pStyle w:val="Brdtekst"/>
        <w:keepNext/>
        <w:rPr>
          <w:b/>
          <w:bCs/>
          <w:sz w:val="24"/>
          <w:szCs w:val="24"/>
        </w:rPr>
      </w:pPr>
    </w:p>
    <w:p w:rsidR="00360DE0" w:rsidRPr="00B23B00" w:rsidRDefault="00360DE0" w:rsidP="007235E8">
      <w:pPr>
        <w:pStyle w:val="Brdtekst"/>
        <w:keepNext/>
        <w:ind w:left="111"/>
        <w:rPr>
          <w:sz w:val="24"/>
          <w:szCs w:val="24"/>
        </w:rPr>
      </w:pPr>
      <w:r w:rsidRPr="00B23B00">
        <w:rPr>
          <w:noProof/>
          <w:sz w:val="24"/>
          <w:szCs w:val="24"/>
        </w:rPr>
        <w:drawing>
          <wp:inline distT="0" distB="0" distL="0" distR="0" wp14:anchorId="2371A150" wp14:editId="0C5297A2">
            <wp:extent cx="5746750" cy="3175000"/>
            <wp:effectExtent l="0" t="0" r="6350" b="635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46750" cy="3175000"/>
                    </a:xfrm>
                    <a:prstGeom prst="rect">
                      <a:avLst/>
                    </a:prstGeom>
                    <a:noFill/>
                    <a:ln>
                      <a:noFill/>
                    </a:ln>
                  </pic:spPr>
                </pic:pic>
              </a:graphicData>
            </a:graphic>
          </wp:inline>
        </w:drawing>
      </w:r>
    </w:p>
    <w:p w:rsidR="00360DE0" w:rsidRPr="00B23B00" w:rsidRDefault="00360DE0" w:rsidP="007235E8">
      <w:pPr>
        <w:keepNext/>
        <w:ind w:left="851"/>
        <w:rPr>
          <w:sz w:val="24"/>
          <w:szCs w:val="24"/>
        </w:rPr>
      </w:pPr>
    </w:p>
    <w:p w:rsidR="00360DE0" w:rsidRPr="00B23B00" w:rsidRDefault="00360DE0" w:rsidP="009B3F57">
      <w:pPr>
        <w:keepNext/>
        <w:ind w:left="851"/>
        <w:rPr>
          <w:b/>
          <w:sz w:val="24"/>
          <w:szCs w:val="24"/>
          <w:lang w:val="en-US"/>
        </w:rPr>
      </w:pPr>
      <w:r w:rsidRPr="00B23B00">
        <w:rPr>
          <w:b/>
          <w:sz w:val="24"/>
          <w:szCs w:val="24"/>
          <w:lang w:val="en-US"/>
        </w:rPr>
        <w:t xml:space="preserve">Figure </w:t>
      </w:r>
      <w:r w:rsidR="00A619F4">
        <w:rPr>
          <w:b/>
          <w:sz w:val="24"/>
          <w:szCs w:val="24"/>
          <w:lang w:val="en-US"/>
        </w:rPr>
        <w:t>10</w:t>
      </w:r>
      <w:r w:rsidRPr="00B23B00">
        <w:rPr>
          <w:b/>
          <w:sz w:val="24"/>
          <w:szCs w:val="24"/>
          <w:lang w:val="en-US"/>
        </w:rPr>
        <w:t>: 5-year overall survival analysis by subgroup: Hazard ratio and 95</w:t>
      </w:r>
      <w:r w:rsidR="00B23B00" w:rsidRPr="00B23B00">
        <w:rPr>
          <w:b/>
          <w:sz w:val="24"/>
          <w:szCs w:val="24"/>
          <w:lang w:val="en-US"/>
        </w:rPr>
        <w:t xml:space="preserve"> %</w:t>
      </w:r>
      <w:r w:rsidRPr="00B23B00">
        <w:rPr>
          <w:b/>
          <w:sz w:val="24"/>
          <w:szCs w:val="24"/>
          <w:lang w:val="en-US"/>
        </w:rPr>
        <w:t xml:space="preserve"> confidence interval in the PREVAIL study (intent-to-treat analysis)</w:t>
      </w:r>
    </w:p>
    <w:p w:rsidR="00360DE0" w:rsidRPr="00B23B00" w:rsidRDefault="00360DE0" w:rsidP="00DE37FA">
      <w:pPr>
        <w:ind w:left="851"/>
        <w:rPr>
          <w:sz w:val="24"/>
          <w:szCs w:val="24"/>
          <w:lang w:val="en-US"/>
        </w:rPr>
      </w:pPr>
    </w:p>
    <w:p w:rsidR="009B3F57" w:rsidRDefault="009B3F57" w:rsidP="009B3F57">
      <w:pPr>
        <w:pStyle w:val="Brdtekst"/>
        <w:spacing w:before="195"/>
        <w:ind w:left="851" w:right="143"/>
      </w:pPr>
      <w:r>
        <w:t xml:space="preserve">At the pre-specified </w:t>
      </w:r>
      <w:proofErr w:type="spellStart"/>
      <w:r>
        <w:t>rPFS</w:t>
      </w:r>
      <w:proofErr w:type="spellEnd"/>
      <w:r>
        <w:t xml:space="preserve"> analysis, a statistically significant improvement was demonstrated between the treatment groups with an 81.4% reduction in risk of radiographic progression or death [HR = 0.19 (95% CI: 0.15, 0.23), p &lt; 0.0001]. One hundred and eighteen (14%) </w:t>
      </w:r>
      <w:r>
        <w:lastRenderedPageBreak/>
        <w:t xml:space="preserve">enzalutamide-treated patients and 321 (40%) of placebo-treated patients had an event. The median </w:t>
      </w:r>
      <w:proofErr w:type="spellStart"/>
      <w:r>
        <w:t>rPFS</w:t>
      </w:r>
      <w:proofErr w:type="spellEnd"/>
      <w:r>
        <w:t xml:space="preserve"> was not reached (95% CI: 13.8, not reached) in the enzalutamide-treated group and was 3.9 months (95% CI: 3.7, 5.4) in the placebo- treated group (Figure </w:t>
      </w:r>
      <w:r w:rsidR="00A619F4">
        <w:t>11</w:t>
      </w:r>
      <w:r>
        <w:t xml:space="preserve">). Consistent </w:t>
      </w:r>
      <w:proofErr w:type="spellStart"/>
      <w:r>
        <w:t>rPFS</w:t>
      </w:r>
      <w:proofErr w:type="spellEnd"/>
      <w:r>
        <w:t xml:space="preserve"> benefit was observed across all pre-specified patient subgroups (e.g. age, baseline ECOG performance, baseline PSA and LDH, Gleason score at diagnosis, and visceral disease at screening). A pre-specified follow-up </w:t>
      </w:r>
      <w:proofErr w:type="spellStart"/>
      <w:r>
        <w:t>rPFS</w:t>
      </w:r>
      <w:proofErr w:type="spellEnd"/>
      <w:r>
        <w:t xml:space="preserve"> analysis based on the investigator assessment of radiographic progression demonstrated a statistically significant improvement between the treatment groups with a 69.3% reduction in risk of radiographic progression or death [HR = 0.31 (95% CI: 0.27, 0.35), p &lt; 0.0001]. The median </w:t>
      </w:r>
      <w:proofErr w:type="spellStart"/>
      <w:r>
        <w:t>rPFS</w:t>
      </w:r>
      <w:proofErr w:type="spellEnd"/>
      <w:r>
        <w:t xml:space="preserve"> was 19.7 months in the enzalutamide group and 5.4 months in the placebo group.</w:t>
      </w:r>
    </w:p>
    <w:p w:rsidR="00360DE0" w:rsidRPr="00B23B00" w:rsidRDefault="00360DE0" w:rsidP="009508EE">
      <w:pPr>
        <w:keepNext/>
        <w:rPr>
          <w:sz w:val="24"/>
          <w:szCs w:val="24"/>
          <w:lang w:val="en-US"/>
        </w:rPr>
      </w:pPr>
    </w:p>
    <w:p w:rsidR="00360DE0" w:rsidRPr="00B23B00" w:rsidRDefault="00360DE0" w:rsidP="009508EE">
      <w:pPr>
        <w:pStyle w:val="Brdtekst"/>
        <w:keepNext/>
        <w:rPr>
          <w:sz w:val="24"/>
          <w:szCs w:val="24"/>
        </w:rPr>
      </w:pPr>
      <w:r w:rsidRPr="00B23B00">
        <w:rPr>
          <w:noProof/>
          <w:sz w:val="24"/>
          <w:szCs w:val="24"/>
        </w:rPr>
        <w:drawing>
          <wp:inline distT="0" distB="0" distL="0" distR="0" wp14:anchorId="594635A1" wp14:editId="36EEC040">
            <wp:extent cx="5759450" cy="3435350"/>
            <wp:effectExtent l="0" t="0" r="0" b="0"/>
            <wp:docPr id="3" name="Billede 3" descr="Figure3_Ar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descr="Figure3_Art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9450" cy="3435350"/>
                    </a:xfrm>
                    <a:prstGeom prst="rect">
                      <a:avLst/>
                    </a:prstGeom>
                    <a:noFill/>
                    <a:ln>
                      <a:noFill/>
                    </a:ln>
                  </pic:spPr>
                </pic:pic>
              </a:graphicData>
            </a:graphic>
          </wp:inline>
        </w:drawing>
      </w:r>
    </w:p>
    <w:p w:rsidR="00360DE0" w:rsidRPr="00B23B00" w:rsidRDefault="00360DE0" w:rsidP="009508EE">
      <w:pPr>
        <w:keepNext/>
        <w:rPr>
          <w:sz w:val="24"/>
          <w:szCs w:val="24"/>
          <w:lang w:val="en-US"/>
        </w:rPr>
      </w:pPr>
      <w:r w:rsidRPr="00B23B00">
        <w:rPr>
          <w:sz w:val="24"/>
          <w:szCs w:val="24"/>
          <w:lang w:val="en-US"/>
        </w:rPr>
        <w:t xml:space="preserve">At the time of the primary analysis there were 1,633 patients </w:t>
      </w:r>
      <w:proofErr w:type="spellStart"/>
      <w:r w:rsidRPr="00B23B00">
        <w:rPr>
          <w:sz w:val="24"/>
          <w:szCs w:val="24"/>
          <w:lang w:val="en-US"/>
        </w:rPr>
        <w:t>randomised</w:t>
      </w:r>
      <w:proofErr w:type="spellEnd"/>
      <w:r w:rsidRPr="00B23B00">
        <w:rPr>
          <w:sz w:val="24"/>
          <w:szCs w:val="24"/>
          <w:lang w:val="en-US"/>
        </w:rPr>
        <w:t>.</w:t>
      </w:r>
    </w:p>
    <w:p w:rsidR="00360DE0" w:rsidRPr="00B23B00" w:rsidRDefault="00360DE0" w:rsidP="009508EE">
      <w:pPr>
        <w:pStyle w:val="Brdtekst"/>
        <w:keepNext/>
        <w:rPr>
          <w:sz w:val="24"/>
          <w:szCs w:val="24"/>
        </w:rPr>
      </w:pPr>
    </w:p>
    <w:p w:rsidR="00360DE0" w:rsidRPr="00B23B00" w:rsidRDefault="00360DE0" w:rsidP="009B3F57">
      <w:pPr>
        <w:keepNext/>
        <w:ind w:left="851"/>
        <w:rPr>
          <w:b/>
          <w:sz w:val="24"/>
          <w:szCs w:val="24"/>
          <w:lang w:val="en-US"/>
        </w:rPr>
      </w:pPr>
      <w:r w:rsidRPr="00B23B00">
        <w:rPr>
          <w:b/>
          <w:sz w:val="24"/>
          <w:szCs w:val="24"/>
          <w:lang w:val="en-US"/>
        </w:rPr>
        <w:t xml:space="preserve">Figure </w:t>
      </w:r>
      <w:r w:rsidR="00A619F4">
        <w:rPr>
          <w:b/>
          <w:sz w:val="24"/>
          <w:szCs w:val="24"/>
          <w:lang w:val="en-US"/>
        </w:rPr>
        <w:t>11</w:t>
      </w:r>
      <w:r w:rsidRPr="00B23B00">
        <w:rPr>
          <w:b/>
          <w:sz w:val="24"/>
          <w:szCs w:val="24"/>
          <w:lang w:val="en-US"/>
        </w:rPr>
        <w:t>: Kaplan-Meier curves of radiographic progression-free survival in the PREVAIL study (intent-to-treat analysis)</w:t>
      </w:r>
    </w:p>
    <w:p w:rsidR="00360DE0" w:rsidRPr="00B23B00" w:rsidRDefault="00360DE0" w:rsidP="00DE37FA">
      <w:pPr>
        <w:ind w:left="851"/>
        <w:rPr>
          <w:sz w:val="24"/>
          <w:szCs w:val="24"/>
          <w:lang w:val="en-US"/>
        </w:rPr>
      </w:pPr>
    </w:p>
    <w:p w:rsidR="00360DE0" w:rsidRPr="00B23B00" w:rsidRDefault="00360DE0" w:rsidP="00DE37FA">
      <w:pPr>
        <w:ind w:left="851"/>
        <w:rPr>
          <w:sz w:val="24"/>
          <w:szCs w:val="24"/>
          <w:lang w:val="en-US"/>
        </w:rPr>
      </w:pPr>
      <w:r w:rsidRPr="00B23B00">
        <w:rPr>
          <w:sz w:val="24"/>
          <w:szCs w:val="24"/>
          <w:lang w:val="en-US"/>
        </w:rPr>
        <w:t>In addition to the co-primary efficacy endpoints, statistically significant improvements were also demonstrated in the following prospectively defined endpoints.</w:t>
      </w:r>
    </w:p>
    <w:p w:rsidR="00360DE0" w:rsidRPr="00B23B00" w:rsidRDefault="00360DE0" w:rsidP="00DE37FA">
      <w:pPr>
        <w:ind w:left="851"/>
        <w:rPr>
          <w:sz w:val="24"/>
          <w:szCs w:val="24"/>
          <w:lang w:val="en-US"/>
        </w:rPr>
      </w:pPr>
    </w:p>
    <w:p w:rsidR="00360DE0" w:rsidRPr="00B23B00" w:rsidRDefault="00360DE0" w:rsidP="00DE37FA">
      <w:pPr>
        <w:ind w:left="851"/>
        <w:rPr>
          <w:sz w:val="24"/>
          <w:szCs w:val="24"/>
          <w:lang w:val="en-US"/>
        </w:rPr>
      </w:pPr>
      <w:r w:rsidRPr="00B23B00">
        <w:rPr>
          <w:sz w:val="24"/>
          <w:szCs w:val="24"/>
          <w:lang w:val="en-US"/>
        </w:rPr>
        <w:t>The median time to initiation of cytotoxic chemotherapy was 28.0 months for patients receiving enzalutamide and 10.8 months for patients receiving placebo [HR = 0.35 (95</w:t>
      </w:r>
      <w:r w:rsidR="00B23B00" w:rsidRPr="00B23B00">
        <w:rPr>
          <w:sz w:val="24"/>
          <w:szCs w:val="24"/>
          <w:lang w:val="en-US"/>
        </w:rPr>
        <w:t xml:space="preserve"> %</w:t>
      </w:r>
      <w:r w:rsidRPr="00B23B00">
        <w:rPr>
          <w:sz w:val="24"/>
          <w:szCs w:val="24"/>
          <w:lang w:val="en-US"/>
        </w:rPr>
        <w:t xml:space="preserve"> CI: 0.30, 0.40), p &lt; 0.0001].</w:t>
      </w:r>
    </w:p>
    <w:p w:rsidR="00360DE0" w:rsidRPr="00B23B00" w:rsidRDefault="00360DE0" w:rsidP="00DE37FA">
      <w:pPr>
        <w:ind w:left="851"/>
        <w:rPr>
          <w:sz w:val="24"/>
          <w:szCs w:val="24"/>
          <w:lang w:val="en-US"/>
        </w:rPr>
      </w:pPr>
    </w:p>
    <w:p w:rsidR="00360DE0" w:rsidRPr="00B23B00" w:rsidRDefault="00360DE0" w:rsidP="00DE37FA">
      <w:pPr>
        <w:ind w:left="851"/>
        <w:rPr>
          <w:sz w:val="24"/>
          <w:szCs w:val="24"/>
          <w:lang w:val="en-US"/>
        </w:rPr>
      </w:pPr>
      <w:r w:rsidRPr="00B23B00">
        <w:rPr>
          <w:sz w:val="24"/>
          <w:szCs w:val="24"/>
          <w:lang w:val="en-US"/>
        </w:rPr>
        <w:t>The proportion of enzalutamide-treated patients with measurable disease at baseline who had an objective soft tissue response was 58.8</w:t>
      </w:r>
      <w:r w:rsidR="00B23B00" w:rsidRPr="00B23B00">
        <w:rPr>
          <w:sz w:val="24"/>
          <w:szCs w:val="24"/>
          <w:lang w:val="en-US"/>
        </w:rPr>
        <w:t xml:space="preserve"> %</w:t>
      </w:r>
      <w:r w:rsidRPr="00B23B00">
        <w:rPr>
          <w:sz w:val="24"/>
          <w:szCs w:val="24"/>
          <w:lang w:val="en-US"/>
        </w:rPr>
        <w:t xml:space="preserve"> (95</w:t>
      </w:r>
      <w:r w:rsidR="00B23B00" w:rsidRPr="00B23B00">
        <w:rPr>
          <w:sz w:val="24"/>
          <w:szCs w:val="24"/>
          <w:lang w:val="en-US"/>
        </w:rPr>
        <w:t xml:space="preserve"> %</w:t>
      </w:r>
      <w:r w:rsidRPr="00B23B00">
        <w:rPr>
          <w:sz w:val="24"/>
          <w:szCs w:val="24"/>
          <w:lang w:val="en-US"/>
        </w:rPr>
        <w:t xml:space="preserve"> CI: 53.8, 63.7) compared with 5.0</w:t>
      </w:r>
      <w:r w:rsidR="007C368B">
        <w:rPr>
          <w:sz w:val="24"/>
          <w:szCs w:val="24"/>
          <w:lang w:val="en-US"/>
        </w:rPr>
        <w:t> </w:t>
      </w:r>
      <w:r w:rsidR="00B23B00" w:rsidRPr="00B23B00">
        <w:rPr>
          <w:sz w:val="24"/>
          <w:szCs w:val="24"/>
          <w:lang w:val="en-US"/>
        </w:rPr>
        <w:t>%</w:t>
      </w:r>
      <w:r w:rsidRPr="00B23B00">
        <w:rPr>
          <w:sz w:val="24"/>
          <w:szCs w:val="24"/>
          <w:lang w:val="en-US"/>
        </w:rPr>
        <w:t xml:space="preserve"> (95</w:t>
      </w:r>
      <w:r w:rsidR="00B23B00" w:rsidRPr="00B23B00">
        <w:rPr>
          <w:sz w:val="24"/>
          <w:szCs w:val="24"/>
          <w:lang w:val="en-US"/>
        </w:rPr>
        <w:t xml:space="preserve"> %</w:t>
      </w:r>
      <w:r w:rsidRPr="00B23B00">
        <w:rPr>
          <w:sz w:val="24"/>
          <w:szCs w:val="24"/>
          <w:lang w:val="en-US"/>
        </w:rPr>
        <w:t xml:space="preserve"> CI: 3.0, 7.7) of patients receiving placebo. The absolute difference in objective soft tissue response between enzalutamide and placebo arms was [53.9</w:t>
      </w:r>
      <w:r w:rsidR="00B23B00" w:rsidRPr="00B23B00">
        <w:rPr>
          <w:sz w:val="24"/>
          <w:szCs w:val="24"/>
          <w:lang w:val="en-US"/>
        </w:rPr>
        <w:t xml:space="preserve"> %</w:t>
      </w:r>
      <w:r w:rsidRPr="00B23B00">
        <w:rPr>
          <w:sz w:val="24"/>
          <w:szCs w:val="24"/>
          <w:lang w:val="en-US"/>
        </w:rPr>
        <w:t xml:space="preserve"> (95</w:t>
      </w:r>
      <w:r w:rsidR="00B23B00" w:rsidRPr="00B23B00">
        <w:rPr>
          <w:sz w:val="24"/>
          <w:szCs w:val="24"/>
          <w:lang w:val="en-US"/>
        </w:rPr>
        <w:t xml:space="preserve"> %</w:t>
      </w:r>
      <w:r w:rsidRPr="00B23B00">
        <w:rPr>
          <w:sz w:val="24"/>
          <w:szCs w:val="24"/>
          <w:lang w:val="en-US"/>
        </w:rPr>
        <w:t xml:space="preserve"> CI: 48.5, 59.1), p &lt; 0.0001]. Complete responses were reported in 19.7</w:t>
      </w:r>
      <w:r w:rsidR="00B23B00" w:rsidRPr="00B23B00">
        <w:rPr>
          <w:sz w:val="24"/>
          <w:szCs w:val="24"/>
          <w:lang w:val="en-US"/>
        </w:rPr>
        <w:t xml:space="preserve"> %</w:t>
      </w:r>
      <w:r w:rsidRPr="00B23B00">
        <w:rPr>
          <w:sz w:val="24"/>
          <w:szCs w:val="24"/>
          <w:lang w:val="en-US"/>
        </w:rPr>
        <w:t xml:space="preserve"> of enzalutamide-treated patients compared with 1.0</w:t>
      </w:r>
      <w:r w:rsidR="00B23B00" w:rsidRPr="00B23B00">
        <w:rPr>
          <w:sz w:val="24"/>
          <w:szCs w:val="24"/>
          <w:lang w:val="en-US"/>
        </w:rPr>
        <w:t xml:space="preserve"> %</w:t>
      </w:r>
      <w:r w:rsidRPr="00B23B00">
        <w:rPr>
          <w:sz w:val="24"/>
          <w:szCs w:val="24"/>
          <w:lang w:val="en-US"/>
        </w:rPr>
        <w:t xml:space="preserve"> of placebo-treated patients, and partial responses were reported in 39.1</w:t>
      </w:r>
      <w:r w:rsidR="00B23B00" w:rsidRPr="00B23B00">
        <w:rPr>
          <w:sz w:val="24"/>
          <w:szCs w:val="24"/>
          <w:lang w:val="en-US"/>
        </w:rPr>
        <w:t xml:space="preserve"> %</w:t>
      </w:r>
      <w:r w:rsidRPr="00B23B00">
        <w:rPr>
          <w:sz w:val="24"/>
          <w:szCs w:val="24"/>
          <w:lang w:val="en-US"/>
        </w:rPr>
        <w:t xml:space="preserve"> of enzalutamide-treated patients versus 3.9</w:t>
      </w:r>
      <w:r w:rsidR="00B23B00" w:rsidRPr="00B23B00">
        <w:rPr>
          <w:sz w:val="24"/>
          <w:szCs w:val="24"/>
          <w:lang w:val="en-US"/>
        </w:rPr>
        <w:t xml:space="preserve"> %</w:t>
      </w:r>
      <w:r w:rsidRPr="00B23B00">
        <w:rPr>
          <w:sz w:val="24"/>
          <w:szCs w:val="24"/>
          <w:lang w:val="en-US"/>
        </w:rPr>
        <w:t xml:space="preserve"> of placebo-treated patients.</w:t>
      </w:r>
    </w:p>
    <w:p w:rsidR="00360DE0" w:rsidRPr="00B23B00" w:rsidRDefault="00360DE0" w:rsidP="00DE37FA">
      <w:pPr>
        <w:ind w:left="851"/>
        <w:rPr>
          <w:sz w:val="24"/>
          <w:szCs w:val="24"/>
          <w:lang w:val="en-US"/>
        </w:rPr>
      </w:pPr>
    </w:p>
    <w:p w:rsidR="00360DE0" w:rsidRPr="00B23B00" w:rsidRDefault="00360DE0" w:rsidP="00DE37FA">
      <w:pPr>
        <w:ind w:left="851"/>
        <w:rPr>
          <w:sz w:val="24"/>
          <w:szCs w:val="24"/>
          <w:lang w:val="en-US"/>
        </w:rPr>
      </w:pPr>
      <w:r w:rsidRPr="00B23B00">
        <w:rPr>
          <w:sz w:val="24"/>
          <w:szCs w:val="24"/>
          <w:lang w:val="en-US"/>
        </w:rPr>
        <w:lastRenderedPageBreak/>
        <w:t>Enzalutamide significantly decreased the risk of the first skeletal-related event by 28</w:t>
      </w:r>
      <w:r w:rsidR="00B23B00" w:rsidRPr="00B23B00">
        <w:rPr>
          <w:sz w:val="24"/>
          <w:szCs w:val="24"/>
          <w:lang w:val="en-US"/>
        </w:rPr>
        <w:t xml:space="preserve"> %</w:t>
      </w:r>
      <w:r w:rsidRPr="00B23B00">
        <w:rPr>
          <w:sz w:val="24"/>
          <w:szCs w:val="24"/>
          <w:lang w:val="en-US"/>
        </w:rPr>
        <w:t xml:space="preserve"> [HR = 0.718 (95</w:t>
      </w:r>
      <w:r w:rsidR="00B23B00" w:rsidRPr="00B23B00">
        <w:rPr>
          <w:sz w:val="24"/>
          <w:szCs w:val="24"/>
          <w:lang w:val="en-US"/>
        </w:rPr>
        <w:t xml:space="preserve"> %</w:t>
      </w:r>
      <w:r w:rsidRPr="00B23B00">
        <w:rPr>
          <w:sz w:val="24"/>
          <w:szCs w:val="24"/>
          <w:lang w:val="en-US"/>
        </w:rPr>
        <w:t xml:space="preserve"> CI: 0.61, 0.84), p &lt; 0.0001]. A skeletal-related event was defined as radiation therapy or surgery to bone for prostate cancer, pathologic bone fracture, spinal cord compression, or change of antineoplastic therapy to treat bone pain. The analysis included 587 skeletal-related events, of which 389 events (66.3</w:t>
      </w:r>
      <w:r w:rsidR="00B23B00" w:rsidRPr="00B23B00">
        <w:rPr>
          <w:sz w:val="24"/>
          <w:szCs w:val="24"/>
          <w:lang w:val="en-US"/>
        </w:rPr>
        <w:t xml:space="preserve"> %</w:t>
      </w:r>
      <w:r w:rsidRPr="00B23B00">
        <w:rPr>
          <w:sz w:val="24"/>
          <w:szCs w:val="24"/>
          <w:lang w:val="en-US"/>
        </w:rPr>
        <w:t>) were radiation to bone, 79 events (13.5</w:t>
      </w:r>
      <w:r w:rsidR="00B23B00" w:rsidRPr="00B23B00">
        <w:rPr>
          <w:sz w:val="24"/>
          <w:szCs w:val="24"/>
          <w:lang w:val="en-US"/>
        </w:rPr>
        <w:t xml:space="preserve"> %</w:t>
      </w:r>
      <w:r w:rsidRPr="00B23B00">
        <w:rPr>
          <w:sz w:val="24"/>
          <w:szCs w:val="24"/>
          <w:lang w:val="en-US"/>
        </w:rPr>
        <w:t>) were spinal cord compression, 70 events (11.9</w:t>
      </w:r>
      <w:r w:rsidR="00B23B00" w:rsidRPr="00B23B00">
        <w:rPr>
          <w:sz w:val="24"/>
          <w:szCs w:val="24"/>
          <w:lang w:val="en-US"/>
        </w:rPr>
        <w:t xml:space="preserve"> %</w:t>
      </w:r>
      <w:r w:rsidRPr="00B23B00">
        <w:rPr>
          <w:sz w:val="24"/>
          <w:szCs w:val="24"/>
          <w:lang w:val="en-US"/>
        </w:rPr>
        <w:t>) were pathologic bone fracture, 45 events (7.6</w:t>
      </w:r>
      <w:r w:rsidR="00B23B00" w:rsidRPr="00B23B00">
        <w:rPr>
          <w:sz w:val="24"/>
          <w:szCs w:val="24"/>
          <w:lang w:val="en-US"/>
        </w:rPr>
        <w:t xml:space="preserve"> %</w:t>
      </w:r>
      <w:r w:rsidRPr="00B23B00">
        <w:rPr>
          <w:sz w:val="24"/>
          <w:szCs w:val="24"/>
          <w:lang w:val="en-US"/>
        </w:rPr>
        <w:t>) were change in antineoplastic therapy to treat bone pain, and 22 events (3.7</w:t>
      </w:r>
      <w:r w:rsidR="00B23B00" w:rsidRPr="00B23B00">
        <w:rPr>
          <w:sz w:val="24"/>
          <w:szCs w:val="24"/>
          <w:lang w:val="en-US"/>
        </w:rPr>
        <w:t xml:space="preserve"> %</w:t>
      </w:r>
      <w:r w:rsidRPr="00B23B00">
        <w:rPr>
          <w:sz w:val="24"/>
          <w:szCs w:val="24"/>
          <w:lang w:val="en-US"/>
        </w:rPr>
        <w:t>) were surgery to bone.</w:t>
      </w:r>
    </w:p>
    <w:p w:rsidR="00360DE0" w:rsidRPr="00B23B00" w:rsidRDefault="00360DE0" w:rsidP="00DE37FA">
      <w:pPr>
        <w:ind w:left="851"/>
        <w:rPr>
          <w:sz w:val="24"/>
          <w:szCs w:val="24"/>
          <w:lang w:val="en-US"/>
        </w:rPr>
      </w:pPr>
    </w:p>
    <w:p w:rsidR="00360DE0" w:rsidRPr="00B23B00" w:rsidRDefault="00360DE0" w:rsidP="00DE37FA">
      <w:pPr>
        <w:ind w:left="851"/>
        <w:rPr>
          <w:sz w:val="24"/>
          <w:szCs w:val="24"/>
          <w:lang w:val="en-US"/>
        </w:rPr>
      </w:pPr>
      <w:r w:rsidRPr="00B23B00">
        <w:rPr>
          <w:sz w:val="24"/>
          <w:szCs w:val="24"/>
          <w:lang w:val="en-US"/>
        </w:rPr>
        <w:t>Patients receiving enzalutamide demonstrated a significantly higher total PSA response rate (defined as a ≥ 50</w:t>
      </w:r>
      <w:r w:rsidR="00B23B00" w:rsidRPr="00B23B00">
        <w:rPr>
          <w:sz w:val="24"/>
          <w:szCs w:val="24"/>
          <w:lang w:val="en-US"/>
        </w:rPr>
        <w:t xml:space="preserve"> %</w:t>
      </w:r>
      <w:r w:rsidRPr="00B23B00">
        <w:rPr>
          <w:sz w:val="24"/>
          <w:szCs w:val="24"/>
          <w:lang w:val="en-US"/>
        </w:rPr>
        <w:t xml:space="preserve"> reduction from baseline), compared with patients receiving placebo, 78.0</w:t>
      </w:r>
      <w:r w:rsidR="00B23B00" w:rsidRPr="00B23B00">
        <w:rPr>
          <w:sz w:val="24"/>
          <w:szCs w:val="24"/>
          <w:lang w:val="en-US"/>
        </w:rPr>
        <w:t xml:space="preserve"> %</w:t>
      </w:r>
      <w:r w:rsidRPr="00B23B00">
        <w:rPr>
          <w:sz w:val="24"/>
          <w:szCs w:val="24"/>
          <w:lang w:val="en-US"/>
        </w:rPr>
        <w:t xml:space="preserve"> versus 3.5</w:t>
      </w:r>
      <w:r w:rsidR="00B23B00" w:rsidRPr="00B23B00">
        <w:rPr>
          <w:sz w:val="24"/>
          <w:szCs w:val="24"/>
          <w:lang w:val="en-US"/>
        </w:rPr>
        <w:t xml:space="preserve"> %</w:t>
      </w:r>
      <w:r w:rsidRPr="00B23B00">
        <w:rPr>
          <w:sz w:val="24"/>
          <w:szCs w:val="24"/>
          <w:lang w:val="en-US"/>
        </w:rPr>
        <w:t xml:space="preserve"> (difference = 74.5</w:t>
      </w:r>
      <w:r w:rsidR="00B23B00" w:rsidRPr="00B23B00">
        <w:rPr>
          <w:sz w:val="24"/>
          <w:szCs w:val="24"/>
          <w:lang w:val="en-US"/>
        </w:rPr>
        <w:t xml:space="preserve"> %</w:t>
      </w:r>
      <w:r w:rsidRPr="00B23B00">
        <w:rPr>
          <w:sz w:val="24"/>
          <w:szCs w:val="24"/>
          <w:lang w:val="en-US"/>
        </w:rPr>
        <w:t>, p &lt; 0.0001).</w:t>
      </w:r>
    </w:p>
    <w:p w:rsidR="00360DE0" w:rsidRPr="00B23B00" w:rsidRDefault="00360DE0" w:rsidP="00DE37FA">
      <w:pPr>
        <w:ind w:left="851"/>
        <w:rPr>
          <w:sz w:val="24"/>
          <w:szCs w:val="24"/>
          <w:lang w:val="en-US"/>
        </w:rPr>
      </w:pPr>
    </w:p>
    <w:p w:rsidR="00360DE0" w:rsidRPr="00B23B00" w:rsidRDefault="00360DE0" w:rsidP="00DE37FA">
      <w:pPr>
        <w:ind w:left="851"/>
        <w:rPr>
          <w:sz w:val="24"/>
          <w:szCs w:val="24"/>
          <w:lang w:val="en-US"/>
        </w:rPr>
      </w:pPr>
      <w:r w:rsidRPr="00B23B00">
        <w:rPr>
          <w:sz w:val="24"/>
          <w:szCs w:val="24"/>
          <w:lang w:val="en-US"/>
        </w:rPr>
        <w:t>The median time to PSA progression per PCWG2 criteria was 11.2 months for patients treated with enzalutamide and 2.8 months for patients who received placebo [HR = 0.17 (95</w:t>
      </w:r>
      <w:r w:rsidR="00B23B00" w:rsidRPr="00B23B00">
        <w:rPr>
          <w:sz w:val="24"/>
          <w:szCs w:val="24"/>
          <w:lang w:val="en-US"/>
        </w:rPr>
        <w:t xml:space="preserve"> %</w:t>
      </w:r>
      <w:r w:rsidRPr="00B23B00">
        <w:rPr>
          <w:sz w:val="24"/>
          <w:szCs w:val="24"/>
          <w:lang w:val="en-US"/>
        </w:rPr>
        <w:t xml:space="preserve"> CI: 0.15, 0.20), p &lt; 0.0001].</w:t>
      </w:r>
    </w:p>
    <w:p w:rsidR="00360DE0" w:rsidRPr="00B23B00" w:rsidRDefault="00360DE0" w:rsidP="00DE37FA">
      <w:pPr>
        <w:ind w:left="851"/>
        <w:rPr>
          <w:sz w:val="24"/>
          <w:szCs w:val="24"/>
          <w:lang w:val="en-US"/>
        </w:rPr>
      </w:pPr>
      <w:r w:rsidRPr="00B23B00">
        <w:rPr>
          <w:sz w:val="24"/>
          <w:szCs w:val="24"/>
          <w:lang w:val="en-US"/>
        </w:rPr>
        <w:t>Treatment with enzalutamide decreased the risk of FACT-P degradation by 37.5</w:t>
      </w:r>
      <w:r w:rsidR="00B23B00" w:rsidRPr="00B23B00">
        <w:rPr>
          <w:sz w:val="24"/>
          <w:szCs w:val="24"/>
          <w:lang w:val="en-US"/>
        </w:rPr>
        <w:t xml:space="preserve"> %</w:t>
      </w:r>
      <w:r w:rsidRPr="00B23B00">
        <w:rPr>
          <w:sz w:val="24"/>
          <w:szCs w:val="24"/>
          <w:lang w:val="en-US"/>
        </w:rPr>
        <w:t xml:space="preserve"> compared with placebo (p &lt; 0.0001). The median time to degradation in FACT-P was 11.3 months in the enzalutamide group and 5.6 months in the placebo group.</w:t>
      </w:r>
    </w:p>
    <w:p w:rsidR="00360DE0" w:rsidRPr="00B23B00" w:rsidRDefault="00360DE0" w:rsidP="00DE37FA">
      <w:pPr>
        <w:ind w:left="851"/>
        <w:rPr>
          <w:sz w:val="24"/>
          <w:szCs w:val="24"/>
          <w:lang w:val="en-US"/>
        </w:rPr>
      </w:pPr>
    </w:p>
    <w:p w:rsidR="00360DE0" w:rsidRPr="00B23B00" w:rsidRDefault="00360DE0" w:rsidP="00DE37FA">
      <w:pPr>
        <w:ind w:left="851"/>
        <w:rPr>
          <w:i/>
          <w:sz w:val="24"/>
          <w:szCs w:val="24"/>
          <w:lang w:val="en-US"/>
        </w:rPr>
      </w:pPr>
      <w:r w:rsidRPr="00B23B00">
        <w:rPr>
          <w:i/>
          <w:sz w:val="24"/>
          <w:szCs w:val="24"/>
          <w:lang w:val="en-US"/>
        </w:rPr>
        <w:t>CRPC2 (AFFIRM) study (patients with metastatic CRPC who previously received chemotherapy)</w:t>
      </w:r>
    </w:p>
    <w:p w:rsidR="00360DE0" w:rsidRPr="00B23B00" w:rsidRDefault="00360DE0" w:rsidP="00DE37FA">
      <w:pPr>
        <w:ind w:left="851"/>
        <w:rPr>
          <w:sz w:val="24"/>
          <w:szCs w:val="24"/>
          <w:lang w:val="en-US"/>
        </w:rPr>
      </w:pPr>
    </w:p>
    <w:p w:rsidR="00360DE0" w:rsidRPr="00B23B00" w:rsidRDefault="00360DE0" w:rsidP="00DE37FA">
      <w:pPr>
        <w:ind w:left="851"/>
        <w:rPr>
          <w:sz w:val="24"/>
          <w:szCs w:val="24"/>
          <w:lang w:val="en-US"/>
        </w:rPr>
      </w:pPr>
      <w:r w:rsidRPr="00B23B00">
        <w:rPr>
          <w:sz w:val="24"/>
          <w:szCs w:val="24"/>
          <w:lang w:val="en-US"/>
        </w:rPr>
        <w:t xml:space="preserve">The efficacy and safety of enzalutamide in patients with metastatic CRPC who had received docetaxel and were using a LHRH analogue or had undergone orchiectomy were assessed in a </w:t>
      </w:r>
      <w:proofErr w:type="spellStart"/>
      <w:r w:rsidRPr="00B23B00">
        <w:rPr>
          <w:sz w:val="24"/>
          <w:szCs w:val="24"/>
          <w:lang w:val="en-US"/>
        </w:rPr>
        <w:t>randomised</w:t>
      </w:r>
      <w:proofErr w:type="spellEnd"/>
      <w:r w:rsidRPr="00B23B00">
        <w:rPr>
          <w:sz w:val="24"/>
          <w:szCs w:val="24"/>
          <w:lang w:val="en-US"/>
        </w:rPr>
        <w:t xml:space="preserve">, placebo-controlled, </w:t>
      </w:r>
      <w:proofErr w:type="spellStart"/>
      <w:r w:rsidRPr="00B23B00">
        <w:rPr>
          <w:sz w:val="24"/>
          <w:szCs w:val="24"/>
          <w:lang w:val="en-US"/>
        </w:rPr>
        <w:t>multicentre</w:t>
      </w:r>
      <w:proofErr w:type="spellEnd"/>
      <w:r w:rsidRPr="00B23B00">
        <w:rPr>
          <w:sz w:val="24"/>
          <w:szCs w:val="24"/>
          <w:lang w:val="en-US"/>
        </w:rPr>
        <w:t xml:space="preserve"> phase 3 clinical trial. A total of 1199 patients were </w:t>
      </w:r>
      <w:proofErr w:type="spellStart"/>
      <w:r w:rsidRPr="00B23B00">
        <w:rPr>
          <w:sz w:val="24"/>
          <w:szCs w:val="24"/>
          <w:lang w:val="en-US"/>
        </w:rPr>
        <w:t>randomised</w:t>
      </w:r>
      <w:proofErr w:type="spellEnd"/>
      <w:r w:rsidRPr="00B23B00">
        <w:rPr>
          <w:sz w:val="24"/>
          <w:szCs w:val="24"/>
          <w:lang w:val="en-US"/>
        </w:rPr>
        <w:t xml:space="preserve"> 2:1 to receive either enzalutamide orally at a dose of 160 mg once daily (N = 800) or placebo once daily (N = 399). Patients were allowed but not required to take prednisone (maximum daily dose allowed was 10 mg prednisone or equivalent). Patients </w:t>
      </w:r>
      <w:proofErr w:type="spellStart"/>
      <w:r w:rsidRPr="00B23B00">
        <w:rPr>
          <w:sz w:val="24"/>
          <w:szCs w:val="24"/>
          <w:lang w:val="en-US"/>
        </w:rPr>
        <w:t>randomised</w:t>
      </w:r>
      <w:proofErr w:type="spellEnd"/>
      <w:r w:rsidRPr="00B23B00">
        <w:rPr>
          <w:sz w:val="24"/>
          <w:szCs w:val="24"/>
          <w:lang w:val="en-US"/>
        </w:rPr>
        <w:t xml:space="preserve"> to either arm </w:t>
      </w:r>
      <w:proofErr w:type="gramStart"/>
      <w:r w:rsidRPr="00B23B00">
        <w:rPr>
          <w:sz w:val="24"/>
          <w:szCs w:val="24"/>
          <w:lang w:val="en-US"/>
        </w:rPr>
        <w:t>were</w:t>
      </w:r>
      <w:proofErr w:type="gramEnd"/>
      <w:r w:rsidRPr="00B23B00">
        <w:rPr>
          <w:sz w:val="24"/>
          <w:szCs w:val="24"/>
          <w:lang w:val="en-US"/>
        </w:rPr>
        <w:t xml:space="preserve"> to continue treatment until disease progression (defined as confirmed radiographic progression or the occurrence of a skeletal-related event) and initiation of new systemic antineoplastic treatment, unacceptable toxicity, or withdrawal.</w:t>
      </w:r>
    </w:p>
    <w:p w:rsidR="00360DE0" w:rsidRPr="00B23B00" w:rsidRDefault="00360DE0" w:rsidP="00DE37FA">
      <w:pPr>
        <w:ind w:left="851"/>
        <w:rPr>
          <w:sz w:val="24"/>
          <w:szCs w:val="24"/>
          <w:lang w:val="en-US"/>
        </w:rPr>
      </w:pPr>
    </w:p>
    <w:p w:rsidR="00360DE0" w:rsidRPr="00B23B00" w:rsidRDefault="00360DE0" w:rsidP="00DE37FA">
      <w:pPr>
        <w:ind w:left="851"/>
        <w:rPr>
          <w:sz w:val="24"/>
          <w:szCs w:val="24"/>
          <w:lang w:val="en-US"/>
        </w:rPr>
      </w:pPr>
      <w:r w:rsidRPr="00B23B00">
        <w:rPr>
          <w:sz w:val="24"/>
          <w:szCs w:val="24"/>
          <w:lang w:val="en-US"/>
        </w:rPr>
        <w:t>The following patient demographics and baseline disease characteristics were balanced between the treatment arms. The median age was 69 years (range 41 - 92) and the racial distribution was 93</w:t>
      </w:r>
      <w:r w:rsidR="00B23B00" w:rsidRPr="00B23B00">
        <w:rPr>
          <w:sz w:val="24"/>
          <w:szCs w:val="24"/>
          <w:lang w:val="en-US"/>
        </w:rPr>
        <w:t xml:space="preserve"> %</w:t>
      </w:r>
      <w:r w:rsidRPr="00B23B00">
        <w:rPr>
          <w:sz w:val="24"/>
          <w:szCs w:val="24"/>
          <w:lang w:val="en-US"/>
        </w:rPr>
        <w:t xml:space="preserve"> Caucasian, 4</w:t>
      </w:r>
      <w:r w:rsidR="00B23B00" w:rsidRPr="00B23B00">
        <w:rPr>
          <w:sz w:val="24"/>
          <w:szCs w:val="24"/>
          <w:lang w:val="en-US"/>
        </w:rPr>
        <w:t xml:space="preserve"> %</w:t>
      </w:r>
      <w:r w:rsidRPr="00B23B00">
        <w:rPr>
          <w:sz w:val="24"/>
          <w:szCs w:val="24"/>
          <w:lang w:val="en-US"/>
        </w:rPr>
        <w:t xml:space="preserve"> Black, 1</w:t>
      </w:r>
      <w:r w:rsidR="00B23B00" w:rsidRPr="00B23B00">
        <w:rPr>
          <w:sz w:val="24"/>
          <w:szCs w:val="24"/>
          <w:lang w:val="en-US"/>
        </w:rPr>
        <w:t xml:space="preserve"> %</w:t>
      </w:r>
      <w:r w:rsidRPr="00B23B00">
        <w:rPr>
          <w:sz w:val="24"/>
          <w:szCs w:val="24"/>
          <w:lang w:val="en-US"/>
        </w:rPr>
        <w:t xml:space="preserve"> Asian, and 2</w:t>
      </w:r>
      <w:r w:rsidR="00B23B00" w:rsidRPr="00B23B00">
        <w:rPr>
          <w:sz w:val="24"/>
          <w:szCs w:val="24"/>
          <w:lang w:val="en-US"/>
        </w:rPr>
        <w:t xml:space="preserve"> %</w:t>
      </w:r>
      <w:r w:rsidRPr="00B23B00">
        <w:rPr>
          <w:sz w:val="24"/>
          <w:szCs w:val="24"/>
          <w:lang w:val="en-US"/>
        </w:rPr>
        <w:t xml:space="preserve"> Other. The ECOG performance score was 0 - 1 in 91.5</w:t>
      </w:r>
      <w:r w:rsidR="00B23B00" w:rsidRPr="00B23B00">
        <w:rPr>
          <w:sz w:val="24"/>
          <w:szCs w:val="24"/>
          <w:lang w:val="en-US"/>
        </w:rPr>
        <w:t xml:space="preserve"> %</w:t>
      </w:r>
      <w:r w:rsidRPr="00B23B00">
        <w:rPr>
          <w:sz w:val="24"/>
          <w:szCs w:val="24"/>
          <w:lang w:val="en-US"/>
        </w:rPr>
        <w:t xml:space="preserve"> of patients and 2 in 8.5</w:t>
      </w:r>
      <w:r w:rsidR="00B23B00" w:rsidRPr="00B23B00">
        <w:rPr>
          <w:sz w:val="24"/>
          <w:szCs w:val="24"/>
          <w:lang w:val="en-US"/>
        </w:rPr>
        <w:t xml:space="preserve"> %</w:t>
      </w:r>
      <w:r w:rsidRPr="00B23B00">
        <w:rPr>
          <w:sz w:val="24"/>
          <w:szCs w:val="24"/>
          <w:lang w:val="en-US"/>
        </w:rPr>
        <w:t xml:space="preserve"> of patients; 28</w:t>
      </w:r>
      <w:r w:rsidR="00B23B00" w:rsidRPr="00B23B00">
        <w:rPr>
          <w:sz w:val="24"/>
          <w:szCs w:val="24"/>
          <w:lang w:val="en-US"/>
        </w:rPr>
        <w:t xml:space="preserve"> %</w:t>
      </w:r>
      <w:r w:rsidRPr="00B23B00">
        <w:rPr>
          <w:sz w:val="24"/>
          <w:szCs w:val="24"/>
          <w:lang w:val="en-US"/>
        </w:rPr>
        <w:t xml:space="preserve"> had a mean Brief Pain Inventory score of ≥ 4 (mean of patient’s reported worst pain over the previous 24 hours calculated for seven days prior to </w:t>
      </w:r>
      <w:proofErr w:type="spellStart"/>
      <w:r w:rsidRPr="00B23B00">
        <w:rPr>
          <w:sz w:val="24"/>
          <w:szCs w:val="24"/>
          <w:lang w:val="en-US"/>
        </w:rPr>
        <w:t>randomisation</w:t>
      </w:r>
      <w:proofErr w:type="spellEnd"/>
      <w:r w:rsidRPr="00B23B00">
        <w:rPr>
          <w:sz w:val="24"/>
          <w:szCs w:val="24"/>
          <w:lang w:val="en-US"/>
        </w:rPr>
        <w:t>). Most (91</w:t>
      </w:r>
      <w:r w:rsidR="00B23B00" w:rsidRPr="00B23B00">
        <w:rPr>
          <w:sz w:val="24"/>
          <w:szCs w:val="24"/>
          <w:lang w:val="en-US"/>
        </w:rPr>
        <w:t xml:space="preserve"> %</w:t>
      </w:r>
      <w:r w:rsidRPr="00B23B00">
        <w:rPr>
          <w:sz w:val="24"/>
          <w:szCs w:val="24"/>
          <w:lang w:val="en-US"/>
        </w:rPr>
        <w:t>) patients had metastases in bone and 23</w:t>
      </w:r>
      <w:r w:rsidR="00B23B00" w:rsidRPr="00B23B00">
        <w:rPr>
          <w:sz w:val="24"/>
          <w:szCs w:val="24"/>
          <w:lang w:val="en-US"/>
        </w:rPr>
        <w:t xml:space="preserve"> %</w:t>
      </w:r>
      <w:r w:rsidRPr="00B23B00">
        <w:rPr>
          <w:sz w:val="24"/>
          <w:szCs w:val="24"/>
          <w:lang w:val="en-US"/>
        </w:rPr>
        <w:t xml:space="preserve"> had visceral lung and/or liver involvement. At study entry, 41</w:t>
      </w:r>
      <w:r w:rsidR="00B23B00" w:rsidRPr="00B23B00">
        <w:rPr>
          <w:sz w:val="24"/>
          <w:szCs w:val="24"/>
          <w:lang w:val="en-US"/>
        </w:rPr>
        <w:t xml:space="preserve"> %</w:t>
      </w:r>
      <w:r w:rsidRPr="00B23B00">
        <w:rPr>
          <w:sz w:val="24"/>
          <w:szCs w:val="24"/>
          <w:lang w:val="en-US"/>
        </w:rPr>
        <w:t xml:space="preserve"> of </w:t>
      </w:r>
      <w:proofErr w:type="spellStart"/>
      <w:r w:rsidRPr="00B23B00">
        <w:rPr>
          <w:sz w:val="24"/>
          <w:szCs w:val="24"/>
          <w:lang w:val="en-US"/>
        </w:rPr>
        <w:t>randomised</w:t>
      </w:r>
      <w:proofErr w:type="spellEnd"/>
      <w:r w:rsidRPr="00B23B00">
        <w:rPr>
          <w:sz w:val="24"/>
          <w:szCs w:val="24"/>
          <w:lang w:val="en-US"/>
        </w:rPr>
        <w:t xml:space="preserve"> patients had PSA progression only, whereas 59</w:t>
      </w:r>
      <w:r w:rsidR="00B23B00" w:rsidRPr="00B23B00">
        <w:rPr>
          <w:sz w:val="24"/>
          <w:szCs w:val="24"/>
          <w:lang w:val="en-US"/>
        </w:rPr>
        <w:t xml:space="preserve"> %</w:t>
      </w:r>
      <w:r w:rsidRPr="00B23B00">
        <w:rPr>
          <w:sz w:val="24"/>
          <w:szCs w:val="24"/>
          <w:lang w:val="en-US"/>
        </w:rPr>
        <w:t xml:space="preserve"> of patients had radiographic progression. Fifty-one percent (51</w:t>
      </w:r>
      <w:r w:rsidR="00B23B00" w:rsidRPr="00B23B00">
        <w:rPr>
          <w:sz w:val="24"/>
          <w:szCs w:val="24"/>
          <w:lang w:val="en-US"/>
        </w:rPr>
        <w:t xml:space="preserve"> %</w:t>
      </w:r>
      <w:r w:rsidRPr="00B23B00">
        <w:rPr>
          <w:sz w:val="24"/>
          <w:szCs w:val="24"/>
          <w:lang w:val="en-US"/>
        </w:rPr>
        <w:t>) of patients were on bisphosphonates at baseline.</w:t>
      </w:r>
    </w:p>
    <w:p w:rsidR="00360DE0" w:rsidRPr="00B23B00" w:rsidRDefault="00360DE0" w:rsidP="00DE37FA">
      <w:pPr>
        <w:ind w:left="851"/>
        <w:rPr>
          <w:sz w:val="24"/>
          <w:szCs w:val="24"/>
          <w:lang w:val="en-US"/>
        </w:rPr>
      </w:pPr>
    </w:p>
    <w:p w:rsidR="00360DE0" w:rsidRPr="00B23B00" w:rsidRDefault="00360DE0" w:rsidP="00DE37FA">
      <w:pPr>
        <w:ind w:left="851"/>
        <w:rPr>
          <w:sz w:val="24"/>
          <w:szCs w:val="24"/>
          <w:lang w:val="en-US"/>
        </w:rPr>
      </w:pPr>
      <w:r w:rsidRPr="00B23B00">
        <w:rPr>
          <w:sz w:val="24"/>
          <w:szCs w:val="24"/>
          <w:lang w:val="en-US"/>
        </w:rPr>
        <w:t>The AFFIRM study excluded patients with medical conditions that may predispose them to seizures (see section 4.8) and medicinal products known to decrease the seizure threshold, as well as clinically significant cardiovascular disease such as uncontrolled hypertension, recent history of myocardial infarction or unstable angina, New York Heart Association class III or IV heart failure (unless ejection fraction was ≥ 45</w:t>
      </w:r>
      <w:r w:rsidR="00B23B00" w:rsidRPr="00B23B00">
        <w:rPr>
          <w:sz w:val="24"/>
          <w:szCs w:val="24"/>
          <w:lang w:val="en-US"/>
        </w:rPr>
        <w:t xml:space="preserve"> %</w:t>
      </w:r>
      <w:r w:rsidRPr="00B23B00">
        <w:rPr>
          <w:sz w:val="24"/>
          <w:szCs w:val="24"/>
          <w:lang w:val="en-US"/>
        </w:rPr>
        <w:t>), clinically significant ventricular arrhythmias or AV block (without permanent pacemaker).</w:t>
      </w:r>
    </w:p>
    <w:p w:rsidR="00360DE0" w:rsidRPr="00B23B00" w:rsidRDefault="00360DE0" w:rsidP="00DE37FA">
      <w:pPr>
        <w:ind w:left="851"/>
        <w:rPr>
          <w:sz w:val="24"/>
          <w:szCs w:val="24"/>
          <w:lang w:val="en-US"/>
        </w:rPr>
      </w:pPr>
    </w:p>
    <w:p w:rsidR="00A619F4" w:rsidRPr="00A619F4" w:rsidRDefault="00360DE0" w:rsidP="00A619F4">
      <w:pPr>
        <w:pStyle w:val="Brdtekst"/>
        <w:spacing w:before="10"/>
        <w:ind w:left="851"/>
        <w:rPr>
          <w:sz w:val="24"/>
          <w:szCs w:val="24"/>
        </w:rPr>
      </w:pPr>
      <w:r w:rsidRPr="00A619F4">
        <w:rPr>
          <w:sz w:val="24"/>
          <w:szCs w:val="24"/>
        </w:rPr>
        <w:t>The protocol pre-specified interim analysis after 520 deaths showed a statistically significant superiority in overall survival in patients treated with enzalutamide compared to placebo (</w:t>
      </w:r>
    </w:p>
    <w:p w:rsidR="00A619F4" w:rsidRPr="00A619F4" w:rsidRDefault="00A619F4" w:rsidP="00A619F4">
      <w:pPr>
        <w:pStyle w:val="Brdtekst"/>
        <w:spacing w:before="10"/>
        <w:ind w:left="851"/>
        <w:rPr>
          <w:sz w:val="24"/>
          <w:szCs w:val="24"/>
        </w:rPr>
      </w:pPr>
      <w:r w:rsidRPr="00A619F4">
        <w:rPr>
          <w:sz w:val="24"/>
          <w:szCs w:val="24"/>
        </w:rPr>
        <w:t>Table 6 and Figures 12 and 13).</w:t>
      </w:r>
    </w:p>
    <w:p w:rsidR="00741947" w:rsidRDefault="00741947" w:rsidP="009B3F57">
      <w:pPr>
        <w:ind w:left="851"/>
        <w:rPr>
          <w:b/>
          <w:sz w:val="24"/>
          <w:szCs w:val="24"/>
          <w:lang w:val="en-US"/>
        </w:rPr>
      </w:pPr>
    </w:p>
    <w:p w:rsidR="00360DE0" w:rsidRPr="00B23B00" w:rsidRDefault="00360DE0" w:rsidP="009B3F57">
      <w:pPr>
        <w:ind w:left="851"/>
        <w:rPr>
          <w:b/>
          <w:sz w:val="24"/>
          <w:szCs w:val="24"/>
          <w:lang w:val="en-US"/>
        </w:rPr>
      </w:pPr>
      <w:r w:rsidRPr="00B23B00">
        <w:rPr>
          <w:b/>
          <w:sz w:val="24"/>
          <w:szCs w:val="24"/>
          <w:lang w:val="en-US"/>
        </w:rPr>
        <w:t xml:space="preserve">Table </w:t>
      </w:r>
      <w:r w:rsidR="00A619F4">
        <w:rPr>
          <w:b/>
          <w:sz w:val="24"/>
          <w:szCs w:val="24"/>
          <w:lang w:val="en-US"/>
        </w:rPr>
        <w:t>6</w:t>
      </w:r>
      <w:r w:rsidRPr="00B23B00">
        <w:rPr>
          <w:b/>
          <w:sz w:val="24"/>
          <w:szCs w:val="24"/>
          <w:lang w:val="en-US"/>
        </w:rPr>
        <w:t>: Overall survival of patients treated with either enzalutamide or placebo in the AFFIRM study (intent-to-treat analysis)</w:t>
      </w:r>
    </w:p>
    <w:p w:rsidR="00360DE0" w:rsidRPr="00B23B00" w:rsidRDefault="00360DE0" w:rsidP="00DE37FA">
      <w:pPr>
        <w:ind w:left="851"/>
        <w:rPr>
          <w:sz w:val="24"/>
          <w:szCs w:val="24"/>
          <w:lang w:val="en-US"/>
        </w:rPr>
      </w:pPr>
    </w:p>
    <w:tbl>
      <w:tblPr>
        <w:tblW w:w="5000" w:type="pct"/>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909"/>
        <w:gridCol w:w="2858"/>
        <w:gridCol w:w="2861"/>
      </w:tblGrid>
      <w:tr w:rsidR="00360DE0" w:rsidRPr="00B23B00" w:rsidTr="009B3F57">
        <w:trPr>
          <w:trHeight w:val="20"/>
        </w:trPr>
        <w:tc>
          <w:tcPr>
            <w:tcW w:w="2030" w:type="pct"/>
            <w:tcBorders>
              <w:top w:val="single" w:sz="4" w:space="0" w:color="000000"/>
              <w:left w:val="single" w:sz="4" w:space="0" w:color="000000"/>
              <w:bottom w:val="single" w:sz="6" w:space="0" w:color="000000"/>
              <w:right w:val="single" w:sz="6" w:space="0" w:color="000000"/>
            </w:tcBorders>
          </w:tcPr>
          <w:p w:rsidR="00360DE0" w:rsidRPr="00B23B00" w:rsidRDefault="00360DE0">
            <w:pPr>
              <w:rPr>
                <w:sz w:val="24"/>
                <w:szCs w:val="24"/>
                <w:lang w:val="en-US"/>
              </w:rPr>
            </w:pPr>
          </w:p>
        </w:tc>
        <w:tc>
          <w:tcPr>
            <w:tcW w:w="1484" w:type="pct"/>
            <w:tcBorders>
              <w:top w:val="single" w:sz="4" w:space="0" w:color="000000"/>
              <w:left w:val="single" w:sz="6" w:space="0" w:color="000000"/>
              <w:bottom w:val="single" w:sz="6" w:space="0" w:color="000000"/>
              <w:right w:val="single" w:sz="6" w:space="0" w:color="000000"/>
            </w:tcBorders>
            <w:hideMark/>
          </w:tcPr>
          <w:p w:rsidR="00360DE0" w:rsidRPr="00B23B00" w:rsidRDefault="00360DE0">
            <w:pPr>
              <w:pStyle w:val="TableParagraph"/>
              <w:ind w:left="207" w:right="196"/>
              <w:jc w:val="center"/>
              <w:rPr>
                <w:b/>
                <w:sz w:val="24"/>
                <w:szCs w:val="24"/>
              </w:rPr>
            </w:pPr>
            <w:r w:rsidRPr="00B23B00">
              <w:rPr>
                <w:b/>
                <w:sz w:val="24"/>
                <w:szCs w:val="24"/>
              </w:rPr>
              <w:t>Enzalutamide (N = 800)</w:t>
            </w:r>
          </w:p>
        </w:tc>
        <w:tc>
          <w:tcPr>
            <w:tcW w:w="1486" w:type="pct"/>
            <w:tcBorders>
              <w:top w:val="single" w:sz="4" w:space="0" w:color="000000"/>
              <w:left w:val="single" w:sz="6" w:space="0" w:color="000000"/>
              <w:bottom w:val="single" w:sz="6" w:space="0" w:color="000000"/>
              <w:right w:val="single" w:sz="4" w:space="0" w:color="000000"/>
            </w:tcBorders>
            <w:hideMark/>
          </w:tcPr>
          <w:p w:rsidR="00360DE0" w:rsidRPr="00B23B00" w:rsidRDefault="00360DE0">
            <w:pPr>
              <w:pStyle w:val="TableParagraph"/>
              <w:ind w:left="495" w:right="489"/>
              <w:jc w:val="center"/>
              <w:rPr>
                <w:b/>
                <w:sz w:val="24"/>
                <w:szCs w:val="24"/>
              </w:rPr>
            </w:pPr>
            <w:r w:rsidRPr="00B23B00">
              <w:rPr>
                <w:b/>
                <w:sz w:val="24"/>
                <w:szCs w:val="24"/>
              </w:rPr>
              <w:t>Placebo (N = 399)</w:t>
            </w:r>
          </w:p>
        </w:tc>
      </w:tr>
      <w:tr w:rsidR="00360DE0" w:rsidRPr="00B23B00" w:rsidTr="009B3F57">
        <w:trPr>
          <w:trHeight w:val="20"/>
        </w:trPr>
        <w:tc>
          <w:tcPr>
            <w:tcW w:w="2030" w:type="pct"/>
            <w:tcBorders>
              <w:top w:val="single" w:sz="6" w:space="0" w:color="000000"/>
              <w:left w:val="single" w:sz="4" w:space="0" w:color="000000"/>
              <w:bottom w:val="single" w:sz="6" w:space="0" w:color="000000"/>
              <w:right w:val="single" w:sz="6" w:space="0" w:color="000000"/>
            </w:tcBorders>
            <w:hideMark/>
          </w:tcPr>
          <w:p w:rsidR="00360DE0" w:rsidRPr="00B23B00" w:rsidRDefault="00360DE0">
            <w:pPr>
              <w:pStyle w:val="TableParagraph"/>
              <w:ind w:left="105"/>
              <w:rPr>
                <w:sz w:val="24"/>
                <w:szCs w:val="24"/>
              </w:rPr>
            </w:pPr>
            <w:r w:rsidRPr="00B23B00">
              <w:rPr>
                <w:sz w:val="24"/>
                <w:szCs w:val="24"/>
              </w:rPr>
              <w:t>Deaths (</w:t>
            </w:r>
            <w:r w:rsidR="00B23B00">
              <w:rPr>
                <w:sz w:val="24"/>
                <w:szCs w:val="24"/>
              </w:rPr>
              <w:t>%</w:t>
            </w:r>
            <w:r w:rsidRPr="00B23B00">
              <w:rPr>
                <w:sz w:val="24"/>
                <w:szCs w:val="24"/>
              </w:rPr>
              <w:t>)</w:t>
            </w:r>
          </w:p>
        </w:tc>
        <w:tc>
          <w:tcPr>
            <w:tcW w:w="1484" w:type="pct"/>
            <w:tcBorders>
              <w:top w:val="single" w:sz="6" w:space="0" w:color="000000"/>
              <w:left w:val="single" w:sz="6" w:space="0" w:color="000000"/>
              <w:bottom w:val="single" w:sz="6" w:space="0" w:color="000000"/>
              <w:right w:val="single" w:sz="6" w:space="0" w:color="000000"/>
            </w:tcBorders>
            <w:hideMark/>
          </w:tcPr>
          <w:p w:rsidR="00360DE0" w:rsidRPr="00B23B00" w:rsidRDefault="00360DE0">
            <w:pPr>
              <w:pStyle w:val="TableParagraph"/>
              <w:ind w:left="207" w:right="196"/>
              <w:jc w:val="center"/>
              <w:rPr>
                <w:sz w:val="24"/>
                <w:szCs w:val="24"/>
              </w:rPr>
            </w:pPr>
            <w:r w:rsidRPr="00B23B00">
              <w:rPr>
                <w:sz w:val="24"/>
                <w:szCs w:val="24"/>
              </w:rPr>
              <w:t>308 (38.5</w:t>
            </w:r>
            <w:r w:rsidR="00B23B00">
              <w:rPr>
                <w:sz w:val="24"/>
                <w:szCs w:val="24"/>
              </w:rPr>
              <w:t xml:space="preserve"> %</w:t>
            </w:r>
            <w:r w:rsidRPr="00B23B00">
              <w:rPr>
                <w:sz w:val="24"/>
                <w:szCs w:val="24"/>
              </w:rPr>
              <w:t>)</w:t>
            </w:r>
          </w:p>
        </w:tc>
        <w:tc>
          <w:tcPr>
            <w:tcW w:w="1486" w:type="pct"/>
            <w:tcBorders>
              <w:top w:val="single" w:sz="6" w:space="0" w:color="000000"/>
              <w:left w:val="single" w:sz="6" w:space="0" w:color="000000"/>
              <w:bottom w:val="single" w:sz="6" w:space="0" w:color="000000"/>
              <w:right w:val="single" w:sz="4" w:space="0" w:color="000000"/>
            </w:tcBorders>
            <w:hideMark/>
          </w:tcPr>
          <w:p w:rsidR="00360DE0" w:rsidRPr="00B23B00" w:rsidRDefault="00360DE0">
            <w:pPr>
              <w:pStyle w:val="TableParagraph"/>
              <w:ind w:left="495" w:right="489"/>
              <w:jc w:val="center"/>
              <w:rPr>
                <w:sz w:val="24"/>
                <w:szCs w:val="24"/>
              </w:rPr>
            </w:pPr>
            <w:r w:rsidRPr="00B23B00">
              <w:rPr>
                <w:sz w:val="24"/>
                <w:szCs w:val="24"/>
              </w:rPr>
              <w:t>212 (53.1</w:t>
            </w:r>
            <w:r w:rsidR="00B23B00">
              <w:rPr>
                <w:sz w:val="24"/>
                <w:szCs w:val="24"/>
              </w:rPr>
              <w:t xml:space="preserve"> %</w:t>
            </w:r>
            <w:r w:rsidRPr="00B23B00">
              <w:rPr>
                <w:sz w:val="24"/>
                <w:szCs w:val="24"/>
              </w:rPr>
              <w:t>)</w:t>
            </w:r>
          </w:p>
        </w:tc>
      </w:tr>
      <w:tr w:rsidR="00360DE0" w:rsidRPr="00B23B00" w:rsidTr="009B3F57">
        <w:trPr>
          <w:trHeight w:val="20"/>
        </w:trPr>
        <w:tc>
          <w:tcPr>
            <w:tcW w:w="2030" w:type="pct"/>
            <w:tcBorders>
              <w:top w:val="single" w:sz="6" w:space="0" w:color="000000"/>
              <w:left w:val="single" w:sz="4" w:space="0" w:color="000000"/>
              <w:bottom w:val="single" w:sz="6" w:space="0" w:color="000000"/>
              <w:right w:val="single" w:sz="6" w:space="0" w:color="000000"/>
            </w:tcBorders>
            <w:hideMark/>
          </w:tcPr>
          <w:p w:rsidR="00360DE0" w:rsidRPr="00B23B00" w:rsidRDefault="00360DE0">
            <w:pPr>
              <w:pStyle w:val="TableParagraph"/>
              <w:ind w:left="105"/>
              <w:rPr>
                <w:sz w:val="24"/>
                <w:szCs w:val="24"/>
              </w:rPr>
            </w:pPr>
            <w:r w:rsidRPr="00B23B00">
              <w:rPr>
                <w:sz w:val="24"/>
                <w:szCs w:val="24"/>
              </w:rPr>
              <w:t>Median survival (months) (95</w:t>
            </w:r>
            <w:r w:rsidR="00B23B00">
              <w:rPr>
                <w:sz w:val="24"/>
                <w:szCs w:val="24"/>
              </w:rPr>
              <w:t xml:space="preserve"> %</w:t>
            </w:r>
            <w:r w:rsidRPr="00B23B00">
              <w:rPr>
                <w:sz w:val="24"/>
                <w:szCs w:val="24"/>
              </w:rPr>
              <w:t xml:space="preserve"> CI)</w:t>
            </w:r>
          </w:p>
        </w:tc>
        <w:tc>
          <w:tcPr>
            <w:tcW w:w="1484" w:type="pct"/>
            <w:tcBorders>
              <w:top w:val="single" w:sz="6" w:space="0" w:color="000000"/>
              <w:left w:val="single" w:sz="6" w:space="0" w:color="000000"/>
              <w:bottom w:val="single" w:sz="6" w:space="0" w:color="000000"/>
              <w:right w:val="single" w:sz="6" w:space="0" w:color="000000"/>
            </w:tcBorders>
            <w:hideMark/>
          </w:tcPr>
          <w:p w:rsidR="00360DE0" w:rsidRPr="00B23B00" w:rsidRDefault="00360DE0">
            <w:pPr>
              <w:pStyle w:val="TableParagraph"/>
              <w:ind w:left="207" w:right="196"/>
              <w:jc w:val="center"/>
              <w:rPr>
                <w:sz w:val="24"/>
                <w:szCs w:val="24"/>
              </w:rPr>
            </w:pPr>
            <w:r w:rsidRPr="00B23B00">
              <w:rPr>
                <w:sz w:val="24"/>
                <w:szCs w:val="24"/>
              </w:rPr>
              <w:t>18.4 (17.3, NR)</w:t>
            </w:r>
          </w:p>
        </w:tc>
        <w:tc>
          <w:tcPr>
            <w:tcW w:w="1486" w:type="pct"/>
            <w:tcBorders>
              <w:top w:val="single" w:sz="6" w:space="0" w:color="000000"/>
              <w:left w:val="single" w:sz="6" w:space="0" w:color="000000"/>
              <w:bottom w:val="single" w:sz="6" w:space="0" w:color="000000"/>
              <w:right w:val="single" w:sz="4" w:space="0" w:color="000000"/>
            </w:tcBorders>
            <w:hideMark/>
          </w:tcPr>
          <w:p w:rsidR="00360DE0" w:rsidRPr="00B23B00" w:rsidRDefault="00360DE0">
            <w:pPr>
              <w:pStyle w:val="TableParagraph"/>
              <w:ind w:left="495" w:right="489"/>
              <w:jc w:val="center"/>
              <w:rPr>
                <w:sz w:val="24"/>
                <w:szCs w:val="24"/>
              </w:rPr>
            </w:pPr>
            <w:r w:rsidRPr="00B23B00">
              <w:rPr>
                <w:sz w:val="24"/>
                <w:szCs w:val="24"/>
              </w:rPr>
              <w:t>13.6 (11.3, 15.8)</w:t>
            </w:r>
          </w:p>
        </w:tc>
      </w:tr>
      <w:tr w:rsidR="00360DE0" w:rsidRPr="00B23B00" w:rsidTr="009B3F57">
        <w:trPr>
          <w:trHeight w:val="20"/>
        </w:trPr>
        <w:tc>
          <w:tcPr>
            <w:tcW w:w="2030" w:type="pct"/>
            <w:tcBorders>
              <w:top w:val="single" w:sz="6" w:space="0" w:color="000000"/>
              <w:left w:val="single" w:sz="4" w:space="0" w:color="000000"/>
              <w:bottom w:val="single" w:sz="6" w:space="0" w:color="000000"/>
              <w:right w:val="single" w:sz="6" w:space="0" w:color="000000"/>
            </w:tcBorders>
            <w:hideMark/>
          </w:tcPr>
          <w:p w:rsidR="00360DE0" w:rsidRPr="00B23B00" w:rsidRDefault="00360DE0">
            <w:pPr>
              <w:pStyle w:val="TableParagraph"/>
              <w:spacing w:before="0" w:line="268" w:lineRule="exact"/>
              <w:ind w:left="105"/>
              <w:rPr>
                <w:i/>
                <w:sz w:val="24"/>
                <w:szCs w:val="24"/>
              </w:rPr>
            </w:pPr>
            <w:r w:rsidRPr="00B23B00">
              <w:rPr>
                <w:sz w:val="24"/>
                <w:szCs w:val="24"/>
              </w:rPr>
              <w:t>P-value</w:t>
            </w:r>
            <w:r w:rsidRPr="007C368B">
              <w:rPr>
                <w:vertAlign w:val="superscript"/>
              </w:rPr>
              <w:t>1</w:t>
            </w:r>
          </w:p>
        </w:tc>
        <w:tc>
          <w:tcPr>
            <w:tcW w:w="2970" w:type="pct"/>
            <w:gridSpan w:val="2"/>
            <w:tcBorders>
              <w:top w:val="single" w:sz="6" w:space="0" w:color="000000"/>
              <w:left w:val="single" w:sz="6" w:space="0" w:color="000000"/>
              <w:bottom w:val="single" w:sz="6" w:space="0" w:color="000000"/>
              <w:right w:val="single" w:sz="4" w:space="0" w:color="000000"/>
            </w:tcBorders>
            <w:hideMark/>
          </w:tcPr>
          <w:p w:rsidR="00360DE0" w:rsidRPr="00B23B00" w:rsidRDefault="00360DE0">
            <w:pPr>
              <w:pStyle w:val="TableParagraph"/>
              <w:spacing w:before="10"/>
              <w:ind w:left="1933" w:right="1929"/>
              <w:jc w:val="center"/>
              <w:rPr>
                <w:sz w:val="24"/>
                <w:szCs w:val="24"/>
              </w:rPr>
            </w:pPr>
            <w:r w:rsidRPr="00B23B00">
              <w:rPr>
                <w:sz w:val="24"/>
                <w:szCs w:val="24"/>
              </w:rPr>
              <w:t>p &lt; 0.0001</w:t>
            </w:r>
          </w:p>
        </w:tc>
      </w:tr>
      <w:tr w:rsidR="00360DE0" w:rsidRPr="00B23B00" w:rsidTr="009B3F57">
        <w:trPr>
          <w:trHeight w:val="20"/>
        </w:trPr>
        <w:tc>
          <w:tcPr>
            <w:tcW w:w="2030" w:type="pct"/>
            <w:tcBorders>
              <w:top w:val="single" w:sz="6" w:space="0" w:color="000000"/>
              <w:left w:val="single" w:sz="4" w:space="0" w:color="000000"/>
              <w:bottom w:val="single" w:sz="4" w:space="0" w:color="000000"/>
              <w:right w:val="single" w:sz="6" w:space="0" w:color="000000"/>
            </w:tcBorders>
            <w:hideMark/>
          </w:tcPr>
          <w:p w:rsidR="00360DE0" w:rsidRPr="00B23B00" w:rsidRDefault="00360DE0">
            <w:pPr>
              <w:pStyle w:val="TableParagraph"/>
              <w:spacing w:before="0" w:line="273" w:lineRule="exact"/>
              <w:ind w:left="105"/>
              <w:rPr>
                <w:i/>
                <w:sz w:val="24"/>
                <w:szCs w:val="24"/>
              </w:rPr>
            </w:pPr>
            <w:r w:rsidRPr="00B23B00">
              <w:rPr>
                <w:sz w:val="24"/>
                <w:szCs w:val="24"/>
              </w:rPr>
              <w:t>Hazard ratio (95</w:t>
            </w:r>
            <w:r w:rsidR="00B23B00">
              <w:rPr>
                <w:sz w:val="24"/>
                <w:szCs w:val="24"/>
              </w:rPr>
              <w:t xml:space="preserve"> %</w:t>
            </w:r>
            <w:r w:rsidRPr="00B23B00">
              <w:rPr>
                <w:sz w:val="24"/>
                <w:szCs w:val="24"/>
              </w:rPr>
              <w:t xml:space="preserve"> CI)</w:t>
            </w:r>
            <w:r w:rsidRPr="007C368B">
              <w:rPr>
                <w:vertAlign w:val="superscript"/>
              </w:rPr>
              <w:t>2</w:t>
            </w:r>
          </w:p>
        </w:tc>
        <w:tc>
          <w:tcPr>
            <w:tcW w:w="2970" w:type="pct"/>
            <w:gridSpan w:val="2"/>
            <w:tcBorders>
              <w:top w:val="single" w:sz="6" w:space="0" w:color="000000"/>
              <w:left w:val="single" w:sz="6" w:space="0" w:color="000000"/>
              <w:bottom w:val="single" w:sz="4" w:space="0" w:color="000000"/>
              <w:right w:val="single" w:sz="4" w:space="0" w:color="000000"/>
            </w:tcBorders>
            <w:hideMark/>
          </w:tcPr>
          <w:p w:rsidR="00360DE0" w:rsidRPr="00B23B00" w:rsidRDefault="00360DE0">
            <w:pPr>
              <w:pStyle w:val="TableParagraph"/>
              <w:spacing w:before="15"/>
              <w:ind w:left="1940" w:right="1929"/>
              <w:jc w:val="center"/>
              <w:rPr>
                <w:sz w:val="24"/>
                <w:szCs w:val="24"/>
              </w:rPr>
            </w:pPr>
            <w:r w:rsidRPr="00B23B00">
              <w:rPr>
                <w:sz w:val="24"/>
                <w:szCs w:val="24"/>
              </w:rPr>
              <w:t>0.63 (0.53, 0.75)</w:t>
            </w:r>
          </w:p>
        </w:tc>
      </w:tr>
    </w:tbl>
    <w:p w:rsidR="00360DE0" w:rsidRPr="007C368B" w:rsidRDefault="00360DE0" w:rsidP="009B3F57">
      <w:pPr>
        <w:ind w:left="1134" w:hanging="284"/>
        <w:rPr>
          <w:sz w:val="20"/>
          <w:lang w:val="en-US" w:eastAsia="en-US"/>
        </w:rPr>
      </w:pPr>
      <w:r w:rsidRPr="007C368B">
        <w:rPr>
          <w:sz w:val="20"/>
        </w:rPr>
        <w:t xml:space="preserve">NR = Not </w:t>
      </w:r>
      <w:proofErr w:type="spellStart"/>
      <w:r w:rsidRPr="007C368B">
        <w:rPr>
          <w:sz w:val="20"/>
        </w:rPr>
        <w:t>Reached</w:t>
      </w:r>
      <w:proofErr w:type="spellEnd"/>
      <w:r w:rsidRPr="007C368B">
        <w:rPr>
          <w:sz w:val="20"/>
        </w:rPr>
        <w:t>.</w:t>
      </w:r>
    </w:p>
    <w:p w:rsidR="00360DE0" w:rsidRPr="007C368B" w:rsidRDefault="00360DE0" w:rsidP="009B3F57">
      <w:pPr>
        <w:pStyle w:val="Listeafsnit"/>
        <w:numPr>
          <w:ilvl w:val="2"/>
          <w:numId w:val="9"/>
        </w:numPr>
        <w:tabs>
          <w:tab w:val="left" w:pos="832"/>
        </w:tabs>
        <w:spacing w:before="32"/>
        <w:ind w:left="1134" w:hanging="284"/>
        <w:rPr>
          <w:sz w:val="20"/>
          <w:szCs w:val="20"/>
        </w:rPr>
      </w:pPr>
      <w:r w:rsidRPr="007C368B">
        <w:rPr>
          <w:sz w:val="20"/>
          <w:szCs w:val="20"/>
        </w:rPr>
        <w:t>P-value</w:t>
      </w:r>
      <w:r w:rsidRPr="007C368B">
        <w:rPr>
          <w:spacing w:val="-7"/>
          <w:sz w:val="20"/>
          <w:szCs w:val="20"/>
        </w:rPr>
        <w:t xml:space="preserve"> </w:t>
      </w:r>
      <w:r w:rsidRPr="007C368B">
        <w:rPr>
          <w:sz w:val="20"/>
          <w:szCs w:val="20"/>
        </w:rPr>
        <w:t>is</w:t>
      </w:r>
      <w:r w:rsidRPr="007C368B">
        <w:rPr>
          <w:spacing w:val="-2"/>
          <w:sz w:val="20"/>
          <w:szCs w:val="20"/>
        </w:rPr>
        <w:t xml:space="preserve"> </w:t>
      </w:r>
      <w:r w:rsidRPr="007C368B">
        <w:rPr>
          <w:sz w:val="20"/>
          <w:szCs w:val="20"/>
        </w:rPr>
        <w:t>derived</w:t>
      </w:r>
      <w:r w:rsidRPr="007C368B">
        <w:rPr>
          <w:spacing w:val="-3"/>
          <w:sz w:val="20"/>
          <w:szCs w:val="20"/>
        </w:rPr>
        <w:t xml:space="preserve"> </w:t>
      </w:r>
      <w:r w:rsidRPr="007C368B">
        <w:rPr>
          <w:sz w:val="20"/>
          <w:szCs w:val="20"/>
        </w:rPr>
        <w:t>from</w:t>
      </w:r>
      <w:r w:rsidRPr="007C368B">
        <w:rPr>
          <w:spacing w:val="-1"/>
          <w:sz w:val="20"/>
          <w:szCs w:val="20"/>
        </w:rPr>
        <w:t xml:space="preserve"> </w:t>
      </w:r>
      <w:r w:rsidRPr="007C368B">
        <w:rPr>
          <w:sz w:val="20"/>
          <w:szCs w:val="20"/>
        </w:rPr>
        <w:t>a</w:t>
      </w:r>
      <w:r w:rsidRPr="007C368B">
        <w:rPr>
          <w:spacing w:val="-3"/>
          <w:sz w:val="20"/>
          <w:szCs w:val="20"/>
        </w:rPr>
        <w:t xml:space="preserve"> </w:t>
      </w:r>
      <w:r w:rsidRPr="007C368B">
        <w:rPr>
          <w:sz w:val="20"/>
          <w:szCs w:val="20"/>
        </w:rPr>
        <w:t>log</w:t>
      </w:r>
      <w:r w:rsidRPr="007C368B">
        <w:rPr>
          <w:spacing w:val="-3"/>
          <w:sz w:val="20"/>
          <w:szCs w:val="20"/>
        </w:rPr>
        <w:t xml:space="preserve"> </w:t>
      </w:r>
      <w:r w:rsidRPr="007C368B">
        <w:rPr>
          <w:sz w:val="20"/>
          <w:szCs w:val="20"/>
        </w:rPr>
        <w:t>rank</w:t>
      </w:r>
      <w:r w:rsidRPr="007C368B">
        <w:rPr>
          <w:spacing w:val="-3"/>
          <w:sz w:val="20"/>
          <w:szCs w:val="20"/>
        </w:rPr>
        <w:t xml:space="preserve"> </w:t>
      </w:r>
      <w:r w:rsidRPr="007C368B">
        <w:rPr>
          <w:sz w:val="20"/>
          <w:szCs w:val="20"/>
        </w:rPr>
        <w:t>test</w:t>
      </w:r>
      <w:r w:rsidRPr="007C368B">
        <w:rPr>
          <w:spacing w:val="-1"/>
          <w:sz w:val="20"/>
          <w:szCs w:val="20"/>
        </w:rPr>
        <w:t xml:space="preserve"> </w:t>
      </w:r>
      <w:r w:rsidRPr="007C368B">
        <w:rPr>
          <w:sz w:val="20"/>
          <w:szCs w:val="20"/>
        </w:rPr>
        <w:t>stratified</w:t>
      </w:r>
      <w:r w:rsidRPr="007C368B">
        <w:rPr>
          <w:spacing w:val="-3"/>
          <w:sz w:val="20"/>
          <w:szCs w:val="20"/>
        </w:rPr>
        <w:t xml:space="preserve"> </w:t>
      </w:r>
      <w:r w:rsidRPr="007C368B">
        <w:rPr>
          <w:sz w:val="20"/>
          <w:szCs w:val="20"/>
        </w:rPr>
        <w:t>by</w:t>
      </w:r>
      <w:r w:rsidRPr="007C368B">
        <w:rPr>
          <w:spacing w:val="-3"/>
          <w:sz w:val="20"/>
          <w:szCs w:val="20"/>
        </w:rPr>
        <w:t xml:space="preserve"> </w:t>
      </w:r>
      <w:r w:rsidRPr="007C368B">
        <w:rPr>
          <w:sz w:val="20"/>
          <w:szCs w:val="20"/>
        </w:rPr>
        <w:t>ECOG</w:t>
      </w:r>
      <w:r w:rsidRPr="007C368B">
        <w:rPr>
          <w:spacing w:val="-1"/>
          <w:sz w:val="20"/>
          <w:szCs w:val="20"/>
        </w:rPr>
        <w:t xml:space="preserve"> </w:t>
      </w:r>
      <w:r w:rsidRPr="007C368B">
        <w:rPr>
          <w:sz w:val="20"/>
          <w:szCs w:val="20"/>
        </w:rPr>
        <w:t>performance</w:t>
      </w:r>
      <w:r w:rsidRPr="007C368B">
        <w:rPr>
          <w:spacing w:val="-3"/>
          <w:sz w:val="20"/>
          <w:szCs w:val="20"/>
        </w:rPr>
        <w:t xml:space="preserve"> </w:t>
      </w:r>
      <w:r w:rsidRPr="007C368B">
        <w:rPr>
          <w:sz w:val="20"/>
          <w:szCs w:val="20"/>
        </w:rPr>
        <w:t>status</w:t>
      </w:r>
      <w:r w:rsidRPr="007C368B">
        <w:rPr>
          <w:spacing w:val="-2"/>
          <w:sz w:val="20"/>
          <w:szCs w:val="20"/>
        </w:rPr>
        <w:t xml:space="preserve"> </w:t>
      </w:r>
      <w:r w:rsidRPr="007C368B">
        <w:rPr>
          <w:sz w:val="20"/>
          <w:szCs w:val="20"/>
        </w:rPr>
        <w:t>score</w:t>
      </w:r>
      <w:r w:rsidRPr="007C368B">
        <w:rPr>
          <w:spacing w:val="-3"/>
          <w:sz w:val="20"/>
          <w:szCs w:val="20"/>
        </w:rPr>
        <w:t xml:space="preserve"> </w:t>
      </w:r>
      <w:r w:rsidRPr="007C368B">
        <w:rPr>
          <w:sz w:val="20"/>
          <w:szCs w:val="20"/>
        </w:rPr>
        <w:t>(0-1</w:t>
      </w:r>
      <w:r w:rsidRPr="007C368B">
        <w:rPr>
          <w:spacing w:val="-3"/>
          <w:sz w:val="20"/>
          <w:szCs w:val="20"/>
        </w:rPr>
        <w:t xml:space="preserve"> </w:t>
      </w:r>
      <w:r w:rsidRPr="007C368B">
        <w:rPr>
          <w:sz w:val="20"/>
          <w:szCs w:val="20"/>
        </w:rPr>
        <w:t>vs.</w:t>
      </w:r>
      <w:r w:rsidRPr="007C368B">
        <w:rPr>
          <w:spacing w:val="-1"/>
          <w:sz w:val="20"/>
          <w:szCs w:val="20"/>
        </w:rPr>
        <w:t xml:space="preserve"> </w:t>
      </w:r>
      <w:r w:rsidRPr="007C368B">
        <w:rPr>
          <w:sz w:val="20"/>
          <w:szCs w:val="20"/>
        </w:rPr>
        <w:t>2)</w:t>
      </w:r>
      <w:r w:rsidRPr="007C368B">
        <w:rPr>
          <w:spacing w:val="-2"/>
          <w:sz w:val="20"/>
          <w:szCs w:val="20"/>
        </w:rPr>
        <w:t xml:space="preserve"> </w:t>
      </w:r>
      <w:r w:rsidRPr="007C368B">
        <w:rPr>
          <w:sz w:val="20"/>
          <w:szCs w:val="20"/>
        </w:rPr>
        <w:t>and</w:t>
      </w:r>
      <w:r w:rsidRPr="007C368B">
        <w:rPr>
          <w:spacing w:val="-3"/>
          <w:sz w:val="20"/>
          <w:szCs w:val="20"/>
        </w:rPr>
        <w:t xml:space="preserve"> </w:t>
      </w:r>
      <w:r w:rsidRPr="007C368B">
        <w:rPr>
          <w:sz w:val="20"/>
          <w:szCs w:val="20"/>
        </w:rPr>
        <w:t>mean</w:t>
      </w:r>
      <w:r w:rsidRPr="007C368B">
        <w:rPr>
          <w:spacing w:val="-3"/>
          <w:sz w:val="20"/>
          <w:szCs w:val="20"/>
        </w:rPr>
        <w:t xml:space="preserve"> </w:t>
      </w:r>
      <w:r w:rsidRPr="007C368B">
        <w:rPr>
          <w:sz w:val="20"/>
          <w:szCs w:val="20"/>
        </w:rPr>
        <w:t>pain</w:t>
      </w:r>
      <w:r w:rsidRPr="007C368B">
        <w:rPr>
          <w:spacing w:val="-3"/>
          <w:sz w:val="20"/>
          <w:szCs w:val="20"/>
        </w:rPr>
        <w:t xml:space="preserve"> </w:t>
      </w:r>
      <w:r w:rsidRPr="007C368B">
        <w:rPr>
          <w:sz w:val="20"/>
          <w:szCs w:val="20"/>
        </w:rPr>
        <w:t>score</w:t>
      </w:r>
      <w:r w:rsidR="009508EE" w:rsidRPr="007C368B">
        <w:rPr>
          <w:sz w:val="20"/>
          <w:szCs w:val="20"/>
        </w:rPr>
        <w:t xml:space="preserve"> </w:t>
      </w:r>
      <w:r w:rsidRPr="007C368B">
        <w:rPr>
          <w:sz w:val="20"/>
          <w:szCs w:val="20"/>
        </w:rPr>
        <w:t>(&lt; 4 vs. ≥ 4).</w:t>
      </w:r>
    </w:p>
    <w:p w:rsidR="00360DE0" w:rsidRPr="007C368B" w:rsidRDefault="00360DE0" w:rsidP="009B3F57">
      <w:pPr>
        <w:pStyle w:val="Listeafsnit"/>
        <w:numPr>
          <w:ilvl w:val="2"/>
          <w:numId w:val="9"/>
        </w:numPr>
        <w:tabs>
          <w:tab w:val="left" w:pos="832"/>
        </w:tabs>
        <w:spacing w:before="22"/>
        <w:ind w:left="1134" w:hanging="284"/>
        <w:rPr>
          <w:sz w:val="20"/>
          <w:szCs w:val="20"/>
        </w:rPr>
      </w:pPr>
      <w:r w:rsidRPr="007C368B">
        <w:rPr>
          <w:sz w:val="20"/>
          <w:szCs w:val="20"/>
        </w:rPr>
        <w:t xml:space="preserve">Hazard Ratio is derived from a stratified proportional hazards model. </w:t>
      </w:r>
      <w:r w:rsidRPr="007C368B">
        <w:rPr>
          <w:spacing w:val="-2"/>
          <w:sz w:val="20"/>
          <w:szCs w:val="20"/>
        </w:rPr>
        <w:t xml:space="preserve">Hazard </w:t>
      </w:r>
      <w:r w:rsidRPr="007C368B">
        <w:rPr>
          <w:sz w:val="20"/>
          <w:szCs w:val="20"/>
        </w:rPr>
        <w:t xml:space="preserve">ratio &lt; 1 </w:t>
      </w:r>
      <w:proofErr w:type="spellStart"/>
      <w:r w:rsidRPr="007C368B">
        <w:rPr>
          <w:sz w:val="20"/>
          <w:szCs w:val="20"/>
        </w:rPr>
        <w:t>favours</w:t>
      </w:r>
      <w:proofErr w:type="spellEnd"/>
      <w:r w:rsidRPr="007C368B">
        <w:rPr>
          <w:spacing w:val="-24"/>
          <w:sz w:val="20"/>
          <w:szCs w:val="20"/>
        </w:rPr>
        <w:t xml:space="preserve"> </w:t>
      </w:r>
      <w:r w:rsidRPr="007C368B">
        <w:rPr>
          <w:sz w:val="20"/>
          <w:szCs w:val="20"/>
        </w:rPr>
        <w:t>enzalutamide.</w:t>
      </w:r>
    </w:p>
    <w:p w:rsidR="00360DE0" w:rsidRPr="00B23B00" w:rsidRDefault="00360DE0" w:rsidP="00360DE0">
      <w:pPr>
        <w:rPr>
          <w:sz w:val="24"/>
          <w:szCs w:val="24"/>
        </w:rPr>
      </w:pPr>
    </w:p>
    <w:p w:rsidR="00360DE0" w:rsidRPr="00B23B00" w:rsidRDefault="00360DE0" w:rsidP="009508EE">
      <w:pPr>
        <w:rPr>
          <w:sz w:val="24"/>
          <w:szCs w:val="24"/>
        </w:rPr>
      </w:pPr>
    </w:p>
    <w:p w:rsidR="00360DE0" w:rsidRPr="00B23B00" w:rsidRDefault="00360DE0" w:rsidP="009508EE">
      <w:pPr>
        <w:rPr>
          <w:sz w:val="24"/>
          <w:szCs w:val="24"/>
        </w:rPr>
      </w:pPr>
      <w:r w:rsidRPr="00B23B00">
        <w:rPr>
          <w:noProof/>
          <w:sz w:val="24"/>
          <w:szCs w:val="24"/>
        </w:rPr>
        <w:drawing>
          <wp:inline distT="0" distB="0" distL="0" distR="0" wp14:anchorId="75844AD6" wp14:editId="2EB4CD61">
            <wp:extent cx="5524500" cy="4159250"/>
            <wp:effectExtent l="0" t="0" r="0" b="0"/>
            <wp:docPr id="2" name="Billede 2" descr="CCDS_Figure1_05Jan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descr="CCDS_Figure1_05Jan20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24500" cy="4159250"/>
                    </a:xfrm>
                    <a:prstGeom prst="rect">
                      <a:avLst/>
                    </a:prstGeom>
                    <a:noFill/>
                    <a:ln>
                      <a:noFill/>
                    </a:ln>
                  </pic:spPr>
                </pic:pic>
              </a:graphicData>
            </a:graphic>
          </wp:inline>
        </w:drawing>
      </w:r>
    </w:p>
    <w:p w:rsidR="00360DE0" w:rsidRPr="00B23B00" w:rsidRDefault="00360DE0" w:rsidP="009508EE">
      <w:pPr>
        <w:rPr>
          <w:b/>
          <w:bCs/>
          <w:sz w:val="24"/>
          <w:szCs w:val="24"/>
        </w:rPr>
      </w:pPr>
    </w:p>
    <w:p w:rsidR="009508EE" w:rsidRPr="00B23B00" w:rsidRDefault="009508EE" w:rsidP="009508EE">
      <w:pPr>
        <w:rPr>
          <w:sz w:val="24"/>
          <w:szCs w:val="24"/>
        </w:rPr>
      </w:pPr>
    </w:p>
    <w:p w:rsidR="00741947" w:rsidRDefault="00741947" w:rsidP="009508EE">
      <w:pPr>
        <w:rPr>
          <w:b/>
          <w:bCs/>
          <w:sz w:val="24"/>
          <w:szCs w:val="24"/>
          <w:lang w:val="en-US"/>
        </w:rPr>
      </w:pPr>
    </w:p>
    <w:p w:rsidR="00360DE0" w:rsidRPr="00B23B00" w:rsidRDefault="00360DE0" w:rsidP="009508EE">
      <w:pPr>
        <w:rPr>
          <w:b/>
          <w:bCs/>
          <w:sz w:val="24"/>
          <w:szCs w:val="24"/>
          <w:lang w:val="en-US"/>
        </w:rPr>
      </w:pPr>
      <w:r w:rsidRPr="00B23B00">
        <w:rPr>
          <w:b/>
          <w:bCs/>
          <w:sz w:val="24"/>
          <w:szCs w:val="24"/>
          <w:lang w:val="en-US"/>
        </w:rPr>
        <w:t xml:space="preserve">Figure </w:t>
      </w:r>
      <w:r w:rsidR="009B3F57">
        <w:rPr>
          <w:b/>
          <w:bCs/>
          <w:sz w:val="24"/>
          <w:szCs w:val="24"/>
          <w:lang w:val="en-US"/>
        </w:rPr>
        <w:t>1</w:t>
      </w:r>
      <w:r w:rsidR="00A619F4">
        <w:rPr>
          <w:b/>
          <w:bCs/>
          <w:sz w:val="24"/>
          <w:szCs w:val="24"/>
          <w:lang w:val="en-US"/>
        </w:rPr>
        <w:t>2</w:t>
      </w:r>
      <w:r w:rsidRPr="00B23B00">
        <w:rPr>
          <w:b/>
          <w:bCs/>
          <w:sz w:val="24"/>
          <w:szCs w:val="24"/>
          <w:lang w:val="en-US"/>
        </w:rPr>
        <w:t>: Kaplan-Meier curves of overall survival in the AFFIRM study (intent-to-treat analysis)</w:t>
      </w:r>
    </w:p>
    <w:p w:rsidR="00360DE0" w:rsidRPr="00B23B00" w:rsidRDefault="00360DE0" w:rsidP="009508EE">
      <w:pPr>
        <w:pStyle w:val="Brdtekst"/>
        <w:keepNext/>
        <w:rPr>
          <w:b/>
          <w:sz w:val="24"/>
          <w:szCs w:val="24"/>
        </w:rPr>
      </w:pPr>
    </w:p>
    <w:p w:rsidR="00360DE0" w:rsidRPr="00B23B00" w:rsidRDefault="00360DE0" w:rsidP="009508EE">
      <w:pPr>
        <w:pStyle w:val="Brdtekst"/>
        <w:keepNext/>
        <w:rPr>
          <w:b/>
          <w:sz w:val="24"/>
          <w:szCs w:val="24"/>
        </w:rPr>
      </w:pPr>
      <w:r w:rsidRPr="00B23B00">
        <w:rPr>
          <w:noProof/>
          <w:sz w:val="24"/>
          <w:szCs w:val="24"/>
        </w:rPr>
        <w:drawing>
          <wp:inline distT="0" distB="0" distL="0" distR="0" wp14:anchorId="503DC379" wp14:editId="41320557">
            <wp:extent cx="5671820" cy="2945130"/>
            <wp:effectExtent l="0" t="0" r="5080" b="7620"/>
            <wp:docPr id="6" name="Billede 6" descr="SmPC fig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png" descr="SmPC fig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71820" cy="2945130"/>
                    </a:xfrm>
                    <a:prstGeom prst="rect">
                      <a:avLst/>
                    </a:prstGeom>
                    <a:noFill/>
                  </pic:spPr>
                </pic:pic>
              </a:graphicData>
            </a:graphic>
          </wp:inline>
        </w:drawing>
      </w:r>
    </w:p>
    <w:p w:rsidR="00360DE0" w:rsidRPr="00A31852" w:rsidRDefault="00360DE0" w:rsidP="00741947">
      <w:pPr>
        <w:keepNext/>
        <w:ind w:left="851"/>
        <w:rPr>
          <w:sz w:val="20"/>
          <w:lang w:val="en-US"/>
        </w:rPr>
      </w:pPr>
      <w:r w:rsidRPr="00A31852">
        <w:rPr>
          <w:sz w:val="20"/>
          <w:lang w:val="en-US"/>
        </w:rPr>
        <w:t>ECOG: Eastern Cooperative Oncology Group; BPI-SF: Brief Pain Inventory-Short Form; PSA: Prostate Specific Antigen</w:t>
      </w:r>
    </w:p>
    <w:p w:rsidR="00360DE0" w:rsidRPr="00B23B00" w:rsidRDefault="00360DE0" w:rsidP="009508EE">
      <w:pPr>
        <w:keepNext/>
        <w:ind w:left="851"/>
        <w:rPr>
          <w:sz w:val="24"/>
          <w:szCs w:val="24"/>
          <w:lang w:val="en-US"/>
        </w:rPr>
      </w:pPr>
    </w:p>
    <w:p w:rsidR="00360DE0" w:rsidRPr="00B23B00" w:rsidRDefault="00360DE0" w:rsidP="00741947">
      <w:pPr>
        <w:keepNext/>
        <w:ind w:left="851"/>
        <w:rPr>
          <w:b/>
          <w:sz w:val="24"/>
          <w:szCs w:val="24"/>
          <w:lang w:val="en-US"/>
        </w:rPr>
      </w:pPr>
      <w:r w:rsidRPr="00B23B00">
        <w:rPr>
          <w:b/>
          <w:sz w:val="24"/>
          <w:szCs w:val="24"/>
          <w:lang w:val="en-US"/>
        </w:rPr>
        <w:t>Figure 1</w:t>
      </w:r>
      <w:r w:rsidR="00A619F4">
        <w:rPr>
          <w:b/>
          <w:sz w:val="24"/>
          <w:szCs w:val="24"/>
          <w:lang w:val="en-US"/>
        </w:rPr>
        <w:t>3</w:t>
      </w:r>
      <w:r w:rsidRPr="00B23B00">
        <w:rPr>
          <w:b/>
          <w:sz w:val="24"/>
          <w:szCs w:val="24"/>
          <w:lang w:val="en-US"/>
        </w:rPr>
        <w:t>: Overall survival by subgroup in the AFFIRM study – Hazard ratio and 95</w:t>
      </w:r>
      <w:r w:rsidR="00B23B00" w:rsidRPr="00B23B00">
        <w:rPr>
          <w:b/>
          <w:sz w:val="24"/>
          <w:szCs w:val="24"/>
          <w:lang w:val="en-US"/>
        </w:rPr>
        <w:t xml:space="preserve"> %</w:t>
      </w:r>
      <w:r w:rsidRPr="00B23B00">
        <w:rPr>
          <w:b/>
          <w:sz w:val="24"/>
          <w:szCs w:val="24"/>
          <w:lang w:val="en-US"/>
        </w:rPr>
        <w:t xml:space="preserve"> confidence interval</w:t>
      </w:r>
    </w:p>
    <w:p w:rsidR="00360DE0" w:rsidRPr="00B23B00" w:rsidRDefault="00360DE0" w:rsidP="00DE37FA">
      <w:pPr>
        <w:ind w:left="851"/>
        <w:rPr>
          <w:sz w:val="24"/>
          <w:szCs w:val="24"/>
          <w:lang w:val="en-US"/>
        </w:rPr>
      </w:pPr>
    </w:p>
    <w:p w:rsidR="00360DE0" w:rsidRPr="00B23B00" w:rsidRDefault="00360DE0" w:rsidP="00DE37FA">
      <w:pPr>
        <w:ind w:left="851"/>
        <w:rPr>
          <w:sz w:val="24"/>
          <w:szCs w:val="24"/>
          <w:lang w:val="en-US"/>
        </w:rPr>
      </w:pPr>
      <w:r w:rsidRPr="00B23B00">
        <w:rPr>
          <w:sz w:val="24"/>
          <w:szCs w:val="24"/>
          <w:lang w:val="en-US"/>
        </w:rPr>
        <w:t xml:space="preserve">In addition to the observed improvement in overall survival, key secondary endpoints (PSA progression, radiographic progression-free survival, and time to first skeletal-related event) </w:t>
      </w:r>
      <w:proofErr w:type="spellStart"/>
      <w:r w:rsidRPr="00B23B00">
        <w:rPr>
          <w:sz w:val="24"/>
          <w:szCs w:val="24"/>
          <w:lang w:val="en-US"/>
        </w:rPr>
        <w:t>favoured</w:t>
      </w:r>
      <w:proofErr w:type="spellEnd"/>
      <w:r w:rsidRPr="00B23B00">
        <w:rPr>
          <w:sz w:val="24"/>
          <w:szCs w:val="24"/>
          <w:lang w:val="en-US"/>
        </w:rPr>
        <w:t xml:space="preserve"> enzalutamide and were statistically significant after adjusting for multiple testing.</w:t>
      </w:r>
    </w:p>
    <w:p w:rsidR="00360DE0" w:rsidRPr="00B23B00" w:rsidRDefault="00360DE0" w:rsidP="00DE37FA">
      <w:pPr>
        <w:ind w:left="851"/>
        <w:rPr>
          <w:sz w:val="24"/>
          <w:szCs w:val="24"/>
          <w:lang w:val="en-US"/>
        </w:rPr>
      </w:pPr>
    </w:p>
    <w:p w:rsidR="00360DE0" w:rsidRPr="00B23B00" w:rsidRDefault="00360DE0" w:rsidP="00DE37FA">
      <w:pPr>
        <w:ind w:left="851"/>
        <w:rPr>
          <w:sz w:val="24"/>
          <w:szCs w:val="24"/>
          <w:lang w:val="en-US"/>
        </w:rPr>
      </w:pPr>
      <w:r w:rsidRPr="00B23B00">
        <w:rPr>
          <w:sz w:val="24"/>
          <w:szCs w:val="24"/>
          <w:lang w:val="en-US"/>
        </w:rPr>
        <w:t>Radiographic progression-free survival as assessed by the investigator using RECIST v 1.1 for soft tissue and appearance of 2 or more bone lesions in bone scan was 8.3 months for patients treated with enzalutamide and 2.9 months for patients who received placebo [HR = 0.40 (95</w:t>
      </w:r>
      <w:r w:rsidR="00B23B00" w:rsidRPr="00B23B00">
        <w:rPr>
          <w:sz w:val="24"/>
          <w:szCs w:val="24"/>
          <w:lang w:val="en-US"/>
        </w:rPr>
        <w:t xml:space="preserve"> %</w:t>
      </w:r>
      <w:r w:rsidRPr="00B23B00">
        <w:rPr>
          <w:sz w:val="24"/>
          <w:szCs w:val="24"/>
          <w:lang w:val="en-US"/>
        </w:rPr>
        <w:t xml:space="preserve"> CI: 0.35, 0.47), p &lt; 0.0001]. The analysis involved 216 deaths without documented progression and 645 documented progression events, of which 303 (47</w:t>
      </w:r>
      <w:r w:rsidR="00B23B00" w:rsidRPr="00B23B00">
        <w:rPr>
          <w:sz w:val="24"/>
          <w:szCs w:val="24"/>
          <w:lang w:val="en-US"/>
        </w:rPr>
        <w:t xml:space="preserve"> %</w:t>
      </w:r>
      <w:r w:rsidRPr="00B23B00">
        <w:rPr>
          <w:sz w:val="24"/>
          <w:szCs w:val="24"/>
          <w:lang w:val="en-US"/>
        </w:rPr>
        <w:t>) were due to soft tissue progression, 268 (42</w:t>
      </w:r>
      <w:r w:rsidR="00B23B00" w:rsidRPr="00B23B00">
        <w:rPr>
          <w:sz w:val="24"/>
          <w:szCs w:val="24"/>
          <w:lang w:val="en-US"/>
        </w:rPr>
        <w:t xml:space="preserve"> %</w:t>
      </w:r>
      <w:r w:rsidRPr="00B23B00">
        <w:rPr>
          <w:sz w:val="24"/>
          <w:szCs w:val="24"/>
          <w:lang w:val="en-US"/>
        </w:rPr>
        <w:t>) were due to bone lesion progression and 74 (11</w:t>
      </w:r>
      <w:r w:rsidR="00B23B00" w:rsidRPr="00B23B00">
        <w:rPr>
          <w:sz w:val="24"/>
          <w:szCs w:val="24"/>
          <w:lang w:val="en-US"/>
        </w:rPr>
        <w:t xml:space="preserve"> %</w:t>
      </w:r>
      <w:r w:rsidRPr="00B23B00">
        <w:rPr>
          <w:sz w:val="24"/>
          <w:szCs w:val="24"/>
          <w:lang w:val="en-US"/>
        </w:rPr>
        <w:t>) were due to both soft tissue and bone lesions.</w:t>
      </w:r>
    </w:p>
    <w:p w:rsidR="00360DE0" w:rsidRPr="00B23B00" w:rsidRDefault="00360DE0" w:rsidP="00DE37FA">
      <w:pPr>
        <w:ind w:left="851"/>
        <w:rPr>
          <w:sz w:val="24"/>
          <w:szCs w:val="24"/>
          <w:lang w:val="en-US"/>
        </w:rPr>
      </w:pPr>
    </w:p>
    <w:p w:rsidR="00360DE0" w:rsidRPr="00B23B00" w:rsidRDefault="00360DE0" w:rsidP="00DE37FA">
      <w:pPr>
        <w:ind w:left="851"/>
        <w:rPr>
          <w:sz w:val="24"/>
          <w:szCs w:val="24"/>
          <w:lang w:val="en-US"/>
        </w:rPr>
      </w:pPr>
      <w:r w:rsidRPr="00B23B00">
        <w:rPr>
          <w:sz w:val="24"/>
          <w:szCs w:val="24"/>
          <w:lang w:val="en-US"/>
        </w:rPr>
        <w:t>Confirmed PSA decline of 50</w:t>
      </w:r>
      <w:r w:rsidR="00B23B00" w:rsidRPr="00B23B00">
        <w:rPr>
          <w:sz w:val="24"/>
          <w:szCs w:val="24"/>
          <w:lang w:val="en-US"/>
        </w:rPr>
        <w:t xml:space="preserve"> %</w:t>
      </w:r>
      <w:r w:rsidRPr="00B23B00">
        <w:rPr>
          <w:sz w:val="24"/>
          <w:szCs w:val="24"/>
          <w:lang w:val="en-US"/>
        </w:rPr>
        <w:t xml:space="preserve"> or 90</w:t>
      </w:r>
      <w:r w:rsidR="00B23B00" w:rsidRPr="00B23B00">
        <w:rPr>
          <w:sz w:val="24"/>
          <w:szCs w:val="24"/>
          <w:lang w:val="en-US"/>
        </w:rPr>
        <w:t xml:space="preserve"> %</w:t>
      </w:r>
      <w:r w:rsidRPr="00B23B00">
        <w:rPr>
          <w:sz w:val="24"/>
          <w:szCs w:val="24"/>
          <w:lang w:val="en-US"/>
        </w:rPr>
        <w:t xml:space="preserve"> were 54.0</w:t>
      </w:r>
      <w:r w:rsidR="00B23B00" w:rsidRPr="00B23B00">
        <w:rPr>
          <w:sz w:val="24"/>
          <w:szCs w:val="24"/>
          <w:lang w:val="en-US"/>
        </w:rPr>
        <w:t xml:space="preserve"> %</w:t>
      </w:r>
      <w:r w:rsidRPr="00B23B00">
        <w:rPr>
          <w:sz w:val="24"/>
          <w:szCs w:val="24"/>
          <w:lang w:val="en-US"/>
        </w:rPr>
        <w:t xml:space="preserve"> and 24.8</w:t>
      </w:r>
      <w:r w:rsidR="00B23B00" w:rsidRPr="00B23B00">
        <w:rPr>
          <w:sz w:val="24"/>
          <w:szCs w:val="24"/>
          <w:lang w:val="en-US"/>
        </w:rPr>
        <w:t xml:space="preserve"> %</w:t>
      </w:r>
      <w:r w:rsidRPr="00B23B00">
        <w:rPr>
          <w:sz w:val="24"/>
          <w:szCs w:val="24"/>
          <w:lang w:val="en-US"/>
        </w:rPr>
        <w:t>, respectively, for patients treated with enzalutamide and 1.5</w:t>
      </w:r>
      <w:r w:rsidR="00B23B00" w:rsidRPr="00B23B00">
        <w:rPr>
          <w:sz w:val="24"/>
          <w:szCs w:val="24"/>
          <w:lang w:val="en-US"/>
        </w:rPr>
        <w:t xml:space="preserve"> %</w:t>
      </w:r>
      <w:r w:rsidRPr="00B23B00">
        <w:rPr>
          <w:sz w:val="24"/>
          <w:szCs w:val="24"/>
          <w:lang w:val="en-US"/>
        </w:rPr>
        <w:t xml:space="preserve"> and 0.9</w:t>
      </w:r>
      <w:r w:rsidR="00B23B00" w:rsidRPr="00B23B00">
        <w:rPr>
          <w:sz w:val="24"/>
          <w:szCs w:val="24"/>
          <w:lang w:val="en-US"/>
        </w:rPr>
        <w:t xml:space="preserve"> %</w:t>
      </w:r>
      <w:r w:rsidRPr="00B23B00">
        <w:rPr>
          <w:sz w:val="24"/>
          <w:szCs w:val="24"/>
          <w:lang w:val="en-US"/>
        </w:rPr>
        <w:t>, respectively, for patients who received placebo (p &lt; 0.0001). The median time to PSA progression was 8.3 months for patients treated with enzalutamide and 3.0 months for patients who received placebo [HR = 0.25 (95</w:t>
      </w:r>
      <w:r w:rsidR="00B23B00" w:rsidRPr="00B23B00">
        <w:rPr>
          <w:sz w:val="24"/>
          <w:szCs w:val="24"/>
          <w:lang w:val="en-US"/>
        </w:rPr>
        <w:t xml:space="preserve"> %</w:t>
      </w:r>
      <w:r w:rsidRPr="00B23B00">
        <w:rPr>
          <w:sz w:val="24"/>
          <w:szCs w:val="24"/>
          <w:lang w:val="en-US"/>
        </w:rPr>
        <w:t xml:space="preserve"> CI: 0.20, 0.30), p &lt; 0.0001].</w:t>
      </w:r>
    </w:p>
    <w:p w:rsidR="00360DE0" w:rsidRPr="00B23B00" w:rsidRDefault="00360DE0" w:rsidP="00DE37FA">
      <w:pPr>
        <w:ind w:left="851"/>
        <w:rPr>
          <w:sz w:val="24"/>
          <w:szCs w:val="24"/>
          <w:lang w:val="en-US"/>
        </w:rPr>
      </w:pPr>
    </w:p>
    <w:p w:rsidR="00360DE0" w:rsidRPr="00B23B00" w:rsidRDefault="00360DE0" w:rsidP="00DE37FA">
      <w:pPr>
        <w:ind w:left="851"/>
        <w:rPr>
          <w:sz w:val="24"/>
          <w:szCs w:val="24"/>
          <w:lang w:val="en-US"/>
        </w:rPr>
      </w:pPr>
      <w:r w:rsidRPr="00B23B00">
        <w:rPr>
          <w:sz w:val="24"/>
          <w:szCs w:val="24"/>
          <w:lang w:val="en-US"/>
        </w:rPr>
        <w:t>The median time to first skeletal-related event was 16.7 months for patients treated with enzalutamide and 13.3 months for patients who received placebo [HR = 0.69 (95</w:t>
      </w:r>
      <w:r w:rsidR="00B23B00" w:rsidRPr="00B23B00">
        <w:rPr>
          <w:sz w:val="24"/>
          <w:szCs w:val="24"/>
          <w:lang w:val="en-US"/>
        </w:rPr>
        <w:t xml:space="preserve"> %</w:t>
      </w:r>
      <w:r w:rsidRPr="00B23B00">
        <w:rPr>
          <w:sz w:val="24"/>
          <w:szCs w:val="24"/>
          <w:lang w:val="en-US"/>
        </w:rPr>
        <w:t xml:space="preserve"> CI: 0.57, 0.84), p &lt; 0.0001]. A skeletal-related event was defined as radiation therapy or surgery to bone, pathologic bone fracture, spinal cord compression or change of antineoplastic therapy to treat bone pain. The analysis involved 448 skeletal-related events, of which 277 events (62</w:t>
      </w:r>
      <w:r w:rsidR="00B23B00" w:rsidRPr="00B23B00">
        <w:rPr>
          <w:sz w:val="24"/>
          <w:szCs w:val="24"/>
          <w:lang w:val="en-US"/>
        </w:rPr>
        <w:t xml:space="preserve"> %</w:t>
      </w:r>
      <w:r w:rsidRPr="00B23B00">
        <w:rPr>
          <w:sz w:val="24"/>
          <w:szCs w:val="24"/>
          <w:lang w:val="en-US"/>
        </w:rPr>
        <w:t>) were radiation to bone, 95 events (21</w:t>
      </w:r>
      <w:r w:rsidR="00B23B00" w:rsidRPr="00B23B00">
        <w:rPr>
          <w:sz w:val="24"/>
          <w:szCs w:val="24"/>
          <w:lang w:val="en-US"/>
        </w:rPr>
        <w:t xml:space="preserve"> %</w:t>
      </w:r>
      <w:r w:rsidRPr="00B23B00">
        <w:rPr>
          <w:sz w:val="24"/>
          <w:szCs w:val="24"/>
          <w:lang w:val="en-US"/>
        </w:rPr>
        <w:t>) were spinal cord compression, 47 events (10</w:t>
      </w:r>
      <w:r w:rsidR="00B23B00" w:rsidRPr="00B23B00">
        <w:rPr>
          <w:sz w:val="24"/>
          <w:szCs w:val="24"/>
          <w:lang w:val="en-US"/>
        </w:rPr>
        <w:t xml:space="preserve"> %</w:t>
      </w:r>
      <w:r w:rsidRPr="00B23B00">
        <w:rPr>
          <w:sz w:val="24"/>
          <w:szCs w:val="24"/>
          <w:lang w:val="en-US"/>
        </w:rPr>
        <w:t>) were pathologic bone fracture, 36 events (8</w:t>
      </w:r>
      <w:r w:rsidR="00B23B00" w:rsidRPr="00B23B00">
        <w:rPr>
          <w:sz w:val="24"/>
          <w:szCs w:val="24"/>
          <w:lang w:val="en-US"/>
        </w:rPr>
        <w:t xml:space="preserve"> %</w:t>
      </w:r>
      <w:r w:rsidRPr="00B23B00">
        <w:rPr>
          <w:sz w:val="24"/>
          <w:szCs w:val="24"/>
          <w:lang w:val="en-US"/>
        </w:rPr>
        <w:t xml:space="preserve">) were </w:t>
      </w:r>
      <w:r w:rsidRPr="00B23B00">
        <w:rPr>
          <w:sz w:val="24"/>
          <w:szCs w:val="24"/>
          <w:lang w:val="en-US"/>
        </w:rPr>
        <w:lastRenderedPageBreak/>
        <w:t>change in antineoplastic therapy to treat bone pain, and 7 events (2</w:t>
      </w:r>
      <w:r w:rsidR="00B23B00" w:rsidRPr="00B23B00">
        <w:rPr>
          <w:sz w:val="24"/>
          <w:szCs w:val="24"/>
          <w:lang w:val="en-US"/>
        </w:rPr>
        <w:t xml:space="preserve"> %</w:t>
      </w:r>
      <w:r w:rsidRPr="00B23B00">
        <w:rPr>
          <w:sz w:val="24"/>
          <w:szCs w:val="24"/>
          <w:lang w:val="en-US"/>
        </w:rPr>
        <w:t>) were surgery to bone.</w:t>
      </w:r>
    </w:p>
    <w:p w:rsidR="00360DE0" w:rsidRPr="00B23B00" w:rsidRDefault="00360DE0" w:rsidP="00DE37FA">
      <w:pPr>
        <w:ind w:left="851"/>
        <w:rPr>
          <w:sz w:val="24"/>
          <w:szCs w:val="24"/>
          <w:lang w:val="en-US"/>
        </w:rPr>
      </w:pPr>
    </w:p>
    <w:p w:rsidR="00360DE0" w:rsidRPr="00B23B00" w:rsidRDefault="00360DE0" w:rsidP="00DE37FA">
      <w:pPr>
        <w:ind w:left="851"/>
        <w:rPr>
          <w:i/>
          <w:sz w:val="24"/>
          <w:szCs w:val="24"/>
          <w:lang w:val="en-US"/>
        </w:rPr>
      </w:pPr>
      <w:r w:rsidRPr="00B23B00">
        <w:rPr>
          <w:i/>
          <w:sz w:val="24"/>
          <w:szCs w:val="24"/>
          <w:lang w:val="en-US"/>
        </w:rPr>
        <w:t>9785-CL-0410 study (enzalutamide post abiraterone in patients with metastatic CRPC)</w:t>
      </w:r>
    </w:p>
    <w:p w:rsidR="00360DE0" w:rsidRPr="00B23B00" w:rsidRDefault="00360DE0" w:rsidP="00DE37FA">
      <w:pPr>
        <w:ind w:left="851"/>
        <w:rPr>
          <w:sz w:val="24"/>
          <w:szCs w:val="24"/>
          <w:lang w:val="en-US"/>
        </w:rPr>
      </w:pPr>
    </w:p>
    <w:p w:rsidR="00360DE0" w:rsidRPr="00B23B00" w:rsidRDefault="00360DE0" w:rsidP="00DE37FA">
      <w:pPr>
        <w:ind w:left="851"/>
        <w:rPr>
          <w:sz w:val="24"/>
          <w:szCs w:val="24"/>
          <w:lang w:val="en-US"/>
        </w:rPr>
      </w:pPr>
      <w:r w:rsidRPr="00B23B00">
        <w:rPr>
          <w:sz w:val="24"/>
          <w:szCs w:val="24"/>
          <w:lang w:val="en-US"/>
        </w:rPr>
        <w:t xml:space="preserve">The study was a single-arm study in 214 patients with progressing metastatic CRPC who received enzalutamide (160 mg once daily) after at least 24 weeks of treatment with abiraterone acetate plus prednisone. Median </w:t>
      </w:r>
      <w:proofErr w:type="spellStart"/>
      <w:r w:rsidRPr="00B23B00">
        <w:rPr>
          <w:sz w:val="24"/>
          <w:szCs w:val="24"/>
          <w:lang w:val="en-US"/>
        </w:rPr>
        <w:t>rPFS</w:t>
      </w:r>
      <w:proofErr w:type="spellEnd"/>
      <w:r w:rsidRPr="00B23B00">
        <w:rPr>
          <w:sz w:val="24"/>
          <w:szCs w:val="24"/>
          <w:lang w:val="en-US"/>
        </w:rPr>
        <w:t xml:space="preserve"> (radiologic progression free survival, the study´s primary endpoint) was 8.1 months (95</w:t>
      </w:r>
      <w:r w:rsidR="00B23B00" w:rsidRPr="00B23B00">
        <w:rPr>
          <w:sz w:val="24"/>
          <w:szCs w:val="24"/>
          <w:lang w:val="en-US"/>
        </w:rPr>
        <w:t xml:space="preserve"> %</w:t>
      </w:r>
      <w:r w:rsidRPr="00B23B00">
        <w:rPr>
          <w:sz w:val="24"/>
          <w:szCs w:val="24"/>
          <w:lang w:val="en-US"/>
        </w:rPr>
        <w:t xml:space="preserve"> CI: 6.1, 8.3). Median OS was not reached. PSA Response (defined as ≥ 50</w:t>
      </w:r>
      <w:r w:rsidR="00B23B00" w:rsidRPr="00B23B00">
        <w:rPr>
          <w:sz w:val="24"/>
          <w:szCs w:val="24"/>
          <w:lang w:val="en-US"/>
        </w:rPr>
        <w:t xml:space="preserve"> %</w:t>
      </w:r>
      <w:r w:rsidRPr="00B23B00">
        <w:rPr>
          <w:sz w:val="24"/>
          <w:szCs w:val="24"/>
          <w:lang w:val="en-US"/>
        </w:rPr>
        <w:t xml:space="preserve"> decrease from baseline) was 22.4</w:t>
      </w:r>
      <w:r w:rsidR="00B23B00" w:rsidRPr="00B23B00">
        <w:rPr>
          <w:sz w:val="24"/>
          <w:szCs w:val="24"/>
          <w:lang w:val="en-US"/>
        </w:rPr>
        <w:t xml:space="preserve"> %</w:t>
      </w:r>
      <w:r w:rsidRPr="00B23B00">
        <w:rPr>
          <w:sz w:val="24"/>
          <w:szCs w:val="24"/>
          <w:lang w:val="en-US"/>
        </w:rPr>
        <w:t xml:space="preserve"> (95</w:t>
      </w:r>
      <w:r w:rsidR="00B23B00" w:rsidRPr="00B23B00">
        <w:rPr>
          <w:sz w:val="24"/>
          <w:szCs w:val="24"/>
          <w:lang w:val="en-US"/>
        </w:rPr>
        <w:t xml:space="preserve"> %</w:t>
      </w:r>
      <w:r w:rsidRPr="00B23B00">
        <w:rPr>
          <w:sz w:val="24"/>
          <w:szCs w:val="24"/>
          <w:lang w:val="en-US"/>
        </w:rPr>
        <w:t xml:space="preserve"> CI: 17.0, 28.6). For the 69 patients who previously received chemotherapy, median </w:t>
      </w:r>
      <w:proofErr w:type="spellStart"/>
      <w:r w:rsidRPr="00B23B00">
        <w:rPr>
          <w:sz w:val="24"/>
          <w:szCs w:val="24"/>
          <w:lang w:val="en-US"/>
        </w:rPr>
        <w:t>rPFS</w:t>
      </w:r>
      <w:proofErr w:type="spellEnd"/>
      <w:r w:rsidRPr="00B23B00">
        <w:rPr>
          <w:sz w:val="24"/>
          <w:szCs w:val="24"/>
          <w:lang w:val="en-US"/>
        </w:rPr>
        <w:t xml:space="preserve"> was 7.9 months (95</w:t>
      </w:r>
      <w:r w:rsidR="00B23B00" w:rsidRPr="00B23B00">
        <w:rPr>
          <w:sz w:val="24"/>
          <w:szCs w:val="24"/>
          <w:lang w:val="en-US"/>
        </w:rPr>
        <w:t xml:space="preserve"> %</w:t>
      </w:r>
      <w:r w:rsidRPr="00B23B00">
        <w:rPr>
          <w:sz w:val="24"/>
          <w:szCs w:val="24"/>
          <w:lang w:val="en-US"/>
        </w:rPr>
        <w:t xml:space="preserve"> CI: 5.5, 10.8). PSA Response was 23.2</w:t>
      </w:r>
      <w:r w:rsidR="00B23B00" w:rsidRPr="00B23B00">
        <w:rPr>
          <w:sz w:val="24"/>
          <w:szCs w:val="24"/>
          <w:lang w:val="en-US"/>
        </w:rPr>
        <w:t xml:space="preserve"> %</w:t>
      </w:r>
      <w:r w:rsidRPr="00B23B00">
        <w:rPr>
          <w:sz w:val="24"/>
          <w:szCs w:val="24"/>
          <w:lang w:val="en-US"/>
        </w:rPr>
        <w:t xml:space="preserve"> (95</w:t>
      </w:r>
      <w:r w:rsidR="00B23B00" w:rsidRPr="00B23B00">
        <w:rPr>
          <w:sz w:val="24"/>
          <w:szCs w:val="24"/>
          <w:lang w:val="en-US"/>
        </w:rPr>
        <w:t xml:space="preserve"> %</w:t>
      </w:r>
      <w:r w:rsidRPr="00B23B00">
        <w:rPr>
          <w:sz w:val="24"/>
          <w:szCs w:val="24"/>
          <w:lang w:val="en-US"/>
        </w:rPr>
        <w:t xml:space="preserve"> CI: 13.9, 34.9). For the 145 patients who had no previous chemotherapy, median </w:t>
      </w:r>
      <w:proofErr w:type="spellStart"/>
      <w:r w:rsidRPr="00B23B00">
        <w:rPr>
          <w:sz w:val="24"/>
          <w:szCs w:val="24"/>
          <w:lang w:val="en-US"/>
        </w:rPr>
        <w:t>rPFS</w:t>
      </w:r>
      <w:proofErr w:type="spellEnd"/>
      <w:r w:rsidRPr="00B23B00">
        <w:rPr>
          <w:sz w:val="24"/>
          <w:szCs w:val="24"/>
          <w:lang w:val="en-US"/>
        </w:rPr>
        <w:t xml:space="preserve"> was 8.1 months (95</w:t>
      </w:r>
      <w:r w:rsidR="00B23B00" w:rsidRPr="00B23B00">
        <w:rPr>
          <w:sz w:val="24"/>
          <w:szCs w:val="24"/>
          <w:lang w:val="en-US"/>
        </w:rPr>
        <w:t xml:space="preserve"> %</w:t>
      </w:r>
      <w:r w:rsidRPr="00B23B00">
        <w:rPr>
          <w:sz w:val="24"/>
          <w:szCs w:val="24"/>
          <w:lang w:val="en-US"/>
        </w:rPr>
        <w:t xml:space="preserve"> CI: 5.7, 8.3). PSA Response was 22.1</w:t>
      </w:r>
      <w:r w:rsidR="00B23B00" w:rsidRPr="00B23B00">
        <w:rPr>
          <w:sz w:val="24"/>
          <w:szCs w:val="24"/>
          <w:lang w:val="en-US"/>
        </w:rPr>
        <w:t xml:space="preserve"> %</w:t>
      </w:r>
      <w:r w:rsidRPr="00B23B00">
        <w:rPr>
          <w:sz w:val="24"/>
          <w:szCs w:val="24"/>
          <w:lang w:val="en-US"/>
        </w:rPr>
        <w:t xml:space="preserve"> (95</w:t>
      </w:r>
      <w:r w:rsidR="00B23B00" w:rsidRPr="00B23B00">
        <w:rPr>
          <w:sz w:val="24"/>
          <w:szCs w:val="24"/>
          <w:lang w:val="en-US"/>
        </w:rPr>
        <w:t xml:space="preserve"> %</w:t>
      </w:r>
      <w:r w:rsidRPr="00B23B00">
        <w:rPr>
          <w:sz w:val="24"/>
          <w:szCs w:val="24"/>
          <w:lang w:val="en-US"/>
        </w:rPr>
        <w:t xml:space="preserve"> CI: 15.6, 29.7).</w:t>
      </w:r>
    </w:p>
    <w:p w:rsidR="00360DE0" w:rsidRPr="00B23B00" w:rsidRDefault="00360DE0" w:rsidP="00DE37FA">
      <w:pPr>
        <w:ind w:left="851"/>
        <w:rPr>
          <w:sz w:val="24"/>
          <w:szCs w:val="24"/>
          <w:lang w:val="en-US"/>
        </w:rPr>
      </w:pPr>
    </w:p>
    <w:p w:rsidR="00360DE0" w:rsidRPr="00B23B00" w:rsidRDefault="00360DE0" w:rsidP="00DE37FA">
      <w:pPr>
        <w:ind w:left="851"/>
        <w:rPr>
          <w:sz w:val="24"/>
          <w:szCs w:val="24"/>
          <w:lang w:val="en-US"/>
        </w:rPr>
      </w:pPr>
      <w:r w:rsidRPr="00B23B00">
        <w:rPr>
          <w:sz w:val="24"/>
          <w:szCs w:val="24"/>
          <w:lang w:val="en-US"/>
        </w:rPr>
        <w:t>Although there was a limited response in some patients from treatment with enzalutamide after abiraterone, the reason for this finding is currently unknown. The study design could neither identify the patients who are likely to benefit, nor the order in which enzalutamide and abiraterone should be optimally sequenced.</w:t>
      </w:r>
    </w:p>
    <w:p w:rsidR="00360DE0" w:rsidRPr="00B23B00" w:rsidRDefault="00360DE0" w:rsidP="00DE37FA">
      <w:pPr>
        <w:ind w:left="851"/>
        <w:rPr>
          <w:sz w:val="24"/>
          <w:szCs w:val="24"/>
          <w:lang w:val="en-US"/>
        </w:rPr>
      </w:pPr>
    </w:p>
    <w:p w:rsidR="00741947" w:rsidRDefault="00741947" w:rsidP="00741947">
      <w:pPr>
        <w:pStyle w:val="Brdtekst"/>
        <w:spacing w:before="10"/>
        <w:ind w:left="851"/>
      </w:pPr>
      <w:r>
        <w:rPr>
          <w:u w:val="single"/>
        </w:rPr>
        <w:t>Elderly</w:t>
      </w:r>
    </w:p>
    <w:p w:rsidR="00A619F4" w:rsidRPr="00A619F4" w:rsidRDefault="00A619F4" w:rsidP="00A619F4">
      <w:pPr>
        <w:pStyle w:val="Brdtekst"/>
        <w:spacing w:before="10"/>
        <w:ind w:left="851"/>
        <w:rPr>
          <w:sz w:val="24"/>
          <w:szCs w:val="24"/>
        </w:rPr>
      </w:pPr>
      <w:r w:rsidRPr="00A619F4">
        <w:rPr>
          <w:sz w:val="24"/>
          <w:szCs w:val="24"/>
        </w:rPr>
        <w:t>Of the 5110 patients in the controlled clinical trials who received enzalutamide, 3988 patients (78%) were 65 years and over and 1703 patients (33%) were 75 years and over. No overall differences in safety or effectiveness were observed between these elderly patients and younger patients.</w:t>
      </w:r>
    </w:p>
    <w:p w:rsidR="00360DE0" w:rsidRPr="00B23B00" w:rsidRDefault="00360DE0" w:rsidP="00DE37FA">
      <w:pPr>
        <w:ind w:left="851"/>
        <w:rPr>
          <w:sz w:val="24"/>
          <w:szCs w:val="24"/>
          <w:lang w:val="en-US"/>
        </w:rPr>
      </w:pPr>
    </w:p>
    <w:p w:rsidR="00360DE0" w:rsidRPr="00B23B00" w:rsidRDefault="00360DE0" w:rsidP="00DE37FA">
      <w:pPr>
        <w:ind w:left="851"/>
        <w:rPr>
          <w:sz w:val="24"/>
          <w:szCs w:val="24"/>
          <w:u w:val="single"/>
          <w:lang w:val="en-US"/>
        </w:rPr>
      </w:pPr>
      <w:proofErr w:type="spellStart"/>
      <w:r w:rsidRPr="00B23B00">
        <w:rPr>
          <w:sz w:val="24"/>
          <w:szCs w:val="24"/>
          <w:u w:val="single"/>
          <w:lang w:val="en-US"/>
        </w:rPr>
        <w:t>Paediatric</w:t>
      </w:r>
      <w:proofErr w:type="spellEnd"/>
      <w:r w:rsidRPr="00B23B00">
        <w:rPr>
          <w:sz w:val="24"/>
          <w:szCs w:val="24"/>
          <w:u w:val="single"/>
          <w:lang w:val="en-US"/>
        </w:rPr>
        <w:t xml:space="preserve"> population</w:t>
      </w:r>
    </w:p>
    <w:p w:rsidR="00360DE0" w:rsidRPr="00B23B00" w:rsidRDefault="00360DE0" w:rsidP="00DE37FA">
      <w:pPr>
        <w:ind w:left="851"/>
        <w:rPr>
          <w:sz w:val="24"/>
          <w:szCs w:val="24"/>
          <w:lang w:val="en-US"/>
        </w:rPr>
      </w:pPr>
      <w:r w:rsidRPr="00B23B00">
        <w:rPr>
          <w:sz w:val="24"/>
          <w:szCs w:val="24"/>
          <w:lang w:val="en-US"/>
        </w:rPr>
        <w:t xml:space="preserve">The European Medicines Agency has waived the obligation to submit the results of studies with enzalutamide in all subsets of the </w:t>
      </w:r>
      <w:proofErr w:type="spellStart"/>
      <w:r w:rsidRPr="00B23B00">
        <w:rPr>
          <w:sz w:val="24"/>
          <w:szCs w:val="24"/>
          <w:lang w:val="en-US"/>
        </w:rPr>
        <w:t>paediatric</w:t>
      </w:r>
      <w:proofErr w:type="spellEnd"/>
      <w:r w:rsidRPr="00B23B00">
        <w:rPr>
          <w:sz w:val="24"/>
          <w:szCs w:val="24"/>
          <w:lang w:val="en-US"/>
        </w:rPr>
        <w:t xml:space="preserve"> population in prostate carcinoma (see section 4.2 for information on </w:t>
      </w:r>
      <w:proofErr w:type="spellStart"/>
      <w:r w:rsidRPr="00B23B00">
        <w:rPr>
          <w:sz w:val="24"/>
          <w:szCs w:val="24"/>
          <w:lang w:val="en-US"/>
        </w:rPr>
        <w:t>paediatric</w:t>
      </w:r>
      <w:proofErr w:type="spellEnd"/>
      <w:r w:rsidRPr="00B23B00">
        <w:rPr>
          <w:sz w:val="24"/>
          <w:szCs w:val="24"/>
          <w:lang w:val="en-US"/>
        </w:rPr>
        <w:t xml:space="preserve"> use).</w:t>
      </w:r>
    </w:p>
    <w:p w:rsidR="007C5D2A" w:rsidRPr="00B23B00" w:rsidRDefault="007C5D2A" w:rsidP="003E0341">
      <w:pPr>
        <w:tabs>
          <w:tab w:val="left" w:pos="851"/>
        </w:tabs>
        <w:ind w:left="851"/>
        <w:rPr>
          <w:sz w:val="24"/>
          <w:szCs w:val="24"/>
          <w:lang w:val="en-GB"/>
        </w:rPr>
      </w:pPr>
    </w:p>
    <w:p w:rsidR="007C5D2A" w:rsidRPr="00B23B00" w:rsidRDefault="007C5D2A" w:rsidP="007C5D2A">
      <w:pPr>
        <w:tabs>
          <w:tab w:val="left" w:pos="851"/>
        </w:tabs>
        <w:ind w:left="851" w:hanging="851"/>
        <w:rPr>
          <w:b/>
          <w:sz w:val="24"/>
          <w:szCs w:val="24"/>
          <w:lang w:val="en-GB"/>
        </w:rPr>
      </w:pPr>
      <w:r w:rsidRPr="00B23B00">
        <w:rPr>
          <w:b/>
          <w:sz w:val="24"/>
          <w:szCs w:val="24"/>
          <w:lang w:val="en-GB"/>
        </w:rPr>
        <w:t>5.2</w:t>
      </w:r>
      <w:r w:rsidRPr="00B23B00">
        <w:rPr>
          <w:b/>
          <w:sz w:val="24"/>
          <w:szCs w:val="24"/>
          <w:lang w:val="en-GB"/>
        </w:rPr>
        <w:tab/>
        <w:t>Pharmacokinetic properties</w:t>
      </w:r>
      <w:r w:rsidRPr="00B23B00">
        <w:rPr>
          <w:b/>
          <w:sz w:val="24"/>
          <w:szCs w:val="24"/>
          <w:lang w:val="en-GB"/>
        </w:rPr>
        <w:tab/>
      </w:r>
    </w:p>
    <w:p w:rsidR="00360DE0" w:rsidRPr="00B23B00" w:rsidRDefault="00360DE0" w:rsidP="00DE37FA">
      <w:pPr>
        <w:ind w:left="851"/>
        <w:rPr>
          <w:sz w:val="24"/>
          <w:szCs w:val="24"/>
          <w:lang w:val="en-US"/>
        </w:rPr>
      </w:pPr>
      <w:r w:rsidRPr="00B23B00">
        <w:rPr>
          <w:sz w:val="24"/>
          <w:szCs w:val="24"/>
          <w:lang w:val="en-US"/>
        </w:rPr>
        <w:t xml:space="preserve">Enzalutamide is poorly water soluble. The solubility of enzalutamide is increased by </w:t>
      </w:r>
      <w:proofErr w:type="spellStart"/>
      <w:r w:rsidRPr="00B23B00">
        <w:rPr>
          <w:sz w:val="24"/>
          <w:szCs w:val="24"/>
          <w:lang w:val="en-US"/>
        </w:rPr>
        <w:t>caprylocaproyl</w:t>
      </w:r>
      <w:proofErr w:type="spellEnd"/>
      <w:r w:rsidRPr="00B23B00">
        <w:rPr>
          <w:sz w:val="24"/>
          <w:szCs w:val="24"/>
          <w:lang w:val="en-US"/>
        </w:rPr>
        <w:t xml:space="preserve"> </w:t>
      </w:r>
      <w:proofErr w:type="spellStart"/>
      <w:r w:rsidRPr="00B23B00">
        <w:rPr>
          <w:sz w:val="24"/>
          <w:szCs w:val="24"/>
          <w:lang w:val="en-US"/>
        </w:rPr>
        <w:t>macrogolglycerides</w:t>
      </w:r>
      <w:proofErr w:type="spellEnd"/>
      <w:r w:rsidRPr="00B23B00">
        <w:rPr>
          <w:sz w:val="24"/>
          <w:szCs w:val="24"/>
          <w:lang w:val="en-US"/>
        </w:rPr>
        <w:t xml:space="preserve"> as emulsifier/surfactant. In preclinical studies, the absorption of enzalutamide was increased when dissolved in </w:t>
      </w:r>
      <w:proofErr w:type="spellStart"/>
      <w:r w:rsidRPr="00B23B00">
        <w:rPr>
          <w:sz w:val="24"/>
          <w:szCs w:val="24"/>
          <w:lang w:val="en-US"/>
        </w:rPr>
        <w:t>caprylocaproyl</w:t>
      </w:r>
      <w:proofErr w:type="spellEnd"/>
      <w:r w:rsidRPr="00B23B00">
        <w:rPr>
          <w:sz w:val="24"/>
          <w:szCs w:val="24"/>
          <w:lang w:val="en-US"/>
        </w:rPr>
        <w:t xml:space="preserve"> </w:t>
      </w:r>
      <w:proofErr w:type="spellStart"/>
      <w:r w:rsidRPr="00B23B00">
        <w:rPr>
          <w:sz w:val="24"/>
          <w:szCs w:val="24"/>
          <w:lang w:val="en-US"/>
        </w:rPr>
        <w:t>macrogolglycerides</w:t>
      </w:r>
      <w:proofErr w:type="spellEnd"/>
      <w:r w:rsidRPr="00B23B00">
        <w:rPr>
          <w:sz w:val="24"/>
          <w:szCs w:val="24"/>
          <w:lang w:val="en-US"/>
        </w:rPr>
        <w:t>.</w:t>
      </w:r>
    </w:p>
    <w:p w:rsidR="00360DE0" w:rsidRPr="00B23B00" w:rsidRDefault="00360DE0" w:rsidP="00DE37FA">
      <w:pPr>
        <w:ind w:left="851"/>
        <w:rPr>
          <w:sz w:val="24"/>
          <w:szCs w:val="24"/>
          <w:lang w:val="en-US"/>
        </w:rPr>
      </w:pPr>
    </w:p>
    <w:p w:rsidR="00360DE0" w:rsidRPr="00B23B00" w:rsidRDefault="00360DE0" w:rsidP="00DE37FA">
      <w:pPr>
        <w:ind w:left="851"/>
        <w:rPr>
          <w:sz w:val="24"/>
          <w:szCs w:val="24"/>
          <w:lang w:val="en-US"/>
        </w:rPr>
      </w:pPr>
      <w:r w:rsidRPr="00B23B00">
        <w:rPr>
          <w:sz w:val="24"/>
          <w:szCs w:val="24"/>
          <w:lang w:val="en-US"/>
        </w:rPr>
        <w:t>The pharmacokinetics of enzalutamide have been evaluated in prostate cancer patients and in healthy male subjects. The mean terminal half-life (t1/2) for enzalutamide in patients after a single oral dose is 5.8 days (range 2.8 to 10.2 days), and steady state is achieved in approximately one month. With daily oral administration, enzalutamide accumulates approximately 8.3-fold relative to a single dose. Daily fluctuations in plasma concentrations are low (peak-to-trough ratio of 1.25). Clearance of enzalutamide is primarily via hepatic metabolism, producing an active metabolite that is equally as active as enzalutamide and circulates at approximately the same plasma concentration as enzalutamide.</w:t>
      </w:r>
    </w:p>
    <w:p w:rsidR="00360DE0" w:rsidRPr="00B23B00" w:rsidRDefault="00360DE0" w:rsidP="00DE37FA">
      <w:pPr>
        <w:ind w:left="851"/>
        <w:rPr>
          <w:sz w:val="24"/>
          <w:szCs w:val="24"/>
          <w:lang w:val="en-US"/>
        </w:rPr>
      </w:pPr>
    </w:p>
    <w:p w:rsidR="00360DE0" w:rsidRPr="00B23B00" w:rsidRDefault="00360DE0" w:rsidP="00DE37FA">
      <w:pPr>
        <w:ind w:left="851"/>
        <w:rPr>
          <w:sz w:val="24"/>
          <w:szCs w:val="24"/>
          <w:u w:val="single"/>
          <w:lang w:val="en-US"/>
        </w:rPr>
      </w:pPr>
      <w:r w:rsidRPr="00B23B00">
        <w:rPr>
          <w:sz w:val="24"/>
          <w:szCs w:val="24"/>
          <w:u w:val="single"/>
          <w:lang w:val="en-US"/>
        </w:rPr>
        <w:t>Absorption</w:t>
      </w:r>
    </w:p>
    <w:p w:rsidR="00360DE0" w:rsidRPr="00B23B00" w:rsidRDefault="00360DE0" w:rsidP="00DE37FA">
      <w:pPr>
        <w:ind w:left="851"/>
        <w:rPr>
          <w:sz w:val="24"/>
          <w:szCs w:val="24"/>
          <w:lang w:val="en-US"/>
        </w:rPr>
      </w:pPr>
      <w:r w:rsidRPr="00B23B00">
        <w:rPr>
          <w:sz w:val="24"/>
          <w:szCs w:val="24"/>
          <w:lang w:val="en-US"/>
        </w:rPr>
        <w:t xml:space="preserve">Oral absorption of film-coated enzalutamide tablets was evaluated in healthy male volunteers after a single 160 mg dose of enzalutamide film-coated tablets, and pharmacokinetic modelling and simulation were used to predict the pharmacokinetic </w:t>
      </w:r>
      <w:r w:rsidRPr="00B23B00">
        <w:rPr>
          <w:sz w:val="24"/>
          <w:szCs w:val="24"/>
          <w:lang w:val="en-US"/>
        </w:rPr>
        <w:lastRenderedPageBreak/>
        <w:t>profile at steady state. Based on these predictions, as well as other supportive data, the median time to reach maximum plasma enzalutamide concentrations (</w:t>
      </w:r>
      <w:proofErr w:type="spellStart"/>
      <w:r w:rsidRPr="00B23B00">
        <w:rPr>
          <w:sz w:val="24"/>
          <w:szCs w:val="24"/>
          <w:lang w:val="en-US"/>
        </w:rPr>
        <w:t>C</w:t>
      </w:r>
      <w:r w:rsidRPr="00B23B00">
        <w:rPr>
          <w:sz w:val="24"/>
          <w:szCs w:val="24"/>
          <w:vertAlign w:val="subscript"/>
          <w:lang w:val="en-US"/>
        </w:rPr>
        <w:t>max</w:t>
      </w:r>
      <w:proofErr w:type="spellEnd"/>
      <w:r w:rsidRPr="00B23B00">
        <w:rPr>
          <w:sz w:val="24"/>
          <w:szCs w:val="24"/>
          <w:lang w:val="en-US"/>
        </w:rPr>
        <w:t>) is 2 hours (range 0.5 to 6 hours), and the steady-state pharmacokinetic profiles of enzalutamide and its active metabolite are similar for the film-coated tablets and the enzalutamide soft capsules formulation.</w:t>
      </w:r>
    </w:p>
    <w:p w:rsidR="00360DE0" w:rsidRPr="00B23B00" w:rsidRDefault="00360DE0" w:rsidP="00DE37FA">
      <w:pPr>
        <w:ind w:left="851"/>
        <w:rPr>
          <w:sz w:val="24"/>
          <w:szCs w:val="24"/>
          <w:lang w:val="en-US"/>
        </w:rPr>
      </w:pPr>
      <w:r w:rsidRPr="00B23B00">
        <w:rPr>
          <w:sz w:val="24"/>
          <w:szCs w:val="24"/>
          <w:lang w:val="en-US"/>
        </w:rPr>
        <w:t xml:space="preserve">Following oral administration of the soft capsule formulation (enzalutamide 160 mg daily) in patients with metastatic CRPC, the steady-state plasma mean </w:t>
      </w:r>
      <w:proofErr w:type="spellStart"/>
      <w:r w:rsidRPr="00B23B00">
        <w:rPr>
          <w:sz w:val="24"/>
          <w:szCs w:val="24"/>
          <w:lang w:val="en-US"/>
        </w:rPr>
        <w:t>C</w:t>
      </w:r>
      <w:r w:rsidRPr="00B23B00">
        <w:rPr>
          <w:sz w:val="24"/>
          <w:szCs w:val="24"/>
          <w:vertAlign w:val="subscript"/>
          <w:lang w:val="en-US"/>
        </w:rPr>
        <w:t>max</w:t>
      </w:r>
      <w:proofErr w:type="spellEnd"/>
      <w:r w:rsidRPr="00B23B00">
        <w:rPr>
          <w:sz w:val="24"/>
          <w:szCs w:val="24"/>
          <w:lang w:val="en-US"/>
        </w:rPr>
        <w:t xml:space="preserve"> values for enzalutamide and its active metabolite are 16.6 </w:t>
      </w:r>
      <w:r w:rsidRPr="00B23B00">
        <w:rPr>
          <w:sz w:val="24"/>
          <w:szCs w:val="24"/>
        </w:rPr>
        <w:t>μ</w:t>
      </w:r>
      <w:r w:rsidRPr="00B23B00">
        <w:rPr>
          <w:sz w:val="24"/>
          <w:szCs w:val="24"/>
          <w:lang w:val="en-US"/>
        </w:rPr>
        <w:t>g/mL (23</w:t>
      </w:r>
      <w:r w:rsidR="00B23B00" w:rsidRPr="00B23B00">
        <w:rPr>
          <w:sz w:val="24"/>
          <w:szCs w:val="24"/>
          <w:lang w:val="en-US"/>
        </w:rPr>
        <w:t xml:space="preserve"> %</w:t>
      </w:r>
      <w:r w:rsidRPr="00B23B00">
        <w:rPr>
          <w:sz w:val="24"/>
          <w:szCs w:val="24"/>
          <w:lang w:val="en-US"/>
        </w:rPr>
        <w:t xml:space="preserve"> CV) and 12.7 </w:t>
      </w:r>
      <w:r w:rsidRPr="00B23B00">
        <w:rPr>
          <w:sz w:val="24"/>
          <w:szCs w:val="24"/>
        </w:rPr>
        <w:t>μ</w:t>
      </w:r>
      <w:r w:rsidRPr="00B23B00">
        <w:rPr>
          <w:sz w:val="24"/>
          <w:szCs w:val="24"/>
          <w:lang w:val="en-US"/>
        </w:rPr>
        <w:t>g/mL (30</w:t>
      </w:r>
      <w:r w:rsidR="00B23B00" w:rsidRPr="00B23B00">
        <w:rPr>
          <w:sz w:val="24"/>
          <w:szCs w:val="24"/>
          <w:lang w:val="en-US"/>
        </w:rPr>
        <w:t xml:space="preserve"> %</w:t>
      </w:r>
      <w:r w:rsidRPr="00B23B00">
        <w:rPr>
          <w:sz w:val="24"/>
          <w:szCs w:val="24"/>
          <w:lang w:val="en-US"/>
        </w:rPr>
        <w:t xml:space="preserve"> CV), respectively.</w:t>
      </w:r>
    </w:p>
    <w:p w:rsidR="00360DE0" w:rsidRPr="00B23B00" w:rsidRDefault="00360DE0" w:rsidP="00DE37FA">
      <w:pPr>
        <w:ind w:left="851"/>
        <w:rPr>
          <w:sz w:val="24"/>
          <w:szCs w:val="24"/>
          <w:lang w:val="en-US"/>
        </w:rPr>
      </w:pPr>
    </w:p>
    <w:p w:rsidR="00360DE0" w:rsidRPr="00B23B00" w:rsidRDefault="00360DE0" w:rsidP="00DE37FA">
      <w:pPr>
        <w:ind w:left="851"/>
        <w:rPr>
          <w:sz w:val="24"/>
          <w:szCs w:val="24"/>
          <w:lang w:val="en-US"/>
        </w:rPr>
      </w:pPr>
      <w:r w:rsidRPr="00B23B00">
        <w:rPr>
          <w:sz w:val="24"/>
          <w:szCs w:val="24"/>
          <w:lang w:val="en-US"/>
        </w:rPr>
        <w:t>Based on a mass balance study in humans, oral absorption of enzalutamide is estimated to be at least 84.2</w:t>
      </w:r>
      <w:r w:rsidR="00B23B00" w:rsidRPr="00B23B00">
        <w:rPr>
          <w:sz w:val="24"/>
          <w:szCs w:val="24"/>
          <w:lang w:val="en-US"/>
        </w:rPr>
        <w:t xml:space="preserve"> %</w:t>
      </w:r>
      <w:r w:rsidRPr="00B23B00">
        <w:rPr>
          <w:sz w:val="24"/>
          <w:szCs w:val="24"/>
          <w:lang w:val="en-US"/>
        </w:rPr>
        <w:t>. Enzalutamide is not a substrate of the efflux transporters P-</w:t>
      </w:r>
      <w:proofErr w:type="spellStart"/>
      <w:r w:rsidRPr="00B23B00">
        <w:rPr>
          <w:sz w:val="24"/>
          <w:szCs w:val="24"/>
          <w:lang w:val="en-US"/>
        </w:rPr>
        <w:t>gp</w:t>
      </w:r>
      <w:proofErr w:type="spellEnd"/>
      <w:r w:rsidRPr="00B23B00">
        <w:rPr>
          <w:sz w:val="24"/>
          <w:szCs w:val="24"/>
          <w:lang w:val="en-US"/>
        </w:rPr>
        <w:t xml:space="preserve"> or BCRP.</w:t>
      </w:r>
    </w:p>
    <w:p w:rsidR="00360DE0" w:rsidRPr="00B23B00" w:rsidRDefault="00360DE0" w:rsidP="00DE37FA">
      <w:pPr>
        <w:ind w:left="851"/>
        <w:rPr>
          <w:sz w:val="24"/>
          <w:szCs w:val="24"/>
          <w:lang w:val="en-US"/>
        </w:rPr>
      </w:pPr>
    </w:p>
    <w:p w:rsidR="00360DE0" w:rsidRPr="00B23B00" w:rsidRDefault="00360DE0" w:rsidP="00DE37FA">
      <w:pPr>
        <w:ind w:left="851"/>
        <w:rPr>
          <w:sz w:val="24"/>
          <w:szCs w:val="24"/>
          <w:lang w:val="en-US"/>
        </w:rPr>
      </w:pPr>
      <w:r w:rsidRPr="00B23B00">
        <w:rPr>
          <w:sz w:val="24"/>
          <w:szCs w:val="24"/>
          <w:lang w:val="en-US"/>
        </w:rPr>
        <w:t>Food has no clinically significant effect on the extent of absorption. In clinical trials, enzalutamide was administered without regard to food.</w:t>
      </w:r>
    </w:p>
    <w:p w:rsidR="00360DE0" w:rsidRPr="00B23B00" w:rsidRDefault="00360DE0" w:rsidP="00DE37FA">
      <w:pPr>
        <w:ind w:left="851"/>
        <w:rPr>
          <w:sz w:val="24"/>
          <w:szCs w:val="24"/>
          <w:lang w:val="en-US"/>
        </w:rPr>
      </w:pPr>
    </w:p>
    <w:p w:rsidR="00360DE0" w:rsidRPr="00B23B00" w:rsidRDefault="00360DE0" w:rsidP="00DE37FA">
      <w:pPr>
        <w:ind w:left="851"/>
        <w:rPr>
          <w:sz w:val="24"/>
          <w:szCs w:val="24"/>
          <w:u w:val="single"/>
          <w:lang w:val="en-US"/>
        </w:rPr>
      </w:pPr>
      <w:r w:rsidRPr="00B23B00">
        <w:rPr>
          <w:sz w:val="24"/>
          <w:szCs w:val="24"/>
          <w:u w:val="single"/>
          <w:lang w:val="en-US"/>
        </w:rPr>
        <w:t>Distribution</w:t>
      </w:r>
    </w:p>
    <w:p w:rsidR="00360DE0" w:rsidRPr="00B23B00" w:rsidRDefault="00360DE0" w:rsidP="00DE37FA">
      <w:pPr>
        <w:ind w:left="851"/>
        <w:rPr>
          <w:sz w:val="24"/>
          <w:szCs w:val="24"/>
          <w:lang w:val="en-US"/>
        </w:rPr>
      </w:pPr>
      <w:r w:rsidRPr="00B23B00">
        <w:rPr>
          <w:sz w:val="24"/>
          <w:szCs w:val="24"/>
          <w:lang w:val="en-US"/>
        </w:rPr>
        <w:t>The mean apparent volume of distribution (V/F) of enzalutamide in patients after a single oral dose is 110 L (29</w:t>
      </w:r>
      <w:r w:rsidR="00B23B00" w:rsidRPr="00B23B00">
        <w:rPr>
          <w:sz w:val="24"/>
          <w:szCs w:val="24"/>
          <w:lang w:val="en-US"/>
        </w:rPr>
        <w:t xml:space="preserve"> %</w:t>
      </w:r>
      <w:r w:rsidRPr="00B23B00">
        <w:rPr>
          <w:sz w:val="24"/>
          <w:szCs w:val="24"/>
          <w:lang w:val="en-US"/>
        </w:rPr>
        <w:t xml:space="preserve"> CV). The volume of distribution of enzalutamide is greater than the volume of total body water, indicative of extensive extravascular distribution. Studies in rodents indicate that enzalutamide and its active metabolite can cross the blood brain barrier.</w:t>
      </w:r>
    </w:p>
    <w:p w:rsidR="00360DE0" w:rsidRPr="00B23B00" w:rsidRDefault="00360DE0" w:rsidP="00DE37FA">
      <w:pPr>
        <w:ind w:left="851"/>
        <w:rPr>
          <w:sz w:val="24"/>
          <w:szCs w:val="24"/>
          <w:lang w:val="en-US"/>
        </w:rPr>
      </w:pPr>
    </w:p>
    <w:p w:rsidR="00360DE0" w:rsidRPr="00B23B00" w:rsidRDefault="00360DE0" w:rsidP="00DE37FA">
      <w:pPr>
        <w:ind w:left="851"/>
        <w:rPr>
          <w:sz w:val="24"/>
          <w:szCs w:val="24"/>
          <w:lang w:val="en-US"/>
        </w:rPr>
      </w:pPr>
      <w:r w:rsidRPr="00B23B00">
        <w:rPr>
          <w:sz w:val="24"/>
          <w:szCs w:val="24"/>
          <w:lang w:val="en-US"/>
        </w:rPr>
        <w:t>Enzalutamide is 97</w:t>
      </w:r>
      <w:r w:rsidR="00B23B00" w:rsidRPr="00B23B00">
        <w:rPr>
          <w:sz w:val="24"/>
          <w:szCs w:val="24"/>
          <w:lang w:val="en-US"/>
        </w:rPr>
        <w:t xml:space="preserve"> %</w:t>
      </w:r>
      <w:r w:rsidRPr="00B23B00">
        <w:rPr>
          <w:sz w:val="24"/>
          <w:szCs w:val="24"/>
          <w:lang w:val="en-US"/>
        </w:rPr>
        <w:t xml:space="preserve"> to 98</w:t>
      </w:r>
      <w:r w:rsidR="00B23B00" w:rsidRPr="00B23B00">
        <w:rPr>
          <w:sz w:val="24"/>
          <w:szCs w:val="24"/>
          <w:lang w:val="en-US"/>
        </w:rPr>
        <w:t xml:space="preserve"> %</w:t>
      </w:r>
      <w:r w:rsidRPr="00B23B00">
        <w:rPr>
          <w:sz w:val="24"/>
          <w:szCs w:val="24"/>
          <w:lang w:val="en-US"/>
        </w:rPr>
        <w:t xml:space="preserve"> bound to plasma proteins, primarily albumin. The active metabolite is 95</w:t>
      </w:r>
      <w:r w:rsidR="00B23B00" w:rsidRPr="00B23B00">
        <w:rPr>
          <w:sz w:val="24"/>
          <w:szCs w:val="24"/>
          <w:lang w:val="en-US"/>
        </w:rPr>
        <w:t xml:space="preserve"> %</w:t>
      </w:r>
      <w:r w:rsidRPr="00B23B00">
        <w:rPr>
          <w:sz w:val="24"/>
          <w:szCs w:val="24"/>
          <w:lang w:val="en-US"/>
        </w:rPr>
        <w:t xml:space="preserve"> bound to plasma proteins. There was no protein binding displacement between enzalutamide and other highly bound medicinal products (warfarin, ibuprofen and salicylic acid) </w:t>
      </w:r>
      <w:r w:rsidRPr="00B23B00">
        <w:rPr>
          <w:i/>
          <w:sz w:val="24"/>
          <w:szCs w:val="24"/>
          <w:lang w:val="en-US"/>
        </w:rPr>
        <w:t>in vitro</w:t>
      </w:r>
      <w:r w:rsidRPr="00B23B00">
        <w:rPr>
          <w:sz w:val="24"/>
          <w:szCs w:val="24"/>
          <w:lang w:val="en-US"/>
        </w:rPr>
        <w:t>.</w:t>
      </w:r>
    </w:p>
    <w:p w:rsidR="00360DE0" w:rsidRPr="00B23B00" w:rsidRDefault="00360DE0" w:rsidP="00DE37FA">
      <w:pPr>
        <w:ind w:left="851"/>
        <w:rPr>
          <w:sz w:val="24"/>
          <w:szCs w:val="24"/>
          <w:lang w:val="en-US"/>
        </w:rPr>
      </w:pPr>
    </w:p>
    <w:p w:rsidR="00360DE0" w:rsidRPr="00B23B00" w:rsidRDefault="00360DE0" w:rsidP="00DE37FA">
      <w:pPr>
        <w:ind w:left="851"/>
        <w:rPr>
          <w:sz w:val="24"/>
          <w:szCs w:val="24"/>
          <w:u w:val="single"/>
          <w:lang w:val="en-US"/>
        </w:rPr>
      </w:pPr>
      <w:r w:rsidRPr="00B23B00">
        <w:rPr>
          <w:sz w:val="24"/>
          <w:szCs w:val="24"/>
          <w:u w:val="single"/>
          <w:lang w:val="en-US"/>
        </w:rPr>
        <w:t>Biotransformation</w:t>
      </w:r>
    </w:p>
    <w:p w:rsidR="00360DE0" w:rsidRPr="00B23B00" w:rsidRDefault="00360DE0" w:rsidP="00DE37FA">
      <w:pPr>
        <w:ind w:left="851"/>
        <w:rPr>
          <w:sz w:val="24"/>
          <w:szCs w:val="24"/>
          <w:lang w:val="en-US"/>
        </w:rPr>
      </w:pPr>
      <w:r w:rsidRPr="00B23B00">
        <w:rPr>
          <w:sz w:val="24"/>
          <w:szCs w:val="24"/>
          <w:lang w:val="en-US"/>
        </w:rPr>
        <w:t xml:space="preserve">Enzalutamide is extensively </w:t>
      </w:r>
      <w:proofErr w:type="spellStart"/>
      <w:r w:rsidRPr="00B23B00">
        <w:rPr>
          <w:sz w:val="24"/>
          <w:szCs w:val="24"/>
          <w:lang w:val="en-US"/>
        </w:rPr>
        <w:t>metabolised</w:t>
      </w:r>
      <w:proofErr w:type="spellEnd"/>
      <w:r w:rsidRPr="00B23B00">
        <w:rPr>
          <w:sz w:val="24"/>
          <w:szCs w:val="24"/>
          <w:lang w:val="en-US"/>
        </w:rPr>
        <w:t>. There are two major metabolites in human plasma: N-</w:t>
      </w:r>
      <w:proofErr w:type="spellStart"/>
      <w:r w:rsidRPr="00B23B00">
        <w:rPr>
          <w:sz w:val="24"/>
          <w:szCs w:val="24"/>
          <w:lang w:val="en-US"/>
        </w:rPr>
        <w:t>desmethyl</w:t>
      </w:r>
      <w:proofErr w:type="spellEnd"/>
      <w:r w:rsidRPr="00B23B00">
        <w:rPr>
          <w:sz w:val="24"/>
          <w:szCs w:val="24"/>
          <w:lang w:val="en-US"/>
        </w:rPr>
        <w:t xml:space="preserve"> enzalutamide (active) and a carboxylic acid derivative (inactive). Enzalutamide is </w:t>
      </w:r>
      <w:proofErr w:type="spellStart"/>
      <w:r w:rsidRPr="00B23B00">
        <w:rPr>
          <w:sz w:val="24"/>
          <w:szCs w:val="24"/>
          <w:lang w:val="en-US"/>
        </w:rPr>
        <w:t>metabolised</w:t>
      </w:r>
      <w:proofErr w:type="spellEnd"/>
      <w:r w:rsidRPr="00B23B00">
        <w:rPr>
          <w:sz w:val="24"/>
          <w:szCs w:val="24"/>
          <w:lang w:val="en-US"/>
        </w:rPr>
        <w:t xml:space="preserve"> by CYP2C8 and to a lesser extent by CYP3A4/5 (see section 4.5), both of which play a role in the formation of the active metabolite. </w:t>
      </w:r>
      <w:r w:rsidRPr="00B23B00">
        <w:rPr>
          <w:i/>
          <w:sz w:val="24"/>
          <w:szCs w:val="24"/>
          <w:lang w:val="en-US"/>
        </w:rPr>
        <w:t>In vitro</w:t>
      </w:r>
      <w:r w:rsidRPr="00B23B00">
        <w:rPr>
          <w:sz w:val="24"/>
          <w:szCs w:val="24"/>
          <w:lang w:val="en-US"/>
        </w:rPr>
        <w:t>, N-</w:t>
      </w:r>
      <w:proofErr w:type="spellStart"/>
      <w:r w:rsidRPr="00B23B00">
        <w:rPr>
          <w:sz w:val="24"/>
          <w:szCs w:val="24"/>
          <w:lang w:val="en-US"/>
        </w:rPr>
        <w:t>desmethyl</w:t>
      </w:r>
      <w:proofErr w:type="spellEnd"/>
      <w:r w:rsidRPr="00B23B00">
        <w:rPr>
          <w:sz w:val="24"/>
          <w:szCs w:val="24"/>
          <w:lang w:val="en-US"/>
        </w:rPr>
        <w:t xml:space="preserve"> enzalutamide is </w:t>
      </w:r>
      <w:proofErr w:type="spellStart"/>
      <w:r w:rsidRPr="00B23B00">
        <w:rPr>
          <w:sz w:val="24"/>
          <w:szCs w:val="24"/>
          <w:lang w:val="en-US"/>
        </w:rPr>
        <w:t>metabolised</w:t>
      </w:r>
      <w:proofErr w:type="spellEnd"/>
      <w:r w:rsidRPr="00B23B00">
        <w:rPr>
          <w:sz w:val="24"/>
          <w:szCs w:val="24"/>
          <w:lang w:val="en-US"/>
        </w:rPr>
        <w:t xml:space="preserve"> to the carboxylic acid metabolite by carboxylesterase 1, which also plays a minor role in the metabolism of enzalutamide to the carboxylic acid metabolite. N-</w:t>
      </w:r>
      <w:proofErr w:type="spellStart"/>
      <w:r w:rsidRPr="00B23B00">
        <w:rPr>
          <w:sz w:val="24"/>
          <w:szCs w:val="24"/>
          <w:lang w:val="en-US"/>
        </w:rPr>
        <w:t>desmethyl</w:t>
      </w:r>
      <w:proofErr w:type="spellEnd"/>
      <w:r w:rsidRPr="00B23B00">
        <w:rPr>
          <w:sz w:val="24"/>
          <w:szCs w:val="24"/>
          <w:lang w:val="en-US"/>
        </w:rPr>
        <w:t xml:space="preserve"> enzalutamide was not </w:t>
      </w:r>
      <w:proofErr w:type="spellStart"/>
      <w:r w:rsidRPr="00B23B00">
        <w:rPr>
          <w:sz w:val="24"/>
          <w:szCs w:val="24"/>
          <w:lang w:val="en-US"/>
        </w:rPr>
        <w:t>metabolised</w:t>
      </w:r>
      <w:proofErr w:type="spellEnd"/>
      <w:r w:rsidRPr="00B23B00">
        <w:rPr>
          <w:sz w:val="24"/>
          <w:szCs w:val="24"/>
          <w:lang w:val="en-US"/>
        </w:rPr>
        <w:t xml:space="preserve"> by CYPs </w:t>
      </w:r>
      <w:r w:rsidRPr="00B23B00">
        <w:rPr>
          <w:i/>
          <w:sz w:val="24"/>
          <w:szCs w:val="24"/>
          <w:lang w:val="en-US"/>
        </w:rPr>
        <w:t>in vitro</w:t>
      </w:r>
      <w:r w:rsidRPr="00B23B00">
        <w:rPr>
          <w:sz w:val="24"/>
          <w:szCs w:val="24"/>
          <w:lang w:val="en-US"/>
        </w:rPr>
        <w:t>.</w:t>
      </w:r>
    </w:p>
    <w:p w:rsidR="00360DE0" w:rsidRPr="00B23B00" w:rsidRDefault="00360DE0" w:rsidP="00DE37FA">
      <w:pPr>
        <w:ind w:left="851"/>
        <w:rPr>
          <w:sz w:val="24"/>
          <w:szCs w:val="24"/>
          <w:lang w:val="en-US"/>
        </w:rPr>
      </w:pPr>
    </w:p>
    <w:p w:rsidR="00360DE0" w:rsidRPr="00B23B00" w:rsidRDefault="00360DE0" w:rsidP="00DE37FA">
      <w:pPr>
        <w:ind w:left="851"/>
        <w:rPr>
          <w:sz w:val="24"/>
          <w:szCs w:val="24"/>
          <w:lang w:val="en-US"/>
        </w:rPr>
      </w:pPr>
      <w:r w:rsidRPr="00B23B00">
        <w:rPr>
          <w:sz w:val="24"/>
          <w:szCs w:val="24"/>
          <w:lang w:val="en-US"/>
        </w:rPr>
        <w:t>Under conditions of clinical use, enzalutamide is a strong inducer of CYP3A4, a moderate inducer of CYP2C9 and CYP2C19, and has no clinically relevant effect on CYP2C8 (see section 4.5).</w:t>
      </w:r>
    </w:p>
    <w:p w:rsidR="00360DE0" w:rsidRPr="00B23B00" w:rsidRDefault="00360DE0" w:rsidP="00DE37FA">
      <w:pPr>
        <w:ind w:left="851"/>
        <w:rPr>
          <w:sz w:val="24"/>
          <w:szCs w:val="24"/>
          <w:lang w:val="en-US"/>
        </w:rPr>
      </w:pPr>
    </w:p>
    <w:p w:rsidR="00360DE0" w:rsidRPr="00B23B00" w:rsidRDefault="00360DE0" w:rsidP="00DE37FA">
      <w:pPr>
        <w:ind w:left="851"/>
        <w:rPr>
          <w:sz w:val="24"/>
          <w:szCs w:val="24"/>
          <w:u w:val="single"/>
          <w:lang w:val="en-US"/>
        </w:rPr>
      </w:pPr>
      <w:r w:rsidRPr="00B23B00">
        <w:rPr>
          <w:sz w:val="24"/>
          <w:szCs w:val="24"/>
          <w:u w:val="single"/>
          <w:lang w:val="en-US"/>
        </w:rPr>
        <w:t>Elimination</w:t>
      </w:r>
    </w:p>
    <w:p w:rsidR="00360DE0" w:rsidRPr="00B23B00" w:rsidRDefault="00360DE0" w:rsidP="00DE37FA">
      <w:pPr>
        <w:ind w:left="851"/>
        <w:rPr>
          <w:sz w:val="24"/>
          <w:szCs w:val="24"/>
          <w:lang w:val="en-US"/>
        </w:rPr>
      </w:pPr>
      <w:r w:rsidRPr="00B23B00">
        <w:rPr>
          <w:sz w:val="24"/>
          <w:szCs w:val="24"/>
          <w:lang w:val="en-US"/>
        </w:rPr>
        <w:t>The mean apparent clearance (CL/F) of enzalutamide in patients ranges from 0.520 and 0.564 L/h.</w:t>
      </w:r>
    </w:p>
    <w:p w:rsidR="00360DE0" w:rsidRPr="00B23B00" w:rsidRDefault="00360DE0" w:rsidP="00DE37FA">
      <w:pPr>
        <w:ind w:left="851"/>
        <w:rPr>
          <w:sz w:val="24"/>
          <w:szCs w:val="24"/>
          <w:lang w:val="en-US"/>
        </w:rPr>
      </w:pPr>
    </w:p>
    <w:p w:rsidR="00360DE0" w:rsidRPr="00B23B00" w:rsidRDefault="00360DE0" w:rsidP="00DE37FA">
      <w:pPr>
        <w:ind w:left="851"/>
        <w:rPr>
          <w:sz w:val="24"/>
          <w:szCs w:val="24"/>
          <w:lang w:val="en-US"/>
        </w:rPr>
      </w:pPr>
      <w:r w:rsidRPr="00B23B00">
        <w:rPr>
          <w:sz w:val="24"/>
          <w:szCs w:val="24"/>
          <w:lang w:val="en-US"/>
        </w:rPr>
        <w:t>Following oral administration of 14C-enzalutamide, 84.6</w:t>
      </w:r>
      <w:r w:rsidR="00B23B00" w:rsidRPr="00B23B00">
        <w:rPr>
          <w:sz w:val="24"/>
          <w:szCs w:val="24"/>
          <w:lang w:val="en-US"/>
        </w:rPr>
        <w:t xml:space="preserve"> %</w:t>
      </w:r>
      <w:r w:rsidRPr="00B23B00">
        <w:rPr>
          <w:sz w:val="24"/>
          <w:szCs w:val="24"/>
          <w:lang w:val="en-US"/>
        </w:rPr>
        <w:t xml:space="preserve"> of the radioactivity is recovered by 77 days post dose: 71.0</w:t>
      </w:r>
      <w:r w:rsidR="00B23B00" w:rsidRPr="00B23B00">
        <w:rPr>
          <w:sz w:val="24"/>
          <w:szCs w:val="24"/>
          <w:lang w:val="en-US"/>
        </w:rPr>
        <w:t xml:space="preserve"> %</w:t>
      </w:r>
      <w:r w:rsidRPr="00B23B00">
        <w:rPr>
          <w:sz w:val="24"/>
          <w:szCs w:val="24"/>
          <w:lang w:val="en-US"/>
        </w:rPr>
        <w:t xml:space="preserve"> is recovered in urine (primarily as the inactive metabolite, with trace amounts of enzalutamide and the active metabolite), and 13.6</w:t>
      </w:r>
      <w:r w:rsidR="00B23B00" w:rsidRPr="00B23B00">
        <w:rPr>
          <w:sz w:val="24"/>
          <w:szCs w:val="24"/>
          <w:lang w:val="en-US"/>
        </w:rPr>
        <w:t xml:space="preserve"> %</w:t>
      </w:r>
      <w:r w:rsidRPr="00B23B00">
        <w:rPr>
          <w:sz w:val="24"/>
          <w:szCs w:val="24"/>
          <w:lang w:val="en-US"/>
        </w:rPr>
        <w:t xml:space="preserve"> is recovered in </w:t>
      </w:r>
      <w:proofErr w:type="spellStart"/>
      <w:r w:rsidRPr="00B23B00">
        <w:rPr>
          <w:sz w:val="24"/>
          <w:szCs w:val="24"/>
          <w:lang w:val="en-US"/>
        </w:rPr>
        <w:t>faeces</w:t>
      </w:r>
      <w:proofErr w:type="spellEnd"/>
      <w:r w:rsidRPr="00B23B00">
        <w:rPr>
          <w:sz w:val="24"/>
          <w:szCs w:val="24"/>
          <w:lang w:val="en-US"/>
        </w:rPr>
        <w:t xml:space="preserve"> (0.39</w:t>
      </w:r>
      <w:r w:rsidR="00B23B00" w:rsidRPr="00B23B00">
        <w:rPr>
          <w:sz w:val="24"/>
          <w:szCs w:val="24"/>
          <w:lang w:val="en-US"/>
        </w:rPr>
        <w:t xml:space="preserve"> %</w:t>
      </w:r>
      <w:r w:rsidRPr="00B23B00">
        <w:rPr>
          <w:sz w:val="24"/>
          <w:szCs w:val="24"/>
          <w:lang w:val="en-US"/>
        </w:rPr>
        <w:t xml:space="preserve"> of dose as unchanged enzalutamide).</w:t>
      </w:r>
    </w:p>
    <w:p w:rsidR="00360DE0" w:rsidRPr="00B23B00" w:rsidRDefault="00360DE0" w:rsidP="00DE37FA">
      <w:pPr>
        <w:ind w:left="851"/>
        <w:rPr>
          <w:sz w:val="24"/>
          <w:szCs w:val="24"/>
          <w:lang w:val="en-US"/>
        </w:rPr>
      </w:pPr>
    </w:p>
    <w:p w:rsidR="00360DE0" w:rsidRPr="00B23B00" w:rsidRDefault="00360DE0" w:rsidP="00DE37FA">
      <w:pPr>
        <w:ind w:left="851"/>
        <w:rPr>
          <w:sz w:val="24"/>
          <w:szCs w:val="24"/>
          <w:lang w:val="en-US"/>
        </w:rPr>
      </w:pPr>
      <w:r w:rsidRPr="00B23B00">
        <w:rPr>
          <w:i/>
          <w:sz w:val="24"/>
          <w:szCs w:val="24"/>
          <w:lang w:val="en-US"/>
        </w:rPr>
        <w:lastRenderedPageBreak/>
        <w:t>In vitro</w:t>
      </w:r>
      <w:r w:rsidRPr="00B23B00">
        <w:rPr>
          <w:sz w:val="24"/>
          <w:szCs w:val="24"/>
          <w:lang w:val="en-US"/>
        </w:rPr>
        <w:t xml:space="preserve"> data indicate that enzalutamide is not a substrate for OATP1B1, OATP1B3, or OCT1; and N-</w:t>
      </w:r>
      <w:proofErr w:type="spellStart"/>
      <w:r w:rsidRPr="00B23B00">
        <w:rPr>
          <w:sz w:val="24"/>
          <w:szCs w:val="24"/>
          <w:lang w:val="en-US"/>
        </w:rPr>
        <w:t>desmethyl</w:t>
      </w:r>
      <w:proofErr w:type="spellEnd"/>
      <w:r w:rsidRPr="00B23B00">
        <w:rPr>
          <w:sz w:val="24"/>
          <w:szCs w:val="24"/>
          <w:lang w:val="en-US"/>
        </w:rPr>
        <w:t xml:space="preserve"> enzalutamide is not a substrate for P-</w:t>
      </w:r>
      <w:proofErr w:type="spellStart"/>
      <w:r w:rsidRPr="00B23B00">
        <w:rPr>
          <w:sz w:val="24"/>
          <w:szCs w:val="24"/>
          <w:lang w:val="en-US"/>
        </w:rPr>
        <w:t>gp</w:t>
      </w:r>
      <w:proofErr w:type="spellEnd"/>
      <w:r w:rsidRPr="00B23B00">
        <w:rPr>
          <w:sz w:val="24"/>
          <w:szCs w:val="24"/>
          <w:lang w:val="en-US"/>
        </w:rPr>
        <w:t xml:space="preserve"> or BCRP.</w:t>
      </w:r>
    </w:p>
    <w:p w:rsidR="00360DE0" w:rsidRPr="00B23B00" w:rsidRDefault="00360DE0" w:rsidP="00DE37FA">
      <w:pPr>
        <w:ind w:left="851"/>
        <w:rPr>
          <w:sz w:val="24"/>
          <w:szCs w:val="24"/>
          <w:lang w:val="en-US"/>
        </w:rPr>
      </w:pPr>
    </w:p>
    <w:p w:rsidR="00360DE0" w:rsidRPr="00B23B00" w:rsidRDefault="00360DE0" w:rsidP="00DE37FA">
      <w:pPr>
        <w:ind w:left="851"/>
        <w:rPr>
          <w:sz w:val="24"/>
          <w:szCs w:val="24"/>
          <w:lang w:val="en-US"/>
        </w:rPr>
      </w:pPr>
      <w:r w:rsidRPr="00B23B00">
        <w:rPr>
          <w:i/>
          <w:sz w:val="24"/>
          <w:szCs w:val="24"/>
          <w:lang w:val="en-US"/>
        </w:rPr>
        <w:t>In vitro</w:t>
      </w:r>
      <w:r w:rsidRPr="00B23B00">
        <w:rPr>
          <w:sz w:val="24"/>
          <w:szCs w:val="24"/>
          <w:lang w:val="en-US"/>
        </w:rPr>
        <w:t xml:space="preserve"> data indicate that enzalutamide and its major metabolites do not inhibit the following transporters at clinically relevant concentrations: OATP1B1, OATP1B3, OCT2, or OAT1.</w:t>
      </w:r>
    </w:p>
    <w:p w:rsidR="00360DE0" w:rsidRPr="00B23B00" w:rsidRDefault="00360DE0" w:rsidP="00DE37FA">
      <w:pPr>
        <w:ind w:left="851"/>
        <w:rPr>
          <w:sz w:val="24"/>
          <w:szCs w:val="24"/>
          <w:lang w:val="en-US"/>
        </w:rPr>
      </w:pPr>
    </w:p>
    <w:p w:rsidR="00360DE0" w:rsidRPr="00B23B00" w:rsidRDefault="00360DE0" w:rsidP="00DE37FA">
      <w:pPr>
        <w:ind w:left="851"/>
        <w:rPr>
          <w:sz w:val="24"/>
          <w:szCs w:val="24"/>
          <w:u w:val="single"/>
          <w:lang w:val="en-US"/>
        </w:rPr>
      </w:pPr>
      <w:r w:rsidRPr="00B23B00">
        <w:rPr>
          <w:sz w:val="24"/>
          <w:szCs w:val="24"/>
          <w:u w:val="single"/>
          <w:lang w:val="en-US"/>
        </w:rPr>
        <w:t>Linearity</w:t>
      </w:r>
    </w:p>
    <w:p w:rsidR="00360DE0" w:rsidRPr="00B23B00" w:rsidRDefault="00360DE0" w:rsidP="00DE37FA">
      <w:pPr>
        <w:ind w:left="851"/>
        <w:rPr>
          <w:sz w:val="24"/>
          <w:szCs w:val="24"/>
          <w:lang w:val="en-US"/>
        </w:rPr>
      </w:pPr>
      <w:r w:rsidRPr="00B23B00">
        <w:rPr>
          <w:sz w:val="24"/>
          <w:szCs w:val="24"/>
          <w:lang w:val="en-US"/>
        </w:rPr>
        <w:t xml:space="preserve">No major deviations from dose proportionality are observed over the dose range 40 to 160 mg. The steady-state </w:t>
      </w:r>
      <w:proofErr w:type="spellStart"/>
      <w:r w:rsidRPr="00B23B00">
        <w:rPr>
          <w:sz w:val="24"/>
          <w:szCs w:val="24"/>
          <w:lang w:val="en-US"/>
        </w:rPr>
        <w:t>C</w:t>
      </w:r>
      <w:r w:rsidRPr="00A31852">
        <w:rPr>
          <w:sz w:val="24"/>
          <w:szCs w:val="24"/>
          <w:vertAlign w:val="subscript"/>
          <w:lang w:val="en-US"/>
        </w:rPr>
        <w:t>min</w:t>
      </w:r>
      <w:proofErr w:type="spellEnd"/>
      <w:r w:rsidRPr="00B23B00">
        <w:rPr>
          <w:sz w:val="24"/>
          <w:szCs w:val="24"/>
          <w:lang w:val="en-US"/>
        </w:rPr>
        <w:t xml:space="preserve"> values of enzalutamide and the active metabolite in individual patients remained constant during more than one year of chronic therapy, demonstrating time-linear pharmacokinetics once steady-state is achieved.</w:t>
      </w:r>
    </w:p>
    <w:p w:rsidR="00360DE0" w:rsidRPr="00B23B00" w:rsidRDefault="00360DE0" w:rsidP="00DE37FA">
      <w:pPr>
        <w:ind w:left="851"/>
        <w:rPr>
          <w:sz w:val="24"/>
          <w:szCs w:val="24"/>
          <w:lang w:val="en-US"/>
        </w:rPr>
      </w:pPr>
    </w:p>
    <w:p w:rsidR="00360DE0" w:rsidRPr="00B23B00" w:rsidRDefault="00360DE0" w:rsidP="00DE37FA">
      <w:pPr>
        <w:ind w:left="851"/>
        <w:rPr>
          <w:sz w:val="24"/>
          <w:szCs w:val="24"/>
          <w:u w:val="single"/>
          <w:lang w:val="en-US"/>
        </w:rPr>
      </w:pPr>
      <w:r w:rsidRPr="00B23B00">
        <w:rPr>
          <w:sz w:val="24"/>
          <w:szCs w:val="24"/>
          <w:u w:val="single"/>
          <w:lang w:val="en-US"/>
        </w:rPr>
        <w:t>Renal impairment</w:t>
      </w:r>
    </w:p>
    <w:p w:rsidR="00360DE0" w:rsidRPr="00B23B00" w:rsidRDefault="00360DE0" w:rsidP="00DE37FA">
      <w:pPr>
        <w:ind w:left="851"/>
        <w:rPr>
          <w:sz w:val="24"/>
          <w:szCs w:val="24"/>
          <w:lang w:val="en-US"/>
        </w:rPr>
      </w:pPr>
      <w:r w:rsidRPr="00B23B00">
        <w:rPr>
          <w:sz w:val="24"/>
          <w:szCs w:val="24"/>
          <w:lang w:val="en-US"/>
        </w:rPr>
        <w:t xml:space="preserve">No formal renal impairment study for enzalutamide has been completed. Patients with serum creatinine &gt; 177 </w:t>
      </w:r>
      <w:r w:rsidRPr="00B23B00">
        <w:rPr>
          <w:sz w:val="24"/>
          <w:szCs w:val="24"/>
        </w:rPr>
        <w:t>μ</w:t>
      </w:r>
      <w:r w:rsidRPr="00B23B00">
        <w:rPr>
          <w:sz w:val="24"/>
          <w:szCs w:val="24"/>
          <w:lang w:val="en-US"/>
        </w:rPr>
        <w:t>mol/L (2 mg/dL) were excluded from clinical studies. Based on a population pharmacokinetic analysis, no dose adjustment is necessary for patients with calculated creatinine clearance (</w:t>
      </w:r>
      <w:proofErr w:type="spellStart"/>
      <w:r w:rsidRPr="00B23B00">
        <w:rPr>
          <w:sz w:val="24"/>
          <w:szCs w:val="24"/>
          <w:lang w:val="en-US"/>
        </w:rPr>
        <w:t>CrCL</w:t>
      </w:r>
      <w:proofErr w:type="spellEnd"/>
      <w:r w:rsidRPr="00B23B00">
        <w:rPr>
          <w:sz w:val="24"/>
          <w:szCs w:val="24"/>
          <w:lang w:val="en-US"/>
        </w:rPr>
        <w:t>) values ≥ 30 mL/min (estimated by the Cockcroft and Gault formula). Enzalutamide has not been evaluated in patients with severe renal impairment (</w:t>
      </w:r>
      <w:proofErr w:type="spellStart"/>
      <w:r w:rsidRPr="00B23B00">
        <w:rPr>
          <w:sz w:val="24"/>
          <w:szCs w:val="24"/>
          <w:lang w:val="en-US"/>
        </w:rPr>
        <w:t>CrCL</w:t>
      </w:r>
      <w:proofErr w:type="spellEnd"/>
      <w:r w:rsidRPr="00B23B00">
        <w:rPr>
          <w:sz w:val="24"/>
          <w:szCs w:val="24"/>
          <w:lang w:val="en-US"/>
        </w:rPr>
        <w:t xml:space="preserve"> &lt; 30 mL/min) or end-stage renal disease, and caution is advised when treating these patients. It is unlikely that enzalutamide will be significantly removed by intermittent </w:t>
      </w:r>
      <w:proofErr w:type="spellStart"/>
      <w:r w:rsidRPr="00B23B00">
        <w:rPr>
          <w:sz w:val="24"/>
          <w:szCs w:val="24"/>
          <w:lang w:val="en-US"/>
        </w:rPr>
        <w:t>haemodialysis</w:t>
      </w:r>
      <w:proofErr w:type="spellEnd"/>
      <w:r w:rsidRPr="00B23B00">
        <w:rPr>
          <w:sz w:val="24"/>
          <w:szCs w:val="24"/>
          <w:lang w:val="en-US"/>
        </w:rPr>
        <w:t xml:space="preserve"> or continuous ambulatory peritoneal dialysis.</w:t>
      </w:r>
    </w:p>
    <w:p w:rsidR="00360DE0" w:rsidRPr="00B23B00" w:rsidRDefault="00360DE0" w:rsidP="00DE37FA">
      <w:pPr>
        <w:ind w:left="851"/>
        <w:rPr>
          <w:sz w:val="24"/>
          <w:szCs w:val="24"/>
          <w:lang w:val="en-US"/>
        </w:rPr>
      </w:pPr>
    </w:p>
    <w:p w:rsidR="00360DE0" w:rsidRPr="00B23B00" w:rsidRDefault="00360DE0" w:rsidP="00DE37FA">
      <w:pPr>
        <w:ind w:left="851"/>
        <w:rPr>
          <w:sz w:val="24"/>
          <w:szCs w:val="24"/>
          <w:u w:val="single"/>
          <w:lang w:val="en-US"/>
        </w:rPr>
      </w:pPr>
      <w:r w:rsidRPr="00B23B00">
        <w:rPr>
          <w:sz w:val="24"/>
          <w:szCs w:val="24"/>
          <w:u w:val="single"/>
          <w:lang w:val="en-US"/>
        </w:rPr>
        <w:t>Hepatic impairment</w:t>
      </w:r>
    </w:p>
    <w:p w:rsidR="00360DE0" w:rsidRPr="00B23B00" w:rsidRDefault="00360DE0" w:rsidP="00DE37FA">
      <w:pPr>
        <w:ind w:left="851"/>
        <w:rPr>
          <w:sz w:val="24"/>
          <w:szCs w:val="24"/>
          <w:lang w:val="en-US"/>
        </w:rPr>
      </w:pPr>
      <w:r w:rsidRPr="00B23B00">
        <w:rPr>
          <w:sz w:val="24"/>
          <w:szCs w:val="24"/>
          <w:lang w:val="en-US"/>
        </w:rPr>
        <w:t>Hepatic impairment did not have a pronounced effect on the total exposure to enzalutamide or its active metabolite. The half-life of enzalutamide was however doubled in patients with severe hepatic impairment compared with healthy controls (10.4 days compared to 4.7 days), possibly related to an increased tissue distribution.</w:t>
      </w:r>
    </w:p>
    <w:p w:rsidR="00360DE0" w:rsidRPr="00B23B00" w:rsidRDefault="00360DE0" w:rsidP="00DE37FA">
      <w:pPr>
        <w:ind w:left="851"/>
        <w:rPr>
          <w:sz w:val="24"/>
          <w:szCs w:val="24"/>
          <w:lang w:val="en-US"/>
        </w:rPr>
      </w:pPr>
    </w:p>
    <w:p w:rsidR="00360DE0" w:rsidRPr="00B23B00" w:rsidRDefault="00360DE0" w:rsidP="00DE37FA">
      <w:pPr>
        <w:ind w:left="851"/>
        <w:rPr>
          <w:sz w:val="24"/>
          <w:szCs w:val="24"/>
          <w:lang w:val="en-US"/>
        </w:rPr>
      </w:pPr>
      <w:r w:rsidRPr="00B23B00">
        <w:rPr>
          <w:sz w:val="24"/>
          <w:szCs w:val="24"/>
          <w:lang w:val="en-US"/>
        </w:rPr>
        <w:t xml:space="preserve">The pharmacokinetics of enzalutamide were examined in subjects with baseline mild (N = 6), moderate (N = 8) or severe (N = 8) hepatic impairment (Child-Pugh Class A, B or C, respectively) and in 22 matched control subjects with normal hepatic function. Following a single oral 160 mg dose of enzalutamide, the AUC and </w:t>
      </w:r>
      <w:proofErr w:type="spellStart"/>
      <w:r w:rsidRPr="00B23B00">
        <w:rPr>
          <w:sz w:val="24"/>
          <w:szCs w:val="24"/>
          <w:lang w:val="en-US"/>
        </w:rPr>
        <w:t>C</w:t>
      </w:r>
      <w:r w:rsidRPr="00B23B00">
        <w:rPr>
          <w:sz w:val="24"/>
          <w:szCs w:val="24"/>
          <w:vertAlign w:val="subscript"/>
          <w:lang w:val="en-US"/>
        </w:rPr>
        <w:t>max</w:t>
      </w:r>
      <w:proofErr w:type="spellEnd"/>
      <w:r w:rsidRPr="00B23B00">
        <w:rPr>
          <w:sz w:val="24"/>
          <w:szCs w:val="24"/>
          <w:lang w:val="en-US"/>
        </w:rPr>
        <w:t xml:space="preserve"> for enzalutamide in subjects with mild impairment increased by 5</w:t>
      </w:r>
      <w:r w:rsidR="00B23B00" w:rsidRPr="00B23B00">
        <w:rPr>
          <w:sz w:val="24"/>
          <w:szCs w:val="24"/>
          <w:lang w:val="en-US"/>
        </w:rPr>
        <w:t xml:space="preserve"> %</w:t>
      </w:r>
      <w:r w:rsidRPr="00B23B00">
        <w:rPr>
          <w:sz w:val="24"/>
          <w:szCs w:val="24"/>
          <w:lang w:val="en-US"/>
        </w:rPr>
        <w:t xml:space="preserve"> and 24</w:t>
      </w:r>
      <w:r w:rsidR="00B23B00" w:rsidRPr="00B23B00">
        <w:rPr>
          <w:sz w:val="24"/>
          <w:szCs w:val="24"/>
          <w:lang w:val="en-US"/>
        </w:rPr>
        <w:t xml:space="preserve"> %</w:t>
      </w:r>
      <w:r w:rsidRPr="00B23B00">
        <w:rPr>
          <w:sz w:val="24"/>
          <w:szCs w:val="24"/>
          <w:lang w:val="en-US"/>
        </w:rPr>
        <w:t xml:space="preserve">, respectively, the AUC and </w:t>
      </w:r>
      <w:proofErr w:type="spellStart"/>
      <w:r w:rsidRPr="00B23B00">
        <w:rPr>
          <w:sz w:val="24"/>
          <w:szCs w:val="24"/>
          <w:lang w:val="en-US"/>
        </w:rPr>
        <w:t>C</w:t>
      </w:r>
      <w:r w:rsidRPr="00B23B00">
        <w:rPr>
          <w:sz w:val="24"/>
          <w:szCs w:val="24"/>
          <w:vertAlign w:val="subscript"/>
          <w:lang w:val="en-US"/>
        </w:rPr>
        <w:t>max</w:t>
      </w:r>
      <w:proofErr w:type="spellEnd"/>
      <w:r w:rsidRPr="00B23B00">
        <w:rPr>
          <w:sz w:val="24"/>
          <w:szCs w:val="24"/>
          <w:lang w:val="en-US"/>
        </w:rPr>
        <w:t xml:space="preserve"> of enzalutamide in subjects with moderate impairment increased by 29</w:t>
      </w:r>
      <w:r w:rsidR="00B23B00" w:rsidRPr="00B23B00">
        <w:rPr>
          <w:sz w:val="24"/>
          <w:szCs w:val="24"/>
          <w:lang w:val="en-US"/>
        </w:rPr>
        <w:t xml:space="preserve"> %</w:t>
      </w:r>
      <w:r w:rsidRPr="00B23B00">
        <w:rPr>
          <w:sz w:val="24"/>
          <w:szCs w:val="24"/>
          <w:lang w:val="en-US"/>
        </w:rPr>
        <w:t xml:space="preserve"> and decreased by 11</w:t>
      </w:r>
      <w:r w:rsidR="00B23B00" w:rsidRPr="00B23B00">
        <w:rPr>
          <w:sz w:val="24"/>
          <w:szCs w:val="24"/>
          <w:lang w:val="en-US"/>
        </w:rPr>
        <w:t xml:space="preserve"> %</w:t>
      </w:r>
      <w:r w:rsidRPr="00B23B00">
        <w:rPr>
          <w:sz w:val="24"/>
          <w:szCs w:val="24"/>
          <w:lang w:val="en-US"/>
        </w:rPr>
        <w:t xml:space="preserve">, respectively, and the AUC and </w:t>
      </w:r>
      <w:proofErr w:type="spellStart"/>
      <w:r w:rsidRPr="00B23B00">
        <w:rPr>
          <w:sz w:val="24"/>
          <w:szCs w:val="24"/>
          <w:lang w:val="en-US"/>
        </w:rPr>
        <w:t>C</w:t>
      </w:r>
      <w:r w:rsidRPr="00B23B00">
        <w:rPr>
          <w:sz w:val="24"/>
          <w:szCs w:val="24"/>
          <w:vertAlign w:val="subscript"/>
          <w:lang w:val="en-US"/>
        </w:rPr>
        <w:t>max</w:t>
      </w:r>
      <w:proofErr w:type="spellEnd"/>
      <w:r w:rsidRPr="00B23B00">
        <w:rPr>
          <w:sz w:val="24"/>
          <w:szCs w:val="24"/>
          <w:lang w:val="en-US"/>
        </w:rPr>
        <w:t xml:space="preserve"> of enzalutamide in subjects with severe impairment increased by 5</w:t>
      </w:r>
      <w:r w:rsidR="00B23B00" w:rsidRPr="00B23B00">
        <w:rPr>
          <w:sz w:val="24"/>
          <w:szCs w:val="24"/>
          <w:lang w:val="en-US"/>
        </w:rPr>
        <w:t xml:space="preserve"> %</w:t>
      </w:r>
      <w:r w:rsidRPr="00B23B00">
        <w:rPr>
          <w:sz w:val="24"/>
          <w:szCs w:val="24"/>
          <w:lang w:val="en-US"/>
        </w:rPr>
        <w:t xml:space="preserve"> and decreased by 41</w:t>
      </w:r>
      <w:r w:rsidR="00B23B00" w:rsidRPr="00B23B00">
        <w:rPr>
          <w:sz w:val="24"/>
          <w:szCs w:val="24"/>
          <w:lang w:val="en-US"/>
        </w:rPr>
        <w:t xml:space="preserve"> %</w:t>
      </w:r>
      <w:r w:rsidRPr="00B23B00">
        <w:rPr>
          <w:sz w:val="24"/>
          <w:szCs w:val="24"/>
          <w:lang w:val="en-US"/>
        </w:rPr>
        <w:t xml:space="preserve">, respectively, compared to healthy control subjects. For the sum of unbound enzalutamide plus the unbound active metabolite, the AUC and </w:t>
      </w:r>
      <w:proofErr w:type="spellStart"/>
      <w:r w:rsidRPr="00B23B00">
        <w:rPr>
          <w:sz w:val="24"/>
          <w:szCs w:val="24"/>
          <w:lang w:val="en-US"/>
        </w:rPr>
        <w:t>C</w:t>
      </w:r>
      <w:r w:rsidRPr="00B23B00">
        <w:rPr>
          <w:sz w:val="24"/>
          <w:szCs w:val="24"/>
          <w:vertAlign w:val="subscript"/>
          <w:lang w:val="en-US"/>
        </w:rPr>
        <w:t>max</w:t>
      </w:r>
      <w:proofErr w:type="spellEnd"/>
      <w:r w:rsidRPr="00B23B00">
        <w:rPr>
          <w:sz w:val="24"/>
          <w:szCs w:val="24"/>
          <w:lang w:val="en-US"/>
        </w:rPr>
        <w:t xml:space="preserve"> in subjects with mild impairment increased by 14</w:t>
      </w:r>
      <w:r w:rsidR="00B23B00" w:rsidRPr="00B23B00">
        <w:rPr>
          <w:sz w:val="24"/>
          <w:szCs w:val="24"/>
          <w:lang w:val="en-US"/>
        </w:rPr>
        <w:t xml:space="preserve"> %</w:t>
      </w:r>
      <w:r w:rsidRPr="00B23B00">
        <w:rPr>
          <w:sz w:val="24"/>
          <w:szCs w:val="24"/>
          <w:lang w:val="en-US"/>
        </w:rPr>
        <w:t xml:space="preserve"> and 19</w:t>
      </w:r>
      <w:r w:rsidR="00B23B00" w:rsidRPr="00B23B00">
        <w:rPr>
          <w:sz w:val="24"/>
          <w:szCs w:val="24"/>
          <w:lang w:val="en-US"/>
        </w:rPr>
        <w:t xml:space="preserve"> %</w:t>
      </w:r>
      <w:r w:rsidRPr="00B23B00">
        <w:rPr>
          <w:sz w:val="24"/>
          <w:szCs w:val="24"/>
          <w:lang w:val="en-US"/>
        </w:rPr>
        <w:t xml:space="preserve">, respectively, the AUC and </w:t>
      </w:r>
      <w:proofErr w:type="spellStart"/>
      <w:r w:rsidRPr="00B23B00">
        <w:rPr>
          <w:sz w:val="24"/>
          <w:szCs w:val="24"/>
          <w:lang w:val="en-US"/>
        </w:rPr>
        <w:t>C</w:t>
      </w:r>
      <w:r w:rsidRPr="00B23B00">
        <w:rPr>
          <w:sz w:val="24"/>
          <w:szCs w:val="24"/>
          <w:vertAlign w:val="subscript"/>
          <w:lang w:val="en-US"/>
        </w:rPr>
        <w:t>max</w:t>
      </w:r>
      <w:proofErr w:type="spellEnd"/>
      <w:r w:rsidRPr="00B23B00">
        <w:rPr>
          <w:sz w:val="24"/>
          <w:szCs w:val="24"/>
          <w:lang w:val="en-US"/>
        </w:rPr>
        <w:t xml:space="preserve"> in subjects with moderate impairment increased by 14</w:t>
      </w:r>
      <w:r w:rsidR="00B23B00" w:rsidRPr="00B23B00">
        <w:rPr>
          <w:sz w:val="24"/>
          <w:szCs w:val="24"/>
          <w:lang w:val="en-US"/>
        </w:rPr>
        <w:t xml:space="preserve"> %</w:t>
      </w:r>
      <w:r w:rsidRPr="00B23B00">
        <w:rPr>
          <w:sz w:val="24"/>
          <w:szCs w:val="24"/>
          <w:lang w:val="en-US"/>
        </w:rPr>
        <w:t xml:space="preserve"> and decreased by 17</w:t>
      </w:r>
      <w:r w:rsidR="00B23B00" w:rsidRPr="00B23B00">
        <w:rPr>
          <w:sz w:val="24"/>
          <w:szCs w:val="24"/>
          <w:lang w:val="en-US"/>
        </w:rPr>
        <w:t xml:space="preserve"> %</w:t>
      </w:r>
      <w:r w:rsidRPr="00B23B00">
        <w:rPr>
          <w:sz w:val="24"/>
          <w:szCs w:val="24"/>
          <w:lang w:val="en-US"/>
        </w:rPr>
        <w:t xml:space="preserve">, respectively, and the AUC and </w:t>
      </w:r>
      <w:proofErr w:type="spellStart"/>
      <w:r w:rsidRPr="00B23B00">
        <w:rPr>
          <w:sz w:val="24"/>
          <w:szCs w:val="24"/>
          <w:lang w:val="en-US"/>
        </w:rPr>
        <w:t>C</w:t>
      </w:r>
      <w:r w:rsidRPr="00B23B00">
        <w:rPr>
          <w:sz w:val="24"/>
          <w:szCs w:val="24"/>
          <w:vertAlign w:val="subscript"/>
          <w:lang w:val="en-US"/>
        </w:rPr>
        <w:t>max</w:t>
      </w:r>
      <w:proofErr w:type="spellEnd"/>
      <w:r w:rsidRPr="00B23B00">
        <w:rPr>
          <w:sz w:val="24"/>
          <w:szCs w:val="24"/>
          <w:lang w:val="en-US"/>
        </w:rPr>
        <w:t xml:space="preserve"> in subjects with severe hepatic impairment increased by 34</w:t>
      </w:r>
      <w:r w:rsidR="00B23B00" w:rsidRPr="00B23B00">
        <w:rPr>
          <w:sz w:val="24"/>
          <w:szCs w:val="24"/>
          <w:lang w:val="en-US"/>
        </w:rPr>
        <w:t xml:space="preserve"> %</w:t>
      </w:r>
      <w:r w:rsidRPr="00B23B00">
        <w:rPr>
          <w:sz w:val="24"/>
          <w:szCs w:val="24"/>
          <w:lang w:val="en-US"/>
        </w:rPr>
        <w:t xml:space="preserve"> and decreased by 27</w:t>
      </w:r>
      <w:r w:rsidR="00B23B00" w:rsidRPr="00B23B00">
        <w:rPr>
          <w:sz w:val="24"/>
          <w:szCs w:val="24"/>
          <w:lang w:val="en-US"/>
        </w:rPr>
        <w:t xml:space="preserve"> %</w:t>
      </w:r>
      <w:r w:rsidRPr="00B23B00">
        <w:rPr>
          <w:sz w:val="24"/>
          <w:szCs w:val="24"/>
          <w:lang w:val="en-US"/>
        </w:rPr>
        <w:t>, respectively, compared to healthy control subjects.</w:t>
      </w:r>
    </w:p>
    <w:p w:rsidR="00360DE0" w:rsidRPr="00B23B00" w:rsidRDefault="00360DE0" w:rsidP="00DE37FA">
      <w:pPr>
        <w:ind w:left="851"/>
        <w:rPr>
          <w:sz w:val="24"/>
          <w:szCs w:val="24"/>
          <w:lang w:val="en-US"/>
        </w:rPr>
      </w:pPr>
    </w:p>
    <w:p w:rsidR="00360DE0" w:rsidRPr="00B23B00" w:rsidRDefault="00360DE0" w:rsidP="00DE37FA">
      <w:pPr>
        <w:ind w:left="851"/>
        <w:rPr>
          <w:sz w:val="24"/>
          <w:szCs w:val="24"/>
          <w:u w:val="single"/>
          <w:lang w:val="en-US"/>
        </w:rPr>
      </w:pPr>
      <w:r w:rsidRPr="00B23B00">
        <w:rPr>
          <w:sz w:val="24"/>
          <w:szCs w:val="24"/>
          <w:u w:val="single"/>
          <w:lang w:val="en-US"/>
        </w:rPr>
        <w:t>Race</w:t>
      </w:r>
    </w:p>
    <w:p w:rsidR="00360DE0" w:rsidRPr="00B23B00" w:rsidRDefault="00360DE0" w:rsidP="00DE37FA">
      <w:pPr>
        <w:ind w:left="851"/>
        <w:rPr>
          <w:sz w:val="24"/>
          <w:szCs w:val="24"/>
          <w:lang w:val="en-US"/>
        </w:rPr>
      </w:pPr>
      <w:r w:rsidRPr="00B23B00">
        <w:rPr>
          <w:sz w:val="24"/>
          <w:szCs w:val="24"/>
          <w:lang w:val="en-US"/>
        </w:rPr>
        <w:t xml:space="preserve">Most patients in the controlled clinical </w:t>
      </w:r>
      <w:r w:rsidR="00A619F4" w:rsidRPr="00A619F4">
        <w:rPr>
          <w:sz w:val="22"/>
          <w:szCs w:val="22"/>
          <w:lang w:val="en-US"/>
        </w:rPr>
        <w:t xml:space="preserve">studies (&gt; 75%) </w:t>
      </w:r>
      <w:r w:rsidRPr="00B23B00">
        <w:rPr>
          <w:sz w:val="24"/>
          <w:szCs w:val="24"/>
          <w:lang w:val="en-US"/>
        </w:rPr>
        <w:t>were Caucasian. Based on pharmacokinetic data from studies in Japanese and Chinese patients with prostate cancer, there were no clinically relevant differences in exposure among the populations. There are insufficient data to evaluate potential differences in the pharmacokinetics of enzalutamide in other races.</w:t>
      </w:r>
    </w:p>
    <w:p w:rsidR="00360DE0" w:rsidRPr="00B23B00" w:rsidRDefault="00360DE0" w:rsidP="00DE37FA">
      <w:pPr>
        <w:ind w:left="851"/>
        <w:rPr>
          <w:sz w:val="24"/>
          <w:szCs w:val="24"/>
          <w:lang w:val="en-US"/>
        </w:rPr>
      </w:pPr>
    </w:p>
    <w:p w:rsidR="00360DE0" w:rsidRPr="00B23B00" w:rsidRDefault="00360DE0" w:rsidP="00DE37FA">
      <w:pPr>
        <w:ind w:left="851"/>
        <w:rPr>
          <w:sz w:val="24"/>
          <w:szCs w:val="24"/>
          <w:u w:val="single"/>
          <w:lang w:val="en-US"/>
        </w:rPr>
      </w:pPr>
      <w:r w:rsidRPr="00B23B00">
        <w:rPr>
          <w:sz w:val="24"/>
          <w:szCs w:val="24"/>
          <w:u w:val="single"/>
          <w:lang w:val="en-US"/>
        </w:rPr>
        <w:lastRenderedPageBreak/>
        <w:t>Elderly</w:t>
      </w:r>
    </w:p>
    <w:p w:rsidR="00360DE0" w:rsidRPr="00B23B00" w:rsidRDefault="00360DE0" w:rsidP="00DE37FA">
      <w:pPr>
        <w:ind w:left="851"/>
        <w:rPr>
          <w:sz w:val="24"/>
          <w:szCs w:val="24"/>
          <w:lang w:val="en-US"/>
        </w:rPr>
      </w:pPr>
      <w:r w:rsidRPr="00B23B00">
        <w:rPr>
          <w:sz w:val="24"/>
          <w:szCs w:val="24"/>
          <w:lang w:val="en-US"/>
        </w:rPr>
        <w:t>No clinically relevant effect of age on enzalutamide pharmacokinetics was seen in the elderly population pharmacokinetic analysis.</w:t>
      </w:r>
    </w:p>
    <w:p w:rsidR="007C5D2A" w:rsidRPr="00B23B00" w:rsidRDefault="007C5D2A" w:rsidP="003E0341">
      <w:pPr>
        <w:tabs>
          <w:tab w:val="left" w:pos="851"/>
        </w:tabs>
        <w:ind w:left="851"/>
        <w:rPr>
          <w:sz w:val="24"/>
          <w:szCs w:val="24"/>
          <w:lang w:val="en-GB"/>
        </w:rPr>
      </w:pPr>
    </w:p>
    <w:p w:rsidR="007C5D2A" w:rsidRPr="00B23B00" w:rsidRDefault="00180A12" w:rsidP="007C5D2A">
      <w:pPr>
        <w:tabs>
          <w:tab w:val="left" w:pos="851"/>
        </w:tabs>
        <w:ind w:left="851" w:hanging="851"/>
        <w:rPr>
          <w:b/>
          <w:sz w:val="24"/>
          <w:szCs w:val="24"/>
          <w:lang w:val="en-GB"/>
        </w:rPr>
      </w:pPr>
      <w:r w:rsidRPr="00B23B00">
        <w:rPr>
          <w:b/>
          <w:sz w:val="24"/>
          <w:szCs w:val="24"/>
          <w:lang w:val="en-GB"/>
        </w:rPr>
        <w:t>5.3</w:t>
      </w:r>
      <w:r w:rsidRPr="00B23B00">
        <w:rPr>
          <w:b/>
          <w:sz w:val="24"/>
          <w:szCs w:val="24"/>
          <w:lang w:val="en-GB"/>
        </w:rPr>
        <w:tab/>
        <w:t>Preclinical safety data</w:t>
      </w:r>
    </w:p>
    <w:p w:rsidR="00360DE0" w:rsidRPr="00B23B00" w:rsidRDefault="00360DE0" w:rsidP="00DE37FA">
      <w:pPr>
        <w:ind w:left="851"/>
        <w:rPr>
          <w:sz w:val="24"/>
          <w:szCs w:val="24"/>
          <w:lang w:val="en-US"/>
        </w:rPr>
      </w:pPr>
      <w:r w:rsidRPr="00B23B00">
        <w:rPr>
          <w:sz w:val="24"/>
          <w:szCs w:val="24"/>
          <w:lang w:val="en-US"/>
        </w:rPr>
        <w:t>Enzalutamide treatment of pregnant mice resulted in an increased incidence of embryo-fetal deaths and external and skeletal changes. Fertility studies were not conducted with enzalutamide, but in studies in rats (4 and 26 weeks) and dogs (4, 13, and 39 weeks), atrophy, aspermia/</w:t>
      </w:r>
      <w:proofErr w:type="spellStart"/>
      <w:r w:rsidRPr="00B23B00">
        <w:rPr>
          <w:sz w:val="24"/>
          <w:szCs w:val="24"/>
          <w:lang w:val="en-US"/>
        </w:rPr>
        <w:t>hypospermia</w:t>
      </w:r>
      <w:proofErr w:type="spellEnd"/>
      <w:r w:rsidRPr="00B23B00">
        <w:rPr>
          <w:sz w:val="24"/>
          <w:szCs w:val="24"/>
          <w:lang w:val="en-US"/>
        </w:rPr>
        <w:t xml:space="preserve">, and hypertrophy/hyperplasia in the reproductive system were noted, consistent with the pharmacological activity of enzalutamide. In studies in mice (4 weeks), rats (4 and 26 weeks) and dogs (4, 13, and 39 weeks), changes in the reproductive organs associated with enzalutamide were decreases in organ weight with atrophy of the prostate and epididymis. Leydig cell hypertrophy and/or hyperplasia were observed in mice (4 weeks) and dogs (39 weeks). Additional changes to reproductive tissues included hypertrophy/hyperplasia of the pituitary gland and atrophy in seminal vesicles in rats and testicular </w:t>
      </w:r>
      <w:proofErr w:type="spellStart"/>
      <w:r w:rsidRPr="00B23B00">
        <w:rPr>
          <w:sz w:val="24"/>
          <w:szCs w:val="24"/>
          <w:lang w:val="en-US"/>
        </w:rPr>
        <w:t>hypospermia</w:t>
      </w:r>
      <w:proofErr w:type="spellEnd"/>
      <w:r w:rsidRPr="00B23B00">
        <w:rPr>
          <w:sz w:val="24"/>
          <w:szCs w:val="24"/>
          <w:lang w:val="en-US"/>
        </w:rPr>
        <w:t xml:space="preserve"> and seminiferous tubule degeneration in dogs. Gender differences were noted in rat mammary glands (male atrophy and female lobular hyperplasia). Changes in the reproductive organs in both species were consistent with the pharmacological activity of enzalutamide and reversed or partially resolved after an 8-week recovery period. There were no other important changes in clinical pathology or histopathology in any other organ system, including the liver, in either species.</w:t>
      </w:r>
    </w:p>
    <w:p w:rsidR="00360DE0" w:rsidRPr="00B23B00" w:rsidRDefault="00360DE0" w:rsidP="00DE37FA">
      <w:pPr>
        <w:ind w:left="851"/>
        <w:rPr>
          <w:sz w:val="24"/>
          <w:szCs w:val="24"/>
          <w:lang w:val="en-US"/>
        </w:rPr>
      </w:pPr>
    </w:p>
    <w:p w:rsidR="00360DE0" w:rsidRPr="00B23B00" w:rsidRDefault="00360DE0" w:rsidP="00DE37FA">
      <w:pPr>
        <w:ind w:left="851"/>
        <w:rPr>
          <w:sz w:val="24"/>
          <w:szCs w:val="24"/>
          <w:lang w:val="en-US"/>
        </w:rPr>
      </w:pPr>
      <w:r w:rsidRPr="00B23B00">
        <w:rPr>
          <w:sz w:val="24"/>
          <w:szCs w:val="24"/>
          <w:lang w:val="en-US"/>
        </w:rPr>
        <w:t>Studies in pregnant rats have shown that enzalutamide and/or its metabolites are transferred to fetuses. After oral administration of radiolabeled 14C-enzalutamide to rats on day 14 of pregnancy at a dose of 30 mg/kg (~ 1.9 times the maximum dose indicated in humans), the maximum radioactivity in the fetus was reached 4 hours after administration and was lower than that in the maternal plasma with tissue/plasma ratio of 0.27. The radioactivity in the fetus decreased to 0.08 times the maximum concentration at 72 hours after administration.</w:t>
      </w:r>
    </w:p>
    <w:p w:rsidR="00360DE0" w:rsidRPr="00B23B00" w:rsidRDefault="00360DE0" w:rsidP="00DE37FA">
      <w:pPr>
        <w:ind w:left="851"/>
        <w:rPr>
          <w:sz w:val="24"/>
          <w:szCs w:val="24"/>
          <w:lang w:val="en-US"/>
        </w:rPr>
      </w:pPr>
    </w:p>
    <w:p w:rsidR="00360DE0" w:rsidRPr="00B23B00" w:rsidRDefault="00360DE0" w:rsidP="00DE37FA">
      <w:pPr>
        <w:ind w:left="851"/>
        <w:rPr>
          <w:sz w:val="24"/>
          <w:szCs w:val="24"/>
          <w:lang w:val="en-US"/>
        </w:rPr>
      </w:pPr>
      <w:r w:rsidRPr="00B23B00">
        <w:rPr>
          <w:sz w:val="24"/>
          <w:szCs w:val="24"/>
          <w:lang w:val="en-US"/>
        </w:rPr>
        <w:t>Studies in lactating rats have shown that enzalutamide and/or its metabolites are secreted in rat milk.</w:t>
      </w:r>
    </w:p>
    <w:p w:rsidR="00360DE0" w:rsidRPr="00B23B00" w:rsidRDefault="00360DE0" w:rsidP="00DE37FA">
      <w:pPr>
        <w:ind w:left="851"/>
        <w:rPr>
          <w:sz w:val="24"/>
          <w:szCs w:val="24"/>
          <w:lang w:val="en-US"/>
        </w:rPr>
      </w:pPr>
      <w:r w:rsidRPr="00B23B00">
        <w:rPr>
          <w:sz w:val="24"/>
          <w:szCs w:val="24"/>
          <w:lang w:val="en-US"/>
        </w:rPr>
        <w:t>After oral administration of radiolabeled 14C-enzalutamide to lactating rats at a dose of 30 mg/kg (~ 1.9 times the maximum dose indicated in humans), the maximum radioactivity in the milk was reached 4 hours after administration and was up to 3.54-fold higher than that in the maternal plasma. Study results also have shown that enzalutamide and/or its metabolites are transferred to infant rat tissues via milk and subsequently eliminated.</w:t>
      </w:r>
    </w:p>
    <w:p w:rsidR="00360DE0" w:rsidRPr="00B23B00" w:rsidRDefault="00360DE0" w:rsidP="00DE37FA">
      <w:pPr>
        <w:ind w:left="851"/>
        <w:rPr>
          <w:sz w:val="24"/>
          <w:szCs w:val="24"/>
          <w:lang w:val="en-US"/>
        </w:rPr>
      </w:pPr>
    </w:p>
    <w:p w:rsidR="00360DE0" w:rsidRPr="00B23B00" w:rsidRDefault="00360DE0" w:rsidP="00DE37FA">
      <w:pPr>
        <w:ind w:left="851"/>
        <w:rPr>
          <w:sz w:val="24"/>
          <w:szCs w:val="24"/>
          <w:lang w:val="en-US"/>
        </w:rPr>
      </w:pPr>
      <w:r w:rsidRPr="00B23B00">
        <w:rPr>
          <w:sz w:val="24"/>
          <w:szCs w:val="24"/>
          <w:lang w:val="en-US"/>
        </w:rPr>
        <w:t xml:space="preserve">Enzalutamide was negative for genotoxicity in a standard battery of </w:t>
      </w:r>
      <w:r w:rsidRPr="00B23B00">
        <w:rPr>
          <w:i/>
          <w:sz w:val="24"/>
          <w:szCs w:val="24"/>
          <w:lang w:val="en-US"/>
        </w:rPr>
        <w:t>in vitro</w:t>
      </w:r>
      <w:r w:rsidRPr="00B23B00">
        <w:rPr>
          <w:sz w:val="24"/>
          <w:szCs w:val="24"/>
          <w:lang w:val="en-US"/>
        </w:rPr>
        <w:t xml:space="preserve"> and </w:t>
      </w:r>
      <w:r w:rsidRPr="00B23B00">
        <w:rPr>
          <w:i/>
          <w:sz w:val="24"/>
          <w:szCs w:val="24"/>
          <w:lang w:val="en-US"/>
        </w:rPr>
        <w:t>in vivo</w:t>
      </w:r>
      <w:r w:rsidRPr="00B23B00">
        <w:rPr>
          <w:sz w:val="24"/>
          <w:szCs w:val="24"/>
          <w:lang w:val="en-US"/>
        </w:rPr>
        <w:t xml:space="preserve"> tests. In a 6- month study in transgenic rasH2 mice, enzalutamide did not show carcinogenic potential (absence of neoplastic findings) at doses up to 20 mg/kg per day (AUC24h ~317 µ</w:t>
      </w:r>
      <w:proofErr w:type="spellStart"/>
      <w:r w:rsidRPr="00B23B00">
        <w:rPr>
          <w:sz w:val="24"/>
          <w:szCs w:val="24"/>
          <w:lang w:val="en-US"/>
        </w:rPr>
        <w:t>g·h</w:t>
      </w:r>
      <w:proofErr w:type="spellEnd"/>
      <w:r w:rsidRPr="00B23B00">
        <w:rPr>
          <w:sz w:val="24"/>
          <w:szCs w:val="24"/>
          <w:lang w:val="en-US"/>
        </w:rPr>
        <w:t>/mL), which resulted in plasma exposure levels similar to the clinical exposure (AUC24h ~322 µ</w:t>
      </w:r>
      <w:proofErr w:type="spellStart"/>
      <w:r w:rsidRPr="00B23B00">
        <w:rPr>
          <w:sz w:val="24"/>
          <w:szCs w:val="24"/>
          <w:lang w:val="en-US"/>
        </w:rPr>
        <w:t>g·h</w:t>
      </w:r>
      <w:proofErr w:type="spellEnd"/>
      <w:r w:rsidRPr="00B23B00">
        <w:rPr>
          <w:sz w:val="24"/>
          <w:szCs w:val="24"/>
          <w:lang w:val="en-US"/>
        </w:rPr>
        <w:t xml:space="preserve">/mL) in </w:t>
      </w:r>
      <w:proofErr w:type="spellStart"/>
      <w:r w:rsidRPr="00B23B00">
        <w:rPr>
          <w:sz w:val="24"/>
          <w:szCs w:val="24"/>
          <w:lang w:val="en-US"/>
        </w:rPr>
        <w:t>mCRPC</w:t>
      </w:r>
      <w:proofErr w:type="spellEnd"/>
      <w:r w:rsidRPr="00B23B00">
        <w:rPr>
          <w:sz w:val="24"/>
          <w:szCs w:val="24"/>
          <w:lang w:val="en-US"/>
        </w:rPr>
        <w:t xml:space="preserve"> patients receiving 160 mg, daily.</w:t>
      </w:r>
    </w:p>
    <w:p w:rsidR="00360DE0" w:rsidRPr="00B23B00" w:rsidRDefault="00360DE0" w:rsidP="00DE37FA">
      <w:pPr>
        <w:ind w:left="851"/>
        <w:rPr>
          <w:sz w:val="24"/>
          <w:szCs w:val="24"/>
          <w:lang w:val="en-US"/>
        </w:rPr>
      </w:pPr>
    </w:p>
    <w:p w:rsidR="00360DE0" w:rsidRPr="00B23B00" w:rsidRDefault="00360DE0" w:rsidP="00DE37FA">
      <w:pPr>
        <w:ind w:left="851"/>
        <w:rPr>
          <w:sz w:val="24"/>
          <w:szCs w:val="24"/>
          <w:lang w:val="en-US"/>
        </w:rPr>
      </w:pPr>
      <w:r w:rsidRPr="00B23B00">
        <w:rPr>
          <w:sz w:val="24"/>
          <w:szCs w:val="24"/>
          <w:lang w:val="en-US"/>
        </w:rPr>
        <w:t xml:space="preserve">Daily dosing of rats for two years with enzalutamide produced an increased incidence of neoplastic findings. These included benign thymoma, fibroadenoma in the mammary glands, benign Leydig cell </w:t>
      </w:r>
      <w:proofErr w:type="spellStart"/>
      <w:r w:rsidRPr="00B23B00">
        <w:rPr>
          <w:sz w:val="24"/>
          <w:szCs w:val="24"/>
          <w:lang w:val="en-US"/>
        </w:rPr>
        <w:t>tumours</w:t>
      </w:r>
      <w:proofErr w:type="spellEnd"/>
      <w:r w:rsidRPr="00B23B00">
        <w:rPr>
          <w:sz w:val="24"/>
          <w:szCs w:val="24"/>
          <w:lang w:val="en-US"/>
        </w:rPr>
        <w:t xml:space="preserve"> in the testes and urothelium papilloma and carcinoma of urinary bladder in males; benign granulosa cell </w:t>
      </w:r>
      <w:proofErr w:type="spellStart"/>
      <w:r w:rsidRPr="00B23B00">
        <w:rPr>
          <w:sz w:val="24"/>
          <w:szCs w:val="24"/>
          <w:lang w:val="en-US"/>
        </w:rPr>
        <w:t>tumour</w:t>
      </w:r>
      <w:proofErr w:type="spellEnd"/>
      <w:r w:rsidRPr="00B23B00">
        <w:rPr>
          <w:sz w:val="24"/>
          <w:szCs w:val="24"/>
          <w:lang w:val="en-US"/>
        </w:rPr>
        <w:t xml:space="preserve"> in the ovaries in females and adenoma in the pars distalis of the pituitary in both sexes. The human relevance of thymoma, pituitary adenoma and mammary fibroadenoma as well as urothelium papilloma and carcinoma of urinary bladder cannot be ruled out.</w:t>
      </w:r>
    </w:p>
    <w:p w:rsidR="00360DE0" w:rsidRPr="00B23B00" w:rsidRDefault="00360DE0" w:rsidP="00DE37FA">
      <w:pPr>
        <w:ind w:left="851"/>
        <w:rPr>
          <w:sz w:val="24"/>
          <w:szCs w:val="24"/>
          <w:lang w:val="en-US"/>
        </w:rPr>
      </w:pPr>
    </w:p>
    <w:p w:rsidR="007C5D2A" w:rsidRPr="00FB3995" w:rsidRDefault="00360DE0" w:rsidP="00FB3995">
      <w:pPr>
        <w:ind w:left="851"/>
        <w:rPr>
          <w:sz w:val="24"/>
          <w:szCs w:val="24"/>
          <w:lang w:val="en-US"/>
        </w:rPr>
      </w:pPr>
      <w:r w:rsidRPr="00B23B00">
        <w:rPr>
          <w:sz w:val="24"/>
          <w:szCs w:val="24"/>
          <w:lang w:val="en-US"/>
        </w:rPr>
        <w:t xml:space="preserve">Enzalutamide was not phototoxic </w:t>
      </w:r>
      <w:r w:rsidRPr="00B23B00">
        <w:rPr>
          <w:i/>
          <w:sz w:val="24"/>
          <w:szCs w:val="24"/>
          <w:lang w:val="en-US"/>
        </w:rPr>
        <w:t>in vitro</w:t>
      </w:r>
      <w:r w:rsidRPr="00B23B00">
        <w:rPr>
          <w:sz w:val="24"/>
          <w:szCs w:val="24"/>
          <w:lang w:val="en-US"/>
        </w:rPr>
        <w:t>.</w:t>
      </w:r>
    </w:p>
    <w:p w:rsidR="007C5D2A" w:rsidRPr="00B23B00" w:rsidRDefault="007C5D2A" w:rsidP="003E0341">
      <w:pPr>
        <w:tabs>
          <w:tab w:val="left" w:pos="851"/>
        </w:tabs>
        <w:ind w:left="851"/>
        <w:rPr>
          <w:sz w:val="24"/>
          <w:szCs w:val="24"/>
          <w:lang w:val="en-GB"/>
        </w:rPr>
      </w:pPr>
    </w:p>
    <w:p w:rsidR="007C5D2A" w:rsidRPr="00B23B00" w:rsidRDefault="009925C9" w:rsidP="007C5D2A">
      <w:pPr>
        <w:ind w:left="851" w:hanging="851"/>
        <w:rPr>
          <w:b/>
          <w:sz w:val="24"/>
          <w:szCs w:val="24"/>
          <w:lang w:val="en-GB"/>
        </w:rPr>
      </w:pPr>
      <w:r w:rsidRPr="00B23B00">
        <w:rPr>
          <w:b/>
          <w:sz w:val="24"/>
          <w:szCs w:val="24"/>
          <w:lang w:val="en-GB"/>
        </w:rPr>
        <w:t>6.</w:t>
      </w:r>
      <w:r w:rsidR="007C5D2A" w:rsidRPr="00B23B00">
        <w:rPr>
          <w:b/>
          <w:sz w:val="24"/>
          <w:szCs w:val="24"/>
          <w:lang w:val="en-GB"/>
        </w:rPr>
        <w:tab/>
        <w:t>PHARMACEUTICAL PARTICULARS</w:t>
      </w:r>
    </w:p>
    <w:p w:rsidR="007C5D2A" w:rsidRPr="00B23B00" w:rsidRDefault="007C5D2A" w:rsidP="003E0341">
      <w:pPr>
        <w:tabs>
          <w:tab w:val="left" w:pos="851"/>
        </w:tabs>
        <w:ind w:left="851"/>
        <w:rPr>
          <w:sz w:val="24"/>
          <w:szCs w:val="24"/>
          <w:lang w:val="en-GB"/>
        </w:rPr>
      </w:pPr>
    </w:p>
    <w:p w:rsidR="007C5D2A" w:rsidRPr="00B23B00" w:rsidRDefault="007C5D2A" w:rsidP="007C5D2A">
      <w:pPr>
        <w:ind w:left="851" w:hanging="851"/>
        <w:rPr>
          <w:b/>
          <w:sz w:val="24"/>
          <w:szCs w:val="24"/>
          <w:lang w:val="en-GB"/>
        </w:rPr>
      </w:pPr>
      <w:r w:rsidRPr="00B23B00">
        <w:rPr>
          <w:b/>
          <w:sz w:val="24"/>
          <w:szCs w:val="24"/>
          <w:lang w:val="en-GB"/>
        </w:rPr>
        <w:t>6.1</w:t>
      </w:r>
      <w:r w:rsidRPr="00B23B00">
        <w:rPr>
          <w:b/>
          <w:sz w:val="24"/>
          <w:szCs w:val="24"/>
          <w:lang w:val="en-GB"/>
        </w:rPr>
        <w:tab/>
        <w:t>List of excipients</w:t>
      </w:r>
    </w:p>
    <w:p w:rsidR="009508EE" w:rsidRPr="00B23B00" w:rsidRDefault="009508EE" w:rsidP="00DE37FA">
      <w:pPr>
        <w:ind w:left="851"/>
        <w:rPr>
          <w:sz w:val="24"/>
          <w:szCs w:val="24"/>
          <w:lang w:val="en-US"/>
        </w:rPr>
      </w:pPr>
    </w:p>
    <w:p w:rsidR="00360DE0" w:rsidRPr="00B23B00" w:rsidRDefault="00360DE0" w:rsidP="00DE37FA">
      <w:pPr>
        <w:ind w:left="851"/>
        <w:rPr>
          <w:sz w:val="24"/>
          <w:szCs w:val="24"/>
          <w:u w:val="single"/>
          <w:lang w:val="en-US"/>
        </w:rPr>
      </w:pPr>
      <w:r w:rsidRPr="00B23B00">
        <w:rPr>
          <w:sz w:val="24"/>
          <w:szCs w:val="24"/>
          <w:u w:val="single"/>
          <w:lang w:val="en-US"/>
        </w:rPr>
        <w:t>Tablet core</w:t>
      </w:r>
    </w:p>
    <w:p w:rsidR="00360DE0" w:rsidRPr="00B23B00" w:rsidRDefault="00360DE0" w:rsidP="00DE37FA">
      <w:pPr>
        <w:ind w:left="851"/>
        <w:rPr>
          <w:sz w:val="24"/>
          <w:szCs w:val="24"/>
          <w:lang w:val="en-US"/>
        </w:rPr>
      </w:pPr>
      <w:r w:rsidRPr="00B23B00">
        <w:rPr>
          <w:sz w:val="24"/>
          <w:szCs w:val="24"/>
          <w:lang w:val="en-US"/>
        </w:rPr>
        <w:t xml:space="preserve">Hypromellose acetate succinate </w:t>
      </w:r>
    </w:p>
    <w:p w:rsidR="00360DE0" w:rsidRPr="00B23B00" w:rsidRDefault="00360DE0" w:rsidP="00DE37FA">
      <w:pPr>
        <w:ind w:left="851"/>
        <w:rPr>
          <w:sz w:val="24"/>
          <w:szCs w:val="24"/>
          <w:lang w:val="en-US"/>
        </w:rPr>
      </w:pPr>
      <w:r w:rsidRPr="00B23B00">
        <w:rPr>
          <w:sz w:val="24"/>
          <w:szCs w:val="24"/>
          <w:lang w:val="en-US"/>
        </w:rPr>
        <w:t>Lactose monohydrate</w:t>
      </w:r>
    </w:p>
    <w:p w:rsidR="00360DE0" w:rsidRPr="00B23B00" w:rsidRDefault="00360DE0" w:rsidP="00DE37FA">
      <w:pPr>
        <w:ind w:left="851"/>
        <w:rPr>
          <w:sz w:val="24"/>
          <w:szCs w:val="24"/>
          <w:lang w:val="en-US"/>
        </w:rPr>
      </w:pPr>
      <w:r w:rsidRPr="00B23B00">
        <w:rPr>
          <w:sz w:val="24"/>
          <w:szCs w:val="24"/>
          <w:lang w:val="en-US"/>
        </w:rPr>
        <w:t>Croscarmellose sodium (E468)</w:t>
      </w:r>
    </w:p>
    <w:p w:rsidR="00360DE0" w:rsidRPr="00B23B00" w:rsidRDefault="00360DE0" w:rsidP="00DE37FA">
      <w:pPr>
        <w:ind w:left="851"/>
        <w:rPr>
          <w:sz w:val="24"/>
          <w:szCs w:val="24"/>
          <w:lang w:val="en-US"/>
        </w:rPr>
      </w:pPr>
      <w:r w:rsidRPr="00B23B00">
        <w:rPr>
          <w:sz w:val="24"/>
          <w:szCs w:val="24"/>
          <w:lang w:val="en-US"/>
        </w:rPr>
        <w:t>Cellulose, microcrystalline (E460)</w:t>
      </w:r>
    </w:p>
    <w:p w:rsidR="00360DE0" w:rsidRPr="00B23B00" w:rsidRDefault="00360DE0" w:rsidP="00DE37FA">
      <w:pPr>
        <w:ind w:left="851"/>
        <w:rPr>
          <w:sz w:val="24"/>
          <w:szCs w:val="24"/>
          <w:lang w:val="en-US"/>
        </w:rPr>
      </w:pPr>
      <w:r w:rsidRPr="00B23B00">
        <w:rPr>
          <w:sz w:val="24"/>
          <w:szCs w:val="24"/>
          <w:lang w:val="en-US"/>
        </w:rPr>
        <w:t>Magnesium stearate (E470b)</w:t>
      </w:r>
    </w:p>
    <w:p w:rsidR="00360DE0" w:rsidRPr="00B23B00" w:rsidRDefault="00360DE0" w:rsidP="00DE37FA">
      <w:pPr>
        <w:ind w:left="851"/>
        <w:rPr>
          <w:sz w:val="24"/>
          <w:szCs w:val="24"/>
          <w:lang w:val="en-US"/>
        </w:rPr>
      </w:pPr>
    </w:p>
    <w:p w:rsidR="00360DE0" w:rsidRPr="00B23B00" w:rsidRDefault="00360DE0" w:rsidP="00DE37FA">
      <w:pPr>
        <w:ind w:left="851"/>
        <w:rPr>
          <w:sz w:val="24"/>
          <w:szCs w:val="24"/>
          <w:u w:val="single"/>
          <w:lang w:val="en-US"/>
        </w:rPr>
      </w:pPr>
      <w:r w:rsidRPr="00B23B00">
        <w:rPr>
          <w:sz w:val="24"/>
          <w:szCs w:val="24"/>
          <w:u w:val="single"/>
          <w:lang w:val="en-US"/>
        </w:rPr>
        <w:t>Tablet coating</w:t>
      </w:r>
    </w:p>
    <w:p w:rsidR="00360DE0" w:rsidRPr="00B23B00" w:rsidRDefault="00360DE0" w:rsidP="00DE37FA">
      <w:pPr>
        <w:ind w:left="851"/>
        <w:rPr>
          <w:sz w:val="24"/>
          <w:szCs w:val="24"/>
          <w:lang w:val="en-US"/>
        </w:rPr>
      </w:pPr>
      <w:r w:rsidRPr="00B23B00">
        <w:rPr>
          <w:sz w:val="24"/>
          <w:szCs w:val="24"/>
          <w:lang w:val="en-US"/>
        </w:rPr>
        <w:t>Hypromellose (E464)</w:t>
      </w:r>
    </w:p>
    <w:p w:rsidR="00360DE0" w:rsidRPr="00B23B00" w:rsidRDefault="00360DE0" w:rsidP="00DE37FA">
      <w:pPr>
        <w:ind w:left="851"/>
        <w:rPr>
          <w:sz w:val="24"/>
          <w:szCs w:val="24"/>
          <w:lang w:val="en-US"/>
        </w:rPr>
      </w:pPr>
      <w:r w:rsidRPr="00B23B00">
        <w:rPr>
          <w:sz w:val="24"/>
          <w:szCs w:val="24"/>
          <w:lang w:val="en-US"/>
        </w:rPr>
        <w:t>Macrogol</w:t>
      </w:r>
    </w:p>
    <w:p w:rsidR="00360DE0" w:rsidRPr="00B23B00" w:rsidRDefault="00360DE0" w:rsidP="00DE37FA">
      <w:pPr>
        <w:ind w:left="851"/>
        <w:rPr>
          <w:sz w:val="24"/>
          <w:szCs w:val="24"/>
          <w:lang w:val="en-US"/>
        </w:rPr>
      </w:pPr>
      <w:r w:rsidRPr="00B23B00">
        <w:rPr>
          <w:sz w:val="24"/>
          <w:szCs w:val="24"/>
          <w:lang w:val="en-US"/>
        </w:rPr>
        <w:t xml:space="preserve">Talc </w:t>
      </w:r>
    </w:p>
    <w:p w:rsidR="00360DE0" w:rsidRPr="00B23B00" w:rsidRDefault="00360DE0" w:rsidP="00DE37FA">
      <w:pPr>
        <w:ind w:left="851"/>
        <w:rPr>
          <w:sz w:val="24"/>
          <w:szCs w:val="24"/>
          <w:lang w:val="en-US"/>
        </w:rPr>
      </w:pPr>
      <w:r w:rsidRPr="00B23B00">
        <w:rPr>
          <w:sz w:val="24"/>
          <w:szCs w:val="24"/>
          <w:lang w:val="en-US"/>
        </w:rPr>
        <w:t xml:space="preserve">Titanium </w:t>
      </w:r>
      <w:proofErr w:type="spellStart"/>
      <w:r w:rsidR="007D2AC1">
        <w:rPr>
          <w:sz w:val="24"/>
          <w:szCs w:val="24"/>
          <w:lang w:val="en-US"/>
        </w:rPr>
        <w:t>d</w:t>
      </w:r>
      <w:r w:rsidRPr="00B23B00">
        <w:rPr>
          <w:sz w:val="24"/>
          <w:szCs w:val="24"/>
          <w:lang w:val="en-US"/>
        </w:rPr>
        <w:t>oxide</w:t>
      </w:r>
      <w:proofErr w:type="spellEnd"/>
      <w:r w:rsidRPr="00B23B00">
        <w:rPr>
          <w:sz w:val="24"/>
          <w:szCs w:val="24"/>
          <w:lang w:val="en-US"/>
        </w:rPr>
        <w:t xml:space="preserve"> (E171)</w:t>
      </w:r>
    </w:p>
    <w:p w:rsidR="00360DE0" w:rsidRPr="00B23B00" w:rsidRDefault="00360DE0" w:rsidP="00DE37FA">
      <w:pPr>
        <w:ind w:left="851"/>
        <w:rPr>
          <w:sz w:val="24"/>
          <w:szCs w:val="24"/>
          <w:lang w:val="en-US"/>
        </w:rPr>
      </w:pPr>
      <w:r w:rsidRPr="00B23B00">
        <w:rPr>
          <w:sz w:val="24"/>
          <w:szCs w:val="24"/>
          <w:lang w:val="en-US"/>
        </w:rPr>
        <w:t>Iron oxide yellow (E172)</w:t>
      </w:r>
    </w:p>
    <w:p w:rsidR="007C5D2A" w:rsidRPr="00B23B00" w:rsidRDefault="007C5D2A" w:rsidP="003D727E">
      <w:pPr>
        <w:tabs>
          <w:tab w:val="left" w:pos="851"/>
        </w:tabs>
        <w:ind w:left="851"/>
        <w:rPr>
          <w:sz w:val="24"/>
          <w:szCs w:val="24"/>
          <w:lang w:val="en-GB"/>
        </w:rPr>
      </w:pPr>
    </w:p>
    <w:p w:rsidR="007C5D2A" w:rsidRPr="00B23B00" w:rsidRDefault="007C5D2A" w:rsidP="007C5D2A">
      <w:pPr>
        <w:ind w:left="851" w:hanging="851"/>
        <w:rPr>
          <w:b/>
          <w:sz w:val="24"/>
          <w:szCs w:val="24"/>
          <w:lang w:val="en-GB"/>
        </w:rPr>
      </w:pPr>
      <w:r w:rsidRPr="00B23B00">
        <w:rPr>
          <w:b/>
          <w:sz w:val="24"/>
          <w:szCs w:val="24"/>
          <w:lang w:val="en-GB"/>
        </w:rPr>
        <w:t>6.2</w:t>
      </w:r>
      <w:r w:rsidRPr="00B23B00">
        <w:rPr>
          <w:b/>
          <w:sz w:val="24"/>
          <w:szCs w:val="24"/>
          <w:lang w:val="en-GB"/>
        </w:rPr>
        <w:tab/>
        <w:t>Incompatibilities</w:t>
      </w:r>
    </w:p>
    <w:p w:rsidR="00360DE0" w:rsidRPr="00B23B00" w:rsidRDefault="00360DE0" w:rsidP="00DE37FA">
      <w:pPr>
        <w:ind w:left="851"/>
        <w:rPr>
          <w:sz w:val="24"/>
          <w:szCs w:val="24"/>
          <w:lang w:val="en-US"/>
        </w:rPr>
      </w:pPr>
      <w:r w:rsidRPr="00B23B00">
        <w:rPr>
          <w:sz w:val="24"/>
          <w:szCs w:val="24"/>
          <w:lang w:val="en-US"/>
        </w:rPr>
        <w:t>Not applicable</w:t>
      </w:r>
    </w:p>
    <w:p w:rsidR="007C5D2A" w:rsidRPr="00B23B00" w:rsidRDefault="007C5D2A" w:rsidP="003E0341">
      <w:pPr>
        <w:tabs>
          <w:tab w:val="left" w:pos="851"/>
        </w:tabs>
        <w:ind w:left="851"/>
        <w:rPr>
          <w:sz w:val="24"/>
          <w:szCs w:val="24"/>
          <w:lang w:val="en-GB"/>
        </w:rPr>
      </w:pPr>
    </w:p>
    <w:p w:rsidR="007C5D2A" w:rsidRPr="00B23B00" w:rsidRDefault="007C5D2A" w:rsidP="007C5D2A">
      <w:pPr>
        <w:ind w:left="851" w:hanging="851"/>
        <w:rPr>
          <w:b/>
          <w:sz w:val="24"/>
          <w:szCs w:val="24"/>
          <w:lang w:val="en-GB"/>
        </w:rPr>
      </w:pPr>
      <w:r w:rsidRPr="00B23B00">
        <w:rPr>
          <w:b/>
          <w:sz w:val="24"/>
          <w:szCs w:val="24"/>
          <w:lang w:val="en-GB"/>
        </w:rPr>
        <w:t>6.3</w:t>
      </w:r>
      <w:r w:rsidRPr="00B23B00">
        <w:rPr>
          <w:b/>
          <w:sz w:val="24"/>
          <w:szCs w:val="24"/>
          <w:lang w:val="en-GB"/>
        </w:rPr>
        <w:tab/>
        <w:t>Shelf</w:t>
      </w:r>
      <w:r w:rsidR="00B45DC5" w:rsidRPr="00B23B00">
        <w:rPr>
          <w:b/>
          <w:sz w:val="24"/>
          <w:szCs w:val="24"/>
          <w:lang w:val="en-GB"/>
        </w:rPr>
        <w:t xml:space="preserve"> </w:t>
      </w:r>
      <w:r w:rsidRPr="00B23B00">
        <w:rPr>
          <w:b/>
          <w:sz w:val="24"/>
          <w:szCs w:val="24"/>
          <w:lang w:val="en-GB"/>
        </w:rPr>
        <w:t>life</w:t>
      </w:r>
    </w:p>
    <w:p w:rsidR="00360DE0" w:rsidRPr="00B23B00" w:rsidRDefault="00360DE0" w:rsidP="00DE37FA">
      <w:pPr>
        <w:ind w:left="851"/>
        <w:rPr>
          <w:sz w:val="24"/>
          <w:szCs w:val="24"/>
          <w:lang w:val="en-US"/>
        </w:rPr>
      </w:pPr>
      <w:r w:rsidRPr="00B23B00">
        <w:rPr>
          <w:sz w:val="24"/>
          <w:szCs w:val="24"/>
          <w:lang w:val="en-US"/>
        </w:rPr>
        <w:t>2 years</w:t>
      </w:r>
    </w:p>
    <w:p w:rsidR="007C5D2A" w:rsidRPr="00B23B00" w:rsidRDefault="007C5D2A" w:rsidP="00FB3995">
      <w:pPr>
        <w:tabs>
          <w:tab w:val="left" w:pos="851"/>
        </w:tabs>
        <w:rPr>
          <w:sz w:val="24"/>
          <w:szCs w:val="24"/>
          <w:lang w:val="en-GB"/>
        </w:rPr>
      </w:pPr>
    </w:p>
    <w:p w:rsidR="007C5D2A" w:rsidRPr="00B23B00" w:rsidRDefault="007C5D2A" w:rsidP="007C5D2A">
      <w:pPr>
        <w:ind w:left="851" w:hanging="851"/>
        <w:rPr>
          <w:b/>
          <w:sz w:val="24"/>
          <w:szCs w:val="24"/>
          <w:lang w:val="en-GB"/>
        </w:rPr>
      </w:pPr>
      <w:r w:rsidRPr="00B23B00">
        <w:rPr>
          <w:b/>
          <w:sz w:val="24"/>
          <w:szCs w:val="24"/>
          <w:lang w:val="en-GB"/>
        </w:rPr>
        <w:t>6.4</w:t>
      </w:r>
      <w:r w:rsidRPr="00B23B00">
        <w:rPr>
          <w:b/>
          <w:sz w:val="24"/>
          <w:szCs w:val="24"/>
          <w:lang w:val="en-GB"/>
        </w:rPr>
        <w:tab/>
        <w:t>Special precautions for storage</w:t>
      </w:r>
    </w:p>
    <w:p w:rsidR="00360DE0" w:rsidRPr="00B23B00" w:rsidRDefault="00360DE0" w:rsidP="00DE37FA">
      <w:pPr>
        <w:ind w:left="851"/>
        <w:rPr>
          <w:sz w:val="24"/>
          <w:szCs w:val="24"/>
          <w:lang w:val="en-US"/>
        </w:rPr>
      </w:pPr>
      <w:r w:rsidRPr="00B23B00">
        <w:rPr>
          <w:sz w:val="24"/>
          <w:szCs w:val="24"/>
          <w:lang w:val="en-US"/>
        </w:rPr>
        <w:t>This medicinal product does not require any special storage conditions.</w:t>
      </w:r>
    </w:p>
    <w:p w:rsidR="007C5D2A" w:rsidRPr="00B23B00" w:rsidRDefault="007C5D2A" w:rsidP="003E0341">
      <w:pPr>
        <w:tabs>
          <w:tab w:val="left" w:pos="851"/>
        </w:tabs>
        <w:ind w:left="851"/>
        <w:rPr>
          <w:sz w:val="24"/>
          <w:szCs w:val="24"/>
          <w:lang w:val="en-GB"/>
        </w:rPr>
      </w:pPr>
    </w:p>
    <w:p w:rsidR="007C5D2A" w:rsidRPr="00B23B00" w:rsidRDefault="007C5D2A" w:rsidP="007C5D2A">
      <w:pPr>
        <w:ind w:left="851" w:hanging="851"/>
        <w:rPr>
          <w:b/>
          <w:sz w:val="24"/>
          <w:szCs w:val="24"/>
          <w:lang w:val="en-GB"/>
        </w:rPr>
      </w:pPr>
      <w:r w:rsidRPr="00B23B00">
        <w:rPr>
          <w:b/>
          <w:sz w:val="24"/>
          <w:szCs w:val="24"/>
          <w:lang w:val="en-GB"/>
        </w:rPr>
        <w:t>6.5</w:t>
      </w:r>
      <w:r w:rsidRPr="00B23B00">
        <w:rPr>
          <w:b/>
          <w:sz w:val="24"/>
          <w:szCs w:val="24"/>
          <w:lang w:val="en-GB"/>
        </w:rPr>
        <w:tab/>
        <w:t>Nature and contents of container</w:t>
      </w:r>
    </w:p>
    <w:p w:rsidR="007D2AC1" w:rsidRPr="007D2AC1" w:rsidRDefault="007D2AC1" w:rsidP="007D2AC1">
      <w:pPr>
        <w:ind w:left="851"/>
        <w:rPr>
          <w:sz w:val="22"/>
          <w:szCs w:val="22"/>
          <w:lang w:val="en-US" w:eastAsia="nl-NL"/>
        </w:rPr>
      </w:pPr>
      <w:r w:rsidRPr="007D2AC1">
        <w:rPr>
          <w:sz w:val="22"/>
          <w:szCs w:val="22"/>
          <w:lang w:val="en-US"/>
        </w:rPr>
        <w:t>PVC/PVDC//</w:t>
      </w:r>
      <w:proofErr w:type="spellStart"/>
      <w:r w:rsidRPr="007D2AC1">
        <w:rPr>
          <w:sz w:val="22"/>
          <w:szCs w:val="22"/>
          <w:lang w:val="en-US"/>
        </w:rPr>
        <w:t>Aluminium</w:t>
      </w:r>
      <w:proofErr w:type="spellEnd"/>
      <w:r w:rsidRPr="007D2AC1">
        <w:rPr>
          <w:sz w:val="22"/>
          <w:szCs w:val="22"/>
          <w:lang w:val="en-US"/>
        </w:rPr>
        <w:t xml:space="preserve"> blister</w:t>
      </w:r>
    </w:p>
    <w:p w:rsidR="007D2AC1" w:rsidRPr="007D2AC1" w:rsidRDefault="007D2AC1" w:rsidP="007D2AC1">
      <w:pPr>
        <w:autoSpaceDE w:val="0"/>
        <w:autoSpaceDN w:val="0"/>
        <w:ind w:left="851"/>
        <w:rPr>
          <w:sz w:val="22"/>
          <w:szCs w:val="22"/>
          <w:lang w:val="en-US"/>
        </w:rPr>
      </w:pPr>
      <w:r w:rsidRPr="007D2AC1">
        <w:rPr>
          <w:sz w:val="22"/>
          <w:szCs w:val="22"/>
          <w:lang w:val="en-US"/>
        </w:rPr>
        <w:t>HDPE bottle with desiccant (silica gel), closed with child-resistant polypropylene screw cap with induction heat seal liner.</w:t>
      </w:r>
    </w:p>
    <w:p w:rsidR="00360DE0" w:rsidRPr="00B23B00" w:rsidRDefault="00360DE0" w:rsidP="00DE37FA">
      <w:pPr>
        <w:ind w:left="851"/>
        <w:rPr>
          <w:sz w:val="24"/>
          <w:szCs w:val="24"/>
          <w:lang w:val="en-US"/>
        </w:rPr>
      </w:pPr>
    </w:p>
    <w:p w:rsidR="00360DE0" w:rsidRPr="00B23B00" w:rsidRDefault="00360DE0" w:rsidP="00DE37FA">
      <w:pPr>
        <w:ind w:left="851"/>
        <w:rPr>
          <w:sz w:val="24"/>
          <w:szCs w:val="24"/>
          <w:u w:val="single"/>
          <w:lang w:val="en-US"/>
        </w:rPr>
      </w:pPr>
      <w:r w:rsidRPr="00B23B00">
        <w:rPr>
          <w:sz w:val="24"/>
          <w:szCs w:val="24"/>
          <w:u w:val="single"/>
          <w:lang w:val="en-US"/>
        </w:rPr>
        <w:t>Pack</w:t>
      </w:r>
      <w:r w:rsidR="009A75D1">
        <w:rPr>
          <w:sz w:val="24"/>
          <w:szCs w:val="24"/>
          <w:u w:val="single"/>
          <w:lang w:val="en-US"/>
        </w:rPr>
        <w:t xml:space="preserve"> </w:t>
      </w:r>
      <w:r w:rsidRPr="00B23B00">
        <w:rPr>
          <w:sz w:val="24"/>
          <w:szCs w:val="24"/>
          <w:u w:val="single"/>
          <w:lang w:val="en-US"/>
        </w:rPr>
        <w:t>sizes 40 mg film-coated tablets:</w:t>
      </w:r>
    </w:p>
    <w:p w:rsidR="00360DE0" w:rsidRPr="00B23B00" w:rsidRDefault="00360DE0" w:rsidP="00DE37FA">
      <w:pPr>
        <w:ind w:left="851"/>
        <w:rPr>
          <w:sz w:val="24"/>
          <w:szCs w:val="24"/>
        </w:rPr>
      </w:pPr>
      <w:r w:rsidRPr="00B23B00">
        <w:rPr>
          <w:sz w:val="24"/>
          <w:szCs w:val="24"/>
        </w:rPr>
        <w:t xml:space="preserve">Blister: </w:t>
      </w:r>
    </w:p>
    <w:p w:rsidR="00360DE0" w:rsidRPr="00B23B00" w:rsidRDefault="00360DE0" w:rsidP="0031698C">
      <w:pPr>
        <w:pStyle w:val="Listeafsnit"/>
        <w:numPr>
          <w:ilvl w:val="0"/>
          <w:numId w:val="14"/>
        </w:numPr>
        <w:ind w:left="1134" w:hanging="283"/>
        <w:rPr>
          <w:sz w:val="24"/>
          <w:szCs w:val="24"/>
        </w:rPr>
      </w:pPr>
      <w:r w:rsidRPr="00B23B00">
        <w:rPr>
          <w:sz w:val="24"/>
          <w:szCs w:val="24"/>
        </w:rPr>
        <w:t>28 and 112 film-coated tablets (in blisters or blisters incorporated in a cardboard wallet)</w:t>
      </w:r>
    </w:p>
    <w:p w:rsidR="00360DE0" w:rsidRPr="00B23B00" w:rsidRDefault="00360DE0" w:rsidP="0031698C">
      <w:pPr>
        <w:pStyle w:val="Listeafsnit"/>
        <w:numPr>
          <w:ilvl w:val="0"/>
          <w:numId w:val="14"/>
        </w:numPr>
        <w:ind w:left="1134" w:hanging="283"/>
        <w:rPr>
          <w:sz w:val="24"/>
          <w:szCs w:val="24"/>
        </w:rPr>
      </w:pPr>
      <w:r w:rsidRPr="00B23B00">
        <w:rPr>
          <w:sz w:val="24"/>
          <w:szCs w:val="24"/>
        </w:rPr>
        <w:t>28</w:t>
      </w:r>
      <w:r w:rsidR="0031698C">
        <w:rPr>
          <w:sz w:val="24"/>
          <w:szCs w:val="24"/>
        </w:rPr>
        <w:t>×</w:t>
      </w:r>
      <w:r w:rsidRPr="00B23B00">
        <w:rPr>
          <w:sz w:val="24"/>
          <w:szCs w:val="24"/>
        </w:rPr>
        <w:t>1 and 112</w:t>
      </w:r>
      <w:r w:rsidR="0031698C">
        <w:rPr>
          <w:sz w:val="24"/>
          <w:szCs w:val="24"/>
        </w:rPr>
        <w:t>×</w:t>
      </w:r>
      <w:r w:rsidRPr="00B23B00">
        <w:rPr>
          <w:sz w:val="24"/>
          <w:szCs w:val="24"/>
        </w:rPr>
        <w:t>1 film-coated tablets (in perforated unit-dose blisters)</w:t>
      </w:r>
    </w:p>
    <w:p w:rsidR="009508EE" w:rsidRPr="00B23B00" w:rsidRDefault="009508EE" w:rsidP="00DE37FA">
      <w:pPr>
        <w:ind w:left="851"/>
        <w:rPr>
          <w:sz w:val="24"/>
          <w:szCs w:val="24"/>
          <w:lang w:val="en-US"/>
        </w:rPr>
      </w:pPr>
    </w:p>
    <w:p w:rsidR="00360DE0" w:rsidRPr="00B23B00" w:rsidRDefault="00360DE0" w:rsidP="00DE37FA">
      <w:pPr>
        <w:ind w:left="851"/>
        <w:rPr>
          <w:rFonts w:eastAsia="Calibri"/>
          <w:sz w:val="24"/>
          <w:szCs w:val="24"/>
        </w:rPr>
      </w:pPr>
      <w:proofErr w:type="spellStart"/>
      <w:r w:rsidRPr="00B23B00">
        <w:rPr>
          <w:sz w:val="24"/>
          <w:szCs w:val="24"/>
        </w:rPr>
        <w:t>Bottle</w:t>
      </w:r>
      <w:proofErr w:type="spellEnd"/>
      <w:r w:rsidRPr="00B23B00">
        <w:rPr>
          <w:sz w:val="24"/>
          <w:szCs w:val="24"/>
        </w:rPr>
        <w:t xml:space="preserve">: </w:t>
      </w:r>
    </w:p>
    <w:p w:rsidR="00360DE0" w:rsidRPr="00B23B00" w:rsidRDefault="00360DE0" w:rsidP="0031698C">
      <w:pPr>
        <w:pStyle w:val="Listeafsnit"/>
        <w:numPr>
          <w:ilvl w:val="0"/>
          <w:numId w:val="15"/>
        </w:numPr>
        <w:ind w:left="1134" w:hanging="283"/>
        <w:rPr>
          <w:sz w:val="24"/>
          <w:szCs w:val="24"/>
        </w:rPr>
      </w:pPr>
      <w:r w:rsidRPr="00B23B00">
        <w:rPr>
          <w:sz w:val="24"/>
          <w:szCs w:val="24"/>
        </w:rPr>
        <w:t>112 film-coated tablets</w:t>
      </w:r>
    </w:p>
    <w:p w:rsidR="00360DE0" w:rsidRPr="00B23B00" w:rsidRDefault="00360DE0" w:rsidP="00DE37FA">
      <w:pPr>
        <w:ind w:left="851"/>
        <w:rPr>
          <w:rFonts w:eastAsia="Calibri"/>
          <w:sz w:val="24"/>
          <w:szCs w:val="24"/>
        </w:rPr>
      </w:pPr>
    </w:p>
    <w:p w:rsidR="00360DE0" w:rsidRPr="00B23B00" w:rsidRDefault="00360DE0" w:rsidP="00DE37FA">
      <w:pPr>
        <w:ind w:left="851"/>
        <w:rPr>
          <w:sz w:val="24"/>
          <w:szCs w:val="24"/>
          <w:u w:val="single"/>
          <w:lang w:val="en-US"/>
        </w:rPr>
      </w:pPr>
      <w:r w:rsidRPr="00B23B00">
        <w:rPr>
          <w:sz w:val="24"/>
          <w:szCs w:val="24"/>
          <w:u w:val="single"/>
          <w:lang w:val="en-US"/>
        </w:rPr>
        <w:t>Pack</w:t>
      </w:r>
      <w:r w:rsidR="009A75D1">
        <w:rPr>
          <w:sz w:val="24"/>
          <w:szCs w:val="24"/>
          <w:u w:val="single"/>
          <w:lang w:val="en-US"/>
        </w:rPr>
        <w:t xml:space="preserve"> </w:t>
      </w:r>
      <w:r w:rsidRPr="00B23B00">
        <w:rPr>
          <w:sz w:val="24"/>
          <w:szCs w:val="24"/>
          <w:u w:val="single"/>
          <w:lang w:val="en-US"/>
        </w:rPr>
        <w:t>sizes 80 mg film-coated tablets:</w:t>
      </w:r>
    </w:p>
    <w:p w:rsidR="00360DE0" w:rsidRPr="00B23B00" w:rsidRDefault="00360DE0" w:rsidP="00DE37FA">
      <w:pPr>
        <w:ind w:left="851"/>
        <w:rPr>
          <w:sz w:val="24"/>
          <w:szCs w:val="24"/>
        </w:rPr>
      </w:pPr>
      <w:r w:rsidRPr="00B23B00">
        <w:rPr>
          <w:sz w:val="24"/>
          <w:szCs w:val="24"/>
        </w:rPr>
        <w:t xml:space="preserve">Blister: </w:t>
      </w:r>
    </w:p>
    <w:p w:rsidR="00360DE0" w:rsidRPr="00B23B00" w:rsidRDefault="00360DE0" w:rsidP="0031698C">
      <w:pPr>
        <w:pStyle w:val="Listeafsnit"/>
        <w:numPr>
          <w:ilvl w:val="0"/>
          <w:numId w:val="15"/>
        </w:numPr>
        <w:ind w:left="1134" w:hanging="283"/>
        <w:rPr>
          <w:sz w:val="24"/>
          <w:szCs w:val="24"/>
        </w:rPr>
      </w:pPr>
      <w:r w:rsidRPr="00B23B00">
        <w:rPr>
          <w:sz w:val="24"/>
          <w:szCs w:val="24"/>
        </w:rPr>
        <w:t>14 and 56 film-coated tablets (in blisters or blisters incorporated in a cardboard wallet)</w:t>
      </w:r>
    </w:p>
    <w:p w:rsidR="00360DE0" w:rsidRPr="00B23B00" w:rsidRDefault="00360DE0" w:rsidP="0031698C">
      <w:pPr>
        <w:pStyle w:val="Listeafsnit"/>
        <w:numPr>
          <w:ilvl w:val="0"/>
          <w:numId w:val="15"/>
        </w:numPr>
        <w:ind w:left="1134" w:hanging="283"/>
        <w:rPr>
          <w:sz w:val="24"/>
          <w:szCs w:val="24"/>
        </w:rPr>
      </w:pPr>
      <w:r w:rsidRPr="00B23B00">
        <w:rPr>
          <w:sz w:val="24"/>
          <w:szCs w:val="24"/>
        </w:rPr>
        <w:t>14</w:t>
      </w:r>
      <w:r w:rsidR="0031698C">
        <w:rPr>
          <w:sz w:val="24"/>
          <w:szCs w:val="24"/>
        </w:rPr>
        <w:t>×</w:t>
      </w:r>
      <w:r w:rsidRPr="00B23B00">
        <w:rPr>
          <w:sz w:val="24"/>
          <w:szCs w:val="24"/>
        </w:rPr>
        <w:t>1 and 56</w:t>
      </w:r>
      <w:r w:rsidR="0031698C">
        <w:rPr>
          <w:sz w:val="24"/>
          <w:szCs w:val="24"/>
        </w:rPr>
        <w:t>×</w:t>
      </w:r>
      <w:r w:rsidRPr="00B23B00">
        <w:rPr>
          <w:sz w:val="24"/>
          <w:szCs w:val="24"/>
        </w:rPr>
        <w:t>1 film-coated tablets (in perforated unit-dose blisters)</w:t>
      </w:r>
    </w:p>
    <w:p w:rsidR="009508EE" w:rsidRPr="00B23B00" w:rsidRDefault="009508EE" w:rsidP="00DE37FA">
      <w:pPr>
        <w:ind w:left="851"/>
        <w:rPr>
          <w:sz w:val="24"/>
          <w:szCs w:val="24"/>
          <w:lang w:val="en-US"/>
        </w:rPr>
      </w:pPr>
    </w:p>
    <w:p w:rsidR="00360DE0" w:rsidRPr="00B23B00" w:rsidRDefault="00360DE0" w:rsidP="00DE37FA">
      <w:pPr>
        <w:ind w:left="851"/>
        <w:rPr>
          <w:rFonts w:eastAsia="Calibri"/>
          <w:sz w:val="24"/>
          <w:szCs w:val="24"/>
        </w:rPr>
      </w:pPr>
      <w:proofErr w:type="spellStart"/>
      <w:r w:rsidRPr="00B23B00">
        <w:rPr>
          <w:sz w:val="24"/>
          <w:szCs w:val="24"/>
        </w:rPr>
        <w:t>Bottle</w:t>
      </w:r>
      <w:proofErr w:type="spellEnd"/>
      <w:r w:rsidRPr="00B23B00">
        <w:rPr>
          <w:sz w:val="24"/>
          <w:szCs w:val="24"/>
        </w:rPr>
        <w:t xml:space="preserve">: </w:t>
      </w:r>
    </w:p>
    <w:p w:rsidR="00360DE0" w:rsidRPr="00B23B00" w:rsidRDefault="00360DE0" w:rsidP="0031698C">
      <w:pPr>
        <w:pStyle w:val="Listeafsnit"/>
        <w:numPr>
          <w:ilvl w:val="0"/>
          <w:numId w:val="16"/>
        </w:numPr>
        <w:ind w:left="1134" w:hanging="283"/>
        <w:rPr>
          <w:sz w:val="24"/>
          <w:szCs w:val="24"/>
        </w:rPr>
      </w:pPr>
      <w:r w:rsidRPr="00B23B00">
        <w:rPr>
          <w:sz w:val="24"/>
          <w:szCs w:val="24"/>
        </w:rPr>
        <w:t>56 film-coated tablets</w:t>
      </w:r>
    </w:p>
    <w:p w:rsidR="00360DE0" w:rsidRPr="00B23B00" w:rsidRDefault="00360DE0" w:rsidP="00DE37FA">
      <w:pPr>
        <w:ind w:left="851"/>
        <w:rPr>
          <w:rFonts w:eastAsia="Calibri"/>
          <w:sz w:val="24"/>
          <w:szCs w:val="24"/>
        </w:rPr>
      </w:pPr>
    </w:p>
    <w:p w:rsidR="00360DE0" w:rsidRPr="00B23B00" w:rsidRDefault="00360DE0" w:rsidP="00DE37FA">
      <w:pPr>
        <w:ind w:left="851"/>
        <w:rPr>
          <w:sz w:val="24"/>
          <w:szCs w:val="24"/>
          <w:lang w:val="en-US"/>
        </w:rPr>
      </w:pPr>
      <w:r w:rsidRPr="00B23B00">
        <w:rPr>
          <w:sz w:val="24"/>
          <w:szCs w:val="24"/>
          <w:lang w:val="en-US"/>
        </w:rPr>
        <w:lastRenderedPageBreak/>
        <w:t>Not all pack</w:t>
      </w:r>
      <w:r w:rsidR="009A75D1">
        <w:rPr>
          <w:sz w:val="24"/>
          <w:szCs w:val="24"/>
          <w:lang w:val="en-US"/>
        </w:rPr>
        <w:t xml:space="preserve"> </w:t>
      </w:r>
      <w:r w:rsidRPr="00B23B00">
        <w:rPr>
          <w:sz w:val="24"/>
          <w:szCs w:val="24"/>
          <w:lang w:val="en-US"/>
        </w:rPr>
        <w:t>sizes may be marketed</w:t>
      </w:r>
    </w:p>
    <w:p w:rsidR="007C5D2A" w:rsidRPr="00B23B00" w:rsidRDefault="007C5D2A" w:rsidP="003E0341">
      <w:pPr>
        <w:tabs>
          <w:tab w:val="left" w:pos="851"/>
        </w:tabs>
        <w:ind w:left="851"/>
        <w:rPr>
          <w:sz w:val="24"/>
          <w:szCs w:val="24"/>
          <w:lang w:val="en-GB"/>
        </w:rPr>
      </w:pPr>
    </w:p>
    <w:p w:rsidR="007C5D2A" w:rsidRPr="00B23B00" w:rsidRDefault="007C5D2A" w:rsidP="007C5D2A">
      <w:pPr>
        <w:ind w:left="851" w:hanging="851"/>
        <w:rPr>
          <w:b/>
          <w:sz w:val="24"/>
          <w:szCs w:val="24"/>
          <w:lang w:val="en-GB"/>
        </w:rPr>
      </w:pPr>
      <w:r w:rsidRPr="00B23B00">
        <w:rPr>
          <w:b/>
          <w:sz w:val="24"/>
          <w:szCs w:val="24"/>
          <w:lang w:val="en-GB"/>
        </w:rPr>
        <w:t>6.6</w:t>
      </w:r>
      <w:r w:rsidRPr="00B23B00">
        <w:rPr>
          <w:b/>
          <w:sz w:val="24"/>
          <w:szCs w:val="24"/>
          <w:lang w:val="en-GB"/>
        </w:rPr>
        <w:tab/>
        <w:t>Special precautions for disposal and other handling</w:t>
      </w:r>
    </w:p>
    <w:p w:rsidR="00360DE0" w:rsidRPr="00B23B00" w:rsidRDefault="00B924DE" w:rsidP="00DE37FA">
      <w:pPr>
        <w:ind w:left="851"/>
        <w:rPr>
          <w:sz w:val="24"/>
          <w:szCs w:val="24"/>
          <w:lang w:val="en-US"/>
        </w:rPr>
      </w:pPr>
      <w:r w:rsidRPr="00B23B00">
        <w:rPr>
          <w:sz w:val="24"/>
          <w:szCs w:val="24"/>
          <w:lang w:val="en-US"/>
        </w:rPr>
        <w:t xml:space="preserve">Enzalutamide </w:t>
      </w:r>
      <w:r w:rsidR="00180206" w:rsidRPr="00B23B00">
        <w:rPr>
          <w:sz w:val="24"/>
          <w:szCs w:val="24"/>
          <w:lang w:val="en-US"/>
        </w:rPr>
        <w:t>"Sandoz"</w:t>
      </w:r>
      <w:r w:rsidR="00360DE0" w:rsidRPr="00B23B00">
        <w:rPr>
          <w:sz w:val="24"/>
          <w:szCs w:val="24"/>
          <w:lang w:val="en-US"/>
        </w:rPr>
        <w:t xml:space="preserve"> should not be handled by persons other than the patient or his </w:t>
      </w:r>
    </w:p>
    <w:p w:rsidR="00360DE0" w:rsidRPr="00B23B00" w:rsidRDefault="00360DE0" w:rsidP="00DE37FA">
      <w:pPr>
        <w:ind w:left="851"/>
        <w:rPr>
          <w:sz w:val="24"/>
          <w:szCs w:val="24"/>
          <w:lang w:val="en-US"/>
        </w:rPr>
      </w:pPr>
      <w:r w:rsidRPr="00B23B00">
        <w:rPr>
          <w:sz w:val="24"/>
          <w:szCs w:val="24"/>
          <w:lang w:val="en-US"/>
        </w:rPr>
        <w:t>caregiver. Based on its mechanism of action and embryo-fetal toxicity observed in mice, enzalutamide may harm a developing fetus. Women who are or may become pregnant should not handle broken or damaged tablets without protection, e.g. gloves. See section 5.3 Pre-clinical safety data. The film-coated tablets should not be chewed, cut or crushed</w:t>
      </w:r>
    </w:p>
    <w:p w:rsidR="00360DE0" w:rsidRPr="00B23B00" w:rsidRDefault="00360DE0" w:rsidP="00DE37FA">
      <w:pPr>
        <w:ind w:left="851"/>
        <w:rPr>
          <w:sz w:val="24"/>
          <w:szCs w:val="24"/>
          <w:lang w:val="en-US"/>
        </w:rPr>
      </w:pPr>
    </w:p>
    <w:p w:rsidR="00360DE0" w:rsidRPr="00B23B00" w:rsidRDefault="00360DE0" w:rsidP="00DE37FA">
      <w:pPr>
        <w:ind w:left="851"/>
        <w:rPr>
          <w:sz w:val="24"/>
          <w:szCs w:val="24"/>
          <w:lang w:val="en-US"/>
        </w:rPr>
      </w:pPr>
      <w:r w:rsidRPr="00B23B00">
        <w:rPr>
          <w:sz w:val="24"/>
          <w:szCs w:val="24"/>
          <w:lang w:val="en-US"/>
        </w:rPr>
        <w:t>Any unused medicinal product or waste material should be disposed of in accordance with local requirements.</w:t>
      </w:r>
    </w:p>
    <w:p w:rsidR="007C5D2A" w:rsidRPr="00B23B00" w:rsidRDefault="007C5D2A" w:rsidP="00AB4376">
      <w:pPr>
        <w:tabs>
          <w:tab w:val="left" w:pos="851"/>
        </w:tabs>
        <w:ind w:left="851"/>
        <w:rPr>
          <w:sz w:val="24"/>
          <w:szCs w:val="24"/>
          <w:lang w:val="en-GB"/>
        </w:rPr>
      </w:pPr>
    </w:p>
    <w:p w:rsidR="007C5D2A" w:rsidRPr="00B23B00" w:rsidRDefault="007C5D2A" w:rsidP="007C5D2A">
      <w:pPr>
        <w:tabs>
          <w:tab w:val="left" w:pos="851"/>
        </w:tabs>
        <w:ind w:left="851" w:hanging="851"/>
        <w:jc w:val="both"/>
        <w:rPr>
          <w:b/>
          <w:sz w:val="24"/>
          <w:szCs w:val="24"/>
          <w:lang w:val="en-GB"/>
        </w:rPr>
      </w:pPr>
      <w:r w:rsidRPr="00B23B00">
        <w:rPr>
          <w:b/>
          <w:sz w:val="24"/>
          <w:szCs w:val="24"/>
          <w:lang w:val="en-GB"/>
        </w:rPr>
        <w:t>7.</w:t>
      </w:r>
      <w:r w:rsidRPr="00B23B00">
        <w:rPr>
          <w:b/>
          <w:sz w:val="24"/>
          <w:szCs w:val="24"/>
          <w:lang w:val="en-GB"/>
        </w:rPr>
        <w:tab/>
        <w:t>MARKETING AUTHORISATION HOLDER</w:t>
      </w:r>
    </w:p>
    <w:p w:rsidR="007C5D2A" w:rsidRPr="00B23B00" w:rsidRDefault="00360DE0" w:rsidP="00A85D26">
      <w:pPr>
        <w:tabs>
          <w:tab w:val="left" w:pos="851"/>
        </w:tabs>
        <w:ind w:left="851"/>
        <w:jc w:val="both"/>
        <w:rPr>
          <w:sz w:val="24"/>
          <w:szCs w:val="24"/>
          <w:lang w:val="en-GB"/>
        </w:rPr>
      </w:pPr>
      <w:r w:rsidRPr="00B23B00">
        <w:rPr>
          <w:sz w:val="24"/>
          <w:szCs w:val="24"/>
          <w:lang w:val="en-GB"/>
        </w:rPr>
        <w:t>Sandoz A/S</w:t>
      </w:r>
    </w:p>
    <w:p w:rsidR="00360DE0" w:rsidRPr="00B23B00" w:rsidRDefault="00360DE0" w:rsidP="00A85D26">
      <w:pPr>
        <w:tabs>
          <w:tab w:val="left" w:pos="851"/>
        </w:tabs>
        <w:ind w:left="851"/>
        <w:jc w:val="both"/>
        <w:rPr>
          <w:sz w:val="24"/>
          <w:szCs w:val="24"/>
          <w:lang w:val="en-GB"/>
        </w:rPr>
      </w:pPr>
      <w:r w:rsidRPr="00B23B00">
        <w:rPr>
          <w:sz w:val="24"/>
          <w:szCs w:val="24"/>
          <w:lang w:val="en-GB"/>
        </w:rPr>
        <w:t xml:space="preserve">Edvard </w:t>
      </w:r>
      <w:proofErr w:type="spellStart"/>
      <w:r w:rsidRPr="00B23B00">
        <w:rPr>
          <w:sz w:val="24"/>
          <w:szCs w:val="24"/>
          <w:lang w:val="en-GB"/>
        </w:rPr>
        <w:t>Thomsens</w:t>
      </w:r>
      <w:proofErr w:type="spellEnd"/>
      <w:r w:rsidRPr="00B23B00">
        <w:rPr>
          <w:sz w:val="24"/>
          <w:szCs w:val="24"/>
          <w:lang w:val="en-GB"/>
        </w:rPr>
        <w:t xml:space="preserve"> </w:t>
      </w:r>
      <w:proofErr w:type="spellStart"/>
      <w:r w:rsidRPr="00B23B00">
        <w:rPr>
          <w:sz w:val="24"/>
          <w:szCs w:val="24"/>
          <w:lang w:val="en-GB"/>
        </w:rPr>
        <w:t>Vej</w:t>
      </w:r>
      <w:proofErr w:type="spellEnd"/>
      <w:r w:rsidRPr="00B23B00">
        <w:rPr>
          <w:sz w:val="24"/>
          <w:szCs w:val="24"/>
          <w:lang w:val="en-GB"/>
        </w:rPr>
        <w:t xml:space="preserve"> 14</w:t>
      </w:r>
    </w:p>
    <w:p w:rsidR="00360DE0" w:rsidRPr="00B23B00" w:rsidRDefault="00360DE0" w:rsidP="00A85D26">
      <w:pPr>
        <w:tabs>
          <w:tab w:val="left" w:pos="851"/>
        </w:tabs>
        <w:ind w:left="851"/>
        <w:jc w:val="both"/>
        <w:rPr>
          <w:sz w:val="24"/>
          <w:szCs w:val="24"/>
          <w:lang w:val="en-GB"/>
        </w:rPr>
      </w:pPr>
      <w:r w:rsidRPr="00B23B00">
        <w:rPr>
          <w:sz w:val="24"/>
          <w:szCs w:val="24"/>
          <w:lang w:val="en-GB"/>
        </w:rPr>
        <w:t xml:space="preserve">2300 </w:t>
      </w:r>
      <w:proofErr w:type="spellStart"/>
      <w:r w:rsidRPr="00B23B00">
        <w:rPr>
          <w:sz w:val="24"/>
          <w:szCs w:val="24"/>
          <w:lang w:val="en-GB"/>
        </w:rPr>
        <w:t>København</w:t>
      </w:r>
      <w:proofErr w:type="spellEnd"/>
      <w:r w:rsidRPr="00B23B00">
        <w:rPr>
          <w:sz w:val="24"/>
          <w:szCs w:val="24"/>
          <w:lang w:val="en-GB"/>
        </w:rPr>
        <w:t xml:space="preserve"> S</w:t>
      </w:r>
    </w:p>
    <w:p w:rsidR="008A24F6" w:rsidRPr="00B23B00" w:rsidRDefault="008A24F6" w:rsidP="003E0341">
      <w:pPr>
        <w:tabs>
          <w:tab w:val="left" w:pos="851"/>
        </w:tabs>
        <w:ind w:left="851"/>
        <w:jc w:val="both"/>
        <w:rPr>
          <w:sz w:val="24"/>
          <w:szCs w:val="24"/>
          <w:lang w:val="en-GB"/>
        </w:rPr>
      </w:pPr>
    </w:p>
    <w:p w:rsidR="007C5D2A" w:rsidRPr="00B23B00" w:rsidRDefault="007C5D2A" w:rsidP="007C5D2A">
      <w:pPr>
        <w:ind w:left="851" w:hanging="851"/>
        <w:jc w:val="both"/>
        <w:rPr>
          <w:b/>
          <w:sz w:val="24"/>
          <w:szCs w:val="24"/>
          <w:lang w:val="en-GB"/>
        </w:rPr>
      </w:pPr>
      <w:r w:rsidRPr="00B23B00">
        <w:rPr>
          <w:b/>
          <w:sz w:val="24"/>
          <w:szCs w:val="24"/>
          <w:lang w:val="en-GB"/>
        </w:rPr>
        <w:t>8.</w:t>
      </w:r>
      <w:r w:rsidRPr="00B23B00">
        <w:rPr>
          <w:b/>
          <w:sz w:val="24"/>
          <w:szCs w:val="24"/>
          <w:lang w:val="en-GB"/>
        </w:rPr>
        <w:tab/>
        <w:t>MARKETING AUTHORISATION NUMBER(S)</w:t>
      </w:r>
    </w:p>
    <w:p w:rsidR="007C5D2A" w:rsidRPr="00B23B00" w:rsidRDefault="00360DE0" w:rsidP="00A85D26">
      <w:pPr>
        <w:tabs>
          <w:tab w:val="left" w:pos="851"/>
        </w:tabs>
        <w:ind w:left="851"/>
        <w:jc w:val="both"/>
        <w:rPr>
          <w:sz w:val="24"/>
          <w:szCs w:val="24"/>
          <w:lang w:val="en-GB"/>
        </w:rPr>
      </w:pPr>
      <w:r w:rsidRPr="00B23B00">
        <w:rPr>
          <w:sz w:val="24"/>
          <w:szCs w:val="24"/>
          <w:lang w:val="en-GB"/>
        </w:rPr>
        <w:t>40 mg: 69478</w:t>
      </w:r>
    </w:p>
    <w:p w:rsidR="00360DE0" w:rsidRPr="00B23B00" w:rsidRDefault="00360DE0" w:rsidP="00A85D26">
      <w:pPr>
        <w:tabs>
          <w:tab w:val="left" w:pos="851"/>
        </w:tabs>
        <w:ind w:left="851"/>
        <w:jc w:val="both"/>
        <w:rPr>
          <w:sz w:val="24"/>
          <w:szCs w:val="24"/>
          <w:lang w:val="en-GB"/>
        </w:rPr>
      </w:pPr>
      <w:r w:rsidRPr="00B23B00">
        <w:rPr>
          <w:sz w:val="24"/>
          <w:szCs w:val="24"/>
          <w:lang w:val="en-GB"/>
        </w:rPr>
        <w:t>80 mg: 69</w:t>
      </w:r>
      <w:r w:rsidR="008541D1" w:rsidRPr="00B23B00">
        <w:rPr>
          <w:sz w:val="24"/>
          <w:szCs w:val="24"/>
          <w:lang w:val="en-GB"/>
        </w:rPr>
        <w:t>480</w:t>
      </w:r>
    </w:p>
    <w:p w:rsidR="007C5D2A" w:rsidRPr="00B23B00" w:rsidRDefault="007C5D2A" w:rsidP="00180A12">
      <w:pPr>
        <w:tabs>
          <w:tab w:val="left" w:pos="851"/>
        </w:tabs>
        <w:ind w:left="851"/>
        <w:jc w:val="both"/>
        <w:rPr>
          <w:sz w:val="24"/>
          <w:szCs w:val="24"/>
          <w:lang w:val="en-GB"/>
        </w:rPr>
      </w:pPr>
    </w:p>
    <w:p w:rsidR="007C5D2A" w:rsidRPr="00B23B00" w:rsidRDefault="007C5D2A" w:rsidP="007C5D2A">
      <w:pPr>
        <w:tabs>
          <w:tab w:val="left" w:pos="851"/>
        </w:tabs>
        <w:jc w:val="both"/>
        <w:rPr>
          <w:sz w:val="24"/>
          <w:szCs w:val="24"/>
          <w:lang w:val="en-GB"/>
        </w:rPr>
      </w:pPr>
      <w:r w:rsidRPr="00B23B00">
        <w:rPr>
          <w:b/>
          <w:sz w:val="24"/>
          <w:szCs w:val="24"/>
          <w:lang w:val="en-GB"/>
        </w:rPr>
        <w:t>9.</w:t>
      </w:r>
      <w:r w:rsidRPr="00B23B00">
        <w:rPr>
          <w:b/>
          <w:sz w:val="24"/>
          <w:szCs w:val="24"/>
          <w:lang w:val="en-GB"/>
        </w:rPr>
        <w:tab/>
        <w:t>DATE OF FIRST AUTHORISATION</w:t>
      </w:r>
    </w:p>
    <w:p w:rsidR="007C5D2A" w:rsidRPr="00B23B00" w:rsidRDefault="009A75D1" w:rsidP="00A85D26">
      <w:pPr>
        <w:ind w:left="851"/>
        <w:jc w:val="both"/>
        <w:rPr>
          <w:sz w:val="24"/>
          <w:szCs w:val="24"/>
          <w:lang w:val="en-GB"/>
        </w:rPr>
      </w:pPr>
      <w:r>
        <w:rPr>
          <w:sz w:val="24"/>
          <w:szCs w:val="24"/>
          <w:lang w:val="en-GB"/>
        </w:rPr>
        <w:t>11 September 2023</w:t>
      </w:r>
    </w:p>
    <w:p w:rsidR="007C5D2A" w:rsidRPr="00B23B00" w:rsidRDefault="007C5D2A" w:rsidP="003E0341">
      <w:pPr>
        <w:tabs>
          <w:tab w:val="left" w:pos="851"/>
        </w:tabs>
        <w:ind w:left="851"/>
        <w:jc w:val="both"/>
        <w:rPr>
          <w:sz w:val="24"/>
          <w:szCs w:val="24"/>
          <w:lang w:val="en-GB"/>
        </w:rPr>
      </w:pPr>
    </w:p>
    <w:p w:rsidR="007C5D2A" w:rsidRPr="00B23B00" w:rsidRDefault="007C5D2A" w:rsidP="007C5D2A">
      <w:pPr>
        <w:tabs>
          <w:tab w:val="left" w:pos="851"/>
        </w:tabs>
        <w:jc w:val="both"/>
        <w:rPr>
          <w:sz w:val="24"/>
          <w:szCs w:val="24"/>
          <w:lang w:val="en-GB"/>
        </w:rPr>
      </w:pPr>
      <w:r w:rsidRPr="00B23B00">
        <w:rPr>
          <w:b/>
          <w:sz w:val="24"/>
          <w:szCs w:val="24"/>
          <w:lang w:val="en-GB"/>
        </w:rPr>
        <w:t>10.</w:t>
      </w:r>
      <w:r w:rsidRPr="00B23B00">
        <w:rPr>
          <w:b/>
          <w:sz w:val="24"/>
          <w:szCs w:val="24"/>
          <w:lang w:val="en-GB"/>
        </w:rPr>
        <w:tab/>
        <w:t>DATE OF REVISION OF THE TEXT</w:t>
      </w:r>
    </w:p>
    <w:p w:rsidR="007C5D2A" w:rsidRPr="00B23B00" w:rsidRDefault="00567B29" w:rsidP="003E0341">
      <w:pPr>
        <w:tabs>
          <w:tab w:val="left" w:pos="851"/>
        </w:tabs>
        <w:ind w:left="851"/>
        <w:jc w:val="both"/>
        <w:rPr>
          <w:sz w:val="24"/>
          <w:szCs w:val="24"/>
          <w:lang w:val="en-GB"/>
        </w:rPr>
      </w:pPr>
      <w:r>
        <w:rPr>
          <w:sz w:val="24"/>
          <w:szCs w:val="24"/>
          <w:lang w:val="en-GB"/>
        </w:rPr>
        <w:t>4</w:t>
      </w:r>
      <w:bookmarkStart w:id="4" w:name="_GoBack"/>
      <w:bookmarkEnd w:id="4"/>
      <w:r w:rsidR="003863FE">
        <w:rPr>
          <w:sz w:val="24"/>
          <w:szCs w:val="24"/>
          <w:lang w:val="en-GB"/>
        </w:rPr>
        <w:t xml:space="preserve"> April 2025</w:t>
      </w:r>
    </w:p>
    <w:sectPr w:rsidR="007C5D2A" w:rsidRPr="00B23B00" w:rsidSect="004A3BF4">
      <w:headerReference w:type="even" r:id="rId21"/>
      <w:headerReference w:type="default" r:id="rId22"/>
      <w:footerReference w:type="even" r:id="rId23"/>
      <w:footerReference w:type="default" r:id="rId24"/>
      <w:headerReference w:type="first" r:id="rId25"/>
      <w:footerReference w:type="first" r:id="rId26"/>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352A" w:rsidRDefault="007D352A">
      <w:r>
        <w:separator/>
      </w:r>
    </w:p>
  </w:endnote>
  <w:endnote w:type="continuationSeparator" w:id="0">
    <w:p w:rsidR="007D352A" w:rsidRDefault="007D3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3FE" w:rsidRDefault="003863F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3FE" w:rsidRDefault="003863FE">
    <w:pPr>
      <w:pStyle w:val="Sidefod"/>
      <w:pBdr>
        <w:bottom w:val="single" w:sz="6" w:space="1" w:color="auto"/>
      </w:pBdr>
    </w:pPr>
  </w:p>
  <w:p w:rsidR="003863FE" w:rsidRDefault="003863FE">
    <w:pPr>
      <w:pStyle w:val="Sidefod"/>
      <w:tabs>
        <w:tab w:val="clear" w:pos="4819"/>
        <w:tab w:val="left" w:pos="8647"/>
      </w:tabs>
      <w:rPr>
        <w:i/>
        <w:snapToGrid w:val="0"/>
        <w:sz w:val="18"/>
      </w:rPr>
    </w:pPr>
  </w:p>
  <w:p w:rsidR="003863FE" w:rsidRDefault="003863FE"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Enzalutamide Sandoz, filmovertrukne tabletter 40 mg og 80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3FE" w:rsidRDefault="003863FE">
    <w:pPr>
      <w:pStyle w:val="Sidefod"/>
      <w:pBdr>
        <w:bottom w:val="single" w:sz="6" w:space="1" w:color="auto"/>
      </w:pBdr>
      <w:tabs>
        <w:tab w:val="clear" w:pos="4819"/>
        <w:tab w:val="left" w:pos="8789"/>
      </w:tabs>
      <w:rPr>
        <w:i/>
        <w:snapToGrid w:val="0"/>
        <w:sz w:val="18"/>
      </w:rPr>
    </w:pPr>
  </w:p>
  <w:p w:rsidR="003863FE" w:rsidRDefault="003863FE">
    <w:pPr>
      <w:pStyle w:val="Sidefod"/>
      <w:tabs>
        <w:tab w:val="clear" w:pos="4819"/>
        <w:tab w:val="left" w:pos="8789"/>
      </w:tabs>
      <w:rPr>
        <w:i/>
        <w:snapToGrid w:val="0"/>
        <w:sz w:val="18"/>
      </w:rPr>
    </w:pPr>
  </w:p>
  <w:p w:rsidR="003863FE" w:rsidRDefault="003863FE">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Enzalutamide Sandoz, filmovertrukne tabletter 40 mg og 80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352A" w:rsidRDefault="007D352A">
      <w:r>
        <w:separator/>
      </w:r>
    </w:p>
  </w:footnote>
  <w:footnote w:type="continuationSeparator" w:id="0">
    <w:p w:rsidR="007D352A" w:rsidRDefault="007D3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3FE" w:rsidRDefault="003863FE">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3FE" w:rsidRDefault="003863FE">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3FE" w:rsidRDefault="003863F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046706D6"/>
    <w:multiLevelType w:val="hybridMultilevel"/>
    <w:tmpl w:val="EA02D954"/>
    <w:lvl w:ilvl="0" w:tplc="20D62BCE">
      <w:start w:val="1"/>
      <w:numFmt w:val="decimal"/>
      <w:lvlText w:val="%1."/>
      <w:lvlJc w:val="left"/>
      <w:pPr>
        <w:ind w:left="831" w:hanging="361"/>
      </w:pPr>
      <w:rPr>
        <w:rFonts w:ascii="Times New Roman" w:eastAsia="Times New Roman" w:hAnsi="Times New Roman" w:cs="Times New Roman" w:hint="default"/>
        <w:w w:val="101"/>
        <w:sz w:val="18"/>
        <w:szCs w:val="18"/>
      </w:rPr>
    </w:lvl>
    <w:lvl w:ilvl="1" w:tplc="FED87394">
      <w:numFmt w:val="bullet"/>
      <w:lvlText w:val="•"/>
      <w:lvlJc w:val="left"/>
      <w:pPr>
        <w:ind w:left="1686" w:hanging="361"/>
      </w:pPr>
    </w:lvl>
    <w:lvl w:ilvl="2" w:tplc="4D9A669A">
      <w:numFmt w:val="bullet"/>
      <w:lvlText w:val="•"/>
      <w:lvlJc w:val="left"/>
      <w:pPr>
        <w:ind w:left="2533" w:hanging="361"/>
      </w:pPr>
    </w:lvl>
    <w:lvl w:ilvl="3" w:tplc="947CBEFA">
      <w:numFmt w:val="bullet"/>
      <w:lvlText w:val="•"/>
      <w:lvlJc w:val="left"/>
      <w:pPr>
        <w:ind w:left="3380" w:hanging="361"/>
      </w:pPr>
    </w:lvl>
    <w:lvl w:ilvl="4" w:tplc="382ECE9E">
      <w:numFmt w:val="bullet"/>
      <w:lvlText w:val="•"/>
      <w:lvlJc w:val="left"/>
      <w:pPr>
        <w:ind w:left="4227" w:hanging="361"/>
      </w:pPr>
    </w:lvl>
    <w:lvl w:ilvl="5" w:tplc="2C3A1BA2">
      <w:numFmt w:val="bullet"/>
      <w:lvlText w:val="•"/>
      <w:lvlJc w:val="left"/>
      <w:pPr>
        <w:ind w:left="5074" w:hanging="361"/>
      </w:pPr>
    </w:lvl>
    <w:lvl w:ilvl="6" w:tplc="A072E3E0">
      <w:numFmt w:val="bullet"/>
      <w:lvlText w:val="•"/>
      <w:lvlJc w:val="left"/>
      <w:pPr>
        <w:ind w:left="5921" w:hanging="361"/>
      </w:pPr>
    </w:lvl>
    <w:lvl w:ilvl="7" w:tplc="8C6A1EDC">
      <w:numFmt w:val="bullet"/>
      <w:lvlText w:val="•"/>
      <w:lvlJc w:val="left"/>
      <w:pPr>
        <w:ind w:left="6768" w:hanging="361"/>
      </w:pPr>
    </w:lvl>
    <w:lvl w:ilvl="8" w:tplc="449EB15A">
      <w:numFmt w:val="bullet"/>
      <w:lvlText w:val="•"/>
      <w:lvlJc w:val="left"/>
      <w:pPr>
        <w:ind w:left="7615" w:hanging="361"/>
      </w:pPr>
    </w:lvl>
  </w:abstractNum>
  <w:abstractNum w:abstractNumId="3" w15:restartNumberingAfterBreak="0">
    <w:nsid w:val="07C24C86"/>
    <w:multiLevelType w:val="hybridMultilevel"/>
    <w:tmpl w:val="CD56F498"/>
    <w:lvl w:ilvl="0" w:tplc="9C7267AA">
      <w:start w:val="2"/>
      <w:numFmt w:val="bullet"/>
      <w:lvlText w:val="-"/>
      <w:lvlJc w:val="left"/>
      <w:pPr>
        <w:ind w:left="1571" w:hanging="360"/>
      </w:pPr>
      <w:rPr>
        <w:rFonts w:ascii="Verdana" w:eastAsia="SimSun" w:hAnsi="Verdana" w:cs="Verdana"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08A83A2A"/>
    <w:multiLevelType w:val="hybridMultilevel"/>
    <w:tmpl w:val="4DF89058"/>
    <w:lvl w:ilvl="0" w:tplc="9C7267AA">
      <w:start w:val="2"/>
      <w:numFmt w:val="bullet"/>
      <w:lvlText w:val="-"/>
      <w:lvlJc w:val="left"/>
      <w:pPr>
        <w:ind w:left="1571" w:hanging="360"/>
      </w:pPr>
      <w:rPr>
        <w:rFonts w:ascii="Verdana" w:eastAsia="SimSun" w:hAnsi="Verdana" w:cs="Verdana"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09244C05"/>
    <w:multiLevelType w:val="hybridMultilevel"/>
    <w:tmpl w:val="585E8BD8"/>
    <w:lvl w:ilvl="0" w:tplc="7E5E7712">
      <w:start w:val="1"/>
      <w:numFmt w:val="decimal"/>
      <w:lvlText w:val="%1."/>
      <w:lvlJc w:val="left"/>
      <w:pPr>
        <w:ind w:left="831" w:hanging="361"/>
      </w:pPr>
      <w:rPr>
        <w:rFonts w:ascii="Times New Roman" w:eastAsia="Times New Roman" w:hAnsi="Times New Roman" w:cs="Times New Roman" w:hint="default"/>
        <w:w w:val="101"/>
        <w:sz w:val="18"/>
        <w:szCs w:val="18"/>
      </w:rPr>
    </w:lvl>
    <w:lvl w:ilvl="1" w:tplc="82ACA07C">
      <w:numFmt w:val="bullet"/>
      <w:lvlText w:val="•"/>
      <w:lvlJc w:val="left"/>
      <w:pPr>
        <w:ind w:left="1686" w:hanging="361"/>
      </w:pPr>
    </w:lvl>
    <w:lvl w:ilvl="2" w:tplc="4902687A">
      <w:numFmt w:val="bullet"/>
      <w:lvlText w:val="•"/>
      <w:lvlJc w:val="left"/>
      <w:pPr>
        <w:ind w:left="2533" w:hanging="361"/>
      </w:pPr>
    </w:lvl>
    <w:lvl w:ilvl="3" w:tplc="99583B14">
      <w:numFmt w:val="bullet"/>
      <w:lvlText w:val="•"/>
      <w:lvlJc w:val="left"/>
      <w:pPr>
        <w:ind w:left="3380" w:hanging="361"/>
      </w:pPr>
    </w:lvl>
    <w:lvl w:ilvl="4" w:tplc="EDE86064">
      <w:numFmt w:val="bullet"/>
      <w:lvlText w:val="•"/>
      <w:lvlJc w:val="left"/>
      <w:pPr>
        <w:ind w:left="4227" w:hanging="361"/>
      </w:pPr>
    </w:lvl>
    <w:lvl w:ilvl="5" w:tplc="78F6FBAA">
      <w:numFmt w:val="bullet"/>
      <w:lvlText w:val="•"/>
      <w:lvlJc w:val="left"/>
      <w:pPr>
        <w:ind w:left="5074" w:hanging="361"/>
      </w:pPr>
    </w:lvl>
    <w:lvl w:ilvl="6" w:tplc="6C7E8A54">
      <w:numFmt w:val="bullet"/>
      <w:lvlText w:val="•"/>
      <w:lvlJc w:val="left"/>
      <w:pPr>
        <w:ind w:left="5921" w:hanging="361"/>
      </w:pPr>
    </w:lvl>
    <w:lvl w:ilvl="7" w:tplc="1A465ABA">
      <w:numFmt w:val="bullet"/>
      <w:lvlText w:val="•"/>
      <w:lvlJc w:val="left"/>
      <w:pPr>
        <w:ind w:left="6768" w:hanging="361"/>
      </w:pPr>
    </w:lvl>
    <w:lvl w:ilvl="8" w:tplc="E89A0A7C">
      <w:numFmt w:val="bullet"/>
      <w:lvlText w:val="•"/>
      <w:lvlJc w:val="left"/>
      <w:pPr>
        <w:ind w:left="7615" w:hanging="361"/>
      </w:pPr>
    </w:lvl>
  </w:abstractNum>
  <w:abstractNum w:abstractNumId="6"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D943CD2"/>
    <w:multiLevelType w:val="hybridMultilevel"/>
    <w:tmpl w:val="19F4EF38"/>
    <w:lvl w:ilvl="0" w:tplc="E03CFD52">
      <w:start w:val="1"/>
      <w:numFmt w:val="decimal"/>
      <w:lvlText w:val="%1."/>
      <w:lvlJc w:val="left"/>
      <w:pPr>
        <w:ind w:left="831" w:hanging="361"/>
      </w:pPr>
      <w:rPr>
        <w:rFonts w:ascii="Times New Roman" w:eastAsia="Times New Roman" w:hAnsi="Times New Roman" w:cs="Times New Roman" w:hint="default"/>
        <w:w w:val="101"/>
        <w:sz w:val="18"/>
        <w:szCs w:val="18"/>
      </w:rPr>
    </w:lvl>
    <w:lvl w:ilvl="1" w:tplc="BAC0E934">
      <w:numFmt w:val="bullet"/>
      <w:lvlText w:val="•"/>
      <w:lvlJc w:val="left"/>
      <w:pPr>
        <w:ind w:left="1732" w:hanging="361"/>
      </w:pPr>
    </w:lvl>
    <w:lvl w:ilvl="2" w:tplc="F8C67B7A">
      <w:numFmt w:val="bullet"/>
      <w:lvlText w:val="•"/>
      <w:lvlJc w:val="left"/>
      <w:pPr>
        <w:ind w:left="2625" w:hanging="361"/>
      </w:pPr>
    </w:lvl>
    <w:lvl w:ilvl="3" w:tplc="61988122">
      <w:numFmt w:val="bullet"/>
      <w:lvlText w:val="•"/>
      <w:lvlJc w:val="left"/>
      <w:pPr>
        <w:ind w:left="3518" w:hanging="361"/>
      </w:pPr>
    </w:lvl>
    <w:lvl w:ilvl="4" w:tplc="6A98EA66">
      <w:numFmt w:val="bullet"/>
      <w:lvlText w:val="•"/>
      <w:lvlJc w:val="left"/>
      <w:pPr>
        <w:ind w:left="4411" w:hanging="361"/>
      </w:pPr>
    </w:lvl>
    <w:lvl w:ilvl="5" w:tplc="F126BFD4">
      <w:numFmt w:val="bullet"/>
      <w:lvlText w:val="•"/>
      <w:lvlJc w:val="left"/>
      <w:pPr>
        <w:ind w:left="5304" w:hanging="361"/>
      </w:pPr>
    </w:lvl>
    <w:lvl w:ilvl="6" w:tplc="C0AE5DC2">
      <w:numFmt w:val="bullet"/>
      <w:lvlText w:val="•"/>
      <w:lvlJc w:val="left"/>
      <w:pPr>
        <w:ind w:left="6197" w:hanging="361"/>
      </w:pPr>
    </w:lvl>
    <w:lvl w:ilvl="7" w:tplc="629C613A">
      <w:numFmt w:val="bullet"/>
      <w:lvlText w:val="•"/>
      <w:lvlJc w:val="left"/>
      <w:pPr>
        <w:ind w:left="7090" w:hanging="361"/>
      </w:pPr>
    </w:lvl>
    <w:lvl w:ilvl="8" w:tplc="5DAAA4B4">
      <w:numFmt w:val="bullet"/>
      <w:lvlText w:val="•"/>
      <w:lvlJc w:val="left"/>
      <w:pPr>
        <w:ind w:left="7983" w:hanging="361"/>
      </w:pPr>
    </w:lvl>
  </w:abstractNum>
  <w:abstractNum w:abstractNumId="8" w15:restartNumberingAfterBreak="0">
    <w:nsid w:val="2FA63EC3"/>
    <w:multiLevelType w:val="hybridMultilevel"/>
    <w:tmpl w:val="FD125C2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9" w15:restartNumberingAfterBreak="0">
    <w:nsid w:val="48273353"/>
    <w:multiLevelType w:val="multilevel"/>
    <w:tmpl w:val="48008D3E"/>
    <w:lvl w:ilvl="0">
      <w:start w:val="1"/>
      <w:numFmt w:val="decimal"/>
      <w:lvlText w:val="%1."/>
      <w:lvlJc w:val="left"/>
      <w:pPr>
        <w:ind w:left="831" w:hanging="721"/>
      </w:pPr>
      <w:rPr>
        <w:rFonts w:ascii="Times New Roman" w:eastAsia="Times New Roman" w:hAnsi="Times New Roman" w:cs="Times New Roman" w:hint="default"/>
        <w:b/>
        <w:bCs/>
        <w:w w:val="100"/>
        <w:sz w:val="22"/>
        <w:szCs w:val="22"/>
      </w:rPr>
    </w:lvl>
    <w:lvl w:ilvl="1">
      <w:start w:val="1"/>
      <w:numFmt w:val="decimal"/>
      <w:lvlText w:val="%1.%2"/>
      <w:lvlJc w:val="left"/>
      <w:pPr>
        <w:ind w:left="831" w:hanging="721"/>
      </w:pPr>
      <w:rPr>
        <w:rFonts w:ascii="Times New Roman" w:eastAsia="Times New Roman" w:hAnsi="Times New Roman" w:cs="Times New Roman" w:hint="default"/>
        <w:b/>
        <w:bCs/>
        <w:w w:val="100"/>
        <w:sz w:val="22"/>
        <w:szCs w:val="22"/>
      </w:rPr>
    </w:lvl>
    <w:lvl w:ilvl="2">
      <w:numFmt w:val="bullet"/>
      <w:lvlText w:val=""/>
      <w:lvlJc w:val="left"/>
      <w:pPr>
        <w:ind w:left="831" w:hanging="361"/>
      </w:pPr>
      <w:rPr>
        <w:rFonts w:ascii="Symbol" w:eastAsia="Symbol" w:hAnsi="Symbol" w:cs="Symbol" w:hint="default"/>
        <w:w w:val="100"/>
        <w:sz w:val="22"/>
        <w:szCs w:val="22"/>
      </w:rPr>
    </w:lvl>
    <w:lvl w:ilvl="3">
      <w:numFmt w:val="bullet"/>
      <w:lvlText w:val="•"/>
      <w:lvlJc w:val="left"/>
      <w:pPr>
        <w:ind w:left="2690" w:hanging="361"/>
      </w:pPr>
    </w:lvl>
    <w:lvl w:ilvl="4">
      <w:numFmt w:val="bullet"/>
      <w:lvlText w:val="•"/>
      <w:lvlJc w:val="left"/>
      <w:pPr>
        <w:ind w:left="3616" w:hanging="361"/>
      </w:pPr>
    </w:lvl>
    <w:lvl w:ilvl="5">
      <w:numFmt w:val="bullet"/>
      <w:lvlText w:val="•"/>
      <w:lvlJc w:val="left"/>
      <w:pPr>
        <w:ind w:left="4541" w:hanging="361"/>
      </w:pPr>
    </w:lvl>
    <w:lvl w:ilvl="6">
      <w:numFmt w:val="bullet"/>
      <w:lvlText w:val="•"/>
      <w:lvlJc w:val="left"/>
      <w:pPr>
        <w:ind w:left="5467" w:hanging="361"/>
      </w:pPr>
    </w:lvl>
    <w:lvl w:ilvl="7">
      <w:numFmt w:val="bullet"/>
      <w:lvlText w:val="•"/>
      <w:lvlJc w:val="left"/>
      <w:pPr>
        <w:ind w:left="6392" w:hanging="361"/>
      </w:pPr>
    </w:lvl>
    <w:lvl w:ilvl="8">
      <w:numFmt w:val="bullet"/>
      <w:lvlText w:val="•"/>
      <w:lvlJc w:val="left"/>
      <w:pPr>
        <w:ind w:left="7317" w:hanging="361"/>
      </w:pPr>
    </w:lvl>
  </w:abstractNum>
  <w:abstractNum w:abstractNumId="10" w15:restartNumberingAfterBreak="0">
    <w:nsid w:val="4ED46979"/>
    <w:multiLevelType w:val="hybridMultilevel"/>
    <w:tmpl w:val="3DAAF7C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1" w15:restartNumberingAfterBreak="0">
    <w:nsid w:val="673D6C3C"/>
    <w:multiLevelType w:val="hybridMultilevel"/>
    <w:tmpl w:val="D1ECF716"/>
    <w:lvl w:ilvl="0" w:tplc="9C7267AA">
      <w:start w:val="2"/>
      <w:numFmt w:val="bullet"/>
      <w:lvlText w:val="-"/>
      <w:lvlJc w:val="left"/>
      <w:pPr>
        <w:ind w:left="360" w:hanging="360"/>
      </w:pPr>
      <w:rPr>
        <w:rFonts w:ascii="Verdana" w:eastAsia="SimSun" w:hAnsi="Verdana" w:cs="Verdana"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2"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3" w15:restartNumberingAfterBreak="0">
    <w:nsid w:val="72491BEA"/>
    <w:multiLevelType w:val="hybridMultilevel"/>
    <w:tmpl w:val="52A61CC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4" w15:restartNumberingAfterBreak="0">
    <w:nsid w:val="7309661E"/>
    <w:multiLevelType w:val="hybridMultilevel"/>
    <w:tmpl w:val="0E064E28"/>
    <w:lvl w:ilvl="0" w:tplc="9C7267AA">
      <w:start w:val="2"/>
      <w:numFmt w:val="bullet"/>
      <w:lvlText w:val="-"/>
      <w:lvlJc w:val="left"/>
      <w:pPr>
        <w:ind w:left="1571" w:hanging="360"/>
      </w:pPr>
      <w:rPr>
        <w:rFonts w:ascii="Verdana" w:eastAsia="SimSun" w:hAnsi="Verdana" w:cs="Verdana"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5" w15:restartNumberingAfterBreak="0">
    <w:nsid w:val="7D17207C"/>
    <w:multiLevelType w:val="multilevel"/>
    <w:tmpl w:val="2D2A1298"/>
    <w:lvl w:ilvl="0">
      <w:start w:val="5"/>
      <w:numFmt w:val="decimal"/>
      <w:lvlText w:val="%1"/>
      <w:lvlJc w:val="left"/>
      <w:pPr>
        <w:ind w:left="443" w:hanging="332"/>
      </w:pPr>
    </w:lvl>
    <w:lvl w:ilvl="1">
      <w:start w:val="4"/>
      <w:numFmt w:val="decimal"/>
      <w:lvlText w:val="%1.%2"/>
      <w:lvlJc w:val="left"/>
      <w:pPr>
        <w:ind w:left="443" w:hanging="332"/>
      </w:pPr>
      <w:rPr>
        <w:rFonts w:ascii="Times New Roman" w:eastAsia="Times New Roman" w:hAnsi="Times New Roman" w:cs="Times New Roman" w:hint="default"/>
        <w:w w:val="100"/>
        <w:sz w:val="22"/>
        <w:szCs w:val="22"/>
      </w:rPr>
    </w:lvl>
    <w:lvl w:ilvl="2">
      <w:start w:val="1"/>
      <w:numFmt w:val="decimal"/>
      <w:lvlText w:val="%3."/>
      <w:lvlJc w:val="left"/>
      <w:pPr>
        <w:ind w:left="831" w:hanging="361"/>
      </w:pPr>
      <w:rPr>
        <w:rFonts w:ascii="Times New Roman" w:eastAsia="Times New Roman" w:hAnsi="Times New Roman" w:cs="Times New Roman" w:hint="default"/>
        <w:w w:val="101"/>
        <w:sz w:val="18"/>
        <w:szCs w:val="18"/>
      </w:rPr>
    </w:lvl>
    <w:lvl w:ilvl="3">
      <w:numFmt w:val="bullet"/>
      <w:lvlText w:val="•"/>
      <w:lvlJc w:val="left"/>
      <w:pPr>
        <w:ind w:left="2721" w:hanging="361"/>
      </w:pPr>
    </w:lvl>
    <w:lvl w:ilvl="4">
      <w:numFmt w:val="bullet"/>
      <w:lvlText w:val="•"/>
      <w:lvlJc w:val="left"/>
      <w:pPr>
        <w:ind w:left="3662" w:hanging="361"/>
      </w:pPr>
    </w:lvl>
    <w:lvl w:ilvl="5">
      <w:numFmt w:val="bullet"/>
      <w:lvlText w:val="•"/>
      <w:lvlJc w:val="left"/>
      <w:pPr>
        <w:ind w:left="4603" w:hanging="361"/>
      </w:pPr>
    </w:lvl>
    <w:lvl w:ilvl="6">
      <w:numFmt w:val="bullet"/>
      <w:lvlText w:val="•"/>
      <w:lvlJc w:val="left"/>
      <w:pPr>
        <w:ind w:left="5544" w:hanging="361"/>
      </w:pPr>
    </w:lvl>
    <w:lvl w:ilvl="7">
      <w:numFmt w:val="bullet"/>
      <w:lvlText w:val="•"/>
      <w:lvlJc w:val="left"/>
      <w:pPr>
        <w:ind w:left="6485" w:hanging="361"/>
      </w:pPr>
    </w:lvl>
    <w:lvl w:ilvl="8">
      <w:numFmt w:val="bullet"/>
      <w:lvlText w:val="•"/>
      <w:lvlJc w:val="left"/>
      <w:pPr>
        <w:ind w:left="7426" w:hanging="361"/>
      </w:pPr>
    </w:lvl>
  </w:abstractNum>
  <w:num w:numId="1">
    <w:abstractNumId w:val="6"/>
  </w:num>
  <w:num w:numId="2">
    <w:abstractNumId w:val="0"/>
  </w:num>
  <w:num w:numId="3">
    <w:abstractNumId w:val="12"/>
  </w:num>
  <w:num w:numId="4">
    <w:abstractNumId w:val="1"/>
  </w:num>
  <w:num w:numId="5">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5"/>
    <w:lvlOverride w:ilvl="0">
      <w:startOverride w:val="1"/>
    </w:lvlOverride>
    <w:lvlOverride w:ilvl="1"/>
    <w:lvlOverride w:ilvl="2"/>
    <w:lvlOverride w:ilvl="3"/>
    <w:lvlOverride w:ilvl="4"/>
    <w:lvlOverride w:ilvl="5"/>
    <w:lvlOverride w:ilvl="6"/>
    <w:lvlOverride w:ilvl="7"/>
    <w:lvlOverride w:ilvl="8"/>
  </w:num>
  <w:num w:numId="7">
    <w:abstractNumId w:val="7"/>
    <w:lvlOverride w:ilvl="0">
      <w:startOverride w:val="1"/>
    </w:lvlOverride>
    <w:lvlOverride w:ilvl="1"/>
    <w:lvlOverride w:ilvl="2"/>
    <w:lvlOverride w:ilvl="3"/>
    <w:lvlOverride w:ilvl="4"/>
    <w:lvlOverride w:ilvl="5"/>
    <w:lvlOverride w:ilvl="6"/>
    <w:lvlOverride w:ilvl="7"/>
    <w:lvlOverride w:ilvl="8"/>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15"/>
    <w:lvlOverride w:ilvl="0">
      <w:startOverride w:val="5"/>
    </w:lvlOverride>
    <w:lvlOverride w:ilvl="1">
      <w:startOverride w:val="4"/>
    </w:lvlOverride>
    <w:lvlOverride w:ilvl="2">
      <w:startOverride w:val="1"/>
    </w:lvlOverride>
    <w:lvlOverride w:ilvl="3"/>
    <w:lvlOverride w:ilvl="4"/>
    <w:lvlOverride w:ilvl="5"/>
    <w:lvlOverride w:ilvl="6"/>
    <w:lvlOverride w:ilvl="7"/>
    <w:lvlOverride w:ilvl="8"/>
  </w:num>
  <w:num w:numId="10">
    <w:abstractNumId w:val="11"/>
  </w:num>
  <w:num w:numId="11">
    <w:abstractNumId w:val="13"/>
  </w:num>
  <w:num w:numId="12">
    <w:abstractNumId w:val="10"/>
  </w:num>
  <w:num w:numId="13">
    <w:abstractNumId w:val="11"/>
  </w:num>
  <w:num w:numId="14">
    <w:abstractNumId w:val="4"/>
  </w:num>
  <w:num w:numId="15">
    <w:abstractNumId w:val="14"/>
  </w:num>
  <w:num w:numId="16">
    <w:abstractNumId w:val="3"/>
  </w:num>
  <w:num w:numId="17">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073"/>
    <w:rsid w:val="00026479"/>
    <w:rsid w:val="00056601"/>
    <w:rsid w:val="00087D3A"/>
    <w:rsid w:val="000C3846"/>
    <w:rsid w:val="000C6218"/>
    <w:rsid w:val="000D3C9D"/>
    <w:rsid w:val="000F0D47"/>
    <w:rsid w:val="00105F96"/>
    <w:rsid w:val="0010610B"/>
    <w:rsid w:val="001242DE"/>
    <w:rsid w:val="00145C3D"/>
    <w:rsid w:val="00180206"/>
    <w:rsid w:val="00180A12"/>
    <w:rsid w:val="00214331"/>
    <w:rsid w:val="00214CF4"/>
    <w:rsid w:val="00281F03"/>
    <w:rsid w:val="0029458A"/>
    <w:rsid w:val="002A1587"/>
    <w:rsid w:val="002B27C5"/>
    <w:rsid w:val="002F6D9C"/>
    <w:rsid w:val="00303008"/>
    <w:rsid w:val="003060E2"/>
    <w:rsid w:val="0031698C"/>
    <w:rsid w:val="00360DE0"/>
    <w:rsid w:val="00373B55"/>
    <w:rsid w:val="003863FE"/>
    <w:rsid w:val="003A3099"/>
    <w:rsid w:val="003D727E"/>
    <w:rsid w:val="003E0341"/>
    <w:rsid w:val="003E3402"/>
    <w:rsid w:val="003F4736"/>
    <w:rsid w:val="00401B49"/>
    <w:rsid w:val="0042292D"/>
    <w:rsid w:val="00437D5B"/>
    <w:rsid w:val="00440254"/>
    <w:rsid w:val="004860D3"/>
    <w:rsid w:val="004A3BF4"/>
    <w:rsid w:val="004A5DB3"/>
    <w:rsid w:val="004D2BB8"/>
    <w:rsid w:val="004E6427"/>
    <w:rsid w:val="005152D9"/>
    <w:rsid w:val="00533AD4"/>
    <w:rsid w:val="00534849"/>
    <w:rsid w:val="00550718"/>
    <w:rsid w:val="00560102"/>
    <w:rsid w:val="00562EA1"/>
    <w:rsid w:val="00567B29"/>
    <w:rsid w:val="00584AC5"/>
    <w:rsid w:val="005A498B"/>
    <w:rsid w:val="005D59AD"/>
    <w:rsid w:val="00617BB8"/>
    <w:rsid w:val="006207FF"/>
    <w:rsid w:val="00680052"/>
    <w:rsid w:val="00683267"/>
    <w:rsid w:val="006844E9"/>
    <w:rsid w:val="006B3847"/>
    <w:rsid w:val="006E3C51"/>
    <w:rsid w:val="006E57A0"/>
    <w:rsid w:val="007235E8"/>
    <w:rsid w:val="00741947"/>
    <w:rsid w:val="0075453D"/>
    <w:rsid w:val="00765990"/>
    <w:rsid w:val="00783E53"/>
    <w:rsid w:val="007A4CC6"/>
    <w:rsid w:val="007B5D05"/>
    <w:rsid w:val="007C3623"/>
    <w:rsid w:val="007C368B"/>
    <w:rsid w:val="007C5D2A"/>
    <w:rsid w:val="007D2AC1"/>
    <w:rsid w:val="007D352A"/>
    <w:rsid w:val="007F1E00"/>
    <w:rsid w:val="00827444"/>
    <w:rsid w:val="008400E3"/>
    <w:rsid w:val="008541D1"/>
    <w:rsid w:val="00864538"/>
    <w:rsid w:val="00873B4F"/>
    <w:rsid w:val="008A24F6"/>
    <w:rsid w:val="008E3FF2"/>
    <w:rsid w:val="008E51AE"/>
    <w:rsid w:val="008F2F8C"/>
    <w:rsid w:val="00902AD5"/>
    <w:rsid w:val="009508EE"/>
    <w:rsid w:val="009925C9"/>
    <w:rsid w:val="009A75D1"/>
    <w:rsid w:val="009B3F57"/>
    <w:rsid w:val="009F7C89"/>
    <w:rsid w:val="00A179D0"/>
    <w:rsid w:val="00A31852"/>
    <w:rsid w:val="00A358A3"/>
    <w:rsid w:val="00A46747"/>
    <w:rsid w:val="00A619F4"/>
    <w:rsid w:val="00A80446"/>
    <w:rsid w:val="00A85D26"/>
    <w:rsid w:val="00A9153A"/>
    <w:rsid w:val="00AB4376"/>
    <w:rsid w:val="00AC033C"/>
    <w:rsid w:val="00AD2E36"/>
    <w:rsid w:val="00B23B00"/>
    <w:rsid w:val="00B45DC5"/>
    <w:rsid w:val="00B924DE"/>
    <w:rsid w:val="00BD3490"/>
    <w:rsid w:val="00C036A6"/>
    <w:rsid w:val="00C26226"/>
    <w:rsid w:val="00C3571D"/>
    <w:rsid w:val="00C54F0B"/>
    <w:rsid w:val="00C55F31"/>
    <w:rsid w:val="00C82621"/>
    <w:rsid w:val="00CB1423"/>
    <w:rsid w:val="00CB428E"/>
    <w:rsid w:val="00CE5073"/>
    <w:rsid w:val="00D02508"/>
    <w:rsid w:val="00D421EB"/>
    <w:rsid w:val="00D778CC"/>
    <w:rsid w:val="00D82FE9"/>
    <w:rsid w:val="00D97B77"/>
    <w:rsid w:val="00DB6A85"/>
    <w:rsid w:val="00DE37FA"/>
    <w:rsid w:val="00E06B32"/>
    <w:rsid w:val="00E1290F"/>
    <w:rsid w:val="00E36A80"/>
    <w:rsid w:val="00E37F9E"/>
    <w:rsid w:val="00EB21D7"/>
    <w:rsid w:val="00EE3EB7"/>
    <w:rsid w:val="00F57E16"/>
    <w:rsid w:val="00F60336"/>
    <w:rsid w:val="00FB3995"/>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1D6A0F"/>
  <w15:chartTrackingRefBased/>
  <w15:docId w15:val="{15A105D2-1840-405A-B881-0BBF7874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customStyle="1" w:styleId="Default">
    <w:name w:val="Default"/>
    <w:rsid w:val="00360DE0"/>
    <w:pPr>
      <w:autoSpaceDE w:val="0"/>
      <w:autoSpaceDN w:val="0"/>
      <w:adjustRightInd w:val="0"/>
    </w:pPr>
    <w:rPr>
      <w:color w:val="000000"/>
      <w:sz w:val="24"/>
      <w:szCs w:val="24"/>
      <w:lang w:val="en-US" w:eastAsia="en-US"/>
    </w:rPr>
  </w:style>
  <w:style w:type="paragraph" w:styleId="Brdtekst">
    <w:name w:val="Body Text"/>
    <w:basedOn w:val="Normal"/>
    <w:link w:val="BrdtekstTegn"/>
    <w:uiPriority w:val="1"/>
    <w:unhideWhenUsed/>
    <w:qFormat/>
    <w:rsid w:val="00360DE0"/>
    <w:pPr>
      <w:widowControl w:val="0"/>
      <w:autoSpaceDE w:val="0"/>
      <w:autoSpaceDN w:val="0"/>
    </w:pPr>
    <w:rPr>
      <w:sz w:val="22"/>
      <w:szCs w:val="22"/>
      <w:lang w:val="en-US" w:eastAsia="en-US"/>
    </w:rPr>
  </w:style>
  <w:style w:type="character" w:customStyle="1" w:styleId="BrdtekstTegn">
    <w:name w:val="Brødtekst Tegn"/>
    <w:basedOn w:val="Standardskrifttypeiafsnit"/>
    <w:link w:val="Brdtekst"/>
    <w:uiPriority w:val="1"/>
    <w:rsid w:val="00360DE0"/>
    <w:rPr>
      <w:sz w:val="22"/>
      <w:szCs w:val="22"/>
      <w:lang w:val="en-US" w:eastAsia="en-US"/>
    </w:rPr>
  </w:style>
  <w:style w:type="paragraph" w:styleId="Listeafsnit">
    <w:name w:val="List Paragraph"/>
    <w:basedOn w:val="Normal"/>
    <w:uiPriority w:val="34"/>
    <w:qFormat/>
    <w:rsid w:val="00360DE0"/>
    <w:pPr>
      <w:widowControl w:val="0"/>
      <w:autoSpaceDE w:val="0"/>
      <w:autoSpaceDN w:val="0"/>
      <w:ind w:left="831" w:hanging="720"/>
    </w:pPr>
    <w:rPr>
      <w:sz w:val="22"/>
      <w:szCs w:val="22"/>
      <w:lang w:val="en-US" w:eastAsia="en-US"/>
    </w:rPr>
  </w:style>
  <w:style w:type="paragraph" w:styleId="Billedtekst">
    <w:name w:val="caption"/>
    <w:basedOn w:val="Normal"/>
    <w:next w:val="Normal"/>
    <w:unhideWhenUsed/>
    <w:qFormat/>
    <w:rsid w:val="00360DE0"/>
    <w:pPr>
      <w:spacing w:before="120" w:after="120"/>
    </w:pPr>
    <w:rPr>
      <w:b/>
      <w:sz w:val="24"/>
      <w:lang w:val="en-US" w:eastAsia="en-US"/>
    </w:rPr>
  </w:style>
  <w:style w:type="paragraph" w:customStyle="1" w:styleId="TableParagraph">
    <w:name w:val="Table Paragraph"/>
    <w:basedOn w:val="Normal"/>
    <w:uiPriority w:val="1"/>
    <w:qFormat/>
    <w:rsid w:val="00360DE0"/>
    <w:pPr>
      <w:widowControl w:val="0"/>
      <w:autoSpaceDE w:val="0"/>
      <w:autoSpaceDN w:val="0"/>
      <w:spacing w:before="1"/>
      <w:ind w:left="200"/>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55850">
      <w:bodyDiv w:val="1"/>
      <w:marLeft w:val="0"/>
      <w:marRight w:val="0"/>
      <w:marTop w:val="0"/>
      <w:marBottom w:val="0"/>
      <w:divBdr>
        <w:top w:val="none" w:sz="0" w:space="0" w:color="auto"/>
        <w:left w:val="none" w:sz="0" w:space="0" w:color="auto"/>
        <w:bottom w:val="none" w:sz="0" w:space="0" w:color="auto"/>
        <w:right w:val="none" w:sz="0" w:space="0" w:color="auto"/>
      </w:divBdr>
    </w:div>
    <w:div w:id="101847267">
      <w:bodyDiv w:val="1"/>
      <w:marLeft w:val="0"/>
      <w:marRight w:val="0"/>
      <w:marTop w:val="0"/>
      <w:marBottom w:val="0"/>
      <w:divBdr>
        <w:top w:val="none" w:sz="0" w:space="0" w:color="auto"/>
        <w:left w:val="none" w:sz="0" w:space="0" w:color="auto"/>
        <w:bottom w:val="none" w:sz="0" w:space="0" w:color="auto"/>
        <w:right w:val="none" w:sz="0" w:space="0" w:color="auto"/>
      </w:divBdr>
    </w:div>
    <w:div w:id="122313679">
      <w:bodyDiv w:val="1"/>
      <w:marLeft w:val="0"/>
      <w:marRight w:val="0"/>
      <w:marTop w:val="0"/>
      <w:marBottom w:val="0"/>
      <w:divBdr>
        <w:top w:val="none" w:sz="0" w:space="0" w:color="auto"/>
        <w:left w:val="none" w:sz="0" w:space="0" w:color="auto"/>
        <w:bottom w:val="none" w:sz="0" w:space="0" w:color="auto"/>
        <w:right w:val="none" w:sz="0" w:space="0" w:color="auto"/>
      </w:divBdr>
    </w:div>
    <w:div w:id="123548194">
      <w:bodyDiv w:val="1"/>
      <w:marLeft w:val="0"/>
      <w:marRight w:val="0"/>
      <w:marTop w:val="0"/>
      <w:marBottom w:val="0"/>
      <w:divBdr>
        <w:top w:val="none" w:sz="0" w:space="0" w:color="auto"/>
        <w:left w:val="none" w:sz="0" w:space="0" w:color="auto"/>
        <w:bottom w:val="none" w:sz="0" w:space="0" w:color="auto"/>
        <w:right w:val="none" w:sz="0" w:space="0" w:color="auto"/>
      </w:divBdr>
    </w:div>
    <w:div w:id="238709021">
      <w:bodyDiv w:val="1"/>
      <w:marLeft w:val="0"/>
      <w:marRight w:val="0"/>
      <w:marTop w:val="0"/>
      <w:marBottom w:val="0"/>
      <w:divBdr>
        <w:top w:val="none" w:sz="0" w:space="0" w:color="auto"/>
        <w:left w:val="none" w:sz="0" w:space="0" w:color="auto"/>
        <w:bottom w:val="none" w:sz="0" w:space="0" w:color="auto"/>
        <w:right w:val="none" w:sz="0" w:space="0" w:color="auto"/>
      </w:divBdr>
    </w:div>
    <w:div w:id="260917276">
      <w:bodyDiv w:val="1"/>
      <w:marLeft w:val="0"/>
      <w:marRight w:val="0"/>
      <w:marTop w:val="0"/>
      <w:marBottom w:val="0"/>
      <w:divBdr>
        <w:top w:val="none" w:sz="0" w:space="0" w:color="auto"/>
        <w:left w:val="none" w:sz="0" w:space="0" w:color="auto"/>
        <w:bottom w:val="none" w:sz="0" w:space="0" w:color="auto"/>
        <w:right w:val="none" w:sz="0" w:space="0" w:color="auto"/>
      </w:divBdr>
    </w:div>
    <w:div w:id="262693306">
      <w:bodyDiv w:val="1"/>
      <w:marLeft w:val="0"/>
      <w:marRight w:val="0"/>
      <w:marTop w:val="0"/>
      <w:marBottom w:val="0"/>
      <w:divBdr>
        <w:top w:val="none" w:sz="0" w:space="0" w:color="auto"/>
        <w:left w:val="none" w:sz="0" w:space="0" w:color="auto"/>
        <w:bottom w:val="none" w:sz="0" w:space="0" w:color="auto"/>
        <w:right w:val="none" w:sz="0" w:space="0" w:color="auto"/>
      </w:divBdr>
    </w:div>
    <w:div w:id="268242234">
      <w:bodyDiv w:val="1"/>
      <w:marLeft w:val="0"/>
      <w:marRight w:val="0"/>
      <w:marTop w:val="0"/>
      <w:marBottom w:val="0"/>
      <w:divBdr>
        <w:top w:val="none" w:sz="0" w:space="0" w:color="auto"/>
        <w:left w:val="none" w:sz="0" w:space="0" w:color="auto"/>
        <w:bottom w:val="none" w:sz="0" w:space="0" w:color="auto"/>
        <w:right w:val="none" w:sz="0" w:space="0" w:color="auto"/>
      </w:divBdr>
    </w:div>
    <w:div w:id="298845543">
      <w:bodyDiv w:val="1"/>
      <w:marLeft w:val="0"/>
      <w:marRight w:val="0"/>
      <w:marTop w:val="0"/>
      <w:marBottom w:val="0"/>
      <w:divBdr>
        <w:top w:val="none" w:sz="0" w:space="0" w:color="auto"/>
        <w:left w:val="none" w:sz="0" w:space="0" w:color="auto"/>
        <w:bottom w:val="none" w:sz="0" w:space="0" w:color="auto"/>
        <w:right w:val="none" w:sz="0" w:space="0" w:color="auto"/>
      </w:divBdr>
    </w:div>
    <w:div w:id="320433438">
      <w:bodyDiv w:val="1"/>
      <w:marLeft w:val="0"/>
      <w:marRight w:val="0"/>
      <w:marTop w:val="0"/>
      <w:marBottom w:val="0"/>
      <w:divBdr>
        <w:top w:val="none" w:sz="0" w:space="0" w:color="auto"/>
        <w:left w:val="none" w:sz="0" w:space="0" w:color="auto"/>
        <w:bottom w:val="none" w:sz="0" w:space="0" w:color="auto"/>
        <w:right w:val="none" w:sz="0" w:space="0" w:color="auto"/>
      </w:divBdr>
    </w:div>
    <w:div w:id="321391763">
      <w:bodyDiv w:val="1"/>
      <w:marLeft w:val="0"/>
      <w:marRight w:val="0"/>
      <w:marTop w:val="0"/>
      <w:marBottom w:val="0"/>
      <w:divBdr>
        <w:top w:val="none" w:sz="0" w:space="0" w:color="auto"/>
        <w:left w:val="none" w:sz="0" w:space="0" w:color="auto"/>
        <w:bottom w:val="none" w:sz="0" w:space="0" w:color="auto"/>
        <w:right w:val="none" w:sz="0" w:space="0" w:color="auto"/>
      </w:divBdr>
    </w:div>
    <w:div w:id="343947699">
      <w:bodyDiv w:val="1"/>
      <w:marLeft w:val="0"/>
      <w:marRight w:val="0"/>
      <w:marTop w:val="0"/>
      <w:marBottom w:val="0"/>
      <w:divBdr>
        <w:top w:val="none" w:sz="0" w:space="0" w:color="auto"/>
        <w:left w:val="none" w:sz="0" w:space="0" w:color="auto"/>
        <w:bottom w:val="none" w:sz="0" w:space="0" w:color="auto"/>
        <w:right w:val="none" w:sz="0" w:space="0" w:color="auto"/>
      </w:divBdr>
    </w:div>
    <w:div w:id="346297878">
      <w:bodyDiv w:val="1"/>
      <w:marLeft w:val="0"/>
      <w:marRight w:val="0"/>
      <w:marTop w:val="0"/>
      <w:marBottom w:val="0"/>
      <w:divBdr>
        <w:top w:val="none" w:sz="0" w:space="0" w:color="auto"/>
        <w:left w:val="none" w:sz="0" w:space="0" w:color="auto"/>
        <w:bottom w:val="none" w:sz="0" w:space="0" w:color="auto"/>
        <w:right w:val="none" w:sz="0" w:space="0" w:color="auto"/>
      </w:divBdr>
    </w:div>
    <w:div w:id="361319857">
      <w:bodyDiv w:val="1"/>
      <w:marLeft w:val="0"/>
      <w:marRight w:val="0"/>
      <w:marTop w:val="0"/>
      <w:marBottom w:val="0"/>
      <w:divBdr>
        <w:top w:val="none" w:sz="0" w:space="0" w:color="auto"/>
        <w:left w:val="none" w:sz="0" w:space="0" w:color="auto"/>
        <w:bottom w:val="none" w:sz="0" w:space="0" w:color="auto"/>
        <w:right w:val="none" w:sz="0" w:space="0" w:color="auto"/>
      </w:divBdr>
    </w:div>
    <w:div w:id="361437158">
      <w:bodyDiv w:val="1"/>
      <w:marLeft w:val="0"/>
      <w:marRight w:val="0"/>
      <w:marTop w:val="0"/>
      <w:marBottom w:val="0"/>
      <w:divBdr>
        <w:top w:val="none" w:sz="0" w:space="0" w:color="auto"/>
        <w:left w:val="none" w:sz="0" w:space="0" w:color="auto"/>
        <w:bottom w:val="none" w:sz="0" w:space="0" w:color="auto"/>
        <w:right w:val="none" w:sz="0" w:space="0" w:color="auto"/>
      </w:divBdr>
    </w:div>
    <w:div w:id="388040102">
      <w:bodyDiv w:val="1"/>
      <w:marLeft w:val="0"/>
      <w:marRight w:val="0"/>
      <w:marTop w:val="0"/>
      <w:marBottom w:val="0"/>
      <w:divBdr>
        <w:top w:val="none" w:sz="0" w:space="0" w:color="auto"/>
        <w:left w:val="none" w:sz="0" w:space="0" w:color="auto"/>
        <w:bottom w:val="none" w:sz="0" w:space="0" w:color="auto"/>
        <w:right w:val="none" w:sz="0" w:space="0" w:color="auto"/>
      </w:divBdr>
    </w:div>
    <w:div w:id="461122623">
      <w:bodyDiv w:val="1"/>
      <w:marLeft w:val="0"/>
      <w:marRight w:val="0"/>
      <w:marTop w:val="0"/>
      <w:marBottom w:val="0"/>
      <w:divBdr>
        <w:top w:val="none" w:sz="0" w:space="0" w:color="auto"/>
        <w:left w:val="none" w:sz="0" w:space="0" w:color="auto"/>
        <w:bottom w:val="none" w:sz="0" w:space="0" w:color="auto"/>
        <w:right w:val="none" w:sz="0" w:space="0" w:color="auto"/>
      </w:divBdr>
    </w:div>
    <w:div w:id="476145929">
      <w:bodyDiv w:val="1"/>
      <w:marLeft w:val="0"/>
      <w:marRight w:val="0"/>
      <w:marTop w:val="0"/>
      <w:marBottom w:val="0"/>
      <w:divBdr>
        <w:top w:val="none" w:sz="0" w:space="0" w:color="auto"/>
        <w:left w:val="none" w:sz="0" w:space="0" w:color="auto"/>
        <w:bottom w:val="none" w:sz="0" w:space="0" w:color="auto"/>
        <w:right w:val="none" w:sz="0" w:space="0" w:color="auto"/>
      </w:divBdr>
    </w:div>
    <w:div w:id="484396583">
      <w:bodyDiv w:val="1"/>
      <w:marLeft w:val="0"/>
      <w:marRight w:val="0"/>
      <w:marTop w:val="0"/>
      <w:marBottom w:val="0"/>
      <w:divBdr>
        <w:top w:val="none" w:sz="0" w:space="0" w:color="auto"/>
        <w:left w:val="none" w:sz="0" w:space="0" w:color="auto"/>
        <w:bottom w:val="none" w:sz="0" w:space="0" w:color="auto"/>
        <w:right w:val="none" w:sz="0" w:space="0" w:color="auto"/>
      </w:divBdr>
    </w:div>
    <w:div w:id="488401015">
      <w:bodyDiv w:val="1"/>
      <w:marLeft w:val="0"/>
      <w:marRight w:val="0"/>
      <w:marTop w:val="0"/>
      <w:marBottom w:val="0"/>
      <w:divBdr>
        <w:top w:val="none" w:sz="0" w:space="0" w:color="auto"/>
        <w:left w:val="none" w:sz="0" w:space="0" w:color="auto"/>
        <w:bottom w:val="none" w:sz="0" w:space="0" w:color="auto"/>
        <w:right w:val="none" w:sz="0" w:space="0" w:color="auto"/>
      </w:divBdr>
    </w:div>
    <w:div w:id="546264741">
      <w:bodyDiv w:val="1"/>
      <w:marLeft w:val="0"/>
      <w:marRight w:val="0"/>
      <w:marTop w:val="0"/>
      <w:marBottom w:val="0"/>
      <w:divBdr>
        <w:top w:val="none" w:sz="0" w:space="0" w:color="auto"/>
        <w:left w:val="none" w:sz="0" w:space="0" w:color="auto"/>
        <w:bottom w:val="none" w:sz="0" w:space="0" w:color="auto"/>
        <w:right w:val="none" w:sz="0" w:space="0" w:color="auto"/>
      </w:divBdr>
    </w:div>
    <w:div w:id="631861225">
      <w:bodyDiv w:val="1"/>
      <w:marLeft w:val="0"/>
      <w:marRight w:val="0"/>
      <w:marTop w:val="0"/>
      <w:marBottom w:val="0"/>
      <w:divBdr>
        <w:top w:val="none" w:sz="0" w:space="0" w:color="auto"/>
        <w:left w:val="none" w:sz="0" w:space="0" w:color="auto"/>
        <w:bottom w:val="none" w:sz="0" w:space="0" w:color="auto"/>
        <w:right w:val="none" w:sz="0" w:space="0" w:color="auto"/>
      </w:divBdr>
    </w:div>
    <w:div w:id="651904815">
      <w:bodyDiv w:val="1"/>
      <w:marLeft w:val="0"/>
      <w:marRight w:val="0"/>
      <w:marTop w:val="0"/>
      <w:marBottom w:val="0"/>
      <w:divBdr>
        <w:top w:val="none" w:sz="0" w:space="0" w:color="auto"/>
        <w:left w:val="none" w:sz="0" w:space="0" w:color="auto"/>
        <w:bottom w:val="none" w:sz="0" w:space="0" w:color="auto"/>
        <w:right w:val="none" w:sz="0" w:space="0" w:color="auto"/>
      </w:divBdr>
    </w:div>
    <w:div w:id="686102815">
      <w:bodyDiv w:val="1"/>
      <w:marLeft w:val="0"/>
      <w:marRight w:val="0"/>
      <w:marTop w:val="0"/>
      <w:marBottom w:val="0"/>
      <w:divBdr>
        <w:top w:val="none" w:sz="0" w:space="0" w:color="auto"/>
        <w:left w:val="none" w:sz="0" w:space="0" w:color="auto"/>
        <w:bottom w:val="none" w:sz="0" w:space="0" w:color="auto"/>
        <w:right w:val="none" w:sz="0" w:space="0" w:color="auto"/>
      </w:divBdr>
    </w:div>
    <w:div w:id="703407490">
      <w:bodyDiv w:val="1"/>
      <w:marLeft w:val="0"/>
      <w:marRight w:val="0"/>
      <w:marTop w:val="0"/>
      <w:marBottom w:val="0"/>
      <w:divBdr>
        <w:top w:val="none" w:sz="0" w:space="0" w:color="auto"/>
        <w:left w:val="none" w:sz="0" w:space="0" w:color="auto"/>
        <w:bottom w:val="none" w:sz="0" w:space="0" w:color="auto"/>
        <w:right w:val="none" w:sz="0" w:space="0" w:color="auto"/>
      </w:divBdr>
    </w:div>
    <w:div w:id="704675334">
      <w:bodyDiv w:val="1"/>
      <w:marLeft w:val="0"/>
      <w:marRight w:val="0"/>
      <w:marTop w:val="0"/>
      <w:marBottom w:val="0"/>
      <w:divBdr>
        <w:top w:val="none" w:sz="0" w:space="0" w:color="auto"/>
        <w:left w:val="none" w:sz="0" w:space="0" w:color="auto"/>
        <w:bottom w:val="none" w:sz="0" w:space="0" w:color="auto"/>
        <w:right w:val="none" w:sz="0" w:space="0" w:color="auto"/>
      </w:divBdr>
    </w:div>
    <w:div w:id="749733381">
      <w:bodyDiv w:val="1"/>
      <w:marLeft w:val="0"/>
      <w:marRight w:val="0"/>
      <w:marTop w:val="0"/>
      <w:marBottom w:val="0"/>
      <w:divBdr>
        <w:top w:val="none" w:sz="0" w:space="0" w:color="auto"/>
        <w:left w:val="none" w:sz="0" w:space="0" w:color="auto"/>
        <w:bottom w:val="none" w:sz="0" w:space="0" w:color="auto"/>
        <w:right w:val="none" w:sz="0" w:space="0" w:color="auto"/>
      </w:divBdr>
    </w:div>
    <w:div w:id="811213324">
      <w:bodyDiv w:val="1"/>
      <w:marLeft w:val="0"/>
      <w:marRight w:val="0"/>
      <w:marTop w:val="0"/>
      <w:marBottom w:val="0"/>
      <w:divBdr>
        <w:top w:val="none" w:sz="0" w:space="0" w:color="auto"/>
        <w:left w:val="none" w:sz="0" w:space="0" w:color="auto"/>
        <w:bottom w:val="none" w:sz="0" w:space="0" w:color="auto"/>
        <w:right w:val="none" w:sz="0" w:space="0" w:color="auto"/>
      </w:divBdr>
    </w:div>
    <w:div w:id="930774830">
      <w:bodyDiv w:val="1"/>
      <w:marLeft w:val="0"/>
      <w:marRight w:val="0"/>
      <w:marTop w:val="0"/>
      <w:marBottom w:val="0"/>
      <w:divBdr>
        <w:top w:val="none" w:sz="0" w:space="0" w:color="auto"/>
        <w:left w:val="none" w:sz="0" w:space="0" w:color="auto"/>
        <w:bottom w:val="none" w:sz="0" w:space="0" w:color="auto"/>
        <w:right w:val="none" w:sz="0" w:space="0" w:color="auto"/>
      </w:divBdr>
    </w:div>
    <w:div w:id="934049559">
      <w:bodyDiv w:val="1"/>
      <w:marLeft w:val="0"/>
      <w:marRight w:val="0"/>
      <w:marTop w:val="0"/>
      <w:marBottom w:val="0"/>
      <w:divBdr>
        <w:top w:val="none" w:sz="0" w:space="0" w:color="auto"/>
        <w:left w:val="none" w:sz="0" w:space="0" w:color="auto"/>
        <w:bottom w:val="none" w:sz="0" w:space="0" w:color="auto"/>
        <w:right w:val="none" w:sz="0" w:space="0" w:color="auto"/>
      </w:divBdr>
    </w:div>
    <w:div w:id="987396222">
      <w:bodyDiv w:val="1"/>
      <w:marLeft w:val="0"/>
      <w:marRight w:val="0"/>
      <w:marTop w:val="0"/>
      <w:marBottom w:val="0"/>
      <w:divBdr>
        <w:top w:val="none" w:sz="0" w:space="0" w:color="auto"/>
        <w:left w:val="none" w:sz="0" w:space="0" w:color="auto"/>
        <w:bottom w:val="none" w:sz="0" w:space="0" w:color="auto"/>
        <w:right w:val="none" w:sz="0" w:space="0" w:color="auto"/>
      </w:divBdr>
    </w:div>
    <w:div w:id="996030297">
      <w:bodyDiv w:val="1"/>
      <w:marLeft w:val="0"/>
      <w:marRight w:val="0"/>
      <w:marTop w:val="0"/>
      <w:marBottom w:val="0"/>
      <w:divBdr>
        <w:top w:val="none" w:sz="0" w:space="0" w:color="auto"/>
        <w:left w:val="none" w:sz="0" w:space="0" w:color="auto"/>
        <w:bottom w:val="none" w:sz="0" w:space="0" w:color="auto"/>
        <w:right w:val="none" w:sz="0" w:space="0" w:color="auto"/>
      </w:divBdr>
    </w:div>
    <w:div w:id="1116602496">
      <w:bodyDiv w:val="1"/>
      <w:marLeft w:val="0"/>
      <w:marRight w:val="0"/>
      <w:marTop w:val="0"/>
      <w:marBottom w:val="0"/>
      <w:divBdr>
        <w:top w:val="none" w:sz="0" w:space="0" w:color="auto"/>
        <w:left w:val="none" w:sz="0" w:space="0" w:color="auto"/>
        <w:bottom w:val="none" w:sz="0" w:space="0" w:color="auto"/>
        <w:right w:val="none" w:sz="0" w:space="0" w:color="auto"/>
      </w:divBdr>
    </w:div>
    <w:div w:id="1144618891">
      <w:bodyDiv w:val="1"/>
      <w:marLeft w:val="0"/>
      <w:marRight w:val="0"/>
      <w:marTop w:val="0"/>
      <w:marBottom w:val="0"/>
      <w:divBdr>
        <w:top w:val="none" w:sz="0" w:space="0" w:color="auto"/>
        <w:left w:val="none" w:sz="0" w:space="0" w:color="auto"/>
        <w:bottom w:val="none" w:sz="0" w:space="0" w:color="auto"/>
        <w:right w:val="none" w:sz="0" w:space="0" w:color="auto"/>
      </w:divBdr>
    </w:div>
    <w:div w:id="1248226660">
      <w:bodyDiv w:val="1"/>
      <w:marLeft w:val="0"/>
      <w:marRight w:val="0"/>
      <w:marTop w:val="0"/>
      <w:marBottom w:val="0"/>
      <w:divBdr>
        <w:top w:val="none" w:sz="0" w:space="0" w:color="auto"/>
        <w:left w:val="none" w:sz="0" w:space="0" w:color="auto"/>
        <w:bottom w:val="none" w:sz="0" w:space="0" w:color="auto"/>
        <w:right w:val="none" w:sz="0" w:space="0" w:color="auto"/>
      </w:divBdr>
    </w:div>
    <w:div w:id="1338263839">
      <w:bodyDiv w:val="1"/>
      <w:marLeft w:val="0"/>
      <w:marRight w:val="0"/>
      <w:marTop w:val="0"/>
      <w:marBottom w:val="0"/>
      <w:divBdr>
        <w:top w:val="none" w:sz="0" w:space="0" w:color="auto"/>
        <w:left w:val="none" w:sz="0" w:space="0" w:color="auto"/>
        <w:bottom w:val="none" w:sz="0" w:space="0" w:color="auto"/>
        <w:right w:val="none" w:sz="0" w:space="0" w:color="auto"/>
      </w:divBdr>
    </w:div>
    <w:div w:id="1362390345">
      <w:bodyDiv w:val="1"/>
      <w:marLeft w:val="0"/>
      <w:marRight w:val="0"/>
      <w:marTop w:val="0"/>
      <w:marBottom w:val="0"/>
      <w:divBdr>
        <w:top w:val="none" w:sz="0" w:space="0" w:color="auto"/>
        <w:left w:val="none" w:sz="0" w:space="0" w:color="auto"/>
        <w:bottom w:val="none" w:sz="0" w:space="0" w:color="auto"/>
        <w:right w:val="none" w:sz="0" w:space="0" w:color="auto"/>
      </w:divBdr>
    </w:div>
    <w:div w:id="1405370450">
      <w:bodyDiv w:val="1"/>
      <w:marLeft w:val="0"/>
      <w:marRight w:val="0"/>
      <w:marTop w:val="0"/>
      <w:marBottom w:val="0"/>
      <w:divBdr>
        <w:top w:val="none" w:sz="0" w:space="0" w:color="auto"/>
        <w:left w:val="none" w:sz="0" w:space="0" w:color="auto"/>
        <w:bottom w:val="none" w:sz="0" w:space="0" w:color="auto"/>
        <w:right w:val="none" w:sz="0" w:space="0" w:color="auto"/>
      </w:divBdr>
    </w:div>
    <w:div w:id="1455640042">
      <w:bodyDiv w:val="1"/>
      <w:marLeft w:val="0"/>
      <w:marRight w:val="0"/>
      <w:marTop w:val="0"/>
      <w:marBottom w:val="0"/>
      <w:divBdr>
        <w:top w:val="none" w:sz="0" w:space="0" w:color="auto"/>
        <w:left w:val="none" w:sz="0" w:space="0" w:color="auto"/>
        <w:bottom w:val="none" w:sz="0" w:space="0" w:color="auto"/>
        <w:right w:val="none" w:sz="0" w:space="0" w:color="auto"/>
      </w:divBdr>
    </w:div>
    <w:div w:id="1472866383">
      <w:bodyDiv w:val="1"/>
      <w:marLeft w:val="0"/>
      <w:marRight w:val="0"/>
      <w:marTop w:val="0"/>
      <w:marBottom w:val="0"/>
      <w:divBdr>
        <w:top w:val="none" w:sz="0" w:space="0" w:color="auto"/>
        <w:left w:val="none" w:sz="0" w:space="0" w:color="auto"/>
        <w:bottom w:val="none" w:sz="0" w:space="0" w:color="auto"/>
        <w:right w:val="none" w:sz="0" w:space="0" w:color="auto"/>
      </w:divBdr>
    </w:div>
    <w:div w:id="1493906788">
      <w:bodyDiv w:val="1"/>
      <w:marLeft w:val="0"/>
      <w:marRight w:val="0"/>
      <w:marTop w:val="0"/>
      <w:marBottom w:val="0"/>
      <w:divBdr>
        <w:top w:val="none" w:sz="0" w:space="0" w:color="auto"/>
        <w:left w:val="none" w:sz="0" w:space="0" w:color="auto"/>
        <w:bottom w:val="none" w:sz="0" w:space="0" w:color="auto"/>
        <w:right w:val="none" w:sz="0" w:space="0" w:color="auto"/>
      </w:divBdr>
    </w:div>
    <w:div w:id="1515879105">
      <w:bodyDiv w:val="1"/>
      <w:marLeft w:val="0"/>
      <w:marRight w:val="0"/>
      <w:marTop w:val="0"/>
      <w:marBottom w:val="0"/>
      <w:divBdr>
        <w:top w:val="none" w:sz="0" w:space="0" w:color="auto"/>
        <w:left w:val="none" w:sz="0" w:space="0" w:color="auto"/>
        <w:bottom w:val="none" w:sz="0" w:space="0" w:color="auto"/>
        <w:right w:val="none" w:sz="0" w:space="0" w:color="auto"/>
      </w:divBdr>
    </w:div>
    <w:div w:id="1541479260">
      <w:bodyDiv w:val="1"/>
      <w:marLeft w:val="0"/>
      <w:marRight w:val="0"/>
      <w:marTop w:val="0"/>
      <w:marBottom w:val="0"/>
      <w:divBdr>
        <w:top w:val="none" w:sz="0" w:space="0" w:color="auto"/>
        <w:left w:val="none" w:sz="0" w:space="0" w:color="auto"/>
        <w:bottom w:val="none" w:sz="0" w:space="0" w:color="auto"/>
        <w:right w:val="none" w:sz="0" w:space="0" w:color="auto"/>
      </w:divBdr>
    </w:div>
    <w:div w:id="1555772810">
      <w:bodyDiv w:val="1"/>
      <w:marLeft w:val="0"/>
      <w:marRight w:val="0"/>
      <w:marTop w:val="0"/>
      <w:marBottom w:val="0"/>
      <w:divBdr>
        <w:top w:val="none" w:sz="0" w:space="0" w:color="auto"/>
        <w:left w:val="none" w:sz="0" w:space="0" w:color="auto"/>
        <w:bottom w:val="none" w:sz="0" w:space="0" w:color="auto"/>
        <w:right w:val="none" w:sz="0" w:space="0" w:color="auto"/>
      </w:divBdr>
    </w:div>
    <w:div w:id="1570656864">
      <w:bodyDiv w:val="1"/>
      <w:marLeft w:val="0"/>
      <w:marRight w:val="0"/>
      <w:marTop w:val="0"/>
      <w:marBottom w:val="0"/>
      <w:divBdr>
        <w:top w:val="none" w:sz="0" w:space="0" w:color="auto"/>
        <w:left w:val="none" w:sz="0" w:space="0" w:color="auto"/>
        <w:bottom w:val="none" w:sz="0" w:space="0" w:color="auto"/>
        <w:right w:val="none" w:sz="0" w:space="0" w:color="auto"/>
      </w:divBdr>
    </w:div>
    <w:div w:id="1628732469">
      <w:bodyDiv w:val="1"/>
      <w:marLeft w:val="0"/>
      <w:marRight w:val="0"/>
      <w:marTop w:val="0"/>
      <w:marBottom w:val="0"/>
      <w:divBdr>
        <w:top w:val="none" w:sz="0" w:space="0" w:color="auto"/>
        <w:left w:val="none" w:sz="0" w:space="0" w:color="auto"/>
        <w:bottom w:val="none" w:sz="0" w:space="0" w:color="auto"/>
        <w:right w:val="none" w:sz="0" w:space="0" w:color="auto"/>
      </w:divBdr>
    </w:div>
    <w:div w:id="1672835624">
      <w:bodyDiv w:val="1"/>
      <w:marLeft w:val="0"/>
      <w:marRight w:val="0"/>
      <w:marTop w:val="0"/>
      <w:marBottom w:val="0"/>
      <w:divBdr>
        <w:top w:val="none" w:sz="0" w:space="0" w:color="auto"/>
        <w:left w:val="none" w:sz="0" w:space="0" w:color="auto"/>
        <w:bottom w:val="none" w:sz="0" w:space="0" w:color="auto"/>
        <w:right w:val="none" w:sz="0" w:space="0" w:color="auto"/>
      </w:divBdr>
    </w:div>
    <w:div w:id="1674382311">
      <w:bodyDiv w:val="1"/>
      <w:marLeft w:val="0"/>
      <w:marRight w:val="0"/>
      <w:marTop w:val="0"/>
      <w:marBottom w:val="0"/>
      <w:divBdr>
        <w:top w:val="none" w:sz="0" w:space="0" w:color="auto"/>
        <w:left w:val="none" w:sz="0" w:space="0" w:color="auto"/>
        <w:bottom w:val="none" w:sz="0" w:space="0" w:color="auto"/>
        <w:right w:val="none" w:sz="0" w:space="0" w:color="auto"/>
      </w:divBdr>
    </w:div>
    <w:div w:id="1678581041">
      <w:bodyDiv w:val="1"/>
      <w:marLeft w:val="0"/>
      <w:marRight w:val="0"/>
      <w:marTop w:val="0"/>
      <w:marBottom w:val="0"/>
      <w:divBdr>
        <w:top w:val="none" w:sz="0" w:space="0" w:color="auto"/>
        <w:left w:val="none" w:sz="0" w:space="0" w:color="auto"/>
        <w:bottom w:val="none" w:sz="0" w:space="0" w:color="auto"/>
        <w:right w:val="none" w:sz="0" w:space="0" w:color="auto"/>
      </w:divBdr>
    </w:div>
    <w:div w:id="1763910560">
      <w:bodyDiv w:val="1"/>
      <w:marLeft w:val="0"/>
      <w:marRight w:val="0"/>
      <w:marTop w:val="0"/>
      <w:marBottom w:val="0"/>
      <w:divBdr>
        <w:top w:val="none" w:sz="0" w:space="0" w:color="auto"/>
        <w:left w:val="none" w:sz="0" w:space="0" w:color="auto"/>
        <w:bottom w:val="none" w:sz="0" w:space="0" w:color="auto"/>
        <w:right w:val="none" w:sz="0" w:space="0" w:color="auto"/>
      </w:divBdr>
    </w:div>
    <w:div w:id="1769958036">
      <w:bodyDiv w:val="1"/>
      <w:marLeft w:val="0"/>
      <w:marRight w:val="0"/>
      <w:marTop w:val="0"/>
      <w:marBottom w:val="0"/>
      <w:divBdr>
        <w:top w:val="none" w:sz="0" w:space="0" w:color="auto"/>
        <w:left w:val="none" w:sz="0" w:space="0" w:color="auto"/>
        <w:bottom w:val="none" w:sz="0" w:space="0" w:color="auto"/>
        <w:right w:val="none" w:sz="0" w:space="0" w:color="auto"/>
      </w:divBdr>
    </w:div>
    <w:div w:id="1785997143">
      <w:bodyDiv w:val="1"/>
      <w:marLeft w:val="0"/>
      <w:marRight w:val="0"/>
      <w:marTop w:val="0"/>
      <w:marBottom w:val="0"/>
      <w:divBdr>
        <w:top w:val="none" w:sz="0" w:space="0" w:color="auto"/>
        <w:left w:val="none" w:sz="0" w:space="0" w:color="auto"/>
        <w:bottom w:val="none" w:sz="0" w:space="0" w:color="auto"/>
        <w:right w:val="none" w:sz="0" w:space="0" w:color="auto"/>
      </w:divBdr>
    </w:div>
    <w:div w:id="1788694228">
      <w:bodyDiv w:val="1"/>
      <w:marLeft w:val="0"/>
      <w:marRight w:val="0"/>
      <w:marTop w:val="0"/>
      <w:marBottom w:val="0"/>
      <w:divBdr>
        <w:top w:val="none" w:sz="0" w:space="0" w:color="auto"/>
        <w:left w:val="none" w:sz="0" w:space="0" w:color="auto"/>
        <w:bottom w:val="none" w:sz="0" w:space="0" w:color="auto"/>
        <w:right w:val="none" w:sz="0" w:space="0" w:color="auto"/>
      </w:divBdr>
    </w:div>
    <w:div w:id="1790777365">
      <w:bodyDiv w:val="1"/>
      <w:marLeft w:val="0"/>
      <w:marRight w:val="0"/>
      <w:marTop w:val="0"/>
      <w:marBottom w:val="0"/>
      <w:divBdr>
        <w:top w:val="none" w:sz="0" w:space="0" w:color="auto"/>
        <w:left w:val="none" w:sz="0" w:space="0" w:color="auto"/>
        <w:bottom w:val="none" w:sz="0" w:space="0" w:color="auto"/>
        <w:right w:val="none" w:sz="0" w:space="0" w:color="auto"/>
      </w:divBdr>
    </w:div>
    <w:div w:id="1871648334">
      <w:bodyDiv w:val="1"/>
      <w:marLeft w:val="0"/>
      <w:marRight w:val="0"/>
      <w:marTop w:val="0"/>
      <w:marBottom w:val="0"/>
      <w:divBdr>
        <w:top w:val="none" w:sz="0" w:space="0" w:color="auto"/>
        <w:left w:val="none" w:sz="0" w:space="0" w:color="auto"/>
        <w:bottom w:val="none" w:sz="0" w:space="0" w:color="auto"/>
        <w:right w:val="none" w:sz="0" w:space="0" w:color="auto"/>
      </w:divBdr>
    </w:div>
    <w:div w:id="1896892455">
      <w:bodyDiv w:val="1"/>
      <w:marLeft w:val="0"/>
      <w:marRight w:val="0"/>
      <w:marTop w:val="0"/>
      <w:marBottom w:val="0"/>
      <w:divBdr>
        <w:top w:val="none" w:sz="0" w:space="0" w:color="auto"/>
        <w:left w:val="none" w:sz="0" w:space="0" w:color="auto"/>
        <w:bottom w:val="none" w:sz="0" w:space="0" w:color="auto"/>
        <w:right w:val="none" w:sz="0" w:space="0" w:color="auto"/>
      </w:divBdr>
    </w:div>
    <w:div w:id="1957562598">
      <w:bodyDiv w:val="1"/>
      <w:marLeft w:val="0"/>
      <w:marRight w:val="0"/>
      <w:marTop w:val="0"/>
      <w:marBottom w:val="0"/>
      <w:divBdr>
        <w:top w:val="none" w:sz="0" w:space="0" w:color="auto"/>
        <w:left w:val="none" w:sz="0" w:space="0" w:color="auto"/>
        <w:bottom w:val="none" w:sz="0" w:space="0" w:color="auto"/>
        <w:right w:val="none" w:sz="0" w:space="0" w:color="auto"/>
      </w:divBdr>
    </w:div>
    <w:div w:id="1994749981">
      <w:bodyDiv w:val="1"/>
      <w:marLeft w:val="0"/>
      <w:marRight w:val="0"/>
      <w:marTop w:val="0"/>
      <w:marBottom w:val="0"/>
      <w:divBdr>
        <w:top w:val="none" w:sz="0" w:space="0" w:color="auto"/>
        <w:left w:val="none" w:sz="0" w:space="0" w:color="auto"/>
        <w:bottom w:val="none" w:sz="0" w:space="0" w:color="auto"/>
        <w:right w:val="none" w:sz="0" w:space="0" w:color="auto"/>
      </w:divBdr>
    </w:div>
    <w:div w:id="2038240041">
      <w:bodyDiv w:val="1"/>
      <w:marLeft w:val="0"/>
      <w:marRight w:val="0"/>
      <w:marTop w:val="0"/>
      <w:marBottom w:val="0"/>
      <w:divBdr>
        <w:top w:val="none" w:sz="0" w:space="0" w:color="auto"/>
        <w:left w:val="none" w:sz="0" w:space="0" w:color="auto"/>
        <w:bottom w:val="none" w:sz="0" w:space="0" w:color="auto"/>
        <w:right w:val="none" w:sz="0" w:space="0" w:color="auto"/>
      </w:divBdr>
    </w:div>
    <w:div w:id="2048410675">
      <w:bodyDiv w:val="1"/>
      <w:marLeft w:val="0"/>
      <w:marRight w:val="0"/>
      <w:marTop w:val="0"/>
      <w:marBottom w:val="0"/>
      <w:divBdr>
        <w:top w:val="none" w:sz="0" w:space="0" w:color="auto"/>
        <w:left w:val="none" w:sz="0" w:space="0" w:color="auto"/>
        <w:bottom w:val="none" w:sz="0" w:space="0" w:color="auto"/>
        <w:right w:val="none" w:sz="0" w:space="0" w:color="auto"/>
      </w:divBdr>
    </w:div>
    <w:div w:id="2048604622">
      <w:bodyDiv w:val="1"/>
      <w:marLeft w:val="0"/>
      <w:marRight w:val="0"/>
      <w:marTop w:val="0"/>
      <w:marBottom w:val="0"/>
      <w:divBdr>
        <w:top w:val="none" w:sz="0" w:space="0" w:color="auto"/>
        <w:left w:val="none" w:sz="0" w:space="0" w:color="auto"/>
        <w:bottom w:val="none" w:sz="0" w:space="0" w:color="auto"/>
        <w:right w:val="none" w:sz="0" w:space="0" w:color="auto"/>
      </w:divBdr>
    </w:div>
    <w:div w:id="211238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Template>
  <TotalTime>1</TotalTime>
  <Pages>34</Pages>
  <Words>12288</Words>
  <Characters>69342</Characters>
  <Application>Microsoft Office Word</Application>
  <DocSecurity>4</DocSecurity>
  <Lines>577</Lines>
  <Paragraphs>162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2024083737 pkt. 4.1, 4.2, 4.4, 4.3, 4.5, 4.6, 4.8, 5.1, 5.2</dc:description>
  <cp:lastModifiedBy>Gitte Ronnovius</cp:lastModifiedBy>
  <cp:revision>2</cp:revision>
  <cp:lastPrinted>2006-02-24T09:31:00Z</cp:lastPrinted>
  <dcterms:created xsi:type="dcterms:W3CDTF">2025-04-04T04:35:00Z</dcterms:created>
  <dcterms:modified xsi:type="dcterms:W3CDTF">2025-04-04T04:35:00Z</dcterms:modified>
</cp:coreProperties>
</file>