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6927E"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59473312" wp14:editId="1B7F2A6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2E8EC31B" w14:textId="77777777" w:rsidR="009260DE" w:rsidRPr="00C84483" w:rsidRDefault="009260DE" w:rsidP="009260DE">
      <w:pPr>
        <w:pStyle w:val="Titel"/>
        <w:tabs>
          <w:tab w:val="right" w:pos="9356"/>
        </w:tabs>
        <w:jc w:val="left"/>
        <w:rPr>
          <w:b w:val="0"/>
          <w:szCs w:val="24"/>
          <w:lang w:eastAsia="en-US"/>
        </w:rPr>
      </w:pPr>
    </w:p>
    <w:p w14:paraId="35DF9E01" w14:textId="705EF74F"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113711">
        <w:rPr>
          <w:szCs w:val="24"/>
        </w:rPr>
        <w:t>11. november 2025</w:t>
      </w:r>
    </w:p>
    <w:p w14:paraId="5EBD52DF" w14:textId="77777777" w:rsidR="009260DE" w:rsidRPr="00C84483" w:rsidRDefault="009260DE" w:rsidP="009260DE">
      <w:pPr>
        <w:pStyle w:val="Titel"/>
        <w:tabs>
          <w:tab w:val="left" w:pos="8222"/>
        </w:tabs>
        <w:jc w:val="left"/>
        <w:rPr>
          <w:b w:val="0"/>
          <w:szCs w:val="24"/>
        </w:rPr>
      </w:pPr>
    </w:p>
    <w:p w14:paraId="20210BEE" w14:textId="77777777" w:rsidR="009260DE" w:rsidRPr="00C84483" w:rsidRDefault="009260DE" w:rsidP="009260DE">
      <w:pPr>
        <w:pStyle w:val="Titel"/>
        <w:jc w:val="left"/>
        <w:rPr>
          <w:b w:val="0"/>
          <w:szCs w:val="24"/>
        </w:rPr>
      </w:pPr>
    </w:p>
    <w:p w14:paraId="2ED377EA" w14:textId="77777777" w:rsidR="009260DE" w:rsidRPr="00C84483" w:rsidRDefault="009260DE" w:rsidP="009260DE">
      <w:pPr>
        <w:pStyle w:val="Titel"/>
        <w:jc w:val="left"/>
        <w:rPr>
          <w:b w:val="0"/>
          <w:szCs w:val="24"/>
        </w:rPr>
      </w:pPr>
    </w:p>
    <w:p w14:paraId="01AC064E" w14:textId="77777777" w:rsidR="009260DE" w:rsidRPr="00C84483" w:rsidRDefault="009260DE" w:rsidP="009260DE">
      <w:pPr>
        <w:jc w:val="center"/>
        <w:rPr>
          <w:b/>
          <w:sz w:val="24"/>
          <w:szCs w:val="24"/>
        </w:rPr>
      </w:pPr>
      <w:r w:rsidRPr="00C84483">
        <w:rPr>
          <w:b/>
          <w:sz w:val="24"/>
          <w:szCs w:val="24"/>
        </w:rPr>
        <w:t>PRODUKTRESUMÉ</w:t>
      </w:r>
    </w:p>
    <w:p w14:paraId="3F7A9DF3" w14:textId="77777777" w:rsidR="009260DE" w:rsidRPr="00C84483" w:rsidRDefault="009260DE" w:rsidP="009260DE">
      <w:pPr>
        <w:jc w:val="center"/>
        <w:rPr>
          <w:b/>
          <w:sz w:val="24"/>
          <w:szCs w:val="24"/>
        </w:rPr>
      </w:pPr>
    </w:p>
    <w:p w14:paraId="5E0A5549" w14:textId="77777777" w:rsidR="009260DE" w:rsidRDefault="009260DE" w:rsidP="009260DE">
      <w:pPr>
        <w:jc w:val="center"/>
        <w:rPr>
          <w:b/>
          <w:sz w:val="24"/>
          <w:szCs w:val="24"/>
        </w:rPr>
      </w:pPr>
      <w:r w:rsidRPr="00C84483">
        <w:rPr>
          <w:b/>
          <w:sz w:val="24"/>
          <w:szCs w:val="24"/>
        </w:rPr>
        <w:t>for</w:t>
      </w:r>
    </w:p>
    <w:p w14:paraId="4D76B27A" w14:textId="77777777" w:rsidR="000B058C" w:rsidRPr="00C84483" w:rsidRDefault="000B058C" w:rsidP="009260DE">
      <w:pPr>
        <w:jc w:val="center"/>
        <w:rPr>
          <w:b/>
          <w:sz w:val="24"/>
          <w:szCs w:val="24"/>
        </w:rPr>
      </w:pPr>
    </w:p>
    <w:p w14:paraId="5DA9CDCE" w14:textId="77777777" w:rsidR="009260DE" w:rsidRPr="00C84483" w:rsidRDefault="003E14B8" w:rsidP="009260DE">
      <w:pPr>
        <w:jc w:val="center"/>
        <w:rPr>
          <w:b/>
          <w:sz w:val="24"/>
          <w:szCs w:val="24"/>
        </w:rPr>
      </w:pPr>
      <w:bookmarkStart w:id="1" w:name="_Hlk213059066"/>
      <w:r>
        <w:rPr>
          <w:b/>
          <w:sz w:val="24"/>
          <w:szCs w:val="24"/>
        </w:rPr>
        <w:t>Enzalutamide "Teva"</w:t>
      </w:r>
      <w:bookmarkEnd w:id="1"/>
      <w:r>
        <w:rPr>
          <w:b/>
          <w:sz w:val="24"/>
          <w:szCs w:val="24"/>
        </w:rPr>
        <w:t>, filmovertrukne tabletter</w:t>
      </w:r>
    </w:p>
    <w:p w14:paraId="56494FB8" w14:textId="77777777" w:rsidR="009260DE" w:rsidRPr="00C84483" w:rsidRDefault="009260DE" w:rsidP="009260DE">
      <w:pPr>
        <w:jc w:val="both"/>
        <w:rPr>
          <w:sz w:val="24"/>
          <w:szCs w:val="24"/>
        </w:rPr>
      </w:pPr>
    </w:p>
    <w:p w14:paraId="558437A9" w14:textId="77777777" w:rsidR="009260DE" w:rsidRPr="00C84483" w:rsidRDefault="009260DE" w:rsidP="009260DE">
      <w:pPr>
        <w:jc w:val="both"/>
        <w:rPr>
          <w:sz w:val="24"/>
          <w:szCs w:val="24"/>
        </w:rPr>
      </w:pPr>
    </w:p>
    <w:p w14:paraId="4C5824DD"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6C8AFD49" w14:textId="4F6EB4F5" w:rsidR="009260DE" w:rsidRPr="00C84483" w:rsidRDefault="00644C22" w:rsidP="009260DE">
      <w:pPr>
        <w:tabs>
          <w:tab w:val="left" w:pos="851"/>
        </w:tabs>
        <w:ind w:left="851"/>
        <w:rPr>
          <w:sz w:val="24"/>
          <w:szCs w:val="24"/>
        </w:rPr>
      </w:pPr>
      <w:r>
        <w:rPr>
          <w:sz w:val="24"/>
          <w:szCs w:val="24"/>
        </w:rPr>
        <w:t>33944</w:t>
      </w:r>
    </w:p>
    <w:p w14:paraId="2B23D2E8" w14:textId="77777777" w:rsidR="009260DE" w:rsidRPr="00C84483" w:rsidRDefault="009260DE" w:rsidP="009260DE">
      <w:pPr>
        <w:tabs>
          <w:tab w:val="left" w:pos="851"/>
        </w:tabs>
        <w:ind w:left="851"/>
        <w:rPr>
          <w:sz w:val="24"/>
          <w:szCs w:val="24"/>
        </w:rPr>
      </w:pPr>
    </w:p>
    <w:p w14:paraId="185ECBA6"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07B77015" w14:textId="3323EB0C" w:rsidR="009260DE" w:rsidRPr="00644C22" w:rsidRDefault="00644C22" w:rsidP="009260DE">
      <w:pPr>
        <w:tabs>
          <w:tab w:val="left" w:pos="851"/>
        </w:tabs>
        <w:ind w:left="851"/>
        <w:rPr>
          <w:sz w:val="24"/>
          <w:szCs w:val="24"/>
        </w:rPr>
      </w:pPr>
      <w:r w:rsidRPr="00644C22">
        <w:rPr>
          <w:sz w:val="24"/>
          <w:szCs w:val="24"/>
        </w:rPr>
        <w:t>Enzalutamide "Teva"</w:t>
      </w:r>
    </w:p>
    <w:p w14:paraId="235381C4" w14:textId="77777777" w:rsidR="009260DE" w:rsidRPr="00644C22" w:rsidRDefault="009260DE" w:rsidP="009260DE">
      <w:pPr>
        <w:tabs>
          <w:tab w:val="left" w:pos="851"/>
        </w:tabs>
        <w:ind w:left="851"/>
        <w:rPr>
          <w:sz w:val="24"/>
          <w:szCs w:val="24"/>
        </w:rPr>
      </w:pPr>
    </w:p>
    <w:p w14:paraId="55A5EF27"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41D5E820" w14:textId="77777777" w:rsidR="00644C22" w:rsidRDefault="00644C22" w:rsidP="00644C22">
      <w:pPr>
        <w:tabs>
          <w:tab w:val="left" w:pos="851"/>
        </w:tabs>
        <w:ind w:left="851"/>
        <w:rPr>
          <w:sz w:val="24"/>
          <w:szCs w:val="24"/>
          <w:u w:val="single"/>
        </w:rPr>
      </w:pPr>
    </w:p>
    <w:p w14:paraId="48CCED3D" w14:textId="53C18346" w:rsidR="00644C22" w:rsidRPr="00644C22" w:rsidRDefault="00644C22" w:rsidP="00644C22">
      <w:pPr>
        <w:tabs>
          <w:tab w:val="left" w:pos="851"/>
        </w:tabs>
        <w:ind w:left="851"/>
        <w:rPr>
          <w:sz w:val="24"/>
          <w:szCs w:val="24"/>
          <w:u w:val="single"/>
        </w:rPr>
      </w:pPr>
      <w:r w:rsidRPr="00644C22">
        <w:rPr>
          <w:sz w:val="24"/>
          <w:szCs w:val="24"/>
          <w:u w:val="single"/>
        </w:rPr>
        <w:t>Enzalutamide "Teva" 40 mg filmovertrukne tabletter</w:t>
      </w:r>
    </w:p>
    <w:p w14:paraId="78B60670" w14:textId="77777777" w:rsidR="00644C22" w:rsidRPr="00644C22" w:rsidRDefault="00644C22" w:rsidP="00644C22">
      <w:pPr>
        <w:tabs>
          <w:tab w:val="left" w:pos="851"/>
        </w:tabs>
        <w:ind w:left="851"/>
        <w:rPr>
          <w:sz w:val="24"/>
          <w:szCs w:val="24"/>
        </w:rPr>
      </w:pPr>
      <w:r w:rsidRPr="00644C22">
        <w:rPr>
          <w:sz w:val="24"/>
          <w:szCs w:val="24"/>
        </w:rPr>
        <w:t>Hver filmovertrukket tablet indeholder 40 mg enzalutamid.</w:t>
      </w:r>
    </w:p>
    <w:p w14:paraId="7A21E940" w14:textId="77777777" w:rsidR="00644C22" w:rsidRPr="00644C22" w:rsidRDefault="00644C22" w:rsidP="00644C22">
      <w:pPr>
        <w:tabs>
          <w:tab w:val="left" w:pos="851"/>
        </w:tabs>
        <w:ind w:left="851"/>
        <w:rPr>
          <w:sz w:val="24"/>
          <w:szCs w:val="24"/>
        </w:rPr>
      </w:pPr>
    </w:p>
    <w:p w14:paraId="01FE321E" w14:textId="1BD077EC" w:rsidR="00644C22" w:rsidRPr="00644C22" w:rsidRDefault="00644C22" w:rsidP="00644C22">
      <w:pPr>
        <w:tabs>
          <w:tab w:val="left" w:pos="851"/>
        </w:tabs>
        <w:ind w:left="851"/>
        <w:rPr>
          <w:sz w:val="24"/>
          <w:szCs w:val="24"/>
          <w:u w:val="single"/>
        </w:rPr>
      </w:pPr>
      <w:r>
        <w:rPr>
          <w:sz w:val="24"/>
          <w:szCs w:val="24"/>
          <w:u w:val="single"/>
        </w:rPr>
        <w:t>Enzalutamide "Teva"</w:t>
      </w:r>
      <w:r w:rsidRPr="00644C22">
        <w:rPr>
          <w:sz w:val="24"/>
          <w:szCs w:val="24"/>
          <w:u w:val="single"/>
        </w:rPr>
        <w:t xml:space="preserve"> 80 mg filmovertrukne tabletter</w:t>
      </w:r>
    </w:p>
    <w:p w14:paraId="0FD551BD" w14:textId="77777777" w:rsidR="00644C22" w:rsidRPr="00644C22" w:rsidRDefault="00644C22" w:rsidP="00644C22">
      <w:pPr>
        <w:tabs>
          <w:tab w:val="left" w:pos="851"/>
        </w:tabs>
        <w:ind w:left="851"/>
        <w:rPr>
          <w:sz w:val="24"/>
          <w:szCs w:val="24"/>
        </w:rPr>
      </w:pPr>
      <w:r w:rsidRPr="00644C22">
        <w:rPr>
          <w:sz w:val="24"/>
          <w:szCs w:val="24"/>
        </w:rPr>
        <w:t xml:space="preserve">Hver filmovertrukket tablet indeholder 80 mg enzalutamid. </w:t>
      </w:r>
    </w:p>
    <w:p w14:paraId="05AD72EB" w14:textId="77777777" w:rsidR="00644C22" w:rsidRPr="00644C22" w:rsidRDefault="00644C22" w:rsidP="00644C22">
      <w:pPr>
        <w:tabs>
          <w:tab w:val="left" w:pos="851"/>
        </w:tabs>
        <w:ind w:left="851"/>
        <w:rPr>
          <w:sz w:val="24"/>
          <w:szCs w:val="24"/>
        </w:rPr>
      </w:pPr>
    </w:p>
    <w:p w14:paraId="6A1E4EC7" w14:textId="77777777" w:rsidR="00644C22" w:rsidRPr="00644C22" w:rsidRDefault="00644C22" w:rsidP="00644C22">
      <w:pPr>
        <w:tabs>
          <w:tab w:val="left" w:pos="851"/>
        </w:tabs>
        <w:ind w:left="851"/>
        <w:rPr>
          <w:sz w:val="24"/>
          <w:szCs w:val="24"/>
        </w:rPr>
      </w:pPr>
      <w:r w:rsidRPr="00644C22">
        <w:rPr>
          <w:sz w:val="24"/>
          <w:szCs w:val="24"/>
        </w:rPr>
        <w:t>Alle hjælpestoffer er anført under pkt. 6.1.</w:t>
      </w:r>
    </w:p>
    <w:p w14:paraId="4BF64D42" w14:textId="77777777" w:rsidR="009260DE" w:rsidRPr="00C84483" w:rsidRDefault="009260DE" w:rsidP="009260DE">
      <w:pPr>
        <w:tabs>
          <w:tab w:val="left" w:pos="851"/>
        </w:tabs>
        <w:ind w:left="851"/>
        <w:rPr>
          <w:sz w:val="24"/>
          <w:szCs w:val="24"/>
        </w:rPr>
      </w:pPr>
    </w:p>
    <w:p w14:paraId="42FEA894"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5EDD8D18" w14:textId="77777777" w:rsidR="00644C22" w:rsidRPr="00644C22" w:rsidRDefault="00644C22" w:rsidP="00644C22">
      <w:pPr>
        <w:tabs>
          <w:tab w:val="left" w:pos="851"/>
        </w:tabs>
        <w:ind w:left="851"/>
        <w:rPr>
          <w:sz w:val="24"/>
          <w:szCs w:val="24"/>
        </w:rPr>
      </w:pPr>
      <w:r w:rsidRPr="00644C22">
        <w:rPr>
          <w:sz w:val="24"/>
          <w:szCs w:val="24"/>
        </w:rPr>
        <w:t>Filmovertrukne tabletter.</w:t>
      </w:r>
    </w:p>
    <w:p w14:paraId="747AB2F9" w14:textId="77777777" w:rsidR="00644C22" w:rsidRPr="00644C22" w:rsidRDefault="00644C22" w:rsidP="00644C22">
      <w:pPr>
        <w:tabs>
          <w:tab w:val="left" w:pos="851"/>
        </w:tabs>
        <w:ind w:left="851"/>
        <w:rPr>
          <w:sz w:val="24"/>
          <w:szCs w:val="24"/>
        </w:rPr>
      </w:pPr>
    </w:p>
    <w:p w14:paraId="2230F1D2" w14:textId="2714F438" w:rsidR="00644C22" w:rsidRPr="00644C22" w:rsidRDefault="00644C22" w:rsidP="00644C22">
      <w:pPr>
        <w:tabs>
          <w:tab w:val="left" w:pos="851"/>
        </w:tabs>
        <w:ind w:left="851"/>
        <w:rPr>
          <w:sz w:val="24"/>
          <w:szCs w:val="24"/>
          <w:u w:val="single"/>
        </w:rPr>
      </w:pPr>
      <w:r>
        <w:rPr>
          <w:sz w:val="24"/>
          <w:szCs w:val="24"/>
          <w:u w:val="single"/>
        </w:rPr>
        <w:t>Enzalutamide "Teva"</w:t>
      </w:r>
      <w:r w:rsidRPr="00644C22">
        <w:rPr>
          <w:sz w:val="24"/>
          <w:szCs w:val="24"/>
          <w:u w:val="single"/>
        </w:rPr>
        <w:t xml:space="preserve"> 40 mg filmovertrukne tabletter</w:t>
      </w:r>
    </w:p>
    <w:p w14:paraId="4AB9C667" w14:textId="65AB8E9B" w:rsidR="00644C22" w:rsidRPr="00644C22" w:rsidRDefault="00644C22" w:rsidP="00644C22">
      <w:pPr>
        <w:tabs>
          <w:tab w:val="left" w:pos="851"/>
        </w:tabs>
        <w:ind w:left="851"/>
        <w:rPr>
          <w:sz w:val="24"/>
          <w:szCs w:val="24"/>
        </w:rPr>
      </w:pPr>
      <w:r w:rsidRPr="00644C22">
        <w:rPr>
          <w:sz w:val="24"/>
          <w:szCs w:val="24"/>
        </w:rPr>
        <w:t xml:space="preserve">Gul til lysegul, rund, filmovertrukket tablet, størrelse ca. 11 mm, præget med </w:t>
      </w:r>
      <w:r>
        <w:rPr>
          <w:sz w:val="24"/>
          <w:szCs w:val="24"/>
        </w:rPr>
        <w:t>"</w:t>
      </w:r>
      <w:r w:rsidRPr="00644C22">
        <w:rPr>
          <w:sz w:val="24"/>
          <w:szCs w:val="24"/>
        </w:rPr>
        <w:t>3415</w:t>
      </w:r>
      <w:r>
        <w:rPr>
          <w:sz w:val="24"/>
          <w:szCs w:val="24"/>
        </w:rPr>
        <w:t>"</w:t>
      </w:r>
      <w:r w:rsidRPr="00644C22">
        <w:rPr>
          <w:sz w:val="24"/>
          <w:szCs w:val="24"/>
        </w:rPr>
        <w:t xml:space="preserve"> på den ene side og </w:t>
      </w:r>
      <w:r>
        <w:rPr>
          <w:sz w:val="24"/>
          <w:szCs w:val="24"/>
        </w:rPr>
        <w:t>"</w:t>
      </w:r>
      <w:r w:rsidRPr="00644C22">
        <w:rPr>
          <w:sz w:val="24"/>
          <w:szCs w:val="24"/>
        </w:rPr>
        <w:t>TV</w:t>
      </w:r>
      <w:r>
        <w:rPr>
          <w:sz w:val="24"/>
          <w:szCs w:val="24"/>
        </w:rPr>
        <w:t>"</w:t>
      </w:r>
      <w:r w:rsidRPr="00644C22">
        <w:rPr>
          <w:sz w:val="24"/>
          <w:szCs w:val="24"/>
        </w:rPr>
        <w:t xml:space="preserve"> på den anden side. </w:t>
      </w:r>
    </w:p>
    <w:p w14:paraId="53FD3156" w14:textId="77777777" w:rsidR="00644C22" w:rsidRPr="00644C22" w:rsidRDefault="00644C22" w:rsidP="00644C22">
      <w:pPr>
        <w:tabs>
          <w:tab w:val="left" w:pos="851"/>
        </w:tabs>
        <w:ind w:left="851"/>
        <w:rPr>
          <w:sz w:val="24"/>
          <w:szCs w:val="24"/>
        </w:rPr>
      </w:pPr>
    </w:p>
    <w:p w14:paraId="335A9ADE" w14:textId="4B7D436B" w:rsidR="00644C22" w:rsidRPr="00644C22" w:rsidRDefault="00644C22" w:rsidP="00644C22">
      <w:pPr>
        <w:tabs>
          <w:tab w:val="left" w:pos="851"/>
        </w:tabs>
        <w:ind w:left="851"/>
        <w:rPr>
          <w:sz w:val="24"/>
          <w:szCs w:val="24"/>
          <w:u w:val="single"/>
        </w:rPr>
      </w:pPr>
      <w:r>
        <w:rPr>
          <w:sz w:val="24"/>
          <w:szCs w:val="24"/>
          <w:u w:val="single"/>
        </w:rPr>
        <w:t>Enzalutamide "Teva"</w:t>
      </w:r>
      <w:r w:rsidRPr="00644C22">
        <w:rPr>
          <w:sz w:val="24"/>
          <w:szCs w:val="24"/>
          <w:u w:val="single"/>
        </w:rPr>
        <w:t xml:space="preserve"> 80 mg filmovertrukne tabletter</w:t>
      </w:r>
    </w:p>
    <w:p w14:paraId="35F3FC55" w14:textId="5D5EAED5" w:rsidR="00644C22" w:rsidRPr="00644C22" w:rsidRDefault="00644C22" w:rsidP="00644C22">
      <w:pPr>
        <w:tabs>
          <w:tab w:val="left" w:pos="851"/>
        </w:tabs>
        <w:ind w:left="851"/>
        <w:rPr>
          <w:sz w:val="24"/>
          <w:szCs w:val="24"/>
        </w:rPr>
      </w:pPr>
      <w:r w:rsidRPr="00644C22">
        <w:rPr>
          <w:sz w:val="24"/>
          <w:szCs w:val="24"/>
        </w:rPr>
        <w:t>Gul til lysegul, oval, filmovertrukket tablet, størrelse ca. 17 mm</w:t>
      </w:r>
      <w:r>
        <w:rPr>
          <w:sz w:val="24"/>
          <w:szCs w:val="24"/>
        </w:rPr>
        <w:t>×</w:t>
      </w:r>
      <w:r w:rsidRPr="00644C22">
        <w:rPr>
          <w:sz w:val="24"/>
          <w:szCs w:val="24"/>
        </w:rPr>
        <w:t xml:space="preserve">9 mm, præget med </w:t>
      </w:r>
      <w:r>
        <w:rPr>
          <w:sz w:val="24"/>
          <w:szCs w:val="24"/>
        </w:rPr>
        <w:t>"</w:t>
      </w:r>
      <w:r w:rsidRPr="00644C22">
        <w:rPr>
          <w:sz w:val="24"/>
          <w:szCs w:val="24"/>
        </w:rPr>
        <w:t>3416</w:t>
      </w:r>
      <w:r>
        <w:rPr>
          <w:sz w:val="24"/>
          <w:szCs w:val="24"/>
        </w:rPr>
        <w:t>"</w:t>
      </w:r>
      <w:r w:rsidRPr="00644C22">
        <w:rPr>
          <w:sz w:val="24"/>
          <w:szCs w:val="24"/>
        </w:rPr>
        <w:t xml:space="preserve"> på den ene side og </w:t>
      </w:r>
      <w:r>
        <w:rPr>
          <w:sz w:val="24"/>
          <w:szCs w:val="24"/>
        </w:rPr>
        <w:t>"</w:t>
      </w:r>
      <w:r w:rsidRPr="00644C22">
        <w:rPr>
          <w:sz w:val="24"/>
          <w:szCs w:val="24"/>
        </w:rPr>
        <w:t>TV</w:t>
      </w:r>
      <w:r>
        <w:rPr>
          <w:sz w:val="24"/>
          <w:szCs w:val="24"/>
        </w:rPr>
        <w:t>"</w:t>
      </w:r>
      <w:r w:rsidRPr="00644C22">
        <w:rPr>
          <w:sz w:val="24"/>
          <w:szCs w:val="24"/>
        </w:rPr>
        <w:t xml:space="preserve"> på den anden side. </w:t>
      </w:r>
    </w:p>
    <w:p w14:paraId="1F76CCBF" w14:textId="77777777" w:rsidR="009260DE" w:rsidRPr="00C84483" w:rsidRDefault="009260DE" w:rsidP="009260DE">
      <w:pPr>
        <w:tabs>
          <w:tab w:val="left" w:pos="851"/>
        </w:tabs>
        <w:ind w:left="851"/>
        <w:rPr>
          <w:sz w:val="24"/>
          <w:szCs w:val="24"/>
        </w:rPr>
      </w:pPr>
    </w:p>
    <w:p w14:paraId="2B998F28" w14:textId="77777777" w:rsidR="009260DE" w:rsidRPr="00C84483" w:rsidRDefault="009260DE" w:rsidP="009260DE">
      <w:pPr>
        <w:tabs>
          <w:tab w:val="left" w:pos="851"/>
        </w:tabs>
        <w:ind w:left="851"/>
        <w:rPr>
          <w:sz w:val="24"/>
          <w:szCs w:val="24"/>
        </w:rPr>
      </w:pPr>
    </w:p>
    <w:p w14:paraId="3D15CE38"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08950846" w14:textId="77777777" w:rsidR="009260DE" w:rsidRPr="00C84483" w:rsidRDefault="009260DE" w:rsidP="009260DE">
      <w:pPr>
        <w:tabs>
          <w:tab w:val="left" w:pos="851"/>
        </w:tabs>
        <w:ind w:left="851"/>
        <w:rPr>
          <w:b/>
          <w:sz w:val="24"/>
          <w:szCs w:val="24"/>
        </w:rPr>
      </w:pPr>
    </w:p>
    <w:p w14:paraId="586B154F"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30EA411F" w14:textId="77777777" w:rsidR="00644C22" w:rsidRPr="00644C22" w:rsidRDefault="00644C22" w:rsidP="00644C22">
      <w:pPr>
        <w:tabs>
          <w:tab w:val="left" w:pos="851"/>
        </w:tabs>
        <w:ind w:left="851"/>
        <w:rPr>
          <w:sz w:val="24"/>
          <w:szCs w:val="24"/>
        </w:rPr>
      </w:pPr>
      <w:r w:rsidRPr="00644C22">
        <w:rPr>
          <w:sz w:val="24"/>
          <w:szCs w:val="24"/>
        </w:rPr>
        <w:t>Enzalutamide "Teva" er indiceret:</w:t>
      </w:r>
    </w:p>
    <w:p w14:paraId="25D11236" w14:textId="77777777" w:rsidR="00644C22" w:rsidRPr="00644C22" w:rsidRDefault="00644C22" w:rsidP="00644C22">
      <w:pPr>
        <w:numPr>
          <w:ilvl w:val="0"/>
          <w:numId w:val="6"/>
        </w:numPr>
        <w:tabs>
          <w:tab w:val="left" w:pos="851"/>
        </w:tabs>
        <w:ind w:left="1134" w:hanging="283"/>
        <w:rPr>
          <w:sz w:val="24"/>
          <w:szCs w:val="24"/>
        </w:rPr>
      </w:pPr>
      <w:r w:rsidRPr="00644C22">
        <w:rPr>
          <w:sz w:val="24"/>
          <w:szCs w:val="24"/>
        </w:rPr>
        <w:t>som monoterapi eller i kombination med androgen deprivationsbehandling til behandling af voksne mænd med højrisiko-biokemisk recidiverende (BCR) ikke-</w:t>
      </w:r>
      <w:r w:rsidRPr="00644C22">
        <w:rPr>
          <w:sz w:val="24"/>
          <w:szCs w:val="24"/>
        </w:rPr>
        <w:lastRenderedPageBreak/>
        <w:t>metastatisk hormonfølsom prostatacancer (nmHSPC), som ikke er egnede til salvage strålebehandling (se pkt. 5.1).</w:t>
      </w:r>
    </w:p>
    <w:p w14:paraId="60B47430" w14:textId="77777777" w:rsidR="00644C22" w:rsidRPr="00644C22" w:rsidRDefault="00644C22" w:rsidP="00644C22">
      <w:pPr>
        <w:numPr>
          <w:ilvl w:val="0"/>
          <w:numId w:val="6"/>
        </w:numPr>
        <w:tabs>
          <w:tab w:val="left" w:pos="851"/>
        </w:tabs>
        <w:ind w:left="1134" w:hanging="283"/>
        <w:rPr>
          <w:sz w:val="24"/>
          <w:szCs w:val="24"/>
        </w:rPr>
      </w:pPr>
      <w:r w:rsidRPr="00644C22">
        <w:rPr>
          <w:sz w:val="24"/>
          <w:szCs w:val="24"/>
        </w:rPr>
        <w:t>i kombination med androgen deprivationsbehandling til behandling af voksne mænd med metastatisk hormonfølsom prostatacancer (mHSPC) (se pkt. 5.1).</w:t>
      </w:r>
    </w:p>
    <w:p w14:paraId="05DA35B9" w14:textId="77777777" w:rsidR="00644C22" w:rsidRPr="00644C22" w:rsidRDefault="00644C22" w:rsidP="00644C22">
      <w:pPr>
        <w:numPr>
          <w:ilvl w:val="0"/>
          <w:numId w:val="6"/>
        </w:numPr>
        <w:tabs>
          <w:tab w:val="left" w:pos="851"/>
        </w:tabs>
        <w:ind w:left="1134" w:hanging="283"/>
        <w:rPr>
          <w:sz w:val="24"/>
          <w:szCs w:val="24"/>
        </w:rPr>
      </w:pPr>
      <w:r w:rsidRPr="00644C22">
        <w:rPr>
          <w:sz w:val="24"/>
          <w:szCs w:val="24"/>
        </w:rPr>
        <w:t>til behandling af voksne mænd med højrisiko, ikke-metastatisk kastrationsresistent prostatacancer (CRPC) (se pkt. 5.1).</w:t>
      </w:r>
    </w:p>
    <w:p w14:paraId="1F4BBD58" w14:textId="77777777" w:rsidR="00644C22" w:rsidRPr="00644C22" w:rsidRDefault="00644C22" w:rsidP="00644C22">
      <w:pPr>
        <w:numPr>
          <w:ilvl w:val="0"/>
          <w:numId w:val="6"/>
        </w:numPr>
        <w:tabs>
          <w:tab w:val="left" w:pos="851"/>
        </w:tabs>
        <w:ind w:left="1134" w:hanging="283"/>
        <w:rPr>
          <w:sz w:val="24"/>
          <w:szCs w:val="24"/>
        </w:rPr>
      </w:pPr>
      <w:r w:rsidRPr="00644C22">
        <w:rPr>
          <w:sz w:val="24"/>
          <w:szCs w:val="24"/>
        </w:rPr>
        <w:t>til behandling af voksne mænd med metastatisk CRPC, som er asymptomatiske eller har lette symptomer efter svigt af androgen deprivationsbehandling, og hvor kemoterapi endnu ikke er klinisk indiceret (se pkt. 5.1).</w:t>
      </w:r>
    </w:p>
    <w:p w14:paraId="37ABA938" w14:textId="77777777" w:rsidR="00644C22" w:rsidRPr="00644C22" w:rsidRDefault="00644C22" w:rsidP="00644C22">
      <w:pPr>
        <w:numPr>
          <w:ilvl w:val="0"/>
          <w:numId w:val="6"/>
        </w:numPr>
        <w:tabs>
          <w:tab w:val="left" w:pos="851"/>
        </w:tabs>
        <w:ind w:left="1134" w:hanging="283"/>
        <w:rPr>
          <w:sz w:val="24"/>
          <w:szCs w:val="24"/>
        </w:rPr>
      </w:pPr>
      <w:r w:rsidRPr="00644C22">
        <w:rPr>
          <w:sz w:val="24"/>
          <w:szCs w:val="24"/>
        </w:rPr>
        <w:t>til behandling af voksne mænd med metastatisk CRPC, hvis sygdom er progredieret under eller efter docetaxelbehandling.</w:t>
      </w:r>
    </w:p>
    <w:p w14:paraId="43328847" w14:textId="77777777" w:rsidR="009260DE" w:rsidRPr="00C84483" w:rsidRDefault="009260DE" w:rsidP="009260DE">
      <w:pPr>
        <w:tabs>
          <w:tab w:val="left" w:pos="851"/>
        </w:tabs>
        <w:ind w:left="851"/>
        <w:rPr>
          <w:sz w:val="24"/>
          <w:szCs w:val="24"/>
        </w:rPr>
      </w:pPr>
    </w:p>
    <w:p w14:paraId="04A2EE67"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7D0C165E" w14:textId="77777777" w:rsidR="00644C22" w:rsidRPr="00644C22" w:rsidRDefault="00644C22" w:rsidP="00644C22">
      <w:pPr>
        <w:tabs>
          <w:tab w:val="left" w:pos="851"/>
        </w:tabs>
        <w:ind w:left="851"/>
        <w:rPr>
          <w:sz w:val="24"/>
          <w:szCs w:val="24"/>
        </w:rPr>
      </w:pPr>
      <w:r w:rsidRPr="00644C22">
        <w:rPr>
          <w:sz w:val="24"/>
          <w:szCs w:val="24"/>
        </w:rPr>
        <w:t>Behandling med enzalutamid skal initieres og overvåges af speciallæger med erfaring i medicinsk behandling af prostatacancer.</w:t>
      </w:r>
    </w:p>
    <w:p w14:paraId="53C30AE9" w14:textId="77777777" w:rsidR="00644C22" w:rsidRPr="00644C22" w:rsidRDefault="00644C22" w:rsidP="00644C22">
      <w:pPr>
        <w:tabs>
          <w:tab w:val="left" w:pos="851"/>
        </w:tabs>
        <w:ind w:left="851"/>
        <w:rPr>
          <w:sz w:val="24"/>
          <w:szCs w:val="24"/>
        </w:rPr>
      </w:pPr>
    </w:p>
    <w:p w14:paraId="7C8662BC" w14:textId="77777777" w:rsidR="00644C22" w:rsidRPr="00644C22" w:rsidRDefault="00644C22" w:rsidP="00644C22">
      <w:pPr>
        <w:tabs>
          <w:tab w:val="left" w:pos="851"/>
        </w:tabs>
        <w:ind w:left="851"/>
        <w:rPr>
          <w:sz w:val="24"/>
          <w:szCs w:val="24"/>
        </w:rPr>
      </w:pPr>
      <w:r w:rsidRPr="00644C22">
        <w:rPr>
          <w:sz w:val="24"/>
          <w:szCs w:val="24"/>
          <w:u w:val="single"/>
        </w:rPr>
        <w:t>Dosering</w:t>
      </w:r>
    </w:p>
    <w:p w14:paraId="4A86BB2F" w14:textId="77777777" w:rsidR="00644C22" w:rsidRPr="00644C22" w:rsidRDefault="00644C22" w:rsidP="00644C22">
      <w:pPr>
        <w:tabs>
          <w:tab w:val="left" w:pos="851"/>
        </w:tabs>
        <w:ind w:left="851"/>
        <w:rPr>
          <w:sz w:val="24"/>
          <w:szCs w:val="24"/>
        </w:rPr>
      </w:pPr>
      <w:r w:rsidRPr="00644C22">
        <w:rPr>
          <w:sz w:val="24"/>
          <w:szCs w:val="24"/>
        </w:rPr>
        <w:t>Den anbefalede dosering er 160 mg enzalutamid (fire 40 mg filmovertrukne tabletter eller to 80 mg filmovertrukne tabletter) som en daglig oral enkeltdosis.</w:t>
      </w:r>
    </w:p>
    <w:p w14:paraId="2DC7E1B4" w14:textId="77777777" w:rsidR="00644C22" w:rsidRPr="00644C22" w:rsidRDefault="00644C22" w:rsidP="00644C22">
      <w:pPr>
        <w:tabs>
          <w:tab w:val="left" w:pos="851"/>
        </w:tabs>
        <w:ind w:left="851"/>
        <w:rPr>
          <w:sz w:val="24"/>
          <w:szCs w:val="24"/>
        </w:rPr>
      </w:pPr>
    </w:p>
    <w:p w14:paraId="682A71E2" w14:textId="77777777" w:rsidR="00644C22" w:rsidRPr="00644C22" w:rsidRDefault="00644C22" w:rsidP="00644C22">
      <w:pPr>
        <w:tabs>
          <w:tab w:val="left" w:pos="851"/>
        </w:tabs>
        <w:ind w:left="851"/>
        <w:rPr>
          <w:sz w:val="24"/>
          <w:szCs w:val="24"/>
        </w:rPr>
      </w:pPr>
      <w:r w:rsidRPr="00644C22">
        <w:rPr>
          <w:sz w:val="24"/>
          <w:szCs w:val="24"/>
        </w:rPr>
        <w:t>Medicinsk kastration med en luteiniserende hormonfrigivende hormon (LHRH)-analog bør fortsættes ved behandling af patienter med CRPC eller mHSPC, som ikke har undergået kirurgisk kastration.</w:t>
      </w:r>
    </w:p>
    <w:p w14:paraId="3F5FCD7C" w14:textId="77777777" w:rsidR="00644C22" w:rsidRPr="00644C22" w:rsidRDefault="00644C22" w:rsidP="00644C22">
      <w:pPr>
        <w:tabs>
          <w:tab w:val="left" w:pos="851"/>
        </w:tabs>
        <w:ind w:left="851"/>
        <w:rPr>
          <w:sz w:val="24"/>
          <w:szCs w:val="24"/>
        </w:rPr>
      </w:pPr>
    </w:p>
    <w:p w14:paraId="595AD47A" w14:textId="77777777" w:rsidR="00644C22" w:rsidRPr="00644C22" w:rsidRDefault="00644C22" w:rsidP="00644C22">
      <w:pPr>
        <w:tabs>
          <w:tab w:val="left" w:pos="851"/>
        </w:tabs>
        <w:ind w:left="851"/>
        <w:rPr>
          <w:sz w:val="24"/>
          <w:szCs w:val="24"/>
        </w:rPr>
      </w:pPr>
      <w:r w:rsidRPr="00644C22">
        <w:rPr>
          <w:sz w:val="24"/>
          <w:szCs w:val="24"/>
        </w:rPr>
        <w:t xml:space="preserve">Patienter med højrisiko-BCR nmHSPC kan behandles med Enzalutamide "Teva" med eller uden en LHRH-analog. </w:t>
      </w:r>
    </w:p>
    <w:p w14:paraId="0C9642A3" w14:textId="77777777" w:rsidR="00644C22" w:rsidRPr="00644C22" w:rsidRDefault="00644C22" w:rsidP="00644C22">
      <w:pPr>
        <w:tabs>
          <w:tab w:val="left" w:pos="851"/>
        </w:tabs>
        <w:ind w:left="851"/>
        <w:rPr>
          <w:sz w:val="24"/>
          <w:szCs w:val="24"/>
        </w:rPr>
      </w:pPr>
      <w:r w:rsidRPr="00644C22">
        <w:rPr>
          <w:sz w:val="24"/>
          <w:szCs w:val="24"/>
        </w:rPr>
        <w:t>Patienter, der får Enzalutamide "Teva" med eller uden en LHRH-analog, kan få afbrudt behandlingen, hvis PSA ikke kan påvises (&lt; 0,2 ng/ml) efter 36 ugers behandling. Behandlingen skal genstartes, når PSA er steget til ≥ 2,0 ng/ml for patienter, som tidligere har fået radikal prostatektomi, eller ≥ 5,0 ng/ml for patienter, som tidligere har fået primær strålebehandling. Hvis PSA kan påvises (≥ 0,2 ng/ml) efter 36 ugers behandling, skal behandlingen fortsætte (se pkt. 5.1).</w:t>
      </w:r>
    </w:p>
    <w:p w14:paraId="7B87136B" w14:textId="77777777" w:rsidR="00644C22" w:rsidRPr="00644C22" w:rsidRDefault="00644C22" w:rsidP="00644C22">
      <w:pPr>
        <w:tabs>
          <w:tab w:val="left" w:pos="851"/>
        </w:tabs>
        <w:ind w:left="851"/>
        <w:rPr>
          <w:sz w:val="24"/>
          <w:szCs w:val="24"/>
        </w:rPr>
      </w:pPr>
    </w:p>
    <w:p w14:paraId="0800F685" w14:textId="77777777" w:rsidR="00644C22" w:rsidRPr="00644C22" w:rsidRDefault="00644C22" w:rsidP="00644C22">
      <w:pPr>
        <w:tabs>
          <w:tab w:val="left" w:pos="851"/>
        </w:tabs>
        <w:ind w:left="851"/>
        <w:rPr>
          <w:sz w:val="24"/>
          <w:szCs w:val="24"/>
        </w:rPr>
      </w:pPr>
      <w:r w:rsidRPr="00644C22">
        <w:rPr>
          <w:sz w:val="24"/>
          <w:szCs w:val="24"/>
        </w:rPr>
        <w:t>Hvis en patient glemmer at tage Enzalutamide "Teva" på det sædvanlige tidspunkt, skal den ordinerede dosis tages så tæt som muligt på det sædvanlige tidspunkt. Hvis en patient glemmer en dosis en hel dag, skal behandlingen genoptages den følgende dag med den sædvanlige daglige dosis.</w:t>
      </w:r>
    </w:p>
    <w:p w14:paraId="27FE0F87" w14:textId="77777777" w:rsidR="00644C22" w:rsidRPr="00644C22" w:rsidRDefault="00644C22" w:rsidP="00644C22">
      <w:pPr>
        <w:tabs>
          <w:tab w:val="left" w:pos="851"/>
        </w:tabs>
        <w:ind w:left="851"/>
        <w:rPr>
          <w:sz w:val="24"/>
          <w:szCs w:val="24"/>
        </w:rPr>
      </w:pPr>
    </w:p>
    <w:p w14:paraId="58A68542" w14:textId="77777777" w:rsidR="00644C22" w:rsidRPr="00644C22" w:rsidRDefault="00644C22" w:rsidP="00644C22">
      <w:pPr>
        <w:tabs>
          <w:tab w:val="left" w:pos="851"/>
        </w:tabs>
        <w:ind w:left="851"/>
        <w:rPr>
          <w:sz w:val="24"/>
          <w:szCs w:val="24"/>
        </w:rPr>
      </w:pPr>
      <w:r w:rsidRPr="00644C22">
        <w:rPr>
          <w:sz w:val="24"/>
          <w:szCs w:val="24"/>
        </w:rPr>
        <w:t>Hvis en patient oplever en toksicitet af grad 3 eller derover eller en uacceptabel bivirkning, skal doseringen pauseres i en uge, eller indtil symptomerne er mildnet til grad 2 eller derunder, og derpå genoptages med samme eller reduceret dosis (120 mg eller 80 mg), hvis det er berettiget.</w:t>
      </w:r>
    </w:p>
    <w:p w14:paraId="07531F4E" w14:textId="77777777" w:rsidR="00644C22" w:rsidRPr="00644C22" w:rsidRDefault="00644C22" w:rsidP="00644C22">
      <w:pPr>
        <w:tabs>
          <w:tab w:val="left" w:pos="851"/>
        </w:tabs>
        <w:ind w:left="851"/>
        <w:rPr>
          <w:sz w:val="24"/>
          <w:szCs w:val="24"/>
        </w:rPr>
      </w:pPr>
    </w:p>
    <w:p w14:paraId="1AE49D26" w14:textId="77777777" w:rsidR="00644C22" w:rsidRPr="00644C22" w:rsidRDefault="00644C22" w:rsidP="00644C22">
      <w:pPr>
        <w:tabs>
          <w:tab w:val="left" w:pos="851"/>
        </w:tabs>
        <w:ind w:left="851"/>
        <w:rPr>
          <w:i/>
          <w:sz w:val="24"/>
          <w:szCs w:val="24"/>
        </w:rPr>
      </w:pPr>
      <w:r w:rsidRPr="00644C22">
        <w:rPr>
          <w:i/>
          <w:sz w:val="24"/>
          <w:szCs w:val="24"/>
        </w:rPr>
        <w:t>Samtidig anvendelse af kraftige CYP2C8-hæmmere</w:t>
      </w:r>
    </w:p>
    <w:p w14:paraId="4F6D7BEB" w14:textId="77777777" w:rsidR="00644C22" w:rsidRPr="00644C22" w:rsidRDefault="00644C22" w:rsidP="00644C22">
      <w:pPr>
        <w:tabs>
          <w:tab w:val="left" w:pos="851"/>
        </w:tabs>
        <w:ind w:left="851"/>
        <w:rPr>
          <w:sz w:val="24"/>
          <w:szCs w:val="24"/>
        </w:rPr>
      </w:pPr>
      <w:r w:rsidRPr="00644C22">
        <w:rPr>
          <w:sz w:val="24"/>
          <w:szCs w:val="24"/>
        </w:rPr>
        <w:t>Samtidig anvendelse af kraftige CYP2C8-hæmmere bør om muligt undgås. Hvis patienterne samtidig skal have administreret en kraftig CYP2C8-hæmmer, bør dosis af enzalutamid reduceres til 80 mg én gang dagligt. Hvis samtidig administration af den kraftige CYP2C8-hæmmer stoppes, bør dosis af enzalutamid ændres tilbage til den dosis, der blev anvendt inden initiering af den kraftige CYP2C8- hæmmer (se pkt. 4.5).</w:t>
      </w:r>
    </w:p>
    <w:p w14:paraId="3637BA4B" w14:textId="5BD225AA" w:rsidR="00644C22" w:rsidRDefault="00644C22">
      <w:pPr>
        <w:rPr>
          <w:sz w:val="24"/>
          <w:szCs w:val="24"/>
        </w:rPr>
      </w:pPr>
      <w:r>
        <w:rPr>
          <w:sz w:val="24"/>
          <w:szCs w:val="24"/>
        </w:rPr>
        <w:br w:type="page"/>
      </w:r>
    </w:p>
    <w:p w14:paraId="27FBCEB7" w14:textId="77777777" w:rsidR="00644C22" w:rsidRPr="00644C22" w:rsidRDefault="00644C22" w:rsidP="00644C22">
      <w:pPr>
        <w:tabs>
          <w:tab w:val="left" w:pos="851"/>
        </w:tabs>
        <w:ind w:left="851"/>
        <w:rPr>
          <w:sz w:val="24"/>
          <w:szCs w:val="24"/>
        </w:rPr>
      </w:pPr>
    </w:p>
    <w:p w14:paraId="12F29382" w14:textId="77777777" w:rsidR="00644C22" w:rsidRPr="00644C22" w:rsidRDefault="00644C22" w:rsidP="00644C22">
      <w:pPr>
        <w:tabs>
          <w:tab w:val="left" w:pos="851"/>
        </w:tabs>
        <w:ind w:left="851"/>
        <w:rPr>
          <w:i/>
          <w:sz w:val="24"/>
          <w:szCs w:val="24"/>
        </w:rPr>
      </w:pPr>
      <w:r w:rsidRPr="00644C22">
        <w:rPr>
          <w:i/>
          <w:sz w:val="24"/>
          <w:szCs w:val="24"/>
        </w:rPr>
        <w:t>Ældre</w:t>
      </w:r>
    </w:p>
    <w:p w14:paraId="7F11A7E8" w14:textId="77777777" w:rsidR="00644C22" w:rsidRPr="00644C22" w:rsidRDefault="00644C22" w:rsidP="00644C22">
      <w:pPr>
        <w:tabs>
          <w:tab w:val="left" w:pos="851"/>
        </w:tabs>
        <w:ind w:left="851"/>
        <w:rPr>
          <w:sz w:val="24"/>
          <w:szCs w:val="24"/>
        </w:rPr>
      </w:pPr>
      <w:r w:rsidRPr="00644C22">
        <w:rPr>
          <w:sz w:val="24"/>
          <w:szCs w:val="24"/>
        </w:rPr>
        <w:t>Dosisjustering er ikke nødvendig for ældre patienter (se pkt. 5.1 og 5.2).</w:t>
      </w:r>
    </w:p>
    <w:p w14:paraId="63636CA2" w14:textId="77777777" w:rsidR="00644C22" w:rsidRPr="00644C22" w:rsidRDefault="00644C22" w:rsidP="00644C22">
      <w:pPr>
        <w:tabs>
          <w:tab w:val="left" w:pos="851"/>
        </w:tabs>
        <w:ind w:left="851"/>
        <w:rPr>
          <w:sz w:val="24"/>
          <w:szCs w:val="24"/>
        </w:rPr>
      </w:pPr>
    </w:p>
    <w:p w14:paraId="784B7EB4" w14:textId="77777777" w:rsidR="00644C22" w:rsidRPr="00644C22" w:rsidRDefault="00644C22" w:rsidP="00644C22">
      <w:pPr>
        <w:tabs>
          <w:tab w:val="left" w:pos="851"/>
        </w:tabs>
        <w:ind w:left="851"/>
        <w:rPr>
          <w:i/>
          <w:sz w:val="24"/>
          <w:szCs w:val="24"/>
        </w:rPr>
      </w:pPr>
      <w:r w:rsidRPr="00644C22">
        <w:rPr>
          <w:i/>
          <w:sz w:val="24"/>
          <w:szCs w:val="24"/>
        </w:rPr>
        <w:t>Nedsat leverfunktion</w:t>
      </w:r>
    </w:p>
    <w:p w14:paraId="0348C943" w14:textId="77777777" w:rsidR="00644C22" w:rsidRPr="00644C22" w:rsidRDefault="00644C22" w:rsidP="00644C22">
      <w:pPr>
        <w:tabs>
          <w:tab w:val="left" w:pos="851"/>
        </w:tabs>
        <w:ind w:left="851"/>
        <w:rPr>
          <w:sz w:val="24"/>
          <w:szCs w:val="24"/>
        </w:rPr>
      </w:pPr>
      <w:r w:rsidRPr="00644C22">
        <w:rPr>
          <w:sz w:val="24"/>
          <w:szCs w:val="24"/>
        </w:rPr>
        <w:t>Dosisjustering er ikke nødvendig for patienter med let, moderat eller svært nedsat leverfunktion (henholdsvis Child-Pugh klasse A, B eller C). Der er imidlertid observeret en længere halveringstid for enzalutamid hos patienter med svært nedsat leverfunktion (se pkt. 4.4 og 5.2).</w:t>
      </w:r>
    </w:p>
    <w:p w14:paraId="1A5DCB36" w14:textId="77777777" w:rsidR="00644C22" w:rsidRPr="00644C22" w:rsidRDefault="00644C22" w:rsidP="00644C22">
      <w:pPr>
        <w:tabs>
          <w:tab w:val="left" w:pos="851"/>
        </w:tabs>
        <w:ind w:left="851"/>
        <w:rPr>
          <w:sz w:val="24"/>
          <w:szCs w:val="24"/>
        </w:rPr>
      </w:pPr>
    </w:p>
    <w:p w14:paraId="1B498F1E" w14:textId="77777777" w:rsidR="00644C22" w:rsidRPr="00644C22" w:rsidRDefault="00644C22" w:rsidP="00644C22">
      <w:pPr>
        <w:tabs>
          <w:tab w:val="left" w:pos="851"/>
        </w:tabs>
        <w:ind w:left="851"/>
        <w:rPr>
          <w:i/>
          <w:sz w:val="24"/>
          <w:szCs w:val="24"/>
        </w:rPr>
      </w:pPr>
      <w:r w:rsidRPr="00644C22">
        <w:rPr>
          <w:i/>
          <w:sz w:val="24"/>
          <w:szCs w:val="24"/>
        </w:rPr>
        <w:t>Nedsat nyrefunktion</w:t>
      </w:r>
    </w:p>
    <w:p w14:paraId="70043ABA" w14:textId="77777777" w:rsidR="00644C22" w:rsidRPr="00644C22" w:rsidRDefault="00644C22" w:rsidP="00644C22">
      <w:pPr>
        <w:tabs>
          <w:tab w:val="left" w:pos="851"/>
        </w:tabs>
        <w:ind w:left="851"/>
        <w:rPr>
          <w:sz w:val="24"/>
          <w:szCs w:val="24"/>
        </w:rPr>
      </w:pPr>
      <w:r w:rsidRPr="00644C22">
        <w:rPr>
          <w:sz w:val="24"/>
          <w:szCs w:val="24"/>
        </w:rPr>
        <w:t>Dosisjustering er ikke nødvendig for patienter med let eller moderat nedsat nyrefunktion (se pkt. 5.2). Der tilrådes forsigtighed hos patienter med svært nedsat nyrefunktion eller nyresygdom i slutstadiet (se pkt. 4.4).</w:t>
      </w:r>
    </w:p>
    <w:p w14:paraId="6D4DE0B0" w14:textId="77777777" w:rsidR="00644C22" w:rsidRPr="00644C22" w:rsidRDefault="00644C22" w:rsidP="00644C22">
      <w:pPr>
        <w:tabs>
          <w:tab w:val="left" w:pos="851"/>
        </w:tabs>
        <w:ind w:left="851"/>
        <w:rPr>
          <w:sz w:val="24"/>
          <w:szCs w:val="24"/>
        </w:rPr>
      </w:pPr>
    </w:p>
    <w:p w14:paraId="5FB1A829" w14:textId="77777777" w:rsidR="00644C22" w:rsidRPr="00644C22" w:rsidRDefault="00644C22" w:rsidP="00644C22">
      <w:pPr>
        <w:tabs>
          <w:tab w:val="left" w:pos="851"/>
        </w:tabs>
        <w:ind w:left="851"/>
        <w:rPr>
          <w:i/>
          <w:sz w:val="24"/>
          <w:szCs w:val="24"/>
        </w:rPr>
      </w:pPr>
      <w:r w:rsidRPr="00644C22">
        <w:rPr>
          <w:i/>
          <w:sz w:val="24"/>
          <w:szCs w:val="24"/>
        </w:rPr>
        <w:t>Pædiatrisk population</w:t>
      </w:r>
    </w:p>
    <w:p w14:paraId="3D8D2036" w14:textId="77777777" w:rsidR="00644C22" w:rsidRPr="00644C22" w:rsidRDefault="00644C22" w:rsidP="00644C22">
      <w:pPr>
        <w:tabs>
          <w:tab w:val="left" w:pos="851"/>
        </w:tabs>
        <w:ind w:left="851"/>
        <w:rPr>
          <w:sz w:val="24"/>
          <w:szCs w:val="24"/>
        </w:rPr>
      </w:pPr>
      <w:r w:rsidRPr="00644C22">
        <w:rPr>
          <w:sz w:val="24"/>
          <w:szCs w:val="24"/>
        </w:rPr>
        <w:t>Der er ingen relevante indikationer for enzalutamid i den pædiatriske population, idet indikationen er behandling af voksne mænd med CRPC, mHSPC eller højrisiko-BCR nmHSPC.</w:t>
      </w:r>
    </w:p>
    <w:p w14:paraId="6A197FFF" w14:textId="77777777" w:rsidR="00644C22" w:rsidRPr="00644C22" w:rsidRDefault="00644C22" w:rsidP="00644C22">
      <w:pPr>
        <w:tabs>
          <w:tab w:val="left" w:pos="851"/>
        </w:tabs>
        <w:ind w:left="851"/>
        <w:rPr>
          <w:sz w:val="24"/>
          <w:szCs w:val="24"/>
        </w:rPr>
      </w:pPr>
    </w:p>
    <w:p w14:paraId="6F50454E" w14:textId="77777777" w:rsidR="00644C22" w:rsidRPr="00644C22" w:rsidRDefault="00644C22" w:rsidP="00644C22">
      <w:pPr>
        <w:tabs>
          <w:tab w:val="left" w:pos="851"/>
        </w:tabs>
        <w:ind w:left="851"/>
        <w:rPr>
          <w:sz w:val="24"/>
          <w:szCs w:val="24"/>
        </w:rPr>
      </w:pPr>
      <w:r w:rsidRPr="00644C22">
        <w:rPr>
          <w:sz w:val="24"/>
          <w:szCs w:val="24"/>
          <w:u w:val="single"/>
        </w:rPr>
        <w:t>Administration</w:t>
      </w:r>
    </w:p>
    <w:p w14:paraId="757FC236" w14:textId="77777777" w:rsidR="00644C22" w:rsidRPr="00644C22" w:rsidRDefault="00644C22" w:rsidP="00644C22">
      <w:pPr>
        <w:tabs>
          <w:tab w:val="left" w:pos="851"/>
        </w:tabs>
        <w:ind w:left="851"/>
        <w:rPr>
          <w:sz w:val="24"/>
          <w:szCs w:val="24"/>
        </w:rPr>
      </w:pPr>
      <w:r w:rsidRPr="00644C22">
        <w:rPr>
          <w:sz w:val="24"/>
          <w:szCs w:val="24"/>
        </w:rPr>
        <w:t>Enzalutamide "Teva" er til oral anvendelse. De filmovertrukne tabletter må ikke deles, knuses eller tygges, men bør synkes hele med en tilstrækkelig mængde vand og kan tages med eller uden mad.</w:t>
      </w:r>
    </w:p>
    <w:p w14:paraId="214FD847" w14:textId="77777777" w:rsidR="009260DE" w:rsidRPr="00C84483" w:rsidRDefault="009260DE" w:rsidP="009260DE">
      <w:pPr>
        <w:tabs>
          <w:tab w:val="left" w:pos="851"/>
        </w:tabs>
        <w:ind w:left="851"/>
        <w:rPr>
          <w:sz w:val="24"/>
          <w:szCs w:val="24"/>
        </w:rPr>
      </w:pPr>
    </w:p>
    <w:p w14:paraId="0F28EFA4"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24F3454B" w14:textId="77777777" w:rsidR="0008476A" w:rsidRPr="0008476A" w:rsidRDefault="0008476A" w:rsidP="0008476A">
      <w:pPr>
        <w:tabs>
          <w:tab w:val="left" w:pos="851"/>
        </w:tabs>
        <w:ind w:left="851"/>
        <w:rPr>
          <w:sz w:val="24"/>
          <w:szCs w:val="24"/>
        </w:rPr>
      </w:pPr>
      <w:r w:rsidRPr="0008476A">
        <w:rPr>
          <w:sz w:val="24"/>
          <w:szCs w:val="24"/>
        </w:rPr>
        <w:t>Overfølsomhed over for det (de) aktive stof(fer) eller over for et eller flere af hjælpestofferne anført i pkt. 6.1.</w:t>
      </w:r>
    </w:p>
    <w:p w14:paraId="23B61CFF" w14:textId="77777777" w:rsidR="0008476A" w:rsidRPr="0008476A" w:rsidRDefault="0008476A" w:rsidP="0008476A">
      <w:pPr>
        <w:tabs>
          <w:tab w:val="left" w:pos="851"/>
        </w:tabs>
        <w:ind w:left="851"/>
        <w:rPr>
          <w:sz w:val="24"/>
          <w:szCs w:val="24"/>
        </w:rPr>
      </w:pPr>
      <w:r w:rsidRPr="0008476A">
        <w:rPr>
          <w:sz w:val="24"/>
          <w:szCs w:val="24"/>
        </w:rPr>
        <w:t>Gravide og kvinder i den fødedygtige alder (se pkt. 4.6 og 6.6).</w:t>
      </w:r>
    </w:p>
    <w:p w14:paraId="7232EBD0" w14:textId="77777777" w:rsidR="009260DE" w:rsidRPr="00C84483" w:rsidRDefault="009260DE" w:rsidP="009260DE">
      <w:pPr>
        <w:tabs>
          <w:tab w:val="left" w:pos="851"/>
        </w:tabs>
        <w:ind w:left="851"/>
        <w:rPr>
          <w:sz w:val="24"/>
          <w:szCs w:val="24"/>
        </w:rPr>
      </w:pPr>
    </w:p>
    <w:p w14:paraId="268D878B"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003736A4" w14:textId="77777777" w:rsidR="0008476A" w:rsidRDefault="0008476A" w:rsidP="0008476A">
      <w:pPr>
        <w:tabs>
          <w:tab w:val="left" w:pos="851"/>
        </w:tabs>
        <w:ind w:left="851"/>
        <w:rPr>
          <w:sz w:val="24"/>
          <w:szCs w:val="24"/>
          <w:u w:val="single"/>
        </w:rPr>
      </w:pPr>
    </w:p>
    <w:p w14:paraId="127C7B78" w14:textId="0FFD3717" w:rsidR="0008476A" w:rsidRPr="0008476A" w:rsidRDefault="0008476A" w:rsidP="0008476A">
      <w:pPr>
        <w:tabs>
          <w:tab w:val="left" w:pos="851"/>
        </w:tabs>
        <w:ind w:left="851"/>
        <w:rPr>
          <w:sz w:val="24"/>
          <w:szCs w:val="24"/>
        </w:rPr>
      </w:pPr>
      <w:r w:rsidRPr="0008476A">
        <w:rPr>
          <w:sz w:val="24"/>
          <w:szCs w:val="24"/>
          <w:u w:val="single"/>
        </w:rPr>
        <w:t>Risiko for krampeanfald</w:t>
      </w:r>
    </w:p>
    <w:p w14:paraId="4C997705" w14:textId="77777777" w:rsidR="0008476A" w:rsidRPr="0008476A" w:rsidRDefault="0008476A" w:rsidP="0008476A">
      <w:pPr>
        <w:tabs>
          <w:tab w:val="left" w:pos="851"/>
        </w:tabs>
        <w:ind w:left="851"/>
        <w:rPr>
          <w:sz w:val="24"/>
          <w:szCs w:val="24"/>
        </w:rPr>
      </w:pPr>
      <w:r w:rsidRPr="0008476A">
        <w:rPr>
          <w:sz w:val="24"/>
          <w:szCs w:val="24"/>
        </w:rPr>
        <w:t>Brug af enzalutamid har været forbundet med krampeanfald (se pkt. 4.8). Beslutningen om at fortsætte behandlingen af patienter, der udvikler krampeanfald, skal tages fra sag til sag.</w:t>
      </w:r>
    </w:p>
    <w:p w14:paraId="3677DF25" w14:textId="77777777" w:rsidR="0008476A" w:rsidRPr="0008476A" w:rsidRDefault="0008476A" w:rsidP="0008476A">
      <w:pPr>
        <w:tabs>
          <w:tab w:val="left" w:pos="851"/>
        </w:tabs>
        <w:ind w:left="851"/>
        <w:rPr>
          <w:sz w:val="24"/>
          <w:szCs w:val="24"/>
        </w:rPr>
      </w:pPr>
    </w:p>
    <w:p w14:paraId="2FB87099" w14:textId="77777777" w:rsidR="0008476A" w:rsidRPr="0008476A" w:rsidRDefault="0008476A" w:rsidP="0008476A">
      <w:pPr>
        <w:tabs>
          <w:tab w:val="left" w:pos="851"/>
        </w:tabs>
        <w:ind w:left="851"/>
        <w:rPr>
          <w:sz w:val="24"/>
          <w:szCs w:val="24"/>
        </w:rPr>
      </w:pPr>
      <w:r w:rsidRPr="0008476A">
        <w:rPr>
          <w:sz w:val="24"/>
          <w:szCs w:val="24"/>
          <w:u w:val="single"/>
        </w:rPr>
        <w:t>Posteriort reversibelt encefalopati-syndrom</w:t>
      </w:r>
    </w:p>
    <w:p w14:paraId="51C47579" w14:textId="77777777" w:rsidR="0008476A" w:rsidRPr="0008476A" w:rsidRDefault="0008476A" w:rsidP="0008476A">
      <w:pPr>
        <w:tabs>
          <w:tab w:val="left" w:pos="851"/>
        </w:tabs>
        <w:ind w:left="851"/>
        <w:rPr>
          <w:sz w:val="24"/>
          <w:szCs w:val="24"/>
        </w:rPr>
      </w:pPr>
      <w:r w:rsidRPr="0008476A">
        <w:rPr>
          <w:sz w:val="24"/>
          <w:szCs w:val="24"/>
        </w:rPr>
        <w:t>Der har været sjældne rapporter om posteriort reversibelt encefalopati-syndrom (PRES) hos patienter, der får Enzalutamide "Teva" (se pkt. 4.8). PRES er en sjælden, reversibel, neurologisk lidelse, der kan vise sig med symptomer, der udvikler sig hurtigt, herunder krampeanfald, hovedpine, forvirring, blindhed og andre visuelle og neurologiske forstyrrelser, med eller uden ledsagende hypertension. En diagnose med PRES kræver bekræftelse ved scanning af hjernen, fortrinsvis magnetisk resonans (MR)-scanning. Det anbefales at seponere behandling med Enzalutamide "Teva" til patienter, som udvikler PRES.</w:t>
      </w:r>
    </w:p>
    <w:p w14:paraId="78DB7F44" w14:textId="77777777" w:rsidR="0008476A" w:rsidRPr="0008476A" w:rsidRDefault="0008476A" w:rsidP="0008476A">
      <w:pPr>
        <w:tabs>
          <w:tab w:val="left" w:pos="851"/>
        </w:tabs>
        <w:ind w:left="851"/>
        <w:rPr>
          <w:sz w:val="24"/>
          <w:szCs w:val="24"/>
        </w:rPr>
      </w:pPr>
    </w:p>
    <w:p w14:paraId="17AE4B84" w14:textId="77777777" w:rsidR="0008476A" w:rsidRPr="0008476A" w:rsidRDefault="0008476A" w:rsidP="0008476A">
      <w:pPr>
        <w:tabs>
          <w:tab w:val="left" w:pos="851"/>
        </w:tabs>
        <w:ind w:left="851"/>
        <w:rPr>
          <w:sz w:val="24"/>
          <w:szCs w:val="24"/>
        </w:rPr>
      </w:pPr>
      <w:r w:rsidRPr="0008476A">
        <w:rPr>
          <w:sz w:val="24"/>
          <w:szCs w:val="24"/>
          <w:u w:val="single"/>
        </w:rPr>
        <w:t>Sekundære primære maligniteter</w:t>
      </w:r>
    </w:p>
    <w:p w14:paraId="1493CB84" w14:textId="77777777" w:rsidR="0008476A" w:rsidRPr="0008476A" w:rsidRDefault="0008476A" w:rsidP="0008476A">
      <w:pPr>
        <w:tabs>
          <w:tab w:val="left" w:pos="851"/>
        </w:tabs>
        <w:ind w:left="851"/>
        <w:rPr>
          <w:sz w:val="24"/>
          <w:szCs w:val="24"/>
        </w:rPr>
      </w:pPr>
      <w:r w:rsidRPr="0008476A">
        <w:rPr>
          <w:sz w:val="24"/>
          <w:szCs w:val="24"/>
        </w:rPr>
        <w:t xml:space="preserve">Tilfælde af sekundære primære maligniteter er rapporteret hos patienter behandlet med enzalutamid i kliniske studier. I kliniske fase-3 studier var de hyppigst rapporterede hændelser hos enzalutamidbehandlede patienter, og hyppigere end placebo, blærekræft (0,3 </w:t>
      </w:r>
      <w:r w:rsidRPr="0008476A">
        <w:rPr>
          <w:sz w:val="24"/>
          <w:szCs w:val="24"/>
        </w:rPr>
        <w:lastRenderedPageBreak/>
        <w:t>%), adenokarcinom i tyktarmen (0,2 %), urothelialt carcinoma (0,2 %) og malignt melanom (0,2 %).</w:t>
      </w:r>
    </w:p>
    <w:p w14:paraId="04F34227" w14:textId="77777777" w:rsidR="0008476A" w:rsidRPr="0008476A" w:rsidRDefault="0008476A" w:rsidP="0008476A">
      <w:pPr>
        <w:tabs>
          <w:tab w:val="left" w:pos="851"/>
        </w:tabs>
        <w:ind w:left="851"/>
        <w:rPr>
          <w:sz w:val="24"/>
          <w:szCs w:val="24"/>
        </w:rPr>
      </w:pPr>
    </w:p>
    <w:p w14:paraId="033D7251" w14:textId="77777777" w:rsidR="0008476A" w:rsidRPr="0008476A" w:rsidRDefault="0008476A" w:rsidP="0008476A">
      <w:pPr>
        <w:tabs>
          <w:tab w:val="left" w:pos="851"/>
        </w:tabs>
        <w:ind w:left="851"/>
        <w:rPr>
          <w:sz w:val="24"/>
          <w:szCs w:val="24"/>
        </w:rPr>
      </w:pPr>
      <w:r w:rsidRPr="0008476A">
        <w:rPr>
          <w:sz w:val="24"/>
          <w:szCs w:val="24"/>
        </w:rPr>
        <w:t>Patienter skal rådgives til straks at opsøge deres læge, hvis de bemærker tegn på, at gastrointestinal blødning, makroskopisk hæmaturi eller andre symptomer, såsom dysuri eller vandladningstrang, udvikles under behandling med enzalutamid.</w:t>
      </w:r>
    </w:p>
    <w:p w14:paraId="67573DFA" w14:textId="77777777" w:rsidR="0008476A" w:rsidRPr="0008476A" w:rsidRDefault="0008476A" w:rsidP="0008476A">
      <w:pPr>
        <w:tabs>
          <w:tab w:val="left" w:pos="851"/>
        </w:tabs>
        <w:ind w:left="851"/>
        <w:rPr>
          <w:sz w:val="24"/>
          <w:szCs w:val="24"/>
        </w:rPr>
      </w:pPr>
    </w:p>
    <w:p w14:paraId="18F194A3" w14:textId="77777777" w:rsidR="0008476A" w:rsidRPr="0008476A" w:rsidRDefault="0008476A" w:rsidP="0008476A">
      <w:pPr>
        <w:tabs>
          <w:tab w:val="left" w:pos="851"/>
        </w:tabs>
        <w:ind w:left="851"/>
        <w:rPr>
          <w:sz w:val="24"/>
          <w:szCs w:val="24"/>
        </w:rPr>
      </w:pPr>
      <w:r w:rsidRPr="0008476A">
        <w:rPr>
          <w:sz w:val="24"/>
          <w:szCs w:val="24"/>
          <w:u w:val="single"/>
        </w:rPr>
        <w:t>Samtidig anvendelse af andre lægemidler</w:t>
      </w:r>
    </w:p>
    <w:p w14:paraId="06E00284" w14:textId="77777777" w:rsidR="0008476A" w:rsidRPr="0008476A" w:rsidRDefault="0008476A" w:rsidP="0008476A">
      <w:pPr>
        <w:tabs>
          <w:tab w:val="left" w:pos="851"/>
        </w:tabs>
        <w:ind w:left="851"/>
        <w:rPr>
          <w:sz w:val="24"/>
          <w:szCs w:val="24"/>
        </w:rPr>
      </w:pPr>
      <w:r w:rsidRPr="0008476A">
        <w:rPr>
          <w:sz w:val="24"/>
          <w:szCs w:val="24"/>
        </w:rPr>
        <w:t>Enzalutamid er en stærk enzyminduktor og kan medføre, at mange almindeligt anvendte lægemidler mister deres effekt (se eksemplerne i pkt. 4.5). Lægemidler, der anvendes samtidigt bør derfor vurderes, når enzalutamidbehandling indledes. Samtidig brug af enzalutamid og andre lægemidler, der er sensitive substrater for mange metaboliserende enzymer eller transportører (se pkt. 4.5) bør generelt undgås, hvis den terapeutiske virkning har stor betydning for patienten, og hvis der ikke nemt kan foretages dosisjusteringer på baggrund af monitorering af effekt eller plasmakoncentrationer.</w:t>
      </w:r>
    </w:p>
    <w:p w14:paraId="5ACD3880" w14:textId="77777777" w:rsidR="0008476A" w:rsidRPr="0008476A" w:rsidRDefault="0008476A" w:rsidP="0008476A">
      <w:pPr>
        <w:tabs>
          <w:tab w:val="left" w:pos="851"/>
        </w:tabs>
        <w:ind w:left="851"/>
        <w:rPr>
          <w:sz w:val="24"/>
          <w:szCs w:val="24"/>
        </w:rPr>
      </w:pPr>
    </w:p>
    <w:p w14:paraId="0DFD6955" w14:textId="77777777" w:rsidR="0008476A" w:rsidRPr="0008476A" w:rsidRDefault="0008476A" w:rsidP="0008476A">
      <w:pPr>
        <w:tabs>
          <w:tab w:val="left" w:pos="851"/>
        </w:tabs>
        <w:ind w:left="851"/>
        <w:rPr>
          <w:sz w:val="24"/>
          <w:szCs w:val="24"/>
        </w:rPr>
      </w:pPr>
      <w:r w:rsidRPr="0008476A">
        <w:rPr>
          <w:sz w:val="24"/>
          <w:szCs w:val="24"/>
        </w:rPr>
        <w:t>Samtidig administration af warfarin og coumarinlignende antikoagulantia bør undgås. Hvis Enzalutamide "Teva" administreres samtidig med en antikoagulans, som metaboliseres af CYP2C9 (såsom warfarin eller acenocoumarol), bør der foretages supplerende International Normaliseret Ratio (INR)-monitorering (se pkt. 4.5).</w:t>
      </w:r>
    </w:p>
    <w:p w14:paraId="4DBEABC2" w14:textId="77777777" w:rsidR="0008476A" w:rsidRPr="0008476A" w:rsidRDefault="0008476A" w:rsidP="0008476A">
      <w:pPr>
        <w:tabs>
          <w:tab w:val="left" w:pos="851"/>
        </w:tabs>
        <w:ind w:left="851"/>
        <w:rPr>
          <w:sz w:val="24"/>
          <w:szCs w:val="24"/>
        </w:rPr>
      </w:pPr>
    </w:p>
    <w:p w14:paraId="26D00F10" w14:textId="77777777" w:rsidR="0008476A" w:rsidRPr="0008476A" w:rsidRDefault="0008476A" w:rsidP="0008476A">
      <w:pPr>
        <w:tabs>
          <w:tab w:val="left" w:pos="851"/>
        </w:tabs>
        <w:ind w:left="851"/>
        <w:rPr>
          <w:sz w:val="24"/>
          <w:szCs w:val="24"/>
        </w:rPr>
      </w:pPr>
      <w:r w:rsidRPr="0008476A">
        <w:rPr>
          <w:sz w:val="24"/>
          <w:szCs w:val="24"/>
          <w:u w:val="single"/>
        </w:rPr>
        <w:t>Nedsat nyrefunktion</w:t>
      </w:r>
    </w:p>
    <w:p w14:paraId="16DEADA2" w14:textId="77777777" w:rsidR="0008476A" w:rsidRPr="0008476A" w:rsidRDefault="0008476A" w:rsidP="0008476A">
      <w:pPr>
        <w:tabs>
          <w:tab w:val="left" w:pos="851"/>
        </w:tabs>
        <w:ind w:left="851"/>
        <w:rPr>
          <w:sz w:val="24"/>
          <w:szCs w:val="24"/>
        </w:rPr>
      </w:pPr>
      <w:r w:rsidRPr="0008476A">
        <w:rPr>
          <w:sz w:val="24"/>
          <w:szCs w:val="24"/>
        </w:rPr>
        <w:t>Forsigtighed er påkrævet hos patienter med svært nedsat nyrefunktion, da enzalutamid ikke er undersøgt i denne patientpopulation.</w:t>
      </w:r>
    </w:p>
    <w:p w14:paraId="77B7EB00" w14:textId="77777777" w:rsidR="0008476A" w:rsidRPr="0008476A" w:rsidRDefault="0008476A" w:rsidP="0008476A">
      <w:pPr>
        <w:tabs>
          <w:tab w:val="left" w:pos="851"/>
        </w:tabs>
        <w:ind w:left="851"/>
        <w:rPr>
          <w:sz w:val="24"/>
          <w:szCs w:val="24"/>
        </w:rPr>
      </w:pPr>
    </w:p>
    <w:p w14:paraId="65BF6652" w14:textId="77777777" w:rsidR="0008476A" w:rsidRPr="0008476A" w:rsidRDefault="0008476A" w:rsidP="0008476A">
      <w:pPr>
        <w:tabs>
          <w:tab w:val="left" w:pos="851"/>
        </w:tabs>
        <w:ind w:left="851"/>
        <w:rPr>
          <w:sz w:val="24"/>
          <w:szCs w:val="24"/>
        </w:rPr>
      </w:pPr>
      <w:r w:rsidRPr="0008476A">
        <w:rPr>
          <w:sz w:val="24"/>
          <w:szCs w:val="24"/>
          <w:u w:val="single"/>
        </w:rPr>
        <w:t>Svært nedsat leverfunktion</w:t>
      </w:r>
    </w:p>
    <w:p w14:paraId="7A52BC0E" w14:textId="364FF34C" w:rsidR="0008476A" w:rsidRPr="0008476A" w:rsidRDefault="0008476A" w:rsidP="0008476A">
      <w:pPr>
        <w:tabs>
          <w:tab w:val="left" w:pos="851"/>
        </w:tabs>
        <w:ind w:left="851"/>
        <w:rPr>
          <w:sz w:val="24"/>
          <w:szCs w:val="24"/>
        </w:rPr>
      </w:pPr>
      <w:r w:rsidRPr="0008476A">
        <w:rPr>
          <w:sz w:val="24"/>
          <w:szCs w:val="24"/>
        </w:rPr>
        <w:t xml:space="preserve">Der er observeret en længere halveringstid for enzalutamid hos patienter med svært nedsat leverfunktion, som muligvis har sammenhæng med øget vævsdistribution. Den kliniske relevans af denne observation er ukendt. Det forventes imidlertid, at der går længere tid, inden </w:t>
      </w:r>
      <w:r w:rsidRPr="0008476A">
        <w:rPr>
          <w:i/>
          <w:sz w:val="24"/>
          <w:szCs w:val="24"/>
        </w:rPr>
        <w:t>steady</w:t>
      </w:r>
      <w:r>
        <w:rPr>
          <w:i/>
          <w:sz w:val="24"/>
          <w:szCs w:val="24"/>
        </w:rPr>
        <w:t xml:space="preserve"> </w:t>
      </w:r>
      <w:r w:rsidRPr="0008476A">
        <w:rPr>
          <w:i/>
          <w:sz w:val="24"/>
          <w:szCs w:val="24"/>
        </w:rPr>
        <w:t>state</w:t>
      </w:r>
      <w:r w:rsidRPr="0008476A">
        <w:rPr>
          <w:sz w:val="24"/>
          <w:szCs w:val="24"/>
        </w:rPr>
        <w:t>-koncentrationer nås, og tiden til den maksimale farmakologiske effekt samt tiden for start og fald i enzyminduktion (se pkt. 4.5) kan være øget.</w:t>
      </w:r>
    </w:p>
    <w:p w14:paraId="53054ECF" w14:textId="77777777" w:rsidR="0008476A" w:rsidRPr="0008476A" w:rsidRDefault="0008476A" w:rsidP="0008476A">
      <w:pPr>
        <w:tabs>
          <w:tab w:val="left" w:pos="851"/>
        </w:tabs>
        <w:ind w:left="851"/>
        <w:rPr>
          <w:sz w:val="24"/>
          <w:szCs w:val="24"/>
        </w:rPr>
      </w:pPr>
    </w:p>
    <w:p w14:paraId="0DAD406E" w14:textId="77777777" w:rsidR="0008476A" w:rsidRPr="0008476A" w:rsidRDefault="0008476A" w:rsidP="0008476A">
      <w:pPr>
        <w:tabs>
          <w:tab w:val="left" w:pos="851"/>
        </w:tabs>
        <w:ind w:left="851"/>
        <w:rPr>
          <w:sz w:val="24"/>
          <w:szCs w:val="24"/>
        </w:rPr>
      </w:pPr>
      <w:r w:rsidRPr="0008476A">
        <w:rPr>
          <w:sz w:val="24"/>
          <w:szCs w:val="24"/>
          <w:u w:val="single"/>
        </w:rPr>
        <w:t>Nylig kardiovaskulær sygdom</w:t>
      </w:r>
    </w:p>
    <w:p w14:paraId="4A8D7EA6" w14:textId="77777777" w:rsidR="0008476A" w:rsidRPr="0008476A" w:rsidRDefault="0008476A" w:rsidP="0008476A">
      <w:pPr>
        <w:tabs>
          <w:tab w:val="left" w:pos="851"/>
        </w:tabs>
        <w:ind w:left="851"/>
        <w:rPr>
          <w:sz w:val="24"/>
          <w:szCs w:val="24"/>
        </w:rPr>
      </w:pPr>
      <w:r w:rsidRPr="0008476A">
        <w:rPr>
          <w:sz w:val="24"/>
          <w:szCs w:val="24"/>
        </w:rPr>
        <w:t>Fase 3-studierne udelukkede patienter med nyligt myokardieinfarkt (inden for de seneste 6 måneder) eller ustabil angina (inden for de seneste 3 måneder), hjertesvigt af NYHA (New York Heart Association) klasse III eller IV, medmindre venstre ventrikels uddrivningsfraktion (LVEF) ≥ 45 %, bradykardi eller ukontrolleret hypertension. Dette skal tages i betragtning, hvis Enzalutamide "Teva" ordineres til disse patienter.</w:t>
      </w:r>
    </w:p>
    <w:p w14:paraId="3140731B" w14:textId="77777777" w:rsidR="0008476A" w:rsidRPr="0008476A" w:rsidRDefault="0008476A" w:rsidP="0008476A">
      <w:pPr>
        <w:tabs>
          <w:tab w:val="left" w:pos="851"/>
        </w:tabs>
        <w:ind w:left="851"/>
        <w:rPr>
          <w:sz w:val="24"/>
          <w:szCs w:val="24"/>
        </w:rPr>
      </w:pPr>
    </w:p>
    <w:p w14:paraId="108CB39F" w14:textId="77777777" w:rsidR="0008476A" w:rsidRPr="0008476A" w:rsidRDefault="0008476A" w:rsidP="0008476A">
      <w:pPr>
        <w:tabs>
          <w:tab w:val="left" w:pos="851"/>
        </w:tabs>
        <w:ind w:left="851"/>
        <w:rPr>
          <w:sz w:val="24"/>
          <w:szCs w:val="24"/>
        </w:rPr>
      </w:pPr>
      <w:r w:rsidRPr="0008476A">
        <w:rPr>
          <w:sz w:val="24"/>
          <w:szCs w:val="24"/>
          <w:u w:val="single"/>
        </w:rPr>
        <w:t>Androgen deprivationsterapi kan forlænge QT-intervallet</w:t>
      </w:r>
    </w:p>
    <w:p w14:paraId="00D381F4" w14:textId="77777777" w:rsidR="0008476A" w:rsidRPr="0008476A" w:rsidRDefault="0008476A" w:rsidP="0008476A">
      <w:pPr>
        <w:tabs>
          <w:tab w:val="left" w:pos="851"/>
        </w:tabs>
        <w:ind w:left="851"/>
        <w:rPr>
          <w:sz w:val="24"/>
          <w:szCs w:val="24"/>
        </w:rPr>
      </w:pPr>
      <w:r w:rsidRPr="0008476A">
        <w:rPr>
          <w:sz w:val="24"/>
          <w:szCs w:val="24"/>
        </w:rPr>
        <w:t>Hos patienter med anamnese med eller risikofaktorer for QT-forlængelse og hos patienter, der samtidig får lægemidler, der kan forlænge QT-intervallet (se pkt. 4.5), skal risk/benefit-forholdet vurderes, herunder potentialet for torsades de pointes, før Enzalutamide "Teva"-behandling påbegyndes.</w:t>
      </w:r>
    </w:p>
    <w:p w14:paraId="4D2D210A" w14:textId="77777777" w:rsidR="0008476A" w:rsidRPr="0008476A" w:rsidRDefault="0008476A" w:rsidP="0008476A">
      <w:pPr>
        <w:tabs>
          <w:tab w:val="left" w:pos="851"/>
        </w:tabs>
        <w:ind w:left="851"/>
        <w:rPr>
          <w:sz w:val="24"/>
          <w:szCs w:val="24"/>
        </w:rPr>
      </w:pPr>
    </w:p>
    <w:p w14:paraId="57596DB3" w14:textId="77777777" w:rsidR="0008476A" w:rsidRPr="0008476A" w:rsidRDefault="0008476A" w:rsidP="0008476A">
      <w:pPr>
        <w:tabs>
          <w:tab w:val="left" w:pos="851"/>
        </w:tabs>
        <w:ind w:left="851"/>
        <w:rPr>
          <w:sz w:val="24"/>
          <w:szCs w:val="24"/>
        </w:rPr>
      </w:pPr>
      <w:r w:rsidRPr="0008476A">
        <w:rPr>
          <w:sz w:val="24"/>
          <w:szCs w:val="24"/>
          <w:u w:val="single"/>
        </w:rPr>
        <w:t>Anvendelse sammen med kemoterapi</w:t>
      </w:r>
    </w:p>
    <w:p w14:paraId="1CD25501" w14:textId="77777777" w:rsidR="0008476A" w:rsidRPr="0008476A" w:rsidRDefault="0008476A" w:rsidP="0008476A">
      <w:pPr>
        <w:tabs>
          <w:tab w:val="left" w:pos="851"/>
        </w:tabs>
        <w:ind w:left="851"/>
        <w:rPr>
          <w:sz w:val="24"/>
          <w:szCs w:val="24"/>
        </w:rPr>
      </w:pPr>
      <w:r w:rsidRPr="0008476A">
        <w:rPr>
          <w:sz w:val="24"/>
          <w:szCs w:val="24"/>
        </w:rPr>
        <w:t>Sikkerheden og effekten af samtidig anvendelse af Enzalutamide "Teva" og cytotoksisk kemoterapi er ikke fastslået. Ved samtidig administration har enzalutamid ingen klinisk relevant effekt på farmakokinetikken af intravenøs docetaxel (se pkt. 4.5), dog kan en øget forekomst af docetaxel-induceret neutropeni ikke udelukkes.</w:t>
      </w:r>
    </w:p>
    <w:p w14:paraId="4C13CD32" w14:textId="77777777" w:rsidR="0008476A" w:rsidRPr="0008476A" w:rsidRDefault="0008476A" w:rsidP="0008476A">
      <w:pPr>
        <w:tabs>
          <w:tab w:val="left" w:pos="851"/>
        </w:tabs>
        <w:ind w:left="851"/>
        <w:rPr>
          <w:sz w:val="24"/>
          <w:szCs w:val="24"/>
        </w:rPr>
      </w:pPr>
    </w:p>
    <w:p w14:paraId="2EB3DC18" w14:textId="77777777" w:rsidR="0008476A" w:rsidRPr="0008476A" w:rsidRDefault="0008476A" w:rsidP="0008476A">
      <w:pPr>
        <w:tabs>
          <w:tab w:val="left" w:pos="851"/>
        </w:tabs>
        <w:ind w:left="851"/>
        <w:rPr>
          <w:sz w:val="24"/>
          <w:szCs w:val="24"/>
        </w:rPr>
      </w:pPr>
      <w:r w:rsidRPr="0008476A">
        <w:rPr>
          <w:sz w:val="24"/>
          <w:szCs w:val="24"/>
          <w:u w:val="single"/>
        </w:rPr>
        <w:lastRenderedPageBreak/>
        <w:t>Svære hudreaktioner</w:t>
      </w:r>
    </w:p>
    <w:p w14:paraId="450F51E5" w14:textId="77777777" w:rsidR="0008476A" w:rsidRPr="0008476A" w:rsidRDefault="0008476A" w:rsidP="0008476A">
      <w:pPr>
        <w:tabs>
          <w:tab w:val="left" w:pos="851"/>
        </w:tabs>
        <w:ind w:left="851"/>
        <w:rPr>
          <w:sz w:val="24"/>
          <w:szCs w:val="24"/>
        </w:rPr>
      </w:pPr>
      <w:r w:rsidRPr="0008476A">
        <w:rPr>
          <w:sz w:val="24"/>
          <w:szCs w:val="24"/>
        </w:rPr>
        <w:t>Svære kutane bivirkninger (SCARs), herunder Stevens-Johnson syndrom, som kan være livstruende eller letale, er blevet rapporteret ved enzalutamidbehandling.</w:t>
      </w:r>
    </w:p>
    <w:p w14:paraId="77C59B79" w14:textId="77777777" w:rsidR="0008476A" w:rsidRPr="0008476A" w:rsidRDefault="0008476A" w:rsidP="0008476A">
      <w:pPr>
        <w:tabs>
          <w:tab w:val="left" w:pos="851"/>
        </w:tabs>
        <w:ind w:left="851"/>
        <w:rPr>
          <w:sz w:val="24"/>
          <w:szCs w:val="24"/>
        </w:rPr>
      </w:pPr>
    </w:p>
    <w:p w14:paraId="72EA76A0" w14:textId="77777777" w:rsidR="0008476A" w:rsidRPr="0008476A" w:rsidRDefault="0008476A" w:rsidP="0008476A">
      <w:pPr>
        <w:tabs>
          <w:tab w:val="left" w:pos="851"/>
        </w:tabs>
        <w:ind w:left="851"/>
        <w:rPr>
          <w:sz w:val="24"/>
          <w:szCs w:val="24"/>
        </w:rPr>
      </w:pPr>
      <w:r w:rsidRPr="0008476A">
        <w:rPr>
          <w:sz w:val="24"/>
          <w:szCs w:val="24"/>
        </w:rPr>
        <w:t>På ordinationstidspunktet skal patienterne rådgives om tegn og symptomer, samt monitoreres nøje for hudreaktioner.</w:t>
      </w:r>
    </w:p>
    <w:p w14:paraId="27D5DA21" w14:textId="77777777" w:rsidR="0008476A" w:rsidRPr="0008476A" w:rsidRDefault="0008476A" w:rsidP="0008476A">
      <w:pPr>
        <w:tabs>
          <w:tab w:val="left" w:pos="851"/>
        </w:tabs>
        <w:ind w:left="851"/>
        <w:rPr>
          <w:sz w:val="24"/>
          <w:szCs w:val="24"/>
        </w:rPr>
      </w:pPr>
    </w:p>
    <w:p w14:paraId="521DDD28" w14:textId="77777777" w:rsidR="0008476A" w:rsidRPr="0008476A" w:rsidRDefault="0008476A" w:rsidP="0008476A">
      <w:pPr>
        <w:tabs>
          <w:tab w:val="left" w:pos="851"/>
        </w:tabs>
        <w:ind w:left="851"/>
        <w:rPr>
          <w:sz w:val="24"/>
          <w:szCs w:val="24"/>
        </w:rPr>
      </w:pPr>
      <w:r w:rsidRPr="0008476A">
        <w:rPr>
          <w:sz w:val="24"/>
          <w:szCs w:val="24"/>
        </w:rPr>
        <w:t>Hvis der opstår tegn og symptomer, der tyder på denne reaktion, skal enzalutamid straks seponeres, og en anden passende behandling skal overvejes (efter behov).</w:t>
      </w:r>
    </w:p>
    <w:p w14:paraId="5EBA3812" w14:textId="77777777" w:rsidR="0008476A" w:rsidRPr="0008476A" w:rsidRDefault="0008476A" w:rsidP="0008476A">
      <w:pPr>
        <w:tabs>
          <w:tab w:val="left" w:pos="851"/>
        </w:tabs>
        <w:ind w:left="851"/>
        <w:rPr>
          <w:sz w:val="24"/>
          <w:szCs w:val="24"/>
        </w:rPr>
      </w:pPr>
    </w:p>
    <w:p w14:paraId="29060400" w14:textId="77777777" w:rsidR="0008476A" w:rsidRPr="0008476A" w:rsidRDefault="0008476A" w:rsidP="0008476A">
      <w:pPr>
        <w:tabs>
          <w:tab w:val="left" w:pos="851"/>
        </w:tabs>
        <w:ind w:left="851"/>
        <w:rPr>
          <w:sz w:val="24"/>
          <w:szCs w:val="24"/>
        </w:rPr>
      </w:pPr>
      <w:r w:rsidRPr="0008476A">
        <w:rPr>
          <w:sz w:val="24"/>
          <w:szCs w:val="24"/>
          <w:u w:val="single"/>
        </w:rPr>
        <w:t>Overfølsomhedsreaktioner</w:t>
      </w:r>
    </w:p>
    <w:p w14:paraId="66D43855" w14:textId="77777777" w:rsidR="0008476A" w:rsidRPr="0008476A" w:rsidRDefault="0008476A" w:rsidP="0008476A">
      <w:pPr>
        <w:tabs>
          <w:tab w:val="left" w:pos="851"/>
        </w:tabs>
        <w:ind w:left="851"/>
        <w:rPr>
          <w:sz w:val="24"/>
          <w:szCs w:val="24"/>
        </w:rPr>
      </w:pPr>
      <w:r w:rsidRPr="0008476A">
        <w:rPr>
          <w:sz w:val="24"/>
          <w:szCs w:val="24"/>
        </w:rPr>
        <w:t>Der er observeret overfølsomhedsreaktioner med enzalutamid, som viser sig ved symptomer, der omfatter, men ikke er begrænset til, udslæt eller ansigts-, tunge-, læbeødem eller faryngealt ødem (se pkt. 4.8).</w:t>
      </w:r>
    </w:p>
    <w:p w14:paraId="768207E4" w14:textId="77777777" w:rsidR="0008476A" w:rsidRPr="0008476A" w:rsidRDefault="0008476A" w:rsidP="0008476A">
      <w:pPr>
        <w:tabs>
          <w:tab w:val="left" w:pos="851"/>
        </w:tabs>
        <w:ind w:left="851"/>
        <w:rPr>
          <w:sz w:val="24"/>
          <w:szCs w:val="24"/>
        </w:rPr>
      </w:pPr>
    </w:p>
    <w:p w14:paraId="7575AF0F" w14:textId="77777777" w:rsidR="0008476A" w:rsidRPr="0008476A" w:rsidRDefault="0008476A" w:rsidP="0008476A">
      <w:pPr>
        <w:tabs>
          <w:tab w:val="left" w:pos="851"/>
        </w:tabs>
        <w:ind w:left="851"/>
        <w:rPr>
          <w:sz w:val="24"/>
          <w:szCs w:val="24"/>
        </w:rPr>
      </w:pPr>
      <w:r w:rsidRPr="0008476A">
        <w:rPr>
          <w:sz w:val="24"/>
          <w:szCs w:val="24"/>
          <w:u w:val="single"/>
        </w:rPr>
        <w:t>Enzalutamide "Teva" som monoterapi hos patienter med højrisiko-BCR nmHSPC</w:t>
      </w:r>
    </w:p>
    <w:p w14:paraId="3EC9CEC1" w14:textId="77777777" w:rsidR="0008476A" w:rsidRPr="0008476A" w:rsidRDefault="0008476A" w:rsidP="0008476A">
      <w:pPr>
        <w:tabs>
          <w:tab w:val="left" w:pos="851"/>
        </w:tabs>
        <w:ind w:left="851"/>
        <w:rPr>
          <w:sz w:val="24"/>
          <w:szCs w:val="24"/>
        </w:rPr>
      </w:pPr>
      <w:r w:rsidRPr="0008476A">
        <w:rPr>
          <w:sz w:val="24"/>
          <w:szCs w:val="24"/>
        </w:rPr>
        <w:t>Resultaterne af EMBARK-studiet tyder på, at Enzalutamide "Teva" som monoterapi og i kombination med androgen deprivationsbehandling ikke er ækvivalente behandlingsmuligheder hos patienter med højrisiko-BCR nmHSPC (se pkt. 4.8 og 5.1). Enzalutamid i kombination med androgen deprivationsbehandling anses for at være den foretrukne behandlingsmulighed bortset fra tilfælde, hvor tillæg af androgen deprivationsbehandling kan resultere i uacceptabel toksicitet eller risiko.</w:t>
      </w:r>
    </w:p>
    <w:p w14:paraId="5F0DA923" w14:textId="77777777" w:rsidR="0008476A" w:rsidRPr="0008476A" w:rsidRDefault="0008476A" w:rsidP="0008476A">
      <w:pPr>
        <w:tabs>
          <w:tab w:val="left" w:pos="851"/>
        </w:tabs>
        <w:ind w:left="851"/>
        <w:rPr>
          <w:sz w:val="24"/>
          <w:szCs w:val="24"/>
        </w:rPr>
      </w:pPr>
    </w:p>
    <w:p w14:paraId="2A1E9A8E" w14:textId="77777777" w:rsidR="0008476A" w:rsidRPr="0008476A" w:rsidRDefault="0008476A" w:rsidP="0008476A">
      <w:pPr>
        <w:tabs>
          <w:tab w:val="left" w:pos="851"/>
        </w:tabs>
        <w:ind w:left="851"/>
        <w:rPr>
          <w:sz w:val="24"/>
          <w:szCs w:val="24"/>
        </w:rPr>
      </w:pPr>
      <w:r w:rsidRPr="0008476A">
        <w:rPr>
          <w:sz w:val="24"/>
          <w:szCs w:val="24"/>
          <w:u w:val="single"/>
        </w:rPr>
        <w:t>Dysfagi forbundet med produktets formulering</w:t>
      </w:r>
    </w:p>
    <w:p w14:paraId="731BF035" w14:textId="77777777" w:rsidR="0008476A" w:rsidRPr="0008476A" w:rsidRDefault="0008476A" w:rsidP="0008476A">
      <w:pPr>
        <w:tabs>
          <w:tab w:val="left" w:pos="851"/>
        </w:tabs>
        <w:ind w:left="851"/>
        <w:rPr>
          <w:sz w:val="24"/>
          <w:szCs w:val="24"/>
        </w:rPr>
      </w:pPr>
      <w:r w:rsidRPr="0008476A">
        <w:rPr>
          <w:sz w:val="24"/>
          <w:szCs w:val="24"/>
        </w:rPr>
        <w:t>Der har været rapporter om patienter, som oplever, at det er svært at synke andre enzalutamid-produkter, herunder rapporter om patienter, som har fået det galt i halsen. Synkebesværet og de hændelser, hvor patienter har fået lægemidlet galt i halsen, blev for det meste rapporteret med kapselformuleringen, hvilket kan være forbundet med en større produktstørrelse. Patienterne skal rådes til at synke tabletterne hele med en tilstrækkelig mængde vand.</w:t>
      </w:r>
    </w:p>
    <w:p w14:paraId="11DB0B0E" w14:textId="77777777" w:rsidR="0008476A" w:rsidRPr="0008476A" w:rsidRDefault="0008476A" w:rsidP="0008476A">
      <w:pPr>
        <w:tabs>
          <w:tab w:val="left" w:pos="851"/>
        </w:tabs>
        <w:ind w:left="851"/>
        <w:rPr>
          <w:sz w:val="24"/>
          <w:szCs w:val="24"/>
        </w:rPr>
      </w:pPr>
    </w:p>
    <w:p w14:paraId="1B43DDD9" w14:textId="77777777" w:rsidR="0008476A" w:rsidRPr="0008476A" w:rsidRDefault="0008476A" w:rsidP="0008476A">
      <w:pPr>
        <w:tabs>
          <w:tab w:val="left" w:pos="851"/>
        </w:tabs>
        <w:ind w:left="851"/>
        <w:rPr>
          <w:sz w:val="24"/>
          <w:szCs w:val="24"/>
        </w:rPr>
      </w:pPr>
      <w:r w:rsidRPr="0008476A">
        <w:rPr>
          <w:sz w:val="24"/>
          <w:szCs w:val="24"/>
          <w:u w:val="single"/>
        </w:rPr>
        <w:t>Hjælpestoffer</w:t>
      </w:r>
    </w:p>
    <w:p w14:paraId="15A2856F" w14:textId="77777777" w:rsidR="0008476A" w:rsidRPr="0008476A" w:rsidRDefault="0008476A" w:rsidP="0008476A">
      <w:pPr>
        <w:tabs>
          <w:tab w:val="left" w:pos="851"/>
        </w:tabs>
        <w:ind w:left="851"/>
        <w:rPr>
          <w:sz w:val="24"/>
          <w:szCs w:val="24"/>
        </w:rPr>
      </w:pPr>
      <w:r w:rsidRPr="0008476A">
        <w:rPr>
          <w:sz w:val="24"/>
          <w:szCs w:val="24"/>
        </w:rPr>
        <w:t>Dette lægemiddel indeholder mindre end 1 mmol (23 mg) natrium pr. dosis, dvs. det er i det væsentlige natriumfrit.</w:t>
      </w:r>
    </w:p>
    <w:p w14:paraId="70D16B77" w14:textId="77777777" w:rsidR="009260DE" w:rsidRPr="00C84483" w:rsidRDefault="009260DE" w:rsidP="009260DE">
      <w:pPr>
        <w:tabs>
          <w:tab w:val="left" w:pos="851"/>
        </w:tabs>
        <w:ind w:left="851"/>
        <w:rPr>
          <w:sz w:val="24"/>
          <w:szCs w:val="24"/>
        </w:rPr>
      </w:pPr>
    </w:p>
    <w:p w14:paraId="2D1498B6"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03B584EC" w14:textId="77777777" w:rsidR="0054285D" w:rsidRPr="0054285D" w:rsidRDefault="0054285D" w:rsidP="0054285D">
      <w:pPr>
        <w:tabs>
          <w:tab w:val="left" w:pos="851"/>
        </w:tabs>
        <w:ind w:left="851"/>
        <w:rPr>
          <w:b/>
          <w:sz w:val="24"/>
          <w:szCs w:val="24"/>
        </w:rPr>
      </w:pPr>
    </w:p>
    <w:p w14:paraId="65B9000A" w14:textId="77777777" w:rsidR="0054285D" w:rsidRPr="0054285D" w:rsidRDefault="0054285D" w:rsidP="0054285D">
      <w:pPr>
        <w:tabs>
          <w:tab w:val="left" w:pos="851"/>
        </w:tabs>
        <w:ind w:left="851"/>
        <w:rPr>
          <w:sz w:val="24"/>
          <w:szCs w:val="24"/>
        </w:rPr>
      </w:pPr>
      <w:r w:rsidRPr="0054285D">
        <w:rPr>
          <w:sz w:val="24"/>
          <w:szCs w:val="24"/>
          <w:u w:val="single"/>
        </w:rPr>
        <w:t>Andre lægemidlers potentiale til at påvirke enzalutamideksponeringer</w:t>
      </w:r>
    </w:p>
    <w:p w14:paraId="05436337" w14:textId="77777777" w:rsidR="0054285D" w:rsidRPr="0054285D" w:rsidRDefault="0054285D" w:rsidP="0054285D">
      <w:pPr>
        <w:tabs>
          <w:tab w:val="left" w:pos="851"/>
        </w:tabs>
        <w:ind w:left="851"/>
        <w:rPr>
          <w:sz w:val="24"/>
          <w:szCs w:val="24"/>
        </w:rPr>
      </w:pPr>
    </w:p>
    <w:p w14:paraId="0541F7D2" w14:textId="77777777" w:rsidR="0054285D" w:rsidRPr="0054285D" w:rsidRDefault="0054285D" w:rsidP="0054285D">
      <w:pPr>
        <w:tabs>
          <w:tab w:val="left" w:pos="851"/>
        </w:tabs>
        <w:ind w:left="851"/>
        <w:rPr>
          <w:i/>
          <w:sz w:val="24"/>
          <w:szCs w:val="24"/>
        </w:rPr>
      </w:pPr>
      <w:r w:rsidRPr="0054285D">
        <w:rPr>
          <w:i/>
          <w:sz w:val="24"/>
          <w:szCs w:val="24"/>
        </w:rPr>
        <w:t>CYP2C8-hæmmere</w:t>
      </w:r>
    </w:p>
    <w:p w14:paraId="4ECCE7AA" w14:textId="77777777" w:rsidR="0054285D" w:rsidRPr="0054285D" w:rsidRDefault="0054285D" w:rsidP="0054285D">
      <w:pPr>
        <w:tabs>
          <w:tab w:val="left" w:pos="851"/>
        </w:tabs>
        <w:ind w:left="851"/>
        <w:rPr>
          <w:sz w:val="24"/>
          <w:szCs w:val="24"/>
        </w:rPr>
      </w:pPr>
      <w:r w:rsidRPr="0054285D">
        <w:rPr>
          <w:sz w:val="24"/>
          <w:szCs w:val="24"/>
        </w:rPr>
        <w:t>CYP2C8 spiller en væsentlig rolle i eliminationen af enzalutamid og i dannelsen af den aktive metabolit deraf. Efter oral administration af den kraftige CYP2C8-hæmmer gemfibrozil (600 mg to gange dagligt) til raske mandlige forsøgspersoner blev AUC for enzalutamid forøget med 326 %, mens Cmax for enzalutamid faldt med 18 %. For summen af ubundet enzalutamid plus den ubundne aktive metabolit blev AUC forøget med 77 %, mens Cmax faldt med 19 %. Kraftige hæmmere (f.eks. gemfibrozil) af CYP2C8 skal undgås eller anvendes med forsigtighed under behandling med enzalutamid. Hvis patienterne samtidig skal have administreret en kraftig CYP2C8-hæmmer, bør dosis af enzalutamid reduceres til 80 mg én gang dagligt (se pkt. 4.2).</w:t>
      </w:r>
    </w:p>
    <w:p w14:paraId="25E03D53" w14:textId="2CFB02D6" w:rsidR="0054285D" w:rsidRDefault="0054285D">
      <w:pPr>
        <w:rPr>
          <w:sz w:val="24"/>
          <w:szCs w:val="24"/>
        </w:rPr>
      </w:pPr>
      <w:r>
        <w:rPr>
          <w:sz w:val="24"/>
          <w:szCs w:val="24"/>
        </w:rPr>
        <w:br w:type="page"/>
      </w:r>
    </w:p>
    <w:p w14:paraId="34A8A6DB" w14:textId="77777777" w:rsidR="0054285D" w:rsidRPr="0054285D" w:rsidRDefault="0054285D" w:rsidP="0054285D">
      <w:pPr>
        <w:tabs>
          <w:tab w:val="left" w:pos="851"/>
        </w:tabs>
        <w:ind w:left="851"/>
        <w:rPr>
          <w:sz w:val="24"/>
          <w:szCs w:val="24"/>
        </w:rPr>
      </w:pPr>
    </w:p>
    <w:p w14:paraId="269D6774" w14:textId="77777777" w:rsidR="0054285D" w:rsidRPr="0054285D" w:rsidRDefault="0054285D" w:rsidP="0054285D">
      <w:pPr>
        <w:tabs>
          <w:tab w:val="left" w:pos="851"/>
        </w:tabs>
        <w:ind w:left="851"/>
        <w:rPr>
          <w:i/>
          <w:sz w:val="24"/>
          <w:szCs w:val="24"/>
        </w:rPr>
      </w:pPr>
      <w:r w:rsidRPr="0054285D">
        <w:rPr>
          <w:i/>
          <w:sz w:val="24"/>
          <w:szCs w:val="24"/>
        </w:rPr>
        <w:t>CYP3A4-hæmmere</w:t>
      </w:r>
    </w:p>
    <w:p w14:paraId="7F969FDC" w14:textId="77777777" w:rsidR="0054285D" w:rsidRPr="0054285D" w:rsidRDefault="0054285D" w:rsidP="0054285D">
      <w:pPr>
        <w:tabs>
          <w:tab w:val="left" w:pos="851"/>
        </w:tabs>
        <w:ind w:left="851"/>
        <w:rPr>
          <w:sz w:val="24"/>
          <w:szCs w:val="24"/>
        </w:rPr>
      </w:pPr>
      <w:r w:rsidRPr="0054285D">
        <w:rPr>
          <w:sz w:val="24"/>
          <w:szCs w:val="24"/>
        </w:rPr>
        <w:t>CYP3A4 spiller en mindre rolle i metabolismen af enzalutamid. Efter oral administration af den kraftige CYP3A4-hæmmer itraconazol (200 mg én gang dagligt) til raske mandlige forsøgspersoner blev AUC for enzalutamid forøget med 41 %, mens Cmax var uændret. For summen af ubundet enzalutamid plus den ubundne aktive metabolit blev AUC forøget med 27 %, mens Cmax igen var uændret. Dosisjustering er ikke nødvendig, når Enzalutamide "Teva" administreres samtidig med hæmmere af CYP3A4.</w:t>
      </w:r>
    </w:p>
    <w:p w14:paraId="507FA924" w14:textId="77777777" w:rsidR="0054285D" w:rsidRPr="0054285D" w:rsidRDefault="0054285D" w:rsidP="0054285D">
      <w:pPr>
        <w:tabs>
          <w:tab w:val="left" w:pos="851"/>
        </w:tabs>
        <w:ind w:left="851"/>
        <w:rPr>
          <w:sz w:val="24"/>
          <w:szCs w:val="24"/>
        </w:rPr>
      </w:pPr>
    </w:p>
    <w:p w14:paraId="4C88AB69" w14:textId="77777777" w:rsidR="0054285D" w:rsidRPr="0054285D" w:rsidRDefault="0054285D" w:rsidP="0054285D">
      <w:pPr>
        <w:tabs>
          <w:tab w:val="left" w:pos="851"/>
        </w:tabs>
        <w:ind w:left="851"/>
        <w:rPr>
          <w:i/>
          <w:sz w:val="24"/>
          <w:szCs w:val="24"/>
        </w:rPr>
      </w:pPr>
      <w:r w:rsidRPr="0054285D">
        <w:rPr>
          <w:i/>
          <w:sz w:val="24"/>
          <w:szCs w:val="24"/>
        </w:rPr>
        <w:t>CYP2C8- og CYP3A4-induktorer</w:t>
      </w:r>
    </w:p>
    <w:p w14:paraId="3224B31D" w14:textId="77777777" w:rsidR="0054285D" w:rsidRPr="0054285D" w:rsidRDefault="0054285D" w:rsidP="0054285D">
      <w:pPr>
        <w:tabs>
          <w:tab w:val="left" w:pos="851"/>
        </w:tabs>
        <w:ind w:left="851"/>
        <w:rPr>
          <w:sz w:val="24"/>
          <w:szCs w:val="24"/>
        </w:rPr>
      </w:pPr>
      <w:r w:rsidRPr="0054285D">
        <w:rPr>
          <w:sz w:val="24"/>
          <w:szCs w:val="24"/>
        </w:rPr>
        <w:t>Efter oral administration af den moderate CYP2C8- og kraftige CYP3A4-induktor rifampin (600 mg én gang dagligt) til raske mandlige forsøgspersoner blev AUC af enzalutamid plus den aktive metabolit reduceret med 37 %, mens Cmax forblev uændret. Det er ikke nødvendigt med dosisjustering, når Enzalutamide "Teva" administreres samtidig med induktorer af CYP2C8 eller CYP3A4.</w:t>
      </w:r>
    </w:p>
    <w:p w14:paraId="44F81C74" w14:textId="77777777" w:rsidR="0054285D" w:rsidRPr="0054285D" w:rsidRDefault="0054285D" w:rsidP="0054285D">
      <w:pPr>
        <w:tabs>
          <w:tab w:val="left" w:pos="851"/>
        </w:tabs>
        <w:ind w:left="851"/>
        <w:rPr>
          <w:sz w:val="24"/>
          <w:szCs w:val="24"/>
        </w:rPr>
      </w:pPr>
    </w:p>
    <w:p w14:paraId="7D685B77" w14:textId="77777777" w:rsidR="0054285D" w:rsidRPr="0054285D" w:rsidRDefault="0054285D" w:rsidP="0054285D">
      <w:pPr>
        <w:tabs>
          <w:tab w:val="left" w:pos="851"/>
        </w:tabs>
        <w:ind w:left="851"/>
        <w:rPr>
          <w:sz w:val="24"/>
          <w:szCs w:val="24"/>
        </w:rPr>
      </w:pPr>
      <w:r w:rsidRPr="0054285D">
        <w:rPr>
          <w:sz w:val="24"/>
          <w:szCs w:val="24"/>
          <w:u w:val="single"/>
        </w:rPr>
        <w:t>Enzalutamids potentiale til at påvirke eksponeringerne for andre lægemidler</w:t>
      </w:r>
    </w:p>
    <w:p w14:paraId="2789CF74" w14:textId="77777777" w:rsidR="0054285D" w:rsidRPr="0054285D" w:rsidRDefault="0054285D" w:rsidP="0054285D">
      <w:pPr>
        <w:tabs>
          <w:tab w:val="left" w:pos="851"/>
        </w:tabs>
        <w:ind w:left="851"/>
        <w:rPr>
          <w:sz w:val="24"/>
          <w:szCs w:val="24"/>
        </w:rPr>
      </w:pPr>
    </w:p>
    <w:p w14:paraId="6CE86C48" w14:textId="77777777" w:rsidR="0054285D" w:rsidRPr="0054285D" w:rsidRDefault="0054285D" w:rsidP="0054285D">
      <w:pPr>
        <w:tabs>
          <w:tab w:val="left" w:pos="851"/>
        </w:tabs>
        <w:ind w:left="851"/>
        <w:rPr>
          <w:i/>
          <w:sz w:val="24"/>
          <w:szCs w:val="24"/>
        </w:rPr>
      </w:pPr>
      <w:r w:rsidRPr="0054285D">
        <w:rPr>
          <w:i/>
          <w:sz w:val="24"/>
          <w:szCs w:val="24"/>
        </w:rPr>
        <w:t>Enzyminduktion</w:t>
      </w:r>
    </w:p>
    <w:p w14:paraId="2B8EE983" w14:textId="77777777" w:rsidR="0054285D" w:rsidRPr="0054285D" w:rsidRDefault="0054285D" w:rsidP="0054285D">
      <w:pPr>
        <w:tabs>
          <w:tab w:val="left" w:pos="851"/>
        </w:tabs>
        <w:ind w:left="851"/>
        <w:rPr>
          <w:sz w:val="24"/>
          <w:szCs w:val="24"/>
        </w:rPr>
      </w:pPr>
      <w:r w:rsidRPr="0054285D">
        <w:rPr>
          <w:sz w:val="24"/>
          <w:szCs w:val="24"/>
        </w:rPr>
        <w:t>Enzalutamid er en stærk enzyminduktor og øger syntesen af mange enzymer og transportører. Derfor er interaktion med mange almindelige lægemidler, som er substrater for enzymer eller transportører, forventelig. Reduktionen i plasmakoncentrationer kan være væsentlig og medføre tabt eller nedsat klinisk effekt. Der er også risiko for øget dannelse af aktive metabolitter. Enzymer, der kan være induceret, omfatter CYP3A i lever og tarm, CYP2B6, CYP2C9, CYP2C19 og uridin 5'-diphospho-glucuronosyltransferase (UGT’er – glucuronidkonjugerende enzymer). Nogle transportører kan også være induceret, f.eks. multimedicinsk resistens-associeret protein 2 (MRP2) og det organiske aniontransporterende polypeptid 1B1 (OATP1B1).</w:t>
      </w:r>
    </w:p>
    <w:p w14:paraId="24A11B09" w14:textId="77777777" w:rsidR="0054285D" w:rsidRPr="0054285D" w:rsidRDefault="0054285D" w:rsidP="0054285D">
      <w:pPr>
        <w:tabs>
          <w:tab w:val="left" w:pos="851"/>
        </w:tabs>
        <w:ind w:left="851"/>
        <w:rPr>
          <w:sz w:val="24"/>
          <w:szCs w:val="24"/>
        </w:rPr>
      </w:pPr>
    </w:p>
    <w:p w14:paraId="5396F6F2" w14:textId="77777777" w:rsidR="0054285D" w:rsidRPr="0054285D" w:rsidRDefault="0054285D" w:rsidP="0054285D">
      <w:pPr>
        <w:tabs>
          <w:tab w:val="left" w:pos="851"/>
        </w:tabs>
        <w:ind w:left="851"/>
        <w:rPr>
          <w:sz w:val="24"/>
          <w:szCs w:val="24"/>
        </w:rPr>
      </w:pPr>
      <w:r w:rsidRPr="0054285D">
        <w:rPr>
          <w:i/>
          <w:sz w:val="24"/>
          <w:szCs w:val="24"/>
        </w:rPr>
        <w:t>In vivo</w:t>
      </w:r>
      <w:r w:rsidRPr="0054285D">
        <w:rPr>
          <w:sz w:val="24"/>
          <w:szCs w:val="24"/>
        </w:rPr>
        <w:t>-studier har vist, at enzalutamid er en kraftig induktor af CYP3A4 og en moderat induktor af CYP2C9 og CYP2C19. Samtidig administration af enzalutamid (160 mg én gang dagligt) og orale enkeltdoser af følsomme CYP-substrater hos prostatacancerpatienter resulterede i en 86 % mindskning af AUC for midazolam (CYP3A4-substrat), en 56 % mindskning af AUC for S-warfarin (CYP2C9- substrat) og en 70 % mindskning af AUC for omeprazol (CYP2C19-substrat). UGT1A1 kan også være blevet induceret. I et klinisk studie med patienter med metastatisk CRPC havde enzalutamid (160 mg én gang dagligt) ingen klinisk relevant effekt på farmakokinetikken af intravenøst administreret docetaxel (75 mg/m2 ved infusion hver 3. uge). AUC for docetaxel faldt med 12 % [geometrisk middelratio (GMR) = 0,882 (90 % CI: 0,767, 1,02)], mens Cmax faldt med 4 % [GMR = 0,963 (90 % CI: 0,834, 1,11)].</w:t>
      </w:r>
    </w:p>
    <w:p w14:paraId="618C711D" w14:textId="77777777" w:rsidR="0054285D" w:rsidRPr="0054285D" w:rsidRDefault="0054285D" w:rsidP="0054285D">
      <w:pPr>
        <w:tabs>
          <w:tab w:val="left" w:pos="851"/>
        </w:tabs>
        <w:ind w:left="851"/>
        <w:rPr>
          <w:sz w:val="24"/>
          <w:szCs w:val="24"/>
        </w:rPr>
      </w:pPr>
    </w:p>
    <w:p w14:paraId="63DC3F26" w14:textId="77777777" w:rsidR="0054285D" w:rsidRPr="0054285D" w:rsidRDefault="0054285D" w:rsidP="0054285D">
      <w:pPr>
        <w:tabs>
          <w:tab w:val="left" w:pos="851"/>
        </w:tabs>
        <w:ind w:left="851"/>
        <w:rPr>
          <w:sz w:val="24"/>
          <w:szCs w:val="24"/>
        </w:rPr>
      </w:pPr>
      <w:r w:rsidRPr="0054285D">
        <w:rPr>
          <w:sz w:val="24"/>
          <w:szCs w:val="24"/>
        </w:rPr>
        <w:t>Der forventes interaktioner med visse lægemidler, der elimineres ved metabolisering eller ved aktiv transport. Hvis den terapeutiske virkning har stor betydning for patienten, og der ikke nemt kan foretages dosisjusteringer på baggrund af monitorering af effekt eller plasmakoncentrationer, skal den type lægemidler undgås eller anvendes med forsigtighed. Der er mistanke om, at risikoen for leverskader efter administration af paracetamol er højere hos patienter, der samtidig behandles med enzyminduktorer.</w:t>
      </w:r>
    </w:p>
    <w:p w14:paraId="136F77F0" w14:textId="4515F49A" w:rsidR="0054285D" w:rsidRDefault="0054285D">
      <w:pPr>
        <w:rPr>
          <w:sz w:val="24"/>
          <w:szCs w:val="24"/>
        </w:rPr>
      </w:pPr>
      <w:r>
        <w:rPr>
          <w:sz w:val="24"/>
          <w:szCs w:val="24"/>
        </w:rPr>
        <w:br w:type="page"/>
      </w:r>
    </w:p>
    <w:p w14:paraId="76559800" w14:textId="77777777" w:rsidR="0054285D" w:rsidRPr="0054285D" w:rsidRDefault="0054285D" w:rsidP="0054285D">
      <w:pPr>
        <w:tabs>
          <w:tab w:val="left" w:pos="851"/>
        </w:tabs>
        <w:ind w:left="851"/>
        <w:rPr>
          <w:sz w:val="24"/>
          <w:szCs w:val="24"/>
        </w:rPr>
      </w:pPr>
    </w:p>
    <w:p w14:paraId="3658F194" w14:textId="77777777" w:rsidR="0054285D" w:rsidRPr="0054285D" w:rsidRDefault="0054285D" w:rsidP="0054285D">
      <w:pPr>
        <w:tabs>
          <w:tab w:val="left" w:pos="851"/>
        </w:tabs>
        <w:ind w:left="851"/>
        <w:rPr>
          <w:sz w:val="24"/>
          <w:szCs w:val="24"/>
        </w:rPr>
      </w:pPr>
      <w:r w:rsidRPr="0054285D">
        <w:rPr>
          <w:sz w:val="24"/>
          <w:szCs w:val="24"/>
        </w:rPr>
        <w:t>De grupper af lægemidler, der kan være påvirket, omfatter, men er ikke begrænset til:</w:t>
      </w:r>
    </w:p>
    <w:p w14:paraId="4CC125F7" w14:textId="77777777" w:rsidR="0054285D" w:rsidRPr="0054285D" w:rsidRDefault="0054285D" w:rsidP="0054285D">
      <w:pPr>
        <w:numPr>
          <w:ilvl w:val="0"/>
          <w:numId w:val="6"/>
        </w:numPr>
        <w:tabs>
          <w:tab w:val="left" w:pos="851"/>
        </w:tabs>
        <w:ind w:left="1134" w:hanging="283"/>
        <w:rPr>
          <w:sz w:val="24"/>
          <w:szCs w:val="24"/>
        </w:rPr>
      </w:pPr>
      <w:r w:rsidRPr="0054285D">
        <w:rPr>
          <w:sz w:val="24"/>
          <w:szCs w:val="24"/>
        </w:rPr>
        <w:t>Analgetika (f.eks. fentanyl, tramadol)</w:t>
      </w:r>
    </w:p>
    <w:p w14:paraId="28DA5829" w14:textId="77777777" w:rsidR="0054285D" w:rsidRPr="0054285D" w:rsidRDefault="0054285D" w:rsidP="0054285D">
      <w:pPr>
        <w:numPr>
          <w:ilvl w:val="0"/>
          <w:numId w:val="6"/>
        </w:numPr>
        <w:tabs>
          <w:tab w:val="left" w:pos="851"/>
        </w:tabs>
        <w:ind w:left="1134" w:hanging="283"/>
        <w:rPr>
          <w:sz w:val="24"/>
          <w:szCs w:val="24"/>
        </w:rPr>
      </w:pPr>
      <w:r w:rsidRPr="0054285D">
        <w:rPr>
          <w:sz w:val="24"/>
          <w:szCs w:val="24"/>
        </w:rPr>
        <w:t>Antibiotika (f.eks. clarithromycin, doxycyclin)</w:t>
      </w:r>
    </w:p>
    <w:p w14:paraId="5B74F828" w14:textId="77777777" w:rsidR="0054285D" w:rsidRPr="0054285D" w:rsidRDefault="0054285D" w:rsidP="0054285D">
      <w:pPr>
        <w:numPr>
          <w:ilvl w:val="0"/>
          <w:numId w:val="6"/>
        </w:numPr>
        <w:tabs>
          <w:tab w:val="left" w:pos="851"/>
        </w:tabs>
        <w:ind w:left="1134" w:hanging="283"/>
        <w:rPr>
          <w:sz w:val="24"/>
          <w:szCs w:val="24"/>
        </w:rPr>
      </w:pPr>
      <w:r w:rsidRPr="0054285D">
        <w:rPr>
          <w:sz w:val="24"/>
          <w:szCs w:val="24"/>
        </w:rPr>
        <w:t>Anticancermidler (f.eks. cabazitaxel)</w:t>
      </w:r>
    </w:p>
    <w:p w14:paraId="3160F983" w14:textId="77777777" w:rsidR="0054285D" w:rsidRPr="0054285D" w:rsidRDefault="0054285D" w:rsidP="0054285D">
      <w:pPr>
        <w:numPr>
          <w:ilvl w:val="0"/>
          <w:numId w:val="6"/>
        </w:numPr>
        <w:tabs>
          <w:tab w:val="left" w:pos="851"/>
        </w:tabs>
        <w:ind w:left="1134" w:hanging="283"/>
        <w:rPr>
          <w:sz w:val="24"/>
          <w:szCs w:val="24"/>
        </w:rPr>
      </w:pPr>
      <w:r w:rsidRPr="0054285D">
        <w:rPr>
          <w:sz w:val="24"/>
          <w:szCs w:val="24"/>
        </w:rPr>
        <w:t>Antiepileptika (f.eks. carbamazepin, clonazepam, phenytoin, primidon, valproinsyre)</w:t>
      </w:r>
    </w:p>
    <w:p w14:paraId="7050EE67" w14:textId="77777777" w:rsidR="0054285D" w:rsidRPr="0054285D" w:rsidRDefault="0054285D" w:rsidP="0054285D">
      <w:pPr>
        <w:numPr>
          <w:ilvl w:val="0"/>
          <w:numId w:val="6"/>
        </w:numPr>
        <w:tabs>
          <w:tab w:val="left" w:pos="851"/>
        </w:tabs>
        <w:ind w:left="1134" w:hanging="283"/>
        <w:rPr>
          <w:sz w:val="24"/>
          <w:szCs w:val="24"/>
        </w:rPr>
      </w:pPr>
      <w:r w:rsidRPr="0054285D">
        <w:rPr>
          <w:sz w:val="24"/>
          <w:szCs w:val="24"/>
        </w:rPr>
        <w:t>Antipsykotika (f.eks. haloperidol)</w:t>
      </w:r>
    </w:p>
    <w:p w14:paraId="6BD6E11F" w14:textId="77777777" w:rsidR="0054285D" w:rsidRPr="0054285D" w:rsidRDefault="0054285D" w:rsidP="0054285D">
      <w:pPr>
        <w:numPr>
          <w:ilvl w:val="0"/>
          <w:numId w:val="6"/>
        </w:numPr>
        <w:tabs>
          <w:tab w:val="left" w:pos="851"/>
        </w:tabs>
        <w:ind w:left="1134" w:hanging="283"/>
        <w:rPr>
          <w:sz w:val="24"/>
          <w:szCs w:val="24"/>
        </w:rPr>
      </w:pPr>
      <w:r w:rsidRPr="0054285D">
        <w:rPr>
          <w:sz w:val="24"/>
          <w:szCs w:val="24"/>
        </w:rPr>
        <w:t>Tromboseforebyggende midler (f.eks. acenocoumarol, warfarin, clopidogrel)</w:t>
      </w:r>
    </w:p>
    <w:p w14:paraId="2D875E45" w14:textId="77777777" w:rsidR="0054285D" w:rsidRPr="0054285D" w:rsidRDefault="0054285D" w:rsidP="0054285D">
      <w:pPr>
        <w:numPr>
          <w:ilvl w:val="0"/>
          <w:numId w:val="6"/>
        </w:numPr>
        <w:tabs>
          <w:tab w:val="left" w:pos="851"/>
        </w:tabs>
        <w:ind w:left="1134" w:hanging="283"/>
        <w:rPr>
          <w:sz w:val="24"/>
          <w:szCs w:val="24"/>
        </w:rPr>
      </w:pPr>
      <w:r w:rsidRPr="0054285D">
        <w:rPr>
          <w:sz w:val="24"/>
          <w:szCs w:val="24"/>
        </w:rPr>
        <w:t>Betablokkere (f.eks. bisoprolol, propranolol)</w:t>
      </w:r>
    </w:p>
    <w:p w14:paraId="3D384838" w14:textId="77777777" w:rsidR="0054285D" w:rsidRPr="0054285D" w:rsidRDefault="0054285D" w:rsidP="0054285D">
      <w:pPr>
        <w:numPr>
          <w:ilvl w:val="0"/>
          <w:numId w:val="6"/>
        </w:numPr>
        <w:tabs>
          <w:tab w:val="left" w:pos="851"/>
        </w:tabs>
        <w:ind w:left="1134" w:hanging="283"/>
        <w:rPr>
          <w:sz w:val="24"/>
          <w:szCs w:val="24"/>
        </w:rPr>
      </w:pPr>
      <w:r w:rsidRPr="0054285D">
        <w:rPr>
          <w:sz w:val="24"/>
          <w:szCs w:val="24"/>
        </w:rPr>
        <w:t>Calciumkanalblokkere (f.eks. diltiazem, felodipin, nicardipin, nifedipin, verapamil)</w:t>
      </w:r>
    </w:p>
    <w:p w14:paraId="33376D4D" w14:textId="77777777" w:rsidR="0054285D" w:rsidRPr="0054285D" w:rsidRDefault="0054285D" w:rsidP="0054285D">
      <w:pPr>
        <w:numPr>
          <w:ilvl w:val="0"/>
          <w:numId w:val="6"/>
        </w:numPr>
        <w:tabs>
          <w:tab w:val="left" w:pos="851"/>
        </w:tabs>
        <w:ind w:left="1134" w:hanging="283"/>
        <w:rPr>
          <w:sz w:val="24"/>
          <w:szCs w:val="24"/>
        </w:rPr>
      </w:pPr>
      <w:r w:rsidRPr="0054285D">
        <w:rPr>
          <w:sz w:val="24"/>
          <w:szCs w:val="24"/>
        </w:rPr>
        <w:t>Hjerteglykosider (f.eks. digoxin)</w:t>
      </w:r>
    </w:p>
    <w:p w14:paraId="7068FE75" w14:textId="77777777" w:rsidR="0054285D" w:rsidRPr="0054285D" w:rsidRDefault="0054285D" w:rsidP="0054285D">
      <w:pPr>
        <w:numPr>
          <w:ilvl w:val="0"/>
          <w:numId w:val="6"/>
        </w:numPr>
        <w:tabs>
          <w:tab w:val="left" w:pos="851"/>
        </w:tabs>
        <w:ind w:left="1134" w:hanging="283"/>
        <w:rPr>
          <w:sz w:val="24"/>
          <w:szCs w:val="24"/>
        </w:rPr>
      </w:pPr>
      <w:r w:rsidRPr="0054285D">
        <w:rPr>
          <w:sz w:val="24"/>
          <w:szCs w:val="24"/>
        </w:rPr>
        <w:t>Kortikosteroider (f.eks. dexamethason, prednisolon)</w:t>
      </w:r>
    </w:p>
    <w:p w14:paraId="06F6C665" w14:textId="77777777" w:rsidR="0054285D" w:rsidRPr="0054285D" w:rsidRDefault="0054285D" w:rsidP="0054285D">
      <w:pPr>
        <w:numPr>
          <w:ilvl w:val="0"/>
          <w:numId w:val="6"/>
        </w:numPr>
        <w:tabs>
          <w:tab w:val="left" w:pos="851"/>
        </w:tabs>
        <w:ind w:left="1134" w:hanging="283"/>
        <w:rPr>
          <w:sz w:val="24"/>
          <w:szCs w:val="24"/>
        </w:rPr>
      </w:pPr>
      <w:r w:rsidRPr="0054285D">
        <w:rPr>
          <w:sz w:val="24"/>
          <w:szCs w:val="24"/>
        </w:rPr>
        <w:t>Antivirale midler mod hiv (f.eks. indinavir, ritonavir)</w:t>
      </w:r>
    </w:p>
    <w:p w14:paraId="4425B5C8" w14:textId="77777777" w:rsidR="0054285D" w:rsidRPr="0054285D" w:rsidRDefault="0054285D" w:rsidP="0054285D">
      <w:pPr>
        <w:numPr>
          <w:ilvl w:val="0"/>
          <w:numId w:val="6"/>
        </w:numPr>
        <w:tabs>
          <w:tab w:val="left" w:pos="851"/>
        </w:tabs>
        <w:ind w:left="1134" w:hanging="283"/>
        <w:rPr>
          <w:sz w:val="24"/>
          <w:szCs w:val="24"/>
        </w:rPr>
      </w:pPr>
      <w:r w:rsidRPr="0054285D">
        <w:rPr>
          <w:sz w:val="24"/>
          <w:szCs w:val="24"/>
        </w:rPr>
        <w:t>Hypnotika (f.eks. diazepam, midazolam, zolpidem)</w:t>
      </w:r>
    </w:p>
    <w:p w14:paraId="75BB901F" w14:textId="77777777" w:rsidR="0054285D" w:rsidRPr="0054285D" w:rsidRDefault="0054285D" w:rsidP="0054285D">
      <w:pPr>
        <w:numPr>
          <w:ilvl w:val="0"/>
          <w:numId w:val="6"/>
        </w:numPr>
        <w:tabs>
          <w:tab w:val="left" w:pos="851"/>
        </w:tabs>
        <w:ind w:left="1134" w:hanging="283"/>
        <w:rPr>
          <w:sz w:val="24"/>
          <w:szCs w:val="24"/>
        </w:rPr>
      </w:pPr>
      <w:r w:rsidRPr="0054285D">
        <w:rPr>
          <w:sz w:val="24"/>
          <w:szCs w:val="24"/>
        </w:rPr>
        <w:t>Immunsuppressiva (f.eks. tacrolimus)</w:t>
      </w:r>
    </w:p>
    <w:p w14:paraId="3794E6A1" w14:textId="77777777" w:rsidR="0054285D" w:rsidRPr="0054285D" w:rsidRDefault="0054285D" w:rsidP="0054285D">
      <w:pPr>
        <w:numPr>
          <w:ilvl w:val="0"/>
          <w:numId w:val="6"/>
        </w:numPr>
        <w:tabs>
          <w:tab w:val="left" w:pos="851"/>
        </w:tabs>
        <w:ind w:left="1134" w:hanging="283"/>
        <w:rPr>
          <w:sz w:val="24"/>
          <w:szCs w:val="24"/>
        </w:rPr>
      </w:pPr>
      <w:r w:rsidRPr="0054285D">
        <w:rPr>
          <w:sz w:val="24"/>
          <w:szCs w:val="24"/>
        </w:rPr>
        <w:t>Protonpumpehæmmer (f.eks. omeprazol)</w:t>
      </w:r>
    </w:p>
    <w:p w14:paraId="66608195" w14:textId="77777777" w:rsidR="0054285D" w:rsidRPr="0054285D" w:rsidRDefault="0054285D" w:rsidP="0054285D">
      <w:pPr>
        <w:numPr>
          <w:ilvl w:val="0"/>
          <w:numId w:val="6"/>
        </w:numPr>
        <w:tabs>
          <w:tab w:val="left" w:pos="851"/>
        </w:tabs>
        <w:ind w:left="1134" w:hanging="283"/>
        <w:rPr>
          <w:sz w:val="24"/>
          <w:szCs w:val="24"/>
        </w:rPr>
      </w:pPr>
      <w:r w:rsidRPr="0054285D">
        <w:rPr>
          <w:sz w:val="24"/>
          <w:szCs w:val="24"/>
        </w:rPr>
        <w:t>Statiner, som metaboliseres af CYP3A4 (f.eks. atorvastatin, simvastatin)</w:t>
      </w:r>
    </w:p>
    <w:p w14:paraId="1F581BD4" w14:textId="77777777" w:rsidR="0054285D" w:rsidRPr="0054285D" w:rsidRDefault="0054285D" w:rsidP="0054285D">
      <w:pPr>
        <w:numPr>
          <w:ilvl w:val="0"/>
          <w:numId w:val="6"/>
        </w:numPr>
        <w:tabs>
          <w:tab w:val="left" w:pos="851"/>
        </w:tabs>
        <w:ind w:left="1134" w:hanging="283"/>
        <w:rPr>
          <w:sz w:val="24"/>
          <w:szCs w:val="24"/>
        </w:rPr>
      </w:pPr>
      <w:r w:rsidRPr="0054285D">
        <w:rPr>
          <w:sz w:val="24"/>
          <w:szCs w:val="24"/>
        </w:rPr>
        <w:t>Thyroideamidler (f.eks. levothyroxin).</w:t>
      </w:r>
    </w:p>
    <w:p w14:paraId="123060AC" w14:textId="77777777" w:rsidR="0054285D" w:rsidRPr="0054285D" w:rsidRDefault="0054285D" w:rsidP="0054285D">
      <w:pPr>
        <w:tabs>
          <w:tab w:val="left" w:pos="851"/>
        </w:tabs>
        <w:ind w:left="851"/>
        <w:rPr>
          <w:sz w:val="24"/>
          <w:szCs w:val="24"/>
        </w:rPr>
      </w:pPr>
    </w:p>
    <w:p w14:paraId="64F952FD" w14:textId="77777777" w:rsidR="0054285D" w:rsidRPr="0054285D" w:rsidRDefault="0054285D" w:rsidP="0054285D">
      <w:pPr>
        <w:tabs>
          <w:tab w:val="left" w:pos="851"/>
        </w:tabs>
        <w:ind w:left="851"/>
        <w:rPr>
          <w:sz w:val="24"/>
          <w:szCs w:val="24"/>
        </w:rPr>
      </w:pPr>
      <w:r w:rsidRPr="0054285D">
        <w:rPr>
          <w:sz w:val="24"/>
          <w:szCs w:val="24"/>
        </w:rPr>
        <w:t xml:space="preserve">Enzalutamid opnår måske ikke sit fulde induktionspotentiale før ca. 1 måned efter behandlingsstart, når </w:t>
      </w:r>
      <w:r w:rsidRPr="0054285D">
        <w:rPr>
          <w:i/>
          <w:sz w:val="24"/>
          <w:szCs w:val="24"/>
        </w:rPr>
        <w:t>steady state</w:t>
      </w:r>
      <w:r w:rsidRPr="0054285D">
        <w:rPr>
          <w:sz w:val="24"/>
          <w:szCs w:val="24"/>
        </w:rPr>
        <w:t xml:space="preserve"> for plasmakoncentrationen af enzalutamid er nået. Der kan dog være nogle påviselige induktionsvirkninger tidligere. Patienter, som tager lægemidler, der er substrater for CYP2B6, CYP3A4, CYP2C9, CYP2C19 eller UGT1A1, bør evalueres for muligt tab af farmakologiske virkninger (eller øgede virkninger i de tilfælde, hvor der dannes aktive metabolitter) i den første måned med enzalutamidbehandling, og dosisjustering bør overvejes efter behov. Som følge af enzalutamids lange halveringstid (5,8 dage, se pkt. 5.2) kan virkninger på enzymer vare ved i en måned eller mere efter standsning af behandlingen med enzalutamid. En gradvis dosisreduktion af samtidige lægemidler kan være nødvendig, når behandlingen med enzalutamid afbrydes.</w:t>
      </w:r>
    </w:p>
    <w:p w14:paraId="4BF1B011" w14:textId="77777777" w:rsidR="0054285D" w:rsidRPr="0054285D" w:rsidRDefault="0054285D" w:rsidP="0054285D">
      <w:pPr>
        <w:tabs>
          <w:tab w:val="left" w:pos="851"/>
        </w:tabs>
        <w:ind w:left="851"/>
        <w:rPr>
          <w:sz w:val="24"/>
          <w:szCs w:val="24"/>
        </w:rPr>
      </w:pPr>
    </w:p>
    <w:p w14:paraId="11FC5532" w14:textId="77777777" w:rsidR="0054285D" w:rsidRPr="0054285D" w:rsidRDefault="0054285D" w:rsidP="0054285D">
      <w:pPr>
        <w:tabs>
          <w:tab w:val="left" w:pos="851"/>
        </w:tabs>
        <w:ind w:left="851"/>
        <w:rPr>
          <w:i/>
          <w:sz w:val="24"/>
          <w:szCs w:val="24"/>
        </w:rPr>
      </w:pPr>
      <w:r w:rsidRPr="0054285D">
        <w:rPr>
          <w:i/>
          <w:sz w:val="24"/>
          <w:szCs w:val="24"/>
        </w:rPr>
        <w:t>CYP1A2- og CYP2C8-substrater</w:t>
      </w:r>
    </w:p>
    <w:p w14:paraId="185D0A8D" w14:textId="77777777" w:rsidR="0054285D" w:rsidRPr="0054285D" w:rsidRDefault="0054285D" w:rsidP="0054285D">
      <w:pPr>
        <w:tabs>
          <w:tab w:val="left" w:pos="851"/>
        </w:tabs>
        <w:ind w:left="851"/>
        <w:rPr>
          <w:sz w:val="24"/>
          <w:szCs w:val="24"/>
        </w:rPr>
      </w:pPr>
      <w:r w:rsidRPr="0054285D">
        <w:rPr>
          <w:sz w:val="24"/>
          <w:szCs w:val="24"/>
        </w:rPr>
        <w:t>Enzalutamid (160 mg én gang dagligt) bevirkede ikke en klinisk relevant ændring i AUC eller C</w:t>
      </w:r>
      <w:r w:rsidRPr="0054285D">
        <w:rPr>
          <w:sz w:val="24"/>
          <w:szCs w:val="24"/>
          <w:vertAlign w:val="subscript"/>
        </w:rPr>
        <w:t>max</w:t>
      </w:r>
      <w:r w:rsidRPr="0054285D">
        <w:rPr>
          <w:sz w:val="24"/>
          <w:szCs w:val="24"/>
        </w:rPr>
        <w:t xml:space="preserve"> for caffein (CYP1A2-substrat) eller pioglitazon (CYP2C8-substrat). AUC for pioglitazon blev forøget med 20 %, mens Cmax faldt med 18 %. AUC og Cmax for caffein blev reduceret med henholdsvis 11 % og 4 %. Dosisjustering er ikke indiceret, når et CYP1A2- eller CYP2C8-substrat administreres samtidig med Enzalutamide "Teva".</w:t>
      </w:r>
    </w:p>
    <w:p w14:paraId="446A7D38" w14:textId="77777777" w:rsidR="0054285D" w:rsidRPr="0054285D" w:rsidRDefault="0054285D" w:rsidP="0054285D">
      <w:pPr>
        <w:tabs>
          <w:tab w:val="left" w:pos="851"/>
        </w:tabs>
        <w:ind w:left="851"/>
        <w:rPr>
          <w:sz w:val="24"/>
          <w:szCs w:val="24"/>
        </w:rPr>
      </w:pPr>
    </w:p>
    <w:p w14:paraId="44529773" w14:textId="77777777" w:rsidR="0054285D" w:rsidRPr="0054285D" w:rsidRDefault="0054285D" w:rsidP="0054285D">
      <w:pPr>
        <w:tabs>
          <w:tab w:val="left" w:pos="851"/>
        </w:tabs>
        <w:ind w:left="851"/>
        <w:rPr>
          <w:i/>
          <w:sz w:val="24"/>
          <w:szCs w:val="24"/>
        </w:rPr>
      </w:pPr>
      <w:r w:rsidRPr="0054285D">
        <w:rPr>
          <w:i/>
          <w:sz w:val="24"/>
          <w:szCs w:val="24"/>
        </w:rPr>
        <w:t>P-gp-substrater</w:t>
      </w:r>
    </w:p>
    <w:p w14:paraId="2F88E2E8" w14:textId="77777777" w:rsidR="0054285D" w:rsidRPr="0054285D" w:rsidRDefault="0054285D" w:rsidP="0054285D">
      <w:pPr>
        <w:tabs>
          <w:tab w:val="left" w:pos="851"/>
        </w:tabs>
        <w:ind w:left="851"/>
        <w:rPr>
          <w:sz w:val="24"/>
          <w:szCs w:val="24"/>
        </w:rPr>
      </w:pPr>
      <w:r w:rsidRPr="0054285D">
        <w:rPr>
          <w:i/>
          <w:sz w:val="24"/>
          <w:szCs w:val="24"/>
        </w:rPr>
        <w:t>In vitro</w:t>
      </w:r>
      <w:r w:rsidRPr="0054285D">
        <w:rPr>
          <w:sz w:val="24"/>
          <w:szCs w:val="24"/>
        </w:rPr>
        <w:t xml:space="preserve">-data indikerer, at enzalutamid kan være hæmmer af effluxtransportøren P-gp. Der blev observeret en let hæmmende effekt af enzalutamid ved </w:t>
      </w:r>
      <w:r w:rsidRPr="0054285D">
        <w:rPr>
          <w:i/>
          <w:sz w:val="24"/>
          <w:szCs w:val="24"/>
        </w:rPr>
        <w:t>steady state</w:t>
      </w:r>
      <w:r w:rsidRPr="0054285D">
        <w:rPr>
          <w:sz w:val="24"/>
          <w:szCs w:val="24"/>
        </w:rPr>
        <w:t xml:space="preserve"> på P-gp i et studie med patienter med prostatacancer, som fik en enkelt oral dosis af P-gp-prøvesubstratet digoxin før og samtidig med enzalutamid (samtidig administration fulgte mindst 55 dages dosering én gang dagligt af 160 mg enzalutamid). Plasmaniveauet af digoxin blev målt ved hjælp af en valideret væskekromatografi-tandemmassespektrometri-analyse. AUC og Cmax af digoxin steg med henholdsvis 33 % og 17 %. Lægemidler med et snævert terapeutisk interval, som er substrater for P-gp (f.eks. colchicin, dabigatranetexilat, digoxin), bør anvendes med forsigtighed ved administration samtidig med Enzalutamide "Teva" og kan nødvendiggøre dosisjustering for at opretholde optimale plasmakoncentrationer.</w:t>
      </w:r>
    </w:p>
    <w:p w14:paraId="3175A6BD" w14:textId="77777777" w:rsidR="0054285D" w:rsidRPr="0054285D" w:rsidRDefault="0054285D" w:rsidP="0054285D">
      <w:pPr>
        <w:tabs>
          <w:tab w:val="left" w:pos="851"/>
        </w:tabs>
        <w:ind w:left="851"/>
        <w:rPr>
          <w:sz w:val="24"/>
          <w:szCs w:val="24"/>
        </w:rPr>
      </w:pPr>
    </w:p>
    <w:p w14:paraId="098A6CF1" w14:textId="77777777" w:rsidR="0054285D" w:rsidRPr="0054285D" w:rsidRDefault="0054285D" w:rsidP="0054285D">
      <w:pPr>
        <w:tabs>
          <w:tab w:val="left" w:pos="851"/>
        </w:tabs>
        <w:ind w:left="851"/>
        <w:rPr>
          <w:sz w:val="24"/>
          <w:szCs w:val="24"/>
        </w:rPr>
      </w:pPr>
      <w:r w:rsidRPr="0054285D">
        <w:rPr>
          <w:i/>
          <w:iCs/>
          <w:sz w:val="24"/>
          <w:szCs w:val="24"/>
        </w:rPr>
        <w:lastRenderedPageBreak/>
        <w:t xml:space="preserve">Laboratorietest interferens </w:t>
      </w:r>
    </w:p>
    <w:p w14:paraId="1E820995" w14:textId="77777777" w:rsidR="0054285D" w:rsidRPr="0054285D" w:rsidRDefault="0054285D" w:rsidP="0054285D">
      <w:pPr>
        <w:tabs>
          <w:tab w:val="left" w:pos="851"/>
        </w:tabs>
        <w:ind w:left="851"/>
        <w:rPr>
          <w:sz w:val="24"/>
          <w:szCs w:val="24"/>
        </w:rPr>
      </w:pPr>
      <w:r w:rsidRPr="0054285D">
        <w:rPr>
          <w:sz w:val="24"/>
          <w:szCs w:val="24"/>
        </w:rPr>
        <w:t>Der er fundet falsk forhøjede plasmaniveauer af digoxin med kemiluminescens-mikropartikel-immun analyse (CMIA) hos patienter, der får enzalutamid, uafhængigt af om de får digoxin. Derfor bør resultaterne for digoxin-plasmaniveauer opnået ved CMIA fortolkes med forsigtighed og bekræftes ved en anden type analyse, inden der foretages noget indgreb med digoxindoser.</w:t>
      </w:r>
    </w:p>
    <w:p w14:paraId="7DB65D29" w14:textId="77777777" w:rsidR="0054285D" w:rsidRPr="0054285D" w:rsidRDefault="0054285D" w:rsidP="0054285D">
      <w:pPr>
        <w:tabs>
          <w:tab w:val="left" w:pos="851"/>
        </w:tabs>
        <w:ind w:left="851"/>
        <w:rPr>
          <w:sz w:val="24"/>
          <w:szCs w:val="24"/>
        </w:rPr>
      </w:pPr>
    </w:p>
    <w:p w14:paraId="5820EB66" w14:textId="77777777" w:rsidR="0054285D" w:rsidRPr="0054285D" w:rsidRDefault="0054285D" w:rsidP="0054285D">
      <w:pPr>
        <w:tabs>
          <w:tab w:val="left" w:pos="851"/>
        </w:tabs>
        <w:ind w:left="851"/>
        <w:rPr>
          <w:i/>
          <w:sz w:val="24"/>
          <w:szCs w:val="24"/>
        </w:rPr>
      </w:pPr>
      <w:r w:rsidRPr="0054285D">
        <w:rPr>
          <w:i/>
          <w:sz w:val="24"/>
          <w:szCs w:val="24"/>
        </w:rPr>
        <w:t>BCRP-substrater</w:t>
      </w:r>
    </w:p>
    <w:p w14:paraId="01F38B7D" w14:textId="77777777" w:rsidR="0054285D" w:rsidRPr="0054285D" w:rsidRDefault="0054285D" w:rsidP="0054285D">
      <w:pPr>
        <w:tabs>
          <w:tab w:val="left" w:pos="851"/>
        </w:tabs>
        <w:ind w:left="851"/>
        <w:rPr>
          <w:sz w:val="24"/>
          <w:szCs w:val="24"/>
        </w:rPr>
      </w:pPr>
      <w:r w:rsidRPr="0054285D">
        <w:rPr>
          <w:sz w:val="24"/>
          <w:szCs w:val="24"/>
        </w:rPr>
        <w:t xml:space="preserve">Ved </w:t>
      </w:r>
      <w:r w:rsidRPr="0054285D">
        <w:rPr>
          <w:i/>
          <w:sz w:val="24"/>
          <w:szCs w:val="24"/>
        </w:rPr>
        <w:t>steady state</w:t>
      </w:r>
      <w:r w:rsidRPr="0054285D">
        <w:rPr>
          <w:sz w:val="24"/>
          <w:szCs w:val="24"/>
        </w:rPr>
        <w:t xml:space="preserve"> medførte enzalutamid ikke nogen klinisk betydningsfuld ændring af eksponering over for prøvesubstratet for brystcancerresistensproteinet (BCRP) rosuvastatin hos patienter med prostatacancer, som fik en enkelt oral dosis rosuvastatin før og samtidig med enzalutamid (samtidig administration fulgte mindst 55 dages dosering én gang dagligt af 160 mg enzalutamid). AUC for rosuvastatin faldt med 14 %, mens Cmax steg med 6 %. Det er ikke nødvendigt at justere dosis ved samtidig administration af et BCRP-substrat og Enzalutamide "Teva".</w:t>
      </w:r>
    </w:p>
    <w:p w14:paraId="773AEF4E" w14:textId="77777777" w:rsidR="0054285D" w:rsidRPr="0054285D" w:rsidRDefault="0054285D" w:rsidP="0054285D">
      <w:pPr>
        <w:tabs>
          <w:tab w:val="left" w:pos="851"/>
        </w:tabs>
        <w:ind w:left="851"/>
        <w:rPr>
          <w:sz w:val="24"/>
          <w:szCs w:val="24"/>
        </w:rPr>
      </w:pPr>
    </w:p>
    <w:p w14:paraId="2AFB8CAF" w14:textId="77777777" w:rsidR="0054285D" w:rsidRPr="0054285D" w:rsidRDefault="0054285D" w:rsidP="0054285D">
      <w:pPr>
        <w:tabs>
          <w:tab w:val="left" w:pos="851"/>
        </w:tabs>
        <w:ind w:left="851"/>
        <w:rPr>
          <w:i/>
          <w:sz w:val="24"/>
          <w:szCs w:val="24"/>
        </w:rPr>
      </w:pPr>
      <w:r w:rsidRPr="0054285D">
        <w:rPr>
          <w:i/>
          <w:sz w:val="24"/>
          <w:szCs w:val="24"/>
        </w:rPr>
        <w:t>MRP2-, OAT3- og OCT1-substrater</w:t>
      </w:r>
    </w:p>
    <w:p w14:paraId="0F50DE08" w14:textId="77777777" w:rsidR="0054285D" w:rsidRPr="0054285D" w:rsidRDefault="0054285D" w:rsidP="0054285D">
      <w:pPr>
        <w:tabs>
          <w:tab w:val="left" w:pos="851"/>
        </w:tabs>
        <w:ind w:left="851"/>
        <w:rPr>
          <w:sz w:val="24"/>
          <w:szCs w:val="24"/>
        </w:rPr>
      </w:pPr>
      <w:r w:rsidRPr="0054285D">
        <w:rPr>
          <w:sz w:val="24"/>
          <w:szCs w:val="24"/>
        </w:rPr>
        <w:t xml:space="preserve">Ud fra </w:t>
      </w:r>
      <w:r w:rsidRPr="0054285D">
        <w:rPr>
          <w:i/>
          <w:sz w:val="24"/>
          <w:szCs w:val="24"/>
        </w:rPr>
        <w:t>in vitro</w:t>
      </w:r>
      <w:r w:rsidRPr="0054285D">
        <w:rPr>
          <w:sz w:val="24"/>
          <w:szCs w:val="24"/>
        </w:rPr>
        <w:t>-data kan hæmning af MRP2 (i tarmen), samt organisk aniontransportør 3 (OAT3) og organisk kationtransportør 1 (OCT1) (systemisk) ikke udelukkes. Teoretisk er induktion af disse transportører også mulig, og nettovirkningen er endnu ikke kendt.</w:t>
      </w:r>
    </w:p>
    <w:p w14:paraId="2C62A52F" w14:textId="77777777" w:rsidR="0054285D" w:rsidRPr="0054285D" w:rsidRDefault="0054285D" w:rsidP="0054285D">
      <w:pPr>
        <w:tabs>
          <w:tab w:val="left" w:pos="851"/>
        </w:tabs>
        <w:ind w:left="851"/>
        <w:rPr>
          <w:sz w:val="24"/>
          <w:szCs w:val="24"/>
        </w:rPr>
      </w:pPr>
    </w:p>
    <w:p w14:paraId="5F67D277" w14:textId="77777777" w:rsidR="0054285D" w:rsidRPr="0054285D" w:rsidRDefault="0054285D" w:rsidP="0054285D">
      <w:pPr>
        <w:tabs>
          <w:tab w:val="left" w:pos="851"/>
        </w:tabs>
        <w:ind w:left="851"/>
        <w:rPr>
          <w:i/>
          <w:sz w:val="24"/>
          <w:szCs w:val="24"/>
        </w:rPr>
      </w:pPr>
      <w:r w:rsidRPr="0054285D">
        <w:rPr>
          <w:i/>
          <w:sz w:val="24"/>
          <w:szCs w:val="24"/>
        </w:rPr>
        <w:t>Lægemidler, som forlænger QT-intervallet</w:t>
      </w:r>
    </w:p>
    <w:p w14:paraId="2D0209A1" w14:textId="77777777" w:rsidR="0054285D" w:rsidRPr="0054285D" w:rsidRDefault="0054285D" w:rsidP="0054285D">
      <w:pPr>
        <w:tabs>
          <w:tab w:val="left" w:pos="851"/>
        </w:tabs>
        <w:ind w:left="851"/>
        <w:rPr>
          <w:sz w:val="24"/>
          <w:szCs w:val="24"/>
        </w:rPr>
      </w:pPr>
      <w:r w:rsidRPr="0054285D">
        <w:rPr>
          <w:sz w:val="24"/>
          <w:szCs w:val="24"/>
        </w:rPr>
        <w:t>Eftersom androgen deprivationsterapi kan forlænge QT-intervallet, skal brug af Enzalutamide "Teva" sammen med lægemidler, som er kendt for at forlænge QT-intervallet, eller lægemidler, som kan inducere torsades de pointes, såsom antiarytmika af klasse IA (f.eks. kinidin, disopyramid) eller klasse III (f.eks. amiodaron, sotalol, dofetilid, ibutilid), methadon, moxifloxacin, antipsykotika m.fl. vurderes nøje (se pkt. 4.4).</w:t>
      </w:r>
    </w:p>
    <w:p w14:paraId="42383CA1" w14:textId="77777777" w:rsidR="0054285D" w:rsidRPr="0054285D" w:rsidRDefault="0054285D" w:rsidP="0054285D">
      <w:pPr>
        <w:tabs>
          <w:tab w:val="left" w:pos="851"/>
        </w:tabs>
        <w:ind w:left="851"/>
        <w:rPr>
          <w:sz w:val="24"/>
          <w:szCs w:val="24"/>
        </w:rPr>
      </w:pPr>
    </w:p>
    <w:p w14:paraId="027ACFD9" w14:textId="77777777" w:rsidR="0054285D" w:rsidRPr="0054285D" w:rsidRDefault="0054285D" w:rsidP="0054285D">
      <w:pPr>
        <w:tabs>
          <w:tab w:val="left" w:pos="851"/>
        </w:tabs>
        <w:ind w:left="851"/>
        <w:rPr>
          <w:sz w:val="24"/>
          <w:szCs w:val="24"/>
        </w:rPr>
      </w:pPr>
      <w:r w:rsidRPr="0054285D">
        <w:rPr>
          <w:sz w:val="24"/>
          <w:szCs w:val="24"/>
          <w:u w:val="single"/>
        </w:rPr>
        <w:t>Virkningen af fødeindtagelse på enzalutamideksponeringen</w:t>
      </w:r>
    </w:p>
    <w:p w14:paraId="3C8465C3" w14:textId="77777777" w:rsidR="0054285D" w:rsidRPr="0054285D" w:rsidRDefault="0054285D" w:rsidP="0054285D">
      <w:pPr>
        <w:tabs>
          <w:tab w:val="left" w:pos="851"/>
        </w:tabs>
        <w:ind w:left="851"/>
        <w:rPr>
          <w:sz w:val="24"/>
          <w:szCs w:val="24"/>
        </w:rPr>
      </w:pPr>
      <w:r w:rsidRPr="0054285D">
        <w:rPr>
          <w:sz w:val="24"/>
          <w:szCs w:val="24"/>
        </w:rPr>
        <w:t>Mad har ingen klinisk signifikant virkning på graden af eksponering for enzalutamid. I kliniske studier blev enzalutamid administreret uden hensyntagen til fødeindtagelse.</w:t>
      </w:r>
    </w:p>
    <w:p w14:paraId="6C5AFF59" w14:textId="77777777" w:rsidR="009260DE" w:rsidRPr="00C84483" w:rsidRDefault="009260DE" w:rsidP="009260DE">
      <w:pPr>
        <w:tabs>
          <w:tab w:val="left" w:pos="851"/>
        </w:tabs>
        <w:ind w:left="851"/>
        <w:rPr>
          <w:sz w:val="24"/>
          <w:szCs w:val="24"/>
        </w:rPr>
      </w:pPr>
    </w:p>
    <w:p w14:paraId="7A02F8A2"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4ACE2C09" w14:textId="77777777" w:rsidR="001E2A5E" w:rsidRDefault="001E2A5E" w:rsidP="001E2A5E">
      <w:pPr>
        <w:tabs>
          <w:tab w:val="left" w:pos="851"/>
        </w:tabs>
        <w:ind w:left="851"/>
        <w:rPr>
          <w:sz w:val="24"/>
          <w:szCs w:val="24"/>
          <w:u w:val="single"/>
        </w:rPr>
      </w:pPr>
    </w:p>
    <w:p w14:paraId="71EAEC9E" w14:textId="550C0FFC" w:rsidR="001E2A5E" w:rsidRPr="001E2A5E" w:rsidRDefault="001E2A5E" w:rsidP="001E2A5E">
      <w:pPr>
        <w:tabs>
          <w:tab w:val="left" w:pos="851"/>
        </w:tabs>
        <w:ind w:left="851"/>
        <w:rPr>
          <w:sz w:val="24"/>
          <w:szCs w:val="24"/>
        </w:rPr>
      </w:pPr>
      <w:r w:rsidRPr="001E2A5E">
        <w:rPr>
          <w:sz w:val="24"/>
          <w:szCs w:val="24"/>
          <w:u w:val="single"/>
        </w:rPr>
        <w:t>Kvinder i den fertile alder</w:t>
      </w:r>
    </w:p>
    <w:p w14:paraId="5C845691" w14:textId="77777777" w:rsidR="001E2A5E" w:rsidRPr="001E2A5E" w:rsidRDefault="001E2A5E" w:rsidP="001E2A5E">
      <w:pPr>
        <w:tabs>
          <w:tab w:val="left" w:pos="851"/>
        </w:tabs>
        <w:ind w:left="851"/>
        <w:rPr>
          <w:sz w:val="24"/>
          <w:szCs w:val="24"/>
        </w:rPr>
      </w:pPr>
      <w:r w:rsidRPr="001E2A5E">
        <w:rPr>
          <w:sz w:val="24"/>
          <w:szCs w:val="24"/>
        </w:rPr>
        <w:t>Der er ingen humane data fra anvendelse af Enzalutamide "Teva" under graviditet, og dette lægemiddel er ikke beregnet til kvinder i den fertile alder. Dette lægemiddel kan forårsage skade på det ufødte barn eller potentielt forårsage abort, hvis det tages af gravide kvinder (se pkt. 4.3, 5.3 og 6.6).</w:t>
      </w:r>
    </w:p>
    <w:p w14:paraId="5BF9EB8A" w14:textId="77777777" w:rsidR="001E2A5E" w:rsidRPr="001E2A5E" w:rsidRDefault="001E2A5E" w:rsidP="001E2A5E">
      <w:pPr>
        <w:tabs>
          <w:tab w:val="left" w:pos="851"/>
        </w:tabs>
        <w:ind w:left="851"/>
        <w:rPr>
          <w:sz w:val="24"/>
          <w:szCs w:val="24"/>
        </w:rPr>
      </w:pPr>
    </w:p>
    <w:p w14:paraId="1DCDF86F" w14:textId="77777777" w:rsidR="001E2A5E" w:rsidRPr="001E2A5E" w:rsidRDefault="001E2A5E" w:rsidP="001E2A5E">
      <w:pPr>
        <w:tabs>
          <w:tab w:val="left" w:pos="851"/>
        </w:tabs>
        <w:ind w:left="851"/>
        <w:rPr>
          <w:sz w:val="24"/>
          <w:szCs w:val="24"/>
        </w:rPr>
      </w:pPr>
      <w:r w:rsidRPr="001E2A5E">
        <w:rPr>
          <w:sz w:val="24"/>
          <w:szCs w:val="24"/>
          <w:u w:val="single"/>
        </w:rPr>
        <w:t>Kontraception hos mænd og kvinder</w:t>
      </w:r>
    </w:p>
    <w:p w14:paraId="01C07200" w14:textId="77777777" w:rsidR="001E2A5E" w:rsidRPr="001E2A5E" w:rsidRDefault="001E2A5E" w:rsidP="001E2A5E">
      <w:pPr>
        <w:tabs>
          <w:tab w:val="left" w:pos="851"/>
        </w:tabs>
        <w:ind w:left="851"/>
        <w:rPr>
          <w:sz w:val="24"/>
          <w:szCs w:val="24"/>
        </w:rPr>
      </w:pPr>
      <w:r w:rsidRPr="001E2A5E">
        <w:rPr>
          <w:sz w:val="24"/>
          <w:szCs w:val="24"/>
        </w:rPr>
        <w:t>Det vides ikke, om enzalutamid eller metabolitter deraf er til stede i sæd. Der skal anvendes kondom under og i 3 måneder efter behandling med enzalutamid, hvis patienten er seksuelt aktiv med en gravid kvinde. Hvis patienten har samleje med en kvinde i den fødedygtige alder, skal der anvendes kondom og anden form for prævention under og i 3 måneder efter behandling. Dyrestudier har påvist reproduktionstoksicitet (se pkt. 5.3).</w:t>
      </w:r>
    </w:p>
    <w:p w14:paraId="4EE21BE7" w14:textId="77777777" w:rsidR="001E2A5E" w:rsidRPr="001E2A5E" w:rsidRDefault="001E2A5E" w:rsidP="001E2A5E">
      <w:pPr>
        <w:tabs>
          <w:tab w:val="left" w:pos="851"/>
        </w:tabs>
        <w:ind w:left="851"/>
        <w:rPr>
          <w:sz w:val="24"/>
          <w:szCs w:val="24"/>
        </w:rPr>
      </w:pPr>
    </w:p>
    <w:p w14:paraId="535545B6" w14:textId="77777777" w:rsidR="001E2A5E" w:rsidRPr="001E2A5E" w:rsidRDefault="001E2A5E" w:rsidP="001E2A5E">
      <w:pPr>
        <w:tabs>
          <w:tab w:val="left" w:pos="851"/>
        </w:tabs>
        <w:ind w:left="851"/>
        <w:rPr>
          <w:sz w:val="24"/>
          <w:szCs w:val="24"/>
        </w:rPr>
      </w:pPr>
      <w:r w:rsidRPr="001E2A5E">
        <w:rPr>
          <w:sz w:val="24"/>
          <w:szCs w:val="24"/>
          <w:u w:val="single"/>
        </w:rPr>
        <w:t>Graviditet</w:t>
      </w:r>
    </w:p>
    <w:p w14:paraId="09602AF7" w14:textId="77777777" w:rsidR="001E2A5E" w:rsidRPr="001E2A5E" w:rsidRDefault="001E2A5E" w:rsidP="001E2A5E">
      <w:pPr>
        <w:tabs>
          <w:tab w:val="left" w:pos="851"/>
        </w:tabs>
        <w:ind w:left="851"/>
        <w:rPr>
          <w:sz w:val="24"/>
          <w:szCs w:val="24"/>
        </w:rPr>
      </w:pPr>
      <w:r w:rsidRPr="001E2A5E">
        <w:rPr>
          <w:sz w:val="24"/>
          <w:szCs w:val="24"/>
        </w:rPr>
        <w:t>Enzalutamid er ikke beregnet til anvendelse hos kvinder. Enzalutamid er kontraindiceret hos kvinder, som er eller kan blive gravide (se pkt. 4.3, 5.3 og 6.6).</w:t>
      </w:r>
    </w:p>
    <w:p w14:paraId="495D0306" w14:textId="77777777" w:rsidR="001E2A5E" w:rsidRPr="001E2A5E" w:rsidRDefault="001E2A5E" w:rsidP="001E2A5E">
      <w:pPr>
        <w:tabs>
          <w:tab w:val="left" w:pos="851"/>
        </w:tabs>
        <w:ind w:left="851"/>
        <w:rPr>
          <w:sz w:val="24"/>
          <w:szCs w:val="24"/>
        </w:rPr>
      </w:pPr>
    </w:p>
    <w:p w14:paraId="1049C6FD" w14:textId="77777777" w:rsidR="001E2A5E" w:rsidRPr="001E2A5E" w:rsidRDefault="001E2A5E" w:rsidP="001E2A5E">
      <w:pPr>
        <w:tabs>
          <w:tab w:val="left" w:pos="851"/>
        </w:tabs>
        <w:ind w:left="851"/>
        <w:rPr>
          <w:sz w:val="24"/>
          <w:szCs w:val="24"/>
        </w:rPr>
      </w:pPr>
      <w:r w:rsidRPr="001E2A5E">
        <w:rPr>
          <w:sz w:val="24"/>
          <w:szCs w:val="24"/>
          <w:u w:val="single"/>
        </w:rPr>
        <w:lastRenderedPageBreak/>
        <w:t>Amning</w:t>
      </w:r>
    </w:p>
    <w:p w14:paraId="79638829" w14:textId="77777777" w:rsidR="001E2A5E" w:rsidRPr="001E2A5E" w:rsidRDefault="001E2A5E" w:rsidP="001E2A5E">
      <w:pPr>
        <w:tabs>
          <w:tab w:val="left" w:pos="851"/>
        </w:tabs>
        <w:ind w:left="851"/>
        <w:rPr>
          <w:sz w:val="24"/>
          <w:szCs w:val="24"/>
        </w:rPr>
      </w:pPr>
      <w:r w:rsidRPr="001E2A5E">
        <w:rPr>
          <w:sz w:val="24"/>
          <w:szCs w:val="24"/>
        </w:rPr>
        <w:t>Enzalutamid er ikke beregnet til anvendelse hos kvinder. Det vides ikke, om enzalutamid udskilles i human mælk. Enzalutamid og/eller dets metabolitter udskilles i mælken hos rotter (se pkt. 5.3).</w:t>
      </w:r>
    </w:p>
    <w:p w14:paraId="7A6B8C32" w14:textId="77777777" w:rsidR="001E2A5E" w:rsidRPr="001E2A5E" w:rsidRDefault="001E2A5E" w:rsidP="001E2A5E">
      <w:pPr>
        <w:tabs>
          <w:tab w:val="left" w:pos="851"/>
        </w:tabs>
        <w:ind w:left="851"/>
        <w:rPr>
          <w:sz w:val="24"/>
          <w:szCs w:val="24"/>
        </w:rPr>
      </w:pPr>
    </w:p>
    <w:p w14:paraId="0AEE4B62" w14:textId="77777777" w:rsidR="001E2A5E" w:rsidRPr="001E2A5E" w:rsidRDefault="001E2A5E" w:rsidP="001E2A5E">
      <w:pPr>
        <w:tabs>
          <w:tab w:val="left" w:pos="851"/>
        </w:tabs>
        <w:ind w:left="851"/>
        <w:rPr>
          <w:sz w:val="24"/>
          <w:szCs w:val="24"/>
        </w:rPr>
      </w:pPr>
      <w:r w:rsidRPr="001E2A5E">
        <w:rPr>
          <w:sz w:val="24"/>
          <w:szCs w:val="24"/>
          <w:u w:val="single"/>
        </w:rPr>
        <w:t>Fertilitet</w:t>
      </w:r>
    </w:p>
    <w:p w14:paraId="72CEB3C2" w14:textId="77777777" w:rsidR="001E2A5E" w:rsidRPr="001E2A5E" w:rsidRDefault="001E2A5E" w:rsidP="001E2A5E">
      <w:pPr>
        <w:tabs>
          <w:tab w:val="left" w:pos="851"/>
        </w:tabs>
        <w:ind w:left="851"/>
        <w:rPr>
          <w:sz w:val="24"/>
          <w:szCs w:val="24"/>
        </w:rPr>
      </w:pPr>
      <w:r w:rsidRPr="001E2A5E">
        <w:rPr>
          <w:sz w:val="24"/>
          <w:szCs w:val="24"/>
        </w:rPr>
        <w:t>Dyrestudier har påvist, at enzalutamid påvirker det reproduktive system hos hanrotter og -hunde (se pkt. 5.3).</w:t>
      </w:r>
    </w:p>
    <w:p w14:paraId="035187B4" w14:textId="77777777" w:rsidR="009260DE" w:rsidRPr="00C84483" w:rsidRDefault="009260DE" w:rsidP="009260DE">
      <w:pPr>
        <w:tabs>
          <w:tab w:val="left" w:pos="851"/>
        </w:tabs>
        <w:ind w:left="851"/>
        <w:rPr>
          <w:sz w:val="24"/>
          <w:szCs w:val="24"/>
        </w:rPr>
      </w:pPr>
    </w:p>
    <w:p w14:paraId="69CFAA9A"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113E5EC8" w14:textId="77777777" w:rsidR="00FD00FF" w:rsidRPr="00FD00FF" w:rsidRDefault="00FD00FF" w:rsidP="00FD00FF">
      <w:pPr>
        <w:tabs>
          <w:tab w:val="left" w:pos="851"/>
        </w:tabs>
        <w:ind w:left="851"/>
        <w:rPr>
          <w:sz w:val="24"/>
          <w:szCs w:val="24"/>
        </w:rPr>
      </w:pPr>
      <w:r w:rsidRPr="00FD00FF">
        <w:rPr>
          <w:sz w:val="24"/>
          <w:szCs w:val="24"/>
        </w:rPr>
        <w:t>Ikke mærkning.</w:t>
      </w:r>
    </w:p>
    <w:p w14:paraId="20C6D069" w14:textId="77777777" w:rsidR="00FD00FF" w:rsidRPr="00FD00FF" w:rsidRDefault="00FD00FF" w:rsidP="00FD00FF">
      <w:pPr>
        <w:tabs>
          <w:tab w:val="left" w:pos="851"/>
        </w:tabs>
        <w:ind w:left="851"/>
        <w:rPr>
          <w:sz w:val="24"/>
          <w:szCs w:val="24"/>
        </w:rPr>
      </w:pPr>
      <w:r w:rsidRPr="00FD00FF">
        <w:rPr>
          <w:sz w:val="24"/>
          <w:szCs w:val="24"/>
        </w:rPr>
        <w:t>Enzalutamide "Teva" kan muligvis i moderat grad påvirke evnen til at føre motorkøretøj og betjene maskiner, da der er indberettet psykiatriske og neurologiske hændelser, herunder krampeanfald (se pkt. 4.8). Patienter bør advares om den potentielle risiko for at opleve en psykiatrisk eller neurologisk hændelse, når de fører motorkøretøj eller betjener maskiner. Der er ikke udført studier til vurdering af virkningerne af enzalutamid på evnen til at føre motorkøretøj og betjene maskiner.</w:t>
      </w:r>
    </w:p>
    <w:p w14:paraId="0A9DB08A" w14:textId="77777777" w:rsidR="009260DE" w:rsidRPr="00C84483" w:rsidRDefault="009260DE" w:rsidP="009260DE">
      <w:pPr>
        <w:tabs>
          <w:tab w:val="left" w:pos="851"/>
        </w:tabs>
        <w:ind w:left="851"/>
        <w:rPr>
          <w:sz w:val="24"/>
          <w:szCs w:val="24"/>
        </w:rPr>
      </w:pPr>
    </w:p>
    <w:p w14:paraId="5E8A4758"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1AECF608" w14:textId="77777777" w:rsidR="00FD00FF" w:rsidRPr="00FD00FF" w:rsidRDefault="00FD00FF" w:rsidP="00FD00FF">
      <w:pPr>
        <w:pStyle w:val="Brdtekst"/>
        <w:ind w:left="851"/>
        <w:rPr>
          <w:b/>
          <w:sz w:val="24"/>
          <w:szCs w:val="24"/>
        </w:rPr>
      </w:pPr>
    </w:p>
    <w:p w14:paraId="0FA7449C" w14:textId="77777777" w:rsidR="00FD00FF" w:rsidRPr="00FD00FF" w:rsidRDefault="00FD00FF" w:rsidP="00FD00FF">
      <w:pPr>
        <w:pStyle w:val="Brdtekst"/>
        <w:ind w:left="851"/>
        <w:rPr>
          <w:sz w:val="24"/>
          <w:szCs w:val="24"/>
        </w:rPr>
      </w:pPr>
      <w:r w:rsidRPr="00FD00FF">
        <w:rPr>
          <w:sz w:val="24"/>
          <w:szCs w:val="24"/>
          <w:u w:val="single"/>
        </w:rPr>
        <w:t>Resumé af sikkerhedsprofilen</w:t>
      </w:r>
    </w:p>
    <w:p w14:paraId="1EFFD4E3" w14:textId="77777777" w:rsidR="00FD00FF" w:rsidRPr="00FD00FF" w:rsidRDefault="00FD00FF" w:rsidP="00FD00FF">
      <w:pPr>
        <w:pStyle w:val="Brdtekst"/>
        <w:ind w:left="851"/>
        <w:rPr>
          <w:sz w:val="24"/>
          <w:szCs w:val="24"/>
        </w:rPr>
      </w:pPr>
      <w:r w:rsidRPr="00FD00FF">
        <w:rPr>
          <w:sz w:val="24"/>
          <w:szCs w:val="24"/>
        </w:rPr>
        <w:t>De hyppigste bivirkninger er asteni/træthed, hedestigninger, hypertension, frakturer og fald. Andre vigtige bivirkninger inkluderer iskæmisk hjertesygdom og krampeanfald.</w:t>
      </w:r>
    </w:p>
    <w:p w14:paraId="5796D57D" w14:textId="77777777" w:rsidR="00FD00FF" w:rsidRPr="00FD00FF" w:rsidRDefault="00FD00FF" w:rsidP="00FD00FF">
      <w:pPr>
        <w:pStyle w:val="Brdtekst"/>
        <w:ind w:left="851"/>
        <w:rPr>
          <w:sz w:val="24"/>
          <w:szCs w:val="24"/>
        </w:rPr>
      </w:pPr>
    </w:p>
    <w:p w14:paraId="5089121F" w14:textId="77777777" w:rsidR="00FD00FF" w:rsidRPr="00FD00FF" w:rsidRDefault="00FD00FF" w:rsidP="00FD00FF">
      <w:pPr>
        <w:pStyle w:val="Brdtekst"/>
        <w:ind w:left="851"/>
        <w:rPr>
          <w:sz w:val="24"/>
          <w:szCs w:val="24"/>
        </w:rPr>
      </w:pPr>
      <w:r w:rsidRPr="00FD00FF">
        <w:rPr>
          <w:sz w:val="24"/>
          <w:szCs w:val="24"/>
        </w:rPr>
        <w:t>Der forekom krampeanfald hos 0,6 % af de enzalutamidbehandlede patienter, hos 0,1 % af patienterne i placebogruppen og hos 0,3 % af de bicalutamidbehandlede patienter.</w:t>
      </w:r>
    </w:p>
    <w:p w14:paraId="358916D0" w14:textId="77777777" w:rsidR="00FD00FF" w:rsidRPr="00FD00FF" w:rsidRDefault="00FD00FF" w:rsidP="00FD00FF">
      <w:pPr>
        <w:pStyle w:val="Brdtekst"/>
        <w:ind w:left="851"/>
        <w:rPr>
          <w:sz w:val="24"/>
          <w:szCs w:val="24"/>
        </w:rPr>
      </w:pPr>
    </w:p>
    <w:p w14:paraId="673D0473" w14:textId="77777777" w:rsidR="00FD00FF" w:rsidRPr="00FD00FF" w:rsidRDefault="00FD00FF" w:rsidP="00FD00FF">
      <w:pPr>
        <w:pStyle w:val="Brdtekst"/>
        <w:ind w:left="851"/>
        <w:rPr>
          <w:sz w:val="24"/>
          <w:szCs w:val="24"/>
        </w:rPr>
      </w:pPr>
      <w:r w:rsidRPr="00FD00FF">
        <w:rPr>
          <w:sz w:val="24"/>
          <w:szCs w:val="24"/>
        </w:rPr>
        <w:t>Der er rapporteret om sjældne tilfælde af posteriort reversibelt encefalopati-syndrom hos enzalutamidbehandlede patienter (se pkt. 4.4).</w:t>
      </w:r>
    </w:p>
    <w:p w14:paraId="2AE09648" w14:textId="77777777" w:rsidR="00FD00FF" w:rsidRPr="00FD00FF" w:rsidRDefault="00FD00FF" w:rsidP="00FD00FF">
      <w:pPr>
        <w:pStyle w:val="Brdtekst"/>
        <w:ind w:left="851"/>
        <w:rPr>
          <w:sz w:val="24"/>
          <w:szCs w:val="24"/>
        </w:rPr>
      </w:pPr>
    </w:p>
    <w:p w14:paraId="04F20E38" w14:textId="71813235" w:rsidR="00FD00FF" w:rsidRPr="00FD00FF" w:rsidRDefault="00FD00FF" w:rsidP="00FD00FF">
      <w:pPr>
        <w:pStyle w:val="Brdtekst"/>
        <w:ind w:left="851"/>
        <w:rPr>
          <w:sz w:val="24"/>
          <w:szCs w:val="24"/>
        </w:rPr>
      </w:pPr>
      <w:r w:rsidRPr="00FD00FF">
        <w:rPr>
          <w:sz w:val="24"/>
          <w:szCs w:val="24"/>
        </w:rPr>
        <w:t>Der er rapporteret om Stevens-Johnson</w:t>
      </w:r>
      <w:r>
        <w:rPr>
          <w:sz w:val="24"/>
          <w:szCs w:val="24"/>
        </w:rPr>
        <w:t>s</w:t>
      </w:r>
      <w:r w:rsidRPr="00FD00FF">
        <w:rPr>
          <w:sz w:val="24"/>
          <w:szCs w:val="24"/>
        </w:rPr>
        <w:t xml:space="preserve"> syndrom ved enzalutamidbehandling (se pkt. 4.4).</w:t>
      </w:r>
    </w:p>
    <w:p w14:paraId="55182773" w14:textId="77777777" w:rsidR="00FD00FF" w:rsidRPr="00FD00FF" w:rsidRDefault="00FD00FF" w:rsidP="00FD00FF">
      <w:pPr>
        <w:pStyle w:val="Brdtekst"/>
        <w:ind w:left="851"/>
        <w:rPr>
          <w:sz w:val="24"/>
          <w:szCs w:val="24"/>
        </w:rPr>
      </w:pPr>
    </w:p>
    <w:p w14:paraId="1AAE4DF5" w14:textId="77777777" w:rsidR="00FD00FF" w:rsidRPr="00FD00FF" w:rsidRDefault="00FD00FF" w:rsidP="00FD00FF">
      <w:pPr>
        <w:pStyle w:val="Brdtekst"/>
        <w:ind w:left="851"/>
        <w:rPr>
          <w:sz w:val="24"/>
          <w:szCs w:val="24"/>
        </w:rPr>
      </w:pPr>
      <w:r w:rsidRPr="00FD00FF">
        <w:rPr>
          <w:sz w:val="24"/>
          <w:szCs w:val="24"/>
          <w:u w:val="single"/>
        </w:rPr>
        <w:t>Skematisk oversigt over bivirkninger</w:t>
      </w:r>
    </w:p>
    <w:p w14:paraId="2BF1680D" w14:textId="77777777" w:rsidR="00FD00FF" w:rsidRPr="00FD00FF" w:rsidRDefault="00FD00FF" w:rsidP="00FD00FF">
      <w:pPr>
        <w:pStyle w:val="Brdtekst"/>
        <w:ind w:left="851"/>
        <w:rPr>
          <w:sz w:val="24"/>
          <w:szCs w:val="24"/>
        </w:rPr>
      </w:pPr>
      <w:r w:rsidRPr="00FD00FF">
        <w:rPr>
          <w:sz w:val="24"/>
          <w:szCs w:val="24"/>
        </w:rPr>
        <w:t>Bivirkninger observeret under kliniske studier er anført nedenfor baseret på frekvenskategori.</w:t>
      </w:r>
    </w:p>
    <w:p w14:paraId="67318F77" w14:textId="57FA75F1" w:rsidR="00FD00FF" w:rsidRPr="00FD00FF" w:rsidRDefault="00FD00FF" w:rsidP="00FD00FF">
      <w:pPr>
        <w:pStyle w:val="Brdtekst"/>
        <w:ind w:left="851"/>
        <w:rPr>
          <w:sz w:val="24"/>
          <w:szCs w:val="24"/>
        </w:rPr>
      </w:pPr>
      <w:r w:rsidRPr="00FD00FF">
        <w:rPr>
          <w:sz w:val="24"/>
          <w:szCs w:val="24"/>
        </w:rPr>
        <w:t xml:space="preserve">Frekvenskategorierne er defineret som følger: </w:t>
      </w:r>
      <w:r>
        <w:rPr>
          <w:sz w:val="24"/>
          <w:szCs w:val="24"/>
        </w:rPr>
        <w:t>M</w:t>
      </w:r>
      <w:r w:rsidRPr="00FD00FF">
        <w:rPr>
          <w:sz w:val="24"/>
          <w:szCs w:val="24"/>
        </w:rPr>
        <w:t>eget almindelig (≥1/10); almindelig (≥1/100 til &lt;1/10); ikke almindelig (≥1/1.000 til &lt;1/100); sjælden (≥1/10.000 til &lt;1/1.000); meget sjælden (&lt;1/10.000); ikke kendt (kan ikke estimeres ud fra forhåndenværende data). Inden for hver enkelt frekvensgruppe er bivirkningerne opstillet efter, hvor alvorlige de er. De alvorligste bivirkninger er anført først.</w:t>
      </w:r>
    </w:p>
    <w:p w14:paraId="7359B2C7" w14:textId="77777777" w:rsidR="00FD00FF" w:rsidRPr="00FD00FF" w:rsidRDefault="00FD00FF" w:rsidP="00FD00FF">
      <w:pPr>
        <w:pStyle w:val="Brdtekst"/>
        <w:ind w:left="851"/>
        <w:rPr>
          <w:sz w:val="24"/>
          <w:szCs w:val="24"/>
        </w:rPr>
      </w:pPr>
    </w:p>
    <w:p w14:paraId="532C615F" w14:textId="77777777" w:rsidR="00FD00FF" w:rsidRPr="00FD00FF" w:rsidRDefault="00FD00FF" w:rsidP="00FD00FF">
      <w:pPr>
        <w:rPr>
          <w:b/>
        </w:rPr>
      </w:pPr>
      <w:r w:rsidRPr="00FD00FF">
        <w:rPr>
          <w:b/>
        </w:rPr>
        <w:t>Tabel 1: Bivirkninger identificeret i kontrollerede kliniske studier og efter markedsføring</w:t>
      </w:r>
    </w:p>
    <w:p w14:paraId="68A054B3" w14:textId="77777777" w:rsidR="00FD00FF" w:rsidRPr="00FD00FF" w:rsidRDefault="00FD00FF" w:rsidP="00FD00FF">
      <w:pPr>
        <w:pStyle w:val="Brdtekst"/>
        <w:ind w:left="851"/>
        <w:rPr>
          <w:sz w:val="24"/>
          <w:szCs w:val="24"/>
        </w:rPr>
      </w:pPr>
    </w:p>
    <w:tbl>
      <w:tblPr>
        <w:tblpPr w:leftFromText="142" w:rightFromText="142" w:vertAnchor="text" w:horzAnchor="margin" w:tblpY="1"/>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60"/>
        <w:gridCol w:w="6375"/>
      </w:tblGrid>
      <w:tr w:rsidR="00FD00FF" w14:paraId="0C50B5D2" w14:textId="77777777" w:rsidTr="00FD00FF">
        <w:trPr>
          <w:trHeight w:val="505"/>
        </w:trPr>
        <w:tc>
          <w:tcPr>
            <w:tcW w:w="2762" w:type="dxa"/>
            <w:tcBorders>
              <w:top w:val="single" w:sz="8" w:space="0" w:color="000000"/>
              <w:left w:val="single" w:sz="8" w:space="0" w:color="000000"/>
              <w:bottom w:val="single" w:sz="8" w:space="0" w:color="000000"/>
              <w:right w:val="single" w:sz="8" w:space="0" w:color="000000"/>
            </w:tcBorders>
            <w:hideMark/>
          </w:tcPr>
          <w:p w14:paraId="69DE3309" w14:textId="77777777" w:rsidR="00FD00FF" w:rsidRDefault="00FD00FF">
            <w:pPr>
              <w:pStyle w:val="TableParagraph"/>
              <w:ind w:left="0"/>
              <w:rPr>
                <w:b/>
                <w:lang w:val="en-US"/>
              </w:rPr>
            </w:pPr>
            <w:r>
              <w:rPr>
                <w:b/>
                <w:lang w:val="en-US"/>
              </w:rPr>
              <w:t>MedDRA-</w:t>
            </w:r>
          </w:p>
          <w:p w14:paraId="0C58E293" w14:textId="77777777" w:rsidR="00FD00FF" w:rsidRDefault="00FD00FF">
            <w:pPr>
              <w:pStyle w:val="TableParagraph"/>
              <w:ind w:left="0"/>
              <w:rPr>
                <w:b/>
                <w:lang w:val="en-US"/>
              </w:rPr>
            </w:pPr>
            <w:r>
              <w:rPr>
                <w:b/>
                <w:lang w:val="en-US"/>
              </w:rPr>
              <w:t>systemorganklasse</w:t>
            </w:r>
          </w:p>
        </w:tc>
        <w:tc>
          <w:tcPr>
            <w:tcW w:w="6379" w:type="dxa"/>
            <w:tcBorders>
              <w:top w:val="single" w:sz="8" w:space="0" w:color="000000"/>
              <w:left w:val="single" w:sz="8" w:space="0" w:color="000000"/>
              <w:bottom w:val="single" w:sz="8" w:space="0" w:color="000000"/>
              <w:right w:val="single" w:sz="8" w:space="0" w:color="000000"/>
            </w:tcBorders>
            <w:hideMark/>
          </w:tcPr>
          <w:p w14:paraId="48F8D002" w14:textId="77777777" w:rsidR="00FD00FF" w:rsidRDefault="00FD00FF">
            <w:pPr>
              <w:pStyle w:val="TableParagraph"/>
              <w:ind w:left="0"/>
              <w:rPr>
                <w:b/>
                <w:lang w:val="en-US"/>
              </w:rPr>
            </w:pPr>
            <w:r>
              <w:rPr>
                <w:b/>
                <w:lang w:val="en-US"/>
              </w:rPr>
              <w:t>Bivirkning og hyppighed</w:t>
            </w:r>
          </w:p>
        </w:tc>
      </w:tr>
      <w:tr w:rsidR="00FD00FF" w14:paraId="18054864" w14:textId="77777777" w:rsidTr="00FD00FF">
        <w:trPr>
          <w:trHeight w:val="507"/>
        </w:trPr>
        <w:tc>
          <w:tcPr>
            <w:tcW w:w="2762" w:type="dxa"/>
            <w:tcBorders>
              <w:top w:val="single" w:sz="8" w:space="0" w:color="000000"/>
              <w:left w:val="single" w:sz="8" w:space="0" w:color="000000"/>
              <w:bottom w:val="single" w:sz="8" w:space="0" w:color="000000"/>
              <w:right w:val="single" w:sz="8" w:space="0" w:color="000000"/>
            </w:tcBorders>
            <w:hideMark/>
          </w:tcPr>
          <w:p w14:paraId="0F5BEBA5" w14:textId="77777777" w:rsidR="00FD00FF" w:rsidRDefault="00FD00FF">
            <w:pPr>
              <w:pStyle w:val="TableParagraph"/>
              <w:ind w:left="0"/>
              <w:rPr>
                <w:lang w:val="en-US"/>
              </w:rPr>
            </w:pPr>
            <w:r>
              <w:rPr>
                <w:lang w:val="en-US"/>
              </w:rPr>
              <w:t>Blod og lymfesystem</w:t>
            </w:r>
          </w:p>
        </w:tc>
        <w:tc>
          <w:tcPr>
            <w:tcW w:w="6379" w:type="dxa"/>
            <w:tcBorders>
              <w:top w:val="single" w:sz="8" w:space="0" w:color="000000"/>
              <w:left w:val="single" w:sz="8" w:space="0" w:color="000000"/>
              <w:bottom w:val="single" w:sz="8" w:space="0" w:color="000000"/>
              <w:right w:val="single" w:sz="8" w:space="0" w:color="000000"/>
            </w:tcBorders>
            <w:hideMark/>
          </w:tcPr>
          <w:p w14:paraId="546BCED0" w14:textId="77777777" w:rsidR="00FD00FF" w:rsidRPr="00FD00FF" w:rsidRDefault="00FD00FF">
            <w:pPr>
              <w:pStyle w:val="TableParagraph"/>
              <w:ind w:left="0"/>
            </w:pPr>
            <w:r w:rsidRPr="00FD00FF">
              <w:t xml:space="preserve">Ikke almindelig: leukopeni, neutropeni </w:t>
            </w:r>
          </w:p>
          <w:p w14:paraId="46E9F268" w14:textId="77777777" w:rsidR="00FD00FF" w:rsidRPr="00FD00FF" w:rsidRDefault="00FD00FF">
            <w:pPr>
              <w:pStyle w:val="TableParagraph"/>
              <w:ind w:left="0"/>
            </w:pPr>
            <w:r w:rsidRPr="00FD00FF">
              <w:t>Ikke kendt*: trombocytopeni</w:t>
            </w:r>
          </w:p>
        </w:tc>
      </w:tr>
      <w:tr w:rsidR="00FD00FF" w14:paraId="57C92511" w14:textId="77777777" w:rsidTr="00FD00FF">
        <w:trPr>
          <w:trHeight w:val="270"/>
        </w:trPr>
        <w:tc>
          <w:tcPr>
            <w:tcW w:w="2762" w:type="dxa"/>
            <w:tcBorders>
              <w:top w:val="single" w:sz="8" w:space="0" w:color="000000"/>
              <w:left w:val="single" w:sz="8" w:space="0" w:color="000000"/>
              <w:bottom w:val="single" w:sz="8" w:space="0" w:color="000000"/>
              <w:right w:val="single" w:sz="8" w:space="0" w:color="000000"/>
            </w:tcBorders>
            <w:hideMark/>
          </w:tcPr>
          <w:p w14:paraId="1DB6D82E" w14:textId="77777777" w:rsidR="00FD00FF" w:rsidRDefault="00FD00FF">
            <w:pPr>
              <w:pStyle w:val="TableParagraph"/>
              <w:ind w:left="0"/>
              <w:rPr>
                <w:lang w:val="en-US"/>
              </w:rPr>
            </w:pPr>
            <w:r>
              <w:rPr>
                <w:lang w:val="en-US"/>
              </w:rPr>
              <w:t>Immunsystemet</w:t>
            </w:r>
          </w:p>
        </w:tc>
        <w:tc>
          <w:tcPr>
            <w:tcW w:w="6379" w:type="dxa"/>
            <w:tcBorders>
              <w:top w:val="single" w:sz="8" w:space="0" w:color="000000"/>
              <w:left w:val="single" w:sz="8" w:space="0" w:color="000000"/>
              <w:bottom w:val="single" w:sz="8" w:space="0" w:color="000000"/>
              <w:right w:val="single" w:sz="8" w:space="0" w:color="000000"/>
            </w:tcBorders>
            <w:hideMark/>
          </w:tcPr>
          <w:p w14:paraId="0A902ADD" w14:textId="77777777" w:rsidR="00FD00FF" w:rsidRPr="00FD00FF" w:rsidRDefault="00FD00FF">
            <w:pPr>
              <w:pStyle w:val="TableParagraph"/>
              <w:ind w:left="0"/>
            </w:pPr>
            <w:r w:rsidRPr="00FD00FF">
              <w:t>Ikke kendt*: ansigtsødem, tungeødem, læbeødem, faryngealt ødem</w:t>
            </w:r>
          </w:p>
        </w:tc>
      </w:tr>
      <w:tr w:rsidR="00FD00FF" w14:paraId="0C205540" w14:textId="77777777" w:rsidTr="00FD00FF">
        <w:trPr>
          <w:trHeight w:val="505"/>
        </w:trPr>
        <w:tc>
          <w:tcPr>
            <w:tcW w:w="2762" w:type="dxa"/>
            <w:tcBorders>
              <w:top w:val="single" w:sz="8" w:space="0" w:color="000000"/>
              <w:left w:val="single" w:sz="8" w:space="0" w:color="000000"/>
              <w:bottom w:val="single" w:sz="8" w:space="0" w:color="000000"/>
              <w:right w:val="single" w:sz="8" w:space="0" w:color="000000"/>
            </w:tcBorders>
            <w:hideMark/>
          </w:tcPr>
          <w:p w14:paraId="5A9FF3A3" w14:textId="77777777" w:rsidR="00FD00FF" w:rsidRDefault="00FD00FF">
            <w:pPr>
              <w:pStyle w:val="TableParagraph"/>
              <w:ind w:left="0"/>
              <w:rPr>
                <w:lang w:val="en-US"/>
              </w:rPr>
            </w:pPr>
            <w:r>
              <w:rPr>
                <w:lang w:val="en-US"/>
              </w:rPr>
              <w:t>Metabolisme og ernæring</w:t>
            </w:r>
          </w:p>
        </w:tc>
        <w:tc>
          <w:tcPr>
            <w:tcW w:w="6379" w:type="dxa"/>
            <w:tcBorders>
              <w:top w:val="single" w:sz="8" w:space="0" w:color="000000"/>
              <w:left w:val="single" w:sz="8" w:space="0" w:color="000000"/>
              <w:bottom w:val="single" w:sz="8" w:space="0" w:color="000000"/>
              <w:right w:val="single" w:sz="8" w:space="0" w:color="000000"/>
            </w:tcBorders>
            <w:hideMark/>
          </w:tcPr>
          <w:p w14:paraId="455294B9" w14:textId="77777777" w:rsidR="00FD00FF" w:rsidRDefault="00FD00FF">
            <w:pPr>
              <w:pStyle w:val="TableParagraph"/>
              <w:ind w:left="0"/>
              <w:rPr>
                <w:lang w:val="en-US"/>
              </w:rPr>
            </w:pPr>
            <w:r>
              <w:rPr>
                <w:lang w:val="en-US"/>
              </w:rPr>
              <w:t>Ikke kendt*: Nedsat appetit</w:t>
            </w:r>
          </w:p>
        </w:tc>
      </w:tr>
      <w:tr w:rsidR="00FD00FF" w14:paraId="722D02A3" w14:textId="77777777" w:rsidTr="00FD00FF">
        <w:trPr>
          <w:trHeight w:val="505"/>
        </w:trPr>
        <w:tc>
          <w:tcPr>
            <w:tcW w:w="2762" w:type="dxa"/>
            <w:tcBorders>
              <w:top w:val="single" w:sz="8" w:space="0" w:color="000000"/>
              <w:left w:val="single" w:sz="8" w:space="0" w:color="000000"/>
              <w:bottom w:val="single" w:sz="8" w:space="0" w:color="000000"/>
              <w:right w:val="single" w:sz="8" w:space="0" w:color="000000"/>
            </w:tcBorders>
            <w:hideMark/>
          </w:tcPr>
          <w:p w14:paraId="4F733C22" w14:textId="77777777" w:rsidR="00FD00FF" w:rsidRDefault="00FD00FF">
            <w:pPr>
              <w:pStyle w:val="TableParagraph"/>
              <w:ind w:left="0"/>
              <w:rPr>
                <w:lang w:val="en-US"/>
              </w:rPr>
            </w:pPr>
            <w:r>
              <w:rPr>
                <w:lang w:val="en-US"/>
              </w:rPr>
              <w:t>Psykiske forstyrrelser</w:t>
            </w:r>
          </w:p>
        </w:tc>
        <w:tc>
          <w:tcPr>
            <w:tcW w:w="6379" w:type="dxa"/>
            <w:tcBorders>
              <w:top w:val="single" w:sz="8" w:space="0" w:color="000000"/>
              <w:left w:val="single" w:sz="8" w:space="0" w:color="000000"/>
              <w:bottom w:val="single" w:sz="8" w:space="0" w:color="000000"/>
              <w:right w:val="single" w:sz="8" w:space="0" w:color="000000"/>
            </w:tcBorders>
            <w:hideMark/>
          </w:tcPr>
          <w:p w14:paraId="12D6D3EC" w14:textId="77777777" w:rsidR="00FD00FF" w:rsidRPr="00FD00FF" w:rsidRDefault="00FD00FF">
            <w:pPr>
              <w:pStyle w:val="TableParagraph"/>
              <w:ind w:left="0"/>
            </w:pPr>
            <w:r w:rsidRPr="00FD00FF">
              <w:t>Almindelig: angst</w:t>
            </w:r>
          </w:p>
          <w:p w14:paraId="568CC9F8" w14:textId="77777777" w:rsidR="00FD00FF" w:rsidRPr="00FD00FF" w:rsidRDefault="00FD00FF">
            <w:pPr>
              <w:pStyle w:val="TableParagraph"/>
              <w:ind w:left="0"/>
            </w:pPr>
            <w:r w:rsidRPr="00FD00FF">
              <w:t>Ikke almindelig: visuelle hallucinationer</w:t>
            </w:r>
          </w:p>
        </w:tc>
      </w:tr>
      <w:tr w:rsidR="00FD00FF" w14:paraId="2A196A88" w14:textId="77777777" w:rsidTr="00FD00FF">
        <w:trPr>
          <w:trHeight w:val="1266"/>
        </w:trPr>
        <w:tc>
          <w:tcPr>
            <w:tcW w:w="2762" w:type="dxa"/>
            <w:tcBorders>
              <w:top w:val="single" w:sz="8" w:space="0" w:color="000000"/>
              <w:left w:val="single" w:sz="8" w:space="0" w:color="000000"/>
              <w:bottom w:val="single" w:sz="8" w:space="0" w:color="000000"/>
              <w:right w:val="single" w:sz="8" w:space="0" w:color="000000"/>
            </w:tcBorders>
            <w:hideMark/>
          </w:tcPr>
          <w:p w14:paraId="43CB155C" w14:textId="77777777" w:rsidR="00FD00FF" w:rsidRDefault="00FD00FF">
            <w:pPr>
              <w:pStyle w:val="TableParagraph"/>
              <w:ind w:left="0"/>
              <w:rPr>
                <w:lang w:val="en-US"/>
              </w:rPr>
            </w:pPr>
            <w:r>
              <w:rPr>
                <w:lang w:val="en-US"/>
              </w:rPr>
              <w:lastRenderedPageBreak/>
              <w:t>Nervesystemet</w:t>
            </w:r>
          </w:p>
        </w:tc>
        <w:tc>
          <w:tcPr>
            <w:tcW w:w="6379" w:type="dxa"/>
            <w:tcBorders>
              <w:top w:val="single" w:sz="8" w:space="0" w:color="000000"/>
              <w:left w:val="single" w:sz="8" w:space="0" w:color="000000"/>
              <w:bottom w:val="single" w:sz="8" w:space="0" w:color="000000"/>
              <w:right w:val="single" w:sz="8" w:space="0" w:color="000000"/>
            </w:tcBorders>
            <w:hideMark/>
          </w:tcPr>
          <w:p w14:paraId="60FF44DC" w14:textId="77777777" w:rsidR="00FD00FF" w:rsidRPr="00FD00FF" w:rsidRDefault="00FD00FF">
            <w:pPr>
              <w:pStyle w:val="TableParagraph"/>
              <w:ind w:left="0"/>
            </w:pPr>
            <w:r w:rsidRPr="00FD00FF">
              <w:t xml:space="preserve">Almindelig: hovedpine, hukommelsessvækkelse, amnesi, opmærksomhedsforstyrrelse, dysgeusi, </w:t>
            </w:r>
            <w:r w:rsidRPr="00FD00FF">
              <w:rPr>
                <w:i/>
              </w:rPr>
              <w:t>restless legs</w:t>
            </w:r>
            <w:r w:rsidRPr="00FD00FF">
              <w:t>-syndrom, kognitiv forstyrrelse</w:t>
            </w:r>
          </w:p>
          <w:p w14:paraId="3C018EFA" w14:textId="77777777" w:rsidR="00FD00FF" w:rsidRPr="00FD00FF" w:rsidRDefault="00FD00FF">
            <w:pPr>
              <w:pStyle w:val="TableParagraph"/>
              <w:ind w:left="0"/>
              <w:rPr>
                <w:sz w:val="14"/>
              </w:rPr>
            </w:pPr>
            <w:r w:rsidRPr="00FD00FF">
              <w:t>Ikke almindelig: krampeanfald</w:t>
            </w:r>
            <w:r w:rsidRPr="00FD00FF">
              <w:rPr>
                <w:position w:val="8"/>
                <w:sz w:val="14"/>
              </w:rPr>
              <w:t>¥</w:t>
            </w:r>
          </w:p>
          <w:p w14:paraId="22D6EB9B" w14:textId="77777777" w:rsidR="00FD00FF" w:rsidRPr="00FD00FF" w:rsidRDefault="00FD00FF">
            <w:pPr>
              <w:pStyle w:val="TableParagraph"/>
              <w:ind w:left="0"/>
            </w:pPr>
            <w:r w:rsidRPr="00FD00FF">
              <w:t>Ikke kendt*: posteriort reversibelt encefalopati-syndrom</w:t>
            </w:r>
          </w:p>
        </w:tc>
      </w:tr>
      <w:tr w:rsidR="00FD00FF" w14:paraId="49EEDB49" w14:textId="77777777" w:rsidTr="00FD00FF">
        <w:trPr>
          <w:trHeight w:val="505"/>
        </w:trPr>
        <w:tc>
          <w:tcPr>
            <w:tcW w:w="2762" w:type="dxa"/>
            <w:tcBorders>
              <w:top w:val="single" w:sz="8" w:space="0" w:color="000000"/>
              <w:left w:val="single" w:sz="8" w:space="0" w:color="000000"/>
              <w:bottom w:val="single" w:sz="8" w:space="0" w:color="000000"/>
              <w:right w:val="single" w:sz="8" w:space="0" w:color="000000"/>
            </w:tcBorders>
            <w:hideMark/>
          </w:tcPr>
          <w:p w14:paraId="2C18B95A" w14:textId="77777777" w:rsidR="00FD00FF" w:rsidRDefault="00FD00FF">
            <w:pPr>
              <w:pStyle w:val="TableParagraph"/>
              <w:ind w:left="0"/>
              <w:rPr>
                <w:lang w:val="en-US"/>
              </w:rPr>
            </w:pPr>
            <w:r>
              <w:rPr>
                <w:lang w:val="en-US"/>
              </w:rPr>
              <w:t>Hjerte</w:t>
            </w:r>
          </w:p>
        </w:tc>
        <w:tc>
          <w:tcPr>
            <w:tcW w:w="6379" w:type="dxa"/>
            <w:tcBorders>
              <w:top w:val="single" w:sz="8" w:space="0" w:color="000000"/>
              <w:left w:val="single" w:sz="8" w:space="0" w:color="000000"/>
              <w:bottom w:val="single" w:sz="8" w:space="0" w:color="000000"/>
              <w:right w:val="single" w:sz="8" w:space="0" w:color="000000"/>
            </w:tcBorders>
            <w:hideMark/>
          </w:tcPr>
          <w:p w14:paraId="4B8B7248" w14:textId="77777777" w:rsidR="00FD00FF" w:rsidRPr="00FD00FF" w:rsidRDefault="00FD00FF">
            <w:pPr>
              <w:pStyle w:val="TableParagraph"/>
              <w:ind w:left="0"/>
              <w:rPr>
                <w:sz w:val="14"/>
              </w:rPr>
            </w:pPr>
            <w:r w:rsidRPr="00FD00FF">
              <w:t>Almindelig: iskæmisk hjertesygdom</w:t>
            </w:r>
            <w:r w:rsidRPr="00FD00FF">
              <w:rPr>
                <w:position w:val="8"/>
                <w:sz w:val="14"/>
              </w:rPr>
              <w:t>†</w:t>
            </w:r>
          </w:p>
          <w:p w14:paraId="3FAC2406" w14:textId="77777777" w:rsidR="00FD00FF" w:rsidRPr="00FD00FF" w:rsidRDefault="00FD00FF">
            <w:pPr>
              <w:pStyle w:val="TableParagraph"/>
              <w:ind w:left="0"/>
            </w:pPr>
            <w:r w:rsidRPr="00FD00FF">
              <w:t>Ikke kendt*: QT-forlængelse (se pkt. 4.4 og 4.5)</w:t>
            </w:r>
          </w:p>
        </w:tc>
      </w:tr>
      <w:tr w:rsidR="00FD00FF" w14:paraId="1984AB85" w14:textId="77777777" w:rsidTr="00FD00FF">
        <w:trPr>
          <w:trHeight w:val="253"/>
        </w:trPr>
        <w:tc>
          <w:tcPr>
            <w:tcW w:w="2762" w:type="dxa"/>
            <w:tcBorders>
              <w:top w:val="single" w:sz="8" w:space="0" w:color="000000"/>
              <w:left w:val="single" w:sz="8" w:space="0" w:color="000000"/>
              <w:bottom w:val="single" w:sz="8" w:space="0" w:color="000000"/>
              <w:right w:val="single" w:sz="8" w:space="0" w:color="000000"/>
            </w:tcBorders>
            <w:hideMark/>
          </w:tcPr>
          <w:p w14:paraId="6B5F68F1" w14:textId="77777777" w:rsidR="00FD00FF" w:rsidRDefault="00FD00FF">
            <w:pPr>
              <w:pStyle w:val="TableParagraph"/>
              <w:ind w:left="0"/>
              <w:rPr>
                <w:lang w:val="en-US"/>
              </w:rPr>
            </w:pPr>
            <w:r>
              <w:rPr>
                <w:lang w:val="en-US"/>
              </w:rPr>
              <w:t>Vaskulære sygdomme</w:t>
            </w:r>
          </w:p>
        </w:tc>
        <w:tc>
          <w:tcPr>
            <w:tcW w:w="6379" w:type="dxa"/>
            <w:tcBorders>
              <w:top w:val="single" w:sz="8" w:space="0" w:color="000000"/>
              <w:left w:val="single" w:sz="8" w:space="0" w:color="000000"/>
              <w:bottom w:val="single" w:sz="8" w:space="0" w:color="000000"/>
              <w:right w:val="single" w:sz="8" w:space="0" w:color="000000"/>
            </w:tcBorders>
            <w:hideMark/>
          </w:tcPr>
          <w:p w14:paraId="4649D532" w14:textId="77777777" w:rsidR="00FD00FF" w:rsidRDefault="00FD00FF">
            <w:pPr>
              <w:pStyle w:val="TableParagraph"/>
              <w:ind w:left="0"/>
              <w:rPr>
                <w:lang w:val="en-US"/>
              </w:rPr>
            </w:pPr>
            <w:r>
              <w:rPr>
                <w:lang w:val="en-US"/>
              </w:rPr>
              <w:t>Meget almindelig: hedestigning, hypertension</w:t>
            </w:r>
          </w:p>
        </w:tc>
      </w:tr>
      <w:tr w:rsidR="00FD00FF" w14:paraId="3C783C1F" w14:textId="77777777" w:rsidTr="00FD00FF">
        <w:trPr>
          <w:trHeight w:val="251"/>
        </w:trPr>
        <w:tc>
          <w:tcPr>
            <w:tcW w:w="2762" w:type="dxa"/>
            <w:tcBorders>
              <w:top w:val="single" w:sz="8" w:space="0" w:color="000000"/>
              <w:left w:val="single" w:sz="8" w:space="0" w:color="000000"/>
              <w:bottom w:val="single" w:sz="8" w:space="0" w:color="000000"/>
              <w:right w:val="single" w:sz="8" w:space="0" w:color="000000"/>
            </w:tcBorders>
            <w:hideMark/>
          </w:tcPr>
          <w:p w14:paraId="11B4C451" w14:textId="77777777" w:rsidR="00FD00FF" w:rsidRDefault="00FD00FF">
            <w:pPr>
              <w:pStyle w:val="TableParagraph"/>
              <w:ind w:left="0"/>
              <w:rPr>
                <w:lang w:val="en-US"/>
              </w:rPr>
            </w:pPr>
            <w:r>
              <w:rPr>
                <w:lang w:val="en-US"/>
              </w:rPr>
              <w:t>Mave-tarm-kanalen</w:t>
            </w:r>
          </w:p>
        </w:tc>
        <w:tc>
          <w:tcPr>
            <w:tcW w:w="6379" w:type="dxa"/>
            <w:tcBorders>
              <w:top w:val="single" w:sz="8" w:space="0" w:color="000000"/>
              <w:left w:val="single" w:sz="8" w:space="0" w:color="000000"/>
              <w:bottom w:val="single" w:sz="8" w:space="0" w:color="000000"/>
              <w:right w:val="single" w:sz="8" w:space="0" w:color="000000"/>
            </w:tcBorders>
            <w:hideMark/>
          </w:tcPr>
          <w:p w14:paraId="5EDC1757" w14:textId="77777777" w:rsidR="00FD00FF" w:rsidRPr="00FD00FF" w:rsidRDefault="00FD00FF">
            <w:pPr>
              <w:pStyle w:val="TableParagraph"/>
              <w:ind w:left="0"/>
            </w:pPr>
            <w:r w:rsidRPr="00FD00FF">
              <w:t>Ikke kendt*: dysfagi</w:t>
            </w:r>
            <w:r w:rsidRPr="00FD00FF">
              <w:rPr>
                <w:vertAlign w:val="superscript"/>
                <w:lang w:eastAsia="de-DE"/>
              </w:rPr>
              <w:t xml:space="preserve">∞, </w:t>
            </w:r>
            <w:r w:rsidRPr="00FD00FF">
              <w:t>kvalme, opkastning, diarré</w:t>
            </w:r>
          </w:p>
        </w:tc>
      </w:tr>
      <w:tr w:rsidR="00FD00FF" w14:paraId="5F07CDB0" w14:textId="77777777" w:rsidTr="00FD00FF">
        <w:trPr>
          <w:trHeight w:val="253"/>
        </w:trPr>
        <w:tc>
          <w:tcPr>
            <w:tcW w:w="2762" w:type="dxa"/>
            <w:tcBorders>
              <w:top w:val="single" w:sz="8" w:space="0" w:color="000000"/>
              <w:left w:val="single" w:sz="8" w:space="0" w:color="000000"/>
              <w:bottom w:val="single" w:sz="8" w:space="0" w:color="000000"/>
              <w:right w:val="single" w:sz="8" w:space="0" w:color="000000"/>
            </w:tcBorders>
            <w:hideMark/>
          </w:tcPr>
          <w:p w14:paraId="6BA75118" w14:textId="77777777" w:rsidR="00FD00FF" w:rsidRDefault="00FD00FF">
            <w:pPr>
              <w:pStyle w:val="TableParagraph"/>
              <w:ind w:left="0"/>
              <w:rPr>
                <w:lang w:val="en-US"/>
              </w:rPr>
            </w:pPr>
            <w:r>
              <w:rPr>
                <w:lang w:val="en-US"/>
              </w:rPr>
              <w:t>Lever og galdeveje</w:t>
            </w:r>
          </w:p>
        </w:tc>
        <w:tc>
          <w:tcPr>
            <w:tcW w:w="6379" w:type="dxa"/>
            <w:tcBorders>
              <w:top w:val="single" w:sz="8" w:space="0" w:color="000000"/>
              <w:left w:val="single" w:sz="8" w:space="0" w:color="000000"/>
              <w:bottom w:val="single" w:sz="8" w:space="0" w:color="000000"/>
              <w:right w:val="single" w:sz="8" w:space="0" w:color="000000"/>
            </w:tcBorders>
            <w:hideMark/>
          </w:tcPr>
          <w:p w14:paraId="0CDEEBC6" w14:textId="77777777" w:rsidR="00FD00FF" w:rsidRPr="00FD00FF" w:rsidRDefault="00FD00FF">
            <w:pPr>
              <w:pStyle w:val="TableParagraph"/>
              <w:ind w:left="0"/>
            </w:pPr>
            <w:r w:rsidRPr="00FD00FF">
              <w:t>Ikke almindelig: stigning i leverenzymer</w:t>
            </w:r>
          </w:p>
        </w:tc>
      </w:tr>
      <w:tr w:rsidR="00FD00FF" w14:paraId="5C6E38E1" w14:textId="77777777" w:rsidTr="00FD00FF">
        <w:trPr>
          <w:trHeight w:val="505"/>
        </w:trPr>
        <w:tc>
          <w:tcPr>
            <w:tcW w:w="2762" w:type="dxa"/>
            <w:tcBorders>
              <w:top w:val="single" w:sz="8" w:space="0" w:color="000000"/>
              <w:left w:val="single" w:sz="8" w:space="0" w:color="000000"/>
              <w:bottom w:val="single" w:sz="8" w:space="0" w:color="000000"/>
              <w:right w:val="single" w:sz="8" w:space="0" w:color="000000"/>
            </w:tcBorders>
            <w:hideMark/>
          </w:tcPr>
          <w:p w14:paraId="496AD312" w14:textId="77777777" w:rsidR="00FD00FF" w:rsidRDefault="00FD00FF">
            <w:pPr>
              <w:pStyle w:val="TableParagraph"/>
              <w:ind w:left="0"/>
              <w:rPr>
                <w:lang w:val="en-US"/>
              </w:rPr>
            </w:pPr>
            <w:r>
              <w:rPr>
                <w:lang w:val="en-US"/>
              </w:rPr>
              <w:t>Hud og subkutane væv</w:t>
            </w:r>
          </w:p>
        </w:tc>
        <w:tc>
          <w:tcPr>
            <w:tcW w:w="6379" w:type="dxa"/>
            <w:tcBorders>
              <w:top w:val="single" w:sz="8" w:space="0" w:color="000000"/>
              <w:left w:val="single" w:sz="8" w:space="0" w:color="000000"/>
              <w:bottom w:val="single" w:sz="8" w:space="0" w:color="000000"/>
              <w:right w:val="single" w:sz="8" w:space="0" w:color="000000"/>
            </w:tcBorders>
            <w:hideMark/>
          </w:tcPr>
          <w:p w14:paraId="2230363A" w14:textId="77777777" w:rsidR="00FD00FF" w:rsidRPr="00FD00FF" w:rsidRDefault="00FD00FF">
            <w:pPr>
              <w:pStyle w:val="TableParagraph"/>
              <w:ind w:left="0"/>
            </w:pPr>
            <w:r w:rsidRPr="00FD00FF">
              <w:t>Almindelig: tør hud, pruritus</w:t>
            </w:r>
          </w:p>
          <w:p w14:paraId="2E9D1CFF" w14:textId="77777777" w:rsidR="00FD00FF" w:rsidRPr="00FD00FF" w:rsidRDefault="00FD00FF">
            <w:pPr>
              <w:pStyle w:val="TableParagraph"/>
              <w:ind w:left="0"/>
            </w:pPr>
            <w:r w:rsidRPr="00FD00FF">
              <w:t>Ikke kendt*: erythema multiforme, Stevens-Johnson syndrom, udslæt</w:t>
            </w:r>
          </w:p>
        </w:tc>
      </w:tr>
      <w:tr w:rsidR="00FD00FF" w14:paraId="6EC06296" w14:textId="77777777" w:rsidTr="00FD00FF">
        <w:trPr>
          <w:trHeight w:val="505"/>
        </w:trPr>
        <w:tc>
          <w:tcPr>
            <w:tcW w:w="2762" w:type="dxa"/>
            <w:tcBorders>
              <w:top w:val="single" w:sz="8" w:space="0" w:color="000000"/>
              <w:left w:val="single" w:sz="8" w:space="0" w:color="000000"/>
              <w:bottom w:val="single" w:sz="8" w:space="0" w:color="000000"/>
              <w:right w:val="single" w:sz="8" w:space="0" w:color="000000"/>
            </w:tcBorders>
            <w:hideMark/>
          </w:tcPr>
          <w:p w14:paraId="0B88EC34" w14:textId="77777777" w:rsidR="00FD00FF" w:rsidRPr="00FD00FF" w:rsidRDefault="00FD00FF">
            <w:pPr>
              <w:pStyle w:val="TableParagraph"/>
              <w:ind w:left="0"/>
            </w:pPr>
            <w:r w:rsidRPr="00FD00FF">
              <w:t>Knogler, led, muskler og bindevæv</w:t>
            </w:r>
          </w:p>
        </w:tc>
        <w:tc>
          <w:tcPr>
            <w:tcW w:w="6379" w:type="dxa"/>
            <w:tcBorders>
              <w:top w:val="single" w:sz="8" w:space="0" w:color="000000"/>
              <w:left w:val="single" w:sz="8" w:space="0" w:color="000000"/>
              <w:bottom w:val="single" w:sz="8" w:space="0" w:color="000000"/>
              <w:right w:val="single" w:sz="8" w:space="0" w:color="000000"/>
            </w:tcBorders>
            <w:hideMark/>
          </w:tcPr>
          <w:p w14:paraId="1EDA3FEA" w14:textId="77777777" w:rsidR="00FD00FF" w:rsidRPr="00FD00FF" w:rsidRDefault="00FD00FF">
            <w:pPr>
              <w:pStyle w:val="TableParagraph"/>
              <w:ind w:left="0"/>
              <w:rPr>
                <w:sz w:val="14"/>
              </w:rPr>
            </w:pPr>
            <w:r w:rsidRPr="00FD00FF">
              <w:t>Meget almindelig: frakturer</w:t>
            </w:r>
            <w:r w:rsidRPr="00FD00FF">
              <w:rPr>
                <w:position w:val="8"/>
                <w:sz w:val="14"/>
              </w:rPr>
              <w:t>‡</w:t>
            </w:r>
          </w:p>
          <w:p w14:paraId="35D2B040" w14:textId="77777777" w:rsidR="00FD00FF" w:rsidRPr="00FD00FF" w:rsidRDefault="00FD00FF">
            <w:pPr>
              <w:pStyle w:val="TableParagraph"/>
              <w:ind w:left="0"/>
            </w:pPr>
            <w:r w:rsidRPr="00FD00FF">
              <w:t>Ikke kendt*: myalgi, muskelkramper, muskelsvaghed, rygsmerter</w:t>
            </w:r>
          </w:p>
        </w:tc>
      </w:tr>
      <w:tr w:rsidR="00FD00FF" w14:paraId="27BA1CD9" w14:textId="77777777" w:rsidTr="00FD00FF">
        <w:trPr>
          <w:trHeight w:val="503"/>
        </w:trPr>
        <w:tc>
          <w:tcPr>
            <w:tcW w:w="2762" w:type="dxa"/>
            <w:tcBorders>
              <w:top w:val="single" w:sz="8" w:space="0" w:color="000000"/>
              <w:left w:val="single" w:sz="8" w:space="0" w:color="000000"/>
              <w:bottom w:val="single" w:sz="8" w:space="0" w:color="000000"/>
              <w:right w:val="single" w:sz="8" w:space="0" w:color="000000"/>
            </w:tcBorders>
            <w:hideMark/>
          </w:tcPr>
          <w:p w14:paraId="6592FE70" w14:textId="77777777" w:rsidR="00FD00FF" w:rsidRPr="00FD00FF" w:rsidRDefault="00FD00FF">
            <w:pPr>
              <w:pStyle w:val="TableParagraph"/>
              <w:ind w:left="0"/>
            </w:pPr>
            <w:r w:rsidRPr="00FD00FF">
              <w:t>Det reproduktive system og mammae</w:t>
            </w:r>
          </w:p>
        </w:tc>
        <w:tc>
          <w:tcPr>
            <w:tcW w:w="6379" w:type="dxa"/>
            <w:tcBorders>
              <w:top w:val="single" w:sz="8" w:space="0" w:color="000000"/>
              <w:left w:val="single" w:sz="8" w:space="0" w:color="000000"/>
              <w:bottom w:val="single" w:sz="8" w:space="0" w:color="000000"/>
              <w:right w:val="single" w:sz="8" w:space="0" w:color="000000"/>
            </w:tcBorders>
            <w:hideMark/>
          </w:tcPr>
          <w:p w14:paraId="533808E5" w14:textId="77777777" w:rsidR="00FD00FF" w:rsidRPr="00FD00FF" w:rsidRDefault="00FD00FF">
            <w:pPr>
              <w:pStyle w:val="TableParagraph"/>
              <w:ind w:left="0"/>
              <w:rPr>
                <w:sz w:val="14"/>
              </w:rPr>
            </w:pPr>
            <w:r w:rsidRPr="00FD00FF">
              <w:t>Almindelig: gynækomasti, smerter i brystvorterne</w:t>
            </w:r>
            <w:r w:rsidRPr="00FD00FF">
              <w:rPr>
                <w:position w:val="8"/>
                <w:sz w:val="14"/>
              </w:rPr>
              <w:t>#</w:t>
            </w:r>
            <w:r w:rsidRPr="00FD00FF">
              <w:t>, ømhed i brysterne</w:t>
            </w:r>
            <w:r w:rsidRPr="00FD00FF">
              <w:rPr>
                <w:position w:val="8"/>
                <w:sz w:val="14"/>
              </w:rPr>
              <w:t>#</w:t>
            </w:r>
          </w:p>
        </w:tc>
      </w:tr>
      <w:tr w:rsidR="00FD00FF" w14:paraId="76344591" w14:textId="77777777" w:rsidTr="00FD00FF">
        <w:trPr>
          <w:trHeight w:val="757"/>
        </w:trPr>
        <w:tc>
          <w:tcPr>
            <w:tcW w:w="2762" w:type="dxa"/>
            <w:tcBorders>
              <w:top w:val="single" w:sz="8" w:space="0" w:color="000000"/>
              <w:left w:val="single" w:sz="8" w:space="0" w:color="000000"/>
              <w:bottom w:val="single" w:sz="8" w:space="0" w:color="000000"/>
              <w:right w:val="single" w:sz="8" w:space="0" w:color="000000"/>
            </w:tcBorders>
            <w:hideMark/>
          </w:tcPr>
          <w:p w14:paraId="29F17AA3" w14:textId="77777777" w:rsidR="00FD00FF" w:rsidRPr="00FD00FF" w:rsidRDefault="00FD00FF">
            <w:pPr>
              <w:pStyle w:val="TableParagraph"/>
              <w:ind w:left="0"/>
            </w:pPr>
            <w:r w:rsidRPr="00FD00FF">
              <w:t>Almene symptomer og reaktioner på</w:t>
            </w:r>
          </w:p>
          <w:p w14:paraId="2FFA95D5" w14:textId="77777777" w:rsidR="00FD00FF" w:rsidRPr="00FD00FF" w:rsidRDefault="00FD00FF">
            <w:pPr>
              <w:pStyle w:val="TableParagraph"/>
              <w:ind w:left="0"/>
            </w:pPr>
            <w:r w:rsidRPr="00FD00FF">
              <w:t>administrationsstedet</w:t>
            </w:r>
          </w:p>
        </w:tc>
        <w:tc>
          <w:tcPr>
            <w:tcW w:w="6379" w:type="dxa"/>
            <w:tcBorders>
              <w:top w:val="single" w:sz="8" w:space="0" w:color="000000"/>
              <w:left w:val="single" w:sz="8" w:space="0" w:color="000000"/>
              <w:bottom w:val="single" w:sz="8" w:space="0" w:color="000000"/>
              <w:right w:val="single" w:sz="8" w:space="0" w:color="000000"/>
            </w:tcBorders>
            <w:hideMark/>
          </w:tcPr>
          <w:p w14:paraId="3B52E552" w14:textId="77777777" w:rsidR="00FD00FF" w:rsidRDefault="00FD00FF">
            <w:pPr>
              <w:pStyle w:val="TableParagraph"/>
              <w:ind w:left="0"/>
              <w:rPr>
                <w:lang w:val="en-US"/>
              </w:rPr>
            </w:pPr>
            <w:r>
              <w:rPr>
                <w:lang w:val="en-US"/>
              </w:rPr>
              <w:t>Meget almindelig: asteni, træthed</w:t>
            </w:r>
          </w:p>
        </w:tc>
      </w:tr>
      <w:tr w:rsidR="00FD00FF" w14:paraId="3D1B91DC" w14:textId="77777777" w:rsidTr="00FD00FF">
        <w:trPr>
          <w:trHeight w:val="505"/>
        </w:trPr>
        <w:tc>
          <w:tcPr>
            <w:tcW w:w="2762" w:type="dxa"/>
            <w:tcBorders>
              <w:top w:val="single" w:sz="8" w:space="0" w:color="000000"/>
              <w:left w:val="single" w:sz="8" w:space="0" w:color="000000"/>
              <w:bottom w:val="single" w:sz="8" w:space="0" w:color="000000"/>
              <w:right w:val="single" w:sz="8" w:space="0" w:color="000000"/>
            </w:tcBorders>
            <w:hideMark/>
          </w:tcPr>
          <w:p w14:paraId="4E5DB027" w14:textId="77777777" w:rsidR="00FD00FF" w:rsidRDefault="00FD00FF">
            <w:pPr>
              <w:pStyle w:val="TableParagraph"/>
              <w:ind w:left="0"/>
              <w:rPr>
                <w:lang w:val="en-US"/>
              </w:rPr>
            </w:pPr>
            <w:r>
              <w:rPr>
                <w:lang w:val="en-US"/>
              </w:rPr>
              <w:t>Traumer, forgiftninger og behandlingskomplikationer</w:t>
            </w:r>
          </w:p>
        </w:tc>
        <w:tc>
          <w:tcPr>
            <w:tcW w:w="6379" w:type="dxa"/>
            <w:tcBorders>
              <w:top w:val="single" w:sz="8" w:space="0" w:color="000000"/>
              <w:left w:val="single" w:sz="8" w:space="0" w:color="000000"/>
              <w:bottom w:val="single" w:sz="8" w:space="0" w:color="000000"/>
              <w:right w:val="single" w:sz="8" w:space="0" w:color="000000"/>
            </w:tcBorders>
            <w:hideMark/>
          </w:tcPr>
          <w:p w14:paraId="7B3BB855" w14:textId="77777777" w:rsidR="00FD00FF" w:rsidRDefault="00FD00FF">
            <w:pPr>
              <w:pStyle w:val="TableParagraph"/>
              <w:ind w:left="0"/>
              <w:rPr>
                <w:lang w:val="en-US"/>
              </w:rPr>
            </w:pPr>
            <w:r>
              <w:rPr>
                <w:lang w:val="en-US"/>
              </w:rPr>
              <w:t>Meget almindelig: fald</w:t>
            </w:r>
          </w:p>
        </w:tc>
      </w:tr>
    </w:tbl>
    <w:p w14:paraId="65B77DDC" w14:textId="2DD0F439" w:rsidR="00FD00FF" w:rsidRDefault="00FD00FF" w:rsidP="00FD00FF">
      <w:pPr>
        <w:ind w:left="284" w:hanging="284"/>
        <w:jc w:val="both"/>
        <w:rPr>
          <w:sz w:val="18"/>
          <w:szCs w:val="22"/>
        </w:rPr>
      </w:pPr>
      <w:r>
        <w:rPr>
          <w:sz w:val="18"/>
        </w:rPr>
        <w:t>*</w:t>
      </w:r>
      <w:r>
        <w:rPr>
          <w:sz w:val="18"/>
        </w:rPr>
        <w:tab/>
        <w:t>Spontane indberetninger efter markedsføring.</w:t>
      </w:r>
    </w:p>
    <w:p w14:paraId="4B645210" w14:textId="77777777" w:rsidR="00FD00FF" w:rsidRDefault="00FD00FF" w:rsidP="00FD00FF">
      <w:pPr>
        <w:ind w:left="284" w:hanging="284"/>
        <w:jc w:val="both"/>
        <w:rPr>
          <w:sz w:val="18"/>
        </w:rPr>
      </w:pPr>
    </w:p>
    <w:p w14:paraId="62AD144A" w14:textId="68688F3A" w:rsidR="00FD00FF" w:rsidRDefault="00FD00FF" w:rsidP="00FD00FF">
      <w:pPr>
        <w:ind w:left="284" w:hanging="284"/>
        <w:rPr>
          <w:sz w:val="18"/>
        </w:rPr>
      </w:pPr>
      <w:r>
        <w:rPr>
          <w:position w:val="6"/>
          <w:sz w:val="12"/>
        </w:rPr>
        <w:t>¥</w:t>
      </w:r>
      <w:r>
        <w:rPr>
          <w:position w:val="6"/>
          <w:sz w:val="12"/>
        </w:rPr>
        <w:tab/>
      </w:r>
      <w:r>
        <w:rPr>
          <w:sz w:val="18"/>
        </w:rPr>
        <w:t>Som vurderet ved afgrænsede SMQs (</w:t>
      </w:r>
      <w:r>
        <w:rPr>
          <w:i/>
          <w:sz w:val="18"/>
        </w:rPr>
        <w:t>Standardised MedDRA Queries</w:t>
      </w:r>
      <w:r>
        <w:rPr>
          <w:sz w:val="18"/>
        </w:rPr>
        <w:t>) af ”Konvulsioner” herunder krampe, grand mal krampe, komplekse partielle anfald, partielle anfald og status epilepticus. Dette inkluderer sjældne tilfælde af anfald med komplikationer som fører til død.</w:t>
      </w:r>
    </w:p>
    <w:p w14:paraId="24F04AFA" w14:textId="77777777" w:rsidR="00FD00FF" w:rsidRDefault="00FD00FF" w:rsidP="00FD00FF">
      <w:pPr>
        <w:ind w:left="284" w:hanging="284"/>
        <w:jc w:val="both"/>
        <w:rPr>
          <w:sz w:val="18"/>
        </w:rPr>
      </w:pPr>
    </w:p>
    <w:p w14:paraId="31792878" w14:textId="04859EA7" w:rsidR="00FD00FF" w:rsidRDefault="00FD00FF" w:rsidP="00FD00FF">
      <w:pPr>
        <w:ind w:left="284" w:hanging="284"/>
        <w:rPr>
          <w:sz w:val="18"/>
        </w:rPr>
      </w:pPr>
      <w:r>
        <w:rPr>
          <w:position w:val="6"/>
          <w:sz w:val="12"/>
        </w:rPr>
        <w:t>†</w:t>
      </w:r>
      <w:r>
        <w:rPr>
          <w:position w:val="6"/>
          <w:sz w:val="12"/>
        </w:rPr>
        <w:tab/>
      </w:r>
      <w:r>
        <w:rPr>
          <w:sz w:val="18"/>
        </w:rPr>
        <w:t>Som vurderet ved afgrænsede SMQs af ”Myokardieinfarkt” og ”Andre Iskæmiske Hjertesygdomme” inklusive følgende foretrukne termer observeret i mindst 2 patienter i randomiserede placebokontrollerede fase 3 studier: angina pectoris, koronararteriesygdom, myokardieinfarkt, akut myokardieinfarkt, akut koronarsyndrom, ustabil angina, myokardieiskæmi og åreforkalkning af koronararterie.</w:t>
      </w:r>
    </w:p>
    <w:p w14:paraId="101260A8" w14:textId="77777777" w:rsidR="00FD00FF" w:rsidRDefault="00FD00FF" w:rsidP="00FD00FF">
      <w:pPr>
        <w:ind w:left="284" w:hanging="284"/>
        <w:jc w:val="both"/>
        <w:rPr>
          <w:sz w:val="18"/>
        </w:rPr>
      </w:pPr>
    </w:p>
    <w:p w14:paraId="2C12D770" w14:textId="253165C8" w:rsidR="00FD00FF" w:rsidRDefault="00FD00FF" w:rsidP="00FD00FF">
      <w:pPr>
        <w:ind w:left="284" w:hanging="284"/>
        <w:rPr>
          <w:sz w:val="18"/>
          <w:lang w:val="nb-NO"/>
        </w:rPr>
      </w:pPr>
      <w:r>
        <w:rPr>
          <w:position w:val="6"/>
          <w:sz w:val="12"/>
          <w:lang w:val="nb-NO"/>
        </w:rPr>
        <w:t>‡</w:t>
      </w:r>
      <w:r>
        <w:rPr>
          <w:position w:val="6"/>
          <w:sz w:val="12"/>
          <w:lang w:val="nb-NO"/>
        </w:rPr>
        <w:tab/>
      </w:r>
      <w:r>
        <w:rPr>
          <w:sz w:val="18"/>
          <w:lang w:val="nb-NO"/>
        </w:rPr>
        <w:t>Omfatter alle foretrukne termer med ordet ”fraktur” i skelettet.</w:t>
      </w:r>
    </w:p>
    <w:p w14:paraId="69DFA553" w14:textId="77777777" w:rsidR="00FD00FF" w:rsidRDefault="00FD00FF" w:rsidP="00FD00FF">
      <w:pPr>
        <w:ind w:left="284" w:hanging="284"/>
        <w:rPr>
          <w:sz w:val="18"/>
          <w:lang w:val="nb-NO"/>
        </w:rPr>
      </w:pPr>
    </w:p>
    <w:p w14:paraId="43D63F7D" w14:textId="5684C6BD" w:rsidR="00FD00FF" w:rsidRDefault="00FD00FF" w:rsidP="00FD00FF">
      <w:pPr>
        <w:ind w:left="284" w:hanging="284"/>
        <w:rPr>
          <w:sz w:val="18"/>
          <w:lang w:val="nb-NO"/>
        </w:rPr>
      </w:pPr>
      <w:r>
        <w:rPr>
          <w:position w:val="6"/>
          <w:sz w:val="12"/>
          <w:lang w:val="nb-NO"/>
        </w:rPr>
        <w:t>#</w:t>
      </w:r>
      <w:r>
        <w:rPr>
          <w:position w:val="6"/>
          <w:sz w:val="12"/>
          <w:lang w:val="nb-NO"/>
        </w:rPr>
        <w:tab/>
      </w:r>
      <w:r>
        <w:rPr>
          <w:sz w:val="18"/>
          <w:lang w:val="nb-NO"/>
        </w:rPr>
        <w:t>Bivirkninger for enzalutamid som monoterapi.</w:t>
      </w:r>
    </w:p>
    <w:p w14:paraId="0D4E6C30" w14:textId="77777777" w:rsidR="00FD00FF" w:rsidRDefault="00FD00FF" w:rsidP="00FD00FF">
      <w:pPr>
        <w:ind w:left="284" w:hanging="284"/>
        <w:rPr>
          <w:sz w:val="18"/>
          <w:lang w:val="nb-NO"/>
        </w:rPr>
      </w:pPr>
    </w:p>
    <w:p w14:paraId="149935BF" w14:textId="42CE4066" w:rsidR="00FD00FF" w:rsidRDefault="00FD00FF" w:rsidP="00FD00FF">
      <w:pPr>
        <w:ind w:left="284" w:hanging="284"/>
        <w:rPr>
          <w:sz w:val="18"/>
        </w:rPr>
      </w:pPr>
      <w:r>
        <w:rPr>
          <w:sz w:val="18"/>
        </w:rPr>
        <w:t>∞</w:t>
      </w:r>
      <w:r>
        <w:rPr>
          <w:sz w:val="18"/>
        </w:rPr>
        <w:tab/>
        <w:t>Der har været rapporter om dysfagi, herunder rapporter om patienter, som har fået lægemidlet galt i halsen. Begge hændelser blev for det meste rapporteret med kapselformuleringen, hvilket kan være forbundet med en større produktstørrelse (se pkt. 4.4).</w:t>
      </w:r>
    </w:p>
    <w:p w14:paraId="54AF9EBA" w14:textId="77777777" w:rsidR="00FD00FF" w:rsidRPr="00FD00FF" w:rsidRDefault="00FD00FF" w:rsidP="00FD00FF">
      <w:pPr>
        <w:pStyle w:val="Brdtekst"/>
        <w:ind w:left="851"/>
        <w:rPr>
          <w:sz w:val="24"/>
          <w:szCs w:val="24"/>
        </w:rPr>
      </w:pPr>
    </w:p>
    <w:p w14:paraId="70692434" w14:textId="77777777" w:rsidR="00FD00FF" w:rsidRPr="00FD00FF" w:rsidRDefault="00FD00FF" w:rsidP="00FD00FF">
      <w:pPr>
        <w:pStyle w:val="Brdtekst"/>
        <w:ind w:left="851"/>
        <w:rPr>
          <w:sz w:val="24"/>
          <w:szCs w:val="24"/>
        </w:rPr>
      </w:pPr>
      <w:r w:rsidRPr="00FD00FF">
        <w:rPr>
          <w:sz w:val="24"/>
          <w:szCs w:val="24"/>
          <w:u w:val="single"/>
        </w:rPr>
        <w:t>Beskrivelse af udvalgte bivirkninger</w:t>
      </w:r>
    </w:p>
    <w:p w14:paraId="0C9EC88B" w14:textId="77777777" w:rsidR="00FD00FF" w:rsidRPr="00FD00FF" w:rsidRDefault="00FD00FF" w:rsidP="00FD00FF">
      <w:pPr>
        <w:pStyle w:val="Brdtekst"/>
        <w:ind w:left="851"/>
        <w:rPr>
          <w:sz w:val="24"/>
          <w:szCs w:val="24"/>
        </w:rPr>
      </w:pPr>
    </w:p>
    <w:p w14:paraId="42803478" w14:textId="77777777" w:rsidR="00FD00FF" w:rsidRPr="00FD00FF" w:rsidRDefault="00FD00FF" w:rsidP="00FD00FF">
      <w:pPr>
        <w:ind w:left="851"/>
        <w:rPr>
          <w:i/>
          <w:sz w:val="24"/>
          <w:szCs w:val="24"/>
        </w:rPr>
      </w:pPr>
      <w:r w:rsidRPr="00FD00FF">
        <w:rPr>
          <w:i/>
          <w:sz w:val="24"/>
          <w:szCs w:val="24"/>
        </w:rPr>
        <w:t>Krampeanfald</w:t>
      </w:r>
    </w:p>
    <w:p w14:paraId="4B69AD5E" w14:textId="77777777" w:rsidR="00FD00FF" w:rsidRPr="00FD00FF" w:rsidRDefault="00FD00FF" w:rsidP="00FD00FF">
      <w:pPr>
        <w:pStyle w:val="Brdtekst"/>
        <w:ind w:left="851"/>
        <w:rPr>
          <w:sz w:val="24"/>
          <w:szCs w:val="24"/>
        </w:rPr>
      </w:pPr>
      <w:r w:rsidRPr="00FD00FF">
        <w:rPr>
          <w:sz w:val="24"/>
          <w:szCs w:val="24"/>
        </w:rPr>
        <w:t>I de kontrollerede kliniske studier forekom der et krampeanfald hos 31 patienter (0,6 %) ud af 5.110 patienter, som blev behandlet med en daglig dosis på 160 mg enzalutamid, hos fire patienter (0,1 %) i placebogruppen, og hos én patient (0,3 %), som blev behandlet med bicalutamid. Dosis synes at være en væsentlig indikator for risikoen for krampeanfald, som afspejlet i prækliniske data og data fra et dosistitreringsstudie. I de kontrollerede kliniske studier blev patienter med tidligere krampeanfald eller risikofaktorer for krampeanfald</w:t>
      </w:r>
      <w:r w:rsidRPr="00FD00FF">
        <w:rPr>
          <w:spacing w:val="-10"/>
          <w:sz w:val="24"/>
          <w:szCs w:val="24"/>
        </w:rPr>
        <w:t xml:space="preserve"> </w:t>
      </w:r>
      <w:r w:rsidRPr="00FD00FF">
        <w:rPr>
          <w:sz w:val="24"/>
          <w:szCs w:val="24"/>
        </w:rPr>
        <w:t>udelukket.</w:t>
      </w:r>
    </w:p>
    <w:p w14:paraId="302CDDD2" w14:textId="77777777" w:rsidR="00FD00FF" w:rsidRPr="00FD00FF" w:rsidRDefault="00FD00FF" w:rsidP="00FD00FF">
      <w:pPr>
        <w:pStyle w:val="Brdtekst"/>
        <w:ind w:left="851"/>
        <w:rPr>
          <w:sz w:val="24"/>
          <w:szCs w:val="24"/>
        </w:rPr>
      </w:pPr>
    </w:p>
    <w:p w14:paraId="44467FA1" w14:textId="77777777" w:rsidR="00FD00FF" w:rsidRPr="00FD00FF" w:rsidRDefault="00FD00FF" w:rsidP="00FD00FF">
      <w:pPr>
        <w:pStyle w:val="Brdtekst"/>
        <w:ind w:left="851"/>
        <w:rPr>
          <w:sz w:val="24"/>
          <w:szCs w:val="24"/>
        </w:rPr>
      </w:pPr>
      <w:r w:rsidRPr="00FD00FF">
        <w:rPr>
          <w:sz w:val="24"/>
          <w:szCs w:val="24"/>
        </w:rPr>
        <w:t>I enkeltarmet studiet 9785-CL-0403 (UPWARD) til at vurdere forekomsten af krampeanfald hos patienter med prædisponerende faktorer for krampeanfald (hvoraf 1,6 % havde en anamnese med krampeanfald), oplevede 8 ud af 366 (2,2 %) patienter, behandlet med enzalutamid, et krampeanfald. Median behandlingstid var 9,3 måneder.</w:t>
      </w:r>
    </w:p>
    <w:p w14:paraId="5F9B221F" w14:textId="77777777" w:rsidR="00FD00FF" w:rsidRPr="00FD00FF" w:rsidRDefault="00FD00FF" w:rsidP="00FD00FF">
      <w:pPr>
        <w:pStyle w:val="Brdtekst"/>
        <w:ind w:left="851"/>
        <w:rPr>
          <w:sz w:val="24"/>
          <w:szCs w:val="24"/>
        </w:rPr>
      </w:pPr>
    </w:p>
    <w:p w14:paraId="5D78E8E9" w14:textId="77777777" w:rsidR="00FD00FF" w:rsidRPr="00FD00FF" w:rsidRDefault="00FD00FF" w:rsidP="00FD00FF">
      <w:pPr>
        <w:pStyle w:val="Brdtekst"/>
        <w:ind w:left="851"/>
        <w:rPr>
          <w:sz w:val="24"/>
          <w:szCs w:val="24"/>
        </w:rPr>
      </w:pPr>
      <w:r w:rsidRPr="00FD00FF">
        <w:rPr>
          <w:sz w:val="24"/>
          <w:szCs w:val="24"/>
        </w:rPr>
        <w:t xml:space="preserve">Mekanismen, hvormed enzalutamid kan sænke krampetærsklen, kendes ikke, men der er </w:t>
      </w:r>
      <w:r w:rsidRPr="00FD00FF">
        <w:rPr>
          <w:sz w:val="24"/>
          <w:szCs w:val="24"/>
        </w:rPr>
        <w:lastRenderedPageBreak/>
        <w:t xml:space="preserve">måske en forbindelse til de data fra </w:t>
      </w:r>
      <w:r w:rsidRPr="00FD00FF">
        <w:rPr>
          <w:i/>
          <w:sz w:val="24"/>
          <w:szCs w:val="24"/>
        </w:rPr>
        <w:t>in vitro</w:t>
      </w:r>
      <w:r w:rsidRPr="00FD00FF">
        <w:rPr>
          <w:sz w:val="24"/>
          <w:szCs w:val="24"/>
        </w:rPr>
        <w:t>-studier, der viser, at enzalutamid og dets aktive metabolit bindes til og kan hæmme aktiviteten af den GABA-styrede chloridkanal.</w:t>
      </w:r>
    </w:p>
    <w:p w14:paraId="028C10D5" w14:textId="77777777" w:rsidR="00FD00FF" w:rsidRPr="00FD00FF" w:rsidRDefault="00FD00FF" w:rsidP="00FD00FF">
      <w:pPr>
        <w:pStyle w:val="Brdtekst"/>
        <w:ind w:left="851"/>
        <w:rPr>
          <w:sz w:val="24"/>
          <w:szCs w:val="24"/>
        </w:rPr>
      </w:pPr>
    </w:p>
    <w:p w14:paraId="526E7B38" w14:textId="77777777" w:rsidR="00FD00FF" w:rsidRPr="00FD00FF" w:rsidRDefault="00FD00FF" w:rsidP="00FD00FF">
      <w:pPr>
        <w:ind w:left="851"/>
        <w:rPr>
          <w:i/>
          <w:sz w:val="24"/>
          <w:szCs w:val="24"/>
        </w:rPr>
      </w:pPr>
      <w:r w:rsidRPr="00FD00FF">
        <w:rPr>
          <w:i/>
          <w:sz w:val="24"/>
          <w:szCs w:val="24"/>
        </w:rPr>
        <w:t>Iskæmisk hjertesygdom</w:t>
      </w:r>
    </w:p>
    <w:p w14:paraId="7379E3E4" w14:textId="77777777" w:rsidR="00FD00FF" w:rsidRPr="00FD00FF" w:rsidRDefault="00FD00FF" w:rsidP="00FD00FF">
      <w:pPr>
        <w:pStyle w:val="Brdtekst"/>
        <w:ind w:left="851"/>
        <w:rPr>
          <w:sz w:val="24"/>
          <w:szCs w:val="24"/>
        </w:rPr>
      </w:pPr>
      <w:r w:rsidRPr="00FD00FF">
        <w:rPr>
          <w:sz w:val="24"/>
          <w:szCs w:val="24"/>
        </w:rPr>
        <w:t xml:space="preserve">I randomiserede placebokontrollerede kliniske studier forekom iskæmisk hjertesygdom hos 3,5 % af de patienter, der blev behandlet med enzalutamid plus ADT, sammenlignet med 2 % af de patienter, der blev behandlet med placebo plus ADT. 14 (0,4 %) af de </w:t>
      </w:r>
      <w:r w:rsidRPr="00FD00FF">
        <w:rPr>
          <w:color w:val="212121"/>
          <w:sz w:val="24"/>
          <w:szCs w:val="24"/>
        </w:rPr>
        <w:t xml:space="preserve">patienter, der blev behandlet med enzalutamid plus ADT, og </w:t>
      </w:r>
      <w:r w:rsidRPr="00FD00FF">
        <w:rPr>
          <w:sz w:val="24"/>
          <w:szCs w:val="24"/>
        </w:rPr>
        <w:t>3 (0,1 %) af de patienter, der blev behandlet med placebo plus ADT, oplevede en bivirkning med iskæmisk hjertesygdom, som medførte døden.</w:t>
      </w:r>
    </w:p>
    <w:p w14:paraId="26289CCA" w14:textId="77777777" w:rsidR="00FD00FF" w:rsidRPr="00FD00FF" w:rsidRDefault="00FD00FF" w:rsidP="00FD00FF">
      <w:pPr>
        <w:pStyle w:val="Brdtekst"/>
        <w:ind w:left="851"/>
        <w:rPr>
          <w:sz w:val="24"/>
          <w:szCs w:val="24"/>
        </w:rPr>
      </w:pPr>
    </w:p>
    <w:p w14:paraId="7F13A7B4" w14:textId="77777777" w:rsidR="00FD00FF" w:rsidRPr="00FD00FF" w:rsidRDefault="00FD00FF" w:rsidP="00FD00FF">
      <w:pPr>
        <w:pStyle w:val="Brdtekst"/>
        <w:ind w:left="851"/>
        <w:rPr>
          <w:sz w:val="24"/>
          <w:szCs w:val="24"/>
        </w:rPr>
      </w:pPr>
      <w:r w:rsidRPr="00FD00FF">
        <w:rPr>
          <w:sz w:val="24"/>
          <w:szCs w:val="24"/>
        </w:rPr>
        <w:t>I EMBARK-studiet forekom iskæmisk hjertesygdom hos 5,4 % af de patienter, der blev behandlet med enzalutamid plus leuprolid, og hos 9 % af de patienter, der blev behandlet med enzalutamid som monoterapi. Ingen af de patienter, der blev behandlet med enzalutamid plus leuprolid, og én (0,3 %) patient, der blev behandlet med enzalutamid som monoterapi, oplevede en bivirkning med iskæmisk hjertesygdom, som medførte døden.</w:t>
      </w:r>
    </w:p>
    <w:p w14:paraId="301598AE" w14:textId="77777777" w:rsidR="00FD00FF" w:rsidRPr="00FD00FF" w:rsidRDefault="00FD00FF" w:rsidP="00FD00FF">
      <w:pPr>
        <w:pStyle w:val="Brdtekst"/>
        <w:ind w:left="851"/>
        <w:rPr>
          <w:sz w:val="24"/>
          <w:szCs w:val="24"/>
        </w:rPr>
      </w:pPr>
    </w:p>
    <w:p w14:paraId="478F2174" w14:textId="77777777" w:rsidR="00FD00FF" w:rsidRPr="00FD00FF" w:rsidRDefault="00FD00FF" w:rsidP="00FD00FF">
      <w:pPr>
        <w:ind w:left="851"/>
        <w:rPr>
          <w:i/>
          <w:sz w:val="24"/>
          <w:szCs w:val="24"/>
        </w:rPr>
      </w:pPr>
      <w:r w:rsidRPr="00FD00FF">
        <w:rPr>
          <w:i/>
          <w:sz w:val="24"/>
          <w:szCs w:val="24"/>
        </w:rPr>
        <w:t>Gynækomasti</w:t>
      </w:r>
    </w:p>
    <w:p w14:paraId="59033B9A" w14:textId="77777777" w:rsidR="00FD00FF" w:rsidRPr="00FD00FF" w:rsidRDefault="00FD00FF" w:rsidP="00FD00FF">
      <w:pPr>
        <w:pStyle w:val="Brdtekst"/>
        <w:ind w:left="851"/>
        <w:rPr>
          <w:sz w:val="24"/>
          <w:szCs w:val="24"/>
        </w:rPr>
      </w:pPr>
      <w:r w:rsidRPr="00FD00FF">
        <w:rPr>
          <w:sz w:val="24"/>
          <w:szCs w:val="24"/>
        </w:rPr>
        <w:t>I EMBARK-studiet blev gynækomasti (alle grader) observeret hos 29 ud af 353 patienter (8,2 %), der blev behandlet med enzalutamid plus leuprolid, og hos 159 ud af 354 patienter (44,9 %), der blev behandlet med enzalutamid som monoterapi. Gynækomasti af grad 3 eller højere blev ikke observeret hos nogen patienter, der blev behandlet med enzalutamid plus leuprolid, og det blev observeret hos 3 patienter (0,8 %), der blev behandlet med enzalutamid som monoterapi.</w:t>
      </w:r>
    </w:p>
    <w:p w14:paraId="6C126254" w14:textId="77777777" w:rsidR="00FD00FF" w:rsidRPr="00FD00FF" w:rsidRDefault="00FD00FF" w:rsidP="00FD00FF">
      <w:pPr>
        <w:pStyle w:val="Brdtekst"/>
        <w:ind w:left="851"/>
        <w:rPr>
          <w:sz w:val="24"/>
          <w:szCs w:val="24"/>
        </w:rPr>
      </w:pPr>
    </w:p>
    <w:p w14:paraId="18531320" w14:textId="77777777" w:rsidR="00FD00FF" w:rsidRPr="00FD00FF" w:rsidRDefault="00FD00FF" w:rsidP="00FD00FF">
      <w:pPr>
        <w:ind w:left="851"/>
        <w:rPr>
          <w:i/>
          <w:sz w:val="24"/>
          <w:szCs w:val="24"/>
        </w:rPr>
      </w:pPr>
      <w:r w:rsidRPr="00FD00FF">
        <w:rPr>
          <w:i/>
          <w:sz w:val="24"/>
          <w:szCs w:val="24"/>
        </w:rPr>
        <w:t>Smerter i brystvorterne</w:t>
      </w:r>
    </w:p>
    <w:p w14:paraId="46116799" w14:textId="77777777" w:rsidR="00FD00FF" w:rsidRPr="00FD00FF" w:rsidRDefault="00FD00FF" w:rsidP="00FD00FF">
      <w:pPr>
        <w:pStyle w:val="Brdtekst"/>
        <w:ind w:left="851"/>
        <w:rPr>
          <w:sz w:val="24"/>
          <w:szCs w:val="24"/>
        </w:rPr>
      </w:pPr>
      <w:r w:rsidRPr="00FD00FF">
        <w:rPr>
          <w:sz w:val="24"/>
          <w:szCs w:val="24"/>
        </w:rPr>
        <w:t>I EMBARK-studiet blev smerter i brystvorterne (alle grader) observeret hos 11 ud af 353 patienter (3,1 %), der blev behandlet med enzalutamid plus leuprolid, og hos 54 ud af 354 patienter (15,3 %), der blev behandlet med enzalutamid som monoterapi. Smerter i brystvorterne af grad 3 eller højere blev ikke observeret hos nogen patienter, der blev behandlet med enzalutamid plus leuprolid, eller med enzalutamid som</w:t>
      </w:r>
      <w:r w:rsidRPr="00FD00FF">
        <w:rPr>
          <w:spacing w:val="-3"/>
          <w:sz w:val="24"/>
          <w:szCs w:val="24"/>
        </w:rPr>
        <w:t xml:space="preserve"> </w:t>
      </w:r>
      <w:r w:rsidRPr="00FD00FF">
        <w:rPr>
          <w:sz w:val="24"/>
          <w:szCs w:val="24"/>
        </w:rPr>
        <w:t>monoterapi.</w:t>
      </w:r>
    </w:p>
    <w:p w14:paraId="24C04288" w14:textId="77777777" w:rsidR="00FD00FF" w:rsidRPr="00FD00FF" w:rsidRDefault="00FD00FF" w:rsidP="00FD00FF">
      <w:pPr>
        <w:pStyle w:val="Brdtekst"/>
        <w:ind w:left="851"/>
        <w:rPr>
          <w:sz w:val="24"/>
          <w:szCs w:val="24"/>
        </w:rPr>
      </w:pPr>
    </w:p>
    <w:p w14:paraId="7EC52F19" w14:textId="77777777" w:rsidR="00FD00FF" w:rsidRPr="00FD00FF" w:rsidRDefault="00FD00FF" w:rsidP="00FD00FF">
      <w:pPr>
        <w:ind w:left="851"/>
        <w:rPr>
          <w:i/>
          <w:sz w:val="24"/>
          <w:szCs w:val="24"/>
        </w:rPr>
      </w:pPr>
      <w:r w:rsidRPr="00FD00FF">
        <w:rPr>
          <w:i/>
          <w:sz w:val="24"/>
          <w:szCs w:val="24"/>
        </w:rPr>
        <w:t>Ømhed i brysterne</w:t>
      </w:r>
    </w:p>
    <w:p w14:paraId="6DACCE29" w14:textId="77777777" w:rsidR="00FD00FF" w:rsidRPr="00FD00FF" w:rsidRDefault="00FD00FF" w:rsidP="00FD00FF">
      <w:pPr>
        <w:pStyle w:val="Brdtekst"/>
        <w:ind w:left="851"/>
        <w:rPr>
          <w:sz w:val="24"/>
          <w:szCs w:val="24"/>
        </w:rPr>
      </w:pPr>
      <w:r w:rsidRPr="00FD00FF">
        <w:rPr>
          <w:sz w:val="24"/>
          <w:szCs w:val="24"/>
        </w:rPr>
        <w:t>I EMBARK-studiet blev ømhed i brysterne (alle grader) observeret hos 5 ud af 353 patienter (1,4 %), der blev behandlet med enzalutamid plus leuprolid, og hos 51 ud af 354 patienter (14,4 %), der blev behandlet med enzalutamid som monoterapi. Ømhed i brysterne af grad 3 eller højere blev ikke observeret hos nogen patienter, der blev behandlet med enzalutamid plus leuprolid, eller med enzalutamid som monoterapi.</w:t>
      </w:r>
    </w:p>
    <w:p w14:paraId="196DF34F" w14:textId="77777777" w:rsidR="00FD00FF" w:rsidRPr="00FD00FF" w:rsidRDefault="00FD00FF" w:rsidP="00FD00FF">
      <w:pPr>
        <w:pStyle w:val="Brdtekst"/>
        <w:ind w:left="851"/>
        <w:rPr>
          <w:sz w:val="24"/>
          <w:szCs w:val="24"/>
        </w:rPr>
      </w:pPr>
    </w:p>
    <w:p w14:paraId="2A1BCD48" w14:textId="77777777" w:rsidR="00FD00FF" w:rsidRPr="00FD00FF" w:rsidRDefault="00FD00FF" w:rsidP="00FD00FF">
      <w:pPr>
        <w:adjustRightInd w:val="0"/>
        <w:ind w:left="851"/>
        <w:rPr>
          <w:sz w:val="24"/>
          <w:szCs w:val="24"/>
          <w:u w:val="single"/>
        </w:rPr>
      </w:pPr>
      <w:r w:rsidRPr="00FD00FF">
        <w:rPr>
          <w:sz w:val="24"/>
          <w:szCs w:val="24"/>
          <w:u w:val="single"/>
        </w:rPr>
        <w:t>Indberetning af formodede bivirkninger</w:t>
      </w:r>
    </w:p>
    <w:p w14:paraId="079F03C0" w14:textId="285ACB00" w:rsidR="00FD00FF" w:rsidRDefault="00FD00FF" w:rsidP="00FD00FF">
      <w:pPr>
        <w:adjustRightInd w:val="0"/>
        <w:ind w:left="851"/>
        <w:rPr>
          <w:sz w:val="24"/>
          <w:szCs w:val="24"/>
        </w:rPr>
      </w:pPr>
      <w:bookmarkStart w:id="2" w:name="_Hlk172016641"/>
      <w:r w:rsidRPr="00FD00FF">
        <w:rPr>
          <w:sz w:val="24"/>
          <w:szCs w:val="24"/>
        </w:rPr>
        <w:t>Når lægemidlet er godkendt, er indberetning af formodede bivirkninger vigtig. Det muliggør løbende overvågning af benefit/risk-forholdet for lægemidlet. Sundhedspersoner anmodes om at indberette alle formodede bivirkninger via</w:t>
      </w:r>
      <w:r>
        <w:rPr>
          <w:sz w:val="24"/>
          <w:szCs w:val="24"/>
        </w:rPr>
        <w:t>:</w:t>
      </w:r>
    </w:p>
    <w:p w14:paraId="3E2A831C" w14:textId="77777777" w:rsidR="00FD00FF" w:rsidRPr="00FD00FF" w:rsidRDefault="00FD00FF" w:rsidP="00FD00FF">
      <w:pPr>
        <w:adjustRightInd w:val="0"/>
        <w:ind w:left="851"/>
        <w:rPr>
          <w:sz w:val="24"/>
          <w:szCs w:val="24"/>
        </w:rPr>
      </w:pPr>
    </w:p>
    <w:p w14:paraId="7A5F7FE3" w14:textId="67C25463" w:rsidR="00FD00FF" w:rsidRPr="00FD00FF" w:rsidRDefault="00FD00FF" w:rsidP="00FD00FF">
      <w:pPr>
        <w:ind w:left="851"/>
        <w:rPr>
          <w:sz w:val="24"/>
          <w:szCs w:val="24"/>
          <w:lang w:eastAsia="da-DK"/>
        </w:rPr>
      </w:pPr>
      <w:r w:rsidRPr="00FD00FF">
        <w:rPr>
          <w:sz w:val="24"/>
          <w:szCs w:val="24"/>
        </w:rPr>
        <w:t>Lægemiddelstyrelsen</w:t>
      </w:r>
      <w:r w:rsidRPr="00FD00FF">
        <w:rPr>
          <w:sz w:val="24"/>
          <w:szCs w:val="24"/>
        </w:rPr>
        <w:br/>
        <w:t>Axel Heides Gade 1</w:t>
      </w:r>
      <w:r w:rsidRPr="00FD00FF">
        <w:rPr>
          <w:sz w:val="24"/>
          <w:szCs w:val="24"/>
        </w:rPr>
        <w:br/>
        <w:t>DK-2300 København S</w:t>
      </w:r>
      <w:r w:rsidRPr="00FD00FF">
        <w:rPr>
          <w:sz w:val="24"/>
          <w:szCs w:val="24"/>
        </w:rPr>
        <w:br/>
        <w:t>Websted: www.meldenbivirkning.dk</w:t>
      </w:r>
    </w:p>
    <w:bookmarkEnd w:id="2"/>
    <w:p w14:paraId="1A642157" w14:textId="39CB64A4" w:rsidR="00FD00FF" w:rsidRDefault="00FD00FF">
      <w:pPr>
        <w:rPr>
          <w:sz w:val="24"/>
          <w:szCs w:val="24"/>
        </w:rPr>
      </w:pPr>
      <w:r>
        <w:rPr>
          <w:sz w:val="24"/>
          <w:szCs w:val="24"/>
        </w:rPr>
        <w:br w:type="page"/>
      </w:r>
    </w:p>
    <w:p w14:paraId="4AE0CADC" w14:textId="77777777" w:rsidR="009260DE" w:rsidRPr="00FD00FF" w:rsidRDefault="009260DE" w:rsidP="00FD00FF">
      <w:pPr>
        <w:tabs>
          <w:tab w:val="left" w:pos="851"/>
        </w:tabs>
        <w:ind w:left="851"/>
        <w:rPr>
          <w:sz w:val="24"/>
          <w:szCs w:val="24"/>
        </w:rPr>
      </w:pPr>
    </w:p>
    <w:p w14:paraId="0E5FC7DF"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56AB2DE2" w14:textId="77777777" w:rsidR="00FD00FF" w:rsidRPr="00FD00FF" w:rsidRDefault="00FD00FF" w:rsidP="00FD00FF">
      <w:pPr>
        <w:tabs>
          <w:tab w:val="left" w:pos="851"/>
        </w:tabs>
        <w:ind w:left="851"/>
        <w:rPr>
          <w:sz w:val="24"/>
          <w:szCs w:val="24"/>
        </w:rPr>
      </w:pPr>
      <w:r w:rsidRPr="00FD00FF">
        <w:rPr>
          <w:sz w:val="24"/>
          <w:szCs w:val="24"/>
        </w:rPr>
        <w:t>Der findes intet antidot til enzalutamid. I tilfælde af overdosering bør behandling med enzalutamid afbrydes og generelle understøttende foranstaltninger initieres under hensyntagen til halveringstiden på 5,8 dage. Patienterne kan have en øget risiko for at få krampeanfald efter overdosering.</w:t>
      </w:r>
    </w:p>
    <w:p w14:paraId="4CA6443E" w14:textId="77777777" w:rsidR="009260DE" w:rsidRPr="00C84483" w:rsidRDefault="009260DE" w:rsidP="009260DE">
      <w:pPr>
        <w:tabs>
          <w:tab w:val="left" w:pos="851"/>
        </w:tabs>
        <w:ind w:left="851"/>
        <w:rPr>
          <w:sz w:val="24"/>
          <w:szCs w:val="24"/>
        </w:rPr>
      </w:pPr>
    </w:p>
    <w:p w14:paraId="2194EB52"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691478BC" w14:textId="6C32E1E3" w:rsidR="009260DE" w:rsidRPr="00C84483" w:rsidRDefault="00FD00FF" w:rsidP="009260DE">
      <w:pPr>
        <w:tabs>
          <w:tab w:val="left" w:pos="851"/>
        </w:tabs>
        <w:ind w:left="851"/>
        <w:rPr>
          <w:sz w:val="24"/>
          <w:szCs w:val="24"/>
        </w:rPr>
      </w:pPr>
      <w:r>
        <w:rPr>
          <w:sz w:val="24"/>
          <w:szCs w:val="24"/>
        </w:rPr>
        <w:t>BEGR (kun til sygehuse)</w:t>
      </w:r>
    </w:p>
    <w:p w14:paraId="5168BD3B" w14:textId="77777777" w:rsidR="009260DE" w:rsidRPr="00C84483" w:rsidRDefault="009260DE" w:rsidP="009260DE">
      <w:pPr>
        <w:tabs>
          <w:tab w:val="left" w:pos="851"/>
        </w:tabs>
        <w:ind w:left="851"/>
        <w:rPr>
          <w:sz w:val="24"/>
          <w:szCs w:val="24"/>
        </w:rPr>
      </w:pPr>
    </w:p>
    <w:p w14:paraId="3A3060B8" w14:textId="77777777" w:rsidR="009260DE" w:rsidRPr="00C84483" w:rsidRDefault="009260DE" w:rsidP="009260DE">
      <w:pPr>
        <w:tabs>
          <w:tab w:val="left" w:pos="851"/>
        </w:tabs>
        <w:ind w:left="851"/>
        <w:rPr>
          <w:sz w:val="24"/>
          <w:szCs w:val="24"/>
        </w:rPr>
      </w:pPr>
    </w:p>
    <w:p w14:paraId="6CFB35FA"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7C52AE6E" w14:textId="77777777" w:rsidR="009260DE" w:rsidRPr="00C84483" w:rsidRDefault="009260DE" w:rsidP="009260DE">
      <w:pPr>
        <w:tabs>
          <w:tab w:val="left" w:pos="851"/>
        </w:tabs>
        <w:ind w:left="851"/>
        <w:rPr>
          <w:sz w:val="24"/>
          <w:szCs w:val="24"/>
        </w:rPr>
      </w:pPr>
    </w:p>
    <w:p w14:paraId="0AFAA07C"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3B2591FC" w14:textId="77777777" w:rsidR="00B628C8" w:rsidRPr="00B628C8" w:rsidRDefault="00B628C8" w:rsidP="00B628C8">
      <w:pPr>
        <w:pStyle w:val="Brdtekst"/>
        <w:ind w:left="851"/>
        <w:rPr>
          <w:sz w:val="24"/>
          <w:szCs w:val="24"/>
        </w:rPr>
      </w:pPr>
      <w:r w:rsidRPr="00B628C8">
        <w:rPr>
          <w:sz w:val="24"/>
          <w:szCs w:val="24"/>
        </w:rPr>
        <w:t>Farmakoterapeutisk klassifikation: hormon-antagonister og lignende stoffer, antiandrogener, ATC- kode: L02BB04.</w:t>
      </w:r>
    </w:p>
    <w:p w14:paraId="2B5E3209" w14:textId="77777777" w:rsidR="00B628C8" w:rsidRPr="00B628C8" w:rsidRDefault="00B628C8" w:rsidP="00B628C8">
      <w:pPr>
        <w:pStyle w:val="Brdtekst"/>
        <w:ind w:left="851"/>
        <w:rPr>
          <w:sz w:val="24"/>
          <w:szCs w:val="24"/>
        </w:rPr>
      </w:pPr>
    </w:p>
    <w:p w14:paraId="57B253AB" w14:textId="77777777" w:rsidR="00B628C8" w:rsidRPr="00B628C8" w:rsidRDefault="00B628C8" w:rsidP="00B628C8">
      <w:pPr>
        <w:pStyle w:val="Brdtekst"/>
        <w:ind w:left="851"/>
        <w:rPr>
          <w:sz w:val="24"/>
          <w:szCs w:val="24"/>
        </w:rPr>
      </w:pPr>
      <w:r w:rsidRPr="00B628C8">
        <w:rPr>
          <w:sz w:val="24"/>
          <w:szCs w:val="24"/>
          <w:u w:val="single"/>
        </w:rPr>
        <w:t>Virkningsmekanisme</w:t>
      </w:r>
    </w:p>
    <w:p w14:paraId="6F409D23" w14:textId="77777777" w:rsidR="00B628C8" w:rsidRPr="00B628C8" w:rsidRDefault="00B628C8" w:rsidP="00B628C8">
      <w:pPr>
        <w:pStyle w:val="Brdtekst"/>
        <w:ind w:left="851"/>
        <w:rPr>
          <w:sz w:val="24"/>
          <w:szCs w:val="24"/>
        </w:rPr>
      </w:pPr>
      <w:r w:rsidRPr="00B628C8">
        <w:rPr>
          <w:sz w:val="24"/>
          <w:szCs w:val="24"/>
        </w:rPr>
        <w:t>Prostatacancer vides at være androgenfølsom og responderer på hæmning af androgenreceptorsignalering. På trods af lave eller endda upåviselige niveauer af serumandrogen fremmer androgenreceptorsignalering fortsat sygdomsprogression. Stimulering af tumorcellevækst via androgenreceptoren kræver kernelokalisering og DNA-binding. Enzalutamid er en potent hæmmer af androgenreceptorsignalering, der blokerer flere trin i androgenreceptorsignaleringssystemet.</w:t>
      </w:r>
    </w:p>
    <w:p w14:paraId="1CD935A3" w14:textId="77777777" w:rsidR="00B628C8" w:rsidRPr="00B628C8" w:rsidRDefault="00B628C8" w:rsidP="00B628C8">
      <w:pPr>
        <w:pStyle w:val="Brdtekst"/>
        <w:ind w:left="851"/>
        <w:rPr>
          <w:sz w:val="24"/>
          <w:szCs w:val="24"/>
        </w:rPr>
      </w:pPr>
      <w:r w:rsidRPr="00B628C8">
        <w:rPr>
          <w:sz w:val="24"/>
          <w:szCs w:val="24"/>
        </w:rPr>
        <w:t>Enzalutamid hæmmer kompetitivt androgen binding til androgenreceptorer og hæmmer dermed også kernetranslokation af aktiverede receptorer og associering af den aktiverede androgenreceptor med DNA – selv i tilfælde af overekspression af androgenreceptor og i prostatacancerceller, som er resistente over for anti-androgener. Enzalutamidbehandling nedsætter væksten af prostatacancerceller og kan inducere cancercelledød og tumorregression. I prækliniske studier har enzalutamid ikke androgenreceptor-agonistaktivitet.</w:t>
      </w:r>
    </w:p>
    <w:p w14:paraId="53EB73AC" w14:textId="77777777" w:rsidR="00B628C8" w:rsidRPr="00B628C8" w:rsidRDefault="00B628C8" w:rsidP="00B628C8">
      <w:pPr>
        <w:pStyle w:val="Brdtekst"/>
        <w:ind w:left="851"/>
        <w:rPr>
          <w:sz w:val="24"/>
          <w:szCs w:val="24"/>
        </w:rPr>
      </w:pPr>
    </w:p>
    <w:p w14:paraId="0AC175F0" w14:textId="77777777" w:rsidR="00B628C8" w:rsidRPr="00B628C8" w:rsidRDefault="00B628C8" w:rsidP="00B628C8">
      <w:pPr>
        <w:pStyle w:val="Brdtekst"/>
        <w:ind w:left="851"/>
        <w:jc w:val="both"/>
        <w:rPr>
          <w:sz w:val="24"/>
          <w:szCs w:val="24"/>
        </w:rPr>
      </w:pPr>
      <w:r w:rsidRPr="00B628C8">
        <w:rPr>
          <w:sz w:val="24"/>
          <w:szCs w:val="24"/>
          <w:u w:val="single"/>
        </w:rPr>
        <w:t>Farmakodynamisk virkning</w:t>
      </w:r>
    </w:p>
    <w:p w14:paraId="3AD6339B" w14:textId="77777777" w:rsidR="00B628C8" w:rsidRPr="00B628C8" w:rsidRDefault="00B628C8" w:rsidP="00B628C8">
      <w:pPr>
        <w:pStyle w:val="Brdtekst"/>
        <w:ind w:left="851"/>
        <w:rPr>
          <w:sz w:val="24"/>
          <w:szCs w:val="24"/>
        </w:rPr>
      </w:pPr>
      <w:r w:rsidRPr="00B628C8">
        <w:rPr>
          <w:sz w:val="24"/>
          <w:szCs w:val="24"/>
        </w:rPr>
        <w:t xml:space="preserve">I et klinisk fase 3-studie (AFFIRM) med patienter, som ikke havde gavn af tidligere kemoterapi med docetaxel, faldt PSA-niveauerne mindst 50 % i forhold til </w:t>
      </w:r>
      <w:r w:rsidRPr="00B628C8">
        <w:rPr>
          <w:i/>
          <w:sz w:val="24"/>
          <w:szCs w:val="24"/>
        </w:rPr>
        <w:t xml:space="preserve">baseline </w:t>
      </w:r>
      <w:r w:rsidRPr="00B628C8">
        <w:rPr>
          <w:sz w:val="24"/>
          <w:szCs w:val="24"/>
        </w:rPr>
        <w:t>hos 54 % af patienterne behandlet med enzalutamid i forhold til 1,5 % af patienterne på placebo.</w:t>
      </w:r>
    </w:p>
    <w:p w14:paraId="46869CB9" w14:textId="77777777" w:rsidR="00B628C8" w:rsidRPr="00B628C8" w:rsidRDefault="00B628C8" w:rsidP="00B628C8">
      <w:pPr>
        <w:pStyle w:val="Brdtekst"/>
        <w:ind w:left="851"/>
        <w:rPr>
          <w:sz w:val="24"/>
          <w:szCs w:val="24"/>
        </w:rPr>
      </w:pPr>
    </w:p>
    <w:p w14:paraId="35372FC3" w14:textId="77777777" w:rsidR="00B628C8" w:rsidRPr="00B628C8" w:rsidRDefault="00B628C8" w:rsidP="00B628C8">
      <w:pPr>
        <w:pStyle w:val="Brdtekst"/>
        <w:ind w:left="851"/>
        <w:rPr>
          <w:sz w:val="24"/>
          <w:szCs w:val="24"/>
        </w:rPr>
      </w:pPr>
      <w:r w:rsidRPr="00B628C8">
        <w:rPr>
          <w:sz w:val="24"/>
          <w:szCs w:val="24"/>
        </w:rPr>
        <w:t xml:space="preserve">I et andet klinisk fase 3-studie (PREVAIL) med kemoterapi-naive patienter viste patienter, der fik enzalutamid, en signifikant højere total PSA-responsrate (defineret som ≥ 50 % reduktion fra </w:t>
      </w:r>
      <w:r w:rsidRPr="00B628C8">
        <w:rPr>
          <w:i/>
          <w:sz w:val="24"/>
          <w:szCs w:val="24"/>
        </w:rPr>
        <w:t>baseline</w:t>
      </w:r>
      <w:r w:rsidRPr="00B628C8">
        <w:rPr>
          <w:sz w:val="24"/>
          <w:szCs w:val="24"/>
        </w:rPr>
        <w:t xml:space="preserve">) sammenlignet med patienter, der fik placebo, 78,0 % </w:t>
      </w:r>
      <w:r w:rsidRPr="00B628C8">
        <w:rPr>
          <w:i/>
          <w:sz w:val="24"/>
          <w:szCs w:val="24"/>
        </w:rPr>
        <w:t xml:space="preserve">versus </w:t>
      </w:r>
      <w:r w:rsidRPr="00B628C8">
        <w:rPr>
          <w:sz w:val="24"/>
          <w:szCs w:val="24"/>
        </w:rPr>
        <w:t>3,5 % (forskel = 74,5 %, p &lt; 0,0001).</w:t>
      </w:r>
    </w:p>
    <w:p w14:paraId="21301B6A" w14:textId="77777777" w:rsidR="00B628C8" w:rsidRPr="00B628C8" w:rsidRDefault="00B628C8" w:rsidP="00B628C8">
      <w:pPr>
        <w:pStyle w:val="Brdtekst"/>
        <w:ind w:left="851"/>
        <w:rPr>
          <w:sz w:val="24"/>
          <w:szCs w:val="24"/>
        </w:rPr>
      </w:pPr>
    </w:p>
    <w:p w14:paraId="4D98879A" w14:textId="77777777" w:rsidR="00B628C8" w:rsidRPr="00B628C8" w:rsidRDefault="00B628C8" w:rsidP="00B628C8">
      <w:pPr>
        <w:pStyle w:val="Brdtekst"/>
        <w:ind w:left="851"/>
        <w:rPr>
          <w:sz w:val="24"/>
          <w:szCs w:val="24"/>
        </w:rPr>
      </w:pPr>
      <w:r w:rsidRPr="00B628C8">
        <w:rPr>
          <w:sz w:val="24"/>
          <w:szCs w:val="24"/>
        </w:rPr>
        <w:t xml:space="preserve">I et klinisk fase 2-studie (TERRAIN) med kemoterapi-naive patienter viste patienter, der fik enzalutamid, en signifikant højere total PSA-responsrate (defineret som ≥ 50 % reduktion fra </w:t>
      </w:r>
      <w:r w:rsidRPr="00B628C8">
        <w:rPr>
          <w:i/>
          <w:sz w:val="24"/>
          <w:szCs w:val="24"/>
        </w:rPr>
        <w:t>baseline</w:t>
      </w:r>
      <w:r w:rsidRPr="00B628C8">
        <w:rPr>
          <w:sz w:val="24"/>
          <w:szCs w:val="24"/>
        </w:rPr>
        <w:t xml:space="preserve">) sammenlignet med patienter, der fik bicalutamid, 82,1 % </w:t>
      </w:r>
      <w:r w:rsidRPr="00B628C8">
        <w:rPr>
          <w:i/>
          <w:sz w:val="24"/>
          <w:szCs w:val="24"/>
        </w:rPr>
        <w:t xml:space="preserve">versus </w:t>
      </w:r>
      <w:r w:rsidRPr="00B628C8">
        <w:rPr>
          <w:sz w:val="24"/>
          <w:szCs w:val="24"/>
        </w:rPr>
        <w:t>20,9 % (forskel = 61,2 %,</w:t>
      </w:r>
    </w:p>
    <w:p w14:paraId="6F96ED78" w14:textId="77777777" w:rsidR="00B628C8" w:rsidRPr="00B628C8" w:rsidRDefault="00B628C8" w:rsidP="00B628C8">
      <w:pPr>
        <w:pStyle w:val="Brdtekst"/>
        <w:ind w:left="851"/>
        <w:rPr>
          <w:sz w:val="24"/>
          <w:szCs w:val="24"/>
        </w:rPr>
      </w:pPr>
      <w:r w:rsidRPr="00B628C8">
        <w:rPr>
          <w:sz w:val="24"/>
          <w:szCs w:val="24"/>
        </w:rPr>
        <w:t>p &lt; 0,0001).</w:t>
      </w:r>
    </w:p>
    <w:p w14:paraId="0C20FC39" w14:textId="77777777" w:rsidR="00B628C8" w:rsidRPr="00B628C8" w:rsidRDefault="00B628C8" w:rsidP="00B628C8">
      <w:pPr>
        <w:pStyle w:val="Brdtekst"/>
        <w:ind w:left="851"/>
        <w:rPr>
          <w:sz w:val="24"/>
          <w:szCs w:val="24"/>
        </w:rPr>
      </w:pPr>
    </w:p>
    <w:p w14:paraId="6878D246" w14:textId="77777777" w:rsidR="00B628C8" w:rsidRPr="00B628C8" w:rsidRDefault="00B628C8" w:rsidP="00B628C8">
      <w:pPr>
        <w:pStyle w:val="Brdtekst"/>
        <w:ind w:left="851"/>
        <w:rPr>
          <w:sz w:val="24"/>
          <w:szCs w:val="24"/>
        </w:rPr>
      </w:pPr>
      <w:r w:rsidRPr="00B628C8">
        <w:rPr>
          <w:sz w:val="24"/>
          <w:szCs w:val="24"/>
        </w:rPr>
        <w:t xml:space="preserve">I et enkeltarmet studie (9785-CL-0410) med patienter, tidligere behandlet i mindst 24 uger med abirateron (plus prednison), havde 22,4 % en reduktion på ≥ 50 % i PSA-niveauerne fra </w:t>
      </w:r>
      <w:r w:rsidRPr="00B628C8">
        <w:rPr>
          <w:i/>
          <w:sz w:val="24"/>
          <w:szCs w:val="24"/>
        </w:rPr>
        <w:t>baseline</w:t>
      </w:r>
      <w:r w:rsidRPr="00B628C8">
        <w:rPr>
          <w:sz w:val="24"/>
          <w:szCs w:val="24"/>
        </w:rPr>
        <w:t xml:space="preserve">. Ifølge tidligere kemoterapianamnese var andelen af patienter med ≥ 50 % </w:t>
      </w:r>
      <w:r w:rsidRPr="00B628C8">
        <w:rPr>
          <w:sz w:val="24"/>
          <w:szCs w:val="24"/>
        </w:rPr>
        <w:lastRenderedPageBreak/>
        <w:t>reduktion i PSA-niveauerne 22,1 % og 23,2 % for henholdsvis de ikke tidligere kemoterapi- og tidligere kemoterapi- patientgrupper.</w:t>
      </w:r>
    </w:p>
    <w:p w14:paraId="7E27B0C7" w14:textId="77777777" w:rsidR="00B628C8" w:rsidRPr="00B628C8" w:rsidRDefault="00B628C8" w:rsidP="00B628C8">
      <w:pPr>
        <w:pStyle w:val="Brdtekst"/>
        <w:ind w:left="851"/>
        <w:rPr>
          <w:sz w:val="24"/>
          <w:szCs w:val="24"/>
        </w:rPr>
      </w:pPr>
    </w:p>
    <w:p w14:paraId="53B5AAF8" w14:textId="77777777" w:rsidR="00B628C8" w:rsidRPr="00B628C8" w:rsidRDefault="00B628C8" w:rsidP="00B628C8">
      <w:pPr>
        <w:pStyle w:val="Brdtekst"/>
        <w:ind w:left="851"/>
        <w:rPr>
          <w:sz w:val="24"/>
          <w:szCs w:val="24"/>
        </w:rPr>
      </w:pPr>
      <w:r w:rsidRPr="00B628C8">
        <w:rPr>
          <w:sz w:val="24"/>
          <w:szCs w:val="24"/>
        </w:rPr>
        <w:t>I</w:t>
      </w:r>
      <w:r w:rsidRPr="00B628C8">
        <w:rPr>
          <w:spacing w:val="-12"/>
          <w:sz w:val="24"/>
          <w:szCs w:val="24"/>
        </w:rPr>
        <w:t xml:space="preserve"> </w:t>
      </w:r>
      <w:r w:rsidRPr="00B628C8">
        <w:rPr>
          <w:sz w:val="24"/>
          <w:szCs w:val="24"/>
        </w:rPr>
        <w:t>det</w:t>
      </w:r>
      <w:r w:rsidRPr="00B628C8">
        <w:rPr>
          <w:spacing w:val="-10"/>
          <w:sz w:val="24"/>
          <w:szCs w:val="24"/>
        </w:rPr>
        <w:t xml:space="preserve"> </w:t>
      </w:r>
      <w:r w:rsidRPr="00B628C8">
        <w:rPr>
          <w:sz w:val="24"/>
          <w:szCs w:val="24"/>
        </w:rPr>
        <w:t>kliniske</w:t>
      </w:r>
      <w:r w:rsidRPr="00B628C8">
        <w:rPr>
          <w:spacing w:val="-9"/>
          <w:sz w:val="24"/>
          <w:szCs w:val="24"/>
        </w:rPr>
        <w:t xml:space="preserve"> </w:t>
      </w:r>
      <w:r w:rsidRPr="00B628C8">
        <w:rPr>
          <w:sz w:val="24"/>
          <w:szCs w:val="24"/>
        </w:rPr>
        <w:t>studie</w:t>
      </w:r>
      <w:r w:rsidRPr="00B628C8">
        <w:rPr>
          <w:spacing w:val="-13"/>
          <w:sz w:val="24"/>
          <w:szCs w:val="24"/>
        </w:rPr>
        <w:t xml:space="preserve"> </w:t>
      </w:r>
      <w:r w:rsidRPr="00B628C8">
        <w:rPr>
          <w:sz w:val="24"/>
          <w:szCs w:val="24"/>
        </w:rPr>
        <w:t>MDV3100-009</w:t>
      </w:r>
      <w:r w:rsidRPr="00B628C8">
        <w:rPr>
          <w:spacing w:val="-10"/>
          <w:sz w:val="24"/>
          <w:szCs w:val="24"/>
        </w:rPr>
        <w:t xml:space="preserve"> </w:t>
      </w:r>
      <w:r w:rsidRPr="00B628C8">
        <w:rPr>
          <w:sz w:val="24"/>
          <w:szCs w:val="24"/>
        </w:rPr>
        <w:t>(STRIVE)</w:t>
      </w:r>
      <w:r w:rsidRPr="00B628C8">
        <w:rPr>
          <w:spacing w:val="-10"/>
          <w:sz w:val="24"/>
          <w:szCs w:val="24"/>
        </w:rPr>
        <w:t xml:space="preserve"> </w:t>
      </w:r>
      <w:r w:rsidRPr="00B628C8">
        <w:rPr>
          <w:sz w:val="24"/>
          <w:szCs w:val="24"/>
        </w:rPr>
        <w:t>af</w:t>
      </w:r>
      <w:r w:rsidRPr="00B628C8">
        <w:rPr>
          <w:spacing w:val="-9"/>
          <w:sz w:val="24"/>
          <w:szCs w:val="24"/>
        </w:rPr>
        <w:t xml:space="preserve"> </w:t>
      </w:r>
      <w:r w:rsidRPr="00B628C8">
        <w:rPr>
          <w:sz w:val="24"/>
          <w:szCs w:val="24"/>
        </w:rPr>
        <w:t>ikke-metastatisk</w:t>
      </w:r>
      <w:r w:rsidRPr="00B628C8">
        <w:rPr>
          <w:spacing w:val="-11"/>
          <w:sz w:val="24"/>
          <w:szCs w:val="24"/>
        </w:rPr>
        <w:t xml:space="preserve"> </w:t>
      </w:r>
      <w:r w:rsidRPr="00B628C8">
        <w:rPr>
          <w:sz w:val="24"/>
          <w:szCs w:val="24"/>
        </w:rPr>
        <w:t>og</w:t>
      </w:r>
      <w:r w:rsidRPr="00B628C8">
        <w:rPr>
          <w:spacing w:val="-10"/>
          <w:sz w:val="24"/>
          <w:szCs w:val="24"/>
        </w:rPr>
        <w:t xml:space="preserve"> </w:t>
      </w:r>
      <w:r w:rsidRPr="00B628C8">
        <w:rPr>
          <w:sz w:val="24"/>
          <w:szCs w:val="24"/>
        </w:rPr>
        <w:t>metastatisk</w:t>
      </w:r>
      <w:r w:rsidRPr="00B628C8">
        <w:rPr>
          <w:spacing w:val="-13"/>
          <w:sz w:val="24"/>
          <w:szCs w:val="24"/>
        </w:rPr>
        <w:t xml:space="preserve"> </w:t>
      </w:r>
      <w:r w:rsidRPr="00B628C8">
        <w:rPr>
          <w:sz w:val="24"/>
          <w:szCs w:val="24"/>
        </w:rPr>
        <w:t>CRPC,</w:t>
      </w:r>
      <w:r w:rsidRPr="00B628C8">
        <w:rPr>
          <w:spacing w:val="-11"/>
          <w:sz w:val="24"/>
          <w:szCs w:val="24"/>
        </w:rPr>
        <w:t xml:space="preserve"> </w:t>
      </w:r>
      <w:r w:rsidRPr="00B628C8">
        <w:rPr>
          <w:sz w:val="24"/>
          <w:szCs w:val="24"/>
        </w:rPr>
        <w:t>viste</w:t>
      </w:r>
      <w:r w:rsidRPr="00B628C8">
        <w:rPr>
          <w:spacing w:val="-9"/>
          <w:sz w:val="24"/>
          <w:szCs w:val="24"/>
        </w:rPr>
        <w:t xml:space="preserve"> </w:t>
      </w:r>
      <w:r w:rsidRPr="00B628C8">
        <w:rPr>
          <w:sz w:val="24"/>
          <w:szCs w:val="24"/>
        </w:rPr>
        <w:t>patienter, der fik enzalutamid, en signifikant højere total bekræftet PSA-responsrate (defineret som ≥ 50 % reduktion</w:t>
      </w:r>
      <w:r w:rsidRPr="00B628C8">
        <w:rPr>
          <w:spacing w:val="-5"/>
          <w:sz w:val="24"/>
          <w:szCs w:val="24"/>
        </w:rPr>
        <w:t xml:space="preserve"> </w:t>
      </w:r>
      <w:r w:rsidRPr="00B628C8">
        <w:rPr>
          <w:sz w:val="24"/>
          <w:szCs w:val="24"/>
        </w:rPr>
        <w:t>fra</w:t>
      </w:r>
      <w:r w:rsidRPr="00B628C8">
        <w:rPr>
          <w:spacing w:val="-4"/>
          <w:sz w:val="24"/>
          <w:szCs w:val="24"/>
        </w:rPr>
        <w:t xml:space="preserve"> </w:t>
      </w:r>
      <w:r w:rsidRPr="00B628C8">
        <w:rPr>
          <w:i/>
          <w:sz w:val="24"/>
          <w:szCs w:val="24"/>
        </w:rPr>
        <w:t>baseline</w:t>
      </w:r>
      <w:r w:rsidRPr="00B628C8">
        <w:rPr>
          <w:sz w:val="24"/>
          <w:szCs w:val="24"/>
        </w:rPr>
        <w:t>)</w:t>
      </w:r>
      <w:r w:rsidRPr="00B628C8">
        <w:rPr>
          <w:spacing w:val="-4"/>
          <w:sz w:val="24"/>
          <w:szCs w:val="24"/>
        </w:rPr>
        <w:t xml:space="preserve"> </w:t>
      </w:r>
      <w:r w:rsidRPr="00B628C8">
        <w:rPr>
          <w:sz w:val="24"/>
          <w:szCs w:val="24"/>
        </w:rPr>
        <w:t>sammenlignet</w:t>
      </w:r>
      <w:r w:rsidRPr="00B628C8">
        <w:rPr>
          <w:spacing w:val="-5"/>
          <w:sz w:val="24"/>
          <w:szCs w:val="24"/>
        </w:rPr>
        <w:t xml:space="preserve"> </w:t>
      </w:r>
      <w:r w:rsidRPr="00B628C8">
        <w:rPr>
          <w:sz w:val="24"/>
          <w:szCs w:val="24"/>
        </w:rPr>
        <w:t>med</w:t>
      </w:r>
      <w:r w:rsidRPr="00B628C8">
        <w:rPr>
          <w:spacing w:val="-5"/>
          <w:sz w:val="24"/>
          <w:szCs w:val="24"/>
        </w:rPr>
        <w:t xml:space="preserve"> </w:t>
      </w:r>
      <w:r w:rsidRPr="00B628C8">
        <w:rPr>
          <w:sz w:val="24"/>
          <w:szCs w:val="24"/>
        </w:rPr>
        <w:t>patienter,</w:t>
      </w:r>
      <w:r w:rsidRPr="00B628C8">
        <w:rPr>
          <w:spacing w:val="-4"/>
          <w:sz w:val="24"/>
          <w:szCs w:val="24"/>
        </w:rPr>
        <w:t xml:space="preserve"> </w:t>
      </w:r>
      <w:r w:rsidRPr="00B628C8">
        <w:rPr>
          <w:sz w:val="24"/>
          <w:szCs w:val="24"/>
        </w:rPr>
        <w:t>der</w:t>
      </w:r>
      <w:r w:rsidRPr="00B628C8">
        <w:rPr>
          <w:spacing w:val="-4"/>
          <w:sz w:val="24"/>
          <w:szCs w:val="24"/>
        </w:rPr>
        <w:t xml:space="preserve"> </w:t>
      </w:r>
      <w:r w:rsidRPr="00B628C8">
        <w:rPr>
          <w:sz w:val="24"/>
          <w:szCs w:val="24"/>
        </w:rPr>
        <w:t>fik</w:t>
      </w:r>
      <w:r w:rsidRPr="00B628C8">
        <w:rPr>
          <w:spacing w:val="-5"/>
          <w:sz w:val="24"/>
          <w:szCs w:val="24"/>
        </w:rPr>
        <w:t xml:space="preserve"> </w:t>
      </w:r>
      <w:r w:rsidRPr="00B628C8">
        <w:rPr>
          <w:sz w:val="24"/>
          <w:szCs w:val="24"/>
        </w:rPr>
        <w:t>bicalutamid,</w:t>
      </w:r>
      <w:r w:rsidRPr="00B628C8">
        <w:rPr>
          <w:spacing w:val="-4"/>
          <w:sz w:val="24"/>
          <w:szCs w:val="24"/>
        </w:rPr>
        <w:t xml:space="preserve"> </w:t>
      </w:r>
      <w:r w:rsidRPr="00B628C8">
        <w:rPr>
          <w:sz w:val="24"/>
          <w:szCs w:val="24"/>
        </w:rPr>
        <w:t>81,3</w:t>
      </w:r>
      <w:r w:rsidRPr="00B628C8">
        <w:rPr>
          <w:spacing w:val="-5"/>
          <w:sz w:val="24"/>
          <w:szCs w:val="24"/>
        </w:rPr>
        <w:t xml:space="preserve"> </w:t>
      </w:r>
      <w:r w:rsidRPr="00B628C8">
        <w:rPr>
          <w:sz w:val="24"/>
          <w:szCs w:val="24"/>
        </w:rPr>
        <w:t>%</w:t>
      </w:r>
      <w:r w:rsidRPr="00B628C8">
        <w:rPr>
          <w:spacing w:val="-4"/>
          <w:sz w:val="24"/>
          <w:szCs w:val="24"/>
        </w:rPr>
        <w:t xml:space="preserve"> </w:t>
      </w:r>
      <w:r w:rsidRPr="00B628C8">
        <w:rPr>
          <w:i/>
          <w:sz w:val="24"/>
          <w:szCs w:val="24"/>
        </w:rPr>
        <w:t>versus</w:t>
      </w:r>
      <w:r w:rsidRPr="00B628C8">
        <w:rPr>
          <w:i/>
          <w:spacing w:val="-4"/>
          <w:sz w:val="24"/>
          <w:szCs w:val="24"/>
        </w:rPr>
        <w:t xml:space="preserve"> </w:t>
      </w:r>
      <w:r w:rsidRPr="00B628C8">
        <w:rPr>
          <w:sz w:val="24"/>
          <w:szCs w:val="24"/>
        </w:rPr>
        <w:t>31,3</w:t>
      </w:r>
      <w:r w:rsidRPr="00B628C8">
        <w:rPr>
          <w:spacing w:val="-4"/>
          <w:sz w:val="24"/>
          <w:szCs w:val="24"/>
        </w:rPr>
        <w:t xml:space="preserve"> </w:t>
      </w:r>
      <w:r w:rsidRPr="00B628C8">
        <w:rPr>
          <w:sz w:val="24"/>
          <w:szCs w:val="24"/>
        </w:rPr>
        <w:t>%</w:t>
      </w:r>
      <w:r w:rsidRPr="00B628C8">
        <w:rPr>
          <w:spacing w:val="-6"/>
          <w:sz w:val="24"/>
          <w:szCs w:val="24"/>
        </w:rPr>
        <w:t xml:space="preserve"> </w:t>
      </w:r>
      <w:r w:rsidRPr="00B628C8">
        <w:rPr>
          <w:sz w:val="24"/>
          <w:szCs w:val="24"/>
        </w:rPr>
        <w:t>(forskel = 50,0 %, p &lt; 0,0001).</w:t>
      </w:r>
    </w:p>
    <w:p w14:paraId="7B6CBC7D" w14:textId="77777777" w:rsidR="00B628C8" w:rsidRPr="00B628C8" w:rsidRDefault="00B628C8" w:rsidP="00B628C8">
      <w:pPr>
        <w:pStyle w:val="Brdtekst"/>
        <w:ind w:left="851"/>
        <w:rPr>
          <w:sz w:val="24"/>
          <w:szCs w:val="24"/>
        </w:rPr>
      </w:pPr>
    </w:p>
    <w:p w14:paraId="158803CB" w14:textId="77777777" w:rsidR="00B628C8" w:rsidRPr="00B628C8" w:rsidRDefault="00B628C8" w:rsidP="00B628C8">
      <w:pPr>
        <w:pStyle w:val="Brdtekst"/>
        <w:ind w:left="851"/>
        <w:rPr>
          <w:sz w:val="24"/>
          <w:szCs w:val="24"/>
        </w:rPr>
      </w:pPr>
      <w:r w:rsidRPr="00B628C8">
        <w:rPr>
          <w:sz w:val="24"/>
          <w:szCs w:val="24"/>
        </w:rPr>
        <w:t xml:space="preserve">I det kliniske studie MDV3100-14 (PROSPER) af ikke-metastatisk CRPC, viste patienter, der fik enzalutamid, en signifikant højere bekræftet PSA-responsrate (defineret som ≥ 50 % reduktion fra </w:t>
      </w:r>
      <w:r w:rsidRPr="00B628C8">
        <w:rPr>
          <w:i/>
          <w:sz w:val="24"/>
          <w:szCs w:val="24"/>
        </w:rPr>
        <w:t>baseline</w:t>
      </w:r>
      <w:r w:rsidRPr="00B628C8">
        <w:rPr>
          <w:sz w:val="24"/>
          <w:szCs w:val="24"/>
        </w:rPr>
        <w:t xml:space="preserve">) sammenlignet med patienter, der fik placebo, 76,3 % </w:t>
      </w:r>
      <w:r w:rsidRPr="00B628C8">
        <w:rPr>
          <w:i/>
          <w:sz w:val="24"/>
          <w:szCs w:val="24"/>
        </w:rPr>
        <w:t xml:space="preserve">versus </w:t>
      </w:r>
      <w:r w:rsidRPr="00B628C8">
        <w:rPr>
          <w:sz w:val="24"/>
          <w:szCs w:val="24"/>
        </w:rPr>
        <w:t>2,4 % (forskel = 73,9 %, p</w:t>
      </w:r>
    </w:p>
    <w:p w14:paraId="1E064A4E" w14:textId="77777777" w:rsidR="00B628C8" w:rsidRPr="00B628C8" w:rsidRDefault="00B628C8" w:rsidP="00B628C8">
      <w:pPr>
        <w:pStyle w:val="Brdtekst"/>
        <w:ind w:left="851"/>
        <w:jc w:val="both"/>
        <w:rPr>
          <w:sz w:val="24"/>
          <w:szCs w:val="24"/>
        </w:rPr>
      </w:pPr>
      <w:r w:rsidRPr="00B628C8">
        <w:rPr>
          <w:sz w:val="24"/>
          <w:szCs w:val="24"/>
        </w:rPr>
        <w:t>&lt; 0,0001).</w:t>
      </w:r>
    </w:p>
    <w:p w14:paraId="725D57B7" w14:textId="77777777" w:rsidR="00B628C8" w:rsidRPr="00B628C8" w:rsidRDefault="00B628C8" w:rsidP="00B628C8">
      <w:pPr>
        <w:pStyle w:val="Brdtekst"/>
        <w:ind w:left="851"/>
        <w:rPr>
          <w:sz w:val="24"/>
          <w:szCs w:val="24"/>
        </w:rPr>
      </w:pPr>
    </w:p>
    <w:p w14:paraId="01FB0F54" w14:textId="77777777" w:rsidR="00B628C8" w:rsidRPr="00B628C8" w:rsidRDefault="00B628C8" w:rsidP="00B628C8">
      <w:pPr>
        <w:pStyle w:val="Brdtekst"/>
        <w:ind w:left="851"/>
        <w:jc w:val="both"/>
        <w:rPr>
          <w:sz w:val="24"/>
          <w:szCs w:val="24"/>
        </w:rPr>
      </w:pPr>
      <w:r w:rsidRPr="00B628C8">
        <w:rPr>
          <w:sz w:val="24"/>
          <w:szCs w:val="24"/>
          <w:u w:val="single"/>
        </w:rPr>
        <w:t>Klinisk virkning og sikkerhed</w:t>
      </w:r>
    </w:p>
    <w:p w14:paraId="1787C922" w14:textId="77777777" w:rsidR="00B628C8" w:rsidRPr="00B628C8" w:rsidRDefault="00B628C8" w:rsidP="00B628C8">
      <w:pPr>
        <w:pStyle w:val="Brdtekst"/>
        <w:ind w:left="851"/>
        <w:rPr>
          <w:sz w:val="24"/>
          <w:szCs w:val="24"/>
        </w:rPr>
      </w:pPr>
      <w:r w:rsidRPr="00B628C8">
        <w:rPr>
          <w:sz w:val="24"/>
          <w:szCs w:val="24"/>
        </w:rPr>
        <w:t>Virkningen af enzalutamid er fastlagt i tre randomiserede placebokontrollerede kliniske fase 3- multicenterstudier [MDV3100-14 (PROSPER), CRPC2 (AFFIRM), MDV3100-03 (PREVAIL)] hos patienter med progressiv prostatacancer, som havde sygdomsprogression på androgen deprivationsbehandling [LHRH-analog eller efter bilateral orkiektomi]. PREVAIL-studiet inkluderede kemoterapi-naive patienter med metastatisk CRPC, mens AFFIRM-studiet inkluderede patienter med metastatisk CRPC, der tidligere havde fået docetaxel, og PROSPER-studiet inkluderede patienter med ikke-metastatisk CRPC. Der blev i et klinisk, randomiseret, placebokontrolleret fase 3- multicenterstudie [9785-CL-0335 (ARCHES)] konstateret virkning hos patienter med mHSPC. Et andet klinisk, randomiseret, placebokontrolleret fase 3-multicenterstudie [MDV3100-13 (EMBARK)] konstaterede virkning hos patienter med højrisiko-BCR nmHSPC. Alle patienter blev behandlet med en LHRH-analog eller fik foretaget bilateral orkiektomi, medmindre andet var angivet.</w:t>
      </w:r>
    </w:p>
    <w:p w14:paraId="4F3BD8FF" w14:textId="77777777" w:rsidR="00B628C8" w:rsidRPr="00B628C8" w:rsidRDefault="00B628C8" w:rsidP="00B628C8">
      <w:pPr>
        <w:pStyle w:val="Brdtekst"/>
        <w:ind w:left="851"/>
        <w:rPr>
          <w:sz w:val="24"/>
          <w:szCs w:val="24"/>
        </w:rPr>
      </w:pPr>
    </w:p>
    <w:p w14:paraId="46008F98" w14:textId="77777777" w:rsidR="00B628C8" w:rsidRPr="00B628C8" w:rsidRDefault="00B628C8" w:rsidP="00B628C8">
      <w:pPr>
        <w:pStyle w:val="Brdtekst"/>
        <w:ind w:left="851"/>
        <w:rPr>
          <w:sz w:val="24"/>
          <w:szCs w:val="24"/>
        </w:rPr>
      </w:pPr>
      <w:r w:rsidRPr="00B628C8">
        <w:rPr>
          <w:sz w:val="24"/>
          <w:szCs w:val="24"/>
        </w:rPr>
        <w:t>I de aktive behandlingsarme blev enzalutamid administreret oralt med en dosis på 160 mg dagligt. I de fem kliniske studier (EMBARK, ARCHES, PROSPER, AFFIRM og PREVAIL) fik patienter i kontrolarmen placebo, og det var ikke påkrævet, at patienterne fik prednison.</w:t>
      </w:r>
    </w:p>
    <w:p w14:paraId="1E9195B5" w14:textId="77777777" w:rsidR="00B628C8" w:rsidRPr="00B628C8" w:rsidRDefault="00B628C8" w:rsidP="00B628C8">
      <w:pPr>
        <w:pStyle w:val="Brdtekst"/>
        <w:ind w:left="851"/>
        <w:rPr>
          <w:sz w:val="24"/>
          <w:szCs w:val="24"/>
        </w:rPr>
      </w:pPr>
    </w:p>
    <w:p w14:paraId="52291246" w14:textId="77777777" w:rsidR="00B628C8" w:rsidRPr="00B628C8" w:rsidRDefault="00B628C8" w:rsidP="00B628C8">
      <w:pPr>
        <w:pStyle w:val="Brdtekst"/>
        <w:ind w:left="851"/>
        <w:rPr>
          <w:sz w:val="24"/>
          <w:szCs w:val="24"/>
        </w:rPr>
      </w:pPr>
      <w:r w:rsidRPr="00B628C8">
        <w:rPr>
          <w:sz w:val="24"/>
          <w:szCs w:val="24"/>
        </w:rPr>
        <w:t>Ændringer i PSA-serumkoncentrationen alene er ikke altid en indikator for en klinisk gavnlig effekt. Det blev derfor i de fem studier anbefalet, at patienterne fortsatte med deres studiebehandling, indtil afbrydelses- eller seponeringskriterierne var opfyldt som specificeret nedenfor for hvert enkelt studie.</w:t>
      </w:r>
    </w:p>
    <w:p w14:paraId="0CAEF940" w14:textId="77777777" w:rsidR="00B628C8" w:rsidRPr="00B628C8" w:rsidRDefault="00B628C8" w:rsidP="00B628C8">
      <w:pPr>
        <w:pStyle w:val="Brdtekst"/>
        <w:ind w:left="851"/>
        <w:rPr>
          <w:sz w:val="24"/>
          <w:szCs w:val="24"/>
        </w:rPr>
      </w:pPr>
    </w:p>
    <w:p w14:paraId="2F9CBC5B" w14:textId="77777777" w:rsidR="00B628C8" w:rsidRPr="00B628C8" w:rsidRDefault="00B628C8" w:rsidP="00B628C8">
      <w:pPr>
        <w:ind w:left="851"/>
        <w:rPr>
          <w:i/>
          <w:sz w:val="24"/>
          <w:szCs w:val="24"/>
        </w:rPr>
      </w:pPr>
      <w:r w:rsidRPr="00B628C8">
        <w:rPr>
          <w:i/>
          <w:sz w:val="24"/>
          <w:szCs w:val="24"/>
        </w:rPr>
        <w:t>MDV3100-13 (EMBARK)-studiet (patienter med højrisiko-BCR ikke-metastatisk HSPC)</w:t>
      </w:r>
    </w:p>
    <w:p w14:paraId="3CD8CAD5" w14:textId="77777777" w:rsidR="00B628C8" w:rsidRPr="00B628C8" w:rsidRDefault="00B628C8" w:rsidP="00B628C8">
      <w:pPr>
        <w:pStyle w:val="Brdtekst"/>
        <w:ind w:left="851"/>
        <w:rPr>
          <w:sz w:val="24"/>
          <w:szCs w:val="24"/>
        </w:rPr>
      </w:pPr>
      <w:r w:rsidRPr="00B628C8">
        <w:rPr>
          <w:sz w:val="24"/>
          <w:szCs w:val="24"/>
        </w:rPr>
        <w:t>EMBARK-studiet omfattede 1.068 patienter med højrisiko-BCR nmHSPC, som blev randomiseret 1:1:1 til behandling med enzalutamid oralt i en dosis på 160 mg én gang dagligt samtidig med ADT (N = 355), enzalutamid oralt i en dosis på 160 mg én gang dagligt som åben monoterapi (N = 355) eller placebo oralt én gang dagligt samtidig med ADT (N = 358) (ADT defineret som leuprolid). Alle patienter havde tidligere fået definitiv behandling med radikal prostatektomi eller strålebehandling (herunder brakyterapi) eller begge dele med henblik på helbredelse. Patienterne skulle have bekræftelse af ikke-metastatisk sygdom ved blindet uafhængig central evaluering (</w:t>
      </w:r>
      <w:r w:rsidRPr="00B628C8">
        <w:rPr>
          <w:i/>
          <w:sz w:val="24"/>
          <w:szCs w:val="24"/>
        </w:rPr>
        <w:t>Blinded Independent Central Review, BICR</w:t>
      </w:r>
      <w:r w:rsidRPr="00B628C8">
        <w:rPr>
          <w:sz w:val="24"/>
          <w:szCs w:val="24"/>
        </w:rPr>
        <w:t xml:space="preserve">) og højrisiko-biokemisk recidiv (defineret ved en PSA-fordoblingstid ≤ 9 måneder). Patienterne skulle også have PSA-værdier ≥ 1 ng/ml, hvis de tidligere havde fået radikal prostatektomi (med eller uden strålebehandling) som den </w:t>
      </w:r>
      <w:r w:rsidRPr="00B628C8">
        <w:rPr>
          <w:sz w:val="24"/>
          <w:szCs w:val="24"/>
        </w:rPr>
        <w:lastRenderedPageBreak/>
        <w:t>primære behandling for prostatacancer, eller PSA-værdier mindst 2 ng/ml over nadir, hvis de tidligere kun havde fået strålebehandling. Patienter, som tidligere havde fået prostatektomi og var egnede kandidater til salvage strålebehandling, som vurderet af investigatoren, blev udelukket fra studiet.</w:t>
      </w:r>
    </w:p>
    <w:p w14:paraId="63EA311B" w14:textId="77777777" w:rsidR="00B628C8" w:rsidRPr="00B628C8" w:rsidRDefault="00B628C8" w:rsidP="00B628C8">
      <w:pPr>
        <w:pStyle w:val="Brdtekst"/>
        <w:ind w:left="851"/>
        <w:rPr>
          <w:sz w:val="24"/>
          <w:szCs w:val="24"/>
        </w:rPr>
      </w:pPr>
    </w:p>
    <w:p w14:paraId="2A6ACFF2" w14:textId="77777777" w:rsidR="00B628C8" w:rsidRPr="00B628C8" w:rsidRDefault="00B628C8" w:rsidP="00B628C8">
      <w:pPr>
        <w:pStyle w:val="Brdtekst"/>
        <w:ind w:left="851"/>
        <w:rPr>
          <w:sz w:val="24"/>
          <w:szCs w:val="24"/>
        </w:rPr>
      </w:pPr>
      <w:r w:rsidRPr="00B628C8">
        <w:rPr>
          <w:sz w:val="24"/>
          <w:szCs w:val="24"/>
        </w:rPr>
        <w:t xml:space="preserve">Patienterne blev stratificeret ved PSA-screening (≤ 10 ng/ml </w:t>
      </w:r>
      <w:r w:rsidRPr="00B628C8">
        <w:rPr>
          <w:i/>
          <w:sz w:val="24"/>
          <w:szCs w:val="24"/>
        </w:rPr>
        <w:t xml:space="preserve">vs. </w:t>
      </w:r>
      <w:r w:rsidRPr="00B628C8">
        <w:rPr>
          <w:sz w:val="24"/>
          <w:szCs w:val="24"/>
        </w:rPr>
        <w:t xml:space="preserve">&gt; 10 ng/ml), PSA-fordoblingstid (≤ 3 måneder </w:t>
      </w:r>
      <w:r w:rsidRPr="00B628C8">
        <w:rPr>
          <w:i/>
          <w:sz w:val="24"/>
          <w:szCs w:val="24"/>
        </w:rPr>
        <w:t xml:space="preserve">vs. </w:t>
      </w:r>
      <w:r w:rsidRPr="00B628C8">
        <w:rPr>
          <w:sz w:val="24"/>
          <w:szCs w:val="24"/>
        </w:rPr>
        <w:t xml:space="preserve">&gt; 3 måneder til ≤ 9 måneder) og tidligere hormonbehandling (tidligere hormonbehandling </w:t>
      </w:r>
      <w:r w:rsidRPr="00B628C8">
        <w:rPr>
          <w:i/>
          <w:sz w:val="24"/>
          <w:szCs w:val="24"/>
        </w:rPr>
        <w:t xml:space="preserve">vs. </w:t>
      </w:r>
      <w:r w:rsidRPr="00B628C8">
        <w:rPr>
          <w:sz w:val="24"/>
          <w:szCs w:val="24"/>
        </w:rPr>
        <w:t>ingen tidligere hormonbehandling). De patienter, hvis PSA-værdier ikke kunne detekteres (&lt; 0,2 ng/ml) ved uge 36, fik afbrudt behandlingen ved uge 37 og derefter genstartet den, når PSA-niveauerne steg til ≥ 2,0 ng/ml for patienter med tidligere prostatektomi eller ≥ 5,0 ng/ml for patienter uden tidligere prostatektomi. For patienter, hvis PSA-værdier kunne detekteres ved uge 36 (≥ 0,2 ng/ml), fortsatte behandlingen uden afbrydelse, indtil kriterierne for permanent seponering af behandlingen var opfyldt. Behandlingen blev seponeret permanent, når udvikling af radiografisk progression blev bekræftet ved central vurdering efter den indledende lokale aflæsning.</w:t>
      </w:r>
    </w:p>
    <w:p w14:paraId="5EB84969" w14:textId="77777777" w:rsidR="00B628C8" w:rsidRPr="00B628C8" w:rsidRDefault="00B628C8" w:rsidP="00B628C8">
      <w:pPr>
        <w:pStyle w:val="Brdtekst"/>
        <w:ind w:left="851"/>
        <w:rPr>
          <w:sz w:val="24"/>
          <w:szCs w:val="24"/>
        </w:rPr>
      </w:pPr>
    </w:p>
    <w:p w14:paraId="5EE51A75" w14:textId="77777777" w:rsidR="00B628C8" w:rsidRPr="00B628C8" w:rsidRDefault="00B628C8" w:rsidP="00B628C8">
      <w:pPr>
        <w:pStyle w:val="Brdtekst"/>
        <w:ind w:left="851"/>
        <w:rPr>
          <w:sz w:val="24"/>
          <w:szCs w:val="24"/>
        </w:rPr>
      </w:pPr>
      <w:r w:rsidRPr="00B628C8">
        <w:rPr>
          <w:sz w:val="24"/>
          <w:szCs w:val="24"/>
        </w:rPr>
        <w:t xml:space="preserve">De demografiske kendetegn samt kendetegnene ved </w:t>
      </w:r>
      <w:r w:rsidRPr="00B628C8">
        <w:rPr>
          <w:i/>
          <w:sz w:val="24"/>
          <w:szCs w:val="24"/>
        </w:rPr>
        <w:t>baseline</w:t>
      </w:r>
      <w:r w:rsidRPr="00B628C8">
        <w:rPr>
          <w:sz w:val="24"/>
          <w:szCs w:val="24"/>
        </w:rPr>
        <w:t xml:space="preserve"> var velafbalancerede mellem de tre behandlingsgrupper. Den samlede medianalder ved randomisering var 69 år (interval: 49,0-93,0). De fleste patienter i den samlede population var kaukasiere (83,2 %), 7,3 % var asiater og 4,4 % var sorte. Medianen for PSA-fordoblingstid var 4,9 måneder. 74 % af patienterne havde tidligere fået definitiv behandling med radikal prostatektomi, 75 % af patienterne var tidligere behandlet med strålebehandling (herunder brakyterapi), og 49 % af patienterne var tidligere behandlet med begge dele. 32 % af patienterne havde en Gleason-score på ≥ 8. ECOG-funktionsscoren (</w:t>
      </w:r>
      <w:r w:rsidRPr="00B628C8">
        <w:rPr>
          <w:i/>
          <w:sz w:val="24"/>
          <w:szCs w:val="24"/>
        </w:rPr>
        <w:t>Eastern Cooperative Oncology Group Performance Status</w:t>
      </w:r>
      <w:r w:rsidRPr="00B628C8">
        <w:rPr>
          <w:sz w:val="24"/>
          <w:szCs w:val="24"/>
        </w:rPr>
        <w:t>) var 0 for 92 % af patienterne og 1 for 8 % af patienterne ved indtrædelse i studiet.</w:t>
      </w:r>
    </w:p>
    <w:p w14:paraId="1634E820" w14:textId="77777777" w:rsidR="00B628C8" w:rsidRPr="00B628C8" w:rsidRDefault="00B628C8" w:rsidP="00B628C8">
      <w:pPr>
        <w:pStyle w:val="Brdtekst"/>
        <w:ind w:left="851"/>
        <w:rPr>
          <w:sz w:val="24"/>
          <w:szCs w:val="24"/>
        </w:rPr>
      </w:pPr>
    </w:p>
    <w:p w14:paraId="06B9E381" w14:textId="77777777" w:rsidR="00B628C8" w:rsidRPr="00B628C8" w:rsidRDefault="00B628C8" w:rsidP="00B628C8">
      <w:pPr>
        <w:pStyle w:val="Brdtekst"/>
        <w:ind w:left="851"/>
        <w:rPr>
          <w:sz w:val="24"/>
          <w:szCs w:val="24"/>
        </w:rPr>
      </w:pPr>
      <w:r w:rsidRPr="00B628C8">
        <w:rPr>
          <w:sz w:val="24"/>
          <w:szCs w:val="24"/>
        </w:rPr>
        <w:t>Metastasefri overlevelse (MFS) hos patienter, som blev randomiseret til at få enzalutamid plus ADT, sammenlignet med patienter, som blev randomiseret til at få placebo plus ADT, var det primære endepunkt. Metastasefri overlevelse blev defineret som tidspunktet fra randomisering til radiografisk progression eller død under studiet, hvad end der indtraf først.</w:t>
      </w:r>
    </w:p>
    <w:p w14:paraId="2459711B" w14:textId="77777777" w:rsidR="00B628C8" w:rsidRPr="00B628C8" w:rsidRDefault="00B628C8" w:rsidP="00B628C8">
      <w:pPr>
        <w:pStyle w:val="Brdtekst"/>
        <w:ind w:left="851"/>
        <w:rPr>
          <w:sz w:val="24"/>
          <w:szCs w:val="24"/>
        </w:rPr>
      </w:pPr>
    </w:p>
    <w:p w14:paraId="1654D6DA" w14:textId="77777777" w:rsidR="00B628C8" w:rsidRPr="00B628C8" w:rsidRDefault="00B628C8" w:rsidP="00B628C8">
      <w:pPr>
        <w:pStyle w:val="Brdtekst"/>
        <w:ind w:left="851"/>
        <w:rPr>
          <w:sz w:val="24"/>
          <w:szCs w:val="24"/>
        </w:rPr>
      </w:pPr>
      <w:r w:rsidRPr="00B628C8">
        <w:rPr>
          <w:sz w:val="24"/>
          <w:szCs w:val="24"/>
        </w:rPr>
        <w:t>Multiplicitetstestede sekundære endepunkter, som blev vurderet, var tid til PSA-progression, tid til første brug af antineoplastisk behandling og samlet overlevelse. Et andet multiplicitetstestet sekundært endepunkt var MFS hos patienter, som blev randomiseret til at få enzalutamid som monoterapi, sammenlignet med patienter, som blev randomiseret til at få placebo plus ADT.</w:t>
      </w:r>
    </w:p>
    <w:p w14:paraId="4FC32BF5" w14:textId="77777777" w:rsidR="00B628C8" w:rsidRPr="00B628C8" w:rsidRDefault="00B628C8" w:rsidP="00B628C8">
      <w:pPr>
        <w:pStyle w:val="Brdtekst"/>
        <w:ind w:left="851"/>
        <w:rPr>
          <w:sz w:val="24"/>
          <w:szCs w:val="24"/>
        </w:rPr>
      </w:pPr>
    </w:p>
    <w:p w14:paraId="0D7A29C7" w14:textId="77777777" w:rsidR="00B628C8" w:rsidRPr="00B628C8" w:rsidRDefault="00B628C8" w:rsidP="00B628C8">
      <w:pPr>
        <w:pStyle w:val="Brdtekst"/>
        <w:ind w:left="851"/>
        <w:rPr>
          <w:sz w:val="24"/>
          <w:szCs w:val="24"/>
        </w:rPr>
      </w:pPr>
      <w:r w:rsidRPr="00B628C8">
        <w:rPr>
          <w:sz w:val="24"/>
          <w:szCs w:val="24"/>
        </w:rPr>
        <w:t>Enzalutamid plus ADT og som monoterapi viste en statistisk signifikant forbedring i MFS sammenlignet med placebo plus ADT. De vigtigste virkningsresultater er præsenteret i tabel 2.</w:t>
      </w:r>
    </w:p>
    <w:p w14:paraId="22A16D9E" w14:textId="6FB3F729" w:rsidR="00B628C8" w:rsidRDefault="00B628C8">
      <w:pPr>
        <w:rPr>
          <w:sz w:val="22"/>
          <w:szCs w:val="22"/>
        </w:rPr>
      </w:pPr>
      <w:r>
        <w:br w:type="page"/>
      </w:r>
    </w:p>
    <w:p w14:paraId="661DC532" w14:textId="77777777" w:rsidR="00B628C8" w:rsidRDefault="00B628C8" w:rsidP="00B628C8">
      <w:pPr>
        <w:pStyle w:val="Brdtekst"/>
      </w:pPr>
    </w:p>
    <w:p w14:paraId="25F71453" w14:textId="203D6E0F" w:rsidR="00B628C8" w:rsidRPr="00B628C8" w:rsidRDefault="00B628C8" w:rsidP="00B628C8">
      <w:pPr>
        <w:ind w:left="993" w:hanging="993"/>
        <w:rPr>
          <w:b/>
          <w:sz w:val="24"/>
          <w:szCs w:val="24"/>
        </w:rPr>
      </w:pPr>
      <w:r w:rsidRPr="00B628C8">
        <w:rPr>
          <w:b/>
          <w:sz w:val="24"/>
          <w:szCs w:val="24"/>
        </w:rPr>
        <w:t>Tabel 2:</w:t>
      </w:r>
      <w:r w:rsidRPr="00B628C8">
        <w:rPr>
          <w:b/>
          <w:sz w:val="24"/>
          <w:szCs w:val="24"/>
        </w:rPr>
        <w:tab/>
        <w:t>Sammendrag af virkning hos patienter behandlet med enten enzalutamid plus ADT, placebo plus ADT eller enzalutamid som monoterapi i EMBARK-studiet (</w:t>
      </w:r>
      <w:r w:rsidRPr="00B628C8">
        <w:rPr>
          <w:b/>
          <w:i/>
          <w:sz w:val="24"/>
          <w:szCs w:val="24"/>
        </w:rPr>
        <w:t>intent-to-treat</w:t>
      </w:r>
      <w:r w:rsidRPr="00B628C8">
        <w:rPr>
          <w:b/>
          <w:sz w:val="24"/>
          <w:szCs w:val="24"/>
        </w:rPr>
        <w:t>-analyse)</w:t>
      </w:r>
    </w:p>
    <w:p w14:paraId="12D38A66" w14:textId="77777777" w:rsidR="00B628C8" w:rsidRDefault="00B628C8" w:rsidP="00B628C8">
      <w:pPr>
        <w:pStyle w:val="Brdtekst"/>
        <w:rPr>
          <w:b/>
        </w:rPr>
      </w:pP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3"/>
        <w:gridCol w:w="2302"/>
        <w:gridCol w:w="2302"/>
        <w:gridCol w:w="2303"/>
      </w:tblGrid>
      <w:tr w:rsidR="00B628C8" w14:paraId="4F2E3A20" w14:textId="77777777" w:rsidTr="00B628C8">
        <w:trPr>
          <w:trHeight w:val="779"/>
        </w:trPr>
        <w:tc>
          <w:tcPr>
            <w:tcW w:w="2302" w:type="dxa"/>
            <w:tcBorders>
              <w:top w:val="single" w:sz="4" w:space="0" w:color="000000"/>
              <w:left w:val="single" w:sz="4" w:space="0" w:color="000000"/>
              <w:bottom w:val="single" w:sz="4" w:space="0" w:color="000000"/>
              <w:right w:val="single" w:sz="4" w:space="0" w:color="000000"/>
            </w:tcBorders>
          </w:tcPr>
          <w:p w14:paraId="58712127" w14:textId="77777777" w:rsidR="00B628C8" w:rsidRPr="00B628C8" w:rsidRDefault="00B628C8">
            <w:pPr>
              <w:pStyle w:val="TableParagraph"/>
              <w:ind w:left="0"/>
            </w:pPr>
          </w:p>
        </w:tc>
        <w:tc>
          <w:tcPr>
            <w:tcW w:w="2302" w:type="dxa"/>
            <w:tcBorders>
              <w:top w:val="single" w:sz="4" w:space="0" w:color="000000"/>
              <w:left w:val="single" w:sz="4" w:space="0" w:color="000000"/>
              <w:bottom w:val="single" w:sz="4" w:space="0" w:color="000000"/>
              <w:right w:val="single" w:sz="4" w:space="0" w:color="000000"/>
            </w:tcBorders>
            <w:hideMark/>
          </w:tcPr>
          <w:p w14:paraId="0711B48E" w14:textId="77777777" w:rsidR="00B628C8" w:rsidRDefault="00B628C8">
            <w:pPr>
              <w:pStyle w:val="TableParagraph"/>
              <w:ind w:left="0"/>
              <w:jc w:val="center"/>
              <w:rPr>
                <w:b/>
                <w:lang w:val="en-US"/>
              </w:rPr>
            </w:pPr>
            <w:r>
              <w:rPr>
                <w:b/>
                <w:lang w:val="en-US"/>
              </w:rPr>
              <w:t xml:space="preserve">Enzalutamid plus </w:t>
            </w:r>
          </w:p>
          <w:p w14:paraId="4D4867D4" w14:textId="77777777" w:rsidR="00B628C8" w:rsidRDefault="00B628C8">
            <w:pPr>
              <w:pStyle w:val="TableParagraph"/>
              <w:ind w:left="0"/>
              <w:jc w:val="center"/>
              <w:rPr>
                <w:b/>
                <w:lang w:val="en-US"/>
              </w:rPr>
            </w:pPr>
            <w:r>
              <w:rPr>
                <w:b/>
                <w:lang w:val="en-US"/>
              </w:rPr>
              <w:t>ADT</w:t>
            </w:r>
          </w:p>
          <w:p w14:paraId="6DC40B5A" w14:textId="77777777" w:rsidR="00B628C8" w:rsidRDefault="00B628C8">
            <w:pPr>
              <w:pStyle w:val="TableParagraph"/>
              <w:ind w:left="0"/>
              <w:jc w:val="center"/>
              <w:rPr>
                <w:b/>
                <w:lang w:val="en-US"/>
              </w:rPr>
            </w:pPr>
            <w:r>
              <w:rPr>
                <w:b/>
                <w:lang w:val="en-US"/>
              </w:rPr>
              <w:t>(N = 355)</w:t>
            </w:r>
          </w:p>
        </w:tc>
        <w:tc>
          <w:tcPr>
            <w:tcW w:w="2302" w:type="dxa"/>
            <w:tcBorders>
              <w:top w:val="single" w:sz="4" w:space="0" w:color="000000"/>
              <w:left w:val="single" w:sz="4" w:space="0" w:color="000000"/>
              <w:bottom w:val="single" w:sz="4" w:space="0" w:color="000000"/>
              <w:right w:val="single" w:sz="4" w:space="0" w:color="000000"/>
            </w:tcBorders>
            <w:hideMark/>
          </w:tcPr>
          <w:p w14:paraId="14F465A6" w14:textId="77777777" w:rsidR="00B628C8" w:rsidRDefault="00B628C8">
            <w:pPr>
              <w:pStyle w:val="TableParagraph"/>
              <w:ind w:left="0"/>
              <w:jc w:val="center"/>
              <w:rPr>
                <w:b/>
                <w:lang w:val="en-US"/>
              </w:rPr>
            </w:pPr>
            <w:r>
              <w:rPr>
                <w:b/>
                <w:lang w:val="en-US"/>
              </w:rPr>
              <w:t xml:space="preserve">Placebo plus </w:t>
            </w:r>
          </w:p>
          <w:p w14:paraId="7EEC3EC8" w14:textId="77777777" w:rsidR="00B628C8" w:rsidRDefault="00B628C8">
            <w:pPr>
              <w:pStyle w:val="TableParagraph"/>
              <w:ind w:left="0"/>
              <w:jc w:val="center"/>
              <w:rPr>
                <w:b/>
                <w:lang w:val="en-US"/>
              </w:rPr>
            </w:pPr>
            <w:r>
              <w:rPr>
                <w:b/>
                <w:lang w:val="en-US"/>
              </w:rPr>
              <w:t>ADT</w:t>
            </w:r>
          </w:p>
          <w:p w14:paraId="483188AD" w14:textId="77777777" w:rsidR="00B628C8" w:rsidRDefault="00B628C8">
            <w:pPr>
              <w:pStyle w:val="TableParagraph"/>
              <w:ind w:left="0"/>
              <w:jc w:val="center"/>
              <w:rPr>
                <w:b/>
                <w:lang w:val="en-US"/>
              </w:rPr>
            </w:pPr>
            <w:r>
              <w:rPr>
                <w:b/>
                <w:lang w:val="en-US"/>
              </w:rPr>
              <w:t>(N = 358)</w:t>
            </w:r>
          </w:p>
        </w:tc>
        <w:tc>
          <w:tcPr>
            <w:tcW w:w="2303" w:type="dxa"/>
            <w:tcBorders>
              <w:top w:val="single" w:sz="4" w:space="0" w:color="000000"/>
              <w:left w:val="single" w:sz="4" w:space="0" w:color="000000"/>
              <w:bottom w:val="single" w:sz="4" w:space="0" w:color="000000"/>
              <w:right w:val="single" w:sz="4" w:space="0" w:color="000000"/>
            </w:tcBorders>
            <w:hideMark/>
          </w:tcPr>
          <w:p w14:paraId="2F551ECE" w14:textId="77777777" w:rsidR="00B628C8" w:rsidRDefault="00B628C8">
            <w:pPr>
              <w:pStyle w:val="TableParagraph"/>
              <w:ind w:left="0"/>
              <w:jc w:val="center"/>
              <w:rPr>
                <w:b/>
                <w:lang w:val="en-US"/>
              </w:rPr>
            </w:pPr>
            <w:r>
              <w:rPr>
                <w:b/>
                <w:lang w:val="en-US"/>
              </w:rPr>
              <w:t>Enzalutamid som</w:t>
            </w:r>
          </w:p>
          <w:p w14:paraId="6F8B8306" w14:textId="77777777" w:rsidR="00B628C8" w:rsidRDefault="00B628C8">
            <w:pPr>
              <w:pStyle w:val="TableParagraph"/>
              <w:ind w:left="0"/>
              <w:jc w:val="center"/>
              <w:rPr>
                <w:b/>
                <w:lang w:val="en-US"/>
              </w:rPr>
            </w:pPr>
            <w:r>
              <w:rPr>
                <w:b/>
                <w:lang w:val="en-US"/>
              </w:rPr>
              <w:t xml:space="preserve">monoterapi </w:t>
            </w:r>
          </w:p>
          <w:p w14:paraId="562E743D" w14:textId="77777777" w:rsidR="00B628C8" w:rsidRDefault="00B628C8">
            <w:pPr>
              <w:pStyle w:val="TableParagraph"/>
              <w:ind w:left="0"/>
              <w:jc w:val="center"/>
              <w:rPr>
                <w:b/>
                <w:lang w:val="en-US"/>
              </w:rPr>
            </w:pPr>
            <w:r>
              <w:rPr>
                <w:b/>
                <w:lang w:val="en-US"/>
              </w:rPr>
              <w:t>(N = 355)</w:t>
            </w:r>
          </w:p>
        </w:tc>
      </w:tr>
      <w:tr w:rsidR="00B628C8" w14:paraId="18A0C6E5" w14:textId="77777777" w:rsidTr="00B628C8">
        <w:trPr>
          <w:trHeight w:val="261"/>
        </w:trPr>
        <w:tc>
          <w:tcPr>
            <w:tcW w:w="4604" w:type="dxa"/>
            <w:gridSpan w:val="2"/>
            <w:tcBorders>
              <w:top w:val="single" w:sz="4" w:space="0" w:color="000000"/>
              <w:left w:val="single" w:sz="4" w:space="0" w:color="000000"/>
              <w:bottom w:val="single" w:sz="4" w:space="0" w:color="000000"/>
              <w:right w:val="single" w:sz="4" w:space="0" w:color="000000"/>
            </w:tcBorders>
            <w:hideMark/>
          </w:tcPr>
          <w:p w14:paraId="3B78C208" w14:textId="77777777" w:rsidR="00B628C8" w:rsidRDefault="00B628C8">
            <w:pPr>
              <w:pStyle w:val="TableParagraph"/>
              <w:ind w:left="0"/>
              <w:rPr>
                <w:b/>
                <w:sz w:val="14"/>
                <w:lang w:val="en-US"/>
              </w:rPr>
            </w:pPr>
            <w:r>
              <w:rPr>
                <w:b/>
                <w:lang w:val="en-US"/>
              </w:rPr>
              <w:t>Metastasefri overlevelse</w:t>
            </w:r>
            <w:r>
              <w:rPr>
                <w:b/>
                <w:position w:val="8"/>
                <w:sz w:val="14"/>
                <w:lang w:val="en-US"/>
              </w:rPr>
              <w:t>1</w:t>
            </w:r>
          </w:p>
        </w:tc>
        <w:tc>
          <w:tcPr>
            <w:tcW w:w="4605" w:type="dxa"/>
            <w:gridSpan w:val="2"/>
            <w:tcBorders>
              <w:top w:val="single" w:sz="4" w:space="0" w:color="000000"/>
              <w:left w:val="single" w:sz="4" w:space="0" w:color="000000"/>
              <w:bottom w:val="single" w:sz="4" w:space="0" w:color="000000"/>
              <w:right w:val="single" w:sz="4" w:space="0" w:color="000000"/>
            </w:tcBorders>
          </w:tcPr>
          <w:p w14:paraId="22B86FAB" w14:textId="77777777" w:rsidR="00B628C8" w:rsidRDefault="00B628C8">
            <w:pPr>
              <w:pStyle w:val="TableParagraph"/>
              <w:ind w:left="0"/>
              <w:rPr>
                <w:sz w:val="18"/>
                <w:lang w:val="en-US"/>
              </w:rPr>
            </w:pPr>
          </w:p>
        </w:tc>
      </w:tr>
      <w:tr w:rsidR="00B628C8" w14:paraId="1D973154" w14:textId="77777777" w:rsidTr="00B628C8">
        <w:trPr>
          <w:trHeight w:val="258"/>
        </w:trPr>
        <w:tc>
          <w:tcPr>
            <w:tcW w:w="2302" w:type="dxa"/>
            <w:tcBorders>
              <w:top w:val="single" w:sz="4" w:space="0" w:color="000000"/>
              <w:left w:val="single" w:sz="4" w:space="0" w:color="000000"/>
              <w:bottom w:val="single" w:sz="4" w:space="0" w:color="000000"/>
              <w:right w:val="single" w:sz="4" w:space="0" w:color="000000"/>
            </w:tcBorders>
            <w:hideMark/>
          </w:tcPr>
          <w:p w14:paraId="6AFAF583" w14:textId="77777777" w:rsidR="00B628C8" w:rsidRDefault="00B628C8">
            <w:pPr>
              <w:pStyle w:val="TableParagraph"/>
              <w:ind w:left="0"/>
              <w:rPr>
                <w:i/>
                <w:lang w:val="en-US"/>
              </w:rPr>
            </w:pPr>
            <w:r>
              <w:rPr>
                <w:lang w:val="en-US"/>
              </w:rPr>
              <w:t>Antal hændelser (%)</w:t>
            </w:r>
            <w:r>
              <w:rPr>
                <w:i/>
                <w:vertAlign w:val="superscript"/>
                <w:lang w:val="en-US"/>
              </w:rPr>
              <w:t>2</w:t>
            </w:r>
          </w:p>
        </w:tc>
        <w:tc>
          <w:tcPr>
            <w:tcW w:w="2302" w:type="dxa"/>
            <w:tcBorders>
              <w:top w:val="single" w:sz="4" w:space="0" w:color="000000"/>
              <w:left w:val="single" w:sz="4" w:space="0" w:color="000000"/>
              <w:bottom w:val="single" w:sz="4" w:space="0" w:color="000000"/>
              <w:right w:val="single" w:sz="4" w:space="0" w:color="000000"/>
            </w:tcBorders>
            <w:hideMark/>
          </w:tcPr>
          <w:p w14:paraId="38A996E1" w14:textId="77777777" w:rsidR="00B628C8" w:rsidRDefault="00B628C8">
            <w:pPr>
              <w:pStyle w:val="TableParagraph"/>
              <w:ind w:left="0"/>
              <w:jc w:val="center"/>
              <w:rPr>
                <w:lang w:val="en-US"/>
              </w:rPr>
            </w:pPr>
            <w:r>
              <w:rPr>
                <w:lang w:val="en-US"/>
              </w:rPr>
              <w:t>45 (12,7)</w:t>
            </w:r>
          </w:p>
        </w:tc>
        <w:tc>
          <w:tcPr>
            <w:tcW w:w="2302" w:type="dxa"/>
            <w:tcBorders>
              <w:top w:val="single" w:sz="4" w:space="0" w:color="000000"/>
              <w:left w:val="single" w:sz="4" w:space="0" w:color="000000"/>
              <w:bottom w:val="single" w:sz="4" w:space="0" w:color="000000"/>
              <w:right w:val="single" w:sz="4" w:space="0" w:color="000000"/>
            </w:tcBorders>
            <w:hideMark/>
          </w:tcPr>
          <w:p w14:paraId="5D0E0BFB" w14:textId="77777777" w:rsidR="00B628C8" w:rsidRDefault="00B628C8">
            <w:pPr>
              <w:pStyle w:val="TableParagraph"/>
              <w:ind w:left="0"/>
              <w:jc w:val="center"/>
              <w:rPr>
                <w:lang w:val="en-US"/>
              </w:rPr>
            </w:pPr>
            <w:r>
              <w:rPr>
                <w:lang w:val="en-US"/>
              </w:rPr>
              <w:t>92 (25,7)</w:t>
            </w:r>
          </w:p>
        </w:tc>
        <w:tc>
          <w:tcPr>
            <w:tcW w:w="2303" w:type="dxa"/>
            <w:tcBorders>
              <w:top w:val="single" w:sz="4" w:space="0" w:color="000000"/>
              <w:left w:val="single" w:sz="4" w:space="0" w:color="000000"/>
              <w:bottom w:val="single" w:sz="4" w:space="0" w:color="000000"/>
              <w:right w:val="single" w:sz="4" w:space="0" w:color="000000"/>
            </w:tcBorders>
            <w:hideMark/>
          </w:tcPr>
          <w:p w14:paraId="7EEE78A4" w14:textId="77777777" w:rsidR="00B628C8" w:rsidRDefault="00B628C8">
            <w:pPr>
              <w:pStyle w:val="TableParagraph"/>
              <w:ind w:left="0"/>
              <w:jc w:val="center"/>
              <w:rPr>
                <w:lang w:val="en-US"/>
              </w:rPr>
            </w:pPr>
            <w:r>
              <w:rPr>
                <w:lang w:val="en-US"/>
              </w:rPr>
              <w:t>63 (17,7)</w:t>
            </w:r>
          </w:p>
        </w:tc>
      </w:tr>
      <w:tr w:rsidR="00B628C8" w14:paraId="5E769D1D" w14:textId="77777777" w:rsidTr="00B628C8">
        <w:trPr>
          <w:trHeight w:val="520"/>
        </w:trPr>
        <w:tc>
          <w:tcPr>
            <w:tcW w:w="2302" w:type="dxa"/>
            <w:tcBorders>
              <w:top w:val="single" w:sz="4" w:space="0" w:color="000000"/>
              <w:left w:val="single" w:sz="4" w:space="0" w:color="000000"/>
              <w:bottom w:val="single" w:sz="4" w:space="0" w:color="000000"/>
              <w:right w:val="single" w:sz="4" w:space="0" w:color="000000"/>
            </w:tcBorders>
            <w:hideMark/>
          </w:tcPr>
          <w:p w14:paraId="4C4C1FD5" w14:textId="77777777" w:rsidR="00B628C8" w:rsidRDefault="00B628C8">
            <w:pPr>
              <w:pStyle w:val="TableParagraph"/>
              <w:ind w:left="0"/>
              <w:rPr>
                <w:lang w:val="en-US"/>
              </w:rPr>
            </w:pPr>
            <w:r>
              <w:rPr>
                <w:lang w:val="en-US"/>
              </w:rPr>
              <w:t>Median, måneder (95 %</w:t>
            </w:r>
          </w:p>
          <w:p w14:paraId="1F6E10B0" w14:textId="77777777" w:rsidR="00B628C8" w:rsidRDefault="00B628C8">
            <w:pPr>
              <w:pStyle w:val="TableParagraph"/>
              <w:ind w:left="0"/>
              <w:rPr>
                <w:i/>
                <w:lang w:val="en-US"/>
              </w:rPr>
            </w:pPr>
            <w:r>
              <w:rPr>
                <w:lang w:val="en-US"/>
              </w:rPr>
              <w:t>CI)</w:t>
            </w:r>
            <w:r>
              <w:rPr>
                <w:i/>
                <w:vertAlign w:val="superscript"/>
                <w:lang w:val="en-US"/>
              </w:rPr>
              <w:t>3</w:t>
            </w:r>
          </w:p>
        </w:tc>
        <w:tc>
          <w:tcPr>
            <w:tcW w:w="2302" w:type="dxa"/>
            <w:tcBorders>
              <w:top w:val="single" w:sz="4" w:space="0" w:color="000000"/>
              <w:left w:val="single" w:sz="4" w:space="0" w:color="000000"/>
              <w:bottom w:val="single" w:sz="4" w:space="0" w:color="000000"/>
              <w:right w:val="single" w:sz="4" w:space="0" w:color="000000"/>
            </w:tcBorders>
            <w:hideMark/>
          </w:tcPr>
          <w:p w14:paraId="5C82EF66" w14:textId="77777777" w:rsidR="00B628C8" w:rsidRDefault="00B628C8">
            <w:pPr>
              <w:pStyle w:val="TableParagraph"/>
              <w:ind w:left="0"/>
              <w:jc w:val="center"/>
              <w:rPr>
                <w:lang w:val="en-US"/>
              </w:rPr>
            </w:pPr>
            <w:r>
              <w:rPr>
                <w:lang w:val="en-US"/>
              </w:rPr>
              <w:t>NR (NR, NR)</w:t>
            </w:r>
          </w:p>
        </w:tc>
        <w:tc>
          <w:tcPr>
            <w:tcW w:w="2302" w:type="dxa"/>
            <w:tcBorders>
              <w:top w:val="single" w:sz="4" w:space="0" w:color="000000"/>
              <w:left w:val="single" w:sz="4" w:space="0" w:color="000000"/>
              <w:bottom w:val="single" w:sz="4" w:space="0" w:color="000000"/>
              <w:right w:val="single" w:sz="4" w:space="0" w:color="000000"/>
            </w:tcBorders>
            <w:hideMark/>
          </w:tcPr>
          <w:p w14:paraId="2627167D" w14:textId="77777777" w:rsidR="00B628C8" w:rsidRDefault="00B628C8">
            <w:pPr>
              <w:pStyle w:val="TableParagraph"/>
              <w:ind w:left="0"/>
              <w:jc w:val="center"/>
              <w:rPr>
                <w:lang w:val="en-US"/>
              </w:rPr>
            </w:pPr>
            <w:r>
              <w:rPr>
                <w:lang w:val="en-US"/>
              </w:rPr>
              <w:t>NR (85,1; NR)</w:t>
            </w:r>
          </w:p>
        </w:tc>
        <w:tc>
          <w:tcPr>
            <w:tcW w:w="2303" w:type="dxa"/>
            <w:tcBorders>
              <w:top w:val="single" w:sz="4" w:space="0" w:color="000000"/>
              <w:left w:val="single" w:sz="4" w:space="0" w:color="000000"/>
              <w:bottom w:val="single" w:sz="4" w:space="0" w:color="000000"/>
              <w:right w:val="single" w:sz="4" w:space="0" w:color="000000"/>
            </w:tcBorders>
            <w:hideMark/>
          </w:tcPr>
          <w:p w14:paraId="44968B9B" w14:textId="77777777" w:rsidR="00B628C8" w:rsidRDefault="00B628C8">
            <w:pPr>
              <w:pStyle w:val="TableParagraph"/>
              <w:ind w:left="0"/>
              <w:jc w:val="center"/>
              <w:rPr>
                <w:lang w:val="en-US"/>
              </w:rPr>
            </w:pPr>
            <w:r>
              <w:rPr>
                <w:lang w:val="en-US"/>
              </w:rPr>
              <w:t>NR (NR, NR)</w:t>
            </w:r>
          </w:p>
        </w:tc>
      </w:tr>
      <w:tr w:rsidR="00B628C8" w14:paraId="7F0249A9" w14:textId="77777777" w:rsidTr="00B628C8">
        <w:trPr>
          <w:trHeight w:val="779"/>
        </w:trPr>
        <w:tc>
          <w:tcPr>
            <w:tcW w:w="2302" w:type="dxa"/>
            <w:tcBorders>
              <w:top w:val="single" w:sz="4" w:space="0" w:color="000000"/>
              <w:left w:val="single" w:sz="4" w:space="0" w:color="000000"/>
              <w:bottom w:val="single" w:sz="4" w:space="0" w:color="000000"/>
              <w:right w:val="single" w:sz="4" w:space="0" w:color="000000"/>
            </w:tcBorders>
            <w:hideMark/>
          </w:tcPr>
          <w:p w14:paraId="07763948" w14:textId="77777777" w:rsidR="00B628C8" w:rsidRPr="00B628C8" w:rsidRDefault="00B628C8">
            <w:pPr>
              <w:pStyle w:val="TableParagraph"/>
              <w:ind w:left="0"/>
            </w:pPr>
            <w:r w:rsidRPr="00B628C8">
              <w:rPr>
                <w:i/>
              </w:rPr>
              <w:t xml:space="preserve">Hazard </w:t>
            </w:r>
            <w:r w:rsidRPr="00B628C8">
              <w:rPr>
                <w:i/>
                <w:iCs/>
              </w:rPr>
              <w:t>ratio</w:t>
            </w:r>
            <w:r w:rsidRPr="00B628C8">
              <w:t xml:space="preserve"> i forhold til</w:t>
            </w:r>
          </w:p>
          <w:p w14:paraId="5D80272B" w14:textId="77777777" w:rsidR="00B628C8" w:rsidRPr="00B628C8" w:rsidRDefault="00B628C8">
            <w:pPr>
              <w:pStyle w:val="TableParagraph"/>
              <w:ind w:left="0"/>
              <w:rPr>
                <w:i/>
              </w:rPr>
            </w:pPr>
            <w:r w:rsidRPr="00B628C8">
              <w:t>placebo plus ADT (95 % CI)</w:t>
            </w:r>
            <w:r w:rsidRPr="00B628C8">
              <w:rPr>
                <w:i/>
                <w:vertAlign w:val="superscript"/>
              </w:rPr>
              <w:t>4</w:t>
            </w:r>
          </w:p>
        </w:tc>
        <w:tc>
          <w:tcPr>
            <w:tcW w:w="2302" w:type="dxa"/>
            <w:tcBorders>
              <w:top w:val="single" w:sz="4" w:space="0" w:color="000000"/>
              <w:left w:val="single" w:sz="4" w:space="0" w:color="000000"/>
              <w:bottom w:val="single" w:sz="4" w:space="0" w:color="000000"/>
              <w:right w:val="single" w:sz="4" w:space="0" w:color="000000"/>
            </w:tcBorders>
          </w:tcPr>
          <w:p w14:paraId="186B7650" w14:textId="77777777" w:rsidR="00B628C8" w:rsidRPr="00B628C8" w:rsidRDefault="00B628C8">
            <w:pPr>
              <w:pStyle w:val="TableParagraph"/>
              <w:ind w:left="0"/>
              <w:rPr>
                <w:b/>
                <w:sz w:val="23"/>
              </w:rPr>
            </w:pPr>
          </w:p>
          <w:p w14:paraId="6DA69ECC" w14:textId="77777777" w:rsidR="00B628C8" w:rsidRDefault="00B628C8">
            <w:pPr>
              <w:pStyle w:val="TableParagraph"/>
              <w:ind w:left="0"/>
              <w:jc w:val="center"/>
              <w:rPr>
                <w:lang w:val="en-US"/>
              </w:rPr>
            </w:pPr>
            <w:r>
              <w:rPr>
                <w:lang w:val="en-US"/>
              </w:rPr>
              <w:t>0,42 (0,30; 0,61)</w:t>
            </w:r>
          </w:p>
        </w:tc>
        <w:tc>
          <w:tcPr>
            <w:tcW w:w="2302" w:type="dxa"/>
            <w:tcBorders>
              <w:top w:val="single" w:sz="4" w:space="0" w:color="000000"/>
              <w:left w:val="single" w:sz="4" w:space="0" w:color="000000"/>
              <w:bottom w:val="single" w:sz="4" w:space="0" w:color="000000"/>
              <w:right w:val="single" w:sz="4" w:space="0" w:color="000000"/>
            </w:tcBorders>
          </w:tcPr>
          <w:p w14:paraId="2C26D9BE" w14:textId="77777777" w:rsidR="00B628C8" w:rsidRDefault="00B628C8">
            <w:pPr>
              <w:pStyle w:val="TableParagraph"/>
              <w:ind w:left="0"/>
              <w:rPr>
                <w:b/>
                <w:sz w:val="23"/>
                <w:lang w:val="en-US"/>
              </w:rPr>
            </w:pPr>
          </w:p>
          <w:p w14:paraId="697C1B92" w14:textId="77777777" w:rsidR="00B628C8" w:rsidRDefault="00B628C8">
            <w:pPr>
              <w:pStyle w:val="TableParagraph"/>
              <w:ind w:left="0"/>
              <w:jc w:val="center"/>
              <w:rPr>
                <w:lang w:val="en-US"/>
              </w:rPr>
            </w:pPr>
            <w:r>
              <w:rPr>
                <w:lang w:val="en-US"/>
              </w:rPr>
              <w:t>--</w:t>
            </w:r>
          </w:p>
        </w:tc>
        <w:tc>
          <w:tcPr>
            <w:tcW w:w="2303" w:type="dxa"/>
            <w:tcBorders>
              <w:top w:val="single" w:sz="4" w:space="0" w:color="000000"/>
              <w:left w:val="single" w:sz="4" w:space="0" w:color="000000"/>
              <w:bottom w:val="single" w:sz="4" w:space="0" w:color="000000"/>
              <w:right w:val="single" w:sz="4" w:space="0" w:color="000000"/>
            </w:tcBorders>
          </w:tcPr>
          <w:p w14:paraId="593AB02A" w14:textId="77777777" w:rsidR="00B628C8" w:rsidRDefault="00B628C8">
            <w:pPr>
              <w:pStyle w:val="TableParagraph"/>
              <w:ind w:left="0"/>
              <w:rPr>
                <w:b/>
                <w:sz w:val="23"/>
                <w:lang w:val="en-US"/>
              </w:rPr>
            </w:pPr>
          </w:p>
          <w:p w14:paraId="3B852C53" w14:textId="77777777" w:rsidR="00B628C8" w:rsidRDefault="00B628C8">
            <w:pPr>
              <w:pStyle w:val="TableParagraph"/>
              <w:ind w:left="0"/>
              <w:jc w:val="center"/>
              <w:rPr>
                <w:lang w:val="en-US"/>
              </w:rPr>
            </w:pPr>
            <w:r>
              <w:rPr>
                <w:lang w:val="en-US"/>
              </w:rPr>
              <w:t>0,63 (0,46; 0,87)</w:t>
            </w:r>
          </w:p>
        </w:tc>
      </w:tr>
      <w:tr w:rsidR="00B628C8" w14:paraId="4679DCFD" w14:textId="77777777" w:rsidTr="00B628C8">
        <w:trPr>
          <w:trHeight w:val="520"/>
        </w:trPr>
        <w:tc>
          <w:tcPr>
            <w:tcW w:w="2302" w:type="dxa"/>
            <w:tcBorders>
              <w:top w:val="single" w:sz="4" w:space="0" w:color="000000"/>
              <w:left w:val="single" w:sz="4" w:space="0" w:color="000000"/>
              <w:bottom w:val="single" w:sz="4" w:space="0" w:color="000000"/>
              <w:right w:val="single" w:sz="4" w:space="0" w:color="000000"/>
            </w:tcBorders>
            <w:hideMark/>
          </w:tcPr>
          <w:p w14:paraId="15D0CC9C" w14:textId="77777777" w:rsidR="00B628C8" w:rsidRPr="00B628C8" w:rsidRDefault="00B628C8">
            <w:pPr>
              <w:pStyle w:val="TableParagraph"/>
              <w:ind w:left="0"/>
            </w:pPr>
            <w:r w:rsidRPr="00B628C8">
              <w:t>P-værdi til sammenligning</w:t>
            </w:r>
          </w:p>
          <w:p w14:paraId="06464C06" w14:textId="77777777" w:rsidR="00B628C8" w:rsidRPr="00B628C8" w:rsidRDefault="00B628C8">
            <w:pPr>
              <w:pStyle w:val="TableParagraph"/>
              <w:ind w:left="0"/>
              <w:rPr>
                <w:i/>
              </w:rPr>
            </w:pPr>
            <w:r w:rsidRPr="00B628C8">
              <w:t>med placebo plus ADT</w:t>
            </w:r>
            <w:r w:rsidRPr="00B628C8">
              <w:rPr>
                <w:i/>
                <w:vertAlign w:val="superscript"/>
              </w:rPr>
              <w:t>5</w:t>
            </w:r>
          </w:p>
        </w:tc>
        <w:tc>
          <w:tcPr>
            <w:tcW w:w="2302" w:type="dxa"/>
            <w:tcBorders>
              <w:top w:val="single" w:sz="4" w:space="0" w:color="000000"/>
              <w:left w:val="single" w:sz="4" w:space="0" w:color="000000"/>
              <w:bottom w:val="single" w:sz="4" w:space="0" w:color="000000"/>
              <w:right w:val="single" w:sz="4" w:space="0" w:color="000000"/>
            </w:tcBorders>
            <w:hideMark/>
          </w:tcPr>
          <w:p w14:paraId="51DF435E" w14:textId="77777777" w:rsidR="00B628C8" w:rsidRDefault="00B628C8">
            <w:pPr>
              <w:pStyle w:val="TableParagraph"/>
              <w:ind w:left="0"/>
              <w:jc w:val="center"/>
              <w:rPr>
                <w:lang w:val="en-US"/>
              </w:rPr>
            </w:pPr>
            <w:r>
              <w:rPr>
                <w:lang w:val="en-US"/>
              </w:rPr>
              <w:t>p &lt; 0,0001</w:t>
            </w:r>
          </w:p>
        </w:tc>
        <w:tc>
          <w:tcPr>
            <w:tcW w:w="2302" w:type="dxa"/>
            <w:tcBorders>
              <w:top w:val="single" w:sz="4" w:space="0" w:color="000000"/>
              <w:left w:val="single" w:sz="4" w:space="0" w:color="000000"/>
              <w:bottom w:val="single" w:sz="4" w:space="0" w:color="000000"/>
              <w:right w:val="single" w:sz="4" w:space="0" w:color="000000"/>
            </w:tcBorders>
            <w:hideMark/>
          </w:tcPr>
          <w:p w14:paraId="7D284808" w14:textId="77777777" w:rsidR="00B628C8" w:rsidRDefault="00B628C8">
            <w:pPr>
              <w:pStyle w:val="TableParagraph"/>
              <w:ind w:left="0"/>
              <w:jc w:val="center"/>
              <w:rPr>
                <w:lang w:val="en-US"/>
              </w:rPr>
            </w:pPr>
            <w:r>
              <w:rPr>
                <w:lang w:val="en-US"/>
              </w:rPr>
              <w:t>--</w:t>
            </w:r>
          </w:p>
        </w:tc>
        <w:tc>
          <w:tcPr>
            <w:tcW w:w="2303" w:type="dxa"/>
            <w:tcBorders>
              <w:top w:val="single" w:sz="4" w:space="0" w:color="000000"/>
              <w:left w:val="single" w:sz="4" w:space="0" w:color="000000"/>
              <w:bottom w:val="single" w:sz="4" w:space="0" w:color="000000"/>
              <w:right w:val="single" w:sz="4" w:space="0" w:color="000000"/>
            </w:tcBorders>
            <w:hideMark/>
          </w:tcPr>
          <w:p w14:paraId="0D6067C6" w14:textId="77777777" w:rsidR="00B628C8" w:rsidRDefault="00B628C8">
            <w:pPr>
              <w:pStyle w:val="TableParagraph"/>
              <w:ind w:left="0"/>
              <w:jc w:val="center"/>
              <w:rPr>
                <w:lang w:val="en-US"/>
              </w:rPr>
            </w:pPr>
            <w:r>
              <w:rPr>
                <w:lang w:val="en-US"/>
              </w:rPr>
              <w:t>p = 0,0049</w:t>
            </w:r>
          </w:p>
        </w:tc>
      </w:tr>
      <w:tr w:rsidR="00B628C8" w14:paraId="75B1D569" w14:textId="77777777" w:rsidTr="00B628C8">
        <w:trPr>
          <w:trHeight w:val="261"/>
        </w:trPr>
        <w:tc>
          <w:tcPr>
            <w:tcW w:w="9209" w:type="dxa"/>
            <w:gridSpan w:val="4"/>
            <w:tcBorders>
              <w:top w:val="single" w:sz="4" w:space="0" w:color="000000"/>
              <w:left w:val="single" w:sz="4" w:space="0" w:color="000000"/>
              <w:bottom w:val="single" w:sz="4" w:space="0" w:color="000000"/>
              <w:right w:val="single" w:sz="4" w:space="0" w:color="000000"/>
            </w:tcBorders>
            <w:hideMark/>
          </w:tcPr>
          <w:p w14:paraId="4C1FA961" w14:textId="77777777" w:rsidR="00B628C8" w:rsidRDefault="00B628C8">
            <w:pPr>
              <w:pStyle w:val="TableParagraph"/>
              <w:ind w:left="0"/>
              <w:rPr>
                <w:b/>
                <w:sz w:val="14"/>
                <w:lang w:val="en-US"/>
              </w:rPr>
            </w:pPr>
            <w:r>
              <w:rPr>
                <w:b/>
                <w:lang w:val="en-US"/>
              </w:rPr>
              <w:t>Tid til PSA-progression</w:t>
            </w:r>
            <w:r>
              <w:rPr>
                <w:b/>
                <w:position w:val="8"/>
                <w:sz w:val="14"/>
                <w:lang w:val="en-US"/>
              </w:rPr>
              <w:t>6</w:t>
            </w:r>
          </w:p>
        </w:tc>
      </w:tr>
      <w:tr w:rsidR="00B628C8" w14:paraId="4A9364DE" w14:textId="77777777" w:rsidTr="00B628C8">
        <w:trPr>
          <w:trHeight w:val="258"/>
        </w:trPr>
        <w:tc>
          <w:tcPr>
            <w:tcW w:w="2302" w:type="dxa"/>
            <w:tcBorders>
              <w:top w:val="single" w:sz="4" w:space="0" w:color="000000"/>
              <w:left w:val="single" w:sz="4" w:space="0" w:color="000000"/>
              <w:bottom w:val="single" w:sz="4" w:space="0" w:color="000000"/>
              <w:right w:val="single" w:sz="4" w:space="0" w:color="000000"/>
            </w:tcBorders>
            <w:hideMark/>
          </w:tcPr>
          <w:p w14:paraId="425521EB" w14:textId="77777777" w:rsidR="00B628C8" w:rsidRDefault="00B628C8">
            <w:pPr>
              <w:pStyle w:val="TableParagraph"/>
              <w:ind w:left="0"/>
              <w:rPr>
                <w:i/>
                <w:lang w:val="en-US"/>
              </w:rPr>
            </w:pPr>
            <w:r>
              <w:rPr>
                <w:lang w:val="en-US"/>
              </w:rPr>
              <w:t>Antal hændelser (%)</w:t>
            </w:r>
            <w:r>
              <w:rPr>
                <w:i/>
                <w:vertAlign w:val="superscript"/>
                <w:lang w:val="en-US"/>
              </w:rPr>
              <w:t>2</w:t>
            </w:r>
          </w:p>
        </w:tc>
        <w:tc>
          <w:tcPr>
            <w:tcW w:w="2302" w:type="dxa"/>
            <w:tcBorders>
              <w:top w:val="single" w:sz="4" w:space="0" w:color="000000"/>
              <w:left w:val="single" w:sz="4" w:space="0" w:color="000000"/>
              <w:bottom w:val="single" w:sz="4" w:space="0" w:color="000000"/>
              <w:right w:val="single" w:sz="4" w:space="0" w:color="000000"/>
            </w:tcBorders>
            <w:hideMark/>
          </w:tcPr>
          <w:p w14:paraId="5703091D" w14:textId="77777777" w:rsidR="00B628C8" w:rsidRDefault="00B628C8">
            <w:pPr>
              <w:pStyle w:val="TableParagraph"/>
              <w:ind w:left="0"/>
              <w:jc w:val="center"/>
              <w:rPr>
                <w:lang w:val="en-US"/>
              </w:rPr>
            </w:pPr>
            <w:r>
              <w:rPr>
                <w:lang w:val="en-US"/>
              </w:rPr>
              <w:t>8 (2,3)</w:t>
            </w:r>
          </w:p>
        </w:tc>
        <w:tc>
          <w:tcPr>
            <w:tcW w:w="2302" w:type="dxa"/>
            <w:tcBorders>
              <w:top w:val="single" w:sz="4" w:space="0" w:color="000000"/>
              <w:left w:val="single" w:sz="4" w:space="0" w:color="000000"/>
              <w:bottom w:val="single" w:sz="4" w:space="0" w:color="000000"/>
              <w:right w:val="single" w:sz="4" w:space="0" w:color="000000"/>
            </w:tcBorders>
            <w:hideMark/>
          </w:tcPr>
          <w:p w14:paraId="2A818816" w14:textId="77777777" w:rsidR="00B628C8" w:rsidRDefault="00B628C8">
            <w:pPr>
              <w:pStyle w:val="TableParagraph"/>
              <w:ind w:left="0"/>
              <w:jc w:val="center"/>
              <w:rPr>
                <w:lang w:val="en-US"/>
              </w:rPr>
            </w:pPr>
            <w:r>
              <w:rPr>
                <w:lang w:val="en-US"/>
              </w:rPr>
              <w:t>93 (26,0)</w:t>
            </w:r>
          </w:p>
        </w:tc>
        <w:tc>
          <w:tcPr>
            <w:tcW w:w="2303" w:type="dxa"/>
            <w:tcBorders>
              <w:top w:val="single" w:sz="4" w:space="0" w:color="000000"/>
              <w:left w:val="single" w:sz="4" w:space="0" w:color="000000"/>
              <w:bottom w:val="single" w:sz="4" w:space="0" w:color="000000"/>
              <w:right w:val="single" w:sz="4" w:space="0" w:color="000000"/>
            </w:tcBorders>
            <w:hideMark/>
          </w:tcPr>
          <w:p w14:paraId="464E72B5" w14:textId="77777777" w:rsidR="00B628C8" w:rsidRDefault="00B628C8">
            <w:pPr>
              <w:pStyle w:val="TableParagraph"/>
              <w:ind w:left="0"/>
              <w:jc w:val="center"/>
              <w:rPr>
                <w:lang w:val="en-US"/>
              </w:rPr>
            </w:pPr>
            <w:r>
              <w:rPr>
                <w:lang w:val="en-US"/>
              </w:rPr>
              <w:t>37 (10,4)</w:t>
            </w:r>
          </w:p>
        </w:tc>
      </w:tr>
      <w:tr w:rsidR="00B628C8" w14:paraId="3F7C04B7" w14:textId="77777777" w:rsidTr="00B628C8">
        <w:trPr>
          <w:trHeight w:val="520"/>
        </w:trPr>
        <w:tc>
          <w:tcPr>
            <w:tcW w:w="2302" w:type="dxa"/>
            <w:tcBorders>
              <w:top w:val="single" w:sz="4" w:space="0" w:color="000000"/>
              <w:left w:val="single" w:sz="4" w:space="0" w:color="000000"/>
              <w:bottom w:val="single" w:sz="4" w:space="0" w:color="000000"/>
              <w:right w:val="single" w:sz="4" w:space="0" w:color="000000"/>
            </w:tcBorders>
            <w:hideMark/>
          </w:tcPr>
          <w:p w14:paraId="13916DB2" w14:textId="77777777" w:rsidR="00B628C8" w:rsidRDefault="00B628C8">
            <w:pPr>
              <w:pStyle w:val="TableParagraph"/>
              <w:ind w:left="0"/>
              <w:rPr>
                <w:lang w:val="en-US"/>
              </w:rPr>
            </w:pPr>
            <w:r>
              <w:rPr>
                <w:lang w:val="en-US"/>
              </w:rPr>
              <w:t>Median, måneder (95 %</w:t>
            </w:r>
          </w:p>
          <w:p w14:paraId="4D29FF5C" w14:textId="77777777" w:rsidR="00B628C8" w:rsidRDefault="00B628C8">
            <w:pPr>
              <w:pStyle w:val="TableParagraph"/>
              <w:ind w:left="0"/>
              <w:rPr>
                <w:i/>
                <w:lang w:val="en-US"/>
              </w:rPr>
            </w:pPr>
            <w:r>
              <w:rPr>
                <w:lang w:val="en-US"/>
              </w:rPr>
              <w:t>CI)</w:t>
            </w:r>
            <w:r>
              <w:rPr>
                <w:i/>
                <w:vertAlign w:val="superscript"/>
                <w:lang w:val="en-US"/>
              </w:rPr>
              <w:t>3</w:t>
            </w:r>
          </w:p>
        </w:tc>
        <w:tc>
          <w:tcPr>
            <w:tcW w:w="2302" w:type="dxa"/>
            <w:tcBorders>
              <w:top w:val="single" w:sz="4" w:space="0" w:color="000000"/>
              <w:left w:val="single" w:sz="4" w:space="0" w:color="000000"/>
              <w:bottom w:val="single" w:sz="4" w:space="0" w:color="000000"/>
              <w:right w:val="single" w:sz="4" w:space="0" w:color="000000"/>
            </w:tcBorders>
            <w:hideMark/>
          </w:tcPr>
          <w:p w14:paraId="5F364104" w14:textId="77777777" w:rsidR="00B628C8" w:rsidRDefault="00B628C8">
            <w:pPr>
              <w:pStyle w:val="TableParagraph"/>
              <w:ind w:left="0"/>
              <w:jc w:val="center"/>
              <w:rPr>
                <w:lang w:val="en-US"/>
              </w:rPr>
            </w:pPr>
            <w:r>
              <w:rPr>
                <w:lang w:val="en-US"/>
              </w:rPr>
              <w:t>NR (NR, NR)</w:t>
            </w:r>
          </w:p>
        </w:tc>
        <w:tc>
          <w:tcPr>
            <w:tcW w:w="2302" w:type="dxa"/>
            <w:tcBorders>
              <w:top w:val="single" w:sz="4" w:space="0" w:color="000000"/>
              <w:left w:val="single" w:sz="4" w:space="0" w:color="000000"/>
              <w:bottom w:val="single" w:sz="4" w:space="0" w:color="000000"/>
              <w:right w:val="single" w:sz="4" w:space="0" w:color="000000"/>
            </w:tcBorders>
            <w:hideMark/>
          </w:tcPr>
          <w:p w14:paraId="3F691311" w14:textId="77777777" w:rsidR="00B628C8" w:rsidRDefault="00B628C8">
            <w:pPr>
              <w:pStyle w:val="TableParagraph"/>
              <w:ind w:left="0"/>
              <w:jc w:val="center"/>
              <w:rPr>
                <w:lang w:val="en-US"/>
              </w:rPr>
            </w:pPr>
            <w:r>
              <w:rPr>
                <w:lang w:val="en-US"/>
              </w:rPr>
              <w:t>NR (NR, NR)</w:t>
            </w:r>
          </w:p>
        </w:tc>
        <w:tc>
          <w:tcPr>
            <w:tcW w:w="2303" w:type="dxa"/>
            <w:tcBorders>
              <w:top w:val="single" w:sz="4" w:space="0" w:color="000000"/>
              <w:left w:val="single" w:sz="4" w:space="0" w:color="000000"/>
              <w:bottom w:val="single" w:sz="4" w:space="0" w:color="000000"/>
              <w:right w:val="single" w:sz="4" w:space="0" w:color="000000"/>
            </w:tcBorders>
            <w:hideMark/>
          </w:tcPr>
          <w:p w14:paraId="3D0D3A22" w14:textId="77777777" w:rsidR="00B628C8" w:rsidRDefault="00B628C8">
            <w:pPr>
              <w:pStyle w:val="TableParagraph"/>
              <w:ind w:left="0"/>
              <w:jc w:val="center"/>
              <w:rPr>
                <w:lang w:val="en-US"/>
              </w:rPr>
            </w:pPr>
            <w:r>
              <w:rPr>
                <w:lang w:val="en-US"/>
              </w:rPr>
              <w:t>NR (NR, NR)</w:t>
            </w:r>
          </w:p>
        </w:tc>
      </w:tr>
      <w:tr w:rsidR="00B628C8" w14:paraId="07070FEF" w14:textId="77777777" w:rsidTr="00B628C8">
        <w:trPr>
          <w:trHeight w:val="779"/>
        </w:trPr>
        <w:tc>
          <w:tcPr>
            <w:tcW w:w="2302" w:type="dxa"/>
            <w:tcBorders>
              <w:top w:val="single" w:sz="4" w:space="0" w:color="000000"/>
              <w:left w:val="single" w:sz="4" w:space="0" w:color="000000"/>
              <w:bottom w:val="single" w:sz="4" w:space="0" w:color="000000"/>
              <w:right w:val="single" w:sz="4" w:space="0" w:color="000000"/>
            </w:tcBorders>
            <w:hideMark/>
          </w:tcPr>
          <w:p w14:paraId="13CDBC92" w14:textId="77777777" w:rsidR="00B628C8" w:rsidRPr="00B628C8" w:rsidRDefault="00B628C8">
            <w:pPr>
              <w:pStyle w:val="TableParagraph"/>
              <w:ind w:left="0"/>
            </w:pPr>
            <w:r w:rsidRPr="00B628C8">
              <w:rPr>
                <w:i/>
              </w:rPr>
              <w:t xml:space="preserve">Hazard </w:t>
            </w:r>
            <w:r w:rsidRPr="00B628C8">
              <w:rPr>
                <w:i/>
                <w:iCs/>
              </w:rPr>
              <w:t>ratio</w:t>
            </w:r>
            <w:r w:rsidRPr="00B628C8">
              <w:t xml:space="preserve"> i forhold til placebo plus ADT (95 %</w:t>
            </w:r>
          </w:p>
          <w:p w14:paraId="56C7E994" w14:textId="77777777" w:rsidR="00B628C8" w:rsidRDefault="00B628C8">
            <w:pPr>
              <w:pStyle w:val="TableParagraph"/>
              <w:ind w:left="0"/>
              <w:rPr>
                <w:i/>
                <w:lang w:val="en-US"/>
              </w:rPr>
            </w:pPr>
            <w:r>
              <w:rPr>
                <w:lang w:val="en-US"/>
              </w:rPr>
              <w:t>CI)</w:t>
            </w:r>
            <w:r>
              <w:rPr>
                <w:i/>
                <w:vertAlign w:val="superscript"/>
                <w:lang w:val="en-US"/>
              </w:rPr>
              <w:t>4</w:t>
            </w:r>
          </w:p>
        </w:tc>
        <w:tc>
          <w:tcPr>
            <w:tcW w:w="2302" w:type="dxa"/>
            <w:tcBorders>
              <w:top w:val="single" w:sz="4" w:space="0" w:color="000000"/>
              <w:left w:val="single" w:sz="4" w:space="0" w:color="000000"/>
              <w:bottom w:val="single" w:sz="4" w:space="0" w:color="000000"/>
              <w:right w:val="single" w:sz="4" w:space="0" w:color="000000"/>
            </w:tcBorders>
          </w:tcPr>
          <w:p w14:paraId="4E58C9FA" w14:textId="77777777" w:rsidR="00B628C8" w:rsidRDefault="00B628C8">
            <w:pPr>
              <w:pStyle w:val="TableParagraph"/>
              <w:ind w:left="0"/>
              <w:rPr>
                <w:b/>
                <w:lang w:val="en-US"/>
              </w:rPr>
            </w:pPr>
          </w:p>
          <w:p w14:paraId="3F495549" w14:textId="77777777" w:rsidR="00B628C8" w:rsidRDefault="00B628C8">
            <w:pPr>
              <w:pStyle w:val="TableParagraph"/>
              <w:ind w:left="0"/>
              <w:jc w:val="center"/>
              <w:rPr>
                <w:lang w:val="en-US"/>
              </w:rPr>
            </w:pPr>
            <w:r>
              <w:rPr>
                <w:lang w:val="en-US"/>
              </w:rPr>
              <w:t>0,07 (0,03; 0,14)</w:t>
            </w:r>
          </w:p>
        </w:tc>
        <w:tc>
          <w:tcPr>
            <w:tcW w:w="2302" w:type="dxa"/>
            <w:tcBorders>
              <w:top w:val="single" w:sz="4" w:space="0" w:color="000000"/>
              <w:left w:val="single" w:sz="4" w:space="0" w:color="000000"/>
              <w:bottom w:val="single" w:sz="4" w:space="0" w:color="000000"/>
              <w:right w:val="single" w:sz="4" w:space="0" w:color="000000"/>
            </w:tcBorders>
          </w:tcPr>
          <w:p w14:paraId="7B59A6B6" w14:textId="77777777" w:rsidR="00B628C8" w:rsidRDefault="00B628C8">
            <w:pPr>
              <w:pStyle w:val="TableParagraph"/>
              <w:ind w:left="0"/>
              <w:rPr>
                <w:b/>
                <w:lang w:val="en-US"/>
              </w:rPr>
            </w:pPr>
          </w:p>
          <w:p w14:paraId="395D821D" w14:textId="77777777" w:rsidR="00B628C8" w:rsidRDefault="00B628C8">
            <w:pPr>
              <w:pStyle w:val="TableParagraph"/>
              <w:ind w:left="0"/>
              <w:jc w:val="center"/>
              <w:rPr>
                <w:lang w:val="en-US"/>
              </w:rPr>
            </w:pPr>
            <w:r>
              <w:rPr>
                <w:lang w:val="en-US"/>
              </w:rPr>
              <w:t>--</w:t>
            </w:r>
          </w:p>
        </w:tc>
        <w:tc>
          <w:tcPr>
            <w:tcW w:w="2303" w:type="dxa"/>
            <w:tcBorders>
              <w:top w:val="single" w:sz="4" w:space="0" w:color="000000"/>
              <w:left w:val="single" w:sz="4" w:space="0" w:color="000000"/>
              <w:bottom w:val="single" w:sz="4" w:space="0" w:color="000000"/>
              <w:right w:val="single" w:sz="4" w:space="0" w:color="000000"/>
            </w:tcBorders>
          </w:tcPr>
          <w:p w14:paraId="53555EE3" w14:textId="77777777" w:rsidR="00B628C8" w:rsidRDefault="00B628C8">
            <w:pPr>
              <w:pStyle w:val="TableParagraph"/>
              <w:ind w:left="0"/>
              <w:rPr>
                <w:b/>
                <w:lang w:val="en-US"/>
              </w:rPr>
            </w:pPr>
          </w:p>
          <w:p w14:paraId="0D2607D4" w14:textId="77777777" w:rsidR="00B628C8" w:rsidRDefault="00B628C8">
            <w:pPr>
              <w:pStyle w:val="TableParagraph"/>
              <w:ind w:left="0"/>
              <w:jc w:val="center"/>
              <w:rPr>
                <w:lang w:val="en-US"/>
              </w:rPr>
            </w:pPr>
            <w:r>
              <w:rPr>
                <w:lang w:val="en-US"/>
              </w:rPr>
              <w:t>0,33 (0,23; 0,49)</w:t>
            </w:r>
          </w:p>
        </w:tc>
      </w:tr>
      <w:tr w:rsidR="00B628C8" w14:paraId="16435931" w14:textId="77777777" w:rsidTr="00B628C8">
        <w:trPr>
          <w:trHeight w:val="520"/>
        </w:trPr>
        <w:tc>
          <w:tcPr>
            <w:tcW w:w="2302" w:type="dxa"/>
            <w:tcBorders>
              <w:top w:val="single" w:sz="4" w:space="0" w:color="000000"/>
              <w:left w:val="single" w:sz="4" w:space="0" w:color="000000"/>
              <w:bottom w:val="single" w:sz="4" w:space="0" w:color="000000"/>
              <w:right w:val="single" w:sz="4" w:space="0" w:color="000000"/>
            </w:tcBorders>
            <w:hideMark/>
          </w:tcPr>
          <w:p w14:paraId="34FAF4FA" w14:textId="77777777" w:rsidR="00B628C8" w:rsidRPr="00B628C8" w:rsidRDefault="00B628C8">
            <w:pPr>
              <w:pStyle w:val="TableParagraph"/>
              <w:ind w:left="0"/>
            </w:pPr>
            <w:r w:rsidRPr="00B628C8">
              <w:t>P-værdi til sammenligning</w:t>
            </w:r>
          </w:p>
          <w:p w14:paraId="1A94FAA8" w14:textId="77777777" w:rsidR="00B628C8" w:rsidRPr="00B628C8" w:rsidRDefault="00B628C8">
            <w:pPr>
              <w:pStyle w:val="TableParagraph"/>
              <w:ind w:left="0"/>
              <w:rPr>
                <w:i/>
              </w:rPr>
            </w:pPr>
            <w:r w:rsidRPr="00B628C8">
              <w:t>med placebo plus ADT</w:t>
            </w:r>
            <w:r w:rsidRPr="00B628C8">
              <w:rPr>
                <w:i/>
                <w:vertAlign w:val="superscript"/>
              </w:rPr>
              <w:t>5</w:t>
            </w:r>
          </w:p>
        </w:tc>
        <w:tc>
          <w:tcPr>
            <w:tcW w:w="2302" w:type="dxa"/>
            <w:tcBorders>
              <w:top w:val="single" w:sz="4" w:space="0" w:color="000000"/>
              <w:left w:val="single" w:sz="4" w:space="0" w:color="000000"/>
              <w:bottom w:val="single" w:sz="4" w:space="0" w:color="000000"/>
              <w:right w:val="single" w:sz="4" w:space="0" w:color="000000"/>
            </w:tcBorders>
            <w:hideMark/>
          </w:tcPr>
          <w:p w14:paraId="6060BEB8" w14:textId="77777777" w:rsidR="00B628C8" w:rsidRDefault="00B628C8">
            <w:pPr>
              <w:pStyle w:val="TableParagraph"/>
              <w:ind w:left="0"/>
              <w:jc w:val="center"/>
              <w:rPr>
                <w:lang w:val="en-US"/>
              </w:rPr>
            </w:pPr>
            <w:r>
              <w:rPr>
                <w:lang w:val="en-US"/>
              </w:rPr>
              <w:t>p &lt; 0,0001</w:t>
            </w:r>
          </w:p>
        </w:tc>
        <w:tc>
          <w:tcPr>
            <w:tcW w:w="2302" w:type="dxa"/>
            <w:tcBorders>
              <w:top w:val="single" w:sz="4" w:space="0" w:color="000000"/>
              <w:left w:val="single" w:sz="4" w:space="0" w:color="000000"/>
              <w:bottom w:val="single" w:sz="4" w:space="0" w:color="000000"/>
              <w:right w:val="single" w:sz="4" w:space="0" w:color="000000"/>
            </w:tcBorders>
            <w:hideMark/>
          </w:tcPr>
          <w:p w14:paraId="7A8181D1" w14:textId="77777777" w:rsidR="00B628C8" w:rsidRDefault="00B628C8">
            <w:pPr>
              <w:pStyle w:val="TableParagraph"/>
              <w:ind w:left="0"/>
              <w:jc w:val="center"/>
              <w:rPr>
                <w:lang w:val="en-US"/>
              </w:rPr>
            </w:pPr>
            <w:r>
              <w:rPr>
                <w:lang w:val="en-US"/>
              </w:rPr>
              <w:t>--</w:t>
            </w:r>
          </w:p>
        </w:tc>
        <w:tc>
          <w:tcPr>
            <w:tcW w:w="2303" w:type="dxa"/>
            <w:tcBorders>
              <w:top w:val="single" w:sz="4" w:space="0" w:color="000000"/>
              <w:left w:val="single" w:sz="4" w:space="0" w:color="000000"/>
              <w:bottom w:val="single" w:sz="4" w:space="0" w:color="000000"/>
              <w:right w:val="single" w:sz="4" w:space="0" w:color="000000"/>
            </w:tcBorders>
            <w:hideMark/>
          </w:tcPr>
          <w:p w14:paraId="555E1B1F" w14:textId="77777777" w:rsidR="00B628C8" w:rsidRDefault="00B628C8">
            <w:pPr>
              <w:pStyle w:val="TableParagraph"/>
              <w:ind w:left="0"/>
              <w:jc w:val="center"/>
              <w:rPr>
                <w:lang w:val="en-US"/>
              </w:rPr>
            </w:pPr>
            <w:r>
              <w:rPr>
                <w:lang w:val="en-US"/>
              </w:rPr>
              <w:t>p &lt; 0,0001</w:t>
            </w:r>
          </w:p>
        </w:tc>
      </w:tr>
      <w:tr w:rsidR="00B628C8" w14:paraId="0971491C" w14:textId="77777777" w:rsidTr="00B628C8">
        <w:trPr>
          <w:trHeight w:val="258"/>
        </w:trPr>
        <w:tc>
          <w:tcPr>
            <w:tcW w:w="9209" w:type="dxa"/>
            <w:gridSpan w:val="4"/>
            <w:tcBorders>
              <w:top w:val="single" w:sz="4" w:space="0" w:color="000000"/>
              <w:left w:val="single" w:sz="4" w:space="0" w:color="000000"/>
              <w:bottom w:val="single" w:sz="4" w:space="0" w:color="000000"/>
              <w:right w:val="single" w:sz="4" w:space="0" w:color="000000"/>
            </w:tcBorders>
            <w:hideMark/>
          </w:tcPr>
          <w:p w14:paraId="30C179FA" w14:textId="77777777" w:rsidR="00B628C8" w:rsidRPr="00B628C8" w:rsidRDefault="00B628C8">
            <w:pPr>
              <w:pStyle w:val="TableParagraph"/>
              <w:ind w:left="0"/>
              <w:rPr>
                <w:b/>
              </w:rPr>
            </w:pPr>
            <w:r w:rsidRPr="00B628C8">
              <w:rPr>
                <w:b/>
              </w:rPr>
              <w:t>Tid til første brug af ny antineoplastisk behandling</w:t>
            </w:r>
          </w:p>
        </w:tc>
      </w:tr>
      <w:tr w:rsidR="00B628C8" w14:paraId="0EA553FA" w14:textId="77777777" w:rsidTr="00B628C8">
        <w:trPr>
          <w:trHeight w:val="261"/>
        </w:trPr>
        <w:tc>
          <w:tcPr>
            <w:tcW w:w="2302" w:type="dxa"/>
            <w:tcBorders>
              <w:top w:val="single" w:sz="4" w:space="0" w:color="000000"/>
              <w:left w:val="single" w:sz="4" w:space="0" w:color="000000"/>
              <w:bottom w:val="single" w:sz="4" w:space="0" w:color="000000"/>
              <w:right w:val="single" w:sz="4" w:space="0" w:color="000000"/>
            </w:tcBorders>
            <w:hideMark/>
          </w:tcPr>
          <w:p w14:paraId="5A0E701E" w14:textId="77777777" w:rsidR="00B628C8" w:rsidRDefault="00B628C8">
            <w:pPr>
              <w:pStyle w:val="TableParagraph"/>
              <w:ind w:left="0"/>
              <w:rPr>
                <w:i/>
                <w:lang w:val="en-US"/>
              </w:rPr>
            </w:pPr>
            <w:r>
              <w:rPr>
                <w:lang w:val="en-US"/>
              </w:rPr>
              <w:t>Antal hændelser (%)</w:t>
            </w:r>
            <w:r>
              <w:rPr>
                <w:i/>
                <w:vertAlign w:val="superscript"/>
                <w:lang w:val="en-US"/>
              </w:rPr>
              <w:t>7</w:t>
            </w:r>
          </w:p>
        </w:tc>
        <w:tc>
          <w:tcPr>
            <w:tcW w:w="2302" w:type="dxa"/>
            <w:tcBorders>
              <w:top w:val="single" w:sz="4" w:space="0" w:color="000000"/>
              <w:left w:val="single" w:sz="4" w:space="0" w:color="000000"/>
              <w:bottom w:val="single" w:sz="4" w:space="0" w:color="000000"/>
              <w:right w:val="single" w:sz="4" w:space="0" w:color="000000"/>
            </w:tcBorders>
            <w:hideMark/>
          </w:tcPr>
          <w:p w14:paraId="76F00A88" w14:textId="77777777" w:rsidR="00B628C8" w:rsidRDefault="00B628C8">
            <w:pPr>
              <w:pStyle w:val="TableParagraph"/>
              <w:ind w:left="0"/>
              <w:jc w:val="center"/>
              <w:rPr>
                <w:lang w:val="en-US"/>
              </w:rPr>
            </w:pPr>
            <w:r>
              <w:rPr>
                <w:lang w:val="en-US"/>
              </w:rPr>
              <w:t>58 (16,3)</w:t>
            </w:r>
          </w:p>
        </w:tc>
        <w:tc>
          <w:tcPr>
            <w:tcW w:w="2302" w:type="dxa"/>
            <w:tcBorders>
              <w:top w:val="single" w:sz="4" w:space="0" w:color="000000"/>
              <w:left w:val="single" w:sz="4" w:space="0" w:color="000000"/>
              <w:bottom w:val="single" w:sz="4" w:space="0" w:color="000000"/>
              <w:right w:val="single" w:sz="4" w:space="0" w:color="000000"/>
            </w:tcBorders>
            <w:hideMark/>
          </w:tcPr>
          <w:p w14:paraId="71D1093A" w14:textId="77777777" w:rsidR="00B628C8" w:rsidRDefault="00B628C8">
            <w:pPr>
              <w:pStyle w:val="TableParagraph"/>
              <w:ind w:left="0"/>
              <w:jc w:val="center"/>
              <w:rPr>
                <w:lang w:val="en-US"/>
              </w:rPr>
            </w:pPr>
            <w:r>
              <w:rPr>
                <w:lang w:val="en-US"/>
              </w:rPr>
              <w:t>140 (39,1)</w:t>
            </w:r>
          </w:p>
        </w:tc>
        <w:tc>
          <w:tcPr>
            <w:tcW w:w="2303" w:type="dxa"/>
            <w:tcBorders>
              <w:top w:val="single" w:sz="4" w:space="0" w:color="000000"/>
              <w:left w:val="single" w:sz="4" w:space="0" w:color="000000"/>
              <w:bottom w:val="single" w:sz="4" w:space="0" w:color="000000"/>
              <w:right w:val="single" w:sz="4" w:space="0" w:color="000000"/>
            </w:tcBorders>
            <w:hideMark/>
          </w:tcPr>
          <w:p w14:paraId="7B5BDFCA" w14:textId="77777777" w:rsidR="00B628C8" w:rsidRDefault="00B628C8">
            <w:pPr>
              <w:pStyle w:val="TableParagraph"/>
              <w:ind w:left="0"/>
              <w:jc w:val="center"/>
              <w:rPr>
                <w:lang w:val="en-US"/>
              </w:rPr>
            </w:pPr>
            <w:r>
              <w:rPr>
                <w:lang w:val="en-US"/>
              </w:rPr>
              <w:t>84 (23,7)</w:t>
            </w:r>
          </w:p>
        </w:tc>
      </w:tr>
      <w:tr w:rsidR="00B628C8" w14:paraId="74794384" w14:textId="77777777" w:rsidTr="00B628C8">
        <w:trPr>
          <w:trHeight w:val="517"/>
        </w:trPr>
        <w:tc>
          <w:tcPr>
            <w:tcW w:w="2302" w:type="dxa"/>
            <w:tcBorders>
              <w:top w:val="single" w:sz="4" w:space="0" w:color="000000"/>
              <w:left w:val="single" w:sz="4" w:space="0" w:color="000000"/>
              <w:bottom w:val="single" w:sz="4" w:space="0" w:color="000000"/>
              <w:right w:val="single" w:sz="4" w:space="0" w:color="000000"/>
            </w:tcBorders>
            <w:hideMark/>
          </w:tcPr>
          <w:p w14:paraId="77936094" w14:textId="77777777" w:rsidR="00B628C8" w:rsidRDefault="00B628C8">
            <w:pPr>
              <w:pStyle w:val="TableParagraph"/>
              <w:ind w:left="0"/>
              <w:rPr>
                <w:lang w:val="en-US"/>
              </w:rPr>
            </w:pPr>
            <w:r>
              <w:rPr>
                <w:lang w:val="en-US"/>
              </w:rPr>
              <w:t>Median, måneder (95 %</w:t>
            </w:r>
          </w:p>
          <w:p w14:paraId="6BED07E5" w14:textId="77777777" w:rsidR="00B628C8" w:rsidRDefault="00B628C8">
            <w:pPr>
              <w:pStyle w:val="TableParagraph"/>
              <w:ind w:left="0"/>
              <w:rPr>
                <w:i/>
                <w:lang w:val="en-US"/>
              </w:rPr>
            </w:pPr>
            <w:r>
              <w:rPr>
                <w:lang w:val="en-US"/>
              </w:rPr>
              <w:t>CI)</w:t>
            </w:r>
            <w:r>
              <w:rPr>
                <w:i/>
                <w:vertAlign w:val="superscript"/>
                <w:lang w:val="en-US"/>
              </w:rPr>
              <w:t>3</w:t>
            </w:r>
          </w:p>
        </w:tc>
        <w:tc>
          <w:tcPr>
            <w:tcW w:w="2302" w:type="dxa"/>
            <w:tcBorders>
              <w:top w:val="single" w:sz="4" w:space="0" w:color="000000"/>
              <w:left w:val="single" w:sz="4" w:space="0" w:color="000000"/>
              <w:bottom w:val="single" w:sz="4" w:space="0" w:color="000000"/>
              <w:right w:val="single" w:sz="4" w:space="0" w:color="000000"/>
            </w:tcBorders>
            <w:hideMark/>
          </w:tcPr>
          <w:p w14:paraId="7F54DF63" w14:textId="77777777" w:rsidR="00B628C8" w:rsidRDefault="00B628C8">
            <w:pPr>
              <w:pStyle w:val="TableParagraph"/>
              <w:ind w:left="0"/>
              <w:jc w:val="center"/>
              <w:rPr>
                <w:lang w:val="en-US"/>
              </w:rPr>
            </w:pPr>
            <w:r>
              <w:rPr>
                <w:lang w:val="en-US"/>
              </w:rPr>
              <w:t>NR (NR, NR)</w:t>
            </w:r>
          </w:p>
        </w:tc>
        <w:tc>
          <w:tcPr>
            <w:tcW w:w="2302" w:type="dxa"/>
            <w:tcBorders>
              <w:top w:val="single" w:sz="4" w:space="0" w:color="000000"/>
              <w:left w:val="single" w:sz="4" w:space="0" w:color="000000"/>
              <w:bottom w:val="single" w:sz="4" w:space="0" w:color="000000"/>
              <w:right w:val="single" w:sz="4" w:space="0" w:color="000000"/>
            </w:tcBorders>
            <w:hideMark/>
          </w:tcPr>
          <w:p w14:paraId="760ADB43" w14:textId="77777777" w:rsidR="00B628C8" w:rsidRDefault="00B628C8">
            <w:pPr>
              <w:pStyle w:val="TableParagraph"/>
              <w:ind w:left="0"/>
              <w:jc w:val="center"/>
              <w:rPr>
                <w:lang w:val="en-US"/>
              </w:rPr>
            </w:pPr>
            <w:r>
              <w:rPr>
                <w:lang w:val="en-US"/>
              </w:rPr>
              <w:t>76,2 (71,3; NR)</w:t>
            </w:r>
          </w:p>
        </w:tc>
        <w:tc>
          <w:tcPr>
            <w:tcW w:w="2303" w:type="dxa"/>
            <w:tcBorders>
              <w:top w:val="single" w:sz="4" w:space="0" w:color="000000"/>
              <w:left w:val="single" w:sz="4" w:space="0" w:color="000000"/>
              <w:bottom w:val="single" w:sz="4" w:space="0" w:color="000000"/>
              <w:right w:val="single" w:sz="4" w:space="0" w:color="000000"/>
            </w:tcBorders>
            <w:hideMark/>
          </w:tcPr>
          <w:p w14:paraId="198A94C0" w14:textId="77777777" w:rsidR="00B628C8" w:rsidRDefault="00B628C8">
            <w:pPr>
              <w:pStyle w:val="TableParagraph"/>
              <w:ind w:left="0"/>
              <w:jc w:val="center"/>
              <w:rPr>
                <w:lang w:val="en-US"/>
              </w:rPr>
            </w:pPr>
            <w:r>
              <w:rPr>
                <w:lang w:val="en-US"/>
              </w:rPr>
              <w:t>NR (NR, NR)</w:t>
            </w:r>
          </w:p>
        </w:tc>
      </w:tr>
      <w:tr w:rsidR="00B628C8" w14:paraId="06286023" w14:textId="77777777" w:rsidTr="00B628C8">
        <w:trPr>
          <w:trHeight w:val="782"/>
        </w:trPr>
        <w:tc>
          <w:tcPr>
            <w:tcW w:w="2302" w:type="dxa"/>
            <w:tcBorders>
              <w:top w:val="single" w:sz="4" w:space="0" w:color="000000"/>
              <w:left w:val="single" w:sz="4" w:space="0" w:color="000000"/>
              <w:bottom w:val="single" w:sz="4" w:space="0" w:color="000000"/>
              <w:right w:val="single" w:sz="4" w:space="0" w:color="000000"/>
            </w:tcBorders>
            <w:hideMark/>
          </w:tcPr>
          <w:p w14:paraId="6B2020E0" w14:textId="77777777" w:rsidR="00B628C8" w:rsidRPr="00B628C8" w:rsidRDefault="00B628C8">
            <w:pPr>
              <w:pStyle w:val="TableParagraph"/>
              <w:ind w:left="0"/>
              <w:rPr>
                <w:i/>
              </w:rPr>
            </w:pPr>
            <w:r w:rsidRPr="00B628C8">
              <w:rPr>
                <w:i/>
              </w:rPr>
              <w:t xml:space="preserve">Hazard </w:t>
            </w:r>
            <w:r w:rsidRPr="00B628C8">
              <w:rPr>
                <w:i/>
                <w:iCs/>
              </w:rPr>
              <w:t>ratio</w:t>
            </w:r>
            <w:r w:rsidRPr="00B628C8">
              <w:t xml:space="preserve"> i forhold til placebo plus ADT (95 % CI)</w:t>
            </w:r>
            <w:r w:rsidRPr="00B628C8">
              <w:rPr>
                <w:i/>
                <w:vertAlign w:val="superscript"/>
              </w:rPr>
              <w:t>4</w:t>
            </w:r>
          </w:p>
        </w:tc>
        <w:tc>
          <w:tcPr>
            <w:tcW w:w="2302" w:type="dxa"/>
            <w:tcBorders>
              <w:top w:val="single" w:sz="4" w:space="0" w:color="000000"/>
              <w:left w:val="single" w:sz="4" w:space="0" w:color="000000"/>
              <w:bottom w:val="single" w:sz="4" w:space="0" w:color="000000"/>
              <w:right w:val="single" w:sz="4" w:space="0" w:color="000000"/>
            </w:tcBorders>
          </w:tcPr>
          <w:p w14:paraId="4A9A3061" w14:textId="77777777" w:rsidR="00B628C8" w:rsidRPr="00B628C8" w:rsidRDefault="00B628C8">
            <w:pPr>
              <w:pStyle w:val="TableParagraph"/>
              <w:ind w:left="0"/>
              <w:rPr>
                <w:b/>
              </w:rPr>
            </w:pPr>
          </w:p>
          <w:p w14:paraId="183ECE96" w14:textId="77777777" w:rsidR="00B628C8" w:rsidRDefault="00B628C8">
            <w:pPr>
              <w:pStyle w:val="TableParagraph"/>
              <w:ind w:left="0"/>
              <w:jc w:val="center"/>
              <w:rPr>
                <w:lang w:val="en-US"/>
              </w:rPr>
            </w:pPr>
            <w:r>
              <w:rPr>
                <w:lang w:val="en-US"/>
              </w:rPr>
              <w:t>0,36 (0,26; 0,49)</w:t>
            </w:r>
          </w:p>
        </w:tc>
        <w:tc>
          <w:tcPr>
            <w:tcW w:w="2302" w:type="dxa"/>
            <w:tcBorders>
              <w:top w:val="single" w:sz="4" w:space="0" w:color="000000"/>
              <w:left w:val="single" w:sz="4" w:space="0" w:color="000000"/>
              <w:bottom w:val="single" w:sz="4" w:space="0" w:color="000000"/>
              <w:right w:val="single" w:sz="4" w:space="0" w:color="000000"/>
            </w:tcBorders>
          </w:tcPr>
          <w:p w14:paraId="3C87FFB3" w14:textId="77777777" w:rsidR="00B628C8" w:rsidRDefault="00B628C8">
            <w:pPr>
              <w:pStyle w:val="TableParagraph"/>
              <w:ind w:left="0"/>
              <w:rPr>
                <w:b/>
                <w:lang w:val="en-US"/>
              </w:rPr>
            </w:pPr>
          </w:p>
          <w:p w14:paraId="48693A23" w14:textId="77777777" w:rsidR="00B628C8" w:rsidRDefault="00B628C8">
            <w:pPr>
              <w:pStyle w:val="TableParagraph"/>
              <w:ind w:left="0"/>
              <w:jc w:val="center"/>
              <w:rPr>
                <w:lang w:val="en-US"/>
              </w:rPr>
            </w:pPr>
            <w:r>
              <w:rPr>
                <w:lang w:val="en-US"/>
              </w:rPr>
              <w:t>--</w:t>
            </w:r>
          </w:p>
        </w:tc>
        <w:tc>
          <w:tcPr>
            <w:tcW w:w="2303" w:type="dxa"/>
            <w:tcBorders>
              <w:top w:val="single" w:sz="4" w:space="0" w:color="000000"/>
              <w:left w:val="single" w:sz="4" w:space="0" w:color="000000"/>
              <w:bottom w:val="single" w:sz="4" w:space="0" w:color="000000"/>
              <w:right w:val="single" w:sz="4" w:space="0" w:color="000000"/>
            </w:tcBorders>
          </w:tcPr>
          <w:p w14:paraId="07E82ED4" w14:textId="77777777" w:rsidR="00B628C8" w:rsidRDefault="00B628C8">
            <w:pPr>
              <w:pStyle w:val="TableParagraph"/>
              <w:ind w:left="0"/>
              <w:rPr>
                <w:b/>
                <w:lang w:val="en-US"/>
              </w:rPr>
            </w:pPr>
          </w:p>
          <w:p w14:paraId="715933E2" w14:textId="77777777" w:rsidR="00B628C8" w:rsidRDefault="00B628C8">
            <w:pPr>
              <w:pStyle w:val="TableParagraph"/>
              <w:ind w:left="0"/>
              <w:jc w:val="center"/>
              <w:rPr>
                <w:lang w:val="en-US"/>
              </w:rPr>
            </w:pPr>
            <w:r>
              <w:rPr>
                <w:lang w:val="en-US"/>
              </w:rPr>
              <w:t>0,54 (0,41; 0,71)</w:t>
            </w:r>
          </w:p>
        </w:tc>
      </w:tr>
      <w:tr w:rsidR="00B628C8" w14:paraId="45CF0805" w14:textId="77777777" w:rsidTr="00B628C8">
        <w:trPr>
          <w:trHeight w:val="518"/>
        </w:trPr>
        <w:tc>
          <w:tcPr>
            <w:tcW w:w="2302" w:type="dxa"/>
            <w:tcBorders>
              <w:top w:val="single" w:sz="4" w:space="0" w:color="000000"/>
              <w:left w:val="single" w:sz="4" w:space="0" w:color="000000"/>
              <w:bottom w:val="single" w:sz="4" w:space="0" w:color="000000"/>
              <w:right w:val="single" w:sz="4" w:space="0" w:color="000000"/>
            </w:tcBorders>
            <w:hideMark/>
          </w:tcPr>
          <w:p w14:paraId="55FCDC15" w14:textId="77777777" w:rsidR="00B628C8" w:rsidRPr="00B628C8" w:rsidRDefault="00B628C8">
            <w:pPr>
              <w:pStyle w:val="TableParagraph"/>
              <w:ind w:left="0"/>
            </w:pPr>
            <w:r w:rsidRPr="00B628C8">
              <w:t>P-værdi til sammenligning</w:t>
            </w:r>
          </w:p>
          <w:p w14:paraId="6093E266" w14:textId="77777777" w:rsidR="00B628C8" w:rsidRPr="00B628C8" w:rsidRDefault="00B628C8">
            <w:pPr>
              <w:pStyle w:val="TableParagraph"/>
              <w:ind w:left="0"/>
              <w:rPr>
                <w:i/>
              </w:rPr>
            </w:pPr>
            <w:r w:rsidRPr="00B628C8">
              <w:t>med placebo plus ADT</w:t>
            </w:r>
            <w:r w:rsidRPr="00B628C8">
              <w:rPr>
                <w:i/>
                <w:vertAlign w:val="superscript"/>
              </w:rPr>
              <w:t>5</w:t>
            </w:r>
          </w:p>
        </w:tc>
        <w:tc>
          <w:tcPr>
            <w:tcW w:w="2302" w:type="dxa"/>
            <w:tcBorders>
              <w:top w:val="single" w:sz="4" w:space="0" w:color="000000"/>
              <w:left w:val="single" w:sz="4" w:space="0" w:color="000000"/>
              <w:bottom w:val="single" w:sz="4" w:space="0" w:color="000000"/>
              <w:right w:val="single" w:sz="4" w:space="0" w:color="000000"/>
            </w:tcBorders>
            <w:hideMark/>
          </w:tcPr>
          <w:p w14:paraId="24615BEB" w14:textId="77777777" w:rsidR="00B628C8" w:rsidRDefault="00B628C8">
            <w:pPr>
              <w:pStyle w:val="TableParagraph"/>
              <w:ind w:left="0"/>
              <w:jc w:val="center"/>
              <w:rPr>
                <w:lang w:val="en-US"/>
              </w:rPr>
            </w:pPr>
            <w:r>
              <w:rPr>
                <w:lang w:val="en-US"/>
              </w:rPr>
              <w:t>p &lt; 0,0001</w:t>
            </w:r>
          </w:p>
        </w:tc>
        <w:tc>
          <w:tcPr>
            <w:tcW w:w="2302" w:type="dxa"/>
            <w:tcBorders>
              <w:top w:val="single" w:sz="4" w:space="0" w:color="000000"/>
              <w:left w:val="single" w:sz="4" w:space="0" w:color="000000"/>
              <w:bottom w:val="single" w:sz="4" w:space="0" w:color="000000"/>
              <w:right w:val="single" w:sz="4" w:space="0" w:color="000000"/>
            </w:tcBorders>
            <w:hideMark/>
          </w:tcPr>
          <w:p w14:paraId="460FF953" w14:textId="77777777" w:rsidR="00B628C8" w:rsidRDefault="00B628C8">
            <w:pPr>
              <w:pStyle w:val="TableParagraph"/>
              <w:ind w:left="0"/>
              <w:jc w:val="center"/>
              <w:rPr>
                <w:lang w:val="en-US"/>
              </w:rPr>
            </w:pPr>
            <w:r>
              <w:rPr>
                <w:lang w:val="en-US"/>
              </w:rPr>
              <w:t>--</w:t>
            </w:r>
          </w:p>
        </w:tc>
        <w:tc>
          <w:tcPr>
            <w:tcW w:w="2303" w:type="dxa"/>
            <w:tcBorders>
              <w:top w:val="single" w:sz="4" w:space="0" w:color="000000"/>
              <w:left w:val="single" w:sz="4" w:space="0" w:color="000000"/>
              <w:bottom w:val="single" w:sz="4" w:space="0" w:color="000000"/>
              <w:right w:val="single" w:sz="4" w:space="0" w:color="000000"/>
            </w:tcBorders>
            <w:hideMark/>
          </w:tcPr>
          <w:p w14:paraId="6DDCAC68" w14:textId="77777777" w:rsidR="00B628C8" w:rsidRDefault="00B628C8">
            <w:pPr>
              <w:pStyle w:val="TableParagraph"/>
              <w:ind w:left="0"/>
              <w:jc w:val="center"/>
              <w:rPr>
                <w:lang w:val="en-US"/>
              </w:rPr>
            </w:pPr>
            <w:r>
              <w:rPr>
                <w:lang w:val="en-US"/>
              </w:rPr>
              <w:t>p &lt; 0,0001</w:t>
            </w:r>
          </w:p>
        </w:tc>
      </w:tr>
      <w:tr w:rsidR="00B628C8" w14:paraId="12257405" w14:textId="77777777" w:rsidTr="00B628C8">
        <w:trPr>
          <w:trHeight w:val="261"/>
        </w:trPr>
        <w:tc>
          <w:tcPr>
            <w:tcW w:w="9209" w:type="dxa"/>
            <w:gridSpan w:val="4"/>
            <w:tcBorders>
              <w:top w:val="single" w:sz="4" w:space="0" w:color="000000"/>
              <w:left w:val="single" w:sz="4" w:space="0" w:color="000000"/>
              <w:bottom w:val="single" w:sz="4" w:space="0" w:color="000000"/>
              <w:right w:val="single" w:sz="4" w:space="0" w:color="000000"/>
            </w:tcBorders>
            <w:hideMark/>
          </w:tcPr>
          <w:p w14:paraId="32737392" w14:textId="77777777" w:rsidR="00B628C8" w:rsidRDefault="00B628C8">
            <w:pPr>
              <w:pStyle w:val="TableParagraph"/>
              <w:ind w:left="0"/>
              <w:rPr>
                <w:b/>
                <w:sz w:val="14"/>
                <w:lang w:val="en-US"/>
              </w:rPr>
            </w:pPr>
            <w:r>
              <w:rPr>
                <w:b/>
                <w:lang w:val="en-US"/>
              </w:rPr>
              <w:t>Samlet overlevelse</w:t>
            </w:r>
            <w:r>
              <w:rPr>
                <w:b/>
                <w:position w:val="8"/>
                <w:sz w:val="14"/>
                <w:lang w:val="en-US"/>
              </w:rPr>
              <w:t>8</w:t>
            </w:r>
          </w:p>
        </w:tc>
      </w:tr>
      <w:tr w:rsidR="00B628C8" w14:paraId="4B7E149D" w14:textId="77777777" w:rsidTr="00B628C8">
        <w:trPr>
          <w:trHeight w:val="258"/>
        </w:trPr>
        <w:tc>
          <w:tcPr>
            <w:tcW w:w="2302" w:type="dxa"/>
            <w:tcBorders>
              <w:top w:val="single" w:sz="4" w:space="0" w:color="000000"/>
              <w:left w:val="single" w:sz="4" w:space="0" w:color="000000"/>
              <w:bottom w:val="single" w:sz="4" w:space="0" w:color="000000"/>
              <w:right w:val="single" w:sz="4" w:space="0" w:color="000000"/>
            </w:tcBorders>
            <w:hideMark/>
          </w:tcPr>
          <w:p w14:paraId="41E09E56" w14:textId="77777777" w:rsidR="00B628C8" w:rsidRDefault="00B628C8">
            <w:pPr>
              <w:pStyle w:val="TableParagraph"/>
              <w:ind w:left="0"/>
              <w:rPr>
                <w:lang w:val="en-US"/>
              </w:rPr>
            </w:pPr>
            <w:r>
              <w:rPr>
                <w:lang w:val="en-US"/>
              </w:rPr>
              <w:t>Antal hændelser (%)</w:t>
            </w:r>
          </w:p>
        </w:tc>
        <w:tc>
          <w:tcPr>
            <w:tcW w:w="2302" w:type="dxa"/>
            <w:tcBorders>
              <w:top w:val="single" w:sz="4" w:space="0" w:color="000000"/>
              <w:left w:val="single" w:sz="4" w:space="0" w:color="000000"/>
              <w:bottom w:val="single" w:sz="4" w:space="0" w:color="000000"/>
              <w:right w:val="single" w:sz="4" w:space="0" w:color="000000"/>
            </w:tcBorders>
            <w:hideMark/>
          </w:tcPr>
          <w:p w14:paraId="61271DC2" w14:textId="77777777" w:rsidR="00B628C8" w:rsidRDefault="00B628C8">
            <w:pPr>
              <w:pStyle w:val="TableParagraph"/>
              <w:ind w:left="0"/>
              <w:jc w:val="center"/>
              <w:rPr>
                <w:lang w:val="en-US"/>
              </w:rPr>
            </w:pPr>
            <w:r>
              <w:rPr>
                <w:lang w:val="en-US"/>
              </w:rPr>
              <w:t>33 (9,3)</w:t>
            </w:r>
          </w:p>
        </w:tc>
        <w:tc>
          <w:tcPr>
            <w:tcW w:w="2302" w:type="dxa"/>
            <w:tcBorders>
              <w:top w:val="single" w:sz="4" w:space="0" w:color="000000"/>
              <w:left w:val="single" w:sz="4" w:space="0" w:color="000000"/>
              <w:bottom w:val="single" w:sz="4" w:space="0" w:color="000000"/>
              <w:right w:val="single" w:sz="4" w:space="0" w:color="000000"/>
            </w:tcBorders>
            <w:hideMark/>
          </w:tcPr>
          <w:p w14:paraId="34AD977C" w14:textId="77777777" w:rsidR="00B628C8" w:rsidRDefault="00B628C8">
            <w:pPr>
              <w:pStyle w:val="TableParagraph"/>
              <w:ind w:left="0"/>
              <w:jc w:val="center"/>
              <w:rPr>
                <w:lang w:val="en-US"/>
              </w:rPr>
            </w:pPr>
            <w:r>
              <w:rPr>
                <w:lang w:val="en-US"/>
              </w:rPr>
              <w:t>55 (15,4)</w:t>
            </w:r>
          </w:p>
        </w:tc>
        <w:tc>
          <w:tcPr>
            <w:tcW w:w="2303" w:type="dxa"/>
            <w:tcBorders>
              <w:top w:val="single" w:sz="4" w:space="0" w:color="000000"/>
              <w:left w:val="single" w:sz="4" w:space="0" w:color="000000"/>
              <w:bottom w:val="single" w:sz="4" w:space="0" w:color="000000"/>
              <w:right w:val="single" w:sz="4" w:space="0" w:color="000000"/>
            </w:tcBorders>
            <w:hideMark/>
          </w:tcPr>
          <w:p w14:paraId="02993B21" w14:textId="77777777" w:rsidR="00B628C8" w:rsidRDefault="00B628C8">
            <w:pPr>
              <w:pStyle w:val="TableParagraph"/>
              <w:ind w:left="0"/>
              <w:jc w:val="center"/>
              <w:rPr>
                <w:lang w:val="en-US"/>
              </w:rPr>
            </w:pPr>
            <w:r>
              <w:rPr>
                <w:lang w:val="en-US"/>
              </w:rPr>
              <w:t>42 (11,8)</w:t>
            </w:r>
          </w:p>
        </w:tc>
      </w:tr>
      <w:tr w:rsidR="00B628C8" w14:paraId="7D4EFF3B" w14:textId="77777777" w:rsidTr="00B628C8">
        <w:trPr>
          <w:trHeight w:val="520"/>
        </w:trPr>
        <w:tc>
          <w:tcPr>
            <w:tcW w:w="2302" w:type="dxa"/>
            <w:tcBorders>
              <w:top w:val="single" w:sz="4" w:space="0" w:color="000000"/>
              <w:left w:val="single" w:sz="4" w:space="0" w:color="000000"/>
              <w:bottom w:val="single" w:sz="4" w:space="0" w:color="000000"/>
              <w:right w:val="single" w:sz="4" w:space="0" w:color="000000"/>
            </w:tcBorders>
            <w:hideMark/>
          </w:tcPr>
          <w:p w14:paraId="3EE9AAA5" w14:textId="77777777" w:rsidR="00B628C8" w:rsidRDefault="00B628C8">
            <w:pPr>
              <w:pStyle w:val="TableParagraph"/>
              <w:ind w:left="0"/>
              <w:rPr>
                <w:i/>
                <w:lang w:val="en-US"/>
              </w:rPr>
            </w:pPr>
            <w:r>
              <w:rPr>
                <w:lang w:val="en-US"/>
              </w:rPr>
              <w:t>Median, måneder (95 % CI)</w:t>
            </w:r>
            <w:r>
              <w:rPr>
                <w:i/>
                <w:vertAlign w:val="superscript"/>
                <w:lang w:val="en-US"/>
              </w:rPr>
              <w:t>3</w:t>
            </w:r>
          </w:p>
        </w:tc>
        <w:tc>
          <w:tcPr>
            <w:tcW w:w="2302" w:type="dxa"/>
            <w:tcBorders>
              <w:top w:val="single" w:sz="4" w:space="0" w:color="000000"/>
              <w:left w:val="single" w:sz="4" w:space="0" w:color="000000"/>
              <w:bottom w:val="single" w:sz="4" w:space="0" w:color="000000"/>
              <w:right w:val="single" w:sz="4" w:space="0" w:color="000000"/>
            </w:tcBorders>
            <w:hideMark/>
          </w:tcPr>
          <w:p w14:paraId="25446418" w14:textId="77777777" w:rsidR="00B628C8" w:rsidRDefault="00B628C8">
            <w:pPr>
              <w:pStyle w:val="TableParagraph"/>
              <w:ind w:left="0"/>
              <w:jc w:val="center"/>
              <w:rPr>
                <w:lang w:val="en-US"/>
              </w:rPr>
            </w:pPr>
            <w:r>
              <w:rPr>
                <w:lang w:val="en-US"/>
              </w:rPr>
              <w:t>NR (NR, NR)</w:t>
            </w:r>
          </w:p>
        </w:tc>
        <w:tc>
          <w:tcPr>
            <w:tcW w:w="2302" w:type="dxa"/>
            <w:tcBorders>
              <w:top w:val="single" w:sz="4" w:space="0" w:color="000000"/>
              <w:left w:val="single" w:sz="4" w:space="0" w:color="000000"/>
              <w:bottom w:val="single" w:sz="4" w:space="0" w:color="000000"/>
              <w:right w:val="single" w:sz="4" w:space="0" w:color="000000"/>
            </w:tcBorders>
            <w:hideMark/>
          </w:tcPr>
          <w:p w14:paraId="4BC0B2A0" w14:textId="77777777" w:rsidR="00B628C8" w:rsidRDefault="00B628C8">
            <w:pPr>
              <w:pStyle w:val="TableParagraph"/>
              <w:ind w:left="0"/>
              <w:jc w:val="center"/>
              <w:rPr>
                <w:lang w:val="en-US"/>
              </w:rPr>
            </w:pPr>
            <w:r>
              <w:rPr>
                <w:lang w:val="en-US"/>
              </w:rPr>
              <w:t>NR (NR, NR)</w:t>
            </w:r>
          </w:p>
        </w:tc>
        <w:tc>
          <w:tcPr>
            <w:tcW w:w="2303" w:type="dxa"/>
            <w:tcBorders>
              <w:top w:val="single" w:sz="4" w:space="0" w:color="000000"/>
              <w:left w:val="single" w:sz="4" w:space="0" w:color="000000"/>
              <w:bottom w:val="single" w:sz="4" w:space="0" w:color="000000"/>
              <w:right w:val="single" w:sz="4" w:space="0" w:color="000000"/>
            </w:tcBorders>
            <w:hideMark/>
          </w:tcPr>
          <w:p w14:paraId="3A919006" w14:textId="77777777" w:rsidR="00B628C8" w:rsidRDefault="00B628C8">
            <w:pPr>
              <w:pStyle w:val="TableParagraph"/>
              <w:ind w:left="0"/>
              <w:jc w:val="center"/>
              <w:rPr>
                <w:lang w:val="en-US"/>
              </w:rPr>
            </w:pPr>
            <w:r>
              <w:rPr>
                <w:lang w:val="en-US"/>
              </w:rPr>
              <w:t>NR (NR, NR)</w:t>
            </w:r>
          </w:p>
        </w:tc>
      </w:tr>
      <w:tr w:rsidR="00B628C8" w14:paraId="55FF8E78" w14:textId="77777777" w:rsidTr="00B628C8">
        <w:trPr>
          <w:trHeight w:val="779"/>
        </w:trPr>
        <w:tc>
          <w:tcPr>
            <w:tcW w:w="2302" w:type="dxa"/>
            <w:tcBorders>
              <w:top w:val="single" w:sz="4" w:space="0" w:color="000000"/>
              <w:left w:val="single" w:sz="4" w:space="0" w:color="000000"/>
              <w:bottom w:val="single" w:sz="4" w:space="0" w:color="000000"/>
              <w:right w:val="single" w:sz="4" w:space="0" w:color="000000"/>
            </w:tcBorders>
            <w:hideMark/>
          </w:tcPr>
          <w:p w14:paraId="5AA27E75" w14:textId="77777777" w:rsidR="00B628C8" w:rsidRPr="00B628C8" w:rsidRDefault="00B628C8">
            <w:pPr>
              <w:pStyle w:val="TableParagraph"/>
              <w:ind w:left="0"/>
            </w:pPr>
            <w:r w:rsidRPr="00B628C8">
              <w:rPr>
                <w:i/>
              </w:rPr>
              <w:t xml:space="preserve">Hazard </w:t>
            </w:r>
            <w:r w:rsidRPr="00B628C8">
              <w:rPr>
                <w:i/>
                <w:iCs/>
              </w:rPr>
              <w:t>ratio</w:t>
            </w:r>
            <w:r w:rsidRPr="00B628C8">
              <w:t xml:space="preserve"> i forhold til</w:t>
            </w:r>
          </w:p>
          <w:p w14:paraId="26DA2A71" w14:textId="77777777" w:rsidR="00B628C8" w:rsidRPr="00B628C8" w:rsidRDefault="00B628C8">
            <w:pPr>
              <w:pStyle w:val="TableParagraph"/>
              <w:ind w:left="0"/>
              <w:rPr>
                <w:i/>
              </w:rPr>
            </w:pPr>
            <w:r w:rsidRPr="00B628C8">
              <w:t>placebo plus ADT (95 % CI)</w:t>
            </w:r>
            <w:r w:rsidRPr="00B628C8">
              <w:rPr>
                <w:i/>
                <w:vertAlign w:val="superscript"/>
              </w:rPr>
              <w:t>4</w:t>
            </w:r>
          </w:p>
        </w:tc>
        <w:tc>
          <w:tcPr>
            <w:tcW w:w="2302" w:type="dxa"/>
            <w:tcBorders>
              <w:top w:val="single" w:sz="4" w:space="0" w:color="000000"/>
              <w:left w:val="single" w:sz="4" w:space="0" w:color="000000"/>
              <w:bottom w:val="single" w:sz="4" w:space="0" w:color="000000"/>
              <w:right w:val="single" w:sz="4" w:space="0" w:color="000000"/>
            </w:tcBorders>
          </w:tcPr>
          <w:p w14:paraId="1A9B0606" w14:textId="77777777" w:rsidR="00B628C8" w:rsidRPr="00B628C8" w:rsidRDefault="00B628C8">
            <w:pPr>
              <w:pStyle w:val="TableParagraph"/>
              <w:ind w:left="0"/>
              <w:rPr>
                <w:b/>
              </w:rPr>
            </w:pPr>
          </w:p>
          <w:p w14:paraId="4842C6E8" w14:textId="77777777" w:rsidR="00B628C8" w:rsidRDefault="00B628C8">
            <w:pPr>
              <w:pStyle w:val="TableParagraph"/>
              <w:ind w:left="0"/>
              <w:jc w:val="center"/>
              <w:rPr>
                <w:lang w:val="en-US"/>
              </w:rPr>
            </w:pPr>
            <w:r>
              <w:rPr>
                <w:lang w:val="en-US"/>
              </w:rPr>
              <w:t>0,59 (0,38; 0,91)</w:t>
            </w:r>
          </w:p>
        </w:tc>
        <w:tc>
          <w:tcPr>
            <w:tcW w:w="2302" w:type="dxa"/>
            <w:tcBorders>
              <w:top w:val="single" w:sz="4" w:space="0" w:color="000000"/>
              <w:left w:val="single" w:sz="4" w:space="0" w:color="000000"/>
              <w:bottom w:val="single" w:sz="4" w:space="0" w:color="000000"/>
              <w:right w:val="single" w:sz="4" w:space="0" w:color="000000"/>
            </w:tcBorders>
          </w:tcPr>
          <w:p w14:paraId="44D58AFF" w14:textId="77777777" w:rsidR="00B628C8" w:rsidRDefault="00B628C8">
            <w:pPr>
              <w:pStyle w:val="TableParagraph"/>
              <w:ind w:left="0"/>
              <w:rPr>
                <w:b/>
                <w:lang w:val="en-US"/>
              </w:rPr>
            </w:pPr>
          </w:p>
          <w:p w14:paraId="4F4234DF" w14:textId="77777777" w:rsidR="00B628C8" w:rsidRDefault="00B628C8">
            <w:pPr>
              <w:pStyle w:val="TableParagraph"/>
              <w:ind w:left="0"/>
              <w:jc w:val="center"/>
              <w:rPr>
                <w:lang w:val="en-US"/>
              </w:rPr>
            </w:pPr>
            <w:r>
              <w:rPr>
                <w:lang w:val="en-US"/>
              </w:rPr>
              <w:t>--</w:t>
            </w:r>
          </w:p>
        </w:tc>
        <w:tc>
          <w:tcPr>
            <w:tcW w:w="2303" w:type="dxa"/>
            <w:tcBorders>
              <w:top w:val="single" w:sz="4" w:space="0" w:color="000000"/>
              <w:left w:val="single" w:sz="4" w:space="0" w:color="000000"/>
              <w:bottom w:val="single" w:sz="4" w:space="0" w:color="000000"/>
              <w:right w:val="single" w:sz="4" w:space="0" w:color="000000"/>
            </w:tcBorders>
          </w:tcPr>
          <w:p w14:paraId="39F33FDB" w14:textId="77777777" w:rsidR="00B628C8" w:rsidRDefault="00B628C8">
            <w:pPr>
              <w:pStyle w:val="TableParagraph"/>
              <w:ind w:left="0"/>
              <w:rPr>
                <w:b/>
                <w:lang w:val="en-US"/>
              </w:rPr>
            </w:pPr>
          </w:p>
          <w:p w14:paraId="43E57D2A" w14:textId="77777777" w:rsidR="00B628C8" w:rsidRDefault="00B628C8">
            <w:pPr>
              <w:pStyle w:val="TableParagraph"/>
              <w:ind w:left="0"/>
              <w:jc w:val="center"/>
              <w:rPr>
                <w:lang w:val="en-US"/>
              </w:rPr>
            </w:pPr>
            <w:r>
              <w:rPr>
                <w:lang w:val="en-US"/>
              </w:rPr>
              <w:t>0,78 (0,52; 1,17)</w:t>
            </w:r>
          </w:p>
        </w:tc>
      </w:tr>
      <w:tr w:rsidR="00B628C8" w14:paraId="7F4A2CAE" w14:textId="77777777" w:rsidTr="00B628C8">
        <w:trPr>
          <w:trHeight w:val="520"/>
        </w:trPr>
        <w:tc>
          <w:tcPr>
            <w:tcW w:w="2302" w:type="dxa"/>
            <w:tcBorders>
              <w:top w:val="single" w:sz="4" w:space="0" w:color="000000"/>
              <w:left w:val="single" w:sz="4" w:space="0" w:color="000000"/>
              <w:bottom w:val="single" w:sz="4" w:space="0" w:color="000000"/>
              <w:right w:val="single" w:sz="4" w:space="0" w:color="000000"/>
            </w:tcBorders>
            <w:hideMark/>
          </w:tcPr>
          <w:p w14:paraId="4809861B" w14:textId="77777777" w:rsidR="00B628C8" w:rsidRPr="00B628C8" w:rsidRDefault="00B628C8">
            <w:pPr>
              <w:pStyle w:val="TableParagraph"/>
              <w:ind w:left="0"/>
              <w:rPr>
                <w:i/>
              </w:rPr>
            </w:pPr>
            <w:r w:rsidRPr="00B628C8">
              <w:t>P-værdi til sammenligning med placebo plus ADT</w:t>
            </w:r>
            <w:r w:rsidRPr="00B628C8">
              <w:rPr>
                <w:i/>
                <w:vertAlign w:val="superscript"/>
              </w:rPr>
              <w:t>5</w:t>
            </w:r>
          </w:p>
        </w:tc>
        <w:tc>
          <w:tcPr>
            <w:tcW w:w="2302" w:type="dxa"/>
            <w:tcBorders>
              <w:top w:val="single" w:sz="4" w:space="0" w:color="000000"/>
              <w:left w:val="single" w:sz="4" w:space="0" w:color="000000"/>
              <w:bottom w:val="single" w:sz="4" w:space="0" w:color="000000"/>
              <w:right w:val="single" w:sz="4" w:space="0" w:color="000000"/>
            </w:tcBorders>
            <w:hideMark/>
          </w:tcPr>
          <w:p w14:paraId="306AA4F5" w14:textId="77777777" w:rsidR="00B628C8" w:rsidRDefault="00B628C8">
            <w:pPr>
              <w:pStyle w:val="TableParagraph"/>
              <w:ind w:left="0"/>
              <w:jc w:val="center"/>
              <w:rPr>
                <w:i/>
                <w:lang w:val="en-US"/>
              </w:rPr>
            </w:pPr>
            <w:r>
              <w:rPr>
                <w:lang w:val="en-US"/>
              </w:rPr>
              <w:t>p = 0,0153</w:t>
            </w:r>
            <w:r>
              <w:rPr>
                <w:i/>
                <w:vertAlign w:val="superscript"/>
                <w:lang w:val="en-US"/>
              </w:rPr>
              <w:t>9</w:t>
            </w:r>
          </w:p>
        </w:tc>
        <w:tc>
          <w:tcPr>
            <w:tcW w:w="2302" w:type="dxa"/>
            <w:tcBorders>
              <w:top w:val="single" w:sz="4" w:space="0" w:color="000000"/>
              <w:left w:val="single" w:sz="4" w:space="0" w:color="000000"/>
              <w:bottom w:val="single" w:sz="4" w:space="0" w:color="000000"/>
              <w:right w:val="single" w:sz="4" w:space="0" w:color="000000"/>
            </w:tcBorders>
            <w:hideMark/>
          </w:tcPr>
          <w:p w14:paraId="06471B1B" w14:textId="77777777" w:rsidR="00B628C8" w:rsidRDefault="00B628C8">
            <w:pPr>
              <w:pStyle w:val="TableParagraph"/>
              <w:ind w:left="0"/>
              <w:jc w:val="center"/>
              <w:rPr>
                <w:lang w:val="en-US"/>
              </w:rPr>
            </w:pPr>
            <w:r>
              <w:rPr>
                <w:lang w:val="en-US"/>
              </w:rPr>
              <w:t>--</w:t>
            </w:r>
          </w:p>
        </w:tc>
        <w:tc>
          <w:tcPr>
            <w:tcW w:w="2303" w:type="dxa"/>
            <w:tcBorders>
              <w:top w:val="single" w:sz="4" w:space="0" w:color="000000"/>
              <w:left w:val="single" w:sz="4" w:space="0" w:color="000000"/>
              <w:bottom w:val="single" w:sz="4" w:space="0" w:color="000000"/>
              <w:right w:val="single" w:sz="4" w:space="0" w:color="000000"/>
            </w:tcBorders>
            <w:hideMark/>
          </w:tcPr>
          <w:p w14:paraId="70E794F3" w14:textId="77777777" w:rsidR="00B628C8" w:rsidRDefault="00B628C8">
            <w:pPr>
              <w:pStyle w:val="TableParagraph"/>
              <w:ind w:left="0"/>
              <w:jc w:val="center"/>
              <w:rPr>
                <w:i/>
                <w:lang w:val="en-US"/>
              </w:rPr>
            </w:pPr>
            <w:r>
              <w:rPr>
                <w:lang w:val="en-US"/>
              </w:rPr>
              <w:t>p = 0,2304</w:t>
            </w:r>
            <w:r>
              <w:rPr>
                <w:i/>
                <w:vertAlign w:val="superscript"/>
                <w:lang w:val="en-US"/>
              </w:rPr>
              <w:t>9</w:t>
            </w:r>
          </w:p>
        </w:tc>
      </w:tr>
    </w:tbl>
    <w:p w14:paraId="5BA0F988" w14:textId="77777777" w:rsidR="00B628C8" w:rsidRDefault="00B628C8" w:rsidP="00B628C8">
      <w:pPr>
        <w:rPr>
          <w:sz w:val="18"/>
          <w:szCs w:val="22"/>
        </w:rPr>
      </w:pPr>
      <w:r>
        <w:rPr>
          <w:sz w:val="18"/>
        </w:rPr>
        <w:t>NR = Ikke nået.</w:t>
      </w:r>
    </w:p>
    <w:p w14:paraId="4991CD04" w14:textId="77777777" w:rsidR="00B628C8" w:rsidRDefault="00B628C8" w:rsidP="00B628C8">
      <w:pPr>
        <w:pStyle w:val="Listeafsnit"/>
        <w:numPr>
          <w:ilvl w:val="0"/>
          <w:numId w:val="7"/>
        </w:numPr>
        <w:tabs>
          <w:tab w:val="left" w:pos="284"/>
        </w:tabs>
        <w:ind w:left="284" w:hanging="284"/>
        <w:rPr>
          <w:sz w:val="18"/>
        </w:rPr>
      </w:pPr>
      <w:r>
        <w:rPr>
          <w:sz w:val="18"/>
        </w:rPr>
        <w:t>Median opfølgningstid på 61</w:t>
      </w:r>
      <w:r>
        <w:rPr>
          <w:spacing w:val="-6"/>
          <w:sz w:val="18"/>
        </w:rPr>
        <w:t xml:space="preserve"> </w:t>
      </w:r>
      <w:r>
        <w:rPr>
          <w:sz w:val="18"/>
        </w:rPr>
        <w:t>måneder.</w:t>
      </w:r>
    </w:p>
    <w:p w14:paraId="797300E5" w14:textId="77777777" w:rsidR="00B628C8" w:rsidRDefault="00B628C8" w:rsidP="00B628C8">
      <w:pPr>
        <w:pStyle w:val="Listeafsnit"/>
        <w:numPr>
          <w:ilvl w:val="0"/>
          <w:numId w:val="7"/>
        </w:numPr>
        <w:tabs>
          <w:tab w:val="left" w:pos="284"/>
        </w:tabs>
        <w:ind w:left="284" w:hanging="284"/>
        <w:rPr>
          <w:sz w:val="18"/>
        </w:rPr>
      </w:pPr>
      <w:r>
        <w:rPr>
          <w:sz w:val="18"/>
        </w:rPr>
        <w:t>Baseret på den tidligst bidragende hændelse (radiografisk progression eller</w:t>
      </w:r>
      <w:r>
        <w:rPr>
          <w:spacing w:val="-8"/>
          <w:sz w:val="18"/>
        </w:rPr>
        <w:t xml:space="preserve"> </w:t>
      </w:r>
      <w:r>
        <w:rPr>
          <w:sz w:val="18"/>
        </w:rPr>
        <w:t>død).</w:t>
      </w:r>
    </w:p>
    <w:p w14:paraId="4BF6475A" w14:textId="77777777" w:rsidR="00B628C8" w:rsidRDefault="00B628C8" w:rsidP="00B628C8">
      <w:pPr>
        <w:pStyle w:val="Listeafsnit"/>
        <w:numPr>
          <w:ilvl w:val="0"/>
          <w:numId w:val="7"/>
        </w:numPr>
        <w:tabs>
          <w:tab w:val="left" w:pos="284"/>
        </w:tabs>
        <w:ind w:left="284" w:hanging="284"/>
        <w:rPr>
          <w:sz w:val="18"/>
        </w:rPr>
      </w:pPr>
      <w:r>
        <w:rPr>
          <w:sz w:val="18"/>
        </w:rPr>
        <w:t>Baseret på</w:t>
      </w:r>
      <w:r>
        <w:rPr>
          <w:spacing w:val="-2"/>
          <w:sz w:val="18"/>
        </w:rPr>
        <w:t xml:space="preserve"> </w:t>
      </w:r>
      <w:r>
        <w:rPr>
          <w:sz w:val="18"/>
        </w:rPr>
        <w:t>Kaplan-Meier-estimater.</w:t>
      </w:r>
    </w:p>
    <w:p w14:paraId="421C32C5" w14:textId="77777777" w:rsidR="00B628C8" w:rsidRDefault="00B628C8" w:rsidP="00B628C8">
      <w:pPr>
        <w:pStyle w:val="Listeafsnit"/>
        <w:numPr>
          <w:ilvl w:val="0"/>
          <w:numId w:val="7"/>
        </w:numPr>
        <w:tabs>
          <w:tab w:val="left" w:pos="284"/>
        </w:tabs>
        <w:ind w:left="284" w:hanging="284"/>
        <w:rPr>
          <w:sz w:val="18"/>
        </w:rPr>
      </w:pPr>
      <w:r>
        <w:rPr>
          <w:i/>
          <w:sz w:val="18"/>
        </w:rPr>
        <w:t xml:space="preserve">Hazard </w:t>
      </w:r>
      <w:r>
        <w:rPr>
          <w:i/>
          <w:iCs/>
          <w:sz w:val="18"/>
        </w:rPr>
        <w:t>ratio</w:t>
      </w:r>
      <w:r>
        <w:rPr>
          <w:sz w:val="18"/>
        </w:rPr>
        <w:t xml:space="preserve"> er baseret på en Cox-regressionsmodel stratificeret ved PSA-screening, PSA-fordoblingstid og tidligere</w:t>
      </w:r>
      <w:r>
        <w:rPr>
          <w:spacing w:val="-2"/>
          <w:sz w:val="18"/>
        </w:rPr>
        <w:t xml:space="preserve"> </w:t>
      </w:r>
      <w:r>
        <w:rPr>
          <w:sz w:val="18"/>
        </w:rPr>
        <w:t>hormonbehandling.</w:t>
      </w:r>
    </w:p>
    <w:p w14:paraId="4ED478B2" w14:textId="77777777" w:rsidR="00B628C8" w:rsidRDefault="00B628C8" w:rsidP="00B628C8">
      <w:pPr>
        <w:pStyle w:val="Listeafsnit"/>
        <w:numPr>
          <w:ilvl w:val="0"/>
          <w:numId w:val="7"/>
        </w:numPr>
        <w:tabs>
          <w:tab w:val="left" w:pos="284"/>
        </w:tabs>
        <w:ind w:left="284" w:hanging="284"/>
        <w:rPr>
          <w:sz w:val="18"/>
        </w:rPr>
      </w:pPr>
      <w:r>
        <w:rPr>
          <w:sz w:val="18"/>
        </w:rPr>
        <w:t xml:space="preserve">Tosidet p-værdi er baseret på en stratificeret log-rank-test ved PSA-screening, PSA-fordoblingstid og tidligere </w:t>
      </w:r>
      <w:r>
        <w:rPr>
          <w:sz w:val="18"/>
        </w:rPr>
        <w:lastRenderedPageBreak/>
        <w:t>hormonbehandling.</w:t>
      </w:r>
    </w:p>
    <w:p w14:paraId="4827294B" w14:textId="77777777" w:rsidR="00B628C8" w:rsidRDefault="00B628C8" w:rsidP="00B628C8">
      <w:pPr>
        <w:pStyle w:val="Listeafsnit"/>
        <w:numPr>
          <w:ilvl w:val="0"/>
          <w:numId w:val="7"/>
        </w:numPr>
        <w:tabs>
          <w:tab w:val="left" w:pos="284"/>
        </w:tabs>
        <w:ind w:left="284" w:hanging="284"/>
        <w:rPr>
          <w:sz w:val="18"/>
        </w:rPr>
      </w:pPr>
      <w:r>
        <w:rPr>
          <w:sz w:val="18"/>
        </w:rPr>
        <w:t xml:space="preserve">Baseret på den PSA-progression, der er i overensstemmelse med </w:t>
      </w:r>
      <w:r>
        <w:rPr>
          <w:i/>
          <w:sz w:val="18"/>
        </w:rPr>
        <w:t>Prostate Cancer Clinical Trials Working</w:t>
      </w:r>
      <w:r>
        <w:rPr>
          <w:i/>
          <w:spacing w:val="-14"/>
          <w:sz w:val="18"/>
        </w:rPr>
        <w:t xml:space="preserve"> </w:t>
      </w:r>
      <w:r>
        <w:rPr>
          <w:i/>
          <w:sz w:val="18"/>
        </w:rPr>
        <w:t xml:space="preserve">Group </w:t>
      </w:r>
      <w:r>
        <w:rPr>
          <w:sz w:val="18"/>
        </w:rPr>
        <w:t>2-kriterierne.</w:t>
      </w:r>
    </w:p>
    <w:p w14:paraId="2167F9EA" w14:textId="77777777" w:rsidR="00B628C8" w:rsidRDefault="00B628C8" w:rsidP="00B628C8">
      <w:pPr>
        <w:pStyle w:val="Listeafsnit"/>
        <w:numPr>
          <w:ilvl w:val="0"/>
          <w:numId w:val="7"/>
        </w:numPr>
        <w:tabs>
          <w:tab w:val="left" w:pos="284"/>
        </w:tabs>
        <w:ind w:left="284" w:hanging="284"/>
        <w:rPr>
          <w:sz w:val="18"/>
        </w:rPr>
      </w:pPr>
      <w:r>
        <w:rPr>
          <w:sz w:val="18"/>
        </w:rPr>
        <w:t>Baseret på den første post-</w:t>
      </w:r>
      <w:r>
        <w:rPr>
          <w:i/>
          <w:sz w:val="18"/>
        </w:rPr>
        <w:t>baseline</w:t>
      </w:r>
      <w:r>
        <w:rPr>
          <w:sz w:val="18"/>
        </w:rPr>
        <w:t>-brug af antineoplastisk behandling for</w:t>
      </w:r>
      <w:r>
        <w:rPr>
          <w:spacing w:val="-6"/>
          <w:sz w:val="18"/>
        </w:rPr>
        <w:t xml:space="preserve"> </w:t>
      </w:r>
      <w:r>
        <w:rPr>
          <w:sz w:val="18"/>
        </w:rPr>
        <w:t>prostatacancer.</w:t>
      </w:r>
    </w:p>
    <w:p w14:paraId="2CEB4D6A" w14:textId="77777777" w:rsidR="00B628C8" w:rsidRDefault="00B628C8" w:rsidP="00B628C8">
      <w:pPr>
        <w:pStyle w:val="Listeafsnit"/>
        <w:numPr>
          <w:ilvl w:val="0"/>
          <w:numId w:val="7"/>
        </w:numPr>
        <w:tabs>
          <w:tab w:val="left" w:pos="284"/>
        </w:tabs>
        <w:ind w:left="284" w:hanging="284"/>
        <w:rPr>
          <w:sz w:val="18"/>
        </w:rPr>
      </w:pPr>
      <w:r>
        <w:rPr>
          <w:sz w:val="18"/>
        </w:rPr>
        <w:t>Baseret på en forudspecificeret interimanalyse med dataskæringsdatoen 31. januar 2023 og en median opfølgningstid på 65</w:t>
      </w:r>
      <w:r>
        <w:rPr>
          <w:spacing w:val="-4"/>
          <w:sz w:val="18"/>
        </w:rPr>
        <w:t xml:space="preserve"> </w:t>
      </w:r>
      <w:r>
        <w:rPr>
          <w:sz w:val="18"/>
        </w:rPr>
        <w:t>måneder.</w:t>
      </w:r>
    </w:p>
    <w:p w14:paraId="5A05B951" w14:textId="77777777" w:rsidR="00B628C8" w:rsidRDefault="00B628C8" w:rsidP="00B628C8">
      <w:pPr>
        <w:pStyle w:val="Listeafsnit"/>
        <w:numPr>
          <w:ilvl w:val="0"/>
          <w:numId w:val="7"/>
        </w:numPr>
        <w:tabs>
          <w:tab w:val="left" w:pos="284"/>
        </w:tabs>
        <w:ind w:left="284" w:hanging="284"/>
        <w:rPr>
          <w:sz w:val="18"/>
        </w:rPr>
      </w:pPr>
      <w:r>
        <w:rPr>
          <w:sz w:val="18"/>
        </w:rPr>
        <w:t>Resultatet opfyldte ikke det forudspecificerede tosidede signifikansniveau p ≤</w:t>
      </w:r>
      <w:r>
        <w:rPr>
          <w:spacing w:val="-10"/>
          <w:sz w:val="18"/>
        </w:rPr>
        <w:t xml:space="preserve"> </w:t>
      </w:r>
      <w:r>
        <w:rPr>
          <w:sz w:val="18"/>
        </w:rPr>
        <w:t>0,0001.</w:t>
      </w:r>
    </w:p>
    <w:p w14:paraId="22B1E282" w14:textId="77777777" w:rsidR="00B628C8" w:rsidRDefault="00B628C8" w:rsidP="00B628C8"/>
    <w:p w14:paraId="28A34227" w14:textId="65F5391D" w:rsidR="00B628C8" w:rsidRPr="00B628C8" w:rsidRDefault="00B628C8" w:rsidP="00B628C8">
      <w:pPr>
        <w:ind w:left="993" w:hanging="993"/>
        <w:rPr>
          <w:b/>
          <w:sz w:val="24"/>
          <w:szCs w:val="24"/>
        </w:rPr>
      </w:pPr>
      <w:r w:rsidRPr="00B628C8">
        <w:rPr>
          <w:b/>
          <w:sz w:val="24"/>
          <w:szCs w:val="24"/>
        </w:rPr>
        <w:t>Figur 1:</w:t>
      </w:r>
      <w:r w:rsidRPr="00B628C8">
        <w:rPr>
          <w:b/>
          <w:sz w:val="24"/>
          <w:szCs w:val="24"/>
        </w:rPr>
        <w:tab/>
        <w:t xml:space="preserve">Kaplan-Meier-kurver for MFS i enzalutamid plus ADT- </w:t>
      </w:r>
      <w:r w:rsidRPr="00B628C8">
        <w:rPr>
          <w:b/>
          <w:i/>
          <w:sz w:val="24"/>
          <w:szCs w:val="24"/>
        </w:rPr>
        <w:t xml:space="preserve">vs. </w:t>
      </w:r>
      <w:r w:rsidRPr="00B628C8">
        <w:rPr>
          <w:b/>
          <w:sz w:val="24"/>
          <w:szCs w:val="24"/>
        </w:rPr>
        <w:t>placebo plus ADT-behandlingsarmen i EMBARK-studiet (</w:t>
      </w:r>
      <w:r w:rsidRPr="00B628C8">
        <w:rPr>
          <w:b/>
          <w:i/>
          <w:sz w:val="24"/>
          <w:szCs w:val="24"/>
        </w:rPr>
        <w:t>intent-to-treat</w:t>
      </w:r>
      <w:r w:rsidRPr="00B628C8">
        <w:rPr>
          <w:b/>
          <w:sz w:val="24"/>
          <w:szCs w:val="24"/>
        </w:rPr>
        <w:t>-analyse)</w:t>
      </w:r>
    </w:p>
    <w:p w14:paraId="1A2D90F6" w14:textId="0A5AED71" w:rsidR="00B628C8" w:rsidRDefault="00B628C8" w:rsidP="00B628C8">
      <w:pPr>
        <w:tabs>
          <w:tab w:val="left" w:pos="284"/>
        </w:tabs>
        <w:rPr>
          <w:sz w:val="18"/>
        </w:rPr>
      </w:pPr>
      <w:r>
        <w:rPr>
          <w:noProof/>
          <w:sz w:val="18"/>
        </w:rPr>
        <w:drawing>
          <wp:inline distT="0" distB="0" distL="0" distR="0" wp14:anchorId="62045644" wp14:editId="31BF137A">
            <wp:extent cx="5765800" cy="2946400"/>
            <wp:effectExtent l="0" t="0" r="6350" b="6350"/>
            <wp:docPr id="9" name="Billede 9" descr="A graph showing the growth of a pat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 graph showing the growth of a patien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5800" cy="2946400"/>
                    </a:xfrm>
                    <a:prstGeom prst="rect">
                      <a:avLst/>
                    </a:prstGeom>
                    <a:noFill/>
                    <a:ln>
                      <a:noFill/>
                    </a:ln>
                  </pic:spPr>
                </pic:pic>
              </a:graphicData>
            </a:graphic>
          </wp:inline>
        </w:drawing>
      </w:r>
    </w:p>
    <w:p w14:paraId="3E7C0E71" w14:textId="77777777" w:rsidR="00B628C8" w:rsidRPr="006E6318" w:rsidRDefault="00B628C8" w:rsidP="00B628C8">
      <w:pPr>
        <w:pStyle w:val="Brdtekst"/>
        <w:rPr>
          <w:sz w:val="24"/>
          <w:szCs w:val="24"/>
        </w:rPr>
      </w:pPr>
    </w:p>
    <w:p w14:paraId="77203180" w14:textId="79C7FE30" w:rsidR="00B628C8" w:rsidRPr="00B628C8" w:rsidRDefault="00B628C8" w:rsidP="00B628C8">
      <w:pPr>
        <w:ind w:left="993" w:hanging="993"/>
        <w:rPr>
          <w:b/>
          <w:bCs/>
          <w:sz w:val="24"/>
          <w:szCs w:val="24"/>
        </w:rPr>
      </w:pPr>
      <w:r w:rsidRPr="00B628C8">
        <w:rPr>
          <w:b/>
          <w:sz w:val="24"/>
          <w:szCs w:val="24"/>
        </w:rPr>
        <w:t>Figur 2:</w:t>
      </w:r>
      <w:r>
        <w:rPr>
          <w:b/>
          <w:sz w:val="24"/>
          <w:szCs w:val="24"/>
        </w:rPr>
        <w:tab/>
      </w:r>
      <w:r w:rsidRPr="00B628C8">
        <w:rPr>
          <w:b/>
          <w:sz w:val="24"/>
          <w:szCs w:val="24"/>
        </w:rPr>
        <w:t xml:space="preserve">Kaplan-Meier-kurver for MFS i enzalutamid som monoterapi- </w:t>
      </w:r>
      <w:r w:rsidRPr="00B628C8">
        <w:rPr>
          <w:b/>
          <w:i/>
          <w:sz w:val="24"/>
          <w:szCs w:val="24"/>
        </w:rPr>
        <w:t xml:space="preserve">vs. </w:t>
      </w:r>
      <w:r w:rsidRPr="00B628C8">
        <w:rPr>
          <w:b/>
          <w:sz w:val="24"/>
          <w:szCs w:val="24"/>
        </w:rPr>
        <w:t>placebo plus ADT-behandlingsarmen i EMBARK-studiet (</w:t>
      </w:r>
      <w:r w:rsidRPr="00B628C8">
        <w:rPr>
          <w:b/>
          <w:i/>
          <w:sz w:val="24"/>
          <w:szCs w:val="24"/>
        </w:rPr>
        <w:t>intent-to-treat</w:t>
      </w:r>
      <w:r w:rsidRPr="00B628C8">
        <w:rPr>
          <w:b/>
          <w:sz w:val="24"/>
          <w:szCs w:val="24"/>
        </w:rPr>
        <w:t>-analyse)</w:t>
      </w:r>
    </w:p>
    <w:p w14:paraId="2917E693" w14:textId="77777777" w:rsidR="00B628C8" w:rsidRDefault="00B628C8" w:rsidP="00B628C8">
      <w:pPr>
        <w:pStyle w:val="Brdtekst"/>
        <w:rPr>
          <w:b/>
          <w:sz w:val="21"/>
        </w:rPr>
      </w:pPr>
    </w:p>
    <w:p w14:paraId="14F55E9C" w14:textId="4618EF6D" w:rsidR="00B628C8" w:rsidRDefault="00B628C8" w:rsidP="00B628C8">
      <w:pPr>
        <w:pStyle w:val="Brdtekst"/>
        <w:rPr>
          <w:b/>
          <w:sz w:val="21"/>
        </w:rPr>
      </w:pPr>
      <w:r>
        <w:rPr>
          <w:b/>
          <w:noProof/>
          <w:sz w:val="21"/>
        </w:rPr>
        <w:drawing>
          <wp:inline distT="0" distB="0" distL="0" distR="0" wp14:anchorId="5B6E5AE6" wp14:editId="00EAADC4">
            <wp:extent cx="5759450" cy="2870200"/>
            <wp:effectExtent l="0" t="0" r="0" b="635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870200"/>
                    </a:xfrm>
                    <a:prstGeom prst="rect">
                      <a:avLst/>
                    </a:prstGeom>
                    <a:noFill/>
                    <a:ln>
                      <a:noFill/>
                    </a:ln>
                  </pic:spPr>
                </pic:pic>
              </a:graphicData>
            </a:graphic>
          </wp:inline>
        </w:drawing>
      </w:r>
    </w:p>
    <w:p w14:paraId="243B4BE8" w14:textId="4E3E7A0F" w:rsidR="00B628C8" w:rsidRPr="006E6318" w:rsidRDefault="00B628C8" w:rsidP="006E6318">
      <w:pPr>
        <w:pStyle w:val="Brdtekst"/>
        <w:ind w:left="851"/>
        <w:rPr>
          <w:sz w:val="24"/>
          <w:szCs w:val="24"/>
        </w:rPr>
      </w:pPr>
    </w:p>
    <w:p w14:paraId="11DBD6D4" w14:textId="77777777" w:rsidR="00B628C8" w:rsidRPr="00B628C8" w:rsidRDefault="00B628C8" w:rsidP="00B628C8">
      <w:pPr>
        <w:pStyle w:val="Brdtekst"/>
        <w:ind w:left="851"/>
        <w:rPr>
          <w:sz w:val="24"/>
          <w:szCs w:val="24"/>
        </w:rPr>
      </w:pPr>
      <w:r w:rsidRPr="00B628C8">
        <w:rPr>
          <w:sz w:val="24"/>
          <w:szCs w:val="24"/>
        </w:rPr>
        <w:t xml:space="preserve">Efter administration af </w:t>
      </w:r>
      <w:r w:rsidRPr="00B628C8">
        <w:rPr>
          <w:spacing w:val="-2"/>
          <w:sz w:val="24"/>
          <w:szCs w:val="24"/>
        </w:rPr>
        <w:t xml:space="preserve">ADT </w:t>
      </w:r>
      <w:r w:rsidRPr="00B628C8">
        <w:rPr>
          <w:sz w:val="24"/>
          <w:szCs w:val="24"/>
        </w:rPr>
        <w:t xml:space="preserve">som enzalutamid plus </w:t>
      </w:r>
      <w:r w:rsidRPr="00B628C8">
        <w:rPr>
          <w:spacing w:val="-2"/>
          <w:sz w:val="24"/>
          <w:szCs w:val="24"/>
        </w:rPr>
        <w:t xml:space="preserve">ADT </w:t>
      </w:r>
      <w:r w:rsidRPr="00B628C8">
        <w:rPr>
          <w:sz w:val="24"/>
          <w:szCs w:val="24"/>
        </w:rPr>
        <w:t xml:space="preserve">eller placebo plus ADT, faldt testosteron- niveauerne hurtigt til kastreringsniveauer og forblev lave, indtil behandlingen blev afbrudt ved uge 37. Efter afbrydelsen steg testosteron-niveauerne gradvist til tæt på </w:t>
      </w:r>
      <w:r w:rsidRPr="00B628C8">
        <w:rPr>
          <w:i/>
          <w:sz w:val="24"/>
          <w:szCs w:val="24"/>
        </w:rPr>
        <w:t>baseline</w:t>
      </w:r>
      <w:r w:rsidRPr="00B628C8">
        <w:rPr>
          <w:sz w:val="24"/>
          <w:szCs w:val="24"/>
        </w:rPr>
        <w:t xml:space="preserve">-niveauerne. Efter genstart af behandlingen faldt de igen til kastrationsniveauer. I armen med enzalutamid som monoterapi steg testosteron-niveauerne efter behandlingsinitiering og vendte tilbage til </w:t>
      </w:r>
      <w:r w:rsidRPr="00B628C8">
        <w:rPr>
          <w:i/>
          <w:sz w:val="24"/>
          <w:szCs w:val="24"/>
        </w:rPr>
        <w:t>baseline</w:t>
      </w:r>
      <w:r w:rsidRPr="00B628C8">
        <w:rPr>
          <w:sz w:val="24"/>
          <w:szCs w:val="24"/>
        </w:rPr>
        <w:t xml:space="preserve">-niveauerne, da behandlingen blev </w:t>
      </w:r>
      <w:r w:rsidRPr="00B628C8">
        <w:rPr>
          <w:sz w:val="24"/>
          <w:szCs w:val="24"/>
        </w:rPr>
        <w:lastRenderedPageBreak/>
        <w:t>afbrudt. De steg endnu en gang efter behandlingen med enzalutamid blev genstartet.</w:t>
      </w:r>
    </w:p>
    <w:p w14:paraId="39CD4ACC" w14:textId="77777777" w:rsidR="00B628C8" w:rsidRPr="00B628C8" w:rsidRDefault="00B628C8" w:rsidP="00B628C8">
      <w:pPr>
        <w:pStyle w:val="Brdtekst"/>
        <w:ind w:left="851"/>
        <w:rPr>
          <w:sz w:val="24"/>
          <w:szCs w:val="24"/>
        </w:rPr>
      </w:pPr>
    </w:p>
    <w:p w14:paraId="13BB4E67" w14:textId="77777777" w:rsidR="00B628C8" w:rsidRPr="00B628C8" w:rsidRDefault="00B628C8" w:rsidP="00B628C8">
      <w:pPr>
        <w:ind w:left="851"/>
        <w:rPr>
          <w:i/>
          <w:sz w:val="24"/>
          <w:szCs w:val="24"/>
        </w:rPr>
      </w:pPr>
      <w:r w:rsidRPr="00B628C8">
        <w:rPr>
          <w:i/>
          <w:sz w:val="24"/>
          <w:szCs w:val="24"/>
        </w:rPr>
        <w:t>9785-CL-0335 (ARCHES)-studiet (patienter med metastatisk HSPC)</w:t>
      </w:r>
    </w:p>
    <w:p w14:paraId="1964A303" w14:textId="77777777" w:rsidR="00B628C8" w:rsidRPr="00B628C8" w:rsidRDefault="00B628C8" w:rsidP="00B628C8">
      <w:pPr>
        <w:pStyle w:val="Brdtekst"/>
        <w:ind w:left="851"/>
        <w:rPr>
          <w:sz w:val="24"/>
          <w:szCs w:val="24"/>
        </w:rPr>
      </w:pPr>
      <w:r w:rsidRPr="00B628C8">
        <w:rPr>
          <w:sz w:val="24"/>
          <w:szCs w:val="24"/>
        </w:rPr>
        <w:t>ARCHES-studiet omfattede 1.150 patienter med mHSPC randomiseret 1:1 til behandling med enzalutamid plus ADT eller placebo plus ADT (ADT defineret som LHRH-analog eller bilateral orkiektomi). Patienterne fik enzalutamid 160 mg én gang dagligt (N = 574) eller placebo (N = 576).</w:t>
      </w:r>
    </w:p>
    <w:p w14:paraId="44CE7A90" w14:textId="77777777" w:rsidR="00B628C8" w:rsidRPr="00B628C8" w:rsidRDefault="00B628C8" w:rsidP="00B628C8">
      <w:pPr>
        <w:pStyle w:val="Brdtekst"/>
        <w:ind w:left="851"/>
        <w:rPr>
          <w:sz w:val="24"/>
          <w:szCs w:val="24"/>
        </w:rPr>
      </w:pPr>
    </w:p>
    <w:p w14:paraId="4040C34C" w14:textId="77777777" w:rsidR="00B628C8" w:rsidRPr="00B628C8" w:rsidRDefault="00B628C8" w:rsidP="00B628C8">
      <w:pPr>
        <w:pStyle w:val="Brdtekst"/>
        <w:ind w:left="851"/>
        <w:rPr>
          <w:sz w:val="24"/>
          <w:szCs w:val="24"/>
        </w:rPr>
      </w:pPr>
      <w:r w:rsidRPr="00B628C8">
        <w:rPr>
          <w:sz w:val="24"/>
          <w:szCs w:val="24"/>
        </w:rPr>
        <w:t>Patienter med metastatisk prostatacancer dokumenteret ved positiv knoglescanning (for knoglesygdom) eller metastatiske læsioner på CT- eller MR-scanning (for blødt væv) var kvalificerede. Patienter, hvor spredning af sygdommen var begrænset til regionale bækkenlymfeknuder, var ikke kvalificerede. Patienterne fik lov til at modtage op til 6 cyklusser med docetaxelbehandling med endelig behandlingsadministration afsluttet inden for 2 måneder fra dag 1 og intet bevis på sygdomsprogression under eller efter afslutningen af docetaxelbehandlingen.</w:t>
      </w:r>
    </w:p>
    <w:p w14:paraId="0F912469" w14:textId="77777777" w:rsidR="00B628C8" w:rsidRPr="00B628C8" w:rsidRDefault="00B628C8" w:rsidP="00B628C8">
      <w:pPr>
        <w:pStyle w:val="Brdtekst"/>
        <w:ind w:left="851"/>
        <w:rPr>
          <w:sz w:val="24"/>
          <w:szCs w:val="24"/>
        </w:rPr>
      </w:pPr>
      <w:r w:rsidRPr="00B628C8">
        <w:rPr>
          <w:sz w:val="24"/>
          <w:szCs w:val="24"/>
        </w:rPr>
        <w:t>Patienter med kendt eller mistænkt hjernemetastase eller aktiv leptomeningeal sygdom eller med kramper i anamnesen eller et hvilket som helst tegn på disponering for kramper, blev ekskluderet.</w:t>
      </w:r>
    </w:p>
    <w:p w14:paraId="4E2E95E7" w14:textId="77777777" w:rsidR="00B628C8" w:rsidRPr="00B628C8" w:rsidRDefault="00B628C8" w:rsidP="00B628C8">
      <w:pPr>
        <w:pStyle w:val="Brdtekst"/>
        <w:ind w:left="851"/>
        <w:rPr>
          <w:sz w:val="24"/>
          <w:szCs w:val="24"/>
        </w:rPr>
      </w:pPr>
    </w:p>
    <w:p w14:paraId="6C399CE0" w14:textId="77777777" w:rsidR="00B628C8" w:rsidRPr="00B628C8" w:rsidRDefault="00B628C8" w:rsidP="00B628C8">
      <w:pPr>
        <w:pStyle w:val="Brdtekst"/>
        <w:ind w:left="851"/>
        <w:rPr>
          <w:sz w:val="24"/>
          <w:szCs w:val="24"/>
        </w:rPr>
      </w:pPr>
      <w:r w:rsidRPr="00B628C8">
        <w:rPr>
          <w:sz w:val="24"/>
          <w:szCs w:val="24"/>
        </w:rPr>
        <w:t xml:space="preserve">De demografiske karakteristika og karakteristika ved </w:t>
      </w:r>
      <w:r w:rsidRPr="00B628C8">
        <w:rPr>
          <w:i/>
          <w:sz w:val="24"/>
          <w:szCs w:val="24"/>
        </w:rPr>
        <w:t xml:space="preserve">baseline </w:t>
      </w:r>
      <w:r w:rsidRPr="00B628C8">
        <w:rPr>
          <w:sz w:val="24"/>
          <w:szCs w:val="24"/>
        </w:rPr>
        <w:t xml:space="preserve">var velafbalancerede mellem de to behandlingsgrupper. Medianalderen ved randomisering var 70 år i begge behandlingsgrupper. De fleste patienter i den samlede population var kaukasiere (80,5 %), 13,5 % var asiater, og 1,4 % var sorte. Funktionsstatusscore efter </w:t>
      </w:r>
      <w:r w:rsidRPr="00B628C8">
        <w:rPr>
          <w:i/>
          <w:sz w:val="24"/>
          <w:szCs w:val="24"/>
        </w:rPr>
        <w:t xml:space="preserve">The Eastern Cooperative Oncology Group </w:t>
      </w:r>
      <w:r w:rsidRPr="00B628C8">
        <w:rPr>
          <w:sz w:val="24"/>
          <w:szCs w:val="24"/>
        </w:rPr>
        <w:t xml:space="preserve">(ECOG) var 0 for 78 % af patienterne og 1 for 22 % af patienterne ved indtrædelse i studiet. Patienterne blev stratificeret efter lav- </w:t>
      </w:r>
      <w:r w:rsidRPr="00B628C8">
        <w:rPr>
          <w:i/>
          <w:sz w:val="24"/>
          <w:szCs w:val="24"/>
        </w:rPr>
        <w:t xml:space="preserve">versus </w:t>
      </w:r>
      <w:r w:rsidRPr="00B628C8">
        <w:rPr>
          <w:sz w:val="24"/>
          <w:szCs w:val="24"/>
        </w:rPr>
        <w:t>højvolumen sygdom og tidligere docetaxelbehandling for prostatacancer. 37 % af patienterne havde lavvolumen sygdom og 63 % af patienterne havde højvolumen sygdom. 82 % af patienterne havde ikke modtaget tidligere docetaxelbehandling, 2 % modtog 1-5 cyklusser og 16 % modtog 6 tidligere cyklusser. Samtidig behandling med docetaxel var ikke tilladt.</w:t>
      </w:r>
    </w:p>
    <w:p w14:paraId="79443508" w14:textId="77777777" w:rsidR="00B628C8" w:rsidRPr="00B628C8" w:rsidRDefault="00B628C8" w:rsidP="00B628C8">
      <w:pPr>
        <w:pStyle w:val="Brdtekst"/>
        <w:ind w:left="851"/>
        <w:rPr>
          <w:sz w:val="24"/>
          <w:szCs w:val="24"/>
        </w:rPr>
      </w:pPr>
    </w:p>
    <w:p w14:paraId="48B37741" w14:textId="77777777" w:rsidR="00B628C8" w:rsidRPr="00B628C8" w:rsidRDefault="00B628C8" w:rsidP="00B628C8">
      <w:pPr>
        <w:pStyle w:val="Brdtekst"/>
        <w:ind w:left="851"/>
        <w:rPr>
          <w:sz w:val="24"/>
          <w:szCs w:val="24"/>
        </w:rPr>
      </w:pPr>
      <w:r w:rsidRPr="00B628C8">
        <w:rPr>
          <w:sz w:val="24"/>
          <w:szCs w:val="24"/>
        </w:rPr>
        <w:t>Radiografisk progressionsfri overlevelse (rPFS), baseret på en uafhængig central vurdering, var det primære endepunkt defineret som tiden fra randomisering til det første objektive bevis på radiografisk sygdomsprogression eller død (uanset årsag fra tidspunktet for randomisering og op til 24 uger fra seponering af studiemedicinen), hvad end der indtraf først.</w:t>
      </w:r>
    </w:p>
    <w:p w14:paraId="27F2E27D" w14:textId="77777777" w:rsidR="00B628C8" w:rsidRPr="00B628C8" w:rsidRDefault="00B628C8" w:rsidP="00B628C8">
      <w:pPr>
        <w:pStyle w:val="Brdtekst"/>
        <w:ind w:left="851"/>
        <w:rPr>
          <w:sz w:val="24"/>
          <w:szCs w:val="24"/>
        </w:rPr>
      </w:pPr>
    </w:p>
    <w:p w14:paraId="2BE7A223" w14:textId="77777777" w:rsidR="00B628C8" w:rsidRPr="00B628C8" w:rsidRDefault="00B628C8" w:rsidP="00B628C8">
      <w:pPr>
        <w:pStyle w:val="Brdtekst"/>
        <w:ind w:left="851"/>
        <w:rPr>
          <w:sz w:val="24"/>
          <w:szCs w:val="24"/>
        </w:rPr>
      </w:pPr>
      <w:r w:rsidRPr="00B628C8">
        <w:rPr>
          <w:sz w:val="24"/>
          <w:szCs w:val="24"/>
        </w:rPr>
        <w:t>Enzalutamid viste en statistisk signifikant reduktion på 61 % af risikoen for en rPFS-hændelse sammenlignet med placebo [HR = 0,39 (95 % CI: 0,30; 0,50); p &lt; 0,0001]. Der blev observeret konsistente rPFS-resultater hos patienter med høj- eller lavvolumen sygdom og patienter med og uden tidligere docetaxelbehandling. Mediantiden til en rPFS-hændelse blev ikke nået i enzalutamidarmen og var 19,0 måneder (95 % CI: 16,6, 22,2) i placeboarmen.</w:t>
      </w:r>
    </w:p>
    <w:p w14:paraId="7043F28D" w14:textId="25375CC0" w:rsidR="009A4F82" w:rsidRDefault="009A4F82">
      <w:pPr>
        <w:rPr>
          <w:sz w:val="21"/>
          <w:szCs w:val="22"/>
        </w:rPr>
      </w:pPr>
      <w:r>
        <w:rPr>
          <w:sz w:val="21"/>
        </w:rPr>
        <w:br w:type="page"/>
      </w:r>
    </w:p>
    <w:p w14:paraId="57EDF290" w14:textId="77777777" w:rsidR="00B628C8" w:rsidRDefault="00B628C8" w:rsidP="00B628C8">
      <w:pPr>
        <w:pStyle w:val="Brdtekst"/>
        <w:rPr>
          <w:sz w:val="21"/>
        </w:rPr>
      </w:pPr>
    </w:p>
    <w:p w14:paraId="79BD0341" w14:textId="1F9EABF3" w:rsidR="00B628C8" w:rsidRPr="009A4F82" w:rsidRDefault="00B628C8" w:rsidP="009A4F82">
      <w:pPr>
        <w:ind w:left="993" w:hanging="993"/>
        <w:rPr>
          <w:b/>
          <w:sz w:val="24"/>
          <w:szCs w:val="24"/>
        </w:rPr>
      </w:pPr>
      <w:r w:rsidRPr="009A4F82">
        <w:rPr>
          <w:b/>
          <w:sz w:val="24"/>
          <w:szCs w:val="24"/>
        </w:rPr>
        <w:t>Tabel 3:</w:t>
      </w:r>
      <w:r w:rsidR="009A4F82">
        <w:rPr>
          <w:b/>
          <w:sz w:val="24"/>
          <w:szCs w:val="24"/>
        </w:rPr>
        <w:tab/>
      </w:r>
      <w:r w:rsidRPr="009A4F82">
        <w:rPr>
          <w:b/>
          <w:sz w:val="24"/>
          <w:szCs w:val="24"/>
        </w:rPr>
        <w:t>Sammendrag af virkningsresultater hos patienter, som blev behandlet med enten enzalutamid eller placebo i ARCHES-studiet (</w:t>
      </w:r>
      <w:r w:rsidRPr="009A4F82">
        <w:rPr>
          <w:b/>
          <w:i/>
          <w:sz w:val="24"/>
          <w:szCs w:val="24"/>
        </w:rPr>
        <w:t>intent-to-treat</w:t>
      </w:r>
      <w:r w:rsidRPr="009A4F82">
        <w:rPr>
          <w:b/>
          <w:sz w:val="24"/>
          <w:szCs w:val="24"/>
        </w:rPr>
        <w:t>-analyse)</w:t>
      </w:r>
    </w:p>
    <w:p w14:paraId="6332D484" w14:textId="77777777" w:rsidR="00B628C8" w:rsidRDefault="00B628C8" w:rsidP="00B628C8">
      <w:pPr>
        <w:pStyle w:val="Brdtekst"/>
        <w:rPr>
          <w:b/>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0"/>
        <w:gridCol w:w="3044"/>
        <w:gridCol w:w="3010"/>
      </w:tblGrid>
      <w:tr w:rsidR="00B628C8" w14:paraId="215BE2F2" w14:textId="77777777" w:rsidTr="00B628C8">
        <w:trPr>
          <w:trHeight w:val="554"/>
        </w:trPr>
        <w:tc>
          <w:tcPr>
            <w:tcW w:w="3010" w:type="dxa"/>
            <w:tcBorders>
              <w:top w:val="single" w:sz="4" w:space="0" w:color="000000"/>
              <w:left w:val="single" w:sz="4" w:space="0" w:color="000000"/>
              <w:bottom w:val="single" w:sz="4" w:space="0" w:color="000000"/>
              <w:right w:val="single" w:sz="4" w:space="0" w:color="000000"/>
            </w:tcBorders>
          </w:tcPr>
          <w:p w14:paraId="300FA831" w14:textId="77777777" w:rsidR="00B628C8" w:rsidRPr="00B628C8" w:rsidRDefault="00B628C8">
            <w:pPr>
              <w:pStyle w:val="TableParagraph"/>
              <w:ind w:left="0"/>
              <w:rPr>
                <w:sz w:val="20"/>
              </w:rPr>
            </w:pPr>
          </w:p>
        </w:tc>
        <w:tc>
          <w:tcPr>
            <w:tcW w:w="3044" w:type="dxa"/>
            <w:tcBorders>
              <w:top w:val="single" w:sz="4" w:space="0" w:color="000000"/>
              <w:left w:val="single" w:sz="4" w:space="0" w:color="000000"/>
              <w:bottom w:val="single" w:sz="4" w:space="0" w:color="000000"/>
              <w:right w:val="single" w:sz="4" w:space="0" w:color="000000"/>
            </w:tcBorders>
            <w:hideMark/>
          </w:tcPr>
          <w:p w14:paraId="63B42A47" w14:textId="77777777" w:rsidR="00B628C8" w:rsidRDefault="00B628C8">
            <w:pPr>
              <w:pStyle w:val="TableParagraph"/>
              <w:ind w:left="0"/>
              <w:jc w:val="center"/>
              <w:rPr>
                <w:b/>
                <w:lang w:val="en-US"/>
              </w:rPr>
            </w:pPr>
            <w:r>
              <w:rPr>
                <w:b/>
                <w:lang w:val="en-US"/>
              </w:rPr>
              <w:t xml:space="preserve">Enzalutamid plus ADT </w:t>
            </w:r>
          </w:p>
          <w:p w14:paraId="11C6D4C4" w14:textId="77777777" w:rsidR="00B628C8" w:rsidRDefault="00B628C8">
            <w:pPr>
              <w:pStyle w:val="TableParagraph"/>
              <w:ind w:left="0"/>
              <w:jc w:val="center"/>
              <w:rPr>
                <w:b/>
                <w:lang w:val="en-US"/>
              </w:rPr>
            </w:pPr>
            <w:r>
              <w:rPr>
                <w:b/>
                <w:lang w:val="en-US"/>
              </w:rPr>
              <w:t>(N = 574)</w:t>
            </w:r>
          </w:p>
        </w:tc>
        <w:tc>
          <w:tcPr>
            <w:tcW w:w="3010" w:type="dxa"/>
            <w:tcBorders>
              <w:top w:val="single" w:sz="4" w:space="0" w:color="000000"/>
              <w:left w:val="single" w:sz="4" w:space="0" w:color="000000"/>
              <w:bottom w:val="single" w:sz="4" w:space="0" w:color="000000"/>
              <w:right w:val="single" w:sz="4" w:space="0" w:color="000000"/>
            </w:tcBorders>
            <w:hideMark/>
          </w:tcPr>
          <w:p w14:paraId="13DD170E" w14:textId="77777777" w:rsidR="00B628C8" w:rsidRDefault="00B628C8">
            <w:pPr>
              <w:pStyle w:val="TableParagraph"/>
              <w:ind w:left="0"/>
              <w:jc w:val="center"/>
              <w:rPr>
                <w:b/>
                <w:lang w:val="en-US"/>
              </w:rPr>
            </w:pPr>
            <w:r>
              <w:rPr>
                <w:b/>
                <w:lang w:val="en-US"/>
              </w:rPr>
              <w:t xml:space="preserve">Placebo plus ADT </w:t>
            </w:r>
          </w:p>
          <w:p w14:paraId="23CA423D" w14:textId="77777777" w:rsidR="00B628C8" w:rsidRDefault="00B628C8">
            <w:pPr>
              <w:pStyle w:val="TableParagraph"/>
              <w:ind w:left="0"/>
              <w:jc w:val="center"/>
              <w:rPr>
                <w:b/>
                <w:lang w:val="en-US"/>
              </w:rPr>
            </w:pPr>
            <w:r>
              <w:rPr>
                <w:b/>
                <w:lang w:val="en-US"/>
              </w:rPr>
              <w:t>(N = 576)</w:t>
            </w:r>
          </w:p>
        </w:tc>
      </w:tr>
      <w:tr w:rsidR="00B628C8" w14:paraId="69D80998" w14:textId="77777777" w:rsidTr="00B628C8">
        <w:trPr>
          <w:trHeight w:val="258"/>
        </w:trPr>
        <w:tc>
          <w:tcPr>
            <w:tcW w:w="9064" w:type="dxa"/>
            <w:gridSpan w:val="3"/>
            <w:tcBorders>
              <w:top w:val="single" w:sz="4" w:space="0" w:color="000000"/>
              <w:left w:val="single" w:sz="4" w:space="0" w:color="000000"/>
              <w:bottom w:val="single" w:sz="4" w:space="0" w:color="000000"/>
              <w:right w:val="single" w:sz="4" w:space="0" w:color="000000"/>
            </w:tcBorders>
            <w:hideMark/>
          </w:tcPr>
          <w:p w14:paraId="5D1E2E03" w14:textId="77777777" w:rsidR="00B628C8" w:rsidRDefault="00B628C8">
            <w:pPr>
              <w:pStyle w:val="TableParagraph"/>
              <w:ind w:left="0"/>
              <w:rPr>
                <w:b/>
                <w:lang w:val="en-US"/>
              </w:rPr>
            </w:pPr>
            <w:r>
              <w:rPr>
                <w:b/>
                <w:lang w:val="en-US"/>
              </w:rPr>
              <w:t>Radiografisk progressionsfri overlevelse</w:t>
            </w:r>
          </w:p>
        </w:tc>
      </w:tr>
      <w:tr w:rsidR="00B628C8" w14:paraId="658754D7" w14:textId="77777777" w:rsidTr="00B628C8">
        <w:trPr>
          <w:trHeight w:val="261"/>
        </w:trPr>
        <w:tc>
          <w:tcPr>
            <w:tcW w:w="3010" w:type="dxa"/>
            <w:tcBorders>
              <w:top w:val="single" w:sz="4" w:space="0" w:color="000000"/>
              <w:left w:val="single" w:sz="4" w:space="0" w:color="000000"/>
              <w:bottom w:val="single" w:sz="4" w:space="0" w:color="000000"/>
              <w:right w:val="single" w:sz="4" w:space="0" w:color="000000"/>
            </w:tcBorders>
            <w:hideMark/>
          </w:tcPr>
          <w:p w14:paraId="1FF50AA0" w14:textId="77777777" w:rsidR="00B628C8" w:rsidRDefault="00B628C8">
            <w:pPr>
              <w:pStyle w:val="TableParagraph"/>
              <w:ind w:left="0"/>
              <w:rPr>
                <w:lang w:val="en-US"/>
              </w:rPr>
            </w:pPr>
            <w:r>
              <w:rPr>
                <w:lang w:val="en-US"/>
              </w:rPr>
              <w:t>Antal hændelser (%)</w:t>
            </w:r>
          </w:p>
        </w:tc>
        <w:tc>
          <w:tcPr>
            <w:tcW w:w="3044" w:type="dxa"/>
            <w:tcBorders>
              <w:top w:val="single" w:sz="4" w:space="0" w:color="000000"/>
              <w:left w:val="single" w:sz="4" w:space="0" w:color="000000"/>
              <w:bottom w:val="single" w:sz="4" w:space="0" w:color="000000"/>
              <w:right w:val="single" w:sz="4" w:space="0" w:color="000000"/>
            </w:tcBorders>
            <w:hideMark/>
          </w:tcPr>
          <w:p w14:paraId="16A56003" w14:textId="77777777" w:rsidR="00B628C8" w:rsidRDefault="00B628C8">
            <w:pPr>
              <w:pStyle w:val="TableParagraph"/>
              <w:ind w:left="0"/>
              <w:jc w:val="center"/>
              <w:rPr>
                <w:lang w:val="en-US"/>
              </w:rPr>
            </w:pPr>
            <w:r>
              <w:rPr>
                <w:lang w:val="en-US"/>
              </w:rPr>
              <w:t>91 (15,9)</w:t>
            </w:r>
          </w:p>
        </w:tc>
        <w:tc>
          <w:tcPr>
            <w:tcW w:w="3010" w:type="dxa"/>
            <w:tcBorders>
              <w:top w:val="single" w:sz="4" w:space="0" w:color="000000"/>
              <w:left w:val="single" w:sz="4" w:space="0" w:color="000000"/>
              <w:bottom w:val="single" w:sz="4" w:space="0" w:color="000000"/>
              <w:right w:val="single" w:sz="4" w:space="0" w:color="000000"/>
            </w:tcBorders>
            <w:hideMark/>
          </w:tcPr>
          <w:p w14:paraId="61611C4B" w14:textId="77777777" w:rsidR="00B628C8" w:rsidRDefault="00B628C8">
            <w:pPr>
              <w:pStyle w:val="TableParagraph"/>
              <w:ind w:left="0"/>
              <w:jc w:val="center"/>
              <w:rPr>
                <w:lang w:val="en-US"/>
              </w:rPr>
            </w:pPr>
            <w:r>
              <w:rPr>
                <w:lang w:val="en-US"/>
              </w:rPr>
              <w:t>201 (34,9)</w:t>
            </w:r>
          </w:p>
        </w:tc>
      </w:tr>
      <w:tr w:rsidR="00B628C8" w14:paraId="10675030" w14:textId="77777777" w:rsidTr="00B628C8">
        <w:trPr>
          <w:trHeight w:val="258"/>
        </w:trPr>
        <w:tc>
          <w:tcPr>
            <w:tcW w:w="3010" w:type="dxa"/>
            <w:tcBorders>
              <w:top w:val="single" w:sz="4" w:space="0" w:color="000000"/>
              <w:left w:val="single" w:sz="4" w:space="0" w:color="000000"/>
              <w:bottom w:val="single" w:sz="4" w:space="0" w:color="000000"/>
              <w:right w:val="single" w:sz="4" w:space="0" w:color="000000"/>
            </w:tcBorders>
            <w:hideMark/>
          </w:tcPr>
          <w:p w14:paraId="13CEB604" w14:textId="77777777" w:rsidR="00B628C8" w:rsidRDefault="00B628C8">
            <w:pPr>
              <w:pStyle w:val="TableParagraph"/>
              <w:ind w:left="0"/>
              <w:rPr>
                <w:i/>
                <w:lang w:val="en-US"/>
              </w:rPr>
            </w:pPr>
            <w:r>
              <w:rPr>
                <w:lang w:val="en-US"/>
              </w:rPr>
              <w:t>Median, måneder (95 % CI)</w:t>
            </w:r>
            <w:r>
              <w:rPr>
                <w:i/>
                <w:vertAlign w:val="superscript"/>
                <w:lang w:val="en-US"/>
              </w:rPr>
              <w:t>1</w:t>
            </w:r>
          </w:p>
        </w:tc>
        <w:tc>
          <w:tcPr>
            <w:tcW w:w="3044" w:type="dxa"/>
            <w:tcBorders>
              <w:top w:val="single" w:sz="4" w:space="0" w:color="000000"/>
              <w:left w:val="single" w:sz="4" w:space="0" w:color="000000"/>
              <w:bottom w:val="single" w:sz="4" w:space="0" w:color="000000"/>
              <w:right w:val="single" w:sz="4" w:space="0" w:color="000000"/>
            </w:tcBorders>
            <w:hideMark/>
          </w:tcPr>
          <w:p w14:paraId="7C297F3B" w14:textId="77777777" w:rsidR="00B628C8" w:rsidRDefault="00B628C8">
            <w:pPr>
              <w:pStyle w:val="TableParagraph"/>
              <w:ind w:left="0"/>
              <w:jc w:val="center"/>
              <w:rPr>
                <w:lang w:val="en-US"/>
              </w:rPr>
            </w:pPr>
            <w:r>
              <w:rPr>
                <w:lang w:val="en-US"/>
              </w:rPr>
              <w:t>NR</w:t>
            </w:r>
          </w:p>
        </w:tc>
        <w:tc>
          <w:tcPr>
            <w:tcW w:w="3010" w:type="dxa"/>
            <w:tcBorders>
              <w:top w:val="single" w:sz="4" w:space="0" w:color="000000"/>
              <w:left w:val="single" w:sz="4" w:space="0" w:color="000000"/>
              <w:bottom w:val="single" w:sz="4" w:space="0" w:color="000000"/>
              <w:right w:val="single" w:sz="4" w:space="0" w:color="000000"/>
            </w:tcBorders>
            <w:hideMark/>
          </w:tcPr>
          <w:p w14:paraId="5F02FB15" w14:textId="77777777" w:rsidR="00B628C8" w:rsidRDefault="00B628C8">
            <w:pPr>
              <w:pStyle w:val="TableParagraph"/>
              <w:ind w:left="0"/>
              <w:jc w:val="center"/>
              <w:rPr>
                <w:lang w:val="en-US"/>
              </w:rPr>
            </w:pPr>
            <w:r>
              <w:rPr>
                <w:lang w:val="en-US"/>
              </w:rPr>
              <w:t>19,0 (16,6; 22,2)</w:t>
            </w:r>
          </w:p>
        </w:tc>
      </w:tr>
      <w:tr w:rsidR="00B628C8" w14:paraId="7D8BDF2F" w14:textId="77777777" w:rsidTr="00B628C8">
        <w:trPr>
          <w:trHeight w:val="261"/>
        </w:trPr>
        <w:tc>
          <w:tcPr>
            <w:tcW w:w="3010" w:type="dxa"/>
            <w:tcBorders>
              <w:top w:val="single" w:sz="4" w:space="0" w:color="000000"/>
              <w:left w:val="single" w:sz="4" w:space="0" w:color="000000"/>
              <w:bottom w:val="single" w:sz="4" w:space="0" w:color="000000"/>
              <w:right w:val="single" w:sz="4" w:space="0" w:color="000000"/>
            </w:tcBorders>
            <w:hideMark/>
          </w:tcPr>
          <w:p w14:paraId="667C0911" w14:textId="77777777" w:rsidR="00B628C8" w:rsidRDefault="00B628C8">
            <w:pPr>
              <w:pStyle w:val="TableParagraph"/>
              <w:ind w:left="0"/>
              <w:rPr>
                <w:i/>
                <w:lang w:val="en-US"/>
              </w:rPr>
            </w:pPr>
            <w:r>
              <w:rPr>
                <w:i/>
                <w:lang w:val="en-US"/>
              </w:rPr>
              <w:t xml:space="preserve">Hazard </w:t>
            </w:r>
            <w:r>
              <w:rPr>
                <w:i/>
                <w:iCs/>
                <w:lang w:val="en-US"/>
              </w:rPr>
              <w:t>ratio</w:t>
            </w:r>
            <w:r>
              <w:rPr>
                <w:lang w:val="en-US"/>
              </w:rPr>
              <w:t xml:space="preserve"> (95 % CI)</w:t>
            </w:r>
            <w:r>
              <w:rPr>
                <w:i/>
                <w:vertAlign w:val="superscript"/>
                <w:lang w:val="en-US"/>
              </w:rPr>
              <w:t>2</w:t>
            </w:r>
          </w:p>
        </w:tc>
        <w:tc>
          <w:tcPr>
            <w:tcW w:w="6054" w:type="dxa"/>
            <w:gridSpan w:val="2"/>
            <w:tcBorders>
              <w:top w:val="single" w:sz="4" w:space="0" w:color="000000"/>
              <w:left w:val="single" w:sz="4" w:space="0" w:color="000000"/>
              <w:bottom w:val="single" w:sz="4" w:space="0" w:color="000000"/>
              <w:right w:val="single" w:sz="4" w:space="0" w:color="000000"/>
            </w:tcBorders>
            <w:hideMark/>
          </w:tcPr>
          <w:p w14:paraId="3F74C3E4" w14:textId="77777777" w:rsidR="00B628C8" w:rsidRDefault="00B628C8">
            <w:pPr>
              <w:pStyle w:val="TableParagraph"/>
              <w:ind w:left="0"/>
              <w:jc w:val="center"/>
              <w:rPr>
                <w:lang w:val="en-US"/>
              </w:rPr>
            </w:pPr>
            <w:r>
              <w:rPr>
                <w:lang w:val="en-US"/>
              </w:rPr>
              <w:t>0,39 (0,30; 0,50)</w:t>
            </w:r>
          </w:p>
        </w:tc>
      </w:tr>
      <w:tr w:rsidR="00B628C8" w14:paraId="3A7CB76B" w14:textId="77777777" w:rsidTr="00B628C8">
        <w:trPr>
          <w:trHeight w:val="258"/>
        </w:trPr>
        <w:tc>
          <w:tcPr>
            <w:tcW w:w="3010" w:type="dxa"/>
            <w:tcBorders>
              <w:top w:val="single" w:sz="4" w:space="0" w:color="000000"/>
              <w:left w:val="single" w:sz="4" w:space="0" w:color="000000"/>
              <w:bottom w:val="single" w:sz="4" w:space="0" w:color="000000"/>
              <w:right w:val="single" w:sz="4" w:space="0" w:color="000000"/>
            </w:tcBorders>
            <w:hideMark/>
          </w:tcPr>
          <w:p w14:paraId="79FE1AB6" w14:textId="77777777" w:rsidR="00B628C8" w:rsidRDefault="00B628C8">
            <w:pPr>
              <w:pStyle w:val="TableParagraph"/>
              <w:ind w:left="0"/>
              <w:rPr>
                <w:i/>
                <w:lang w:val="en-US"/>
              </w:rPr>
            </w:pPr>
            <w:r>
              <w:rPr>
                <w:lang w:val="en-US"/>
              </w:rPr>
              <w:t>P-værdi</w:t>
            </w:r>
            <w:r>
              <w:rPr>
                <w:i/>
                <w:vertAlign w:val="superscript"/>
                <w:lang w:val="en-US"/>
              </w:rPr>
              <w:t>2</w:t>
            </w:r>
          </w:p>
        </w:tc>
        <w:tc>
          <w:tcPr>
            <w:tcW w:w="6054" w:type="dxa"/>
            <w:gridSpan w:val="2"/>
            <w:tcBorders>
              <w:top w:val="single" w:sz="4" w:space="0" w:color="000000"/>
              <w:left w:val="single" w:sz="4" w:space="0" w:color="000000"/>
              <w:bottom w:val="single" w:sz="4" w:space="0" w:color="000000"/>
              <w:right w:val="single" w:sz="4" w:space="0" w:color="000000"/>
            </w:tcBorders>
            <w:hideMark/>
          </w:tcPr>
          <w:p w14:paraId="2453B613" w14:textId="77777777" w:rsidR="00B628C8" w:rsidRDefault="00B628C8">
            <w:pPr>
              <w:pStyle w:val="TableParagraph"/>
              <w:ind w:left="0"/>
              <w:jc w:val="center"/>
              <w:rPr>
                <w:lang w:val="en-US"/>
              </w:rPr>
            </w:pPr>
            <w:r>
              <w:rPr>
                <w:lang w:val="en-US"/>
              </w:rPr>
              <w:t>p &lt; 0,0001</w:t>
            </w:r>
          </w:p>
        </w:tc>
      </w:tr>
    </w:tbl>
    <w:p w14:paraId="5D954668" w14:textId="77777777" w:rsidR="00B628C8" w:rsidRDefault="00B628C8" w:rsidP="009A4F82">
      <w:pPr>
        <w:ind w:left="284"/>
        <w:rPr>
          <w:sz w:val="18"/>
          <w:szCs w:val="22"/>
        </w:rPr>
      </w:pPr>
      <w:r>
        <w:rPr>
          <w:sz w:val="18"/>
        </w:rPr>
        <w:t>NR = Ikke nået.</w:t>
      </w:r>
    </w:p>
    <w:p w14:paraId="42BAE902" w14:textId="77777777" w:rsidR="00B628C8" w:rsidRDefault="00B628C8" w:rsidP="009A4F82">
      <w:pPr>
        <w:pStyle w:val="Listeafsnit"/>
        <w:numPr>
          <w:ilvl w:val="0"/>
          <w:numId w:val="8"/>
        </w:numPr>
        <w:tabs>
          <w:tab w:val="left" w:pos="567"/>
        </w:tabs>
        <w:ind w:left="284" w:firstLine="0"/>
        <w:rPr>
          <w:sz w:val="18"/>
        </w:rPr>
      </w:pPr>
      <w:r>
        <w:rPr>
          <w:sz w:val="18"/>
        </w:rPr>
        <w:t>Beregnet med Brookmeyer and</w:t>
      </w:r>
      <w:r>
        <w:rPr>
          <w:spacing w:val="1"/>
          <w:sz w:val="18"/>
        </w:rPr>
        <w:t xml:space="preserve"> </w:t>
      </w:r>
      <w:r>
        <w:rPr>
          <w:sz w:val="18"/>
        </w:rPr>
        <w:t>Crowley-metoden.</w:t>
      </w:r>
    </w:p>
    <w:p w14:paraId="1789DAC7" w14:textId="77777777" w:rsidR="00B628C8" w:rsidRDefault="00B628C8" w:rsidP="009A4F82">
      <w:pPr>
        <w:pStyle w:val="Listeafsnit"/>
        <w:numPr>
          <w:ilvl w:val="0"/>
          <w:numId w:val="8"/>
        </w:numPr>
        <w:tabs>
          <w:tab w:val="left" w:pos="567"/>
        </w:tabs>
        <w:ind w:left="284" w:firstLine="0"/>
        <w:rPr>
          <w:sz w:val="18"/>
        </w:rPr>
      </w:pPr>
      <w:r>
        <w:rPr>
          <w:sz w:val="18"/>
        </w:rPr>
        <w:t xml:space="preserve">Stratificeret efter sygdomsvolumen (lav </w:t>
      </w:r>
      <w:r>
        <w:rPr>
          <w:i/>
          <w:sz w:val="18"/>
        </w:rPr>
        <w:t xml:space="preserve">versus </w:t>
      </w:r>
      <w:r>
        <w:rPr>
          <w:sz w:val="18"/>
        </w:rPr>
        <w:t>høj) og tidligere brug af docetaxel (ja eller</w:t>
      </w:r>
      <w:r>
        <w:rPr>
          <w:spacing w:val="-7"/>
          <w:sz w:val="18"/>
        </w:rPr>
        <w:t xml:space="preserve"> </w:t>
      </w:r>
      <w:r>
        <w:rPr>
          <w:sz w:val="18"/>
        </w:rPr>
        <w:t>nej).</w:t>
      </w:r>
    </w:p>
    <w:p w14:paraId="1E9AD119" w14:textId="6B70A3F0" w:rsidR="00B628C8" w:rsidRDefault="00B628C8" w:rsidP="00B628C8">
      <w:pPr>
        <w:pStyle w:val="Brdtekst"/>
        <w:rPr>
          <w:sz w:val="20"/>
        </w:rPr>
      </w:pPr>
    </w:p>
    <w:p w14:paraId="5B4E27B8" w14:textId="77777777" w:rsidR="006E6318" w:rsidRDefault="006E6318" w:rsidP="00B628C8">
      <w:pPr>
        <w:pStyle w:val="Brdtekst"/>
        <w:rPr>
          <w:sz w:val="20"/>
        </w:rPr>
      </w:pPr>
    </w:p>
    <w:p w14:paraId="34546687" w14:textId="6C00DA4F" w:rsidR="00B628C8" w:rsidRDefault="00B628C8" w:rsidP="009A4F82">
      <w:pPr>
        <w:rPr>
          <w:b/>
          <w:sz w:val="24"/>
          <w:szCs w:val="24"/>
        </w:rPr>
      </w:pPr>
      <w:r w:rsidRPr="009A4F82">
        <w:rPr>
          <w:b/>
          <w:sz w:val="24"/>
          <w:szCs w:val="24"/>
        </w:rPr>
        <w:t>Figur 3: Kaplan-Meier-kurve over rPFS i ARCHES-studiet (</w:t>
      </w:r>
      <w:r w:rsidRPr="009A4F82">
        <w:rPr>
          <w:b/>
          <w:i/>
          <w:sz w:val="24"/>
          <w:szCs w:val="24"/>
        </w:rPr>
        <w:t>intent-to-treat</w:t>
      </w:r>
      <w:r w:rsidRPr="009A4F82">
        <w:rPr>
          <w:b/>
          <w:sz w:val="24"/>
          <w:szCs w:val="24"/>
        </w:rPr>
        <w:t>-analyse)</w:t>
      </w:r>
    </w:p>
    <w:p w14:paraId="24EE1699" w14:textId="77777777" w:rsidR="00B628C8" w:rsidRDefault="00B628C8" w:rsidP="00B628C8">
      <w:pPr>
        <w:pStyle w:val="Brdtekst"/>
        <w:rPr>
          <w:sz w:val="16"/>
        </w:rPr>
      </w:pPr>
      <w:r>
        <w:rPr>
          <w:noProof/>
        </w:rPr>
        <mc:AlternateContent>
          <mc:Choice Requires="wps">
            <w:drawing>
              <wp:anchor distT="45720" distB="45720" distL="114300" distR="114300" simplePos="0" relativeHeight="251667456" behindDoc="0" locked="0" layoutInCell="1" allowOverlap="1" wp14:anchorId="451658F5" wp14:editId="2F8C134D">
                <wp:simplePos x="0" y="0"/>
                <wp:positionH relativeFrom="column">
                  <wp:posOffset>182880</wp:posOffset>
                </wp:positionH>
                <wp:positionV relativeFrom="paragraph">
                  <wp:posOffset>66675</wp:posOffset>
                </wp:positionV>
                <wp:extent cx="491490" cy="256540"/>
                <wp:effectExtent l="0" t="0" r="3810" b="0"/>
                <wp:wrapSquare wrapText="bothSides"/>
                <wp:docPr id="258161635" name="Tekstfelt 258161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256540"/>
                        </a:xfrm>
                        <a:prstGeom prst="rect">
                          <a:avLst/>
                        </a:prstGeom>
                        <a:solidFill>
                          <a:srgbClr val="FFFFFF"/>
                        </a:solidFill>
                        <a:ln w="9525">
                          <a:noFill/>
                          <a:miter lim="800000"/>
                          <a:headEnd/>
                          <a:tailEnd/>
                        </a:ln>
                      </wps:spPr>
                      <wps:txbx>
                        <w:txbxContent>
                          <w:p w14:paraId="442BD42C" w14:textId="77777777" w:rsidR="00B628C8" w:rsidRDefault="00B628C8" w:rsidP="00B628C8">
                            <w:pPr>
                              <w:rPr>
                                <w:rFonts w:ascii="Arial" w:hAnsi="Arial" w:cs="Arial"/>
                                <w:sz w:val="12"/>
                                <w:szCs w:val="12"/>
                              </w:rPr>
                            </w:pPr>
                          </w:p>
                          <w:p w14:paraId="60776FAD" w14:textId="77777777" w:rsidR="00B628C8" w:rsidRDefault="00B628C8" w:rsidP="00B628C8">
                            <w:pPr>
                              <w:rPr>
                                <w:rFonts w:ascii="Arial" w:hAnsi="Arial" w:cs="Arial"/>
                                <w:sz w:val="12"/>
                                <w:szCs w:val="12"/>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1658F5" id="_x0000_t202" coordsize="21600,21600" o:spt="202" path="m,l,21600r21600,l21600,xe">
                <v:stroke joinstyle="miter"/>
                <v:path gradientshapeok="t" o:connecttype="rect"/>
              </v:shapetype>
              <v:shape id="Tekstfelt 258161635" o:spid="_x0000_s1026" type="#_x0000_t202" style="position:absolute;margin-left:14.4pt;margin-top:5.25pt;width:38.7pt;height:20.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" stroked="f">
                <v:textbox inset="0,0,0,0">
                  <w:txbxContent>
                    <w:p w14:paraId="442BD42C" w14:textId="77777777" w:rsidR="00B628C8" w:rsidRDefault="00B628C8" w:rsidP="00B628C8">
                      <w:pPr>
                        <w:rPr>
                          <w:rFonts w:ascii="Arial" w:hAnsi="Arial" w:cs="Arial"/>
                          <w:sz w:val="12"/>
                          <w:szCs w:val="12"/>
                        </w:rPr>
                      </w:pPr>
                    </w:p>
                    <w:p w14:paraId="60776FAD" w14:textId="77777777" w:rsidR="00B628C8" w:rsidRDefault="00B628C8" w:rsidP="00B628C8">
                      <w:pPr>
                        <w:rPr>
                          <w:rFonts w:ascii="Arial" w:hAnsi="Arial" w:cs="Arial"/>
                          <w:sz w:val="12"/>
                          <w:szCs w:val="12"/>
                        </w:rPr>
                      </w:pP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055F7750" wp14:editId="347E48B8">
                <wp:simplePos x="0" y="0"/>
                <wp:positionH relativeFrom="column">
                  <wp:posOffset>863600</wp:posOffset>
                </wp:positionH>
                <wp:positionV relativeFrom="paragraph">
                  <wp:posOffset>2157730</wp:posOffset>
                </wp:positionV>
                <wp:extent cx="491490" cy="127000"/>
                <wp:effectExtent l="0" t="0" r="3810" b="6350"/>
                <wp:wrapSquare wrapText="bothSides"/>
                <wp:docPr id="1516174339" name="Tekstfelt 1516174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127000"/>
                        </a:xfrm>
                        <a:prstGeom prst="rect">
                          <a:avLst/>
                        </a:prstGeom>
                        <a:solidFill>
                          <a:srgbClr val="FFFFFF"/>
                        </a:solidFill>
                        <a:ln w="9525">
                          <a:noFill/>
                          <a:miter lim="800000"/>
                          <a:headEnd/>
                          <a:tailEnd/>
                        </a:ln>
                      </wps:spPr>
                      <wps:txbx>
                        <w:txbxContent>
                          <w:p w14:paraId="7A7BEB81" w14:textId="77777777" w:rsidR="00B628C8" w:rsidRDefault="00B628C8" w:rsidP="00B628C8">
                            <w:pPr>
                              <w:rPr>
                                <w:rFonts w:ascii="Arial" w:hAnsi="Arial" w:cs="Arial"/>
                                <w:sz w:val="12"/>
                                <w:szCs w:val="12"/>
                              </w:rPr>
                            </w:pPr>
                            <w:r>
                              <w:rPr>
                                <w:rFonts w:ascii="Arial" w:hAnsi="Arial" w:cs="Arial"/>
                                <w:sz w:val="12"/>
                                <w:szCs w:val="12"/>
                              </w:rPr>
                              <w:t>Enzalutamid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F7750" id="Tekstfelt 1516174339" o:spid="_x0000_s1027" type="#_x0000_t202" style="position:absolute;margin-left:68pt;margin-top:169.9pt;width:38.7pt;height:10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" stroked="f">
                <v:textbox inset="0,0,0,0">
                  <w:txbxContent>
                    <w:p w14:paraId="7A7BEB81" w14:textId="77777777" w:rsidR="00B628C8" w:rsidRDefault="00B628C8" w:rsidP="00B628C8">
                      <w:pPr>
                        <w:rPr>
                          <w:rFonts w:ascii="Arial" w:hAnsi="Arial" w:cs="Arial"/>
                          <w:sz w:val="12"/>
                          <w:szCs w:val="12"/>
                        </w:rPr>
                      </w:pPr>
                      <w:r>
                        <w:rPr>
                          <w:rFonts w:ascii="Arial" w:hAnsi="Arial" w:cs="Arial"/>
                          <w:sz w:val="12"/>
                          <w:szCs w:val="12"/>
                        </w:rPr>
                        <w:t>Enzalutamid</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3A70F667" wp14:editId="296AC557">
                <wp:simplePos x="0" y="0"/>
                <wp:positionH relativeFrom="column">
                  <wp:posOffset>76200</wp:posOffset>
                </wp:positionH>
                <wp:positionV relativeFrom="paragraph">
                  <wp:posOffset>2912110</wp:posOffset>
                </wp:positionV>
                <wp:extent cx="491490" cy="127000"/>
                <wp:effectExtent l="0" t="0" r="3810" b="6350"/>
                <wp:wrapSquare wrapText="bothSides"/>
                <wp:docPr id="217" name="Tekstfelt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127000"/>
                        </a:xfrm>
                        <a:prstGeom prst="rect">
                          <a:avLst/>
                        </a:prstGeom>
                        <a:solidFill>
                          <a:srgbClr val="FFFFFF"/>
                        </a:solidFill>
                        <a:ln w="9525">
                          <a:noFill/>
                          <a:miter lim="800000"/>
                          <a:headEnd/>
                          <a:tailEnd/>
                        </a:ln>
                      </wps:spPr>
                      <wps:txbx>
                        <w:txbxContent>
                          <w:p w14:paraId="3E9E68DA" w14:textId="77777777" w:rsidR="00B628C8" w:rsidRDefault="00B628C8" w:rsidP="00B628C8">
                            <w:pPr>
                              <w:rPr>
                                <w:rFonts w:ascii="Arial" w:hAnsi="Arial" w:cs="Arial"/>
                                <w:sz w:val="12"/>
                                <w:szCs w:val="12"/>
                              </w:rPr>
                            </w:pPr>
                            <w:r>
                              <w:rPr>
                                <w:rFonts w:ascii="Arial" w:hAnsi="Arial" w:cs="Arial"/>
                                <w:sz w:val="12"/>
                                <w:szCs w:val="12"/>
                              </w:rPr>
                              <w:t>Enzalutamid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0F667" id="Tekstfelt 217" o:spid="_x0000_s1028" type="#_x0000_t202" style="position:absolute;margin-left:6pt;margin-top:229.3pt;width:38.7pt;height:10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" stroked="f">
                <v:textbox inset="0,0,0,0">
                  <w:txbxContent>
                    <w:p w14:paraId="3E9E68DA" w14:textId="77777777" w:rsidR="00B628C8" w:rsidRDefault="00B628C8" w:rsidP="00B628C8">
                      <w:pPr>
                        <w:rPr>
                          <w:rFonts w:ascii="Arial" w:hAnsi="Arial" w:cs="Arial"/>
                          <w:sz w:val="12"/>
                          <w:szCs w:val="12"/>
                        </w:rPr>
                      </w:pPr>
                      <w:r>
                        <w:rPr>
                          <w:rFonts w:ascii="Arial" w:hAnsi="Arial" w:cs="Arial"/>
                          <w:sz w:val="12"/>
                          <w:szCs w:val="12"/>
                        </w:rPr>
                        <w:t>Enzalutamid</w:t>
                      </w:r>
                    </w:p>
                  </w:txbxContent>
                </v:textbox>
                <w10:wrap type="square"/>
              </v:shape>
            </w:pict>
          </mc:Fallback>
        </mc:AlternateContent>
      </w:r>
      <w:r>
        <w:rPr>
          <w:noProof/>
        </w:rPr>
        <w:drawing>
          <wp:anchor distT="0" distB="0" distL="0" distR="0" simplePos="0" relativeHeight="251660288" behindDoc="0" locked="0" layoutInCell="1" allowOverlap="1" wp14:anchorId="1AA9AC0E" wp14:editId="69233C44">
            <wp:simplePos x="0" y="0"/>
            <wp:positionH relativeFrom="page">
              <wp:posOffset>1024890</wp:posOffset>
            </wp:positionH>
            <wp:positionV relativeFrom="paragraph">
              <wp:posOffset>148590</wp:posOffset>
            </wp:positionV>
            <wp:extent cx="5139055" cy="2954655"/>
            <wp:effectExtent l="0" t="0" r="4445" b="0"/>
            <wp:wrapTopAndBottom/>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9055" cy="2954655"/>
                    </a:xfrm>
                    <a:prstGeom prst="rect">
                      <a:avLst/>
                    </a:prstGeom>
                    <a:noFill/>
                  </pic:spPr>
                </pic:pic>
              </a:graphicData>
            </a:graphic>
            <wp14:sizeRelH relativeFrom="page">
              <wp14:pctWidth>0</wp14:pctWidth>
            </wp14:sizeRelH>
            <wp14:sizeRelV relativeFrom="page">
              <wp14:pctHeight>0</wp14:pctHeight>
            </wp14:sizeRelV>
          </wp:anchor>
        </w:drawing>
      </w:r>
    </w:p>
    <w:p w14:paraId="5CE59EFB" w14:textId="77777777" w:rsidR="00B628C8" w:rsidRDefault="00B628C8" w:rsidP="00B628C8">
      <w:pPr>
        <w:pStyle w:val="Brdtekst"/>
        <w:rPr>
          <w:sz w:val="26"/>
        </w:rPr>
      </w:pPr>
    </w:p>
    <w:p w14:paraId="7010F43F" w14:textId="77777777" w:rsidR="00B628C8" w:rsidRPr="00B628C8" w:rsidRDefault="00B628C8" w:rsidP="00B628C8">
      <w:pPr>
        <w:pStyle w:val="Brdtekst"/>
        <w:ind w:left="851"/>
        <w:rPr>
          <w:sz w:val="24"/>
          <w:szCs w:val="24"/>
        </w:rPr>
      </w:pPr>
      <w:r w:rsidRPr="00B628C8">
        <w:rPr>
          <w:sz w:val="24"/>
          <w:szCs w:val="24"/>
        </w:rPr>
        <w:t>De vigtigste sekundære virkningsendepunkter vurderet i studiet omfattede tid til PSA-progression, tid til initiering af ny antineoplastisk behandling, upåviselig PSA-rate (fald til &lt; 0,2 µg/l) og objektiv responsrate (RECIST 1.1 baseret på uafhængig vurdering). Der blev påvist statistisk signifikante forbedringer hos patienter behandlet med enzalutamid sammenlignet med placebo for alle disse sekundære endepunkter.</w:t>
      </w:r>
    </w:p>
    <w:p w14:paraId="557718C2" w14:textId="77777777" w:rsidR="00B628C8" w:rsidRPr="00B628C8" w:rsidRDefault="00B628C8" w:rsidP="00B628C8">
      <w:pPr>
        <w:pStyle w:val="Brdtekst"/>
        <w:ind w:left="851"/>
        <w:rPr>
          <w:sz w:val="24"/>
          <w:szCs w:val="24"/>
        </w:rPr>
      </w:pPr>
    </w:p>
    <w:p w14:paraId="54FDBEB0" w14:textId="77777777" w:rsidR="00B628C8" w:rsidRPr="00B628C8" w:rsidRDefault="00B628C8" w:rsidP="00B628C8">
      <w:pPr>
        <w:pStyle w:val="Brdtekst"/>
        <w:ind w:left="851"/>
        <w:rPr>
          <w:sz w:val="24"/>
          <w:szCs w:val="24"/>
        </w:rPr>
      </w:pPr>
      <w:r w:rsidRPr="00B628C8">
        <w:rPr>
          <w:sz w:val="24"/>
          <w:szCs w:val="24"/>
        </w:rPr>
        <w:t>Et andet vigtigt sekundært effektendepunkt, der blev vurderet i studiet, var samlet overlevelse. I den præspecificerede endelige analyse for samlet overlevelse, som blev udført, da 356 dødsfald var observeret, blev der påvist en statistisk signifikant reduktion på 34 % i risikoen for dødsfald i den gruppe, der var randomiseret til at få enzalutamid, sammenlignet med gruppen, der var randomiseret til at få placebo [HR = 0,66 (95 % CI: 0,53; 0,81), p &lt; 0,0001]. Mediantiden for samlet overlevelse blev ikke nået i nogen af behandlingsgrupperne. Den estimerede median opfølgningstid for alle patienter var 44,6 måneder (se figur</w:t>
      </w:r>
      <w:r w:rsidRPr="00B628C8">
        <w:rPr>
          <w:spacing w:val="-6"/>
          <w:sz w:val="24"/>
          <w:szCs w:val="24"/>
        </w:rPr>
        <w:t xml:space="preserve"> </w:t>
      </w:r>
      <w:r w:rsidRPr="00B628C8">
        <w:rPr>
          <w:sz w:val="24"/>
          <w:szCs w:val="24"/>
        </w:rPr>
        <w:t>4).</w:t>
      </w:r>
    </w:p>
    <w:p w14:paraId="25895B94" w14:textId="1C7DA385" w:rsidR="006E6318" w:rsidRDefault="006E6318">
      <w:pPr>
        <w:rPr>
          <w:sz w:val="22"/>
          <w:szCs w:val="22"/>
        </w:rPr>
      </w:pPr>
      <w:r>
        <w:br w:type="page"/>
      </w:r>
    </w:p>
    <w:p w14:paraId="1AF6F1F8" w14:textId="77777777" w:rsidR="00B628C8" w:rsidRDefault="00B628C8" w:rsidP="00B628C8">
      <w:pPr>
        <w:pStyle w:val="Brdtekst"/>
      </w:pPr>
    </w:p>
    <w:p w14:paraId="218AF6FD" w14:textId="2E548068" w:rsidR="00B628C8" w:rsidRDefault="00B628C8" w:rsidP="006E6318">
      <w:pPr>
        <w:ind w:left="993" w:hanging="993"/>
        <w:rPr>
          <w:b/>
          <w:sz w:val="24"/>
          <w:szCs w:val="24"/>
        </w:rPr>
      </w:pPr>
      <w:r w:rsidRPr="006E6318">
        <w:rPr>
          <w:b/>
          <w:sz w:val="24"/>
          <w:szCs w:val="24"/>
        </w:rPr>
        <w:t>Figur 4:</w:t>
      </w:r>
      <w:r w:rsidR="006E6318">
        <w:rPr>
          <w:b/>
          <w:sz w:val="24"/>
          <w:szCs w:val="24"/>
        </w:rPr>
        <w:tab/>
      </w:r>
      <w:r w:rsidRPr="006E6318">
        <w:rPr>
          <w:b/>
          <w:sz w:val="24"/>
          <w:szCs w:val="24"/>
        </w:rPr>
        <w:t>Kaplan-Meier-kurver for samlet overlevelse i ARCHES-studiet (</w:t>
      </w:r>
      <w:r w:rsidRPr="006E6318">
        <w:rPr>
          <w:b/>
          <w:i/>
          <w:sz w:val="24"/>
          <w:szCs w:val="24"/>
        </w:rPr>
        <w:t>intent-to-treat</w:t>
      </w:r>
      <w:r w:rsidRPr="006E6318">
        <w:rPr>
          <w:b/>
          <w:sz w:val="24"/>
          <w:szCs w:val="24"/>
        </w:rPr>
        <w:t>-analyse)</w:t>
      </w:r>
    </w:p>
    <w:p w14:paraId="6B32008E" w14:textId="7E60E873" w:rsidR="00B628C8" w:rsidRDefault="00B628C8" w:rsidP="00B628C8">
      <w:pPr>
        <w:pStyle w:val="Brdtekst"/>
        <w:rPr>
          <w:sz w:val="27"/>
        </w:rPr>
      </w:pPr>
      <w:r>
        <w:rPr>
          <w:noProof/>
        </w:rPr>
        <w:drawing>
          <wp:anchor distT="0" distB="0" distL="0" distR="0" simplePos="0" relativeHeight="251661312" behindDoc="0" locked="0" layoutInCell="1" allowOverlap="1" wp14:anchorId="7A3A585E" wp14:editId="5AFB866D">
            <wp:simplePos x="0" y="0"/>
            <wp:positionH relativeFrom="margin">
              <wp:align>left</wp:align>
            </wp:positionH>
            <wp:positionV relativeFrom="paragraph">
              <wp:posOffset>311150</wp:posOffset>
            </wp:positionV>
            <wp:extent cx="5412740" cy="2689225"/>
            <wp:effectExtent l="0" t="0" r="0" b="0"/>
            <wp:wrapTopAndBottom/>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2740" cy="2689225"/>
                    </a:xfrm>
                    <a:prstGeom prst="rect">
                      <a:avLst/>
                    </a:prstGeom>
                    <a:noFill/>
                  </pic:spPr>
                </pic:pic>
              </a:graphicData>
            </a:graphic>
            <wp14:sizeRelH relativeFrom="page">
              <wp14:pctWidth>0</wp14:pctWidth>
            </wp14:sizeRelH>
            <wp14:sizeRelV relativeFrom="page">
              <wp14:pctHeight>0</wp14:pctHeight>
            </wp14:sizeRelV>
          </wp:anchor>
        </w:drawing>
      </w:r>
    </w:p>
    <w:p w14:paraId="784C2DB6" w14:textId="77777777" w:rsidR="00B628C8" w:rsidRPr="006E6318" w:rsidRDefault="00B628C8" w:rsidP="00B628C8">
      <w:pPr>
        <w:pStyle w:val="Brdtekst"/>
        <w:ind w:left="851"/>
        <w:rPr>
          <w:sz w:val="24"/>
          <w:szCs w:val="24"/>
        </w:rPr>
      </w:pPr>
    </w:p>
    <w:p w14:paraId="1D828F23" w14:textId="636228CE" w:rsidR="00B628C8" w:rsidRPr="00B628C8" w:rsidRDefault="00B628C8" w:rsidP="00B628C8">
      <w:pPr>
        <w:ind w:left="851"/>
        <w:rPr>
          <w:i/>
          <w:sz w:val="24"/>
          <w:szCs w:val="24"/>
        </w:rPr>
      </w:pPr>
      <w:r w:rsidRPr="00B628C8">
        <w:rPr>
          <w:i/>
          <w:sz w:val="24"/>
          <w:szCs w:val="24"/>
        </w:rPr>
        <w:t>MDV3100-14 (PROSPER)-studiet (patienter med ikke-metastatisk CRPC)</w:t>
      </w:r>
    </w:p>
    <w:p w14:paraId="5DCAB5BE" w14:textId="77777777" w:rsidR="00B628C8" w:rsidRPr="00B628C8" w:rsidRDefault="00B628C8" w:rsidP="00B628C8">
      <w:pPr>
        <w:pStyle w:val="Brdtekst"/>
        <w:ind w:left="851"/>
        <w:rPr>
          <w:sz w:val="24"/>
          <w:szCs w:val="24"/>
        </w:rPr>
      </w:pPr>
      <w:r w:rsidRPr="00B628C8">
        <w:rPr>
          <w:sz w:val="24"/>
          <w:szCs w:val="24"/>
        </w:rPr>
        <w:t>PROSPER-studiet inkluderede 1401 patienter med asymptomatisk, højrisiko, ikke-metastatisk CRPC, som fortsatte med androgen deprivationsbehandling (ADT, defineret som LHRH-analog eller tidligere bilateral orkiektomi). Patienterne skulle have en PSA-fordoblingstid på ≤ 10 måneder, PSA ≥ 2 ng/ml og bekræftelse af ikke-metastatisk sygdom ved blindet uafhængig central evaluering (</w:t>
      </w:r>
      <w:r w:rsidRPr="00B628C8">
        <w:rPr>
          <w:i/>
          <w:sz w:val="24"/>
          <w:szCs w:val="24"/>
        </w:rPr>
        <w:t>Blinded Independent Central Review, BICR</w:t>
      </w:r>
      <w:r w:rsidRPr="00B628C8">
        <w:rPr>
          <w:sz w:val="24"/>
          <w:szCs w:val="24"/>
        </w:rPr>
        <w:t>).</w:t>
      </w:r>
    </w:p>
    <w:p w14:paraId="44AB264B" w14:textId="77777777" w:rsidR="00B628C8" w:rsidRPr="00B628C8" w:rsidRDefault="00B628C8" w:rsidP="00B628C8">
      <w:pPr>
        <w:pStyle w:val="Brdtekst"/>
        <w:ind w:left="851"/>
        <w:rPr>
          <w:sz w:val="24"/>
          <w:szCs w:val="24"/>
        </w:rPr>
      </w:pPr>
    </w:p>
    <w:p w14:paraId="74E8F724" w14:textId="77777777" w:rsidR="00B628C8" w:rsidRPr="00B628C8" w:rsidRDefault="00B628C8" w:rsidP="00B628C8">
      <w:pPr>
        <w:pStyle w:val="Brdtekst"/>
        <w:ind w:left="851"/>
        <w:rPr>
          <w:sz w:val="24"/>
          <w:szCs w:val="24"/>
        </w:rPr>
      </w:pPr>
      <w:r w:rsidRPr="00B628C8">
        <w:rPr>
          <w:sz w:val="24"/>
          <w:szCs w:val="24"/>
        </w:rPr>
        <w:t>Patienter med let til moderat hjertesvigt (NYHA-klasse I eller II) i anamnesen, og patienter, som tog lægemidler forbundet med sænkning af krampetærsklen, blev inkluderet. Patienter med krampeanfald i anamnesen, en sygdom som kan prædisponere dem for krampeanfald eller visse tidligere behandlinger for prostatacancer (dvs. kemoterapi, ketoconazol, abirateronacetat, aminoglutetimid og/eller enzalutamid) blev ekskluderet.</w:t>
      </w:r>
    </w:p>
    <w:p w14:paraId="285E0F80" w14:textId="77777777" w:rsidR="00B628C8" w:rsidRPr="00B628C8" w:rsidRDefault="00B628C8" w:rsidP="00B628C8">
      <w:pPr>
        <w:pStyle w:val="Brdtekst"/>
        <w:ind w:left="851"/>
        <w:rPr>
          <w:sz w:val="24"/>
          <w:szCs w:val="24"/>
        </w:rPr>
      </w:pPr>
    </w:p>
    <w:p w14:paraId="3B8558DF" w14:textId="77777777" w:rsidR="00B628C8" w:rsidRPr="00B628C8" w:rsidRDefault="00B628C8" w:rsidP="00B628C8">
      <w:pPr>
        <w:pStyle w:val="Brdtekst"/>
        <w:ind w:left="851"/>
        <w:rPr>
          <w:sz w:val="24"/>
          <w:szCs w:val="24"/>
        </w:rPr>
      </w:pPr>
      <w:r w:rsidRPr="00B628C8">
        <w:rPr>
          <w:sz w:val="24"/>
          <w:szCs w:val="24"/>
        </w:rPr>
        <w:t>Patienterne blev randomiseret 2:1 til at modtage enten enzalutamid i en dosis på 160 mg én gang dagligt (N = 933) eller placebo (N = 468). Patienterne blev stratificeret efter Prostata Specifik Antigen (PSA) fordoblingstid (PSADT) (&lt; 6 måneder eller ≥ 6 måneder) og brug af midler mod knogleskørhed (ja eller nej).</w:t>
      </w:r>
    </w:p>
    <w:p w14:paraId="05AF45C5" w14:textId="77777777" w:rsidR="00B628C8" w:rsidRPr="00B628C8" w:rsidRDefault="00B628C8" w:rsidP="00B628C8">
      <w:pPr>
        <w:pStyle w:val="Brdtekst"/>
        <w:ind w:left="851"/>
        <w:rPr>
          <w:sz w:val="24"/>
          <w:szCs w:val="24"/>
        </w:rPr>
      </w:pPr>
    </w:p>
    <w:p w14:paraId="3014597B" w14:textId="77777777" w:rsidR="00B628C8" w:rsidRPr="00B628C8" w:rsidRDefault="00B628C8" w:rsidP="00B628C8">
      <w:pPr>
        <w:pStyle w:val="Brdtekst"/>
        <w:ind w:left="851"/>
        <w:rPr>
          <w:sz w:val="24"/>
          <w:szCs w:val="24"/>
        </w:rPr>
      </w:pPr>
      <w:r w:rsidRPr="00B628C8">
        <w:rPr>
          <w:sz w:val="24"/>
          <w:szCs w:val="24"/>
        </w:rPr>
        <w:t xml:space="preserve">De demografiske kendetegn, samt kendetegnene ved </w:t>
      </w:r>
      <w:r w:rsidRPr="00B628C8">
        <w:rPr>
          <w:i/>
          <w:sz w:val="24"/>
          <w:szCs w:val="24"/>
        </w:rPr>
        <w:t>baseline</w:t>
      </w:r>
      <w:r w:rsidRPr="00B628C8">
        <w:rPr>
          <w:sz w:val="24"/>
          <w:szCs w:val="24"/>
        </w:rPr>
        <w:t>, var velafbalanceret mellem de to behandlingsarme. Medianalderen ved randomisering var 74 år i enzalutamidarmen og 73 år i placeboarmen. De fleste patienter (ca. 71 %) i studiet var kaukasiere; 16 % var asiater og 2 % var sorte. 81 % af patienterne havde en ECOG- funktionsscore på 0, og 19 % patienter havde en ECOG- funktionsscore på 1.</w:t>
      </w:r>
    </w:p>
    <w:p w14:paraId="17B97F08" w14:textId="77777777" w:rsidR="00B628C8" w:rsidRPr="00B628C8" w:rsidRDefault="00B628C8" w:rsidP="00B628C8">
      <w:pPr>
        <w:pStyle w:val="Brdtekst"/>
        <w:ind w:left="851"/>
        <w:rPr>
          <w:sz w:val="24"/>
          <w:szCs w:val="24"/>
        </w:rPr>
      </w:pPr>
    </w:p>
    <w:p w14:paraId="424B03FD" w14:textId="77777777" w:rsidR="00B628C8" w:rsidRPr="00B628C8" w:rsidRDefault="00B628C8" w:rsidP="00B628C8">
      <w:pPr>
        <w:pStyle w:val="Brdtekst"/>
        <w:ind w:left="851"/>
        <w:rPr>
          <w:sz w:val="24"/>
          <w:szCs w:val="24"/>
        </w:rPr>
      </w:pPr>
      <w:r w:rsidRPr="00B628C8">
        <w:rPr>
          <w:sz w:val="24"/>
          <w:szCs w:val="24"/>
        </w:rPr>
        <w:t xml:space="preserve">Det primære endepunkt var metastasefri overlevelse (MFS), defineret som tiden fra randomisering til radiografisk progression eller død, inden for 112 dage efter afsluttet behandling uden tegn på radiografisk progression, uafhængigt af hvad der indtraf først. De vigtigste sekundære endepunkter vurderet i studiet var tid til PSA-progression, tid til første brug af ny antineoplastisk behandling (TTA), samlet overlevelse (OS). Yderligere sekundære endepunkter inkluderede tid til første brug af cytotoksisk kemoterapi og </w:t>
      </w:r>
      <w:r w:rsidRPr="00B628C8">
        <w:rPr>
          <w:sz w:val="24"/>
          <w:szCs w:val="24"/>
        </w:rPr>
        <w:lastRenderedPageBreak/>
        <w:t>kemoterapifri overlevelse. Se resultater nedenfor (tabel 4).</w:t>
      </w:r>
    </w:p>
    <w:p w14:paraId="52E4CF96" w14:textId="77777777" w:rsidR="00B628C8" w:rsidRPr="00B628C8" w:rsidRDefault="00B628C8" w:rsidP="00B628C8">
      <w:pPr>
        <w:pStyle w:val="Brdtekst"/>
        <w:ind w:left="851"/>
        <w:rPr>
          <w:sz w:val="24"/>
          <w:szCs w:val="24"/>
        </w:rPr>
      </w:pPr>
    </w:p>
    <w:p w14:paraId="2EFC7CB1" w14:textId="77777777" w:rsidR="00B628C8" w:rsidRPr="00B628C8" w:rsidRDefault="00B628C8" w:rsidP="00B628C8">
      <w:pPr>
        <w:pStyle w:val="Brdtekst"/>
        <w:ind w:left="851"/>
        <w:rPr>
          <w:sz w:val="24"/>
          <w:szCs w:val="24"/>
        </w:rPr>
      </w:pPr>
      <w:r w:rsidRPr="00B628C8">
        <w:rPr>
          <w:color w:val="212121"/>
          <w:sz w:val="24"/>
          <w:szCs w:val="24"/>
        </w:rPr>
        <w:t xml:space="preserve">Enzalutamid viste en statistisk signifikant reduktion på 71 % i den relative risiko for radiografisk progression eller død sammenlignet med placebo [HR = 0,29 (95 % CI: 0,24, 0,35), </w:t>
      </w:r>
      <w:r w:rsidRPr="00B628C8">
        <w:rPr>
          <w:sz w:val="24"/>
          <w:szCs w:val="24"/>
        </w:rPr>
        <w:t>p &lt; 0,0001]</w:t>
      </w:r>
      <w:r w:rsidRPr="00B628C8">
        <w:rPr>
          <w:color w:val="212121"/>
          <w:sz w:val="24"/>
          <w:szCs w:val="24"/>
        </w:rPr>
        <w:t xml:space="preserve">. Median MFS var 36,6 måneder (95 % CI: 33,1, NR) i enzalutamidarmen mod 14,7 måneder (95 % CI: 14,2, 15,0) i placeboarmen. Konsistente MFS-resultater blev også observeret i alle forhåndsspecificerede patientundergrupper, inklusive PSADT </w:t>
      </w:r>
      <w:r w:rsidRPr="00B628C8">
        <w:rPr>
          <w:sz w:val="24"/>
          <w:szCs w:val="24"/>
        </w:rPr>
        <w:t>(&lt; 6 måneder eller ≥ 6 måneder), demografisk område (Nordamerika, Europa, resten af verden), alder (&lt; 75 måneder eller ≥ 75), tidligere brug af et middel mod knogleskørhed (ja eller nej) (se figur 5).</w:t>
      </w:r>
    </w:p>
    <w:p w14:paraId="27486BEB" w14:textId="77777777" w:rsidR="00B628C8" w:rsidRPr="00B628C8" w:rsidRDefault="00B628C8" w:rsidP="00B628C8">
      <w:pPr>
        <w:pStyle w:val="Brdtekst"/>
        <w:ind w:left="851"/>
        <w:rPr>
          <w:sz w:val="24"/>
          <w:szCs w:val="24"/>
        </w:rPr>
      </w:pPr>
    </w:p>
    <w:p w14:paraId="2060D324" w14:textId="77777777" w:rsidR="00B628C8" w:rsidRPr="00282BE9" w:rsidRDefault="00B628C8" w:rsidP="00282BE9">
      <w:pPr>
        <w:rPr>
          <w:b/>
          <w:sz w:val="24"/>
          <w:szCs w:val="24"/>
        </w:rPr>
      </w:pPr>
      <w:r w:rsidRPr="00282BE9">
        <w:rPr>
          <w:b/>
          <w:sz w:val="24"/>
          <w:szCs w:val="24"/>
        </w:rPr>
        <w:t>Tabel 4: Resumé af effektresultater i PROSPER-studiet (</w:t>
      </w:r>
      <w:r w:rsidRPr="00282BE9">
        <w:rPr>
          <w:b/>
          <w:i/>
          <w:sz w:val="24"/>
          <w:szCs w:val="24"/>
        </w:rPr>
        <w:t>intent-to-treat</w:t>
      </w:r>
      <w:r w:rsidRPr="00282BE9">
        <w:rPr>
          <w:b/>
          <w:sz w:val="24"/>
          <w:szCs w:val="24"/>
        </w:rPr>
        <w:t>-analyse)</w:t>
      </w:r>
    </w:p>
    <w:p w14:paraId="3D90CB78" w14:textId="77777777" w:rsidR="00B628C8" w:rsidRDefault="00B628C8" w:rsidP="00B628C8">
      <w:pPr>
        <w:pStyle w:val="Brdtekst"/>
        <w:rPr>
          <w:b/>
          <w:sz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4"/>
        <w:gridCol w:w="2316"/>
        <w:gridCol w:w="2292"/>
      </w:tblGrid>
      <w:tr w:rsidR="00B628C8" w14:paraId="694275AB" w14:textId="77777777" w:rsidTr="00B628C8">
        <w:trPr>
          <w:trHeight w:val="506"/>
        </w:trPr>
        <w:tc>
          <w:tcPr>
            <w:tcW w:w="4454" w:type="dxa"/>
            <w:tcBorders>
              <w:top w:val="single" w:sz="4" w:space="0" w:color="000000"/>
              <w:left w:val="single" w:sz="4" w:space="0" w:color="000000"/>
              <w:bottom w:val="single" w:sz="4" w:space="0" w:color="000000"/>
              <w:right w:val="single" w:sz="4" w:space="0" w:color="000000"/>
            </w:tcBorders>
          </w:tcPr>
          <w:p w14:paraId="76DA87B1" w14:textId="77777777" w:rsidR="00B628C8" w:rsidRDefault="00B628C8">
            <w:pPr>
              <w:pStyle w:val="TableParagraph"/>
              <w:ind w:left="0"/>
              <w:rPr>
                <w:sz w:val="20"/>
                <w:lang w:val="en-US"/>
              </w:rPr>
            </w:pPr>
          </w:p>
        </w:tc>
        <w:tc>
          <w:tcPr>
            <w:tcW w:w="2316" w:type="dxa"/>
            <w:tcBorders>
              <w:top w:val="single" w:sz="4" w:space="0" w:color="000000"/>
              <w:left w:val="single" w:sz="4" w:space="0" w:color="000000"/>
              <w:bottom w:val="single" w:sz="4" w:space="0" w:color="000000"/>
              <w:right w:val="single" w:sz="4" w:space="0" w:color="000000"/>
            </w:tcBorders>
            <w:hideMark/>
          </w:tcPr>
          <w:p w14:paraId="38948DFB" w14:textId="77777777" w:rsidR="00B628C8" w:rsidRDefault="00B628C8">
            <w:pPr>
              <w:pStyle w:val="TableParagraph"/>
              <w:ind w:left="0"/>
              <w:jc w:val="center"/>
              <w:rPr>
                <w:b/>
                <w:lang w:val="en-US"/>
              </w:rPr>
            </w:pPr>
            <w:r>
              <w:rPr>
                <w:b/>
                <w:lang w:val="en-US"/>
              </w:rPr>
              <w:t xml:space="preserve">Enzalutamid </w:t>
            </w:r>
          </w:p>
          <w:p w14:paraId="3617B99D" w14:textId="77777777" w:rsidR="00B628C8" w:rsidRDefault="00B628C8">
            <w:pPr>
              <w:pStyle w:val="TableParagraph"/>
              <w:ind w:left="0"/>
              <w:jc w:val="center"/>
              <w:rPr>
                <w:b/>
                <w:lang w:val="en-US"/>
              </w:rPr>
            </w:pPr>
            <w:r>
              <w:rPr>
                <w:b/>
                <w:lang w:val="en-US"/>
              </w:rPr>
              <w:t>(N = 933)</w:t>
            </w:r>
          </w:p>
        </w:tc>
        <w:tc>
          <w:tcPr>
            <w:tcW w:w="2292" w:type="dxa"/>
            <w:tcBorders>
              <w:top w:val="single" w:sz="4" w:space="0" w:color="000000"/>
              <w:left w:val="single" w:sz="4" w:space="0" w:color="000000"/>
              <w:bottom w:val="single" w:sz="4" w:space="0" w:color="000000"/>
              <w:right w:val="single" w:sz="4" w:space="0" w:color="000000"/>
            </w:tcBorders>
            <w:hideMark/>
          </w:tcPr>
          <w:p w14:paraId="4738974C" w14:textId="77777777" w:rsidR="00B628C8" w:rsidRDefault="00B628C8">
            <w:pPr>
              <w:pStyle w:val="TableParagraph"/>
              <w:ind w:left="0"/>
              <w:jc w:val="center"/>
              <w:rPr>
                <w:b/>
                <w:lang w:val="en-US"/>
              </w:rPr>
            </w:pPr>
            <w:r>
              <w:rPr>
                <w:b/>
                <w:lang w:val="en-US"/>
              </w:rPr>
              <w:t xml:space="preserve">Placebo </w:t>
            </w:r>
          </w:p>
          <w:p w14:paraId="61112197" w14:textId="77777777" w:rsidR="00B628C8" w:rsidRDefault="00B628C8">
            <w:pPr>
              <w:pStyle w:val="TableParagraph"/>
              <w:ind w:left="0"/>
              <w:jc w:val="center"/>
              <w:rPr>
                <w:b/>
                <w:lang w:val="en-US"/>
              </w:rPr>
            </w:pPr>
            <w:r>
              <w:rPr>
                <w:b/>
                <w:lang w:val="en-US"/>
              </w:rPr>
              <w:t>(N = 468)</w:t>
            </w:r>
          </w:p>
        </w:tc>
      </w:tr>
      <w:tr w:rsidR="00B628C8" w14:paraId="33C3C696" w14:textId="77777777" w:rsidTr="00B628C8">
        <w:trPr>
          <w:trHeight w:val="251"/>
        </w:trPr>
        <w:tc>
          <w:tcPr>
            <w:tcW w:w="9062" w:type="dxa"/>
            <w:gridSpan w:val="3"/>
            <w:tcBorders>
              <w:top w:val="single" w:sz="4" w:space="0" w:color="000000"/>
              <w:left w:val="single" w:sz="4" w:space="0" w:color="000000"/>
              <w:bottom w:val="single" w:sz="4" w:space="0" w:color="000000"/>
              <w:right w:val="single" w:sz="4" w:space="0" w:color="000000"/>
            </w:tcBorders>
            <w:hideMark/>
          </w:tcPr>
          <w:p w14:paraId="35A91CD4" w14:textId="77777777" w:rsidR="00B628C8" w:rsidRDefault="00B628C8">
            <w:pPr>
              <w:pStyle w:val="TableParagraph"/>
              <w:ind w:left="0"/>
              <w:rPr>
                <w:b/>
                <w:lang w:val="en-US"/>
              </w:rPr>
            </w:pPr>
            <w:r>
              <w:rPr>
                <w:b/>
                <w:lang w:val="en-US"/>
              </w:rPr>
              <w:t>Primært endepunkt</w:t>
            </w:r>
          </w:p>
        </w:tc>
      </w:tr>
      <w:tr w:rsidR="00B628C8" w14:paraId="1A09EE0F" w14:textId="77777777" w:rsidTr="00B628C8">
        <w:trPr>
          <w:trHeight w:val="251"/>
        </w:trPr>
        <w:tc>
          <w:tcPr>
            <w:tcW w:w="9062" w:type="dxa"/>
            <w:gridSpan w:val="3"/>
            <w:tcBorders>
              <w:top w:val="single" w:sz="4" w:space="0" w:color="000000"/>
              <w:left w:val="single" w:sz="4" w:space="0" w:color="000000"/>
              <w:bottom w:val="single" w:sz="4" w:space="0" w:color="000000"/>
              <w:right w:val="single" w:sz="4" w:space="0" w:color="000000"/>
            </w:tcBorders>
            <w:hideMark/>
          </w:tcPr>
          <w:p w14:paraId="78A62C99" w14:textId="77777777" w:rsidR="00B628C8" w:rsidRDefault="00B628C8">
            <w:pPr>
              <w:pStyle w:val="TableParagraph"/>
              <w:ind w:left="0"/>
              <w:rPr>
                <w:b/>
                <w:lang w:val="en-US"/>
              </w:rPr>
            </w:pPr>
            <w:r>
              <w:rPr>
                <w:b/>
                <w:lang w:val="en-US"/>
              </w:rPr>
              <w:t>Metastasefri overlevelse</w:t>
            </w:r>
          </w:p>
        </w:tc>
      </w:tr>
      <w:tr w:rsidR="00B628C8" w14:paraId="4EEBFED4" w14:textId="77777777" w:rsidTr="00B628C8">
        <w:trPr>
          <w:trHeight w:val="253"/>
        </w:trPr>
        <w:tc>
          <w:tcPr>
            <w:tcW w:w="4454" w:type="dxa"/>
            <w:tcBorders>
              <w:top w:val="single" w:sz="4" w:space="0" w:color="000000"/>
              <w:left w:val="single" w:sz="4" w:space="0" w:color="000000"/>
              <w:bottom w:val="single" w:sz="4" w:space="0" w:color="000000"/>
              <w:right w:val="single" w:sz="4" w:space="0" w:color="000000"/>
            </w:tcBorders>
            <w:hideMark/>
          </w:tcPr>
          <w:p w14:paraId="09FE6E53" w14:textId="77777777" w:rsidR="00B628C8" w:rsidRDefault="00B628C8">
            <w:pPr>
              <w:pStyle w:val="TableParagraph"/>
              <w:ind w:left="0"/>
              <w:rPr>
                <w:lang w:val="en-US"/>
              </w:rPr>
            </w:pPr>
            <w:r>
              <w:rPr>
                <w:lang w:val="en-US"/>
              </w:rPr>
              <w:t xml:space="preserve">   Antal hændelser (%)</w:t>
            </w:r>
          </w:p>
        </w:tc>
        <w:tc>
          <w:tcPr>
            <w:tcW w:w="2316" w:type="dxa"/>
            <w:tcBorders>
              <w:top w:val="single" w:sz="4" w:space="0" w:color="000000"/>
              <w:left w:val="single" w:sz="4" w:space="0" w:color="000000"/>
              <w:bottom w:val="single" w:sz="4" w:space="0" w:color="000000"/>
              <w:right w:val="single" w:sz="4" w:space="0" w:color="000000"/>
            </w:tcBorders>
            <w:hideMark/>
          </w:tcPr>
          <w:p w14:paraId="00DB1476" w14:textId="77777777" w:rsidR="00B628C8" w:rsidRDefault="00B628C8">
            <w:pPr>
              <w:pStyle w:val="TableParagraph"/>
              <w:ind w:left="0"/>
              <w:jc w:val="center"/>
              <w:rPr>
                <w:lang w:val="en-US"/>
              </w:rPr>
            </w:pPr>
            <w:r>
              <w:rPr>
                <w:lang w:val="en-US"/>
              </w:rPr>
              <w:t>219 (23,5)</w:t>
            </w:r>
          </w:p>
        </w:tc>
        <w:tc>
          <w:tcPr>
            <w:tcW w:w="2292" w:type="dxa"/>
            <w:tcBorders>
              <w:top w:val="single" w:sz="4" w:space="0" w:color="000000"/>
              <w:left w:val="single" w:sz="4" w:space="0" w:color="000000"/>
              <w:bottom w:val="single" w:sz="4" w:space="0" w:color="000000"/>
              <w:right w:val="single" w:sz="4" w:space="0" w:color="000000"/>
            </w:tcBorders>
            <w:hideMark/>
          </w:tcPr>
          <w:p w14:paraId="6FACB015" w14:textId="77777777" w:rsidR="00B628C8" w:rsidRDefault="00B628C8">
            <w:pPr>
              <w:pStyle w:val="TableParagraph"/>
              <w:ind w:left="0"/>
              <w:jc w:val="center"/>
              <w:rPr>
                <w:lang w:val="en-US"/>
              </w:rPr>
            </w:pPr>
            <w:r>
              <w:rPr>
                <w:lang w:val="en-US"/>
              </w:rPr>
              <w:t>228 (48,7)</w:t>
            </w:r>
          </w:p>
        </w:tc>
      </w:tr>
      <w:tr w:rsidR="00B628C8" w14:paraId="3200CD8A" w14:textId="77777777" w:rsidTr="00B628C8">
        <w:trPr>
          <w:trHeight w:val="253"/>
        </w:trPr>
        <w:tc>
          <w:tcPr>
            <w:tcW w:w="4454" w:type="dxa"/>
            <w:tcBorders>
              <w:top w:val="single" w:sz="4" w:space="0" w:color="000000"/>
              <w:left w:val="single" w:sz="4" w:space="0" w:color="000000"/>
              <w:bottom w:val="single" w:sz="4" w:space="0" w:color="000000"/>
              <w:right w:val="single" w:sz="4" w:space="0" w:color="000000"/>
            </w:tcBorders>
            <w:hideMark/>
          </w:tcPr>
          <w:p w14:paraId="4E9BF14B" w14:textId="77777777" w:rsidR="00B628C8" w:rsidRDefault="00B628C8">
            <w:pPr>
              <w:pStyle w:val="TableParagraph"/>
              <w:ind w:left="0"/>
              <w:rPr>
                <w:i/>
                <w:sz w:val="13"/>
                <w:lang w:val="en-US"/>
              </w:rPr>
            </w:pPr>
            <w:r>
              <w:rPr>
                <w:lang w:val="en-US"/>
              </w:rPr>
              <w:t xml:space="preserve">   Median, måneder (95 % CI)</w:t>
            </w:r>
            <w:r>
              <w:rPr>
                <w:i/>
                <w:position w:val="7"/>
                <w:sz w:val="13"/>
                <w:lang w:val="en-US"/>
              </w:rPr>
              <w:t>1</w:t>
            </w:r>
          </w:p>
        </w:tc>
        <w:tc>
          <w:tcPr>
            <w:tcW w:w="2316" w:type="dxa"/>
            <w:tcBorders>
              <w:top w:val="single" w:sz="4" w:space="0" w:color="000000"/>
              <w:left w:val="single" w:sz="4" w:space="0" w:color="000000"/>
              <w:bottom w:val="single" w:sz="4" w:space="0" w:color="000000"/>
              <w:right w:val="single" w:sz="4" w:space="0" w:color="000000"/>
            </w:tcBorders>
            <w:hideMark/>
          </w:tcPr>
          <w:p w14:paraId="4F84A1C3" w14:textId="77777777" w:rsidR="00B628C8" w:rsidRDefault="00B628C8">
            <w:pPr>
              <w:pStyle w:val="TableParagraph"/>
              <w:ind w:left="0"/>
              <w:jc w:val="center"/>
              <w:rPr>
                <w:lang w:val="en-US"/>
              </w:rPr>
            </w:pPr>
            <w:r>
              <w:rPr>
                <w:lang w:val="en-US"/>
              </w:rPr>
              <w:t>36,6 (33,1, NR)</w:t>
            </w:r>
          </w:p>
        </w:tc>
        <w:tc>
          <w:tcPr>
            <w:tcW w:w="2292" w:type="dxa"/>
            <w:tcBorders>
              <w:top w:val="single" w:sz="4" w:space="0" w:color="000000"/>
              <w:left w:val="single" w:sz="4" w:space="0" w:color="000000"/>
              <w:bottom w:val="single" w:sz="4" w:space="0" w:color="000000"/>
              <w:right w:val="single" w:sz="4" w:space="0" w:color="000000"/>
            </w:tcBorders>
            <w:hideMark/>
          </w:tcPr>
          <w:p w14:paraId="2E3E95AD" w14:textId="77777777" w:rsidR="00B628C8" w:rsidRDefault="00B628C8">
            <w:pPr>
              <w:pStyle w:val="TableParagraph"/>
              <w:ind w:left="0"/>
              <w:jc w:val="center"/>
              <w:rPr>
                <w:lang w:val="en-US"/>
              </w:rPr>
            </w:pPr>
            <w:r>
              <w:rPr>
                <w:lang w:val="en-US"/>
              </w:rPr>
              <w:t>14,7 (14,2, 15,0)</w:t>
            </w:r>
          </w:p>
        </w:tc>
      </w:tr>
      <w:tr w:rsidR="00B628C8" w14:paraId="3C39EB46" w14:textId="77777777" w:rsidTr="00B628C8">
        <w:trPr>
          <w:trHeight w:val="251"/>
        </w:trPr>
        <w:tc>
          <w:tcPr>
            <w:tcW w:w="4454" w:type="dxa"/>
            <w:tcBorders>
              <w:top w:val="single" w:sz="4" w:space="0" w:color="000000"/>
              <w:left w:val="single" w:sz="4" w:space="0" w:color="000000"/>
              <w:bottom w:val="single" w:sz="4" w:space="0" w:color="000000"/>
              <w:right w:val="single" w:sz="4" w:space="0" w:color="000000"/>
            </w:tcBorders>
            <w:hideMark/>
          </w:tcPr>
          <w:p w14:paraId="63D9E9BE" w14:textId="77777777" w:rsidR="00B628C8" w:rsidRDefault="00B628C8">
            <w:pPr>
              <w:pStyle w:val="TableParagraph"/>
              <w:ind w:left="0"/>
              <w:rPr>
                <w:i/>
                <w:lang w:val="en-US"/>
              </w:rPr>
            </w:pPr>
            <w:r>
              <w:rPr>
                <w:i/>
                <w:lang w:val="en-US"/>
              </w:rPr>
              <w:t xml:space="preserve">   Hazard </w:t>
            </w:r>
            <w:r>
              <w:rPr>
                <w:i/>
                <w:iCs/>
                <w:lang w:val="en-US"/>
              </w:rPr>
              <w:t>ratio</w:t>
            </w:r>
            <w:r>
              <w:rPr>
                <w:lang w:val="en-US"/>
              </w:rPr>
              <w:t xml:space="preserve"> (95 % CI)</w:t>
            </w:r>
            <w:r>
              <w:rPr>
                <w:i/>
                <w:vertAlign w:val="superscript"/>
                <w:lang w:val="en-US"/>
              </w:rPr>
              <w:t>2</w:t>
            </w:r>
          </w:p>
        </w:tc>
        <w:tc>
          <w:tcPr>
            <w:tcW w:w="4608" w:type="dxa"/>
            <w:gridSpan w:val="2"/>
            <w:tcBorders>
              <w:top w:val="single" w:sz="4" w:space="0" w:color="000000"/>
              <w:left w:val="single" w:sz="4" w:space="0" w:color="000000"/>
              <w:bottom w:val="single" w:sz="4" w:space="0" w:color="000000"/>
              <w:right w:val="single" w:sz="4" w:space="0" w:color="000000"/>
            </w:tcBorders>
            <w:hideMark/>
          </w:tcPr>
          <w:p w14:paraId="39E90A38" w14:textId="77777777" w:rsidR="00B628C8" w:rsidRDefault="00B628C8">
            <w:pPr>
              <w:pStyle w:val="TableParagraph"/>
              <w:ind w:left="0"/>
              <w:jc w:val="center"/>
              <w:rPr>
                <w:lang w:val="en-US"/>
              </w:rPr>
            </w:pPr>
            <w:r>
              <w:rPr>
                <w:lang w:val="en-US"/>
              </w:rPr>
              <w:t>0,29 (0,24, 0,35)</w:t>
            </w:r>
          </w:p>
        </w:tc>
      </w:tr>
      <w:tr w:rsidR="00B628C8" w14:paraId="1D4EB288" w14:textId="77777777" w:rsidTr="00B628C8">
        <w:trPr>
          <w:trHeight w:val="253"/>
        </w:trPr>
        <w:tc>
          <w:tcPr>
            <w:tcW w:w="4454" w:type="dxa"/>
            <w:tcBorders>
              <w:top w:val="single" w:sz="4" w:space="0" w:color="000000"/>
              <w:left w:val="single" w:sz="4" w:space="0" w:color="000000"/>
              <w:bottom w:val="single" w:sz="4" w:space="0" w:color="000000"/>
              <w:right w:val="single" w:sz="4" w:space="0" w:color="000000"/>
            </w:tcBorders>
            <w:hideMark/>
          </w:tcPr>
          <w:p w14:paraId="1503A99C" w14:textId="77777777" w:rsidR="00B628C8" w:rsidRDefault="00B628C8">
            <w:pPr>
              <w:pStyle w:val="TableParagraph"/>
              <w:ind w:left="0"/>
              <w:rPr>
                <w:i/>
                <w:sz w:val="13"/>
                <w:lang w:val="en-US"/>
              </w:rPr>
            </w:pPr>
            <w:r>
              <w:rPr>
                <w:lang w:val="en-US"/>
              </w:rPr>
              <w:t xml:space="preserve">   P-værdi</w:t>
            </w:r>
            <w:hyperlink r:id="rId12" w:anchor="_bookmark1" w:history="1">
              <w:r>
                <w:rPr>
                  <w:rStyle w:val="Hyperlink"/>
                  <w:i/>
                  <w:position w:val="7"/>
                  <w:sz w:val="13"/>
                  <w:lang w:val="en-US"/>
                </w:rPr>
                <w:t>3</w:t>
              </w:r>
            </w:hyperlink>
          </w:p>
        </w:tc>
        <w:tc>
          <w:tcPr>
            <w:tcW w:w="4608" w:type="dxa"/>
            <w:gridSpan w:val="2"/>
            <w:tcBorders>
              <w:top w:val="single" w:sz="4" w:space="0" w:color="000000"/>
              <w:left w:val="single" w:sz="4" w:space="0" w:color="000000"/>
              <w:bottom w:val="single" w:sz="4" w:space="0" w:color="000000"/>
              <w:right w:val="single" w:sz="4" w:space="0" w:color="000000"/>
            </w:tcBorders>
            <w:hideMark/>
          </w:tcPr>
          <w:p w14:paraId="488E7C98" w14:textId="77777777" w:rsidR="00B628C8" w:rsidRDefault="00B628C8">
            <w:pPr>
              <w:pStyle w:val="TableParagraph"/>
              <w:ind w:left="0"/>
              <w:jc w:val="center"/>
              <w:rPr>
                <w:lang w:val="en-US"/>
              </w:rPr>
            </w:pPr>
            <w:r>
              <w:rPr>
                <w:lang w:val="en-US"/>
              </w:rPr>
              <w:t>p &lt; 0,0001</w:t>
            </w:r>
          </w:p>
        </w:tc>
      </w:tr>
      <w:tr w:rsidR="00B628C8" w14:paraId="49A3B2AB" w14:textId="77777777" w:rsidTr="00B628C8">
        <w:trPr>
          <w:trHeight w:val="251"/>
        </w:trPr>
        <w:tc>
          <w:tcPr>
            <w:tcW w:w="9062" w:type="dxa"/>
            <w:gridSpan w:val="3"/>
            <w:tcBorders>
              <w:top w:val="single" w:sz="4" w:space="0" w:color="000000"/>
              <w:left w:val="single" w:sz="4" w:space="0" w:color="000000"/>
              <w:bottom w:val="single" w:sz="4" w:space="0" w:color="000000"/>
              <w:right w:val="single" w:sz="4" w:space="0" w:color="000000"/>
            </w:tcBorders>
            <w:hideMark/>
          </w:tcPr>
          <w:p w14:paraId="6F23C0AD" w14:textId="77777777" w:rsidR="00B628C8" w:rsidRDefault="00B628C8">
            <w:pPr>
              <w:pStyle w:val="TableParagraph"/>
              <w:ind w:left="0"/>
              <w:rPr>
                <w:b/>
                <w:lang w:val="en-US"/>
              </w:rPr>
            </w:pPr>
            <w:r>
              <w:rPr>
                <w:b/>
                <w:lang w:val="en-US"/>
              </w:rPr>
              <w:t>Vigtigste sekundære effektendepunkter</w:t>
            </w:r>
          </w:p>
        </w:tc>
      </w:tr>
      <w:tr w:rsidR="00B628C8" w14:paraId="2A73CAA0" w14:textId="77777777" w:rsidTr="00B628C8">
        <w:trPr>
          <w:trHeight w:val="261"/>
        </w:trPr>
        <w:tc>
          <w:tcPr>
            <w:tcW w:w="9062" w:type="dxa"/>
            <w:gridSpan w:val="3"/>
            <w:tcBorders>
              <w:top w:val="single" w:sz="4" w:space="0" w:color="000000"/>
              <w:left w:val="single" w:sz="4" w:space="0" w:color="000000"/>
              <w:bottom w:val="single" w:sz="4" w:space="0" w:color="000000"/>
              <w:right w:val="single" w:sz="6" w:space="0" w:color="000000"/>
            </w:tcBorders>
            <w:hideMark/>
          </w:tcPr>
          <w:p w14:paraId="280A33D9" w14:textId="77777777" w:rsidR="00B628C8" w:rsidRDefault="00B628C8">
            <w:pPr>
              <w:pStyle w:val="TableParagraph"/>
              <w:ind w:left="0"/>
              <w:rPr>
                <w:i/>
                <w:lang w:val="en-US"/>
              </w:rPr>
            </w:pPr>
            <w:r>
              <w:rPr>
                <w:b/>
                <w:lang w:val="en-US"/>
              </w:rPr>
              <w:t>Samlet overlevelse</w:t>
            </w:r>
            <w:r>
              <w:rPr>
                <w:i/>
                <w:vertAlign w:val="superscript"/>
                <w:lang w:val="en-US"/>
              </w:rPr>
              <w:t>4</w:t>
            </w:r>
          </w:p>
        </w:tc>
      </w:tr>
      <w:tr w:rsidR="00B628C8" w14:paraId="3D0B4FFD" w14:textId="77777777" w:rsidTr="00B628C8">
        <w:trPr>
          <w:trHeight w:val="258"/>
        </w:trPr>
        <w:tc>
          <w:tcPr>
            <w:tcW w:w="4454" w:type="dxa"/>
            <w:tcBorders>
              <w:top w:val="single" w:sz="4" w:space="0" w:color="000000"/>
              <w:left w:val="single" w:sz="4" w:space="0" w:color="000000"/>
              <w:bottom w:val="single" w:sz="4" w:space="0" w:color="000000"/>
              <w:right w:val="single" w:sz="4" w:space="0" w:color="000000"/>
            </w:tcBorders>
            <w:hideMark/>
          </w:tcPr>
          <w:p w14:paraId="373117D8" w14:textId="77777777" w:rsidR="00B628C8" w:rsidRDefault="00B628C8">
            <w:pPr>
              <w:pStyle w:val="TableParagraph"/>
              <w:ind w:left="0"/>
              <w:rPr>
                <w:lang w:val="en-US"/>
              </w:rPr>
            </w:pPr>
            <w:r>
              <w:rPr>
                <w:lang w:val="en-US"/>
              </w:rPr>
              <w:t xml:space="preserve">   Antal hændelser (%)</w:t>
            </w:r>
          </w:p>
        </w:tc>
        <w:tc>
          <w:tcPr>
            <w:tcW w:w="2316" w:type="dxa"/>
            <w:tcBorders>
              <w:top w:val="single" w:sz="4" w:space="0" w:color="000000"/>
              <w:left w:val="single" w:sz="4" w:space="0" w:color="000000"/>
              <w:bottom w:val="single" w:sz="4" w:space="0" w:color="000000"/>
              <w:right w:val="single" w:sz="4" w:space="0" w:color="000000"/>
            </w:tcBorders>
            <w:hideMark/>
          </w:tcPr>
          <w:p w14:paraId="716C8A63" w14:textId="77777777" w:rsidR="00B628C8" w:rsidRDefault="00B628C8">
            <w:pPr>
              <w:pStyle w:val="TableParagraph"/>
              <w:ind w:left="0"/>
              <w:jc w:val="center"/>
              <w:rPr>
                <w:lang w:val="en-US"/>
              </w:rPr>
            </w:pPr>
            <w:r>
              <w:rPr>
                <w:lang w:val="en-US"/>
              </w:rPr>
              <w:t>288 (30,9)</w:t>
            </w:r>
          </w:p>
        </w:tc>
        <w:tc>
          <w:tcPr>
            <w:tcW w:w="2292" w:type="dxa"/>
            <w:tcBorders>
              <w:top w:val="single" w:sz="4" w:space="0" w:color="000000"/>
              <w:left w:val="single" w:sz="4" w:space="0" w:color="000000"/>
              <w:bottom w:val="single" w:sz="4" w:space="0" w:color="000000"/>
              <w:right w:val="single" w:sz="6" w:space="0" w:color="000000"/>
            </w:tcBorders>
            <w:hideMark/>
          </w:tcPr>
          <w:p w14:paraId="6C05FEC2" w14:textId="77777777" w:rsidR="00B628C8" w:rsidRDefault="00B628C8">
            <w:pPr>
              <w:pStyle w:val="TableParagraph"/>
              <w:ind w:left="0"/>
              <w:jc w:val="center"/>
              <w:rPr>
                <w:lang w:val="en-US"/>
              </w:rPr>
            </w:pPr>
            <w:r>
              <w:rPr>
                <w:lang w:val="en-US"/>
              </w:rPr>
              <w:t>178 (38,0)</w:t>
            </w:r>
          </w:p>
        </w:tc>
      </w:tr>
      <w:tr w:rsidR="00B628C8" w14:paraId="46762FE5" w14:textId="77777777" w:rsidTr="00B628C8">
        <w:trPr>
          <w:trHeight w:val="261"/>
        </w:trPr>
        <w:tc>
          <w:tcPr>
            <w:tcW w:w="4454" w:type="dxa"/>
            <w:tcBorders>
              <w:top w:val="single" w:sz="4" w:space="0" w:color="000000"/>
              <w:left w:val="single" w:sz="4" w:space="0" w:color="000000"/>
              <w:bottom w:val="single" w:sz="4" w:space="0" w:color="000000"/>
              <w:right w:val="single" w:sz="4" w:space="0" w:color="000000"/>
            </w:tcBorders>
            <w:hideMark/>
          </w:tcPr>
          <w:p w14:paraId="76086BF5" w14:textId="77777777" w:rsidR="00B628C8" w:rsidRDefault="00B628C8">
            <w:pPr>
              <w:pStyle w:val="TableParagraph"/>
              <w:ind w:left="0"/>
              <w:rPr>
                <w:i/>
                <w:lang w:val="en-US"/>
              </w:rPr>
            </w:pPr>
            <w:r>
              <w:rPr>
                <w:lang w:val="en-US"/>
              </w:rPr>
              <w:t xml:space="preserve">   Median, måneder (95 % CI)</w:t>
            </w:r>
            <w:r>
              <w:rPr>
                <w:i/>
                <w:vertAlign w:val="superscript"/>
                <w:lang w:val="en-US"/>
              </w:rPr>
              <w:t>1</w:t>
            </w:r>
          </w:p>
        </w:tc>
        <w:tc>
          <w:tcPr>
            <w:tcW w:w="2316" w:type="dxa"/>
            <w:tcBorders>
              <w:top w:val="single" w:sz="4" w:space="0" w:color="000000"/>
              <w:left w:val="single" w:sz="4" w:space="0" w:color="000000"/>
              <w:bottom w:val="single" w:sz="4" w:space="0" w:color="000000"/>
              <w:right w:val="single" w:sz="4" w:space="0" w:color="000000"/>
            </w:tcBorders>
            <w:hideMark/>
          </w:tcPr>
          <w:p w14:paraId="3C22880C" w14:textId="77777777" w:rsidR="00B628C8" w:rsidRDefault="00B628C8">
            <w:pPr>
              <w:pStyle w:val="TableParagraph"/>
              <w:ind w:left="0"/>
              <w:jc w:val="center"/>
              <w:rPr>
                <w:lang w:val="en-US"/>
              </w:rPr>
            </w:pPr>
            <w:r>
              <w:rPr>
                <w:lang w:val="en-US"/>
              </w:rPr>
              <w:t>67,0 (64,0, NR)</w:t>
            </w:r>
          </w:p>
        </w:tc>
        <w:tc>
          <w:tcPr>
            <w:tcW w:w="2292" w:type="dxa"/>
            <w:tcBorders>
              <w:top w:val="single" w:sz="4" w:space="0" w:color="000000"/>
              <w:left w:val="single" w:sz="4" w:space="0" w:color="000000"/>
              <w:bottom w:val="single" w:sz="4" w:space="0" w:color="000000"/>
              <w:right w:val="single" w:sz="6" w:space="0" w:color="000000"/>
            </w:tcBorders>
            <w:hideMark/>
          </w:tcPr>
          <w:p w14:paraId="13C9F985" w14:textId="77777777" w:rsidR="00B628C8" w:rsidRDefault="00B628C8">
            <w:pPr>
              <w:pStyle w:val="TableParagraph"/>
              <w:ind w:left="0"/>
              <w:jc w:val="center"/>
              <w:rPr>
                <w:lang w:val="en-US"/>
              </w:rPr>
            </w:pPr>
            <w:r>
              <w:rPr>
                <w:lang w:val="en-US"/>
              </w:rPr>
              <w:t>56,3 (54,4, 63,0)</w:t>
            </w:r>
          </w:p>
        </w:tc>
      </w:tr>
      <w:tr w:rsidR="00B628C8" w14:paraId="1678397F" w14:textId="77777777" w:rsidTr="00B628C8">
        <w:trPr>
          <w:trHeight w:val="258"/>
        </w:trPr>
        <w:tc>
          <w:tcPr>
            <w:tcW w:w="4454" w:type="dxa"/>
            <w:tcBorders>
              <w:top w:val="single" w:sz="4" w:space="0" w:color="000000"/>
              <w:left w:val="single" w:sz="4" w:space="0" w:color="000000"/>
              <w:bottom w:val="single" w:sz="4" w:space="0" w:color="000000"/>
              <w:right w:val="single" w:sz="4" w:space="0" w:color="000000"/>
            </w:tcBorders>
            <w:hideMark/>
          </w:tcPr>
          <w:p w14:paraId="3F183018" w14:textId="77777777" w:rsidR="00B628C8" w:rsidRDefault="00B628C8">
            <w:pPr>
              <w:pStyle w:val="TableParagraph"/>
              <w:ind w:left="0"/>
              <w:rPr>
                <w:i/>
                <w:lang w:val="en-US"/>
              </w:rPr>
            </w:pPr>
            <w:r>
              <w:rPr>
                <w:i/>
                <w:lang w:val="en-US"/>
              </w:rPr>
              <w:t xml:space="preserve">   Hazard </w:t>
            </w:r>
            <w:r>
              <w:rPr>
                <w:i/>
                <w:iCs/>
                <w:lang w:val="en-US"/>
              </w:rPr>
              <w:t>ratio</w:t>
            </w:r>
            <w:r>
              <w:rPr>
                <w:lang w:val="en-US"/>
              </w:rPr>
              <w:t xml:space="preserve"> (95 % CI)</w:t>
            </w:r>
            <w:r>
              <w:rPr>
                <w:i/>
                <w:vertAlign w:val="superscript"/>
                <w:lang w:val="en-US"/>
              </w:rPr>
              <w:t>2</w:t>
            </w:r>
          </w:p>
        </w:tc>
        <w:tc>
          <w:tcPr>
            <w:tcW w:w="4608" w:type="dxa"/>
            <w:gridSpan w:val="2"/>
            <w:tcBorders>
              <w:top w:val="single" w:sz="4" w:space="0" w:color="000000"/>
              <w:left w:val="single" w:sz="4" w:space="0" w:color="000000"/>
              <w:bottom w:val="single" w:sz="4" w:space="0" w:color="000000"/>
              <w:right w:val="single" w:sz="6" w:space="0" w:color="000000"/>
            </w:tcBorders>
            <w:hideMark/>
          </w:tcPr>
          <w:p w14:paraId="1DF9E2A3" w14:textId="77777777" w:rsidR="00B628C8" w:rsidRDefault="00B628C8">
            <w:pPr>
              <w:pStyle w:val="TableParagraph"/>
              <w:ind w:left="0"/>
              <w:jc w:val="center"/>
              <w:rPr>
                <w:lang w:val="en-US"/>
              </w:rPr>
            </w:pPr>
            <w:r>
              <w:rPr>
                <w:lang w:val="en-US"/>
              </w:rPr>
              <w:t>0,734 (0,608, 0,885)</w:t>
            </w:r>
          </w:p>
        </w:tc>
      </w:tr>
      <w:tr w:rsidR="00B628C8" w14:paraId="2B7EA5D1" w14:textId="77777777" w:rsidTr="00B628C8">
        <w:trPr>
          <w:trHeight w:val="261"/>
        </w:trPr>
        <w:tc>
          <w:tcPr>
            <w:tcW w:w="4454" w:type="dxa"/>
            <w:tcBorders>
              <w:top w:val="single" w:sz="4" w:space="0" w:color="000000"/>
              <w:left w:val="single" w:sz="4" w:space="0" w:color="000000"/>
              <w:bottom w:val="single" w:sz="4" w:space="0" w:color="000000"/>
              <w:right w:val="single" w:sz="4" w:space="0" w:color="000000"/>
            </w:tcBorders>
            <w:hideMark/>
          </w:tcPr>
          <w:p w14:paraId="1D426C0B" w14:textId="77777777" w:rsidR="00B628C8" w:rsidRDefault="00B628C8">
            <w:pPr>
              <w:pStyle w:val="TableParagraph"/>
              <w:ind w:left="0"/>
              <w:rPr>
                <w:i/>
                <w:lang w:val="en-US"/>
              </w:rPr>
            </w:pPr>
            <w:r>
              <w:rPr>
                <w:lang w:val="en-US"/>
              </w:rPr>
              <w:t xml:space="preserve">   P-værdi</w:t>
            </w:r>
            <w:r>
              <w:rPr>
                <w:i/>
                <w:vertAlign w:val="superscript"/>
                <w:lang w:val="en-US"/>
              </w:rPr>
              <w:t>3</w:t>
            </w:r>
          </w:p>
        </w:tc>
        <w:tc>
          <w:tcPr>
            <w:tcW w:w="4608" w:type="dxa"/>
            <w:gridSpan w:val="2"/>
            <w:tcBorders>
              <w:top w:val="single" w:sz="4" w:space="0" w:color="000000"/>
              <w:left w:val="single" w:sz="4" w:space="0" w:color="000000"/>
              <w:bottom w:val="single" w:sz="4" w:space="0" w:color="000000"/>
              <w:right w:val="single" w:sz="6" w:space="0" w:color="000000"/>
            </w:tcBorders>
            <w:hideMark/>
          </w:tcPr>
          <w:p w14:paraId="1837B099" w14:textId="77777777" w:rsidR="00B628C8" w:rsidRDefault="00B628C8">
            <w:pPr>
              <w:pStyle w:val="TableParagraph"/>
              <w:ind w:left="0"/>
              <w:jc w:val="center"/>
              <w:rPr>
                <w:lang w:val="en-US"/>
              </w:rPr>
            </w:pPr>
            <w:r>
              <w:rPr>
                <w:lang w:val="en-US"/>
              </w:rPr>
              <w:t>p = 0,0011</w:t>
            </w:r>
          </w:p>
        </w:tc>
      </w:tr>
      <w:tr w:rsidR="00B628C8" w14:paraId="44AE185D" w14:textId="77777777" w:rsidTr="00B628C8">
        <w:trPr>
          <w:trHeight w:val="251"/>
        </w:trPr>
        <w:tc>
          <w:tcPr>
            <w:tcW w:w="9062" w:type="dxa"/>
            <w:gridSpan w:val="3"/>
            <w:tcBorders>
              <w:top w:val="single" w:sz="4" w:space="0" w:color="000000"/>
              <w:left w:val="single" w:sz="4" w:space="0" w:color="000000"/>
              <w:bottom w:val="single" w:sz="4" w:space="0" w:color="000000"/>
              <w:right w:val="single" w:sz="4" w:space="0" w:color="000000"/>
            </w:tcBorders>
            <w:hideMark/>
          </w:tcPr>
          <w:p w14:paraId="34ABFA4C" w14:textId="77777777" w:rsidR="00B628C8" w:rsidRDefault="00B628C8">
            <w:pPr>
              <w:pStyle w:val="TableParagraph"/>
              <w:ind w:left="0"/>
              <w:rPr>
                <w:b/>
                <w:lang w:val="en-US"/>
              </w:rPr>
            </w:pPr>
            <w:r>
              <w:rPr>
                <w:b/>
                <w:lang w:val="en-US"/>
              </w:rPr>
              <w:t>Tid til PSA-progression</w:t>
            </w:r>
          </w:p>
        </w:tc>
      </w:tr>
      <w:tr w:rsidR="00B628C8" w14:paraId="3F4A4D7F" w14:textId="77777777" w:rsidTr="00B628C8">
        <w:trPr>
          <w:trHeight w:val="253"/>
        </w:trPr>
        <w:tc>
          <w:tcPr>
            <w:tcW w:w="4454" w:type="dxa"/>
            <w:tcBorders>
              <w:top w:val="single" w:sz="4" w:space="0" w:color="000000"/>
              <w:left w:val="single" w:sz="4" w:space="0" w:color="000000"/>
              <w:bottom w:val="single" w:sz="4" w:space="0" w:color="000000"/>
              <w:right w:val="single" w:sz="4" w:space="0" w:color="000000"/>
            </w:tcBorders>
            <w:hideMark/>
          </w:tcPr>
          <w:p w14:paraId="65E9910F" w14:textId="77777777" w:rsidR="00B628C8" w:rsidRDefault="00B628C8">
            <w:pPr>
              <w:pStyle w:val="TableParagraph"/>
              <w:ind w:left="0"/>
              <w:rPr>
                <w:lang w:val="en-US"/>
              </w:rPr>
            </w:pPr>
            <w:r>
              <w:rPr>
                <w:lang w:val="en-US"/>
              </w:rPr>
              <w:t xml:space="preserve">   Antal hændelser ( %)</w:t>
            </w:r>
          </w:p>
        </w:tc>
        <w:tc>
          <w:tcPr>
            <w:tcW w:w="2316" w:type="dxa"/>
            <w:tcBorders>
              <w:top w:val="single" w:sz="4" w:space="0" w:color="000000"/>
              <w:left w:val="single" w:sz="4" w:space="0" w:color="000000"/>
              <w:bottom w:val="single" w:sz="4" w:space="0" w:color="000000"/>
              <w:right w:val="single" w:sz="4" w:space="0" w:color="000000"/>
            </w:tcBorders>
            <w:hideMark/>
          </w:tcPr>
          <w:p w14:paraId="4C6ECE28" w14:textId="77777777" w:rsidR="00B628C8" w:rsidRDefault="00B628C8">
            <w:pPr>
              <w:pStyle w:val="TableParagraph"/>
              <w:ind w:left="0"/>
              <w:jc w:val="center"/>
              <w:rPr>
                <w:lang w:val="en-US"/>
              </w:rPr>
            </w:pPr>
            <w:r>
              <w:rPr>
                <w:lang w:val="en-US"/>
              </w:rPr>
              <w:t>208 (22,3)</w:t>
            </w:r>
          </w:p>
        </w:tc>
        <w:tc>
          <w:tcPr>
            <w:tcW w:w="2292" w:type="dxa"/>
            <w:tcBorders>
              <w:top w:val="single" w:sz="4" w:space="0" w:color="000000"/>
              <w:left w:val="single" w:sz="4" w:space="0" w:color="000000"/>
              <w:bottom w:val="single" w:sz="4" w:space="0" w:color="000000"/>
              <w:right w:val="single" w:sz="4" w:space="0" w:color="000000"/>
            </w:tcBorders>
            <w:hideMark/>
          </w:tcPr>
          <w:p w14:paraId="51E7A8FA" w14:textId="77777777" w:rsidR="00B628C8" w:rsidRDefault="00B628C8">
            <w:pPr>
              <w:pStyle w:val="TableParagraph"/>
              <w:ind w:left="0"/>
              <w:jc w:val="center"/>
              <w:rPr>
                <w:lang w:val="en-US"/>
              </w:rPr>
            </w:pPr>
            <w:r>
              <w:rPr>
                <w:lang w:val="en-US"/>
              </w:rPr>
              <w:t>324 (69,2)</w:t>
            </w:r>
          </w:p>
        </w:tc>
      </w:tr>
      <w:tr w:rsidR="00B628C8" w14:paraId="1BB555B1" w14:textId="77777777" w:rsidTr="00B628C8">
        <w:trPr>
          <w:trHeight w:val="251"/>
        </w:trPr>
        <w:tc>
          <w:tcPr>
            <w:tcW w:w="4454" w:type="dxa"/>
            <w:tcBorders>
              <w:top w:val="single" w:sz="4" w:space="0" w:color="000000"/>
              <w:left w:val="single" w:sz="4" w:space="0" w:color="000000"/>
              <w:bottom w:val="single" w:sz="4" w:space="0" w:color="000000"/>
              <w:right w:val="single" w:sz="4" w:space="0" w:color="000000"/>
            </w:tcBorders>
            <w:hideMark/>
          </w:tcPr>
          <w:p w14:paraId="208BD057" w14:textId="77777777" w:rsidR="00B628C8" w:rsidRDefault="00B628C8">
            <w:pPr>
              <w:pStyle w:val="TableParagraph"/>
              <w:ind w:left="0"/>
              <w:rPr>
                <w:i/>
                <w:sz w:val="13"/>
                <w:lang w:val="en-US"/>
              </w:rPr>
            </w:pPr>
            <w:r>
              <w:rPr>
                <w:lang w:val="en-US"/>
              </w:rPr>
              <w:t xml:space="preserve">   Median, måneder (95 % CI)</w:t>
            </w:r>
            <w:hyperlink r:id="rId13" w:anchor="_bookmark0" w:history="1">
              <w:r>
                <w:rPr>
                  <w:rStyle w:val="Hyperlink"/>
                  <w:i/>
                  <w:position w:val="7"/>
                  <w:sz w:val="13"/>
                  <w:lang w:val="en-US"/>
                </w:rPr>
                <w:t>1</w:t>
              </w:r>
            </w:hyperlink>
          </w:p>
        </w:tc>
        <w:tc>
          <w:tcPr>
            <w:tcW w:w="2316" w:type="dxa"/>
            <w:tcBorders>
              <w:top w:val="single" w:sz="4" w:space="0" w:color="000000"/>
              <w:left w:val="single" w:sz="4" w:space="0" w:color="000000"/>
              <w:bottom w:val="single" w:sz="4" w:space="0" w:color="000000"/>
              <w:right w:val="single" w:sz="4" w:space="0" w:color="000000"/>
            </w:tcBorders>
            <w:hideMark/>
          </w:tcPr>
          <w:p w14:paraId="2EC44CDC" w14:textId="77777777" w:rsidR="00B628C8" w:rsidRDefault="00B628C8">
            <w:pPr>
              <w:pStyle w:val="TableParagraph"/>
              <w:ind w:left="0"/>
              <w:jc w:val="center"/>
              <w:rPr>
                <w:lang w:val="en-US"/>
              </w:rPr>
            </w:pPr>
            <w:r>
              <w:rPr>
                <w:lang w:val="en-US"/>
              </w:rPr>
              <w:t>37,2 (33,1, NR)</w:t>
            </w:r>
          </w:p>
        </w:tc>
        <w:tc>
          <w:tcPr>
            <w:tcW w:w="2292" w:type="dxa"/>
            <w:tcBorders>
              <w:top w:val="single" w:sz="4" w:space="0" w:color="000000"/>
              <w:left w:val="single" w:sz="4" w:space="0" w:color="000000"/>
              <w:bottom w:val="single" w:sz="4" w:space="0" w:color="000000"/>
              <w:right w:val="single" w:sz="4" w:space="0" w:color="000000"/>
            </w:tcBorders>
            <w:hideMark/>
          </w:tcPr>
          <w:p w14:paraId="3BC550B0" w14:textId="77777777" w:rsidR="00B628C8" w:rsidRDefault="00B628C8">
            <w:pPr>
              <w:pStyle w:val="TableParagraph"/>
              <w:ind w:left="0"/>
              <w:jc w:val="center"/>
              <w:rPr>
                <w:lang w:val="en-US"/>
              </w:rPr>
            </w:pPr>
            <w:r>
              <w:rPr>
                <w:lang w:val="en-US"/>
              </w:rPr>
              <w:t>3,9 (3,8, 4,0)</w:t>
            </w:r>
          </w:p>
        </w:tc>
      </w:tr>
      <w:tr w:rsidR="00B628C8" w14:paraId="31C5F4BA" w14:textId="77777777" w:rsidTr="00B628C8">
        <w:trPr>
          <w:trHeight w:val="253"/>
        </w:trPr>
        <w:tc>
          <w:tcPr>
            <w:tcW w:w="4454" w:type="dxa"/>
            <w:tcBorders>
              <w:top w:val="single" w:sz="4" w:space="0" w:color="000000"/>
              <w:left w:val="single" w:sz="4" w:space="0" w:color="000000"/>
              <w:bottom w:val="single" w:sz="4" w:space="0" w:color="000000"/>
              <w:right w:val="single" w:sz="4" w:space="0" w:color="000000"/>
            </w:tcBorders>
            <w:hideMark/>
          </w:tcPr>
          <w:p w14:paraId="16A53468" w14:textId="77777777" w:rsidR="00B628C8" w:rsidRDefault="00B628C8">
            <w:pPr>
              <w:pStyle w:val="TableParagraph"/>
              <w:ind w:left="0"/>
              <w:rPr>
                <w:i/>
                <w:lang w:val="en-US"/>
              </w:rPr>
            </w:pPr>
            <w:r>
              <w:rPr>
                <w:i/>
                <w:lang w:val="en-US"/>
              </w:rPr>
              <w:t xml:space="preserve">   Hazard </w:t>
            </w:r>
            <w:r>
              <w:rPr>
                <w:i/>
                <w:iCs/>
                <w:lang w:val="en-US"/>
              </w:rPr>
              <w:t>ratio</w:t>
            </w:r>
            <w:r>
              <w:rPr>
                <w:lang w:val="en-US"/>
              </w:rPr>
              <w:t xml:space="preserve"> (95 % CI)</w:t>
            </w:r>
            <w:r>
              <w:rPr>
                <w:i/>
                <w:vertAlign w:val="superscript"/>
                <w:lang w:val="en-US"/>
              </w:rPr>
              <w:t>2</w:t>
            </w:r>
          </w:p>
        </w:tc>
        <w:tc>
          <w:tcPr>
            <w:tcW w:w="4608" w:type="dxa"/>
            <w:gridSpan w:val="2"/>
            <w:tcBorders>
              <w:top w:val="single" w:sz="4" w:space="0" w:color="000000"/>
              <w:left w:val="single" w:sz="4" w:space="0" w:color="000000"/>
              <w:bottom w:val="single" w:sz="4" w:space="0" w:color="000000"/>
              <w:right w:val="single" w:sz="4" w:space="0" w:color="000000"/>
            </w:tcBorders>
            <w:hideMark/>
          </w:tcPr>
          <w:p w14:paraId="5AD829BC" w14:textId="77777777" w:rsidR="00B628C8" w:rsidRDefault="00B628C8">
            <w:pPr>
              <w:pStyle w:val="TableParagraph"/>
              <w:ind w:left="0"/>
              <w:jc w:val="center"/>
              <w:rPr>
                <w:lang w:val="en-US"/>
              </w:rPr>
            </w:pPr>
            <w:r>
              <w:rPr>
                <w:lang w:val="en-US"/>
              </w:rPr>
              <w:t>0,07 (0,05, 0,08)</w:t>
            </w:r>
          </w:p>
        </w:tc>
      </w:tr>
      <w:tr w:rsidR="00B628C8" w14:paraId="06BF453E" w14:textId="77777777" w:rsidTr="00B628C8">
        <w:trPr>
          <w:trHeight w:val="254"/>
        </w:trPr>
        <w:tc>
          <w:tcPr>
            <w:tcW w:w="4454" w:type="dxa"/>
            <w:tcBorders>
              <w:top w:val="single" w:sz="4" w:space="0" w:color="000000"/>
              <w:left w:val="single" w:sz="4" w:space="0" w:color="000000"/>
              <w:bottom w:val="single" w:sz="4" w:space="0" w:color="000000"/>
              <w:right w:val="single" w:sz="4" w:space="0" w:color="000000"/>
            </w:tcBorders>
            <w:hideMark/>
          </w:tcPr>
          <w:p w14:paraId="124A5ED6" w14:textId="77777777" w:rsidR="00B628C8" w:rsidRDefault="00B628C8">
            <w:pPr>
              <w:pStyle w:val="TableParagraph"/>
              <w:ind w:left="0"/>
              <w:rPr>
                <w:i/>
                <w:lang w:val="en-US"/>
              </w:rPr>
            </w:pPr>
            <w:r>
              <w:rPr>
                <w:lang w:val="en-US"/>
              </w:rPr>
              <w:t xml:space="preserve">   P-værdi</w:t>
            </w:r>
            <w:r>
              <w:rPr>
                <w:i/>
                <w:vertAlign w:val="superscript"/>
                <w:lang w:val="en-US"/>
              </w:rPr>
              <w:t>3</w:t>
            </w:r>
          </w:p>
        </w:tc>
        <w:tc>
          <w:tcPr>
            <w:tcW w:w="4608" w:type="dxa"/>
            <w:gridSpan w:val="2"/>
            <w:tcBorders>
              <w:top w:val="single" w:sz="4" w:space="0" w:color="000000"/>
              <w:left w:val="single" w:sz="4" w:space="0" w:color="000000"/>
              <w:bottom w:val="single" w:sz="4" w:space="0" w:color="000000"/>
              <w:right w:val="single" w:sz="4" w:space="0" w:color="000000"/>
            </w:tcBorders>
            <w:hideMark/>
          </w:tcPr>
          <w:p w14:paraId="4A24F45C" w14:textId="77777777" w:rsidR="00B628C8" w:rsidRDefault="00B628C8">
            <w:pPr>
              <w:pStyle w:val="TableParagraph"/>
              <w:ind w:left="0"/>
              <w:jc w:val="center"/>
              <w:rPr>
                <w:lang w:val="en-US"/>
              </w:rPr>
            </w:pPr>
            <w:r>
              <w:rPr>
                <w:lang w:val="en-US"/>
              </w:rPr>
              <w:t>p &lt; 0,0001</w:t>
            </w:r>
          </w:p>
        </w:tc>
      </w:tr>
      <w:tr w:rsidR="00B628C8" w14:paraId="322FCC6F" w14:textId="77777777" w:rsidTr="00B628C8">
        <w:trPr>
          <w:trHeight w:val="251"/>
        </w:trPr>
        <w:tc>
          <w:tcPr>
            <w:tcW w:w="9062" w:type="dxa"/>
            <w:gridSpan w:val="3"/>
            <w:tcBorders>
              <w:top w:val="single" w:sz="4" w:space="0" w:color="000000"/>
              <w:left w:val="single" w:sz="4" w:space="0" w:color="000000"/>
              <w:bottom w:val="single" w:sz="4" w:space="0" w:color="000000"/>
              <w:right w:val="single" w:sz="4" w:space="0" w:color="000000"/>
            </w:tcBorders>
            <w:hideMark/>
          </w:tcPr>
          <w:p w14:paraId="72D00A80" w14:textId="77777777" w:rsidR="00B628C8" w:rsidRPr="00B628C8" w:rsidRDefault="00B628C8">
            <w:pPr>
              <w:pStyle w:val="TableParagraph"/>
              <w:ind w:left="0"/>
              <w:rPr>
                <w:b/>
              </w:rPr>
            </w:pPr>
            <w:r w:rsidRPr="00B628C8">
              <w:rPr>
                <w:b/>
              </w:rPr>
              <w:t>Tid til første brug af ny antineoplastisk behandling</w:t>
            </w:r>
          </w:p>
        </w:tc>
      </w:tr>
      <w:tr w:rsidR="00B628C8" w14:paraId="33A489C4" w14:textId="77777777" w:rsidTr="00B628C8">
        <w:trPr>
          <w:trHeight w:val="254"/>
        </w:trPr>
        <w:tc>
          <w:tcPr>
            <w:tcW w:w="4454" w:type="dxa"/>
            <w:tcBorders>
              <w:top w:val="single" w:sz="4" w:space="0" w:color="000000"/>
              <w:left w:val="single" w:sz="4" w:space="0" w:color="000000"/>
              <w:bottom w:val="single" w:sz="4" w:space="0" w:color="000000"/>
              <w:right w:val="single" w:sz="4" w:space="0" w:color="000000"/>
            </w:tcBorders>
            <w:hideMark/>
          </w:tcPr>
          <w:p w14:paraId="6EC28295" w14:textId="77777777" w:rsidR="00B628C8" w:rsidRDefault="00B628C8">
            <w:pPr>
              <w:pStyle w:val="TableParagraph"/>
              <w:ind w:left="0"/>
              <w:rPr>
                <w:lang w:val="en-US"/>
              </w:rPr>
            </w:pPr>
            <w:r w:rsidRPr="00B628C8">
              <w:t xml:space="preserve">   </w:t>
            </w:r>
            <w:r>
              <w:rPr>
                <w:lang w:val="en-US"/>
              </w:rPr>
              <w:t>Antal hændelser (%)</w:t>
            </w:r>
          </w:p>
        </w:tc>
        <w:tc>
          <w:tcPr>
            <w:tcW w:w="2316" w:type="dxa"/>
            <w:tcBorders>
              <w:top w:val="single" w:sz="4" w:space="0" w:color="000000"/>
              <w:left w:val="single" w:sz="4" w:space="0" w:color="000000"/>
              <w:bottom w:val="single" w:sz="4" w:space="0" w:color="000000"/>
              <w:right w:val="single" w:sz="4" w:space="0" w:color="000000"/>
            </w:tcBorders>
            <w:hideMark/>
          </w:tcPr>
          <w:p w14:paraId="37187A2D" w14:textId="77777777" w:rsidR="00B628C8" w:rsidRDefault="00B628C8">
            <w:pPr>
              <w:pStyle w:val="TableParagraph"/>
              <w:ind w:left="0"/>
              <w:jc w:val="center"/>
              <w:rPr>
                <w:lang w:val="en-US"/>
              </w:rPr>
            </w:pPr>
            <w:r>
              <w:rPr>
                <w:lang w:val="en-US"/>
              </w:rPr>
              <w:t>142 (15,2)</w:t>
            </w:r>
          </w:p>
        </w:tc>
        <w:tc>
          <w:tcPr>
            <w:tcW w:w="2292" w:type="dxa"/>
            <w:tcBorders>
              <w:top w:val="single" w:sz="4" w:space="0" w:color="000000"/>
              <w:left w:val="single" w:sz="4" w:space="0" w:color="000000"/>
              <w:bottom w:val="single" w:sz="4" w:space="0" w:color="000000"/>
              <w:right w:val="single" w:sz="4" w:space="0" w:color="000000"/>
            </w:tcBorders>
            <w:hideMark/>
          </w:tcPr>
          <w:p w14:paraId="4113E77D" w14:textId="77777777" w:rsidR="00B628C8" w:rsidRDefault="00B628C8">
            <w:pPr>
              <w:pStyle w:val="TableParagraph"/>
              <w:ind w:left="0"/>
              <w:jc w:val="center"/>
              <w:rPr>
                <w:lang w:val="en-US"/>
              </w:rPr>
            </w:pPr>
            <w:r>
              <w:rPr>
                <w:lang w:val="en-US"/>
              </w:rPr>
              <w:t>226 (48,3)</w:t>
            </w:r>
          </w:p>
        </w:tc>
      </w:tr>
      <w:tr w:rsidR="00B628C8" w14:paraId="6B059AE2" w14:textId="77777777" w:rsidTr="00B628C8">
        <w:trPr>
          <w:trHeight w:val="251"/>
        </w:trPr>
        <w:tc>
          <w:tcPr>
            <w:tcW w:w="4454" w:type="dxa"/>
            <w:tcBorders>
              <w:top w:val="single" w:sz="4" w:space="0" w:color="000000"/>
              <w:left w:val="single" w:sz="4" w:space="0" w:color="000000"/>
              <w:bottom w:val="single" w:sz="4" w:space="0" w:color="000000"/>
              <w:right w:val="single" w:sz="4" w:space="0" w:color="000000"/>
            </w:tcBorders>
            <w:hideMark/>
          </w:tcPr>
          <w:p w14:paraId="4A45F87F" w14:textId="77777777" w:rsidR="00B628C8" w:rsidRDefault="00B628C8">
            <w:pPr>
              <w:pStyle w:val="TableParagraph"/>
              <w:ind w:left="0"/>
              <w:rPr>
                <w:i/>
                <w:lang w:val="en-US"/>
              </w:rPr>
            </w:pPr>
            <w:r>
              <w:rPr>
                <w:lang w:val="en-US"/>
              </w:rPr>
              <w:t xml:space="preserve">   Median, måneder (95 % CI)</w:t>
            </w:r>
            <w:r>
              <w:rPr>
                <w:i/>
                <w:vertAlign w:val="superscript"/>
                <w:lang w:val="en-US"/>
              </w:rPr>
              <w:t>1</w:t>
            </w:r>
          </w:p>
        </w:tc>
        <w:tc>
          <w:tcPr>
            <w:tcW w:w="2316" w:type="dxa"/>
            <w:tcBorders>
              <w:top w:val="single" w:sz="4" w:space="0" w:color="000000"/>
              <w:left w:val="single" w:sz="4" w:space="0" w:color="000000"/>
              <w:bottom w:val="single" w:sz="4" w:space="0" w:color="000000"/>
              <w:right w:val="single" w:sz="4" w:space="0" w:color="000000"/>
            </w:tcBorders>
            <w:hideMark/>
          </w:tcPr>
          <w:p w14:paraId="795B073C" w14:textId="77777777" w:rsidR="00B628C8" w:rsidRDefault="00B628C8">
            <w:pPr>
              <w:pStyle w:val="TableParagraph"/>
              <w:ind w:left="0"/>
              <w:jc w:val="center"/>
              <w:rPr>
                <w:lang w:val="en-US"/>
              </w:rPr>
            </w:pPr>
            <w:r>
              <w:rPr>
                <w:lang w:val="en-US"/>
              </w:rPr>
              <w:t>39,6 (37,7, NR)</w:t>
            </w:r>
          </w:p>
        </w:tc>
        <w:tc>
          <w:tcPr>
            <w:tcW w:w="2292" w:type="dxa"/>
            <w:tcBorders>
              <w:top w:val="single" w:sz="4" w:space="0" w:color="000000"/>
              <w:left w:val="single" w:sz="4" w:space="0" w:color="000000"/>
              <w:bottom w:val="single" w:sz="4" w:space="0" w:color="000000"/>
              <w:right w:val="single" w:sz="4" w:space="0" w:color="000000"/>
            </w:tcBorders>
            <w:hideMark/>
          </w:tcPr>
          <w:p w14:paraId="3431869A" w14:textId="77777777" w:rsidR="00B628C8" w:rsidRDefault="00B628C8">
            <w:pPr>
              <w:pStyle w:val="TableParagraph"/>
              <w:ind w:left="0"/>
              <w:jc w:val="center"/>
              <w:rPr>
                <w:lang w:val="en-US"/>
              </w:rPr>
            </w:pPr>
            <w:r>
              <w:rPr>
                <w:lang w:val="en-US"/>
              </w:rPr>
              <w:t>17,7 (16,2, 19,7)</w:t>
            </w:r>
          </w:p>
        </w:tc>
      </w:tr>
      <w:tr w:rsidR="00B628C8" w14:paraId="7A1B4BD5" w14:textId="77777777" w:rsidTr="00B628C8">
        <w:trPr>
          <w:trHeight w:val="254"/>
        </w:trPr>
        <w:tc>
          <w:tcPr>
            <w:tcW w:w="4454" w:type="dxa"/>
            <w:tcBorders>
              <w:top w:val="single" w:sz="4" w:space="0" w:color="000000"/>
              <w:left w:val="single" w:sz="4" w:space="0" w:color="000000"/>
              <w:bottom w:val="single" w:sz="4" w:space="0" w:color="000000"/>
              <w:right w:val="single" w:sz="4" w:space="0" w:color="000000"/>
            </w:tcBorders>
            <w:hideMark/>
          </w:tcPr>
          <w:p w14:paraId="5113C13E" w14:textId="77777777" w:rsidR="00B628C8" w:rsidRDefault="00B628C8">
            <w:pPr>
              <w:pStyle w:val="TableParagraph"/>
              <w:ind w:left="0"/>
              <w:rPr>
                <w:i/>
                <w:lang w:val="en-US"/>
              </w:rPr>
            </w:pPr>
            <w:r>
              <w:rPr>
                <w:i/>
                <w:lang w:val="en-US"/>
              </w:rPr>
              <w:t xml:space="preserve">   Hazard </w:t>
            </w:r>
            <w:r>
              <w:rPr>
                <w:i/>
                <w:iCs/>
                <w:lang w:val="en-US"/>
              </w:rPr>
              <w:t>ratio</w:t>
            </w:r>
            <w:r>
              <w:rPr>
                <w:lang w:val="en-US"/>
              </w:rPr>
              <w:t xml:space="preserve"> (95 % CI)</w:t>
            </w:r>
            <w:r>
              <w:rPr>
                <w:i/>
                <w:vertAlign w:val="superscript"/>
                <w:lang w:val="en-US"/>
              </w:rPr>
              <w:t>2</w:t>
            </w:r>
          </w:p>
        </w:tc>
        <w:tc>
          <w:tcPr>
            <w:tcW w:w="4608" w:type="dxa"/>
            <w:gridSpan w:val="2"/>
            <w:tcBorders>
              <w:top w:val="single" w:sz="4" w:space="0" w:color="000000"/>
              <w:left w:val="single" w:sz="4" w:space="0" w:color="000000"/>
              <w:bottom w:val="single" w:sz="4" w:space="0" w:color="000000"/>
              <w:right w:val="single" w:sz="4" w:space="0" w:color="000000"/>
            </w:tcBorders>
            <w:hideMark/>
          </w:tcPr>
          <w:p w14:paraId="7DE94C26" w14:textId="77777777" w:rsidR="00B628C8" w:rsidRDefault="00B628C8">
            <w:pPr>
              <w:pStyle w:val="TableParagraph"/>
              <w:ind w:left="0"/>
              <w:jc w:val="center"/>
              <w:rPr>
                <w:lang w:val="en-US"/>
              </w:rPr>
            </w:pPr>
            <w:r>
              <w:rPr>
                <w:lang w:val="en-US"/>
              </w:rPr>
              <w:t>0,21 (0,17, 0,26)</w:t>
            </w:r>
          </w:p>
        </w:tc>
      </w:tr>
      <w:tr w:rsidR="00B628C8" w14:paraId="6E37EF69" w14:textId="77777777" w:rsidTr="00B628C8">
        <w:trPr>
          <w:trHeight w:val="253"/>
        </w:trPr>
        <w:tc>
          <w:tcPr>
            <w:tcW w:w="4454" w:type="dxa"/>
            <w:tcBorders>
              <w:top w:val="single" w:sz="4" w:space="0" w:color="000000"/>
              <w:left w:val="single" w:sz="4" w:space="0" w:color="000000"/>
              <w:bottom w:val="single" w:sz="4" w:space="0" w:color="000000"/>
              <w:right w:val="single" w:sz="4" w:space="0" w:color="000000"/>
            </w:tcBorders>
            <w:hideMark/>
          </w:tcPr>
          <w:p w14:paraId="0439184D" w14:textId="77777777" w:rsidR="00B628C8" w:rsidRDefault="00B628C8">
            <w:pPr>
              <w:pStyle w:val="TableParagraph"/>
              <w:ind w:left="0"/>
              <w:rPr>
                <w:i/>
                <w:lang w:val="en-US"/>
              </w:rPr>
            </w:pPr>
            <w:r>
              <w:rPr>
                <w:lang w:val="en-US"/>
              </w:rPr>
              <w:t xml:space="preserve">   P-værdi</w:t>
            </w:r>
            <w:r>
              <w:rPr>
                <w:i/>
                <w:vertAlign w:val="superscript"/>
                <w:lang w:val="en-US"/>
              </w:rPr>
              <w:t>3</w:t>
            </w:r>
          </w:p>
        </w:tc>
        <w:tc>
          <w:tcPr>
            <w:tcW w:w="4608" w:type="dxa"/>
            <w:gridSpan w:val="2"/>
            <w:tcBorders>
              <w:top w:val="single" w:sz="4" w:space="0" w:color="000000"/>
              <w:left w:val="single" w:sz="4" w:space="0" w:color="000000"/>
              <w:bottom w:val="single" w:sz="4" w:space="0" w:color="000000"/>
              <w:right w:val="single" w:sz="4" w:space="0" w:color="000000"/>
            </w:tcBorders>
            <w:hideMark/>
          </w:tcPr>
          <w:p w14:paraId="1D66076F" w14:textId="77777777" w:rsidR="00B628C8" w:rsidRDefault="00B628C8">
            <w:pPr>
              <w:pStyle w:val="TableParagraph"/>
              <w:ind w:left="0"/>
              <w:jc w:val="center"/>
              <w:rPr>
                <w:lang w:val="en-US"/>
              </w:rPr>
            </w:pPr>
            <w:r>
              <w:rPr>
                <w:lang w:val="en-US"/>
              </w:rPr>
              <w:t>p &lt; 0,0001</w:t>
            </w:r>
          </w:p>
        </w:tc>
      </w:tr>
    </w:tbl>
    <w:p w14:paraId="72E870EC" w14:textId="77777777" w:rsidR="00B628C8" w:rsidRDefault="00B628C8" w:rsidP="00B628C8">
      <w:pPr>
        <w:tabs>
          <w:tab w:val="left" w:pos="284"/>
        </w:tabs>
        <w:ind w:left="284" w:hanging="284"/>
        <w:rPr>
          <w:sz w:val="18"/>
          <w:szCs w:val="22"/>
        </w:rPr>
      </w:pPr>
      <w:r>
        <w:rPr>
          <w:sz w:val="18"/>
        </w:rPr>
        <w:t>NR = Ikke nået.</w:t>
      </w:r>
    </w:p>
    <w:p w14:paraId="5A410F95" w14:textId="77777777" w:rsidR="00B628C8" w:rsidRDefault="00B628C8" w:rsidP="00B628C8">
      <w:pPr>
        <w:pStyle w:val="Listeafsnit"/>
        <w:numPr>
          <w:ilvl w:val="1"/>
          <w:numId w:val="8"/>
        </w:numPr>
        <w:tabs>
          <w:tab w:val="left" w:pos="284"/>
          <w:tab w:val="left" w:pos="976"/>
        </w:tabs>
        <w:ind w:left="284" w:hanging="284"/>
        <w:rPr>
          <w:sz w:val="18"/>
        </w:rPr>
      </w:pPr>
      <w:r>
        <w:rPr>
          <w:sz w:val="18"/>
        </w:rPr>
        <w:t>Baseret på</w:t>
      </w:r>
      <w:r>
        <w:rPr>
          <w:spacing w:val="-2"/>
          <w:sz w:val="18"/>
        </w:rPr>
        <w:t xml:space="preserve"> </w:t>
      </w:r>
      <w:r>
        <w:rPr>
          <w:sz w:val="18"/>
        </w:rPr>
        <w:t>Kaplan-Meier-estimater.</w:t>
      </w:r>
    </w:p>
    <w:p w14:paraId="0CFFBF18" w14:textId="77777777" w:rsidR="00B628C8" w:rsidRDefault="00B628C8" w:rsidP="00B628C8">
      <w:pPr>
        <w:pStyle w:val="Listeafsnit"/>
        <w:numPr>
          <w:ilvl w:val="1"/>
          <w:numId w:val="8"/>
        </w:numPr>
        <w:tabs>
          <w:tab w:val="left" w:pos="284"/>
          <w:tab w:val="left" w:pos="976"/>
        </w:tabs>
        <w:ind w:left="284" w:hanging="284"/>
        <w:rPr>
          <w:sz w:val="18"/>
        </w:rPr>
      </w:pPr>
      <w:r>
        <w:rPr>
          <w:sz w:val="18"/>
        </w:rPr>
        <w:t>HR er baseret på en Cox-regressionsmodel (med behandling som eneste kovariat) stratificeret ved PSA-fordoblingstid og tidligere eller samtidig brug af et middel mod knogleskørhed. HR står i forhold til placebo med &lt; 1 favoriserende</w:t>
      </w:r>
      <w:r>
        <w:rPr>
          <w:spacing w:val="-1"/>
          <w:sz w:val="18"/>
        </w:rPr>
        <w:t xml:space="preserve"> </w:t>
      </w:r>
      <w:r>
        <w:rPr>
          <w:sz w:val="18"/>
        </w:rPr>
        <w:t>enzalutamid.</w:t>
      </w:r>
    </w:p>
    <w:p w14:paraId="4A52A7C7" w14:textId="77777777" w:rsidR="00B628C8" w:rsidRDefault="00B628C8" w:rsidP="00B628C8">
      <w:pPr>
        <w:pStyle w:val="Listeafsnit"/>
        <w:numPr>
          <w:ilvl w:val="1"/>
          <w:numId w:val="8"/>
        </w:numPr>
        <w:tabs>
          <w:tab w:val="left" w:pos="284"/>
          <w:tab w:val="left" w:pos="976"/>
        </w:tabs>
        <w:ind w:left="284" w:hanging="284"/>
        <w:rPr>
          <w:sz w:val="18"/>
        </w:rPr>
      </w:pPr>
      <w:r>
        <w:rPr>
          <w:sz w:val="18"/>
        </w:rPr>
        <w:t>P-værdien er baseret på en stratificeret log-rank-test ved PSA-fordoblingstid (&lt; 6 måneder, ≥ 6 måneder)</w:t>
      </w:r>
      <w:r>
        <w:rPr>
          <w:spacing w:val="-12"/>
          <w:sz w:val="18"/>
        </w:rPr>
        <w:t xml:space="preserve"> </w:t>
      </w:r>
      <w:r>
        <w:rPr>
          <w:sz w:val="18"/>
        </w:rPr>
        <w:t>og tidligere eller samtidig brug af et middel mod knogleskørhed (ja, nej).</w:t>
      </w:r>
    </w:p>
    <w:p w14:paraId="5FFB4FA3" w14:textId="77777777" w:rsidR="00B628C8" w:rsidRDefault="00B628C8" w:rsidP="00B628C8">
      <w:pPr>
        <w:pStyle w:val="Listeafsnit"/>
        <w:numPr>
          <w:ilvl w:val="1"/>
          <w:numId w:val="8"/>
        </w:numPr>
        <w:tabs>
          <w:tab w:val="left" w:pos="284"/>
          <w:tab w:val="left" w:pos="976"/>
        </w:tabs>
        <w:ind w:left="284" w:hanging="284"/>
        <w:rPr>
          <w:sz w:val="18"/>
        </w:rPr>
      </w:pPr>
      <w:r>
        <w:rPr>
          <w:sz w:val="18"/>
        </w:rPr>
        <w:t>Baseret på en forudspecificeret interimanalyse med dataskæringsdatoen 15. oktober</w:t>
      </w:r>
      <w:r>
        <w:rPr>
          <w:spacing w:val="-6"/>
          <w:sz w:val="18"/>
        </w:rPr>
        <w:t xml:space="preserve"> </w:t>
      </w:r>
      <w:r>
        <w:rPr>
          <w:sz w:val="18"/>
        </w:rPr>
        <w:t>2019.</w:t>
      </w:r>
    </w:p>
    <w:p w14:paraId="472B11F5" w14:textId="3F94ED2D" w:rsidR="00282BE9" w:rsidRDefault="00282BE9">
      <w:pPr>
        <w:rPr>
          <w:b/>
          <w:sz w:val="24"/>
          <w:szCs w:val="24"/>
        </w:rPr>
      </w:pPr>
      <w:r>
        <w:rPr>
          <w:b/>
          <w:sz w:val="24"/>
          <w:szCs w:val="24"/>
        </w:rPr>
        <w:br w:type="page"/>
      </w:r>
    </w:p>
    <w:p w14:paraId="4F5BA3D9" w14:textId="77777777" w:rsidR="00B628C8" w:rsidRPr="00282BE9" w:rsidRDefault="00B628C8" w:rsidP="00282BE9">
      <w:pPr>
        <w:tabs>
          <w:tab w:val="left" w:pos="284"/>
          <w:tab w:val="left" w:pos="976"/>
        </w:tabs>
        <w:ind w:left="1134" w:hanging="1134"/>
        <w:rPr>
          <w:b/>
          <w:sz w:val="24"/>
          <w:szCs w:val="24"/>
        </w:rPr>
      </w:pPr>
    </w:p>
    <w:p w14:paraId="5A5CB380" w14:textId="0687CD2C" w:rsidR="00B628C8" w:rsidRPr="00282BE9" w:rsidRDefault="00B628C8" w:rsidP="00282BE9">
      <w:pPr>
        <w:ind w:left="993" w:hanging="993"/>
        <w:rPr>
          <w:b/>
          <w:sz w:val="24"/>
          <w:szCs w:val="24"/>
          <w:lang w:val="nb-NO"/>
        </w:rPr>
      </w:pPr>
      <w:r w:rsidRPr="00282BE9">
        <w:rPr>
          <w:b/>
          <w:sz w:val="24"/>
          <w:szCs w:val="24"/>
          <w:lang w:val="nb-NO"/>
        </w:rPr>
        <w:t>Figur 5:</w:t>
      </w:r>
      <w:r w:rsidR="00282BE9">
        <w:rPr>
          <w:b/>
          <w:sz w:val="24"/>
          <w:szCs w:val="24"/>
          <w:lang w:val="nb-NO"/>
        </w:rPr>
        <w:tab/>
      </w:r>
      <w:r w:rsidRPr="00282BE9">
        <w:rPr>
          <w:b/>
          <w:sz w:val="24"/>
          <w:szCs w:val="24"/>
          <w:lang w:val="nb-NO"/>
        </w:rPr>
        <w:t>Kaplan-Meier-kurver for metastasefri overlevelse i PROSPER-studiet (</w:t>
      </w:r>
      <w:r w:rsidRPr="00282BE9">
        <w:rPr>
          <w:b/>
          <w:i/>
          <w:sz w:val="24"/>
          <w:szCs w:val="24"/>
          <w:lang w:val="nb-NO"/>
        </w:rPr>
        <w:t>intent-to-treat</w:t>
      </w:r>
      <w:r w:rsidRPr="00282BE9">
        <w:rPr>
          <w:b/>
          <w:sz w:val="24"/>
          <w:szCs w:val="24"/>
          <w:lang w:val="nb-NO"/>
        </w:rPr>
        <w:t>- analyse)</w:t>
      </w:r>
    </w:p>
    <w:p w14:paraId="315F2AFD" w14:textId="4C195F0C" w:rsidR="00B628C8" w:rsidRPr="00282BE9" w:rsidRDefault="00B628C8" w:rsidP="00282BE9">
      <w:pPr>
        <w:ind w:left="851"/>
        <w:rPr>
          <w:sz w:val="24"/>
          <w:szCs w:val="24"/>
          <w:lang w:val="nb-NO"/>
        </w:rPr>
      </w:pPr>
    </w:p>
    <w:p w14:paraId="2B00FE8F" w14:textId="3F9FBA5E" w:rsidR="00B628C8" w:rsidRDefault="00B628C8" w:rsidP="00B628C8">
      <w:pPr>
        <w:pStyle w:val="Brdtekst"/>
        <w:rPr>
          <w:sz w:val="20"/>
        </w:rPr>
      </w:pPr>
      <w:r>
        <w:rPr>
          <w:noProof/>
          <w:sz w:val="20"/>
        </w:rPr>
        <w:drawing>
          <wp:inline distT="0" distB="0" distL="0" distR="0" wp14:anchorId="33A20E7C" wp14:editId="1967D694">
            <wp:extent cx="5626100" cy="259715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6100" cy="2597150"/>
                    </a:xfrm>
                    <a:prstGeom prst="rect">
                      <a:avLst/>
                    </a:prstGeom>
                    <a:noFill/>
                    <a:ln>
                      <a:noFill/>
                    </a:ln>
                  </pic:spPr>
                </pic:pic>
              </a:graphicData>
            </a:graphic>
          </wp:inline>
        </w:drawing>
      </w:r>
    </w:p>
    <w:p w14:paraId="603274D6" w14:textId="77777777" w:rsidR="00B628C8" w:rsidRPr="00282BE9" w:rsidRDefault="00B628C8" w:rsidP="00282BE9">
      <w:pPr>
        <w:pStyle w:val="Brdtekst"/>
        <w:ind w:left="851"/>
        <w:rPr>
          <w:sz w:val="24"/>
        </w:rPr>
      </w:pPr>
    </w:p>
    <w:p w14:paraId="7A5244E2" w14:textId="77777777" w:rsidR="00B628C8" w:rsidRPr="00B628C8" w:rsidRDefault="00B628C8" w:rsidP="00B628C8">
      <w:pPr>
        <w:pStyle w:val="Brdtekst"/>
        <w:ind w:left="851"/>
        <w:rPr>
          <w:sz w:val="24"/>
          <w:szCs w:val="24"/>
        </w:rPr>
      </w:pPr>
      <w:r>
        <w:rPr>
          <w:color w:val="212121"/>
        </w:rPr>
        <w:t xml:space="preserve">Ved den endelige analyse for samlet overlevelse, som blev udført, da 466 dødsfald var observeret, blev der </w:t>
      </w:r>
      <w:r w:rsidRPr="00B628C8">
        <w:rPr>
          <w:color w:val="212121"/>
          <w:sz w:val="24"/>
          <w:szCs w:val="24"/>
        </w:rPr>
        <w:t xml:space="preserve">påvist </w:t>
      </w:r>
      <w:r w:rsidRPr="00B628C8">
        <w:rPr>
          <w:sz w:val="24"/>
          <w:szCs w:val="24"/>
        </w:rPr>
        <w:t>en statistisk signifikant forbedring i samlet overlevelse hos patienter randomiseret til at få enzalutamid sammenlignet med patienter randomiseret til at få placebo med en 26,6 % reduktion i risikoen for død [</w:t>
      </w:r>
      <w:r w:rsidRPr="00B628C8">
        <w:rPr>
          <w:i/>
          <w:sz w:val="24"/>
          <w:szCs w:val="24"/>
        </w:rPr>
        <w:t xml:space="preserve">hazard </w:t>
      </w:r>
      <w:r w:rsidRPr="00B628C8">
        <w:rPr>
          <w:i/>
          <w:iCs/>
          <w:sz w:val="24"/>
          <w:szCs w:val="24"/>
        </w:rPr>
        <w:t>ratio</w:t>
      </w:r>
      <w:r w:rsidRPr="00B628C8">
        <w:rPr>
          <w:sz w:val="24"/>
          <w:szCs w:val="24"/>
        </w:rPr>
        <w:t xml:space="preserve"> (HR) = 0,734, (95 % CI: 0,608; 0,885), p = 0,0011] (se figur 6). Median opfølgningstid var henholdsvis 48,6 og 47,2 måneder for enzalutamid og placebogrupperne. 33 % af de enzalutamidbehandlede og 65 % af de placebobehandlede patienter fik mindst én efterfølgende antineoplastisk behandling, som kan forlænge samlet overlevelse.</w:t>
      </w:r>
    </w:p>
    <w:p w14:paraId="41297D06" w14:textId="77777777" w:rsidR="00B628C8" w:rsidRDefault="00B628C8" w:rsidP="00B628C8">
      <w:pPr>
        <w:pStyle w:val="Brdtekst"/>
        <w:rPr>
          <w:sz w:val="20"/>
        </w:rPr>
      </w:pPr>
    </w:p>
    <w:p w14:paraId="6FAE30CF" w14:textId="0648DF91" w:rsidR="00B628C8" w:rsidRPr="003C759B" w:rsidRDefault="00B628C8" w:rsidP="003C759B">
      <w:pPr>
        <w:ind w:left="993" w:hanging="993"/>
        <w:rPr>
          <w:b/>
          <w:sz w:val="24"/>
          <w:szCs w:val="24"/>
        </w:rPr>
      </w:pPr>
      <w:r w:rsidRPr="003C759B">
        <w:rPr>
          <w:b/>
          <w:sz w:val="24"/>
          <w:szCs w:val="24"/>
        </w:rPr>
        <w:t>Figur 6:</w:t>
      </w:r>
      <w:r w:rsidR="003C759B">
        <w:rPr>
          <w:b/>
          <w:sz w:val="24"/>
          <w:szCs w:val="24"/>
        </w:rPr>
        <w:tab/>
      </w:r>
      <w:r w:rsidRPr="003C759B">
        <w:rPr>
          <w:b/>
          <w:sz w:val="24"/>
          <w:szCs w:val="24"/>
        </w:rPr>
        <w:t>Kaplan-Meier-kurver for samlet overlevelse i PROSPER-studiet (</w:t>
      </w:r>
      <w:r w:rsidRPr="003C759B">
        <w:rPr>
          <w:b/>
          <w:i/>
          <w:sz w:val="24"/>
          <w:szCs w:val="24"/>
        </w:rPr>
        <w:t xml:space="preserve">intent-to-treat- </w:t>
      </w:r>
      <w:r w:rsidRPr="003C759B">
        <w:rPr>
          <w:b/>
          <w:sz w:val="24"/>
          <w:szCs w:val="24"/>
        </w:rPr>
        <w:t>analyse)</w:t>
      </w:r>
    </w:p>
    <w:p w14:paraId="1A317795" w14:textId="3C8B8A5D" w:rsidR="00B628C8" w:rsidRDefault="00B628C8" w:rsidP="00B628C8">
      <w:pPr>
        <w:pStyle w:val="Brdtekst"/>
        <w:rPr>
          <w:sz w:val="17"/>
        </w:rPr>
      </w:pPr>
      <w:r>
        <w:rPr>
          <w:noProof/>
        </w:rPr>
        <mc:AlternateContent>
          <mc:Choice Requires="wps">
            <w:drawing>
              <wp:anchor distT="45720" distB="45720" distL="114300" distR="114300" simplePos="0" relativeHeight="251668480" behindDoc="0" locked="0" layoutInCell="1" allowOverlap="1" wp14:anchorId="2B5D12B3" wp14:editId="40B3608B">
                <wp:simplePos x="0" y="0"/>
                <wp:positionH relativeFrom="column">
                  <wp:posOffset>615315</wp:posOffset>
                </wp:positionH>
                <wp:positionV relativeFrom="paragraph">
                  <wp:posOffset>2319655</wp:posOffset>
                </wp:positionV>
                <wp:extent cx="399415" cy="90805"/>
                <wp:effectExtent l="0" t="0" r="635" b="4445"/>
                <wp:wrapNone/>
                <wp:docPr id="874838133" name="Tekstfelt 874838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90170"/>
                        </a:xfrm>
                        <a:prstGeom prst="rect">
                          <a:avLst/>
                        </a:prstGeom>
                        <a:solidFill>
                          <a:srgbClr val="FFFFFF"/>
                        </a:solidFill>
                        <a:ln w="9525">
                          <a:noFill/>
                          <a:miter lim="800000"/>
                          <a:headEnd/>
                          <a:tailEnd/>
                        </a:ln>
                      </wps:spPr>
                      <wps:txbx>
                        <w:txbxContent>
                          <w:p w14:paraId="71C220D6" w14:textId="77777777" w:rsidR="00B628C8" w:rsidRDefault="00B628C8" w:rsidP="00B628C8">
                            <w:pPr>
                              <w:rPr>
                                <w:rFonts w:ascii="Arial" w:hAnsi="Arial" w:cs="Arial"/>
                                <w:sz w:val="10"/>
                                <w:szCs w:val="10"/>
                              </w:rPr>
                            </w:pPr>
                            <w:r>
                              <w:rPr>
                                <w:rFonts w:ascii="Arial" w:hAnsi="Arial" w:cs="Arial"/>
                                <w:sz w:val="10"/>
                                <w:szCs w:val="10"/>
                              </w:rPr>
                              <w:t>Enzalutamid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D12B3" id="Tekstfelt 874838133" o:spid="_x0000_s1029" type="#_x0000_t202" style="position:absolute;margin-left:48.45pt;margin-top:182.65pt;width:31.45pt;height:7.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" stroked="f">
                <v:textbox inset="0,0,0,0">
                  <w:txbxContent>
                    <w:p w14:paraId="71C220D6" w14:textId="77777777" w:rsidR="00B628C8" w:rsidRDefault="00B628C8" w:rsidP="00B628C8">
                      <w:pPr>
                        <w:rPr>
                          <w:rFonts w:ascii="Arial" w:hAnsi="Arial" w:cs="Arial"/>
                          <w:sz w:val="10"/>
                          <w:szCs w:val="10"/>
                        </w:rPr>
                      </w:pPr>
                      <w:r>
                        <w:rPr>
                          <w:rFonts w:ascii="Arial" w:hAnsi="Arial" w:cs="Arial"/>
                          <w:sz w:val="10"/>
                          <w:szCs w:val="10"/>
                        </w:rPr>
                        <w:t>Enzalutamid</w:t>
                      </w:r>
                    </w:p>
                  </w:txbxContent>
                </v:textbox>
              </v:shape>
            </w:pict>
          </mc:Fallback>
        </mc:AlternateContent>
      </w:r>
      <w:r>
        <w:rPr>
          <w:noProof/>
        </w:rPr>
        <mc:AlternateContent>
          <mc:Choice Requires="wps">
            <w:drawing>
              <wp:anchor distT="45720" distB="45720" distL="114300" distR="114300" simplePos="0" relativeHeight="251669504" behindDoc="0" locked="0" layoutInCell="1" allowOverlap="1" wp14:anchorId="2CA31CF1" wp14:editId="562E4907">
                <wp:simplePos x="0" y="0"/>
                <wp:positionH relativeFrom="margin">
                  <wp:align>left</wp:align>
                </wp:positionH>
                <wp:positionV relativeFrom="paragraph">
                  <wp:posOffset>2822575</wp:posOffset>
                </wp:positionV>
                <wp:extent cx="384175" cy="79375"/>
                <wp:effectExtent l="0" t="0" r="0" b="0"/>
                <wp:wrapNone/>
                <wp:docPr id="1018228342" name="Tekstfelt 1018228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78740"/>
                        </a:xfrm>
                        <a:prstGeom prst="rect">
                          <a:avLst/>
                        </a:prstGeom>
                        <a:solidFill>
                          <a:srgbClr val="FFFFFF"/>
                        </a:solidFill>
                        <a:ln w="9525">
                          <a:noFill/>
                          <a:miter lim="800000"/>
                          <a:headEnd/>
                          <a:tailEnd/>
                        </a:ln>
                      </wps:spPr>
                      <wps:txbx>
                        <w:txbxContent>
                          <w:p w14:paraId="2ABD49B8" w14:textId="77777777" w:rsidR="00B628C8" w:rsidRDefault="00B628C8" w:rsidP="00B628C8">
                            <w:pPr>
                              <w:rPr>
                                <w:rFonts w:ascii="Arial" w:hAnsi="Arial" w:cs="Arial"/>
                                <w:sz w:val="10"/>
                                <w:szCs w:val="10"/>
                              </w:rPr>
                            </w:pPr>
                            <w:r>
                              <w:rPr>
                                <w:rFonts w:ascii="Arial" w:hAnsi="Arial" w:cs="Arial"/>
                                <w:sz w:val="10"/>
                                <w:szCs w:val="10"/>
                              </w:rPr>
                              <w:t>Enzalutamid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31CF1" id="Tekstfelt 1018228342" o:spid="_x0000_s1030" type="#_x0000_t202" style="position:absolute;margin-left:0;margin-top:222.25pt;width:30.25pt;height:6.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" stroked="f">
                <v:textbox inset="0,0,0,0">
                  <w:txbxContent>
                    <w:p w14:paraId="2ABD49B8" w14:textId="77777777" w:rsidR="00B628C8" w:rsidRDefault="00B628C8" w:rsidP="00B628C8">
                      <w:pPr>
                        <w:rPr>
                          <w:rFonts w:ascii="Arial" w:hAnsi="Arial" w:cs="Arial"/>
                          <w:sz w:val="10"/>
                          <w:szCs w:val="10"/>
                        </w:rPr>
                      </w:pPr>
                      <w:r>
                        <w:rPr>
                          <w:rFonts w:ascii="Arial" w:hAnsi="Arial" w:cs="Arial"/>
                          <w:sz w:val="10"/>
                          <w:szCs w:val="10"/>
                        </w:rPr>
                        <w:t>Enzalutamid</w:t>
                      </w:r>
                    </w:p>
                  </w:txbxContent>
                </v:textbox>
                <w10:wrap anchorx="margin"/>
              </v:shape>
            </w:pict>
          </mc:Fallback>
        </mc:AlternateContent>
      </w:r>
      <w:r>
        <w:rPr>
          <w:noProof/>
        </w:rPr>
        <w:drawing>
          <wp:anchor distT="0" distB="0" distL="0" distR="0" simplePos="0" relativeHeight="251662336" behindDoc="0" locked="0" layoutInCell="1" allowOverlap="1" wp14:anchorId="089A2112" wp14:editId="31EB3E1A">
            <wp:simplePos x="0" y="0"/>
            <wp:positionH relativeFrom="page">
              <wp:posOffset>962660</wp:posOffset>
            </wp:positionH>
            <wp:positionV relativeFrom="paragraph">
              <wp:posOffset>149860</wp:posOffset>
            </wp:positionV>
            <wp:extent cx="5641340" cy="2823210"/>
            <wp:effectExtent l="0" t="0" r="0" b="0"/>
            <wp:wrapTopAndBottom/>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1340" cy="2823210"/>
                    </a:xfrm>
                    <a:prstGeom prst="rect">
                      <a:avLst/>
                    </a:prstGeom>
                    <a:noFill/>
                  </pic:spPr>
                </pic:pic>
              </a:graphicData>
            </a:graphic>
            <wp14:sizeRelH relativeFrom="page">
              <wp14:pctWidth>0</wp14:pctWidth>
            </wp14:sizeRelH>
            <wp14:sizeRelV relativeFrom="page">
              <wp14:pctHeight>0</wp14:pctHeight>
            </wp14:sizeRelV>
          </wp:anchor>
        </w:drawing>
      </w:r>
    </w:p>
    <w:p w14:paraId="76C54586" w14:textId="77777777" w:rsidR="00B628C8" w:rsidRDefault="00B628C8" w:rsidP="00B628C8">
      <w:pPr>
        <w:pStyle w:val="Brdtekst"/>
        <w:rPr>
          <w:sz w:val="32"/>
        </w:rPr>
      </w:pPr>
    </w:p>
    <w:p w14:paraId="090920F1" w14:textId="77777777" w:rsidR="00B628C8" w:rsidRPr="00B628C8" w:rsidRDefault="00B628C8" w:rsidP="00B628C8">
      <w:pPr>
        <w:pStyle w:val="Brdtekst"/>
        <w:ind w:left="851"/>
        <w:rPr>
          <w:sz w:val="24"/>
          <w:szCs w:val="24"/>
        </w:rPr>
      </w:pPr>
      <w:r w:rsidRPr="00B628C8">
        <w:rPr>
          <w:color w:val="212121"/>
          <w:sz w:val="24"/>
          <w:szCs w:val="24"/>
        </w:rPr>
        <w:t xml:space="preserve">Enzalutamid viste en statistisk signifikant reduktion på 93 % i den relative risiko for PSA-progression sammenlignet med placebo [HR = 0,07 (95 % CI: 0,05, 0,08), </w:t>
      </w:r>
      <w:r w:rsidRPr="00B628C8">
        <w:rPr>
          <w:sz w:val="24"/>
          <w:szCs w:val="24"/>
        </w:rPr>
        <w:t>p &lt; 0,0001]</w:t>
      </w:r>
      <w:r w:rsidRPr="00B628C8">
        <w:rPr>
          <w:color w:val="212121"/>
          <w:sz w:val="24"/>
          <w:szCs w:val="24"/>
        </w:rPr>
        <w:t xml:space="preserve">. </w:t>
      </w:r>
      <w:r w:rsidRPr="00B628C8">
        <w:rPr>
          <w:color w:val="212121"/>
          <w:sz w:val="24"/>
          <w:szCs w:val="24"/>
        </w:rPr>
        <w:lastRenderedPageBreak/>
        <w:t>Mediantid til PSA-progression var 37,2 måneder (95 % CI: 33,1, NR) i enzalutamidarmen mod 3,9 måneder (95 % CI: 3,8, 4,0) i placeboarmen.</w:t>
      </w:r>
    </w:p>
    <w:p w14:paraId="3E416962" w14:textId="77777777" w:rsidR="00B628C8" w:rsidRPr="00B628C8" w:rsidRDefault="00B628C8" w:rsidP="00B628C8">
      <w:pPr>
        <w:pStyle w:val="Brdtekst"/>
        <w:ind w:left="851"/>
        <w:rPr>
          <w:sz w:val="24"/>
          <w:szCs w:val="24"/>
        </w:rPr>
      </w:pPr>
    </w:p>
    <w:p w14:paraId="6E74B867" w14:textId="77777777" w:rsidR="00B628C8" w:rsidRPr="00B628C8" w:rsidRDefault="00B628C8" w:rsidP="00B628C8">
      <w:pPr>
        <w:pStyle w:val="Brdtekst"/>
        <w:ind w:left="851"/>
        <w:rPr>
          <w:color w:val="212121"/>
          <w:sz w:val="24"/>
          <w:szCs w:val="24"/>
        </w:rPr>
      </w:pPr>
      <w:r w:rsidRPr="00B628C8">
        <w:rPr>
          <w:sz w:val="24"/>
          <w:szCs w:val="24"/>
        </w:rPr>
        <w:t>Enzalutamid viste en statistisk signifikant forsinkelse i tiden til første brug af ny antineoplastisk behandling sammenlignet med placebo [HR = 0,21 (95 % CI: 0,17, 0,26), p &lt; 0,0001]</w:t>
      </w:r>
      <w:r w:rsidRPr="00B628C8">
        <w:rPr>
          <w:color w:val="212121"/>
          <w:sz w:val="24"/>
          <w:szCs w:val="24"/>
        </w:rPr>
        <w:t>. Mediantid til første brug af ny antineoplastisk behandling var 39,6 måneder (95 % CI: 37,7, NR) i enzalutamidarmen mod 17,7 måneder (95 % CI: 16,2, 19,7) i placeboarmen (se figur 7).</w:t>
      </w:r>
    </w:p>
    <w:p w14:paraId="0ED34587" w14:textId="77777777" w:rsidR="00B628C8" w:rsidRDefault="00B628C8" w:rsidP="00B628C8">
      <w:pPr>
        <w:pStyle w:val="Brdtekst"/>
        <w:rPr>
          <w:color w:val="212121"/>
        </w:rPr>
      </w:pPr>
    </w:p>
    <w:p w14:paraId="708876A5" w14:textId="6B809AD3" w:rsidR="00B628C8" w:rsidRPr="005230C8" w:rsidRDefault="00B628C8" w:rsidP="005230C8">
      <w:pPr>
        <w:ind w:left="993" w:hanging="993"/>
        <w:rPr>
          <w:b/>
          <w:bCs/>
          <w:sz w:val="24"/>
          <w:szCs w:val="24"/>
        </w:rPr>
      </w:pPr>
      <w:r w:rsidRPr="005230C8">
        <w:rPr>
          <w:b/>
          <w:sz w:val="24"/>
          <w:szCs w:val="24"/>
        </w:rPr>
        <w:t>Figur 7:</w:t>
      </w:r>
      <w:r w:rsidR="005230C8">
        <w:rPr>
          <w:b/>
          <w:sz w:val="24"/>
          <w:szCs w:val="24"/>
        </w:rPr>
        <w:tab/>
      </w:r>
      <w:r w:rsidRPr="005230C8">
        <w:rPr>
          <w:b/>
          <w:sz w:val="24"/>
          <w:szCs w:val="24"/>
        </w:rPr>
        <w:t>Kaplan-Meier-kurver for tid til første brug af ny antineoplastisk behandling i PROSPER-studiet (</w:t>
      </w:r>
      <w:r w:rsidRPr="005230C8">
        <w:rPr>
          <w:b/>
          <w:i/>
          <w:sz w:val="24"/>
          <w:szCs w:val="24"/>
        </w:rPr>
        <w:t>intent-to-treat</w:t>
      </w:r>
      <w:r w:rsidRPr="005230C8">
        <w:rPr>
          <w:b/>
          <w:sz w:val="24"/>
          <w:szCs w:val="24"/>
        </w:rPr>
        <w:t>-analyse)</w:t>
      </w:r>
    </w:p>
    <w:p w14:paraId="3E3C7DEB" w14:textId="12F9B390" w:rsidR="00B628C8" w:rsidRDefault="00B628C8" w:rsidP="00B628C8">
      <w:pPr>
        <w:pStyle w:val="Brdtekst"/>
        <w:rPr>
          <w:sz w:val="21"/>
        </w:rPr>
      </w:pPr>
      <w:r>
        <w:rPr>
          <w:noProof/>
        </w:rPr>
        <w:drawing>
          <wp:anchor distT="0" distB="0" distL="0" distR="0" simplePos="0" relativeHeight="251663360" behindDoc="0" locked="0" layoutInCell="1" allowOverlap="1" wp14:anchorId="1BF36903" wp14:editId="6BA423AE">
            <wp:simplePos x="0" y="0"/>
            <wp:positionH relativeFrom="margin">
              <wp:align>left</wp:align>
            </wp:positionH>
            <wp:positionV relativeFrom="paragraph">
              <wp:posOffset>248920</wp:posOffset>
            </wp:positionV>
            <wp:extent cx="5631815" cy="2698750"/>
            <wp:effectExtent l="0" t="0" r="6985" b="6350"/>
            <wp:wrapTopAndBottom/>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1815" cy="2698750"/>
                    </a:xfrm>
                    <a:prstGeom prst="rect">
                      <a:avLst/>
                    </a:prstGeom>
                    <a:noFill/>
                  </pic:spPr>
                </pic:pic>
              </a:graphicData>
            </a:graphic>
            <wp14:sizeRelH relativeFrom="page">
              <wp14:pctWidth>0</wp14:pctWidth>
            </wp14:sizeRelH>
            <wp14:sizeRelV relativeFrom="page">
              <wp14:pctHeight>0</wp14:pctHeight>
            </wp14:sizeRelV>
          </wp:anchor>
        </w:drawing>
      </w:r>
    </w:p>
    <w:p w14:paraId="31B78274" w14:textId="77777777" w:rsidR="00B628C8" w:rsidRDefault="00B628C8" w:rsidP="00B628C8">
      <w:pPr>
        <w:pStyle w:val="Brdtekst"/>
        <w:rPr>
          <w:b/>
          <w:sz w:val="21"/>
        </w:rPr>
      </w:pPr>
    </w:p>
    <w:p w14:paraId="68146D10" w14:textId="77777777" w:rsidR="00B628C8" w:rsidRPr="00B628C8" w:rsidRDefault="00B628C8" w:rsidP="00B628C8">
      <w:pPr>
        <w:ind w:left="851"/>
        <w:rPr>
          <w:sz w:val="24"/>
          <w:szCs w:val="24"/>
        </w:rPr>
      </w:pPr>
      <w:r w:rsidRPr="00B628C8">
        <w:rPr>
          <w:i/>
          <w:sz w:val="24"/>
          <w:szCs w:val="24"/>
        </w:rPr>
        <w:t>MDV3100-09 (STRIVE)-studiet (kemoterapi-naive patienter med non-metastatisk/metastatisk</w:t>
      </w:r>
      <w:r w:rsidRPr="00B628C8">
        <w:rPr>
          <w:i/>
          <w:spacing w:val="-29"/>
          <w:sz w:val="24"/>
          <w:szCs w:val="24"/>
        </w:rPr>
        <w:t xml:space="preserve"> </w:t>
      </w:r>
      <w:r w:rsidRPr="00B628C8">
        <w:rPr>
          <w:i/>
          <w:sz w:val="24"/>
          <w:szCs w:val="24"/>
        </w:rPr>
        <w:t>CRPC</w:t>
      </w:r>
      <w:r w:rsidRPr="00B628C8">
        <w:rPr>
          <w:sz w:val="24"/>
          <w:szCs w:val="24"/>
        </w:rPr>
        <w:t>)</w:t>
      </w:r>
    </w:p>
    <w:p w14:paraId="54275986" w14:textId="5987B30C" w:rsidR="00B628C8" w:rsidRPr="00B628C8" w:rsidRDefault="00B628C8" w:rsidP="00B628C8">
      <w:pPr>
        <w:pStyle w:val="Brdtekst"/>
        <w:ind w:left="851"/>
        <w:rPr>
          <w:color w:val="212121"/>
          <w:sz w:val="24"/>
          <w:szCs w:val="24"/>
        </w:rPr>
      </w:pPr>
      <w:r w:rsidRPr="00B628C8">
        <w:rPr>
          <w:sz w:val="24"/>
          <w:szCs w:val="24"/>
        </w:rPr>
        <w:t>STRIVE-studiet inkluderede 396 ikke-metastatiske eller metastatiske CRPC-patienter, som havde serologisk eller radiografisk sygdomsprogression til trods for primær androgen deprivationsbehandling, som blev randomiseret til at modtage enten enzalutamid i en dosis på 160 mg én gang dagligt (N = 198) eller bicalutamid i en dosis på 50 mg én gang dagligt (N = 198). Det primære endepunkt var PFS, defineret som tiden fra randomisering til det tidligste objektive bevis på radiografisk progression, PSA-progression eller død under studiet. Median PFS var 19,4 måneder</w:t>
      </w:r>
      <w:r w:rsidRPr="00B628C8">
        <w:rPr>
          <w:spacing w:val="-25"/>
          <w:sz w:val="24"/>
          <w:szCs w:val="24"/>
        </w:rPr>
        <w:t xml:space="preserve"> </w:t>
      </w:r>
      <w:r w:rsidRPr="00B628C8">
        <w:rPr>
          <w:sz w:val="24"/>
          <w:szCs w:val="24"/>
        </w:rPr>
        <w:t>(95</w:t>
      </w:r>
      <w:r w:rsidR="005230C8">
        <w:rPr>
          <w:sz w:val="24"/>
          <w:szCs w:val="24"/>
        </w:rPr>
        <w:t xml:space="preserve"> </w:t>
      </w:r>
      <w:r w:rsidRPr="00B628C8">
        <w:rPr>
          <w:sz w:val="24"/>
          <w:szCs w:val="24"/>
        </w:rPr>
        <w:t>% CI: 16,5, ikke nået) i enzalutamidgruppen mod 5,7 måneder (95 % CI: 5,6, 8,1) i bicalutamidgruppen [HR = 0,24 (95 % CI: 0,18, 0,32), p &lt; 0,0001]</w:t>
      </w:r>
      <w:r w:rsidRPr="00B628C8">
        <w:rPr>
          <w:color w:val="212121"/>
          <w:sz w:val="24"/>
          <w:szCs w:val="24"/>
        </w:rPr>
        <w:t xml:space="preserve">. Der blev observeret en konsistent fordel af enzalutamid over bicalutamid på PFS i alle forhåndsspecificerede patientundergrupper. I den ikke-metastatiske undergruppe (N = 139) havde i alt 19 ud af 70 (27,1 %) patienter behandlet med enzalutamid og 49 ud af 69 (71 %) patienter behandlet med bicalutamid, PFS-hændelser (til sammen 68 hændelser). </w:t>
      </w:r>
      <w:r w:rsidRPr="00B628C8">
        <w:rPr>
          <w:i/>
          <w:color w:val="212121"/>
          <w:sz w:val="24"/>
          <w:szCs w:val="24"/>
        </w:rPr>
        <w:t xml:space="preserve">Hazard </w:t>
      </w:r>
      <w:r w:rsidRPr="00B628C8">
        <w:rPr>
          <w:i/>
          <w:iCs/>
          <w:color w:val="212121"/>
          <w:sz w:val="24"/>
          <w:szCs w:val="24"/>
        </w:rPr>
        <w:t>ratio</w:t>
      </w:r>
      <w:r w:rsidRPr="00B628C8">
        <w:rPr>
          <w:color w:val="212121"/>
          <w:sz w:val="24"/>
          <w:szCs w:val="24"/>
        </w:rPr>
        <w:t xml:space="preserve"> var 0,24 (95 % CI: 0,14, 0,42) og mediantiden til en PFS-hændelse blev ikke nået i enzalutamidgruppen, mod 8,6 måneder i bicalutamidgruppen (se figur 8). </w:t>
      </w:r>
    </w:p>
    <w:p w14:paraId="04A24073" w14:textId="5D4B1EAC" w:rsidR="005230C8" w:rsidRDefault="005230C8">
      <w:pPr>
        <w:rPr>
          <w:color w:val="212121"/>
          <w:sz w:val="22"/>
          <w:szCs w:val="22"/>
        </w:rPr>
      </w:pPr>
      <w:r>
        <w:rPr>
          <w:color w:val="212121"/>
        </w:rPr>
        <w:br w:type="page"/>
      </w:r>
    </w:p>
    <w:p w14:paraId="25E4965C" w14:textId="77777777" w:rsidR="00B628C8" w:rsidRDefault="00B628C8" w:rsidP="00B628C8">
      <w:pPr>
        <w:pStyle w:val="Brdtekst"/>
        <w:rPr>
          <w:color w:val="212121"/>
        </w:rPr>
      </w:pPr>
    </w:p>
    <w:p w14:paraId="5F8F3C4A" w14:textId="619B4BD7" w:rsidR="00B628C8" w:rsidRPr="005230C8" w:rsidRDefault="00B628C8" w:rsidP="005230C8">
      <w:pPr>
        <w:ind w:left="993" w:hanging="993"/>
        <w:rPr>
          <w:b/>
          <w:sz w:val="24"/>
          <w:szCs w:val="24"/>
        </w:rPr>
      </w:pPr>
      <w:r w:rsidRPr="005230C8">
        <w:rPr>
          <w:b/>
          <w:sz w:val="24"/>
          <w:szCs w:val="24"/>
        </w:rPr>
        <w:t>Figur 8:</w:t>
      </w:r>
      <w:r w:rsidR="005230C8">
        <w:rPr>
          <w:b/>
          <w:sz w:val="24"/>
          <w:szCs w:val="24"/>
        </w:rPr>
        <w:tab/>
      </w:r>
      <w:r w:rsidRPr="005230C8">
        <w:rPr>
          <w:b/>
          <w:sz w:val="24"/>
          <w:szCs w:val="24"/>
        </w:rPr>
        <w:t>Kaplan-Meier-kurver for progressionsfri overlevelse i STRIVE-studiet (</w:t>
      </w:r>
      <w:r w:rsidRPr="005230C8">
        <w:rPr>
          <w:b/>
          <w:i/>
          <w:sz w:val="24"/>
          <w:szCs w:val="24"/>
        </w:rPr>
        <w:t>intent-to-treat</w:t>
      </w:r>
      <w:r w:rsidRPr="005230C8">
        <w:rPr>
          <w:b/>
          <w:sz w:val="24"/>
          <w:szCs w:val="24"/>
        </w:rPr>
        <w:t>- analyse)</w:t>
      </w:r>
    </w:p>
    <w:p w14:paraId="1508CBC9" w14:textId="77777777" w:rsidR="00B628C8" w:rsidRPr="001B576B" w:rsidRDefault="00B628C8" w:rsidP="001B576B">
      <w:pPr>
        <w:pStyle w:val="Brdtekst"/>
        <w:ind w:left="851"/>
        <w:rPr>
          <w:sz w:val="24"/>
          <w:szCs w:val="24"/>
        </w:rPr>
      </w:pPr>
    </w:p>
    <w:p w14:paraId="0D7E9CE3" w14:textId="108C5FA8" w:rsidR="00B628C8" w:rsidRDefault="00B628C8" w:rsidP="00B628C8">
      <w:pPr>
        <w:pStyle w:val="Brdtekst"/>
        <w:rPr>
          <w:sz w:val="20"/>
        </w:rPr>
      </w:pPr>
      <w:r>
        <w:rPr>
          <w:noProof/>
          <w:sz w:val="20"/>
        </w:rPr>
        <w:drawing>
          <wp:inline distT="0" distB="0" distL="0" distR="0" wp14:anchorId="6B127839" wp14:editId="36D1252F">
            <wp:extent cx="5632450" cy="2406650"/>
            <wp:effectExtent l="0" t="0" r="635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2450" cy="2406650"/>
                    </a:xfrm>
                    <a:prstGeom prst="rect">
                      <a:avLst/>
                    </a:prstGeom>
                    <a:noFill/>
                    <a:ln>
                      <a:noFill/>
                    </a:ln>
                  </pic:spPr>
                </pic:pic>
              </a:graphicData>
            </a:graphic>
          </wp:inline>
        </w:drawing>
      </w:r>
    </w:p>
    <w:p w14:paraId="4D557327" w14:textId="77777777" w:rsidR="00B628C8" w:rsidRDefault="00B628C8" w:rsidP="00B628C8">
      <w:pPr>
        <w:pStyle w:val="Brdtekst"/>
        <w:rPr>
          <w:sz w:val="14"/>
        </w:rPr>
      </w:pPr>
    </w:p>
    <w:p w14:paraId="622F6BF8" w14:textId="77777777" w:rsidR="00B628C8" w:rsidRPr="001B576B" w:rsidRDefault="00B628C8" w:rsidP="00B628C8">
      <w:pPr>
        <w:pStyle w:val="Brdtekst"/>
        <w:ind w:left="851"/>
        <w:rPr>
          <w:sz w:val="24"/>
          <w:szCs w:val="24"/>
        </w:rPr>
      </w:pPr>
    </w:p>
    <w:p w14:paraId="58131078" w14:textId="77777777" w:rsidR="00B628C8" w:rsidRPr="00B628C8" w:rsidRDefault="00B628C8" w:rsidP="00B628C8">
      <w:pPr>
        <w:ind w:left="851"/>
        <w:rPr>
          <w:i/>
          <w:sz w:val="24"/>
          <w:szCs w:val="24"/>
        </w:rPr>
      </w:pPr>
      <w:r w:rsidRPr="00B628C8">
        <w:rPr>
          <w:i/>
          <w:sz w:val="24"/>
          <w:szCs w:val="24"/>
        </w:rPr>
        <w:t>9785-CL-0222 (TERRAIN)-studiet (kemoterapi-naive patienter med metastatisk CRPC)</w:t>
      </w:r>
    </w:p>
    <w:p w14:paraId="32B38520" w14:textId="77777777" w:rsidR="00B628C8" w:rsidRPr="00B628C8" w:rsidRDefault="00B628C8" w:rsidP="00B628C8">
      <w:pPr>
        <w:pStyle w:val="Brdtekst"/>
        <w:ind w:left="851"/>
        <w:rPr>
          <w:sz w:val="24"/>
          <w:szCs w:val="24"/>
        </w:rPr>
      </w:pPr>
      <w:r w:rsidRPr="00B628C8">
        <w:rPr>
          <w:sz w:val="24"/>
          <w:szCs w:val="24"/>
        </w:rPr>
        <w:t xml:space="preserve">TERRAIN studiet indrullerede 375 kemo- og antiandrogen-terapi-naive patienter med metastatisk CRPC, som blev randomiseret til at få enten 160 mg enzalutamid én gang dagligt (N = 184) eller bicalutamid 50 mg én gang dagligt (N = 191). Median PFS var 15,7 måneder for patienter behandlet med enzalutamid mod 5,8 måneder for patienter behandlet med bicalutamid [HR = 0,44 (95 % CI: 0,34; 0,57), p &lt; 0,0001]. Progressionsfri overlevelse blev defineret som objektiv evidens for radiografisk sygdomsprogression ved uafhængig central vurdering, skeletrelaterede hændelser, initiering af ny antineoplastisk behandling eller død uanset årsag, uafhængigt af hvad der indtraf først. </w:t>
      </w:r>
      <w:r w:rsidRPr="00B628C8">
        <w:rPr>
          <w:color w:val="212121"/>
          <w:sz w:val="24"/>
          <w:szCs w:val="24"/>
        </w:rPr>
        <w:t>Konsistent PFS-fordel blev observeret på tværs af alle forhåndsspecificerede patientundergrupper.</w:t>
      </w:r>
    </w:p>
    <w:p w14:paraId="2C06FA36" w14:textId="77777777" w:rsidR="00B628C8" w:rsidRPr="00B628C8" w:rsidRDefault="00B628C8" w:rsidP="00B628C8">
      <w:pPr>
        <w:pStyle w:val="Brdtekst"/>
        <w:ind w:left="851"/>
        <w:rPr>
          <w:sz w:val="24"/>
          <w:szCs w:val="24"/>
        </w:rPr>
      </w:pPr>
    </w:p>
    <w:p w14:paraId="22B9BE70" w14:textId="77777777" w:rsidR="00B628C8" w:rsidRPr="00B628C8" w:rsidRDefault="00B628C8" w:rsidP="00B628C8">
      <w:pPr>
        <w:ind w:left="851"/>
        <w:rPr>
          <w:i/>
          <w:sz w:val="24"/>
          <w:szCs w:val="24"/>
        </w:rPr>
      </w:pPr>
      <w:r w:rsidRPr="00B628C8">
        <w:rPr>
          <w:i/>
          <w:sz w:val="24"/>
          <w:szCs w:val="24"/>
        </w:rPr>
        <w:t>MDV3100-03 (PREVAIL)-studiet (kemoterapi-naive patienter med metastatisk CRPC)</w:t>
      </w:r>
    </w:p>
    <w:p w14:paraId="7FD9AE0F" w14:textId="77777777" w:rsidR="00B628C8" w:rsidRPr="00B628C8" w:rsidRDefault="00B628C8" w:rsidP="00B628C8">
      <w:pPr>
        <w:pStyle w:val="Brdtekst"/>
        <w:ind w:left="851"/>
        <w:rPr>
          <w:sz w:val="24"/>
          <w:szCs w:val="24"/>
        </w:rPr>
      </w:pPr>
      <w:r w:rsidRPr="00B628C8">
        <w:rPr>
          <w:sz w:val="24"/>
          <w:szCs w:val="24"/>
        </w:rPr>
        <w:t>I alt 1.717 kemoterapi-naive patienter, som var asymptomatiske eller havde lette symptomer, blev randomiseret 1:1 til at få enten 160 mg enzalutamid oralt én gang dagligt (N = 872) eller placebo oralt én gang dagligt (N = 845). Patienter med visceral sygdom, patienter med let til moderat hjerteinsufficiens i anamnesen (NYHA-klasse I eller II), og patienter, der tog lægemidler, der er forbundet med sænkning af krampetærsklen, blev inkluderet. Patienter med en anamnese med krampeanfald eller en tilstand, der kan prædisponere for krampeanfald, og patienter med moderate eller kraftige smerter fra prostatacancer blev udelukket. Studiebehandlingen fortsatte indtil sygdomsprogression (evidens for radiografisk progression, en skeletrelateret hændelse eller klinisk progression) og initiering af cytotoksisk kemoterapi eller et forsøgsmiddel eller indtil uacceptabel toksicitet.</w:t>
      </w:r>
    </w:p>
    <w:p w14:paraId="5CF7774C" w14:textId="77777777" w:rsidR="00B628C8" w:rsidRPr="00B628C8" w:rsidRDefault="00B628C8" w:rsidP="00B628C8">
      <w:pPr>
        <w:pStyle w:val="Brdtekst"/>
        <w:ind w:left="851"/>
        <w:rPr>
          <w:sz w:val="24"/>
          <w:szCs w:val="24"/>
        </w:rPr>
      </w:pPr>
    </w:p>
    <w:p w14:paraId="1CA89692" w14:textId="77777777" w:rsidR="00B628C8" w:rsidRPr="00B628C8" w:rsidRDefault="00B628C8" w:rsidP="00B628C8">
      <w:pPr>
        <w:pStyle w:val="Brdtekst"/>
        <w:ind w:left="851"/>
        <w:rPr>
          <w:sz w:val="24"/>
          <w:szCs w:val="24"/>
        </w:rPr>
      </w:pPr>
      <w:r w:rsidRPr="00B628C8">
        <w:rPr>
          <w:sz w:val="24"/>
          <w:szCs w:val="24"/>
        </w:rPr>
        <w:t xml:space="preserve">Patientdemografi og sygdomskarakteristika ved </w:t>
      </w:r>
      <w:r w:rsidRPr="00B628C8">
        <w:rPr>
          <w:i/>
          <w:sz w:val="24"/>
          <w:szCs w:val="24"/>
        </w:rPr>
        <w:t xml:space="preserve">baseline </w:t>
      </w:r>
      <w:r w:rsidRPr="00B628C8">
        <w:rPr>
          <w:sz w:val="24"/>
          <w:szCs w:val="24"/>
        </w:rPr>
        <w:t xml:space="preserve">var afbalanceret mellem de 2 behandlingsarme. Medianalderen var 71 år (interval 42-93), og racefordelingen var 77 % kaukasiere, 10 % asiater, 2 % sorte og 11 % andre eller ukendt. 68 % af patienterne havde en ECOG-funktionsscore på 0, og 32 % af patienterne havde en ECOG-funktionsscore på 1. Smerte vurderet ved hjælp af </w:t>
      </w:r>
      <w:r w:rsidRPr="00B628C8">
        <w:rPr>
          <w:i/>
          <w:sz w:val="24"/>
          <w:szCs w:val="24"/>
        </w:rPr>
        <w:t xml:space="preserve">Brief Pain Inventory Short Form </w:t>
      </w:r>
      <w:r w:rsidRPr="00B628C8">
        <w:rPr>
          <w:sz w:val="24"/>
          <w:szCs w:val="24"/>
        </w:rPr>
        <w:t xml:space="preserve">(værste smerte i løbet af de seneste 24 timer på en skala fra 0 til 10) var ved </w:t>
      </w:r>
      <w:r w:rsidRPr="00B628C8">
        <w:rPr>
          <w:i/>
          <w:sz w:val="24"/>
          <w:szCs w:val="24"/>
        </w:rPr>
        <w:t xml:space="preserve">baseline </w:t>
      </w:r>
      <w:r w:rsidRPr="00B628C8">
        <w:rPr>
          <w:sz w:val="24"/>
          <w:szCs w:val="24"/>
        </w:rPr>
        <w:t xml:space="preserve">0-1 (asymptomatisk) hos 67 % af patienterne og 2-3 (let symptomatisk) hos 32 % af patienterne. Ca. 45 % af patienterne havde målbar bløddelssygdom ved inklusion i studiet, og 12 % af patienterne havde </w:t>
      </w:r>
      <w:r w:rsidRPr="00B628C8">
        <w:rPr>
          <w:sz w:val="24"/>
          <w:szCs w:val="24"/>
        </w:rPr>
        <w:lastRenderedPageBreak/>
        <w:t>viscerale metastaser (i lunge og/eller lever).</w:t>
      </w:r>
    </w:p>
    <w:p w14:paraId="0AA53177" w14:textId="77777777" w:rsidR="00B628C8" w:rsidRPr="00B628C8" w:rsidRDefault="00B628C8" w:rsidP="00B628C8">
      <w:pPr>
        <w:pStyle w:val="Brdtekst"/>
        <w:ind w:left="851"/>
        <w:rPr>
          <w:sz w:val="24"/>
          <w:szCs w:val="24"/>
        </w:rPr>
      </w:pPr>
    </w:p>
    <w:p w14:paraId="7E674E36" w14:textId="77777777" w:rsidR="00B628C8" w:rsidRPr="00B628C8" w:rsidRDefault="00B628C8" w:rsidP="00B628C8">
      <w:pPr>
        <w:pStyle w:val="Brdtekst"/>
        <w:ind w:left="851"/>
        <w:rPr>
          <w:sz w:val="24"/>
          <w:szCs w:val="24"/>
        </w:rPr>
      </w:pPr>
      <w:r w:rsidRPr="00B628C8">
        <w:rPr>
          <w:sz w:val="24"/>
          <w:szCs w:val="24"/>
        </w:rPr>
        <w:t xml:space="preserve">Co-primære effektendepunkter var samlet overlevelse og radiografisk progressionsfri overlevelse (rPFS). Foruden de co-primære endepunkter blev den gavnlige effekt af behandlingen vurderet ved anvendelse af tiden til initiering af cytotoksisk kemoterapi, bedste samlede bløddelsrespons, tiden til første skeletrelaterede hændelse, PSA-respons (≥50 % fald fra </w:t>
      </w:r>
      <w:r w:rsidRPr="00B628C8">
        <w:rPr>
          <w:i/>
          <w:sz w:val="24"/>
          <w:szCs w:val="24"/>
        </w:rPr>
        <w:t>baseline</w:t>
      </w:r>
      <w:r w:rsidRPr="00B628C8">
        <w:rPr>
          <w:sz w:val="24"/>
          <w:szCs w:val="24"/>
        </w:rPr>
        <w:t>), tiden til PSA-progression og tiden til forringelse af FACT-P total score.</w:t>
      </w:r>
    </w:p>
    <w:p w14:paraId="5C305F5B" w14:textId="77777777" w:rsidR="00B628C8" w:rsidRPr="00B628C8" w:rsidRDefault="00B628C8" w:rsidP="00B628C8">
      <w:pPr>
        <w:pStyle w:val="Brdtekst"/>
        <w:ind w:left="851"/>
        <w:rPr>
          <w:sz w:val="24"/>
          <w:szCs w:val="24"/>
        </w:rPr>
      </w:pPr>
    </w:p>
    <w:p w14:paraId="46C71C12" w14:textId="77777777" w:rsidR="00B628C8" w:rsidRPr="00B628C8" w:rsidRDefault="00B628C8" w:rsidP="00B628C8">
      <w:pPr>
        <w:ind w:left="851"/>
        <w:rPr>
          <w:sz w:val="24"/>
          <w:szCs w:val="24"/>
        </w:rPr>
      </w:pPr>
      <w:r w:rsidRPr="00B628C8">
        <w:rPr>
          <w:sz w:val="24"/>
          <w:szCs w:val="24"/>
        </w:rPr>
        <w:t>Radiografisk progression blev vurderet ved anvendelse af sekventielle billeddiagnostiske undersøgelser ifølge PCWG2 (</w:t>
      </w:r>
      <w:r w:rsidRPr="00B628C8">
        <w:rPr>
          <w:i/>
          <w:sz w:val="24"/>
          <w:szCs w:val="24"/>
        </w:rPr>
        <w:t>Prostate Cancer Clinical Trials Working Group</w:t>
      </w:r>
      <w:r w:rsidRPr="00B628C8">
        <w:rPr>
          <w:i/>
          <w:iCs/>
          <w:sz w:val="24"/>
          <w:szCs w:val="24"/>
        </w:rPr>
        <w:t xml:space="preserve"> 2</w:t>
      </w:r>
      <w:r w:rsidRPr="00B628C8">
        <w:rPr>
          <w:sz w:val="24"/>
          <w:szCs w:val="24"/>
        </w:rPr>
        <w:t>)-kriterier (for knoglelæsioner) og/eller RECIST v 1.1 (</w:t>
      </w:r>
      <w:r w:rsidRPr="00B628C8">
        <w:rPr>
          <w:i/>
          <w:sz w:val="24"/>
          <w:szCs w:val="24"/>
        </w:rPr>
        <w:t>Response Evaluation Criteria in Solid Tumors</w:t>
      </w:r>
      <w:r w:rsidRPr="00B628C8">
        <w:rPr>
          <w:sz w:val="24"/>
          <w:szCs w:val="24"/>
        </w:rPr>
        <w:t>)-kriterier (for bløddelslæsioner). Analysen af rPFS benyttede centralt bedømte radiografiske vurderinger af progression.</w:t>
      </w:r>
    </w:p>
    <w:p w14:paraId="5F8CBB99" w14:textId="77777777" w:rsidR="00B628C8" w:rsidRPr="00B628C8" w:rsidRDefault="00B628C8" w:rsidP="00B628C8">
      <w:pPr>
        <w:pStyle w:val="Brdtekst"/>
        <w:ind w:left="851"/>
        <w:rPr>
          <w:sz w:val="24"/>
          <w:szCs w:val="24"/>
        </w:rPr>
      </w:pPr>
    </w:p>
    <w:p w14:paraId="3505CD5A" w14:textId="77777777" w:rsidR="00B628C8" w:rsidRPr="00B628C8" w:rsidRDefault="00B628C8" w:rsidP="00B628C8">
      <w:pPr>
        <w:pStyle w:val="Brdtekst"/>
        <w:ind w:left="851"/>
        <w:rPr>
          <w:sz w:val="24"/>
          <w:szCs w:val="24"/>
        </w:rPr>
      </w:pPr>
      <w:r w:rsidRPr="00B628C8">
        <w:rPr>
          <w:sz w:val="24"/>
          <w:szCs w:val="24"/>
        </w:rPr>
        <w:t>Ved den forudspecificerede interimanalyse for samlet overlevelse, da 540 dødsfald var observeret, viste behandling med enzalutamid en statistisk signifikant forbedring i samlet overlevelse sammenlignet med placebo med en 29,4 % reduktion i risiko for død [HR = 0,706 (95 % CI: 0,60, 0,84), p &lt; 0,0001]. Der blev udført en opdateret analyse af overlevelse, da 784 dødsfald var observeret. Resultaterne fra denne analyse var i overensstemmelse med resultaterne fra interimanalysen (tabel 5). Ved den opdaterede analyse havde 52 % af patienterne i enzalutamidgruppen og 81 % i placebogruppen fået efterfølgende behandling for metastatisk CRPC, der kan forlænge den samlede overlevelse.</w:t>
      </w:r>
    </w:p>
    <w:p w14:paraId="3AA3B755" w14:textId="77777777" w:rsidR="00B628C8" w:rsidRPr="00B628C8" w:rsidRDefault="00B628C8" w:rsidP="00B628C8">
      <w:pPr>
        <w:pStyle w:val="Brdtekst"/>
        <w:ind w:left="851"/>
        <w:rPr>
          <w:sz w:val="24"/>
          <w:szCs w:val="24"/>
        </w:rPr>
      </w:pPr>
    </w:p>
    <w:p w14:paraId="35BD1637" w14:textId="77777777" w:rsidR="00B628C8" w:rsidRPr="00B628C8" w:rsidRDefault="00B628C8" w:rsidP="00B628C8">
      <w:pPr>
        <w:pStyle w:val="Brdtekst"/>
        <w:ind w:left="851"/>
        <w:rPr>
          <w:sz w:val="24"/>
          <w:szCs w:val="24"/>
        </w:rPr>
      </w:pPr>
      <w:r w:rsidRPr="00B628C8">
        <w:rPr>
          <w:sz w:val="24"/>
          <w:szCs w:val="24"/>
        </w:rPr>
        <w:t>En endelig analyse af 5-års data fra PREVAIL viste, at der blev opretholdt en statistisk signifikant stigning i samlet overlevelse hos patienter, der blev behandlet med enzalutamid, sammenlignet med placebo [HR = 0,835 (95 % CI: 0,75; 0,93), p-værdi = 0,0008] på trods af, at 28 % af patienterne på placebo skiftede til enzalutamid. Den samlede overlevelsesrate for 5 år var 26 % for enzalutamidarmen sammenlignet med 21 % for placeboarmen.</w:t>
      </w:r>
    </w:p>
    <w:p w14:paraId="320A09C2" w14:textId="77777777" w:rsidR="00B628C8" w:rsidRDefault="00B628C8" w:rsidP="00B628C8">
      <w:pPr>
        <w:pStyle w:val="Brdtekst"/>
        <w:rPr>
          <w:sz w:val="21"/>
        </w:rPr>
      </w:pPr>
    </w:p>
    <w:p w14:paraId="46251FC8" w14:textId="1F2F9273" w:rsidR="00B628C8" w:rsidRPr="001B576B" w:rsidRDefault="00B628C8" w:rsidP="001B576B">
      <w:pPr>
        <w:ind w:left="993" w:hanging="993"/>
        <w:rPr>
          <w:b/>
          <w:sz w:val="24"/>
          <w:szCs w:val="24"/>
        </w:rPr>
      </w:pPr>
      <w:r w:rsidRPr="001B576B">
        <w:rPr>
          <w:b/>
          <w:sz w:val="24"/>
          <w:szCs w:val="24"/>
        </w:rPr>
        <w:t>Tabel 5:</w:t>
      </w:r>
      <w:r w:rsidR="001B576B">
        <w:rPr>
          <w:b/>
          <w:sz w:val="24"/>
          <w:szCs w:val="24"/>
        </w:rPr>
        <w:tab/>
      </w:r>
      <w:r w:rsidRPr="001B576B">
        <w:rPr>
          <w:b/>
          <w:sz w:val="24"/>
          <w:szCs w:val="24"/>
        </w:rPr>
        <w:t>Samlet overlevelse hos patienter behandlet med enten enzalutamid eller placebo i PREVAIL-studiet (</w:t>
      </w:r>
      <w:r w:rsidRPr="001B576B">
        <w:rPr>
          <w:b/>
          <w:i/>
          <w:sz w:val="24"/>
          <w:szCs w:val="24"/>
        </w:rPr>
        <w:t>intent-to-treat</w:t>
      </w:r>
      <w:r w:rsidRPr="001B576B">
        <w:rPr>
          <w:b/>
          <w:sz w:val="24"/>
          <w:szCs w:val="24"/>
        </w:rPr>
        <w:t>-analyse)</w:t>
      </w:r>
    </w:p>
    <w:p w14:paraId="1941205D" w14:textId="77777777" w:rsidR="00B628C8" w:rsidRDefault="00B628C8" w:rsidP="00B628C8">
      <w:pPr>
        <w:pStyle w:val="Brdtekst"/>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1"/>
        <w:gridCol w:w="1722"/>
        <w:gridCol w:w="1787"/>
      </w:tblGrid>
      <w:tr w:rsidR="00B628C8" w14:paraId="20F9C874" w14:textId="77777777" w:rsidTr="00B628C8">
        <w:trPr>
          <w:trHeight w:val="505"/>
        </w:trPr>
        <w:tc>
          <w:tcPr>
            <w:tcW w:w="5311" w:type="dxa"/>
            <w:tcBorders>
              <w:top w:val="single" w:sz="4" w:space="0" w:color="000000"/>
              <w:left w:val="single" w:sz="4" w:space="0" w:color="000000"/>
              <w:bottom w:val="single" w:sz="12" w:space="0" w:color="000000"/>
              <w:right w:val="single" w:sz="4" w:space="0" w:color="000000"/>
            </w:tcBorders>
          </w:tcPr>
          <w:p w14:paraId="7283480E" w14:textId="77777777" w:rsidR="00B628C8" w:rsidRPr="00B628C8" w:rsidRDefault="00B628C8">
            <w:pPr>
              <w:pStyle w:val="TableParagraph"/>
              <w:ind w:left="0"/>
              <w:rPr>
                <w:sz w:val="20"/>
              </w:rPr>
            </w:pPr>
          </w:p>
        </w:tc>
        <w:tc>
          <w:tcPr>
            <w:tcW w:w="1722" w:type="dxa"/>
            <w:tcBorders>
              <w:top w:val="single" w:sz="4" w:space="0" w:color="000000"/>
              <w:left w:val="single" w:sz="4" w:space="0" w:color="000000"/>
              <w:bottom w:val="single" w:sz="12" w:space="0" w:color="000000"/>
              <w:right w:val="single" w:sz="4" w:space="0" w:color="000000"/>
            </w:tcBorders>
            <w:hideMark/>
          </w:tcPr>
          <w:p w14:paraId="31702ABC" w14:textId="77777777" w:rsidR="00B628C8" w:rsidRDefault="00B628C8">
            <w:pPr>
              <w:pStyle w:val="TableParagraph"/>
              <w:ind w:left="0"/>
              <w:jc w:val="center"/>
              <w:rPr>
                <w:b/>
                <w:lang w:val="en-US"/>
              </w:rPr>
            </w:pPr>
            <w:r>
              <w:rPr>
                <w:b/>
                <w:lang w:val="en-US"/>
              </w:rPr>
              <w:t>Enzalutamid</w:t>
            </w:r>
          </w:p>
          <w:p w14:paraId="37244CA2" w14:textId="77777777" w:rsidR="00B628C8" w:rsidRDefault="00B628C8">
            <w:pPr>
              <w:pStyle w:val="TableParagraph"/>
              <w:ind w:left="0"/>
              <w:jc w:val="center"/>
              <w:rPr>
                <w:b/>
                <w:lang w:val="en-US"/>
              </w:rPr>
            </w:pPr>
            <w:r>
              <w:rPr>
                <w:b/>
                <w:lang w:val="en-US"/>
              </w:rPr>
              <w:t>(N = 872)</w:t>
            </w:r>
          </w:p>
        </w:tc>
        <w:tc>
          <w:tcPr>
            <w:tcW w:w="1787" w:type="dxa"/>
            <w:tcBorders>
              <w:top w:val="single" w:sz="4" w:space="0" w:color="000000"/>
              <w:left w:val="single" w:sz="4" w:space="0" w:color="000000"/>
              <w:bottom w:val="single" w:sz="12" w:space="0" w:color="000000"/>
              <w:right w:val="single" w:sz="4" w:space="0" w:color="000000"/>
            </w:tcBorders>
            <w:hideMark/>
          </w:tcPr>
          <w:p w14:paraId="069CB0A2" w14:textId="77777777" w:rsidR="00B628C8" w:rsidRDefault="00B628C8">
            <w:pPr>
              <w:pStyle w:val="TableParagraph"/>
              <w:ind w:left="0"/>
              <w:jc w:val="center"/>
              <w:rPr>
                <w:b/>
                <w:lang w:val="en-US"/>
              </w:rPr>
            </w:pPr>
            <w:r>
              <w:rPr>
                <w:b/>
                <w:lang w:val="en-US"/>
              </w:rPr>
              <w:t>Placebo</w:t>
            </w:r>
          </w:p>
          <w:p w14:paraId="4430D8CB" w14:textId="77777777" w:rsidR="00B628C8" w:rsidRDefault="00B628C8">
            <w:pPr>
              <w:pStyle w:val="TableParagraph"/>
              <w:ind w:left="0"/>
              <w:jc w:val="center"/>
              <w:rPr>
                <w:b/>
                <w:lang w:val="en-US"/>
              </w:rPr>
            </w:pPr>
            <w:r>
              <w:rPr>
                <w:b/>
                <w:lang w:val="en-US"/>
              </w:rPr>
              <w:t>(N = 845)</w:t>
            </w:r>
          </w:p>
        </w:tc>
      </w:tr>
      <w:tr w:rsidR="00B628C8" w14:paraId="71AE1FCA" w14:textId="77777777" w:rsidTr="00B628C8">
        <w:trPr>
          <w:trHeight w:val="253"/>
        </w:trPr>
        <w:tc>
          <w:tcPr>
            <w:tcW w:w="8820" w:type="dxa"/>
            <w:gridSpan w:val="3"/>
            <w:tcBorders>
              <w:top w:val="single" w:sz="12" w:space="0" w:color="000000"/>
              <w:left w:val="single" w:sz="4" w:space="0" w:color="000000"/>
              <w:bottom w:val="single" w:sz="4" w:space="0" w:color="000000"/>
              <w:right w:val="single" w:sz="4" w:space="0" w:color="000000"/>
            </w:tcBorders>
            <w:hideMark/>
          </w:tcPr>
          <w:p w14:paraId="298BC26A" w14:textId="77777777" w:rsidR="00B628C8" w:rsidRDefault="00B628C8">
            <w:pPr>
              <w:pStyle w:val="TableParagraph"/>
              <w:ind w:left="0"/>
              <w:rPr>
                <w:lang w:val="en-US"/>
              </w:rPr>
            </w:pPr>
            <w:r>
              <w:rPr>
                <w:lang w:val="en-US"/>
              </w:rPr>
              <w:t>Forudspecificeret interimanalyse</w:t>
            </w:r>
          </w:p>
        </w:tc>
      </w:tr>
      <w:tr w:rsidR="00B628C8" w14:paraId="7A35AC2D" w14:textId="77777777" w:rsidTr="00B628C8">
        <w:trPr>
          <w:trHeight w:val="251"/>
        </w:trPr>
        <w:tc>
          <w:tcPr>
            <w:tcW w:w="5311" w:type="dxa"/>
            <w:tcBorders>
              <w:top w:val="single" w:sz="4" w:space="0" w:color="000000"/>
              <w:left w:val="single" w:sz="4" w:space="0" w:color="000000"/>
              <w:bottom w:val="single" w:sz="4" w:space="0" w:color="000000"/>
              <w:right w:val="single" w:sz="4" w:space="0" w:color="000000"/>
            </w:tcBorders>
            <w:hideMark/>
          </w:tcPr>
          <w:p w14:paraId="40068CEE" w14:textId="77777777" w:rsidR="00B628C8" w:rsidRDefault="00B628C8">
            <w:pPr>
              <w:pStyle w:val="TableParagraph"/>
              <w:ind w:left="0"/>
              <w:rPr>
                <w:lang w:val="en-US"/>
              </w:rPr>
            </w:pPr>
            <w:r>
              <w:rPr>
                <w:lang w:val="en-US"/>
              </w:rPr>
              <w:t xml:space="preserve">   Antal dødsfald (%)</w:t>
            </w:r>
          </w:p>
        </w:tc>
        <w:tc>
          <w:tcPr>
            <w:tcW w:w="1722" w:type="dxa"/>
            <w:tcBorders>
              <w:top w:val="single" w:sz="4" w:space="0" w:color="000000"/>
              <w:left w:val="single" w:sz="4" w:space="0" w:color="000000"/>
              <w:bottom w:val="single" w:sz="4" w:space="0" w:color="000000"/>
              <w:right w:val="single" w:sz="4" w:space="0" w:color="000000"/>
            </w:tcBorders>
            <w:hideMark/>
          </w:tcPr>
          <w:p w14:paraId="56596CBD" w14:textId="77777777" w:rsidR="00B628C8" w:rsidRDefault="00B628C8">
            <w:pPr>
              <w:pStyle w:val="TableParagraph"/>
              <w:ind w:left="0"/>
              <w:jc w:val="center"/>
              <w:rPr>
                <w:lang w:val="en-US"/>
              </w:rPr>
            </w:pPr>
            <w:r>
              <w:rPr>
                <w:lang w:val="en-US"/>
              </w:rPr>
              <w:t>241 (27,6 %)</w:t>
            </w:r>
          </w:p>
        </w:tc>
        <w:tc>
          <w:tcPr>
            <w:tcW w:w="1787" w:type="dxa"/>
            <w:tcBorders>
              <w:top w:val="single" w:sz="4" w:space="0" w:color="000000"/>
              <w:left w:val="single" w:sz="4" w:space="0" w:color="000000"/>
              <w:bottom w:val="single" w:sz="4" w:space="0" w:color="000000"/>
              <w:right w:val="single" w:sz="4" w:space="0" w:color="000000"/>
            </w:tcBorders>
            <w:hideMark/>
          </w:tcPr>
          <w:p w14:paraId="3FAD662D" w14:textId="77777777" w:rsidR="00B628C8" w:rsidRDefault="00B628C8">
            <w:pPr>
              <w:pStyle w:val="TableParagraph"/>
              <w:ind w:left="0"/>
              <w:jc w:val="center"/>
              <w:rPr>
                <w:lang w:val="en-US"/>
              </w:rPr>
            </w:pPr>
            <w:r>
              <w:rPr>
                <w:lang w:val="en-US"/>
              </w:rPr>
              <w:t>299 (35,4 %)</w:t>
            </w:r>
          </w:p>
        </w:tc>
      </w:tr>
      <w:tr w:rsidR="00B628C8" w14:paraId="48D14D0F" w14:textId="77777777" w:rsidTr="00B628C8">
        <w:trPr>
          <w:trHeight w:val="253"/>
        </w:trPr>
        <w:tc>
          <w:tcPr>
            <w:tcW w:w="5311" w:type="dxa"/>
            <w:tcBorders>
              <w:top w:val="single" w:sz="4" w:space="0" w:color="000000"/>
              <w:left w:val="single" w:sz="4" w:space="0" w:color="000000"/>
              <w:bottom w:val="single" w:sz="4" w:space="0" w:color="000000"/>
              <w:right w:val="single" w:sz="4" w:space="0" w:color="000000"/>
            </w:tcBorders>
            <w:hideMark/>
          </w:tcPr>
          <w:p w14:paraId="781B46C3" w14:textId="77777777" w:rsidR="00B628C8" w:rsidRDefault="00B628C8">
            <w:pPr>
              <w:pStyle w:val="TableParagraph"/>
              <w:ind w:left="0"/>
              <w:rPr>
                <w:lang w:val="en-US"/>
              </w:rPr>
            </w:pPr>
            <w:r>
              <w:rPr>
                <w:lang w:val="en-US"/>
              </w:rPr>
              <w:t xml:space="preserve">   Median overlevelse, måneder (95 % CI)</w:t>
            </w:r>
          </w:p>
        </w:tc>
        <w:tc>
          <w:tcPr>
            <w:tcW w:w="1722" w:type="dxa"/>
            <w:tcBorders>
              <w:top w:val="single" w:sz="4" w:space="0" w:color="000000"/>
              <w:left w:val="single" w:sz="4" w:space="0" w:color="000000"/>
              <w:bottom w:val="single" w:sz="4" w:space="0" w:color="000000"/>
              <w:right w:val="single" w:sz="4" w:space="0" w:color="000000"/>
            </w:tcBorders>
            <w:hideMark/>
          </w:tcPr>
          <w:p w14:paraId="49768FF7" w14:textId="77777777" w:rsidR="00B628C8" w:rsidRDefault="00B628C8">
            <w:pPr>
              <w:pStyle w:val="TableParagraph"/>
              <w:ind w:left="0"/>
              <w:jc w:val="center"/>
              <w:rPr>
                <w:lang w:val="en-US"/>
              </w:rPr>
            </w:pPr>
            <w:r>
              <w:rPr>
                <w:lang w:val="en-US"/>
              </w:rPr>
              <w:t>32,4 (30,1; NR)</w:t>
            </w:r>
          </w:p>
        </w:tc>
        <w:tc>
          <w:tcPr>
            <w:tcW w:w="1787" w:type="dxa"/>
            <w:tcBorders>
              <w:top w:val="single" w:sz="4" w:space="0" w:color="000000"/>
              <w:left w:val="single" w:sz="4" w:space="0" w:color="000000"/>
              <w:bottom w:val="single" w:sz="4" w:space="0" w:color="000000"/>
              <w:right w:val="single" w:sz="4" w:space="0" w:color="000000"/>
            </w:tcBorders>
            <w:hideMark/>
          </w:tcPr>
          <w:p w14:paraId="647DCA93" w14:textId="77777777" w:rsidR="00B628C8" w:rsidRDefault="00B628C8">
            <w:pPr>
              <w:pStyle w:val="TableParagraph"/>
              <w:ind w:left="0"/>
              <w:jc w:val="center"/>
              <w:rPr>
                <w:lang w:val="en-US"/>
              </w:rPr>
            </w:pPr>
            <w:r>
              <w:rPr>
                <w:lang w:val="en-US"/>
              </w:rPr>
              <w:t>30,2 (28,0; NR)</w:t>
            </w:r>
          </w:p>
        </w:tc>
      </w:tr>
      <w:tr w:rsidR="00B628C8" w14:paraId="42F30660" w14:textId="77777777" w:rsidTr="00B628C8">
        <w:trPr>
          <w:trHeight w:val="251"/>
        </w:trPr>
        <w:tc>
          <w:tcPr>
            <w:tcW w:w="5311" w:type="dxa"/>
            <w:tcBorders>
              <w:top w:val="single" w:sz="4" w:space="0" w:color="000000"/>
              <w:left w:val="single" w:sz="4" w:space="0" w:color="000000"/>
              <w:bottom w:val="single" w:sz="4" w:space="0" w:color="000000"/>
              <w:right w:val="single" w:sz="4" w:space="0" w:color="000000"/>
            </w:tcBorders>
            <w:hideMark/>
          </w:tcPr>
          <w:p w14:paraId="20860241" w14:textId="77777777" w:rsidR="00B628C8" w:rsidRDefault="00B628C8">
            <w:pPr>
              <w:pStyle w:val="TableParagraph"/>
              <w:ind w:left="0"/>
              <w:rPr>
                <w:i/>
                <w:lang w:val="en-US"/>
              </w:rPr>
            </w:pPr>
            <w:r>
              <w:rPr>
                <w:lang w:val="en-US"/>
              </w:rPr>
              <w:t xml:space="preserve">   P-værdi</w:t>
            </w:r>
            <w:r>
              <w:rPr>
                <w:i/>
                <w:vertAlign w:val="superscript"/>
                <w:lang w:val="en-US"/>
              </w:rPr>
              <w:t>1</w:t>
            </w:r>
          </w:p>
        </w:tc>
        <w:tc>
          <w:tcPr>
            <w:tcW w:w="3509" w:type="dxa"/>
            <w:gridSpan w:val="2"/>
            <w:tcBorders>
              <w:top w:val="single" w:sz="4" w:space="0" w:color="000000"/>
              <w:left w:val="single" w:sz="4" w:space="0" w:color="000000"/>
              <w:bottom w:val="single" w:sz="4" w:space="0" w:color="000000"/>
              <w:right w:val="single" w:sz="4" w:space="0" w:color="000000"/>
            </w:tcBorders>
            <w:hideMark/>
          </w:tcPr>
          <w:p w14:paraId="50114E3B" w14:textId="77777777" w:rsidR="00B628C8" w:rsidRDefault="00B628C8">
            <w:pPr>
              <w:pStyle w:val="TableParagraph"/>
              <w:ind w:left="0"/>
              <w:jc w:val="center"/>
              <w:rPr>
                <w:lang w:val="en-US"/>
              </w:rPr>
            </w:pPr>
            <w:r>
              <w:rPr>
                <w:lang w:val="en-US"/>
              </w:rPr>
              <w:t>p &lt; 0,0001</w:t>
            </w:r>
          </w:p>
        </w:tc>
      </w:tr>
      <w:tr w:rsidR="00B628C8" w14:paraId="21B94D8A" w14:textId="77777777" w:rsidTr="00B628C8">
        <w:trPr>
          <w:trHeight w:val="253"/>
        </w:trPr>
        <w:tc>
          <w:tcPr>
            <w:tcW w:w="5311" w:type="dxa"/>
            <w:tcBorders>
              <w:top w:val="single" w:sz="4" w:space="0" w:color="000000"/>
              <w:left w:val="single" w:sz="4" w:space="0" w:color="000000"/>
              <w:bottom w:val="single" w:sz="4" w:space="0" w:color="000000"/>
              <w:right w:val="single" w:sz="4" w:space="0" w:color="000000"/>
            </w:tcBorders>
            <w:hideMark/>
          </w:tcPr>
          <w:p w14:paraId="00485BA8" w14:textId="77777777" w:rsidR="00B628C8" w:rsidRDefault="00B628C8">
            <w:pPr>
              <w:pStyle w:val="TableParagraph"/>
              <w:ind w:left="0"/>
              <w:rPr>
                <w:i/>
                <w:lang w:val="en-US"/>
              </w:rPr>
            </w:pPr>
            <w:r>
              <w:rPr>
                <w:i/>
                <w:lang w:val="en-US"/>
              </w:rPr>
              <w:t xml:space="preserve">   Hazard </w:t>
            </w:r>
            <w:r>
              <w:rPr>
                <w:i/>
                <w:iCs/>
                <w:lang w:val="en-US"/>
              </w:rPr>
              <w:t>ratio</w:t>
            </w:r>
            <w:r>
              <w:rPr>
                <w:lang w:val="en-US"/>
              </w:rPr>
              <w:t xml:space="preserve"> (95 % CI)</w:t>
            </w:r>
            <w:r>
              <w:rPr>
                <w:i/>
                <w:vertAlign w:val="superscript"/>
                <w:lang w:val="en-US"/>
              </w:rPr>
              <w:t>2</w:t>
            </w:r>
          </w:p>
        </w:tc>
        <w:tc>
          <w:tcPr>
            <w:tcW w:w="3509" w:type="dxa"/>
            <w:gridSpan w:val="2"/>
            <w:tcBorders>
              <w:top w:val="single" w:sz="4" w:space="0" w:color="000000"/>
              <w:left w:val="single" w:sz="4" w:space="0" w:color="000000"/>
              <w:bottom w:val="single" w:sz="4" w:space="0" w:color="000000"/>
              <w:right w:val="single" w:sz="4" w:space="0" w:color="000000"/>
            </w:tcBorders>
            <w:hideMark/>
          </w:tcPr>
          <w:p w14:paraId="72F0FA25" w14:textId="77777777" w:rsidR="00B628C8" w:rsidRDefault="00B628C8">
            <w:pPr>
              <w:pStyle w:val="TableParagraph"/>
              <w:ind w:left="0"/>
              <w:jc w:val="center"/>
              <w:rPr>
                <w:lang w:val="en-US"/>
              </w:rPr>
            </w:pPr>
            <w:r>
              <w:rPr>
                <w:lang w:val="en-US"/>
              </w:rPr>
              <w:t>0,71 (0,60; 0,84)</w:t>
            </w:r>
          </w:p>
        </w:tc>
      </w:tr>
      <w:tr w:rsidR="00B628C8" w14:paraId="26A1DD1A" w14:textId="77777777" w:rsidTr="00B628C8">
        <w:trPr>
          <w:trHeight w:val="251"/>
        </w:trPr>
        <w:tc>
          <w:tcPr>
            <w:tcW w:w="8820" w:type="dxa"/>
            <w:gridSpan w:val="3"/>
            <w:tcBorders>
              <w:top w:val="single" w:sz="4" w:space="0" w:color="000000"/>
              <w:left w:val="single" w:sz="4" w:space="0" w:color="000000"/>
              <w:bottom w:val="single" w:sz="4" w:space="0" w:color="000000"/>
              <w:right w:val="single" w:sz="4" w:space="0" w:color="000000"/>
            </w:tcBorders>
            <w:hideMark/>
          </w:tcPr>
          <w:p w14:paraId="5CE05ECE" w14:textId="77777777" w:rsidR="00B628C8" w:rsidRDefault="00B628C8">
            <w:pPr>
              <w:pStyle w:val="TableParagraph"/>
              <w:ind w:left="0"/>
              <w:rPr>
                <w:lang w:val="en-US"/>
              </w:rPr>
            </w:pPr>
            <w:r>
              <w:rPr>
                <w:lang w:val="en-US"/>
              </w:rPr>
              <w:t>Opdateret overlevelsesanalyse</w:t>
            </w:r>
          </w:p>
        </w:tc>
      </w:tr>
      <w:tr w:rsidR="00B628C8" w14:paraId="24010A30" w14:textId="77777777" w:rsidTr="00B628C8">
        <w:trPr>
          <w:trHeight w:val="253"/>
        </w:trPr>
        <w:tc>
          <w:tcPr>
            <w:tcW w:w="5311" w:type="dxa"/>
            <w:tcBorders>
              <w:top w:val="single" w:sz="4" w:space="0" w:color="000000"/>
              <w:left w:val="single" w:sz="4" w:space="0" w:color="000000"/>
              <w:bottom w:val="single" w:sz="4" w:space="0" w:color="000000"/>
              <w:right w:val="single" w:sz="4" w:space="0" w:color="000000"/>
            </w:tcBorders>
            <w:hideMark/>
          </w:tcPr>
          <w:p w14:paraId="2AAC073D" w14:textId="77777777" w:rsidR="00B628C8" w:rsidRDefault="00B628C8">
            <w:pPr>
              <w:pStyle w:val="TableParagraph"/>
              <w:ind w:left="0"/>
              <w:rPr>
                <w:lang w:val="en-US"/>
              </w:rPr>
            </w:pPr>
            <w:r>
              <w:rPr>
                <w:lang w:val="en-US"/>
              </w:rPr>
              <w:t xml:space="preserve">   Antal dødsfald (%)</w:t>
            </w:r>
          </w:p>
        </w:tc>
        <w:tc>
          <w:tcPr>
            <w:tcW w:w="1722" w:type="dxa"/>
            <w:tcBorders>
              <w:top w:val="single" w:sz="4" w:space="0" w:color="000000"/>
              <w:left w:val="single" w:sz="4" w:space="0" w:color="000000"/>
              <w:bottom w:val="single" w:sz="4" w:space="0" w:color="000000"/>
              <w:right w:val="single" w:sz="4" w:space="0" w:color="000000"/>
            </w:tcBorders>
            <w:hideMark/>
          </w:tcPr>
          <w:p w14:paraId="249E6C01" w14:textId="77777777" w:rsidR="00B628C8" w:rsidRDefault="00B628C8">
            <w:pPr>
              <w:pStyle w:val="TableParagraph"/>
              <w:ind w:left="0"/>
              <w:jc w:val="center"/>
              <w:rPr>
                <w:lang w:val="en-US"/>
              </w:rPr>
            </w:pPr>
            <w:r>
              <w:rPr>
                <w:lang w:val="en-US"/>
              </w:rPr>
              <w:t>368 (42,2 %)</w:t>
            </w:r>
          </w:p>
        </w:tc>
        <w:tc>
          <w:tcPr>
            <w:tcW w:w="1787" w:type="dxa"/>
            <w:tcBorders>
              <w:top w:val="single" w:sz="4" w:space="0" w:color="000000"/>
              <w:left w:val="single" w:sz="4" w:space="0" w:color="000000"/>
              <w:bottom w:val="single" w:sz="4" w:space="0" w:color="000000"/>
              <w:right w:val="single" w:sz="4" w:space="0" w:color="000000"/>
            </w:tcBorders>
            <w:hideMark/>
          </w:tcPr>
          <w:p w14:paraId="6CA228B8" w14:textId="77777777" w:rsidR="00B628C8" w:rsidRDefault="00B628C8">
            <w:pPr>
              <w:pStyle w:val="TableParagraph"/>
              <w:ind w:left="0"/>
              <w:jc w:val="center"/>
              <w:rPr>
                <w:lang w:val="en-US"/>
              </w:rPr>
            </w:pPr>
            <w:r>
              <w:rPr>
                <w:lang w:val="en-US"/>
              </w:rPr>
              <w:t>416 (49,2 %)</w:t>
            </w:r>
          </w:p>
        </w:tc>
      </w:tr>
      <w:tr w:rsidR="00B628C8" w14:paraId="31D88DE1" w14:textId="77777777" w:rsidTr="00B628C8">
        <w:trPr>
          <w:trHeight w:val="254"/>
        </w:trPr>
        <w:tc>
          <w:tcPr>
            <w:tcW w:w="5311" w:type="dxa"/>
            <w:tcBorders>
              <w:top w:val="single" w:sz="4" w:space="0" w:color="000000"/>
              <w:left w:val="single" w:sz="4" w:space="0" w:color="000000"/>
              <w:bottom w:val="single" w:sz="4" w:space="0" w:color="000000"/>
              <w:right w:val="single" w:sz="4" w:space="0" w:color="000000"/>
            </w:tcBorders>
            <w:hideMark/>
          </w:tcPr>
          <w:p w14:paraId="56F0AA47" w14:textId="77777777" w:rsidR="00B628C8" w:rsidRDefault="00B628C8">
            <w:pPr>
              <w:pStyle w:val="TableParagraph"/>
              <w:ind w:left="0"/>
              <w:rPr>
                <w:lang w:val="en-US"/>
              </w:rPr>
            </w:pPr>
            <w:r>
              <w:rPr>
                <w:lang w:val="en-US"/>
              </w:rPr>
              <w:t xml:space="preserve">   Median overlevelse, måneder (95 % CI)</w:t>
            </w:r>
          </w:p>
        </w:tc>
        <w:tc>
          <w:tcPr>
            <w:tcW w:w="1722" w:type="dxa"/>
            <w:tcBorders>
              <w:top w:val="single" w:sz="4" w:space="0" w:color="000000"/>
              <w:left w:val="single" w:sz="4" w:space="0" w:color="000000"/>
              <w:bottom w:val="single" w:sz="4" w:space="0" w:color="000000"/>
              <w:right w:val="single" w:sz="4" w:space="0" w:color="000000"/>
            </w:tcBorders>
            <w:hideMark/>
          </w:tcPr>
          <w:p w14:paraId="69C153A3" w14:textId="77777777" w:rsidR="00B628C8" w:rsidRDefault="00B628C8">
            <w:pPr>
              <w:pStyle w:val="TableParagraph"/>
              <w:ind w:left="0"/>
              <w:jc w:val="center"/>
              <w:rPr>
                <w:lang w:val="en-US"/>
              </w:rPr>
            </w:pPr>
            <w:r>
              <w:rPr>
                <w:lang w:val="en-US"/>
              </w:rPr>
              <w:t>35,3 (32,2, NR)</w:t>
            </w:r>
          </w:p>
        </w:tc>
        <w:tc>
          <w:tcPr>
            <w:tcW w:w="1787" w:type="dxa"/>
            <w:tcBorders>
              <w:top w:val="single" w:sz="4" w:space="0" w:color="000000"/>
              <w:left w:val="single" w:sz="4" w:space="0" w:color="000000"/>
              <w:bottom w:val="single" w:sz="4" w:space="0" w:color="000000"/>
              <w:right w:val="single" w:sz="4" w:space="0" w:color="000000"/>
            </w:tcBorders>
            <w:hideMark/>
          </w:tcPr>
          <w:p w14:paraId="38B278FF" w14:textId="77777777" w:rsidR="00B628C8" w:rsidRDefault="00B628C8">
            <w:pPr>
              <w:pStyle w:val="TableParagraph"/>
              <w:ind w:left="0"/>
              <w:jc w:val="center"/>
              <w:rPr>
                <w:lang w:val="en-US"/>
              </w:rPr>
            </w:pPr>
            <w:r>
              <w:rPr>
                <w:lang w:val="en-US"/>
              </w:rPr>
              <w:t>31,3 (28,8, 34,2)</w:t>
            </w:r>
          </w:p>
        </w:tc>
      </w:tr>
      <w:tr w:rsidR="00B628C8" w14:paraId="14C29E01" w14:textId="77777777" w:rsidTr="00B628C8">
        <w:trPr>
          <w:trHeight w:val="251"/>
        </w:trPr>
        <w:tc>
          <w:tcPr>
            <w:tcW w:w="5311" w:type="dxa"/>
            <w:tcBorders>
              <w:top w:val="single" w:sz="4" w:space="0" w:color="000000"/>
              <w:left w:val="single" w:sz="4" w:space="0" w:color="000000"/>
              <w:bottom w:val="single" w:sz="4" w:space="0" w:color="000000"/>
              <w:right w:val="single" w:sz="4" w:space="0" w:color="000000"/>
            </w:tcBorders>
            <w:hideMark/>
          </w:tcPr>
          <w:p w14:paraId="5BC7AFE7" w14:textId="77777777" w:rsidR="00B628C8" w:rsidRDefault="00B628C8">
            <w:pPr>
              <w:pStyle w:val="TableParagraph"/>
              <w:ind w:left="0"/>
              <w:rPr>
                <w:i/>
                <w:lang w:val="en-US"/>
              </w:rPr>
            </w:pPr>
            <w:r>
              <w:rPr>
                <w:lang w:val="en-US"/>
              </w:rPr>
              <w:t xml:space="preserve">   P-værdi</w:t>
            </w:r>
            <w:r>
              <w:rPr>
                <w:i/>
                <w:vertAlign w:val="superscript"/>
                <w:lang w:val="en-US"/>
              </w:rPr>
              <w:t>1</w:t>
            </w:r>
          </w:p>
        </w:tc>
        <w:tc>
          <w:tcPr>
            <w:tcW w:w="3509" w:type="dxa"/>
            <w:gridSpan w:val="2"/>
            <w:tcBorders>
              <w:top w:val="single" w:sz="4" w:space="0" w:color="000000"/>
              <w:left w:val="single" w:sz="4" w:space="0" w:color="000000"/>
              <w:bottom w:val="single" w:sz="4" w:space="0" w:color="000000"/>
              <w:right w:val="single" w:sz="4" w:space="0" w:color="000000"/>
            </w:tcBorders>
            <w:hideMark/>
          </w:tcPr>
          <w:p w14:paraId="16B40F7B" w14:textId="77777777" w:rsidR="00B628C8" w:rsidRDefault="00B628C8">
            <w:pPr>
              <w:pStyle w:val="TableParagraph"/>
              <w:ind w:left="0"/>
              <w:jc w:val="center"/>
              <w:rPr>
                <w:lang w:val="en-US"/>
              </w:rPr>
            </w:pPr>
            <w:r>
              <w:rPr>
                <w:lang w:val="en-US"/>
              </w:rPr>
              <w:t>p = 0,0002</w:t>
            </w:r>
          </w:p>
        </w:tc>
      </w:tr>
      <w:tr w:rsidR="00B628C8" w14:paraId="247A2554" w14:textId="77777777" w:rsidTr="00B628C8">
        <w:trPr>
          <w:trHeight w:val="254"/>
        </w:trPr>
        <w:tc>
          <w:tcPr>
            <w:tcW w:w="5311" w:type="dxa"/>
            <w:tcBorders>
              <w:top w:val="single" w:sz="4" w:space="0" w:color="000000"/>
              <w:left w:val="single" w:sz="4" w:space="0" w:color="000000"/>
              <w:bottom w:val="single" w:sz="4" w:space="0" w:color="000000"/>
              <w:right w:val="single" w:sz="4" w:space="0" w:color="000000"/>
            </w:tcBorders>
            <w:hideMark/>
          </w:tcPr>
          <w:p w14:paraId="0934484F" w14:textId="77777777" w:rsidR="00B628C8" w:rsidRDefault="00B628C8">
            <w:pPr>
              <w:pStyle w:val="TableParagraph"/>
              <w:ind w:left="0"/>
              <w:rPr>
                <w:i/>
                <w:lang w:val="en-US"/>
              </w:rPr>
            </w:pPr>
            <w:r>
              <w:rPr>
                <w:i/>
                <w:lang w:val="en-US"/>
              </w:rPr>
              <w:t xml:space="preserve">   Hazard </w:t>
            </w:r>
            <w:r>
              <w:rPr>
                <w:i/>
                <w:iCs/>
                <w:lang w:val="en-US"/>
              </w:rPr>
              <w:t>ratio</w:t>
            </w:r>
            <w:r>
              <w:rPr>
                <w:lang w:val="en-US"/>
              </w:rPr>
              <w:t xml:space="preserve"> (95 % CI)</w:t>
            </w:r>
            <w:r>
              <w:rPr>
                <w:i/>
                <w:vertAlign w:val="superscript"/>
                <w:lang w:val="en-US"/>
              </w:rPr>
              <w:t>2</w:t>
            </w:r>
          </w:p>
        </w:tc>
        <w:tc>
          <w:tcPr>
            <w:tcW w:w="3509" w:type="dxa"/>
            <w:gridSpan w:val="2"/>
            <w:tcBorders>
              <w:top w:val="single" w:sz="4" w:space="0" w:color="000000"/>
              <w:left w:val="single" w:sz="4" w:space="0" w:color="000000"/>
              <w:bottom w:val="single" w:sz="4" w:space="0" w:color="000000"/>
              <w:right w:val="single" w:sz="4" w:space="0" w:color="000000"/>
            </w:tcBorders>
            <w:hideMark/>
          </w:tcPr>
          <w:p w14:paraId="35C6BE2A" w14:textId="77777777" w:rsidR="00B628C8" w:rsidRDefault="00B628C8">
            <w:pPr>
              <w:pStyle w:val="TableParagraph"/>
              <w:ind w:left="0"/>
              <w:jc w:val="center"/>
              <w:rPr>
                <w:lang w:val="en-US"/>
              </w:rPr>
            </w:pPr>
            <w:r>
              <w:rPr>
                <w:lang w:val="en-US"/>
              </w:rPr>
              <w:t>0,77 (0,67, 0,88)</w:t>
            </w:r>
          </w:p>
        </w:tc>
      </w:tr>
      <w:tr w:rsidR="00B628C8" w14:paraId="250AFEEC" w14:textId="77777777" w:rsidTr="00B628C8">
        <w:trPr>
          <w:trHeight w:val="251"/>
        </w:trPr>
        <w:tc>
          <w:tcPr>
            <w:tcW w:w="8820" w:type="dxa"/>
            <w:gridSpan w:val="3"/>
            <w:tcBorders>
              <w:top w:val="single" w:sz="4" w:space="0" w:color="000000"/>
              <w:left w:val="single" w:sz="4" w:space="0" w:color="000000"/>
              <w:bottom w:val="single" w:sz="4" w:space="0" w:color="000000"/>
              <w:right w:val="single" w:sz="4" w:space="0" w:color="000000"/>
            </w:tcBorders>
            <w:hideMark/>
          </w:tcPr>
          <w:p w14:paraId="7CF6D9B5" w14:textId="77777777" w:rsidR="00B628C8" w:rsidRDefault="00B628C8">
            <w:pPr>
              <w:pStyle w:val="TableParagraph"/>
              <w:ind w:left="0"/>
              <w:rPr>
                <w:lang w:val="en-US"/>
              </w:rPr>
            </w:pPr>
            <w:r>
              <w:rPr>
                <w:lang w:val="en-US"/>
              </w:rPr>
              <w:t>5-års overlevelsesanalyse</w:t>
            </w:r>
          </w:p>
        </w:tc>
      </w:tr>
      <w:tr w:rsidR="00B628C8" w14:paraId="4984C1CB" w14:textId="77777777" w:rsidTr="00B628C8">
        <w:trPr>
          <w:trHeight w:val="254"/>
        </w:trPr>
        <w:tc>
          <w:tcPr>
            <w:tcW w:w="5311" w:type="dxa"/>
            <w:tcBorders>
              <w:top w:val="single" w:sz="4" w:space="0" w:color="000000"/>
              <w:left w:val="single" w:sz="4" w:space="0" w:color="000000"/>
              <w:bottom w:val="single" w:sz="4" w:space="0" w:color="000000"/>
              <w:right w:val="single" w:sz="4" w:space="0" w:color="000000"/>
            </w:tcBorders>
            <w:hideMark/>
          </w:tcPr>
          <w:p w14:paraId="31E27B7A" w14:textId="77777777" w:rsidR="00B628C8" w:rsidRDefault="00B628C8">
            <w:pPr>
              <w:pStyle w:val="TableParagraph"/>
              <w:ind w:left="0"/>
              <w:rPr>
                <w:lang w:val="en-US"/>
              </w:rPr>
            </w:pPr>
            <w:r>
              <w:rPr>
                <w:lang w:val="en-US"/>
              </w:rPr>
              <w:t xml:space="preserve">   Antal dødsfald (%)</w:t>
            </w:r>
          </w:p>
        </w:tc>
        <w:tc>
          <w:tcPr>
            <w:tcW w:w="1722" w:type="dxa"/>
            <w:tcBorders>
              <w:top w:val="single" w:sz="4" w:space="0" w:color="000000"/>
              <w:left w:val="single" w:sz="4" w:space="0" w:color="000000"/>
              <w:bottom w:val="single" w:sz="4" w:space="0" w:color="000000"/>
              <w:right w:val="single" w:sz="4" w:space="0" w:color="000000"/>
            </w:tcBorders>
            <w:hideMark/>
          </w:tcPr>
          <w:p w14:paraId="58A7C5B2" w14:textId="77777777" w:rsidR="00B628C8" w:rsidRDefault="00B628C8">
            <w:pPr>
              <w:pStyle w:val="TableParagraph"/>
              <w:ind w:left="0"/>
              <w:jc w:val="center"/>
              <w:rPr>
                <w:lang w:val="en-US"/>
              </w:rPr>
            </w:pPr>
            <w:r>
              <w:rPr>
                <w:lang w:val="en-US"/>
              </w:rPr>
              <w:t>689 (79)</w:t>
            </w:r>
          </w:p>
        </w:tc>
        <w:tc>
          <w:tcPr>
            <w:tcW w:w="1787" w:type="dxa"/>
            <w:tcBorders>
              <w:top w:val="single" w:sz="4" w:space="0" w:color="000000"/>
              <w:left w:val="single" w:sz="4" w:space="0" w:color="000000"/>
              <w:bottom w:val="single" w:sz="4" w:space="0" w:color="000000"/>
              <w:right w:val="single" w:sz="4" w:space="0" w:color="000000"/>
            </w:tcBorders>
            <w:hideMark/>
          </w:tcPr>
          <w:p w14:paraId="3758175B" w14:textId="77777777" w:rsidR="00B628C8" w:rsidRDefault="00B628C8">
            <w:pPr>
              <w:pStyle w:val="TableParagraph"/>
              <w:ind w:left="0"/>
              <w:jc w:val="center"/>
              <w:rPr>
                <w:lang w:val="en-US"/>
              </w:rPr>
            </w:pPr>
            <w:r>
              <w:rPr>
                <w:lang w:val="en-US"/>
              </w:rPr>
              <w:t>693 (82)</w:t>
            </w:r>
          </w:p>
        </w:tc>
      </w:tr>
      <w:tr w:rsidR="00B628C8" w14:paraId="750DED9D" w14:textId="77777777" w:rsidTr="00B628C8">
        <w:trPr>
          <w:trHeight w:val="251"/>
        </w:trPr>
        <w:tc>
          <w:tcPr>
            <w:tcW w:w="5311" w:type="dxa"/>
            <w:tcBorders>
              <w:top w:val="single" w:sz="4" w:space="0" w:color="000000"/>
              <w:left w:val="single" w:sz="4" w:space="0" w:color="000000"/>
              <w:bottom w:val="single" w:sz="4" w:space="0" w:color="000000"/>
              <w:right w:val="single" w:sz="4" w:space="0" w:color="000000"/>
            </w:tcBorders>
            <w:hideMark/>
          </w:tcPr>
          <w:p w14:paraId="050B6A62" w14:textId="77777777" w:rsidR="00B628C8" w:rsidRDefault="00B628C8">
            <w:pPr>
              <w:pStyle w:val="TableParagraph"/>
              <w:ind w:left="0"/>
              <w:rPr>
                <w:lang w:val="en-US"/>
              </w:rPr>
            </w:pPr>
            <w:r>
              <w:rPr>
                <w:lang w:val="en-US"/>
              </w:rPr>
              <w:t xml:space="preserve">   Median overlevelse, måneder (95 % CI)</w:t>
            </w:r>
          </w:p>
        </w:tc>
        <w:tc>
          <w:tcPr>
            <w:tcW w:w="1722" w:type="dxa"/>
            <w:tcBorders>
              <w:top w:val="single" w:sz="4" w:space="0" w:color="000000"/>
              <w:left w:val="single" w:sz="4" w:space="0" w:color="000000"/>
              <w:bottom w:val="single" w:sz="4" w:space="0" w:color="000000"/>
              <w:right w:val="single" w:sz="4" w:space="0" w:color="000000"/>
            </w:tcBorders>
            <w:hideMark/>
          </w:tcPr>
          <w:p w14:paraId="21FCD8B7" w14:textId="77777777" w:rsidR="00B628C8" w:rsidRDefault="00B628C8">
            <w:pPr>
              <w:pStyle w:val="TableParagraph"/>
              <w:ind w:left="0"/>
              <w:jc w:val="center"/>
              <w:rPr>
                <w:lang w:val="en-US"/>
              </w:rPr>
            </w:pPr>
            <w:r>
              <w:rPr>
                <w:lang w:val="en-US"/>
              </w:rPr>
              <w:t>35,3 (33,5; 38,0)</w:t>
            </w:r>
          </w:p>
        </w:tc>
        <w:tc>
          <w:tcPr>
            <w:tcW w:w="1787" w:type="dxa"/>
            <w:tcBorders>
              <w:top w:val="single" w:sz="4" w:space="0" w:color="000000"/>
              <w:left w:val="single" w:sz="4" w:space="0" w:color="000000"/>
              <w:bottom w:val="single" w:sz="4" w:space="0" w:color="000000"/>
              <w:right w:val="single" w:sz="4" w:space="0" w:color="000000"/>
            </w:tcBorders>
            <w:hideMark/>
          </w:tcPr>
          <w:p w14:paraId="7C12B746" w14:textId="77777777" w:rsidR="00B628C8" w:rsidRDefault="00B628C8">
            <w:pPr>
              <w:pStyle w:val="TableParagraph"/>
              <w:ind w:left="0"/>
              <w:jc w:val="center"/>
              <w:rPr>
                <w:lang w:val="en-US"/>
              </w:rPr>
            </w:pPr>
            <w:r>
              <w:rPr>
                <w:lang w:val="en-US"/>
              </w:rPr>
              <w:t>31,4 (28,9; 33,8)</w:t>
            </w:r>
          </w:p>
        </w:tc>
      </w:tr>
      <w:tr w:rsidR="00B628C8" w14:paraId="2A6878D4" w14:textId="77777777" w:rsidTr="00B628C8">
        <w:trPr>
          <w:trHeight w:val="254"/>
        </w:trPr>
        <w:tc>
          <w:tcPr>
            <w:tcW w:w="5311" w:type="dxa"/>
            <w:tcBorders>
              <w:top w:val="single" w:sz="4" w:space="0" w:color="000000"/>
              <w:left w:val="single" w:sz="4" w:space="0" w:color="000000"/>
              <w:bottom w:val="single" w:sz="4" w:space="0" w:color="000000"/>
              <w:right w:val="single" w:sz="4" w:space="0" w:color="000000"/>
            </w:tcBorders>
            <w:hideMark/>
          </w:tcPr>
          <w:p w14:paraId="3261A389" w14:textId="77777777" w:rsidR="00B628C8" w:rsidRDefault="00B628C8">
            <w:pPr>
              <w:pStyle w:val="TableParagraph"/>
              <w:ind w:left="0"/>
              <w:rPr>
                <w:i/>
                <w:lang w:val="en-US"/>
              </w:rPr>
            </w:pPr>
            <w:r>
              <w:rPr>
                <w:lang w:val="en-US"/>
              </w:rPr>
              <w:t xml:space="preserve">   P-værdi</w:t>
            </w:r>
            <w:r>
              <w:rPr>
                <w:i/>
                <w:vertAlign w:val="superscript"/>
                <w:lang w:val="en-US"/>
              </w:rPr>
              <w:t>1</w:t>
            </w:r>
          </w:p>
        </w:tc>
        <w:tc>
          <w:tcPr>
            <w:tcW w:w="3509" w:type="dxa"/>
            <w:gridSpan w:val="2"/>
            <w:tcBorders>
              <w:top w:val="single" w:sz="4" w:space="0" w:color="000000"/>
              <w:left w:val="single" w:sz="4" w:space="0" w:color="000000"/>
              <w:bottom w:val="single" w:sz="4" w:space="0" w:color="000000"/>
              <w:right w:val="single" w:sz="4" w:space="0" w:color="000000"/>
            </w:tcBorders>
            <w:hideMark/>
          </w:tcPr>
          <w:p w14:paraId="66CB9037" w14:textId="77777777" w:rsidR="00B628C8" w:rsidRDefault="00B628C8">
            <w:pPr>
              <w:pStyle w:val="TableParagraph"/>
              <w:ind w:left="0"/>
              <w:jc w:val="center"/>
              <w:rPr>
                <w:lang w:val="en-US"/>
              </w:rPr>
            </w:pPr>
            <w:r>
              <w:rPr>
                <w:lang w:val="en-US"/>
              </w:rPr>
              <w:t>p = 0,0008</w:t>
            </w:r>
          </w:p>
        </w:tc>
      </w:tr>
      <w:tr w:rsidR="00B628C8" w14:paraId="121470BC" w14:textId="77777777" w:rsidTr="00B628C8">
        <w:trPr>
          <w:trHeight w:val="254"/>
        </w:trPr>
        <w:tc>
          <w:tcPr>
            <w:tcW w:w="5311" w:type="dxa"/>
            <w:tcBorders>
              <w:top w:val="single" w:sz="4" w:space="0" w:color="000000"/>
              <w:left w:val="single" w:sz="4" w:space="0" w:color="000000"/>
              <w:bottom w:val="single" w:sz="4" w:space="0" w:color="000000"/>
              <w:right w:val="single" w:sz="4" w:space="0" w:color="000000"/>
            </w:tcBorders>
            <w:hideMark/>
          </w:tcPr>
          <w:p w14:paraId="04F0379C" w14:textId="77777777" w:rsidR="00B628C8" w:rsidRDefault="00B628C8">
            <w:pPr>
              <w:pStyle w:val="TableParagraph"/>
              <w:ind w:left="0"/>
              <w:rPr>
                <w:i/>
                <w:lang w:val="en-US"/>
              </w:rPr>
            </w:pPr>
            <w:r>
              <w:rPr>
                <w:i/>
                <w:lang w:val="en-US"/>
              </w:rPr>
              <w:t xml:space="preserve">   Hazard </w:t>
            </w:r>
            <w:r>
              <w:rPr>
                <w:i/>
                <w:iCs/>
                <w:lang w:val="en-US"/>
              </w:rPr>
              <w:t>ratio</w:t>
            </w:r>
            <w:r>
              <w:rPr>
                <w:lang w:val="en-US"/>
              </w:rPr>
              <w:t xml:space="preserve"> (95 % CI)</w:t>
            </w:r>
            <w:r>
              <w:rPr>
                <w:i/>
                <w:vertAlign w:val="superscript"/>
                <w:lang w:val="en-US"/>
              </w:rPr>
              <w:t>2</w:t>
            </w:r>
          </w:p>
        </w:tc>
        <w:tc>
          <w:tcPr>
            <w:tcW w:w="3509" w:type="dxa"/>
            <w:gridSpan w:val="2"/>
            <w:tcBorders>
              <w:top w:val="single" w:sz="4" w:space="0" w:color="000000"/>
              <w:left w:val="single" w:sz="4" w:space="0" w:color="000000"/>
              <w:bottom w:val="single" w:sz="4" w:space="0" w:color="000000"/>
              <w:right w:val="single" w:sz="4" w:space="0" w:color="000000"/>
            </w:tcBorders>
            <w:hideMark/>
          </w:tcPr>
          <w:p w14:paraId="0E91FFF1" w14:textId="77777777" w:rsidR="00B628C8" w:rsidRDefault="00B628C8">
            <w:pPr>
              <w:pStyle w:val="TableParagraph"/>
              <w:ind w:left="0"/>
              <w:jc w:val="center"/>
              <w:rPr>
                <w:lang w:val="en-US"/>
              </w:rPr>
            </w:pPr>
            <w:r>
              <w:rPr>
                <w:lang w:val="en-US"/>
              </w:rPr>
              <w:t>0,835 (0,75; 0,93)</w:t>
            </w:r>
          </w:p>
        </w:tc>
      </w:tr>
    </w:tbl>
    <w:p w14:paraId="353587E8" w14:textId="77777777" w:rsidR="00B628C8" w:rsidRDefault="00B628C8" w:rsidP="00B628C8">
      <w:pPr>
        <w:rPr>
          <w:sz w:val="18"/>
          <w:szCs w:val="22"/>
        </w:rPr>
      </w:pPr>
      <w:r>
        <w:rPr>
          <w:sz w:val="18"/>
        </w:rPr>
        <w:t>NR = Ikke nået.</w:t>
      </w:r>
    </w:p>
    <w:p w14:paraId="61AB9E2E" w14:textId="77777777" w:rsidR="00B628C8" w:rsidRDefault="00B628C8" w:rsidP="00B628C8">
      <w:pPr>
        <w:pStyle w:val="Listeafsnit"/>
        <w:numPr>
          <w:ilvl w:val="0"/>
          <w:numId w:val="9"/>
        </w:numPr>
        <w:tabs>
          <w:tab w:val="left" w:pos="284"/>
        </w:tabs>
        <w:ind w:left="0" w:firstLine="0"/>
        <w:rPr>
          <w:sz w:val="18"/>
        </w:rPr>
      </w:pPr>
      <w:r>
        <w:rPr>
          <w:sz w:val="18"/>
        </w:rPr>
        <w:t>P-værdien er afledt fra en ikke-stratificeret log-rank-test.</w:t>
      </w:r>
    </w:p>
    <w:p w14:paraId="0FE02ED2" w14:textId="77777777" w:rsidR="00B628C8" w:rsidRDefault="00B628C8" w:rsidP="00B628C8">
      <w:pPr>
        <w:pStyle w:val="Listeafsnit"/>
        <w:numPr>
          <w:ilvl w:val="0"/>
          <w:numId w:val="9"/>
        </w:numPr>
        <w:tabs>
          <w:tab w:val="left" w:pos="284"/>
        </w:tabs>
        <w:ind w:left="0" w:firstLine="0"/>
        <w:rPr>
          <w:sz w:val="18"/>
        </w:rPr>
      </w:pPr>
      <w:r>
        <w:rPr>
          <w:i/>
          <w:sz w:val="18"/>
        </w:rPr>
        <w:lastRenderedPageBreak/>
        <w:t xml:space="preserve">Hazard </w:t>
      </w:r>
      <w:r>
        <w:rPr>
          <w:i/>
          <w:iCs/>
          <w:sz w:val="18"/>
        </w:rPr>
        <w:t>ratio</w:t>
      </w:r>
      <w:r>
        <w:rPr>
          <w:sz w:val="18"/>
        </w:rPr>
        <w:t xml:space="preserve"> er afledt fra en ikke-stratificeret, proportional </w:t>
      </w:r>
      <w:r>
        <w:rPr>
          <w:i/>
          <w:sz w:val="18"/>
        </w:rPr>
        <w:t>hazards</w:t>
      </w:r>
      <w:r>
        <w:rPr>
          <w:sz w:val="18"/>
        </w:rPr>
        <w:t xml:space="preserve">-model. </w:t>
      </w:r>
      <w:r>
        <w:rPr>
          <w:i/>
          <w:sz w:val="18"/>
        </w:rPr>
        <w:t xml:space="preserve">Hazard </w:t>
      </w:r>
      <w:r>
        <w:rPr>
          <w:i/>
          <w:iCs/>
          <w:sz w:val="18"/>
        </w:rPr>
        <w:t>ratio</w:t>
      </w:r>
      <w:r>
        <w:rPr>
          <w:sz w:val="18"/>
        </w:rPr>
        <w:t xml:space="preserve"> &lt;1 favoriserer</w:t>
      </w:r>
      <w:r>
        <w:rPr>
          <w:spacing w:val="-6"/>
          <w:sz w:val="18"/>
        </w:rPr>
        <w:t xml:space="preserve"> </w:t>
      </w:r>
      <w:r>
        <w:rPr>
          <w:sz w:val="18"/>
        </w:rPr>
        <w:t>enzalutamid.</w:t>
      </w:r>
    </w:p>
    <w:p w14:paraId="2670D52E" w14:textId="77777777" w:rsidR="00B628C8" w:rsidRDefault="00B628C8" w:rsidP="00B628C8">
      <w:pPr>
        <w:rPr>
          <w:sz w:val="18"/>
        </w:rPr>
      </w:pPr>
    </w:p>
    <w:p w14:paraId="51AF039A" w14:textId="77777777" w:rsidR="00B628C8" w:rsidRDefault="00B628C8" w:rsidP="00B628C8">
      <w:pPr>
        <w:rPr>
          <w:sz w:val="18"/>
        </w:rPr>
      </w:pPr>
    </w:p>
    <w:p w14:paraId="422A0622" w14:textId="08F8F461" w:rsidR="00B628C8" w:rsidRDefault="00B628C8" w:rsidP="001B21E7">
      <w:pPr>
        <w:ind w:left="1134" w:hanging="1134"/>
        <w:rPr>
          <w:b/>
          <w:sz w:val="24"/>
          <w:szCs w:val="24"/>
        </w:rPr>
      </w:pPr>
      <w:r w:rsidRPr="001B21E7">
        <w:rPr>
          <w:b/>
          <w:sz w:val="24"/>
          <w:szCs w:val="24"/>
        </w:rPr>
        <w:t>Figur 9:</w:t>
      </w:r>
      <w:r w:rsidR="001B21E7">
        <w:rPr>
          <w:b/>
          <w:sz w:val="24"/>
          <w:szCs w:val="24"/>
        </w:rPr>
        <w:tab/>
      </w:r>
      <w:r w:rsidRPr="001B21E7">
        <w:rPr>
          <w:b/>
          <w:sz w:val="24"/>
          <w:szCs w:val="24"/>
        </w:rPr>
        <w:t>Kaplan-Meier-kurver for samlet overlevelse baseret på 5-års overlevelsesanalyse i PREVAIL-studiet (</w:t>
      </w:r>
      <w:r w:rsidRPr="001B21E7">
        <w:rPr>
          <w:b/>
          <w:i/>
          <w:sz w:val="24"/>
          <w:szCs w:val="24"/>
        </w:rPr>
        <w:t>intent-to-treat</w:t>
      </w:r>
      <w:r w:rsidRPr="001B21E7">
        <w:rPr>
          <w:b/>
          <w:sz w:val="24"/>
          <w:szCs w:val="24"/>
        </w:rPr>
        <w:t>-analyse)</w:t>
      </w:r>
    </w:p>
    <w:p w14:paraId="4B2B6200" w14:textId="77777777" w:rsidR="001B21E7" w:rsidRPr="001B21E7" w:rsidRDefault="001B21E7" w:rsidP="001B21E7">
      <w:pPr>
        <w:ind w:left="1134" w:hanging="1134"/>
        <w:rPr>
          <w:sz w:val="24"/>
          <w:szCs w:val="24"/>
        </w:rPr>
      </w:pPr>
    </w:p>
    <w:p w14:paraId="0E4525BA" w14:textId="21958A56" w:rsidR="00B628C8" w:rsidRDefault="00B628C8" w:rsidP="00B628C8">
      <w:pPr>
        <w:pStyle w:val="Brdtekst"/>
        <w:rPr>
          <w:sz w:val="20"/>
        </w:rPr>
      </w:pPr>
      <w:r>
        <w:rPr>
          <w:noProof/>
          <w:sz w:val="20"/>
        </w:rPr>
        <w:drawing>
          <wp:inline distT="0" distB="0" distL="0" distR="0" wp14:anchorId="3E9AFFFE" wp14:editId="32AFE94A">
            <wp:extent cx="5619750" cy="290195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9750" cy="2901950"/>
                    </a:xfrm>
                    <a:prstGeom prst="rect">
                      <a:avLst/>
                    </a:prstGeom>
                    <a:noFill/>
                    <a:ln>
                      <a:noFill/>
                    </a:ln>
                  </pic:spPr>
                </pic:pic>
              </a:graphicData>
            </a:graphic>
          </wp:inline>
        </w:drawing>
      </w:r>
    </w:p>
    <w:p w14:paraId="0DC4FF2E" w14:textId="77777777" w:rsidR="00B628C8" w:rsidRDefault="00B628C8" w:rsidP="00B628C8">
      <w:pPr>
        <w:pStyle w:val="Brdtekst"/>
        <w:rPr>
          <w:sz w:val="25"/>
        </w:rPr>
      </w:pPr>
    </w:p>
    <w:p w14:paraId="597E3A70" w14:textId="77777777" w:rsidR="00B628C8" w:rsidRDefault="00B628C8" w:rsidP="00B628C8">
      <w:pPr>
        <w:pStyle w:val="Brdtekst"/>
        <w:rPr>
          <w:sz w:val="25"/>
        </w:rPr>
      </w:pPr>
    </w:p>
    <w:p w14:paraId="5A94B367" w14:textId="2012B17C" w:rsidR="00B628C8" w:rsidRPr="001B21E7" w:rsidRDefault="00B628C8" w:rsidP="001B21E7">
      <w:pPr>
        <w:ind w:left="1134" w:hanging="1134"/>
        <w:rPr>
          <w:b/>
          <w:sz w:val="24"/>
          <w:szCs w:val="24"/>
        </w:rPr>
      </w:pPr>
      <w:r w:rsidRPr="001B21E7">
        <w:rPr>
          <w:b/>
          <w:sz w:val="24"/>
          <w:szCs w:val="24"/>
        </w:rPr>
        <w:t>Figur 10:</w:t>
      </w:r>
      <w:r w:rsidR="001B21E7">
        <w:rPr>
          <w:b/>
          <w:sz w:val="24"/>
          <w:szCs w:val="24"/>
        </w:rPr>
        <w:tab/>
      </w:r>
      <w:r w:rsidRPr="001B21E7">
        <w:rPr>
          <w:b/>
          <w:sz w:val="24"/>
          <w:szCs w:val="24"/>
        </w:rPr>
        <w:t xml:space="preserve">5-års analyse af samlet overlevelse baseret på undergruppe: </w:t>
      </w:r>
      <w:r w:rsidRPr="001B21E7">
        <w:rPr>
          <w:b/>
          <w:i/>
          <w:sz w:val="24"/>
          <w:szCs w:val="24"/>
        </w:rPr>
        <w:t xml:space="preserve">Hazard </w:t>
      </w:r>
      <w:r w:rsidRPr="001B21E7">
        <w:rPr>
          <w:b/>
          <w:i/>
          <w:iCs/>
          <w:sz w:val="24"/>
          <w:szCs w:val="24"/>
        </w:rPr>
        <w:t>ratio</w:t>
      </w:r>
      <w:r w:rsidRPr="001B21E7">
        <w:rPr>
          <w:b/>
          <w:sz w:val="24"/>
          <w:szCs w:val="24"/>
        </w:rPr>
        <w:t xml:space="preserve"> og 95 % konfidensinterval i PREVAIL-studiet (</w:t>
      </w:r>
      <w:r w:rsidRPr="001B21E7">
        <w:rPr>
          <w:b/>
          <w:i/>
          <w:sz w:val="24"/>
          <w:szCs w:val="24"/>
        </w:rPr>
        <w:t>intent-to-treat</w:t>
      </w:r>
      <w:r w:rsidRPr="001B21E7">
        <w:rPr>
          <w:b/>
          <w:sz w:val="24"/>
          <w:szCs w:val="24"/>
        </w:rPr>
        <w:t>-analyse)</w:t>
      </w:r>
    </w:p>
    <w:p w14:paraId="35EA8732" w14:textId="751E3189" w:rsidR="00B628C8" w:rsidRPr="001B21E7" w:rsidRDefault="00B628C8" w:rsidP="00B628C8">
      <w:pPr>
        <w:pStyle w:val="Brdtekst"/>
        <w:rPr>
          <w:sz w:val="24"/>
          <w:szCs w:val="24"/>
        </w:rPr>
      </w:pPr>
      <w:r w:rsidRPr="001B21E7">
        <w:rPr>
          <w:noProof/>
          <w:sz w:val="24"/>
          <w:szCs w:val="24"/>
        </w:rPr>
        <w:drawing>
          <wp:anchor distT="0" distB="0" distL="0" distR="0" simplePos="0" relativeHeight="251664384" behindDoc="0" locked="0" layoutInCell="1" allowOverlap="1" wp14:anchorId="641057C7" wp14:editId="327F01CB">
            <wp:simplePos x="0" y="0"/>
            <wp:positionH relativeFrom="page">
              <wp:posOffset>968375</wp:posOffset>
            </wp:positionH>
            <wp:positionV relativeFrom="paragraph">
              <wp:posOffset>121920</wp:posOffset>
            </wp:positionV>
            <wp:extent cx="5524500" cy="2225040"/>
            <wp:effectExtent l="0" t="0" r="0" b="3810"/>
            <wp:wrapTopAndBottom/>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0" cy="2225040"/>
                    </a:xfrm>
                    <a:prstGeom prst="rect">
                      <a:avLst/>
                    </a:prstGeom>
                    <a:noFill/>
                  </pic:spPr>
                </pic:pic>
              </a:graphicData>
            </a:graphic>
            <wp14:sizeRelH relativeFrom="page">
              <wp14:pctWidth>0</wp14:pctWidth>
            </wp14:sizeRelH>
            <wp14:sizeRelV relativeFrom="page">
              <wp14:pctHeight>0</wp14:pctHeight>
            </wp14:sizeRelV>
          </wp:anchor>
        </w:drawing>
      </w:r>
    </w:p>
    <w:p w14:paraId="01516362" w14:textId="77777777" w:rsidR="00B628C8" w:rsidRPr="00B628C8" w:rsidRDefault="00B628C8" w:rsidP="00B628C8">
      <w:pPr>
        <w:pStyle w:val="Brdtekst"/>
        <w:ind w:left="851"/>
        <w:rPr>
          <w:sz w:val="24"/>
          <w:szCs w:val="24"/>
        </w:rPr>
      </w:pPr>
      <w:r w:rsidRPr="00B628C8">
        <w:rPr>
          <w:sz w:val="24"/>
          <w:szCs w:val="24"/>
        </w:rPr>
        <w:t xml:space="preserve">Den forudspecificerede rPFS-analyse viste en statistisk signifikant forbedring mellem behandlingsgrupperne med en 81,4 % reduktion i risiko for radiografisk progression eller død [HR = 0,19 (95 % CI: 0,15, 0,23), p &lt; 0,0001]. 118 (14 %) af de enzalutamidbehandlede patienter og 321 (40 %) af patienterne i placebogruppen oplevede en hændelse. Den mediane rPFS blev ikke nået (95 % CI: 13,8; ikke nået) i enzalutamidgruppen og var 3,9 måneder (95 % CI: 3,7; 5,4) i placebogruppen (figur 11). Der blev observeret en ensartet gavnlig effekt på rPFS i alle forudspecificerede patientundergrupper (f.eks. alder, ECOG-funktion ved </w:t>
      </w:r>
      <w:r w:rsidRPr="00B628C8">
        <w:rPr>
          <w:i/>
          <w:sz w:val="24"/>
          <w:szCs w:val="24"/>
        </w:rPr>
        <w:t>baseline</w:t>
      </w:r>
      <w:r w:rsidRPr="00B628C8">
        <w:rPr>
          <w:sz w:val="24"/>
          <w:szCs w:val="24"/>
        </w:rPr>
        <w:t xml:space="preserve">, PSA og LDH ved </w:t>
      </w:r>
      <w:r w:rsidRPr="00B628C8">
        <w:rPr>
          <w:i/>
          <w:sz w:val="24"/>
          <w:szCs w:val="24"/>
        </w:rPr>
        <w:t>baseline</w:t>
      </w:r>
      <w:r w:rsidRPr="00B628C8">
        <w:rPr>
          <w:sz w:val="24"/>
          <w:szCs w:val="24"/>
        </w:rPr>
        <w:t xml:space="preserve">, Gleason- score ved diagnosticering og visceral sygdom ved screening). En forudspecificeret rPFS- opfølgningsanalyse baseret på investigators vurdering af radiografisk progression viste en statistisk signifikant forbedring mellem </w:t>
      </w:r>
      <w:r w:rsidRPr="00B628C8">
        <w:rPr>
          <w:sz w:val="24"/>
          <w:szCs w:val="24"/>
        </w:rPr>
        <w:lastRenderedPageBreak/>
        <w:t>behandlingsgrupperne med 69,3 % reduktion i risiko for radiografisk progression eller død [HR = 0,31 (95 % CI: 0,27; 0,35), p &lt; 0,0001]. Den mediane rPFS var 19,7 måneder i enzalutamidgruppen og 5,4 måneder i placebogruppen.</w:t>
      </w:r>
    </w:p>
    <w:p w14:paraId="7EF2171C" w14:textId="77777777" w:rsidR="00B628C8" w:rsidRPr="001B21E7" w:rsidRDefault="00B628C8" w:rsidP="00B628C8">
      <w:pPr>
        <w:rPr>
          <w:sz w:val="24"/>
          <w:szCs w:val="24"/>
        </w:rPr>
      </w:pPr>
    </w:p>
    <w:p w14:paraId="286D8F23" w14:textId="16619730" w:rsidR="00B628C8" w:rsidRPr="001B21E7" w:rsidRDefault="00B628C8" w:rsidP="001B21E7">
      <w:pPr>
        <w:ind w:left="1134" w:hanging="1134"/>
        <w:rPr>
          <w:b/>
          <w:sz w:val="24"/>
          <w:szCs w:val="24"/>
        </w:rPr>
      </w:pPr>
      <w:r w:rsidRPr="001B21E7">
        <w:rPr>
          <w:b/>
          <w:sz w:val="24"/>
          <w:szCs w:val="24"/>
        </w:rPr>
        <w:t>Figur 11:</w:t>
      </w:r>
      <w:r w:rsidR="001B21E7">
        <w:rPr>
          <w:b/>
          <w:sz w:val="24"/>
          <w:szCs w:val="24"/>
        </w:rPr>
        <w:tab/>
      </w:r>
      <w:r w:rsidRPr="001B21E7">
        <w:rPr>
          <w:b/>
          <w:sz w:val="24"/>
          <w:szCs w:val="24"/>
        </w:rPr>
        <w:t>Kaplan-Meier-kurver over radiografisk progressionsfri overlevelse i PREVAIL- studiet (</w:t>
      </w:r>
      <w:r w:rsidRPr="001B21E7">
        <w:rPr>
          <w:b/>
          <w:i/>
          <w:sz w:val="24"/>
          <w:szCs w:val="24"/>
        </w:rPr>
        <w:t>intent-to-treat</w:t>
      </w:r>
      <w:r w:rsidRPr="001B21E7">
        <w:rPr>
          <w:b/>
          <w:sz w:val="24"/>
          <w:szCs w:val="24"/>
        </w:rPr>
        <w:t>-analyse)</w:t>
      </w:r>
    </w:p>
    <w:p w14:paraId="0E18FAA0" w14:textId="77777777" w:rsidR="00B628C8" w:rsidRPr="001B21E7" w:rsidRDefault="00B628C8" w:rsidP="001B21E7">
      <w:pPr>
        <w:rPr>
          <w:sz w:val="24"/>
          <w:szCs w:val="24"/>
        </w:rPr>
      </w:pPr>
    </w:p>
    <w:p w14:paraId="6F53757C" w14:textId="62C814A2" w:rsidR="00B628C8" w:rsidRDefault="00B628C8" w:rsidP="00B628C8">
      <w:pPr>
        <w:pStyle w:val="Brdtekst"/>
        <w:rPr>
          <w:sz w:val="20"/>
        </w:rPr>
      </w:pPr>
      <w:r>
        <w:rPr>
          <w:noProof/>
          <w:sz w:val="20"/>
        </w:rPr>
        <w:drawing>
          <wp:inline distT="0" distB="0" distL="0" distR="0" wp14:anchorId="5B5B92A8" wp14:editId="6C67BCEF">
            <wp:extent cx="5575300" cy="3270250"/>
            <wp:effectExtent l="0" t="0" r="6350" b="635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75300" cy="3270250"/>
                    </a:xfrm>
                    <a:prstGeom prst="rect">
                      <a:avLst/>
                    </a:prstGeom>
                    <a:noFill/>
                    <a:ln>
                      <a:noFill/>
                    </a:ln>
                  </pic:spPr>
                </pic:pic>
              </a:graphicData>
            </a:graphic>
          </wp:inline>
        </w:drawing>
      </w:r>
    </w:p>
    <w:p w14:paraId="6FCEFA13" w14:textId="77777777" w:rsidR="00B628C8" w:rsidRDefault="00B628C8" w:rsidP="00B628C8">
      <w:pPr>
        <w:pStyle w:val="Brdtekst"/>
        <w:rPr>
          <w:sz w:val="11"/>
        </w:rPr>
      </w:pPr>
    </w:p>
    <w:p w14:paraId="725C979F" w14:textId="77777777" w:rsidR="00B628C8" w:rsidRPr="00B628C8" w:rsidRDefault="00B628C8" w:rsidP="00B628C8">
      <w:pPr>
        <w:ind w:left="851"/>
        <w:rPr>
          <w:sz w:val="24"/>
          <w:szCs w:val="24"/>
        </w:rPr>
      </w:pPr>
    </w:p>
    <w:p w14:paraId="65319E2E" w14:textId="77777777" w:rsidR="00B628C8" w:rsidRPr="00B628C8" w:rsidRDefault="00B628C8" w:rsidP="00B628C8">
      <w:pPr>
        <w:ind w:left="851"/>
        <w:rPr>
          <w:sz w:val="24"/>
          <w:szCs w:val="24"/>
        </w:rPr>
      </w:pPr>
      <w:r w:rsidRPr="00B628C8">
        <w:rPr>
          <w:sz w:val="24"/>
          <w:szCs w:val="24"/>
        </w:rPr>
        <w:t>På tidspunktet for den primære analyse var der 1.633 randomiserede patienter.</w:t>
      </w:r>
    </w:p>
    <w:p w14:paraId="3B8E2872" w14:textId="77777777" w:rsidR="00B628C8" w:rsidRPr="00B628C8" w:rsidRDefault="00B628C8" w:rsidP="00B628C8">
      <w:pPr>
        <w:pStyle w:val="Brdtekst"/>
        <w:ind w:left="851"/>
        <w:rPr>
          <w:sz w:val="24"/>
          <w:szCs w:val="24"/>
        </w:rPr>
      </w:pPr>
    </w:p>
    <w:p w14:paraId="57B2802B" w14:textId="77777777" w:rsidR="00B628C8" w:rsidRPr="00B628C8" w:rsidRDefault="00B628C8" w:rsidP="00B628C8">
      <w:pPr>
        <w:pStyle w:val="Brdtekst"/>
        <w:ind w:left="851"/>
        <w:rPr>
          <w:sz w:val="24"/>
          <w:szCs w:val="24"/>
        </w:rPr>
      </w:pPr>
      <w:r w:rsidRPr="00B628C8">
        <w:rPr>
          <w:sz w:val="24"/>
          <w:szCs w:val="24"/>
        </w:rPr>
        <w:t>Foruden de co-primære effektendepunkter blev der endvidere påvist statistisk signifikante forbedringer i følgende prospektivt definerede endepunkter.</w:t>
      </w:r>
    </w:p>
    <w:p w14:paraId="75EBDAE4" w14:textId="77777777" w:rsidR="00B628C8" w:rsidRPr="00B628C8" w:rsidRDefault="00B628C8" w:rsidP="00B628C8">
      <w:pPr>
        <w:pStyle w:val="Brdtekst"/>
        <w:ind w:left="851"/>
        <w:rPr>
          <w:sz w:val="24"/>
          <w:szCs w:val="24"/>
        </w:rPr>
      </w:pPr>
    </w:p>
    <w:p w14:paraId="743964E5" w14:textId="77777777" w:rsidR="00B628C8" w:rsidRPr="00B628C8" w:rsidRDefault="00B628C8" w:rsidP="00B628C8">
      <w:pPr>
        <w:pStyle w:val="Brdtekst"/>
        <w:ind w:left="851"/>
        <w:rPr>
          <w:sz w:val="24"/>
          <w:szCs w:val="24"/>
        </w:rPr>
      </w:pPr>
      <w:r w:rsidRPr="00B628C8">
        <w:rPr>
          <w:sz w:val="24"/>
          <w:szCs w:val="24"/>
        </w:rPr>
        <w:t>Mediantiden til initiering af cytotoksisk kemoterapi var 28,0 måneder for patienter, der fik enzalutamid, og 10,8 måneder for patienter, der fik placebo [HR = 0,35 (95 % CI: 0,30, 0,40), p &lt; 0,0001].</w:t>
      </w:r>
    </w:p>
    <w:p w14:paraId="58E09FFF" w14:textId="77777777" w:rsidR="00B628C8" w:rsidRPr="00B628C8" w:rsidRDefault="00B628C8" w:rsidP="00B628C8">
      <w:pPr>
        <w:pStyle w:val="Brdtekst"/>
        <w:ind w:left="851"/>
        <w:rPr>
          <w:sz w:val="24"/>
          <w:szCs w:val="24"/>
        </w:rPr>
      </w:pPr>
    </w:p>
    <w:p w14:paraId="3C66EEC0" w14:textId="77777777" w:rsidR="00B628C8" w:rsidRPr="00B628C8" w:rsidRDefault="00B628C8" w:rsidP="00B628C8">
      <w:pPr>
        <w:pStyle w:val="Brdtekst"/>
        <w:ind w:left="851"/>
        <w:rPr>
          <w:sz w:val="24"/>
          <w:szCs w:val="24"/>
        </w:rPr>
      </w:pPr>
      <w:r w:rsidRPr="00B628C8">
        <w:rPr>
          <w:sz w:val="24"/>
          <w:szCs w:val="24"/>
        </w:rPr>
        <w:t xml:space="preserve">Andelen af enzalutamidbehandlede patienter med registrerbar sygdom ved </w:t>
      </w:r>
      <w:r w:rsidRPr="00B628C8">
        <w:rPr>
          <w:i/>
          <w:sz w:val="24"/>
          <w:szCs w:val="24"/>
        </w:rPr>
        <w:t>baseline</w:t>
      </w:r>
      <w:r w:rsidRPr="00B628C8">
        <w:rPr>
          <w:sz w:val="24"/>
          <w:szCs w:val="24"/>
        </w:rPr>
        <w:t>, der havde en objektiv bløddelsrespons, var 58,8 % (95 % CI: 53,8, 63,7) sammenlignet med 5,0 % (95 % CI: 3,0, 7,7) af patienterne, der fik placebo. Den absolutte forskel i objektiv bløddelsrespons mellem enzalutamid- og placebogruppen var [53,9 % (95 % CI: 48,5, 59,1), p &lt; 0,0001]. Komplet respons blev rapporteret hos 19,7 % af de enzalutamidbehandlede patienter sammenlignet med 1,0 % af patienterne i placebogruppen, og partiel respons blev rapporteret hos 39,1 % af de enzalutamidbehandlede patienter i forhold til 3,9 % af patienterne i placebogruppen.</w:t>
      </w:r>
    </w:p>
    <w:p w14:paraId="53E211EB" w14:textId="77777777" w:rsidR="00B628C8" w:rsidRPr="00B628C8" w:rsidRDefault="00B628C8" w:rsidP="00B628C8">
      <w:pPr>
        <w:pStyle w:val="Brdtekst"/>
        <w:ind w:left="851"/>
        <w:rPr>
          <w:sz w:val="24"/>
          <w:szCs w:val="24"/>
        </w:rPr>
      </w:pPr>
    </w:p>
    <w:p w14:paraId="22D639DE" w14:textId="77777777" w:rsidR="00B628C8" w:rsidRPr="00B628C8" w:rsidRDefault="00B628C8" w:rsidP="00B628C8">
      <w:pPr>
        <w:pStyle w:val="Brdtekst"/>
        <w:ind w:left="851"/>
        <w:rPr>
          <w:sz w:val="24"/>
          <w:szCs w:val="24"/>
        </w:rPr>
      </w:pPr>
      <w:r w:rsidRPr="00B628C8">
        <w:rPr>
          <w:sz w:val="24"/>
          <w:szCs w:val="24"/>
        </w:rPr>
        <w:t>Enzalutamid reducerede signifikant risikoen for første skeletrelaterede hændelse med 28 % [HR = 0,718 (95 % CI: 0,61, 0,84), p &lt; 0,0001]. En skeletrelateret hændelse blev defineret som strålebehandling af knogler eller knoglekirurgi som følge af prostatacancer, patologisk knoglefraktur, rygmarvskompression eller ændring af antineoplastisk behandling for at behandle knoglesmerter.</w:t>
      </w:r>
    </w:p>
    <w:p w14:paraId="0F76B6CB" w14:textId="77777777" w:rsidR="00B628C8" w:rsidRPr="00B628C8" w:rsidRDefault="00B628C8" w:rsidP="00B628C8">
      <w:pPr>
        <w:pStyle w:val="Brdtekst"/>
        <w:ind w:left="851"/>
        <w:rPr>
          <w:sz w:val="24"/>
          <w:szCs w:val="24"/>
        </w:rPr>
      </w:pPr>
      <w:r w:rsidRPr="00B628C8">
        <w:rPr>
          <w:sz w:val="24"/>
          <w:szCs w:val="24"/>
        </w:rPr>
        <w:t xml:space="preserve">Analysen inkluderede 587 skeletrelaterede hændelser, hvoraf 389 hændelser (66,3 %) var </w:t>
      </w:r>
      <w:r w:rsidRPr="00B628C8">
        <w:rPr>
          <w:sz w:val="24"/>
          <w:szCs w:val="24"/>
        </w:rPr>
        <w:lastRenderedPageBreak/>
        <w:t>strålebehandling af knogler, 79 hændelser (13,5 %) var rygmarvskompression, 70 hændelser (11,9 %) var patologisk knoglefraktur, 45 hændelser (7,6 %) var ændring af antineoplastisk behandling for at behandle knoglesmerter, og 22 hændelser (3,7 %) var knoglekirurgi.</w:t>
      </w:r>
    </w:p>
    <w:p w14:paraId="584F459D" w14:textId="77777777" w:rsidR="00B628C8" w:rsidRPr="00B628C8" w:rsidRDefault="00B628C8" w:rsidP="00B628C8">
      <w:pPr>
        <w:pStyle w:val="Brdtekst"/>
        <w:ind w:left="851"/>
        <w:rPr>
          <w:sz w:val="24"/>
          <w:szCs w:val="24"/>
        </w:rPr>
      </w:pPr>
    </w:p>
    <w:p w14:paraId="742E76E4" w14:textId="77777777" w:rsidR="00B628C8" w:rsidRPr="00B628C8" w:rsidRDefault="00B628C8" w:rsidP="00B628C8">
      <w:pPr>
        <w:pStyle w:val="Brdtekst"/>
        <w:ind w:left="851"/>
        <w:rPr>
          <w:sz w:val="24"/>
          <w:szCs w:val="24"/>
        </w:rPr>
      </w:pPr>
      <w:r w:rsidRPr="00B628C8">
        <w:rPr>
          <w:sz w:val="24"/>
          <w:szCs w:val="24"/>
        </w:rPr>
        <w:t xml:space="preserve">Patienter, der fik enzalutamid, viste en signifikant højere total PSA-responsrate (defineret som ≥ 50 % reduktion fra </w:t>
      </w:r>
      <w:r w:rsidRPr="00B628C8">
        <w:rPr>
          <w:i/>
          <w:sz w:val="24"/>
          <w:szCs w:val="24"/>
        </w:rPr>
        <w:t>baseline</w:t>
      </w:r>
      <w:r w:rsidRPr="00B628C8">
        <w:rPr>
          <w:sz w:val="24"/>
          <w:szCs w:val="24"/>
        </w:rPr>
        <w:t xml:space="preserve">) sammenlignet med patienter, der fik placebo, 78,0 % </w:t>
      </w:r>
      <w:r w:rsidRPr="00B628C8">
        <w:rPr>
          <w:i/>
          <w:sz w:val="24"/>
          <w:szCs w:val="24"/>
        </w:rPr>
        <w:t xml:space="preserve">versus </w:t>
      </w:r>
      <w:r w:rsidRPr="00B628C8">
        <w:rPr>
          <w:sz w:val="24"/>
          <w:szCs w:val="24"/>
        </w:rPr>
        <w:t>3,5 % (forskel = 74,5 %, p &lt; 0,0001).</w:t>
      </w:r>
    </w:p>
    <w:p w14:paraId="35940762" w14:textId="77777777" w:rsidR="00B628C8" w:rsidRPr="00B628C8" w:rsidRDefault="00B628C8" w:rsidP="00B628C8">
      <w:pPr>
        <w:pStyle w:val="Brdtekst"/>
        <w:ind w:left="851"/>
        <w:rPr>
          <w:sz w:val="24"/>
          <w:szCs w:val="24"/>
        </w:rPr>
      </w:pPr>
    </w:p>
    <w:p w14:paraId="0AEC0C80" w14:textId="77777777" w:rsidR="00B628C8" w:rsidRPr="00B628C8" w:rsidRDefault="00B628C8" w:rsidP="00B628C8">
      <w:pPr>
        <w:pStyle w:val="Brdtekst"/>
        <w:ind w:left="851"/>
        <w:rPr>
          <w:sz w:val="24"/>
          <w:szCs w:val="24"/>
        </w:rPr>
      </w:pPr>
      <w:r w:rsidRPr="00B628C8">
        <w:rPr>
          <w:sz w:val="24"/>
          <w:szCs w:val="24"/>
        </w:rPr>
        <w:t>Mediantiden til PSA-progression ifølge PCWG2-kriterier var 11,2 måneder for patienter behandlet med enzalutamid og 2,8 måneder for patienter, der fik placebo [HR = 0,17 (95 % CI: 0,15, 0,20), p &lt; 0,0001].</w:t>
      </w:r>
    </w:p>
    <w:p w14:paraId="1CA8526F" w14:textId="77777777" w:rsidR="00B628C8" w:rsidRPr="00B628C8" w:rsidRDefault="00B628C8" w:rsidP="00B628C8">
      <w:pPr>
        <w:pStyle w:val="Brdtekst"/>
        <w:ind w:left="851"/>
        <w:rPr>
          <w:sz w:val="24"/>
          <w:szCs w:val="24"/>
        </w:rPr>
      </w:pPr>
    </w:p>
    <w:p w14:paraId="006F2E31" w14:textId="77777777" w:rsidR="00B628C8" w:rsidRPr="00B628C8" w:rsidRDefault="00B628C8" w:rsidP="00B628C8">
      <w:pPr>
        <w:pStyle w:val="Brdtekst"/>
        <w:ind w:left="851"/>
        <w:rPr>
          <w:sz w:val="24"/>
          <w:szCs w:val="24"/>
        </w:rPr>
      </w:pPr>
      <w:r w:rsidRPr="00B628C8">
        <w:rPr>
          <w:sz w:val="24"/>
          <w:szCs w:val="24"/>
        </w:rPr>
        <w:t>Behandling med enzalutamid reducerede risikoen for forringelse af FACT-P med 37,5 % sammenlignet med placebo (p &lt; 0,0001). Mediantiden til forringelse af FACT-P var 11,3 måneder i enzalutamidgruppen og 5,6 måneder i placebogruppen.</w:t>
      </w:r>
    </w:p>
    <w:p w14:paraId="444BB450" w14:textId="77777777" w:rsidR="00B628C8" w:rsidRPr="00B628C8" w:rsidRDefault="00B628C8" w:rsidP="00B628C8">
      <w:pPr>
        <w:pStyle w:val="Brdtekst"/>
        <w:ind w:left="851"/>
        <w:rPr>
          <w:sz w:val="24"/>
          <w:szCs w:val="24"/>
        </w:rPr>
      </w:pPr>
    </w:p>
    <w:p w14:paraId="275148D7" w14:textId="77777777" w:rsidR="00B628C8" w:rsidRPr="00B628C8" w:rsidRDefault="00B628C8" w:rsidP="00B628C8">
      <w:pPr>
        <w:ind w:left="851"/>
        <w:rPr>
          <w:i/>
          <w:sz w:val="24"/>
          <w:szCs w:val="24"/>
        </w:rPr>
      </w:pPr>
      <w:r w:rsidRPr="00B628C8">
        <w:rPr>
          <w:i/>
          <w:sz w:val="24"/>
          <w:szCs w:val="24"/>
        </w:rPr>
        <w:t>CRPC2 (AFFIRM)-studiet (patienter med metastatisk CRPC, der tidligere havde fået kemoterapi)</w:t>
      </w:r>
    </w:p>
    <w:p w14:paraId="4352131F" w14:textId="77777777" w:rsidR="00B628C8" w:rsidRPr="00B628C8" w:rsidRDefault="00B628C8" w:rsidP="00B628C8">
      <w:pPr>
        <w:pStyle w:val="Brdtekst"/>
        <w:ind w:left="851"/>
        <w:rPr>
          <w:sz w:val="24"/>
          <w:szCs w:val="24"/>
        </w:rPr>
      </w:pPr>
      <w:r w:rsidRPr="00B628C8">
        <w:rPr>
          <w:sz w:val="24"/>
          <w:szCs w:val="24"/>
        </w:rPr>
        <w:t>Virkningen og sikkerheden af enzalutamid hos patienter med metastatisk CRPC, som havde fået docetaxel, og som blev behandlet med en LHRH-analog eller havde fået foretaget orkiektomi, blev vurderet i et randomiseret, placebokontrolleret, klinisk fase 3-multicenterstudie. I alt 1.199 patienter blev randomiseret i forholdet 2:1 til at modtage enten enzalutamid oralt i en dosis på 160 mg én gang dagligt (N = 800) eller placebo én gang dagligt (N = 399). Det var tilladt, men ikke påkrævet for patienterne at tage prednison (den maksimalt tilladte daglige dosis var 10 mg prednison eller ækvivalent). Efter randomisering skulle patienterne i begge behandlingsarme fortsætte med behandlingen indtil sygdomsprogression (defineret som bekræftet radiografisk progression eller forekomst af en skeletrelateret hændelse) og initiering af ny systemisk antineoplastisk behandling, uacceptabel toksicitet eller udtrædelse.</w:t>
      </w:r>
    </w:p>
    <w:p w14:paraId="3EB46919" w14:textId="77777777" w:rsidR="00B628C8" w:rsidRPr="00B628C8" w:rsidRDefault="00B628C8" w:rsidP="00B628C8">
      <w:pPr>
        <w:pStyle w:val="Brdtekst"/>
        <w:ind w:left="851"/>
        <w:rPr>
          <w:sz w:val="24"/>
          <w:szCs w:val="24"/>
        </w:rPr>
      </w:pPr>
    </w:p>
    <w:p w14:paraId="2A30BFF2" w14:textId="77777777" w:rsidR="00B628C8" w:rsidRPr="00B628C8" w:rsidRDefault="00B628C8" w:rsidP="00B628C8">
      <w:pPr>
        <w:pStyle w:val="Brdtekst"/>
        <w:ind w:left="851"/>
        <w:rPr>
          <w:sz w:val="24"/>
          <w:szCs w:val="24"/>
        </w:rPr>
      </w:pPr>
      <w:r w:rsidRPr="00B628C8">
        <w:rPr>
          <w:sz w:val="24"/>
          <w:szCs w:val="24"/>
        </w:rPr>
        <w:t xml:space="preserve">Følgende patientdemografi og sygdomskarakteristika ved </w:t>
      </w:r>
      <w:r w:rsidRPr="00B628C8">
        <w:rPr>
          <w:i/>
          <w:sz w:val="24"/>
          <w:szCs w:val="24"/>
        </w:rPr>
        <w:t xml:space="preserve">baseline </w:t>
      </w:r>
      <w:r w:rsidRPr="00B628C8">
        <w:rPr>
          <w:sz w:val="24"/>
          <w:szCs w:val="24"/>
        </w:rPr>
        <w:t xml:space="preserve">var afbalanceret mellem behandlingsarmene. Medianalderen var 69 år (interval 41-92), og racefordelingen var 93 % kaukasiere, 4 % sorte, 1 % asiater og 2 % andre. ECOG-funktionsscoren var 0-1 for 91,5 % af patienterne og 2 for 8,5 % af patienterne; 28 % havde en gennemsnitlig </w:t>
      </w:r>
      <w:r w:rsidRPr="00B628C8">
        <w:rPr>
          <w:i/>
          <w:iCs/>
          <w:sz w:val="24"/>
          <w:szCs w:val="24"/>
        </w:rPr>
        <w:t>Brief Pain Inventory</w:t>
      </w:r>
      <w:r w:rsidRPr="00B628C8">
        <w:rPr>
          <w:sz w:val="24"/>
          <w:szCs w:val="24"/>
        </w:rPr>
        <w:t xml:space="preserve">-score på ≥4 (gennemsnit af patientens rapporterede værste smerter inden for de forudgående 24 timer beregnet for syv dage forud for randomisering). De fleste patienter (91 %) havde knoglemetastaser, og 23 % havde viscerale lunge- og/eller levermetastaser. Ved indtrædelse i studiet havde 41 % af de randomiserede patienter kun PSA-progression, mens 59 % af patienterne havde radiografisk progression. 51 % af patienterne var på bisphosphonater ved </w:t>
      </w:r>
      <w:r w:rsidRPr="00B628C8">
        <w:rPr>
          <w:i/>
          <w:sz w:val="24"/>
          <w:szCs w:val="24"/>
        </w:rPr>
        <w:t>baseline</w:t>
      </w:r>
      <w:r w:rsidRPr="00B628C8">
        <w:rPr>
          <w:sz w:val="24"/>
          <w:szCs w:val="24"/>
        </w:rPr>
        <w:t>.</w:t>
      </w:r>
    </w:p>
    <w:p w14:paraId="2B4074EA" w14:textId="77777777" w:rsidR="00B628C8" w:rsidRPr="00B628C8" w:rsidRDefault="00B628C8" w:rsidP="00B628C8">
      <w:pPr>
        <w:pStyle w:val="Brdtekst"/>
        <w:ind w:left="851"/>
        <w:rPr>
          <w:sz w:val="24"/>
          <w:szCs w:val="24"/>
        </w:rPr>
      </w:pPr>
    </w:p>
    <w:p w14:paraId="62D21238" w14:textId="77777777" w:rsidR="00B628C8" w:rsidRPr="00B628C8" w:rsidRDefault="00B628C8" w:rsidP="00B628C8">
      <w:pPr>
        <w:pStyle w:val="Brdtekst"/>
        <w:ind w:left="851"/>
        <w:rPr>
          <w:sz w:val="24"/>
          <w:szCs w:val="24"/>
        </w:rPr>
      </w:pPr>
      <w:r w:rsidRPr="00B628C8">
        <w:rPr>
          <w:sz w:val="24"/>
          <w:szCs w:val="24"/>
        </w:rPr>
        <w:t>Patienter med sygdomstilstande, der kan prædisponere dem for krampeanfald, (se pkt. 4.8) og anvendelse af lægemidler, der vides at sænke krampetærsklen, samt klinisk signifikant kardiovaskulær sygdom, såsom ukontrolleret hypertension, nyligt overstået myokardieinfarkt eller ustabil angina pectoris, hjerteinsufficiens i New York Heart Association-klasse III eller IV (medmindre ejektionsfraktionen var ≥45 %), klinisk signifikante ventrikulære arytmier eller AV-blok (uden permanent pacemaker), blev udelukket fra AFFIRM-studiet.</w:t>
      </w:r>
    </w:p>
    <w:p w14:paraId="3011C6AF" w14:textId="77777777" w:rsidR="00B628C8" w:rsidRPr="00B628C8" w:rsidRDefault="00B628C8" w:rsidP="00B628C8">
      <w:pPr>
        <w:pStyle w:val="Brdtekst"/>
        <w:ind w:left="851"/>
        <w:rPr>
          <w:sz w:val="24"/>
          <w:szCs w:val="24"/>
        </w:rPr>
      </w:pPr>
    </w:p>
    <w:p w14:paraId="35000755" w14:textId="77777777" w:rsidR="00B628C8" w:rsidRPr="00B628C8" w:rsidRDefault="00B628C8" w:rsidP="00B628C8">
      <w:pPr>
        <w:pStyle w:val="Brdtekst"/>
        <w:ind w:left="851"/>
        <w:rPr>
          <w:sz w:val="24"/>
          <w:szCs w:val="24"/>
        </w:rPr>
      </w:pPr>
      <w:r w:rsidRPr="00B628C8">
        <w:rPr>
          <w:sz w:val="24"/>
          <w:szCs w:val="24"/>
        </w:rPr>
        <w:t xml:space="preserve">Den i protokollen forudspecificerede interimanalyse efter 520 dødsfald påviste en statistisk </w:t>
      </w:r>
      <w:r w:rsidRPr="00B628C8">
        <w:rPr>
          <w:sz w:val="24"/>
          <w:szCs w:val="24"/>
        </w:rPr>
        <w:lastRenderedPageBreak/>
        <w:t>signifikant superioritet i samlet overlevelse for patienter behandlet med enzalutamid sammenlignet med placebo (tabel 6 og figur 12 og 13).</w:t>
      </w:r>
    </w:p>
    <w:p w14:paraId="5D2626F6" w14:textId="77777777" w:rsidR="00B628C8" w:rsidRDefault="00B628C8" w:rsidP="00B628C8">
      <w:pPr>
        <w:pStyle w:val="Brdtekst"/>
      </w:pPr>
    </w:p>
    <w:p w14:paraId="1BB19877" w14:textId="1068D6C7" w:rsidR="00B628C8" w:rsidRPr="00EE2DA3" w:rsidRDefault="00B628C8" w:rsidP="00EE2DA3">
      <w:pPr>
        <w:ind w:left="993" w:hanging="993"/>
        <w:rPr>
          <w:b/>
          <w:sz w:val="24"/>
          <w:szCs w:val="24"/>
        </w:rPr>
      </w:pPr>
      <w:r w:rsidRPr="00EE2DA3">
        <w:rPr>
          <w:b/>
          <w:sz w:val="24"/>
          <w:szCs w:val="24"/>
        </w:rPr>
        <w:t>Tabel 6:</w:t>
      </w:r>
      <w:r w:rsidR="00EE2DA3">
        <w:rPr>
          <w:b/>
          <w:sz w:val="24"/>
          <w:szCs w:val="24"/>
        </w:rPr>
        <w:tab/>
      </w:r>
      <w:r w:rsidRPr="00EE2DA3">
        <w:rPr>
          <w:b/>
          <w:sz w:val="24"/>
          <w:szCs w:val="24"/>
        </w:rPr>
        <w:t>Samlet overlevelse for patienter behandlet med enten enzalutamid eller placebo i AFFIRM-studiet (</w:t>
      </w:r>
      <w:r w:rsidRPr="00EE2DA3">
        <w:rPr>
          <w:b/>
          <w:i/>
          <w:sz w:val="24"/>
          <w:szCs w:val="24"/>
        </w:rPr>
        <w:t>intent-to-treat</w:t>
      </w:r>
      <w:r w:rsidRPr="00EE2DA3">
        <w:rPr>
          <w:b/>
          <w:sz w:val="24"/>
          <w:szCs w:val="24"/>
        </w:rPr>
        <w:t>-analyse)</w:t>
      </w:r>
    </w:p>
    <w:p w14:paraId="0732D2B1" w14:textId="77777777" w:rsidR="00B628C8" w:rsidRPr="00EE2DA3" w:rsidRDefault="00B628C8" w:rsidP="00EE2DA3">
      <w:pPr>
        <w:ind w:left="1134" w:hanging="1134"/>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692"/>
        <w:gridCol w:w="2692"/>
      </w:tblGrid>
      <w:tr w:rsidR="00B628C8" w14:paraId="0C365E08" w14:textId="77777777" w:rsidTr="00B628C8">
        <w:trPr>
          <w:trHeight w:val="253"/>
        </w:trPr>
        <w:tc>
          <w:tcPr>
            <w:tcW w:w="3686" w:type="dxa"/>
            <w:tcBorders>
              <w:top w:val="single" w:sz="4" w:space="0" w:color="000000"/>
              <w:left w:val="single" w:sz="4" w:space="0" w:color="000000"/>
              <w:bottom w:val="single" w:sz="6" w:space="0" w:color="000000"/>
              <w:right w:val="single" w:sz="6" w:space="0" w:color="000000"/>
            </w:tcBorders>
          </w:tcPr>
          <w:p w14:paraId="43C99263" w14:textId="77777777" w:rsidR="00B628C8" w:rsidRPr="00B628C8" w:rsidRDefault="00B628C8">
            <w:pPr>
              <w:pStyle w:val="TableParagraph"/>
              <w:ind w:left="0"/>
              <w:rPr>
                <w:sz w:val="18"/>
              </w:rPr>
            </w:pPr>
          </w:p>
        </w:tc>
        <w:tc>
          <w:tcPr>
            <w:tcW w:w="2692" w:type="dxa"/>
            <w:tcBorders>
              <w:top w:val="single" w:sz="4" w:space="0" w:color="000000"/>
              <w:left w:val="single" w:sz="6" w:space="0" w:color="000000"/>
              <w:bottom w:val="single" w:sz="6" w:space="0" w:color="000000"/>
              <w:right w:val="single" w:sz="6" w:space="0" w:color="000000"/>
            </w:tcBorders>
            <w:hideMark/>
          </w:tcPr>
          <w:p w14:paraId="2701C1C0" w14:textId="77777777" w:rsidR="00B628C8" w:rsidRDefault="00B628C8">
            <w:pPr>
              <w:pStyle w:val="TableParagraph"/>
              <w:ind w:left="0"/>
              <w:jc w:val="center"/>
              <w:rPr>
                <w:b/>
                <w:lang w:val="en-US"/>
              </w:rPr>
            </w:pPr>
            <w:r>
              <w:rPr>
                <w:b/>
                <w:lang w:val="en-US"/>
              </w:rPr>
              <w:t>Enzalutamid (N = 800)</w:t>
            </w:r>
          </w:p>
        </w:tc>
        <w:tc>
          <w:tcPr>
            <w:tcW w:w="2692" w:type="dxa"/>
            <w:tcBorders>
              <w:top w:val="single" w:sz="4" w:space="0" w:color="000000"/>
              <w:left w:val="single" w:sz="6" w:space="0" w:color="000000"/>
              <w:bottom w:val="single" w:sz="6" w:space="0" w:color="000000"/>
              <w:right w:val="single" w:sz="4" w:space="0" w:color="000000"/>
            </w:tcBorders>
            <w:hideMark/>
          </w:tcPr>
          <w:p w14:paraId="097297CE" w14:textId="77777777" w:rsidR="00B628C8" w:rsidRDefault="00B628C8">
            <w:pPr>
              <w:pStyle w:val="TableParagraph"/>
              <w:ind w:left="0"/>
              <w:jc w:val="center"/>
              <w:rPr>
                <w:b/>
                <w:lang w:val="en-US"/>
              </w:rPr>
            </w:pPr>
            <w:r>
              <w:rPr>
                <w:b/>
                <w:lang w:val="en-US"/>
              </w:rPr>
              <w:t>Placebo (N = 399)</w:t>
            </w:r>
          </w:p>
        </w:tc>
      </w:tr>
      <w:tr w:rsidR="00B628C8" w14:paraId="08931DBD" w14:textId="77777777" w:rsidTr="00B628C8">
        <w:trPr>
          <w:trHeight w:val="251"/>
        </w:trPr>
        <w:tc>
          <w:tcPr>
            <w:tcW w:w="3686" w:type="dxa"/>
            <w:tcBorders>
              <w:top w:val="single" w:sz="6" w:space="0" w:color="000000"/>
              <w:left w:val="single" w:sz="4" w:space="0" w:color="000000"/>
              <w:bottom w:val="single" w:sz="6" w:space="0" w:color="000000"/>
              <w:right w:val="single" w:sz="6" w:space="0" w:color="000000"/>
            </w:tcBorders>
            <w:hideMark/>
          </w:tcPr>
          <w:p w14:paraId="1CC2021F" w14:textId="77777777" w:rsidR="00B628C8" w:rsidRDefault="00B628C8">
            <w:pPr>
              <w:pStyle w:val="TableParagraph"/>
              <w:ind w:left="0"/>
              <w:rPr>
                <w:lang w:val="en-US"/>
              </w:rPr>
            </w:pPr>
            <w:r>
              <w:rPr>
                <w:lang w:val="en-US"/>
              </w:rPr>
              <w:t>Dødsfald (%)</w:t>
            </w:r>
          </w:p>
        </w:tc>
        <w:tc>
          <w:tcPr>
            <w:tcW w:w="2692" w:type="dxa"/>
            <w:tcBorders>
              <w:top w:val="single" w:sz="6" w:space="0" w:color="000000"/>
              <w:left w:val="single" w:sz="6" w:space="0" w:color="000000"/>
              <w:bottom w:val="single" w:sz="6" w:space="0" w:color="000000"/>
              <w:right w:val="single" w:sz="6" w:space="0" w:color="000000"/>
            </w:tcBorders>
            <w:hideMark/>
          </w:tcPr>
          <w:p w14:paraId="59D80EFD" w14:textId="77777777" w:rsidR="00B628C8" w:rsidRDefault="00B628C8">
            <w:pPr>
              <w:pStyle w:val="TableParagraph"/>
              <w:ind w:left="0"/>
              <w:jc w:val="center"/>
              <w:rPr>
                <w:lang w:val="en-US"/>
              </w:rPr>
            </w:pPr>
            <w:r>
              <w:rPr>
                <w:lang w:val="en-US"/>
              </w:rPr>
              <w:t>308 (38,5 %)</w:t>
            </w:r>
          </w:p>
        </w:tc>
        <w:tc>
          <w:tcPr>
            <w:tcW w:w="2692" w:type="dxa"/>
            <w:tcBorders>
              <w:top w:val="single" w:sz="6" w:space="0" w:color="000000"/>
              <w:left w:val="single" w:sz="6" w:space="0" w:color="000000"/>
              <w:bottom w:val="single" w:sz="6" w:space="0" w:color="000000"/>
              <w:right w:val="single" w:sz="4" w:space="0" w:color="000000"/>
            </w:tcBorders>
            <w:hideMark/>
          </w:tcPr>
          <w:p w14:paraId="50C3F4CC" w14:textId="77777777" w:rsidR="00B628C8" w:rsidRDefault="00B628C8">
            <w:pPr>
              <w:pStyle w:val="TableParagraph"/>
              <w:ind w:left="0"/>
              <w:jc w:val="center"/>
              <w:rPr>
                <w:lang w:val="en-US"/>
              </w:rPr>
            </w:pPr>
            <w:r>
              <w:rPr>
                <w:lang w:val="en-US"/>
              </w:rPr>
              <w:t>212 (53,1 %)</w:t>
            </w:r>
          </w:p>
        </w:tc>
      </w:tr>
      <w:tr w:rsidR="00B628C8" w14:paraId="4F49E4FB" w14:textId="77777777" w:rsidTr="00B628C8">
        <w:trPr>
          <w:trHeight w:val="508"/>
        </w:trPr>
        <w:tc>
          <w:tcPr>
            <w:tcW w:w="3686" w:type="dxa"/>
            <w:tcBorders>
              <w:top w:val="single" w:sz="6" w:space="0" w:color="000000"/>
              <w:left w:val="single" w:sz="4" w:space="0" w:color="000000"/>
              <w:bottom w:val="single" w:sz="6" w:space="0" w:color="000000"/>
              <w:right w:val="single" w:sz="6" w:space="0" w:color="000000"/>
            </w:tcBorders>
            <w:hideMark/>
          </w:tcPr>
          <w:p w14:paraId="0EE89728" w14:textId="77777777" w:rsidR="00B628C8" w:rsidRDefault="00B628C8">
            <w:pPr>
              <w:pStyle w:val="TableParagraph"/>
              <w:ind w:left="0"/>
              <w:rPr>
                <w:lang w:val="en-US"/>
              </w:rPr>
            </w:pPr>
            <w:r>
              <w:rPr>
                <w:lang w:val="en-US"/>
              </w:rPr>
              <w:t>Medianoverlevelse (måneder) (95 % CI)</w:t>
            </w:r>
          </w:p>
        </w:tc>
        <w:tc>
          <w:tcPr>
            <w:tcW w:w="2692" w:type="dxa"/>
            <w:tcBorders>
              <w:top w:val="single" w:sz="6" w:space="0" w:color="000000"/>
              <w:left w:val="single" w:sz="6" w:space="0" w:color="000000"/>
              <w:bottom w:val="single" w:sz="6" w:space="0" w:color="000000"/>
              <w:right w:val="single" w:sz="6" w:space="0" w:color="000000"/>
            </w:tcBorders>
            <w:hideMark/>
          </w:tcPr>
          <w:p w14:paraId="0BFB958D" w14:textId="77777777" w:rsidR="00B628C8" w:rsidRDefault="00B628C8">
            <w:pPr>
              <w:pStyle w:val="TableParagraph"/>
              <w:ind w:left="0"/>
              <w:jc w:val="center"/>
              <w:rPr>
                <w:lang w:val="en-US"/>
              </w:rPr>
            </w:pPr>
            <w:r>
              <w:rPr>
                <w:lang w:val="en-US"/>
              </w:rPr>
              <w:t>18,4 (17,3, NR)</w:t>
            </w:r>
          </w:p>
        </w:tc>
        <w:tc>
          <w:tcPr>
            <w:tcW w:w="2692" w:type="dxa"/>
            <w:tcBorders>
              <w:top w:val="single" w:sz="6" w:space="0" w:color="000000"/>
              <w:left w:val="single" w:sz="6" w:space="0" w:color="000000"/>
              <w:bottom w:val="single" w:sz="6" w:space="0" w:color="000000"/>
              <w:right w:val="single" w:sz="4" w:space="0" w:color="000000"/>
            </w:tcBorders>
            <w:hideMark/>
          </w:tcPr>
          <w:p w14:paraId="4DA508A8" w14:textId="77777777" w:rsidR="00B628C8" w:rsidRDefault="00B628C8">
            <w:pPr>
              <w:pStyle w:val="TableParagraph"/>
              <w:ind w:left="0"/>
              <w:jc w:val="center"/>
              <w:rPr>
                <w:lang w:val="en-US"/>
              </w:rPr>
            </w:pPr>
            <w:r>
              <w:rPr>
                <w:lang w:val="en-US"/>
              </w:rPr>
              <w:t>13,6 (11,3, 15,8)</w:t>
            </w:r>
          </w:p>
        </w:tc>
      </w:tr>
      <w:tr w:rsidR="00B628C8" w14:paraId="47B0C331" w14:textId="77777777" w:rsidTr="00B628C8">
        <w:trPr>
          <w:trHeight w:val="251"/>
        </w:trPr>
        <w:tc>
          <w:tcPr>
            <w:tcW w:w="3686" w:type="dxa"/>
            <w:tcBorders>
              <w:top w:val="single" w:sz="6" w:space="0" w:color="000000"/>
              <w:left w:val="single" w:sz="4" w:space="0" w:color="000000"/>
              <w:bottom w:val="single" w:sz="6" w:space="0" w:color="000000"/>
              <w:right w:val="single" w:sz="6" w:space="0" w:color="000000"/>
            </w:tcBorders>
            <w:hideMark/>
          </w:tcPr>
          <w:p w14:paraId="60E243C1" w14:textId="77777777" w:rsidR="00B628C8" w:rsidRDefault="00B628C8">
            <w:pPr>
              <w:pStyle w:val="TableParagraph"/>
              <w:ind w:left="0"/>
              <w:rPr>
                <w:i/>
                <w:lang w:val="en-US"/>
              </w:rPr>
            </w:pPr>
            <w:r>
              <w:rPr>
                <w:lang w:val="en-US"/>
              </w:rPr>
              <w:t>P-værdi</w:t>
            </w:r>
            <w:r>
              <w:rPr>
                <w:i/>
                <w:vertAlign w:val="superscript"/>
                <w:lang w:val="en-US"/>
              </w:rPr>
              <w:t>1</w:t>
            </w:r>
          </w:p>
        </w:tc>
        <w:tc>
          <w:tcPr>
            <w:tcW w:w="5384" w:type="dxa"/>
            <w:gridSpan w:val="2"/>
            <w:tcBorders>
              <w:top w:val="single" w:sz="6" w:space="0" w:color="000000"/>
              <w:left w:val="single" w:sz="6" w:space="0" w:color="000000"/>
              <w:bottom w:val="single" w:sz="6" w:space="0" w:color="000000"/>
              <w:right w:val="single" w:sz="4" w:space="0" w:color="000000"/>
            </w:tcBorders>
            <w:hideMark/>
          </w:tcPr>
          <w:p w14:paraId="634E2365" w14:textId="77777777" w:rsidR="00B628C8" w:rsidRDefault="00B628C8">
            <w:pPr>
              <w:pStyle w:val="TableParagraph"/>
              <w:ind w:left="0"/>
              <w:jc w:val="center"/>
              <w:rPr>
                <w:lang w:val="en-US"/>
              </w:rPr>
            </w:pPr>
            <w:r>
              <w:rPr>
                <w:lang w:val="en-US"/>
              </w:rPr>
              <w:t>p &lt; 0,0001</w:t>
            </w:r>
          </w:p>
        </w:tc>
      </w:tr>
      <w:tr w:rsidR="00B628C8" w14:paraId="534877A2" w14:textId="77777777" w:rsidTr="00B628C8">
        <w:trPr>
          <w:trHeight w:val="253"/>
        </w:trPr>
        <w:tc>
          <w:tcPr>
            <w:tcW w:w="3686" w:type="dxa"/>
            <w:tcBorders>
              <w:top w:val="single" w:sz="6" w:space="0" w:color="000000"/>
              <w:left w:val="single" w:sz="4" w:space="0" w:color="000000"/>
              <w:bottom w:val="single" w:sz="4" w:space="0" w:color="000000"/>
              <w:right w:val="single" w:sz="6" w:space="0" w:color="000000"/>
            </w:tcBorders>
            <w:hideMark/>
          </w:tcPr>
          <w:p w14:paraId="633CFF0C" w14:textId="77777777" w:rsidR="00B628C8" w:rsidRDefault="00B628C8">
            <w:pPr>
              <w:pStyle w:val="TableParagraph"/>
              <w:ind w:left="0"/>
              <w:rPr>
                <w:i/>
                <w:lang w:val="en-US"/>
              </w:rPr>
            </w:pPr>
            <w:r>
              <w:rPr>
                <w:i/>
                <w:lang w:val="en-US"/>
              </w:rPr>
              <w:t xml:space="preserve">Hazard </w:t>
            </w:r>
            <w:r>
              <w:rPr>
                <w:i/>
                <w:iCs/>
                <w:lang w:val="en-US"/>
              </w:rPr>
              <w:t>ratio</w:t>
            </w:r>
            <w:r>
              <w:rPr>
                <w:lang w:val="en-US"/>
              </w:rPr>
              <w:t xml:space="preserve"> (95 % CI)</w:t>
            </w:r>
            <w:r>
              <w:rPr>
                <w:i/>
                <w:vertAlign w:val="superscript"/>
                <w:lang w:val="en-US"/>
              </w:rPr>
              <w:t>2</w:t>
            </w:r>
          </w:p>
        </w:tc>
        <w:tc>
          <w:tcPr>
            <w:tcW w:w="5384" w:type="dxa"/>
            <w:gridSpan w:val="2"/>
            <w:tcBorders>
              <w:top w:val="single" w:sz="6" w:space="0" w:color="000000"/>
              <w:left w:val="single" w:sz="6" w:space="0" w:color="000000"/>
              <w:bottom w:val="single" w:sz="4" w:space="0" w:color="000000"/>
              <w:right w:val="single" w:sz="4" w:space="0" w:color="000000"/>
            </w:tcBorders>
            <w:hideMark/>
          </w:tcPr>
          <w:p w14:paraId="36115DCE" w14:textId="77777777" w:rsidR="00B628C8" w:rsidRDefault="00B628C8">
            <w:pPr>
              <w:pStyle w:val="TableParagraph"/>
              <w:ind w:left="0"/>
              <w:jc w:val="center"/>
              <w:rPr>
                <w:lang w:val="en-US"/>
              </w:rPr>
            </w:pPr>
            <w:r>
              <w:rPr>
                <w:lang w:val="en-US"/>
              </w:rPr>
              <w:t>0,63 (0,53, 0,75)</w:t>
            </w:r>
          </w:p>
        </w:tc>
      </w:tr>
    </w:tbl>
    <w:p w14:paraId="1E226CDA" w14:textId="77777777" w:rsidR="00B628C8" w:rsidRDefault="00B628C8" w:rsidP="00B628C8">
      <w:pPr>
        <w:pStyle w:val="Brdtekst"/>
        <w:rPr>
          <w:sz w:val="18"/>
          <w:szCs w:val="18"/>
        </w:rPr>
      </w:pPr>
      <w:r>
        <w:rPr>
          <w:sz w:val="18"/>
          <w:szCs w:val="18"/>
        </w:rPr>
        <w:t>NR = Ikke nået.</w:t>
      </w:r>
    </w:p>
    <w:p w14:paraId="29B6A95C" w14:textId="77777777" w:rsidR="00B628C8" w:rsidRDefault="00B628C8" w:rsidP="00B628C8">
      <w:pPr>
        <w:pStyle w:val="Listeafsnit"/>
        <w:numPr>
          <w:ilvl w:val="1"/>
          <w:numId w:val="9"/>
        </w:numPr>
        <w:tabs>
          <w:tab w:val="left" w:pos="284"/>
        </w:tabs>
        <w:ind w:left="284" w:hanging="284"/>
        <w:rPr>
          <w:sz w:val="18"/>
          <w:szCs w:val="18"/>
        </w:rPr>
      </w:pPr>
      <w:r>
        <w:rPr>
          <w:sz w:val="18"/>
          <w:szCs w:val="18"/>
        </w:rPr>
        <w:t>P-værdien er baseret på en log-rank-test stratificeret efter ECOG-funktionsscore (0-1 ift.</w:t>
      </w:r>
      <w:r>
        <w:rPr>
          <w:spacing w:val="-8"/>
          <w:sz w:val="18"/>
          <w:szCs w:val="18"/>
        </w:rPr>
        <w:t xml:space="preserve"> </w:t>
      </w:r>
      <w:r>
        <w:rPr>
          <w:sz w:val="18"/>
          <w:szCs w:val="18"/>
        </w:rPr>
        <w:t>2) og gennemsnitlig smertescore (&lt;4 ift. ≥4).</w:t>
      </w:r>
    </w:p>
    <w:p w14:paraId="5F8BF0CF" w14:textId="77777777" w:rsidR="00B628C8" w:rsidRDefault="00B628C8" w:rsidP="00B628C8">
      <w:pPr>
        <w:pStyle w:val="Listeafsnit"/>
        <w:numPr>
          <w:ilvl w:val="1"/>
          <w:numId w:val="9"/>
        </w:numPr>
        <w:tabs>
          <w:tab w:val="left" w:pos="284"/>
        </w:tabs>
        <w:ind w:left="284" w:hanging="284"/>
        <w:rPr>
          <w:sz w:val="18"/>
          <w:szCs w:val="18"/>
        </w:rPr>
      </w:pPr>
      <w:r>
        <w:rPr>
          <w:i/>
          <w:sz w:val="18"/>
          <w:szCs w:val="18"/>
        </w:rPr>
        <w:t xml:space="preserve">Hazard </w:t>
      </w:r>
      <w:r>
        <w:rPr>
          <w:i/>
          <w:iCs/>
          <w:sz w:val="18"/>
          <w:szCs w:val="18"/>
        </w:rPr>
        <w:t>ratio</w:t>
      </w:r>
      <w:r>
        <w:rPr>
          <w:sz w:val="18"/>
          <w:szCs w:val="18"/>
        </w:rPr>
        <w:t xml:space="preserve"> er baseret på en stratificeret proportional </w:t>
      </w:r>
      <w:r>
        <w:rPr>
          <w:i/>
          <w:sz w:val="18"/>
          <w:szCs w:val="18"/>
        </w:rPr>
        <w:t>hazards</w:t>
      </w:r>
      <w:r>
        <w:rPr>
          <w:sz w:val="18"/>
          <w:szCs w:val="18"/>
        </w:rPr>
        <w:t xml:space="preserve">-model. En </w:t>
      </w:r>
      <w:r>
        <w:rPr>
          <w:i/>
          <w:sz w:val="18"/>
          <w:szCs w:val="18"/>
        </w:rPr>
        <w:t xml:space="preserve">Hazard </w:t>
      </w:r>
      <w:r>
        <w:rPr>
          <w:i/>
          <w:iCs/>
          <w:sz w:val="18"/>
          <w:szCs w:val="18"/>
        </w:rPr>
        <w:t>ratio</w:t>
      </w:r>
      <w:r>
        <w:rPr>
          <w:sz w:val="18"/>
          <w:szCs w:val="18"/>
        </w:rPr>
        <w:t xml:space="preserve"> &lt;1 favoriserer enzalutamid.</w:t>
      </w:r>
    </w:p>
    <w:p w14:paraId="16A20C7E" w14:textId="77777777" w:rsidR="00B628C8" w:rsidRPr="00EE2DA3" w:rsidRDefault="00B628C8" w:rsidP="00EE2DA3">
      <w:pPr>
        <w:ind w:left="993" w:hanging="993"/>
        <w:rPr>
          <w:sz w:val="24"/>
          <w:szCs w:val="24"/>
        </w:rPr>
      </w:pPr>
    </w:p>
    <w:p w14:paraId="61C608B3" w14:textId="6E03ACF7" w:rsidR="00B628C8" w:rsidRPr="00EE2DA3" w:rsidRDefault="00B628C8" w:rsidP="00EE2DA3">
      <w:pPr>
        <w:ind w:left="1134" w:hanging="1134"/>
        <w:rPr>
          <w:b/>
          <w:sz w:val="24"/>
          <w:szCs w:val="24"/>
        </w:rPr>
      </w:pPr>
      <w:r w:rsidRPr="00EE2DA3">
        <w:rPr>
          <w:b/>
          <w:sz w:val="24"/>
          <w:szCs w:val="24"/>
        </w:rPr>
        <w:t>Figur 12:</w:t>
      </w:r>
      <w:r w:rsidR="00EE2DA3">
        <w:rPr>
          <w:b/>
          <w:sz w:val="24"/>
          <w:szCs w:val="24"/>
        </w:rPr>
        <w:tab/>
      </w:r>
      <w:r w:rsidRPr="00EE2DA3">
        <w:rPr>
          <w:b/>
          <w:sz w:val="24"/>
          <w:szCs w:val="24"/>
        </w:rPr>
        <w:t>Kaplan-Meier-kurver for samlet overlevelse i AFFIRM-studiet (</w:t>
      </w:r>
      <w:r w:rsidRPr="00EE2DA3">
        <w:rPr>
          <w:b/>
          <w:i/>
          <w:sz w:val="24"/>
          <w:szCs w:val="24"/>
        </w:rPr>
        <w:t>intent-to-treat</w:t>
      </w:r>
      <w:r w:rsidRPr="00EE2DA3">
        <w:rPr>
          <w:b/>
          <w:sz w:val="24"/>
          <w:szCs w:val="24"/>
        </w:rPr>
        <w:t>-analyse)</w:t>
      </w:r>
    </w:p>
    <w:p w14:paraId="0548AD72" w14:textId="77777777" w:rsidR="00B628C8" w:rsidRDefault="00B628C8" w:rsidP="00B628C8">
      <w:pPr>
        <w:pStyle w:val="Brdtekst"/>
        <w:rPr>
          <w:sz w:val="20"/>
        </w:rPr>
      </w:pPr>
    </w:p>
    <w:p w14:paraId="5032AFE7" w14:textId="5DCB5881" w:rsidR="00B628C8" w:rsidRDefault="00B628C8" w:rsidP="00B628C8">
      <w:pPr>
        <w:pStyle w:val="Brdtekst"/>
        <w:rPr>
          <w:sz w:val="25"/>
        </w:rPr>
      </w:pPr>
      <w:r>
        <w:rPr>
          <w:noProof/>
        </w:rPr>
        <w:drawing>
          <wp:inline distT="0" distB="0" distL="0" distR="0" wp14:anchorId="631619A3" wp14:editId="279B0B6E">
            <wp:extent cx="5600700" cy="43307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0700" cy="4330700"/>
                    </a:xfrm>
                    <a:prstGeom prst="rect">
                      <a:avLst/>
                    </a:prstGeom>
                    <a:noFill/>
                    <a:ln>
                      <a:noFill/>
                    </a:ln>
                  </pic:spPr>
                </pic:pic>
              </a:graphicData>
            </a:graphic>
          </wp:inline>
        </w:drawing>
      </w:r>
    </w:p>
    <w:p w14:paraId="5D0F3769" w14:textId="1DEF895E" w:rsidR="00896742" w:rsidRDefault="00896742">
      <w:pPr>
        <w:rPr>
          <w:sz w:val="25"/>
          <w:szCs w:val="22"/>
        </w:rPr>
      </w:pPr>
      <w:r>
        <w:rPr>
          <w:sz w:val="25"/>
        </w:rPr>
        <w:br w:type="page"/>
      </w:r>
    </w:p>
    <w:p w14:paraId="0975A93A" w14:textId="77777777" w:rsidR="00EE2DA3" w:rsidRDefault="00EE2DA3" w:rsidP="00B628C8">
      <w:pPr>
        <w:pStyle w:val="Brdtekst"/>
        <w:rPr>
          <w:sz w:val="25"/>
        </w:rPr>
      </w:pPr>
    </w:p>
    <w:p w14:paraId="7D993CB5" w14:textId="77777777" w:rsidR="00896742" w:rsidRDefault="00B628C8" w:rsidP="007C1A29">
      <w:pPr>
        <w:ind w:left="1134" w:hanging="1134"/>
        <w:rPr>
          <w:b/>
          <w:sz w:val="24"/>
          <w:szCs w:val="24"/>
        </w:rPr>
      </w:pPr>
      <w:r w:rsidRPr="007C1A29">
        <w:rPr>
          <w:b/>
          <w:sz w:val="24"/>
          <w:szCs w:val="24"/>
        </w:rPr>
        <w:t>Figur 13:</w:t>
      </w:r>
      <w:r w:rsidR="007C1A29">
        <w:rPr>
          <w:b/>
          <w:sz w:val="24"/>
          <w:szCs w:val="24"/>
        </w:rPr>
        <w:tab/>
      </w:r>
      <w:r w:rsidRPr="007C1A29">
        <w:rPr>
          <w:b/>
          <w:sz w:val="24"/>
          <w:szCs w:val="24"/>
        </w:rPr>
        <w:t xml:space="preserve">Samlet overlevelse baseret på undergruppe i AFFIRM-studiet – </w:t>
      </w:r>
      <w:r w:rsidRPr="007C1A29">
        <w:rPr>
          <w:b/>
          <w:i/>
          <w:sz w:val="24"/>
          <w:szCs w:val="24"/>
        </w:rPr>
        <w:t xml:space="preserve">Hazard </w:t>
      </w:r>
      <w:r w:rsidRPr="007C1A29">
        <w:rPr>
          <w:b/>
          <w:i/>
          <w:iCs/>
          <w:sz w:val="24"/>
          <w:szCs w:val="24"/>
        </w:rPr>
        <w:t>ratio</w:t>
      </w:r>
      <w:r w:rsidRPr="007C1A29">
        <w:rPr>
          <w:b/>
          <w:sz w:val="24"/>
          <w:szCs w:val="24"/>
        </w:rPr>
        <w:t xml:space="preserve"> og</w:t>
      </w:r>
    </w:p>
    <w:p w14:paraId="7D4F1AF8" w14:textId="02727FB0" w:rsidR="00B628C8" w:rsidRPr="007C1A29" w:rsidRDefault="00B628C8" w:rsidP="00896742">
      <w:pPr>
        <w:ind w:left="1134"/>
        <w:rPr>
          <w:b/>
          <w:sz w:val="24"/>
          <w:szCs w:val="24"/>
        </w:rPr>
      </w:pPr>
      <w:r w:rsidRPr="007C1A29">
        <w:rPr>
          <w:b/>
          <w:sz w:val="24"/>
          <w:szCs w:val="24"/>
        </w:rPr>
        <w:t>95 % konfidensinterval</w:t>
      </w:r>
    </w:p>
    <w:p w14:paraId="5ECA87EA" w14:textId="70EC2BFF" w:rsidR="00B628C8" w:rsidRDefault="00B628C8" w:rsidP="00B628C8">
      <w:pPr>
        <w:pStyle w:val="Overskrift1"/>
      </w:pPr>
      <w:r>
        <w:rPr>
          <w:noProof/>
        </w:rPr>
        <w:drawing>
          <wp:inline distT="0" distB="0" distL="0" distR="0" wp14:anchorId="61E25D8D" wp14:editId="744407CD">
            <wp:extent cx="5759450" cy="371475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3714750"/>
                    </a:xfrm>
                    <a:prstGeom prst="rect">
                      <a:avLst/>
                    </a:prstGeom>
                    <a:noFill/>
                    <a:ln>
                      <a:noFill/>
                    </a:ln>
                  </pic:spPr>
                </pic:pic>
              </a:graphicData>
            </a:graphic>
          </wp:inline>
        </w:drawing>
      </w:r>
    </w:p>
    <w:p w14:paraId="1ACD0489" w14:textId="77777777" w:rsidR="00B628C8" w:rsidRDefault="00B628C8" w:rsidP="00B628C8">
      <w:pPr>
        <w:pStyle w:val="Brdtekst"/>
        <w:rPr>
          <w:b/>
          <w:sz w:val="13"/>
        </w:rPr>
      </w:pPr>
    </w:p>
    <w:p w14:paraId="4633BE28" w14:textId="77777777" w:rsidR="00B628C8" w:rsidRDefault="00B628C8" w:rsidP="00B628C8">
      <w:pPr>
        <w:rPr>
          <w:sz w:val="18"/>
          <w:lang w:val="en-US"/>
        </w:rPr>
      </w:pPr>
      <w:r>
        <w:rPr>
          <w:sz w:val="18"/>
          <w:lang w:val="en-US"/>
        </w:rPr>
        <w:t xml:space="preserve">ECOG: </w:t>
      </w:r>
      <w:r>
        <w:rPr>
          <w:i/>
          <w:sz w:val="18"/>
          <w:lang w:val="en-US"/>
        </w:rPr>
        <w:t>Eastern Cooperative Oncology Group</w:t>
      </w:r>
      <w:r>
        <w:rPr>
          <w:sz w:val="18"/>
          <w:lang w:val="en-US"/>
        </w:rPr>
        <w:t xml:space="preserve">, BPI-SF: </w:t>
      </w:r>
      <w:r>
        <w:rPr>
          <w:i/>
          <w:sz w:val="18"/>
          <w:lang w:val="en-US"/>
        </w:rPr>
        <w:t>Brief Pain Inventory-Short Form</w:t>
      </w:r>
      <w:r>
        <w:rPr>
          <w:sz w:val="18"/>
          <w:lang w:val="en-US"/>
        </w:rPr>
        <w:t>, PSA: Prostataspecifikt antigen</w:t>
      </w:r>
    </w:p>
    <w:p w14:paraId="4A12DBD3" w14:textId="77777777" w:rsidR="00B628C8" w:rsidRPr="00B628C8" w:rsidRDefault="00B628C8" w:rsidP="00B628C8">
      <w:pPr>
        <w:pStyle w:val="Brdtekst"/>
        <w:ind w:left="851"/>
        <w:rPr>
          <w:sz w:val="24"/>
          <w:szCs w:val="24"/>
          <w:lang w:val="en-US"/>
        </w:rPr>
      </w:pPr>
    </w:p>
    <w:p w14:paraId="5087F894" w14:textId="77777777" w:rsidR="00B628C8" w:rsidRPr="00B628C8" w:rsidRDefault="00B628C8" w:rsidP="00B628C8">
      <w:pPr>
        <w:pStyle w:val="Brdtekst"/>
        <w:ind w:left="851"/>
        <w:rPr>
          <w:sz w:val="24"/>
          <w:szCs w:val="24"/>
        </w:rPr>
      </w:pPr>
      <w:r w:rsidRPr="00B628C8">
        <w:rPr>
          <w:sz w:val="24"/>
          <w:szCs w:val="24"/>
        </w:rPr>
        <w:t>Ud over den observerede forbedring i samlet overlevelse favoriserede centrale sekundære endepunkter (PSA-progression, radiografisk progressionsfri overlevelse og tid indtil første skeletrelaterede hændelse) enzalutamid, og de var desuden statistisk signifikante efter justering for multipel testning.</w:t>
      </w:r>
    </w:p>
    <w:p w14:paraId="0B58382F" w14:textId="77777777" w:rsidR="00B628C8" w:rsidRPr="00B628C8" w:rsidRDefault="00B628C8" w:rsidP="00B628C8">
      <w:pPr>
        <w:pStyle w:val="Brdtekst"/>
        <w:ind w:left="851"/>
        <w:rPr>
          <w:sz w:val="24"/>
          <w:szCs w:val="24"/>
        </w:rPr>
      </w:pPr>
    </w:p>
    <w:p w14:paraId="52702490" w14:textId="77777777" w:rsidR="00B628C8" w:rsidRPr="00B628C8" w:rsidRDefault="00B628C8" w:rsidP="00B628C8">
      <w:pPr>
        <w:pStyle w:val="Brdtekst"/>
        <w:ind w:left="851"/>
        <w:rPr>
          <w:sz w:val="24"/>
          <w:szCs w:val="24"/>
        </w:rPr>
      </w:pPr>
      <w:r w:rsidRPr="00B628C8">
        <w:rPr>
          <w:sz w:val="24"/>
          <w:szCs w:val="24"/>
        </w:rPr>
        <w:t>Radiografisk progressionsfri overlevelse som vurderet af investigatoren ved anvendelse af RECIST v1.1 for bløddele og forekomst af 2 eller flere knoglelæsioner ved knoglescanning var 8,3 måneder for patienter behandlet med enzalutamid og 2,9 måneder for patienter, som modtog placebo [HR = 0,40 (95 % CI: 0,35, 0,47), p &lt;0,0001]. Analysen omfattede 216 dødsfald uden dokumenteret progression og 645 dokumenterede progressionshændelser, hvoraf 303 (47 %) skyldtes bløddelsprogression, 268 (42 %) skyldtes knoglelæsionsprogression og 74 (11 %) skyldtes både bløddels- og knoglelæsioner.</w:t>
      </w:r>
    </w:p>
    <w:p w14:paraId="333778B6" w14:textId="77777777" w:rsidR="00B628C8" w:rsidRPr="00B628C8" w:rsidRDefault="00B628C8" w:rsidP="00B628C8">
      <w:pPr>
        <w:pStyle w:val="Brdtekst"/>
        <w:ind w:left="851"/>
        <w:rPr>
          <w:sz w:val="24"/>
          <w:szCs w:val="24"/>
        </w:rPr>
      </w:pPr>
    </w:p>
    <w:p w14:paraId="721EB422" w14:textId="77777777" w:rsidR="00B628C8" w:rsidRPr="00B628C8" w:rsidRDefault="00B628C8" w:rsidP="00B628C8">
      <w:pPr>
        <w:pStyle w:val="Brdtekst"/>
        <w:ind w:left="851"/>
        <w:rPr>
          <w:sz w:val="24"/>
          <w:szCs w:val="24"/>
        </w:rPr>
      </w:pPr>
      <w:r w:rsidRPr="00B628C8">
        <w:rPr>
          <w:sz w:val="24"/>
          <w:szCs w:val="24"/>
        </w:rPr>
        <w:t>Bekræftet PSA-fald på 50 % eller 90 % var henholdsvis 54,0 % og 24,8 % for patienter behandlet med enzalutamid og henholdsvis 1,5 % og 0,9 % for patienter, som modtog placebo (p &lt;0,0001). Mediantiden indtil PSA-progression var 8,3 måneder for patienter behandlet med enzalutamid og 3,0 måneder for patienter, som modtog placebo [HR = 0,25 (95 % CI: 0,20, 0,30), p &lt;0,0001].</w:t>
      </w:r>
    </w:p>
    <w:p w14:paraId="1EF16A46" w14:textId="77777777" w:rsidR="00B628C8" w:rsidRPr="00B628C8" w:rsidRDefault="00B628C8" w:rsidP="00B628C8">
      <w:pPr>
        <w:pStyle w:val="Brdtekst"/>
        <w:ind w:left="851"/>
        <w:rPr>
          <w:sz w:val="24"/>
          <w:szCs w:val="24"/>
        </w:rPr>
      </w:pPr>
    </w:p>
    <w:p w14:paraId="2E86C4E4" w14:textId="77777777" w:rsidR="00B628C8" w:rsidRPr="00B628C8" w:rsidRDefault="00B628C8" w:rsidP="00B628C8">
      <w:pPr>
        <w:pStyle w:val="Brdtekst"/>
        <w:ind w:left="851"/>
        <w:rPr>
          <w:sz w:val="24"/>
          <w:szCs w:val="24"/>
        </w:rPr>
      </w:pPr>
      <w:r w:rsidRPr="00B628C8">
        <w:rPr>
          <w:sz w:val="24"/>
          <w:szCs w:val="24"/>
        </w:rPr>
        <w:t xml:space="preserve">Mediantiden indtil første skeletrelaterede hændelse var 16,7 måneder for patienter behandlet med enzalutamid og 13,3 måneder for patienter, som modtog placebo [HR = 0,69 (95 % CI: 0,57, 0,84), p &lt;0,0001]. En skeletrelateret hændelse blev defineret som strålebehandling af knogler eller knoglekirurgi, patologisk knoglefraktur, </w:t>
      </w:r>
      <w:r w:rsidRPr="00B628C8">
        <w:rPr>
          <w:sz w:val="24"/>
          <w:szCs w:val="24"/>
        </w:rPr>
        <w:lastRenderedPageBreak/>
        <w:t>rygmarvskompression eller ændring af antineoplastisk behandling med henblik på behandling af knoglesmerter. Analysen omfattede 448 skeletrelaterede hændelser, hvoraf 277 (62 %) var strålebehandling af knogler, 95 (21 %) var rygmarvskompression, 47 (10 %) var patologisk knoglefraktur, 36 (8 %) var ændring i antineoplastisk behandling med henblik på behandling af knoglesmerter og 7 (2 %) var knoglekirurgi.</w:t>
      </w:r>
    </w:p>
    <w:p w14:paraId="033C20EB" w14:textId="77777777" w:rsidR="00B628C8" w:rsidRPr="00B628C8" w:rsidRDefault="00B628C8" w:rsidP="00B628C8">
      <w:pPr>
        <w:pStyle w:val="Brdtekst"/>
        <w:ind w:left="851"/>
        <w:rPr>
          <w:sz w:val="24"/>
          <w:szCs w:val="24"/>
        </w:rPr>
      </w:pPr>
    </w:p>
    <w:p w14:paraId="34C792CA" w14:textId="77777777" w:rsidR="00B628C8" w:rsidRPr="00B628C8" w:rsidRDefault="00B628C8" w:rsidP="00B628C8">
      <w:pPr>
        <w:ind w:left="851"/>
        <w:rPr>
          <w:i/>
          <w:sz w:val="24"/>
          <w:szCs w:val="24"/>
          <w:lang w:val="sv-SE"/>
        </w:rPr>
      </w:pPr>
      <w:r w:rsidRPr="00B628C8">
        <w:rPr>
          <w:i/>
          <w:sz w:val="24"/>
          <w:szCs w:val="24"/>
          <w:lang w:val="sv-SE"/>
        </w:rPr>
        <w:t>9785-CL-0410 studie (enzalutamid post abirateron hos patienter med metastatisk CRPC)</w:t>
      </w:r>
    </w:p>
    <w:p w14:paraId="1611B5AB" w14:textId="77777777" w:rsidR="00B628C8" w:rsidRPr="00B628C8" w:rsidRDefault="00B628C8" w:rsidP="00B628C8">
      <w:pPr>
        <w:pStyle w:val="Brdtekst"/>
        <w:ind w:left="851"/>
        <w:rPr>
          <w:sz w:val="24"/>
          <w:szCs w:val="24"/>
        </w:rPr>
      </w:pPr>
      <w:r w:rsidRPr="00B628C8">
        <w:rPr>
          <w:sz w:val="24"/>
          <w:szCs w:val="24"/>
          <w:lang w:val="sv-SE"/>
        </w:rPr>
        <w:t xml:space="preserve">Studiet var et enkeltarmet studie med 214 patienter med progressiv metastatisk CRPC, der fik enzalutamid (160 mg en gang daglig) efter mindst 24 ugers behandling med abirateronacetat plus prednison. Median rPFS (radiologisk progressionsfri overlevelse, studiets primære endepunkt) var 8,1 måneder (95 % CI: 6,1, 8,3). Median samlet overlevelse (OS) blev ikke nået. PSA-respons (defineret som ≥ 50 % reduktion fra </w:t>
      </w:r>
      <w:r w:rsidRPr="00B628C8">
        <w:rPr>
          <w:i/>
          <w:sz w:val="24"/>
          <w:szCs w:val="24"/>
          <w:lang w:val="sv-SE"/>
        </w:rPr>
        <w:t>baseline</w:t>
      </w:r>
      <w:r w:rsidRPr="00B628C8">
        <w:rPr>
          <w:sz w:val="24"/>
          <w:szCs w:val="24"/>
          <w:lang w:val="sv-SE"/>
        </w:rPr>
        <w:t xml:space="preserve">) var 22,4 % (95 % CI: 17,0, 28,6). </w:t>
      </w:r>
      <w:r w:rsidRPr="00B628C8">
        <w:rPr>
          <w:sz w:val="24"/>
          <w:szCs w:val="24"/>
        </w:rPr>
        <w:t>For de 69 patienter, der tidligere modtog kemoterapi, var median rPFS 7,9 måneder (95 % CI: 5,5, 10,8). PSA-respons var 23,2 % (95 % CI: 13,9, 34,9). For de 145 patienter, der ikke tidligere havde modtaget kemoterapi, var median rPFS 8,1 måneder (95 % CI: 5,7, 8,3). PSA-respons var 22,1 % (95 % CI: 15,6, 29,7).</w:t>
      </w:r>
    </w:p>
    <w:p w14:paraId="407327A1" w14:textId="77777777" w:rsidR="00B628C8" w:rsidRPr="00B628C8" w:rsidRDefault="00B628C8" w:rsidP="00B628C8">
      <w:pPr>
        <w:pStyle w:val="Brdtekst"/>
        <w:ind w:left="851"/>
        <w:rPr>
          <w:sz w:val="24"/>
          <w:szCs w:val="24"/>
        </w:rPr>
      </w:pPr>
    </w:p>
    <w:p w14:paraId="1CC42268" w14:textId="77777777" w:rsidR="00B628C8" w:rsidRPr="00B628C8" w:rsidRDefault="00B628C8" w:rsidP="00B628C8">
      <w:pPr>
        <w:pStyle w:val="Brdtekst"/>
        <w:ind w:left="851"/>
        <w:rPr>
          <w:sz w:val="24"/>
          <w:szCs w:val="24"/>
        </w:rPr>
      </w:pPr>
      <w:r w:rsidRPr="00B628C8">
        <w:rPr>
          <w:sz w:val="24"/>
          <w:szCs w:val="24"/>
        </w:rPr>
        <w:t>Selv om der hos nogle patienter var et begrænset respons fra behandling med enzalutamid efter abirateron, er årsagen til dette fund på nuværende tidspunkt ukendt. Studiedesignet kunne hverken identificere hvilke patienter, behandlingen sandsynligvis vil gavne, eller den rækkefølge, hvori enzalutamid og abirateron optimalt bør administreres.</w:t>
      </w:r>
    </w:p>
    <w:p w14:paraId="2B68BE3C" w14:textId="77777777" w:rsidR="00B628C8" w:rsidRPr="00B628C8" w:rsidRDefault="00B628C8" w:rsidP="00B628C8">
      <w:pPr>
        <w:pStyle w:val="Brdtekst"/>
        <w:ind w:left="851"/>
        <w:rPr>
          <w:sz w:val="24"/>
          <w:szCs w:val="24"/>
        </w:rPr>
      </w:pPr>
    </w:p>
    <w:p w14:paraId="6C56BE17" w14:textId="77777777" w:rsidR="00B628C8" w:rsidRPr="00B628C8" w:rsidRDefault="00B628C8" w:rsidP="00B628C8">
      <w:pPr>
        <w:pStyle w:val="Brdtekst"/>
        <w:ind w:left="851"/>
        <w:rPr>
          <w:sz w:val="24"/>
          <w:szCs w:val="24"/>
        </w:rPr>
      </w:pPr>
      <w:r w:rsidRPr="00B628C8">
        <w:rPr>
          <w:sz w:val="24"/>
          <w:szCs w:val="24"/>
          <w:u w:val="single"/>
        </w:rPr>
        <w:t>Ældre</w:t>
      </w:r>
    </w:p>
    <w:p w14:paraId="56C75E55" w14:textId="77777777" w:rsidR="00B628C8" w:rsidRPr="00B628C8" w:rsidRDefault="00B628C8" w:rsidP="00B628C8">
      <w:pPr>
        <w:pStyle w:val="Brdtekst"/>
        <w:ind w:left="851"/>
        <w:rPr>
          <w:sz w:val="24"/>
          <w:szCs w:val="24"/>
        </w:rPr>
      </w:pPr>
      <w:r w:rsidRPr="00B628C8">
        <w:rPr>
          <w:sz w:val="24"/>
          <w:szCs w:val="24"/>
        </w:rPr>
        <w:t>Af de 5.110 patienter i de klinisk kontrollerede studier, der fik enzalutamid, var 3.988 patienter (78 %) 65 år og derover, og 1.703 patienter (33 %) var 75 år og derover. Der observeredes ingen forskelle i sikkerhed eller effekt mellem ældre og yngre patienter.</w:t>
      </w:r>
    </w:p>
    <w:p w14:paraId="397AC4F6" w14:textId="77777777" w:rsidR="00B628C8" w:rsidRPr="00B628C8" w:rsidRDefault="00B628C8" w:rsidP="00B628C8">
      <w:pPr>
        <w:pStyle w:val="Brdtekst"/>
        <w:ind w:left="851"/>
        <w:rPr>
          <w:sz w:val="24"/>
          <w:szCs w:val="24"/>
        </w:rPr>
      </w:pPr>
    </w:p>
    <w:p w14:paraId="35E2E24A" w14:textId="77777777" w:rsidR="00B628C8" w:rsidRPr="00B628C8" w:rsidRDefault="00B628C8" w:rsidP="00B628C8">
      <w:pPr>
        <w:pStyle w:val="Brdtekst"/>
        <w:ind w:left="851"/>
        <w:jc w:val="both"/>
        <w:rPr>
          <w:sz w:val="24"/>
          <w:szCs w:val="24"/>
        </w:rPr>
      </w:pPr>
      <w:r w:rsidRPr="00B628C8">
        <w:rPr>
          <w:sz w:val="24"/>
          <w:szCs w:val="24"/>
          <w:u w:val="single"/>
        </w:rPr>
        <w:t>Pædiatrisk population</w:t>
      </w:r>
    </w:p>
    <w:p w14:paraId="5C101150" w14:textId="77777777" w:rsidR="00B628C8" w:rsidRPr="00B628C8" w:rsidRDefault="00B628C8" w:rsidP="00B628C8">
      <w:pPr>
        <w:pStyle w:val="Brdtekst"/>
        <w:ind w:left="851"/>
        <w:jc w:val="both"/>
        <w:rPr>
          <w:sz w:val="24"/>
          <w:szCs w:val="24"/>
        </w:rPr>
      </w:pPr>
      <w:r w:rsidRPr="00B628C8">
        <w:rPr>
          <w:sz w:val="24"/>
          <w:szCs w:val="24"/>
        </w:rPr>
        <w:t>Det Europæiske Lægemiddelagentur har dispenseret fra kravet om at fremlægge resultaterne af studier med enzalutamid i alle undergrupper af den pædiatriske population ved prostatakarcinom (se pkt. 4.2 for information om pædiatrisk anvendelse).</w:t>
      </w:r>
    </w:p>
    <w:p w14:paraId="20A2B387" w14:textId="77777777" w:rsidR="009260DE" w:rsidRPr="00B628C8" w:rsidRDefault="009260DE" w:rsidP="00B628C8">
      <w:pPr>
        <w:tabs>
          <w:tab w:val="left" w:pos="851"/>
        </w:tabs>
        <w:ind w:left="851"/>
        <w:rPr>
          <w:sz w:val="24"/>
          <w:szCs w:val="24"/>
        </w:rPr>
      </w:pPr>
    </w:p>
    <w:p w14:paraId="1CCE0076"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4353C844" w14:textId="77777777" w:rsidR="00360D7C" w:rsidRPr="00360D7C" w:rsidRDefault="00360D7C" w:rsidP="00360D7C">
      <w:pPr>
        <w:tabs>
          <w:tab w:val="left" w:pos="851"/>
        </w:tabs>
        <w:ind w:left="851"/>
        <w:rPr>
          <w:sz w:val="24"/>
          <w:szCs w:val="24"/>
        </w:rPr>
      </w:pPr>
      <w:r w:rsidRPr="00360D7C">
        <w:rPr>
          <w:sz w:val="24"/>
          <w:szCs w:val="24"/>
        </w:rPr>
        <w:t xml:space="preserve">Enzalutamid opløses ikke nemt i vand. Opløseligheden af enzalutamid øges af </w:t>
      </w:r>
      <w:bookmarkStart w:id="3" w:name="_Hlk204002694"/>
      <w:r w:rsidRPr="00360D7C">
        <w:rPr>
          <w:sz w:val="24"/>
          <w:szCs w:val="24"/>
        </w:rPr>
        <w:t xml:space="preserve">caprylocaproylmacrogolglycerider </w:t>
      </w:r>
      <w:bookmarkEnd w:id="3"/>
      <w:r w:rsidRPr="00360D7C">
        <w:rPr>
          <w:sz w:val="24"/>
          <w:szCs w:val="24"/>
        </w:rPr>
        <w:t xml:space="preserve">som emulgator/overfladeaktivt stof. I prækliniske studier blev absorptionen af enzalutamid øget, når det blev opløst i </w:t>
      </w:r>
      <w:bookmarkStart w:id="4" w:name="_Hlk204002699"/>
      <w:r w:rsidRPr="00360D7C">
        <w:rPr>
          <w:sz w:val="24"/>
          <w:szCs w:val="24"/>
        </w:rPr>
        <w:t>caprylocaproylmacrogolglycerider</w:t>
      </w:r>
      <w:bookmarkEnd w:id="4"/>
      <w:r w:rsidRPr="00360D7C">
        <w:rPr>
          <w:sz w:val="24"/>
          <w:szCs w:val="24"/>
        </w:rPr>
        <w:t>.</w:t>
      </w:r>
    </w:p>
    <w:p w14:paraId="0036A476" w14:textId="77777777" w:rsidR="00360D7C" w:rsidRPr="00360D7C" w:rsidRDefault="00360D7C" w:rsidP="00360D7C">
      <w:pPr>
        <w:tabs>
          <w:tab w:val="left" w:pos="851"/>
        </w:tabs>
        <w:ind w:left="851"/>
        <w:rPr>
          <w:sz w:val="24"/>
          <w:szCs w:val="24"/>
        </w:rPr>
      </w:pPr>
    </w:p>
    <w:p w14:paraId="4B4FE87B" w14:textId="77777777" w:rsidR="00360D7C" w:rsidRPr="00360D7C" w:rsidRDefault="00360D7C" w:rsidP="00360D7C">
      <w:pPr>
        <w:tabs>
          <w:tab w:val="left" w:pos="851"/>
        </w:tabs>
        <w:ind w:left="851"/>
        <w:rPr>
          <w:sz w:val="24"/>
          <w:szCs w:val="24"/>
        </w:rPr>
      </w:pPr>
      <w:r w:rsidRPr="00360D7C">
        <w:rPr>
          <w:sz w:val="24"/>
          <w:szCs w:val="24"/>
        </w:rPr>
        <w:t xml:space="preserve">Enzalutamids farmakokinetik er evalueret hos prostatacancerpatienter og hos raske mandlige forsøgspersoner. Den gennemsnitlige terminale halveringstid (t1/2) for enzalutamid hos patienter efter en oral enkeltdosis er 5,8 dage (interval 2,8 til 10,2 dage), og </w:t>
      </w:r>
      <w:r w:rsidRPr="00360D7C">
        <w:rPr>
          <w:i/>
          <w:sz w:val="24"/>
          <w:szCs w:val="24"/>
        </w:rPr>
        <w:t>steady state</w:t>
      </w:r>
      <w:r w:rsidRPr="00360D7C">
        <w:rPr>
          <w:sz w:val="24"/>
          <w:szCs w:val="24"/>
        </w:rPr>
        <w:t xml:space="preserve"> opnås inden for ca. en måned. Ved daglig oral administration akkumuleres enzalutamid med en faktor ca. 8,3 i forhold til en enkeltdosis. De daglige udsving i plasmakoncentrationerne er små (variationerne mellem laveste og højeste koncentration (peak/trough-ratio) er 1,25). Clearance af enzalutamid sker primært via hepatisk metabolisme, hvorved der produceres en aktiv metabolit, der er lige så aktiv som enzalutamid og cirkulerer i ca. samme plasmakoncentration som enzalutamid.</w:t>
      </w:r>
    </w:p>
    <w:p w14:paraId="53969791" w14:textId="137939E6" w:rsidR="00360D7C" w:rsidRDefault="00360D7C">
      <w:pPr>
        <w:rPr>
          <w:sz w:val="24"/>
          <w:szCs w:val="24"/>
        </w:rPr>
      </w:pPr>
      <w:r>
        <w:rPr>
          <w:sz w:val="24"/>
          <w:szCs w:val="24"/>
        </w:rPr>
        <w:br w:type="page"/>
      </w:r>
    </w:p>
    <w:p w14:paraId="2CAEE221" w14:textId="77777777" w:rsidR="00360D7C" w:rsidRPr="00360D7C" w:rsidRDefault="00360D7C" w:rsidP="00360D7C">
      <w:pPr>
        <w:tabs>
          <w:tab w:val="left" w:pos="851"/>
        </w:tabs>
        <w:ind w:left="851"/>
        <w:rPr>
          <w:sz w:val="24"/>
          <w:szCs w:val="24"/>
        </w:rPr>
      </w:pPr>
    </w:p>
    <w:p w14:paraId="53417895" w14:textId="77777777" w:rsidR="00360D7C" w:rsidRPr="00360D7C" w:rsidRDefault="00360D7C" w:rsidP="00360D7C">
      <w:pPr>
        <w:tabs>
          <w:tab w:val="left" w:pos="851"/>
        </w:tabs>
        <w:ind w:left="851"/>
        <w:rPr>
          <w:sz w:val="24"/>
          <w:szCs w:val="24"/>
        </w:rPr>
      </w:pPr>
      <w:r w:rsidRPr="00360D7C">
        <w:rPr>
          <w:sz w:val="24"/>
          <w:szCs w:val="24"/>
          <w:u w:val="single"/>
        </w:rPr>
        <w:t>Absorption</w:t>
      </w:r>
    </w:p>
    <w:p w14:paraId="11BBBCFB" w14:textId="77777777" w:rsidR="00360D7C" w:rsidRPr="00360D7C" w:rsidRDefault="00360D7C" w:rsidP="00360D7C">
      <w:pPr>
        <w:tabs>
          <w:tab w:val="left" w:pos="851"/>
        </w:tabs>
        <w:ind w:left="851"/>
        <w:rPr>
          <w:sz w:val="24"/>
          <w:szCs w:val="24"/>
        </w:rPr>
      </w:pPr>
      <w:r w:rsidRPr="00360D7C">
        <w:rPr>
          <w:sz w:val="24"/>
          <w:szCs w:val="24"/>
        </w:rPr>
        <w:t xml:space="preserve">Oral absorption af enzalutamid filmovertrukne tabletter blev vurderet hos raske mandlige forsøgspersoner efter en enkelt dosis af 160 mg enzalutamid filmovertrukne tabletter, og farmakokinetisk modellering og simulering blev anvendt til at forudsige den farmakokinetiske profil ved </w:t>
      </w:r>
      <w:r w:rsidRPr="00360D7C">
        <w:rPr>
          <w:i/>
          <w:iCs/>
          <w:sz w:val="24"/>
          <w:szCs w:val="24"/>
        </w:rPr>
        <w:t>steady state</w:t>
      </w:r>
      <w:r w:rsidRPr="00360D7C">
        <w:rPr>
          <w:sz w:val="24"/>
          <w:szCs w:val="24"/>
        </w:rPr>
        <w:t xml:space="preserve">. Baseret på disse forudsigelser samt andre understøttende data er mediantiden for at opnå maksimal plasmakoncentration af enzalutamid (Cmax) 2 timer (i intervallet 0,5 til 6 timer), og de farmakokinetiske profiler for enzalutamid og dens aktive metabolit ved </w:t>
      </w:r>
      <w:r w:rsidRPr="00360D7C">
        <w:rPr>
          <w:i/>
          <w:sz w:val="24"/>
          <w:szCs w:val="24"/>
        </w:rPr>
        <w:t>steady state</w:t>
      </w:r>
      <w:r w:rsidRPr="00360D7C">
        <w:rPr>
          <w:sz w:val="24"/>
          <w:szCs w:val="24"/>
        </w:rPr>
        <w:t xml:space="preserve"> er ens for enzalutamid filmovertrukne tabletter og enzalutamid bløde kapsler. </w:t>
      </w:r>
    </w:p>
    <w:p w14:paraId="6A4D9C48" w14:textId="77777777" w:rsidR="00360D7C" w:rsidRPr="00360D7C" w:rsidRDefault="00360D7C" w:rsidP="00360D7C">
      <w:pPr>
        <w:tabs>
          <w:tab w:val="left" w:pos="851"/>
        </w:tabs>
        <w:ind w:left="851"/>
        <w:rPr>
          <w:sz w:val="24"/>
          <w:szCs w:val="24"/>
        </w:rPr>
      </w:pPr>
      <w:r w:rsidRPr="00360D7C">
        <w:rPr>
          <w:sz w:val="24"/>
          <w:szCs w:val="24"/>
        </w:rPr>
        <w:t xml:space="preserve">Efter oral administration af den bløde kapselformulering (enzalutamid 160 mg dagligt) til patienter med metastatisk CRPC er de gennemsnitlige Cmax-værdier i plasma for enzalutamid og dens aktive metabolit ved </w:t>
      </w:r>
      <w:r w:rsidRPr="00360D7C">
        <w:rPr>
          <w:i/>
          <w:iCs/>
          <w:sz w:val="24"/>
          <w:szCs w:val="24"/>
        </w:rPr>
        <w:t>steady state</w:t>
      </w:r>
      <w:r w:rsidRPr="00360D7C">
        <w:rPr>
          <w:sz w:val="24"/>
          <w:szCs w:val="24"/>
        </w:rPr>
        <w:t xml:space="preserve"> henholdsvis 16,6 μg/ml (23 % CV) og 12,7 μg/ml (30 % CV).</w:t>
      </w:r>
    </w:p>
    <w:p w14:paraId="3E7171B7" w14:textId="77777777" w:rsidR="00360D7C" w:rsidRPr="00360D7C" w:rsidRDefault="00360D7C" w:rsidP="00360D7C">
      <w:pPr>
        <w:tabs>
          <w:tab w:val="left" w:pos="851"/>
        </w:tabs>
        <w:ind w:left="851"/>
        <w:rPr>
          <w:sz w:val="24"/>
          <w:szCs w:val="24"/>
        </w:rPr>
      </w:pPr>
    </w:p>
    <w:p w14:paraId="2124411D" w14:textId="77777777" w:rsidR="00360D7C" w:rsidRPr="00360D7C" w:rsidRDefault="00360D7C" w:rsidP="00360D7C">
      <w:pPr>
        <w:tabs>
          <w:tab w:val="left" w:pos="851"/>
        </w:tabs>
        <w:ind w:left="851"/>
        <w:rPr>
          <w:sz w:val="24"/>
          <w:szCs w:val="24"/>
        </w:rPr>
      </w:pPr>
      <w:r w:rsidRPr="00360D7C">
        <w:rPr>
          <w:sz w:val="24"/>
          <w:szCs w:val="24"/>
        </w:rPr>
        <w:t>Baseret på et massebalancestudie hos mennesker vurderes den orale absorption af enzalutamid at være mindst 84,2 %. Enzalutamid er ikke substrat for effluxtransportørerne P-gp eller BCRP.</w:t>
      </w:r>
    </w:p>
    <w:p w14:paraId="06E2C1E4" w14:textId="77777777" w:rsidR="00360D7C" w:rsidRPr="00360D7C" w:rsidRDefault="00360D7C" w:rsidP="00360D7C">
      <w:pPr>
        <w:tabs>
          <w:tab w:val="left" w:pos="851"/>
        </w:tabs>
        <w:ind w:left="851"/>
        <w:rPr>
          <w:sz w:val="24"/>
          <w:szCs w:val="24"/>
        </w:rPr>
      </w:pPr>
    </w:p>
    <w:p w14:paraId="4434FED3" w14:textId="77777777" w:rsidR="00360D7C" w:rsidRPr="00360D7C" w:rsidRDefault="00360D7C" w:rsidP="00360D7C">
      <w:pPr>
        <w:tabs>
          <w:tab w:val="left" w:pos="851"/>
        </w:tabs>
        <w:ind w:left="851"/>
        <w:rPr>
          <w:sz w:val="24"/>
          <w:szCs w:val="24"/>
        </w:rPr>
      </w:pPr>
      <w:r w:rsidRPr="00360D7C">
        <w:rPr>
          <w:sz w:val="24"/>
          <w:szCs w:val="24"/>
        </w:rPr>
        <w:t>Mad har ingen klinisk signifikant virkning på graden af absorption. I kliniske studier blev enzalutamid administreret uden hensyntagen til mad.</w:t>
      </w:r>
    </w:p>
    <w:p w14:paraId="4020CAEE" w14:textId="77777777" w:rsidR="00360D7C" w:rsidRPr="00360D7C" w:rsidRDefault="00360D7C" w:rsidP="00360D7C">
      <w:pPr>
        <w:tabs>
          <w:tab w:val="left" w:pos="851"/>
        </w:tabs>
        <w:ind w:left="851"/>
        <w:rPr>
          <w:sz w:val="24"/>
          <w:szCs w:val="24"/>
        </w:rPr>
      </w:pPr>
    </w:p>
    <w:p w14:paraId="4515E3FA" w14:textId="77777777" w:rsidR="00360D7C" w:rsidRPr="00360D7C" w:rsidRDefault="00360D7C" w:rsidP="00360D7C">
      <w:pPr>
        <w:tabs>
          <w:tab w:val="left" w:pos="851"/>
        </w:tabs>
        <w:ind w:left="851"/>
        <w:rPr>
          <w:sz w:val="24"/>
          <w:szCs w:val="24"/>
        </w:rPr>
      </w:pPr>
      <w:r w:rsidRPr="00360D7C">
        <w:rPr>
          <w:sz w:val="24"/>
          <w:szCs w:val="24"/>
          <w:u w:val="single"/>
        </w:rPr>
        <w:t>Fordeling</w:t>
      </w:r>
    </w:p>
    <w:p w14:paraId="73D7CDA7" w14:textId="77777777" w:rsidR="00360D7C" w:rsidRPr="00360D7C" w:rsidRDefault="00360D7C" w:rsidP="00360D7C">
      <w:pPr>
        <w:tabs>
          <w:tab w:val="left" w:pos="851"/>
        </w:tabs>
        <w:ind w:left="851"/>
        <w:rPr>
          <w:sz w:val="24"/>
          <w:szCs w:val="24"/>
        </w:rPr>
      </w:pPr>
      <w:r w:rsidRPr="00360D7C">
        <w:rPr>
          <w:sz w:val="24"/>
          <w:szCs w:val="24"/>
        </w:rPr>
        <w:t>Det gennemsnitlige tilsyneladende distributionsvolumen (V/F) for enzalutamid hos patienter efter en oral enkeltdosis er 110 liter (29 % CV). Distributionsvolumenet for enzalutamid er større end kroppens totale vandvolumen, hvilket indikerer omfattende ekstravaskulær distribution. Studier hos gnavere indikerer, at enzalutamid og den aktive metabolit deraf kan krydse blod-hjerne-barrieren.</w:t>
      </w:r>
    </w:p>
    <w:p w14:paraId="38F965B9" w14:textId="77777777" w:rsidR="00360D7C" w:rsidRPr="00360D7C" w:rsidRDefault="00360D7C" w:rsidP="00360D7C">
      <w:pPr>
        <w:tabs>
          <w:tab w:val="left" w:pos="851"/>
        </w:tabs>
        <w:ind w:left="851"/>
        <w:rPr>
          <w:sz w:val="24"/>
          <w:szCs w:val="24"/>
        </w:rPr>
      </w:pPr>
    </w:p>
    <w:p w14:paraId="52C02CF8" w14:textId="77777777" w:rsidR="00360D7C" w:rsidRPr="00360D7C" w:rsidRDefault="00360D7C" w:rsidP="00360D7C">
      <w:pPr>
        <w:tabs>
          <w:tab w:val="left" w:pos="851"/>
        </w:tabs>
        <w:ind w:left="851"/>
        <w:rPr>
          <w:sz w:val="24"/>
          <w:szCs w:val="24"/>
          <w:lang w:val="nb-NO"/>
        </w:rPr>
      </w:pPr>
      <w:r w:rsidRPr="00360D7C">
        <w:rPr>
          <w:sz w:val="24"/>
          <w:szCs w:val="24"/>
          <w:lang w:val="nb-NO"/>
        </w:rPr>
        <w:t xml:space="preserve">Enzalutamid bindes 97 % til 98 % til plasmaproteiner, primært albumin. Den aktive metabolit bindes 95 % til plasmaproteiner. Der var ingen proteinbindingsfortrængning mellem enzalutamid og andre stærkt bundne lægemidler (warfarin, ibuprofen og salicylsyre) </w:t>
      </w:r>
      <w:r w:rsidRPr="00360D7C">
        <w:rPr>
          <w:i/>
          <w:sz w:val="24"/>
          <w:szCs w:val="24"/>
          <w:lang w:val="nb-NO"/>
        </w:rPr>
        <w:t>in vitro</w:t>
      </w:r>
      <w:r w:rsidRPr="00360D7C">
        <w:rPr>
          <w:sz w:val="24"/>
          <w:szCs w:val="24"/>
          <w:lang w:val="nb-NO"/>
        </w:rPr>
        <w:t>.</w:t>
      </w:r>
    </w:p>
    <w:p w14:paraId="3189F9DD" w14:textId="77777777" w:rsidR="00360D7C" w:rsidRPr="00360D7C" w:rsidRDefault="00360D7C" w:rsidP="00360D7C">
      <w:pPr>
        <w:tabs>
          <w:tab w:val="left" w:pos="851"/>
        </w:tabs>
        <w:ind w:left="851"/>
        <w:rPr>
          <w:sz w:val="24"/>
          <w:szCs w:val="24"/>
          <w:lang w:val="nb-NO"/>
        </w:rPr>
      </w:pPr>
    </w:p>
    <w:p w14:paraId="15436FF9" w14:textId="77777777" w:rsidR="00360D7C" w:rsidRPr="00360D7C" w:rsidRDefault="00360D7C" w:rsidP="00360D7C">
      <w:pPr>
        <w:tabs>
          <w:tab w:val="left" w:pos="851"/>
        </w:tabs>
        <w:ind w:left="851"/>
        <w:rPr>
          <w:sz w:val="24"/>
          <w:szCs w:val="24"/>
        </w:rPr>
      </w:pPr>
      <w:r w:rsidRPr="00360D7C">
        <w:rPr>
          <w:sz w:val="24"/>
          <w:szCs w:val="24"/>
          <w:u w:val="single"/>
        </w:rPr>
        <w:t>Biotransformation</w:t>
      </w:r>
    </w:p>
    <w:p w14:paraId="572B7162" w14:textId="77777777" w:rsidR="00360D7C" w:rsidRPr="00360D7C" w:rsidRDefault="00360D7C" w:rsidP="00360D7C">
      <w:pPr>
        <w:tabs>
          <w:tab w:val="left" w:pos="851"/>
        </w:tabs>
        <w:ind w:left="851"/>
        <w:rPr>
          <w:sz w:val="24"/>
          <w:szCs w:val="24"/>
        </w:rPr>
      </w:pPr>
      <w:r w:rsidRPr="00360D7C">
        <w:rPr>
          <w:sz w:val="24"/>
          <w:szCs w:val="24"/>
        </w:rPr>
        <w:t>Enzalutamid metaboliseres i stor udstrækning. Der er to væsentlige metabolitter i humant plasma:</w:t>
      </w:r>
    </w:p>
    <w:p w14:paraId="38A992D8" w14:textId="77777777" w:rsidR="00360D7C" w:rsidRPr="00360D7C" w:rsidRDefault="00360D7C" w:rsidP="00360D7C">
      <w:pPr>
        <w:tabs>
          <w:tab w:val="left" w:pos="851"/>
        </w:tabs>
        <w:ind w:left="851"/>
        <w:rPr>
          <w:sz w:val="24"/>
          <w:szCs w:val="24"/>
        </w:rPr>
      </w:pPr>
      <w:r w:rsidRPr="00360D7C">
        <w:rPr>
          <w:sz w:val="24"/>
          <w:szCs w:val="24"/>
        </w:rPr>
        <w:t xml:space="preserve">N-desmethyl-enzalutamid (aktivt) og et carboxylsyrederivat (inaktivt). Enzalutamid metaboliseres af CYP2C8 og i mindre grad af CYP3A4/5 (se pkt. 4.5), som begge spiller en rolle i dannelsen af den aktive metabolit. </w:t>
      </w:r>
      <w:r w:rsidRPr="00360D7C">
        <w:rPr>
          <w:i/>
          <w:sz w:val="24"/>
          <w:szCs w:val="24"/>
        </w:rPr>
        <w:t xml:space="preserve">In vitro </w:t>
      </w:r>
      <w:r w:rsidRPr="00360D7C">
        <w:rPr>
          <w:sz w:val="24"/>
          <w:szCs w:val="24"/>
        </w:rPr>
        <w:t xml:space="preserve">metaboliseres N-desmethyl-enzalutamid til carboxylsyremetabolitten af carboxylesterase 1, som også spiller en mindre rolle i metaboliseringen af enzalutamid til carboxylsyremetabolitten. N-desmethyl-enzalutamid blev ikke metaboliseret af CYP-isoenzymer </w:t>
      </w:r>
      <w:r w:rsidRPr="00360D7C">
        <w:rPr>
          <w:i/>
          <w:sz w:val="24"/>
          <w:szCs w:val="24"/>
        </w:rPr>
        <w:t>in vitro</w:t>
      </w:r>
      <w:r w:rsidRPr="00360D7C">
        <w:rPr>
          <w:sz w:val="24"/>
          <w:szCs w:val="24"/>
        </w:rPr>
        <w:t>.</w:t>
      </w:r>
    </w:p>
    <w:p w14:paraId="5C7344EE" w14:textId="77777777" w:rsidR="00360D7C" w:rsidRPr="00360D7C" w:rsidRDefault="00360D7C" w:rsidP="00360D7C">
      <w:pPr>
        <w:tabs>
          <w:tab w:val="left" w:pos="851"/>
        </w:tabs>
        <w:ind w:left="851"/>
        <w:rPr>
          <w:sz w:val="24"/>
          <w:szCs w:val="24"/>
        </w:rPr>
      </w:pPr>
    </w:p>
    <w:p w14:paraId="4D283DD8" w14:textId="77777777" w:rsidR="00360D7C" w:rsidRPr="00360D7C" w:rsidRDefault="00360D7C" w:rsidP="00360D7C">
      <w:pPr>
        <w:tabs>
          <w:tab w:val="left" w:pos="851"/>
        </w:tabs>
        <w:ind w:left="851"/>
        <w:rPr>
          <w:sz w:val="24"/>
          <w:szCs w:val="24"/>
        </w:rPr>
      </w:pPr>
      <w:r w:rsidRPr="00360D7C">
        <w:rPr>
          <w:sz w:val="24"/>
          <w:szCs w:val="24"/>
        </w:rPr>
        <w:t>Under betingelser svarende til klinisk brug er enzalutamid en potent CYP3A4-induktor, en moderat induktor af CYP2C9 og CYP2C19, og stoffet har ingen klinisk relevant virkning på CYP2C8 (se pkt. 4.5).</w:t>
      </w:r>
    </w:p>
    <w:p w14:paraId="1BD96A14" w14:textId="77777777" w:rsidR="00360D7C" w:rsidRPr="00360D7C" w:rsidRDefault="00360D7C" w:rsidP="00360D7C">
      <w:pPr>
        <w:tabs>
          <w:tab w:val="left" w:pos="851"/>
        </w:tabs>
        <w:ind w:left="851"/>
        <w:rPr>
          <w:sz w:val="24"/>
          <w:szCs w:val="24"/>
        </w:rPr>
      </w:pPr>
    </w:p>
    <w:p w14:paraId="7EC7363D" w14:textId="77777777" w:rsidR="00360D7C" w:rsidRPr="00360D7C" w:rsidRDefault="00360D7C" w:rsidP="00360D7C">
      <w:pPr>
        <w:tabs>
          <w:tab w:val="left" w:pos="851"/>
        </w:tabs>
        <w:ind w:left="851"/>
        <w:rPr>
          <w:sz w:val="24"/>
          <w:szCs w:val="24"/>
        </w:rPr>
      </w:pPr>
      <w:r w:rsidRPr="00360D7C">
        <w:rPr>
          <w:sz w:val="24"/>
          <w:szCs w:val="24"/>
          <w:u w:val="single"/>
        </w:rPr>
        <w:t>Elimination</w:t>
      </w:r>
    </w:p>
    <w:p w14:paraId="3B78AC1C" w14:textId="77777777" w:rsidR="00360D7C" w:rsidRPr="00360D7C" w:rsidRDefault="00360D7C" w:rsidP="00360D7C">
      <w:pPr>
        <w:tabs>
          <w:tab w:val="left" w:pos="851"/>
        </w:tabs>
        <w:ind w:left="851"/>
        <w:rPr>
          <w:sz w:val="24"/>
          <w:szCs w:val="24"/>
        </w:rPr>
      </w:pPr>
      <w:r w:rsidRPr="00360D7C">
        <w:rPr>
          <w:sz w:val="24"/>
          <w:szCs w:val="24"/>
        </w:rPr>
        <w:t>Den gennemsnitlige tilsyneladende clearance (CL/F) af enzalutamid hos patienter er fra 0,520 til 0,564 l/h.</w:t>
      </w:r>
    </w:p>
    <w:p w14:paraId="1F6F8205" w14:textId="77777777" w:rsidR="00360D7C" w:rsidRPr="00360D7C" w:rsidRDefault="00360D7C" w:rsidP="00360D7C">
      <w:pPr>
        <w:tabs>
          <w:tab w:val="left" w:pos="851"/>
        </w:tabs>
        <w:ind w:left="851"/>
        <w:rPr>
          <w:sz w:val="24"/>
          <w:szCs w:val="24"/>
        </w:rPr>
      </w:pPr>
    </w:p>
    <w:p w14:paraId="13DBB71C" w14:textId="77777777" w:rsidR="00360D7C" w:rsidRPr="00360D7C" w:rsidRDefault="00360D7C" w:rsidP="00360D7C">
      <w:pPr>
        <w:tabs>
          <w:tab w:val="left" w:pos="851"/>
        </w:tabs>
        <w:ind w:left="851"/>
        <w:rPr>
          <w:sz w:val="24"/>
          <w:szCs w:val="24"/>
        </w:rPr>
      </w:pPr>
      <w:r w:rsidRPr="00360D7C">
        <w:rPr>
          <w:sz w:val="24"/>
          <w:szCs w:val="24"/>
        </w:rPr>
        <w:t>Efter oral administration af 14C-enzalutamid genfindes 84,6 % af radioaktiviteten 77 dage efter dosering: Der genfindes 71,0 % i urinen (primært som den inaktive metabolit, med spormængder af enzalutamid og den aktive metabolit), og 13,6 % genfindes i fæces (0,39 % af dosis som uændret enzalutamid).</w:t>
      </w:r>
    </w:p>
    <w:p w14:paraId="6F0C76F9" w14:textId="77777777" w:rsidR="00360D7C" w:rsidRPr="00360D7C" w:rsidRDefault="00360D7C" w:rsidP="00360D7C">
      <w:pPr>
        <w:tabs>
          <w:tab w:val="left" w:pos="851"/>
        </w:tabs>
        <w:ind w:left="851"/>
        <w:rPr>
          <w:sz w:val="24"/>
          <w:szCs w:val="24"/>
        </w:rPr>
      </w:pPr>
    </w:p>
    <w:p w14:paraId="4C3D2B70" w14:textId="77777777" w:rsidR="00360D7C" w:rsidRPr="00360D7C" w:rsidRDefault="00360D7C" w:rsidP="00360D7C">
      <w:pPr>
        <w:tabs>
          <w:tab w:val="left" w:pos="851"/>
        </w:tabs>
        <w:ind w:left="851"/>
        <w:rPr>
          <w:sz w:val="24"/>
          <w:szCs w:val="24"/>
        </w:rPr>
      </w:pPr>
      <w:r w:rsidRPr="00360D7C">
        <w:rPr>
          <w:i/>
          <w:sz w:val="24"/>
          <w:szCs w:val="24"/>
        </w:rPr>
        <w:t>In vitro</w:t>
      </w:r>
      <w:r w:rsidRPr="00360D7C">
        <w:rPr>
          <w:sz w:val="24"/>
          <w:szCs w:val="24"/>
        </w:rPr>
        <w:t>-data indikerer, at enzalutamid ikke er substrat for OATP1B1, OATP1B3 eller OCT1, og N- desmethyl-enzalutamid er ikke substrat for P-gp eller BCRP.</w:t>
      </w:r>
    </w:p>
    <w:p w14:paraId="61B840A0" w14:textId="77777777" w:rsidR="00360D7C" w:rsidRPr="00360D7C" w:rsidRDefault="00360D7C" w:rsidP="00360D7C">
      <w:pPr>
        <w:tabs>
          <w:tab w:val="left" w:pos="851"/>
        </w:tabs>
        <w:ind w:left="851"/>
        <w:rPr>
          <w:sz w:val="24"/>
          <w:szCs w:val="24"/>
        </w:rPr>
      </w:pPr>
    </w:p>
    <w:p w14:paraId="74942B44" w14:textId="77777777" w:rsidR="00360D7C" w:rsidRPr="00360D7C" w:rsidRDefault="00360D7C" w:rsidP="00360D7C">
      <w:pPr>
        <w:tabs>
          <w:tab w:val="left" w:pos="851"/>
        </w:tabs>
        <w:ind w:left="851"/>
        <w:rPr>
          <w:sz w:val="24"/>
          <w:szCs w:val="24"/>
        </w:rPr>
      </w:pPr>
      <w:r w:rsidRPr="00360D7C">
        <w:rPr>
          <w:i/>
          <w:sz w:val="24"/>
          <w:szCs w:val="24"/>
        </w:rPr>
        <w:t>In vitro</w:t>
      </w:r>
      <w:r w:rsidRPr="00360D7C">
        <w:rPr>
          <w:sz w:val="24"/>
          <w:szCs w:val="24"/>
        </w:rPr>
        <w:t>-data indikerer, at enzalutamid og dets væsentlige metabolitter ikke hæmmer følgende transportører ved klinisk relevante koncentrationer: OATP1B1, OATP1B3, OCT2 eller OAT1.</w:t>
      </w:r>
    </w:p>
    <w:p w14:paraId="734CB42E" w14:textId="77777777" w:rsidR="00360D7C" w:rsidRPr="00360D7C" w:rsidRDefault="00360D7C" w:rsidP="00360D7C">
      <w:pPr>
        <w:tabs>
          <w:tab w:val="left" w:pos="851"/>
        </w:tabs>
        <w:ind w:left="851"/>
        <w:rPr>
          <w:sz w:val="24"/>
          <w:szCs w:val="24"/>
        </w:rPr>
      </w:pPr>
    </w:p>
    <w:p w14:paraId="60A938E0" w14:textId="77777777" w:rsidR="00360D7C" w:rsidRPr="00360D7C" w:rsidRDefault="00360D7C" w:rsidP="00360D7C">
      <w:pPr>
        <w:tabs>
          <w:tab w:val="left" w:pos="851"/>
        </w:tabs>
        <w:ind w:left="851"/>
        <w:rPr>
          <w:sz w:val="24"/>
          <w:szCs w:val="24"/>
        </w:rPr>
      </w:pPr>
      <w:r w:rsidRPr="00360D7C">
        <w:rPr>
          <w:sz w:val="24"/>
          <w:szCs w:val="24"/>
          <w:u w:val="single"/>
        </w:rPr>
        <w:t>Linearitet</w:t>
      </w:r>
    </w:p>
    <w:p w14:paraId="56F7E66E" w14:textId="77777777" w:rsidR="00360D7C" w:rsidRPr="00360D7C" w:rsidRDefault="00360D7C" w:rsidP="00360D7C">
      <w:pPr>
        <w:tabs>
          <w:tab w:val="left" w:pos="851"/>
        </w:tabs>
        <w:ind w:left="851"/>
        <w:rPr>
          <w:sz w:val="24"/>
          <w:szCs w:val="24"/>
        </w:rPr>
      </w:pPr>
      <w:r w:rsidRPr="00360D7C">
        <w:rPr>
          <w:sz w:val="24"/>
          <w:szCs w:val="24"/>
        </w:rPr>
        <w:t xml:space="preserve">Der er ikke observeret væsentlige afvigelser fra dosisproportionalitet over dosisintervallet 40 til 160 mg. Cmin-værdierne for enzalutamid og dets aktive metabolit hos individuelle patienter ved </w:t>
      </w:r>
      <w:r w:rsidRPr="00360D7C">
        <w:rPr>
          <w:i/>
          <w:iCs/>
          <w:sz w:val="24"/>
          <w:szCs w:val="24"/>
        </w:rPr>
        <w:t>steady  state</w:t>
      </w:r>
      <w:r w:rsidRPr="00360D7C">
        <w:rPr>
          <w:sz w:val="24"/>
          <w:szCs w:val="24"/>
        </w:rPr>
        <w:t xml:space="preserve"> forblev konstante gennem mere end et års kronisk behandling, hvilket viser, at der er tidslineær farmakokinetik, når </w:t>
      </w:r>
      <w:r w:rsidRPr="00360D7C">
        <w:rPr>
          <w:i/>
          <w:sz w:val="24"/>
          <w:szCs w:val="24"/>
        </w:rPr>
        <w:t>steady state</w:t>
      </w:r>
      <w:r w:rsidRPr="00360D7C">
        <w:rPr>
          <w:sz w:val="24"/>
          <w:szCs w:val="24"/>
        </w:rPr>
        <w:t xml:space="preserve"> er opnået.</w:t>
      </w:r>
    </w:p>
    <w:p w14:paraId="7F4FE9DE" w14:textId="77777777" w:rsidR="00360D7C" w:rsidRPr="00360D7C" w:rsidRDefault="00360D7C" w:rsidP="00360D7C">
      <w:pPr>
        <w:tabs>
          <w:tab w:val="left" w:pos="851"/>
        </w:tabs>
        <w:ind w:left="851"/>
        <w:rPr>
          <w:sz w:val="24"/>
          <w:szCs w:val="24"/>
        </w:rPr>
      </w:pPr>
    </w:p>
    <w:p w14:paraId="37CBD6AC" w14:textId="77777777" w:rsidR="00360D7C" w:rsidRPr="00360D7C" w:rsidRDefault="00360D7C" w:rsidP="00360D7C">
      <w:pPr>
        <w:tabs>
          <w:tab w:val="left" w:pos="851"/>
        </w:tabs>
        <w:ind w:left="851"/>
        <w:rPr>
          <w:sz w:val="24"/>
          <w:szCs w:val="24"/>
        </w:rPr>
      </w:pPr>
      <w:r w:rsidRPr="00360D7C">
        <w:rPr>
          <w:sz w:val="24"/>
          <w:szCs w:val="24"/>
          <w:u w:val="single"/>
        </w:rPr>
        <w:t>Nedsat nyrefunktion</w:t>
      </w:r>
    </w:p>
    <w:p w14:paraId="21F7430D" w14:textId="77777777" w:rsidR="00360D7C" w:rsidRPr="00360D7C" w:rsidRDefault="00360D7C" w:rsidP="00360D7C">
      <w:pPr>
        <w:tabs>
          <w:tab w:val="left" w:pos="851"/>
        </w:tabs>
        <w:ind w:left="851"/>
        <w:rPr>
          <w:sz w:val="24"/>
          <w:szCs w:val="24"/>
        </w:rPr>
      </w:pPr>
      <w:r w:rsidRPr="00360D7C">
        <w:rPr>
          <w:sz w:val="24"/>
          <w:szCs w:val="24"/>
        </w:rPr>
        <w:t>Der er ikke gennemført et formelt studie af nedsat nyrefunktion for enzalutamid. Patienter med serumkreatinin &gt;177 μmol/l (2 mg/dl) blev udelukket fra kliniske studier. Baseret på en populationsfarmakokinetisk analyse er dosisjustering ikke nødvendig for patienter med beregnede kreatininclearance (CrCL)-værdier ≥30 ml/min (beregnet ved hjælp af Cockcroft-Gault-formlen). Enzalutamid er ikke evalueret hos patienter med svært nedsat nyrefunktion (CrCL &lt;30 ml/min) eller nyresygdom i slutstadiet, og der tilrådes forsigtighed ved behandling af disse patienter. Det er usandsynligt, at enzalutamid vil blive fjernet i væsentlig grad ved intermitterende hæmodialyse eller kontinuerlig ambulatorisk peritonealdialyse.</w:t>
      </w:r>
    </w:p>
    <w:p w14:paraId="25D416E7" w14:textId="77777777" w:rsidR="00360D7C" w:rsidRPr="00360D7C" w:rsidRDefault="00360D7C" w:rsidP="00360D7C">
      <w:pPr>
        <w:tabs>
          <w:tab w:val="left" w:pos="851"/>
        </w:tabs>
        <w:ind w:left="851"/>
        <w:rPr>
          <w:sz w:val="24"/>
          <w:szCs w:val="24"/>
        </w:rPr>
      </w:pPr>
    </w:p>
    <w:p w14:paraId="547F52D7" w14:textId="77777777" w:rsidR="00360D7C" w:rsidRPr="00360D7C" w:rsidRDefault="00360D7C" w:rsidP="00360D7C">
      <w:pPr>
        <w:tabs>
          <w:tab w:val="left" w:pos="851"/>
        </w:tabs>
        <w:ind w:left="851"/>
        <w:rPr>
          <w:sz w:val="24"/>
          <w:szCs w:val="24"/>
        </w:rPr>
      </w:pPr>
      <w:r w:rsidRPr="00360D7C">
        <w:rPr>
          <w:sz w:val="24"/>
          <w:szCs w:val="24"/>
          <w:u w:val="single"/>
        </w:rPr>
        <w:t>Nedsat leverfunktion</w:t>
      </w:r>
    </w:p>
    <w:p w14:paraId="3399E16A" w14:textId="77777777" w:rsidR="00360D7C" w:rsidRPr="00360D7C" w:rsidRDefault="00360D7C" w:rsidP="00360D7C">
      <w:pPr>
        <w:tabs>
          <w:tab w:val="left" w:pos="851"/>
        </w:tabs>
        <w:ind w:left="851"/>
        <w:rPr>
          <w:sz w:val="24"/>
          <w:szCs w:val="24"/>
        </w:rPr>
      </w:pPr>
      <w:r w:rsidRPr="00360D7C">
        <w:rPr>
          <w:sz w:val="24"/>
          <w:szCs w:val="24"/>
        </w:rPr>
        <w:t>Nedsat leverfunktion havde ikke nogen udtalt effekt på den samlede eksponering for enzalutamid eller dets aktive metabolit. Halveringstiden for enzalutamid blev imidlertid fordoblet hos patienter med svært nedsat leverfunktion i sammenligning med raske forsøgspersoner (10,4 dage sammenlignet med 4,7 dage), hvilket muligvis har sammenhæng med en øget vævsdistribution.</w:t>
      </w:r>
    </w:p>
    <w:p w14:paraId="31697B25" w14:textId="77777777" w:rsidR="00360D7C" w:rsidRPr="00360D7C" w:rsidRDefault="00360D7C" w:rsidP="00360D7C">
      <w:pPr>
        <w:tabs>
          <w:tab w:val="left" w:pos="851"/>
        </w:tabs>
        <w:ind w:left="851"/>
        <w:rPr>
          <w:sz w:val="24"/>
          <w:szCs w:val="24"/>
        </w:rPr>
      </w:pPr>
    </w:p>
    <w:p w14:paraId="36A619E7" w14:textId="77777777" w:rsidR="00360D7C" w:rsidRPr="00360D7C" w:rsidRDefault="00360D7C" w:rsidP="00360D7C">
      <w:pPr>
        <w:tabs>
          <w:tab w:val="left" w:pos="851"/>
        </w:tabs>
        <w:ind w:left="851"/>
        <w:rPr>
          <w:sz w:val="24"/>
          <w:szCs w:val="24"/>
        </w:rPr>
      </w:pPr>
      <w:r w:rsidRPr="00360D7C">
        <w:rPr>
          <w:sz w:val="24"/>
          <w:szCs w:val="24"/>
        </w:rPr>
        <w:t xml:space="preserve">Enzalutamids farmakokinetik blev undersøgt hos personer, der ved </w:t>
      </w:r>
      <w:r w:rsidRPr="00360D7C">
        <w:rPr>
          <w:i/>
          <w:sz w:val="24"/>
          <w:szCs w:val="24"/>
        </w:rPr>
        <w:t xml:space="preserve">baseline </w:t>
      </w:r>
      <w:r w:rsidRPr="00360D7C">
        <w:rPr>
          <w:sz w:val="24"/>
          <w:szCs w:val="24"/>
        </w:rPr>
        <w:t>havde let (N = 6), moderat (N = 8) eller svært (N = 8) nedsat leverfunktion (henholdsvis Child-Pugh-klasse A, B eller C), og hos 22 matchede kontrolpersoner med normal leverfunktion. Efter en oral enkeltdosis på 160 mg enzalutamid steg AUC og Cmax for enzalutamid hos forsøgspersoner med let nedsat leverfunktion med henholdsvis 5 % og 24 %, AUC for enzalutamid hos forsøgspersoner med moderat nedsat leverfunktion steg med 29 % og Cmax faldt med 11 %, og AUC og Cmax for enzalutamid hos forsøgspersoner med svært nedsat leverfunktion henholdsvis øgedes med 5 % og faldt med 41 %, sammenlignet med raske forsøgspersoner. For summen af ubundet enzalutamid plus den ubundne aktive metabolit steg AUC og Cmax hos forsøgspersoner med let nedsat leverfunktion med henholdsvis 14 % og 19 %, og AUC hos forsøgspersoner med moderat nedsat leverfunktion steg med 14 %, mens Cmax faldt med 17 %. AUC og Cmax hos forsøgspersoner med svært nedsat leverfunktion henholdsvis øgedes med 34 % og faldt med 27 %, sammenlignet med raske forsøgspersoner.</w:t>
      </w:r>
    </w:p>
    <w:p w14:paraId="1D3C7622" w14:textId="77777777" w:rsidR="00360D7C" w:rsidRPr="00360D7C" w:rsidRDefault="00360D7C" w:rsidP="00360D7C">
      <w:pPr>
        <w:tabs>
          <w:tab w:val="left" w:pos="851"/>
        </w:tabs>
        <w:ind w:left="851"/>
        <w:rPr>
          <w:sz w:val="24"/>
          <w:szCs w:val="24"/>
        </w:rPr>
      </w:pPr>
    </w:p>
    <w:p w14:paraId="338CA735" w14:textId="77777777" w:rsidR="00360D7C" w:rsidRPr="00360D7C" w:rsidRDefault="00360D7C" w:rsidP="00360D7C">
      <w:pPr>
        <w:tabs>
          <w:tab w:val="left" w:pos="851"/>
        </w:tabs>
        <w:ind w:left="851"/>
        <w:rPr>
          <w:sz w:val="24"/>
          <w:szCs w:val="24"/>
        </w:rPr>
      </w:pPr>
      <w:r w:rsidRPr="00360D7C">
        <w:rPr>
          <w:sz w:val="24"/>
          <w:szCs w:val="24"/>
          <w:u w:val="single"/>
        </w:rPr>
        <w:t>Race</w:t>
      </w:r>
    </w:p>
    <w:p w14:paraId="35F76037" w14:textId="77777777" w:rsidR="00360D7C" w:rsidRPr="00360D7C" w:rsidRDefault="00360D7C" w:rsidP="00360D7C">
      <w:pPr>
        <w:tabs>
          <w:tab w:val="left" w:pos="851"/>
        </w:tabs>
        <w:ind w:left="851"/>
        <w:rPr>
          <w:sz w:val="24"/>
          <w:szCs w:val="24"/>
        </w:rPr>
      </w:pPr>
      <w:r w:rsidRPr="00360D7C">
        <w:rPr>
          <w:sz w:val="24"/>
          <w:szCs w:val="24"/>
        </w:rPr>
        <w:t>De fleste patienter i de kontrollerede kliniske studier (&gt; 75 %) var kaukasiere. Farmakokinetiske data fra studier med japanske og kinesiske patienter med prostatacancer viste ingen klinisk relevante forskelle i eksponering mellem populationerne. Der var utilstrækkelige data til at evaluere potentielle forskelle i enzalutamids farmakokinetik hos andre racer.</w:t>
      </w:r>
    </w:p>
    <w:p w14:paraId="6E32EE27" w14:textId="77777777" w:rsidR="00360D7C" w:rsidRPr="00360D7C" w:rsidRDefault="00360D7C" w:rsidP="00360D7C">
      <w:pPr>
        <w:tabs>
          <w:tab w:val="left" w:pos="851"/>
        </w:tabs>
        <w:ind w:left="851"/>
        <w:rPr>
          <w:sz w:val="24"/>
          <w:szCs w:val="24"/>
        </w:rPr>
      </w:pPr>
    </w:p>
    <w:p w14:paraId="32E735A5" w14:textId="77777777" w:rsidR="00360D7C" w:rsidRPr="00360D7C" w:rsidRDefault="00360D7C" w:rsidP="00360D7C">
      <w:pPr>
        <w:tabs>
          <w:tab w:val="left" w:pos="851"/>
        </w:tabs>
        <w:ind w:left="851"/>
        <w:rPr>
          <w:sz w:val="24"/>
          <w:szCs w:val="24"/>
        </w:rPr>
      </w:pPr>
      <w:r w:rsidRPr="00360D7C">
        <w:rPr>
          <w:sz w:val="24"/>
          <w:szCs w:val="24"/>
          <w:u w:val="single"/>
        </w:rPr>
        <w:t>Ældre</w:t>
      </w:r>
    </w:p>
    <w:p w14:paraId="6B01CEEF" w14:textId="77777777" w:rsidR="00360D7C" w:rsidRPr="00360D7C" w:rsidRDefault="00360D7C" w:rsidP="00360D7C">
      <w:pPr>
        <w:tabs>
          <w:tab w:val="left" w:pos="851"/>
        </w:tabs>
        <w:ind w:left="851"/>
        <w:rPr>
          <w:sz w:val="24"/>
          <w:szCs w:val="24"/>
        </w:rPr>
      </w:pPr>
      <w:r w:rsidRPr="00360D7C">
        <w:rPr>
          <w:sz w:val="24"/>
          <w:szCs w:val="24"/>
        </w:rPr>
        <w:t>Der blev ikke observeret nogen klinisk relevant virkning af alder på enzalutamids farmakokinetik i den farmakokinetiske analyse af den ældre population.</w:t>
      </w:r>
    </w:p>
    <w:p w14:paraId="2D30E757" w14:textId="77777777" w:rsidR="009260DE" w:rsidRPr="00C84483" w:rsidRDefault="009260DE" w:rsidP="009260DE">
      <w:pPr>
        <w:tabs>
          <w:tab w:val="left" w:pos="851"/>
        </w:tabs>
        <w:ind w:left="851"/>
        <w:rPr>
          <w:sz w:val="24"/>
          <w:szCs w:val="24"/>
        </w:rPr>
      </w:pPr>
    </w:p>
    <w:p w14:paraId="4827ACCD"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6E2E4632" w14:textId="77777777" w:rsidR="00360D7C" w:rsidRPr="00360D7C" w:rsidRDefault="00360D7C" w:rsidP="00360D7C">
      <w:pPr>
        <w:tabs>
          <w:tab w:val="left" w:pos="851"/>
        </w:tabs>
        <w:ind w:left="851"/>
        <w:rPr>
          <w:sz w:val="24"/>
          <w:szCs w:val="24"/>
        </w:rPr>
      </w:pPr>
      <w:r w:rsidRPr="00360D7C">
        <w:rPr>
          <w:sz w:val="24"/>
          <w:szCs w:val="24"/>
        </w:rPr>
        <w:t>Enzalutamidbehandling af drægtige mus resulterede i en øget forekomst af enbryoføtal død og ydre og skeletale forandringer. Der er ikke udført fertilitetsstudier for enzalutamid, men i studier med rotter (4 og 26 uger) og hunde (4, 13 og 39 uger) blev der observeret atrofi, aspermi/hypospermi og hypertrofi/hyperplasi i det reproduktive system, hvilket er i overensstemmelse med den farmakologiske aktivitet af enzalutamid. I studier med mus (4 uger), rotter (4 og 26 uger) og hunde (4, 13 og 39 uger) var ændringer i de reproduktive organer associeret med enzalutamid fald i organvægt med atrofi af prostata og epididymis. Leydigcellehypertrofi og/eller –hyperplasi blev observeret hos mus (4 uger) og hunde (39 uger). Yderligere ændringer af reproduktivt væv omfattede hypertrofi/hyperplasi af hypofysen og atrofi i sædblærer hos rotter og testikelhypospermi og degeneration af sædkanaler hos hunde. Der blev observeret kønsforskelle i brystkirtler hos rotter (atrofi hos hanner og lobulær hyperplasi hos hunner). Ændringer i de reproduktive organer hos begge arter var i overensstemmelse med den farmakologiske aktivitet af enzalutamid og var reverseret eller delvist forsvundet efter en 8-ugers restitutionsperiode. Der var ingen andre væsentlige ændringer i den kliniske patologi eller histopatologi for noget andet organsystem, herunder leveren, hos nogen af arterne.</w:t>
      </w:r>
    </w:p>
    <w:p w14:paraId="0047DE0F" w14:textId="77777777" w:rsidR="00360D7C" w:rsidRPr="00360D7C" w:rsidRDefault="00360D7C" w:rsidP="00360D7C">
      <w:pPr>
        <w:tabs>
          <w:tab w:val="left" w:pos="851"/>
        </w:tabs>
        <w:ind w:left="851"/>
        <w:rPr>
          <w:sz w:val="24"/>
          <w:szCs w:val="24"/>
        </w:rPr>
      </w:pPr>
    </w:p>
    <w:p w14:paraId="601E9C85" w14:textId="77777777" w:rsidR="00360D7C" w:rsidRPr="00360D7C" w:rsidRDefault="00360D7C" w:rsidP="00360D7C">
      <w:pPr>
        <w:tabs>
          <w:tab w:val="left" w:pos="851"/>
        </w:tabs>
        <w:ind w:left="851"/>
        <w:rPr>
          <w:sz w:val="24"/>
          <w:szCs w:val="24"/>
        </w:rPr>
      </w:pPr>
      <w:r w:rsidRPr="00360D7C">
        <w:rPr>
          <w:sz w:val="24"/>
          <w:szCs w:val="24"/>
        </w:rPr>
        <w:t>Studier med drægtige rotter har vist, at enzalutamid og/eller dets metabolitter overføres til fostre. Efter oral administration af radioaktivt mærket 14C-enzalutamid til rotter på dag 14 af drægtigheden, i en dosis på 30 mg/kg (~ 1,9 gange den maksimale dosis rekommanderet til mennesker), blev den maksimale radioaktivitet i fosteret nået 4 timer efter administration og var lavere end i moderens plasma med et væv/plasma-forhold på 0,27. Radioaktiviteten i fosteret faldt til 0,08 gange maksimumkoncentrationen 72 timer efter administration.</w:t>
      </w:r>
    </w:p>
    <w:p w14:paraId="11678791" w14:textId="77777777" w:rsidR="00360D7C" w:rsidRPr="00360D7C" w:rsidRDefault="00360D7C" w:rsidP="00360D7C">
      <w:pPr>
        <w:tabs>
          <w:tab w:val="left" w:pos="851"/>
        </w:tabs>
        <w:ind w:left="851"/>
        <w:rPr>
          <w:sz w:val="24"/>
          <w:szCs w:val="24"/>
        </w:rPr>
      </w:pPr>
    </w:p>
    <w:p w14:paraId="4BC88118" w14:textId="77777777" w:rsidR="00360D7C" w:rsidRPr="00360D7C" w:rsidRDefault="00360D7C" w:rsidP="00360D7C">
      <w:pPr>
        <w:tabs>
          <w:tab w:val="left" w:pos="851"/>
        </w:tabs>
        <w:ind w:left="851"/>
        <w:rPr>
          <w:sz w:val="24"/>
          <w:szCs w:val="24"/>
        </w:rPr>
      </w:pPr>
      <w:r w:rsidRPr="00360D7C">
        <w:rPr>
          <w:sz w:val="24"/>
          <w:szCs w:val="24"/>
        </w:rPr>
        <w:t>Studier med diegivende rotter har vist, at enzalutamid og/eller dets metabolitter udskilles i mælken hos rotter. Efter oral administration af radioaktivt mærket 14C-enzalutamid til diegivende rotter, i en dosis på 30 mg/kg (~ 1,9 gange den maksimale dosis rekommanderet til mennesker), blev den maksimale radioaktivitet i mælken nået 4 timer efter administration og var op til 3,54 gange højere end i moderens plasma. Studieresultater har også vist, at enzalutamid og/eller dets metabolitter overføres til væv hos nyfødte rotter via mælk og efterfølgende elimineres.</w:t>
      </w:r>
    </w:p>
    <w:p w14:paraId="660D5121" w14:textId="77777777" w:rsidR="00360D7C" w:rsidRPr="00360D7C" w:rsidRDefault="00360D7C" w:rsidP="00360D7C">
      <w:pPr>
        <w:tabs>
          <w:tab w:val="left" w:pos="851"/>
        </w:tabs>
        <w:ind w:left="851"/>
        <w:rPr>
          <w:sz w:val="24"/>
          <w:szCs w:val="24"/>
        </w:rPr>
      </w:pPr>
    </w:p>
    <w:p w14:paraId="27EE4FE8" w14:textId="77777777" w:rsidR="00360D7C" w:rsidRPr="00360D7C" w:rsidRDefault="00360D7C" w:rsidP="00360D7C">
      <w:pPr>
        <w:tabs>
          <w:tab w:val="left" w:pos="851"/>
        </w:tabs>
        <w:ind w:left="851"/>
        <w:rPr>
          <w:sz w:val="24"/>
          <w:szCs w:val="24"/>
        </w:rPr>
      </w:pPr>
      <w:r w:rsidRPr="00360D7C">
        <w:rPr>
          <w:sz w:val="24"/>
          <w:szCs w:val="24"/>
        </w:rPr>
        <w:t xml:space="preserve">Enzalutamid var negativ for genotoksicitet i et standardbatteri af </w:t>
      </w:r>
      <w:r w:rsidRPr="00360D7C">
        <w:rPr>
          <w:i/>
          <w:iCs/>
          <w:sz w:val="24"/>
          <w:szCs w:val="24"/>
        </w:rPr>
        <w:t>in vitro</w:t>
      </w:r>
      <w:r w:rsidRPr="00360D7C">
        <w:rPr>
          <w:sz w:val="24"/>
          <w:szCs w:val="24"/>
        </w:rPr>
        <w:t xml:space="preserve">- og </w:t>
      </w:r>
      <w:r w:rsidRPr="00360D7C">
        <w:rPr>
          <w:i/>
          <w:iCs/>
          <w:sz w:val="24"/>
          <w:szCs w:val="24"/>
        </w:rPr>
        <w:t>in vivo</w:t>
      </w:r>
      <w:r w:rsidRPr="00360D7C">
        <w:rPr>
          <w:sz w:val="24"/>
          <w:szCs w:val="24"/>
        </w:rPr>
        <w:t>-tests. I et 6-måneders studie på transgene rasH2-mus viste enzalutamid ikke karsinogent potentiale (fravær af neoplastiske fund) ved doser op til 20 mg/kg/dag (AUC24t ~ 317 µg·t/ml, hvilket resulterede i eksponeringsniveauer i plasma svarende til den kliniske eksponering (AUC24t ~ 322 µg·t/ml) hos mCRPC-patienter, der fik 160 mg daglig.</w:t>
      </w:r>
    </w:p>
    <w:p w14:paraId="7C7C46DA" w14:textId="77777777" w:rsidR="00360D7C" w:rsidRPr="00360D7C" w:rsidRDefault="00360D7C" w:rsidP="00360D7C">
      <w:pPr>
        <w:tabs>
          <w:tab w:val="left" w:pos="851"/>
        </w:tabs>
        <w:ind w:left="851"/>
        <w:rPr>
          <w:sz w:val="24"/>
          <w:szCs w:val="24"/>
        </w:rPr>
      </w:pPr>
    </w:p>
    <w:p w14:paraId="46B715A7" w14:textId="77777777" w:rsidR="00360D7C" w:rsidRPr="00360D7C" w:rsidRDefault="00360D7C" w:rsidP="00360D7C">
      <w:pPr>
        <w:tabs>
          <w:tab w:val="left" w:pos="851"/>
        </w:tabs>
        <w:ind w:left="851"/>
        <w:rPr>
          <w:sz w:val="24"/>
          <w:szCs w:val="24"/>
        </w:rPr>
      </w:pPr>
      <w:r w:rsidRPr="00360D7C">
        <w:rPr>
          <w:sz w:val="24"/>
          <w:szCs w:val="24"/>
        </w:rPr>
        <w:t>Daglig dosering med enzalutamid hos rotter i 2 år førte til øget forekomst af neoplastiske fund. Disse inkluderede benignt thymom, fibroadenom i brystkirtlerne, benigne Leydigs celle-tumorer i testiklerne og urotelialt papillom og karcinom i urinblæren hos hankøn, benigne granulosacelletumorer i ovarierne hos hunkøn og adenom i pars distalis i hypofysen hos begge køn. Relevansen for mennesker af benignt thymom, hypofyse adenom, fibroadenom i brystkirtlerne såvel som uroteliale papillomer og urinblære karcinom kan ikke udelukkes.</w:t>
      </w:r>
    </w:p>
    <w:p w14:paraId="78C67644" w14:textId="77777777" w:rsidR="00360D7C" w:rsidRPr="00360D7C" w:rsidRDefault="00360D7C" w:rsidP="00360D7C">
      <w:pPr>
        <w:tabs>
          <w:tab w:val="left" w:pos="851"/>
        </w:tabs>
        <w:ind w:left="851"/>
        <w:rPr>
          <w:sz w:val="24"/>
          <w:szCs w:val="24"/>
        </w:rPr>
      </w:pPr>
    </w:p>
    <w:p w14:paraId="70B3FD4B" w14:textId="77777777" w:rsidR="00360D7C" w:rsidRPr="00360D7C" w:rsidRDefault="00360D7C" w:rsidP="00360D7C">
      <w:pPr>
        <w:tabs>
          <w:tab w:val="left" w:pos="851"/>
        </w:tabs>
        <w:ind w:left="851"/>
        <w:rPr>
          <w:sz w:val="24"/>
          <w:szCs w:val="24"/>
        </w:rPr>
      </w:pPr>
      <w:r w:rsidRPr="00360D7C">
        <w:rPr>
          <w:sz w:val="24"/>
          <w:szCs w:val="24"/>
        </w:rPr>
        <w:t xml:space="preserve">Enzalutamid var ikke fototoksisk </w:t>
      </w:r>
      <w:r w:rsidRPr="00360D7C">
        <w:rPr>
          <w:i/>
          <w:sz w:val="24"/>
          <w:szCs w:val="24"/>
        </w:rPr>
        <w:t>in vitro</w:t>
      </w:r>
      <w:r w:rsidRPr="00360D7C">
        <w:rPr>
          <w:sz w:val="24"/>
          <w:szCs w:val="24"/>
        </w:rPr>
        <w:t>.</w:t>
      </w:r>
    </w:p>
    <w:p w14:paraId="380E157A" w14:textId="77777777" w:rsidR="009260DE" w:rsidRPr="00C84483" w:rsidRDefault="009260DE" w:rsidP="00360D7C">
      <w:pPr>
        <w:tabs>
          <w:tab w:val="left" w:pos="851"/>
        </w:tabs>
        <w:ind w:left="851"/>
        <w:rPr>
          <w:sz w:val="24"/>
          <w:szCs w:val="24"/>
        </w:rPr>
      </w:pPr>
    </w:p>
    <w:p w14:paraId="0F5AA8CA" w14:textId="77777777" w:rsidR="009260DE" w:rsidRPr="00C84483" w:rsidRDefault="009260DE" w:rsidP="00360D7C">
      <w:pPr>
        <w:tabs>
          <w:tab w:val="left" w:pos="851"/>
        </w:tabs>
        <w:ind w:left="851"/>
        <w:rPr>
          <w:sz w:val="24"/>
          <w:szCs w:val="24"/>
        </w:rPr>
      </w:pPr>
    </w:p>
    <w:p w14:paraId="2409FB17"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2DF2738E" w14:textId="77777777" w:rsidR="009260DE" w:rsidRPr="00BA09F1" w:rsidRDefault="009260DE" w:rsidP="009260DE">
      <w:pPr>
        <w:tabs>
          <w:tab w:val="left" w:pos="851"/>
        </w:tabs>
        <w:ind w:left="851"/>
        <w:rPr>
          <w:sz w:val="24"/>
          <w:szCs w:val="24"/>
        </w:rPr>
      </w:pPr>
    </w:p>
    <w:p w14:paraId="4947CC07"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65E07D25" w14:textId="77777777" w:rsidR="00360D7C" w:rsidRPr="00360D7C" w:rsidRDefault="00360D7C" w:rsidP="00360D7C">
      <w:pPr>
        <w:tabs>
          <w:tab w:val="left" w:pos="851"/>
        </w:tabs>
        <w:ind w:left="851"/>
        <w:rPr>
          <w:b/>
          <w:sz w:val="24"/>
          <w:szCs w:val="24"/>
        </w:rPr>
      </w:pPr>
    </w:p>
    <w:p w14:paraId="702DD120" w14:textId="77777777" w:rsidR="00360D7C" w:rsidRPr="00360D7C" w:rsidRDefault="00360D7C" w:rsidP="00360D7C">
      <w:pPr>
        <w:tabs>
          <w:tab w:val="left" w:pos="851"/>
        </w:tabs>
        <w:ind w:left="851"/>
        <w:rPr>
          <w:sz w:val="24"/>
          <w:szCs w:val="24"/>
        </w:rPr>
      </w:pPr>
      <w:r w:rsidRPr="00360D7C">
        <w:rPr>
          <w:sz w:val="24"/>
          <w:szCs w:val="24"/>
          <w:u w:val="single"/>
        </w:rPr>
        <w:t>Tabletkerne</w:t>
      </w:r>
      <w:r w:rsidRPr="00360D7C">
        <w:rPr>
          <w:sz w:val="24"/>
          <w:szCs w:val="24"/>
        </w:rPr>
        <w:t xml:space="preserve"> </w:t>
      </w:r>
      <w:r w:rsidRPr="00360D7C">
        <w:rPr>
          <w:sz w:val="24"/>
          <w:szCs w:val="24"/>
        </w:rPr>
        <w:br/>
        <w:t xml:space="preserve">Cellulose, mikrokrystallinsk </w:t>
      </w:r>
      <w:r w:rsidRPr="00360D7C">
        <w:rPr>
          <w:sz w:val="24"/>
          <w:szCs w:val="24"/>
        </w:rPr>
        <w:br/>
        <w:t>Natriumcroscarmellose</w:t>
      </w:r>
      <w:r w:rsidRPr="00360D7C">
        <w:rPr>
          <w:sz w:val="24"/>
          <w:szCs w:val="24"/>
        </w:rPr>
        <w:br/>
        <w:t>Hypromellosephthalat</w:t>
      </w:r>
      <w:r w:rsidRPr="00360D7C">
        <w:rPr>
          <w:sz w:val="24"/>
          <w:szCs w:val="24"/>
        </w:rPr>
        <w:br/>
        <w:t>Natriumlaurylsulfat</w:t>
      </w:r>
      <w:r w:rsidRPr="00360D7C">
        <w:rPr>
          <w:sz w:val="24"/>
          <w:szCs w:val="24"/>
        </w:rPr>
        <w:br/>
        <w:t>Lavt substitueret hydroxypropylcellulose</w:t>
      </w:r>
      <w:r w:rsidRPr="00360D7C">
        <w:rPr>
          <w:sz w:val="24"/>
          <w:szCs w:val="24"/>
        </w:rPr>
        <w:br/>
        <w:t>Kolloidalt silica</w:t>
      </w:r>
      <w:r w:rsidRPr="00360D7C">
        <w:rPr>
          <w:sz w:val="24"/>
          <w:szCs w:val="24"/>
        </w:rPr>
        <w:br/>
        <w:t>Magnesiumstearat</w:t>
      </w:r>
      <w:r w:rsidRPr="00360D7C">
        <w:rPr>
          <w:sz w:val="24"/>
          <w:szCs w:val="24"/>
        </w:rPr>
        <w:br/>
      </w:r>
    </w:p>
    <w:p w14:paraId="28BCACEA" w14:textId="175EBC1C" w:rsidR="00360D7C" w:rsidRPr="00360D7C" w:rsidRDefault="00360D7C" w:rsidP="00360D7C">
      <w:pPr>
        <w:tabs>
          <w:tab w:val="left" w:pos="851"/>
        </w:tabs>
        <w:ind w:left="851"/>
        <w:rPr>
          <w:sz w:val="24"/>
          <w:szCs w:val="24"/>
        </w:rPr>
      </w:pPr>
      <w:r w:rsidRPr="00360D7C">
        <w:rPr>
          <w:sz w:val="24"/>
          <w:szCs w:val="24"/>
          <w:u w:val="single"/>
        </w:rPr>
        <w:t>Filmovertræk</w:t>
      </w:r>
      <w:r w:rsidRPr="00360D7C">
        <w:rPr>
          <w:sz w:val="24"/>
          <w:szCs w:val="24"/>
        </w:rPr>
        <w:t xml:space="preserve"> </w:t>
      </w:r>
      <w:r w:rsidRPr="00360D7C">
        <w:rPr>
          <w:sz w:val="24"/>
          <w:szCs w:val="24"/>
        </w:rPr>
        <w:br/>
        <w:t>Hypromellose (E464)</w:t>
      </w:r>
      <w:r w:rsidRPr="00360D7C">
        <w:rPr>
          <w:sz w:val="24"/>
          <w:szCs w:val="24"/>
        </w:rPr>
        <w:br/>
        <w:t>Titandioxid (E171)</w:t>
      </w:r>
      <w:r w:rsidRPr="00360D7C">
        <w:rPr>
          <w:sz w:val="24"/>
          <w:szCs w:val="24"/>
        </w:rPr>
        <w:br/>
        <w:t>Macrogol (E1521)</w:t>
      </w:r>
      <w:r w:rsidRPr="00360D7C">
        <w:rPr>
          <w:sz w:val="24"/>
          <w:szCs w:val="24"/>
        </w:rPr>
        <w:br/>
        <w:t>Jernoxid, gul (E172)</w:t>
      </w:r>
    </w:p>
    <w:p w14:paraId="3DF6BEE5" w14:textId="77777777" w:rsidR="009260DE" w:rsidRPr="00C84483" w:rsidRDefault="009260DE" w:rsidP="009260DE">
      <w:pPr>
        <w:tabs>
          <w:tab w:val="left" w:pos="851"/>
        </w:tabs>
        <w:ind w:left="851"/>
        <w:rPr>
          <w:sz w:val="24"/>
          <w:szCs w:val="24"/>
        </w:rPr>
      </w:pPr>
    </w:p>
    <w:p w14:paraId="3E0630E2"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72C8330A" w14:textId="77777777" w:rsidR="00360D7C" w:rsidRPr="00360D7C" w:rsidRDefault="00360D7C" w:rsidP="00360D7C">
      <w:pPr>
        <w:tabs>
          <w:tab w:val="left" w:pos="851"/>
        </w:tabs>
        <w:ind w:left="851"/>
        <w:rPr>
          <w:sz w:val="24"/>
          <w:szCs w:val="24"/>
        </w:rPr>
      </w:pPr>
      <w:r w:rsidRPr="00360D7C">
        <w:rPr>
          <w:sz w:val="24"/>
          <w:szCs w:val="24"/>
        </w:rPr>
        <w:t>Ikke relevant.</w:t>
      </w:r>
    </w:p>
    <w:p w14:paraId="7B4F205F" w14:textId="77777777" w:rsidR="009260DE" w:rsidRPr="00C84483" w:rsidRDefault="009260DE" w:rsidP="009260DE">
      <w:pPr>
        <w:tabs>
          <w:tab w:val="left" w:pos="851"/>
        </w:tabs>
        <w:ind w:left="851"/>
        <w:rPr>
          <w:sz w:val="24"/>
          <w:szCs w:val="24"/>
        </w:rPr>
      </w:pPr>
    </w:p>
    <w:p w14:paraId="2599D05A"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1D17C7B1" w14:textId="77777777" w:rsidR="00360D7C" w:rsidRPr="00360D7C" w:rsidRDefault="00360D7C" w:rsidP="00360D7C">
      <w:pPr>
        <w:tabs>
          <w:tab w:val="left" w:pos="851"/>
        </w:tabs>
        <w:ind w:left="851"/>
        <w:rPr>
          <w:b/>
          <w:sz w:val="24"/>
          <w:szCs w:val="24"/>
        </w:rPr>
      </w:pPr>
    </w:p>
    <w:p w14:paraId="345492F0" w14:textId="77777777" w:rsidR="00360D7C" w:rsidRPr="00360D7C" w:rsidRDefault="00360D7C" w:rsidP="00360D7C">
      <w:pPr>
        <w:tabs>
          <w:tab w:val="left" w:pos="851"/>
        </w:tabs>
        <w:ind w:left="851"/>
        <w:rPr>
          <w:sz w:val="24"/>
          <w:szCs w:val="24"/>
          <w:u w:val="single"/>
        </w:rPr>
      </w:pPr>
      <w:r w:rsidRPr="00360D7C">
        <w:rPr>
          <w:sz w:val="24"/>
          <w:szCs w:val="24"/>
          <w:u w:val="single"/>
        </w:rPr>
        <w:t>Enzalutamide "Teva" 40 mg filmovertrukne tabletter</w:t>
      </w:r>
    </w:p>
    <w:p w14:paraId="2B95DF86" w14:textId="36826768" w:rsidR="00360D7C" w:rsidRDefault="00360D7C" w:rsidP="00360D7C">
      <w:pPr>
        <w:tabs>
          <w:tab w:val="left" w:pos="851"/>
        </w:tabs>
        <w:ind w:left="851"/>
        <w:rPr>
          <w:sz w:val="24"/>
          <w:szCs w:val="24"/>
        </w:rPr>
      </w:pPr>
      <w:r w:rsidRPr="00360D7C">
        <w:rPr>
          <w:sz w:val="24"/>
          <w:szCs w:val="24"/>
        </w:rPr>
        <w:t>PVC/PCTFE/PVC//Alu: 3 år.</w:t>
      </w:r>
    </w:p>
    <w:p w14:paraId="6FBA1C89" w14:textId="7C2AEDD8" w:rsidR="00360D7C" w:rsidRPr="00360D7C" w:rsidRDefault="00360D7C" w:rsidP="00360D7C">
      <w:pPr>
        <w:tabs>
          <w:tab w:val="left" w:pos="851"/>
        </w:tabs>
        <w:ind w:left="851"/>
        <w:rPr>
          <w:sz w:val="24"/>
          <w:szCs w:val="24"/>
        </w:rPr>
      </w:pPr>
      <w:r w:rsidRPr="00360D7C">
        <w:rPr>
          <w:sz w:val="24"/>
          <w:szCs w:val="24"/>
        </w:rPr>
        <w:t>PVC/PE/PVDC//Alu</w:t>
      </w:r>
      <w:r>
        <w:rPr>
          <w:sz w:val="24"/>
          <w:szCs w:val="24"/>
        </w:rPr>
        <w:t>: 3 år.</w:t>
      </w:r>
    </w:p>
    <w:p w14:paraId="2FACE575" w14:textId="77777777" w:rsidR="00360D7C" w:rsidRPr="00360D7C" w:rsidRDefault="00360D7C" w:rsidP="00360D7C">
      <w:pPr>
        <w:tabs>
          <w:tab w:val="left" w:pos="851"/>
        </w:tabs>
        <w:ind w:left="851"/>
        <w:rPr>
          <w:sz w:val="24"/>
          <w:szCs w:val="24"/>
        </w:rPr>
      </w:pPr>
    </w:p>
    <w:p w14:paraId="16EB81D0" w14:textId="77777777" w:rsidR="00360D7C" w:rsidRPr="00360D7C" w:rsidRDefault="00360D7C" w:rsidP="00360D7C">
      <w:pPr>
        <w:tabs>
          <w:tab w:val="left" w:pos="851"/>
        </w:tabs>
        <w:ind w:left="851"/>
        <w:rPr>
          <w:sz w:val="24"/>
          <w:szCs w:val="24"/>
          <w:u w:val="single"/>
        </w:rPr>
      </w:pPr>
      <w:r w:rsidRPr="00360D7C">
        <w:rPr>
          <w:sz w:val="24"/>
          <w:szCs w:val="24"/>
          <w:u w:val="single"/>
        </w:rPr>
        <w:t>Enzalutamide "Teva" 80 mg filmovertrukne tabletter</w:t>
      </w:r>
    </w:p>
    <w:p w14:paraId="63DFC6E7" w14:textId="77777777" w:rsidR="00360D7C" w:rsidRPr="00360D7C" w:rsidRDefault="00360D7C" w:rsidP="00360D7C">
      <w:pPr>
        <w:tabs>
          <w:tab w:val="left" w:pos="851"/>
        </w:tabs>
        <w:ind w:left="851"/>
        <w:rPr>
          <w:sz w:val="24"/>
          <w:szCs w:val="24"/>
        </w:rPr>
      </w:pPr>
      <w:r w:rsidRPr="00360D7C">
        <w:rPr>
          <w:sz w:val="24"/>
          <w:szCs w:val="24"/>
        </w:rPr>
        <w:t>PVC/PCTFE/PVC//Alu: 3 år.</w:t>
      </w:r>
    </w:p>
    <w:p w14:paraId="1ADE6A8E" w14:textId="77777777" w:rsidR="00360D7C" w:rsidRPr="00360D7C" w:rsidRDefault="00360D7C" w:rsidP="00360D7C">
      <w:pPr>
        <w:tabs>
          <w:tab w:val="left" w:pos="851"/>
        </w:tabs>
        <w:ind w:left="851"/>
        <w:rPr>
          <w:sz w:val="24"/>
          <w:szCs w:val="24"/>
        </w:rPr>
      </w:pPr>
      <w:r w:rsidRPr="00360D7C">
        <w:rPr>
          <w:sz w:val="24"/>
          <w:szCs w:val="24"/>
        </w:rPr>
        <w:t>PVC/PE/PVDC//Alu: 2 år.</w:t>
      </w:r>
    </w:p>
    <w:p w14:paraId="1FC27357" w14:textId="77777777" w:rsidR="009260DE" w:rsidRPr="00C84483" w:rsidRDefault="009260DE" w:rsidP="009260DE">
      <w:pPr>
        <w:tabs>
          <w:tab w:val="left" w:pos="851"/>
        </w:tabs>
        <w:ind w:left="851"/>
        <w:rPr>
          <w:sz w:val="24"/>
          <w:szCs w:val="24"/>
        </w:rPr>
      </w:pPr>
    </w:p>
    <w:p w14:paraId="01CFA581"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31F2E68" w14:textId="77777777" w:rsidR="00360D7C" w:rsidRDefault="00360D7C" w:rsidP="00360D7C">
      <w:pPr>
        <w:tabs>
          <w:tab w:val="left" w:pos="851"/>
        </w:tabs>
        <w:ind w:left="851"/>
        <w:rPr>
          <w:sz w:val="24"/>
          <w:szCs w:val="24"/>
          <w:u w:val="single"/>
        </w:rPr>
      </w:pPr>
    </w:p>
    <w:p w14:paraId="3D3091D7" w14:textId="40BA38BB" w:rsidR="00360D7C" w:rsidRPr="00360D7C" w:rsidRDefault="00360D7C" w:rsidP="00360D7C">
      <w:pPr>
        <w:tabs>
          <w:tab w:val="left" w:pos="851"/>
        </w:tabs>
        <w:ind w:left="851"/>
        <w:rPr>
          <w:sz w:val="24"/>
          <w:szCs w:val="24"/>
          <w:u w:val="single"/>
        </w:rPr>
      </w:pPr>
      <w:r w:rsidRPr="00360D7C">
        <w:rPr>
          <w:sz w:val="24"/>
          <w:szCs w:val="24"/>
          <w:u w:val="single"/>
        </w:rPr>
        <w:t>Enzalutamide "Teva" 40 mg filmovertrukne tabletter</w:t>
      </w:r>
    </w:p>
    <w:p w14:paraId="0B57B85B" w14:textId="40B0F3F6" w:rsidR="00360D7C" w:rsidRPr="00360D7C" w:rsidRDefault="00360D7C" w:rsidP="00360D7C">
      <w:pPr>
        <w:tabs>
          <w:tab w:val="left" w:pos="851"/>
        </w:tabs>
        <w:ind w:left="851"/>
        <w:rPr>
          <w:i/>
          <w:sz w:val="24"/>
          <w:szCs w:val="24"/>
        </w:rPr>
      </w:pPr>
      <w:r w:rsidRPr="00360D7C">
        <w:rPr>
          <w:i/>
          <w:sz w:val="24"/>
          <w:szCs w:val="24"/>
        </w:rPr>
        <w:t>PVC/PCTFE/PVC//Alu</w:t>
      </w:r>
      <w:r>
        <w:rPr>
          <w:sz w:val="24"/>
          <w:szCs w:val="24"/>
        </w:rPr>
        <w:t xml:space="preserve"> og </w:t>
      </w:r>
      <w:r w:rsidRPr="00360D7C">
        <w:rPr>
          <w:i/>
          <w:sz w:val="24"/>
          <w:szCs w:val="24"/>
        </w:rPr>
        <w:t>PVC/PE/PVDC//Alu</w:t>
      </w:r>
    </w:p>
    <w:p w14:paraId="3F4826F8" w14:textId="77777777" w:rsidR="00360D7C" w:rsidRPr="00360D7C" w:rsidRDefault="00360D7C" w:rsidP="00360D7C">
      <w:pPr>
        <w:tabs>
          <w:tab w:val="left" w:pos="851"/>
        </w:tabs>
        <w:ind w:left="851"/>
        <w:rPr>
          <w:sz w:val="24"/>
          <w:szCs w:val="24"/>
        </w:rPr>
      </w:pPr>
      <w:r w:rsidRPr="00360D7C">
        <w:rPr>
          <w:sz w:val="24"/>
          <w:szCs w:val="24"/>
        </w:rPr>
        <w:t>Dette lægemiddel kræver ingen særlige forholdsregler vedrørende opbevaringen.</w:t>
      </w:r>
    </w:p>
    <w:p w14:paraId="4E0BBC81" w14:textId="5F8C01F3" w:rsidR="00360D7C" w:rsidRDefault="00360D7C">
      <w:pPr>
        <w:rPr>
          <w:sz w:val="24"/>
          <w:szCs w:val="24"/>
        </w:rPr>
      </w:pPr>
      <w:r>
        <w:rPr>
          <w:sz w:val="24"/>
          <w:szCs w:val="24"/>
        </w:rPr>
        <w:br w:type="page"/>
      </w:r>
    </w:p>
    <w:p w14:paraId="1933C276" w14:textId="77777777" w:rsidR="00360D7C" w:rsidRPr="00360D7C" w:rsidRDefault="00360D7C" w:rsidP="00360D7C">
      <w:pPr>
        <w:tabs>
          <w:tab w:val="left" w:pos="851"/>
        </w:tabs>
        <w:ind w:left="851"/>
        <w:rPr>
          <w:sz w:val="24"/>
          <w:szCs w:val="24"/>
        </w:rPr>
      </w:pPr>
    </w:p>
    <w:p w14:paraId="334B747C" w14:textId="77777777" w:rsidR="00360D7C" w:rsidRPr="00360D7C" w:rsidRDefault="00360D7C" w:rsidP="00360D7C">
      <w:pPr>
        <w:tabs>
          <w:tab w:val="left" w:pos="851"/>
        </w:tabs>
        <w:ind w:left="851"/>
        <w:rPr>
          <w:sz w:val="24"/>
          <w:szCs w:val="24"/>
          <w:u w:val="single"/>
        </w:rPr>
      </w:pPr>
      <w:r w:rsidRPr="00360D7C">
        <w:rPr>
          <w:sz w:val="24"/>
          <w:szCs w:val="24"/>
          <w:u w:val="single"/>
        </w:rPr>
        <w:t>Enzalutamide "Teva" 80 mg filmovertrukne tabletter</w:t>
      </w:r>
    </w:p>
    <w:p w14:paraId="70C087CB" w14:textId="77777777" w:rsidR="00360D7C" w:rsidRPr="00360D7C" w:rsidRDefault="00360D7C" w:rsidP="00360D7C">
      <w:pPr>
        <w:tabs>
          <w:tab w:val="left" w:pos="851"/>
        </w:tabs>
        <w:ind w:left="851"/>
        <w:rPr>
          <w:i/>
          <w:sz w:val="24"/>
          <w:szCs w:val="24"/>
        </w:rPr>
      </w:pPr>
      <w:r w:rsidRPr="00360D7C">
        <w:rPr>
          <w:i/>
          <w:sz w:val="24"/>
          <w:szCs w:val="24"/>
        </w:rPr>
        <w:t>PVC/PCTFE/PVC//Alu</w:t>
      </w:r>
    </w:p>
    <w:p w14:paraId="25267347" w14:textId="77777777" w:rsidR="00360D7C" w:rsidRPr="00360D7C" w:rsidRDefault="00360D7C" w:rsidP="00360D7C">
      <w:pPr>
        <w:tabs>
          <w:tab w:val="left" w:pos="851"/>
        </w:tabs>
        <w:ind w:left="851"/>
        <w:rPr>
          <w:sz w:val="24"/>
          <w:szCs w:val="24"/>
        </w:rPr>
      </w:pPr>
      <w:r w:rsidRPr="00360D7C">
        <w:rPr>
          <w:sz w:val="24"/>
          <w:szCs w:val="24"/>
        </w:rPr>
        <w:t>Dette lægemiddel kræver ingen særlige forholdsregler vedrørende opbevaringen.</w:t>
      </w:r>
    </w:p>
    <w:p w14:paraId="4F21406F" w14:textId="77777777" w:rsidR="00360D7C" w:rsidRPr="00360D7C" w:rsidRDefault="00360D7C" w:rsidP="00360D7C">
      <w:pPr>
        <w:tabs>
          <w:tab w:val="left" w:pos="851"/>
        </w:tabs>
        <w:ind w:left="851"/>
        <w:rPr>
          <w:sz w:val="24"/>
          <w:szCs w:val="24"/>
        </w:rPr>
      </w:pPr>
    </w:p>
    <w:p w14:paraId="49B1D3C4" w14:textId="77777777" w:rsidR="00360D7C" w:rsidRPr="00360D7C" w:rsidRDefault="00360D7C" w:rsidP="00360D7C">
      <w:pPr>
        <w:tabs>
          <w:tab w:val="left" w:pos="851"/>
        </w:tabs>
        <w:ind w:left="851"/>
        <w:rPr>
          <w:i/>
          <w:sz w:val="24"/>
          <w:szCs w:val="24"/>
        </w:rPr>
      </w:pPr>
      <w:r w:rsidRPr="00360D7C">
        <w:rPr>
          <w:i/>
          <w:sz w:val="24"/>
          <w:szCs w:val="24"/>
        </w:rPr>
        <w:t>PVC/PE/PVDC//Alu</w:t>
      </w:r>
    </w:p>
    <w:p w14:paraId="4615E031" w14:textId="77777777" w:rsidR="00360D7C" w:rsidRPr="00360D7C" w:rsidRDefault="00360D7C" w:rsidP="00360D7C">
      <w:pPr>
        <w:tabs>
          <w:tab w:val="left" w:pos="851"/>
        </w:tabs>
        <w:ind w:left="851"/>
        <w:rPr>
          <w:sz w:val="24"/>
          <w:szCs w:val="24"/>
        </w:rPr>
      </w:pPr>
      <w:r w:rsidRPr="00360D7C">
        <w:rPr>
          <w:sz w:val="24"/>
          <w:szCs w:val="24"/>
        </w:rPr>
        <w:t>Må ikke opbevares ved temperaturer over 25 °C.</w:t>
      </w:r>
    </w:p>
    <w:p w14:paraId="099E3D9B" w14:textId="77777777" w:rsidR="009260DE" w:rsidRPr="00C84483" w:rsidRDefault="009260DE" w:rsidP="009260DE">
      <w:pPr>
        <w:tabs>
          <w:tab w:val="left" w:pos="851"/>
        </w:tabs>
        <w:ind w:left="851"/>
        <w:rPr>
          <w:sz w:val="24"/>
          <w:szCs w:val="24"/>
        </w:rPr>
      </w:pPr>
    </w:p>
    <w:p w14:paraId="16AE0973"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0D4E3BDB" w14:textId="77777777" w:rsidR="00360D7C" w:rsidRPr="00360D7C" w:rsidRDefault="00360D7C" w:rsidP="00360D7C">
      <w:pPr>
        <w:tabs>
          <w:tab w:val="left" w:pos="851"/>
        </w:tabs>
        <w:ind w:left="851"/>
        <w:rPr>
          <w:b/>
          <w:sz w:val="24"/>
          <w:szCs w:val="24"/>
        </w:rPr>
      </w:pPr>
    </w:p>
    <w:p w14:paraId="0D5B09B1" w14:textId="77777777" w:rsidR="00360D7C" w:rsidRPr="00360D7C" w:rsidRDefault="00360D7C" w:rsidP="00360D7C">
      <w:pPr>
        <w:tabs>
          <w:tab w:val="left" w:pos="851"/>
        </w:tabs>
        <w:ind w:left="851"/>
        <w:rPr>
          <w:sz w:val="24"/>
          <w:szCs w:val="24"/>
          <w:u w:val="single"/>
        </w:rPr>
      </w:pPr>
      <w:r w:rsidRPr="00360D7C">
        <w:rPr>
          <w:sz w:val="24"/>
          <w:szCs w:val="24"/>
          <w:u w:val="single"/>
        </w:rPr>
        <w:t>Enzalutamide "Teva" 40 mg filmovertrukne tabletter</w:t>
      </w:r>
    </w:p>
    <w:p w14:paraId="788F8990" w14:textId="77777777" w:rsidR="00360D7C" w:rsidRPr="00360D7C" w:rsidRDefault="00360D7C" w:rsidP="00360D7C">
      <w:pPr>
        <w:tabs>
          <w:tab w:val="left" w:pos="851"/>
        </w:tabs>
        <w:ind w:left="851"/>
        <w:rPr>
          <w:i/>
          <w:sz w:val="24"/>
          <w:szCs w:val="24"/>
        </w:rPr>
      </w:pPr>
      <w:r w:rsidRPr="00360D7C">
        <w:rPr>
          <w:i/>
          <w:sz w:val="24"/>
          <w:szCs w:val="24"/>
        </w:rPr>
        <w:t>PVC/PCTFE/PVC//Alu- eller PVC/PE/PVDC//Alu-blistre eller -kalenderblistre.</w:t>
      </w:r>
    </w:p>
    <w:p w14:paraId="702C9286" w14:textId="656F6ADA" w:rsidR="00360D7C" w:rsidRPr="00360D7C" w:rsidRDefault="00360D7C" w:rsidP="00360D7C">
      <w:pPr>
        <w:tabs>
          <w:tab w:val="left" w:pos="851"/>
        </w:tabs>
        <w:ind w:left="851"/>
        <w:rPr>
          <w:sz w:val="24"/>
          <w:szCs w:val="24"/>
        </w:rPr>
      </w:pPr>
      <w:r w:rsidRPr="00360D7C">
        <w:rPr>
          <w:sz w:val="24"/>
          <w:szCs w:val="24"/>
        </w:rPr>
        <w:t>Pakningsstørrelse</w:t>
      </w:r>
      <w:r>
        <w:rPr>
          <w:sz w:val="24"/>
          <w:szCs w:val="24"/>
        </w:rPr>
        <w:t>r</w:t>
      </w:r>
      <w:r w:rsidRPr="00360D7C">
        <w:rPr>
          <w:sz w:val="24"/>
          <w:szCs w:val="24"/>
        </w:rPr>
        <w:t>: 112 filmovertrukne tabletter.</w:t>
      </w:r>
    </w:p>
    <w:p w14:paraId="78FE0A6C" w14:textId="77777777" w:rsidR="00360D7C" w:rsidRPr="00360D7C" w:rsidRDefault="00360D7C" w:rsidP="00360D7C">
      <w:pPr>
        <w:tabs>
          <w:tab w:val="left" w:pos="851"/>
        </w:tabs>
        <w:ind w:left="851"/>
        <w:rPr>
          <w:sz w:val="24"/>
          <w:szCs w:val="24"/>
        </w:rPr>
      </w:pPr>
    </w:p>
    <w:p w14:paraId="44E2D93B" w14:textId="77777777" w:rsidR="00360D7C" w:rsidRPr="00360D7C" w:rsidRDefault="00360D7C" w:rsidP="00360D7C">
      <w:pPr>
        <w:tabs>
          <w:tab w:val="left" w:pos="851"/>
        </w:tabs>
        <w:ind w:left="851"/>
        <w:rPr>
          <w:sz w:val="24"/>
          <w:szCs w:val="24"/>
          <w:u w:val="single"/>
        </w:rPr>
      </w:pPr>
      <w:r w:rsidRPr="00360D7C">
        <w:rPr>
          <w:sz w:val="24"/>
          <w:szCs w:val="24"/>
          <w:u w:val="single"/>
        </w:rPr>
        <w:t>Enzalutamide "Teva" 80 mg filmovertrukne tabletter</w:t>
      </w:r>
    </w:p>
    <w:p w14:paraId="4DB479FC" w14:textId="77777777" w:rsidR="00360D7C" w:rsidRPr="00360D7C" w:rsidRDefault="00360D7C" w:rsidP="00360D7C">
      <w:pPr>
        <w:tabs>
          <w:tab w:val="left" w:pos="851"/>
        </w:tabs>
        <w:ind w:left="851"/>
        <w:rPr>
          <w:i/>
          <w:sz w:val="24"/>
          <w:szCs w:val="24"/>
        </w:rPr>
      </w:pPr>
      <w:r w:rsidRPr="00360D7C">
        <w:rPr>
          <w:i/>
          <w:sz w:val="24"/>
          <w:szCs w:val="24"/>
        </w:rPr>
        <w:t>PVC/PCTFE/PVC//Alu- eller PVC/PE/PVDC//Alu-blistre eller -kalenderblistre.</w:t>
      </w:r>
    </w:p>
    <w:p w14:paraId="06D1D1C5" w14:textId="7E632288" w:rsidR="00360D7C" w:rsidRPr="00360D7C" w:rsidRDefault="00360D7C" w:rsidP="00360D7C">
      <w:pPr>
        <w:tabs>
          <w:tab w:val="left" w:pos="851"/>
        </w:tabs>
        <w:ind w:left="851"/>
        <w:rPr>
          <w:sz w:val="24"/>
          <w:szCs w:val="24"/>
        </w:rPr>
      </w:pPr>
      <w:r w:rsidRPr="00360D7C">
        <w:rPr>
          <w:sz w:val="24"/>
          <w:szCs w:val="24"/>
        </w:rPr>
        <w:t>Pakningsstørrelse</w:t>
      </w:r>
      <w:r>
        <w:rPr>
          <w:sz w:val="24"/>
          <w:szCs w:val="24"/>
        </w:rPr>
        <w:t>r</w:t>
      </w:r>
      <w:r w:rsidRPr="00360D7C">
        <w:rPr>
          <w:sz w:val="24"/>
          <w:szCs w:val="24"/>
        </w:rPr>
        <w:t>: 56 filmovertrukne tabletter.</w:t>
      </w:r>
    </w:p>
    <w:p w14:paraId="3A6929B7" w14:textId="77777777" w:rsidR="00360D7C" w:rsidRPr="00360D7C" w:rsidRDefault="00360D7C" w:rsidP="00360D7C">
      <w:pPr>
        <w:tabs>
          <w:tab w:val="left" w:pos="851"/>
        </w:tabs>
        <w:ind w:left="851"/>
        <w:rPr>
          <w:sz w:val="24"/>
          <w:szCs w:val="24"/>
        </w:rPr>
      </w:pPr>
    </w:p>
    <w:p w14:paraId="6F721F54" w14:textId="77777777" w:rsidR="00360D7C" w:rsidRPr="00360D7C" w:rsidRDefault="00360D7C" w:rsidP="00360D7C">
      <w:pPr>
        <w:tabs>
          <w:tab w:val="left" w:pos="851"/>
        </w:tabs>
        <w:ind w:left="851"/>
        <w:rPr>
          <w:i/>
          <w:sz w:val="24"/>
          <w:szCs w:val="24"/>
        </w:rPr>
      </w:pPr>
      <w:r w:rsidRPr="00360D7C">
        <w:rPr>
          <w:i/>
          <w:sz w:val="24"/>
          <w:szCs w:val="24"/>
        </w:rPr>
        <w:t xml:space="preserve">Perforerede PVC/PCTFE/PVC//Alu- eller PVC/PE/PVDC//Alu-enkeltdosisblistre eller </w:t>
      </w:r>
    </w:p>
    <w:p w14:paraId="0828CF28" w14:textId="77777777" w:rsidR="00360D7C" w:rsidRPr="00360D7C" w:rsidRDefault="00360D7C" w:rsidP="00360D7C">
      <w:pPr>
        <w:tabs>
          <w:tab w:val="left" w:pos="851"/>
        </w:tabs>
        <w:ind w:left="851"/>
        <w:rPr>
          <w:i/>
          <w:sz w:val="24"/>
          <w:szCs w:val="24"/>
        </w:rPr>
      </w:pPr>
      <w:r w:rsidRPr="00360D7C">
        <w:rPr>
          <w:i/>
          <w:sz w:val="24"/>
          <w:szCs w:val="24"/>
        </w:rPr>
        <w:t>-enkeltdosiskalenderblistre.</w:t>
      </w:r>
    </w:p>
    <w:p w14:paraId="3229C380" w14:textId="3F2EF7E6" w:rsidR="00360D7C" w:rsidRPr="00360D7C" w:rsidRDefault="00360D7C" w:rsidP="00360D7C">
      <w:pPr>
        <w:tabs>
          <w:tab w:val="left" w:pos="851"/>
        </w:tabs>
        <w:ind w:left="851"/>
        <w:rPr>
          <w:sz w:val="24"/>
          <w:szCs w:val="24"/>
        </w:rPr>
      </w:pPr>
      <w:r w:rsidRPr="00360D7C">
        <w:rPr>
          <w:sz w:val="24"/>
          <w:szCs w:val="24"/>
        </w:rPr>
        <w:t>Pakningsstørrelse</w:t>
      </w:r>
      <w:r>
        <w:rPr>
          <w:sz w:val="24"/>
          <w:szCs w:val="24"/>
        </w:rPr>
        <w:t>r</w:t>
      </w:r>
      <w:r w:rsidRPr="00360D7C">
        <w:rPr>
          <w:sz w:val="24"/>
          <w:szCs w:val="24"/>
        </w:rPr>
        <w:t>: 56</w:t>
      </w:r>
      <w:r>
        <w:rPr>
          <w:sz w:val="24"/>
          <w:szCs w:val="24"/>
        </w:rPr>
        <w:t>×1</w:t>
      </w:r>
      <w:r w:rsidRPr="00360D7C">
        <w:rPr>
          <w:sz w:val="24"/>
          <w:szCs w:val="24"/>
        </w:rPr>
        <w:t xml:space="preserve"> filmovertrukne tabletter.</w:t>
      </w:r>
    </w:p>
    <w:p w14:paraId="073DE364" w14:textId="77777777" w:rsidR="00360D7C" w:rsidRPr="00360D7C" w:rsidRDefault="00360D7C" w:rsidP="00360D7C">
      <w:pPr>
        <w:tabs>
          <w:tab w:val="left" w:pos="851"/>
        </w:tabs>
        <w:ind w:left="851"/>
        <w:rPr>
          <w:sz w:val="24"/>
          <w:szCs w:val="24"/>
        </w:rPr>
      </w:pPr>
    </w:p>
    <w:p w14:paraId="6C49174B" w14:textId="77777777" w:rsidR="00360D7C" w:rsidRPr="00360D7C" w:rsidRDefault="00360D7C" w:rsidP="00360D7C">
      <w:pPr>
        <w:tabs>
          <w:tab w:val="left" w:pos="851"/>
        </w:tabs>
        <w:ind w:left="851"/>
        <w:rPr>
          <w:sz w:val="24"/>
          <w:szCs w:val="24"/>
        </w:rPr>
      </w:pPr>
      <w:r w:rsidRPr="00360D7C">
        <w:rPr>
          <w:sz w:val="24"/>
          <w:szCs w:val="24"/>
        </w:rPr>
        <w:t>Ikke alle pakninger er nødvendigvis markedsført.</w:t>
      </w:r>
    </w:p>
    <w:p w14:paraId="6B583526" w14:textId="77777777" w:rsidR="009260DE" w:rsidRPr="00C84483" w:rsidRDefault="009260DE" w:rsidP="009260DE">
      <w:pPr>
        <w:tabs>
          <w:tab w:val="left" w:pos="851"/>
        </w:tabs>
        <w:ind w:left="851"/>
        <w:rPr>
          <w:sz w:val="24"/>
          <w:szCs w:val="24"/>
        </w:rPr>
      </w:pPr>
    </w:p>
    <w:p w14:paraId="31FBF16F"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6C1D13D6" w14:textId="77777777" w:rsidR="00E17EBB" w:rsidRPr="00E17EBB" w:rsidRDefault="00E17EBB" w:rsidP="00E17EBB">
      <w:pPr>
        <w:tabs>
          <w:tab w:val="left" w:pos="851"/>
        </w:tabs>
        <w:ind w:left="851"/>
        <w:rPr>
          <w:sz w:val="24"/>
          <w:szCs w:val="24"/>
        </w:rPr>
      </w:pPr>
      <w:r w:rsidRPr="00E17EBB">
        <w:rPr>
          <w:sz w:val="24"/>
          <w:szCs w:val="24"/>
        </w:rPr>
        <w:t xml:space="preserve">Enzalutamide "Teva" bør ikke håndteres af andre personer end patienten eller hans omsorgspersoner. På baggrund af virkningsmekanismen og den embryoføtale toksicitet observeret hos mus kan Enzalutamide "Teva" skade et voksende foster. </w:t>
      </w:r>
    </w:p>
    <w:p w14:paraId="328EDE7F" w14:textId="77777777" w:rsidR="00E17EBB" w:rsidRPr="00E17EBB" w:rsidRDefault="00E17EBB" w:rsidP="00E17EBB">
      <w:pPr>
        <w:tabs>
          <w:tab w:val="left" w:pos="851"/>
        </w:tabs>
        <w:ind w:left="851"/>
        <w:rPr>
          <w:sz w:val="24"/>
          <w:szCs w:val="24"/>
        </w:rPr>
      </w:pPr>
      <w:r w:rsidRPr="00E17EBB">
        <w:rPr>
          <w:sz w:val="24"/>
          <w:szCs w:val="24"/>
        </w:rPr>
        <w:t>Kvinder, der er eller kan blive gravide, må ikke håndtere knækkede eller beskadigede Enzalutamide "Teva"-tabletter uden beskyttelse, f.eks. handsker. Se pkt. 5.3. De filmovertrukne tabletter må ikke tygges, deles eller knuses.</w:t>
      </w:r>
    </w:p>
    <w:p w14:paraId="2DFA7B64" w14:textId="77777777" w:rsidR="00E17EBB" w:rsidRPr="00E17EBB" w:rsidRDefault="00E17EBB" w:rsidP="00E17EBB">
      <w:pPr>
        <w:tabs>
          <w:tab w:val="left" w:pos="851"/>
        </w:tabs>
        <w:ind w:left="851"/>
        <w:rPr>
          <w:sz w:val="24"/>
          <w:szCs w:val="24"/>
        </w:rPr>
      </w:pPr>
    </w:p>
    <w:p w14:paraId="7D5C6937" w14:textId="77777777" w:rsidR="00E17EBB" w:rsidRPr="00E17EBB" w:rsidRDefault="00E17EBB" w:rsidP="00E17EBB">
      <w:pPr>
        <w:tabs>
          <w:tab w:val="left" w:pos="851"/>
        </w:tabs>
        <w:ind w:left="851"/>
        <w:rPr>
          <w:sz w:val="24"/>
          <w:szCs w:val="24"/>
        </w:rPr>
      </w:pPr>
      <w:r w:rsidRPr="00E17EBB">
        <w:rPr>
          <w:sz w:val="24"/>
          <w:szCs w:val="24"/>
        </w:rPr>
        <w:t>Ikke anvendt lægemiddel samt affald heraf skal bortskaffes i henhold til lokale retningslinjer.</w:t>
      </w:r>
    </w:p>
    <w:p w14:paraId="63CBE37B" w14:textId="77777777" w:rsidR="009260DE" w:rsidRPr="00C84483" w:rsidRDefault="009260DE" w:rsidP="000730CA">
      <w:pPr>
        <w:tabs>
          <w:tab w:val="left" w:pos="851"/>
        </w:tabs>
        <w:ind w:left="851"/>
        <w:rPr>
          <w:sz w:val="24"/>
          <w:szCs w:val="24"/>
        </w:rPr>
      </w:pPr>
    </w:p>
    <w:p w14:paraId="1FE2CA2A"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14ECE8EF" w14:textId="2E12DA91" w:rsidR="00E17EBB" w:rsidRPr="00113711" w:rsidRDefault="00E17EBB" w:rsidP="00E17EBB">
      <w:pPr>
        <w:tabs>
          <w:tab w:val="left" w:pos="851"/>
        </w:tabs>
        <w:ind w:left="851"/>
        <w:rPr>
          <w:sz w:val="24"/>
          <w:szCs w:val="24"/>
        </w:rPr>
      </w:pPr>
      <w:bookmarkStart w:id="5" w:name="_Hlk194658805"/>
      <w:r w:rsidRPr="00113711">
        <w:rPr>
          <w:sz w:val="24"/>
          <w:szCs w:val="24"/>
        </w:rPr>
        <w:t>T</w:t>
      </w:r>
      <w:r w:rsidR="00F35132" w:rsidRPr="00113711">
        <w:rPr>
          <w:sz w:val="24"/>
          <w:szCs w:val="24"/>
        </w:rPr>
        <w:t>eva</w:t>
      </w:r>
      <w:r w:rsidRPr="00113711">
        <w:rPr>
          <w:sz w:val="24"/>
          <w:szCs w:val="24"/>
        </w:rPr>
        <w:t xml:space="preserve"> GmbH</w:t>
      </w:r>
    </w:p>
    <w:p w14:paraId="5FB0D092" w14:textId="77777777" w:rsidR="00E17EBB" w:rsidRPr="00E17EBB" w:rsidRDefault="00E17EBB" w:rsidP="00E17EBB">
      <w:pPr>
        <w:tabs>
          <w:tab w:val="left" w:pos="851"/>
        </w:tabs>
        <w:ind w:left="851"/>
        <w:rPr>
          <w:sz w:val="24"/>
          <w:szCs w:val="24"/>
        </w:rPr>
      </w:pPr>
      <w:r w:rsidRPr="00113711">
        <w:rPr>
          <w:sz w:val="24"/>
          <w:szCs w:val="24"/>
        </w:rPr>
        <w:t xml:space="preserve">Graf-Arco-Str. </w:t>
      </w:r>
      <w:r w:rsidRPr="00E17EBB">
        <w:rPr>
          <w:sz w:val="24"/>
          <w:szCs w:val="24"/>
        </w:rPr>
        <w:t>3</w:t>
      </w:r>
    </w:p>
    <w:p w14:paraId="1D3E5046" w14:textId="77777777" w:rsidR="00E17EBB" w:rsidRPr="00E17EBB" w:rsidRDefault="00E17EBB" w:rsidP="00E17EBB">
      <w:pPr>
        <w:tabs>
          <w:tab w:val="left" w:pos="851"/>
        </w:tabs>
        <w:ind w:left="851"/>
        <w:rPr>
          <w:sz w:val="24"/>
          <w:szCs w:val="24"/>
        </w:rPr>
      </w:pPr>
      <w:r w:rsidRPr="00E17EBB">
        <w:rPr>
          <w:sz w:val="24"/>
          <w:szCs w:val="24"/>
        </w:rPr>
        <w:t>89079 Ulm</w:t>
      </w:r>
    </w:p>
    <w:p w14:paraId="7A9A6218" w14:textId="77777777" w:rsidR="00E17EBB" w:rsidRPr="00E17EBB" w:rsidRDefault="00E17EBB" w:rsidP="00E17EBB">
      <w:pPr>
        <w:tabs>
          <w:tab w:val="left" w:pos="851"/>
        </w:tabs>
        <w:ind w:left="851"/>
        <w:rPr>
          <w:sz w:val="24"/>
          <w:szCs w:val="24"/>
        </w:rPr>
      </w:pPr>
      <w:r w:rsidRPr="00E17EBB">
        <w:rPr>
          <w:sz w:val="24"/>
          <w:szCs w:val="24"/>
        </w:rPr>
        <w:t>Tyskland</w:t>
      </w:r>
    </w:p>
    <w:p w14:paraId="0FB23CAA" w14:textId="77777777" w:rsidR="00E17EBB" w:rsidRPr="00E17EBB" w:rsidRDefault="00E17EBB" w:rsidP="00E17EBB">
      <w:pPr>
        <w:tabs>
          <w:tab w:val="left" w:pos="851"/>
        </w:tabs>
        <w:ind w:left="851"/>
        <w:rPr>
          <w:sz w:val="24"/>
          <w:szCs w:val="24"/>
        </w:rPr>
      </w:pPr>
    </w:p>
    <w:p w14:paraId="66A15418" w14:textId="65C81B37" w:rsidR="00E17EBB" w:rsidRPr="00E17EBB" w:rsidRDefault="00E17EBB" w:rsidP="00E17EBB">
      <w:pPr>
        <w:tabs>
          <w:tab w:val="left" w:pos="851"/>
        </w:tabs>
        <w:ind w:left="851"/>
        <w:rPr>
          <w:b/>
          <w:sz w:val="24"/>
          <w:szCs w:val="24"/>
        </w:rPr>
      </w:pPr>
      <w:r w:rsidRPr="00E17EBB">
        <w:rPr>
          <w:b/>
          <w:sz w:val="24"/>
          <w:szCs w:val="24"/>
        </w:rPr>
        <w:t>Repræsentant</w:t>
      </w:r>
    </w:p>
    <w:p w14:paraId="522F69D4" w14:textId="77777777" w:rsidR="00E17EBB" w:rsidRPr="00E17EBB" w:rsidRDefault="00E17EBB" w:rsidP="00E17EBB">
      <w:pPr>
        <w:tabs>
          <w:tab w:val="left" w:pos="851"/>
        </w:tabs>
        <w:ind w:left="851"/>
        <w:rPr>
          <w:sz w:val="24"/>
          <w:szCs w:val="24"/>
        </w:rPr>
      </w:pPr>
      <w:bookmarkStart w:id="6" w:name="_Hlk197079049"/>
      <w:r w:rsidRPr="00E17EBB">
        <w:rPr>
          <w:sz w:val="24"/>
          <w:szCs w:val="24"/>
        </w:rPr>
        <w:t>Teva Denmark A/S</w:t>
      </w:r>
    </w:p>
    <w:p w14:paraId="7FFBBE75" w14:textId="77777777" w:rsidR="00E17EBB" w:rsidRPr="00E17EBB" w:rsidRDefault="00E17EBB" w:rsidP="00E17EBB">
      <w:pPr>
        <w:tabs>
          <w:tab w:val="left" w:pos="851"/>
        </w:tabs>
        <w:ind w:left="851"/>
        <w:rPr>
          <w:sz w:val="24"/>
          <w:szCs w:val="24"/>
        </w:rPr>
      </w:pPr>
      <w:r w:rsidRPr="00E17EBB">
        <w:rPr>
          <w:sz w:val="24"/>
          <w:szCs w:val="24"/>
        </w:rPr>
        <w:t>Vandtårnsvej 83A</w:t>
      </w:r>
    </w:p>
    <w:p w14:paraId="77C6838A" w14:textId="77777777" w:rsidR="00E17EBB" w:rsidRPr="00E17EBB" w:rsidRDefault="00E17EBB" w:rsidP="00E17EBB">
      <w:pPr>
        <w:tabs>
          <w:tab w:val="left" w:pos="851"/>
        </w:tabs>
        <w:ind w:left="851"/>
        <w:rPr>
          <w:sz w:val="24"/>
          <w:szCs w:val="24"/>
        </w:rPr>
      </w:pPr>
      <w:r w:rsidRPr="00E17EBB">
        <w:rPr>
          <w:sz w:val="24"/>
          <w:szCs w:val="24"/>
        </w:rPr>
        <w:t>2860 Søborg</w:t>
      </w:r>
      <w:bookmarkEnd w:id="5"/>
      <w:bookmarkEnd w:id="6"/>
    </w:p>
    <w:p w14:paraId="42C08884" w14:textId="77777777" w:rsidR="00641C65" w:rsidRPr="00641C65" w:rsidRDefault="00641C65" w:rsidP="009260DE">
      <w:pPr>
        <w:tabs>
          <w:tab w:val="left" w:pos="851"/>
        </w:tabs>
        <w:ind w:left="851"/>
        <w:rPr>
          <w:sz w:val="24"/>
          <w:szCs w:val="24"/>
        </w:rPr>
      </w:pPr>
    </w:p>
    <w:p w14:paraId="6F42060B"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52EEC8E2" w14:textId="46488790" w:rsidR="009260DE" w:rsidRDefault="00E17EBB" w:rsidP="00E17EBB">
      <w:pPr>
        <w:tabs>
          <w:tab w:val="left" w:pos="851"/>
          <w:tab w:val="left" w:pos="1560"/>
        </w:tabs>
        <w:ind w:left="851"/>
        <w:rPr>
          <w:sz w:val="24"/>
          <w:szCs w:val="24"/>
        </w:rPr>
      </w:pPr>
      <w:r>
        <w:rPr>
          <w:sz w:val="24"/>
          <w:szCs w:val="24"/>
        </w:rPr>
        <w:t>40 mg:</w:t>
      </w:r>
      <w:r>
        <w:rPr>
          <w:sz w:val="24"/>
          <w:szCs w:val="24"/>
        </w:rPr>
        <w:tab/>
        <w:t>71554</w:t>
      </w:r>
    </w:p>
    <w:p w14:paraId="6785752E" w14:textId="0E8FC858" w:rsidR="00E17EBB" w:rsidRPr="00C84483" w:rsidRDefault="00E17EBB" w:rsidP="00E17EBB">
      <w:pPr>
        <w:tabs>
          <w:tab w:val="left" w:pos="851"/>
          <w:tab w:val="left" w:pos="1560"/>
        </w:tabs>
        <w:ind w:left="851"/>
        <w:rPr>
          <w:sz w:val="24"/>
          <w:szCs w:val="24"/>
        </w:rPr>
      </w:pPr>
      <w:r>
        <w:rPr>
          <w:sz w:val="24"/>
          <w:szCs w:val="24"/>
        </w:rPr>
        <w:t>80 mg:</w:t>
      </w:r>
      <w:r>
        <w:rPr>
          <w:sz w:val="24"/>
          <w:szCs w:val="24"/>
        </w:rPr>
        <w:tab/>
        <w:t>71555</w:t>
      </w:r>
    </w:p>
    <w:p w14:paraId="2D9D6DBB" w14:textId="71AB03A6" w:rsidR="00E17EBB" w:rsidRDefault="00E17EBB">
      <w:pPr>
        <w:rPr>
          <w:sz w:val="24"/>
          <w:szCs w:val="24"/>
        </w:rPr>
      </w:pPr>
      <w:r>
        <w:rPr>
          <w:sz w:val="24"/>
          <w:szCs w:val="24"/>
        </w:rPr>
        <w:br w:type="page"/>
      </w:r>
    </w:p>
    <w:p w14:paraId="48B7E6DF" w14:textId="77777777" w:rsidR="009260DE" w:rsidRPr="00C84483" w:rsidRDefault="009260DE" w:rsidP="00E17EBB">
      <w:pPr>
        <w:tabs>
          <w:tab w:val="left" w:pos="851"/>
          <w:tab w:val="left" w:pos="1560"/>
        </w:tabs>
        <w:ind w:left="851"/>
        <w:jc w:val="both"/>
        <w:rPr>
          <w:sz w:val="24"/>
          <w:szCs w:val="24"/>
        </w:rPr>
      </w:pPr>
    </w:p>
    <w:p w14:paraId="0B875A6E"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62A4E9FA" w14:textId="44423739" w:rsidR="009260DE" w:rsidRPr="00C84483" w:rsidRDefault="00113711" w:rsidP="009260DE">
      <w:pPr>
        <w:tabs>
          <w:tab w:val="left" w:pos="851"/>
        </w:tabs>
        <w:ind w:left="851"/>
        <w:rPr>
          <w:sz w:val="24"/>
          <w:szCs w:val="24"/>
        </w:rPr>
      </w:pPr>
      <w:r>
        <w:rPr>
          <w:sz w:val="24"/>
          <w:szCs w:val="24"/>
        </w:rPr>
        <w:t>11. november 2025</w:t>
      </w:r>
    </w:p>
    <w:p w14:paraId="6BB1089D" w14:textId="77777777" w:rsidR="009260DE" w:rsidRPr="00C84483" w:rsidRDefault="009260DE" w:rsidP="009260DE">
      <w:pPr>
        <w:tabs>
          <w:tab w:val="left" w:pos="851"/>
        </w:tabs>
        <w:ind w:left="851"/>
        <w:rPr>
          <w:sz w:val="24"/>
          <w:szCs w:val="24"/>
        </w:rPr>
      </w:pPr>
    </w:p>
    <w:p w14:paraId="01A4655A"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1AD0D9FB" w14:textId="6B10897D" w:rsidR="009260DE" w:rsidRPr="00C84483" w:rsidRDefault="00453BD2" w:rsidP="009260DE">
      <w:pPr>
        <w:tabs>
          <w:tab w:val="left" w:pos="851"/>
        </w:tabs>
        <w:ind w:left="851"/>
        <w:rPr>
          <w:sz w:val="24"/>
          <w:szCs w:val="24"/>
        </w:rPr>
      </w:pPr>
      <w:r>
        <w:rPr>
          <w:sz w:val="24"/>
          <w:szCs w:val="24"/>
        </w:rPr>
        <w:t>-</w:t>
      </w:r>
    </w:p>
    <w:sectPr w:rsidR="009260DE" w:rsidRPr="00C84483" w:rsidSect="000259B9">
      <w:footerReference w:type="default" r:id="rId23"/>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C57A9" w14:textId="77777777" w:rsidR="00B628C8" w:rsidRDefault="00B628C8">
      <w:r>
        <w:separator/>
      </w:r>
    </w:p>
  </w:endnote>
  <w:endnote w:type="continuationSeparator" w:id="0">
    <w:p w14:paraId="2C8B13FA" w14:textId="77777777" w:rsidR="00B628C8" w:rsidRDefault="00B6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7A3F" w14:textId="77777777" w:rsidR="00B628C8" w:rsidRDefault="00B628C8">
    <w:pPr>
      <w:pStyle w:val="Sidefod"/>
      <w:pBdr>
        <w:bottom w:val="single" w:sz="6" w:space="1" w:color="auto"/>
      </w:pBdr>
    </w:pPr>
  </w:p>
  <w:p w14:paraId="61E9A2B8" w14:textId="77777777" w:rsidR="00B628C8" w:rsidRDefault="00B628C8" w:rsidP="00C42586">
    <w:pPr>
      <w:pStyle w:val="Sidefod"/>
      <w:tabs>
        <w:tab w:val="clear" w:pos="4819"/>
        <w:tab w:val="left" w:pos="8505"/>
      </w:tabs>
      <w:rPr>
        <w:i/>
        <w:sz w:val="18"/>
        <w:szCs w:val="18"/>
      </w:rPr>
    </w:pPr>
  </w:p>
  <w:p w14:paraId="5B1452E5" w14:textId="29744D39" w:rsidR="00B628C8" w:rsidRPr="00B373D7" w:rsidRDefault="00B628C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Enzalutamide Teva, filmovertrukne tabletter 40 mg og 80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CECB4" w14:textId="77777777" w:rsidR="00B628C8" w:rsidRDefault="00B628C8">
      <w:r>
        <w:separator/>
      </w:r>
    </w:p>
  </w:footnote>
  <w:footnote w:type="continuationSeparator" w:id="0">
    <w:p w14:paraId="3D30B710" w14:textId="77777777" w:rsidR="00B628C8" w:rsidRDefault="00B62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81771BD"/>
    <w:multiLevelType w:val="hybridMultilevel"/>
    <w:tmpl w:val="72CC8FEC"/>
    <w:lvl w:ilvl="0" w:tplc="DBC0CF08">
      <w:start w:val="1"/>
      <w:numFmt w:val="decimal"/>
      <w:lvlText w:val="%1."/>
      <w:lvlJc w:val="left"/>
      <w:pPr>
        <w:ind w:left="558" w:hanging="183"/>
      </w:pPr>
      <w:rPr>
        <w:rFonts w:ascii="Times New Roman" w:eastAsia="Times New Roman" w:hAnsi="Times New Roman" w:cs="Times New Roman" w:hint="default"/>
        <w:spacing w:val="0"/>
        <w:w w:val="100"/>
        <w:sz w:val="18"/>
        <w:szCs w:val="18"/>
      </w:rPr>
    </w:lvl>
    <w:lvl w:ilvl="1" w:tplc="046AC666">
      <w:start w:val="1"/>
      <w:numFmt w:val="decimal"/>
      <w:lvlText w:val="%2."/>
      <w:lvlJc w:val="left"/>
      <w:pPr>
        <w:ind w:left="1170" w:hanging="207"/>
      </w:pPr>
      <w:rPr>
        <w:rFonts w:ascii="Times New Roman" w:eastAsia="Times New Roman" w:hAnsi="Times New Roman" w:cs="Times New Roman" w:hint="default"/>
        <w:spacing w:val="0"/>
        <w:w w:val="99"/>
        <w:sz w:val="20"/>
        <w:szCs w:val="20"/>
      </w:rPr>
    </w:lvl>
    <w:lvl w:ilvl="2" w:tplc="AF3C2BB4">
      <w:numFmt w:val="bullet"/>
      <w:lvlText w:val="•"/>
      <w:lvlJc w:val="left"/>
      <w:pPr>
        <w:ind w:left="2242" w:hanging="207"/>
      </w:pPr>
    </w:lvl>
    <w:lvl w:ilvl="3" w:tplc="F24A86C4">
      <w:numFmt w:val="bullet"/>
      <w:lvlText w:val="•"/>
      <w:lvlJc w:val="left"/>
      <w:pPr>
        <w:ind w:left="3305" w:hanging="207"/>
      </w:pPr>
    </w:lvl>
    <w:lvl w:ilvl="4" w:tplc="77AA3D06">
      <w:numFmt w:val="bullet"/>
      <w:lvlText w:val="•"/>
      <w:lvlJc w:val="left"/>
      <w:pPr>
        <w:ind w:left="4368" w:hanging="207"/>
      </w:pPr>
    </w:lvl>
    <w:lvl w:ilvl="5" w:tplc="9D08BC80">
      <w:numFmt w:val="bullet"/>
      <w:lvlText w:val="•"/>
      <w:lvlJc w:val="left"/>
      <w:pPr>
        <w:ind w:left="5431" w:hanging="207"/>
      </w:pPr>
    </w:lvl>
    <w:lvl w:ilvl="6" w:tplc="14ECF3E4">
      <w:numFmt w:val="bullet"/>
      <w:lvlText w:val="•"/>
      <w:lvlJc w:val="left"/>
      <w:pPr>
        <w:ind w:left="6494" w:hanging="207"/>
      </w:pPr>
    </w:lvl>
    <w:lvl w:ilvl="7" w:tplc="F2CAB28C">
      <w:numFmt w:val="bullet"/>
      <w:lvlText w:val="•"/>
      <w:lvlJc w:val="left"/>
      <w:pPr>
        <w:ind w:left="7557" w:hanging="207"/>
      </w:pPr>
    </w:lvl>
    <w:lvl w:ilvl="8" w:tplc="58F42352">
      <w:numFmt w:val="bullet"/>
      <w:lvlText w:val="•"/>
      <w:lvlJc w:val="left"/>
      <w:pPr>
        <w:ind w:left="8620" w:hanging="207"/>
      </w:pPr>
    </w:lvl>
  </w:abstractNum>
  <w:abstractNum w:abstractNumId="2" w15:restartNumberingAfterBreak="0">
    <w:nsid w:val="1F331A88"/>
    <w:multiLevelType w:val="hybridMultilevel"/>
    <w:tmpl w:val="36CA4C54"/>
    <w:lvl w:ilvl="0" w:tplc="981871A0">
      <w:start w:val="1"/>
      <w:numFmt w:val="decimal"/>
      <w:lvlText w:val="%1."/>
      <w:lvlJc w:val="left"/>
      <w:pPr>
        <w:ind w:left="822" w:hanging="567"/>
      </w:pPr>
      <w:rPr>
        <w:rFonts w:ascii="Times New Roman" w:eastAsia="Times New Roman" w:hAnsi="Times New Roman" w:cs="Times New Roman" w:hint="default"/>
        <w:spacing w:val="-3"/>
        <w:w w:val="100"/>
        <w:sz w:val="18"/>
        <w:szCs w:val="18"/>
      </w:rPr>
    </w:lvl>
    <w:lvl w:ilvl="1" w:tplc="90964FA8">
      <w:start w:val="1"/>
      <w:numFmt w:val="decimal"/>
      <w:lvlText w:val="%2."/>
      <w:lvlJc w:val="left"/>
      <w:pPr>
        <w:ind w:left="976" w:hanging="360"/>
      </w:pPr>
      <w:rPr>
        <w:rFonts w:ascii="Times New Roman" w:eastAsia="Times New Roman" w:hAnsi="Times New Roman" w:cs="Times New Roman" w:hint="default"/>
        <w:spacing w:val="-1"/>
        <w:w w:val="100"/>
        <w:sz w:val="18"/>
        <w:szCs w:val="18"/>
      </w:rPr>
    </w:lvl>
    <w:lvl w:ilvl="2" w:tplc="601A485C">
      <w:numFmt w:val="bullet"/>
      <w:lvlText w:val="•"/>
      <w:lvlJc w:val="left"/>
      <w:pPr>
        <w:ind w:left="2065" w:hanging="360"/>
      </w:pPr>
    </w:lvl>
    <w:lvl w:ilvl="3" w:tplc="4712F068">
      <w:numFmt w:val="bullet"/>
      <w:lvlText w:val="•"/>
      <w:lvlJc w:val="left"/>
      <w:pPr>
        <w:ind w:left="3150" w:hanging="360"/>
      </w:pPr>
    </w:lvl>
    <w:lvl w:ilvl="4" w:tplc="7C843472">
      <w:numFmt w:val="bullet"/>
      <w:lvlText w:val="•"/>
      <w:lvlJc w:val="left"/>
      <w:pPr>
        <w:ind w:left="4235" w:hanging="360"/>
      </w:pPr>
    </w:lvl>
    <w:lvl w:ilvl="5" w:tplc="744C0F68">
      <w:numFmt w:val="bullet"/>
      <w:lvlText w:val="•"/>
      <w:lvlJc w:val="left"/>
      <w:pPr>
        <w:ind w:left="5320" w:hanging="360"/>
      </w:pPr>
    </w:lvl>
    <w:lvl w:ilvl="6" w:tplc="8A9E5FBA">
      <w:numFmt w:val="bullet"/>
      <w:lvlText w:val="•"/>
      <w:lvlJc w:val="left"/>
      <w:pPr>
        <w:ind w:left="6405" w:hanging="360"/>
      </w:pPr>
    </w:lvl>
    <w:lvl w:ilvl="7" w:tplc="B816B142">
      <w:numFmt w:val="bullet"/>
      <w:lvlText w:val="•"/>
      <w:lvlJc w:val="left"/>
      <w:pPr>
        <w:ind w:left="7490" w:hanging="360"/>
      </w:pPr>
    </w:lvl>
    <w:lvl w:ilvl="8" w:tplc="A470D05E">
      <w:numFmt w:val="bullet"/>
      <w:lvlText w:val="•"/>
      <w:lvlJc w:val="left"/>
      <w:pPr>
        <w:ind w:left="8576" w:hanging="360"/>
      </w:p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BAB7C05"/>
    <w:multiLevelType w:val="hybridMultilevel"/>
    <w:tmpl w:val="21261978"/>
    <w:lvl w:ilvl="0" w:tplc="6B6A5A98">
      <w:start w:val="1"/>
      <w:numFmt w:val="decimal"/>
      <w:lvlText w:val="%1."/>
      <w:lvlJc w:val="left"/>
      <w:pPr>
        <w:ind w:left="964" w:hanging="360"/>
      </w:pPr>
      <w:rPr>
        <w:rFonts w:ascii="Times New Roman" w:eastAsia="Times New Roman" w:hAnsi="Times New Roman" w:cs="Times New Roman" w:hint="default"/>
        <w:spacing w:val="-3"/>
        <w:w w:val="100"/>
        <w:sz w:val="18"/>
        <w:szCs w:val="18"/>
      </w:rPr>
    </w:lvl>
    <w:lvl w:ilvl="1" w:tplc="EF3A3232">
      <w:numFmt w:val="bullet"/>
      <w:lvlText w:val="•"/>
      <w:lvlJc w:val="left"/>
      <w:pPr>
        <w:ind w:left="1938" w:hanging="360"/>
      </w:pPr>
    </w:lvl>
    <w:lvl w:ilvl="2" w:tplc="0FD6E3A6">
      <w:numFmt w:val="bullet"/>
      <w:lvlText w:val="•"/>
      <w:lvlJc w:val="left"/>
      <w:pPr>
        <w:ind w:left="2917" w:hanging="360"/>
      </w:pPr>
    </w:lvl>
    <w:lvl w:ilvl="3" w:tplc="EDA68B68">
      <w:numFmt w:val="bullet"/>
      <w:lvlText w:val="•"/>
      <w:lvlJc w:val="left"/>
      <w:pPr>
        <w:ind w:left="3895" w:hanging="360"/>
      </w:pPr>
    </w:lvl>
    <w:lvl w:ilvl="4" w:tplc="84F8B2FA">
      <w:numFmt w:val="bullet"/>
      <w:lvlText w:val="•"/>
      <w:lvlJc w:val="left"/>
      <w:pPr>
        <w:ind w:left="4874" w:hanging="360"/>
      </w:pPr>
    </w:lvl>
    <w:lvl w:ilvl="5" w:tplc="C69287A2">
      <w:numFmt w:val="bullet"/>
      <w:lvlText w:val="•"/>
      <w:lvlJc w:val="left"/>
      <w:pPr>
        <w:ind w:left="5853" w:hanging="360"/>
      </w:pPr>
    </w:lvl>
    <w:lvl w:ilvl="6" w:tplc="D2FE16A0">
      <w:numFmt w:val="bullet"/>
      <w:lvlText w:val="•"/>
      <w:lvlJc w:val="left"/>
      <w:pPr>
        <w:ind w:left="6831" w:hanging="360"/>
      </w:pPr>
    </w:lvl>
    <w:lvl w:ilvl="7" w:tplc="60B0B72E">
      <w:numFmt w:val="bullet"/>
      <w:lvlText w:val="•"/>
      <w:lvlJc w:val="left"/>
      <w:pPr>
        <w:ind w:left="7810" w:hanging="360"/>
      </w:pPr>
    </w:lvl>
    <w:lvl w:ilvl="8" w:tplc="DE3407B0">
      <w:numFmt w:val="bullet"/>
      <w:lvlText w:val="•"/>
      <w:lvlJc w:val="left"/>
      <w:pPr>
        <w:ind w:left="8789" w:hanging="360"/>
      </w:pPr>
    </w:lvl>
  </w:abstractNum>
  <w:abstractNum w:abstractNumId="8" w15:restartNumberingAfterBreak="0">
    <w:nsid w:val="6C385F5E"/>
    <w:multiLevelType w:val="hybridMultilevel"/>
    <w:tmpl w:val="A2F0527A"/>
    <w:lvl w:ilvl="0" w:tplc="71BCAF08">
      <w:numFmt w:val="bullet"/>
      <w:lvlText w:val=""/>
      <w:lvlJc w:val="left"/>
      <w:pPr>
        <w:ind w:left="683" w:hanging="428"/>
      </w:pPr>
      <w:rPr>
        <w:rFonts w:ascii="Symbol" w:eastAsia="Symbol" w:hAnsi="Symbol" w:cs="Symbol" w:hint="default"/>
        <w:w w:val="100"/>
        <w:sz w:val="22"/>
        <w:szCs w:val="22"/>
      </w:rPr>
    </w:lvl>
    <w:lvl w:ilvl="1" w:tplc="64F6AC20">
      <w:numFmt w:val="bullet"/>
      <w:lvlText w:val="•"/>
      <w:lvlJc w:val="left"/>
      <w:pPr>
        <w:ind w:left="1686" w:hanging="428"/>
      </w:pPr>
    </w:lvl>
    <w:lvl w:ilvl="2" w:tplc="CE10DC10">
      <w:numFmt w:val="bullet"/>
      <w:lvlText w:val="•"/>
      <w:lvlJc w:val="left"/>
      <w:pPr>
        <w:ind w:left="2693" w:hanging="428"/>
      </w:pPr>
    </w:lvl>
    <w:lvl w:ilvl="3" w:tplc="FFFAAB1A">
      <w:numFmt w:val="bullet"/>
      <w:lvlText w:val="•"/>
      <w:lvlJc w:val="left"/>
      <w:pPr>
        <w:ind w:left="3699" w:hanging="428"/>
      </w:pPr>
    </w:lvl>
    <w:lvl w:ilvl="4" w:tplc="84A64BFC">
      <w:numFmt w:val="bullet"/>
      <w:lvlText w:val="•"/>
      <w:lvlJc w:val="left"/>
      <w:pPr>
        <w:ind w:left="4706" w:hanging="428"/>
      </w:pPr>
    </w:lvl>
    <w:lvl w:ilvl="5" w:tplc="648824BC">
      <w:numFmt w:val="bullet"/>
      <w:lvlText w:val="•"/>
      <w:lvlJc w:val="left"/>
      <w:pPr>
        <w:ind w:left="5713" w:hanging="428"/>
      </w:pPr>
    </w:lvl>
    <w:lvl w:ilvl="6" w:tplc="A90255CE">
      <w:numFmt w:val="bullet"/>
      <w:lvlText w:val="•"/>
      <w:lvlJc w:val="left"/>
      <w:pPr>
        <w:ind w:left="6719" w:hanging="428"/>
      </w:pPr>
    </w:lvl>
    <w:lvl w:ilvl="7" w:tplc="4D7CE550">
      <w:numFmt w:val="bullet"/>
      <w:lvlText w:val="•"/>
      <w:lvlJc w:val="left"/>
      <w:pPr>
        <w:ind w:left="7726" w:hanging="428"/>
      </w:pPr>
    </w:lvl>
    <w:lvl w:ilvl="8" w:tplc="B9905CBE">
      <w:numFmt w:val="bullet"/>
      <w:lvlText w:val="•"/>
      <w:lvlJc w:val="left"/>
      <w:pPr>
        <w:ind w:left="8733" w:hanging="428"/>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B8"/>
    <w:rsid w:val="000259B9"/>
    <w:rsid w:val="00041491"/>
    <w:rsid w:val="00050D16"/>
    <w:rsid w:val="000730CA"/>
    <w:rsid w:val="00074F2A"/>
    <w:rsid w:val="0008476A"/>
    <w:rsid w:val="000A1CA8"/>
    <w:rsid w:val="000A466B"/>
    <w:rsid w:val="000B058C"/>
    <w:rsid w:val="000D68B0"/>
    <w:rsid w:val="000E4EE6"/>
    <w:rsid w:val="00113711"/>
    <w:rsid w:val="001454E2"/>
    <w:rsid w:val="001B21E7"/>
    <w:rsid w:val="001B576B"/>
    <w:rsid w:val="001E2A5E"/>
    <w:rsid w:val="00206CE8"/>
    <w:rsid w:val="0021526C"/>
    <w:rsid w:val="00282BE9"/>
    <w:rsid w:val="00283A2B"/>
    <w:rsid w:val="002B30AD"/>
    <w:rsid w:val="002C1EC0"/>
    <w:rsid w:val="002C2C01"/>
    <w:rsid w:val="00360D7C"/>
    <w:rsid w:val="003A29AE"/>
    <w:rsid w:val="003A32D7"/>
    <w:rsid w:val="003B4074"/>
    <w:rsid w:val="003C759B"/>
    <w:rsid w:val="003C769A"/>
    <w:rsid w:val="003D3A90"/>
    <w:rsid w:val="003E14B8"/>
    <w:rsid w:val="003F1838"/>
    <w:rsid w:val="004251C1"/>
    <w:rsid w:val="00453BD2"/>
    <w:rsid w:val="0045746C"/>
    <w:rsid w:val="0049104B"/>
    <w:rsid w:val="004E3B12"/>
    <w:rsid w:val="005230C8"/>
    <w:rsid w:val="00532310"/>
    <w:rsid w:val="0054285D"/>
    <w:rsid w:val="00565F0F"/>
    <w:rsid w:val="00594A86"/>
    <w:rsid w:val="00596D86"/>
    <w:rsid w:val="00637F5A"/>
    <w:rsid w:val="00641C65"/>
    <w:rsid w:val="00644C22"/>
    <w:rsid w:val="006560B1"/>
    <w:rsid w:val="006756DD"/>
    <w:rsid w:val="006E6318"/>
    <w:rsid w:val="0071241E"/>
    <w:rsid w:val="00737275"/>
    <w:rsid w:val="00740EEC"/>
    <w:rsid w:val="0078011A"/>
    <w:rsid w:val="00782AF4"/>
    <w:rsid w:val="00790EE7"/>
    <w:rsid w:val="007B6649"/>
    <w:rsid w:val="007C1A29"/>
    <w:rsid w:val="0082576E"/>
    <w:rsid w:val="0089346F"/>
    <w:rsid w:val="00896742"/>
    <w:rsid w:val="00907F75"/>
    <w:rsid w:val="009260DE"/>
    <w:rsid w:val="0093258A"/>
    <w:rsid w:val="009A4F82"/>
    <w:rsid w:val="009C7BA3"/>
    <w:rsid w:val="009D1F5A"/>
    <w:rsid w:val="00A10294"/>
    <w:rsid w:val="00B003BF"/>
    <w:rsid w:val="00B373D7"/>
    <w:rsid w:val="00B55271"/>
    <w:rsid w:val="00B628C8"/>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17EBB"/>
    <w:rsid w:val="00E3749A"/>
    <w:rsid w:val="00E7437F"/>
    <w:rsid w:val="00E865B8"/>
    <w:rsid w:val="00EC0B9B"/>
    <w:rsid w:val="00ED5E9F"/>
    <w:rsid w:val="00EE2DA3"/>
    <w:rsid w:val="00F35132"/>
    <w:rsid w:val="00F66D4F"/>
    <w:rsid w:val="00FB6D01"/>
    <w:rsid w:val="00FD00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29B6C"/>
  <w15:chartTrackingRefBased/>
  <w15:docId w15:val="{3E48C103-FF39-4B88-99A3-9EBE92FF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1Tegn">
    <w:name w:val="Overskrift 1 Tegn"/>
    <w:basedOn w:val="Standardskrifttypeiafsnit"/>
    <w:link w:val="Overskrift1"/>
    <w:uiPriority w:val="9"/>
    <w:rsid w:val="00FD00FF"/>
    <w:rPr>
      <w:rFonts w:ascii="Arial" w:hAnsi="Arial"/>
      <w:b/>
      <w:kern w:val="28"/>
      <w:sz w:val="28"/>
      <w:lang w:eastAsia="en-US"/>
    </w:rPr>
  </w:style>
  <w:style w:type="character" w:styleId="Hyperlink">
    <w:name w:val="Hyperlink"/>
    <w:uiPriority w:val="99"/>
    <w:semiHidden/>
    <w:unhideWhenUsed/>
    <w:rsid w:val="00FD00FF"/>
    <w:rPr>
      <w:color w:val="0000FF"/>
      <w:u w:val="single"/>
    </w:rPr>
  </w:style>
  <w:style w:type="paragraph" w:styleId="Brdtekst">
    <w:name w:val="Body Text"/>
    <w:basedOn w:val="Normal"/>
    <w:link w:val="BrdtekstTegn"/>
    <w:uiPriority w:val="1"/>
    <w:semiHidden/>
    <w:unhideWhenUsed/>
    <w:qFormat/>
    <w:rsid w:val="00FD00FF"/>
    <w:pPr>
      <w:widowControl w:val="0"/>
      <w:autoSpaceDE w:val="0"/>
      <w:autoSpaceDN w:val="0"/>
    </w:pPr>
    <w:rPr>
      <w:sz w:val="22"/>
      <w:szCs w:val="22"/>
    </w:rPr>
  </w:style>
  <w:style w:type="character" w:customStyle="1" w:styleId="BrdtekstTegn">
    <w:name w:val="Brødtekst Tegn"/>
    <w:basedOn w:val="Standardskrifttypeiafsnit"/>
    <w:link w:val="Brdtekst"/>
    <w:uiPriority w:val="1"/>
    <w:semiHidden/>
    <w:rsid w:val="00FD00FF"/>
    <w:rPr>
      <w:sz w:val="22"/>
      <w:szCs w:val="22"/>
      <w:lang w:eastAsia="en-US"/>
    </w:rPr>
  </w:style>
  <w:style w:type="paragraph" w:customStyle="1" w:styleId="TableParagraph">
    <w:name w:val="Table Paragraph"/>
    <w:basedOn w:val="Normal"/>
    <w:uiPriority w:val="1"/>
    <w:qFormat/>
    <w:rsid w:val="00FD00FF"/>
    <w:pPr>
      <w:widowControl w:val="0"/>
      <w:autoSpaceDE w:val="0"/>
      <w:autoSpaceDN w:val="0"/>
      <w:ind w:left="110"/>
    </w:pPr>
    <w:rPr>
      <w:sz w:val="22"/>
      <w:szCs w:val="22"/>
    </w:rPr>
  </w:style>
  <w:style w:type="paragraph" w:styleId="Listeafsnit">
    <w:name w:val="List Paragraph"/>
    <w:basedOn w:val="Normal"/>
    <w:uiPriority w:val="1"/>
    <w:qFormat/>
    <w:rsid w:val="00B628C8"/>
    <w:pPr>
      <w:widowControl w:val="0"/>
      <w:autoSpaceDE w:val="0"/>
      <w:autoSpaceDN w:val="0"/>
      <w:ind w:left="822" w:hanging="56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18">
      <w:bodyDiv w:val="1"/>
      <w:marLeft w:val="0"/>
      <w:marRight w:val="0"/>
      <w:marTop w:val="0"/>
      <w:marBottom w:val="0"/>
      <w:divBdr>
        <w:top w:val="none" w:sz="0" w:space="0" w:color="auto"/>
        <w:left w:val="none" w:sz="0" w:space="0" w:color="auto"/>
        <w:bottom w:val="none" w:sz="0" w:space="0" w:color="auto"/>
        <w:right w:val="none" w:sz="0" w:space="0" w:color="auto"/>
      </w:divBdr>
    </w:div>
    <w:div w:id="60293756">
      <w:bodyDiv w:val="1"/>
      <w:marLeft w:val="0"/>
      <w:marRight w:val="0"/>
      <w:marTop w:val="0"/>
      <w:marBottom w:val="0"/>
      <w:divBdr>
        <w:top w:val="none" w:sz="0" w:space="0" w:color="auto"/>
        <w:left w:val="none" w:sz="0" w:space="0" w:color="auto"/>
        <w:bottom w:val="none" w:sz="0" w:space="0" w:color="auto"/>
        <w:right w:val="none" w:sz="0" w:space="0" w:color="auto"/>
      </w:divBdr>
    </w:div>
    <w:div w:id="69734545">
      <w:bodyDiv w:val="1"/>
      <w:marLeft w:val="0"/>
      <w:marRight w:val="0"/>
      <w:marTop w:val="0"/>
      <w:marBottom w:val="0"/>
      <w:divBdr>
        <w:top w:val="none" w:sz="0" w:space="0" w:color="auto"/>
        <w:left w:val="none" w:sz="0" w:space="0" w:color="auto"/>
        <w:bottom w:val="none" w:sz="0" w:space="0" w:color="auto"/>
        <w:right w:val="none" w:sz="0" w:space="0" w:color="auto"/>
      </w:divBdr>
    </w:div>
    <w:div w:id="14262523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5563016">
      <w:bodyDiv w:val="1"/>
      <w:marLeft w:val="0"/>
      <w:marRight w:val="0"/>
      <w:marTop w:val="0"/>
      <w:marBottom w:val="0"/>
      <w:divBdr>
        <w:top w:val="none" w:sz="0" w:space="0" w:color="auto"/>
        <w:left w:val="none" w:sz="0" w:space="0" w:color="auto"/>
        <w:bottom w:val="none" w:sz="0" w:space="0" w:color="auto"/>
        <w:right w:val="none" w:sz="0" w:space="0" w:color="auto"/>
      </w:divBdr>
    </w:div>
    <w:div w:id="259222039">
      <w:bodyDiv w:val="1"/>
      <w:marLeft w:val="0"/>
      <w:marRight w:val="0"/>
      <w:marTop w:val="0"/>
      <w:marBottom w:val="0"/>
      <w:divBdr>
        <w:top w:val="none" w:sz="0" w:space="0" w:color="auto"/>
        <w:left w:val="none" w:sz="0" w:space="0" w:color="auto"/>
        <w:bottom w:val="none" w:sz="0" w:space="0" w:color="auto"/>
        <w:right w:val="none" w:sz="0" w:space="0" w:color="auto"/>
      </w:divBdr>
    </w:div>
    <w:div w:id="313414212">
      <w:bodyDiv w:val="1"/>
      <w:marLeft w:val="0"/>
      <w:marRight w:val="0"/>
      <w:marTop w:val="0"/>
      <w:marBottom w:val="0"/>
      <w:divBdr>
        <w:top w:val="none" w:sz="0" w:space="0" w:color="auto"/>
        <w:left w:val="none" w:sz="0" w:space="0" w:color="auto"/>
        <w:bottom w:val="none" w:sz="0" w:space="0" w:color="auto"/>
        <w:right w:val="none" w:sz="0" w:space="0" w:color="auto"/>
      </w:divBdr>
    </w:div>
    <w:div w:id="340622166">
      <w:bodyDiv w:val="1"/>
      <w:marLeft w:val="0"/>
      <w:marRight w:val="0"/>
      <w:marTop w:val="0"/>
      <w:marBottom w:val="0"/>
      <w:divBdr>
        <w:top w:val="none" w:sz="0" w:space="0" w:color="auto"/>
        <w:left w:val="none" w:sz="0" w:space="0" w:color="auto"/>
        <w:bottom w:val="none" w:sz="0" w:space="0" w:color="auto"/>
        <w:right w:val="none" w:sz="0" w:space="0" w:color="auto"/>
      </w:divBdr>
    </w:div>
    <w:div w:id="379136936">
      <w:bodyDiv w:val="1"/>
      <w:marLeft w:val="0"/>
      <w:marRight w:val="0"/>
      <w:marTop w:val="0"/>
      <w:marBottom w:val="0"/>
      <w:divBdr>
        <w:top w:val="none" w:sz="0" w:space="0" w:color="auto"/>
        <w:left w:val="none" w:sz="0" w:space="0" w:color="auto"/>
        <w:bottom w:val="none" w:sz="0" w:space="0" w:color="auto"/>
        <w:right w:val="none" w:sz="0" w:space="0" w:color="auto"/>
      </w:divBdr>
    </w:div>
    <w:div w:id="426770859">
      <w:bodyDiv w:val="1"/>
      <w:marLeft w:val="0"/>
      <w:marRight w:val="0"/>
      <w:marTop w:val="0"/>
      <w:marBottom w:val="0"/>
      <w:divBdr>
        <w:top w:val="none" w:sz="0" w:space="0" w:color="auto"/>
        <w:left w:val="none" w:sz="0" w:space="0" w:color="auto"/>
        <w:bottom w:val="none" w:sz="0" w:space="0" w:color="auto"/>
        <w:right w:val="none" w:sz="0" w:space="0" w:color="auto"/>
      </w:divBdr>
    </w:div>
    <w:div w:id="426848400">
      <w:bodyDiv w:val="1"/>
      <w:marLeft w:val="0"/>
      <w:marRight w:val="0"/>
      <w:marTop w:val="0"/>
      <w:marBottom w:val="0"/>
      <w:divBdr>
        <w:top w:val="none" w:sz="0" w:space="0" w:color="auto"/>
        <w:left w:val="none" w:sz="0" w:space="0" w:color="auto"/>
        <w:bottom w:val="none" w:sz="0" w:space="0" w:color="auto"/>
        <w:right w:val="none" w:sz="0" w:space="0" w:color="auto"/>
      </w:divBdr>
    </w:div>
    <w:div w:id="442382982">
      <w:bodyDiv w:val="1"/>
      <w:marLeft w:val="0"/>
      <w:marRight w:val="0"/>
      <w:marTop w:val="0"/>
      <w:marBottom w:val="0"/>
      <w:divBdr>
        <w:top w:val="none" w:sz="0" w:space="0" w:color="auto"/>
        <w:left w:val="none" w:sz="0" w:space="0" w:color="auto"/>
        <w:bottom w:val="none" w:sz="0" w:space="0" w:color="auto"/>
        <w:right w:val="none" w:sz="0" w:space="0" w:color="auto"/>
      </w:divBdr>
    </w:div>
    <w:div w:id="578516565">
      <w:bodyDiv w:val="1"/>
      <w:marLeft w:val="0"/>
      <w:marRight w:val="0"/>
      <w:marTop w:val="0"/>
      <w:marBottom w:val="0"/>
      <w:divBdr>
        <w:top w:val="none" w:sz="0" w:space="0" w:color="auto"/>
        <w:left w:val="none" w:sz="0" w:space="0" w:color="auto"/>
        <w:bottom w:val="none" w:sz="0" w:space="0" w:color="auto"/>
        <w:right w:val="none" w:sz="0" w:space="0" w:color="auto"/>
      </w:divBdr>
    </w:div>
    <w:div w:id="676082769">
      <w:bodyDiv w:val="1"/>
      <w:marLeft w:val="0"/>
      <w:marRight w:val="0"/>
      <w:marTop w:val="0"/>
      <w:marBottom w:val="0"/>
      <w:divBdr>
        <w:top w:val="none" w:sz="0" w:space="0" w:color="auto"/>
        <w:left w:val="none" w:sz="0" w:space="0" w:color="auto"/>
        <w:bottom w:val="none" w:sz="0" w:space="0" w:color="auto"/>
        <w:right w:val="none" w:sz="0" w:space="0" w:color="auto"/>
      </w:divBdr>
    </w:div>
    <w:div w:id="713578404">
      <w:bodyDiv w:val="1"/>
      <w:marLeft w:val="0"/>
      <w:marRight w:val="0"/>
      <w:marTop w:val="0"/>
      <w:marBottom w:val="0"/>
      <w:divBdr>
        <w:top w:val="none" w:sz="0" w:space="0" w:color="auto"/>
        <w:left w:val="none" w:sz="0" w:space="0" w:color="auto"/>
        <w:bottom w:val="none" w:sz="0" w:space="0" w:color="auto"/>
        <w:right w:val="none" w:sz="0" w:space="0" w:color="auto"/>
      </w:divBdr>
    </w:div>
    <w:div w:id="713698646">
      <w:bodyDiv w:val="1"/>
      <w:marLeft w:val="0"/>
      <w:marRight w:val="0"/>
      <w:marTop w:val="0"/>
      <w:marBottom w:val="0"/>
      <w:divBdr>
        <w:top w:val="none" w:sz="0" w:space="0" w:color="auto"/>
        <w:left w:val="none" w:sz="0" w:space="0" w:color="auto"/>
        <w:bottom w:val="none" w:sz="0" w:space="0" w:color="auto"/>
        <w:right w:val="none" w:sz="0" w:space="0" w:color="auto"/>
      </w:divBdr>
    </w:div>
    <w:div w:id="765614030">
      <w:bodyDiv w:val="1"/>
      <w:marLeft w:val="0"/>
      <w:marRight w:val="0"/>
      <w:marTop w:val="0"/>
      <w:marBottom w:val="0"/>
      <w:divBdr>
        <w:top w:val="none" w:sz="0" w:space="0" w:color="auto"/>
        <w:left w:val="none" w:sz="0" w:space="0" w:color="auto"/>
        <w:bottom w:val="none" w:sz="0" w:space="0" w:color="auto"/>
        <w:right w:val="none" w:sz="0" w:space="0" w:color="auto"/>
      </w:divBdr>
    </w:div>
    <w:div w:id="767038639">
      <w:bodyDiv w:val="1"/>
      <w:marLeft w:val="0"/>
      <w:marRight w:val="0"/>
      <w:marTop w:val="0"/>
      <w:marBottom w:val="0"/>
      <w:divBdr>
        <w:top w:val="none" w:sz="0" w:space="0" w:color="auto"/>
        <w:left w:val="none" w:sz="0" w:space="0" w:color="auto"/>
        <w:bottom w:val="none" w:sz="0" w:space="0" w:color="auto"/>
        <w:right w:val="none" w:sz="0" w:space="0" w:color="auto"/>
      </w:divBdr>
    </w:div>
    <w:div w:id="769474772">
      <w:bodyDiv w:val="1"/>
      <w:marLeft w:val="0"/>
      <w:marRight w:val="0"/>
      <w:marTop w:val="0"/>
      <w:marBottom w:val="0"/>
      <w:divBdr>
        <w:top w:val="none" w:sz="0" w:space="0" w:color="auto"/>
        <w:left w:val="none" w:sz="0" w:space="0" w:color="auto"/>
        <w:bottom w:val="none" w:sz="0" w:space="0" w:color="auto"/>
        <w:right w:val="none" w:sz="0" w:space="0" w:color="auto"/>
      </w:divBdr>
    </w:div>
    <w:div w:id="883909530">
      <w:bodyDiv w:val="1"/>
      <w:marLeft w:val="0"/>
      <w:marRight w:val="0"/>
      <w:marTop w:val="0"/>
      <w:marBottom w:val="0"/>
      <w:divBdr>
        <w:top w:val="none" w:sz="0" w:space="0" w:color="auto"/>
        <w:left w:val="none" w:sz="0" w:space="0" w:color="auto"/>
        <w:bottom w:val="none" w:sz="0" w:space="0" w:color="auto"/>
        <w:right w:val="none" w:sz="0" w:space="0" w:color="auto"/>
      </w:divBdr>
    </w:div>
    <w:div w:id="929239044">
      <w:bodyDiv w:val="1"/>
      <w:marLeft w:val="0"/>
      <w:marRight w:val="0"/>
      <w:marTop w:val="0"/>
      <w:marBottom w:val="0"/>
      <w:divBdr>
        <w:top w:val="none" w:sz="0" w:space="0" w:color="auto"/>
        <w:left w:val="none" w:sz="0" w:space="0" w:color="auto"/>
        <w:bottom w:val="none" w:sz="0" w:space="0" w:color="auto"/>
        <w:right w:val="none" w:sz="0" w:space="0" w:color="auto"/>
      </w:divBdr>
    </w:div>
    <w:div w:id="932083156">
      <w:bodyDiv w:val="1"/>
      <w:marLeft w:val="0"/>
      <w:marRight w:val="0"/>
      <w:marTop w:val="0"/>
      <w:marBottom w:val="0"/>
      <w:divBdr>
        <w:top w:val="none" w:sz="0" w:space="0" w:color="auto"/>
        <w:left w:val="none" w:sz="0" w:space="0" w:color="auto"/>
        <w:bottom w:val="none" w:sz="0" w:space="0" w:color="auto"/>
        <w:right w:val="none" w:sz="0" w:space="0" w:color="auto"/>
      </w:divBdr>
    </w:div>
    <w:div w:id="1023748909">
      <w:bodyDiv w:val="1"/>
      <w:marLeft w:val="0"/>
      <w:marRight w:val="0"/>
      <w:marTop w:val="0"/>
      <w:marBottom w:val="0"/>
      <w:divBdr>
        <w:top w:val="none" w:sz="0" w:space="0" w:color="auto"/>
        <w:left w:val="none" w:sz="0" w:space="0" w:color="auto"/>
        <w:bottom w:val="none" w:sz="0" w:space="0" w:color="auto"/>
        <w:right w:val="none" w:sz="0" w:space="0" w:color="auto"/>
      </w:divBdr>
    </w:div>
    <w:div w:id="1035429796">
      <w:bodyDiv w:val="1"/>
      <w:marLeft w:val="0"/>
      <w:marRight w:val="0"/>
      <w:marTop w:val="0"/>
      <w:marBottom w:val="0"/>
      <w:divBdr>
        <w:top w:val="none" w:sz="0" w:space="0" w:color="auto"/>
        <w:left w:val="none" w:sz="0" w:space="0" w:color="auto"/>
        <w:bottom w:val="none" w:sz="0" w:space="0" w:color="auto"/>
        <w:right w:val="none" w:sz="0" w:space="0" w:color="auto"/>
      </w:divBdr>
    </w:div>
    <w:div w:id="1055085533">
      <w:bodyDiv w:val="1"/>
      <w:marLeft w:val="0"/>
      <w:marRight w:val="0"/>
      <w:marTop w:val="0"/>
      <w:marBottom w:val="0"/>
      <w:divBdr>
        <w:top w:val="none" w:sz="0" w:space="0" w:color="auto"/>
        <w:left w:val="none" w:sz="0" w:space="0" w:color="auto"/>
        <w:bottom w:val="none" w:sz="0" w:space="0" w:color="auto"/>
        <w:right w:val="none" w:sz="0" w:space="0" w:color="auto"/>
      </w:divBdr>
    </w:div>
    <w:div w:id="1132865825">
      <w:bodyDiv w:val="1"/>
      <w:marLeft w:val="0"/>
      <w:marRight w:val="0"/>
      <w:marTop w:val="0"/>
      <w:marBottom w:val="0"/>
      <w:divBdr>
        <w:top w:val="none" w:sz="0" w:space="0" w:color="auto"/>
        <w:left w:val="none" w:sz="0" w:space="0" w:color="auto"/>
        <w:bottom w:val="none" w:sz="0" w:space="0" w:color="auto"/>
        <w:right w:val="none" w:sz="0" w:space="0" w:color="auto"/>
      </w:divBdr>
    </w:div>
    <w:div w:id="1140457676">
      <w:bodyDiv w:val="1"/>
      <w:marLeft w:val="0"/>
      <w:marRight w:val="0"/>
      <w:marTop w:val="0"/>
      <w:marBottom w:val="0"/>
      <w:divBdr>
        <w:top w:val="none" w:sz="0" w:space="0" w:color="auto"/>
        <w:left w:val="none" w:sz="0" w:space="0" w:color="auto"/>
        <w:bottom w:val="none" w:sz="0" w:space="0" w:color="auto"/>
        <w:right w:val="none" w:sz="0" w:space="0" w:color="auto"/>
      </w:divBdr>
    </w:div>
    <w:div w:id="1145514958">
      <w:bodyDiv w:val="1"/>
      <w:marLeft w:val="0"/>
      <w:marRight w:val="0"/>
      <w:marTop w:val="0"/>
      <w:marBottom w:val="0"/>
      <w:divBdr>
        <w:top w:val="none" w:sz="0" w:space="0" w:color="auto"/>
        <w:left w:val="none" w:sz="0" w:space="0" w:color="auto"/>
        <w:bottom w:val="none" w:sz="0" w:space="0" w:color="auto"/>
        <w:right w:val="none" w:sz="0" w:space="0" w:color="auto"/>
      </w:divBdr>
    </w:div>
    <w:div w:id="1188058438">
      <w:bodyDiv w:val="1"/>
      <w:marLeft w:val="0"/>
      <w:marRight w:val="0"/>
      <w:marTop w:val="0"/>
      <w:marBottom w:val="0"/>
      <w:divBdr>
        <w:top w:val="none" w:sz="0" w:space="0" w:color="auto"/>
        <w:left w:val="none" w:sz="0" w:space="0" w:color="auto"/>
        <w:bottom w:val="none" w:sz="0" w:space="0" w:color="auto"/>
        <w:right w:val="none" w:sz="0" w:space="0" w:color="auto"/>
      </w:divBdr>
    </w:div>
    <w:div w:id="1374500469">
      <w:bodyDiv w:val="1"/>
      <w:marLeft w:val="0"/>
      <w:marRight w:val="0"/>
      <w:marTop w:val="0"/>
      <w:marBottom w:val="0"/>
      <w:divBdr>
        <w:top w:val="none" w:sz="0" w:space="0" w:color="auto"/>
        <w:left w:val="none" w:sz="0" w:space="0" w:color="auto"/>
        <w:bottom w:val="none" w:sz="0" w:space="0" w:color="auto"/>
        <w:right w:val="none" w:sz="0" w:space="0" w:color="auto"/>
      </w:divBdr>
    </w:div>
    <w:div w:id="1455714417">
      <w:bodyDiv w:val="1"/>
      <w:marLeft w:val="0"/>
      <w:marRight w:val="0"/>
      <w:marTop w:val="0"/>
      <w:marBottom w:val="0"/>
      <w:divBdr>
        <w:top w:val="none" w:sz="0" w:space="0" w:color="auto"/>
        <w:left w:val="none" w:sz="0" w:space="0" w:color="auto"/>
        <w:bottom w:val="none" w:sz="0" w:space="0" w:color="auto"/>
        <w:right w:val="none" w:sz="0" w:space="0" w:color="auto"/>
      </w:divBdr>
    </w:div>
    <w:div w:id="1458570886">
      <w:bodyDiv w:val="1"/>
      <w:marLeft w:val="0"/>
      <w:marRight w:val="0"/>
      <w:marTop w:val="0"/>
      <w:marBottom w:val="0"/>
      <w:divBdr>
        <w:top w:val="none" w:sz="0" w:space="0" w:color="auto"/>
        <w:left w:val="none" w:sz="0" w:space="0" w:color="auto"/>
        <w:bottom w:val="none" w:sz="0" w:space="0" w:color="auto"/>
        <w:right w:val="none" w:sz="0" w:space="0" w:color="auto"/>
      </w:divBdr>
    </w:div>
    <w:div w:id="1486432561">
      <w:bodyDiv w:val="1"/>
      <w:marLeft w:val="0"/>
      <w:marRight w:val="0"/>
      <w:marTop w:val="0"/>
      <w:marBottom w:val="0"/>
      <w:divBdr>
        <w:top w:val="none" w:sz="0" w:space="0" w:color="auto"/>
        <w:left w:val="none" w:sz="0" w:space="0" w:color="auto"/>
        <w:bottom w:val="none" w:sz="0" w:space="0" w:color="auto"/>
        <w:right w:val="none" w:sz="0" w:space="0" w:color="auto"/>
      </w:divBdr>
    </w:div>
    <w:div w:id="1610888012">
      <w:bodyDiv w:val="1"/>
      <w:marLeft w:val="0"/>
      <w:marRight w:val="0"/>
      <w:marTop w:val="0"/>
      <w:marBottom w:val="0"/>
      <w:divBdr>
        <w:top w:val="none" w:sz="0" w:space="0" w:color="auto"/>
        <w:left w:val="none" w:sz="0" w:space="0" w:color="auto"/>
        <w:bottom w:val="none" w:sz="0" w:space="0" w:color="auto"/>
        <w:right w:val="none" w:sz="0" w:space="0" w:color="auto"/>
      </w:divBdr>
    </w:div>
    <w:div w:id="1687633333">
      <w:bodyDiv w:val="1"/>
      <w:marLeft w:val="0"/>
      <w:marRight w:val="0"/>
      <w:marTop w:val="0"/>
      <w:marBottom w:val="0"/>
      <w:divBdr>
        <w:top w:val="none" w:sz="0" w:space="0" w:color="auto"/>
        <w:left w:val="none" w:sz="0" w:space="0" w:color="auto"/>
        <w:bottom w:val="none" w:sz="0" w:space="0" w:color="auto"/>
        <w:right w:val="none" w:sz="0" w:space="0" w:color="auto"/>
      </w:divBdr>
    </w:div>
    <w:div w:id="1725638131">
      <w:bodyDiv w:val="1"/>
      <w:marLeft w:val="0"/>
      <w:marRight w:val="0"/>
      <w:marTop w:val="0"/>
      <w:marBottom w:val="0"/>
      <w:divBdr>
        <w:top w:val="none" w:sz="0" w:space="0" w:color="auto"/>
        <w:left w:val="none" w:sz="0" w:space="0" w:color="auto"/>
        <w:bottom w:val="none" w:sz="0" w:space="0" w:color="auto"/>
        <w:right w:val="none" w:sz="0" w:space="0" w:color="auto"/>
      </w:divBdr>
    </w:div>
    <w:div w:id="1765494741">
      <w:bodyDiv w:val="1"/>
      <w:marLeft w:val="0"/>
      <w:marRight w:val="0"/>
      <w:marTop w:val="0"/>
      <w:marBottom w:val="0"/>
      <w:divBdr>
        <w:top w:val="none" w:sz="0" w:space="0" w:color="auto"/>
        <w:left w:val="none" w:sz="0" w:space="0" w:color="auto"/>
        <w:bottom w:val="none" w:sz="0" w:space="0" w:color="auto"/>
        <w:right w:val="none" w:sz="0" w:space="0" w:color="auto"/>
      </w:divBdr>
    </w:div>
    <w:div w:id="1891766086">
      <w:bodyDiv w:val="1"/>
      <w:marLeft w:val="0"/>
      <w:marRight w:val="0"/>
      <w:marTop w:val="0"/>
      <w:marBottom w:val="0"/>
      <w:divBdr>
        <w:top w:val="none" w:sz="0" w:space="0" w:color="auto"/>
        <w:left w:val="none" w:sz="0" w:space="0" w:color="auto"/>
        <w:bottom w:val="none" w:sz="0" w:space="0" w:color="auto"/>
        <w:right w:val="none" w:sz="0" w:space="0" w:color="auto"/>
      </w:divBdr>
    </w:div>
    <w:div w:id="1976598174">
      <w:bodyDiv w:val="1"/>
      <w:marLeft w:val="0"/>
      <w:marRight w:val="0"/>
      <w:marTop w:val="0"/>
      <w:marBottom w:val="0"/>
      <w:divBdr>
        <w:top w:val="none" w:sz="0" w:space="0" w:color="auto"/>
        <w:left w:val="none" w:sz="0" w:space="0" w:color="auto"/>
        <w:bottom w:val="none" w:sz="0" w:space="0" w:color="auto"/>
        <w:right w:val="none" w:sz="0" w:space="0" w:color="auto"/>
      </w:divBdr>
    </w:div>
    <w:div w:id="2042047481">
      <w:bodyDiv w:val="1"/>
      <w:marLeft w:val="0"/>
      <w:marRight w:val="0"/>
      <w:marTop w:val="0"/>
      <w:marBottom w:val="0"/>
      <w:divBdr>
        <w:top w:val="none" w:sz="0" w:space="0" w:color="auto"/>
        <w:left w:val="none" w:sz="0" w:space="0" w:color="auto"/>
        <w:bottom w:val="none" w:sz="0" w:space="0" w:color="auto"/>
        <w:right w:val="none" w:sz="0" w:space="0" w:color="auto"/>
      </w:divBdr>
    </w:div>
    <w:div w:id="21180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Users\hti\AppData\Local\Microsoft\Windows\INetCache\IE\F1VJYFRW\NL_H_5766_Enzalutamide%20Teva%2040mg,%2080mg%20DK%20PI_RP%20kommentarer.docx" TargetMode="External"/><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hyperlink" Target="file:///C:\Users\hti\AppData\Local\Microsoft\Windows\INetCache\IE\F1VJYFRW\NL_H_5766_Enzalutamide%20Teva%2040mg,%2080mg%20DK%20PI_RP%20kommentarer.docx" TargetMode="External"/><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135</TotalTime>
  <Pages>36</Pages>
  <Words>11640</Words>
  <Characters>73570</Characters>
  <Application>Microsoft Office Word</Application>
  <DocSecurity>0</DocSecurity>
  <Lines>613</Lines>
  <Paragraphs>170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2024034296 mt</dc:description>
  <cp:lastModifiedBy>Hanne Thy Iversen</cp:lastModifiedBy>
  <cp:revision>16</cp:revision>
  <cp:lastPrinted>2012-08-22T08:53:00Z</cp:lastPrinted>
  <dcterms:created xsi:type="dcterms:W3CDTF">2025-11-03T09:40:00Z</dcterms:created>
  <dcterms:modified xsi:type="dcterms:W3CDTF">2025-11-11T14:22:00Z</dcterms:modified>
</cp:coreProperties>
</file>