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8ECED" w14:textId="58D9FB73" w:rsidR="009260DE" w:rsidRPr="0067760F" w:rsidRDefault="0021526C" w:rsidP="00B420F0">
      <w:pPr>
        <w:rPr>
          <w:b/>
          <w:sz w:val="24"/>
          <w:szCs w:val="24"/>
        </w:rPr>
      </w:pPr>
      <w:bookmarkStart w:id="0" w:name="_GoBack"/>
      <w:bookmarkEnd w:id="0"/>
      <w:r w:rsidRPr="0067760F">
        <w:rPr>
          <w:noProof/>
          <w:sz w:val="24"/>
          <w:szCs w:val="24"/>
          <w:lang w:eastAsia="da-DK"/>
        </w:rPr>
        <w:drawing>
          <wp:anchor distT="0" distB="0" distL="114300" distR="114300" simplePos="0" relativeHeight="251658240" behindDoc="0" locked="0" layoutInCell="1" allowOverlap="1" wp14:anchorId="4D3126C8" wp14:editId="71A9A4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7760F">
        <w:rPr>
          <w:sz w:val="24"/>
          <w:szCs w:val="24"/>
        </w:rPr>
        <w:br w:type="textWrapping" w:clear="all"/>
      </w:r>
    </w:p>
    <w:p w14:paraId="3D8609D4" w14:textId="2BCC67B6" w:rsidR="009260DE" w:rsidRPr="0067760F" w:rsidRDefault="009260DE" w:rsidP="009260DE">
      <w:pPr>
        <w:pStyle w:val="Titel"/>
        <w:tabs>
          <w:tab w:val="right" w:pos="9356"/>
        </w:tabs>
        <w:jc w:val="left"/>
        <w:rPr>
          <w:b w:val="0"/>
          <w:szCs w:val="24"/>
          <w:lang w:eastAsia="en-US"/>
        </w:rPr>
      </w:pPr>
      <w:r w:rsidRPr="0067760F">
        <w:rPr>
          <w:b w:val="0"/>
          <w:szCs w:val="24"/>
          <w:lang w:eastAsia="en-US"/>
        </w:rPr>
        <w:tab/>
      </w:r>
      <w:r w:rsidR="000C2A6E">
        <w:rPr>
          <w:szCs w:val="24"/>
        </w:rPr>
        <w:t>19</w:t>
      </w:r>
      <w:r w:rsidR="00BF577A">
        <w:rPr>
          <w:szCs w:val="24"/>
        </w:rPr>
        <w:t xml:space="preserve">. </w:t>
      </w:r>
      <w:r w:rsidR="000C2A6E">
        <w:rPr>
          <w:szCs w:val="24"/>
        </w:rPr>
        <w:t>december</w:t>
      </w:r>
      <w:r w:rsidR="00BF577A">
        <w:rPr>
          <w:szCs w:val="24"/>
        </w:rPr>
        <w:t xml:space="preserve"> 202</w:t>
      </w:r>
      <w:r w:rsidR="000C2A6E">
        <w:rPr>
          <w:szCs w:val="24"/>
        </w:rPr>
        <w:t>2</w:t>
      </w:r>
    </w:p>
    <w:p w14:paraId="5A33D9AA" w14:textId="024FF169" w:rsidR="009260DE" w:rsidRPr="0067760F" w:rsidRDefault="009260DE" w:rsidP="009260DE">
      <w:pPr>
        <w:pStyle w:val="Titel"/>
        <w:tabs>
          <w:tab w:val="left" w:pos="8222"/>
        </w:tabs>
        <w:jc w:val="left"/>
        <w:rPr>
          <w:b w:val="0"/>
          <w:szCs w:val="24"/>
        </w:rPr>
      </w:pPr>
    </w:p>
    <w:p w14:paraId="12322BD2" w14:textId="77777777" w:rsidR="009260DE" w:rsidRPr="0067760F" w:rsidRDefault="009260DE" w:rsidP="009260DE">
      <w:pPr>
        <w:pStyle w:val="Titel"/>
        <w:jc w:val="left"/>
        <w:rPr>
          <w:b w:val="0"/>
          <w:szCs w:val="24"/>
        </w:rPr>
      </w:pPr>
    </w:p>
    <w:p w14:paraId="29C7E1B2" w14:textId="77777777" w:rsidR="009260DE" w:rsidRPr="0067760F" w:rsidRDefault="009260DE" w:rsidP="009260DE">
      <w:pPr>
        <w:pStyle w:val="Titel"/>
        <w:jc w:val="left"/>
        <w:rPr>
          <w:b w:val="0"/>
          <w:szCs w:val="24"/>
        </w:rPr>
      </w:pPr>
    </w:p>
    <w:p w14:paraId="742A2B4C" w14:textId="77777777" w:rsidR="009260DE" w:rsidRPr="0067760F" w:rsidRDefault="009260DE" w:rsidP="009260DE">
      <w:pPr>
        <w:jc w:val="center"/>
        <w:rPr>
          <w:b/>
          <w:sz w:val="24"/>
          <w:szCs w:val="24"/>
        </w:rPr>
      </w:pPr>
      <w:r w:rsidRPr="0067760F">
        <w:rPr>
          <w:b/>
          <w:sz w:val="24"/>
          <w:szCs w:val="24"/>
        </w:rPr>
        <w:t>PRODUKTRESUMÉ</w:t>
      </w:r>
    </w:p>
    <w:p w14:paraId="10CC0750" w14:textId="77777777" w:rsidR="009260DE" w:rsidRPr="0067760F" w:rsidRDefault="009260DE" w:rsidP="009260DE">
      <w:pPr>
        <w:jc w:val="center"/>
        <w:rPr>
          <w:b/>
          <w:sz w:val="24"/>
          <w:szCs w:val="24"/>
        </w:rPr>
      </w:pPr>
    </w:p>
    <w:p w14:paraId="7E412F8C" w14:textId="77777777" w:rsidR="009260DE" w:rsidRPr="0067760F" w:rsidRDefault="009260DE" w:rsidP="009260DE">
      <w:pPr>
        <w:jc w:val="center"/>
        <w:rPr>
          <w:b/>
          <w:sz w:val="24"/>
          <w:szCs w:val="24"/>
        </w:rPr>
      </w:pPr>
      <w:r w:rsidRPr="0067760F">
        <w:rPr>
          <w:b/>
          <w:sz w:val="24"/>
          <w:szCs w:val="24"/>
        </w:rPr>
        <w:t>for</w:t>
      </w:r>
    </w:p>
    <w:p w14:paraId="25CA0380" w14:textId="77777777" w:rsidR="000B058C" w:rsidRPr="0067760F" w:rsidRDefault="000B058C" w:rsidP="009260DE">
      <w:pPr>
        <w:jc w:val="center"/>
        <w:rPr>
          <w:b/>
          <w:sz w:val="24"/>
          <w:szCs w:val="24"/>
        </w:rPr>
      </w:pPr>
    </w:p>
    <w:p w14:paraId="51F4FFDE" w14:textId="27BB5317" w:rsidR="009260DE" w:rsidRPr="0067760F" w:rsidRDefault="00877988" w:rsidP="009260DE">
      <w:pPr>
        <w:jc w:val="center"/>
        <w:rPr>
          <w:b/>
          <w:sz w:val="24"/>
          <w:szCs w:val="24"/>
        </w:rPr>
      </w:pPr>
      <w:proofErr w:type="spellStart"/>
      <w:r w:rsidRPr="0067760F">
        <w:rPr>
          <w:b/>
          <w:sz w:val="24"/>
          <w:szCs w:val="24"/>
        </w:rPr>
        <w:t>Epaclob</w:t>
      </w:r>
      <w:proofErr w:type="spellEnd"/>
      <w:r w:rsidRPr="0067760F">
        <w:rPr>
          <w:b/>
          <w:sz w:val="24"/>
          <w:szCs w:val="24"/>
        </w:rPr>
        <w:t>, oral suspension</w:t>
      </w:r>
    </w:p>
    <w:p w14:paraId="3F08D498" w14:textId="77777777" w:rsidR="009260DE" w:rsidRPr="0067760F" w:rsidRDefault="009260DE" w:rsidP="009260DE">
      <w:pPr>
        <w:jc w:val="both"/>
        <w:rPr>
          <w:sz w:val="24"/>
          <w:szCs w:val="24"/>
        </w:rPr>
      </w:pPr>
    </w:p>
    <w:p w14:paraId="50D0A91A" w14:textId="77777777" w:rsidR="009260DE" w:rsidRPr="0067760F" w:rsidRDefault="009260DE" w:rsidP="009260DE">
      <w:pPr>
        <w:jc w:val="both"/>
        <w:rPr>
          <w:sz w:val="24"/>
          <w:szCs w:val="24"/>
        </w:rPr>
      </w:pPr>
    </w:p>
    <w:p w14:paraId="6FF43B23" w14:textId="77777777" w:rsidR="009260DE" w:rsidRPr="0067760F" w:rsidRDefault="009260DE" w:rsidP="009260DE">
      <w:pPr>
        <w:tabs>
          <w:tab w:val="left" w:pos="851"/>
        </w:tabs>
        <w:ind w:left="851" w:hanging="851"/>
        <w:rPr>
          <w:b/>
          <w:sz w:val="24"/>
          <w:szCs w:val="24"/>
        </w:rPr>
      </w:pPr>
      <w:r w:rsidRPr="0067760F">
        <w:rPr>
          <w:b/>
          <w:sz w:val="24"/>
          <w:szCs w:val="24"/>
        </w:rPr>
        <w:t>0.</w:t>
      </w:r>
      <w:r w:rsidRPr="0067760F">
        <w:rPr>
          <w:b/>
          <w:sz w:val="24"/>
          <w:szCs w:val="24"/>
        </w:rPr>
        <w:tab/>
        <w:t>D.SP.NR.</w:t>
      </w:r>
    </w:p>
    <w:p w14:paraId="078D8EC0" w14:textId="7D169C39" w:rsidR="009260DE" w:rsidRPr="0067760F" w:rsidRDefault="00A9379E" w:rsidP="009260DE">
      <w:pPr>
        <w:tabs>
          <w:tab w:val="left" w:pos="851"/>
        </w:tabs>
        <w:ind w:left="851"/>
        <w:rPr>
          <w:sz w:val="24"/>
          <w:szCs w:val="24"/>
        </w:rPr>
      </w:pPr>
      <w:r w:rsidRPr="0067760F">
        <w:rPr>
          <w:sz w:val="24"/>
          <w:szCs w:val="24"/>
        </w:rPr>
        <w:t>31893</w:t>
      </w:r>
    </w:p>
    <w:p w14:paraId="5CAA17EA" w14:textId="77777777" w:rsidR="009260DE" w:rsidRPr="0067760F" w:rsidRDefault="009260DE" w:rsidP="009260DE">
      <w:pPr>
        <w:tabs>
          <w:tab w:val="left" w:pos="851"/>
        </w:tabs>
        <w:ind w:left="851"/>
        <w:rPr>
          <w:sz w:val="24"/>
          <w:szCs w:val="24"/>
        </w:rPr>
      </w:pPr>
    </w:p>
    <w:p w14:paraId="046466BF" w14:textId="77777777" w:rsidR="009260DE" w:rsidRPr="0067760F" w:rsidRDefault="009260DE" w:rsidP="009260DE">
      <w:pPr>
        <w:tabs>
          <w:tab w:val="left" w:pos="851"/>
        </w:tabs>
        <w:ind w:left="851" w:hanging="851"/>
        <w:rPr>
          <w:b/>
          <w:sz w:val="24"/>
          <w:szCs w:val="24"/>
        </w:rPr>
      </w:pPr>
      <w:r w:rsidRPr="0067760F">
        <w:rPr>
          <w:b/>
          <w:sz w:val="24"/>
          <w:szCs w:val="24"/>
        </w:rPr>
        <w:t>1.</w:t>
      </w:r>
      <w:r w:rsidRPr="0067760F">
        <w:rPr>
          <w:b/>
          <w:sz w:val="24"/>
          <w:szCs w:val="24"/>
        </w:rPr>
        <w:tab/>
        <w:t>LÆGEMIDLETS NAVN</w:t>
      </w:r>
    </w:p>
    <w:p w14:paraId="1AC64EBB" w14:textId="248A617F" w:rsidR="009260DE" w:rsidRPr="0067760F" w:rsidRDefault="00A9379E" w:rsidP="009260DE">
      <w:pPr>
        <w:tabs>
          <w:tab w:val="left" w:pos="851"/>
        </w:tabs>
        <w:ind w:left="851"/>
        <w:rPr>
          <w:sz w:val="24"/>
          <w:szCs w:val="24"/>
        </w:rPr>
      </w:pPr>
      <w:proofErr w:type="spellStart"/>
      <w:r w:rsidRPr="0067760F">
        <w:rPr>
          <w:sz w:val="24"/>
          <w:szCs w:val="24"/>
        </w:rPr>
        <w:t>Epaclob</w:t>
      </w:r>
      <w:proofErr w:type="spellEnd"/>
    </w:p>
    <w:p w14:paraId="44C72F41" w14:textId="77777777" w:rsidR="009260DE" w:rsidRPr="0067760F" w:rsidRDefault="009260DE" w:rsidP="009260DE">
      <w:pPr>
        <w:tabs>
          <w:tab w:val="left" w:pos="851"/>
        </w:tabs>
        <w:ind w:left="851"/>
        <w:rPr>
          <w:sz w:val="24"/>
          <w:szCs w:val="24"/>
        </w:rPr>
      </w:pPr>
    </w:p>
    <w:p w14:paraId="286CA9DB" w14:textId="77777777" w:rsidR="009260DE" w:rsidRPr="0067760F" w:rsidRDefault="009260DE" w:rsidP="009260DE">
      <w:pPr>
        <w:tabs>
          <w:tab w:val="left" w:pos="851"/>
        </w:tabs>
        <w:ind w:left="851" w:hanging="851"/>
        <w:rPr>
          <w:b/>
          <w:sz w:val="24"/>
          <w:szCs w:val="24"/>
        </w:rPr>
      </w:pPr>
      <w:r w:rsidRPr="0067760F">
        <w:rPr>
          <w:b/>
          <w:sz w:val="24"/>
          <w:szCs w:val="24"/>
        </w:rPr>
        <w:t>2.</w:t>
      </w:r>
      <w:r w:rsidRPr="0067760F">
        <w:rPr>
          <w:b/>
          <w:sz w:val="24"/>
          <w:szCs w:val="24"/>
        </w:rPr>
        <w:tab/>
        <w:t>KVALITATIV OG KVANTITATIV SAMMENSÆTNING</w:t>
      </w:r>
    </w:p>
    <w:p w14:paraId="7C308487" w14:textId="77777777" w:rsidR="009638C2" w:rsidRPr="0067760F" w:rsidRDefault="009638C2" w:rsidP="0032431D">
      <w:pPr>
        <w:ind w:left="851"/>
        <w:rPr>
          <w:sz w:val="24"/>
          <w:szCs w:val="24"/>
        </w:rPr>
      </w:pPr>
      <w:proofErr w:type="spellStart"/>
      <w:r w:rsidRPr="0067760F">
        <w:rPr>
          <w:sz w:val="24"/>
          <w:szCs w:val="24"/>
        </w:rPr>
        <w:t>Epaclob</w:t>
      </w:r>
      <w:proofErr w:type="spellEnd"/>
      <w:r w:rsidRPr="0067760F">
        <w:rPr>
          <w:sz w:val="24"/>
          <w:szCs w:val="24"/>
        </w:rPr>
        <w:t xml:space="preserve"> 1 mg/ml:</w:t>
      </w:r>
    </w:p>
    <w:p w14:paraId="6C592102" w14:textId="77777777" w:rsidR="009638C2" w:rsidRPr="0067760F" w:rsidRDefault="009638C2" w:rsidP="0032431D">
      <w:pPr>
        <w:ind w:left="851"/>
        <w:rPr>
          <w:sz w:val="24"/>
          <w:szCs w:val="24"/>
        </w:rPr>
      </w:pPr>
      <w:r w:rsidRPr="0067760F">
        <w:rPr>
          <w:sz w:val="24"/>
          <w:szCs w:val="24"/>
        </w:rPr>
        <w:t xml:space="preserve">1 ml suspension indeholder 1 mg </w:t>
      </w:r>
      <w:proofErr w:type="spellStart"/>
      <w:r w:rsidRPr="0067760F">
        <w:rPr>
          <w:sz w:val="24"/>
          <w:szCs w:val="24"/>
        </w:rPr>
        <w:t>clobazam</w:t>
      </w:r>
      <w:proofErr w:type="spellEnd"/>
      <w:r w:rsidRPr="0067760F">
        <w:rPr>
          <w:sz w:val="24"/>
          <w:szCs w:val="24"/>
        </w:rPr>
        <w:t>.</w:t>
      </w:r>
    </w:p>
    <w:p w14:paraId="32542E35" w14:textId="77777777" w:rsidR="009638C2" w:rsidRPr="0067760F" w:rsidRDefault="009638C2" w:rsidP="0032431D">
      <w:pPr>
        <w:ind w:left="851"/>
        <w:rPr>
          <w:sz w:val="24"/>
          <w:szCs w:val="24"/>
        </w:rPr>
      </w:pPr>
    </w:p>
    <w:p w14:paraId="627D710E" w14:textId="77777777" w:rsidR="009638C2" w:rsidRPr="0067760F" w:rsidRDefault="009638C2" w:rsidP="0032431D">
      <w:pPr>
        <w:ind w:left="851"/>
        <w:rPr>
          <w:sz w:val="24"/>
          <w:szCs w:val="24"/>
        </w:rPr>
      </w:pPr>
      <w:proofErr w:type="spellStart"/>
      <w:r w:rsidRPr="0067760F">
        <w:rPr>
          <w:sz w:val="24"/>
          <w:szCs w:val="24"/>
        </w:rPr>
        <w:t>Epaclob</w:t>
      </w:r>
      <w:proofErr w:type="spellEnd"/>
      <w:r w:rsidRPr="0067760F">
        <w:rPr>
          <w:sz w:val="24"/>
          <w:szCs w:val="24"/>
        </w:rPr>
        <w:t xml:space="preserve"> 2 mg/ml:</w:t>
      </w:r>
    </w:p>
    <w:p w14:paraId="01672312" w14:textId="77777777" w:rsidR="009638C2" w:rsidRPr="0067760F" w:rsidRDefault="009638C2" w:rsidP="0032431D">
      <w:pPr>
        <w:ind w:left="851"/>
        <w:rPr>
          <w:sz w:val="24"/>
          <w:szCs w:val="24"/>
        </w:rPr>
      </w:pPr>
      <w:r w:rsidRPr="0067760F">
        <w:rPr>
          <w:sz w:val="24"/>
          <w:szCs w:val="24"/>
        </w:rPr>
        <w:t xml:space="preserve">1 ml suspension indeholder 2 mg </w:t>
      </w:r>
      <w:proofErr w:type="spellStart"/>
      <w:r w:rsidRPr="0067760F">
        <w:rPr>
          <w:sz w:val="24"/>
          <w:szCs w:val="24"/>
        </w:rPr>
        <w:t>clobazam</w:t>
      </w:r>
      <w:proofErr w:type="spellEnd"/>
      <w:r w:rsidRPr="0067760F">
        <w:rPr>
          <w:sz w:val="24"/>
          <w:szCs w:val="24"/>
        </w:rPr>
        <w:t>.</w:t>
      </w:r>
    </w:p>
    <w:p w14:paraId="6CB91C1D" w14:textId="77777777" w:rsidR="009638C2" w:rsidRPr="0067760F" w:rsidRDefault="009638C2" w:rsidP="0032431D">
      <w:pPr>
        <w:ind w:left="851"/>
        <w:rPr>
          <w:sz w:val="24"/>
          <w:szCs w:val="24"/>
        </w:rPr>
      </w:pPr>
    </w:p>
    <w:p w14:paraId="147875AE" w14:textId="77777777" w:rsidR="009638C2" w:rsidRPr="0067760F" w:rsidRDefault="009638C2" w:rsidP="0032431D">
      <w:pPr>
        <w:ind w:left="851"/>
        <w:rPr>
          <w:sz w:val="24"/>
          <w:szCs w:val="24"/>
          <w:u w:val="single"/>
        </w:rPr>
      </w:pPr>
      <w:r w:rsidRPr="0067760F">
        <w:rPr>
          <w:sz w:val="24"/>
          <w:szCs w:val="24"/>
          <w:u w:val="single"/>
        </w:rPr>
        <w:t>Hjælpestoffer, som behandleren skal være opmærksom på:</w:t>
      </w:r>
    </w:p>
    <w:p w14:paraId="6C475DDD" w14:textId="21DE313F" w:rsidR="009638C2" w:rsidRPr="0067760F" w:rsidRDefault="009638C2" w:rsidP="0032431D">
      <w:pPr>
        <w:ind w:left="851"/>
        <w:rPr>
          <w:sz w:val="24"/>
          <w:szCs w:val="24"/>
        </w:rPr>
      </w:pPr>
      <w:r w:rsidRPr="0067760F">
        <w:rPr>
          <w:sz w:val="24"/>
          <w:szCs w:val="24"/>
        </w:rPr>
        <w:t xml:space="preserve">1 ml suspension indeholder 250 mg sorbitol, 3,33 mg natrium, 2,06 mg </w:t>
      </w:r>
      <w:proofErr w:type="spellStart"/>
      <w:r w:rsidRPr="0067760F">
        <w:rPr>
          <w:sz w:val="24"/>
          <w:szCs w:val="24"/>
        </w:rPr>
        <w:t>natrium</w:t>
      </w:r>
      <w:r w:rsidR="00CA319D">
        <w:rPr>
          <w:sz w:val="24"/>
          <w:szCs w:val="24"/>
        </w:rPr>
        <w:softHyphen/>
      </w:r>
      <w:r w:rsidRPr="0067760F">
        <w:rPr>
          <w:sz w:val="24"/>
          <w:szCs w:val="24"/>
        </w:rPr>
        <w:t>methylhydroxy-benzoat</w:t>
      </w:r>
      <w:proofErr w:type="spellEnd"/>
      <w:r w:rsidRPr="0067760F">
        <w:rPr>
          <w:sz w:val="24"/>
          <w:szCs w:val="24"/>
        </w:rPr>
        <w:t xml:space="preserve">, 0,224 mg </w:t>
      </w:r>
      <w:proofErr w:type="spellStart"/>
      <w:r w:rsidRPr="0067760F">
        <w:rPr>
          <w:sz w:val="24"/>
          <w:szCs w:val="24"/>
        </w:rPr>
        <w:t>natriumpropylhydroxy-benzoat</w:t>
      </w:r>
      <w:proofErr w:type="spellEnd"/>
      <w:r w:rsidRPr="0067760F">
        <w:rPr>
          <w:sz w:val="24"/>
          <w:szCs w:val="24"/>
        </w:rPr>
        <w:t>, og 4,825 mg propylenglycol.</w:t>
      </w:r>
    </w:p>
    <w:p w14:paraId="08E8D655" w14:textId="77777777" w:rsidR="009638C2" w:rsidRPr="0067760F" w:rsidRDefault="009638C2" w:rsidP="0032431D">
      <w:pPr>
        <w:ind w:left="851"/>
        <w:rPr>
          <w:sz w:val="24"/>
          <w:szCs w:val="24"/>
        </w:rPr>
      </w:pPr>
    </w:p>
    <w:p w14:paraId="677335D8" w14:textId="77777777" w:rsidR="009638C2" w:rsidRPr="0067760F" w:rsidRDefault="009638C2" w:rsidP="0032431D">
      <w:pPr>
        <w:ind w:left="851"/>
        <w:rPr>
          <w:sz w:val="24"/>
          <w:szCs w:val="24"/>
        </w:rPr>
      </w:pPr>
      <w:r w:rsidRPr="0067760F">
        <w:rPr>
          <w:sz w:val="24"/>
          <w:szCs w:val="24"/>
        </w:rPr>
        <w:t>Alle hjælpestoffer er anført under pkt. 6.1.</w:t>
      </w:r>
    </w:p>
    <w:p w14:paraId="4B56B6D4" w14:textId="77777777" w:rsidR="009260DE" w:rsidRPr="0067760F" w:rsidRDefault="009260DE" w:rsidP="009260DE">
      <w:pPr>
        <w:tabs>
          <w:tab w:val="left" w:pos="851"/>
        </w:tabs>
        <w:ind w:left="851"/>
        <w:rPr>
          <w:sz w:val="24"/>
          <w:szCs w:val="24"/>
        </w:rPr>
      </w:pPr>
    </w:p>
    <w:p w14:paraId="58B0AE51" w14:textId="77777777" w:rsidR="009260DE" w:rsidRPr="0067760F" w:rsidRDefault="009260DE" w:rsidP="009260DE">
      <w:pPr>
        <w:tabs>
          <w:tab w:val="left" w:pos="851"/>
        </w:tabs>
        <w:ind w:left="851" w:hanging="851"/>
        <w:rPr>
          <w:b/>
          <w:sz w:val="24"/>
          <w:szCs w:val="24"/>
        </w:rPr>
      </w:pPr>
      <w:r w:rsidRPr="0067760F">
        <w:rPr>
          <w:b/>
          <w:sz w:val="24"/>
          <w:szCs w:val="24"/>
        </w:rPr>
        <w:t>3.</w:t>
      </w:r>
      <w:r w:rsidRPr="0067760F">
        <w:rPr>
          <w:b/>
          <w:sz w:val="24"/>
          <w:szCs w:val="24"/>
        </w:rPr>
        <w:tab/>
        <w:t>LÆGEMIDDELFORM</w:t>
      </w:r>
    </w:p>
    <w:p w14:paraId="1BE6DEBA" w14:textId="32063504" w:rsidR="009638C2" w:rsidRPr="0067760F" w:rsidRDefault="009638C2" w:rsidP="0032431D">
      <w:pPr>
        <w:ind w:left="851"/>
        <w:rPr>
          <w:sz w:val="24"/>
          <w:szCs w:val="24"/>
        </w:rPr>
      </w:pPr>
      <w:r w:rsidRPr="0067760F">
        <w:rPr>
          <w:sz w:val="24"/>
          <w:szCs w:val="24"/>
        </w:rPr>
        <w:t>Oral suspension</w:t>
      </w:r>
    </w:p>
    <w:p w14:paraId="02FB53A6" w14:textId="77777777" w:rsidR="009638C2" w:rsidRPr="0067760F" w:rsidRDefault="009638C2" w:rsidP="0032431D">
      <w:pPr>
        <w:ind w:left="851"/>
        <w:rPr>
          <w:sz w:val="24"/>
          <w:szCs w:val="24"/>
        </w:rPr>
      </w:pPr>
      <w:r w:rsidRPr="0067760F">
        <w:rPr>
          <w:sz w:val="24"/>
          <w:szCs w:val="24"/>
        </w:rPr>
        <w:t>En råhvid viskøs suspension med hindbærduft.</w:t>
      </w:r>
    </w:p>
    <w:p w14:paraId="11D83C8B" w14:textId="3D904E0F" w:rsidR="009260DE" w:rsidRDefault="009260DE" w:rsidP="009260DE">
      <w:pPr>
        <w:tabs>
          <w:tab w:val="left" w:pos="851"/>
        </w:tabs>
        <w:ind w:left="851"/>
        <w:rPr>
          <w:sz w:val="24"/>
          <w:szCs w:val="24"/>
        </w:rPr>
      </w:pPr>
    </w:p>
    <w:p w14:paraId="640F62C6" w14:textId="77777777" w:rsidR="00B420F0" w:rsidRPr="0067760F" w:rsidRDefault="00B420F0" w:rsidP="009260DE">
      <w:pPr>
        <w:tabs>
          <w:tab w:val="left" w:pos="851"/>
        </w:tabs>
        <w:ind w:left="851"/>
        <w:rPr>
          <w:sz w:val="24"/>
          <w:szCs w:val="24"/>
        </w:rPr>
      </w:pPr>
    </w:p>
    <w:p w14:paraId="2F9764E8" w14:textId="77777777" w:rsidR="009260DE" w:rsidRPr="0067760F" w:rsidRDefault="009260DE" w:rsidP="009260DE">
      <w:pPr>
        <w:tabs>
          <w:tab w:val="left" w:pos="851"/>
        </w:tabs>
        <w:ind w:left="851" w:hanging="851"/>
        <w:rPr>
          <w:b/>
          <w:sz w:val="24"/>
          <w:szCs w:val="24"/>
        </w:rPr>
      </w:pPr>
      <w:r w:rsidRPr="0067760F">
        <w:rPr>
          <w:b/>
          <w:sz w:val="24"/>
          <w:szCs w:val="24"/>
        </w:rPr>
        <w:t>4.</w:t>
      </w:r>
      <w:r w:rsidRPr="0067760F">
        <w:rPr>
          <w:b/>
          <w:sz w:val="24"/>
          <w:szCs w:val="24"/>
        </w:rPr>
        <w:tab/>
        <w:t>KLINISKE OPLYSNINGER</w:t>
      </w:r>
    </w:p>
    <w:p w14:paraId="5E06EBE6" w14:textId="77777777" w:rsidR="009260DE" w:rsidRPr="0067760F" w:rsidRDefault="009260DE" w:rsidP="009260DE">
      <w:pPr>
        <w:tabs>
          <w:tab w:val="left" w:pos="851"/>
        </w:tabs>
        <w:ind w:left="851"/>
        <w:rPr>
          <w:b/>
          <w:sz w:val="24"/>
          <w:szCs w:val="24"/>
        </w:rPr>
      </w:pPr>
    </w:p>
    <w:p w14:paraId="4A94CBAB" w14:textId="77777777" w:rsidR="009260DE" w:rsidRPr="0067760F" w:rsidRDefault="009260DE" w:rsidP="009260DE">
      <w:pPr>
        <w:tabs>
          <w:tab w:val="left" w:pos="851"/>
        </w:tabs>
        <w:ind w:left="851" w:hanging="851"/>
        <w:rPr>
          <w:b/>
          <w:sz w:val="24"/>
          <w:szCs w:val="24"/>
          <w:u w:val="single"/>
        </w:rPr>
      </w:pPr>
      <w:r w:rsidRPr="0067760F">
        <w:rPr>
          <w:b/>
          <w:sz w:val="24"/>
          <w:szCs w:val="24"/>
        </w:rPr>
        <w:t>4.1</w:t>
      </w:r>
      <w:r w:rsidRPr="0067760F">
        <w:rPr>
          <w:b/>
          <w:sz w:val="24"/>
          <w:szCs w:val="24"/>
        </w:rPr>
        <w:tab/>
        <w:t>Terapeutiske indikationer</w:t>
      </w:r>
    </w:p>
    <w:p w14:paraId="0282C33B" w14:textId="77777777" w:rsidR="009638C2" w:rsidRPr="0067760F" w:rsidRDefault="009638C2" w:rsidP="0032431D">
      <w:pPr>
        <w:ind w:left="851"/>
        <w:rPr>
          <w:sz w:val="24"/>
          <w:szCs w:val="24"/>
        </w:rPr>
      </w:pPr>
      <w:proofErr w:type="spellStart"/>
      <w:r w:rsidRPr="0067760F">
        <w:rPr>
          <w:sz w:val="24"/>
          <w:szCs w:val="24"/>
        </w:rPr>
        <w:t>Clobazam</w:t>
      </w:r>
      <w:proofErr w:type="spellEnd"/>
      <w:r w:rsidRPr="0067760F">
        <w:rPr>
          <w:sz w:val="24"/>
          <w:szCs w:val="24"/>
        </w:rPr>
        <w:t xml:space="preserve"> kan anvendes som tillægsbehandling ved epilepsi hos voksne eller børn over 6 måneder, hvis standardbehandlingen med en eller flere </w:t>
      </w:r>
      <w:proofErr w:type="spellStart"/>
      <w:r w:rsidRPr="0067760F">
        <w:rPr>
          <w:sz w:val="24"/>
          <w:szCs w:val="24"/>
        </w:rPr>
        <w:t>antikonvulsiva</w:t>
      </w:r>
      <w:proofErr w:type="spellEnd"/>
      <w:r w:rsidRPr="0067760F">
        <w:rPr>
          <w:sz w:val="24"/>
          <w:szCs w:val="24"/>
        </w:rPr>
        <w:t xml:space="preserve"> ikke er lykkedes.</w:t>
      </w:r>
    </w:p>
    <w:p w14:paraId="0B472D61" w14:textId="6413F781" w:rsidR="00CA319D" w:rsidRDefault="00CA319D">
      <w:pPr>
        <w:rPr>
          <w:sz w:val="24"/>
          <w:szCs w:val="24"/>
        </w:rPr>
      </w:pPr>
      <w:r>
        <w:rPr>
          <w:sz w:val="24"/>
          <w:szCs w:val="24"/>
        </w:rPr>
        <w:br w:type="page"/>
      </w:r>
    </w:p>
    <w:p w14:paraId="6D0B03DA" w14:textId="77777777" w:rsidR="009260DE" w:rsidRPr="0067760F" w:rsidRDefault="009260DE" w:rsidP="009260DE">
      <w:pPr>
        <w:tabs>
          <w:tab w:val="left" w:pos="851"/>
        </w:tabs>
        <w:ind w:left="851"/>
        <w:rPr>
          <w:sz w:val="24"/>
          <w:szCs w:val="24"/>
        </w:rPr>
      </w:pPr>
    </w:p>
    <w:p w14:paraId="44A49F61" w14:textId="77777777" w:rsidR="009260DE" w:rsidRPr="0067760F" w:rsidRDefault="009260DE" w:rsidP="009260DE">
      <w:pPr>
        <w:tabs>
          <w:tab w:val="left" w:pos="851"/>
        </w:tabs>
        <w:ind w:left="851" w:hanging="851"/>
        <w:rPr>
          <w:b/>
          <w:sz w:val="24"/>
          <w:szCs w:val="24"/>
        </w:rPr>
      </w:pPr>
      <w:r w:rsidRPr="0067760F">
        <w:rPr>
          <w:b/>
          <w:sz w:val="24"/>
          <w:szCs w:val="24"/>
        </w:rPr>
        <w:t>4.2</w:t>
      </w:r>
      <w:r w:rsidRPr="0067760F">
        <w:rPr>
          <w:b/>
          <w:sz w:val="24"/>
          <w:szCs w:val="24"/>
        </w:rPr>
        <w:tab/>
        <w:t>Dosering og indgivelsesmåde</w:t>
      </w:r>
    </w:p>
    <w:p w14:paraId="51BA9933" w14:textId="77777777" w:rsidR="00F669B6" w:rsidRDefault="00F669B6" w:rsidP="0032431D">
      <w:pPr>
        <w:ind w:left="851"/>
        <w:rPr>
          <w:sz w:val="24"/>
          <w:szCs w:val="24"/>
        </w:rPr>
      </w:pPr>
    </w:p>
    <w:p w14:paraId="24424B49" w14:textId="332C9E1D" w:rsidR="009638C2" w:rsidRPr="00F669B6" w:rsidRDefault="009638C2" w:rsidP="0032431D">
      <w:pPr>
        <w:ind w:left="851"/>
        <w:rPr>
          <w:sz w:val="24"/>
          <w:szCs w:val="24"/>
          <w:u w:val="single"/>
        </w:rPr>
      </w:pPr>
      <w:r w:rsidRPr="00F669B6">
        <w:rPr>
          <w:sz w:val="24"/>
          <w:szCs w:val="24"/>
          <w:u w:val="single"/>
        </w:rPr>
        <w:t>Dosering</w:t>
      </w:r>
    </w:p>
    <w:p w14:paraId="1E4EFAAD" w14:textId="77777777" w:rsidR="009638C2" w:rsidRPr="0067760F" w:rsidRDefault="009638C2" w:rsidP="0032431D">
      <w:pPr>
        <w:ind w:left="851"/>
        <w:rPr>
          <w:sz w:val="24"/>
          <w:szCs w:val="24"/>
        </w:rPr>
      </w:pPr>
    </w:p>
    <w:p w14:paraId="56F37971" w14:textId="77777777" w:rsidR="009638C2" w:rsidRPr="0067760F" w:rsidRDefault="009638C2" w:rsidP="0032431D">
      <w:pPr>
        <w:ind w:left="851"/>
        <w:rPr>
          <w:sz w:val="24"/>
          <w:szCs w:val="24"/>
        </w:rPr>
      </w:pPr>
      <w:r w:rsidRPr="0067760F">
        <w:rPr>
          <w:sz w:val="24"/>
          <w:szCs w:val="24"/>
        </w:rPr>
        <w:t xml:space="preserve">Den orale suspension er egnet til alle epilepsipatienter, hos hvem lægen vurderer, at en oral suspension er at foretrække frem for </w:t>
      </w:r>
      <w:proofErr w:type="spellStart"/>
      <w:r w:rsidRPr="0067760F">
        <w:rPr>
          <w:sz w:val="24"/>
          <w:szCs w:val="24"/>
        </w:rPr>
        <w:t>clobazamtabletter</w:t>
      </w:r>
      <w:proofErr w:type="spellEnd"/>
      <w:r w:rsidRPr="0067760F">
        <w:rPr>
          <w:sz w:val="24"/>
          <w:szCs w:val="24"/>
        </w:rPr>
        <w:t>.</w:t>
      </w:r>
    </w:p>
    <w:p w14:paraId="5586BF8A" w14:textId="77777777" w:rsidR="009638C2" w:rsidRPr="0067760F" w:rsidRDefault="009638C2" w:rsidP="0032431D">
      <w:pPr>
        <w:ind w:left="851"/>
        <w:rPr>
          <w:sz w:val="24"/>
          <w:szCs w:val="24"/>
        </w:rPr>
      </w:pPr>
    </w:p>
    <w:p w14:paraId="2D6EE2A8" w14:textId="77777777" w:rsidR="009638C2" w:rsidRPr="0067760F" w:rsidRDefault="009638C2" w:rsidP="0032431D">
      <w:pPr>
        <w:ind w:left="851"/>
        <w:rPr>
          <w:sz w:val="24"/>
          <w:szCs w:val="24"/>
        </w:rPr>
      </w:pPr>
      <w:r w:rsidRPr="0067760F">
        <w:rPr>
          <w:sz w:val="24"/>
          <w:szCs w:val="24"/>
        </w:rPr>
        <w:t>Hvis der kræves lave doser, er produktet med en styrke på 1 mg/ml bedst egnet. Hvis der kræves høje doser, har produktet med en styrke på 2 mg/ml den bedst egnede koncentration. Behandlingen bør i alle tilfælde indledes med den laveste effektive dosis med en gradvis øgning af dosis under nøje observation.</w:t>
      </w:r>
    </w:p>
    <w:p w14:paraId="11FA127D" w14:textId="77777777" w:rsidR="009638C2" w:rsidRPr="0067760F" w:rsidRDefault="009638C2" w:rsidP="0032431D">
      <w:pPr>
        <w:ind w:left="851"/>
        <w:rPr>
          <w:sz w:val="24"/>
          <w:szCs w:val="24"/>
        </w:rPr>
      </w:pPr>
    </w:p>
    <w:p w14:paraId="41A3F584" w14:textId="77777777" w:rsidR="009638C2" w:rsidRPr="00F669B6" w:rsidRDefault="009638C2" w:rsidP="0032431D">
      <w:pPr>
        <w:ind w:left="851"/>
        <w:rPr>
          <w:sz w:val="24"/>
          <w:szCs w:val="24"/>
          <w:u w:val="single"/>
        </w:rPr>
      </w:pPr>
      <w:r w:rsidRPr="00F669B6">
        <w:rPr>
          <w:sz w:val="24"/>
          <w:szCs w:val="24"/>
          <w:u w:val="single"/>
        </w:rPr>
        <w:t xml:space="preserve">Behandling af epilepsi i forbindelse med en eller flere andre </w:t>
      </w:r>
      <w:proofErr w:type="spellStart"/>
      <w:r w:rsidRPr="00F669B6">
        <w:rPr>
          <w:sz w:val="24"/>
          <w:szCs w:val="24"/>
          <w:u w:val="single"/>
        </w:rPr>
        <w:t>antikonvulsiva</w:t>
      </w:r>
      <w:proofErr w:type="spellEnd"/>
    </w:p>
    <w:p w14:paraId="4A0E93F5" w14:textId="77777777" w:rsidR="009638C2" w:rsidRPr="0067760F" w:rsidRDefault="009638C2" w:rsidP="0032431D">
      <w:pPr>
        <w:ind w:left="851"/>
        <w:rPr>
          <w:sz w:val="24"/>
          <w:szCs w:val="24"/>
        </w:rPr>
      </w:pPr>
    </w:p>
    <w:p w14:paraId="2C4EF107" w14:textId="77777777" w:rsidR="009638C2" w:rsidRPr="00F669B6" w:rsidRDefault="009638C2" w:rsidP="0032431D">
      <w:pPr>
        <w:ind w:left="851"/>
        <w:rPr>
          <w:b/>
          <w:bCs/>
          <w:sz w:val="24"/>
          <w:szCs w:val="24"/>
        </w:rPr>
      </w:pPr>
      <w:r w:rsidRPr="00F669B6">
        <w:rPr>
          <w:b/>
          <w:sz w:val="24"/>
          <w:szCs w:val="24"/>
        </w:rPr>
        <w:t>Voksne</w:t>
      </w:r>
    </w:p>
    <w:p w14:paraId="6B8156E8" w14:textId="77777777" w:rsidR="009638C2" w:rsidRPr="0067760F" w:rsidRDefault="009638C2" w:rsidP="0032431D">
      <w:pPr>
        <w:ind w:left="851"/>
        <w:rPr>
          <w:sz w:val="24"/>
          <w:szCs w:val="24"/>
        </w:rPr>
      </w:pPr>
      <w:r w:rsidRPr="0067760F">
        <w:rPr>
          <w:sz w:val="24"/>
          <w:szCs w:val="24"/>
        </w:rPr>
        <w:t>En startdosis på 5-15 mg/dag anbefales. Om nødvendigt kan dosis øges gradvist efter behov op til maksimalt 60 mg dagligt, indtil den krævede kliniske effekt er opnået, eller hvis der opstår bivirkninger (se pkt. 4.4 og 4.8). Dosis kan opdeles i 1-3 doser, hvor den største dosisskal tages om aftenen. En enkelt dosis på op til 30 mg kan tages om aftenen.</w:t>
      </w:r>
    </w:p>
    <w:p w14:paraId="5BEFF96A" w14:textId="77777777" w:rsidR="009638C2" w:rsidRPr="0067760F" w:rsidRDefault="009638C2" w:rsidP="0032431D">
      <w:pPr>
        <w:ind w:left="851"/>
        <w:rPr>
          <w:sz w:val="24"/>
          <w:szCs w:val="24"/>
        </w:rPr>
      </w:pPr>
    </w:p>
    <w:p w14:paraId="20405085" w14:textId="77777777" w:rsidR="009638C2" w:rsidRPr="00F669B6" w:rsidRDefault="009638C2" w:rsidP="0032431D">
      <w:pPr>
        <w:ind w:left="851"/>
        <w:rPr>
          <w:b/>
          <w:sz w:val="24"/>
          <w:szCs w:val="24"/>
        </w:rPr>
      </w:pPr>
      <w:r w:rsidRPr="00F669B6">
        <w:rPr>
          <w:b/>
          <w:sz w:val="24"/>
          <w:szCs w:val="24"/>
        </w:rPr>
        <w:t>Pædiatrisk population</w:t>
      </w:r>
    </w:p>
    <w:p w14:paraId="5E5DBF34" w14:textId="77777777" w:rsidR="009638C2" w:rsidRPr="0067760F" w:rsidRDefault="009638C2" w:rsidP="0032431D">
      <w:pPr>
        <w:ind w:left="851"/>
        <w:rPr>
          <w:sz w:val="24"/>
          <w:szCs w:val="24"/>
        </w:rPr>
      </w:pPr>
      <w:r w:rsidRPr="0067760F">
        <w:rPr>
          <w:sz w:val="24"/>
          <w:szCs w:val="24"/>
        </w:rPr>
        <w:t xml:space="preserve">Ved ordination til børn kan der forekomme øget respons og øget følsomhed over for bivirkninger. Disse patienter kræver derfor lavere startdoser med gradvis øgning under nøje observation. Lægemiddelkoncentrationer i plasma kan måles ved forværring af krampeanfald, status </w:t>
      </w:r>
      <w:proofErr w:type="spellStart"/>
      <w:r w:rsidRPr="0067760F">
        <w:rPr>
          <w:sz w:val="24"/>
          <w:szCs w:val="24"/>
        </w:rPr>
        <w:t>epilepticus</w:t>
      </w:r>
      <w:proofErr w:type="spellEnd"/>
      <w:r w:rsidRPr="0067760F">
        <w:rPr>
          <w:sz w:val="24"/>
          <w:szCs w:val="24"/>
        </w:rPr>
        <w:t>, mistanke om manglende compliance eller mistanke om toksicitet.</w:t>
      </w:r>
    </w:p>
    <w:p w14:paraId="4D7D1345" w14:textId="77777777" w:rsidR="009638C2" w:rsidRPr="0067760F" w:rsidRDefault="009638C2" w:rsidP="0032431D">
      <w:pPr>
        <w:ind w:left="851"/>
        <w:rPr>
          <w:sz w:val="24"/>
          <w:szCs w:val="24"/>
        </w:rPr>
      </w:pPr>
    </w:p>
    <w:p w14:paraId="52590EB0" w14:textId="77777777" w:rsidR="009638C2" w:rsidRPr="00F669B6" w:rsidRDefault="009638C2" w:rsidP="0032431D">
      <w:pPr>
        <w:ind w:left="851"/>
        <w:rPr>
          <w:sz w:val="24"/>
          <w:szCs w:val="24"/>
          <w:u w:val="single"/>
        </w:rPr>
      </w:pPr>
      <w:r w:rsidRPr="00F669B6">
        <w:rPr>
          <w:i/>
          <w:iCs/>
          <w:sz w:val="24"/>
          <w:szCs w:val="24"/>
          <w:u w:val="single"/>
        </w:rPr>
        <w:t>Pædiatrisk population i alderen 2-16 år:</w:t>
      </w:r>
    </w:p>
    <w:p w14:paraId="3D9560DC" w14:textId="77777777" w:rsidR="009638C2" w:rsidRPr="0067760F" w:rsidRDefault="009638C2" w:rsidP="0032431D">
      <w:pPr>
        <w:ind w:left="851"/>
        <w:rPr>
          <w:sz w:val="24"/>
          <w:szCs w:val="24"/>
        </w:rPr>
      </w:pPr>
    </w:p>
    <w:p w14:paraId="26B1B97B" w14:textId="77777777" w:rsidR="009638C2" w:rsidRPr="0067760F" w:rsidRDefault="009638C2" w:rsidP="0032431D">
      <w:pPr>
        <w:ind w:left="851"/>
        <w:rPr>
          <w:spacing w:val="6"/>
          <w:sz w:val="24"/>
          <w:szCs w:val="24"/>
        </w:rPr>
      </w:pPr>
      <w:r w:rsidRPr="0067760F">
        <w:rPr>
          <w:i/>
          <w:iCs/>
          <w:sz w:val="24"/>
          <w:szCs w:val="24"/>
        </w:rPr>
        <w:t>Startdosis</w:t>
      </w:r>
      <w:r w:rsidRPr="0067760F">
        <w:rPr>
          <w:sz w:val="24"/>
          <w:szCs w:val="24"/>
        </w:rPr>
        <w:t xml:space="preserve">: </w:t>
      </w:r>
    </w:p>
    <w:p w14:paraId="0B256A32" w14:textId="77777777" w:rsidR="009638C2" w:rsidRPr="0067760F" w:rsidRDefault="009638C2" w:rsidP="0032431D">
      <w:pPr>
        <w:ind w:left="851"/>
        <w:rPr>
          <w:sz w:val="24"/>
          <w:szCs w:val="24"/>
        </w:rPr>
      </w:pPr>
      <w:r w:rsidRPr="0067760F">
        <w:rPr>
          <w:sz w:val="24"/>
          <w:szCs w:val="24"/>
        </w:rPr>
        <w:t xml:space="preserve">Børn i alderen 2-5 år: 0,1 mg/kg/dag. </w:t>
      </w:r>
    </w:p>
    <w:p w14:paraId="3567B0B8" w14:textId="77777777" w:rsidR="009638C2" w:rsidRPr="0067760F" w:rsidRDefault="009638C2" w:rsidP="0032431D">
      <w:pPr>
        <w:ind w:left="851"/>
        <w:rPr>
          <w:sz w:val="24"/>
          <w:szCs w:val="24"/>
        </w:rPr>
      </w:pPr>
    </w:p>
    <w:p w14:paraId="65F3514B" w14:textId="77777777" w:rsidR="009638C2" w:rsidRPr="0067760F" w:rsidRDefault="009638C2" w:rsidP="0032431D">
      <w:pPr>
        <w:ind w:left="851"/>
        <w:rPr>
          <w:sz w:val="24"/>
          <w:szCs w:val="24"/>
        </w:rPr>
      </w:pPr>
      <w:r w:rsidRPr="0067760F">
        <w:rPr>
          <w:sz w:val="24"/>
          <w:szCs w:val="24"/>
        </w:rPr>
        <w:t>Børn ≥6 år: 5 mg/dag.</w:t>
      </w:r>
    </w:p>
    <w:p w14:paraId="42828AE7" w14:textId="77777777" w:rsidR="009638C2" w:rsidRPr="0067760F" w:rsidRDefault="009638C2" w:rsidP="0032431D">
      <w:pPr>
        <w:ind w:left="851"/>
        <w:rPr>
          <w:sz w:val="24"/>
          <w:szCs w:val="24"/>
        </w:rPr>
      </w:pPr>
      <w:r w:rsidRPr="0067760F">
        <w:rPr>
          <w:sz w:val="24"/>
          <w:szCs w:val="24"/>
        </w:rPr>
        <w:t>Dosis kan øges langsomt i trin a 0,1 til 0,2 mg/kg/dag med 7 dages interval, indtil den nødvendige kliniske effekt er opnået, eller der optræder bivirkninger (se pkt. 4.4 og 4.8). Dosis kan fordeles på 2-3 doser om dagen eller som en enkeltdosis om aftenen. Den største dosis bør tages om aftenen.</w:t>
      </w:r>
    </w:p>
    <w:p w14:paraId="2517A5E6" w14:textId="77777777" w:rsidR="009638C2" w:rsidRPr="0067760F" w:rsidRDefault="009638C2" w:rsidP="0032431D">
      <w:pPr>
        <w:ind w:left="851"/>
        <w:rPr>
          <w:sz w:val="24"/>
          <w:szCs w:val="24"/>
        </w:rPr>
      </w:pPr>
    </w:p>
    <w:p w14:paraId="17442433" w14:textId="77777777" w:rsidR="009638C2" w:rsidRPr="0067760F" w:rsidRDefault="009638C2" w:rsidP="0032431D">
      <w:pPr>
        <w:ind w:left="851"/>
        <w:rPr>
          <w:sz w:val="24"/>
          <w:szCs w:val="24"/>
        </w:rPr>
      </w:pPr>
      <w:r w:rsidRPr="0067760F">
        <w:rPr>
          <w:i/>
          <w:iCs/>
          <w:sz w:val="24"/>
          <w:szCs w:val="24"/>
        </w:rPr>
        <w:t>Vedligeholdelsesdosis</w:t>
      </w:r>
      <w:r w:rsidRPr="0067760F">
        <w:rPr>
          <w:sz w:val="24"/>
          <w:szCs w:val="24"/>
        </w:rPr>
        <w:t>: Normalt 0,3 til 1 mg/kg/dag. Den daglige dosis kan fordeles på 2-3 doser eller tages som en enkeltdosis om aftenen. Den største dosis bør tages om aftenen.</w:t>
      </w:r>
    </w:p>
    <w:p w14:paraId="2C2D827C" w14:textId="77777777" w:rsidR="009638C2" w:rsidRPr="0067760F" w:rsidRDefault="009638C2" w:rsidP="0032431D">
      <w:pPr>
        <w:ind w:left="851"/>
        <w:rPr>
          <w:sz w:val="24"/>
          <w:szCs w:val="24"/>
        </w:rPr>
      </w:pPr>
    </w:p>
    <w:p w14:paraId="68F38D3C" w14:textId="77777777" w:rsidR="009638C2" w:rsidRPr="00F669B6" w:rsidRDefault="009638C2" w:rsidP="0032431D">
      <w:pPr>
        <w:ind w:left="851"/>
        <w:rPr>
          <w:sz w:val="24"/>
          <w:szCs w:val="24"/>
          <w:u w:val="single"/>
        </w:rPr>
      </w:pPr>
      <w:bookmarkStart w:id="1" w:name="_Hlk58799319"/>
      <w:r w:rsidRPr="00F669B6">
        <w:rPr>
          <w:i/>
          <w:iCs/>
          <w:sz w:val="24"/>
          <w:szCs w:val="24"/>
          <w:u w:val="single"/>
        </w:rPr>
        <w:t>Pædiatrisk population i alderen 6 måneder til 2 år:</w:t>
      </w:r>
    </w:p>
    <w:p w14:paraId="627E2DDB" w14:textId="77777777" w:rsidR="009638C2" w:rsidRPr="0067760F" w:rsidRDefault="009638C2" w:rsidP="0032431D">
      <w:pPr>
        <w:ind w:left="851"/>
        <w:rPr>
          <w:sz w:val="24"/>
          <w:szCs w:val="24"/>
        </w:rPr>
      </w:pPr>
      <w:r w:rsidRPr="0067760F">
        <w:rPr>
          <w:sz w:val="24"/>
          <w:szCs w:val="24"/>
        </w:rPr>
        <w:t xml:space="preserve">Brug af </w:t>
      </w:r>
      <w:proofErr w:type="spellStart"/>
      <w:r w:rsidRPr="0067760F">
        <w:rPr>
          <w:sz w:val="24"/>
          <w:szCs w:val="24"/>
        </w:rPr>
        <w:t>Epaclob</w:t>
      </w:r>
      <w:proofErr w:type="spellEnd"/>
      <w:r w:rsidRPr="0067760F">
        <w:rPr>
          <w:sz w:val="24"/>
          <w:szCs w:val="24"/>
        </w:rPr>
        <w:t xml:space="preserve"> til børn fra 6 måneder til 2 år skal tage højde for de potentielle kliniske fordele og risici.</w:t>
      </w:r>
    </w:p>
    <w:p w14:paraId="1DB21C74" w14:textId="77777777" w:rsidR="009638C2" w:rsidRPr="0067760F" w:rsidRDefault="009638C2" w:rsidP="0032431D">
      <w:pPr>
        <w:ind w:left="851"/>
        <w:rPr>
          <w:sz w:val="24"/>
          <w:szCs w:val="24"/>
        </w:rPr>
      </w:pPr>
    </w:p>
    <w:p w14:paraId="54FA4536" w14:textId="77777777" w:rsidR="009638C2" w:rsidRPr="0067760F" w:rsidRDefault="009638C2" w:rsidP="0032431D">
      <w:pPr>
        <w:ind w:left="851"/>
        <w:rPr>
          <w:sz w:val="24"/>
          <w:szCs w:val="24"/>
        </w:rPr>
      </w:pPr>
      <w:r w:rsidRPr="0067760F">
        <w:rPr>
          <w:sz w:val="24"/>
          <w:szCs w:val="24"/>
        </w:rPr>
        <w:t xml:space="preserve">Der er begrænsede data om brugen af </w:t>
      </w:r>
      <w:proofErr w:type="spellStart"/>
      <w:r w:rsidRPr="0067760F">
        <w:rPr>
          <w:sz w:val="24"/>
          <w:szCs w:val="24"/>
        </w:rPr>
        <w:t>Epaclob</w:t>
      </w:r>
      <w:proofErr w:type="spellEnd"/>
      <w:r w:rsidRPr="0067760F">
        <w:rPr>
          <w:sz w:val="24"/>
          <w:szCs w:val="24"/>
        </w:rPr>
        <w:t xml:space="preserve"> til børn under 2 år, og det bør kun anvendes under opsyn af en børnelæge med erfaring i behandlingen af svære epileptiske syndromer hos børn og skal igangsættes, mens patienten er indlagt på hospitalet. Brug 0,1 mg/kg/dag, og titrér meget langsomt op (øg ikke oftere end hver 5. dag) for at opnå den nødvendige kliniske effekt, i opdelte doser to gange dagligt.</w:t>
      </w:r>
    </w:p>
    <w:p w14:paraId="203E15DD" w14:textId="77777777" w:rsidR="009638C2" w:rsidRPr="0067760F" w:rsidRDefault="009638C2" w:rsidP="0032431D">
      <w:pPr>
        <w:ind w:left="851"/>
        <w:rPr>
          <w:sz w:val="24"/>
          <w:szCs w:val="24"/>
        </w:rPr>
      </w:pPr>
    </w:p>
    <w:bookmarkEnd w:id="1"/>
    <w:p w14:paraId="08D992AF" w14:textId="77777777" w:rsidR="009638C2" w:rsidRPr="0067760F" w:rsidRDefault="009638C2" w:rsidP="0032431D">
      <w:pPr>
        <w:ind w:left="851"/>
        <w:rPr>
          <w:sz w:val="24"/>
          <w:szCs w:val="24"/>
        </w:rPr>
      </w:pPr>
      <w:r w:rsidRPr="0067760F">
        <w:rPr>
          <w:sz w:val="24"/>
          <w:szCs w:val="24"/>
        </w:rPr>
        <w:t xml:space="preserve">Den maksimale daglige dosis er 60 mg pr. dag for børn &gt;6 år </w:t>
      </w:r>
      <w:bookmarkStart w:id="2" w:name="_Hlk46384174"/>
      <w:r w:rsidRPr="0067760F">
        <w:rPr>
          <w:sz w:val="24"/>
          <w:szCs w:val="24"/>
        </w:rPr>
        <w:t>og 30 mg pr. dag for børn i en lavere aldersgruppe (6 måneder til 5 år).</w:t>
      </w:r>
    </w:p>
    <w:p w14:paraId="1DDCFD6C" w14:textId="77777777" w:rsidR="009638C2" w:rsidRPr="0067760F" w:rsidRDefault="009638C2" w:rsidP="0032431D">
      <w:pPr>
        <w:ind w:left="851"/>
        <w:rPr>
          <w:sz w:val="24"/>
          <w:szCs w:val="24"/>
        </w:rPr>
      </w:pPr>
    </w:p>
    <w:bookmarkEnd w:id="2"/>
    <w:p w14:paraId="41F2D467" w14:textId="77777777" w:rsidR="009638C2" w:rsidRPr="00F669B6" w:rsidRDefault="009638C2" w:rsidP="0032431D">
      <w:pPr>
        <w:ind w:left="851"/>
        <w:rPr>
          <w:b/>
          <w:bCs/>
          <w:sz w:val="24"/>
          <w:szCs w:val="24"/>
        </w:rPr>
      </w:pPr>
      <w:r w:rsidRPr="00F669B6">
        <w:rPr>
          <w:b/>
          <w:sz w:val="24"/>
          <w:szCs w:val="24"/>
        </w:rPr>
        <w:t>Ældre</w:t>
      </w:r>
    </w:p>
    <w:p w14:paraId="1BCB47CA" w14:textId="77777777" w:rsidR="009638C2" w:rsidRPr="0067760F" w:rsidRDefault="009638C2" w:rsidP="0032431D">
      <w:pPr>
        <w:ind w:left="851"/>
        <w:rPr>
          <w:sz w:val="24"/>
          <w:szCs w:val="24"/>
        </w:rPr>
      </w:pPr>
      <w:r w:rsidRPr="0067760F">
        <w:rPr>
          <w:sz w:val="24"/>
          <w:szCs w:val="24"/>
        </w:rPr>
        <w:t xml:space="preserve">Hos ældre patienter i alderen &gt;65 år kan der forekomme øget respons og øget følsomhed over for bivirkninger, så disse patienter kræver lave startdoser med gradvis øgning under nøje observation, indtil den nødvendige kliniske effekt er nået, eller der opstår bivirkninger (se pkt. 4.4 og 4.8). </w:t>
      </w:r>
      <w:bookmarkStart w:id="3" w:name="_Hlk46384427"/>
      <w:r w:rsidRPr="0067760F">
        <w:rPr>
          <w:sz w:val="24"/>
          <w:szCs w:val="24"/>
        </w:rPr>
        <w:t>Den daglige dosis kan fordeles på flere doser eller tages som en enkeltdosis til natten.</w:t>
      </w:r>
    </w:p>
    <w:bookmarkEnd w:id="3"/>
    <w:p w14:paraId="608DD816" w14:textId="77777777" w:rsidR="009638C2" w:rsidRPr="0067760F" w:rsidRDefault="009638C2" w:rsidP="0032431D">
      <w:pPr>
        <w:ind w:left="851"/>
        <w:rPr>
          <w:sz w:val="24"/>
          <w:szCs w:val="24"/>
        </w:rPr>
      </w:pPr>
    </w:p>
    <w:p w14:paraId="3CA7BDAD" w14:textId="77777777" w:rsidR="009638C2" w:rsidRPr="00F669B6" w:rsidRDefault="009638C2" w:rsidP="0032431D">
      <w:pPr>
        <w:ind w:left="851"/>
        <w:rPr>
          <w:b/>
          <w:bCs/>
          <w:sz w:val="24"/>
          <w:szCs w:val="24"/>
        </w:rPr>
      </w:pPr>
      <w:r w:rsidRPr="00F669B6">
        <w:rPr>
          <w:b/>
          <w:sz w:val="24"/>
          <w:szCs w:val="24"/>
        </w:rPr>
        <w:t>Lever- og nyresvigt</w:t>
      </w:r>
    </w:p>
    <w:p w14:paraId="0A246F17" w14:textId="77777777" w:rsidR="009638C2" w:rsidRPr="0067760F" w:rsidRDefault="009638C2" w:rsidP="0032431D">
      <w:pPr>
        <w:ind w:left="851"/>
        <w:rPr>
          <w:sz w:val="24"/>
          <w:szCs w:val="24"/>
        </w:rPr>
      </w:pPr>
      <w:proofErr w:type="spellStart"/>
      <w:r w:rsidRPr="0067760F">
        <w:rPr>
          <w:sz w:val="24"/>
          <w:szCs w:val="24"/>
        </w:rPr>
        <w:t>Epaclob</w:t>
      </w:r>
      <w:proofErr w:type="spellEnd"/>
      <w:r w:rsidRPr="0067760F">
        <w:rPr>
          <w:sz w:val="24"/>
          <w:szCs w:val="24"/>
        </w:rPr>
        <w:t xml:space="preserve"> kan anvendes til patienter med let og moderat nedsat nyrefunktion uden nogen dosisjustering. Lægemidlet anbefales ikke til brug hos patienter med alvorligt nyresvigt. </w:t>
      </w:r>
    </w:p>
    <w:p w14:paraId="32C685A5" w14:textId="77777777" w:rsidR="009638C2" w:rsidRPr="0067760F" w:rsidRDefault="009638C2" w:rsidP="0032431D">
      <w:pPr>
        <w:ind w:left="851"/>
        <w:rPr>
          <w:sz w:val="24"/>
          <w:szCs w:val="24"/>
        </w:rPr>
      </w:pPr>
    </w:p>
    <w:p w14:paraId="0501DEF1" w14:textId="77777777" w:rsidR="009638C2" w:rsidRPr="0067760F" w:rsidRDefault="009638C2" w:rsidP="0032431D">
      <w:pPr>
        <w:ind w:left="851"/>
        <w:rPr>
          <w:sz w:val="24"/>
          <w:szCs w:val="24"/>
        </w:rPr>
      </w:pPr>
      <w:r w:rsidRPr="0067760F">
        <w:rPr>
          <w:sz w:val="24"/>
          <w:szCs w:val="24"/>
        </w:rPr>
        <w:t xml:space="preserve">Der er ingen erfaring med behandling med </w:t>
      </w:r>
      <w:proofErr w:type="spellStart"/>
      <w:r w:rsidRPr="0067760F">
        <w:rPr>
          <w:sz w:val="24"/>
          <w:szCs w:val="24"/>
        </w:rPr>
        <w:t>clobazam</w:t>
      </w:r>
      <w:proofErr w:type="spellEnd"/>
      <w:r w:rsidRPr="0067760F">
        <w:rPr>
          <w:sz w:val="24"/>
          <w:szCs w:val="24"/>
        </w:rPr>
        <w:t xml:space="preserve"> til patienter med let og moderat nedsat leverfunktion. Lægemidlet må ikke anvendes til patienter med svær nedsat leverfunktion (se pkt. 4.3).</w:t>
      </w:r>
    </w:p>
    <w:p w14:paraId="33D2686B" w14:textId="77777777" w:rsidR="009638C2" w:rsidRPr="0067760F" w:rsidRDefault="009638C2" w:rsidP="0032431D">
      <w:pPr>
        <w:ind w:left="851"/>
        <w:rPr>
          <w:sz w:val="24"/>
          <w:szCs w:val="24"/>
        </w:rPr>
      </w:pPr>
    </w:p>
    <w:p w14:paraId="29FC926F" w14:textId="77777777" w:rsidR="009638C2" w:rsidRPr="0067760F" w:rsidRDefault="009638C2" w:rsidP="0032431D">
      <w:pPr>
        <w:ind w:left="851"/>
        <w:rPr>
          <w:sz w:val="24"/>
          <w:szCs w:val="24"/>
        </w:rPr>
      </w:pPr>
      <w:r w:rsidRPr="0067760F">
        <w:rPr>
          <w:sz w:val="24"/>
          <w:szCs w:val="24"/>
        </w:rPr>
        <w:t>Behandling af patienter med nedsat nyre- eller leverfunktion kræver lave startdoser og gradvis øgning af dosis under nøje observation (se pkt. 4.4 og 4.8). Ved langvarig behandling bør lever- og nyrefunktionen kontrolleres regelmæssigt.</w:t>
      </w:r>
    </w:p>
    <w:p w14:paraId="598A83B0" w14:textId="77777777" w:rsidR="009638C2" w:rsidRPr="0067760F" w:rsidRDefault="009638C2" w:rsidP="0032431D">
      <w:pPr>
        <w:ind w:left="851"/>
        <w:rPr>
          <w:sz w:val="24"/>
          <w:szCs w:val="24"/>
        </w:rPr>
      </w:pPr>
    </w:p>
    <w:p w14:paraId="31EAEF33" w14:textId="77777777" w:rsidR="009638C2" w:rsidRPr="00F669B6" w:rsidRDefault="009638C2" w:rsidP="0032431D">
      <w:pPr>
        <w:ind w:left="851"/>
        <w:rPr>
          <w:b/>
          <w:bCs/>
          <w:sz w:val="24"/>
          <w:szCs w:val="24"/>
        </w:rPr>
      </w:pPr>
      <w:r w:rsidRPr="00F669B6">
        <w:rPr>
          <w:b/>
          <w:sz w:val="24"/>
          <w:szCs w:val="24"/>
        </w:rPr>
        <w:t>Varighed</w:t>
      </w:r>
    </w:p>
    <w:p w14:paraId="1CE73F76" w14:textId="77777777" w:rsidR="009638C2" w:rsidRPr="0067760F" w:rsidRDefault="009638C2" w:rsidP="0032431D">
      <w:pPr>
        <w:ind w:left="851"/>
        <w:rPr>
          <w:sz w:val="24"/>
          <w:szCs w:val="24"/>
        </w:rPr>
      </w:pPr>
      <w:r w:rsidRPr="0067760F">
        <w:rPr>
          <w:sz w:val="24"/>
          <w:szCs w:val="24"/>
        </w:rPr>
        <w:t xml:space="preserve">Patientens tilstand bør i de første 4 uger af behandlingen løbende vurderes med henblik på eventuelle tegn og symptomer på bivirkninger (se pkt. 4.4 og 4.8). Derefter vil regelmæssig vurdering hver 4. uge afgøre behovet for fortsat behandling. Hvis der opstår farmakologisk </w:t>
      </w:r>
      <w:proofErr w:type="spellStart"/>
      <w:r w:rsidRPr="0067760F">
        <w:rPr>
          <w:sz w:val="24"/>
          <w:szCs w:val="24"/>
        </w:rPr>
        <w:t>toleranse</w:t>
      </w:r>
      <w:proofErr w:type="spellEnd"/>
      <w:r w:rsidRPr="0067760F">
        <w:rPr>
          <w:sz w:val="24"/>
          <w:szCs w:val="24"/>
        </w:rPr>
        <w:t xml:space="preserve">, kan det være hensigtsmæssigt at afbryde behandlingen og derefter genoptage behandlingen med en lavere dosis. Hvis dosis fordeles på flere doser i løbet af dagen, skal den højeste dosis tages til natten. Doser op til 30 mg </w:t>
      </w:r>
      <w:proofErr w:type="spellStart"/>
      <w:r w:rsidRPr="0067760F">
        <w:rPr>
          <w:sz w:val="24"/>
          <w:szCs w:val="24"/>
        </w:rPr>
        <w:t>clobazam</w:t>
      </w:r>
      <w:proofErr w:type="spellEnd"/>
      <w:r w:rsidRPr="0067760F">
        <w:rPr>
          <w:sz w:val="24"/>
          <w:szCs w:val="24"/>
        </w:rPr>
        <w:t xml:space="preserve"> kan også administreres som en enkeltdosis til natten.</w:t>
      </w:r>
    </w:p>
    <w:p w14:paraId="6E7A53BA" w14:textId="77777777" w:rsidR="009638C2" w:rsidRPr="0067760F" w:rsidRDefault="009638C2" w:rsidP="0032431D">
      <w:pPr>
        <w:ind w:left="851"/>
        <w:rPr>
          <w:sz w:val="24"/>
          <w:szCs w:val="24"/>
        </w:rPr>
      </w:pPr>
    </w:p>
    <w:p w14:paraId="65EAF9CF" w14:textId="3DA9C62F" w:rsidR="009638C2" w:rsidRPr="0067760F" w:rsidRDefault="009638C2" w:rsidP="0032431D">
      <w:pPr>
        <w:ind w:left="851"/>
        <w:rPr>
          <w:sz w:val="24"/>
          <w:szCs w:val="24"/>
        </w:rPr>
      </w:pPr>
      <w:r w:rsidRPr="0067760F">
        <w:rPr>
          <w:sz w:val="24"/>
          <w:szCs w:val="24"/>
        </w:rPr>
        <w:t>Ved afslutning af behandlingen</w:t>
      </w:r>
      <w:r w:rsidR="009337D6">
        <w:rPr>
          <w:sz w:val="24"/>
          <w:szCs w:val="24"/>
        </w:rPr>
        <w:t xml:space="preserve"> </w:t>
      </w:r>
      <w:r w:rsidRPr="0067760F">
        <w:rPr>
          <w:sz w:val="24"/>
          <w:szCs w:val="24"/>
        </w:rPr>
        <w:t xml:space="preserve">anbefales det at reducere dosis gradvist for at undgå </w:t>
      </w:r>
      <w:proofErr w:type="spellStart"/>
      <w:r w:rsidRPr="0067760F">
        <w:rPr>
          <w:sz w:val="24"/>
          <w:szCs w:val="24"/>
        </w:rPr>
        <w:t>seponerings</w:t>
      </w:r>
      <w:proofErr w:type="spellEnd"/>
      <w:r w:rsidRPr="0067760F">
        <w:rPr>
          <w:sz w:val="24"/>
          <w:szCs w:val="24"/>
        </w:rPr>
        <w:t xml:space="preserve">- eller tilbagefaldsfænomener. </w:t>
      </w:r>
    </w:p>
    <w:p w14:paraId="027E6221" w14:textId="77777777" w:rsidR="009638C2" w:rsidRPr="0067760F" w:rsidRDefault="009638C2" w:rsidP="0032431D">
      <w:pPr>
        <w:ind w:left="851"/>
        <w:rPr>
          <w:sz w:val="24"/>
          <w:szCs w:val="24"/>
        </w:rPr>
      </w:pPr>
    </w:p>
    <w:p w14:paraId="45873CFE" w14:textId="77777777" w:rsidR="009638C2" w:rsidRPr="00757C57" w:rsidRDefault="009638C2" w:rsidP="0032431D">
      <w:pPr>
        <w:ind w:left="851"/>
        <w:rPr>
          <w:sz w:val="24"/>
          <w:szCs w:val="24"/>
          <w:u w:val="single"/>
        </w:rPr>
      </w:pPr>
      <w:r w:rsidRPr="00757C57">
        <w:rPr>
          <w:sz w:val="24"/>
          <w:szCs w:val="24"/>
          <w:u w:val="single"/>
        </w:rPr>
        <w:t xml:space="preserve">Administration </w:t>
      </w:r>
    </w:p>
    <w:p w14:paraId="703BAE2B" w14:textId="77777777" w:rsidR="009638C2" w:rsidRPr="0067760F" w:rsidRDefault="009638C2" w:rsidP="0032431D">
      <w:pPr>
        <w:ind w:left="851"/>
        <w:rPr>
          <w:sz w:val="24"/>
          <w:szCs w:val="24"/>
        </w:rPr>
      </w:pPr>
    </w:p>
    <w:p w14:paraId="3C95ACEB" w14:textId="77777777" w:rsidR="009638C2" w:rsidRPr="0067760F" w:rsidRDefault="009638C2" w:rsidP="0032431D">
      <w:pPr>
        <w:ind w:left="851"/>
        <w:rPr>
          <w:sz w:val="24"/>
          <w:szCs w:val="24"/>
        </w:rPr>
      </w:pPr>
      <w:r w:rsidRPr="0067760F">
        <w:rPr>
          <w:sz w:val="24"/>
          <w:szCs w:val="24"/>
        </w:rPr>
        <w:t>Kun til oral anvendelse.</w:t>
      </w:r>
    </w:p>
    <w:p w14:paraId="5517929B" w14:textId="77777777" w:rsidR="009638C2" w:rsidRPr="0067760F" w:rsidRDefault="009638C2" w:rsidP="0032431D">
      <w:pPr>
        <w:ind w:left="851"/>
        <w:rPr>
          <w:sz w:val="24"/>
          <w:szCs w:val="24"/>
        </w:rPr>
      </w:pPr>
      <w:r w:rsidRPr="0067760F">
        <w:rPr>
          <w:sz w:val="24"/>
          <w:szCs w:val="24"/>
        </w:rPr>
        <w:t xml:space="preserve">Lægemidlet kan administreres med eller uden mad. </w:t>
      </w:r>
    </w:p>
    <w:p w14:paraId="046018FB" w14:textId="77777777" w:rsidR="009638C2" w:rsidRPr="0067760F" w:rsidRDefault="009638C2" w:rsidP="0032431D">
      <w:pPr>
        <w:ind w:left="851"/>
        <w:rPr>
          <w:sz w:val="24"/>
          <w:szCs w:val="24"/>
        </w:rPr>
      </w:pPr>
      <w:r w:rsidRPr="0067760F">
        <w:rPr>
          <w:sz w:val="24"/>
          <w:szCs w:val="24"/>
        </w:rPr>
        <w:t>Dette præparat kan bundfælde under opbevaring. Flasken skal omrystes grundigt inden brug.</w:t>
      </w:r>
    </w:p>
    <w:p w14:paraId="159A9075" w14:textId="77777777" w:rsidR="009260DE" w:rsidRPr="0067760F" w:rsidRDefault="009260DE" w:rsidP="008C00AA">
      <w:pPr>
        <w:rPr>
          <w:sz w:val="24"/>
          <w:szCs w:val="24"/>
        </w:rPr>
      </w:pPr>
    </w:p>
    <w:p w14:paraId="65A48A7B" w14:textId="77777777" w:rsidR="009260DE" w:rsidRPr="0067760F" w:rsidRDefault="009260DE" w:rsidP="009260DE">
      <w:pPr>
        <w:tabs>
          <w:tab w:val="left" w:pos="851"/>
        </w:tabs>
        <w:ind w:left="851" w:hanging="851"/>
        <w:rPr>
          <w:b/>
          <w:sz w:val="24"/>
          <w:szCs w:val="24"/>
        </w:rPr>
      </w:pPr>
      <w:r w:rsidRPr="0067760F">
        <w:rPr>
          <w:b/>
          <w:sz w:val="24"/>
          <w:szCs w:val="24"/>
        </w:rPr>
        <w:t>4.3</w:t>
      </w:r>
      <w:r w:rsidRPr="0067760F">
        <w:rPr>
          <w:b/>
          <w:sz w:val="24"/>
          <w:szCs w:val="24"/>
        </w:rPr>
        <w:tab/>
        <w:t>Kontraindikationer</w:t>
      </w:r>
    </w:p>
    <w:p w14:paraId="56D4C4B9" w14:textId="77777777" w:rsidR="009638C2" w:rsidRPr="0067760F" w:rsidRDefault="009638C2" w:rsidP="0032431D">
      <w:pPr>
        <w:ind w:left="851"/>
        <w:rPr>
          <w:sz w:val="24"/>
          <w:szCs w:val="24"/>
        </w:rPr>
      </w:pPr>
      <w:proofErr w:type="spellStart"/>
      <w:r w:rsidRPr="0067760F">
        <w:rPr>
          <w:sz w:val="24"/>
          <w:szCs w:val="24"/>
        </w:rPr>
        <w:t>Epaclob</w:t>
      </w:r>
      <w:proofErr w:type="spellEnd"/>
      <w:r w:rsidRPr="0067760F">
        <w:rPr>
          <w:sz w:val="24"/>
          <w:szCs w:val="24"/>
        </w:rPr>
        <w:t xml:space="preserve"> må ikke anvendes:</w:t>
      </w:r>
    </w:p>
    <w:p w14:paraId="3B8BC5D9" w14:textId="77777777" w:rsidR="009638C2" w:rsidRPr="0067760F" w:rsidRDefault="009638C2" w:rsidP="008C00AA">
      <w:pPr>
        <w:rPr>
          <w:sz w:val="24"/>
          <w:szCs w:val="24"/>
        </w:rPr>
      </w:pPr>
    </w:p>
    <w:p w14:paraId="7C31EB19" w14:textId="77777777" w:rsidR="009638C2" w:rsidRPr="0067760F" w:rsidRDefault="009638C2" w:rsidP="0032431D">
      <w:pPr>
        <w:pStyle w:val="Listeafsnit"/>
        <w:numPr>
          <w:ilvl w:val="0"/>
          <w:numId w:val="18"/>
        </w:numPr>
        <w:ind w:left="1276" w:hanging="425"/>
      </w:pPr>
      <w:r w:rsidRPr="0067760F">
        <w:t xml:space="preserve">Til patienter med overfølsomhed over for benzodiazepiner eller over for et eller flere af hjælpestofferne i </w:t>
      </w:r>
      <w:proofErr w:type="spellStart"/>
      <w:r w:rsidRPr="0067760F">
        <w:t>Epaclob</w:t>
      </w:r>
      <w:proofErr w:type="spellEnd"/>
      <w:r w:rsidRPr="0067760F">
        <w:t>.</w:t>
      </w:r>
    </w:p>
    <w:p w14:paraId="2215130C" w14:textId="77777777" w:rsidR="009638C2" w:rsidRPr="0067760F" w:rsidRDefault="009638C2" w:rsidP="0032431D">
      <w:pPr>
        <w:pStyle w:val="Listeafsnit"/>
        <w:numPr>
          <w:ilvl w:val="0"/>
          <w:numId w:val="18"/>
        </w:numPr>
        <w:ind w:left="1276" w:hanging="425"/>
      </w:pPr>
      <w:r w:rsidRPr="0067760F">
        <w:t>Til patienter med stof- eller alkoholmisbrug i anamnesen (øget risiko for udvikling af afhængighed).</w:t>
      </w:r>
    </w:p>
    <w:p w14:paraId="1D887BAB" w14:textId="77777777" w:rsidR="009638C2" w:rsidRPr="0067760F" w:rsidRDefault="009638C2" w:rsidP="0032431D">
      <w:pPr>
        <w:pStyle w:val="Listeafsnit"/>
        <w:numPr>
          <w:ilvl w:val="0"/>
          <w:numId w:val="18"/>
        </w:numPr>
        <w:ind w:left="1276" w:hanging="425"/>
      </w:pPr>
      <w:r w:rsidRPr="0067760F">
        <w:t xml:space="preserve">Til patienter med </w:t>
      </w:r>
      <w:proofErr w:type="spellStart"/>
      <w:r w:rsidRPr="0067760F">
        <w:t>myasthenia</w:t>
      </w:r>
      <w:proofErr w:type="spellEnd"/>
      <w:r w:rsidRPr="0067760F">
        <w:t xml:space="preserve"> </w:t>
      </w:r>
      <w:proofErr w:type="spellStart"/>
      <w:r w:rsidRPr="0067760F">
        <w:t>gravis</w:t>
      </w:r>
      <w:proofErr w:type="spellEnd"/>
      <w:r w:rsidRPr="0067760F">
        <w:t xml:space="preserve"> (risiko for forværring af muskelsvaghed).</w:t>
      </w:r>
    </w:p>
    <w:p w14:paraId="17FD0D77" w14:textId="77777777" w:rsidR="009638C2" w:rsidRPr="0067760F" w:rsidRDefault="009638C2" w:rsidP="0032431D">
      <w:pPr>
        <w:pStyle w:val="Listeafsnit"/>
        <w:numPr>
          <w:ilvl w:val="0"/>
          <w:numId w:val="18"/>
        </w:numPr>
        <w:ind w:left="1276" w:hanging="425"/>
      </w:pPr>
      <w:r w:rsidRPr="0067760F">
        <w:t>Til patienter med svær respirationsinsufficiens (risiko for forværring).</w:t>
      </w:r>
    </w:p>
    <w:p w14:paraId="61FA4680" w14:textId="77777777" w:rsidR="009638C2" w:rsidRPr="0067760F" w:rsidRDefault="009638C2" w:rsidP="0032431D">
      <w:pPr>
        <w:pStyle w:val="Listeafsnit"/>
        <w:numPr>
          <w:ilvl w:val="0"/>
          <w:numId w:val="18"/>
        </w:numPr>
        <w:ind w:left="1276" w:hanging="425"/>
      </w:pPr>
      <w:r w:rsidRPr="0067760F">
        <w:lastRenderedPageBreak/>
        <w:t>Til patienter med søvnapnøsyndrom (risiko for forværring).</w:t>
      </w:r>
    </w:p>
    <w:p w14:paraId="596F8626" w14:textId="77777777" w:rsidR="009638C2" w:rsidRPr="0067760F" w:rsidRDefault="009638C2" w:rsidP="0032431D">
      <w:pPr>
        <w:pStyle w:val="Listeafsnit"/>
        <w:numPr>
          <w:ilvl w:val="0"/>
          <w:numId w:val="18"/>
        </w:numPr>
        <w:ind w:left="1276" w:hanging="425"/>
      </w:pPr>
      <w:r w:rsidRPr="0067760F">
        <w:t>Til patienter med svært nedsat leverfunktion (risiko for at forårsage encefalopati).</w:t>
      </w:r>
    </w:p>
    <w:p w14:paraId="267A3DFE" w14:textId="77777777" w:rsidR="009638C2" w:rsidRPr="0067760F" w:rsidRDefault="009638C2" w:rsidP="0032431D">
      <w:pPr>
        <w:pStyle w:val="Listeafsnit"/>
        <w:numPr>
          <w:ilvl w:val="0"/>
          <w:numId w:val="18"/>
        </w:numPr>
        <w:ind w:left="1276" w:hanging="425"/>
      </w:pPr>
      <w:r w:rsidRPr="0067760F">
        <w:t>Til ammende kvinder.</w:t>
      </w:r>
    </w:p>
    <w:p w14:paraId="3AA8F91D" w14:textId="77777777" w:rsidR="009638C2" w:rsidRPr="0067760F" w:rsidRDefault="009638C2" w:rsidP="0032431D">
      <w:pPr>
        <w:pStyle w:val="Listeafsnit"/>
        <w:numPr>
          <w:ilvl w:val="0"/>
          <w:numId w:val="18"/>
        </w:numPr>
        <w:ind w:left="1276" w:hanging="425"/>
      </w:pPr>
      <w:r w:rsidRPr="0067760F">
        <w:t>Ved akut beruselse med alkohol og CNS-aktive stoffer.</w:t>
      </w:r>
    </w:p>
    <w:p w14:paraId="59237E22" w14:textId="77777777" w:rsidR="009260DE" w:rsidRPr="0067760F" w:rsidRDefault="009260DE" w:rsidP="009260DE">
      <w:pPr>
        <w:tabs>
          <w:tab w:val="left" w:pos="851"/>
        </w:tabs>
        <w:ind w:left="851"/>
        <w:rPr>
          <w:sz w:val="24"/>
          <w:szCs w:val="24"/>
        </w:rPr>
      </w:pPr>
    </w:p>
    <w:p w14:paraId="41AACB86" w14:textId="77777777" w:rsidR="009260DE" w:rsidRPr="0067760F" w:rsidRDefault="009260DE" w:rsidP="009260DE">
      <w:pPr>
        <w:tabs>
          <w:tab w:val="left" w:pos="851"/>
        </w:tabs>
        <w:ind w:left="851" w:hanging="851"/>
        <w:rPr>
          <w:b/>
          <w:sz w:val="24"/>
          <w:szCs w:val="24"/>
        </w:rPr>
      </w:pPr>
      <w:r w:rsidRPr="0067760F">
        <w:rPr>
          <w:b/>
          <w:sz w:val="24"/>
          <w:szCs w:val="24"/>
        </w:rPr>
        <w:t>4.4</w:t>
      </w:r>
      <w:r w:rsidRPr="0067760F">
        <w:rPr>
          <w:b/>
          <w:sz w:val="24"/>
          <w:szCs w:val="24"/>
        </w:rPr>
        <w:tab/>
        <w:t>Særlige advarsler og forsigtighedsregler vedrørende brugen</w:t>
      </w:r>
    </w:p>
    <w:p w14:paraId="2B16ABE8" w14:textId="77777777" w:rsidR="00757C57" w:rsidRDefault="00757C57" w:rsidP="0032431D">
      <w:pPr>
        <w:ind w:left="851"/>
        <w:rPr>
          <w:sz w:val="24"/>
          <w:szCs w:val="24"/>
        </w:rPr>
      </w:pPr>
    </w:p>
    <w:p w14:paraId="70907B17" w14:textId="73B6137E" w:rsidR="009638C2" w:rsidRPr="00757C57" w:rsidRDefault="009638C2" w:rsidP="0032431D">
      <w:pPr>
        <w:ind w:left="851"/>
        <w:rPr>
          <w:b/>
          <w:bCs/>
          <w:sz w:val="24"/>
          <w:szCs w:val="24"/>
          <w:u w:val="single"/>
        </w:rPr>
      </w:pPr>
      <w:r w:rsidRPr="00757C57">
        <w:rPr>
          <w:b/>
          <w:sz w:val="24"/>
          <w:szCs w:val="24"/>
          <w:u w:val="single"/>
        </w:rPr>
        <w:t xml:space="preserve">Skift mellem formuleringer </w:t>
      </w:r>
    </w:p>
    <w:p w14:paraId="71CF2560" w14:textId="77777777" w:rsidR="009638C2" w:rsidRPr="0067760F" w:rsidRDefault="009638C2" w:rsidP="0032431D">
      <w:pPr>
        <w:ind w:left="851"/>
        <w:rPr>
          <w:sz w:val="24"/>
          <w:szCs w:val="24"/>
        </w:rPr>
      </w:pPr>
      <w:r w:rsidRPr="0067760F">
        <w:rPr>
          <w:b/>
          <w:bCs/>
          <w:sz w:val="24"/>
          <w:szCs w:val="24"/>
        </w:rPr>
        <w:t xml:space="preserve">Ved indtagelse af </w:t>
      </w:r>
      <w:proofErr w:type="spellStart"/>
      <w:r w:rsidRPr="0067760F">
        <w:rPr>
          <w:b/>
          <w:bCs/>
          <w:sz w:val="24"/>
          <w:szCs w:val="24"/>
        </w:rPr>
        <w:t>Epaclob</w:t>
      </w:r>
      <w:proofErr w:type="spellEnd"/>
      <w:r w:rsidRPr="0067760F">
        <w:rPr>
          <w:b/>
          <w:bCs/>
          <w:sz w:val="24"/>
          <w:szCs w:val="24"/>
        </w:rPr>
        <w:t xml:space="preserve"> suspension opnås der højere maksimale plasmaniveauer af </w:t>
      </w:r>
      <w:proofErr w:type="spellStart"/>
      <w:r w:rsidRPr="0067760F">
        <w:rPr>
          <w:b/>
          <w:bCs/>
          <w:sz w:val="24"/>
          <w:szCs w:val="24"/>
        </w:rPr>
        <w:t>clobazam</w:t>
      </w:r>
      <w:proofErr w:type="spellEnd"/>
      <w:r w:rsidRPr="0067760F">
        <w:rPr>
          <w:b/>
          <w:bCs/>
          <w:sz w:val="24"/>
          <w:szCs w:val="24"/>
        </w:rPr>
        <w:t xml:space="preserve"> end ved brug af samme dosis som i tabletform. Dette kan føre til en øget risiko for respirationsdepression og sedation, som kan være mest markant, når der skiftes fra tabletter til dette lægemiddel. Derfor skal der udvises forsigtighed, når der skiftes mellem </w:t>
      </w:r>
      <w:proofErr w:type="spellStart"/>
      <w:r w:rsidRPr="0067760F">
        <w:rPr>
          <w:b/>
          <w:bCs/>
          <w:sz w:val="24"/>
          <w:szCs w:val="24"/>
        </w:rPr>
        <w:t>clobazam</w:t>
      </w:r>
      <w:proofErr w:type="spellEnd"/>
      <w:r w:rsidRPr="0067760F">
        <w:rPr>
          <w:b/>
          <w:bCs/>
          <w:sz w:val="24"/>
          <w:szCs w:val="24"/>
        </w:rPr>
        <w:t>-formuleringer, da doserne ikke er ækvivalente.</w:t>
      </w:r>
    </w:p>
    <w:p w14:paraId="32D9D62D" w14:textId="77777777" w:rsidR="009638C2" w:rsidRPr="0067760F" w:rsidRDefault="009638C2" w:rsidP="0032431D">
      <w:pPr>
        <w:ind w:left="851"/>
        <w:rPr>
          <w:sz w:val="24"/>
          <w:szCs w:val="24"/>
        </w:rPr>
      </w:pPr>
    </w:p>
    <w:p w14:paraId="69FA5164" w14:textId="77777777" w:rsidR="009638C2" w:rsidRPr="0067760F" w:rsidRDefault="009638C2" w:rsidP="0032431D">
      <w:pPr>
        <w:ind w:left="851"/>
        <w:rPr>
          <w:sz w:val="24"/>
          <w:szCs w:val="24"/>
        </w:rPr>
      </w:pPr>
      <w:r w:rsidRPr="0067760F">
        <w:rPr>
          <w:b/>
          <w:bCs/>
          <w:sz w:val="24"/>
          <w:szCs w:val="24"/>
        </w:rPr>
        <w:t xml:space="preserve">Ligesom med andre antiepileptiske lægemidler kan nogle patienter opleve en øgning af </w:t>
      </w:r>
      <w:proofErr w:type="spellStart"/>
      <w:r w:rsidRPr="0067760F">
        <w:rPr>
          <w:b/>
          <w:bCs/>
          <w:sz w:val="24"/>
          <w:szCs w:val="24"/>
        </w:rPr>
        <w:t>anfaldsfrekvensen</w:t>
      </w:r>
      <w:proofErr w:type="spellEnd"/>
      <w:r w:rsidRPr="0067760F">
        <w:rPr>
          <w:b/>
          <w:bCs/>
          <w:sz w:val="24"/>
          <w:szCs w:val="24"/>
        </w:rPr>
        <w:t xml:space="preserve"> eller en forekomst af nye typer anfald ved brug af </w:t>
      </w:r>
      <w:proofErr w:type="spellStart"/>
      <w:r w:rsidRPr="0067760F">
        <w:rPr>
          <w:b/>
          <w:bCs/>
          <w:sz w:val="24"/>
          <w:szCs w:val="24"/>
        </w:rPr>
        <w:t>clobazam</w:t>
      </w:r>
      <w:proofErr w:type="spellEnd"/>
      <w:r w:rsidRPr="0067760F">
        <w:rPr>
          <w:b/>
          <w:bCs/>
          <w:sz w:val="24"/>
          <w:szCs w:val="24"/>
        </w:rPr>
        <w:t xml:space="preserve">. Disse fænomener kan være en konsekvens af en overdosis, et fald i plasmakoncentration i </w:t>
      </w:r>
      <w:proofErr w:type="spellStart"/>
      <w:r w:rsidRPr="0067760F">
        <w:rPr>
          <w:b/>
          <w:bCs/>
          <w:sz w:val="24"/>
          <w:szCs w:val="24"/>
        </w:rPr>
        <w:t>antiepileptika</w:t>
      </w:r>
      <w:proofErr w:type="spellEnd"/>
      <w:r w:rsidRPr="0067760F">
        <w:rPr>
          <w:b/>
          <w:bCs/>
          <w:sz w:val="24"/>
          <w:szCs w:val="24"/>
        </w:rPr>
        <w:t>, som anvendes samtidig, en udvikling i sygdommen eller en paradoksal effekt.</w:t>
      </w:r>
    </w:p>
    <w:p w14:paraId="43114963" w14:textId="77777777" w:rsidR="009638C2" w:rsidRPr="0067760F" w:rsidRDefault="009638C2" w:rsidP="0032431D">
      <w:pPr>
        <w:ind w:left="851"/>
        <w:rPr>
          <w:sz w:val="24"/>
          <w:szCs w:val="24"/>
        </w:rPr>
      </w:pPr>
    </w:p>
    <w:p w14:paraId="09392F90" w14:textId="77777777" w:rsidR="009638C2" w:rsidRPr="0067760F" w:rsidRDefault="009638C2" w:rsidP="0032431D">
      <w:pPr>
        <w:ind w:left="851"/>
        <w:rPr>
          <w:sz w:val="24"/>
          <w:szCs w:val="24"/>
          <w:u w:val="single"/>
        </w:rPr>
      </w:pPr>
      <w:r w:rsidRPr="0067760F">
        <w:rPr>
          <w:sz w:val="24"/>
          <w:szCs w:val="24"/>
          <w:u w:val="single"/>
        </w:rPr>
        <w:t>Pædiatrisk population:</w:t>
      </w:r>
    </w:p>
    <w:p w14:paraId="71E25D8F" w14:textId="77777777" w:rsidR="009638C2" w:rsidRPr="0067760F" w:rsidRDefault="009638C2" w:rsidP="0032431D">
      <w:pPr>
        <w:ind w:left="851"/>
        <w:rPr>
          <w:sz w:val="24"/>
          <w:szCs w:val="24"/>
        </w:rPr>
      </w:pPr>
      <w:r w:rsidRPr="0067760F">
        <w:rPr>
          <w:sz w:val="24"/>
          <w:szCs w:val="24"/>
        </w:rPr>
        <w:t xml:space="preserve">Benzodiazepiner må ikke gives til børn uden nøje afvejning af behovet for deres anvendelse. </w:t>
      </w:r>
      <w:proofErr w:type="spellStart"/>
      <w:r w:rsidRPr="0067760F">
        <w:rPr>
          <w:sz w:val="24"/>
          <w:szCs w:val="24"/>
        </w:rPr>
        <w:t>Epaclob</w:t>
      </w:r>
      <w:proofErr w:type="spellEnd"/>
      <w:r w:rsidRPr="0067760F">
        <w:rPr>
          <w:sz w:val="24"/>
          <w:szCs w:val="24"/>
        </w:rPr>
        <w:t xml:space="preserve"> bør kun anvendes til børn fra 6 måneder til 2 år i ekstraordinære situationer, hvor epilepsi er en klar indikation.</w:t>
      </w:r>
    </w:p>
    <w:p w14:paraId="142C2446" w14:textId="77777777" w:rsidR="009638C2" w:rsidRPr="0067760F" w:rsidRDefault="009638C2" w:rsidP="0032431D">
      <w:pPr>
        <w:ind w:left="851"/>
        <w:rPr>
          <w:sz w:val="24"/>
          <w:szCs w:val="24"/>
        </w:rPr>
      </w:pPr>
    </w:p>
    <w:p w14:paraId="7C784580" w14:textId="77777777" w:rsidR="009638C2" w:rsidRPr="0067760F" w:rsidRDefault="009638C2" w:rsidP="0032431D">
      <w:pPr>
        <w:ind w:left="851"/>
        <w:rPr>
          <w:sz w:val="24"/>
          <w:szCs w:val="24"/>
        </w:rPr>
      </w:pPr>
      <w:r w:rsidRPr="0067760F">
        <w:rPr>
          <w:i/>
          <w:iCs/>
          <w:sz w:val="24"/>
          <w:szCs w:val="24"/>
        </w:rPr>
        <w:t>Alkohol</w:t>
      </w:r>
    </w:p>
    <w:p w14:paraId="2D0F48EC" w14:textId="77777777" w:rsidR="009638C2" w:rsidRPr="0067760F" w:rsidRDefault="009638C2" w:rsidP="0032431D">
      <w:pPr>
        <w:ind w:left="851"/>
        <w:rPr>
          <w:sz w:val="24"/>
          <w:szCs w:val="24"/>
        </w:rPr>
      </w:pPr>
      <w:r w:rsidRPr="0067760F">
        <w:rPr>
          <w:sz w:val="24"/>
          <w:szCs w:val="24"/>
        </w:rPr>
        <w:t xml:space="preserve">Det anbefales, at patienter afstår fra at drikke alkohol under behandling med </w:t>
      </w:r>
      <w:proofErr w:type="spellStart"/>
      <w:r w:rsidRPr="0067760F">
        <w:rPr>
          <w:sz w:val="24"/>
          <w:szCs w:val="24"/>
        </w:rPr>
        <w:t>clobazam</w:t>
      </w:r>
      <w:proofErr w:type="spellEnd"/>
      <w:r w:rsidRPr="0067760F">
        <w:rPr>
          <w:sz w:val="24"/>
          <w:szCs w:val="24"/>
        </w:rPr>
        <w:t xml:space="preserve"> (øget risiko for sedation og andre bivirkninger) (se pkt. 4.5).</w:t>
      </w:r>
    </w:p>
    <w:p w14:paraId="3E6D3E4E" w14:textId="77777777" w:rsidR="009638C2" w:rsidRPr="0067760F" w:rsidRDefault="009638C2" w:rsidP="0032431D">
      <w:pPr>
        <w:ind w:left="851"/>
        <w:rPr>
          <w:sz w:val="24"/>
          <w:szCs w:val="24"/>
        </w:rPr>
      </w:pPr>
    </w:p>
    <w:p w14:paraId="7FFC157E" w14:textId="77777777" w:rsidR="009638C2" w:rsidRPr="0067760F" w:rsidRDefault="009638C2" w:rsidP="0032431D">
      <w:pPr>
        <w:ind w:left="851"/>
        <w:rPr>
          <w:sz w:val="24"/>
          <w:szCs w:val="24"/>
        </w:rPr>
      </w:pPr>
      <w:r w:rsidRPr="0067760F">
        <w:rPr>
          <w:i/>
          <w:iCs/>
          <w:sz w:val="24"/>
          <w:szCs w:val="24"/>
        </w:rPr>
        <w:t>Amnesi</w:t>
      </w:r>
    </w:p>
    <w:p w14:paraId="04D176D7" w14:textId="77777777" w:rsidR="009638C2" w:rsidRPr="0067760F" w:rsidRDefault="009638C2" w:rsidP="0032431D">
      <w:pPr>
        <w:ind w:left="851"/>
        <w:rPr>
          <w:sz w:val="24"/>
          <w:szCs w:val="24"/>
        </w:rPr>
      </w:pPr>
      <w:r w:rsidRPr="0067760F">
        <w:rPr>
          <w:sz w:val="24"/>
          <w:szCs w:val="24"/>
        </w:rPr>
        <w:t xml:space="preserve">Benzodiazepiner kan forårsage </w:t>
      </w:r>
      <w:proofErr w:type="spellStart"/>
      <w:r w:rsidRPr="0067760F">
        <w:rPr>
          <w:sz w:val="24"/>
          <w:szCs w:val="24"/>
        </w:rPr>
        <w:t>anterograd</w:t>
      </w:r>
      <w:proofErr w:type="spellEnd"/>
      <w:r w:rsidRPr="0067760F">
        <w:rPr>
          <w:sz w:val="24"/>
          <w:szCs w:val="24"/>
        </w:rPr>
        <w:t xml:space="preserve"> amnesi, hvis de anvendes i det normale dosisinterval, men især ved høje doser. I tilfælde af tab eller dødsfald kan psykologisk tilpasning hæmmes af benzodiazepiner.</w:t>
      </w:r>
    </w:p>
    <w:p w14:paraId="72C8D784" w14:textId="77777777" w:rsidR="009638C2" w:rsidRPr="0067760F" w:rsidRDefault="009638C2" w:rsidP="0032431D">
      <w:pPr>
        <w:ind w:left="851"/>
        <w:rPr>
          <w:sz w:val="24"/>
          <w:szCs w:val="24"/>
        </w:rPr>
      </w:pPr>
    </w:p>
    <w:p w14:paraId="1E00D2C0" w14:textId="77777777" w:rsidR="009638C2" w:rsidRPr="0067760F" w:rsidRDefault="009638C2" w:rsidP="0032431D">
      <w:pPr>
        <w:ind w:left="851"/>
        <w:rPr>
          <w:sz w:val="24"/>
          <w:szCs w:val="24"/>
        </w:rPr>
      </w:pPr>
      <w:r w:rsidRPr="0067760F">
        <w:rPr>
          <w:i/>
          <w:iCs/>
          <w:sz w:val="24"/>
          <w:szCs w:val="24"/>
        </w:rPr>
        <w:t>Muskelsvaghed</w:t>
      </w:r>
    </w:p>
    <w:p w14:paraId="20A1C387" w14:textId="77777777" w:rsidR="009638C2" w:rsidRPr="0067760F" w:rsidRDefault="009638C2" w:rsidP="0032431D">
      <w:pPr>
        <w:ind w:left="851"/>
        <w:rPr>
          <w:sz w:val="24"/>
          <w:szCs w:val="24"/>
        </w:rPr>
      </w:pPr>
      <w:proofErr w:type="spellStart"/>
      <w:r w:rsidRPr="0067760F">
        <w:rPr>
          <w:sz w:val="24"/>
          <w:szCs w:val="24"/>
        </w:rPr>
        <w:t>Clobazam</w:t>
      </w:r>
      <w:proofErr w:type="spellEnd"/>
      <w:r w:rsidRPr="0067760F">
        <w:rPr>
          <w:sz w:val="24"/>
          <w:szCs w:val="24"/>
        </w:rPr>
        <w:t xml:space="preserve"> kan forårsage muskelsvaghed. Særlig opmærksomhed er nødvendig, hvis </w:t>
      </w:r>
      <w:proofErr w:type="spellStart"/>
      <w:r w:rsidRPr="0067760F">
        <w:rPr>
          <w:sz w:val="24"/>
          <w:szCs w:val="24"/>
        </w:rPr>
        <w:t>clobazam</w:t>
      </w:r>
      <w:proofErr w:type="spellEnd"/>
      <w:r w:rsidRPr="0067760F">
        <w:rPr>
          <w:sz w:val="24"/>
          <w:szCs w:val="24"/>
        </w:rPr>
        <w:t xml:space="preserve"> anvendes til patienter med allerede eksisterende muskelsvaghed, spinal eller </w:t>
      </w:r>
      <w:proofErr w:type="spellStart"/>
      <w:r w:rsidRPr="0067760F">
        <w:rPr>
          <w:sz w:val="24"/>
          <w:szCs w:val="24"/>
        </w:rPr>
        <w:t>cerebellar</w:t>
      </w:r>
      <w:proofErr w:type="spellEnd"/>
      <w:r w:rsidRPr="0067760F">
        <w:rPr>
          <w:sz w:val="24"/>
          <w:szCs w:val="24"/>
        </w:rPr>
        <w:t xml:space="preserve"> </w:t>
      </w:r>
      <w:proofErr w:type="spellStart"/>
      <w:r w:rsidRPr="0067760F">
        <w:rPr>
          <w:sz w:val="24"/>
          <w:szCs w:val="24"/>
        </w:rPr>
        <w:t>ataksi</w:t>
      </w:r>
      <w:proofErr w:type="spellEnd"/>
      <w:r w:rsidRPr="0067760F">
        <w:rPr>
          <w:sz w:val="24"/>
          <w:szCs w:val="24"/>
        </w:rPr>
        <w:t xml:space="preserve">. Det kan være nødvendigt at nedsætte dosis. </w:t>
      </w:r>
      <w:proofErr w:type="spellStart"/>
      <w:r w:rsidRPr="0067760F">
        <w:rPr>
          <w:sz w:val="24"/>
          <w:szCs w:val="24"/>
        </w:rPr>
        <w:t>Clobazam</w:t>
      </w:r>
      <w:proofErr w:type="spellEnd"/>
      <w:r w:rsidRPr="0067760F">
        <w:rPr>
          <w:sz w:val="24"/>
          <w:szCs w:val="24"/>
        </w:rPr>
        <w:t xml:space="preserve"> er kontraindiceret hos patienter med </w:t>
      </w:r>
      <w:proofErr w:type="spellStart"/>
      <w:r w:rsidRPr="0067760F">
        <w:rPr>
          <w:sz w:val="24"/>
          <w:szCs w:val="24"/>
        </w:rPr>
        <w:t>myasthenia</w:t>
      </w:r>
      <w:proofErr w:type="spellEnd"/>
      <w:r w:rsidRPr="0067760F">
        <w:rPr>
          <w:sz w:val="24"/>
          <w:szCs w:val="24"/>
        </w:rPr>
        <w:t xml:space="preserve"> </w:t>
      </w:r>
      <w:proofErr w:type="spellStart"/>
      <w:r w:rsidRPr="0067760F">
        <w:rPr>
          <w:sz w:val="24"/>
          <w:szCs w:val="24"/>
        </w:rPr>
        <w:t>gravis</w:t>
      </w:r>
      <w:proofErr w:type="spellEnd"/>
      <w:r w:rsidRPr="0067760F">
        <w:rPr>
          <w:sz w:val="24"/>
          <w:szCs w:val="24"/>
        </w:rPr>
        <w:t xml:space="preserve"> eller søvnapnøsyndrom.</w:t>
      </w:r>
    </w:p>
    <w:p w14:paraId="78D6D939" w14:textId="77777777" w:rsidR="009638C2" w:rsidRPr="0067760F" w:rsidRDefault="009638C2" w:rsidP="0032431D">
      <w:pPr>
        <w:ind w:left="851"/>
        <w:rPr>
          <w:sz w:val="24"/>
          <w:szCs w:val="24"/>
        </w:rPr>
      </w:pPr>
    </w:p>
    <w:p w14:paraId="65584EF9" w14:textId="77777777" w:rsidR="009638C2" w:rsidRPr="0067760F" w:rsidRDefault="009638C2" w:rsidP="0032431D">
      <w:pPr>
        <w:ind w:left="851"/>
        <w:rPr>
          <w:sz w:val="24"/>
          <w:szCs w:val="24"/>
        </w:rPr>
      </w:pPr>
      <w:r w:rsidRPr="0067760F">
        <w:rPr>
          <w:i/>
          <w:iCs/>
          <w:sz w:val="24"/>
          <w:szCs w:val="24"/>
        </w:rPr>
        <w:t>Afhængighed</w:t>
      </w:r>
    </w:p>
    <w:p w14:paraId="07DA9C9F" w14:textId="77777777" w:rsidR="009638C2" w:rsidRPr="0067760F" w:rsidRDefault="009638C2" w:rsidP="0032431D">
      <w:pPr>
        <w:ind w:left="851"/>
        <w:rPr>
          <w:sz w:val="24"/>
          <w:szCs w:val="24"/>
        </w:rPr>
      </w:pPr>
      <w:r w:rsidRPr="0067760F">
        <w:rPr>
          <w:sz w:val="24"/>
          <w:szCs w:val="24"/>
        </w:rPr>
        <w:t xml:space="preserve">Brugen af benzodiazepiner - inklusive </w:t>
      </w:r>
      <w:proofErr w:type="spellStart"/>
      <w:r w:rsidRPr="0067760F">
        <w:rPr>
          <w:sz w:val="24"/>
          <w:szCs w:val="24"/>
        </w:rPr>
        <w:t>clobazam</w:t>
      </w:r>
      <w:proofErr w:type="spellEnd"/>
      <w:r w:rsidRPr="0067760F">
        <w:rPr>
          <w:sz w:val="24"/>
          <w:szCs w:val="24"/>
        </w:rPr>
        <w:t xml:space="preserve"> - kan føre til udvikling af fysisk og psykologisk afhængighed af disse præparater. Risikoen for afhængighed øges i takt med dosis og behandlingsvarighed; risikoen er også større hos patienter med alkohol- eller stofmisbrug i anamnesen. Derfor bør behandlingstiden være så kort som mulig (se pkt. 4.2).</w:t>
      </w:r>
    </w:p>
    <w:p w14:paraId="68B74465" w14:textId="77777777" w:rsidR="009638C2" w:rsidRPr="0067760F" w:rsidRDefault="009638C2" w:rsidP="0032431D">
      <w:pPr>
        <w:ind w:left="851"/>
        <w:rPr>
          <w:sz w:val="24"/>
          <w:szCs w:val="24"/>
        </w:rPr>
      </w:pPr>
    </w:p>
    <w:p w14:paraId="59C7BF37" w14:textId="77777777" w:rsidR="009638C2" w:rsidRPr="0067760F" w:rsidRDefault="009638C2" w:rsidP="0032431D">
      <w:pPr>
        <w:ind w:left="851"/>
        <w:rPr>
          <w:sz w:val="24"/>
          <w:szCs w:val="24"/>
        </w:rPr>
      </w:pPr>
      <w:r w:rsidRPr="0067760F">
        <w:rPr>
          <w:sz w:val="24"/>
          <w:szCs w:val="24"/>
        </w:rPr>
        <w:t>Forskellige faktorer synes at øge risikoen for afhængighed:</w:t>
      </w:r>
    </w:p>
    <w:p w14:paraId="5EFF89BB" w14:textId="77777777" w:rsidR="009638C2" w:rsidRPr="00757C57" w:rsidRDefault="009638C2" w:rsidP="00757C57">
      <w:pPr>
        <w:pStyle w:val="Listeafsnit"/>
        <w:numPr>
          <w:ilvl w:val="0"/>
          <w:numId w:val="35"/>
        </w:numPr>
        <w:ind w:left="1276" w:hanging="425"/>
      </w:pPr>
      <w:r w:rsidRPr="00757C57">
        <w:t>Behandlingens varighed</w:t>
      </w:r>
    </w:p>
    <w:p w14:paraId="0C53A23B" w14:textId="77777777" w:rsidR="009638C2" w:rsidRPr="00757C57" w:rsidRDefault="009638C2" w:rsidP="00757C57">
      <w:pPr>
        <w:pStyle w:val="Listeafsnit"/>
        <w:numPr>
          <w:ilvl w:val="0"/>
          <w:numId w:val="35"/>
        </w:numPr>
        <w:ind w:left="1276" w:hanging="425"/>
      </w:pPr>
      <w:r w:rsidRPr="00757C57">
        <w:t>Dosis</w:t>
      </w:r>
    </w:p>
    <w:p w14:paraId="7F8355FF" w14:textId="582B1575" w:rsidR="009638C2" w:rsidRPr="00757C57" w:rsidRDefault="009638C2" w:rsidP="00757C57">
      <w:pPr>
        <w:pStyle w:val="Listeafsnit"/>
        <w:numPr>
          <w:ilvl w:val="0"/>
          <w:numId w:val="35"/>
        </w:numPr>
        <w:ind w:left="1276" w:hanging="425"/>
      </w:pPr>
      <w:r w:rsidRPr="00757C57">
        <w:t>Afhængighed af andre stoffer, in</w:t>
      </w:r>
      <w:r w:rsidR="00703163">
        <w:t>k</w:t>
      </w:r>
      <w:r w:rsidRPr="00757C57">
        <w:t>lusive alkohol, i anamnesen</w:t>
      </w:r>
    </w:p>
    <w:p w14:paraId="6C870A0D" w14:textId="77777777" w:rsidR="009638C2" w:rsidRPr="0067760F" w:rsidRDefault="009638C2" w:rsidP="0032431D">
      <w:pPr>
        <w:ind w:left="851"/>
        <w:rPr>
          <w:sz w:val="24"/>
          <w:szCs w:val="24"/>
        </w:rPr>
      </w:pPr>
    </w:p>
    <w:p w14:paraId="13997CA7" w14:textId="77777777" w:rsidR="009638C2" w:rsidRPr="0067760F" w:rsidRDefault="009638C2" w:rsidP="0032431D">
      <w:pPr>
        <w:ind w:left="851"/>
        <w:rPr>
          <w:sz w:val="24"/>
          <w:szCs w:val="24"/>
        </w:rPr>
      </w:pPr>
      <w:r w:rsidRPr="0067760F">
        <w:rPr>
          <w:sz w:val="24"/>
          <w:szCs w:val="24"/>
        </w:rPr>
        <w:t xml:space="preserve">Når brugen af benzodiazepiner ophører, især hvis det sker pludseligt, kan der opstå </w:t>
      </w:r>
      <w:proofErr w:type="spellStart"/>
      <w:r w:rsidRPr="0067760F">
        <w:rPr>
          <w:sz w:val="24"/>
          <w:szCs w:val="24"/>
        </w:rPr>
        <w:t>seponeringssyndrom</w:t>
      </w:r>
      <w:proofErr w:type="spellEnd"/>
      <w:r w:rsidRPr="0067760F">
        <w:rPr>
          <w:sz w:val="24"/>
          <w:szCs w:val="24"/>
        </w:rPr>
        <w:t xml:space="preserve"> eller abstinenssyndrom:</w:t>
      </w:r>
    </w:p>
    <w:p w14:paraId="024FC3C0" w14:textId="77777777" w:rsidR="009638C2" w:rsidRPr="0067760F" w:rsidRDefault="009638C2" w:rsidP="0032431D">
      <w:pPr>
        <w:ind w:left="851"/>
        <w:rPr>
          <w:sz w:val="24"/>
          <w:szCs w:val="24"/>
        </w:rPr>
      </w:pPr>
      <w:proofErr w:type="spellStart"/>
      <w:r w:rsidRPr="0067760F">
        <w:rPr>
          <w:sz w:val="24"/>
          <w:szCs w:val="24"/>
        </w:rPr>
        <w:t>Seponeringssyndrom</w:t>
      </w:r>
      <w:proofErr w:type="spellEnd"/>
      <w:r w:rsidRPr="0067760F">
        <w:rPr>
          <w:sz w:val="24"/>
          <w:szCs w:val="24"/>
        </w:rPr>
        <w:t xml:space="preserve"> associeret med oprindelig </w:t>
      </w:r>
      <w:proofErr w:type="spellStart"/>
      <w:r w:rsidRPr="0067760F">
        <w:rPr>
          <w:sz w:val="24"/>
          <w:szCs w:val="24"/>
        </w:rPr>
        <w:t>clobazambehandling</w:t>
      </w:r>
      <w:proofErr w:type="spellEnd"/>
      <w:r w:rsidRPr="0067760F">
        <w:rPr>
          <w:sz w:val="24"/>
          <w:szCs w:val="24"/>
        </w:rPr>
        <w:t>, som fører til akut tilbagevenden af symptomer (f.eks. agitation, anfald). Dette kan være ledsaget af andre reaktioner inklusive humørsvingninger, angst eller søvnforstyrrelser og rastløshed.</w:t>
      </w:r>
    </w:p>
    <w:p w14:paraId="49154F40" w14:textId="77777777" w:rsidR="009638C2" w:rsidRPr="0067760F" w:rsidRDefault="009638C2" w:rsidP="0032431D">
      <w:pPr>
        <w:ind w:left="851"/>
        <w:rPr>
          <w:sz w:val="24"/>
          <w:szCs w:val="24"/>
        </w:rPr>
      </w:pPr>
    </w:p>
    <w:p w14:paraId="518E346D" w14:textId="04D32BC2" w:rsidR="009638C2" w:rsidRPr="0067760F" w:rsidRDefault="009638C2" w:rsidP="0032431D">
      <w:pPr>
        <w:ind w:left="851"/>
        <w:rPr>
          <w:sz w:val="24"/>
          <w:szCs w:val="24"/>
        </w:rPr>
      </w:pPr>
      <w:r w:rsidRPr="0067760F">
        <w:rPr>
          <w:sz w:val="24"/>
          <w:szCs w:val="24"/>
        </w:rPr>
        <w:t xml:space="preserve">Hvis der først er udviklet fysisk afhængighed, vil brat ophør af behandlingen blive ledsaget af abstinenssymptomer (eller </w:t>
      </w:r>
      <w:proofErr w:type="spellStart"/>
      <w:r w:rsidRPr="0067760F">
        <w:rPr>
          <w:sz w:val="24"/>
          <w:szCs w:val="24"/>
        </w:rPr>
        <w:t>rebound</w:t>
      </w:r>
      <w:proofErr w:type="spellEnd"/>
      <w:r w:rsidRPr="0067760F">
        <w:rPr>
          <w:sz w:val="24"/>
          <w:szCs w:val="24"/>
        </w:rPr>
        <w:t xml:space="preserve">-fænomener). </w:t>
      </w:r>
      <w:proofErr w:type="spellStart"/>
      <w:r w:rsidRPr="0067760F">
        <w:rPr>
          <w:sz w:val="24"/>
          <w:szCs w:val="24"/>
        </w:rPr>
        <w:t>Rebound</w:t>
      </w:r>
      <w:proofErr w:type="spellEnd"/>
      <w:r w:rsidRPr="0067760F">
        <w:rPr>
          <w:sz w:val="24"/>
          <w:szCs w:val="24"/>
        </w:rPr>
        <w:t xml:space="preserve">-fænomener er kendetegnet ved et tilbagefald med en forstærkning af de symptomer, som oprindeligt førte til behandling med </w:t>
      </w:r>
      <w:proofErr w:type="spellStart"/>
      <w:r w:rsidRPr="0067760F">
        <w:rPr>
          <w:sz w:val="24"/>
          <w:szCs w:val="24"/>
        </w:rPr>
        <w:t>clobazam</w:t>
      </w:r>
      <w:proofErr w:type="spellEnd"/>
      <w:r w:rsidRPr="0067760F">
        <w:rPr>
          <w:sz w:val="24"/>
          <w:szCs w:val="24"/>
        </w:rPr>
        <w:t xml:space="preserve">. Dette kan være ledsaget af andre reaktioner inklusive hovedpine, søvnforstyrrelser, øget drømmeaktivitet, ekstrem angst, spænding, rastløshed, konfusion og pirrelighed, derealisation, depersonalisation, hallucinationer og symptomatiske psykoser (f.eks. </w:t>
      </w:r>
      <w:r w:rsidR="009337D6">
        <w:rPr>
          <w:sz w:val="24"/>
          <w:szCs w:val="24"/>
        </w:rPr>
        <w:t>"</w:t>
      </w:r>
      <w:r w:rsidRPr="0067760F">
        <w:rPr>
          <w:sz w:val="24"/>
          <w:szCs w:val="24"/>
        </w:rPr>
        <w:t>abstinensdelirium</w:t>
      </w:r>
      <w:r w:rsidR="009337D6">
        <w:rPr>
          <w:sz w:val="24"/>
          <w:szCs w:val="24"/>
        </w:rPr>
        <w:t>"</w:t>
      </w:r>
      <w:r w:rsidRPr="0067760F">
        <w:rPr>
          <w:sz w:val="24"/>
          <w:szCs w:val="24"/>
        </w:rPr>
        <w:t xml:space="preserve">), prikkende følelsesløshed i lemmer, muskelsmerter, </w:t>
      </w:r>
      <w:proofErr w:type="spellStart"/>
      <w:r w:rsidRPr="0067760F">
        <w:rPr>
          <w:sz w:val="24"/>
          <w:szCs w:val="24"/>
        </w:rPr>
        <w:t>tremor</w:t>
      </w:r>
      <w:proofErr w:type="spellEnd"/>
      <w:r w:rsidRPr="0067760F">
        <w:rPr>
          <w:sz w:val="24"/>
          <w:szCs w:val="24"/>
        </w:rPr>
        <w:t xml:space="preserve">, transpiration, kvalme, </w:t>
      </w:r>
      <w:proofErr w:type="spellStart"/>
      <w:r w:rsidRPr="0067760F">
        <w:rPr>
          <w:sz w:val="24"/>
          <w:szCs w:val="24"/>
        </w:rPr>
        <w:t>hyperakusi</w:t>
      </w:r>
      <w:proofErr w:type="spellEnd"/>
      <w:r w:rsidRPr="0067760F">
        <w:rPr>
          <w:sz w:val="24"/>
          <w:szCs w:val="24"/>
        </w:rPr>
        <w:t>, følsomhed over for lys, lyd og fysisk kontakt samt epileptiske anfald.</w:t>
      </w:r>
    </w:p>
    <w:p w14:paraId="577E12D6" w14:textId="77777777" w:rsidR="009638C2" w:rsidRPr="0067760F" w:rsidRDefault="009638C2" w:rsidP="0032431D">
      <w:pPr>
        <w:ind w:left="851"/>
        <w:rPr>
          <w:sz w:val="24"/>
          <w:szCs w:val="24"/>
        </w:rPr>
      </w:pPr>
    </w:p>
    <w:p w14:paraId="1AA58266" w14:textId="77777777" w:rsidR="009638C2" w:rsidRPr="0067760F" w:rsidRDefault="009638C2" w:rsidP="0032431D">
      <w:pPr>
        <w:ind w:left="851"/>
        <w:rPr>
          <w:sz w:val="24"/>
          <w:szCs w:val="24"/>
        </w:rPr>
      </w:pPr>
      <w:r w:rsidRPr="0067760F">
        <w:rPr>
          <w:sz w:val="24"/>
          <w:szCs w:val="24"/>
        </w:rPr>
        <w:t xml:space="preserve">Der kan også forekomme et abstinenssyndrom, hvis der pludseligt skiftes fra en benzodiazepin med lang virkningsvarighed (f.eks. </w:t>
      </w:r>
      <w:proofErr w:type="spellStart"/>
      <w:r w:rsidRPr="0067760F">
        <w:rPr>
          <w:sz w:val="24"/>
          <w:szCs w:val="24"/>
        </w:rPr>
        <w:t>clobazam</w:t>
      </w:r>
      <w:proofErr w:type="spellEnd"/>
      <w:r w:rsidRPr="0067760F">
        <w:rPr>
          <w:sz w:val="24"/>
          <w:szCs w:val="24"/>
        </w:rPr>
        <w:t>) til en med en kort virkningsvarighed.</w:t>
      </w:r>
    </w:p>
    <w:p w14:paraId="5A8830AF" w14:textId="77777777" w:rsidR="009638C2" w:rsidRPr="0067760F" w:rsidRDefault="009638C2" w:rsidP="0032431D">
      <w:pPr>
        <w:ind w:left="851"/>
        <w:rPr>
          <w:sz w:val="24"/>
          <w:szCs w:val="24"/>
        </w:rPr>
      </w:pPr>
    </w:p>
    <w:p w14:paraId="35C09B2B" w14:textId="77777777" w:rsidR="009638C2" w:rsidRPr="0067760F" w:rsidRDefault="009638C2" w:rsidP="0032431D">
      <w:pPr>
        <w:ind w:left="851"/>
        <w:rPr>
          <w:sz w:val="24"/>
          <w:szCs w:val="24"/>
        </w:rPr>
      </w:pPr>
      <w:r w:rsidRPr="0067760F">
        <w:rPr>
          <w:i/>
          <w:iCs/>
          <w:sz w:val="24"/>
          <w:szCs w:val="24"/>
        </w:rPr>
        <w:t>Respirationsdepression</w:t>
      </w:r>
    </w:p>
    <w:p w14:paraId="390D822F" w14:textId="77777777" w:rsidR="009638C2" w:rsidRPr="0067760F" w:rsidRDefault="009638C2" w:rsidP="0032431D">
      <w:pPr>
        <w:ind w:left="851"/>
        <w:rPr>
          <w:sz w:val="24"/>
          <w:szCs w:val="24"/>
        </w:rPr>
      </w:pPr>
      <w:r w:rsidRPr="0067760F">
        <w:rPr>
          <w:sz w:val="24"/>
          <w:szCs w:val="24"/>
        </w:rPr>
        <w:t xml:space="preserve">Respirationsfunktionen bør overvåges hos patienter med kronisk eller akut svær respirationsinsufficiens, og det kan være nødvendigt at reducere dosis af </w:t>
      </w:r>
      <w:proofErr w:type="spellStart"/>
      <w:r w:rsidRPr="0067760F">
        <w:rPr>
          <w:sz w:val="24"/>
          <w:szCs w:val="24"/>
        </w:rPr>
        <w:t>clobazam</w:t>
      </w:r>
      <w:proofErr w:type="spellEnd"/>
      <w:r w:rsidRPr="0067760F">
        <w:rPr>
          <w:sz w:val="24"/>
          <w:szCs w:val="24"/>
        </w:rPr>
        <w:t xml:space="preserve">. </w:t>
      </w:r>
      <w:proofErr w:type="spellStart"/>
      <w:r w:rsidRPr="0067760F">
        <w:rPr>
          <w:sz w:val="24"/>
          <w:szCs w:val="24"/>
        </w:rPr>
        <w:t>Clobazam</w:t>
      </w:r>
      <w:proofErr w:type="spellEnd"/>
      <w:r w:rsidRPr="0067760F">
        <w:rPr>
          <w:sz w:val="24"/>
          <w:szCs w:val="24"/>
        </w:rPr>
        <w:t xml:space="preserve"> er kontraindiceret til patienter med svær respirationsinsufficiens (se pkt. 4.3).</w:t>
      </w:r>
    </w:p>
    <w:p w14:paraId="56481C71" w14:textId="77777777" w:rsidR="009638C2" w:rsidRPr="0067760F" w:rsidRDefault="009638C2" w:rsidP="0032431D">
      <w:pPr>
        <w:ind w:left="851"/>
        <w:rPr>
          <w:sz w:val="24"/>
          <w:szCs w:val="24"/>
        </w:rPr>
      </w:pPr>
    </w:p>
    <w:p w14:paraId="2777ECF3" w14:textId="77777777" w:rsidR="009638C2" w:rsidRPr="0067760F" w:rsidRDefault="009638C2" w:rsidP="0032431D">
      <w:pPr>
        <w:ind w:left="851"/>
        <w:rPr>
          <w:sz w:val="24"/>
          <w:szCs w:val="24"/>
        </w:rPr>
      </w:pPr>
      <w:r w:rsidRPr="0067760F">
        <w:rPr>
          <w:i/>
          <w:iCs/>
          <w:sz w:val="24"/>
          <w:szCs w:val="24"/>
        </w:rPr>
        <w:t>Nedsat nyre- og leverfunktion</w:t>
      </w:r>
    </w:p>
    <w:p w14:paraId="3EC9EE35" w14:textId="77777777" w:rsidR="009638C2" w:rsidRPr="0067760F" w:rsidRDefault="009638C2" w:rsidP="0032431D">
      <w:pPr>
        <w:ind w:left="851"/>
        <w:rPr>
          <w:sz w:val="24"/>
          <w:szCs w:val="24"/>
        </w:rPr>
      </w:pPr>
      <w:r w:rsidRPr="0067760F">
        <w:rPr>
          <w:sz w:val="24"/>
          <w:szCs w:val="24"/>
        </w:rPr>
        <w:t xml:space="preserve">Hos patienter med nedsat nyre- eller leverfunktion er responsen på </w:t>
      </w:r>
      <w:proofErr w:type="spellStart"/>
      <w:r w:rsidRPr="0067760F">
        <w:rPr>
          <w:sz w:val="24"/>
          <w:szCs w:val="24"/>
        </w:rPr>
        <w:t>clobazam</w:t>
      </w:r>
      <w:proofErr w:type="spellEnd"/>
      <w:r w:rsidRPr="0067760F">
        <w:rPr>
          <w:sz w:val="24"/>
          <w:szCs w:val="24"/>
        </w:rPr>
        <w:t xml:space="preserve"> og følsomheden over for bivirkninger øget, og det kan være nødvendigt at nedsætte dosis. Ved langvarig behandling skal nyre- og leverfunktionen kontrolleres regelmæssigt (se pkt. 4.3).</w:t>
      </w:r>
    </w:p>
    <w:p w14:paraId="63C44F7A" w14:textId="77777777" w:rsidR="009638C2" w:rsidRPr="0067760F" w:rsidRDefault="009638C2" w:rsidP="0032431D">
      <w:pPr>
        <w:ind w:left="851"/>
        <w:rPr>
          <w:sz w:val="24"/>
          <w:szCs w:val="24"/>
        </w:rPr>
      </w:pPr>
    </w:p>
    <w:p w14:paraId="7D29EE8E" w14:textId="77777777" w:rsidR="009638C2" w:rsidRPr="0067760F" w:rsidRDefault="009638C2" w:rsidP="0032431D">
      <w:pPr>
        <w:ind w:left="851"/>
        <w:rPr>
          <w:sz w:val="24"/>
          <w:szCs w:val="24"/>
        </w:rPr>
      </w:pPr>
      <w:r w:rsidRPr="0067760F">
        <w:rPr>
          <w:i/>
          <w:iCs/>
          <w:sz w:val="24"/>
          <w:szCs w:val="24"/>
        </w:rPr>
        <w:t>Ældre</w:t>
      </w:r>
    </w:p>
    <w:p w14:paraId="4CB1CBB9" w14:textId="77777777" w:rsidR="009638C2" w:rsidRPr="0067760F" w:rsidRDefault="009638C2" w:rsidP="0032431D">
      <w:pPr>
        <w:ind w:left="851"/>
        <w:rPr>
          <w:sz w:val="24"/>
          <w:szCs w:val="24"/>
        </w:rPr>
      </w:pPr>
      <w:r w:rsidRPr="0067760F">
        <w:rPr>
          <w:sz w:val="24"/>
          <w:szCs w:val="24"/>
        </w:rPr>
        <w:t xml:space="preserve">Benzodiazepiner bør anvendes med forsigtighed hos ældre, da risikoen for sedation og/eller muskelafslapning kan øge risikoen for fald, som kan få alvorlige konsekvenser hos denne population. </w:t>
      </w:r>
    </w:p>
    <w:p w14:paraId="5BE16813" w14:textId="77777777" w:rsidR="009638C2" w:rsidRPr="0067760F" w:rsidRDefault="009638C2" w:rsidP="0032431D">
      <w:pPr>
        <w:ind w:left="851"/>
        <w:rPr>
          <w:sz w:val="24"/>
          <w:szCs w:val="24"/>
        </w:rPr>
      </w:pPr>
    </w:p>
    <w:p w14:paraId="71628202" w14:textId="77777777" w:rsidR="009638C2" w:rsidRPr="0067760F" w:rsidRDefault="009638C2" w:rsidP="0032431D">
      <w:pPr>
        <w:ind w:left="851"/>
        <w:rPr>
          <w:sz w:val="24"/>
          <w:szCs w:val="24"/>
        </w:rPr>
      </w:pPr>
      <w:r w:rsidRPr="0067760F">
        <w:rPr>
          <w:i/>
          <w:iCs/>
          <w:sz w:val="24"/>
          <w:szCs w:val="24"/>
        </w:rPr>
        <w:t>Alvorlige hudreaktioner</w:t>
      </w:r>
    </w:p>
    <w:p w14:paraId="6B227026" w14:textId="77777777" w:rsidR="009638C2" w:rsidRPr="0067760F" w:rsidRDefault="009638C2" w:rsidP="0032431D">
      <w:pPr>
        <w:ind w:left="851"/>
        <w:rPr>
          <w:spacing w:val="7"/>
          <w:sz w:val="24"/>
          <w:szCs w:val="24"/>
        </w:rPr>
      </w:pPr>
      <w:r w:rsidRPr="0067760F">
        <w:rPr>
          <w:sz w:val="24"/>
          <w:szCs w:val="24"/>
        </w:rPr>
        <w:t xml:space="preserve">Der er rapporteret alvorlige hudreaktioner, inklusive Stevens-Johnsons syndrom (SJS) og toksisk </w:t>
      </w:r>
      <w:proofErr w:type="spellStart"/>
      <w:r w:rsidRPr="0067760F">
        <w:rPr>
          <w:sz w:val="24"/>
          <w:szCs w:val="24"/>
        </w:rPr>
        <w:t>epidermal</w:t>
      </w:r>
      <w:proofErr w:type="spellEnd"/>
      <w:r w:rsidRPr="0067760F">
        <w:rPr>
          <w:sz w:val="24"/>
          <w:szCs w:val="24"/>
        </w:rPr>
        <w:t xml:space="preserve"> </w:t>
      </w:r>
      <w:proofErr w:type="spellStart"/>
      <w:r w:rsidRPr="0067760F">
        <w:rPr>
          <w:sz w:val="24"/>
          <w:szCs w:val="24"/>
        </w:rPr>
        <w:t>nekrolyse</w:t>
      </w:r>
      <w:proofErr w:type="spellEnd"/>
      <w:r w:rsidRPr="0067760F">
        <w:rPr>
          <w:sz w:val="24"/>
          <w:szCs w:val="24"/>
        </w:rPr>
        <w:t xml:space="preserve"> (TEN) i forbindelse med </w:t>
      </w:r>
      <w:proofErr w:type="spellStart"/>
      <w:r w:rsidRPr="0067760F">
        <w:rPr>
          <w:sz w:val="24"/>
          <w:szCs w:val="24"/>
        </w:rPr>
        <w:t>clobazam</w:t>
      </w:r>
      <w:proofErr w:type="spellEnd"/>
      <w:r w:rsidRPr="0067760F">
        <w:rPr>
          <w:sz w:val="24"/>
          <w:szCs w:val="24"/>
        </w:rPr>
        <w:t xml:space="preserve"> hos både børn og voksne i perioden efter markedsføring af produktet. Størstedelen af de rapporterede tilfælde omfattede samtidig anvendelse af andre lægemidler, inklusive </w:t>
      </w:r>
      <w:proofErr w:type="spellStart"/>
      <w:r w:rsidRPr="0067760F">
        <w:rPr>
          <w:sz w:val="24"/>
          <w:szCs w:val="24"/>
        </w:rPr>
        <w:t>antiepilektika</w:t>
      </w:r>
      <w:proofErr w:type="spellEnd"/>
      <w:r w:rsidRPr="0067760F">
        <w:rPr>
          <w:sz w:val="24"/>
          <w:szCs w:val="24"/>
        </w:rPr>
        <w:t xml:space="preserve">, som er forbundet med alvorlige hudreaktioner. </w:t>
      </w:r>
    </w:p>
    <w:p w14:paraId="23355186" w14:textId="77777777" w:rsidR="009638C2" w:rsidRPr="0067760F" w:rsidRDefault="009638C2" w:rsidP="0032431D">
      <w:pPr>
        <w:ind w:left="851"/>
        <w:rPr>
          <w:spacing w:val="7"/>
          <w:sz w:val="24"/>
          <w:szCs w:val="24"/>
        </w:rPr>
      </w:pPr>
    </w:p>
    <w:p w14:paraId="4F8554ED" w14:textId="353329EE" w:rsidR="009638C2" w:rsidRPr="0067760F" w:rsidRDefault="009638C2" w:rsidP="0032431D">
      <w:pPr>
        <w:ind w:left="851"/>
        <w:rPr>
          <w:sz w:val="24"/>
          <w:szCs w:val="24"/>
        </w:rPr>
      </w:pPr>
      <w:r w:rsidRPr="0067760F">
        <w:rPr>
          <w:sz w:val="24"/>
          <w:szCs w:val="24"/>
        </w:rPr>
        <w:t xml:space="preserve">SJS/TEN kan være forbundet med dødelig udgang. Patienter bør overvåges nøje for tegn eller symptomer på SJS/TEN, især i løbet af de første 8 uger af behandlingen. </w:t>
      </w:r>
      <w:proofErr w:type="spellStart"/>
      <w:r w:rsidRPr="0067760F">
        <w:rPr>
          <w:sz w:val="24"/>
          <w:szCs w:val="24"/>
        </w:rPr>
        <w:t>Clobazam</w:t>
      </w:r>
      <w:proofErr w:type="spellEnd"/>
      <w:r w:rsidRPr="0067760F">
        <w:rPr>
          <w:sz w:val="24"/>
          <w:szCs w:val="24"/>
        </w:rPr>
        <w:t xml:space="preserve"> bør seponeres omgående ved mistanke om SJS/TEN. Ved tegn eller symptomer, der tyder på SJS/TEN, bør brugen af dette lægemiddel ikke genoptages, og andre behandlings</w:t>
      </w:r>
      <w:r w:rsidR="009337D6">
        <w:rPr>
          <w:sz w:val="24"/>
          <w:szCs w:val="24"/>
        </w:rPr>
        <w:softHyphen/>
      </w:r>
      <w:r w:rsidRPr="0067760F">
        <w:rPr>
          <w:sz w:val="24"/>
          <w:szCs w:val="24"/>
        </w:rPr>
        <w:t>muligheder bør overvejes (se pkt. 4.8).</w:t>
      </w:r>
    </w:p>
    <w:p w14:paraId="4917DA5E" w14:textId="34427463" w:rsidR="009337D6" w:rsidRDefault="009337D6">
      <w:pPr>
        <w:rPr>
          <w:sz w:val="24"/>
          <w:szCs w:val="24"/>
        </w:rPr>
      </w:pPr>
      <w:r>
        <w:rPr>
          <w:sz w:val="24"/>
          <w:szCs w:val="24"/>
        </w:rPr>
        <w:br w:type="page"/>
      </w:r>
    </w:p>
    <w:p w14:paraId="7477DBAB" w14:textId="77777777" w:rsidR="009638C2" w:rsidRPr="0067760F" w:rsidRDefault="009638C2" w:rsidP="0032431D">
      <w:pPr>
        <w:ind w:left="851"/>
        <w:rPr>
          <w:sz w:val="24"/>
          <w:szCs w:val="24"/>
        </w:rPr>
      </w:pPr>
    </w:p>
    <w:p w14:paraId="332132EC" w14:textId="77777777" w:rsidR="009638C2" w:rsidRPr="0067760F" w:rsidRDefault="009638C2" w:rsidP="0032431D">
      <w:pPr>
        <w:ind w:left="851"/>
        <w:rPr>
          <w:sz w:val="24"/>
          <w:szCs w:val="24"/>
        </w:rPr>
      </w:pPr>
      <w:r w:rsidRPr="0067760F">
        <w:rPr>
          <w:i/>
          <w:iCs/>
          <w:sz w:val="24"/>
          <w:szCs w:val="24"/>
        </w:rPr>
        <w:t>Depression og personlighedsforstyrrelser</w:t>
      </w:r>
    </w:p>
    <w:p w14:paraId="1BAB5B5B" w14:textId="77777777" w:rsidR="009638C2" w:rsidRPr="0067760F" w:rsidRDefault="009638C2" w:rsidP="0032431D">
      <w:pPr>
        <w:ind w:left="851"/>
        <w:rPr>
          <w:sz w:val="24"/>
          <w:szCs w:val="24"/>
        </w:rPr>
      </w:pPr>
      <w:r w:rsidRPr="0067760F">
        <w:rPr>
          <w:sz w:val="24"/>
          <w:szCs w:val="24"/>
        </w:rPr>
        <w:t>Tab af hæmninger kan manifesteres på forskellige måder. Selvmord kan fremskyndes hos patienter, som er deprimerede, og aggressiv adfærd overfor sig selv og andre kan fremmes. Der bør derfor udvises ekstrem forsigtighed ved ordinering af benzodiazepiner til patienter med personlighedsforstyrrelser.</w:t>
      </w:r>
    </w:p>
    <w:p w14:paraId="17DC80D0" w14:textId="77777777" w:rsidR="009638C2" w:rsidRPr="0067760F" w:rsidRDefault="009638C2" w:rsidP="0032431D">
      <w:pPr>
        <w:ind w:left="851"/>
        <w:rPr>
          <w:sz w:val="24"/>
          <w:szCs w:val="24"/>
        </w:rPr>
      </w:pPr>
    </w:p>
    <w:p w14:paraId="01465B5F" w14:textId="77777777" w:rsidR="009638C2" w:rsidRPr="0067760F" w:rsidRDefault="009638C2" w:rsidP="0032431D">
      <w:pPr>
        <w:ind w:left="851"/>
        <w:rPr>
          <w:sz w:val="24"/>
          <w:szCs w:val="24"/>
        </w:rPr>
      </w:pPr>
      <w:r w:rsidRPr="0067760F">
        <w:rPr>
          <w:i/>
          <w:iCs/>
          <w:sz w:val="24"/>
          <w:szCs w:val="24"/>
        </w:rPr>
        <w:t>Selvmordstanker og -adfærd</w:t>
      </w:r>
    </w:p>
    <w:p w14:paraId="032BFAA5" w14:textId="77777777" w:rsidR="009638C2" w:rsidRPr="0067760F" w:rsidRDefault="009638C2" w:rsidP="0032431D">
      <w:pPr>
        <w:ind w:left="851"/>
        <w:rPr>
          <w:sz w:val="24"/>
          <w:szCs w:val="24"/>
        </w:rPr>
      </w:pPr>
      <w:r w:rsidRPr="0067760F">
        <w:rPr>
          <w:sz w:val="24"/>
          <w:szCs w:val="24"/>
        </w:rPr>
        <w:t xml:space="preserve">Selvmordstanker og -adfærd er rapporteret hos patienter, som er behandlet med antiepileptiske lægemidler ved flere forskellige indikationer. En metaanalyse af randomiserede placebokontrollerede studier af antiepileptiske lægemidler har også vist en let forøget risiko for selvmordstanker og -adfærd. Mekanismerne bag denne risiko er ikke kendt, og de tilgængelige data udelukker ikke muligheden for en forøget risiko med </w:t>
      </w:r>
      <w:proofErr w:type="spellStart"/>
      <w:r w:rsidRPr="0067760F">
        <w:rPr>
          <w:sz w:val="24"/>
          <w:szCs w:val="24"/>
        </w:rPr>
        <w:t>clobazam</w:t>
      </w:r>
      <w:proofErr w:type="spellEnd"/>
      <w:r w:rsidRPr="0067760F">
        <w:rPr>
          <w:sz w:val="24"/>
          <w:szCs w:val="24"/>
        </w:rPr>
        <w:t>.</w:t>
      </w:r>
    </w:p>
    <w:p w14:paraId="493B4915" w14:textId="77777777" w:rsidR="009638C2" w:rsidRPr="0067760F" w:rsidRDefault="009638C2" w:rsidP="0032431D">
      <w:pPr>
        <w:ind w:left="851"/>
        <w:rPr>
          <w:sz w:val="24"/>
          <w:szCs w:val="24"/>
        </w:rPr>
      </w:pPr>
    </w:p>
    <w:p w14:paraId="026F985D" w14:textId="77777777" w:rsidR="009638C2" w:rsidRPr="0067760F" w:rsidRDefault="009638C2" w:rsidP="0032431D">
      <w:pPr>
        <w:ind w:left="851"/>
        <w:rPr>
          <w:sz w:val="24"/>
          <w:szCs w:val="24"/>
        </w:rPr>
      </w:pPr>
      <w:r w:rsidRPr="0067760F">
        <w:rPr>
          <w:sz w:val="24"/>
          <w:szCs w:val="24"/>
        </w:rPr>
        <w:t>Patienterne bør derfor overvåges med henblik på tegn på selvmordstanker og -adfærd, og passende behandling bør overvejes. Patienter (og patienternes plejepersoner) bør rådes til at søge lægehjælp, hvis der skulle opstå tegn på selvmordstanker eller -adfærd.</w:t>
      </w:r>
    </w:p>
    <w:p w14:paraId="0E34D7F8" w14:textId="77777777" w:rsidR="009638C2" w:rsidRPr="0067760F" w:rsidRDefault="009638C2" w:rsidP="0032431D">
      <w:pPr>
        <w:ind w:left="851"/>
        <w:rPr>
          <w:sz w:val="24"/>
          <w:szCs w:val="24"/>
        </w:rPr>
      </w:pPr>
    </w:p>
    <w:p w14:paraId="1C4DF0B5" w14:textId="77777777" w:rsidR="009638C2" w:rsidRPr="0067760F" w:rsidRDefault="009638C2" w:rsidP="0032431D">
      <w:pPr>
        <w:ind w:left="851"/>
        <w:rPr>
          <w:sz w:val="24"/>
          <w:szCs w:val="24"/>
        </w:rPr>
      </w:pPr>
      <w:r w:rsidRPr="0067760F">
        <w:rPr>
          <w:i/>
          <w:iCs/>
          <w:sz w:val="24"/>
          <w:szCs w:val="24"/>
        </w:rPr>
        <w:t>Psykiatriske og paradoksale reaktioner</w:t>
      </w:r>
    </w:p>
    <w:p w14:paraId="75180F4A" w14:textId="77777777" w:rsidR="009638C2" w:rsidRPr="0067760F" w:rsidRDefault="009638C2" w:rsidP="0032431D">
      <w:pPr>
        <w:ind w:left="851"/>
        <w:rPr>
          <w:sz w:val="24"/>
          <w:szCs w:val="24"/>
        </w:rPr>
      </w:pPr>
      <w:r w:rsidRPr="0067760F">
        <w:rPr>
          <w:sz w:val="24"/>
          <w:szCs w:val="24"/>
        </w:rPr>
        <w:t>Reaktioner som rastløshed, agitation, irritabilitet, aggressivitet, vrangforestillinger, raseri, mareridt, hallucinationer, psykoser, uhensigtsmæssig adfærd og andre adfærdsrelaterede bivirkninger er kendte ved anvendelse af benzodiazepiner (se pkt. 4.8). Skulle dette forekomme, skal anvendelsen af lægemidlet seponeres.</w:t>
      </w:r>
    </w:p>
    <w:p w14:paraId="370F8B49" w14:textId="77777777" w:rsidR="009638C2" w:rsidRPr="0067760F" w:rsidRDefault="009638C2" w:rsidP="0032431D">
      <w:pPr>
        <w:ind w:left="851"/>
        <w:rPr>
          <w:sz w:val="24"/>
          <w:szCs w:val="24"/>
        </w:rPr>
      </w:pPr>
      <w:r w:rsidRPr="0067760F">
        <w:rPr>
          <w:sz w:val="24"/>
          <w:szCs w:val="24"/>
        </w:rPr>
        <w:t>Disse reaktioner er mere almindelige hos børn og ældre patienter.</w:t>
      </w:r>
    </w:p>
    <w:p w14:paraId="6A5F3DAB" w14:textId="77777777" w:rsidR="009638C2" w:rsidRPr="0067760F" w:rsidRDefault="009638C2" w:rsidP="0032431D">
      <w:pPr>
        <w:ind w:left="851"/>
        <w:rPr>
          <w:sz w:val="24"/>
          <w:szCs w:val="24"/>
        </w:rPr>
      </w:pPr>
    </w:p>
    <w:p w14:paraId="62CDB444" w14:textId="77777777" w:rsidR="009638C2" w:rsidRPr="0067760F" w:rsidRDefault="009638C2" w:rsidP="0032431D">
      <w:pPr>
        <w:ind w:left="851"/>
        <w:rPr>
          <w:sz w:val="24"/>
          <w:szCs w:val="24"/>
        </w:rPr>
      </w:pPr>
      <w:r w:rsidRPr="0067760F">
        <w:rPr>
          <w:i/>
          <w:iCs/>
          <w:sz w:val="24"/>
          <w:szCs w:val="24"/>
        </w:rPr>
        <w:t>Personer med ringe CYP2C19-metabolisme</w:t>
      </w:r>
    </w:p>
    <w:p w14:paraId="08898B2B" w14:textId="77777777" w:rsidR="009638C2" w:rsidRPr="0067760F" w:rsidRDefault="009638C2" w:rsidP="0032431D">
      <w:pPr>
        <w:ind w:left="851"/>
        <w:rPr>
          <w:sz w:val="24"/>
          <w:szCs w:val="24"/>
        </w:rPr>
      </w:pPr>
      <w:r w:rsidRPr="0067760F">
        <w:rPr>
          <w:sz w:val="24"/>
          <w:szCs w:val="24"/>
        </w:rPr>
        <w:t>Hos personer med ringe CYP2C19-metabolisme var niveauerne af N-</w:t>
      </w:r>
      <w:proofErr w:type="spellStart"/>
      <w:r w:rsidRPr="0067760F">
        <w:rPr>
          <w:sz w:val="24"/>
          <w:szCs w:val="24"/>
        </w:rPr>
        <w:t>desmethylclobazam</w:t>
      </w:r>
      <w:proofErr w:type="spellEnd"/>
      <w:r w:rsidRPr="0067760F">
        <w:rPr>
          <w:sz w:val="24"/>
          <w:szCs w:val="24"/>
        </w:rPr>
        <w:t xml:space="preserve"> 9 gange højere i plasma og 2 til 3 gange højere i urin end hos personer med hurtig CYP2C19-metabolisme. Da dette kan føre til øgede bivirkninger, kan det være nødvendigt at justere dosis af </w:t>
      </w:r>
      <w:proofErr w:type="spellStart"/>
      <w:r w:rsidRPr="0067760F">
        <w:rPr>
          <w:sz w:val="24"/>
          <w:szCs w:val="24"/>
        </w:rPr>
        <w:t>clobazam</w:t>
      </w:r>
      <w:proofErr w:type="spellEnd"/>
      <w:r w:rsidRPr="0067760F">
        <w:rPr>
          <w:sz w:val="24"/>
          <w:szCs w:val="24"/>
        </w:rPr>
        <w:t xml:space="preserve"> (f.eks. lav startdosis med forsigtig dosistitrering (se pkt. 5.2).</w:t>
      </w:r>
    </w:p>
    <w:p w14:paraId="1FACAAC5" w14:textId="77777777" w:rsidR="009638C2" w:rsidRPr="0067760F" w:rsidRDefault="009638C2" w:rsidP="0032431D">
      <w:pPr>
        <w:ind w:left="851"/>
        <w:rPr>
          <w:sz w:val="24"/>
          <w:szCs w:val="24"/>
        </w:rPr>
      </w:pPr>
    </w:p>
    <w:p w14:paraId="3E1FF93F" w14:textId="77777777" w:rsidR="009638C2" w:rsidRPr="0067760F" w:rsidRDefault="009638C2" w:rsidP="0032431D">
      <w:pPr>
        <w:ind w:left="851"/>
        <w:rPr>
          <w:sz w:val="24"/>
          <w:szCs w:val="24"/>
        </w:rPr>
      </w:pPr>
      <w:r w:rsidRPr="0067760F">
        <w:rPr>
          <w:i/>
          <w:iCs/>
          <w:sz w:val="24"/>
          <w:szCs w:val="24"/>
        </w:rPr>
        <w:t>Tolerance ved epilepsi</w:t>
      </w:r>
    </w:p>
    <w:p w14:paraId="6BA9A9C5" w14:textId="77777777" w:rsidR="009638C2" w:rsidRPr="0067760F" w:rsidRDefault="009638C2" w:rsidP="0032431D">
      <w:pPr>
        <w:ind w:left="851"/>
        <w:rPr>
          <w:sz w:val="24"/>
          <w:szCs w:val="24"/>
        </w:rPr>
      </w:pPr>
      <w:r w:rsidRPr="0067760F">
        <w:rPr>
          <w:sz w:val="24"/>
          <w:szCs w:val="24"/>
        </w:rPr>
        <w:t xml:space="preserve">Ved behandlingen af epilepsi med benzodiazepiner - inklusive </w:t>
      </w:r>
      <w:proofErr w:type="spellStart"/>
      <w:r w:rsidRPr="0067760F">
        <w:rPr>
          <w:sz w:val="24"/>
          <w:szCs w:val="24"/>
        </w:rPr>
        <w:t>clobazam</w:t>
      </w:r>
      <w:proofErr w:type="spellEnd"/>
      <w:r w:rsidRPr="0067760F">
        <w:rPr>
          <w:sz w:val="24"/>
          <w:szCs w:val="24"/>
        </w:rPr>
        <w:t xml:space="preserve"> - er det nødvendigt at overveje muligheden for en reduktion af den </w:t>
      </w:r>
      <w:proofErr w:type="spellStart"/>
      <w:r w:rsidRPr="0067760F">
        <w:rPr>
          <w:sz w:val="24"/>
          <w:szCs w:val="24"/>
        </w:rPr>
        <w:t>antikonvulsive</w:t>
      </w:r>
      <w:proofErr w:type="spellEnd"/>
      <w:r w:rsidRPr="0067760F">
        <w:rPr>
          <w:sz w:val="24"/>
          <w:szCs w:val="24"/>
        </w:rPr>
        <w:t xml:space="preserve"> effekt (toleransudvikling) i løbet af behandlingen.</w:t>
      </w:r>
    </w:p>
    <w:p w14:paraId="66E2DA22" w14:textId="77777777" w:rsidR="009638C2" w:rsidRPr="0067760F" w:rsidRDefault="009638C2" w:rsidP="0032431D">
      <w:pPr>
        <w:ind w:left="851"/>
        <w:rPr>
          <w:sz w:val="24"/>
          <w:szCs w:val="24"/>
        </w:rPr>
      </w:pPr>
    </w:p>
    <w:p w14:paraId="27D73606" w14:textId="77777777" w:rsidR="009638C2" w:rsidRPr="0067760F" w:rsidRDefault="009638C2" w:rsidP="0032431D">
      <w:pPr>
        <w:ind w:left="851"/>
        <w:rPr>
          <w:i/>
          <w:sz w:val="24"/>
          <w:szCs w:val="24"/>
        </w:rPr>
      </w:pPr>
      <w:r w:rsidRPr="0067760F">
        <w:rPr>
          <w:i/>
          <w:sz w:val="24"/>
          <w:szCs w:val="24"/>
        </w:rPr>
        <w:t>Samtidig brug af opioider og benzodiazepiner</w:t>
      </w:r>
    </w:p>
    <w:p w14:paraId="06405EB2" w14:textId="000DDF40" w:rsidR="009638C2" w:rsidRPr="0067760F" w:rsidRDefault="009638C2" w:rsidP="0032431D">
      <w:pPr>
        <w:ind w:left="851"/>
        <w:rPr>
          <w:sz w:val="24"/>
          <w:szCs w:val="24"/>
        </w:rPr>
      </w:pPr>
      <w:bookmarkStart w:id="4" w:name="_Hlk10112033"/>
      <w:r w:rsidRPr="0067760F">
        <w:rPr>
          <w:sz w:val="24"/>
          <w:szCs w:val="24"/>
        </w:rPr>
        <w:t xml:space="preserve">Samtidig brug af </w:t>
      </w:r>
      <w:proofErr w:type="spellStart"/>
      <w:r w:rsidRPr="0067760F">
        <w:rPr>
          <w:sz w:val="24"/>
          <w:szCs w:val="24"/>
        </w:rPr>
        <w:t>clobazam</w:t>
      </w:r>
      <w:proofErr w:type="spellEnd"/>
      <w:r w:rsidRPr="0067760F">
        <w:rPr>
          <w:sz w:val="24"/>
          <w:szCs w:val="24"/>
        </w:rPr>
        <w:t xml:space="preserve"> og opioider kan medføre sedation, respirationsdepression, koma og død. Derfor bør samtidig ordination af benzodiazepiner såsom </w:t>
      </w:r>
      <w:proofErr w:type="spellStart"/>
      <w:r w:rsidRPr="0067760F">
        <w:rPr>
          <w:sz w:val="24"/>
          <w:szCs w:val="24"/>
        </w:rPr>
        <w:t>clobazam</w:t>
      </w:r>
      <w:proofErr w:type="spellEnd"/>
      <w:r w:rsidRPr="0067760F">
        <w:rPr>
          <w:sz w:val="24"/>
          <w:szCs w:val="24"/>
        </w:rPr>
        <w:t xml:space="preserve"> med opioider forbeholdes patienter, for hvem der ikke er andre behandlingsmuligheder. Hvis det besluttes at ordinere </w:t>
      </w:r>
      <w:proofErr w:type="spellStart"/>
      <w:r w:rsidRPr="0067760F">
        <w:rPr>
          <w:sz w:val="24"/>
          <w:szCs w:val="24"/>
        </w:rPr>
        <w:t>clobazam</w:t>
      </w:r>
      <w:proofErr w:type="spellEnd"/>
      <w:r w:rsidRPr="0067760F">
        <w:rPr>
          <w:sz w:val="24"/>
          <w:szCs w:val="24"/>
        </w:rPr>
        <w:t xml:space="preserve"> samtidig med opioider, bør der anvendes den laveste effektive dosis, og varigheden af behandlingen bør være så kort som mulig (se pkt. 4.2). </w:t>
      </w:r>
    </w:p>
    <w:p w14:paraId="6E7D9652" w14:textId="06DC5E37" w:rsidR="009638C2" w:rsidRPr="0067760F" w:rsidRDefault="009638C2" w:rsidP="0032431D">
      <w:pPr>
        <w:ind w:left="851"/>
        <w:rPr>
          <w:sz w:val="24"/>
          <w:szCs w:val="24"/>
        </w:rPr>
      </w:pPr>
      <w:r w:rsidRPr="0067760F">
        <w:rPr>
          <w:sz w:val="24"/>
          <w:szCs w:val="24"/>
        </w:rPr>
        <w:t>Patienterne skal følges tæt for at holde øje med tegn og symptomer på respirations</w:t>
      </w:r>
      <w:r w:rsidR="009337D6">
        <w:rPr>
          <w:sz w:val="24"/>
          <w:szCs w:val="24"/>
        </w:rPr>
        <w:softHyphen/>
      </w:r>
      <w:r w:rsidRPr="0067760F">
        <w:rPr>
          <w:sz w:val="24"/>
          <w:szCs w:val="24"/>
        </w:rPr>
        <w:t>depression og sedation. I denne sammenhæng anbefales det på det kraftigste at informere patienter og eventuelle plejepersoner om, at de skal være opmærksomme på disse symptomer (se pkt. 4.5).</w:t>
      </w:r>
    </w:p>
    <w:bookmarkEnd w:id="4"/>
    <w:p w14:paraId="62FCC8D0" w14:textId="77777777" w:rsidR="009638C2" w:rsidRPr="0067760F" w:rsidRDefault="009638C2" w:rsidP="0032431D">
      <w:pPr>
        <w:ind w:left="851"/>
        <w:rPr>
          <w:spacing w:val="-1"/>
          <w:sz w:val="24"/>
          <w:szCs w:val="24"/>
        </w:rPr>
      </w:pPr>
    </w:p>
    <w:p w14:paraId="16B0CBAD" w14:textId="77777777" w:rsidR="009638C2" w:rsidRPr="0067760F" w:rsidRDefault="009638C2" w:rsidP="0032431D">
      <w:pPr>
        <w:ind w:left="851"/>
        <w:rPr>
          <w:i/>
          <w:sz w:val="24"/>
          <w:szCs w:val="24"/>
        </w:rPr>
      </w:pPr>
      <w:r w:rsidRPr="0067760F">
        <w:rPr>
          <w:i/>
          <w:sz w:val="24"/>
          <w:szCs w:val="24"/>
        </w:rPr>
        <w:t>Hjælpestoffer i formuleringen</w:t>
      </w:r>
    </w:p>
    <w:p w14:paraId="178265D8" w14:textId="1691F82D" w:rsidR="009638C2" w:rsidRPr="0067760F" w:rsidRDefault="009638C2" w:rsidP="0032431D">
      <w:pPr>
        <w:ind w:left="851"/>
        <w:rPr>
          <w:sz w:val="24"/>
          <w:szCs w:val="24"/>
        </w:rPr>
      </w:pPr>
      <w:r w:rsidRPr="0067760F">
        <w:rPr>
          <w:sz w:val="24"/>
          <w:szCs w:val="24"/>
        </w:rPr>
        <w:t xml:space="preserve">Sorbitol: Den </w:t>
      </w:r>
      <w:proofErr w:type="spellStart"/>
      <w:r w:rsidRPr="0067760F">
        <w:rPr>
          <w:sz w:val="24"/>
          <w:szCs w:val="24"/>
        </w:rPr>
        <w:t>additive</w:t>
      </w:r>
      <w:proofErr w:type="spellEnd"/>
      <w:r w:rsidRPr="0067760F">
        <w:rPr>
          <w:sz w:val="24"/>
          <w:szCs w:val="24"/>
        </w:rPr>
        <w:t xml:space="preserve"> virkning af samtidigt administrerede produkter indeholdende sorbitol (eller </w:t>
      </w:r>
      <w:proofErr w:type="spellStart"/>
      <w:r w:rsidRPr="0067760F">
        <w:rPr>
          <w:sz w:val="24"/>
          <w:szCs w:val="24"/>
        </w:rPr>
        <w:t>fructose</w:t>
      </w:r>
      <w:proofErr w:type="spellEnd"/>
      <w:r w:rsidRPr="0067760F">
        <w:rPr>
          <w:sz w:val="24"/>
          <w:szCs w:val="24"/>
        </w:rPr>
        <w:t xml:space="preserve">) og indtagelse af sorbitol (eller </w:t>
      </w:r>
      <w:proofErr w:type="spellStart"/>
      <w:r w:rsidRPr="0067760F">
        <w:rPr>
          <w:sz w:val="24"/>
          <w:szCs w:val="24"/>
        </w:rPr>
        <w:t>fructose</w:t>
      </w:r>
      <w:proofErr w:type="spellEnd"/>
      <w:r w:rsidRPr="0067760F">
        <w:rPr>
          <w:sz w:val="24"/>
          <w:szCs w:val="24"/>
        </w:rPr>
        <w:t xml:space="preserve">) i kosten bør tages i </w:t>
      </w:r>
      <w:r w:rsidRPr="0067760F">
        <w:rPr>
          <w:sz w:val="24"/>
          <w:szCs w:val="24"/>
        </w:rPr>
        <w:lastRenderedPageBreak/>
        <w:t>betragtning. Indholdet af sorbitol i lægemidler til oral brug kan påvirke biotilgængeligheden af andre lægemidler til oral brug, hvis indgivet samtidig.</w:t>
      </w:r>
    </w:p>
    <w:p w14:paraId="577FC34A" w14:textId="77777777" w:rsidR="00913C7E" w:rsidRDefault="00913C7E" w:rsidP="0032431D">
      <w:pPr>
        <w:ind w:left="851"/>
        <w:rPr>
          <w:sz w:val="24"/>
          <w:szCs w:val="24"/>
        </w:rPr>
      </w:pPr>
    </w:p>
    <w:p w14:paraId="0089D994" w14:textId="5B73DE80" w:rsidR="009638C2" w:rsidRPr="0067760F" w:rsidRDefault="009638C2" w:rsidP="0032431D">
      <w:pPr>
        <w:ind w:left="851"/>
        <w:rPr>
          <w:sz w:val="24"/>
          <w:szCs w:val="24"/>
        </w:rPr>
      </w:pPr>
      <w:proofErr w:type="spellStart"/>
      <w:r w:rsidRPr="0067760F">
        <w:rPr>
          <w:sz w:val="24"/>
          <w:szCs w:val="24"/>
        </w:rPr>
        <w:t>Natri</w:t>
      </w:r>
      <w:r w:rsidR="00913C7E">
        <w:rPr>
          <w:sz w:val="24"/>
          <w:szCs w:val="24"/>
        </w:rPr>
        <w:t>u</w:t>
      </w:r>
      <w:r w:rsidRPr="0067760F">
        <w:rPr>
          <w:sz w:val="24"/>
          <w:szCs w:val="24"/>
        </w:rPr>
        <w:t>mmethylhydroxy-benzoat</w:t>
      </w:r>
      <w:proofErr w:type="spellEnd"/>
      <w:r w:rsidRPr="0067760F">
        <w:rPr>
          <w:sz w:val="24"/>
          <w:szCs w:val="24"/>
        </w:rPr>
        <w:t xml:space="preserve"> (E219) og </w:t>
      </w:r>
      <w:proofErr w:type="spellStart"/>
      <w:r w:rsidRPr="0067760F">
        <w:rPr>
          <w:sz w:val="24"/>
          <w:szCs w:val="24"/>
        </w:rPr>
        <w:t>natriumpropylhydroxy-benzoat</w:t>
      </w:r>
      <w:proofErr w:type="spellEnd"/>
      <w:r w:rsidRPr="0067760F">
        <w:rPr>
          <w:sz w:val="24"/>
          <w:szCs w:val="24"/>
        </w:rPr>
        <w:t xml:space="preserve">, (E217): Kan give allergiske reaktioner (kan optræde efter behandlingen). </w:t>
      </w:r>
    </w:p>
    <w:p w14:paraId="042D5042" w14:textId="77777777" w:rsidR="007E2823" w:rsidRDefault="007E2823" w:rsidP="0032431D">
      <w:pPr>
        <w:ind w:left="851"/>
        <w:rPr>
          <w:sz w:val="24"/>
          <w:szCs w:val="24"/>
        </w:rPr>
      </w:pPr>
    </w:p>
    <w:p w14:paraId="436CA888" w14:textId="596CB40A" w:rsidR="009638C2" w:rsidRDefault="009638C2" w:rsidP="0032431D">
      <w:pPr>
        <w:ind w:left="851"/>
        <w:rPr>
          <w:sz w:val="24"/>
          <w:szCs w:val="24"/>
        </w:rPr>
      </w:pPr>
      <w:r w:rsidRPr="0067760F">
        <w:rPr>
          <w:sz w:val="24"/>
          <w:szCs w:val="24"/>
        </w:rPr>
        <w:t>Natrium: Dette lægemiddel indeholder 3,33 mg/ml natrium pr. ml oral suspension, svarende til svarende til 10 % af den WHO anbefalede maksimale daglige indtagelse af 2 g natrium for en voksen.</w:t>
      </w:r>
    </w:p>
    <w:p w14:paraId="3A43C916" w14:textId="77777777" w:rsidR="007E2823" w:rsidRPr="0067760F" w:rsidRDefault="007E2823" w:rsidP="0032431D">
      <w:pPr>
        <w:ind w:left="851"/>
        <w:rPr>
          <w:sz w:val="24"/>
          <w:szCs w:val="24"/>
        </w:rPr>
      </w:pPr>
    </w:p>
    <w:p w14:paraId="3A8A31DD" w14:textId="77777777" w:rsidR="009638C2" w:rsidRPr="0067760F" w:rsidRDefault="009638C2" w:rsidP="0032431D">
      <w:pPr>
        <w:ind w:left="851"/>
        <w:rPr>
          <w:sz w:val="24"/>
          <w:szCs w:val="24"/>
        </w:rPr>
      </w:pPr>
      <w:r w:rsidRPr="0067760F">
        <w:rPr>
          <w:sz w:val="24"/>
          <w:szCs w:val="24"/>
        </w:rPr>
        <w:t xml:space="preserve">Propylenglycol: Dette lægemiddel indeholder 4,825 mg propylenglycol i hver ml suspension. Samtidig administration med substrater til </w:t>
      </w:r>
      <w:proofErr w:type="spellStart"/>
      <w:r w:rsidRPr="0067760F">
        <w:rPr>
          <w:sz w:val="24"/>
          <w:szCs w:val="24"/>
        </w:rPr>
        <w:t>alkoholdehydrogenase</w:t>
      </w:r>
      <w:proofErr w:type="spellEnd"/>
      <w:r w:rsidRPr="0067760F">
        <w:rPr>
          <w:sz w:val="24"/>
          <w:szCs w:val="24"/>
        </w:rPr>
        <w:t xml:space="preserve"> såsom </w:t>
      </w:r>
      <w:proofErr w:type="spellStart"/>
      <w:r w:rsidRPr="0067760F">
        <w:rPr>
          <w:sz w:val="24"/>
          <w:szCs w:val="24"/>
        </w:rPr>
        <w:t>ethanol</w:t>
      </w:r>
      <w:proofErr w:type="spellEnd"/>
      <w:r w:rsidRPr="0067760F">
        <w:rPr>
          <w:sz w:val="24"/>
          <w:szCs w:val="24"/>
        </w:rPr>
        <w:t>, kan fremkalde alvorlige bivirkninger hos nyfødte.</w:t>
      </w:r>
    </w:p>
    <w:p w14:paraId="73611022" w14:textId="77777777" w:rsidR="009260DE" w:rsidRPr="0067760F" w:rsidRDefault="009260DE" w:rsidP="008C00AA">
      <w:pPr>
        <w:rPr>
          <w:sz w:val="24"/>
          <w:szCs w:val="24"/>
        </w:rPr>
      </w:pPr>
    </w:p>
    <w:p w14:paraId="6DB4F0DE" w14:textId="77777777" w:rsidR="009260DE" w:rsidRPr="0067760F" w:rsidRDefault="009260DE" w:rsidP="009260DE">
      <w:pPr>
        <w:tabs>
          <w:tab w:val="left" w:pos="851"/>
        </w:tabs>
        <w:ind w:left="851" w:hanging="851"/>
        <w:rPr>
          <w:b/>
          <w:sz w:val="24"/>
          <w:szCs w:val="24"/>
        </w:rPr>
      </w:pPr>
      <w:r w:rsidRPr="0067760F">
        <w:rPr>
          <w:b/>
          <w:sz w:val="24"/>
          <w:szCs w:val="24"/>
        </w:rPr>
        <w:t>4.5</w:t>
      </w:r>
      <w:r w:rsidRPr="0067760F">
        <w:rPr>
          <w:b/>
          <w:sz w:val="24"/>
          <w:szCs w:val="24"/>
        </w:rPr>
        <w:tab/>
        <w:t>Interaktion med andre lægemidler og andre former for interaktion</w:t>
      </w:r>
    </w:p>
    <w:p w14:paraId="16CFC2EF" w14:textId="77777777" w:rsidR="007E2823" w:rsidRDefault="007E2823" w:rsidP="0032431D">
      <w:pPr>
        <w:ind w:left="851"/>
        <w:rPr>
          <w:sz w:val="24"/>
          <w:szCs w:val="24"/>
        </w:rPr>
      </w:pPr>
    </w:p>
    <w:p w14:paraId="3028A19C" w14:textId="55862895" w:rsidR="009638C2" w:rsidRPr="007E2823" w:rsidRDefault="009638C2" w:rsidP="0032431D">
      <w:pPr>
        <w:ind w:left="851"/>
        <w:rPr>
          <w:b/>
          <w:spacing w:val="-1"/>
          <w:sz w:val="24"/>
          <w:szCs w:val="24"/>
        </w:rPr>
      </w:pPr>
      <w:proofErr w:type="spellStart"/>
      <w:r w:rsidRPr="007E2823">
        <w:rPr>
          <w:b/>
          <w:sz w:val="24"/>
          <w:szCs w:val="24"/>
        </w:rPr>
        <w:t>Farmakodynamisk</w:t>
      </w:r>
      <w:proofErr w:type="spellEnd"/>
      <w:r w:rsidRPr="007E2823">
        <w:rPr>
          <w:b/>
          <w:sz w:val="24"/>
          <w:szCs w:val="24"/>
        </w:rPr>
        <w:t xml:space="preserve"> interaktion:</w:t>
      </w:r>
    </w:p>
    <w:p w14:paraId="21CCB08B" w14:textId="77777777" w:rsidR="009638C2" w:rsidRPr="0067760F" w:rsidRDefault="009638C2" w:rsidP="0032431D">
      <w:pPr>
        <w:ind w:left="851"/>
        <w:rPr>
          <w:i/>
          <w:iCs/>
          <w:spacing w:val="-1"/>
          <w:sz w:val="24"/>
          <w:szCs w:val="24"/>
        </w:rPr>
      </w:pPr>
    </w:p>
    <w:p w14:paraId="449D9A4A" w14:textId="77777777" w:rsidR="009638C2" w:rsidRPr="0067760F" w:rsidRDefault="009638C2" w:rsidP="0032431D">
      <w:pPr>
        <w:ind w:left="851"/>
        <w:rPr>
          <w:sz w:val="24"/>
          <w:szCs w:val="24"/>
          <w:u w:val="single"/>
          <w:lang w:eastAsia="da-DK"/>
        </w:rPr>
      </w:pPr>
      <w:r w:rsidRPr="0067760F">
        <w:rPr>
          <w:sz w:val="24"/>
          <w:szCs w:val="24"/>
          <w:u w:val="single"/>
        </w:rPr>
        <w:t>Lægemidler med hæmmende virkning på centralnervesystemet</w:t>
      </w:r>
    </w:p>
    <w:p w14:paraId="6D34E1E5" w14:textId="77777777" w:rsidR="009638C2" w:rsidRPr="0067760F" w:rsidRDefault="009638C2" w:rsidP="0032431D">
      <w:pPr>
        <w:ind w:left="851"/>
        <w:rPr>
          <w:sz w:val="24"/>
          <w:szCs w:val="24"/>
        </w:rPr>
      </w:pPr>
      <w:r w:rsidRPr="0067760F">
        <w:rPr>
          <w:sz w:val="24"/>
          <w:szCs w:val="24"/>
        </w:rPr>
        <w:t xml:space="preserve">Især når </w:t>
      </w:r>
      <w:proofErr w:type="spellStart"/>
      <w:r w:rsidRPr="0067760F">
        <w:rPr>
          <w:sz w:val="24"/>
          <w:szCs w:val="24"/>
        </w:rPr>
        <w:t>clobazam</w:t>
      </w:r>
      <w:proofErr w:type="spellEnd"/>
      <w:r w:rsidRPr="0067760F">
        <w:rPr>
          <w:sz w:val="24"/>
          <w:szCs w:val="24"/>
        </w:rPr>
        <w:t xml:space="preserve"> administreres i højere doser, kan der forekomme en forstærkning af den hæmmende virkning på centralnervesystemet i de tilfælde, hvor der samtidig bruges antipsykotika (</w:t>
      </w:r>
      <w:proofErr w:type="spellStart"/>
      <w:r w:rsidRPr="0067760F">
        <w:rPr>
          <w:sz w:val="24"/>
          <w:szCs w:val="24"/>
        </w:rPr>
        <w:t>neuroleptika</w:t>
      </w:r>
      <w:proofErr w:type="spellEnd"/>
      <w:r w:rsidRPr="0067760F">
        <w:rPr>
          <w:sz w:val="24"/>
          <w:szCs w:val="24"/>
        </w:rPr>
        <w:t xml:space="preserve">), </w:t>
      </w:r>
      <w:proofErr w:type="spellStart"/>
      <w:r w:rsidRPr="0067760F">
        <w:rPr>
          <w:sz w:val="24"/>
          <w:szCs w:val="24"/>
        </w:rPr>
        <w:t>hypnotika</w:t>
      </w:r>
      <w:proofErr w:type="spellEnd"/>
      <w:r w:rsidRPr="0067760F">
        <w:rPr>
          <w:sz w:val="24"/>
          <w:szCs w:val="24"/>
        </w:rPr>
        <w:t xml:space="preserve">, angstdæmpende/beroligende midler, antidepressive midler, narkotiske </w:t>
      </w:r>
      <w:proofErr w:type="spellStart"/>
      <w:r w:rsidRPr="0067760F">
        <w:rPr>
          <w:sz w:val="24"/>
          <w:szCs w:val="24"/>
        </w:rPr>
        <w:t>analgetika</w:t>
      </w:r>
      <w:proofErr w:type="spellEnd"/>
      <w:r w:rsidRPr="0067760F">
        <w:rPr>
          <w:sz w:val="24"/>
          <w:szCs w:val="24"/>
        </w:rPr>
        <w:t xml:space="preserve">, </w:t>
      </w:r>
      <w:proofErr w:type="spellStart"/>
      <w:r w:rsidRPr="0067760F">
        <w:rPr>
          <w:sz w:val="24"/>
          <w:szCs w:val="24"/>
        </w:rPr>
        <w:t>antikonvulsive</w:t>
      </w:r>
      <w:proofErr w:type="spellEnd"/>
      <w:r w:rsidRPr="0067760F">
        <w:rPr>
          <w:sz w:val="24"/>
          <w:szCs w:val="24"/>
        </w:rPr>
        <w:t xml:space="preserve"> midler, </w:t>
      </w:r>
      <w:proofErr w:type="spellStart"/>
      <w:r w:rsidRPr="0067760F">
        <w:rPr>
          <w:sz w:val="24"/>
          <w:szCs w:val="24"/>
        </w:rPr>
        <w:t>anæstetika</w:t>
      </w:r>
      <w:proofErr w:type="spellEnd"/>
      <w:r w:rsidRPr="0067760F">
        <w:rPr>
          <w:sz w:val="24"/>
          <w:szCs w:val="24"/>
        </w:rPr>
        <w:t xml:space="preserve"> og sederende antihistaminer. Særlig forsigtighed er også nødvendig, hvis </w:t>
      </w:r>
      <w:proofErr w:type="spellStart"/>
      <w:r w:rsidRPr="0067760F">
        <w:rPr>
          <w:sz w:val="24"/>
          <w:szCs w:val="24"/>
        </w:rPr>
        <w:t>clobazam</w:t>
      </w:r>
      <w:proofErr w:type="spellEnd"/>
      <w:r w:rsidRPr="0067760F">
        <w:rPr>
          <w:sz w:val="24"/>
          <w:szCs w:val="24"/>
        </w:rPr>
        <w:t xml:space="preserve"> administreres i tilfælde med forgiftning med sådanne stoffer eller med litium.</w:t>
      </w:r>
    </w:p>
    <w:p w14:paraId="20CB064E" w14:textId="77777777" w:rsidR="009638C2" w:rsidRPr="0067760F" w:rsidRDefault="009638C2" w:rsidP="0032431D">
      <w:pPr>
        <w:ind w:left="851"/>
        <w:rPr>
          <w:sz w:val="24"/>
          <w:szCs w:val="24"/>
        </w:rPr>
      </w:pPr>
    </w:p>
    <w:p w14:paraId="27BD9868" w14:textId="77777777" w:rsidR="009638C2" w:rsidRPr="0067760F" w:rsidRDefault="009638C2" w:rsidP="0032431D">
      <w:pPr>
        <w:ind w:left="851"/>
        <w:rPr>
          <w:sz w:val="24"/>
          <w:szCs w:val="24"/>
        </w:rPr>
      </w:pPr>
      <w:r w:rsidRPr="0067760F">
        <w:rPr>
          <w:i/>
          <w:iCs/>
          <w:sz w:val="24"/>
          <w:szCs w:val="24"/>
        </w:rPr>
        <w:t xml:space="preserve">Narkotiske </w:t>
      </w:r>
      <w:proofErr w:type="spellStart"/>
      <w:r w:rsidRPr="0067760F">
        <w:rPr>
          <w:i/>
          <w:iCs/>
          <w:sz w:val="24"/>
          <w:szCs w:val="24"/>
        </w:rPr>
        <w:t>analgetika</w:t>
      </w:r>
      <w:proofErr w:type="spellEnd"/>
    </w:p>
    <w:p w14:paraId="2F8C9EDB" w14:textId="77777777" w:rsidR="009638C2" w:rsidRPr="0067760F" w:rsidRDefault="009638C2" w:rsidP="0032431D">
      <w:pPr>
        <w:ind w:left="851"/>
        <w:rPr>
          <w:spacing w:val="-2"/>
          <w:sz w:val="24"/>
          <w:szCs w:val="24"/>
        </w:rPr>
      </w:pPr>
      <w:r w:rsidRPr="0067760F">
        <w:rPr>
          <w:sz w:val="24"/>
          <w:szCs w:val="24"/>
        </w:rPr>
        <w:t xml:space="preserve">Hvis </w:t>
      </w:r>
      <w:proofErr w:type="spellStart"/>
      <w:r w:rsidRPr="0067760F">
        <w:rPr>
          <w:sz w:val="24"/>
          <w:szCs w:val="24"/>
        </w:rPr>
        <w:t>clobazam</w:t>
      </w:r>
      <w:proofErr w:type="spellEnd"/>
      <w:r w:rsidRPr="0067760F">
        <w:rPr>
          <w:sz w:val="24"/>
          <w:szCs w:val="24"/>
        </w:rPr>
        <w:t xml:space="preserve"> anvendes samtidig med narkotiske </w:t>
      </w:r>
      <w:proofErr w:type="spellStart"/>
      <w:r w:rsidRPr="0067760F">
        <w:rPr>
          <w:sz w:val="24"/>
          <w:szCs w:val="24"/>
        </w:rPr>
        <w:t>analgetika</w:t>
      </w:r>
      <w:proofErr w:type="spellEnd"/>
      <w:r w:rsidRPr="0067760F">
        <w:rPr>
          <w:sz w:val="24"/>
          <w:szCs w:val="24"/>
        </w:rPr>
        <w:t>, kan eventuel eufori blive forstærket. Dette kan resultere i øget psykisk afhængighed.</w:t>
      </w:r>
    </w:p>
    <w:p w14:paraId="40B6FF91" w14:textId="77777777" w:rsidR="009638C2" w:rsidRPr="0067760F" w:rsidRDefault="009638C2" w:rsidP="0032431D">
      <w:pPr>
        <w:ind w:left="851"/>
        <w:rPr>
          <w:spacing w:val="-2"/>
          <w:sz w:val="24"/>
          <w:szCs w:val="24"/>
        </w:rPr>
      </w:pPr>
    </w:p>
    <w:p w14:paraId="47772682" w14:textId="77777777" w:rsidR="009638C2" w:rsidRPr="0067760F" w:rsidRDefault="009638C2" w:rsidP="0032431D">
      <w:pPr>
        <w:ind w:left="851"/>
        <w:rPr>
          <w:i/>
          <w:spacing w:val="-2"/>
          <w:sz w:val="24"/>
          <w:szCs w:val="24"/>
        </w:rPr>
      </w:pPr>
      <w:r w:rsidRPr="0067760F">
        <w:rPr>
          <w:i/>
          <w:sz w:val="24"/>
          <w:szCs w:val="24"/>
        </w:rPr>
        <w:t>Opioider</w:t>
      </w:r>
    </w:p>
    <w:p w14:paraId="410D11FB" w14:textId="77777777" w:rsidR="009638C2" w:rsidRPr="0067760F" w:rsidRDefault="009638C2" w:rsidP="0032431D">
      <w:pPr>
        <w:ind w:left="851"/>
        <w:rPr>
          <w:sz w:val="24"/>
          <w:szCs w:val="24"/>
        </w:rPr>
      </w:pPr>
      <w:r w:rsidRPr="0067760F">
        <w:rPr>
          <w:sz w:val="24"/>
          <w:szCs w:val="24"/>
        </w:rPr>
        <w:t xml:space="preserve">Samtidig brug af benzodiazepiner såsom </w:t>
      </w:r>
      <w:proofErr w:type="spellStart"/>
      <w:r w:rsidRPr="0067760F">
        <w:rPr>
          <w:sz w:val="24"/>
          <w:szCs w:val="24"/>
        </w:rPr>
        <w:t>clobazam</w:t>
      </w:r>
      <w:proofErr w:type="spellEnd"/>
      <w:r w:rsidRPr="0067760F">
        <w:rPr>
          <w:sz w:val="24"/>
          <w:szCs w:val="24"/>
        </w:rPr>
        <w:t xml:space="preserve"> med opioider øger risikoen for sedation, respirationsdepression, koma og dødsfald på grund af den </w:t>
      </w:r>
      <w:proofErr w:type="spellStart"/>
      <w:r w:rsidRPr="0067760F">
        <w:rPr>
          <w:sz w:val="24"/>
          <w:szCs w:val="24"/>
        </w:rPr>
        <w:t>additive</w:t>
      </w:r>
      <w:proofErr w:type="spellEnd"/>
      <w:r w:rsidRPr="0067760F">
        <w:rPr>
          <w:sz w:val="24"/>
          <w:szCs w:val="24"/>
        </w:rPr>
        <w:t xml:space="preserve"> CNS-hæmmende effekt. Dosis og varighed af samtidig brug bør begrænses (se pkt. 4.4).</w:t>
      </w:r>
    </w:p>
    <w:p w14:paraId="2D77B256" w14:textId="77777777" w:rsidR="009638C2" w:rsidRPr="0067760F" w:rsidRDefault="009638C2" w:rsidP="0032431D">
      <w:pPr>
        <w:ind w:left="851"/>
        <w:rPr>
          <w:sz w:val="24"/>
          <w:szCs w:val="24"/>
        </w:rPr>
      </w:pPr>
    </w:p>
    <w:p w14:paraId="64015326" w14:textId="77777777" w:rsidR="009638C2" w:rsidRPr="0067760F" w:rsidRDefault="009638C2" w:rsidP="0032431D">
      <w:pPr>
        <w:ind w:left="851"/>
        <w:rPr>
          <w:sz w:val="24"/>
          <w:szCs w:val="24"/>
        </w:rPr>
      </w:pPr>
      <w:r w:rsidRPr="0067760F">
        <w:rPr>
          <w:i/>
          <w:iCs/>
          <w:sz w:val="24"/>
          <w:szCs w:val="24"/>
        </w:rPr>
        <w:t>Muskelafslappende midler</w:t>
      </w:r>
    </w:p>
    <w:p w14:paraId="21DFC4B4" w14:textId="77777777" w:rsidR="009638C2" w:rsidRPr="0067760F" w:rsidRDefault="009638C2" w:rsidP="0032431D">
      <w:pPr>
        <w:ind w:left="851"/>
        <w:rPr>
          <w:sz w:val="24"/>
          <w:szCs w:val="24"/>
        </w:rPr>
      </w:pPr>
      <w:r w:rsidRPr="0067760F">
        <w:rPr>
          <w:sz w:val="24"/>
          <w:szCs w:val="24"/>
        </w:rPr>
        <w:t xml:space="preserve">Effekten af muskelafslappende midler, </w:t>
      </w:r>
      <w:proofErr w:type="spellStart"/>
      <w:r w:rsidRPr="0067760F">
        <w:rPr>
          <w:sz w:val="24"/>
          <w:szCs w:val="24"/>
        </w:rPr>
        <w:t>analgetika</w:t>
      </w:r>
      <w:proofErr w:type="spellEnd"/>
      <w:r w:rsidRPr="0067760F">
        <w:rPr>
          <w:sz w:val="24"/>
          <w:szCs w:val="24"/>
        </w:rPr>
        <w:t xml:space="preserve"> og </w:t>
      </w:r>
      <w:proofErr w:type="spellStart"/>
      <w:r w:rsidRPr="0067760F">
        <w:rPr>
          <w:sz w:val="24"/>
          <w:szCs w:val="24"/>
        </w:rPr>
        <w:t>dinitrogenoxid</w:t>
      </w:r>
      <w:proofErr w:type="spellEnd"/>
      <w:r w:rsidRPr="0067760F">
        <w:rPr>
          <w:sz w:val="24"/>
          <w:szCs w:val="24"/>
        </w:rPr>
        <w:t xml:space="preserve"> kan blive forstærket.</w:t>
      </w:r>
    </w:p>
    <w:p w14:paraId="2089F673" w14:textId="77777777" w:rsidR="009638C2" w:rsidRPr="0067760F" w:rsidRDefault="009638C2" w:rsidP="0032431D">
      <w:pPr>
        <w:ind w:left="851"/>
        <w:rPr>
          <w:sz w:val="24"/>
          <w:szCs w:val="24"/>
        </w:rPr>
      </w:pPr>
    </w:p>
    <w:p w14:paraId="67C05113" w14:textId="77777777" w:rsidR="009638C2" w:rsidRPr="007E2823" w:rsidRDefault="009638C2" w:rsidP="0032431D">
      <w:pPr>
        <w:ind w:left="851"/>
        <w:rPr>
          <w:b/>
          <w:spacing w:val="-1"/>
          <w:sz w:val="24"/>
          <w:szCs w:val="24"/>
        </w:rPr>
      </w:pPr>
      <w:proofErr w:type="spellStart"/>
      <w:r w:rsidRPr="007E2823">
        <w:rPr>
          <w:b/>
          <w:sz w:val="24"/>
          <w:szCs w:val="24"/>
        </w:rPr>
        <w:t>Farmakokinetisk</w:t>
      </w:r>
      <w:proofErr w:type="spellEnd"/>
      <w:r w:rsidRPr="007E2823">
        <w:rPr>
          <w:b/>
          <w:sz w:val="24"/>
          <w:szCs w:val="24"/>
        </w:rPr>
        <w:t xml:space="preserve"> interaktion:</w:t>
      </w:r>
    </w:p>
    <w:p w14:paraId="57F321B0" w14:textId="77777777" w:rsidR="009638C2" w:rsidRPr="0067760F" w:rsidRDefault="009638C2" w:rsidP="0032431D">
      <w:pPr>
        <w:kinsoku w:val="0"/>
        <w:overflowPunct w:val="0"/>
        <w:ind w:left="851"/>
        <w:jc w:val="both"/>
        <w:rPr>
          <w:i/>
          <w:iCs/>
          <w:spacing w:val="-1"/>
          <w:sz w:val="24"/>
          <w:szCs w:val="24"/>
        </w:rPr>
      </w:pPr>
    </w:p>
    <w:p w14:paraId="25604A56" w14:textId="77777777" w:rsidR="009638C2" w:rsidRPr="007E2823" w:rsidRDefault="009638C2" w:rsidP="0032431D">
      <w:pPr>
        <w:ind w:left="851"/>
        <w:rPr>
          <w:i/>
          <w:sz w:val="24"/>
          <w:szCs w:val="24"/>
        </w:rPr>
      </w:pPr>
      <w:r w:rsidRPr="007E2823">
        <w:rPr>
          <w:i/>
          <w:sz w:val="24"/>
          <w:szCs w:val="24"/>
        </w:rPr>
        <w:t>Alkohol</w:t>
      </w:r>
    </w:p>
    <w:p w14:paraId="7A108035" w14:textId="77777777" w:rsidR="009638C2" w:rsidRPr="0067760F" w:rsidRDefault="009638C2" w:rsidP="0032431D">
      <w:pPr>
        <w:ind w:left="851"/>
        <w:rPr>
          <w:sz w:val="24"/>
          <w:szCs w:val="24"/>
        </w:rPr>
      </w:pPr>
      <w:r w:rsidRPr="0067760F">
        <w:rPr>
          <w:sz w:val="24"/>
          <w:szCs w:val="24"/>
        </w:rPr>
        <w:t xml:space="preserve">Samtidig indtagelse af alkohol kan øge biotilgængeligheden af </w:t>
      </w:r>
      <w:proofErr w:type="spellStart"/>
      <w:r w:rsidRPr="0067760F">
        <w:rPr>
          <w:sz w:val="24"/>
          <w:szCs w:val="24"/>
        </w:rPr>
        <w:t>clobazam</w:t>
      </w:r>
      <w:proofErr w:type="spellEnd"/>
      <w:r w:rsidRPr="0067760F">
        <w:rPr>
          <w:sz w:val="24"/>
          <w:szCs w:val="24"/>
        </w:rPr>
        <w:t xml:space="preserve"> med 50 % (se pkt. 5.2) og dermed øge virkningen af </w:t>
      </w:r>
      <w:proofErr w:type="spellStart"/>
      <w:r w:rsidRPr="0067760F">
        <w:rPr>
          <w:sz w:val="24"/>
          <w:szCs w:val="24"/>
        </w:rPr>
        <w:t>clobazam</w:t>
      </w:r>
      <w:proofErr w:type="spellEnd"/>
      <w:r w:rsidRPr="0067760F">
        <w:rPr>
          <w:sz w:val="24"/>
          <w:szCs w:val="24"/>
        </w:rPr>
        <w:t xml:space="preserve"> (f.eks. sedation) (se pkt. 4.5). Dette påvirker også evnen til at føre et motorkøretøj og betjene maskiner (se pkt. 4.7).</w:t>
      </w:r>
    </w:p>
    <w:p w14:paraId="66136F95" w14:textId="77777777" w:rsidR="009638C2" w:rsidRPr="0067760F" w:rsidRDefault="009638C2" w:rsidP="0032431D">
      <w:pPr>
        <w:ind w:left="851"/>
        <w:rPr>
          <w:sz w:val="24"/>
          <w:szCs w:val="24"/>
        </w:rPr>
      </w:pPr>
    </w:p>
    <w:p w14:paraId="12AC8A90" w14:textId="77777777" w:rsidR="009638C2" w:rsidRPr="007E2823" w:rsidRDefault="009638C2" w:rsidP="0032431D">
      <w:pPr>
        <w:ind w:left="851"/>
        <w:rPr>
          <w:i/>
          <w:sz w:val="24"/>
          <w:szCs w:val="24"/>
        </w:rPr>
      </w:pPr>
      <w:proofErr w:type="spellStart"/>
      <w:r w:rsidRPr="007E2823">
        <w:rPr>
          <w:i/>
          <w:sz w:val="24"/>
          <w:szCs w:val="24"/>
        </w:rPr>
        <w:t>Antikonvulsiva</w:t>
      </w:r>
      <w:proofErr w:type="spellEnd"/>
    </w:p>
    <w:p w14:paraId="004C6B37" w14:textId="77777777" w:rsidR="009638C2" w:rsidRPr="0067760F" w:rsidRDefault="009638C2" w:rsidP="0032431D">
      <w:pPr>
        <w:ind w:left="851"/>
        <w:rPr>
          <w:sz w:val="24"/>
          <w:szCs w:val="24"/>
        </w:rPr>
      </w:pPr>
      <w:r w:rsidRPr="0067760F">
        <w:rPr>
          <w:sz w:val="24"/>
          <w:szCs w:val="24"/>
        </w:rPr>
        <w:t xml:space="preserve">Tilføjelse af </w:t>
      </w:r>
      <w:proofErr w:type="spellStart"/>
      <w:r w:rsidRPr="0067760F">
        <w:rPr>
          <w:sz w:val="24"/>
          <w:szCs w:val="24"/>
        </w:rPr>
        <w:t>clobazam</w:t>
      </w:r>
      <w:proofErr w:type="spellEnd"/>
      <w:r w:rsidRPr="0067760F">
        <w:rPr>
          <w:sz w:val="24"/>
          <w:szCs w:val="24"/>
        </w:rPr>
        <w:t xml:space="preserve"> til eksisterende medicinering med </w:t>
      </w:r>
      <w:proofErr w:type="spellStart"/>
      <w:r w:rsidRPr="0067760F">
        <w:rPr>
          <w:sz w:val="24"/>
          <w:szCs w:val="24"/>
        </w:rPr>
        <w:t>antikonvulsiva</w:t>
      </w:r>
      <w:proofErr w:type="spellEnd"/>
      <w:r w:rsidRPr="0067760F">
        <w:rPr>
          <w:sz w:val="24"/>
          <w:szCs w:val="24"/>
        </w:rPr>
        <w:t xml:space="preserve"> (f.eks. </w:t>
      </w:r>
      <w:proofErr w:type="spellStart"/>
      <w:r w:rsidRPr="0067760F">
        <w:rPr>
          <w:sz w:val="24"/>
          <w:szCs w:val="24"/>
        </w:rPr>
        <w:t>phenytoin</w:t>
      </w:r>
      <w:proofErr w:type="spellEnd"/>
      <w:r w:rsidRPr="0067760F">
        <w:rPr>
          <w:sz w:val="24"/>
          <w:szCs w:val="24"/>
        </w:rPr>
        <w:t xml:space="preserve">, </w:t>
      </w:r>
      <w:proofErr w:type="spellStart"/>
      <w:r w:rsidRPr="0067760F">
        <w:rPr>
          <w:sz w:val="24"/>
          <w:szCs w:val="24"/>
        </w:rPr>
        <w:t>valproinsyre</w:t>
      </w:r>
      <w:proofErr w:type="spellEnd"/>
      <w:r w:rsidRPr="0067760F">
        <w:rPr>
          <w:sz w:val="24"/>
          <w:szCs w:val="24"/>
        </w:rPr>
        <w:t xml:space="preserve">) kan forårsage en forandring i plasmaniveauerne af disse lægemidler. Dosis af </w:t>
      </w:r>
      <w:proofErr w:type="spellStart"/>
      <w:r w:rsidRPr="0067760F">
        <w:rPr>
          <w:sz w:val="24"/>
          <w:szCs w:val="24"/>
        </w:rPr>
        <w:t>clobazam</w:t>
      </w:r>
      <w:proofErr w:type="spellEnd"/>
      <w:r w:rsidRPr="0067760F">
        <w:rPr>
          <w:sz w:val="24"/>
          <w:szCs w:val="24"/>
        </w:rPr>
        <w:t xml:space="preserve"> bør fastlægges gennem overvågning af EEG og kontrol af plasmaniveauerne af de andre lægemidler.</w:t>
      </w:r>
    </w:p>
    <w:p w14:paraId="0EB9D99A" w14:textId="77777777" w:rsidR="009638C2" w:rsidRPr="0067760F" w:rsidRDefault="009638C2" w:rsidP="0032431D">
      <w:pPr>
        <w:ind w:left="851"/>
        <w:rPr>
          <w:spacing w:val="-1"/>
          <w:sz w:val="24"/>
          <w:szCs w:val="24"/>
        </w:rPr>
      </w:pPr>
    </w:p>
    <w:p w14:paraId="0ADD9A67" w14:textId="77777777" w:rsidR="009638C2" w:rsidRPr="007E2823" w:rsidRDefault="009638C2" w:rsidP="0032431D">
      <w:pPr>
        <w:ind w:left="851"/>
        <w:rPr>
          <w:i/>
          <w:sz w:val="24"/>
          <w:szCs w:val="24"/>
        </w:rPr>
      </w:pPr>
      <w:r w:rsidRPr="007E2823">
        <w:rPr>
          <w:i/>
          <w:sz w:val="24"/>
          <w:szCs w:val="24"/>
        </w:rPr>
        <w:lastRenderedPageBreak/>
        <w:t>CYP2C219-hæmmere</w:t>
      </w:r>
    </w:p>
    <w:p w14:paraId="72791EC3" w14:textId="77777777" w:rsidR="009638C2" w:rsidRPr="0067760F" w:rsidRDefault="009638C2" w:rsidP="0032431D">
      <w:pPr>
        <w:ind w:left="851"/>
        <w:rPr>
          <w:sz w:val="24"/>
          <w:szCs w:val="24"/>
        </w:rPr>
      </w:pPr>
      <w:r w:rsidRPr="0067760F">
        <w:rPr>
          <w:sz w:val="24"/>
          <w:szCs w:val="24"/>
        </w:rPr>
        <w:t xml:space="preserve">Stærke og moderate </w:t>
      </w:r>
      <w:proofErr w:type="spellStart"/>
      <w:r w:rsidRPr="0067760F">
        <w:rPr>
          <w:sz w:val="24"/>
          <w:szCs w:val="24"/>
        </w:rPr>
        <w:t>hæmmere</w:t>
      </w:r>
      <w:proofErr w:type="spellEnd"/>
      <w:r w:rsidRPr="0067760F">
        <w:rPr>
          <w:sz w:val="24"/>
          <w:szCs w:val="24"/>
        </w:rPr>
        <w:t xml:space="preserve"> af CYP2C19 kan resultere i op til 5 gange øget eksponering af N-</w:t>
      </w:r>
      <w:proofErr w:type="spellStart"/>
      <w:r w:rsidRPr="0067760F">
        <w:rPr>
          <w:sz w:val="24"/>
          <w:szCs w:val="24"/>
        </w:rPr>
        <w:t>desmethylclobazam</w:t>
      </w:r>
      <w:proofErr w:type="spellEnd"/>
      <w:r w:rsidRPr="0067760F">
        <w:rPr>
          <w:sz w:val="24"/>
          <w:szCs w:val="24"/>
        </w:rPr>
        <w:t xml:space="preserve"> (N-CLB), den aktive metabolit i </w:t>
      </w:r>
      <w:proofErr w:type="spellStart"/>
      <w:r w:rsidRPr="0067760F">
        <w:rPr>
          <w:sz w:val="24"/>
          <w:szCs w:val="24"/>
        </w:rPr>
        <w:t>clobazam</w:t>
      </w:r>
      <w:proofErr w:type="spellEnd"/>
      <w:r w:rsidRPr="0067760F">
        <w:rPr>
          <w:sz w:val="24"/>
          <w:szCs w:val="24"/>
        </w:rPr>
        <w:t xml:space="preserve">. Dette kan øge risikoen for dosisrelaterede bivirkninger. Dosisjustering af </w:t>
      </w:r>
      <w:proofErr w:type="spellStart"/>
      <w:r w:rsidRPr="0067760F">
        <w:rPr>
          <w:sz w:val="24"/>
          <w:szCs w:val="24"/>
        </w:rPr>
        <w:t>clobazam</w:t>
      </w:r>
      <w:proofErr w:type="spellEnd"/>
      <w:r w:rsidRPr="0067760F">
        <w:rPr>
          <w:sz w:val="24"/>
          <w:szCs w:val="24"/>
        </w:rPr>
        <w:t xml:space="preserve"> kan være nødvendig ved samtidig administration med stærke (f.eks. </w:t>
      </w:r>
      <w:proofErr w:type="spellStart"/>
      <w:r w:rsidRPr="0067760F">
        <w:rPr>
          <w:sz w:val="24"/>
          <w:szCs w:val="24"/>
        </w:rPr>
        <w:t>fluconazol</w:t>
      </w:r>
      <w:proofErr w:type="spellEnd"/>
      <w:r w:rsidRPr="0067760F">
        <w:rPr>
          <w:sz w:val="24"/>
          <w:szCs w:val="24"/>
        </w:rPr>
        <w:t xml:space="preserve">, </w:t>
      </w:r>
      <w:proofErr w:type="spellStart"/>
      <w:r w:rsidRPr="0067760F">
        <w:rPr>
          <w:sz w:val="24"/>
          <w:szCs w:val="24"/>
        </w:rPr>
        <w:t>fluvoxamin</w:t>
      </w:r>
      <w:proofErr w:type="spellEnd"/>
      <w:r w:rsidRPr="0067760F">
        <w:rPr>
          <w:sz w:val="24"/>
          <w:szCs w:val="24"/>
        </w:rPr>
        <w:t xml:space="preserve">, </w:t>
      </w:r>
      <w:proofErr w:type="spellStart"/>
      <w:r w:rsidRPr="0067760F">
        <w:rPr>
          <w:sz w:val="24"/>
          <w:szCs w:val="24"/>
        </w:rPr>
        <w:t>ticlopidin</w:t>
      </w:r>
      <w:proofErr w:type="spellEnd"/>
      <w:r w:rsidRPr="0067760F">
        <w:rPr>
          <w:sz w:val="24"/>
          <w:szCs w:val="24"/>
        </w:rPr>
        <w:t xml:space="preserve">) eller moderate (f.eks. </w:t>
      </w:r>
      <w:proofErr w:type="spellStart"/>
      <w:r w:rsidRPr="0067760F">
        <w:rPr>
          <w:sz w:val="24"/>
          <w:szCs w:val="24"/>
        </w:rPr>
        <w:t>omeprazol</w:t>
      </w:r>
      <w:proofErr w:type="spellEnd"/>
      <w:r w:rsidRPr="0067760F">
        <w:rPr>
          <w:sz w:val="24"/>
          <w:szCs w:val="24"/>
        </w:rPr>
        <w:t>) CYP2C19-hæmmere (se pkt. 5.2).</w:t>
      </w:r>
    </w:p>
    <w:p w14:paraId="2B9E1DD3" w14:textId="77777777" w:rsidR="009638C2" w:rsidRPr="0067760F" w:rsidRDefault="009638C2" w:rsidP="0032431D">
      <w:pPr>
        <w:ind w:left="851"/>
        <w:rPr>
          <w:sz w:val="24"/>
          <w:szCs w:val="24"/>
        </w:rPr>
      </w:pPr>
    </w:p>
    <w:p w14:paraId="6BEB04C9" w14:textId="77777777" w:rsidR="009638C2" w:rsidRPr="007E2823" w:rsidRDefault="009638C2" w:rsidP="0032431D">
      <w:pPr>
        <w:ind w:left="851"/>
        <w:rPr>
          <w:i/>
          <w:sz w:val="24"/>
          <w:szCs w:val="24"/>
        </w:rPr>
      </w:pPr>
      <w:r w:rsidRPr="007E2823">
        <w:rPr>
          <w:i/>
          <w:sz w:val="24"/>
          <w:szCs w:val="24"/>
        </w:rPr>
        <w:t>CYP2D6-substrater</w:t>
      </w:r>
    </w:p>
    <w:p w14:paraId="32238AC2" w14:textId="77777777" w:rsidR="009638C2" w:rsidRPr="0067760F" w:rsidRDefault="009638C2" w:rsidP="0032431D">
      <w:pPr>
        <w:ind w:left="851"/>
        <w:rPr>
          <w:sz w:val="24"/>
          <w:szCs w:val="24"/>
        </w:rPr>
      </w:pPr>
      <w:proofErr w:type="spellStart"/>
      <w:r w:rsidRPr="0067760F">
        <w:rPr>
          <w:sz w:val="24"/>
          <w:szCs w:val="24"/>
        </w:rPr>
        <w:t>Clobazam</w:t>
      </w:r>
      <w:proofErr w:type="spellEnd"/>
      <w:r w:rsidRPr="0067760F">
        <w:rPr>
          <w:sz w:val="24"/>
          <w:szCs w:val="24"/>
        </w:rPr>
        <w:t xml:space="preserve"> er en svag CYP2D6-hæmmer. </w:t>
      </w:r>
      <w:proofErr w:type="spellStart"/>
      <w:r w:rsidRPr="0067760F">
        <w:rPr>
          <w:sz w:val="24"/>
          <w:szCs w:val="24"/>
        </w:rPr>
        <w:t>Clobazam</w:t>
      </w:r>
      <w:proofErr w:type="spellEnd"/>
      <w:r w:rsidRPr="0067760F">
        <w:rPr>
          <w:sz w:val="24"/>
          <w:szCs w:val="24"/>
        </w:rPr>
        <w:t xml:space="preserve"> øgede AUC og </w:t>
      </w:r>
      <w:proofErr w:type="spellStart"/>
      <w:r w:rsidRPr="0067760F">
        <w:rPr>
          <w:sz w:val="24"/>
          <w:szCs w:val="24"/>
        </w:rPr>
        <w:t>C</w:t>
      </w:r>
      <w:r w:rsidRPr="00654BA3">
        <w:rPr>
          <w:sz w:val="24"/>
          <w:szCs w:val="24"/>
          <w:vertAlign w:val="subscript"/>
        </w:rPr>
        <w:t>max</w:t>
      </w:r>
      <w:proofErr w:type="spellEnd"/>
      <w:r w:rsidRPr="0067760F">
        <w:rPr>
          <w:sz w:val="24"/>
          <w:szCs w:val="24"/>
        </w:rPr>
        <w:t xml:space="preserve"> i </w:t>
      </w:r>
      <w:proofErr w:type="spellStart"/>
      <w:r w:rsidRPr="0067760F">
        <w:rPr>
          <w:sz w:val="24"/>
          <w:szCs w:val="24"/>
        </w:rPr>
        <w:t>dextromethorphan</w:t>
      </w:r>
      <w:proofErr w:type="spellEnd"/>
      <w:r w:rsidRPr="0067760F">
        <w:rPr>
          <w:sz w:val="24"/>
          <w:szCs w:val="24"/>
        </w:rPr>
        <w:t xml:space="preserve"> med henholdsvis 90 % og 59 %, hvilket afspejler dets hæmning af CYP2D6 in </w:t>
      </w:r>
      <w:proofErr w:type="spellStart"/>
      <w:r w:rsidRPr="0067760F">
        <w:rPr>
          <w:sz w:val="24"/>
          <w:szCs w:val="24"/>
        </w:rPr>
        <w:t>vivo</w:t>
      </w:r>
      <w:proofErr w:type="spellEnd"/>
      <w:r w:rsidRPr="0067760F">
        <w:rPr>
          <w:sz w:val="24"/>
          <w:szCs w:val="24"/>
        </w:rPr>
        <w:t xml:space="preserve">. Dosisjustering af lægemidler, som </w:t>
      </w:r>
      <w:proofErr w:type="spellStart"/>
      <w:r w:rsidRPr="0067760F">
        <w:rPr>
          <w:sz w:val="24"/>
          <w:szCs w:val="24"/>
        </w:rPr>
        <w:t>metaboliseres</w:t>
      </w:r>
      <w:proofErr w:type="spellEnd"/>
      <w:r w:rsidRPr="0067760F">
        <w:rPr>
          <w:sz w:val="24"/>
          <w:szCs w:val="24"/>
        </w:rPr>
        <w:t xml:space="preserve"> af CYP2D6 (f.eks. </w:t>
      </w:r>
      <w:proofErr w:type="spellStart"/>
      <w:r w:rsidRPr="0067760F">
        <w:rPr>
          <w:sz w:val="24"/>
          <w:szCs w:val="24"/>
        </w:rPr>
        <w:t>dextromethorphan</w:t>
      </w:r>
      <w:proofErr w:type="spellEnd"/>
      <w:r w:rsidRPr="0067760F">
        <w:rPr>
          <w:sz w:val="24"/>
          <w:szCs w:val="24"/>
        </w:rPr>
        <w:t xml:space="preserve">, </w:t>
      </w:r>
      <w:proofErr w:type="spellStart"/>
      <w:r w:rsidRPr="0067760F">
        <w:rPr>
          <w:sz w:val="24"/>
          <w:szCs w:val="24"/>
        </w:rPr>
        <w:t>pimozid</w:t>
      </w:r>
      <w:proofErr w:type="spellEnd"/>
      <w:r w:rsidRPr="0067760F">
        <w:rPr>
          <w:sz w:val="24"/>
          <w:szCs w:val="24"/>
        </w:rPr>
        <w:t xml:space="preserve">, </w:t>
      </w:r>
      <w:proofErr w:type="spellStart"/>
      <w:r w:rsidRPr="0067760F">
        <w:rPr>
          <w:sz w:val="24"/>
          <w:szCs w:val="24"/>
        </w:rPr>
        <w:t>nebivolol</w:t>
      </w:r>
      <w:proofErr w:type="spellEnd"/>
      <w:r w:rsidRPr="0067760F">
        <w:rPr>
          <w:sz w:val="24"/>
          <w:szCs w:val="24"/>
        </w:rPr>
        <w:t>) kan være nødvendig.</w:t>
      </w:r>
    </w:p>
    <w:p w14:paraId="188EF225" w14:textId="77777777" w:rsidR="009638C2" w:rsidRPr="0067760F" w:rsidRDefault="009638C2" w:rsidP="0032431D">
      <w:pPr>
        <w:ind w:left="851"/>
        <w:rPr>
          <w:sz w:val="24"/>
          <w:szCs w:val="24"/>
        </w:rPr>
      </w:pPr>
    </w:p>
    <w:p w14:paraId="3EEC3BB9" w14:textId="77777777" w:rsidR="009638C2" w:rsidRPr="007E2823" w:rsidRDefault="009638C2" w:rsidP="0032431D">
      <w:pPr>
        <w:ind w:left="851"/>
        <w:rPr>
          <w:i/>
          <w:sz w:val="24"/>
          <w:szCs w:val="24"/>
        </w:rPr>
      </w:pPr>
      <w:r w:rsidRPr="007E2823">
        <w:rPr>
          <w:i/>
          <w:sz w:val="24"/>
          <w:szCs w:val="24"/>
        </w:rPr>
        <w:t xml:space="preserve">CYP3A4-substrater </w:t>
      </w:r>
    </w:p>
    <w:p w14:paraId="07BC1096" w14:textId="77777777" w:rsidR="009638C2" w:rsidRPr="0067760F" w:rsidRDefault="009638C2" w:rsidP="0032431D">
      <w:pPr>
        <w:ind w:left="851"/>
        <w:rPr>
          <w:sz w:val="24"/>
          <w:szCs w:val="24"/>
        </w:rPr>
      </w:pPr>
      <w:proofErr w:type="spellStart"/>
      <w:r w:rsidRPr="0067760F">
        <w:rPr>
          <w:sz w:val="24"/>
          <w:szCs w:val="24"/>
        </w:rPr>
        <w:t>Clobazam</w:t>
      </w:r>
      <w:proofErr w:type="spellEnd"/>
      <w:r w:rsidRPr="0067760F">
        <w:rPr>
          <w:sz w:val="24"/>
          <w:szCs w:val="24"/>
        </w:rPr>
        <w:t xml:space="preserve"> reducerede AUC og </w:t>
      </w:r>
      <w:proofErr w:type="spellStart"/>
      <w:r w:rsidRPr="0067760F">
        <w:rPr>
          <w:sz w:val="24"/>
          <w:szCs w:val="24"/>
        </w:rPr>
        <w:t>C</w:t>
      </w:r>
      <w:r w:rsidRPr="00654BA3">
        <w:rPr>
          <w:sz w:val="24"/>
          <w:szCs w:val="24"/>
          <w:vertAlign w:val="subscript"/>
        </w:rPr>
        <w:t>max</w:t>
      </w:r>
      <w:proofErr w:type="spellEnd"/>
      <w:r w:rsidRPr="0067760F">
        <w:rPr>
          <w:sz w:val="24"/>
          <w:szCs w:val="24"/>
        </w:rPr>
        <w:t xml:space="preserve"> i </w:t>
      </w:r>
      <w:proofErr w:type="spellStart"/>
      <w:r w:rsidRPr="0067760F">
        <w:rPr>
          <w:sz w:val="24"/>
          <w:szCs w:val="24"/>
        </w:rPr>
        <w:t>midazolam</w:t>
      </w:r>
      <w:proofErr w:type="spellEnd"/>
      <w:r w:rsidRPr="0067760F">
        <w:rPr>
          <w:sz w:val="24"/>
          <w:szCs w:val="24"/>
        </w:rPr>
        <w:t xml:space="preserve"> med henholdsvis 27 % og 24 % og øgede AUC og </w:t>
      </w:r>
      <w:proofErr w:type="spellStart"/>
      <w:r w:rsidRPr="0067760F">
        <w:rPr>
          <w:sz w:val="24"/>
          <w:szCs w:val="24"/>
        </w:rPr>
        <w:t>C</w:t>
      </w:r>
      <w:r w:rsidRPr="00654BA3">
        <w:rPr>
          <w:sz w:val="24"/>
          <w:szCs w:val="24"/>
          <w:vertAlign w:val="subscript"/>
        </w:rPr>
        <w:t>max</w:t>
      </w:r>
      <w:proofErr w:type="spellEnd"/>
      <w:r w:rsidRPr="0067760F">
        <w:rPr>
          <w:sz w:val="24"/>
          <w:szCs w:val="24"/>
        </w:rPr>
        <w:t xml:space="preserve"> af metabolitten 1-hydroxymidazolam med henholdsvis 4 og 2 gange. Dosisjustering af lægemidler, som primært </w:t>
      </w:r>
      <w:proofErr w:type="spellStart"/>
      <w:r w:rsidRPr="0067760F">
        <w:rPr>
          <w:sz w:val="24"/>
          <w:szCs w:val="24"/>
        </w:rPr>
        <w:t>metaboliseres</w:t>
      </w:r>
      <w:proofErr w:type="spellEnd"/>
      <w:r w:rsidRPr="0067760F">
        <w:rPr>
          <w:sz w:val="24"/>
          <w:szCs w:val="24"/>
        </w:rPr>
        <w:t xml:space="preserve"> af CYP3A4 (</w:t>
      </w:r>
      <w:proofErr w:type="spellStart"/>
      <w:r w:rsidRPr="0067760F">
        <w:rPr>
          <w:sz w:val="24"/>
          <w:szCs w:val="24"/>
        </w:rPr>
        <w:t>midazolam</w:t>
      </w:r>
      <w:proofErr w:type="spellEnd"/>
      <w:r w:rsidRPr="0067760F">
        <w:rPr>
          <w:sz w:val="24"/>
          <w:szCs w:val="24"/>
        </w:rPr>
        <w:t xml:space="preserve">) er generelt ikke nødvendig ved samtidig anvendelse med </w:t>
      </w:r>
      <w:proofErr w:type="spellStart"/>
      <w:r w:rsidRPr="0067760F">
        <w:rPr>
          <w:sz w:val="24"/>
          <w:szCs w:val="24"/>
        </w:rPr>
        <w:t>clobazam</w:t>
      </w:r>
      <w:proofErr w:type="spellEnd"/>
      <w:r w:rsidRPr="0067760F">
        <w:rPr>
          <w:sz w:val="24"/>
          <w:szCs w:val="24"/>
        </w:rPr>
        <w:t xml:space="preserve">. </w:t>
      </w:r>
    </w:p>
    <w:p w14:paraId="54D4FEF1" w14:textId="77777777" w:rsidR="009638C2" w:rsidRPr="0067760F" w:rsidRDefault="009638C2" w:rsidP="0032431D">
      <w:pPr>
        <w:ind w:left="851"/>
        <w:rPr>
          <w:sz w:val="24"/>
          <w:szCs w:val="24"/>
        </w:rPr>
      </w:pPr>
    </w:p>
    <w:p w14:paraId="0A454317" w14:textId="77777777" w:rsidR="009638C2" w:rsidRPr="00347D37" w:rsidRDefault="009638C2" w:rsidP="0032431D">
      <w:pPr>
        <w:ind w:left="851"/>
        <w:rPr>
          <w:i/>
          <w:sz w:val="24"/>
          <w:szCs w:val="24"/>
        </w:rPr>
      </w:pPr>
      <w:r w:rsidRPr="00347D37">
        <w:rPr>
          <w:i/>
          <w:sz w:val="24"/>
          <w:szCs w:val="24"/>
        </w:rPr>
        <w:t>CYP3A4-hæmmer</w:t>
      </w:r>
    </w:p>
    <w:p w14:paraId="1E2B6D2C" w14:textId="77777777" w:rsidR="009638C2" w:rsidRPr="0067760F" w:rsidRDefault="009638C2" w:rsidP="0032431D">
      <w:pPr>
        <w:ind w:left="851"/>
        <w:rPr>
          <w:sz w:val="24"/>
          <w:szCs w:val="24"/>
        </w:rPr>
      </w:pPr>
      <w:r w:rsidRPr="0067760F">
        <w:rPr>
          <w:sz w:val="24"/>
          <w:szCs w:val="24"/>
        </w:rPr>
        <w:t xml:space="preserve">Samtidig administration af 400 mg </w:t>
      </w:r>
      <w:proofErr w:type="spellStart"/>
      <w:r w:rsidRPr="0067760F">
        <w:rPr>
          <w:sz w:val="24"/>
          <w:szCs w:val="24"/>
        </w:rPr>
        <w:t>ketoconazol</w:t>
      </w:r>
      <w:proofErr w:type="spellEnd"/>
      <w:r w:rsidRPr="0067760F">
        <w:rPr>
          <w:sz w:val="24"/>
          <w:szCs w:val="24"/>
        </w:rPr>
        <w:t xml:space="preserve"> (CYP3A4-hæmmer) øgede </w:t>
      </w:r>
      <w:proofErr w:type="spellStart"/>
      <w:r w:rsidRPr="0067760F">
        <w:rPr>
          <w:sz w:val="24"/>
          <w:szCs w:val="24"/>
        </w:rPr>
        <w:t>clobazam</w:t>
      </w:r>
      <w:proofErr w:type="spellEnd"/>
      <w:r w:rsidRPr="0067760F">
        <w:rPr>
          <w:sz w:val="24"/>
          <w:szCs w:val="24"/>
        </w:rPr>
        <w:t xml:space="preserve">-AUC med 54 % uden nogen effekt på </w:t>
      </w:r>
      <w:proofErr w:type="spellStart"/>
      <w:r w:rsidRPr="0067760F">
        <w:rPr>
          <w:sz w:val="24"/>
          <w:szCs w:val="24"/>
        </w:rPr>
        <w:t>C</w:t>
      </w:r>
      <w:r w:rsidRPr="00442E15">
        <w:rPr>
          <w:sz w:val="24"/>
          <w:szCs w:val="24"/>
          <w:vertAlign w:val="subscript"/>
        </w:rPr>
        <w:t>max</w:t>
      </w:r>
      <w:proofErr w:type="spellEnd"/>
      <w:r w:rsidRPr="0067760F">
        <w:rPr>
          <w:sz w:val="24"/>
          <w:szCs w:val="24"/>
        </w:rPr>
        <w:t xml:space="preserve">. Disse forandringer anses ikke for at være klinisk relevante. Dosisjustering af </w:t>
      </w:r>
      <w:proofErr w:type="spellStart"/>
      <w:r w:rsidRPr="0067760F">
        <w:rPr>
          <w:sz w:val="24"/>
          <w:szCs w:val="24"/>
        </w:rPr>
        <w:t>clobazam</w:t>
      </w:r>
      <w:proofErr w:type="spellEnd"/>
      <w:r w:rsidRPr="0067760F">
        <w:rPr>
          <w:sz w:val="24"/>
          <w:szCs w:val="24"/>
        </w:rPr>
        <w:t xml:space="preserve"> er ikke nødvendig ved administration med CYP3A4-hæmmer (f.eks. </w:t>
      </w:r>
      <w:proofErr w:type="spellStart"/>
      <w:r w:rsidRPr="0067760F">
        <w:rPr>
          <w:sz w:val="24"/>
          <w:szCs w:val="24"/>
        </w:rPr>
        <w:t>ketoconazol</w:t>
      </w:r>
      <w:proofErr w:type="spellEnd"/>
      <w:r w:rsidRPr="0067760F">
        <w:rPr>
          <w:sz w:val="24"/>
          <w:szCs w:val="24"/>
        </w:rPr>
        <w:t>).</w:t>
      </w:r>
    </w:p>
    <w:p w14:paraId="03080415" w14:textId="77777777" w:rsidR="009638C2" w:rsidRPr="0067760F" w:rsidRDefault="009638C2" w:rsidP="0032431D">
      <w:pPr>
        <w:ind w:left="851"/>
        <w:rPr>
          <w:sz w:val="24"/>
          <w:szCs w:val="24"/>
        </w:rPr>
      </w:pPr>
    </w:p>
    <w:p w14:paraId="65915DF6" w14:textId="77777777" w:rsidR="009638C2" w:rsidRPr="00347D37" w:rsidRDefault="009638C2" w:rsidP="0032431D">
      <w:pPr>
        <w:ind w:left="851"/>
        <w:rPr>
          <w:i/>
          <w:sz w:val="24"/>
          <w:szCs w:val="24"/>
        </w:rPr>
      </w:pPr>
      <w:proofErr w:type="spellStart"/>
      <w:r w:rsidRPr="00347D37">
        <w:rPr>
          <w:i/>
          <w:sz w:val="24"/>
          <w:szCs w:val="24"/>
        </w:rPr>
        <w:t>Cannabidiol</w:t>
      </w:r>
      <w:proofErr w:type="spellEnd"/>
    </w:p>
    <w:p w14:paraId="14CE9963" w14:textId="77777777" w:rsidR="009638C2" w:rsidRPr="0067760F" w:rsidRDefault="009638C2" w:rsidP="0032431D">
      <w:pPr>
        <w:ind w:left="851"/>
        <w:rPr>
          <w:spacing w:val="-1"/>
          <w:sz w:val="24"/>
          <w:szCs w:val="24"/>
        </w:rPr>
      </w:pPr>
      <w:r w:rsidRPr="0067760F">
        <w:rPr>
          <w:sz w:val="24"/>
          <w:szCs w:val="24"/>
        </w:rPr>
        <w:t xml:space="preserve">Der er en </w:t>
      </w:r>
      <w:proofErr w:type="spellStart"/>
      <w:r w:rsidRPr="0067760F">
        <w:rPr>
          <w:sz w:val="24"/>
          <w:szCs w:val="24"/>
        </w:rPr>
        <w:t>bidirektionel</w:t>
      </w:r>
      <w:proofErr w:type="spellEnd"/>
      <w:r w:rsidRPr="0067760F">
        <w:rPr>
          <w:sz w:val="24"/>
          <w:szCs w:val="24"/>
        </w:rPr>
        <w:t xml:space="preserve"> </w:t>
      </w:r>
      <w:proofErr w:type="spellStart"/>
      <w:r w:rsidRPr="0067760F">
        <w:rPr>
          <w:sz w:val="24"/>
          <w:szCs w:val="24"/>
        </w:rPr>
        <w:t>farmakokinetisk</w:t>
      </w:r>
      <w:proofErr w:type="spellEnd"/>
      <w:r w:rsidRPr="0067760F">
        <w:rPr>
          <w:sz w:val="24"/>
          <w:szCs w:val="24"/>
        </w:rPr>
        <w:t xml:space="preserve"> interaktion mellem </w:t>
      </w:r>
      <w:proofErr w:type="spellStart"/>
      <w:r w:rsidRPr="0067760F">
        <w:rPr>
          <w:sz w:val="24"/>
          <w:szCs w:val="24"/>
        </w:rPr>
        <w:t>cannabidiol</w:t>
      </w:r>
      <w:proofErr w:type="spellEnd"/>
      <w:r w:rsidRPr="0067760F">
        <w:rPr>
          <w:sz w:val="24"/>
          <w:szCs w:val="24"/>
        </w:rPr>
        <w:t xml:space="preserve"> og </w:t>
      </w:r>
      <w:proofErr w:type="spellStart"/>
      <w:r w:rsidRPr="0067760F">
        <w:rPr>
          <w:sz w:val="24"/>
          <w:szCs w:val="24"/>
        </w:rPr>
        <w:t>clobazam</w:t>
      </w:r>
      <w:proofErr w:type="spellEnd"/>
      <w:r w:rsidRPr="0067760F">
        <w:rPr>
          <w:sz w:val="24"/>
          <w:szCs w:val="24"/>
        </w:rPr>
        <w:t xml:space="preserve">, som fører til øgede cirkulerende niveauer af deres respektive aktive metabolitter, 7-OH-CBD (omtrent 1,5 gange) og N-CLB (omtrent 3 gange). En justering af dosis af </w:t>
      </w:r>
      <w:proofErr w:type="spellStart"/>
      <w:r w:rsidRPr="0067760F">
        <w:rPr>
          <w:sz w:val="24"/>
          <w:szCs w:val="24"/>
        </w:rPr>
        <w:t>cannabidiol</w:t>
      </w:r>
      <w:proofErr w:type="spellEnd"/>
      <w:r w:rsidRPr="0067760F">
        <w:rPr>
          <w:sz w:val="24"/>
          <w:szCs w:val="24"/>
        </w:rPr>
        <w:t xml:space="preserve"> eller </w:t>
      </w:r>
      <w:proofErr w:type="spellStart"/>
      <w:r w:rsidRPr="0067760F">
        <w:rPr>
          <w:sz w:val="24"/>
          <w:szCs w:val="24"/>
        </w:rPr>
        <w:t>clobazam</w:t>
      </w:r>
      <w:proofErr w:type="spellEnd"/>
      <w:r w:rsidRPr="0067760F">
        <w:rPr>
          <w:sz w:val="24"/>
          <w:szCs w:val="24"/>
        </w:rPr>
        <w:t xml:space="preserve"> kan derfor være påkrævet.</w:t>
      </w:r>
    </w:p>
    <w:p w14:paraId="54DF2E79" w14:textId="77777777" w:rsidR="009638C2" w:rsidRPr="0067760F" w:rsidRDefault="009638C2" w:rsidP="0032431D">
      <w:pPr>
        <w:ind w:left="851"/>
        <w:rPr>
          <w:sz w:val="24"/>
          <w:szCs w:val="24"/>
        </w:rPr>
      </w:pPr>
    </w:p>
    <w:p w14:paraId="1106CB0D" w14:textId="77777777" w:rsidR="009638C2" w:rsidRPr="00347D37" w:rsidRDefault="009638C2" w:rsidP="0032431D">
      <w:pPr>
        <w:ind w:left="851"/>
        <w:rPr>
          <w:i/>
          <w:sz w:val="24"/>
          <w:szCs w:val="24"/>
        </w:rPr>
      </w:pPr>
      <w:proofErr w:type="spellStart"/>
      <w:r w:rsidRPr="00347D37">
        <w:rPr>
          <w:i/>
          <w:sz w:val="24"/>
          <w:szCs w:val="24"/>
        </w:rPr>
        <w:t>Stiripentol</w:t>
      </w:r>
      <w:proofErr w:type="spellEnd"/>
    </w:p>
    <w:p w14:paraId="4CA86533" w14:textId="135BD90A" w:rsidR="009638C2" w:rsidRPr="0067760F" w:rsidRDefault="009638C2" w:rsidP="0032431D">
      <w:pPr>
        <w:ind w:left="851"/>
        <w:rPr>
          <w:sz w:val="24"/>
          <w:szCs w:val="24"/>
        </w:rPr>
      </w:pPr>
      <w:proofErr w:type="spellStart"/>
      <w:r w:rsidRPr="0067760F">
        <w:rPr>
          <w:sz w:val="24"/>
          <w:szCs w:val="24"/>
        </w:rPr>
        <w:t>Stiripentol</w:t>
      </w:r>
      <w:proofErr w:type="spellEnd"/>
      <w:r w:rsidRPr="0067760F">
        <w:rPr>
          <w:sz w:val="24"/>
          <w:szCs w:val="24"/>
        </w:rPr>
        <w:t xml:space="preserve"> øger plasmaniveauerne af </w:t>
      </w:r>
      <w:proofErr w:type="spellStart"/>
      <w:r w:rsidRPr="0067760F">
        <w:rPr>
          <w:sz w:val="24"/>
          <w:szCs w:val="24"/>
        </w:rPr>
        <w:t>clobazam</w:t>
      </w:r>
      <w:proofErr w:type="spellEnd"/>
      <w:r w:rsidRPr="0067760F">
        <w:rPr>
          <w:sz w:val="24"/>
          <w:szCs w:val="24"/>
        </w:rPr>
        <w:t xml:space="preserve"> og dets aktive metabolit </w:t>
      </w:r>
      <w:proofErr w:type="spellStart"/>
      <w:r w:rsidRPr="0067760F">
        <w:rPr>
          <w:sz w:val="24"/>
          <w:szCs w:val="24"/>
        </w:rPr>
        <w:t>N-desmethyl</w:t>
      </w:r>
      <w:r w:rsidR="00442E15">
        <w:rPr>
          <w:sz w:val="24"/>
          <w:szCs w:val="24"/>
        </w:rPr>
        <w:softHyphen/>
      </w:r>
      <w:r w:rsidRPr="0067760F">
        <w:rPr>
          <w:sz w:val="24"/>
          <w:szCs w:val="24"/>
        </w:rPr>
        <w:t>clobazam</w:t>
      </w:r>
      <w:proofErr w:type="spellEnd"/>
      <w:r w:rsidRPr="0067760F">
        <w:rPr>
          <w:sz w:val="24"/>
          <w:szCs w:val="24"/>
        </w:rPr>
        <w:t xml:space="preserve"> ved hæmning af CYP3A og CYP2C19. Blodniveauerne bør overvåges før </w:t>
      </w:r>
      <w:proofErr w:type="spellStart"/>
      <w:r w:rsidRPr="0067760F">
        <w:rPr>
          <w:sz w:val="24"/>
          <w:szCs w:val="24"/>
        </w:rPr>
        <w:t>stiripentol</w:t>
      </w:r>
      <w:proofErr w:type="spellEnd"/>
      <w:r w:rsidRPr="0067760F">
        <w:rPr>
          <w:sz w:val="24"/>
          <w:szCs w:val="24"/>
        </w:rPr>
        <w:t xml:space="preserve"> opstartes, og derefter når en ny </w:t>
      </w:r>
      <w:proofErr w:type="spellStart"/>
      <w:r w:rsidRPr="0067760F">
        <w:rPr>
          <w:sz w:val="24"/>
          <w:szCs w:val="24"/>
        </w:rPr>
        <w:t>steady</w:t>
      </w:r>
      <w:proofErr w:type="spellEnd"/>
      <w:r w:rsidRPr="0067760F">
        <w:rPr>
          <w:sz w:val="24"/>
          <w:szCs w:val="24"/>
        </w:rPr>
        <w:t>-state-koncentration er nået, dvs. omtrent efter 2 uger. Klinisk monitorering anbefales, og dosisjustering kan være nødvendig.</w:t>
      </w:r>
    </w:p>
    <w:p w14:paraId="733F2732" w14:textId="77777777" w:rsidR="009638C2" w:rsidRPr="0067760F" w:rsidRDefault="009638C2" w:rsidP="0032431D">
      <w:pPr>
        <w:ind w:left="851"/>
        <w:rPr>
          <w:sz w:val="24"/>
          <w:szCs w:val="24"/>
        </w:rPr>
      </w:pPr>
    </w:p>
    <w:p w14:paraId="58CFA8EA" w14:textId="77777777" w:rsidR="009638C2" w:rsidRPr="0067760F" w:rsidRDefault="009638C2" w:rsidP="0032431D">
      <w:pPr>
        <w:ind w:left="851"/>
        <w:rPr>
          <w:sz w:val="24"/>
          <w:szCs w:val="24"/>
        </w:rPr>
      </w:pPr>
      <w:proofErr w:type="spellStart"/>
      <w:r w:rsidRPr="0067760F">
        <w:rPr>
          <w:sz w:val="24"/>
          <w:szCs w:val="24"/>
        </w:rPr>
        <w:t>Phenytoin</w:t>
      </w:r>
      <w:proofErr w:type="spellEnd"/>
      <w:r w:rsidRPr="0067760F">
        <w:rPr>
          <w:sz w:val="24"/>
          <w:szCs w:val="24"/>
        </w:rPr>
        <w:t xml:space="preserve"> og </w:t>
      </w:r>
      <w:proofErr w:type="spellStart"/>
      <w:r w:rsidRPr="0067760F">
        <w:rPr>
          <w:sz w:val="24"/>
          <w:szCs w:val="24"/>
        </w:rPr>
        <w:t>carbamazepin</w:t>
      </w:r>
      <w:proofErr w:type="spellEnd"/>
      <w:r w:rsidRPr="0067760F">
        <w:rPr>
          <w:sz w:val="24"/>
          <w:szCs w:val="24"/>
        </w:rPr>
        <w:t xml:space="preserve"> kan forårsage en øget metabolisk omdannelse af </w:t>
      </w:r>
      <w:proofErr w:type="spellStart"/>
      <w:r w:rsidRPr="0067760F">
        <w:rPr>
          <w:sz w:val="24"/>
          <w:szCs w:val="24"/>
        </w:rPr>
        <w:t>clobazam</w:t>
      </w:r>
      <w:proofErr w:type="spellEnd"/>
      <w:r w:rsidRPr="0067760F">
        <w:rPr>
          <w:sz w:val="24"/>
          <w:szCs w:val="24"/>
        </w:rPr>
        <w:t xml:space="preserve"> til den aktive metabolit N-</w:t>
      </w:r>
      <w:proofErr w:type="spellStart"/>
      <w:r w:rsidRPr="0067760F">
        <w:rPr>
          <w:sz w:val="24"/>
          <w:szCs w:val="24"/>
        </w:rPr>
        <w:t>desmethylclobazam</w:t>
      </w:r>
      <w:proofErr w:type="spellEnd"/>
      <w:r w:rsidRPr="0067760F">
        <w:rPr>
          <w:sz w:val="24"/>
          <w:szCs w:val="24"/>
        </w:rPr>
        <w:t>.</w:t>
      </w:r>
    </w:p>
    <w:p w14:paraId="31900DAC" w14:textId="77777777" w:rsidR="009638C2" w:rsidRPr="0067760F" w:rsidRDefault="009638C2" w:rsidP="0032431D">
      <w:pPr>
        <w:ind w:left="851"/>
        <w:rPr>
          <w:sz w:val="24"/>
          <w:szCs w:val="24"/>
        </w:rPr>
      </w:pPr>
    </w:p>
    <w:p w14:paraId="7E695234" w14:textId="77777777" w:rsidR="009638C2" w:rsidRPr="00347D37" w:rsidRDefault="009638C2" w:rsidP="0032431D">
      <w:pPr>
        <w:ind w:left="851"/>
        <w:rPr>
          <w:i/>
          <w:sz w:val="24"/>
          <w:szCs w:val="24"/>
        </w:rPr>
      </w:pPr>
      <w:r w:rsidRPr="00347D37">
        <w:rPr>
          <w:i/>
          <w:sz w:val="24"/>
          <w:szCs w:val="24"/>
        </w:rPr>
        <w:t xml:space="preserve">Hormonelle svangerskabsforebyggende midler </w:t>
      </w:r>
    </w:p>
    <w:p w14:paraId="2983831D" w14:textId="77777777" w:rsidR="009638C2" w:rsidRPr="0067760F" w:rsidRDefault="009638C2" w:rsidP="0032431D">
      <w:pPr>
        <w:ind w:left="851"/>
        <w:rPr>
          <w:sz w:val="24"/>
          <w:szCs w:val="24"/>
        </w:rPr>
      </w:pPr>
      <w:proofErr w:type="spellStart"/>
      <w:r w:rsidRPr="0067760F">
        <w:rPr>
          <w:sz w:val="24"/>
          <w:szCs w:val="24"/>
        </w:rPr>
        <w:t>Clobazam</w:t>
      </w:r>
      <w:proofErr w:type="spellEnd"/>
      <w:r w:rsidRPr="0067760F">
        <w:rPr>
          <w:sz w:val="24"/>
          <w:szCs w:val="24"/>
        </w:rPr>
        <w:t xml:space="preserve"> er en svag CYP3A4-inducer. Da nogle svangerskabsforebyggende midler </w:t>
      </w:r>
      <w:proofErr w:type="spellStart"/>
      <w:r w:rsidRPr="0067760F">
        <w:rPr>
          <w:sz w:val="24"/>
          <w:szCs w:val="24"/>
        </w:rPr>
        <w:t>metaboliseres</w:t>
      </w:r>
      <w:proofErr w:type="spellEnd"/>
      <w:r w:rsidRPr="0067760F">
        <w:rPr>
          <w:sz w:val="24"/>
          <w:szCs w:val="24"/>
        </w:rPr>
        <w:t xml:space="preserve"> via CYP3A4, kan deres effektivitet forringes, når de gives sammen med </w:t>
      </w:r>
      <w:proofErr w:type="spellStart"/>
      <w:r w:rsidRPr="0067760F">
        <w:rPr>
          <w:sz w:val="24"/>
          <w:szCs w:val="24"/>
        </w:rPr>
        <w:t>clobazam</w:t>
      </w:r>
      <w:proofErr w:type="spellEnd"/>
      <w:r w:rsidRPr="0067760F">
        <w:rPr>
          <w:sz w:val="24"/>
          <w:szCs w:val="24"/>
        </w:rPr>
        <w:t xml:space="preserve">. Det anbefales at bruge yderligere ikke-hormonelle former for svangerskabsforebyggende midler ved anvendelse af </w:t>
      </w:r>
      <w:proofErr w:type="spellStart"/>
      <w:r w:rsidRPr="0067760F">
        <w:rPr>
          <w:sz w:val="24"/>
          <w:szCs w:val="24"/>
        </w:rPr>
        <w:t>clobazam</w:t>
      </w:r>
      <w:proofErr w:type="spellEnd"/>
      <w:r w:rsidRPr="0067760F">
        <w:rPr>
          <w:sz w:val="24"/>
          <w:szCs w:val="24"/>
        </w:rPr>
        <w:t>.</w:t>
      </w:r>
    </w:p>
    <w:p w14:paraId="3549AA81" w14:textId="77777777" w:rsidR="009638C2" w:rsidRPr="0067760F" w:rsidRDefault="009638C2" w:rsidP="0032431D">
      <w:pPr>
        <w:ind w:left="851"/>
        <w:rPr>
          <w:sz w:val="24"/>
          <w:szCs w:val="24"/>
        </w:rPr>
      </w:pPr>
    </w:p>
    <w:p w14:paraId="661EEED4" w14:textId="77777777" w:rsidR="009638C2" w:rsidRPr="0067760F" w:rsidRDefault="009638C2" w:rsidP="0032431D">
      <w:pPr>
        <w:ind w:left="851"/>
        <w:rPr>
          <w:sz w:val="24"/>
          <w:szCs w:val="24"/>
        </w:rPr>
      </w:pPr>
      <w:r w:rsidRPr="0067760F">
        <w:rPr>
          <w:sz w:val="24"/>
          <w:szCs w:val="24"/>
        </w:rPr>
        <w:t xml:space="preserve">En </w:t>
      </w:r>
      <w:proofErr w:type="spellStart"/>
      <w:r w:rsidRPr="0067760F">
        <w:rPr>
          <w:sz w:val="24"/>
          <w:szCs w:val="24"/>
        </w:rPr>
        <w:t>populationsfarmakokinesisk</w:t>
      </w:r>
      <w:proofErr w:type="spellEnd"/>
      <w:r w:rsidRPr="0067760F">
        <w:rPr>
          <w:sz w:val="24"/>
          <w:szCs w:val="24"/>
        </w:rPr>
        <w:t xml:space="preserve"> analyse viste, at </w:t>
      </w:r>
      <w:proofErr w:type="spellStart"/>
      <w:r w:rsidRPr="0067760F">
        <w:rPr>
          <w:sz w:val="24"/>
          <w:szCs w:val="24"/>
        </w:rPr>
        <w:t>clobazam</w:t>
      </w:r>
      <w:proofErr w:type="spellEnd"/>
      <w:r w:rsidRPr="0067760F">
        <w:rPr>
          <w:sz w:val="24"/>
          <w:szCs w:val="24"/>
        </w:rPr>
        <w:t xml:space="preserve"> ikke påvirkede eksponeringen af hverken </w:t>
      </w:r>
      <w:proofErr w:type="spellStart"/>
      <w:r w:rsidRPr="0067760F">
        <w:rPr>
          <w:sz w:val="24"/>
          <w:szCs w:val="24"/>
        </w:rPr>
        <w:t>valproinsyre</w:t>
      </w:r>
      <w:proofErr w:type="spellEnd"/>
      <w:r w:rsidRPr="0067760F">
        <w:rPr>
          <w:sz w:val="24"/>
          <w:szCs w:val="24"/>
        </w:rPr>
        <w:t xml:space="preserve"> (et CYP2C9/2C19-substrat) eller </w:t>
      </w:r>
      <w:proofErr w:type="spellStart"/>
      <w:r w:rsidRPr="0067760F">
        <w:rPr>
          <w:sz w:val="24"/>
          <w:szCs w:val="24"/>
        </w:rPr>
        <w:t>lamotrigin</w:t>
      </w:r>
      <w:proofErr w:type="spellEnd"/>
      <w:r w:rsidRPr="0067760F">
        <w:rPr>
          <w:sz w:val="24"/>
          <w:szCs w:val="24"/>
        </w:rPr>
        <w:t xml:space="preserve"> (et UGT-substrat).</w:t>
      </w:r>
    </w:p>
    <w:p w14:paraId="210FA40C" w14:textId="05A5EBF3" w:rsidR="003564D8" w:rsidRDefault="003564D8">
      <w:pPr>
        <w:rPr>
          <w:sz w:val="24"/>
          <w:szCs w:val="24"/>
        </w:rPr>
      </w:pPr>
      <w:r>
        <w:rPr>
          <w:sz w:val="24"/>
          <w:szCs w:val="24"/>
        </w:rPr>
        <w:br w:type="page"/>
      </w:r>
    </w:p>
    <w:p w14:paraId="49596BE5" w14:textId="77777777" w:rsidR="009260DE" w:rsidRPr="0067760F" w:rsidRDefault="009260DE" w:rsidP="009260DE">
      <w:pPr>
        <w:tabs>
          <w:tab w:val="left" w:pos="851"/>
        </w:tabs>
        <w:ind w:left="851"/>
        <w:rPr>
          <w:sz w:val="24"/>
          <w:szCs w:val="24"/>
        </w:rPr>
      </w:pPr>
    </w:p>
    <w:p w14:paraId="70153088" w14:textId="77777777" w:rsidR="009260DE" w:rsidRPr="0067760F" w:rsidRDefault="009260DE" w:rsidP="009260DE">
      <w:pPr>
        <w:tabs>
          <w:tab w:val="left" w:pos="851"/>
        </w:tabs>
        <w:ind w:left="851" w:hanging="851"/>
        <w:rPr>
          <w:b/>
          <w:sz w:val="24"/>
          <w:szCs w:val="24"/>
        </w:rPr>
      </w:pPr>
      <w:r w:rsidRPr="0067760F">
        <w:rPr>
          <w:b/>
          <w:sz w:val="24"/>
          <w:szCs w:val="24"/>
        </w:rPr>
        <w:t>4.6</w:t>
      </w:r>
      <w:r w:rsidRPr="0067760F">
        <w:rPr>
          <w:b/>
          <w:sz w:val="24"/>
          <w:szCs w:val="24"/>
        </w:rPr>
        <w:tab/>
        <w:t>Graviditet og amning</w:t>
      </w:r>
    </w:p>
    <w:p w14:paraId="72A27CE9" w14:textId="77777777" w:rsidR="00442E15" w:rsidRPr="00442E15" w:rsidRDefault="00442E15" w:rsidP="0032431D">
      <w:pPr>
        <w:ind w:left="851"/>
        <w:rPr>
          <w:sz w:val="24"/>
          <w:szCs w:val="24"/>
        </w:rPr>
      </w:pPr>
    </w:p>
    <w:p w14:paraId="0AE2E876" w14:textId="45A1FE38" w:rsidR="009638C2" w:rsidRPr="00347D37" w:rsidRDefault="009638C2" w:rsidP="0032431D">
      <w:pPr>
        <w:ind w:left="851"/>
        <w:rPr>
          <w:b/>
          <w:bCs/>
          <w:sz w:val="24"/>
          <w:szCs w:val="24"/>
        </w:rPr>
      </w:pPr>
      <w:r w:rsidRPr="00347D37">
        <w:rPr>
          <w:b/>
          <w:sz w:val="24"/>
          <w:szCs w:val="24"/>
        </w:rPr>
        <w:t>Graviditet</w:t>
      </w:r>
    </w:p>
    <w:p w14:paraId="3DFCA912" w14:textId="77777777" w:rsidR="009638C2" w:rsidRPr="0067760F" w:rsidRDefault="009638C2" w:rsidP="0032431D">
      <w:pPr>
        <w:ind w:left="851"/>
        <w:rPr>
          <w:sz w:val="24"/>
          <w:szCs w:val="24"/>
        </w:rPr>
      </w:pPr>
    </w:p>
    <w:p w14:paraId="20EEE5D7" w14:textId="77777777" w:rsidR="009638C2" w:rsidRPr="0067760F" w:rsidRDefault="009638C2" w:rsidP="0032431D">
      <w:pPr>
        <w:ind w:left="851"/>
        <w:rPr>
          <w:sz w:val="24"/>
          <w:szCs w:val="24"/>
        </w:rPr>
      </w:pPr>
      <w:r w:rsidRPr="0067760F">
        <w:rPr>
          <w:sz w:val="24"/>
          <w:szCs w:val="24"/>
        </w:rPr>
        <w:t xml:space="preserve">En stor mængde data fra kohortestudier har ikke påvist evidens for forekomst af større misdannelser efter eksponering for benzodiazepiner i graviditetens første trimester, selvom forekomsten af </w:t>
      </w:r>
      <w:proofErr w:type="spellStart"/>
      <w:r w:rsidRPr="0067760F">
        <w:rPr>
          <w:sz w:val="24"/>
          <w:szCs w:val="24"/>
        </w:rPr>
        <w:t>læbe-ganespalte</w:t>
      </w:r>
      <w:proofErr w:type="spellEnd"/>
      <w:r w:rsidRPr="0067760F">
        <w:rPr>
          <w:sz w:val="24"/>
          <w:szCs w:val="24"/>
        </w:rPr>
        <w:t xml:space="preserve"> er rapporteret i visse </w:t>
      </w:r>
      <w:proofErr w:type="spellStart"/>
      <w:r w:rsidRPr="0067760F">
        <w:rPr>
          <w:sz w:val="24"/>
          <w:szCs w:val="24"/>
        </w:rPr>
        <w:t>casekontrolstudier</w:t>
      </w:r>
      <w:proofErr w:type="spellEnd"/>
      <w:r w:rsidRPr="0067760F">
        <w:rPr>
          <w:sz w:val="24"/>
          <w:szCs w:val="24"/>
        </w:rPr>
        <w:t>.</w:t>
      </w:r>
    </w:p>
    <w:p w14:paraId="07F43BD4" w14:textId="77777777" w:rsidR="009638C2" w:rsidRPr="0067760F" w:rsidRDefault="009638C2" w:rsidP="0032431D">
      <w:pPr>
        <w:ind w:left="851"/>
        <w:rPr>
          <w:sz w:val="24"/>
          <w:szCs w:val="24"/>
        </w:rPr>
      </w:pPr>
    </w:p>
    <w:p w14:paraId="3FA7FBDF" w14:textId="77777777" w:rsidR="009638C2" w:rsidRPr="0067760F" w:rsidRDefault="009638C2" w:rsidP="0032431D">
      <w:pPr>
        <w:ind w:left="851"/>
        <w:rPr>
          <w:sz w:val="24"/>
          <w:szCs w:val="24"/>
        </w:rPr>
      </w:pPr>
      <w:proofErr w:type="spellStart"/>
      <w:r w:rsidRPr="0067760F">
        <w:rPr>
          <w:sz w:val="24"/>
          <w:szCs w:val="24"/>
        </w:rPr>
        <w:t>Clobazam</w:t>
      </w:r>
      <w:proofErr w:type="spellEnd"/>
      <w:r w:rsidRPr="0067760F">
        <w:rPr>
          <w:sz w:val="24"/>
          <w:szCs w:val="24"/>
        </w:rPr>
        <w:t xml:space="preserve"> anbefales ikke under graviditeten og til kvinder i den fertile alder, som ikke anvender svangerskabsforebyggende midler. </w:t>
      </w:r>
    </w:p>
    <w:p w14:paraId="2A767B45" w14:textId="77777777" w:rsidR="009638C2" w:rsidRPr="0067760F" w:rsidRDefault="009638C2" w:rsidP="0032431D">
      <w:pPr>
        <w:ind w:left="851"/>
        <w:rPr>
          <w:sz w:val="24"/>
          <w:szCs w:val="24"/>
        </w:rPr>
      </w:pPr>
    </w:p>
    <w:p w14:paraId="1E63D711" w14:textId="77777777" w:rsidR="009638C2" w:rsidRPr="0067760F" w:rsidRDefault="009638C2" w:rsidP="0032431D">
      <w:pPr>
        <w:ind w:left="851"/>
        <w:rPr>
          <w:sz w:val="24"/>
          <w:szCs w:val="24"/>
        </w:rPr>
      </w:pPr>
      <w:proofErr w:type="spellStart"/>
      <w:r w:rsidRPr="0067760F">
        <w:rPr>
          <w:sz w:val="24"/>
          <w:szCs w:val="24"/>
        </w:rPr>
        <w:t>Clobazam</w:t>
      </w:r>
      <w:proofErr w:type="spellEnd"/>
      <w:r w:rsidRPr="0067760F">
        <w:rPr>
          <w:sz w:val="24"/>
          <w:szCs w:val="24"/>
        </w:rPr>
        <w:t xml:space="preserve"> passerer gennem placenta. Dyreforsøg har påvist reproduktionstoksicitet (se pkt. 5.3). Kvinder i den fertile alder skal informeres om risici og fordele ved anvendelse af </w:t>
      </w:r>
      <w:proofErr w:type="spellStart"/>
      <w:r w:rsidRPr="0067760F">
        <w:rPr>
          <w:sz w:val="24"/>
          <w:szCs w:val="24"/>
        </w:rPr>
        <w:t>clobazam</w:t>
      </w:r>
      <w:proofErr w:type="spellEnd"/>
      <w:r w:rsidRPr="0067760F">
        <w:rPr>
          <w:sz w:val="24"/>
          <w:szCs w:val="24"/>
        </w:rPr>
        <w:t xml:space="preserve"> under graviditet.</w:t>
      </w:r>
    </w:p>
    <w:p w14:paraId="773E6836" w14:textId="77777777" w:rsidR="009638C2" w:rsidRPr="0067760F" w:rsidRDefault="009638C2" w:rsidP="0032431D">
      <w:pPr>
        <w:ind w:left="851"/>
        <w:rPr>
          <w:sz w:val="24"/>
          <w:szCs w:val="24"/>
        </w:rPr>
      </w:pPr>
    </w:p>
    <w:p w14:paraId="3030D2EF" w14:textId="77777777" w:rsidR="009638C2" w:rsidRPr="0067760F" w:rsidRDefault="009638C2" w:rsidP="0032431D">
      <w:pPr>
        <w:ind w:left="851"/>
        <w:rPr>
          <w:sz w:val="24"/>
          <w:szCs w:val="24"/>
        </w:rPr>
      </w:pPr>
      <w:r w:rsidRPr="0067760F">
        <w:rPr>
          <w:sz w:val="24"/>
          <w:szCs w:val="24"/>
        </w:rPr>
        <w:t xml:space="preserve">Kvinder i den fertile alder skal informeres om at kontakte deres læge vedrørende </w:t>
      </w:r>
      <w:proofErr w:type="spellStart"/>
      <w:r w:rsidRPr="0067760F">
        <w:rPr>
          <w:sz w:val="24"/>
          <w:szCs w:val="24"/>
        </w:rPr>
        <w:t>seponering</w:t>
      </w:r>
      <w:proofErr w:type="spellEnd"/>
      <w:r w:rsidRPr="0067760F">
        <w:rPr>
          <w:sz w:val="24"/>
          <w:szCs w:val="24"/>
        </w:rPr>
        <w:t xml:space="preserve"> af lægemidlet, hvis de er gravide eller ønsker at blive gravide. Ved fortsættelse af behandling med </w:t>
      </w:r>
      <w:proofErr w:type="spellStart"/>
      <w:r w:rsidRPr="0067760F">
        <w:rPr>
          <w:sz w:val="24"/>
          <w:szCs w:val="24"/>
        </w:rPr>
        <w:t>clobazam</w:t>
      </w:r>
      <w:proofErr w:type="spellEnd"/>
      <w:r w:rsidRPr="0067760F">
        <w:rPr>
          <w:sz w:val="24"/>
          <w:szCs w:val="24"/>
        </w:rPr>
        <w:t xml:space="preserve"> bør lægemidlet anvendes med den laveste effektive dosis.</w:t>
      </w:r>
    </w:p>
    <w:p w14:paraId="5C18E347" w14:textId="77777777" w:rsidR="009638C2" w:rsidRPr="0067760F" w:rsidRDefault="009638C2" w:rsidP="0032431D">
      <w:pPr>
        <w:ind w:left="851"/>
        <w:rPr>
          <w:sz w:val="24"/>
          <w:szCs w:val="24"/>
        </w:rPr>
      </w:pPr>
    </w:p>
    <w:p w14:paraId="41D40D6F" w14:textId="77777777" w:rsidR="009638C2" w:rsidRPr="0067760F" w:rsidRDefault="009638C2" w:rsidP="0032431D">
      <w:pPr>
        <w:ind w:left="851"/>
        <w:rPr>
          <w:sz w:val="24"/>
          <w:szCs w:val="24"/>
        </w:rPr>
      </w:pPr>
      <w:r w:rsidRPr="0067760F">
        <w:rPr>
          <w:sz w:val="24"/>
          <w:szCs w:val="24"/>
        </w:rPr>
        <w:t xml:space="preserve">Der er beskrevet tilfælde af reduceret </w:t>
      </w:r>
      <w:proofErr w:type="spellStart"/>
      <w:r w:rsidRPr="0067760F">
        <w:rPr>
          <w:sz w:val="24"/>
          <w:szCs w:val="24"/>
        </w:rPr>
        <w:t>føtal</w:t>
      </w:r>
      <w:proofErr w:type="spellEnd"/>
      <w:r w:rsidRPr="0067760F">
        <w:rPr>
          <w:sz w:val="24"/>
          <w:szCs w:val="24"/>
        </w:rPr>
        <w:t xml:space="preserve"> bevægelse og variabilitet i fostrets hjertefrekvens efter administration af benzodiazepiner i graviditetens andet og/eller tredje trimester.</w:t>
      </w:r>
    </w:p>
    <w:p w14:paraId="7F1431B7" w14:textId="77777777" w:rsidR="009638C2" w:rsidRPr="0067760F" w:rsidRDefault="009638C2" w:rsidP="0032431D">
      <w:pPr>
        <w:ind w:left="851"/>
        <w:rPr>
          <w:sz w:val="24"/>
          <w:szCs w:val="24"/>
        </w:rPr>
      </w:pPr>
    </w:p>
    <w:p w14:paraId="44C423E1" w14:textId="77777777" w:rsidR="009638C2" w:rsidRPr="0067760F" w:rsidRDefault="009638C2" w:rsidP="0032431D">
      <w:pPr>
        <w:ind w:left="851"/>
        <w:rPr>
          <w:sz w:val="24"/>
          <w:szCs w:val="24"/>
        </w:rPr>
      </w:pPr>
      <w:r w:rsidRPr="0067760F">
        <w:rPr>
          <w:sz w:val="24"/>
          <w:szCs w:val="24"/>
        </w:rPr>
        <w:t xml:space="preserve">Hvis </w:t>
      </w:r>
      <w:proofErr w:type="spellStart"/>
      <w:r w:rsidRPr="0067760F">
        <w:rPr>
          <w:sz w:val="24"/>
          <w:szCs w:val="24"/>
        </w:rPr>
        <w:t>clobazam</w:t>
      </w:r>
      <w:proofErr w:type="spellEnd"/>
      <w:r w:rsidRPr="0067760F">
        <w:rPr>
          <w:sz w:val="24"/>
          <w:szCs w:val="24"/>
        </w:rPr>
        <w:t xml:space="preserve"> administreres i graviditetens sene fase eller under fødslen, kan det forventes at påvirke den nyfødte med f.eks. respirationsdepression (herunder åndedrætsbesvær og apnø), tegn på sedation, </w:t>
      </w:r>
      <w:proofErr w:type="spellStart"/>
      <w:r w:rsidRPr="0067760F">
        <w:rPr>
          <w:sz w:val="24"/>
          <w:szCs w:val="24"/>
        </w:rPr>
        <w:t>hypotermi</w:t>
      </w:r>
      <w:proofErr w:type="spellEnd"/>
      <w:r w:rsidRPr="0067760F">
        <w:rPr>
          <w:sz w:val="24"/>
          <w:szCs w:val="24"/>
        </w:rPr>
        <w:t xml:space="preserve">, </w:t>
      </w:r>
      <w:proofErr w:type="spellStart"/>
      <w:r w:rsidRPr="0067760F">
        <w:rPr>
          <w:sz w:val="24"/>
          <w:szCs w:val="24"/>
        </w:rPr>
        <w:t>hypotoni</w:t>
      </w:r>
      <w:proofErr w:type="spellEnd"/>
      <w:r w:rsidRPr="0067760F">
        <w:rPr>
          <w:sz w:val="24"/>
          <w:szCs w:val="24"/>
        </w:rPr>
        <w:t xml:space="preserve"> og </w:t>
      </w:r>
      <w:proofErr w:type="spellStart"/>
      <w:r w:rsidRPr="0067760F">
        <w:rPr>
          <w:sz w:val="24"/>
          <w:szCs w:val="24"/>
        </w:rPr>
        <w:t>ammevanskeligheder</w:t>
      </w:r>
      <w:proofErr w:type="spellEnd"/>
      <w:r w:rsidRPr="0067760F">
        <w:rPr>
          <w:sz w:val="24"/>
          <w:szCs w:val="24"/>
        </w:rPr>
        <w:t xml:space="preserve"> (”</w:t>
      </w:r>
      <w:proofErr w:type="spellStart"/>
      <w:r w:rsidRPr="0067760F">
        <w:rPr>
          <w:sz w:val="24"/>
          <w:szCs w:val="24"/>
        </w:rPr>
        <w:t>floppy</w:t>
      </w:r>
      <w:proofErr w:type="spellEnd"/>
      <w:r w:rsidRPr="0067760F">
        <w:rPr>
          <w:sz w:val="24"/>
          <w:szCs w:val="24"/>
        </w:rPr>
        <w:t xml:space="preserve"> infant-syndrom”).</w:t>
      </w:r>
    </w:p>
    <w:p w14:paraId="33A145E2" w14:textId="77777777" w:rsidR="009638C2" w:rsidRPr="0067760F" w:rsidRDefault="009638C2" w:rsidP="0032431D">
      <w:pPr>
        <w:ind w:left="851"/>
        <w:rPr>
          <w:sz w:val="24"/>
          <w:szCs w:val="24"/>
        </w:rPr>
      </w:pPr>
    </w:p>
    <w:p w14:paraId="4D02AC18" w14:textId="77777777" w:rsidR="009638C2" w:rsidRPr="0067760F" w:rsidRDefault="009638C2" w:rsidP="0032431D">
      <w:pPr>
        <w:ind w:left="851"/>
        <w:rPr>
          <w:sz w:val="24"/>
          <w:szCs w:val="24"/>
        </w:rPr>
      </w:pPr>
      <w:r w:rsidRPr="0067760F">
        <w:rPr>
          <w:sz w:val="24"/>
          <w:szCs w:val="24"/>
        </w:rPr>
        <w:t>Desuden kan børn, som er født af mødre, der har taget benzodiazepiner i længerevarende perioder i graviditetens senere faser, have udviklet fysisk afhængighed og kan have risiko for at udvikle et abstinenssyndrom i perioden efter fødslen. Passende overvågning af den nyfødte i perioden efter fødslen anbefales.</w:t>
      </w:r>
    </w:p>
    <w:p w14:paraId="7A90E903" w14:textId="77777777" w:rsidR="009638C2" w:rsidRPr="0067760F" w:rsidRDefault="009638C2" w:rsidP="0032431D">
      <w:pPr>
        <w:ind w:left="851"/>
        <w:rPr>
          <w:sz w:val="24"/>
          <w:szCs w:val="24"/>
        </w:rPr>
      </w:pPr>
    </w:p>
    <w:p w14:paraId="2447FF31" w14:textId="77777777" w:rsidR="009638C2" w:rsidRPr="00347D37" w:rsidRDefault="009638C2" w:rsidP="0032431D">
      <w:pPr>
        <w:ind w:left="851"/>
        <w:rPr>
          <w:b/>
          <w:bCs/>
          <w:sz w:val="24"/>
          <w:szCs w:val="24"/>
        </w:rPr>
      </w:pPr>
      <w:r w:rsidRPr="00347D37">
        <w:rPr>
          <w:b/>
          <w:sz w:val="24"/>
          <w:szCs w:val="24"/>
        </w:rPr>
        <w:t>Amning</w:t>
      </w:r>
    </w:p>
    <w:p w14:paraId="7915D23D" w14:textId="77777777" w:rsidR="009638C2" w:rsidRPr="0067760F" w:rsidRDefault="009638C2" w:rsidP="0032431D">
      <w:pPr>
        <w:ind w:left="851"/>
        <w:rPr>
          <w:sz w:val="24"/>
          <w:szCs w:val="24"/>
        </w:rPr>
      </w:pPr>
      <w:proofErr w:type="spellStart"/>
      <w:r w:rsidRPr="0067760F">
        <w:rPr>
          <w:sz w:val="24"/>
          <w:szCs w:val="24"/>
        </w:rPr>
        <w:t>Clobazam</w:t>
      </w:r>
      <w:proofErr w:type="spellEnd"/>
      <w:r w:rsidRPr="0067760F">
        <w:rPr>
          <w:sz w:val="24"/>
          <w:szCs w:val="24"/>
        </w:rPr>
        <w:t xml:space="preserve"> udskilles i human </w:t>
      </w:r>
      <w:proofErr w:type="spellStart"/>
      <w:r w:rsidRPr="0067760F">
        <w:rPr>
          <w:sz w:val="24"/>
          <w:szCs w:val="24"/>
        </w:rPr>
        <w:t>tmælk</w:t>
      </w:r>
      <w:proofErr w:type="spellEnd"/>
      <w:r w:rsidRPr="0067760F">
        <w:rPr>
          <w:sz w:val="24"/>
          <w:szCs w:val="24"/>
        </w:rPr>
        <w:t xml:space="preserve">, og på grund af </w:t>
      </w:r>
      <w:proofErr w:type="spellStart"/>
      <w:r w:rsidRPr="0067760F">
        <w:rPr>
          <w:sz w:val="24"/>
          <w:szCs w:val="24"/>
        </w:rPr>
        <w:t>clobazams</w:t>
      </w:r>
      <w:proofErr w:type="spellEnd"/>
      <w:r w:rsidRPr="0067760F">
        <w:rPr>
          <w:sz w:val="24"/>
          <w:szCs w:val="24"/>
        </w:rPr>
        <w:t xml:space="preserve"> lange halveringstid og dets primære metabolit </w:t>
      </w:r>
      <w:proofErr w:type="spellStart"/>
      <w:r w:rsidRPr="0067760F">
        <w:rPr>
          <w:sz w:val="24"/>
          <w:szCs w:val="24"/>
        </w:rPr>
        <w:t>desmethylclobazam</w:t>
      </w:r>
      <w:proofErr w:type="spellEnd"/>
      <w:r w:rsidRPr="0067760F">
        <w:rPr>
          <w:sz w:val="24"/>
          <w:szCs w:val="24"/>
        </w:rPr>
        <w:t xml:space="preserve"> er der risiko for akkumulering. Derfor må </w:t>
      </w:r>
      <w:proofErr w:type="spellStart"/>
      <w:r w:rsidRPr="0067760F">
        <w:rPr>
          <w:sz w:val="24"/>
          <w:szCs w:val="24"/>
        </w:rPr>
        <w:t>clobazam</w:t>
      </w:r>
      <w:proofErr w:type="spellEnd"/>
      <w:r w:rsidRPr="0067760F">
        <w:rPr>
          <w:sz w:val="24"/>
          <w:szCs w:val="24"/>
        </w:rPr>
        <w:t xml:space="preserve"> ikke gives til ammende mødre (se pkt. 4.3).</w:t>
      </w:r>
    </w:p>
    <w:p w14:paraId="552F6D63" w14:textId="77777777" w:rsidR="009638C2" w:rsidRPr="0067760F" w:rsidRDefault="009638C2" w:rsidP="0032431D">
      <w:pPr>
        <w:ind w:left="851"/>
        <w:rPr>
          <w:sz w:val="24"/>
          <w:szCs w:val="24"/>
        </w:rPr>
      </w:pPr>
    </w:p>
    <w:p w14:paraId="1784594A" w14:textId="77777777" w:rsidR="009638C2" w:rsidRPr="00347D37" w:rsidRDefault="009638C2" w:rsidP="0032431D">
      <w:pPr>
        <w:ind w:left="851"/>
        <w:rPr>
          <w:b/>
          <w:bCs/>
          <w:sz w:val="24"/>
          <w:szCs w:val="24"/>
        </w:rPr>
      </w:pPr>
      <w:r w:rsidRPr="00347D37">
        <w:rPr>
          <w:b/>
          <w:sz w:val="24"/>
          <w:szCs w:val="24"/>
        </w:rPr>
        <w:t>Fertilitet</w:t>
      </w:r>
    </w:p>
    <w:p w14:paraId="4B623C0E" w14:textId="77777777" w:rsidR="009638C2" w:rsidRPr="0067760F" w:rsidRDefault="009638C2" w:rsidP="0032431D">
      <w:pPr>
        <w:ind w:left="851"/>
        <w:rPr>
          <w:spacing w:val="-3"/>
          <w:sz w:val="24"/>
          <w:szCs w:val="24"/>
        </w:rPr>
      </w:pPr>
      <w:r w:rsidRPr="0067760F">
        <w:rPr>
          <w:sz w:val="24"/>
          <w:szCs w:val="24"/>
        </w:rPr>
        <w:t xml:space="preserve">Der er ikke observeret effekt på fertiliteten hos dyr (se pkt. 5.3). Der er ingen tilgængelige data vedrørende effekten af </w:t>
      </w:r>
      <w:proofErr w:type="spellStart"/>
      <w:r w:rsidRPr="0067760F">
        <w:rPr>
          <w:sz w:val="24"/>
          <w:szCs w:val="24"/>
        </w:rPr>
        <w:t>clobazam</w:t>
      </w:r>
      <w:proofErr w:type="spellEnd"/>
      <w:r w:rsidRPr="0067760F">
        <w:rPr>
          <w:sz w:val="24"/>
          <w:szCs w:val="24"/>
        </w:rPr>
        <w:t xml:space="preserve"> på fertilitet hos mennesker.</w:t>
      </w:r>
    </w:p>
    <w:p w14:paraId="5C088A18" w14:textId="77777777" w:rsidR="009260DE" w:rsidRPr="0067760F" w:rsidRDefault="009260DE" w:rsidP="009260DE">
      <w:pPr>
        <w:tabs>
          <w:tab w:val="left" w:pos="851"/>
        </w:tabs>
        <w:ind w:left="851"/>
        <w:rPr>
          <w:sz w:val="24"/>
          <w:szCs w:val="24"/>
        </w:rPr>
      </w:pPr>
    </w:p>
    <w:p w14:paraId="4EA6AC62" w14:textId="77777777" w:rsidR="009260DE" w:rsidRPr="0067760F" w:rsidRDefault="009260DE" w:rsidP="009260DE">
      <w:pPr>
        <w:tabs>
          <w:tab w:val="left" w:pos="851"/>
        </w:tabs>
        <w:ind w:left="851" w:hanging="851"/>
        <w:rPr>
          <w:b/>
          <w:sz w:val="24"/>
          <w:szCs w:val="24"/>
        </w:rPr>
      </w:pPr>
      <w:r w:rsidRPr="0067760F">
        <w:rPr>
          <w:b/>
          <w:sz w:val="24"/>
          <w:szCs w:val="24"/>
        </w:rPr>
        <w:t>4.7</w:t>
      </w:r>
      <w:r w:rsidRPr="0067760F">
        <w:rPr>
          <w:b/>
          <w:sz w:val="24"/>
          <w:szCs w:val="24"/>
        </w:rPr>
        <w:tab/>
        <w:t>Virkninger på evnen til at føre motorkøretøj eller betjene maskiner</w:t>
      </w:r>
    </w:p>
    <w:p w14:paraId="19A2722F" w14:textId="77777777" w:rsidR="00773191" w:rsidRPr="0067760F" w:rsidRDefault="00773191" w:rsidP="0032431D">
      <w:pPr>
        <w:ind w:left="851"/>
        <w:rPr>
          <w:sz w:val="24"/>
          <w:szCs w:val="24"/>
        </w:rPr>
      </w:pPr>
      <w:r w:rsidRPr="0067760F">
        <w:rPr>
          <w:sz w:val="24"/>
          <w:szCs w:val="24"/>
        </w:rPr>
        <w:t>Mærkning</w:t>
      </w:r>
    </w:p>
    <w:p w14:paraId="080332E5" w14:textId="77777777" w:rsidR="00773191" w:rsidRPr="0067760F" w:rsidRDefault="00773191" w:rsidP="0032431D">
      <w:pPr>
        <w:ind w:left="851"/>
        <w:rPr>
          <w:sz w:val="24"/>
          <w:szCs w:val="24"/>
        </w:rPr>
      </w:pPr>
      <w:proofErr w:type="spellStart"/>
      <w:r w:rsidRPr="0067760F">
        <w:rPr>
          <w:sz w:val="24"/>
          <w:szCs w:val="24"/>
        </w:rPr>
        <w:t>Clobazam</w:t>
      </w:r>
      <w:proofErr w:type="spellEnd"/>
      <w:r w:rsidRPr="0067760F">
        <w:rPr>
          <w:sz w:val="24"/>
          <w:szCs w:val="24"/>
        </w:rPr>
        <w:t xml:space="preserve"> påvirker i væsentlig grad evnen til at føre motorkøretøj og betjene maskiner. Sedation, amnesi, nedsat koncentration og nedsat muskelfunktion kan have en negativ virkning på evnen til at køre motorkøretøj og betjene maskiner. Det frarådes at føre motorkøretøj eller betjene maskiner, som kræver særlig opmærksomhed eller koncentration, før det er blevet bekræftet, at evnen til at udføre disse aktiviteter ikke påvirkes.</w:t>
      </w:r>
    </w:p>
    <w:p w14:paraId="2F754D62" w14:textId="77777777" w:rsidR="009260DE" w:rsidRPr="0067760F" w:rsidRDefault="009260DE" w:rsidP="008C00AA">
      <w:pPr>
        <w:rPr>
          <w:sz w:val="24"/>
          <w:szCs w:val="24"/>
        </w:rPr>
      </w:pPr>
    </w:p>
    <w:p w14:paraId="42267AF3" w14:textId="77777777" w:rsidR="009260DE" w:rsidRPr="0067760F" w:rsidRDefault="009260DE" w:rsidP="009260DE">
      <w:pPr>
        <w:tabs>
          <w:tab w:val="left" w:pos="851"/>
        </w:tabs>
        <w:ind w:left="851" w:hanging="851"/>
        <w:rPr>
          <w:b/>
          <w:sz w:val="24"/>
          <w:szCs w:val="24"/>
        </w:rPr>
      </w:pPr>
      <w:r w:rsidRPr="0067760F">
        <w:rPr>
          <w:b/>
          <w:sz w:val="24"/>
          <w:szCs w:val="24"/>
        </w:rPr>
        <w:t>4.8</w:t>
      </w:r>
      <w:r w:rsidRPr="0067760F">
        <w:rPr>
          <w:b/>
          <w:sz w:val="24"/>
          <w:szCs w:val="24"/>
        </w:rPr>
        <w:tab/>
        <w:t>Bivirkninger</w:t>
      </w:r>
    </w:p>
    <w:p w14:paraId="04D6D539" w14:textId="7F28B369" w:rsidR="00773191" w:rsidRPr="0067760F" w:rsidRDefault="00773191" w:rsidP="00773191">
      <w:pPr>
        <w:pStyle w:val="Brdtekst"/>
        <w:tabs>
          <w:tab w:val="left" w:pos="1000"/>
        </w:tabs>
        <w:kinsoku w:val="0"/>
        <w:overflowPunct w:val="0"/>
        <w:ind w:left="851"/>
        <w:jc w:val="both"/>
        <w:rPr>
          <w:sz w:val="24"/>
          <w:szCs w:val="24"/>
        </w:rPr>
      </w:pPr>
      <w:r w:rsidRPr="0067760F">
        <w:rPr>
          <w:sz w:val="24"/>
          <w:szCs w:val="24"/>
        </w:rPr>
        <w:t>Hyppigheden af bivirkninger angives på følgende måde:</w:t>
      </w:r>
    </w:p>
    <w:p w14:paraId="40BE8F99" w14:textId="6ED8E0F4" w:rsidR="00773191" w:rsidRPr="0067760F" w:rsidRDefault="00773191" w:rsidP="00773191">
      <w:pPr>
        <w:pStyle w:val="Brdtekst"/>
        <w:tabs>
          <w:tab w:val="left" w:pos="1000"/>
        </w:tabs>
        <w:ind w:left="851"/>
        <w:rPr>
          <w:sz w:val="24"/>
          <w:szCs w:val="24"/>
        </w:rPr>
      </w:pPr>
      <w:r w:rsidRPr="0067760F">
        <w:rPr>
          <w:sz w:val="24"/>
          <w:szCs w:val="24"/>
        </w:rPr>
        <w:t>Meget almindelig (&gt;1/10), almindelig (≥1/100 til &lt;1/10), ikke almindelig (≥1/1.000 til &lt;1/100), sjælden (≥1/10.000 til &lt;1/1000), meget sjælden (&lt;1/10.000), ikke kendt (kan ikke estimeres ud fra forhåndenværende data).</w:t>
      </w:r>
    </w:p>
    <w:p w14:paraId="113AD26D" w14:textId="18A754B9" w:rsidR="0014041D" w:rsidRPr="0067760F" w:rsidRDefault="0014041D" w:rsidP="00773191">
      <w:pPr>
        <w:pStyle w:val="Brdtekst"/>
        <w:tabs>
          <w:tab w:val="left" w:pos="1000"/>
        </w:tabs>
        <w:ind w:left="851"/>
        <w:rPr>
          <w:sz w:val="24"/>
          <w:szCs w:val="24"/>
        </w:rPr>
      </w:pPr>
    </w:p>
    <w:tbl>
      <w:tblPr>
        <w:tblStyle w:val="Tabel-Gitter"/>
        <w:tblW w:w="0" w:type="auto"/>
        <w:tblInd w:w="851" w:type="dxa"/>
        <w:tblLook w:val="04A0" w:firstRow="1" w:lastRow="0" w:firstColumn="1" w:lastColumn="0" w:noHBand="0" w:noVBand="1"/>
      </w:tblPr>
      <w:tblGrid>
        <w:gridCol w:w="3539"/>
        <w:gridCol w:w="4961"/>
      </w:tblGrid>
      <w:tr w:rsidR="00C60EA7" w:rsidRPr="0067760F" w14:paraId="47E153B9" w14:textId="77777777" w:rsidTr="00347D37">
        <w:tc>
          <w:tcPr>
            <w:tcW w:w="8500" w:type="dxa"/>
            <w:gridSpan w:val="2"/>
          </w:tcPr>
          <w:p w14:paraId="65C4BF07" w14:textId="6706C64A" w:rsidR="00C60EA7" w:rsidRPr="0067760F" w:rsidRDefault="00C60EA7" w:rsidP="00C60EA7">
            <w:pPr>
              <w:pStyle w:val="Brdtekst"/>
              <w:ind w:left="0"/>
              <w:rPr>
                <w:sz w:val="24"/>
                <w:szCs w:val="24"/>
              </w:rPr>
            </w:pPr>
            <w:r w:rsidRPr="0067760F">
              <w:rPr>
                <w:b/>
                <w:bCs/>
                <w:sz w:val="24"/>
                <w:szCs w:val="24"/>
              </w:rPr>
              <w:t>Metabolisme og ernæring</w:t>
            </w:r>
          </w:p>
        </w:tc>
      </w:tr>
      <w:tr w:rsidR="0014041D" w:rsidRPr="0067760F" w14:paraId="19D17680" w14:textId="77777777" w:rsidTr="00347D37">
        <w:tc>
          <w:tcPr>
            <w:tcW w:w="3539" w:type="dxa"/>
          </w:tcPr>
          <w:p w14:paraId="2A55B46E" w14:textId="734744CB" w:rsidR="0014041D" w:rsidRPr="0067760F" w:rsidRDefault="0014041D" w:rsidP="00C60EA7">
            <w:pPr>
              <w:pStyle w:val="Brdtekst"/>
              <w:tabs>
                <w:tab w:val="left" w:pos="1000"/>
              </w:tabs>
              <w:ind w:left="0"/>
              <w:rPr>
                <w:sz w:val="24"/>
                <w:szCs w:val="24"/>
              </w:rPr>
            </w:pPr>
            <w:r w:rsidRPr="0067760F">
              <w:rPr>
                <w:i/>
                <w:iCs/>
                <w:sz w:val="24"/>
                <w:szCs w:val="24"/>
              </w:rPr>
              <w:t>Almindelig</w:t>
            </w:r>
            <w:r w:rsidR="0032431D" w:rsidRPr="0067760F">
              <w:rPr>
                <w:i/>
                <w:iCs/>
                <w:sz w:val="24"/>
                <w:szCs w:val="24"/>
              </w:rPr>
              <w:t>:</w:t>
            </w:r>
          </w:p>
        </w:tc>
        <w:tc>
          <w:tcPr>
            <w:tcW w:w="4961" w:type="dxa"/>
          </w:tcPr>
          <w:p w14:paraId="34F799BB" w14:textId="1C39ED93" w:rsidR="0014041D" w:rsidRPr="0067760F" w:rsidRDefault="0014041D" w:rsidP="007A68A6">
            <w:pPr>
              <w:pStyle w:val="Brdtekst"/>
              <w:numPr>
                <w:ilvl w:val="0"/>
                <w:numId w:val="27"/>
              </w:numPr>
              <w:ind w:left="373" w:hanging="283"/>
              <w:rPr>
                <w:sz w:val="24"/>
                <w:szCs w:val="24"/>
              </w:rPr>
            </w:pPr>
            <w:r w:rsidRPr="0067760F">
              <w:rPr>
                <w:sz w:val="24"/>
                <w:szCs w:val="24"/>
              </w:rPr>
              <w:t>Nedsat appetit</w:t>
            </w:r>
          </w:p>
        </w:tc>
      </w:tr>
      <w:tr w:rsidR="00C60EA7" w:rsidRPr="0067760F" w14:paraId="4D8C6821" w14:textId="77777777" w:rsidTr="00347D37">
        <w:tc>
          <w:tcPr>
            <w:tcW w:w="8500" w:type="dxa"/>
            <w:gridSpan w:val="2"/>
          </w:tcPr>
          <w:p w14:paraId="248CEDD2" w14:textId="14D786C5" w:rsidR="00C60EA7" w:rsidRPr="0067760F" w:rsidRDefault="00C60EA7" w:rsidP="00C60EA7">
            <w:pPr>
              <w:pStyle w:val="Brdtekst"/>
              <w:ind w:left="0"/>
              <w:rPr>
                <w:sz w:val="24"/>
                <w:szCs w:val="24"/>
              </w:rPr>
            </w:pPr>
            <w:r w:rsidRPr="0067760F">
              <w:rPr>
                <w:b/>
                <w:bCs/>
                <w:sz w:val="24"/>
                <w:szCs w:val="24"/>
              </w:rPr>
              <w:t>Psykiske forstyrrelser</w:t>
            </w:r>
          </w:p>
        </w:tc>
      </w:tr>
      <w:tr w:rsidR="0014041D" w:rsidRPr="0067760F" w14:paraId="61E39322" w14:textId="77777777" w:rsidTr="00347D37">
        <w:tc>
          <w:tcPr>
            <w:tcW w:w="3539" w:type="dxa"/>
          </w:tcPr>
          <w:p w14:paraId="1E83A7D6" w14:textId="1027238C" w:rsidR="0014041D" w:rsidRPr="0067760F" w:rsidRDefault="0014041D" w:rsidP="00C60EA7">
            <w:pPr>
              <w:pStyle w:val="Brdtekst"/>
              <w:tabs>
                <w:tab w:val="left" w:pos="1000"/>
              </w:tabs>
              <w:ind w:left="0"/>
              <w:rPr>
                <w:sz w:val="24"/>
                <w:szCs w:val="24"/>
              </w:rPr>
            </w:pPr>
            <w:r w:rsidRPr="0067760F">
              <w:rPr>
                <w:i/>
                <w:iCs/>
                <w:sz w:val="24"/>
                <w:szCs w:val="24"/>
              </w:rPr>
              <w:t>Almindelig</w:t>
            </w:r>
            <w:r w:rsidR="0032431D" w:rsidRPr="0067760F">
              <w:rPr>
                <w:i/>
                <w:iCs/>
                <w:sz w:val="24"/>
                <w:szCs w:val="24"/>
              </w:rPr>
              <w:t>:</w:t>
            </w:r>
          </w:p>
        </w:tc>
        <w:tc>
          <w:tcPr>
            <w:tcW w:w="4961" w:type="dxa"/>
          </w:tcPr>
          <w:p w14:paraId="62A2814C" w14:textId="77777777" w:rsidR="0014041D" w:rsidRPr="0067760F" w:rsidRDefault="0014041D" w:rsidP="007A68A6">
            <w:pPr>
              <w:pStyle w:val="Listeafsnit"/>
              <w:numPr>
                <w:ilvl w:val="0"/>
                <w:numId w:val="27"/>
              </w:numPr>
              <w:ind w:left="373" w:hanging="283"/>
            </w:pPr>
            <w:r w:rsidRPr="0067760F">
              <w:t>Irritabilitet</w:t>
            </w:r>
          </w:p>
          <w:p w14:paraId="0F472205" w14:textId="77777777" w:rsidR="0014041D" w:rsidRPr="0067760F" w:rsidRDefault="0014041D" w:rsidP="007A68A6">
            <w:pPr>
              <w:pStyle w:val="Listeafsnit"/>
              <w:numPr>
                <w:ilvl w:val="0"/>
                <w:numId w:val="27"/>
              </w:numPr>
              <w:ind w:left="373" w:hanging="283"/>
            </w:pPr>
            <w:r w:rsidRPr="0067760F">
              <w:t>Aggression</w:t>
            </w:r>
          </w:p>
          <w:p w14:paraId="36F0D263" w14:textId="77777777" w:rsidR="0014041D" w:rsidRPr="0067760F" w:rsidRDefault="0014041D" w:rsidP="007A68A6">
            <w:pPr>
              <w:pStyle w:val="Listeafsnit"/>
              <w:numPr>
                <w:ilvl w:val="0"/>
                <w:numId w:val="27"/>
              </w:numPr>
              <w:ind w:left="373" w:hanging="283"/>
            </w:pPr>
            <w:r w:rsidRPr="0067760F">
              <w:t>Rastløshed</w:t>
            </w:r>
          </w:p>
          <w:p w14:paraId="4FC3FF20" w14:textId="77777777" w:rsidR="0014041D" w:rsidRPr="0067760F" w:rsidRDefault="0014041D" w:rsidP="007A68A6">
            <w:pPr>
              <w:pStyle w:val="Listeafsnit"/>
              <w:numPr>
                <w:ilvl w:val="0"/>
                <w:numId w:val="27"/>
              </w:numPr>
              <w:ind w:left="373" w:hanging="283"/>
            </w:pPr>
            <w:r w:rsidRPr="0067760F">
              <w:t>Depression (præ-eksisterende depression kan dukke op)</w:t>
            </w:r>
          </w:p>
          <w:p w14:paraId="2D1F3C54" w14:textId="77777777" w:rsidR="0014041D" w:rsidRPr="0067760F" w:rsidRDefault="0014041D" w:rsidP="007A68A6">
            <w:pPr>
              <w:pStyle w:val="Listeafsnit"/>
              <w:numPr>
                <w:ilvl w:val="0"/>
                <w:numId w:val="27"/>
              </w:numPr>
              <w:ind w:left="373" w:hanging="283"/>
              <w:rPr>
                <w:spacing w:val="1"/>
              </w:rPr>
            </w:pPr>
            <w:r w:rsidRPr="0067760F">
              <w:t>Lægemiddeltolerance</w:t>
            </w:r>
            <w:r w:rsidRPr="0067760F">
              <w:rPr>
                <w:vertAlign w:val="superscript"/>
              </w:rPr>
              <w:t>1</w:t>
            </w:r>
            <w:r w:rsidRPr="0067760F">
              <w:t xml:space="preserve"> </w:t>
            </w:r>
          </w:p>
          <w:p w14:paraId="3BCA7B28" w14:textId="225A23DB" w:rsidR="0014041D" w:rsidRPr="0067760F" w:rsidRDefault="0014041D" w:rsidP="007A68A6">
            <w:pPr>
              <w:pStyle w:val="Brdtekst"/>
              <w:numPr>
                <w:ilvl w:val="0"/>
                <w:numId w:val="27"/>
              </w:numPr>
              <w:ind w:left="373" w:hanging="283"/>
              <w:rPr>
                <w:sz w:val="24"/>
                <w:szCs w:val="24"/>
              </w:rPr>
            </w:pPr>
            <w:r w:rsidRPr="0067760F">
              <w:rPr>
                <w:sz w:val="24"/>
                <w:szCs w:val="24"/>
              </w:rPr>
              <w:t>Agitation</w:t>
            </w:r>
          </w:p>
        </w:tc>
      </w:tr>
      <w:tr w:rsidR="0014041D" w:rsidRPr="0067760F" w14:paraId="0E7B4871" w14:textId="77777777" w:rsidTr="00347D37">
        <w:tc>
          <w:tcPr>
            <w:tcW w:w="3539" w:type="dxa"/>
          </w:tcPr>
          <w:p w14:paraId="729064E0" w14:textId="43BAD812" w:rsidR="0014041D" w:rsidRPr="0067760F" w:rsidRDefault="0014041D" w:rsidP="00C60EA7">
            <w:pPr>
              <w:pStyle w:val="Brdtekst"/>
              <w:tabs>
                <w:tab w:val="left" w:pos="1000"/>
              </w:tabs>
              <w:ind w:left="0"/>
              <w:rPr>
                <w:sz w:val="24"/>
                <w:szCs w:val="24"/>
              </w:rPr>
            </w:pPr>
            <w:r w:rsidRPr="0067760F">
              <w:rPr>
                <w:i/>
                <w:iCs/>
                <w:sz w:val="24"/>
                <w:szCs w:val="24"/>
              </w:rPr>
              <w:t>Ikke almindelig:</w:t>
            </w:r>
          </w:p>
        </w:tc>
        <w:tc>
          <w:tcPr>
            <w:tcW w:w="4961" w:type="dxa"/>
          </w:tcPr>
          <w:p w14:paraId="509D059A" w14:textId="77777777" w:rsidR="0014041D" w:rsidRPr="0067760F" w:rsidRDefault="0014041D" w:rsidP="007A68A6">
            <w:pPr>
              <w:pStyle w:val="Listeafsnit"/>
              <w:numPr>
                <w:ilvl w:val="0"/>
                <w:numId w:val="28"/>
              </w:numPr>
              <w:ind w:left="373" w:hanging="283"/>
              <w:rPr>
                <w:rFonts w:eastAsia="Arial-ItalicMT"/>
              </w:rPr>
            </w:pPr>
            <w:r w:rsidRPr="0067760F">
              <w:t>Unormal adfærd</w:t>
            </w:r>
          </w:p>
          <w:p w14:paraId="32ECC84D" w14:textId="77777777" w:rsidR="0014041D" w:rsidRPr="0067760F" w:rsidRDefault="0014041D" w:rsidP="007A68A6">
            <w:pPr>
              <w:pStyle w:val="Listeafsnit"/>
              <w:numPr>
                <w:ilvl w:val="0"/>
                <w:numId w:val="28"/>
              </w:numPr>
              <w:ind w:left="373" w:hanging="283"/>
              <w:rPr>
                <w:rFonts w:eastAsia="Arial-ItalicMT"/>
              </w:rPr>
            </w:pPr>
            <w:r w:rsidRPr="0067760F">
              <w:t>Forvirring</w:t>
            </w:r>
          </w:p>
          <w:p w14:paraId="40CD0644" w14:textId="77777777" w:rsidR="0014041D" w:rsidRPr="0067760F" w:rsidRDefault="0014041D" w:rsidP="007A68A6">
            <w:pPr>
              <w:pStyle w:val="Listeafsnit"/>
              <w:numPr>
                <w:ilvl w:val="0"/>
                <w:numId w:val="28"/>
              </w:numPr>
              <w:ind w:left="373" w:hanging="283"/>
              <w:rPr>
                <w:rFonts w:eastAsia="Arial-ItalicMT"/>
              </w:rPr>
            </w:pPr>
            <w:r w:rsidRPr="0067760F">
              <w:t>Angst</w:t>
            </w:r>
          </w:p>
          <w:p w14:paraId="147645CF" w14:textId="77777777" w:rsidR="0014041D" w:rsidRPr="0067760F" w:rsidRDefault="0014041D" w:rsidP="007A68A6">
            <w:pPr>
              <w:pStyle w:val="Listeafsnit"/>
              <w:numPr>
                <w:ilvl w:val="0"/>
                <w:numId w:val="28"/>
              </w:numPr>
              <w:ind w:left="373" w:hanging="283"/>
              <w:rPr>
                <w:rFonts w:eastAsia="Arial-ItalicMT"/>
              </w:rPr>
            </w:pPr>
            <w:r w:rsidRPr="0067760F">
              <w:t>Vrangforestillinger</w:t>
            </w:r>
          </w:p>
          <w:p w14:paraId="1860C748" w14:textId="77777777" w:rsidR="0014041D" w:rsidRPr="0067760F" w:rsidRDefault="0014041D" w:rsidP="007A68A6">
            <w:pPr>
              <w:pStyle w:val="Listeafsnit"/>
              <w:numPr>
                <w:ilvl w:val="0"/>
                <w:numId w:val="28"/>
              </w:numPr>
              <w:ind w:left="373" w:hanging="283"/>
              <w:rPr>
                <w:rFonts w:eastAsia="Arial-ItalicMT"/>
              </w:rPr>
            </w:pPr>
            <w:r w:rsidRPr="0067760F">
              <w:t>Mareridt</w:t>
            </w:r>
          </w:p>
          <w:p w14:paraId="287AEA4D" w14:textId="53C9C7A8" w:rsidR="0014041D" w:rsidRPr="0067760F" w:rsidRDefault="0014041D" w:rsidP="007A68A6">
            <w:pPr>
              <w:pStyle w:val="Brdtekst"/>
              <w:numPr>
                <w:ilvl w:val="0"/>
                <w:numId w:val="28"/>
              </w:numPr>
              <w:ind w:left="373" w:hanging="283"/>
              <w:rPr>
                <w:sz w:val="24"/>
                <w:szCs w:val="24"/>
              </w:rPr>
            </w:pPr>
            <w:r w:rsidRPr="0067760F">
              <w:rPr>
                <w:sz w:val="24"/>
                <w:szCs w:val="24"/>
              </w:rPr>
              <w:t>Tab af libido</w:t>
            </w:r>
            <w:r w:rsidRPr="0067760F">
              <w:rPr>
                <w:sz w:val="24"/>
                <w:szCs w:val="24"/>
                <w:vertAlign w:val="superscript"/>
              </w:rPr>
              <w:t>2,3</w:t>
            </w:r>
          </w:p>
        </w:tc>
      </w:tr>
      <w:tr w:rsidR="0014041D" w:rsidRPr="0067760F" w14:paraId="711E40B2" w14:textId="77777777" w:rsidTr="00347D37">
        <w:tc>
          <w:tcPr>
            <w:tcW w:w="3539" w:type="dxa"/>
          </w:tcPr>
          <w:p w14:paraId="61A77E22" w14:textId="488B78D1" w:rsidR="0014041D" w:rsidRPr="0067760F" w:rsidRDefault="0014041D" w:rsidP="00C60EA7">
            <w:pPr>
              <w:pStyle w:val="Brdtekst"/>
              <w:tabs>
                <w:tab w:val="left" w:pos="1000"/>
              </w:tabs>
              <w:ind w:left="0"/>
              <w:rPr>
                <w:i/>
                <w:iCs/>
                <w:sz w:val="24"/>
                <w:szCs w:val="24"/>
              </w:rPr>
            </w:pPr>
            <w:r w:rsidRPr="0067760F">
              <w:rPr>
                <w:i/>
                <w:iCs/>
                <w:sz w:val="24"/>
                <w:szCs w:val="24"/>
              </w:rPr>
              <w:t>Ikke kendt</w:t>
            </w:r>
            <w:r w:rsidR="0032431D" w:rsidRPr="0067760F">
              <w:rPr>
                <w:i/>
                <w:iCs/>
                <w:sz w:val="24"/>
                <w:szCs w:val="24"/>
              </w:rPr>
              <w:t>:</w:t>
            </w:r>
          </w:p>
        </w:tc>
        <w:tc>
          <w:tcPr>
            <w:tcW w:w="4961" w:type="dxa"/>
          </w:tcPr>
          <w:p w14:paraId="2F9DA412" w14:textId="77777777" w:rsidR="00646B96" w:rsidRPr="0067760F" w:rsidRDefault="00646B96" w:rsidP="007A68A6">
            <w:pPr>
              <w:pStyle w:val="Listeafsnit"/>
              <w:numPr>
                <w:ilvl w:val="0"/>
                <w:numId w:val="29"/>
              </w:numPr>
              <w:ind w:left="373" w:hanging="283"/>
            </w:pPr>
            <w:r w:rsidRPr="0067760F">
              <w:t>Afhængighed</w:t>
            </w:r>
            <w:r w:rsidRPr="0067760F">
              <w:rPr>
                <w:vertAlign w:val="superscript"/>
              </w:rPr>
              <w:t xml:space="preserve">1 </w:t>
            </w:r>
          </w:p>
          <w:p w14:paraId="4DAC222D" w14:textId="77777777" w:rsidR="00646B96" w:rsidRPr="0067760F" w:rsidRDefault="00646B96" w:rsidP="007A68A6">
            <w:pPr>
              <w:pStyle w:val="Listeafsnit"/>
              <w:numPr>
                <w:ilvl w:val="0"/>
                <w:numId w:val="29"/>
              </w:numPr>
              <w:ind w:left="373" w:hanging="283"/>
            </w:pPr>
            <w:r w:rsidRPr="0067760F">
              <w:t>Initial søvnløshed</w:t>
            </w:r>
          </w:p>
          <w:p w14:paraId="5FA7F7CE" w14:textId="77777777" w:rsidR="00646B96" w:rsidRPr="0067760F" w:rsidRDefault="00646B96" w:rsidP="007A68A6">
            <w:pPr>
              <w:pStyle w:val="Listeafsnit"/>
              <w:numPr>
                <w:ilvl w:val="0"/>
                <w:numId w:val="29"/>
              </w:numPr>
              <w:ind w:left="373" w:hanging="283"/>
            </w:pPr>
            <w:r w:rsidRPr="0067760F">
              <w:t>Vrede</w:t>
            </w:r>
          </w:p>
          <w:p w14:paraId="49DA8369" w14:textId="77777777" w:rsidR="00646B96" w:rsidRPr="0067760F" w:rsidRDefault="00646B96" w:rsidP="007A68A6">
            <w:pPr>
              <w:pStyle w:val="Listeafsnit"/>
              <w:numPr>
                <w:ilvl w:val="0"/>
                <w:numId w:val="29"/>
              </w:numPr>
              <w:ind w:left="373" w:hanging="283"/>
            </w:pPr>
            <w:r w:rsidRPr="0067760F">
              <w:t xml:space="preserve">Hallucinationer </w:t>
            </w:r>
          </w:p>
          <w:p w14:paraId="5EF02A5C" w14:textId="77777777" w:rsidR="00646B96" w:rsidRPr="0067760F" w:rsidRDefault="00646B96" w:rsidP="007A68A6">
            <w:pPr>
              <w:pStyle w:val="Listeafsnit"/>
              <w:numPr>
                <w:ilvl w:val="0"/>
                <w:numId w:val="29"/>
              </w:numPr>
              <w:ind w:left="373" w:hanging="283"/>
            </w:pPr>
            <w:r w:rsidRPr="0067760F">
              <w:t>Psykotisk forstyrrelse</w:t>
            </w:r>
          </w:p>
          <w:p w14:paraId="3E95F5BF" w14:textId="77777777" w:rsidR="00646B96" w:rsidRPr="0067760F" w:rsidRDefault="00646B96" w:rsidP="007A68A6">
            <w:pPr>
              <w:pStyle w:val="Listeafsnit"/>
              <w:numPr>
                <w:ilvl w:val="0"/>
                <w:numId w:val="29"/>
              </w:numPr>
              <w:ind w:left="373" w:hanging="283"/>
            </w:pPr>
            <w:r w:rsidRPr="0067760F">
              <w:t>Dårlig søvnkvalitet</w:t>
            </w:r>
          </w:p>
          <w:p w14:paraId="1A017090" w14:textId="77777777" w:rsidR="00646B96" w:rsidRPr="0067760F" w:rsidRDefault="00646B96" w:rsidP="007A68A6">
            <w:pPr>
              <w:pStyle w:val="Listeafsnit"/>
              <w:numPr>
                <w:ilvl w:val="0"/>
                <w:numId w:val="29"/>
              </w:numPr>
              <w:ind w:left="373" w:hanging="283"/>
            </w:pPr>
            <w:r w:rsidRPr="0067760F">
              <w:t>Selvmordstanker</w:t>
            </w:r>
          </w:p>
          <w:p w14:paraId="719EB8A3" w14:textId="7CD71171" w:rsidR="0014041D" w:rsidRPr="0067760F" w:rsidRDefault="00646B96" w:rsidP="007A68A6">
            <w:pPr>
              <w:pStyle w:val="Listeafsnit"/>
              <w:numPr>
                <w:ilvl w:val="0"/>
                <w:numId w:val="29"/>
              </w:numPr>
              <w:ind w:left="373" w:hanging="283"/>
            </w:pPr>
            <w:proofErr w:type="spellStart"/>
            <w:r w:rsidRPr="0067760F">
              <w:t>Seponering</w:t>
            </w:r>
            <w:proofErr w:type="spellEnd"/>
            <w:r w:rsidRPr="0067760F">
              <w:t xml:space="preserve"> af behandlingen kan medføre abstinens- eller </w:t>
            </w:r>
            <w:proofErr w:type="spellStart"/>
            <w:r w:rsidRPr="0067760F">
              <w:t>reboundfænomener</w:t>
            </w:r>
            <w:proofErr w:type="spellEnd"/>
            <w:r w:rsidRPr="0067760F">
              <w:t xml:space="preserve"> (se pkt. 4.4). Der er rapporteret om misbrug af benzodiazepiner.</w:t>
            </w:r>
          </w:p>
        </w:tc>
      </w:tr>
      <w:tr w:rsidR="00C60EA7" w:rsidRPr="0067760F" w14:paraId="2B583663" w14:textId="77777777" w:rsidTr="00347D37">
        <w:tc>
          <w:tcPr>
            <w:tcW w:w="8500" w:type="dxa"/>
            <w:gridSpan w:val="2"/>
          </w:tcPr>
          <w:p w14:paraId="053A5EEC" w14:textId="6F19741B" w:rsidR="00C60EA7" w:rsidRPr="0067760F" w:rsidRDefault="00C60EA7" w:rsidP="00C60EA7">
            <w:pPr>
              <w:pStyle w:val="Listeafsnit"/>
            </w:pPr>
            <w:r w:rsidRPr="0067760F">
              <w:rPr>
                <w:b/>
                <w:bCs/>
              </w:rPr>
              <w:t>Nervesystemet</w:t>
            </w:r>
          </w:p>
        </w:tc>
      </w:tr>
      <w:tr w:rsidR="00646B96" w:rsidRPr="0067760F" w14:paraId="711C9532" w14:textId="77777777" w:rsidTr="00347D37">
        <w:tc>
          <w:tcPr>
            <w:tcW w:w="3539" w:type="dxa"/>
          </w:tcPr>
          <w:p w14:paraId="6F449FF2" w14:textId="70948CB5" w:rsidR="00646B96" w:rsidRPr="0067760F" w:rsidRDefault="00646B96" w:rsidP="00C60EA7">
            <w:pPr>
              <w:pStyle w:val="Brdtekst"/>
              <w:tabs>
                <w:tab w:val="left" w:pos="1000"/>
              </w:tabs>
              <w:ind w:left="0"/>
              <w:rPr>
                <w:b/>
                <w:bCs/>
                <w:sz w:val="24"/>
                <w:szCs w:val="24"/>
              </w:rPr>
            </w:pPr>
            <w:r w:rsidRPr="0067760F">
              <w:rPr>
                <w:i/>
                <w:iCs/>
                <w:sz w:val="24"/>
                <w:szCs w:val="24"/>
              </w:rPr>
              <w:t>Meget almindelig:</w:t>
            </w:r>
          </w:p>
        </w:tc>
        <w:tc>
          <w:tcPr>
            <w:tcW w:w="4961" w:type="dxa"/>
          </w:tcPr>
          <w:p w14:paraId="36B8F85B" w14:textId="42F6CC02" w:rsidR="00646B96" w:rsidRPr="0067760F" w:rsidRDefault="00646B96" w:rsidP="007A68A6">
            <w:pPr>
              <w:pStyle w:val="Listeafsnit"/>
              <w:numPr>
                <w:ilvl w:val="0"/>
                <w:numId w:val="30"/>
              </w:numPr>
              <w:ind w:left="373" w:hanging="283"/>
            </w:pPr>
            <w:r w:rsidRPr="0067760F">
              <w:t>Døsighed</w:t>
            </w:r>
            <w:r w:rsidRPr="0067760F">
              <w:rPr>
                <w:vertAlign w:val="superscript"/>
              </w:rPr>
              <w:t>4</w:t>
            </w:r>
          </w:p>
        </w:tc>
      </w:tr>
      <w:tr w:rsidR="00646B96" w:rsidRPr="0067760F" w14:paraId="79E26A24" w14:textId="77777777" w:rsidTr="00347D37">
        <w:tc>
          <w:tcPr>
            <w:tcW w:w="3539" w:type="dxa"/>
          </w:tcPr>
          <w:p w14:paraId="5B0BA5F2" w14:textId="7E0ED033" w:rsidR="00646B96" w:rsidRPr="0067760F" w:rsidRDefault="00646B96" w:rsidP="00C60EA7">
            <w:pPr>
              <w:pStyle w:val="Brdtekst"/>
              <w:tabs>
                <w:tab w:val="left" w:pos="1000"/>
              </w:tabs>
              <w:ind w:left="0"/>
              <w:rPr>
                <w:i/>
                <w:iCs/>
                <w:sz w:val="24"/>
                <w:szCs w:val="24"/>
              </w:rPr>
            </w:pPr>
            <w:r w:rsidRPr="0067760F">
              <w:rPr>
                <w:i/>
                <w:iCs/>
                <w:sz w:val="24"/>
                <w:szCs w:val="24"/>
              </w:rPr>
              <w:t>Almindelig:</w:t>
            </w:r>
          </w:p>
        </w:tc>
        <w:tc>
          <w:tcPr>
            <w:tcW w:w="4961" w:type="dxa"/>
          </w:tcPr>
          <w:p w14:paraId="16CD2BB2" w14:textId="77777777" w:rsidR="00646B96" w:rsidRPr="0067760F" w:rsidRDefault="00646B96" w:rsidP="007A68A6">
            <w:pPr>
              <w:pStyle w:val="Listeafsnit"/>
              <w:numPr>
                <w:ilvl w:val="0"/>
                <w:numId w:val="30"/>
              </w:numPr>
              <w:ind w:left="373" w:hanging="283"/>
            </w:pPr>
            <w:r w:rsidRPr="0067760F">
              <w:t>Sedation</w:t>
            </w:r>
          </w:p>
          <w:p w14:paraId="581213AB" w14:textId="77777777" w:rsidR="00646B96" w:rsidRPr="0067760F" w:rsidRDefault="00646B96" w:rsidP="007A68A6">
            <w:pPr>
              <w:pStyle w:val="Listeafsnit"/>
              <w:numPr>
                <w:ilvl w:val="0"/>
                <w:numId w:val="30"/>
              </w:numPr>
              <w:ind w:left="373" w:hanging="283"/>
            </w:pPr>
            <w:r w:rsidRPr="0067760F">
              <w:t>Svimmelhed</w:t>
            </w:r>
          </w:p>
          <w:p w14:paraId="48897651" w14:textId="77777777" w:rsidR="00646B96" w:rsidRPr="0067760F" w:rsidRDefault="00646B96" w:rsidP="007A68A6">
            <w:pPr>
              <w:pStyle w:val="Listeafsnit"/>
              <w:numPr>
                <w:ilvl w:val="0"/>
                <w:numId w:val="30"/>
              </w:numPr>
              <w:ind w:left="373" w:hanging="283"/>
            </w:pPr>
            <w:r w:rsidRPr="0067760F">
              <w:t>Opmærksomhedsforstyrrelser</w:t>
            </w:r>
          </w:p>
          <w:p w14:paraId="5C8CCA2E" w14:textId="77777777" w:rsidR="00646B96" w:rsidRPr="0067760F" w:rsidRDefault="00646B96" w:rsidP="007A68A6">
            <w:pPr>
              <w:pStyle w:val="Listeafsnit"/>
              <w:numPr>
                <w:ilvl w:val="0"/>
                <w:numId w:val="30"/>
              </w:numPr>
              <w:ind w:left="373" w:hanging="283"/>
            </w:pPr>
            <w:r w:rsidRPr="0067760F">
              <w:t>Langsom tale/</w:t>
            </w:r>
            <w:proofErr w:type="spellStart"/>
            <w:r w:rsidRPr="0067760F">
              <w:t>dysartri</w:t>
            </w:r>
            <w:proofErr w:type="spellEnd"/>
            <w:r w:rsidRPr="0067760F">
              <w:t>/taleforstyrrelser</w:t>
            </w:r>
            <w:r w:rsidRPr="0067760F">
              <w:rPr>
                <w:vertAlign w:val="superscript"/>
              </w:rPr>
              <w:t>2,3</w:t>
            </w:r>
          </w:p>
          <w:p w14:paraId="20352EDD" w14:textId="77777777" w:rsidR="00646B96" w:rsidRPr="0067760F" w:rsidRDefault="00646B96" w:rsidP="007A68A6">
            <w:pPr>
              <w:pStyle w:val="Listeafsnit"/>
              <w:numPr>
                <w:ilvl w:val="0"/>
                <w:numId w:val="30"/>
              </w:numPr>
              <w:ind w:left="373" w:hanging="283"/>
            </w:pPr>
            <w:r w:rsidRPr="0067760F">
              <w:t>Hovedpine</w:t>
            </w:r>
          </w:p>
          <w:p w14:paraId="33539A32" w14:textId="77777777" w:rsidR="00646B96" w:rsidRPr="0067760F" w:rsidRDefault="00646B96" w:rsidP="007A68A6">
            <w:pPr>
              <w:pStyle w:val="Listeafsnit"/>
              <w:numPr>
                <w:ilvl w:val="0"/>
                <w:numId w:val="30"/>
              </w:numPr>
              <w:ind w:left="373" w:hanging="283"/>
            </w:pPr>
            <w:proofErr w:type="spellStart"/>
            <w:r w:rsidRPr="0067760F">
              <w:t>Tremor</w:t>
            </w:r>
            <w:proofErr w:type="spellEnd"/>
          </w:p>
          <w:p w14:paraId="68EA26E1" w14:textId="294F35B3" w:rsidR="00646B96" w:rsidRPr="0067760F" w:rsidRDefault="00646B96" w:rsidP="007A68A6">
            <w:pPr>
              <w:pStyle w:val="Listeafsnit"/>
              <w:numPr>
                <w:ilvl w:val="0"/>
                <w:numId w:val="30"/>
              </w:numPr>
              <w:ind w:left="373" w:hanging="283"/>
            </w:pPr>
            <w:proofErr w:type="spellStart"/>
            <w:r w:rsidRPr="0067760F">
              <w:t>Ataksi</w:t>
            </w:r>
            <w:proofErr w:type="spellEnd"/>
          </w:p>
        </w:tc>
      </w:tr>
      <w:tr w:rsidR="00646B96" w:rsidRPr="0067760F" w14:paraId="3F896049" w14:textId="77777777" w:rsidTr="00347D37">
        <w:tc>
          <w:tcPr>
            <w:tcW w:w="3539" w:type="dxa"/>
          </w:tcPr>
          <w:p w14:paraId="23948EAC" w14:textId="29A6C44A" w:rsidR="00646B96" w:rsidRPr="0067760F" w:rsidRDefault="00646B96" w:rsidP="00C60EA7">
            <w:pPr>
              <w:pStyle w:val="Brdtekst"/>
              <w:tabs>
                <w:tab w:val="left" w:pos="1000"/>
              </w:tabs>
              <w:ind w:left="0"/>
              <w:rPr>
                <w:i/>
                <w:iCs/>
                <w:sz w:val="24"/>
                <w:szCs w:val="24"/>
              </w:rPr>
            </w:pPr>
            <w:r w:rsidRPr="0067760F">
              <w:rPr>
                <w:i/>
                <w:iCs/>
                <w:sz w:val="24"/>
                <w:szCs w:val="24"/>
              </w:rPr>
              <w:t>Ikke almindelig</w:t>
            </w:r>
            <w:r w:rsidR="0032431D" w:rsidRPr="0067760F">
              <w:rPr>
                <w:i/>
                <w:iCs/>
                <w:sz w:val="24"/>
                <w:szCs w:val="24"/>
              </w:rPr>
              <w:t>:</w:t>
            </w:r>
          </w:p>
        </w:tc>
        <w:tc>
          <w:tcPr>
            <w:tcW w:w="4961" w:type="dxa"/>
          </w:tcPr>
          <w:p w14:paraId="70D82BB6" w14:textId="77777777" w:rsidR="00646B96" w:rsidRPr="0067760F" w:rsidRDefault="00646B96" w:rsidP="007A68A6">
            <w:pPr>
              <w:pStyle w:val="Listeafsnit"/>
              <w:numPr>
                <w:ilvl w:val="0"/>
                <w:numId w:val="30"/>
              </w:numPr>
              <w:ind w:left="373" w:hanging="283"/>
            </w:pPr>
            <w:r w:rsidRPr="0067760F">
              <w:t>Mangel på følelser</w:t>
            </w:r>
          </w:p>
          <w:p w14:paraId="3011CD6B" w14:textId="77777777" w:rsidR="00646B96" w:rsidRPr="0067760F" w:rsidRDefault="00646B96" w:rsidP="007A68A6">
            <w:pPr>
              <w:pStyle w:val="Listeafsnit"/>
              <w:numPr>
                <w:ilvl w:val="0"/>
                <w:numId w:val="30"/>
              </w:numPr>
              <w:ind w:left="373" w:hanging="283"/>
            </w:pPr>
            <w:r w:rsidRPr="0067760F">
              <w:t>Amnesi (kan være forbundet med unormal adfærd)</w:t>
            </w:r>
          </w:p>
          <w:p w14:paraId="360255B7" w14:textId="77777777" w:rsidR="00646B96" w:rsidRPr="0067760F" w:rsidRDefault="00646B96" w:rsidP="007A68A6">
            <w:pPr>
              <w:pStyle w:val="Listeafsnit"/>
              <w:numPr>
                <w:ilvl w:val="0"/>
                <w:numId w:val="30"/>
              </w:numPr>
              <w:ind w:left="373" w:hanging="283"/>
            </w:pPr>
            <w:r w:rsidRPr="0067760F">
              <w:t>Hukommelsessvækkelse</w:t>
            </w:r>
          </w:p>
          <w:p w14:paraId="129F3123" w14:textId="77777777" w:rsidR="00646B96" w:rsidRPr="0067760F" w:rsidRDefault="00646B96" w:rsidP="007A68A6">
            <w:pPr>
              <w:pStyle w:val="Listeafsnit"/>
              <w:numPr>
                <w:ilvl w:val="0"/>
                <w:numId w:val="30"/>
              </w:numPr>
              <w:ind w:left="373" w:hanging="283"/>
            </w:pPr>
            <w:proofErr w:type="spellStart"/>
            <w:r w:rsidRPr="0067760F">
              <w:t>Anterograd</w:t>
            </w:r>
            <w:proofErr w:type="spellEnd"/>
            <w:r w:rsidRPr="0067760F">
              <w:t xml:space="preserve"> amnesi</w:t>
            </w:r>
            <w:r w:rsidRPr="0067760F">
              <w:rPr>
                <w:vertAlign w:val="superscript"/>
              </w:rPr>
              <w:t>5</w:t>
            </w:r>
          </w:p>
          <w:p w14:paraId="15322385" w14:textId="77777777" w:rsidR="00646B96" w:rsidRPr="0067760F" w:rsidRDefault="00646B96" w:rsidP="00C60EA7">
            <w:pPr>
              <w:rPr>
                <w:sz w:val="24"/>
                <w:szCs w:val="24"/>
              </w:rPr>
            </w:pPr>
          </w:p>
        </w:tc>
      </w:tr>
      <w:tr w:rsidR="00646B96" w:rsidRPr="0067760F" w14:paraId="15CBB7FC" w14:textId="77777777" w:rsidTr="00347D37">
        <w:tc>
          <w:tcPr>
            <w:tcW w:w="3539" w:type="dxa"/>
          </w:tcPr>
          <w:p w14:paraId="7AA41AC3" w14:textId="7DC526F7" w:rsidR="00646B96" w:rsidRPr="0067760F" w:rsidRDefault="00646B96" w:rsidP="00C60EA7">
            <w:pPr>
              <w:pStyle w:val="Brdtekst"/>
              <w:tabs>
                <w:tab w:val="left" w:pos="1000"/>
              </w:tabs>
              <w:ind w:left="0"/>
              <w:rPr>
                <w:i/>
                <w:iCs/>
                <w:sz w:val="24"/>
                <w:szCs w:val="24"/>
              </w:rPr>
            </w:pPr>
            <w:r w:rsidRPr="0067760F">
              <w:rPr>
                <w:i/>
                <w:iCs/>
                <w:sz w:val="24"/>
                <w:szCs w:val="24"/>
              </w:rPr>
              <w:lastRenderedPageBreak/>
              <w:t>Ikke kendt</w:t>
            </w:r>
            <w:r w:rsidR="0032431D" w:rsidRPr="0067760F">
              <w:rPr>
                <w:i/>
                <w:iCs/>
                <w:sz w:val="24"/>
                <w:szCs w:val="24"/>
              </w:rPr>
              <w:t>:</w:t>
            </w:r>
          </w:p>
        </w:tc>
        <w:tc>
          <w:tcPr>
            <w:tcW w:w="4961" w:type="dxa"/>
          </w:tcPr>
          <w:p w14:paraId="3F652669" w14:textId="77777777" w:rsidR="00646B96" w:rsidRPr="0067760F" w:rsidRDefault="00646B96" w:rsidP="00A02D86">
            <w:pPr>
              <w:pStyle w:val="Listeafsnit"/>
              <w:numPr>
                <w:ilvl w:val="0"/>
                <w:numId w:val="31"/>
              </w:numPr>
              <w:ind w:left="373" w:hanging="283"/>
            </w:pPr>
            <w:r w:rsidRPr="0067760F">
              <w:t>Kognitiv forstyrrelse</w:t>
            </w:r>
          </w:p>
          <w:p w14:paraId="267F5C31" w14:textId="77777777" w:rsidR="00646B96" w:rsidRPr="0067760F" w:rsidRDefault="00646B96" w:rsidP="00A02D86">
            <w:pPr>
              <w:pStyle w:val="Listeafsnit"/>
              <w:numPr>
                <w:ilvl w:val="0"/>
                <w:numId w:val="31"/>
              </w:numPr>
              <w:ind w:left="373" w:hanging="283"/>
            </w:pPr>
            <w:r w:rsidRPr="0067760F">
              <w:t>Ændret bevidsthedstilstand</w:t>
            </w:r>
            <w:r w:rsidRPr="0067760F">
              <w:rPr>
                <w:vertAlign w:val="superscript"/>
              </w:rPr>
              <w:t>6</w:t>
            </w:r>
          </w:p>
          <w:p w14:paraId="7F0099AA" w14:textId="77777777" w:rsidR="00646B96" w:rsidRPr="0067760F" w:rsidRDefault="00646B96" w:rsidP="00A02D86">
            <w:pPr>
              <w:pStyle w:val="Listeafsnit"/>
              <w:numPr>
                <w:ilvl w:val="0"/>
                <w:numId w:val="31"/>
              </w:numPr>
              <w:ind w:left="373" w:hanging="283"/>
            </w:pPr>
            <w:r w:rsidRPr="0067760F">
              <w:t>Nystagmus</w:t>
            </w:r>
            <w:r w:rsidRPr="0067760F">
              <w:rPr>
                <w:vertAlign w:val="superscript"/>
              </w:rPr>
              <w:t>2</w:t>
            </w:r>
          </w:p>
          <w:p w14:paraId="04A3AA5F" w14:textId="5514151A" w:rsidR="00646B96" w:rsidRPr="0067760F" w:rsidRDefault="00646B96" w:rsidP="00A02D86">
            <w:pPr>
              <w:pStyle w:val="Listeafsnit"/>
              <w:numPr>
                <w:ilvl w:val="0"/>
                <w:numId w:val="31"/>
              </w:numPr>
              <w:ind w:left="373" w:hanging="283"/>
            </w:pPr>
            <w:r w:rsidRPr="0067760F">
              <w:t>Usikker gang</w:t>
            </w:r>
            <w:r w:rsidRPr="0067760F">
              <w:rPr>
                <w:vertAlign w:val="superscript"/>
              </w:rPr>
              <w:t>2,3</w:t>
            </w:r>
          </w:p>
        </w:tc>
      </w:tr>
      <w:tr w:rsidR="00C60EA7" w:rsidRPr="0067760F" w14:paraId="3480BC72" w14:textId="77777777" w:rsidTr="00347D37">
        <w:tc>
          <w:tcPr>
            <w:tcW w:w="8500" w:type="dxa"/>
            <w:gridSpan w:val="2"/>
          </w:tcPr>
          <w:p w14:paraId="344ACBFF" w14:textId="3557203D" w:rsidR="00C60EA7" w:rsidRPr="0067760F" w:rsidRDefault="00C60EA7" w:rsidP="00C60EA7">
            <w:pPr>
              <w:pStyle w:val="Listeafsnit"/>
            </w:pPr>
            <w:r w:rsidRPr="0067760F">
              <w:rPr>
                <w:b/>
                <w:bCs/>
              </w:rPr>
              <w:t>Øjne</w:t>
            </w:r>
          </w:p>
        </w:tc>
      </w:tr>
      <w:tr w:rsidR="00646B96" w:rsidRPr="0067760F" w14:paraId="7F4A8FAC" w14:textId="77777777" w:rsidTr="00347D37">
        <w:tc>
          <w:tcPr>
            <w:tcW w:w="3539" w:type="dxa"/>
          </w:tcPr>
          <w:p w14:paraId="2AD9503E" w14:textId="7202CF96" w:rsidR="00646B96" w:rsidRPr="0067760F" w:rsidRDefault="00646B96" w:rsidP="00C60EA7">
            <w:pPr>
              <w:pStyle w:val="Brdtekst"/>
              <w:tabs>
                <w:tab w:val="left" w:pos="1000"/>
              </w:tabs>
              <w:ind w:left="0"/>
              <w:rPr>
                <w:b/>
                <w:bCs/>
                <w:sz w:val="24"/>
                <w:szCs w:val="24"/>
              </w:rPr>
            </w:pPr>
            <w:r w:rsidRPr="0067760F">
              <w:rPr>
                <w:i/>
                <w:iCs/>
                <w:sz w:val="24"/>
                <w:szCs w:val="24"/>
              </w:rPr>
              <w:t>Ikke almindelig:</w:t>
            </w:r>
          </w:p>
        </w:tc>
        <w:tc>
          <w:tcPr>
            <w:tcW w:w="4961" w:type="dxa"/>
          </w:tcPr>
          <w:p w14:paraId="6DE82E71" w14:textId="27A9517B" w:rsidR="00646B96" w:rsidRPr="0067760F" w:rsidRDefault="00646B96" w:rsidP="00A02D86">
            <w:pPr>
              <w:pStyle w:val="Listeafsnit"/>
              <w:numPr>
                <w:ilvl w:val="0"/>
                <w:numId w:val="32"/>
              </w:numPr>
              <w:ind w:left="373" w:hanging="283"/>
            </w:pPr>
            <w:r w:rsidRPr="0067760F">
              <w:t>Diplopi</w:t>
            </w:r>
            <w:r w:rsidRPr="0067760F">
              <w:rPr>
                <w:vertAlign w:val="superscript"/>
              </w:rPr>
              <w:t>2,3</w:t>
            </w:r>
          </w:p>
        </w:tc>
      </w:tr>
      <w:tr w:rsidR="00C60EA7" w:rsidRPr="0067760F" w14:paraId="46AF8DEA" w14:textId="77777777" w:rsidTr="00347D37">
        <w:tc>
          <w:tcPr>
            <w:tcW w:w="8500" w:type="dxa"/>
            <w:gridSpan w:val="2"/>
          </w:tcPr>
          <w:p w14:paraId="3AD634AC" w14:textId="323C79F6" w:rsidR="00C60EA7" w:rsidRPr="0067760F" w:rsidRDefault="00C60EA7" w:rsidP="00C60EA7">
            <w:pPr>
              <w:pStyle w:val="Listeafsnit"/>
            </w:pPr>
            <w:r w:rsidRPr="0067760F">
              <w:rPr>
                <w:b/>
                <w:bCs/>
              </w:rPr>
              <w:t xml:space="preserve">Luftveje, thorax og </w:t>
            </w:r>
            <w:proofErr w:type="spellStart"/>
            <w:r w:rsidRPr="0067760F">
              <w:rPr>
                <w:b/>
                <w:bCs/>
              </w:rPr>
              <w:t>mediastinum</w:t>
            </w:r>
            <w:proofErr w:type="spellEnd"/>
          </w:p>
        </w:tc>
      </w:tr>
      <w:tr w:rsidR="00646B96" w:rsidRPr="0067760F" w14:paraId="45BB4D6D" w14:textId="77777777" w:rsidTr="00347D37">
        <w:tc>
          <w:tcPr>
            <w:tcW w:w="3539" w:type="dxa"/>
          </w:tcPr>
          <w:p w14:paraId="3AC88543" w14:textId="0F74DB01" w:rsidR="00646B96" w:rsidRPr="0067760F" w:rsidRDefault="00646B96" w:rsidP="00C60EA7">
            <w:pPr>
              <w:pStyle w:val="Brdtekst"/>
              <w:tabs>
                <w:tab w:val="left" w:pos="1000"/>
              </w:tabs>
              <w:ind w:left="0"/>
              <w:rPr>
                <w:b/>
                <w:bCs/>
                <w:sz w:val="24"/>
                <w:szCs w:val="24"/>
              </w:rPr>
            </w:pPr>
            <w:r w:rsidRPr="0067760F">
              <w:rPr>
                <w:i/>
                <w:iCs/>
                <w:sz w:val="24"/>
                <w:szCs w:val="24"/>
              </w:rPr>
              <w:t>Ikke kendt</w:t>
            </w:r>
            <w:r w:rsidR="0032431D" w:rsidRPr="0067760F">
              <w:rPr>
                <w:i/>
                <w:iCs/>
                <w:sz w:val="24"/>
                <w:szCs w:val="24"/>
              </w:rPr>
              <w:t>:</w:t>
            </w:r>
          </w:p>
        </w:tc>
        <w:tc>
          <w:tcPr>
            <w:tcW w:w="4961" w:type="dxa"/>
          </w:tcPr>
          <w:p w14:paraId="39AD3AF3" w14:textId="240B9F16" w:rsidR="00646B96" w:rsidRPr="0067760F" w:rsidRDefault="00646B96" w:rsidP="00A02D86">
            <w:pPr>
              <w:pStyle w:val="Listeafsnit"/>
              <w:numPr>
                <w:ilvl w:val="0"/>
                <w:numId w:val="32"/>
              </w:numPr>
              <w:ind w:left="373" w:hanging="283"/>
            </w:pPr>
            <w:r w:rsidRPr="0067760F">
              <w:t>Respirationsdepression, åndedrætssvigt især hos patienter med eksisterende kompromitteret åndedrætsfunktion, f.eks. hos patienter med bronkial</w:t>
            </w:r>
            <w:bookmarkStart w:id="5" w:name="_Hlk10112907"/>
            <w:r w:rsidRPr="0067760F">
              <w:rPr>
                <w:b/>
                <w:i/>
              </w:rPr>
              <w:t>astma eller hjerneskade</w:t>
            </w:r>
            <w:bookmarkEnd w:id="5"/>
            <w:r w:rsidRPr="0067760F">
              <w:t xml:space="preserve"> (se pkt. 4.3 og 4.4)</w:t>
            </w:r>
          </w:p>
        </w:tc>
      </w:tr>
      <w:tr w:rsidR="00C60EA7" w:rsidRPr="0067760F" w14:paraId="571665B4" w14:textId="77777777" w:rsidTr="00347D37">
        <w:tc>
          <w:tcPr>
            <w:tcW w:w="8500" w:type="dxa"/>
            <w:gridSpan w:val="2"/>
          </w:tcPr>
          <w:p w14:paraId="0FCA1864" w14:textId="5E96AAE1" w:rsidR="00C60EA7" w:rsidRPr="0067760F" w:rsidRDefault="00C60EA7" w:rsidP="00C60EA7">
            <w:pPr>
              <w:pStyle w:val="Listeafsnit"/>
            </w:pPr>
            <w:r w:rsidRPr="0067760F">
              <w:rPr>
                <w:b/>
                <w:bCs/>
              </w:rPr>
              <w:t>Mave-tarm-kanalen</w:t>
            </w:r>
          </w:p>
        </w:tc>
      </w:tr>
      <w:tr w:rsidR="00646B96" w:rsidRPr="0067760F" w14:paraId="622A0555" w14:textId="77777777" w:rsidTr="00347D37">
        <w:tc>
          <w:tcPr>
            <w:tcW w:w="3539" w:type="dxa"/>
          </w:tcPr>
          <w:p w14:paraId="65276CF2" w14:textId="11025FDA" w:rsidR="00646B96" w:rsidRPr="0067760F" w:rsidRDefault="00646B96" w:rsidP="00C60EA7">
            <w:pPr>
              <w:pStyle w:val="Brdtekst"/>
              <w:tabs>
                <w:tab w:val="left" w:pos="1000"/>
              </w:tabs>
              <w:ind w:left="0"/>
              <w:rPr>
                <w:b/>
                <w:bCs/>
                <w:sz w:val="24"/>
                <w:szCs w:val="24"/>
              </w:rPr>
            </w:pPr>
            <w:r w:rsidRPr="0067760F">
              <w:rPr>
                <w:i/>
                <w:iCs/>
                <w:sz w:val="24"/>
                <w:szCs w:val="24"/>
              </w:rPr>
              <w:t>Almindelig</w:t>
            </w:r>
            <w:r w:rsidR="0032431D" w:rsidRPr="0067760F">
              <w:rPr>
                <w:i/>
                <w:iCs/>
                <w:sz w:val="24"/>
                <w:szCs w:val="24"/>
              </w:rPr>
              <w:t>:</w:t>
            </w:r>
          </w:p>
        </w:tc>
        <w:tc>
          <w:tcPr>
            <w:tcW w:w="4961" w:type="dxa"/>
          </w:tcPr>
          <w:p w14:paraId="792E44F2" w14:textId="77777777" w:rsidR="008D31EA" w:rsidRPr="0067760F" w:rsidRDefault="008D31EA" w:rsidP="00A02D86">
            <w:pPr>
              <w:pStyle w:val="Listeafsnit"/>
              <w:numPr>
                <w:ilvl w:val="0"/>
                <w:numId w:val="32"/>
              </w:numPr>
              <w:ind w:left="373" w:hanging="283"/>
            </w:pPr>
            <w:r w:rsidRPr="0067760F">
              <w:t>Mundtørhed</w:t>
            </w:r>
          </w:p>
          <w:p w14:paraId="7F17F2A5" w14:textId="77777777" w:rsidR="008D31EA" w:rsidRPr="0067760F" w:rsidRDefault="008D31EA" w:rsidP="00A02D86">
            <w:pPr>
              <w:pStyle w:val="Listeafsnit"/>
              <w:numPr>
                <w:ilvl w:val="0"/>
                <w:numId w:val="32"/>
              </w:numPr>
              <w:ind w:left="373" w:hanging="283"/>
            </w:pPr>
            <w:r w:rsidRPr="0067760F">
              <w:t>Forstoppelse</w:t>
            </w:r>
          </w:p>
          <w:p w14:paraId="348B618C" w14:textId="54C49229" w:rsidR="00646B96" w:rsidRPr="0067760F" w:rsidRDefault="008D31EA" w:rsidP="00A02D86">
            <w:pPr>
              <w:pStyle w:val="Listeafsnit"/>
              <w:numPr>
                <w:ilvl w:val="0"/>
                <w:numId w:val="32"/>
              </w:numPr>
              <w:ind w:left="373" w:hanging="283"/>
            </w:pPr>
            <w:r w:rsidRPr="0067760F">
              <w:t>Kvalme</w:t>
            </w:r>
          </w:p>
        </w:tc>
      </w:tr>
      <w:tr w:rsidR="00C60EA7" w:rsidRPr="0067760F" w14:paraId="75C7E857" w14:textId="77777777" w:rsidTr="00347D37">
        <w:tc>
          <w:tcPr>
            <w:tcW w:w="8500" w:type="dxa"/>
            <w:gridSpan w:val="2"/>
          </w:tcPr>
          <w:p w14:paraId="44010274" w14:textId="4EE8D758" w:rsidR="00C60EA7" w:rsidRPr="0067760F" w:rsidRDefault="00C60EA7" w:rsidP="00C60EA7">
            <w:pPr>
              <w:pStyle w:val="Listeafsnit"/>
            </w:pPr>
            <w:r w:rsidRPr="0067760F">
              <w:rPr>
                <w:b/>
                <w:bCs/>
              </w:rPr>
              <w:t>Hud og subkutane væv</w:t>
            </w:r>
          </w:p>
        </w:tc>
      </w:tr>
      <w:tr w:rsidR="00646B96" w:rsidRPr="0067760F" w14:paraId="330B3125" w14:textId="77777777" w:rsidTr="00347D37">
        <w:tc>
          <w:tcPr>
            <w:tcW w:w="3539" w:type="dxa"/>
          </w:tcPr>
          <w:p w14:paraId="04E11C9A" w14:textId="280A7524" w:rsidR="00646B96" w:rsidRPr="0067760F" w:rsidRDefault="008D31EA" w:rsidP="00C60EA7">
            <w:pPr>
              <w:pStyle w:val="Brdtekst"/>
              <w:tabs>
                <w:tab w:val="left" w:pos="1000"/>
              </w:tabs>
              <w:ind w:left="0"/>
              <w:rPr>
                <w:b/>
                <w:bCs/>
                <w:sz w:val="24"/>
                <w:szCs w:val="24"/>
              </w:rPr>
            </w:pPr>
            <w:r w:rsidRPr="0067760F">
              <w:rPr>
                <w:i/>
                <w:iCs/>
                <w:sz w:val="24"/>
                <w:szCs w:val="24"/>
              </w:rPr>
              <w:t>Ikke almindelig:</w:t>
            </w:r>
          </w:p>
        </w:tc>
        <w:tc>
          <w:tcPr>
            <w:tcW w:w="4961" w:type="dxa"/>
          </w:tcPr>
          <w:p w14:paraId="4B13009C" w14:textId="22A30E40" w:rsidR="00646B96" w:rsidRPr="0067760F" w:rsidRDefault="008D31EA" w:rsidP="00A02D86">
            <w:pPr>
              <w:pStyle w:val="Listeafsnit"/>
              <w:numPr>
                <w:ilvl w:val="0"/>
                <w:numId w:val="33"/>
              </w:numPr>
              <w:ind w:left="373" w:hanging="283"/>
            </w:pPr>
            <w:r w:rsidRPr="0067760F">
              <w:t>Hududslæt</w:t>
            </w:r>
          </w:p>
        </w:tc>
      </w:tr>
      <w:tr w:rsidR="00646B96" w:rsidRPr="0067760F" w14:paraId="0BD4A8FB" w14:textId="77777777" w:rsidTr="00347D37">
        <w:tc>
          <w:tcPr>
            <w:tcW w:w="3539" w:type="dxa"/>
          </w:tcPr>
          <w:p w14:paraId="5CD18ED0" w14:textId="2323E14C" w:rsidR="00646B96" w:rsidRPr="0067760F" w:rsidRDefault="008D31EA" w:rsidP="00C60EA7">
            <w:pPr>
              <w:pStyle w:val="Brdtekst"/>
              <w:tabs>
                <w:tab w:val="left" w:pos="1000"/>
              </w:tabs>
              <w:ind w:left="0"/>
              <w:rPr>
                <w:b/>
                <w:bCs/>
                <w:sz w:val="24"/>
                <w:szCs w:val="24"/>
              </w:rPr>
            </w:pPr>
            <w:r w:rsidRPr="0067760F">
              <w:rPr>
                <w:i/>
                <w:iCs/>
                <w:sz w:val="24"/>
                <w:szCs w:val="24"/>
              </w:rPr>
              <w:t>Ikke kendt</w:t>
            </w:r>
            <w:r w:rsidR="0032431D" w:rsidRPr="0067760F">
              <w:rPr>
                <w:i/>
                <w:iCs/>
                <w:sz w:val="24"/>
                <w:szCs w:val="24"/>
              </w:rPr>
              <w:t>:</w:t>
            </w:r>
          </w:p>
        </w:tc>
        <w:tc>
          <w:tcPr>
            <w:tcW w:w="4961" w:type="dxa"/>
          </w:tcPr>
          <w:p w14:paraId="438A97A6" w14:textId="77777777" w:rsidR="008D31EA" w:rsidRPr="0067760F" w:rsidRDefault="008D31EA" w:rsidP="00A02D86">
            <w:pPr>
              <w:pStyle w:val="Listeafsnit"/>
              <w:numPr>
                <w:ilvl w:val="0"/>
                <w:numId w:val="33"/>
              </w:numPr>
              <w:ind w:left="373" w:hanging="283"/>
            </w:pPr>
            <w:r w:rsidRPr="0067760F">
              <w:t>Lysoverfølsomhedsreaktion</w:t>
            </w:r>
          </w:p>
          <w:p w14:paraId="36E89F2F" w14:textId="77777777" w:rsidR="008D31EA" w:rsidRPr="0067760F" w:rsidRDefault="008D31EA" w:rsidP="00A02D86">
            <w:pPr>
              <w:pStyle w:val="Listeafsnit"/>
              <w:numPr>
                <w:ilvl w:val="0"/>
                <w:numId w:val="33"/>
              </w:numPr>
              <w:ind w:left="373" w:hanging="283"/>
            </w:pPr>
            <w:proofErr w:type="spellStart"/>
            <w:r w:rsidRPr="0067760F">
              <w:t>Urticaria</w:t>
            </w:r>
            <w:proofErr w:type="spellEnd"/>
          </w:p>
          <w:p w14:paraId="152FACC9" w14:textId="77777777" w:rsidR="008D31EA" w:rsidRPr="0067760F" w:rsidRDefault="008D31EA" w:rsidP="00A02D86">
            <w:pPr>
              <w:pStyle w:val="Listeafsnit"/>
              <w:numPr>
                <w:ilvl w:val="0"/>
                <w:numId w:val="33"/>
              </w:numPr>
              <w:ind w:left="373" w:hanging="283"/>
            </w:pPr>
            <w:r w:rsidRPr="0067760F">
              <w:t>Stevens-Johnsons syndrom</w:t>
            </w:r>
          </w:p>
          <w:p w14:paraId="6E609F85" w14:textId="61046546" w:rsidR="00646B96" w:rsidRPr="0067760F" w:rsidRDefault="008D31EA" w:rsidP="00A02D86">
            <w:pPr>
              <w:pStyle w:val="Listeafsnit"/>
              <w:numPr>
                <w:ilvl w:val="0"/>
                <w:numId w:val="33"/>
              </w:numPr>
              <w:ind w:left="373" w:hanging="283"/>
            </w:pPr>
            <w:r w:rsidRPr="0067760F">
              <w:t xml:space="preserve">Toksisk </w:t>
            </w:r>
            <w:proofErr w:type="spellStart"/>
            <w:r w:rsidRPr="0067760F">
              <w:t>epidermal</w:t>
            </w:r>
            <w:proofErr w:type="spellEnd"/>
            <w:r w:rsidRPr="0067760F">
              <w:t xml:space="preserve"> </w:t>
            </w:r>
            <w:proofErr w:type="spellStart"/>
            <w:r w:rsidRPr="0067760F">
              <w:t>nekrolyse</w:t>
            </w:r>
            <w:proofErr w:type="spellEnd"/>
            <w:r w:rsidRPr="0067760F">
              <w:t xml:space="preserve"> (herunder visse tilfælde med dødelig udgang)</w:t>
            </w:r>
          </w:p>
        </w:tc>
      </w:tr>
      <w:tr w:rsidR="00C60EA7" w:rsidRPr="0067760F" w14:paraId="3A1F052B" w14:textId="77777777" w:rsidTr="00347D37">
        <w:tc>
          <w:tcPr>
            <w:tcW w:w="8500" w:type="dxa"/>
            <w:gridSpan w:val="2"/>
          </w:tcPr>
          <w:p w14:paraId="5732276B" w14:textId="09CEFE2F" w:rsidR="00C60EA7" w:rsidRPr="0067760F" w:rsidRDefault="00C60EA7" w:rsidP="00C60EA7">
            <w:pPr>
              <w:rPr>
                <w:sz w:val="24"/>
                <w:szCs w:val="24"/>
              </w:rPr>
            </w:pPr>
            <w:r w:rsidRPr="0067760F">
              <w:rPr>
                <w:b/>
                <w:bCs/>
                <w:sz w:val="24"/>
                <w:szCs w:val="24"/>
              </w:rPr>
              <w:t>Knogler, led, muskler og bindevæv</w:t>
            </w:r>
          </w:p>
        </w:tc>
      </w:tr>
      <w:tr w:rsidR="008D31EA" w:rsidRPr="0067760F" w14:paraId="3AC3AB08" w14:textId="77777777" w:rsidTr="00347D37">
        <w:tc>
          <w:tcPr>
            <w:tcW w:w="3539" w:type="dxa"/>
          </w:tcPr>
          <w:p w14:paraId="16E1CECA" w14:textId="3286F5CE" w:rsidR="008D31EA" w:rsidRPr="0067760F" w:rsidRDefault="008D31EA" w:rsidP="00C60EA7">
            <w:pPr>
              <w:pStyle w:val="Brdtekst"/>
              <w:tabs>
                <w:tab w:val="left" w:pos="1000"/>
              </w:tabs>
              <w:ind w:left="0"/>
              <w:rPr>
                <w:b/>
                <w:bCs/>
                <w:sz w:val="24"/>
                <w:szCs w:val="24"/>
              </w:rPr>
            </w:pPr>
            <w:r w:rsidRPr="0067760F">
              <w:rPr>
                <w:i/>
                <w:iCs/>
                <w:sz w:val="24"/>
                <w:szCs w:val="24"/>
              </w:rPr>
              <w:t>Ikke kendt</w:t>
            </w:r>
            <w:r w:rsidR="0032431D" w:rsidRPr="0067760F">
              <w:rPr>
                <w:i/>
                <w:iCs/>
                <w:sz w:val="24"/>
                <w:szCs w:val="24"/>
              </w:rPr>
              <w:t>:</w:t>
            </w:r>
          </w:p>
        </w:tc>
        <w:tc>
          <w:tcPr>
            <w:tcW w:w="4961" w:type="dxa"/>
          </w:tcPr>
          <w:p w14:paraId="1EE84EF7" w14:textId="77777777" w:rsidR="008D31EA" w:rsidRPr="0067760F" w:rsidRDefault="008D31EA" w:rsidP="00A02D86">
            <w:pPr>
              <w:numPr>
                <w:ilvl w:val="0"/>
                <w:numId w:val="26"/>
              </w:numPr>
              <w:autoSpaceDE w:val="0"/>
              <w:autoSpaceDN w:val="0"/>
              <w:adjustRightInd w:val="0"/>
              <w:ind w:left="373" w:hanging="283"/>
              <w:rPr>
                <w:sz w:val="24"/>
                <w:szCs w:val="24"/>
              </w:rPr>
            </w:pPr>
            <w:r w:rsidRPr="0067760F">
              <w:rPr>
                <w:sz w:val="24"/>
                <w:szCs w:val="24"/>
              </w:rPr>
              <w:t>Muskelspasmer</w:t>
            </w:r>
          </w:p>
          <w:p w14:paraId="6FC6DAC5" w14:textId="512A14FF" w:rsidR="008D31EA" w:rsidRPr="0067760F" w:rsidRDefault="008D31EA" w:rsidP="00A02D86">
            <w:pPr>
              <w:pStyle w:val="Listeafsnit"/>
              <w:numPr>
                <w:ilvl w:val="0"/>
                <w:numId w:val="26"/>
              </w:numPr>
              <w:ind w:left="373" w:hanging="283"/>
            </w:pPr>
            <w:r w:rsidRPr="0067760F">
              <w:t>Muskelsvaghed</w:t>
            </w:r>
          </w:p>
        </w:tc>
      </w:tr>
      <w:tr w:rsidR="00C60EA7" w:rsidRPr="0067760F" w14:paraId="5F202BA8" w14:textId="77777777" w:rsidTr="00347D37">
        <w:tc>
          <w:tcPr>
            <w:tcW w:w="8500" w:type="dxa"/>
            <w:gridSpan w:val="2"/>
          </w:tcPr>
          <w:p w14:paraId="48AAE501" w14:textId="002194B0" w:rsidR="00C60EA7" w:rsidRPr="0067760F" w:rsidRDefault="00C60EA7" w:rsidP="00C60EA7">
            <w:pPr>
              <w:pStyle w:val="Listeafsnit"/>
            </w:pPr>
            <w:r w:rsidRPr="0067760F">
              <w:rPr>
                <w:b/>
                <w:bCs/>
              </w:rPr>
              <w:t>Almene symptomer og reaktioner på administrationsstedet</w:t>
            </w:r>
          </w:p>
        </w:tc>
      </w:tr>
      <w:tr w:rsidR="008D31EA" w:rsidRPr="0067760F" w14:paraId="385AC4F6" w14:textId="77777777" w:rsidTr="00347D37">
        <w:tc>
          <w:tcPr>
            <w:tcW w:w="3539" w:type="dxa"/>
          </w:tcPr>
          <w:p w14:paraId="620BA2AF" w14:textId="7E90A777" w:rsidR="008D31EA" w:rsidRPr="0067760F" w:rsidRDefault="0003744D" w:rsidP="00C60EA7">
            <w:pPr>
              <w:pStyle w:val="Brdtekst"/>
              <w:tabs>
                <w:tab w:val="left" w:pos="1000"/>
              </w:tabs>
              <w:ind w:left="0"/>
              <w:rPr>
                <w:b/>
                <w:bCs/>
                <w:sz w:val="24"/>
                <w:szCs w:val="24"/>
              </w:rPr>
            </w:pPr>
            <w:r w:rsidRPr="0067760F">
              <w:rPr>
                <w:i/>
                <w:sz w:val="24"/>
                <w:szCs w:val="24"/>
              </w:rPr>
              <w:t>Meget almindelig</w:t>
            </w:r>
            <w:r w:rsidR="0032431D" w:rsidRPr="0067760F">
              <w:rPr>
                <w:i/>
                <w:sz w:val="24"/>
                <w:szCs w:val="24"/>
              </w:rPr>
              <w:t>:</w:t>
            </w:r>
          </w:p>
        </w:tc>
        <w:tc>
          <w:tcPr>
            <w:tcW w:w="4961" w:type="dxa"/>
          </w:tcPr>
          <w:p w14:paraId="736D04B7" w14:textId="0DFF5DBF" w:rsidR="008D31EA" w:rsidRPr="0067760F" w:rsidRDefault="0003744D" w:rsidP="00A02D86">
            <w:pPr>
              <w:pStyle w:val="Listeafsnit"/>
              <w:numPr>
                <w:ilvl w:val="0"/>
                <w:numId w:val="26"/>
              </w:numPr>
              <w:ind w:left="373" w:hanging="283"/>
            </w:pPr>
            <w:r w:rsidRPr="0067760F">
              <w:t>Træthed</w:t>
            </w:r>
            <w:r w:rsidRPr="0067760F">
              <w:rPr>
                <w:vertAlign w:val="superscript"/>
              </w:rPr>
              <w:t>4</w:t>
            </w:r>
          </w:p>
        </w:tc>
      </w:tr>
      <w:tr w:rsidR="0003744D" w:rsidRPr="0067760F" w14:paraId="036B267D" w14:textId="77777777" w:rsidTr="00347D37">
        <w:tc>
          <w:tcPr>
            <w:tcW w:w="3539" w:type="dxa"/>
          </w:tcPr>
          <w:p w14:paraId="09777DEB" w14:textId="3C03763F" w:rsidR="0003744D" w:rsidRPr="0067760F" w:rsidRDefault="0003744D" w:rsidP="00C60EA7">
            <w:pPr>
              <w:pStyle w:val="Brdtekst"/>
              <w:tabs>
                <w:tab w:val="left" w:pos="1000"/>
              </w:tabs>
              <w:ind w:left="0"/>
              <w:rPr>
                <w:i/>
                <w:sz w:val="24"/>
                <w:szCs w:val="24"/>
              </w:rPr>
            </w:pPr>
            <w:r w:rsidRPr="0067760F">
              <w:rPr>
                <w:i/>
                <w:iCs/>
                <w:sz w:val="24"/>
                <w:szCs w:val="24"/>
              </w:rPr>
              <w:t>Ikke kendt:</w:t>
            </w:r>
          </w:p>
        </w:tc>
        <w:tc>
          <w:tcPr>
            <w:tcW w:w="4961" w:type="dxa"/>
          </w:tcPr>
          <w:p w14:paraId="5C0E4096" w14:textId="77777777" w:rsidR="0003744D" w:rsidRPr="0067760F" w:rsidRDefault="0003744D" w:rsidP="00A02D86">
            <w:pPr>
              <w:numPr>
                <w:ilvl w:val="0"/>
                <w:numId w:val="26"/>
              </w:numPr>
              <w:autoSpaceDE w:val="0"/>
              <w:autoSpaceDN w:val="0"/>
              <w:adjustRightInd w:val="0"/>
              <w:ind w:left="373" w:hanging="283"/>
              <w:rPr>
                <w:sz w:val="24"/>
                <w:szCs w:val="24"/>
              </w:rPr>
            </w:pPr>
            <w:r w:rsidRPr="0067760F">
              <w:rPr>
                <w:sz w:val="24"/>
                <w:szCs w:val="24"/>
              </w:rPr>
              <w:t>Langsom respons på stimuli</w:t>
            </w:r>
          </w:p>
          <w:p w14:paraId="4826612F" w14:textId="29D0A87D" w:rsidR="0003744D" w:rsidRPr="0067760F" w:rsidRDefault="0003744D" w:rsidP="00A02D86">
            <w:pPr>
              <w:pStyle w:val="Listeafsnit"/>
              <w:numPr>
                <w:ilvl w:val="0"/>
                <w:numId w:val="26"/>
              </w:numPr>
              <w:ind w:left="373" w:hanging="283"/>
            </w:pPr>
            <w:proofErr w:type="spellStart"/>
            <w:r w:rsidRPr="0067760F">
              <w:t>Hypotermi</w:t>
            </w:r>
            <w:proofErr w:type="spellEnd"/>
          </w:p>
        </w:tc>
      </w:tr>
      <w:tr w:rsidR="0003744D" w:rsidRPr="0067760F" w14:paraId="3A9E0187" w14:textId="77777777" w:rsidTr="00347D37">
        <w:tc>
          <w:tcPr>
            <w:tcW w:w="3539" w:type="dxa"/>
          </w:tcPr>
          <w:p w14:paraId="5061CFCE" w14:textId="2B661611" w:rsidR="0003744D" w:rsidRPr="0067760F" w:rsidRDefault="0003744D" w:rsidP="00C60EA7">
            <w:pPr>
              <w:pStyle w:val="Brdtekst"/>
              <w:tabs>
                <w:tab w:val="left" w:pos="1000"/>
              </w:tabs>
              <w:ind w:left="0"/>
              <w:rPr>
                <w:i/>
                <w:iCs/>
                <w:sz w:val="24"/>
                <w:szCs w:val="24"/>
              </w:rPr>
            </w:pPr>
            <w:r w:rsidRPr="0067760F">
              <w:rPr>
                <w:i/>
                <w:iCs/>
                <w:sz w:val="24"/>
                <w:szCs w:val="24"/>
              </w:rPr>
              <w:t>Ikke almindelig:</w:t>
            </w:r>
          </w:p>
        </w:tc>
        <w:tc>
          <w:tcPr>
            <w:tcW w:w="4961" w:type="dxa"/>
          </w:tcPr>
          <w:p w14:paraId="536DE95A" w14:textId="3E4A5D69" w:rsidR="0003744D" w:rsidRPr="0067760F" w:rsidRDefault="0003744D" w:rsidP="00A02D86">
            <w:pPr>
              <w:pStyle w:val="Listeafsnit"/>
              <w:numPr>
                <w:ilvl w:val="0"/>
                <w:numId w:val="34"/>
              </w:numPr>
              <w:ind w:left="373" w:hanging="283"/>
            </w:pPr>
            <w:r w:rsidRPr="0067760F">
              <w:t>Vægtforøgelse</w:t>
            </w:r>
            <w:r w:rsidRPr="0067760F">
              <w:rPr>
                <w:vertAlign w:val="superscript"/>
              </w:rPr>
              <w:t>2,3</w:t>
            </w:r>
          </w:p>
        </w:tc>
      </w:tr>
      <w:tr w:rsidR="00C60EA7" w:rsidRPr="0067760F" w14:paraId="0EC6571C" w14:textId="77777777" w:rsidTr="00347D37">
        <w:tc>
          <w:tcPr>
            <w:tcW w:w="8500" w:type="dxa"/>
            <w:gridSpan w:val="2"/>
          </w:tcPr>
          <w:p w14:paraId="7F1975BA" w14:textId="17DF4E05" w:rsidR="00C60EA7" w:rsidRPr="0067760F" w:rsidRDefault="00C60EA7" w:rsidP="00C60EA7">
            <w:pPr>
              <w:autoSpaceDE w:val="0"/>
              <w:autoSpaceDN w:val="0"/>
              <w:adjustRightInd w:val="0"/>
              <w:rPr>
                <w:sz w:val="24"/>
                <w:szCs w:val="24"/>
              </w:rPr>
            </w:pPr>
            <w:r w:rsidRPr="0067760F">
              <w:rPr>
                <w:b/>
                <w:sz w:val="24"/>
                <w:szCs w:val="24"/>
              </w:rPr>
              <w:t>Traumer, forgiftninger og behandlingskomplikationer</w:t>
            </w:r>
          </w:p>
        </w:tc>
      </w:tr>
      <w:tr w:rsidR="0003744D" w:rsidRPr="0067760F" w14:paraId="206AE7A0" w14:textId="77777777" w:rsidTr="00347D37">
        <w:tc>
          <w:tcPr>
            <w:tcW w:w="3539" w:type="dxa"/>
          </w:tcPr>
          <w:p w14:paraId="045694E1" w14:textId="0E7572F3" w:rsidR="0003744D" w:rsidRPr="0067760F" w:rsidRDefault="0003744D" w:rsidP="00C60EA7">
            <w:pPr>
              <w:pStyle w:val="Brdtekst"/>
              <w:tabs>
                <w:tab w:val="left" w:pos="1000"/>
              </w:tabs>
              <w:ind w:left="0"/>
              <w:rPr>
                <w:b/>
                <w:sz w:val="24"/>
                <w:szCs w:val="24"/>
              </w:rPr>
            </w:pPr>
            <w:r w:rsidRPr="0067760F">
              <w:rPr>
                <w:i/>
                <w:iCs/>
                <w:sz w:val="24"/>
                <w:szCs w:val="24"/>
              </w:rPr>
              <w:t>Ikke almindelig</w:t>
            </w:r>
            <w:r w:rsidR="0032431D" w:rsidRPr="0067760F">
              <w:rPr>
                <w:i/>
                <w:iCs/>
                <w:sz w:val="24"/>
                <w:szCs w:val="24"/>
              </w:rPr>
              <w:t>:</w:t>
            </w:r>
          </w:p>
        </w:tc>
        <w:tc>
          <w:tcPr>
            <w:tcW w:w="4961" w:type="dxa"/>
          </w:tcPr>
          <w:p w14:paraId="089A3EE1" w14:textId="637EF9E4" w:rsidR="0003744D" w:rsidRPr="0067760F" w:rsidRDefault="0003744D" w:rsidP="00A02D86">
            <w:pPr>
              <w:pStyle w:val="Listeafsnit"/>
              <w:numPr>
                <w:ilvl w:val="0"/>
                <w:numId w:val="34"/>
              </w:numPr>
              <w:ind w:left="373" w:hanging="283"/>
            </w:pPr>
            <w:r w:rsidRPr="0067760F">
              <w:t>Fald</w:t>
            </w:r>
          </w:p>
        </w:tc>
      </w:tr>
    </w:tbl>
    <w:p w14:paraId="5B06EEE9" w14:textId="77777777" w:rsidR="00773191" w:rsidRPr="0067760F" w:rsidRDefault="00773191" w:rsidP="00801A18">
      <w:pPr>
        <w:kinsoku w:val="0"/>
        <w:overflowPunct w:val="0"/>
        <w:ind w:left="851"/>
        <w:rPr>
          <w:sz w:val="24"/>
          <w:szCs w:val="24"/>
        </w:rPr>
      </w:pPr>
      <w:bookmarkStart w:id="6" w:name="_Hlk534203499"/>
      <w:r w:rsidRPr="0067760F">
        <w:rPr>
          <w:sz w:val="24"/>
          <w:szCs w:val="24"/>
        </w:rPr>
        <w:t>1. især efter længerevarende brug (se pkt. 4.4)</w:t>
      </w:r>
    </w:p>
    <w:p w14:paraId="34085516" w14:textId="77777777" w:rsidR="00773191" w:rsidRPr="0067760F" w:rsidRDefault="00773191" w:rsidP="00801A18">
      <w:pPr>
        <w:kinsoku w:val="0"/>
        <w:overflowPunct w:val="0"/>
        <w:ind w:left="851"/>
        <w:rPr>
          <w:sz w:val="24"/>
          <w:szCs w:val="24"/>
        </w:rPr>
      </w:pPr>
      <w:r w:rsidRPr="0067760F">
        <w:rPr>
          <w:sz w:val="24"/>
          <w:szCs w:val="24"/>
        </w:rPr>
        <w:t>2. især ved høje doser eller ved længerevarende behandling</w:t>
      </w:r>
    </w:p>
    <w:p w14:paraId="3EB4EACF" w14:textId="77777777" w:rsidR="00773191" w:rsidRPr="0067760F" w:rsidRDefault="00773191" w:rsidP="00801A18">
      <w:pPr>
        <w:ind w:left="851"/>
        <w:rPr>
          <w:sz w:val="24"/>
          <w:szCs w:val="24"/>
        </w:rPr>
      </w:pPr>
      <w:r w:rsidRPr="0067760F">
        <w:rPr>
          <w:sz w:val="24"/>
          <w:szCs w:val="24"/>
        </w:rPr>
        <w:t>3. er reversibel</w:t>
      </w:r>
    </w:p>
    <w:p w14:paraId="3DA0DB6B" w14:textId="77777777" w:rsidR="00773191" w:rsidRPr="0067760F" w:rsidRDefault="00773191" w:rsidP="00801A18">
      <w:pPr>
        <w:ind w:left="851"/>
        <w:rPr>
          <w:sz w:val="24"/>
          <w:szCs w:val="24"/>
        </w:rPr>
      </w:pPr>
      <w:r w:rsidRPr="0067760F">
        <w:rPr>
          <w:sz w:val="24"/>
          <w:szCs w:val="24"/>
        </w:rPr>
        <w:t>4. især ved behandlingsstart og ved brug af højere doser</w:t>
      </w:r>
    </w:p>
    <w:p w14:paraId="5F0E7801" w14:textId="77777777" w:rsidR="00773191" w:rsidRPr="0067760F" w:rsidRDefault="00773191" w:rsidP="00801A18">
      <w:pPr>
        <w:ind w:left="851"/>
        <w:rPr>
          <w:sz w:val="24"/>
          <w:szCs w:val="24"/>
        </w:rPr>
      </w:pPr>
      <w:r w:rsidRPr="0067760F">
        <w:rPr>
          <w:sz w:val="24"/>
          <w:szCs w:val="24"/>
        </w:rPr>
        <w:t>5. i det normale dosisinterval, men især ved højere dosisniveauer</w:t>
      </w:r>
    </w:p>
    <w:p w14:paraId="491E99ED" w14:textId="77777777" w:rsidR="00773191" w:rsidRPr="0067760F" w:rsidRDefault="00773191" w:rsidP="00801A18">
      <w:pPr>
        <w:ind w:left="851"/>
        <w:rPr>
          <w:sz w:val="24"/>
          <w:szCs w:val="24"/>
        </w:rPr>
      </w:pPr>
      <w:r w:rsidRPr="0067760F">
        <w:rPr>
          <w:sz w:val="24"/>
          <w:szCs w:val="24"/>
        </w:rPr>
        <w:t>6. især hos ældre patienter. Kan være kombineret med respiratoriske forstyrrelser</w:t>
      </w:r>
    </w:p>
    <w:bookmarkEnd w:id="6"/>
    <w:p w14:paraId="3603F197" w14:textId="77777777" w:rsidR="00773191" w:rsidRPr="0067760F" w:rsidRDefault="00773191" w:rsidP="00773191">
      <w:pPr>
        <w:kinsoku w:val="0"/>
        <w:overflowPunct w:val="0"/>
        <w:rPr>
          <w:sz w:val="24"/>
          <w:szCs w:val="24"/>
        </w:rPr>
      </w:pPr>
    </w:p>
    <w:p w14:paraId="5057F530" w14:textId="77777777" w:rsidR="00773191" w:rsidRPr="0067760F" w:rsidRDefault="00773191" w:rsidP="00773191">
      <w:pPr>
        <w:pStyle w:val="Brdtekst"/>
        <w:kinsoku w:val="0"/>
        <w:overflowPunct w:val="0"/>
        <w:ind w:left="851" w:hanging="3"/>
        <w:jc w:val="both"/>
        <w:rPr>
          <w:sz w:val="24"/>
          <w:szCs w:val="24"/>
        </w:rPr>
      </w:pPr>
      <w:r w:rsidRPr="0067760F">
        <w:rPr>
          <w:sz w:val="24"/>
          <w:szCs w:val="24"/>
        </w:rPr>
        <w:t>Som med andre benzodiazepiner skal den terapeutiske fordel sammenholdes med risikoen for tilvænning og afhængighed ved langvarig brug.</w:t>
      </w:r>
    </w:p>
    <w:p w14:paraId="59660947" w14:textId="77777777" w:rsidR="00773191" w:rsidRPr="0067760F" w:rsidRDefault="00773191" w:rsidP="00773191">
      <w:pPr>
        <w:kinsoku w:val="0"/>
        <w:overflowPunct w:val="0"/>
        <w:ind w:left="851"/>
        <w:rPr>
          <w:sz w:val="24"/>
          <w:szCs w:val="24"/>
        </w:rPr>
      </w:pPr>
    </w:p>
    <w:p w14:paraId="7030676E" w14:textId="77777777" w:rsidR="00423200" w:rsidRPr="0067760F" w:rsidRDefault="00423200" w:rsidP="00423200">
      <w:pPr>
        <w:autoSpaceDE w:val="0"/>
        <w:autoSpaceDN w:val="0"/>
        <w:ind w:left="851"/>
        <w:rPr>
          <w:sz w:val="24"/>
          <w:szCs w:val="24"/>
          <w:u w:val="single"/>
        </w:rPr>
      </w:pPr>
      <w:r w:rsidRPr="0067760F">
        <w:rPr>
          <w:sz w:val="24"/>
          <w:szCs w:val="24"/>
          <w:u w:val="single"/>
        </w:rPr>
        <w:t>Indberetning af formodede bivirkninger</w:t>
      </w:r>
    </w:p>
    <w:p w14:paraId="0BFCEC90" w14:textId="77777777" w:rsidR="00423200" w:rsidRPr="0067760F" w:rsidRDefault="00423200" w:rsidP="00423200">
      <w:pPr>
        <w:ind w:left="851"/>
        <w:rPr>
          <w:sz w:val="24"/>
          <w:szCs w:val="24"/>
        </w:rPr>
      </w:pPr>
      <w:r w:rsidRPr="0067760F">
        <w:rPr>
          <w:sz w:val="24"/>
          <w:szCs w:val="24"/>
        </w:rPr>
        <w:t>Når lægemidlet er godkendt, er indberetning af formodede bivirkninger vigtig. Det muliggør løbende overvågning af benefit/</w:t>
      </w:r>
      <w:proofErr w:type="spellStart"/>
      <w:r w:rsidRPr="0067760F">
        <w:rPr>
          <w:sz w:val="24"/>
          <w:szCs w:val="24"/>
        </w:rPr>
        <w:t>risk</w:t>
      </w:r>
      <w:proofErr w:type="spellEnd"/>
      <w:r w:rsidRPr="0067760F">
        <w:rPr>
          <w:sz w:val="24"/>
          <w:szCs w:val="24"/>
        </w:rPr>
        <w:t>-forholdet for lægemidlet. Sundhedspersoner anmodes om at indberette alle formodede bivirkninger via:</w:t>
      </w:r>
    </w:p>
    <w:p w14:paraId="010BFEB3" w14:textId="385BE9B4" w:rsidR="00FA3328" w:rsidRDefault="00FA3328">
      <w:pPr>
        <w:rPr>
          <w:sz w:val="24"/>
          <w:szCs w:val="24"/>
        </w:rPr>
      </w:pPr>
      <w:r>
        <w:rPr>
          <w:sz w:val="24"/>
          <w:szCs w:val="24"/>
        </w:rPr>
        <w:br w:type="page"/>
      </w:r>
    </w:p>
    <w:p w14:paraId="3921613A" w14:textId="77777777" w:rsidR="00423200" w:rsidRPr="0067760F" w:rsidRDefault="00423200" w:rsidP="00423200">
      <w:pPr>
        <w:tabs>
          <w:tab w:val="left" w:pos="2440"/>
        </w:tabs>
        <w:ind w:left="851"/>
        <w:rPr>
          <w:sz w:val="24"/>
          <w:szCs w:val="24"/>
        </w:rPr>
      </w:pPr>
    </w:p>
    <w:p w14:paraId="4436B6D9" w14:textId="77777777" w:rsidR="00423200" w:rsidRPr="0067760F" w:rsidRDefault="00423200" w:rsidP="00423200">
      <w:pPr>
        <w:ind w:left="851"/>
        <w:rPr>
          <w:sz w:val="24"/>
          <w:szCs w:val="24"/>
        </w:rPr>
      </w:pPr>
      <w:r w:rsidRPr="0067760F">
        <w:rPr>
          <w:sz w:val="24"/>
          <w:szCs w:val="24"/>
        </w:rPr>
        <w:t>Lægemiddelstyrelsen</w:t>
      </w:r>
    </w:p>
    <w:p w14:paraId="021187EA" w14:textId="77777777" w:rsidR="00423200" w:rsidRPr="0067760F" w:rsidRDefault="00423200" w:rsidP="00423200">
      <w:pPr>
        <w:ind w:left="851"/>
        <w:rPr>
          <w:sz w:val="24"/>
          <w:szCs w:val="24"/>
        </w:rPr>
      </w:pPr>
      <w:r w:rsidRPr="0067760F">
        <w:rPr>
          <w:sz w:val="24"/>
          <w:szCs w:val="24"/>
        </w:rPr>
        <w:t>Axel Heides Gade 1</w:t>
      </w:r>
    </w:p>
    <w:p w14:paraId="7597DC38" w14:textId="77777777" w:rsidR="00423200" w:rsidRPr="0067760F" w:rsidRDefault="00423200" w:rsidP="00423200">
      <w:pPr>
        <w:ind w:left="851"/>
        <w:rPr>
          <w:sz w:val="24"/>
          <w:szCs w:val="24"/>
        </w:rPr>
      </w:pPr>
      <w:r w:rsidRPr="0067760F">
        <w:rPr>
          <w:sz w:val="24"/>
          <w:szCs w:val="24"/>
        </w:rPr>
        <w:t>DK-2300 København S</w:t>
      </w:r>
    </w:p>
    <w:p w14:paraId="5DE843BC" w14:textId="77777777" w:rsidR="00423200" w:rsidRPr="0067760F" w:rsidRDefault="00423200" w:rsidP="00423200">
      <w:pPr>
        <w:ind w:left="851"/>
        <w:rPr>
          <w:sz w:val="24"/>
          <w:szCs w:val="24"/>
        </w:rPr>
      </w:pPr>
      <w:r w:rsidRPr="0067760F">
        <w:rPr>
          <w:sz w:val="24"/>
          <w:szCs w:val="24"/>
        </w:rPr>
        <w:t xml:space="preserve">Websted: </w:t>
      </w:r>
      <w:hyperlink r:id="rId8" w:history="1">
        <w:r w:rsidRPr="0067760F">
          <w:rPr>
            <w:rStyle w:val="Hyperlink"/>
            <w:sz w:val="24"/>
            <w:szCs w:val="24"/>
          </w:rPr>
          <w:t>www.meldenbivirkning.dk</w:t>
        </w:r>
      </w:hyperlink>
    </w:p>
    <w:p w14:paraId="282C0788" w14:textId="77777777" w:rsidR="009260DE" w:rsidRPr="0067760F" w:rsidRDefault="009260DE" w:rsidP="009260DE">
      <w:pPr>
        <w:pStyle w:val="Sidehoved"/>
        <w:tabs>
          <w:tab w:val="left" w:pos="851"/>
        </w:tabs>
        <w:ind w:left="851"/>
        <w:rPr>
          <w:szCs w:val="24"/>
        </w:rPr>
      </w:pPr>
    </w:p>
    <w:p w14:paraId="3C29BB88" w14:textId="77777777" w:rsidR="009260DE" w:rsidRPr="0067760F" w:rsidRDefault="009260DE" w:rsidP="009260DE">
      <w:pPr>
        <w:tabs>
          <w:tab w:val="left" w:pos="851"/>
        </w:tabs>
        <w:ind w:left="851" w:hanging="851"/>
        <w:rPr>
          <w:b/>
          <w:sz w:val="24"/>
          <w:szCs w:val="24"/>
        </w:rPr>
      </w:pPr>
      <w:r w:rsidRPr="0067760F">
        <w:rPr>
          <w:b/>
          <w:sz w:val="24"/>
          <w:szCs w:val="24"/>
        </w:rPr>
        <w:t>4.9</w:t>
      </w:r>
      <w:r w:rsidRPr="0067760F">
        <w:rPr>
          <w:b/>
          <w:sz w:val="24"/>
          <w:szCs w:val="24"/>
        </w:rPr>
        <w:tab/>
        <w:t>Overdosering</w:t>
      </w:r>
    </w:p>
    <w:p w14:paraId="052E255F" w14:textId="77777777" w:rsidR="00773191" w:rsidRPr="0067760F" w:rsidRDefault="00773191" w:rsidP="00EA3C83">
      <w:pPr>
        <w:ind w:left="851"/>
        <w:rPr>
          <w:sz w:val="24"/>
          <w:szCs w:val="24"/>
        </w:rPr>
      </w:pPr>
      <w:r w:rsidRPr="0067760F">
        <w:rPr>
          <w:sz w:val="24"/>
          <w:szCs w:val="24"/>
        </w:rPr>
        <w:t xml:space="preserve">Overdosering af benzodiazepiner manifesteres normalt som CNS-depression af forskellig grad spændende fra døsighed til koma. I milde tilfælde inkluderer symptomerne døsighed, mental forvirring og letargi. I mere alvorlige tilfælde kan symptomerne omfatte </w:t>
      </w:r>
      <w:proofErr w:type="spellStart"/>
      <w:r w:rsidRPr="0067760F">
        <w:rPr>
          <w:sz w:val="24"/>
          <w:szCs w:val="24"/>
        </w:rPr>
        <w:t>ataksi</w:t>
      </w:r>
      <w:proofErr w:type="spellEnd"/>
      <w:r w:rsidRPr="0067760F">
        <w:rPr>
          <w:sz w:val="24"/>
          <w:szCs w:val="24"/>
        </w:rPr>
        <w:t xml:space="preserve">, </w:t>
      </w:r>
      <w:proofErr w:type="spellStart"/>
      <w:r w:rsidRPr="0067760F">
        <w:rPr>
          <w:sz w:val="24"/>
          <w:szCs w:val="24"/>
        </w:rPr>
        <w:t>hypotoni</w:t>
      </w:r>
      <w:proofErr w:type="spellEnd"/>
      <w:r w:rsidRPr="0067760F">
        <w:rPr>
          <w:sz w:val="24"/>
          <w:szCs w:val="24"/>
        </w:rPr>
        <w:t>, hypotension, respirationsdepression, sjældent koma og meget sjældent dødsfald. Som med andre benzodiazepiner er overdosering ikke livstruende, medmindre de kombineres med andre CNS-</w:t>
      </w:r>
      <w:proofErr w:type="spellStart"/>
      <w:r w:rsidRPr="0067760F">
        <w:rPr>
          <w:sz w:val="24"/>
          <w:szCs w:val="24"/>
        </w:rPr>
        <w:t>depressiva</w:t>
      </w:r>
      <w:proofErr w:type="spellEnd"/>
      <w:r w:rsidRPr="0067760F">
        <w:rPr>
          <w:sz w:val="24"/>
          <w:szCs w:val="24"/>
        </w:rPr>
        <w:t xml:space="preserve"> (inklusive alkohol).</w:t>
      </w:r>
    </w:p>
    <w:p w14:paraId="565C6615" w14:textId="77777777" w:rsidR="00773191" w:rsidRPr="0067760F" w:rsidRDefault="00773191" w:rsidP="00EA3C83">
      <w:pPr>
        <w:ind w:left="851"/>
        <w:rPr>
          <w:sz w:val="24"/>
          <w:szCs w:val="24"/>
        </w:rPr>
      </w:pPr>
    </w:p>
    <w:p w14:paraId="31C512CA" w14:textId="77777777" w:rsidR="00773191" w:rsidRPr="0067760F" w:rsidRDefault="00773191" w:rsidP="00EA3C83">
      <w:pPr>
        <w:ind w:left="851"/>
        <w:rPr>
          <w:sz w:val="24"/>
          <w:szCs w:val="24"/>
        </w:rPr>
      </w:pPr>
      <w:r w:rsidRPr="0067760F">
        <w:rPr>
          <w:sz w:val="24"/>
          <w:szCs w:val="24"/>
        </w:rPr>
        <w:t>Ved behandling af overdosering anbefales det at tage en eventuel påvirkning fra flere midler i betragtning.</w:t>
      </w:r>
    </w:p>
    <w:p w14:paraId="706E9D15" w14:textId="77777777" w:rsidR="00773191" w:rsidRPr="0067760F" w:rsidRDefault="00773191" w:rsidP="00EA3C83">
      <w:pPr>
        <w:ind w:left="851"/>
        <w:rPr>
          <w:sz w:val="24"/>
          <w:szCs w:val="24"/>
        </w:rPr>
      </w:pPr>
    </w:p>
    <w:p w14:paraId="5E8D1654" w14:textId="77777777" w:rsidR="00773191" w:rsidRPr="0067760F" w:rsidRDefault="00773191" w:rsidP="00EA3C83">
      <w:pPr>
        <w:ind w:left="851"/>
        <w:rPr>
          <w:spacing w:val="-2"/>
          <w:sz w:val="24"/>
          <w:szCs w:val="24"/>
        </w:rPr>
      </w:pPr>
      <w:r w:rsidRPr="0067760F">
        <w:rPr>
          <w:sz w:val="24"/>
          <w:szCs w:val="24"/>
        </w:rPr>
        <w:t xml:space="preserve">Intravenøs administration af væske og generelt støttende forholdsregler kan anvendes som et supplement til overvågning af bevidsthed, respiration, hjertefrekvens og blodtryk. Der bør gives aktivt kul for at reducere absorptionen. </w:t>
      </w:r>
    </w:p>
    <w:p w14:paraId="659E7D57" w14:textId="77777777" w:rsidR="00773191" w:rsidRPr="0067760F" w:rsidRDefault="00773191" w:rsidP="00EA3C83">
      <w:pPr>
        <w:ind w:left="851"/>
        <w:rPr>
          <w:sz w:val="24"/>
          <w:szCs w:val="24"/>
        </w:rPr>
      </w:pPr>
    </w:p>
    <w:p w14:paraId="0C3B50DE" w14:textId="77777777" w:rsidR="00773191" w:rsidRPr="0067760F" w:rsidRDefault="00773191" w:rsidP="00EA3C83">
      <w:pPr>
        <w:ind w:left="851"/>
        <w:rPr>
          <w:spacing w:val="-2"/>
          <w:sz w:val="24"/>
          <w:szCs w:val="24"/>
        </w:rPr>
      </w:pPr>
      <w:r w:rsidRPr="0067760F">
        <w:rPr>
          <w:sz w:val="24"/>
          <w:szCs w:val="24"/>
        </w:rPr>
        <w:t>Der bør være udstyr tilgængeligt til behandling af komplikationer som f.eks. luftvejsobstruktion eller åndedrætsbesvær.</w:t>
      </w:r>
    </w:p>
    <w:p w14:paraId="5A9A1B74" w14:textId="77777777" w:rsidR="00773191" w:rsidRPr="0067760F" w:rsidRDefault="00773191" w:rsidP="00EA3C83">
      <w:pPr>
        <w:ind w:left="851"/>
        <w:rPr>
          <w:spacing w:val="-2"/>
          <w:sz w:val="24"/>
          <w:szCs w:val="24"/>
        </w:rPr>
      </w:pPr>
      <w:r w:rsidRPr="0067760F">
        <w:rPr>
          <w:sz w:val="24"/>
          <w:szCs w:val="24"/>
        </w:rPr>
        <w:t xml:space="preserve">Hypotension kan behandles med plasmasubstitut og med </w:t>
      </w:r>
      <w:proofErr w:type="spellStart"/>
      <w:r w:rsidRPr="0067760F">
        <w:rPr>
          <w:sz w:val="24"/>
          <w:szCs w:val="24"/>
        </w:rPr>
        <w:t>sympatomimetika</w:t>
      </w:r>
      <w:proofErr w:type="spellEnd"/>
      <w:r w:rsidRPr="0067760F">
        <w:rPr>
          <w:sz w:val="24"/>
          <w:szCs w:val="24"/>
        </w:rPr>
        <w:t xml:space="preserve"> ved behov.</w:t>
      </w:r>
    </w:p>
    <w:p w14:paraId="651C23EE" w14:textId="77777777" w:rsidR="00773191" w:rsidRPr="0067760F" w:rsidRDefault="00773191" w:rsidP="00EA3C83">
      <w:pPr>
        <w:ind w:left="851"/>
        <w:rPr>
          <w:sz w:val="24"/>
          <w:szCs w:val="24"/>
        </w:rPr>
      </w:pPr>
    </w:p>
    <w:p w14:paraId="039B45CB" w14:textId="77777777" w:rsidR="00773191" w:rsidRPr="0067760F" w:rsidRDefault="00773191" w:rsidP="00EA3C83">
      <w:pPr>
        <w:ind w:left="851"/>
        <w:rPr>
          <w:sz w:val="24"/>
          <w:szCs w:val="24"/>
        </w:rPr>
      </w:pPr>
      <w:r w:rsidRPr="0067760F">
        <w:rPr>
          <w:sz w:val="24"/>
          <w:szCs w:val="24"/>
        </w:rPr>
        <w:t xml:space="preserve">Sekundær eliminering af </w:t>
      </w:r>
      <w:proofErr w:type="spellStart"/>
      <w:r w:rsidRPr="0067760F">
        <w:rPr>
          <w:sz w:val="24"/>
          <w:szCs w:val="24"/>
        </w:rPr>
        <w:t>clobazam</w:t>
      </w:r>
      <w:proofErr w:type="spellEnd"/>
      <w:r w:rsidRPr="0067760F">
        <w:rPr>
          <w:sz w:val="24"/>
          <w:szCs w:val="24"/>
        </w:rPr>
        <w:t xml:space="preserve"> (gennem forceret diurese eller hæmodialyse) er ineffektiv.</w:t>
      </w:r>
    </w:p>
    <w:p w14:paraId="76D13889" w14:textId="77777777" w:rsidR="00773191" w:rsidRPr="0067760F" w:rsidRDefault="00773191" w:rsidP="00EA3C83">
      <w:pPr>
        <w:ind w:left="851"/>
        <w:rPr>
          <w:sz w:val="24"/>
          <w:szCs w:val="24"/>
        </w:rPr>
      </w:pPr>
    </w:p>
    <w:p w14:paraId="5372DE06" w14:textId="77777777" w:rsidR="00773191" w:rsidRPr="0067760F" w:rsidRDefault="00773191" w:rsidP="00EA3C83">
      <w:pPr>
        <w:ind w:left="851"/>
        <w:rPr>
          <w:sz w:val="24"/>
          <w:szCs w:val="24"/>
        </w:rPr>
      </w:pPr>
      <w:r w:rsidRPr="0067760F">
        <w:rPr>
          <w:sz w:val="24"/>
          <w:szCs w:val="24"/>
        </w:rPr>
        <w:t xml:space="preserve">Anvendelse af </w:t>
      </w:r>
      <w:proofErr w:type="spellStart"/>
      <w:r w:rsidRPr="0067760F">
        <w:rPr>
          <w:sz w:val="24"/>
          <w:szCs w:val="24"/>
        </w:rPr>
        <w:t>flumazenil</w:t>
      </w:r>
      <w:proofErr w:type="spellEnd"/>
      <w:r w:rsidRPr="0067760F">
        <w:rPr>
          <w:sz w:val="24"/>
          <w:szCs w:val="24"/>
        </w:rPr>
        <w:t xml:space="preserve"> som </w:t>
      </w:r>
      <w:proofErr w:type="spellStart"/>
      <w:r w:rsidRPr="0067760F">
        <w:rPr>
          <w:sz w:val="24"/>
          <w:szCs w:val="24"/>
        </w:rPr>
        <w:t>benzodiazepinantagonist</w:t>
      </w:r>
      <w:proofErr w:type="spellEnd"/>
      <w:r w:rsidRPr="0067760F">
        <w:rPr>
          <w:sz w:val="24"/>
          <w:szCs w:val="24"/>
        </w:rPr>
        <w:t xml:space="preserve"> bør overvejes.</w:t>
      </w:r>
    </w:p>
    <w:p w14:paraId="74A990F9" w14:textId="77777777" w:rsidR="009260DE" w:rsidRPr="0067760F" w:rsidRDefault="009260DE" w:rsidP="009260DE">
      <w:pPr>
        <w:tabs>
          <w:tab w:val="left" w:pos="851"/>
        </w:tabs>
        <w:ind w:left="851"/>
        <w:rPr>
          <w:sz w:val="24"/>
          <w:szCs w:val="24"/>
        </w:rPr>
      </w:pPr>
    </w:p>
    <w:p w14:paraId="282B85D6" w14:textId="77777777" w:rsidR="009260DE" w:rsidRPr="0067760F" w:rsidRDefault="009260DE" w:rsidP="009260DE">
      <w:pPr>
        <w:tabs>
          <w:tab w:val="left" w:pos="851"/>
        </w:tabs>
        <w:ind w:left="851" w:hanging="851"/>
        <w:rPr>
          <w:b/>
          <w:sz w:val="24"/>
          <w:szCs w:val="24"/>
        </w:rPr>
      </w:pPr>
      <w:r w:rsidRPr="0067760F">
        <w:rPr>
          <w:b/>
          <w:sz w:val="24"/>
          <w:szCs w:val="24"/>
        </w:rPr>
        <w:t>4.10</w:t>
      </w:r>
      <w:r w:rsidRPr="0067760F">
        <w:rPr>
          <w:b/>
          <w:sz w:val="24"/>
          <w:szCs w:val="24"/>
        </w:rPr>
        <w:tab/>
        <w:t>Udlevering</w:t>
      </w:r>
    </w:p>
    <w:p w14:paraId="28BA3371" w14:textId="4A3D13B4" w:rsidR="009260DE" w:rsidRPr="0067760F" w:rsidRDefault="0067760F" w:rsidP="009260DE">
      <w:pPr>
        <w:tabs>
          <w:tab w:val="left" w:pos="851"/>
        </w:tabs>
        <w:ind w:left="851"/>
        <w:rPr>
          <w:sz w:val="24"/>
          <w:szCs w:val="24"/>
        </w:rPr>
      </w:pPr>
      <w:r w:rsidRPr="0067760F">
        <w:rPr>
          <w:sz w:val="24"/>
          <w:szCs w:val="24"/>
        </w:rPr>
        <w:t>A</w:t>
      </w:r>
    </w:p>
    <w:p w14:paraId="0A544195" w14:textId="77777777" w:rsidR="009260DE" w:rsidRPr="0067760F" w:rsidRDefault="009260DE" w:rsidP="009260DE">
      <w:pPr>
        <w:tabs>
          <w:tab w:val="left" w:pos="851"/>
        </w:tabs>
        <w:ind w:left="851"/>
        <w:rPr>
          <w:sz w:val="24"/>
          <w:szCs w:val="24"/>
        </w:rPr>
      </w:pPr>
    </w:p>
    <w:p w14:paraId="5D64A833" w14:textId="77777777" w:rsidR="009260DE" w:rsidRPr="0067760F" w:rsidRDefault="009260DE" w:rsidP="009260DE">
      <w:pPr>
        <w:tabs>
          <w:tab w:val="left" w:pos="851"/>
        </w:tabs>
        <w:ind w:left="851"/>
        <w:rPr>
          <w:sz w:val="24"/>
          <w:szCs w:val="24"/>
        </w:rPr>
      </w:pPr>
    </w:p>
    <w:p w14:paraId="799599C5" w14:textId="77777777" w:rsidR="009260DE" w:rsidRPr="0067760F" w:rsidRDefault="009260DE" w:rsidP="009260DE">
      <w:pPr>
        <w:tabs>
          <w:tab w:val="left" w:pos="851"/>
        </w:tabs>
        <w:ind w:left="851" w:hanging="851"/>
        <w:rPr>
          <w:b/>
          <w:sz w:val="24"/>
          <w:szCs w:val="24"/>
        </w:rPr>
      </w:pPr>
      <w:r w:rsidRPr="0067760F">
        <w:rPr>
          <w:b/>
          <w:sz w:val="24"/>
          <w:szCs w:val="24"/>
        </w:rPr>
        <w:t>5.</w:t>
      </w:r>
      <w:r w:rsidRPr="0067760F">
        <w:rPr>
          <w:b/>
          <w:sz w:val="24"/>
          <w:szCs w:val="24"/>
        </w:rPr>
        <w:tab/>
        <w:t>FARMAKOLOGISKE EGENSKABER</w:t>
      </w:r>
    </w:p>
    <w:p w14:paraId="7B391452" w14:textId="77777777" w:rsidR="009260DE" w:rsidRPr="0067760F" w:rsidRDefault="009260DE" w:rsidP="009260DE">
      <w:pPr>
        <w:tabs>
          <w:tab w:val="left" w:pos="851"/>
        </w:tabs>
        <w:ind w:left="851"/>
        <w:rPr>
          <w:sz w:val="24"/>
          <w:szCs w:val="24"/>
        </w:rPr>
      </w:pPr>
    </w:p>
    <w:p w14:paraId="57CD946F" w14:textId="77777777" w:rsidR="009260DE" w:rsidRPr="0067760F" w:rsidRDefault="009260DE" w:rsidP="009260DE">
      <w:pPr>
        <w:tabs>
          <w:tab w:val="left" w:pos="851"/>
        </w:tabs>
        <w:ind w:left="851" w:hanging="851"/>
        <w:rPr>
          <w:b/>
          <w:sz w:val="24"/>
          <w:szCs w:val="24"/>
        </w:rPr>
      </w:pPr>
      <w:r w:rsidRPr="0067760F">
        <w:rPr>
          <w:b/>
          <w:sz w:val="24"/>
          <w:szCs w:val="24"/>
        </w:rPr>
        <w:t>5.0</w:t>
      </w:r>
      <w:r w:rsidRPr="0067760F">
        <w:rPr>
          <w:b/>
          <w:sz w:val="24"/>
          <w:szCs w:val="24"/>
        </w:rPr>
        <w:tab/>
        <w:t>Terapeutisk klassifikation</w:t>
      </w:r>
    </w:p>
    <w:p w14:paraId="0149D125" w14:textId="77777777" w:rsidR="002458FE" w:rsidRPr="00A524BD" w:rsidRDefault="002458FE" w:rsidP="002458FE">
      <w:pPr>
        <w:widowControl w:val="0"/>
        <w:autoSpaceDE w:val="0"/>
        <w:autoSpaceDN w:val="0"/>
        <w:adjustRightInd w:val="0"/>
        <w:ind w:left="851" w:right="-1"/>
        <w:rPr>
          <w:sz w:val="24"/>
          <w:szCs w:val="24"/>
        </w:rPr>
      </w:pPr>
      <w:r w:rsidRPr="00A524BD">
        <w:rPr>
          <w:sz w:val="24"/>
          <w:szCs w:val="24"/>
        </w:rPr>
        <w:t>ATC-kode: N</w:t>
      </w:r>
      <w:r>
        <w:rPr>
          <w:sz w:val="24"/>
          <w:szCs w:val="24"/>
        </w:rPr>
        <w:t xml:space="preserve"> </w:t>
      </w:r>
      <w:r w:rsidRPr="00A524BD">
        <w:rPr>
          <w:sz w:val="24"/>
          <w:szCs w:val="24"/>
        </w:rPr>
        <w:t>05</w:t>
      </w:r>
      <w:r>
        <w:rPr>
          <w:sz w:val="24"/>
          <w:szCs w:val="24"/>
        </w:rPr>
        <w:t xml:space="preserve"> </w:t>
      </w:r>
      <w:r w:rsidRPr="00A524BD">
        <w:rPr>
          <w:sz w:val="24"/>
          <w:szCs w:val="24"/>
        </w:rPr>
        <w:t>BA</w:t>
      </w:r>
      <w:r>
        <w:rPr>
          <w:sz w:val="24"/>
          <w:szCs w:val="24"/>
        </w:rPr>
        <w:t xml:space="preserve"> 09.</w:t>
      </w:r>
      <w:r w:rsidRPr="00A524BD">
        <w:rPr>
          <w:sz w:val="24"/>
          <w:szCs w:val="24"/>
        </w:rPr>
        <w:t xml:space="preserve"> </w:t>
      </w:r>
      <w:proofErr w:type="spellStart"/>
      <w:r>
        <w:rPr>
          <w:sz w:val="24"/>
          <w:szCs w:val="24"/>
        </w:rPr>
        <w:t>B</w:t>
      </w:r>
      <w:r w:rsidRPr="00A524BD">
        <w:rPr>
          <w:sz w:val="24"/>
          <w:szCs w:val="24"/>
        </w:rPr>
        <w:t>enzodiazepinderivater</w:t>
      </w:r>
      <w:proofErr w:type="spellEnd"/>
      <w:r>
        <w:rPr>
          <w:sz w:val="24"/>
          <w:szCs w:val="24"/>
        </w:rPr>
        <w:t>.</w:t>
      </w:r>
    </w:p>
    <w:p w14:paraId="7A3A01C5" w14:textId="77777777" w:rsidR="009260DE" w:rsidRPr="0067760F" w:rsidRDefault="009260DE" w:rsidP="009260DE">
      <w:pPr>
        <w:tabs>
          <w:tab w:val="left" w:pos="851"/>
        </w:tabs>
        <w:ind w:left="851"/>
        <w:rPr>
          <w:sz w:val="24"/>
          <w:szCs w:val="24"/>
        </w:rPr>
      </w:pPr>
    </w:p>
    <w:p w14:paraId="1E62CCE4" w14:textId="77777777" w:rsidR="009260DE" w:rsidRPr="0067760F" w:rsidRDefault="009260DE" w:rsidP="009260DE">
      <w:pPr>
        <w:tabs>
          <w:tab w:val="num" w:pos="851"/>
        </w:tabs>
        <w:ind w:left="851" w:hanging="851"/>
        <w:rPr>
          <w:b/>
          <w:sz w:val="24"/>
          <w:szCs w:val="24"/>
        </w:rPr>
      </w:pPr>
      <w:r w:rsidRPr="0067760F">
        <w:rPr>
          <w:b/>
          <w:sz w:val="24"/>
          <w:szCs w:val="24"/>
        </w:rPr>
        <w:t>5.1</w:t>
      </w:r>
      <w:r w:rsidRPr="0067760F">
        <w:rPr>
          <w:b/>
          <w:sz w:val="24"/>
          <w:szCs w:val="24"/>
        </w:rPr>
        <w:tab/>
      </w:r>
      <w:proofErr w:type="spellStart"/>
      <w:r w:rsidRPr="0067760F">
        <w:rPr>
          <w:b/>
          <w:sz w:val="24"/>
          <w:szCs w:val="24"/>
        </w:rPr>
        <w:t>Farmakodynamiske</w:t>
      </w:r>
      <w:proofErr w:type="spellEnd"/>
      <w:r w:rsidRPr="0067760F">
        <w:rPr>
          <w:b/>
          <w:sz w:val="24"/>
          <w:szCs w:val="24"/>
        </w:rPr>
        <w:t xml:space="preserve"> egenskaber</w:t>
      </w:r>
    </w:p>
    <w:p w14:paraId="65119327" w14:textId="77777777" w:rsidR="00773191" w:rsidRPr="0067760F" w:rsidRDefault="00773191" w:rsidP="00EA3C83">
      <w:pPr>
        <w:ind w:left="851"/>
        <w:rPr>
          <w:sz w:val="24"/>
          <w:szCs w:val="24"/>
        </w:rPr>
      </w:pPr>
      <w:proofErr w:type="spellStart"/>
      <w:r w:rsidRPr="0067760F">
        <w:rPr>
          <w:sz w:val="24"/>
          <w:szCs w:val="24"/>
        </w:rPr>
        <w:t>Clobazam</w:t>
      </w:r>
      <w:proofErr w:type="spellEnd"/>
      <w:r w:rsidRPr="0067760F">
        <w:rPr>
          <w:sz w:val="24"/>
          <w:szCs w:val="24"/>
        </w:rPr>
        <w:t xml:space="preserve"> er et 1,5-benzodiazepin, og den </w:t>
      </w:r>
      <w:proofErr w:type="spellStart"/>
      <w:r w:rsidRPr="0067760F">
        <w:rPr>
          <w:sz w:val="24"/>
          <w:szCs w:val="24"/>
        </w:rPr>
        <w:t>farmakodynamiske</w:t>
      </w:r>
      <w:proofErr w:type="spellEnd"/>
      <w:r w:rsidRPr="0067760F">
        <w:rPr>
          <w:sz w:val="24"/>
          <w:szCs w:val="24"/>
        </w:rPr>
        <w:t xml:space="preserve"> aktivitet ligner kvalitativt den for andre præparater i denne klasse:</w:t>
      </w:r>
    </w:p>
    <w:p w14:paraId="6E473BC5" w14:textId="77777777" w:rsidR="00773191" w:rsidRPr="00801A18" w:rsidRDefault="00773191" w:rsidP="00801A18">
      <w:pPr>
        <w:pStyle w:val="Listeafsnit"/>
        <w:numPr>
          <w:ilvl w:val="0"/>
          <w:numId w:val="34"/>
        </w:numPr>
        <w:ind w:left="1276" w:hanging="425"/>
      </w:pPr>
      <w:r w:rsidRPr="00801A18">
        <w:t>Muskelafslappende</w:t>
      </w:r>
    </w:p>
    <w:p w14:paraId="3DCCF764" w14:textId="77777777" w:rsidR="00773191" w:rsidRPr="00801A18" w:rsidRDefault="00773191" w:rsidP="00801A18">
      <w:pPr>
        <w:pStyle w:val="Listeafsnit"/>
        <w:numPr>
          <w:ilvl w:val="0"/>
          <w:numId w:val="34"/>
        </w:numPr>
        <w:ind w:left="1276" w:hanging="425"/>
      </w:pPr>
      <w:r w:rsidRPr="00801A18">
        <w:t>Angstdæmpende</w:t>
      </w:r>
    </w:p>
    <w:p w14:paraId="7B3B96DC" w14:textId="77777777" w:rsidR="00773191" w:rsidRPr="00801A18" w:rsidRDefault="00773191" w:rsidP="00801A18">
      <w:pPr>
        <w:pStyle w:val="Listeafsnit"/>
        <w:numPr>
          <w:ilvl w:val="0"/>
          <w:numId w:val="34"/>
        </w:numPr>
        <w:ind w:left="1276" w:hanging="425"/>
      </w:pPr>
      <w:r w:rsidRPr="00801A18">
        <w:t>Sedativ</w:t>
      </w:r>
    </w:p>
    <w:p w14:paraId="38176677" w14:textId="77777777" w:rsidR="00773191" w:rsidRPr="00801A18" w:rsidRDefault="00773191" w:rsidP="00801A18">
      <w:pPr>
        <w:pStyle w:val="Listeafsnit"/>
        <w:numPr>
          <w:ilvl w:val="0"/>
          <w:numId w:val="34"/>
        </w:numPr>
        <w:ind w:left="1276" w:hanging="425"/>
      </w:pPr>
      <w:r w:rsidRPr="00801A18">
        <w:t>Hypnotisk</w:t>
      </w:r>
    </w:p>
    <w:p w14:paraId="74C2B679" w14:textId="77777777" w:rsidR="00773191" w:rsidRPr="00801A18" w:rsidRDefault="00773191" w:rsidP="00801A18">
      <w:pPr>
        <w:pStyle w:val="Listeafsnit"/>
        <w:numPr>
          <w:ilvl w:val="0"/>
          <w:numId w:val="34"/>
        </w:numPr>
        <w:ind w:left="1276" w:hanging="425"/>
      </w:pPr>
      <w:proofErr w:type="spellStart"/>
      <w:r w:rsidRPr="00801A18">
        <w:t>Antikonvulsiv</w:t>
      </w:r>
      <w:proofErr w:type="spellEnd"/>
    </w:p>
    <w:p w14:paraId="6CDF3897" w14:textId="37B5409F" w:rsidR="00773191" w:rsidRPr="00801A18" w:rsidRDefault="00773191" w:rsidP="00801A18">
      <w:pPr>
        <w:pStyle w:val="Listeafsnit"/>
        <w:numPr>
          <w:ilvl w:val="0"/>
          <w:numId w:val="34"/>
        </w:numPr>
        <w:ind w:left="1276" w:hanging="425"/>
      </w:pPr>
      <w:proofErr w:type="spellStart"/>
      <w:r w:rsidRPr="00801A18">
        <w:t>Amnestisk</w:t>
      </w:r>
      <w:proofErr w:type="spellEnd"/>
    </w:p>
    <w:p w14:paraId="74912258" w14:textId="509BC8CF" w:rsidR="00FA3328" w:rsidRDefault="00FA3328">
      <w:pPr>
        <w:rPr>
          <w:sz w:val="24"/>
          <w:szCs w:val="24"/>
        </w:rPr>
      </w:pPr>
      <w:r>
        <w:rPr>
          <w:sz w:val="24"/>
          <w:szCs w:val="24"/>
        </w:rPr>
        <w:br w:type="page"/>
      </w:r>
    </w:p>
    <w:p w14:paraId="037385C5" w14:textId="77777777" w:rsidR="009260DE" w:rsidRPr="0067760F" w:rsidRDefault="009260DE" w:rsidP="00876CA2">
      <w:pPr>
        <w:rPr>
          <w:sz w:val="24"/>
          <w:szCs w:val="24"/>
        </w:rPr>
      </w:pPr>
    </w:p>
    <w:p w14:paraId="7EDF8021" w14:textId="77777777" w:rsidR="009260DE" w:rsidRPr="0067760F" w:rsidRDefault="009260DE" w:rsidP="009260DE">
      <w:pPr>
        <w:tabs>
          <w:tab w:val="left" w:pos="851"/>
        </w:tabs>
        <w:ind w:left="851" w:hanging="851"/>
        <w:rPr>
          <w:b/>
          <w:sz w:val="24"/>
          <w:szCs w:val="24"/>
        </w:rPr>
      </w:pPr>
      <w:r w:rsidRPr="0067760F">
        <w:rPr>
          <w:b/>
          <w:sz w:val="24"/>
          <w:szCs w:val="24"/>
        </w:rPr>
        <w:t>5.2</w:t>
      </w:r>
      <w:r w:rsidRPr="0067760F">
        <w:rPr>
          <w:b/>
          <w:sz w:val="24"/>
          <w:szCs w:val="24"/>
        </w:rPr>
        <w:tab/>
      </w:r>
      <w:proofErr w:type="spellStart"/>
      <w:r w:rsidRPr="0067760F">
        <w:rPr>
          <w:b/>
          <w:sz w:val="24"/>
          <w:szCs w:val="24"/>
        </w:rPr>
        <w:t>Farmakokinetiske</w:t>
      </w:r>
      <w:proofErr w:type="spellEnd"/>
      <w:r w:rsidRPr="0067760F">
        <w:rPr>
          <w:b/>
          <w:sz w:val="24"/>
          <w:szCs w:val="24"/>
        </w:rPr>
        <w:t xml:space="preserve"> egenskaber</w:t>
      </w:r>
    </w:p>
    <w:p w14:paraId="380A0F3A" w14:textId="77777777" w:rsidR="00801A18" w:rsidRDefault="00801A18" w:rsidP="0067760F">
      <w:pPr>
        <w:ind w:left="851"/>
        <w:rPr>
          <w:sz w:val="24"/>
          <w:szCs w:val="24"/>
        </w:rPr>
      </w:pPr>
    </w:p>
    <w:p w14:paraId="5C8D6B83" w14:textId="3F7CF684" w:rsidR="00773191" w:rsidRPr="00801A18" w:rsidRDefault="00773191" w:rsidP="0067760F">
      <w:pPr>
        <w:ind w:left="851"/>
        <w:rPr>
          <w:b/>
          <w:bCs/>
          <w:sz w:val="24"/>
          <w:szCs w:val="24"/>
        </w:rPr>
      </w:pPr>
      <w:r w:rsidRPr="00801A18">
        <w:rPr>
          <w:b/>
          <w:sz w:val="24"/>
          <w:szCs w:val="24"/>
        </w:rPr>
        <w:t>Absorption</w:t>
      </w:r>
    </w:p>
    <w:p w14:paraId="38626F42" w14:textId="77777777" w:rsidR="00773191" w:rsidRPr="0067760F" w:rsidRDefault="00773191" w:rsidP="0067760F">
      <w:pPr>
        <w:ind w:left="851"/>
        <w:rPr>
          <w:sz w:val="24"/>
          <w:szCs w:val="24"/>
        </w:rPr>
      </w:pPr>
      <w:r w:rsidRPr="0067760F">
        <w:rPr>
          <w:sz w:val="24"/>
          <w:szCs w:val="24"/>
        </w:rPr>
        <w:t xml:space="preserve">Efter administration af </w:t>
      </w:r>
      <w:proofErr w:type="spellStart"/>
      <w:r w:rsidRPr="0067760F">
        <w:rPr>
          <w:sz w:val="24"/>
          <w:szCs w:val="24"/>
        </w:rPr>
        <w:t>Epaclob</w:t>
      </w:r>
      <w:proofErr w:type="spellEnd"/>
      <w:r w:rsidRPr="0067760F">
        <w:rPr>
          <w:sz w:val="24"/>
          <w:szCs w:val="24"/>
        </w:rPr>
        <w:t xml:space="preserve"> absorberes </w:t>
      </w:r>
      <w:proofErr w:type="spellStart"/>
      <w:r w:rsidRPr="0067760F">
        <w:rPr>
          <w:sz w:val="24"/>
          <w:szCs w:val="24"/>
        </w:rPr>
        <w:t>clobazam</w:t>
      </w:r>
      <w:proofErr w:type="spellEnd"/>
      <w:r w:rsidRPr="0067760F">
        <w:rPr>
          <w:sz w:val="24"/>
          <w:szCs w:val="24"/>
        </w:rPr>
        <w:t xml:space="preserve"> hurtigt og omfattende. Tid til maksimale plasmakoncentrationer (</w:t>
      </w:r>
      <w:proofErr w:type="spellStart"/>
      <w:r w:rsidRPr="0067760F">
        <w:rPr>
          <w:sz w:val="24"/>
          <w:szCs w:val="24"/>
        </w:rPr>
        <w:t>T</w:t>
      </w:r>
      <w:r w:rsidRPr="002A78AF">
        <w:rPr>
          <w:sz w:val="24"/>
          <w:szCs w:val="24"/>
          <w:vertAlign w:val="subscript"/>
        </w:rPr>
        <w:t>max</w:t>
      </w:r>
      <w:proofErr w:type="spellEnd"/>
      <w:r w:rsidRPr="0067760F">
        <w:rPr>
          <w:sz w:val="24"/>
          <w:szCs w:val="24"/>
        </w:rPr>
        <w:t xml:space="preserve">) opnås i gennemsnit (median) efter 0,67 timer </w:t>
      </w:r>
      <w:r w:rsidRPr="0067760F">
        <w:rPr>
          <w:i/>
          <w:iCs/>
          <w:sz w:val="24"/>
          <w:szCs w:val="24"/>
        </w:rPr>
        <w:t>(</w:t>
      </w:r>
      <w:r w:rsidRPr="0067760F">
        <w:rPr>
          <w:sz w:val="24"/>
          <w:szCs w:val="24"/>
        </w:rPr>
        <w:t xml:space="preserve">fra 0,667 timer til 1,667 timer). Absorption af </w:t>
      </w:r>
      <w:proofErr w:type="spellStart"/>
      <w:r w:rsidRPr="0067760F">
        <w:rPr>
          <w:sz w:val="24"/>
          <w:szCs w:val="24"/>
        </w:rPr>
        <w:t>clobazam</w:t>
      </w:r>
      <w:proofErr w:type="spellEnd"/>
      <w:r w:rsidRPr="0067760F">
        <w:rPr>
          <w:sz w:val="24"/>
          <w:szCs w:val="24"/>
        </w:rPr>
        <w:t xml:space="preserve"> er praktisk talt fuldstændig efter oral administration. </w:t>
      </w:r>
    </w:p>
    <w:p w14:paraId="33531BAE" w14:textId="77777777" w:rsidR="00773191" w:rsidRPr="0067760F" w:rsidRDefault="00773191" w:rsidP="0067760F">
      <w:pPr>
        <w:ind w:left="851"/>
        <w:rPr>
          <w:sz w:val="24"/>
          <w:szCs w:val="24"/>
        </w:rPr>
      </w:pPr>
    </w:p>
    <w:p w14:paraId="1659C0D9" w14:textId="77777777" w:rsidR="00773191" w:rsidRPr="0067760F" w:rsidRDefault="00773191" w:rsidP="0067760F">
      <w:pPr>
        <w:ind w:left="851"/>
        <w:rPr>
          <w:sz w:val="24"/>
          <w:szCs w:val="24"/>
        </w:rPr>
      </w:pPr>
      <w:r w:rsidRPr="0067760F">
        <w:rPr>
          <w:sz w:val="24"/>
          <w:szCs w:val="24"/>
        </w:rPr>
        <w:t xml:space="preserve">Det maksimale plasmaniveau for </w:t>
      </w:r>
      <w:proofErr w:type="spellStart"/>
      <w:r w:rsidRPr="0067760F">
        <w:rPr>
          <w:sz w:val="24"/>
          <w:szCs w:val="24"/>
        </w:rPr>
        <w:t>clobazam</w:t>
      </w:r>
      <w:proofErr w:type="spellEnd"/>
      <w:r w:rsidRPr="0067760F">
        <w:rPr>
          <w:sz w:val="24"/>
          <w:szCs w:val="24"/>
        </w:rPr>
        <w:t xml:space="preserve"> efter oral administration af </w:t>
      </w:r>
      <w:proofErr w:type="spellStart"/>
      <w:r w:rsidRPr="0067760F">
        <w:rPr>
          <w:sz w:val="24"/>
          <w:szCs w:val="24"/>
        </w:rPr>
        <w:t>Epaclob</w:t>
      </w:r>
      <w:proofErr w:type="spellEnd"/>
      <w:r w:rsidRPr="0067760F">
        <w:rPr>
          <w:sz w:val="24"/>
          <w:szCs w:val="24"/>
        </w:rPr>
        <w:t xml:space="preserve"> 2 mg/ml var højere end det, som blev observeret efter administration af en referencetablet på 10 mg som enkeltdosis i et randomiseret, crossover bioækvivalensstudie (gennemsnitlig </w:t>
      </w:r>
      <w:proofErr w:type="spellStart"/>
      <w:r w:rsidRPr="0067760F">
        <w:rPr>
          <w:sz w:val="24"/>
          <w:szCs w:val="24"/>
        </w:rPr>
        <w:t>C</w:t>
      </w:r>
      <w:r w:rsidRPr="002A78AF">
        <w:rPr>
          <w:sz w:val="24"/>
          <w:szCs w:val="24"/>
          <w:vertAlign w:val="subscript"/>
        </w:rPr>
        <w:t>max</w:t>
      </w:r>
      <w:proofErr w:type="spellEnd"/>
      <w:r w:rsidRPr="0067760F">
        <w:rPr>
          <w:sz w:val="24"/>
          <w:szCs w:val="24"/>
        </w:rPr>
        <w:t xml:space="preserve"> henholdsvis 267,5 ± 64,5 </w:t>
      </w:r>
      <w:proofErr w:type="spellStart"/>
      <w:r w:rsidRPr="0067760F">
        <w:rPr>
          <w:sz w:val="24"/>
          <w:szCs w:val="24"/>
        </w:rPr>
        <w:t>ng</w:t>
      </w:r>
      <w:proofErr w:type="spellEnd"/>
      <w:r w:rsidRPr="0067760F">
        <w:rPr>
          <w:sz w:val="24"/>
          <w:szCs w:val="24"/>
        </w:rPr>
        <w:t xml:space="preserve">/ml og 220,4 ± 49,9 </w:t>
      </w:r>
      <w:proofErr w:type="spellStart"/>
      <w:r w:rsidRPr="0067760F">
        <w:rPr>
          <w:sz w:val="24"/>
          <w:szCs w:val="24"/>
        </w:rPr>
        <w:t>ng</w:t>
      </w:r>
      <w:proofErr w:type="spellEnd"/>
      <w:r w:rsidRPr="0067760F">
        <w:rPr>
          <w:sz w:val="24"/>
          <w:szCs w:val="24"/>
        </w:rPr>
        <w:t>/ml).</w:t>
      </w:r>
    </w:p>
    <w:p w14:paraId="0C48081F" w14:textId="77777777" w:rsidR="00773191" w:rsidRPr="0067760F" w:rsidRDefault="00773191" w:rsidP="0067760F">
      <w:pPr>
        <w:ind w:left="851"/>
        <w:rPr>
          <w:sz w:val="24"/>
          <w:szCs w:val="24"/>
        </w:rPr>
      </w:pPr>
    </w:p>
    <w:p w14:paraId="426C4515" w14:textId="77777777" w:rsidR="00773191" w:rsidRPr="0067760F" w:rsidRDefault="00773191" w:rsidP="0067760F">
      <w:pPr>
        <w:ind w:left="851"/>
        <w:rPr>
          <w:sz w:val="24"/>
          <w:szCs w:val="24"/>
        </w:rPr>
      </w:pPr>
      <w:r w:rsidRPr="0067760F">
        <w:rPr>
          <w:sz w:val="24"/>
          <w:szCs w:val="24"/>
        </w:rPr>
        <w:t xml:space="preserve">Samtidigt indtag af alkohol kan øge </w:t>
      </w:r>
      <w:proofErr w:type="spellStart"/>
      <w:r w:rsidRPr="0067760F">
        <w:rPr>
          <w:sz w:val="24"/>
          <w:szCs w:val="24"/>
        </w:rPr>
        <w:t>clobazams</w:t>
      </w:r>
      <w:proofErr w:type="spellEnd"/>
      <w:r w:rsidRPr="0067760F">
        <w:rPr>
          <w:sz w:val="24"/>
          <w:szCs w:val="24"/>
        </w:rPr>
        <w:t xml:space="preserve"> biotilgængelighed med 50 %.</w:t>
      </w:r>
    </w:p>
    <w:p w14:paraId="4EA31CD5" w14:textId="77777777" w:rsidR="00773191" w:rsidRPr="0067760F" w:rsidRDefault="00773191" w:rsidP="0067760F">
      <w:pPr>
        <w:ind w:left="851"/>
        <w:rPr>
          <w:sz w:val="24"/>
          <w:szCs w:val="24"/>
        </w:rPr>
      </w:pPr>
    </w:p>
    <w:p w14:paraId="6295E7ED" w14:textId="77777777" w:rsidR="00773191" w:rsidRPr="00801A18" w:rsidRDefault="00773191" w:rsidP="0067760F">
      <w:pPr>
        <w:ind w:left="851"/>
        <w:rPr>
          <w:b/>
          <w:bCs/>
          <w:sz w:val="24"/>
          <w:szCs w:val="24"/>
        </w:rPr>
      </w:pPr>
      <w:r w:rsidRPr="00801A18">
        <w:rPr>
          <w:b/>
          <w:sz w:val="24"/>
          <w:szCs w:val="24"/>
        </w:rPr>
        <w:t>Fordeling</w:t>
      </w:r>
    </w:p>
    <w:p w14:paraId="2BEF530E" w14:textId="77777777" w:rsidR="00773191" w:rsidRPr="0067760F" w:rsidRDefault="00773191" w:rsidP="0067760F">
      <w:pPr>
        <w:ind w:left="851"/>
        <w:rPr>
          <w:sz w:val="24"/>
          <w:szCs w:val="24"/>
        </w:rPr>
      </w:pPr>
      <w:r w:rsidRPr="0067760F">
        <w:rPr>
          <w:sz w:val="24"/>
          <w:szCs w:val="24"/>
        </w:rPr>
        <w:t xml:space="preserve">Efter en enkeltdosis på 20 mg </w:t>
      </w:r>
      <w:proofErr w:type="spellStart"/>
      <w:r w:rsidRPr="0067760F">
        <w:rPr>
          <w:sz w:val="24"/>
          <w:szCs w:val="24"/>
        </w:rPr>
        <w:t>clobazam</w:t>
      </w:r>
      <w:proofErr w:type="spellEnd"/>
      <w:r w:rsidRPr="0067760F">
        <w:rPr>
          <w:sz w:val="24"/>
          <w:szCs w:val="24"/>
        </w:rPr>
        <w:t xml:space="preserve"> observeredes betydelig </w:t>
      </w:r>
      <w:proofErr w:type="spellStart"/>
      <w:r w:rsidRPr="0067760F">
        <w:rPr>
          <w:sz w:val="24"/>
          <w:szCs w:val="24"/>
        </w:rPr>
        <w:t>interindividuel</w:t>
      </w:r>
      <w:proofErr w:type="spellEnd"/>
      <w:r w:rsidRPr="0067760F">
        <w:rPr>
          <w:sz w:val="24"/>
          <w:szCs w:val="24"/>
        </w:rPr>
        <w:t xml:space="preserve"> variation i maksimale plasmakoncentrationer (222-709 </w:t>
      </w:r>
      <w:proofErr w:type="spellStart"/>
      <w:r w:rsidRPr="0067760F">
        <w:rPr>
          <w:sz w:val="24"/>
          <w:szCs w:val="24"/>
        </w:rPr>
        <w:t>ng</w:t>
      </w:r>
      <w:proofErr w:type="spellEnd"/>
      <w:r w:rsidRPr="0067760F">
        <w:rPr>
          <w:sz w:val="24"/>
          <w:szCs w:val="24"/>
        </w:rPr>
        <w:t xml:space="preserve">/ml) efter 0,25 til 4 timer. </w:t>
      </w:r>
      <w:proofErr w:type="spellStart"/>
      <w:r w:rsidRPr="0067760F">
        <w:rPr>
          <w:sz w:val="24"/>
          <w:szCs w:val="24"/>
        </w:rPr>
        <w:t>Clobazam</w:t>
      </w:r>
      <w:proofErr w:type="spellEnd"/>
      <w:r w:rsidRPr="0067760F">
        <w:rPr>
          <w:sz w:val="24"/>
          <w:szCs w:val="24"/>
        </w:rPr>
        <w:t xml:space="preserve"> er </w:t>
      </w:r>
      <w:proofErr w:type="spellStart"/>
      <w:r w:rsidRPr="0067760F">
        <w:rPr>
          <w:sz w:val="24"/>
          <w:szCs w:val="24"/>
        </w:rPr>
        <w:t>lipofilt</w:t>
      </w:r>
      <w:proofErr w:type="spellEnd"/>
      <w:r w:rsidRPr="0067760F">
        <w:rPr>
          <w:sz w:val="24"/>
          <w:szCs w:val="24"/>
        </w:rPr>
        <w:t xml:space="preserve"> og distribueres hurtigt gennem kroppen. Baseret på en </w:t>
      </w:r>
      <w:proofErr w:type="spellStart"/>
      <w:r w:rsidRPr="0067760F">
        <w:rPr>
          <w:sz w:val="24"/>
          <w:szCs w:val="24"/>
        </w:rPr>
        <w:t>farmakokinetisk</w:t>
      </w:r>
      <w:proofErr w:type="spellEnd"/>
      <w:r w:rsidRPr="0067760F">
        <w:rPr>
          <w:sz w:val="24"/>
          <w:szCs w:val="24"/>
        </w:rPr>
        <w:t xml:space="preserve"> populationsanalyse var det tilsyneladende distributionsvolumen ved </w:t>
      </w:r>
      <w:proofErr w:type="spellStart"/>
      <w:r w:rsidRPr="0067760F">
        <w:rPr>
          <w:sz w:val="24"/>
          <w:szCs w:val="24"/>
        </w:rPr>
        <w:t>steady</w:t>
      </w:r>
      <w:proofErr w:type="spellEnd"/>
      <w:r w:rsidRPr="0067760F">
        <w:rPr>
          <w:sz w:val="24"/>
          <w:szCs w:val="24"/>
        </w:rPr>
        <w:t xml:space="preserve"> </w:t>
      </w:r>
      <w:proofErr w:type="spellStart"/>
      <w:r w:rsidRPr="0067760F">
        <w:rPr>
          <w:sz w:val="24"/>
          <w:szCs w:val="24"/>
        </w:rPr>
        <w:t>state</w:t>
      </w:r>
      <w:proofErr w:type="spellEnd"/>
      <w:r w:rsidRPr="0067760F">
        <w:rPr>
          <w:sz w:val="24"/>
          <w:szCs w:val="24"/>
        </w:rPr>
        <w:t xml:space="preserve"> ca. 102 liter og er koncentrationsuafhængig ved det terapeutiske interval. Ca. 80-90 % af </w:t>
      </w:r>
      <w:proofErr w:type="spellStart"/>
      <w:r w:rsidRPr="0067760F">
        <w:rPr>
          <w:sz w:val="24"/>
          <w:szCs w:val="24"/>
        </w:rPr>
        <w:t>clobazam</w:t>
      </w:r>
      <w:proofErr w:type="spellEnd"/>
      <w:r w:rsidRPr="0067760F">
        <w:rPr>
          <w:sz w:val="24"/>
          <w:szCs w:val="24"/>
        </w:rPr>
        <w:t xml:space="preserve"> er bundet til plasmaprotein.</w:t>
      </w:r>
    </w:p>
    <w:p w14:paraId="1751FF67" w14:textId="77777777" w:rsidR="00773191" w:rsidRPr="0067760F" w:rsidRDefault="00773191" w:rsidP="0067760F">
      <w:pPr>
        <w:ind w:left="851"/>
        <w:rPr>
          <w:sz w:val="24"/>
          <w:szCs w:val="24"/>
        </w:rPr>
      </w:pPr>
      <w:proofErr w:type="spellStart"/>
      <w:r w:rsidRPr="0067760F">
        <w:rPr>
          <w:sz w:val="24"/>
          <w:szCs w:val="24"/>
        </w:rPr>
        <w:t>Clobazam</w:t>
      </w:r>
      <w:proofErr w:type="spellEnd"/>
      <w:r w:rsidRPr="0067760F">
        <w:rPr>
          <w:sz w:val="24"/>
          <w:szCs w:val="24"/>
        </w:rPr>
        <w:t xml:space="preserve"> akkumuleres omtrent 2-3 gange inden </w:t>
      </w:r>
      <w:proofErr w:type="spellStart"/>
      <w:r w:rsidRPr="0067760F">
        <w:rPr>
          <w:sz w:val="24"/>
          <w:szCs w:val="24"/>
        </w:rPr>
        <w:t>steady</w:t>
      </w:r>
      <w:proofErr w:type="spellEnd"/>
      <w:r w:rsidRPr="0067760F">
        <w:rPr>
          <w:sz w:val="24"/>
          <w:szCs w:val="24"/>
        </w:rPr>
        <w:t xml:space="preserve"> </w:t>
      </w:r>
      <w:proofErr w:type="spellStart"/>
      <w:r w:rsidRPr="0067760F">
        <w:rPr>
          <w:sz w:val="24"/>
          <w:szCs w:val="24"/>
        </w:rPr>
        <w:t>state</w:t>
      </w:r>
      <w:proofErr w:type="spellEnd"/>
      <w:r w:rsidRPr="0067760F">
        <w:rPr>
          <w:sz w:val="24"/>
          <w:szCs w:val="24"/>
        </w:rPr>
        <w:t>, mens den aktive metabolit N-</w:t>
      </w:r>
      <w:proofErr w:type="spellStart"/>
      <w:r w:rsidRPr="0067760F">
        <w:rPr>
          <w:sz w:val="24"/>
          <w:szCs w:val="24"/>
        </w:rPr>
        <w:t>desmethylclobazam</w:t>
      </w:r>
      <w:proofErr w:type="spellEnd"/>
      <w:r w:rsidRPr="0067760F">
        <w:rPr>
          <w:sz w:val="24"/>
          <w:szCs w:val="24"/>
        </w:rPr>
        <w:t xml:space="preserve"> (N-CLB) akkumuleres omtrent 20 gange efter administration af </w:t>
      </w:r>
      <w:proofErr w:type="spellStart"/>
      <w:r w:rsidRPr="0067760F">
        <w:rPr>
          <w:sz w:val="24"/>
          <w:szCs w:val="24"/>
        </w:rPr>
        <w:t>clobazam</w:t>
      </w:r>
      <w:proofErr w:type="spellEnd"/>
      <w:r w:rsidRPr="0067760F">
        <w:rPr>
          <w:sz w:val="24"/>
          <w:szCs w:val="24"/>
        </w:rPr>
        <w:t xml:space="preserve"> to gange dagligt. </w:t>
      </w:r>
      <w:proofErr w:type="spellStart"/>
      <w:r w:rsidRPr="0067760F">
        <w:rPr>
          <w:sz w:val="24"/>
          <w:szCs w:val="24"/>
        </w:rPr>
        <w:t>Steady</w:t>
      </w:r>
      <w:proofErr w:type="spellEnd"/>
      <w:r w:rsidRPr="0067760F">
        <w:rPr>
          <w:sz w:val="24"/>
          <w:szCs w:val="24"/>
        </w:rPr>
        <w:t xml:space="preserve"> state-koncentrationer opnås inden for ca. 2 uger</w:t>
      </w:r>
    </w:p>
    <w:p w14:paraId="3FBFD88D" w14:textId="77777777" w:rsidR="00773191" w:rsidRPr="0067760F" w:rsidRDefault="00773191" w:rsidP="0067760F">
      <w:pPr>
        <w:ind w:left="851"/>
        <w:rPr>
          <w:sz w:val="24"/>
          <w:szCs w:val="24"/>
        </w:rPr>
      </w:pPr>
    </w:p>
    <w:p w14:paraId="3DE373A9" w14:textId="77777777" w:rsidR="00773191" w:rsidRPr="00801A18" w:rsidRDefault="00773191" w:rsidP="0067760F">
      <w:pPr>
        <w:ind w:left="851"/>
        <w:rPr>
          <w:b/>
          <w:bCs/>
          <w:sz w:val="24"/>
          <w:szCs w:val="24"/>
        </w:rPr>
      </w:pPr>
      <w:r w:rsidRPr="00801A18">
        <w:rPr>
          <w:b/>
          <w:sz w:val="24"/>
          <w:szCs w:val="24"/>
        </w:rPr>
        <w:t>Biotransformation</w:t>
      </w:r>
    </w:p>
    <w:p w14:paraId="59D8FD73" w14:textId="3DEF5C69" w:rsidR="00773191" w:rsidRPr="0067760F" w:rsidRDefault="00773191" w:rsidP="0067760F">
      <w:pPr>
        <w:ind w:left="851"/>
        <w:rPr>
          <w:sz w:val="24"/>
          <w:szCs w:val="24"/>
        </w:rPr>
      </w:pPr>
      <w:proofErr w:type="spellStart"/>
      <w:r w:rsidRPr="0067760F">
        <w:rPr>
          <w:sz w:val="24"/>
          <w:szCs w:val="24"/>
        </w:rPr>
        <w:t>Clobazam</w:t>
      </w:r>
      <w:proofErr w:type="spellEnd"/>
      <w:r w:rsidRPr="0067760F">
        <w:rPr>
          <w:sz w:val="24"/>
          <w:szCs w:val="24"/>
        </w:rPr>
        <w:t xml:space="preserve"> </w:t>
      </w:r>
      <w:proofErr w:type="spellStart"/>
      <w:r w:rsidRPr="0067760F">
        <w:rPr>
          <w:sz w:val="24"/>
          <w:szCs w:val="24"/>
        </w:rPr>
        <w:t>metaboliseres</w:t>
      </w:r>
      <w:proofErr w:type="spellEnd"/>
      <w:r w:rsidRPr="0067760F">
        <w:rPr>
          <w:sz w:val="24"/>
          <w:szCs w:val="24"/>
        </w:rPr>
        <w:t xml:space="preserve"> hurtigt og omfattende i leveren. Metabolismen af </w:t>
      </w:r>
      <w:proofErr w:type="spellStart"/>
      <w:r w:rsidRPr="0067760F">
        <w:rPr>
          <w:sz w:val="24"/>
          <w:szCs w:val="24"/>
        </w:rPr>
        <w:t>clobazam</w:t>
      </w:r>
      <w:proofErr w:type="spellEnd"/>
      <w:r w:rsidRPr="0067760F">
        <w:rPr>
          <w:sz w:val="24"/>
          <w:szCs w:val="24"/>
        </w:rPr>
        <w:t xml:space="preserve"> sker primært ved </w:t>
      </w:r>
      <w:proofErr w:type="spellStart"/>
      <w:r w:rsidRPr="0067760F">
        <w:rPr>
          <w:sz w:val="24"/>
          <w:szCs w:val="24"/>
        </w:rPr>
        <w:t>hepatisk</w:t>
      </w:r>
      <w:proofErr w:type="spellEnd"/>
      <w:r w:rsidRPr="0067760F">
        <w:rPr>
          <w:sz w:val="24"/>
          <w:szCs w:val="24"/>
        </w:rPr>
        <w:t xml:space="preserve"> </w:t>
      </w:r>
      <w:proofErr w:type="spellStart"/>
      <w:r w:rsidRPr="0067760F">
        <w:rPr>
          <w:sz w:val="24"/>
          <w:szCs w:val="24"/>
        </w:rPr>
        <w:t>demethylering</w:t>
      </w:r>
      <w:proofErr w:type="spellEnd"/>
      <w:r w:rsidRPr="0067760F">
        <w:rPr>
          <w:sz w:val="24"/>
          <w:szCs w:val="24"/>
        </w:rPr>
        <w:t xml:space="preserve"> til N-</w:t>
      </w:r>
      <w:proofErr w:type="spellStart"/>
      <w:r w:rsidRPr="0067760F">
        <w:rPr>
          <w:sz w:val="24"/>
          <w:szCs w:val="24"/>
        </w:rPr>
        <w:t>desmethylclobazam</w:t>
      </w:r>
      <w:proofErr w:type="spellEnd"/>
      <w:r w:rsidRPr="0067760F">
        <w:rPr>
          <w:sz w:val="24"/>
          <w:szCs w:val="24"/>
        </w:rPr>
        <w:t xml:space="preserve"> (N-CLB), medieret af CYP3A4 og i mindre grad af CYP2C19 og CYP2B6. N-CLB er en aktiv metabolit og den primære cirkulerende metabolit, som findes i plasma hos mennesker. N-CLB gennemgår yderligere biotransformation i leveren for at danne 4-hydroxy-N-desmethylclobazam, primært medieret af CYP2C19. Personer med ringe CYP2C19-metabolisme har 5 gange højere plasmakoncentration af N-CLB sammenlignet med personer med o</w:t>
      </w:r>
      <w:r w:rsidR="00801A18">
        <w:rPr>
          <w:sz w:val="24"/>
          <w:szCs w:val="24"/>
        </w:rPr>
        <w:t>m</w:t>
      </w:r>
      <w:r w:rsidRPr="0067760F">
        <w:rPr>
          <w:sz w:val="24"/>
          <w:szCs w:val="24"/>
        </w:rPr>
        <w:t>fattende metabolisme.</w:t>
      </w:r>
    </w:p>
    <w:p w14:paraId="7480038F" w14:textId="77777777" w:rsidR="00773191" w:rsidRPr="0067760F" w:rsidRDefault="00773191" w:rsidP="0067760F">
      <w:pPr>
        <w:ind w:left="851"/>
        <w:rPr>
          <w:sz w:val="24"/>
          <w:szCs w:val="24"/>
        </w:rPr>
      </w:pPr>
    </w:p>
    <w:p w14:paraId="6E157C88" w14:textId="1CC8BB98" w:rsidR="00773191" w:rsidRPr="0067760F" w:rsidRDefault="00773191" w:rsidP="0067760F">
      <w:pPr>
        <w:ind w:left="851"/>
        <w:rPr>
          <w:sz w:val="24"/>
          <w:szCs w:val="24"/>
        </w:rPr>
      </w:pPr>
      <w:proofErr w:type="spellStart"/>
      <w:r w:rsidRPr="0067760F">
        <w:rPr>
          <w:sz w:val="24"/>
          <w:szCs w:val="24"/>
        </w:rPr>
        <w:t>Clobazam</w:t>
      </w:r>
      <w:proofErr w:type="spellEnd"/>
      <w:r w:rsidRPr="0067760F">
        <w:rPr>
          <w:sz w:val="24"/>
          <w:szCs w:val="24"/>
        </w:rPr>
        <w:t xml:space="preserve"> er en svag CYP2D6-hæmmer. Samtidig administration med </w:t>
      </w:r>
      <w:proofErr w:type="spellStart"/>
      <w:r w:rsidRPr="0067760F">
        <w:rPr>
          <w:sz w:val="24"/>
          <w:szCs w:val="24"/>
        </w:rPr>
        <w:t>dextromethorphan</w:t>
      </w:r>
      <w:proofErr w:type="spellEnd"/>
      <w:r w:rsidRPr="0067760F">
        <w:rPr>
          <w:sz w:val="24"/>
          <w:szCs w:val="24"/>
        </w:rPr>
        <w:t xml:space="preserve"> førte til en stigning på 90 % i</w:t>
      </w:r>
      <w:r w:rsidR="002A78AF">
        <w:rPr>
          <w:sz w:val="24"/>
          <w:szCs w:val="24"/>
        </w:rPr>
        <w:t xml:space="preserve"> </w:t>
      </w:r>
      <w:r w:rsidRPr="0067760F">
        <w:rPr>
          <w:sz w:val="24"/>
          <w:szCs w:val="24"/>
        </w:rPr>
        <w:t xml:space="preserve">AUC og 59 % i </w:t>
      </w:r>
      <w:proofErr w:type="spellStart"/>
      <w:r w:rsidRPr="0067760F">
        <w:rPr>
          <w:sz w:val="24"/>
          <w:szCs w:val="24"/>
        </w:rPr>
        <w:t>C</w:t>
      </w:r>
      <w:r w:rsidRPr="002A78AF">
        <w:rPr>
          <w:sz w:val="24"/>
          <w:szCs w:val="24"/>
          <w:vertAlign w:val="subscript"/>
        </w:rPr>
        <w:t>max</w:t>
      </w:r>
      <w:proofErr w:type="spellEnd"/>
      <w:r w:rsidRPr="0067760F">
        <w:rPr>
          <w:sz w:val="24"/>
          <w:szCs w:val="24"/>
        </w:rPr>
        <w:t xml:space="preserve">-værdier for </w:t>
      </w:r>
      <w:proofErr w:type="spellStart"/>
      <w:r w:rsidRPr="0067760F">
        <w:rPr>
          <w:sz w:val="24"/>
          <w:szCs w:val="24"/>
        </w:rPr>
        <w:t>dextromethorphan</w:t>
      </w:r>
      <w:proofErr w:type="spellEnd"/>
      <w:r w:rsidRPr="0067760F">
        <w:rPr>
          <w:sz w:val="24"/>
          <w:szCs w:val="24"/>
        </w:rPr>
        <w:t xml:space="preserve">. Samtidig administration af 400 mg </w:t>
      </w:r>
      <w:proofErr w:type="spellStart"/>
      <w:r w:rsidRPr="0067760F">
        <w:rPr>
          <w:sz w:val="24"/>
          <w:szCs w:val="24"/>
        </w:rPr>
        <w:t>ketoconazol</w:t>
      </w:r>
      <w:proofErr w:type="spellEnd"/>
      <w:r w:rsidRPr="0067760F">
        <w:rPr>
          <w:sz w:val="24"/>
          <w:szCs w:val="24"/>
        </w:rPr>
        <w:t xml:space="preserve"> (CYP3A4-hæmmer) øgede AUC i </w:t>
      </w:r>
      <w:proofErr w:type="spellStart"/>
      <w:r w:rsidRPr="0067760F">
        <w:rPr>
          <w:sz w:val="24"/>
          <w:szCs w:val="24"/>
        </w:rPr>
        <w:t>clobazam</w:t>
      </w:r>
      <w:proofErr w:type="spellEnd"/>
      <w:r w:rsidRPr="0067760F">
        <w:rPr>
          <w:sz w:val="24"/>
          <w:szCs w:val="24"/>
        </w:rPr>
        <w:t xml:space="preserve"> med 54 % uden nogen effekt på </w:t>
      </w:r>
      <w:proofErr w:type="spellStart"/>
      <w:r w:rsidRPr="0067760F">
        <w:rPr>
          <w:sz w:val="24"/>
          <w:szCs w:val="24"/>
        </w:rPr>
        <w:t>C</w:t>
      </w:r>
      <w:r w:rsidRPr="002A78AF">
        <w:rPr>
          <w:sz w:val="24"/>
          <w:szCs w:val="24"/>
          <w:vertAlign w:val="subscript"/>
        </w:rPr>
        <w:t>max</w:t>
      </w:r>
      <w:proofErr w:type="spellEnd"/>
      <w:r w:rsidRPr="0067760F">
        <w:rPr>
          <w:sz w:val="24"/>
          <w:szCs w:val="24"/>
        </w:rPr>
        <w:t>.</w:t>
      </w:r>
    </w:p>
    <w:p w14:paraId="495769B6" w14:textId="77777777" w:rsidR="00773191" w:rsidRPr="0067760F" w:rsidRDefault="00773191" w:rsidP="0067760F">
      <w:pPr>
        <w:ind w:left="851"/>
        <w:rPr>
          <w:sz w:val="24"/>
          <w:szCs w:val="24"/>
        </w:rPr>
      </w:pPr>
    </w:p>
    <w:p w14:paraId="397F5225" w14:textId="77777777" w:rsidR="00773191" w:rsidRPr="0067760F" w:rsidRDefault="00773191" w:rsidP="0067760F">
      <w:pPr>
        <w:ind w:left="851"/>
        <w:rPr>
          <w:sz w:val="24"/>
          <w:szCs w:val="24"/>
        </w:rPr>
      </w:pPr>
      <w:proofErr w:type="spellStart"/>
      <w:r w:rsidRPr="0067760F">
        <w:rPr>
          <w:sz w:val="24"/>
          <w:szCs w:val="24"/>
        </w:rPr>
        <w:t>Clobazam</w:t>
      </w:r>
      <w:proofErr w:type="spellEnd"/>
      <w:r w:rsidRPr="0067760F">
        <w:rPr>
          <w:sz w:val="24"/>
          <w:szCs w:val="24"/>
        </w:rPr>
        <w:t xml:space="preserve"> reducerede AUC og </w:t>
      </w:r>
      <w:proofErr w:type="spellStart"/>
      <w:r w:rsidRPr="0067760F">
        <w:rPr>
          <w:sz w:val="24"/>
          <w:szCs w:val="24"/>
        </w:rPr>
        <w:t>C</w:t>
      </w:r>
      <w:r w:rsidRPr="002A78AF">
        <w:rPr>
          <w:sz w:val="24"/>
          <w:szCs w:val="24"/>
          <w:vertAlign w:val="subscript"/>
        </w:rPr>
        <w:t>max</w:t>
      </w:r>
      <w:proofErr w:type="spellEnd"/>
      <w:r w:rsidRPr="0067760F">
        <w:rPr>
          <w:sz w:val="24"/>
          <w:szCs w:val="24"/>
        </w:rPr>
        <w:t xml:space="preserve"> af </w:t>
      </w:r>
      <w:proofErr w:type="spellStart"/>
      <w:r w:rsidRPr="0067760F">
        <w:rPr>
          <w:sz w:val="24"/>
          <w:szCs w:val="24"/>
        </w:rPr>
        <w:t>midazolam</w:t>
      </w:r>
      <w:proofErr w:type="spellEnd"/>
      <w:r w:rsidRPr="0067760F">
        <w:rPr>
          <w:sz w:val="24"/>
          <w:szCs w:val="24"/>
        </w:rPr>
        <w:t xml:space="preserve"> med henholdsvis 27 % og 24 % og øgede AUC og </w:t>
      </w:r>
      <w:proofErr w:type="spellStart"/>
      <w:r w:rsidRPr="0067760F">
        <w:rPr>
          <w:sz w:val="24"/>
          <w:szCs w:val="24"/>
        </w:rPr>
        <w:t>C</w:t>
      </w:r>
      <w:r w:rsidRPr="002A78AF">
        <w:rPr>
          <w:sz w:val="24"/>
          <w:szCs w:val="24"/>
          <w:vertAlign w:val="subscript"/>
        </w:rPr>
        <w:t>max</w:t>
      </w:r>
      <w:proofErr w:type="spellEnd"/>
      <w:r w:rsidRPr="0067760F">
        <w:rPr>
          <w:sz w:val="24"/>
          <w:szCs w:val="24"/>
        </w:rPr>
        <w:t xml:space="preserve"> af metabolitten 1-hydroxymidazolam med henholdsvis 4 og 2 gange. Dette induktionsniveau kræver ikke dosisjustering af lægemidler, som primært </w:t>
      </w:r>
      <w:proofErr w:type="spellStart"/>
      <w:r w:rsidRPr="0067760F">
        <w:rPr>
          <w:sz w:val="24"/>
          <w:szCs w:val="24"/>
        </w:rPr>
        <w:t>metaboliseres</w:t>
      </w:r>
      <w:proofErr w:type="spellEnd"/>
      <w:r w:rsidRPr="0067760F">
        <w:rPr>
          <w:sz w:val="24"/>
          <w:szCs w:val="24"/>
        </w:rPr>
        <w:t xml:space="preserve"> af CYP3A4 ved anvendelse sammen med </w:t>
      </w:r>
      <w:proofErr w:type="spellStart"/>
      <w:r w:rsidRPr="0067760F">
        <w:rPr>
          <w:sz w:val="24"/>
          <w:szCs w:val="24"/>
        </w:rPr>
        <w:t>clobazam</w:t>
      </w:r>
      <w:proofErr w:type="spellEnd"/>
      <w:r w:rsidRPr="0067760F">
        <w:rPr>
          <w:sz w:val="24"/>
          <w:szCs w:val="24"/>
        </w:rPr>
        <w:t>.</w:t>
      </w:r>
    </w:p>
    <w:p w14:paraId="647F25EA" w14:textId="77777777" w:rsidR="00773191" w:rsidRPr="0067760F" w:rsidRDefault="00773191" w:rsidP="0067760F">
      <w:pPr>
        <w:ind w:left="851"/>
        <w:rPr>
          <w:sz w:val="24"/>
          <w:szCs w:val="24"/>
        </w:rPr>
      </w:pPr>
    </w:p>
    <w:p w14:paraId="7CDE5EFE" w14:textId="77777777" w:rsidR="00773191" w:rsidRPr="00801A18" w:rsidRDefault="00773191" w:rsidP="0067760F">
      <w:pPr>
        <w:ind w:left="851"/>
        <w:rPr>
          <w:b/>
          <w:bCs/>
          <w:sz w:val="24"/>
          <w:szCs w:val="24"/>
        </w:rPr>
      </w:pPr>
      <w:r w:rsidRPr="00801A18">
        <w:rPr>
          <w:b/>
          <w:sz w:val="24"/>
          <w:szCs w:val="24"/>
        </w:rPr>
        <w:t>Elimination</w:t>
      </w:r>
    </w:p>
    <w:p w14:paraId="79EF2012" w14:textId="77777777" w:rsidR="00773191" w:rsidRPr="0067760F" w:rsidRDefault="00773191" w:rsidP="0067760F">
      <w:pPr>
        <w:ind w:left="851"/>
        <w:rPr>
          <w:sz w:val="24"/>
          <w:szCs w:val="24"/>
        </w:rPr>
      </w:pPr>
      <w:r w:rsidRPr="0067760F">
        <w:rPr>
          <w:sz w:val="24"/>
          <w:szCs w:val="24"/>
        </w:rPr>
        <w:t xml:space="preserve">Baseret på en </w:t>
      </w:r>
      <w:proofErr w:type="spellStart"/>
      <w:r w:rsidRPr="0067760F">
        <w:rPr>
          <w:sz w:val="24"/>
          <w:szCs w:val="24"/>
        </w:rPr>
        <w:t>farmakokinetisk</w:t>
      </w:r>
      <w:proofErr w:type="spellEnd"/>
      <w:r w:rsidRPr="0067760F">
        <w:rPr>
          <w:sz w:val="24"/>
          <w:szCs w:val="24"/>
        </w:rPr>
        <w:t xml:space="preserve"> populationsanalyse, skønnes halveringstiderne for elimination af plasma for </w:t>
      </w:r>
      <w:proofErr w:type="spellStart"/>
      <w:r w:rsidRPr="0067760F">
        <w:rPr>
          <w:sz w:val="24"/>
          <w:szCs w:val="24"/>
        </w:rPr>
        <w:t>clobazam</w:t>
      </w:r>
      <w:proofErr w:type="spellEnd"/>
      <w:r w:rsidRPr="0067760F">
        <w:rPr>
          <w:sz w:val="24"/>
          <w:szCs w:val="24"/>
        </w:rPr>
        <w:t xml:space="preserve"> og N-CLB til at være henholdsvis 36 timer og 79 </w:t>
      </w:r>
      <w:r w:rsidRPr="0067760F">
        <w:rPr>
          <w:sz w:val="24"/>
          <w:szCs w:val="24"/>
        </w:rPr>
        <w:lastRenderedPageBreak/>
        <w:t xml:space="preserve">timer. </w:t>
      </w:r>
      <w:proofErr w:type="spellStart"/>
      <w:r w:rsidRPr="0067760F">
        <w:rPr>
          <w:sz w:val="24"/>
          <w:szCs w:val="24"/>
        </w:rPr>
        <w:t>Clobazam</w:t>
      </w:r>
      <w:proofErr w:type="spellEnd"/>
      <w:r w:rsidRPr="0067760F">
        <w:rPr>
          <w:sz w:val="24"/>
          <w:szCs w:val="24"/>
        </w:rPr>
        <w:t xml:space="preserve"> elimineres hovedsageligt ved metabolisme i leveren med efterfølgende </w:t>
      </w:r>
      <w:proofErr w:type="spellStart"/>
      <w:r w:rsidRPr="0067760F">
        <w:rPr>
          <w:sz w:val="24"/>
          <w:szCs w:val="24"/>
        </w:rPr>
        <w:t>renal</w:t>
      </w:r>
      <w:proofErr w:type="spellEnd"/>
      <w:r w:rsidRPr="0067760F">
        <w:rPr>
          <w:sz w:val="24"/>
          <w:szCs w:val="24"/>
        </w:rPr>
        <w:t xml:space="preserve"> elimination.</w:t>
      </w:r>
    </w:p>
    <w:p w14:paraId="65AE3EA9" w14:textId="77777777" w:rsidR="00773191" w:rsidRPr="0067760F" w:rsidRDefault="00773191" w:rsidP="0067760F">
      <w:pPr>
        <w:ind w:left="851"/>
        <w:rPr>
          <w:sz w:val="24"/>
          <w:szCs w:val="24"/>
        </w:rPr>
      </w:pPr>
    </w:p>
    <w:p w14:paraId="68A6B76D" w14:textId="77777777" w:rsidR="00773191" w:rsidRPr="0067760F" w:rsidRDefault="00773191" w:rsidP="0067760F">
      <w:pPr>
        <w:ind w:left="851"/>
        <w:rPr>
          <w:sz w:val="24"/>
          <w:szCs w:val="24"/>
        </w:rPr>
      </w:pPr>
      <w:r w:rsidRPr="0067760F">
        <w:rPr>
          <w:sz w:val="24"/>
          <w:szCs w:val="24"/>
        </w:rPr>
        <w:t xml:space="preserve">I en massebalancestudie blev omtrent 80 % af den administrerede dosis genfundet i urinen og omtrent 11 % i fæces. Mindre end 1 % </w:t>
      </w:r>
      <w:proofErr w:type="spellStart"/>
      <w:r w:rsidRPr="0067760F">
        <w:rPr>
          <w:sz w:val="24"/>
          <w:szCs w:val="24"/>
        </w:rPr>
        <w:t>uomdannet</w:t>
      </w:r>
      <w:proofErr w:type="spellEnd"/>
      <w:r w:rsidRPr="0067760F">
        <w:rPr>
          <w:sz w:val="24"/>
          <w:szCs w:val="24"/>
        </w:rPr>
        <w:t xml:space="preserve"> </w:t>
      </w:r>
      <w:proofErr w:type="spellStart"/>
      <w:r w:rsidRPr="0067760F">
        <w:rPr>
          <w:sz w:val="24"/>
          <w:szCs w:val="24"/>
        </w:rPr>
        <w:t>clobazam</w:t>
      </w:r>
      <w:proofErr w:type="spellEnd"/>
      <w:r w:rsidRPr="0067760F">
        <w:rPr>
          <w:sz w:val="24"/>
          <w:szCs w:val="24"/>
        </w:rPr>
        <w:t xml:space="preserve"> og mindre end 10 % </w:t>
      </w:r>
      <w:proofErr w:type="spellStart"/>
      <w:r w:rsidRPr="0067760F">
        <w:rPr>
          <w:sz w:val="24"/>
          <w:szCs w:val="24"/>
        </w:rPr>
        <w:t>uomdannet</w:t>
      </w:r>
      <w:proofErr w:type="spellEnd"/>
      <w:r w:rsidRPr="0067760F">
        <w:rPr>
          <w:sz w:val="24"/>
          <w:szCs w:val="24"/>
        </w:rPr>
        <w:t xml:space="preserve"> N-CLB udskilles via nyrerne.</w:t>
      </w:r>
    </w:p>
    <w:p w14:paraId="5ED7CF3A" w14:textId="77777777" w:rsidR="00773191" w:rsidRPr="0067760F" w:rsidRDefault="00773191" w:rsidP="0067760F">
      <w:pPr>
        <w:ind w:left="851"/>
        <w:rPr>
          <w:sz w:val="24"/>
          <w:szCs w:val="24"/>
        </w:rPr>
      </w:pPr>
    </w:p>
    <w:p w14:paraId="1835BCDD" w14:textId="77777777" w:rsidR="00773191" w:rsidRPr="00801A18" w:rsidRDefault="00773191" w:rsidP="0067760F">
      <w:pPr>
        <w:ind w:left="851"/>
        <w:rPr>
          <w:b/>
          <w:bCs/>
          <w:sz w:val="24"/>
          <w:szCs w:val="24"/>
        </w:rPr>
      </w:pPr>
      <w:r w:rsidRPr="00801A18">
        <w:rPr>
          <w:b/>
          <w:sz w:val="24"/>
          <w:szCs w:val="24"/>
        </w:rPr>
        <w:t>Risikogrupper – Amning</w:t>
      </w:r>
    </w:p>
    <w:p w14:paraId="609B2720" w14:textId="77777777" w:rsidR="00773191" w:rsidRPr="0067760F" w:rsidRDefault="00773191" w:rsidP="0067760F">
      <w:pPr>
        <w:ind w:left="851"/>
        <w:rPr>
          <w:sz w:val="24"/>
          <w:szCs w:val="24"/>
        </w:rPr>
      </w:pPr>
      <w:proofErr w:type="spellStart"/>
      <w:r w:rsidRPr="0067760F">
        <w:rPr>
          <w:sz w:val="24"/>
          <w:szCs w:val="24"/>
        </w:rPr>
        <w:t>Clobazam</w:t>
      </w:r>
      <w:proofErr w:type="spellEnd"/>
      <w:r w:rsidRPr="0067760F">
        <w:rPr>
          <w:sz w:val="24"/>
          <w:szCs w:val="24"/>
        </w:rPr>
        <w:t xml:space="preserve"> passerer placentabarrieren og findes i human brystmælk. Farmakologisk aktive koncentrationer kan udvindes fra både fosterblod og brystmælk.</w:t>
      </w:r>
    </w:p>
    <w:p w14:paraId="3B38E359" w14:textId="77777777" w:rsidR="00773191" w:rsidRPr="0067760F" w:rsidRDefault="00773191" w:rsidP="0067760F">
      <w:pPr>
        <w:ind w:left="851"/>
        <w:rPr>
          <w:sz w:val="24"/>
          <w:szCs w:val="24"/>
        </w:rPr>
      </w:pPr>
    </w:p>
    <w:p w14:paraId="10769651" w14:textId="77777777" w:rsidR="00773191" w:rsidRPr="00801A18" w:rsidRDefault="00773191" w:rsidP="0067760F">
      <w:pPr>
        <w:ind w:left="851"/>
        <w:rPr>
          <w:b/>
          <w:bCs/>
          <w:sz w:val="24"/>
          <w:szCs w:val="24"/>
        </w:rPr>
      </w:pPr>
      <w:r w:rsidRPr="00801A18">
        <w:rPr>
          <w:b/>
          <w:sz w:val="24"/>
          <w:szCs w:val="24"/>
        </w:rPr>
        <w:t>Ældre</w:t>
      </w:r>
    </w:p>
    <w:p w14:paraId="307151C1" w14:textId="77777777" w:rsidR="00773191" w:rsidRPr="0067760F" w:rsidRDefault="00773191" w:rsidP="0067760F">
      <w:pPr>
        <w:ind w:left="851"/>
        <w:rPr>
          <w:sz w:val="24"/>
          <w:szCs w:val="24"/>
        </w:rPr>
      </w:pPr>
      <w:r w:rsidRPr="0067760F">
        <w:rPr>
          <w:sz w:val="24"/>
          <w:szCs w:val="24"/>
        </w:rPr>
        <w:t xml:space="preserve">Ældre personer har ofte lavere </w:t>
      </w:r>
      <w:proofErr w:type="spellStart"/>
      <w:r w:rsidRPr="0067760F">
        <w:rPr>
          <w:sz w:val="24"/>
          <w:szCs w:val="24"/>
        </w:rPr>
        <w:t>clearance</w:t>
      </w:r>
      <w:proofErr w:type="spellEnd"/>
      <w:r w:rsidRPr="0067760F">
        <w:rPr>
          <w:sz w:val="24"/>
          <w:szCs w:val="24"/>
        </w:rPr>
        <w:t xml:space="preserve"> efter oral administration. Den terminale halveringstid er forlænget, og distributionsvolumen er øget. Dette kan forårsage større akkumulering af </w:t>
      </w:r>
      <w:proofErr w:type="spellStart"/>
      <w:r w:rsidRPr="0067760F">
        <w:rPr>
          <w:sz w:val="24"/>
          <w:szCs w:val="24"/>
        </w:rPr>
        <w:t>clobazam</w:t>
      </w:r>
      <w:proofErr w:type="spellEnd"/>
      <w:r w:rsidRPr="0067760F">
        <w:rPr>
          <w:sz w:val="24"/>
          <w:szCs w:val="24"/>
        </w:rPr>
        <w:t xml:space="preserve"> efter multipel administration end hos yngre personer. Alder ser også ud til at påvirke </w:t>
      </w:r>
      <w:proofErr w:type="spellStart"/>
      <w:r w:rsidRPr="0067760F">
        <w:rPr>
          <w:sz w:val="24"/>
          <w:szCs w:val="24"/>
        </w:rPr>
        <w:t>clearance</w:t>
      </w:r>
      <w:proofErr w:type="spellEnd"/>
      <w:r w:rsidRPr="0067760F">
        <w:rPr>
          <w:sz w:val="24"/>
          <w:szCs w:val="24"/>
        </w:rPr>
        <w:t xml:space="preserve"> og akkumulering af den aktive metabolit hos ældre patienter.</w:t>
      </w:r>
    </w:p>
    <w:p w14:paraId="065A3906" w14:textId="77777777" w:rsidR="00773191" w:rsidRPr="0067760F" w:rsidRDefault="00773191" w:rsidP="0067760F">
      <w:pPr>
        <w:ind w:left="851"/>
        <w:rPr>
          <w:sz w:val="24"/>
          <w:szCs w:val="24"/>
        </w:rPr>
      </w:pPr>
    </w:p>
    <w:p w14:paraId="4E4A61D6" w14:textId="77777777" w:rsidR="00773191" w:rsidRPr="00801A18" w:rsidRDefault="00773191" w:rsidP="0067760F">
      <w:pPr>
        <w:ind w:left="851"/>
        <w:rPr>
          <w:b/>
          <w:bCs/>
          <w:sz w:val="24"/>
          <w:szCs w:val="24"/>
        </w:rPr>
      </w:pPr>
      <w:r w:rsidRPr="00801A18">
        <w:rPr>
          <w:b/>
          <w:sz w:val="24"/>
          <w:szCs w:val="24"/>
        </w:rPr>
        <w:t>Nedsat leverfunktion</w:t>
      </w:r>
    </w:p>
    <w:p w14:paraId="16983399" w14:textId="77777777" w:rsidR="00773191" w:rsidRPr="0067760F" w:rsidRDefault="00773191" w:rsidP="0067760F">
      <w:pPr>
        <w:ind w:left="851"/>
        <w:rPr>
          <w:sz w:val="24"/>
          <w:szCs w:val="24"/>
        </w:rPr>
      </w:pPr>
      <w:r w:rsidRPr="0067760F">
        <w:rPr>
          <w:sz w:val="24"/>
          <w:szCs w:val="24"/>
        </w:rPr>
        <w:t xml:space="preserve">Hos patienter med alvorlig leversygdom øges distributionsvoluminet af </w:t>
      </w:r>
      <w:proofErr w:type="spellStart"/>
      <w:r w:rsidRPr="0067760F">
        <w:rPr>
          <w:sz w:val="24"/>
          <w:szCs w:val="24"/>
        </w:rPr>
        <w:t>clobazam</w:t>
      </w:r>
      <w:proofErr w:type="spellEnd"/>
      <w:r w:rsidRPr="0067760F">
        <w:rPr>
          <w:sz w:val="24"/>
          <w:szCs w:val="24"/>
        </w:rPr>
        <w:t>, og den terminale halveringstid forlænges.</w:t>
      </w:r>
    </w:p>
    <w:p w14:paraId="68003ACA" w14:textId="77777777" w:rsidR="00773191" w:rsidRPr="0067760F" w:rsidRDefault="00773191" w:rsidP="0067760F">
      <w:pPr>
        <w:ind w:left="851"/>
        <w:rPr>
          <w:sz w:val="24"/>
          <w:szCs w:val="24"/>
        </w:rPr>
      </w:pPr>
    </w:p>
    <w:p w14:paraId="6BDC38CA" w14:textId="77777777" w:rsidR="00773191" w:rsidRPr="00801A18" w:rsidRDefault="00773191" w:rsidP="0067760F">
      <w:pPr>
        <w:ind w:left="851"/>
        <w:rPr>
          <w:b/>
          <w:bCs/>
          <w:sz w:val="24"/>
          <w:szCs w:val="24"/>
        </w:rPr>
      </w:pPr>
      <w:r w:rsidRPr="00801A18">
        <w:rPr>
          <w:b/>
          <w:sz w:val="24"/>
          <w:szCs w:val="24"/>
        </w:rPr>
        <w:t>Nedsat nyrefunktion</w:t>
      </w:r>
    </w:p>
    <w:p w14:paraId="7A7B7C50" w14:textId="77777777" w:rsidR="00773191" w:rsidRPr="0067760F" w:rsidRDefault="00773191" w:rsidP="0067760F">
      <w:pPr>
        <w:ind w:left="851"/>
        <w:rPr>
          <w:sz w:val="24"/>
          <w:szCs w:val="24"/>
        </w:rPr>
      </w:pPr>
      <w:r w:rsidRPr="0067760F">
        <w:rPr>
          <w:sz w:val="24"/>
          <w:szCs w:val="24"/>
        </w:rPr>
        <w:t xml:space="preserve">Hos patienter med nedsat nyrefunktion reduceres </w:t>
      </w:r>
      <w:proofErr w:type="spellStart"/>
      <w:r w:rsidRPr="0067760F">
        <w:rPr>
          <w:sz w:val="24"/>
          <w:szCs w:val="24"/>
        </w:rPr>
        <w:t>clobazamkoncentrationen</w:t>
      </w:r>
      <w:proofErr w:type="spellEnd"/>
      <w:r w:rsidRPr="0067760F">
        <w:rPr>
          <w:sz w:val="24"/>
          <w:szCs w:val="24"/>
        </w:rPr>
        <w:t xml:space="preserve"> i plasma sandsynligvis på grund af nedsat absorption af lægemidlet. Den terminale halveringstid er i det store og hele ikke afhængig af nyrefunktionen.</w:t>
      </w:r>
    </w:p>
    <w:p w14:paraId="3655F805" w14:textId="77777777" w:rsidR="009260DE" w:rsidRPr="0067760F" w:rsidRDefault="009260DE" w:rsidP="00876CA2">
      <w:pPr>
        <w:rPr>
          <w:sz w:val="24"/>
          <w:szCs w:val="24"/>
        </w:rPr>
      </w:pPr>
    </w:p>
    <w:p w14:paraId="1B189D0D" w14:textId="77777777" w:rsidR="009260DE" w:rsidRPr="0067760F" w:rsidRDefault="009260DE" w:rsidP="009260DE">
      <w:pPr>
        <w:tabs>
          <w:tab w:val="left" w:pos="851"/>
        </w:tabs>
        <w:ind w:left="851" w:hanging="851"/>
        <w:rPr>
          <w:b/>
          <w:sz w:val="24"/>
          <w:szCs w:val="24"/>
        </w:rPr>
      </w:pPr>
      <w:r w:rsidRPr="0067760F">
        <w:rPr>
          <w:b/>
          <w:sz w:val="24"/>
          <w:szCs w:val="24"/>
        </w:rPr>
        <w:t>5.3</w:t>
      </w:r>
      <w:r w:rsidRPr="0067760F">
        <w:rPr>
          <w:b/>
          <w:sz w:val="24"/>
          <w:szCs w:val="24"/>
        </w:rPr>
        <w:tab/>
        <w:t>Prækliniske sikkerhedsdata</w:t>
      </w:r>
    </w:p>
    <w:p w14:paraId="2E01188F" w14:textId="77777777" w:rsidR="00801A18" w:rsidRDefault="00801A18" w:rsidP="0067760F">
      <w:pPr>
        <w:ind w:left="851"/>
        <w:rPr>
          <w:sz w:val="24"/>
          <w:szCs w:val="24"/>
        </w:rPr>
      </w:pPr>
    </w:p>
    <w:p w14:paraId="3940F82A" w14:textId="22B8FE50" w:rsidR="00773191" w:rsidRPr="00801A18" w:rsidRDefault="00773191" w:rsidP="0067760F">
      <w:pPr>
        <w:ind w:left="851"/>
        <w:rPr>
          <w:i/>
          <w:sz w:val="24"/>
          <w:szCs w:val="24"/>
        </w:rPr>
      </w:pPr>
      <w:r w:rsidRPr="00801A18">
        <w:rPr>
          <w:i/>
          <w:sz w:val="24"/>
          <w:szCs w:val="24"/>
        </w:rPr>
        <w:t>Kronisk toksicitet</w:t>
      </w:r>
    </w:p>
    <w:p w14:paraId="0C7D2413" w14:textId="77777777" w:rsidR="00773191" w:rsidRPr="0067760F" w:rsidRDefault="00773191" w:rsidP="0067760F">
      <w:pPr>
        <w:ind w:left="851"/>
        <w:rPr>
          <w:sz w:val="24"/>
          <w:szCs w:val="24"/>
        </w:rPr>
      </w:pPr>
      <w:r w:rsidRPr="0067760F">
        <w:rPr>
          <w:sz w:val="24"/>
          <w:szCs w:val="24"/>
        </w:rPr>
        <w:t xml:space="preserve">Der er udført rottestudier i op til 18 måneder med daglige doser på op til 1.000 mg/kg kropsvægt. I dosisintervallet 12-1000 mg/kg kropsvægt opstod en dosisafhængig reduktion i spontan aktivitet, og i den højeste dosisgruppe blev der observeret en mindre vægtøgning samt respirationsdepression og </w:t>
      </w:r>
      <w:proofErr w:type="spellStart"/>
      <w:r w:rsidRPr="0067760F">
        <w:rPr>
          <w:sz w:val="24"/>
          <w:szCs w:val="24"/>
        </w:rPr>
        <w:t>hypotermi</w:t>
      </w:r>
      <w:proofErr w:type="spellEnd"/>
      <w:r w:rsidRPr="0067760F">
        <w:rPr>
          <w:sz w:val="24"/>
          <w:szCs w:val="24"/>
        </w:rPr>
        <w:t>.</w:t>
      </w:r>
    </w:p>
    <w:p w14:paraId="37DDA4F3" w14:textId="77777777" w:rsidR="00773191" w:rsidRPr="0067760F" w:rsidRDefault="00773191" w:rsidP="0067760F">
      <w:pPr>
        <w:ind w:left="851"/>
        <w:rPr>
          <w:sz w:val="24"/>
          <w:szCs w:val="24"/>
        </w:rPr>
      </w:pPr>
      <w:r w:rsidRPr="0067760F">
        <w:rPr>
          <w:sz w:val="24"/>
          <w:szCs w:val="24"/>
        </w:rPr>
        <w:t xml:space="preserve">Der er udført studier med hunde i perioder op til 12 måneder. Ved en daglig dosis på 2,5-80 mg/kg kropsvægt blev der initialt observeret dosisafhængig sedation, døsighed, </w:t>
      </w:r>
      <w:proofErr w:type="spellStart"/>
      <w:r w:rsidRPr="0067760F">
        <w:rPr>
          <w:sz w:val="24"/>
          <w:szCs w:val="24"/>
        </w:rPr>
        <w:t>ataksi</w:t>
      </w:r>
      <w:proofErr w:type="spellEnd"/>
      <w:r w:rsidRPr="0067760F">
        <w:rPr>
          <w:sz w:val="24"/>
          <w:szCs w:val="24"/>
        </w:rPr>
        <w:t xml:space="preserve"> og mild </w:t>
      </w:r>
      <w:proofErr w:type="spellStart"/>
      <w:r w:rsidRPr="0067760F">
        <w:rPr>
          <w:sz w:val="24"/>
          <w:szCs w:val="24"/>
        </w:rPr>
        <w:t>tremor</w:t>
      </w:r>
      <w:proofErr w:type="spellEnd"/>
      <w:r w:rsidRPr="0067760F">
        <w:rPr>
          <w:sz w:val="24"/>
          <w:szCs w:val="24"/>
        </w:rPr>
        <w:t>. Senere var disse symptomer næsten forsvundet.</w:t>
      </w:r>
    </w:p>
    <w:p w14:paraId="4D0DD305" w14:textId="77777777" w:rsidR="00773191" w:rsidRPr="0067760F" w:rsidRDefault="00773191" w:rsidP="0067760F">
      <w:pPr>
        <w:ind w:left="851"/>
        <w:rPr>
          <w:sz w:val="24"/>
          <w:szCs w:val="24"/>
        </w:rPr>
      </w:pPr>
      <w:r w:rsidRPr="0067760F">
        <w:rPr>
          <w:sz w:val="24"/>
          <w:szCs w:val="24"/>
        </w:rPr>
        <w:t>Hos aber blev der observeret lignende dosisafhængige reaktioner i studier på op til 12 måneder med daglige doser på 2,5-20 mg/kg kropsvægt.</w:t>
      </w:r>
    </w:p>
    <w:p w14:paraId="2665515E" w14:textId="77777777" w:rsidR="00773191" w:rsidRPr="0067760F" w:rsidRDefault="00773191" w:rsidP="0067760F">
      <w:pPr>
        <w:ind w:left="851"/>
        <w:rPr>
          <w:sz w:val="24"/>
          <w:szCs w:val="24"/>
        </w:rPr>
      </w:pPr>
    </w:p>
    <w:p w14:paraId="17EF41DE" w14:textId="77777777" w:rsidR="00773191" w:rsidRPr="00801A18" w:rsidRDefault="00773191" w:rsidP="0067760F">
      <w:pPr>
        <w:ind w:left="851"/>
        <w:rPr>
          <w:i/>
          <w:sz w:val="24"/>
          <w:szCs w:val="24"/>
        </w:rPr>
      </w:pPr>
      <w:proofErr w:type="spellStart"/>
      <w:r w:rsidRPr="00801A18">
        <w:rPr>
          <w:i/>
          <w:sz w:val="24"/>
          <w:szCs w:val="24"/>
        </w:rPr>
        <w:t>Mutagenicitet</w:t>
      </w:r>
      <w:proofErr w:type="spellEnd"/>
    </w:p>
    <w:p w14:paraId="50BE9666" w14:textId="77777777" w:rsidR="00773191" w:rsidRPr="0067760F" w:rsidRDefault="00773191" w:rsidP="0067760F">
      <w:pPr>
        <w:ind w:left="851"/>
        <w:rPr>
          <w:sz w:val="24"/>
          <w:szCs w:val="24"/>
        </w:rPr>
      </w:pPr>
      <w:r w:rsidRPr="0067760F">
        <w:rPr>
          <w:sz w:val="24"/>
          <w:szCs w:val="24"/>
        </w:rPr>
        <w:t xml:space="preserve">Der er ikke påvist genotoksiske eller mutagene effekter af </w:t>
      </w:r>
      <w:proofErr w:type="spellStart"/>
      <w:r w:rsidRPr="0067760F">
        <w:rPr>
          <w:sz w:val="24"/>
          <w:szCs w:val="24"/>
        </w:rPr>
        <w:t>clobazam</w:t>
      </w:r>
      <w:proofErr w:type="spellEnd"/>
      <w:r w:rsidRPr="0067760F">
        <w:rPr>
          <w:sz w:val="24"/>
          <w:szCs w:val="24"/>
        </w:rPr>
        <w:t>.</w:t>
      </w:r>
    </w:p>
    <w:p w14:paraId="3A9C9C19" w14:textId="77777777" w:rsidR="00773191" w:rsidRPr="0067760F" w:rsidRDefault="00773191" w:rsidP="0067760F">
      <w:pPr>
        <w:ind w:left="851"/>
        <w:rPr>
          <w:sz w:val="24"/>
          <w:szCs w:val="24"/>
        </w:rPr>
      </w:pPr>
    </w:p>
    <w:p w14:paraId="251D4B24" w14:textId="77777777" w:rsidR="00773191" w:rsidRPr="00801A18" w:rsidRDefault="00773191" w:rsidP="0067760F">
      <w:pPr>
        <w:ind w:left="851"/>
        <w:rPr>
          <w:i/>
          <w:sz w:val="24"/>
          <w:szCs w:val="24"/>
        </w:rPr>
      </w:pPr>
      <w:proofErr w:type="spellStart"/>
      <w:r w:rsidRPr="00801A18">
        <w:rPr>
          <w:i/>
          <w:sz w:val="24"/>
          <w:szCs w:val="24"/>
        </w:rPr>
        <w:t>Karcinogenicitet</w:t>
      </w:r>
      <w:proofErr w:type="spellEnd"/>
    </w:p>
    <w:p w14:paraId="6FD878AB" w14:textId="77777777" w:rsidR="00773191" w:rsidRPr="0067760F" w:rsidRDefault="00773191" w:rsidP="0067760F">
      <w:pPr>
        <w:ind w:left="851"/>
        <w:rPr>
          <w:sz w:val="24"/>
          <w:szCs w:val="24"/>
        </w:rPr>
      </w:pPr>
      <w:r w:rsidRPr="0067760F">
        <w:rPr>
          <w:sz w:val="24"/>
          <w:szCs w:val="24"/>
        </w:rPr>
        <w:t xml:space="preserve">I et </w:t>
      </w:r>
      <w:proofErr w:type="spellStart"/>
      <w:r w:rsidRPr="0067760F">
        <w:rPr>
          <w:sz w:val="24"/>
          <w:szCs w:val="24"/>
        </w:rPr>
        <w:t>karcinogenicitetsstudie</w:t>
      </w:r>
      <w:proofErr w:type="spellEnd"/>
      <w:r w:rsidRPr="0067760F">
        <w:rPr>
          <w:sz w:val="24"/>
          <w:szCs w:val="24"/>
        </w:rPr>
        <w:t xml:space="preserve"> blev der observeret en signifikant øgning i forekomsten af </w:t>
      </w:r>
      <w:proofErr w:type="spellStart"/>
      <w:r w:rsidRPr="0067760F">
        <w:rPr>
          <w:sz w:val="24"/>
          <w:szCs w:val="24"/>
        </w:rPr>
        <w:t>skjoldbruskkirtelcelleadenom</w:t>
      </w:r>
      <w:proofErr w:type="spellEnd"/>
      <w:r w:rsidRPr="0067760F">
        <w:rPr>
          <w:sz w:val="24"/>
          <w:szCs w:val="24"/>
        </w:rPr>
        <w:t xml:space="preserve"> hos rotter i den højeste doseringsgruppe (100 mg/kg kropsvægt).</w:t>
      </w:r>
    </w:p>
    <w:p w14:paraId="5E9A3B18" w14:textId="77777777" w:rsidR="00773191" w:rsidRPr="0067760F" w:rsidRDefault="00773191" w:rsidP="0067760F">
      <w:pPr>
        <w:ind w:left="851"/>
        <w:rPr>
          <w:sz w:val="24"/>
          <w:szCs w:val="24"/>
        </w:rPr>
      </w:pPr>
      <w:r w:rsidRPr="0067760F">
        <w:rPr>
          <w:sz w:val="24"/>
          <w:szCs w:val="24"/>
        </w:rPr>
        <w:t xml:space="preserve">I lighed med andre benzodiazepiner aktiverer </w:t>
      </w:r>
      <w:proofErr w:type="spellStart"/>
      <w:r w:rsidRPr="0067760F">
        <w:rPr>
          <w:sz w:val="24"/>
          <w:szCs w:val="24"/>
        </w:rPr>
        <w:t>clobazam</w:t>
      </w:r>
      <w:proofErr w:type="spellEnd"/>
      <w:r w:rsidRPr="0067760F">
        <w:rPr>
          <w:sz w:val="24"/>
          <w:szCs w:val="24"/>
        </w:rPr>
        <w:t xml:space="preserve"> skjoldbruskkirtlen hos rotter. Disse forandringer er ikke observeret i studier med andre arter.</w:t>
      </w:r>
    </w:p>
    <w:p w14:paraId="5DD9F50A" w14:textId="5AC2762A" w:rsidR="00BE66D6" w:rsidRDefault="00BE66D6">
      <w:pPr>
        <w:rPr>
          <w:sz w:val="24"/>
          <w:szCs w:val="24"/>
        </w:rPr>
      </w:pPr>
      <w:r>
        <w:rPr>
          <w:sz w:val="24"/>
          <w:szCs w:val="24"/>
        </w:rPr>
        <w:br w:type="page"/>
      </w:r>
    </w:p>
    <w:p w14:paraId="713C1F1E" w14:textId="77777777" w:rsidR="00773191" w:rsidRPr="0067760F" w:rsidRDefault="00773191" w:rsidP="0067760F">
      <w:pPr>
        <w:ind w:left="851"/>
        <w:rPr>
          <w:sz w:val="24"/>
          <w:szCs w:val="24"/>
        </w:rPr>
      </w:pPr>
    </w:p>
    <w:p w14:paraId="0D9A5B00" w14:textId="77777777" w:rsidR="00773191" w:rsidRPr="00801A18" w:rsidRDefault="00773191" w:rsidP="0067760F">
      <w:pPr>
        <w:ind w:left="851"/>
        <w:rPr>
          <w:i/>
          <w:sz w:val="24"/>
          <w:szCs w:val="24"/>
        </w:rPr>
      </w:pPr>
      <w:proofErr w:type="spellStart"/>
      <w:r w:rsidRPr="00801A18">
        <w:rPr>
          <w:i/>
          <w:sz w:val="24"/>
          <w:szCs w:val="24"/>
        </w:rPr>
        <w:t>Teratogenicitet</w:t>
      </w:r>
      <w:proofErr w:type="spellEnd"/>
    </w:p>
    <w:p w14:paraId="75A1C4B8" w14:textId="77777777" w:rsidR="00773191" w:rsidRPr="0067760F" w:rsidRDefault="00773191" w:rsidP="0067760F">
      <w:pPr>
        <w:ind w:left="851"/>
        <w:rPr>
          <w:sz w:val="24"/>
          <w:szCs w:val="24"/>
        </w:rPr>
      </w:pPr>
      <w:r w:rsidRPr="0067760F">
        <w:rPr>
          <w:sz w:val="24"/>
          <w:szCs w:val="24"/>
        </w:rPr>
        <w:t xml:space="preserve">Studier med mus, rotter og </w:t>
      </w:r>
      <w:proofErr w:type="spellStart"/>
      <w:r w:rsidRPr="0067760F">
        <w:rPr>
          <w:sz w:val="24"/>
          <w:szCs w:val="24"/>
        </w:rPr>
        <w:t>thalidomid</w:t>
      </w:r>
      <w:proofErr w:type="spellEnd"/>
      <w:r w:rsidRPr="0067760F">
        <w:rPr>
          <w:sz w:val="24"/>
          <w:szCs w:val="24"/>
        </w:rPr>
        <w:t xml:space="preserve">-følsomme kaniner med daglige doser op til 100 mg/kg kropsvægt viste ingen tegn på </w:t>
      </w:r>
      <w:proofErr w:type="spellStart"/>
      <w:r w:rsidRPr="0067760F">
        <w:rPr>
          <w:sz w:val="24"/>
          <w:szCs w:val="24"/>
        </w:rPr>
        <w:t>teratogene</w:t>
      </w:r>
      <w:proofErr w:type="spellEnd"/>
      <w:r w:rsidRPr="0067760F">
        <w:rPr>
          <w:sz w:val="24"/>
          <w:szCs w:val="24"/>
        </w:rPr>
        <w:t xml:space="preserve"> effekter.</w:t>
      </w:r>
    </w:p>
    <w:p w14:paraId="5A04D01C" w14:textId="77777777" w:rsidR="00773191" w:rsidRPr="0067760F" w:rsidRDefault="00773191" w:rsidP="0067760F">
      <w:pPr>
        <w:ind w:left="851"/>
        <w:rPr>
          <w:sz w:val="24"/>
          <w:szCs w:val="24"/>
        </w:rPr>
      </w:pPr>
    </w:p>
    <w:p w14:paraId="05B0B963" w14:textId="77777777" w:rsidR="00773191" w:rsidRPr="0067760F" w:rsidRDefault="00773191" w:rsidP="0067760F">
      <w:pPr>
        <w:ind w:left="851"/>
        <w:rPr>
          <w:sz w:val="24"/>
          <w:szCs w:val="24"/>
        </w:rPr>
      </w:pPr>
      <w:r w:rsidRPr="0067760F">
        <w:rPr>
          <w:sz w:val="24"/>
          <w:szCs w:val="24"/>
        </w:rPr>
        <w:t xml:space="preserve">I et andet studie, hvor </w:t>
      </w:r>
      <w:proofErr w:type="spellStart"/>
      <w:r w:rsidRPr="0067760F">
        <w:rPr>
          <w:sz w:val="24"/>
          <w:szCs w:val="24"/>
        </w:rPr>
        <w:t>clobazam</w:t>
      </w:r>
      <w:proofErr w:type="spellEnd"/>
      <w:r w:rsidRPr="0067760F">
        <w:rPr>
          <w:sz w:val="24"/>
          <w:szCs w:val="24"/>
        </w:rPr>
        <w:t xml:space="preserve"> (150, 450 eller 750 mg/kg/dag) blev administreret oralt til drægtige rotter under hele </w:t>
      </w:r>
      <w:proofErr w:type="spellStart"/>
      <w:r w:rsidRPr="0067760F">
        <w:rPr>
          <w:sz w:val="24"/>
          <w:szCs w:val="24"/>
        </w:rPr>
        <w:t>organogenesen</w:t>
      </w:r>
      <w:proofErr w:type="spellEnd"/>
      <w:r w:rsidRPr="0067760F">
        <w:rPr>
          <w:sz w:val="24"/>
          <w:szCs w:val="24"/>
        </w:rPr>
        <w:t xml:space="preserve">, var den </w:t>
      </w:r>
      <w:proofErr w:type="spellStart"/>
      <w:r w:rsidRPr="0067760F">
        <w:rPr>
          <w:sz w:val="24"/>
          <w:szCs w:val="24"/>
        </w:rPr>
        <w:t>embryoføtale</w:t>
      </w:r>
      <w:proofErr w:type="spellEnd"/>
      <w:r w:rsidRPr="0067760F">
        <w:rPr>
          <w:sz w:val="24"/>
          <w:szCs w:val="24"/>
        </w:rPr>
        <w:t xml:space="preserve"> dødelighed og forekomsten af </w:t>
      </w:r>
      <w:proofErr w:type="spellStart"/>
      <w:r w:rsidRPr="0067760F">
        <w:rPr>
          <w:sz w:val="24"/>
          <w:szCs w:val="24"/>
        </w:rPr>
        <w:t>føtale</w:t>
      </w:r>
      <w:proofErr w:type="spellEnd"/>
      <w:r w:rsidRPr="0067760F">
        <w:rPr>
          <w:sz w:val="24"/>
          <w:szCs w:val="24"/>
        </w:rPr>
        <w:t xml:space="preserve"> skeletvariationer øget ved alle doser. Effekten på udviklingstoksicitet hos rotter ved lav dosis (150 mg/kg/dag) var forbundet med lavere plasmaeksponering (AUC) for </w:t>
      </w:r>
      <w:proofErr w:type="spellStart"/>
      <w:r w:rsidRPr="0067760F">
        <w:rPr>
          <w:sz w:val="24"/>
          <w:szCs w:val="24"/>
        </w:rPr>
        <w:t>clobazam</w:t>
      </w:r>
      <w:proofErr w:type="spellEnd"/>
      <w:r w:rsidRPr="0067760F">
        <w:rPr>
          <w:sz w:val="24"/>
          <w:szCs w:val="24"/>
        </w:rPr>
        <w:t xml:space="preserve"> og </w:t>
      </w:r>
      <w:proofErr w:type="spellStart"/>
      <w:r w:rsidRPr="0067760F">
        <w:rPr>
          <w:sz w:val="24"/>
          <w:szCs w:val="24"/>
        </w:rPr>
        <w:t>desmethylclobazam</w:t>
      </w:r>
      <w:proofErr w:type="spellEnd"/>
      <w:r w:rsidRPr="0067760F">
        <w:rPr>
          <w:sz w:val="24"/>
          <w:szCs w:val="24"/>
        </w:rPr>
        <w:t xml:space="preserve"> end hos mennesker ved den maksimalt anbefalede dosis på 80 mg/dag.</w:t>
      </w:r>
    </w:p>
    <w:p w14:paraId="67C4BE10" w14:textId="20A5C562" w:rsidR="00773191" w:rsidRPr="0067760F" w:rsidRDefault="00773191" w:rsidP="0067760F">
      <w:pPr>
        <w:ind w:left="851"/>
        <w:rPr>
          <w:sz w:val="24"/>
          <w:szCs w:val="24"/>
        </w:rPr>
      </w:pPr>
      <w:r w:rsidRPr="0067760F">
        <w:rPr>
          <w:sz w:val="24"/>
          <w:szCs w:val="24"/>
        </w:rPr>
        <w:t xml:space="preserve">Oral administration af </w:t>
      </w:r>
      <w:proofErr w:type="spellStart"/>
      <w:r w:rsidRPr="0067760F">
        <w:rPr>
          <w:sz w:val="24"/>
          <w:szCs w:val="24"/>
        </w:rPr>
        <w:t>clobazam</w:t>
      </w:r>
      <w:proofErr w:type="spellEnd"/>
      <w:r w:rsidRPr="0067760F">
        <w:rPr>
          <w:sz w:val="24"/>
          <w:szCs w:val="24"/>
        </w:rPr>
        <w:t xml:space="preserve"> (10, 30, eller 75 mg/kg/dag) til drægtige kaniner under hele </w:t>
      </w:r>
      <w:proofErr w:type="spellStart"/>
      <w:r w:rsidRPr="0067760F">
        <w:rPr>
          <w:sz w:val="24"/>
          <w:szCs w:val="24"/>
        </w:rPr>
        <w:t>organogenesen</w:t>
      </w:r>
      <w:proofErr w:type="spellEnd"/>
      <w:r w:rsidRPr="0067760F">
        <w:rPr>
          <w:sz w:val="24"/>
          <w:szCs w:val="24"/>
        </w:rPr>
        <w:t xml:space="preserve"> resulterede i reduceret fostervægt og øget forekomst af fostermisdannelser (</w:t>
      </w:r>
      <w:proofErr w:type="spellStart"/>
      <w:r w:rsidRPr="0067760F">
        <w:rPr>
          <w:sz w:val="24"/>
          <w:szCs w:val="24"/>
        </w:rPr>
        <w:t>viscerale</w:t>
      </w:r>
      <w:proofErr w:type="spellEnd"/>
      <w:r w:rsidRPr="0067760F">
        <w:rPr>
          <w:sz w:val="24"/>
          <w:szCs w:val="24"/>
        </w:rPr>
        <w:t xml:space="preserve"> og skeletale) ved mellemstore og høje doser, og til øget embryo-</w:t>
      </w:r>
      <w:proofErr w:type="spellStart"/>
      <w:r w:rsidRPr="0067760F">
        <w:rPr>
          <w:sz w:val="24"/>
          <w:szCs w:val="24"/>
        </w:rPr>
        <w:t>føtal</w:t>
      </w:r>
      <w:proofErr w:type="spellEnd"/>
      <w:r w:rsidRPr="0067760F">
        <w:rPr>
          <w:sz w:val="24"/>
          <w:szCs w:val="24"/>
        </w:rPr>
        <w:t xml:space="preserve"> mortalitet ved høje doser. Forekomsten af fostervariationer var øget ved alle doser. Den største testede dosis var associeret med svær </w:t>
      </w:r>
      <w:proofErr w:type="spellStart"/>
      <w:r w:rsidRPr="0067760F">
        <w:rPr>
          <w:sz w:val="24"/>
          <w:szCs w:val="24"/>
        </w:rPr>
        <w:t>maternel</w:t>
      </w:r>
      <w:proofErr w:type="spellEnd"/>
      <w:r w:rsidRPr="0067760F">
        <w:rPr>
          <w:sz w:val="24"/>
          <w:szCs w:val="24"/>
        </w:rPr>
        <w:t xml:space="preserve"> toksicitet (mortalitet). NOAEL (No-</w:t>
      </w:r>
      <w:proofErr w:type="spellStart"/>
      <w:r w:rsidRPr="0067760F">
        <w:rPr>
          <w:sz w:val="24"/>
          <w:szCs w:val="24"/>
        </w:rPr>
        <w:t>Observed</w:t>
      </w:r>
      <w:proofErr w:type="spellEnd"/>
      <w:r w:rsidRPr="0067760F">
        <w:rPr>
          <w:sz w:val="24"/>
          <w:szCs w:val="24"/>
        </w:rPr>
        <w:t>-</w:t>
      </w:r>
      <w:proofErr w:type="spellStart"/>
      <w:r w:rsidRPr="0067760F">
        <w:rPr>
          <w:sz w:val="24"/>
          <w:szCs w:val="24"/>
        </w:rPr>
        <w:t>Adverse-Effect</w:t>
      </w:r>
      <w:proofErr w:type="spellEnd"/>
      <w:r w:rsidRPr="0067760F">
        <w:rPr>
          <w:sz w:val="24"/>
          <w:szCs w:val="24"/>
        </w:rPr>
        <w:t xml:space="preserve"> Level) for embryo-</w:t>
      </w:r>
      <w:proofErr w:type="spellStart"/>
      <w:r w:rsidRPr="0067760F">
        <w:rPr>
          <w:sz w:val="24"/>
          <w:szCs w:val="24"/>
        </w:rPr>
        <w:t>føtal</w:t>
      </w:r>
      <w:proofErr w:type="spellEnd"/>
      <w:r w:rsidRPr="0067760F">
        <w:rPr>
          <w:sz w:val="24"/>
          <w:szCs w:val="24"/>
        </w:rPr>
        <w:t xml:space="preserve"> toksicitet hos kaniner (10 mg/kg/dag) var forbundet med lavere plasmaeksponering for </w:t>
      </w:r>
      <w:proofErr w:type="spellStart"/>
      <w:r w:rsidRPr="0067760F">
        <w:rPr>
          <w:sz w:val="24"/>
          <w:szCs w:val="24"/>
        </w:rPr>
        <w:t>clobazam</w:t>
      </w:r>
      <w:proofErr w:type="spellEnd"/>
      <w:r w:rsidRPr="0067760F">
        <w:rPr>
          <w:sz w:val="24"/>
          <w:szCs w:val="24"/>
        </w:rPr>
        <w:t xml:space="preserve"> og </w:t>
      </w:r>
      <w:proofErr w:type="spellStart"/>
      <w:r w:rsidRPr="0067760F">
        <w:rPr>
          <w:sz w:val="24"/>
          <w:szCs w:val="24"/>
        </w:rPr>
        <w:t>N-desmethyl</w:t>
      </w:r>
      <w:r w:rsidR="003D410F">
        <w:rPr>
          <w:sz w:val="24"/>
          <w:szCs w:val="24"/>
        </w:rPr>
        <w:softHyphen/>
      </w:r>
      <w:r w:rsidRPr="0067760F">
        <w:rPr>
          <w:sz w:val="24"/>
          <w:szCs w:val="24"/>
        </w:rPr>
        <w:t>clobazam</w:t>
      </w:r>
      <w:proofErr w:type="spellEnd"/>
      <w:r w:rsidRPr="0067760F">
        <w:rPr>
          <w:sz w:val="24"/>
          <w:szCs w:val="24"/>
        </w:rPr>
        <w:t xml:space="preserve"> end hos mennesker ved den maksimalt anbefalede dosis på 80 mg/dag.</w:t>
      </w:r>
    </w:p>
    <w:p w14:paraId="01BC6760" w14:textId="77777777" w:rsidR="00773191" w:rsidRPr="0067760F" w:rsidRDefault="00773191" w:rsidP="0067760F">
      <w:pPr>
        <w:ind w:left="851"/>
        <w:rPr>
          <w:sz w:val="24"/>
          <w:szCs w:val="24"/>
        </w:rPr>
      </w:pPr>
      <w:r w:rsidRPr="0067760F">
        <w:rPr>
          <w:sz w:val="24"/>
          <w:szCs w:val="24"/>
        </w:rPr>
        <w:t xml:space="preserve">Derudover resulterede oral administration af </w:t>
      </w:r>
      <w:proofErr w:type="spellStart"/>
      <w:r w:rsidRPr="0067760F">
        <w:rPr>
          <w:sz w:val="24"/>
          <w:szCs w:val="24"/>
        </w:rPr>
        <w:t>clobazam</w:t>
      </w:r>
      <w:proofErr w:type="spellEnd"/>
      <w:r w:rsidRPr="0067760F">
        <w:rPr>
          <w:sz w:val="24"/>
          <w:szCs w:val="24"/>
        </w:rPr>
        <w:t xml:space="preserve"> (50, 350, eller 750 mg / kg / dag) til rotter under hele drægtigheden og under laktation i øget embryo-</w:t>
      </w:r>
      <w:proofErr w:type="spellStart"/>
      <w:r w:rsidRPr="0067760F">
        <w:rPr>
          <w:sz w:val="24"/>
          <w:szCs w:val="24"/>
        </w:rPr>
        <w:t>føtal</w:t>
      </w:r>
      <w:proofErr w:type="spellEnd"/>
      <w:r w:rsidRPr="0067760F">
        <w:rPr>
          <w:sz w:val="24"/>
          <w:szCs w:val="24"/>
        </w:rPr>
        <w:t xml:space="preserve"> mortalitet ved den høje dosis, reduceret overlevelse hos afkommet ved mellemhøje og høje doser samt ændringer i afkommets adfærd (bevægelsesaktivitet) ved alle doser. Effekten på præ- og </w:t>
      </w:r>
      <w:proofErr w:type="spellStart"/>
      <w:r w:rsidRPr="0067760F">
        <w:rPr>
          <w:sz w:val="24"/>
          <w:szCs w:val="24"/>
        </w:rPr>
        <w:t>postnatal</w:t>
      </w:r>
      <w:proofErr w:type="spellEnd"/>
      <w:r w:rsidRPr="0067760F">
        <w:rPr>
          <w:sz w:val="24"/>
          <w:szCs w:val="24"/>
        </w:rPr>
        <w:t xml:space="preserve"> udvikling hos rotter ved lav dosis (50 mg/kg/dag) var forbundet med lavere plasmaeksponering for </w:t>
      </w:r>
      <w:proofErr w:type="spellStart"/>
      <w:r w:rsidRPr="0067760F">
        <w:rPr>
          <w:sz w:val="24"/>
          <w:szCs w:val="24"/>
        </w:rPr>
        <w:t>clobazam</w:t>
      </w:r>
      <w:proofErr w:type="spellEnd"/>
      <w:r w:rsidRPr="0067760F">
        <w:rPr>
          <w:sz w:val="24"/>
          <w:szCs w:val="24"/>
        </w:rPr>
        <w:t xml:space="preserve"> og N-</w:t>
      </w:r>
      <w:proofErr w:type="spellStart"/>
      <w:r w:rsidRPr="0067760F">
        <w:rPr>
          <w:sz w:val="24"/>
          <w:szCs w:val="24"/>
        </w:rPr>
        <w:t>desmethylclobazam</w:t>
      </w:r>
      <w:proofErr w:type="spellEnd"/>
      <w:r w:rsidRPr="0067760F">
        <w:rPr>
          <w:sz w:val="24"/>
          <w:szCs w:val="24"/>
        </w:rPr>
        <w:t xml:space="preserve"> end hos mennesker ved den maksimalt anbefalede dosis til mennesker på 80 mg/dag.</w:t>
      </w:r>
    </w:p>
    <w:p w14:paraId="33D66F25" w14:textId="77777777" w:rsidR="00773191" w:rsidRPr="0067760F" w:rsidRDefault="00773191" w:rsidP="0067760F">
      <w:pPr>
        <w:ind w:left="851"/>
        <w:rPr>
          <w:sz w:val="24"/>
          <w:szCs w:val="24"/>
        </w:rPr>
      </w:pPr>
    </w:p>
    <w:p w14:paraId="4472AACC" w14:textId="77777777" w:rsidR="00773191" w:rsidRPr="00801A18" w:rsidRDefault="00773191" w:rsidP="0067760F">
      <w:pPr>
        <w:ind w:left="851"/>
        <w:rPr>
          <w:i/>
          <w:sz w:val="24"/>
          <w:szCs w:val="24"/>
        </w:rPr>
      </w:pPr>
      <w:r w:rsidRPr="00801A18">
        <w:rPr>
          <w:i/>
          <w:sz w:val="24"/>
          <w:szCs w:val="24"/>
        </w:rPr>
        <w:t>Fertilitet</w:t>
      </w:r>
    </w:p>
    <w:p w14:paraId="7E0F221B" w14:textId="77777777" w:rsidR="00773191" w:rsidRPr="0067760F" w:rsidRDefault="00773191" w:rsidP="0067760F">
      <w:pPr>
        <w:ind w:left="851"/>
        <w:rPr>
          <w:sz w:val="24"/>
          <w:szCs w:val="24"/>
        </w:rPr>
      </w:pPr>
      <w:r w:rsidRPr="0067760F">
        <w:rPr>
          <w:sz w:val="24"/>
          <w:szCs w:val="24"/>
        </w:rPr>
        <w:t>I fertilitetsstudier på mus med daglige doser på 200 mg/kg kropsvægt og på rotter med daglige doser på 85 mg/kg kropsvægt, blev der ikke observeret nogen effekt på fertilitet og drægtighed.</w:t>
      </w:r>
    </w:p>
    <w:p w14:paraId="259C6962" w14:textId="77777777" w:rsidR="00773191" w:rsidRPr="0067760F" w:rsidRDefault="00773191" w:rsidP="0067760F">
      <w:pPr>
        <w:ind w:left="851"/>
        <w:rPr>
          <w:sz w:val="24"/>
          <w:szCs w:val="24"/>
        </w:rPr>
      </w:pPr>
      <w:r w:rsidRPr="0067760F">
        <w:rPr>
          <w:sz w:val="24"/>
          <w:szCs w:val="24"/>
        </w:rPr>
        <w:t xml:space="preserve">I et andet fertilitetsstudie, hvor </w:t>
      </w:r>
      <w:proofErr w:type="spellStart"/>
      <w:r w:rsidRPr="0067760F">
        <w:rPr>
          <w:sz w:val="24"/>
          <w:szCs w:val="24"/>
        </w:rPr>
        <w:t>clobazam</w:t>
      </w:r>
      <w:proofErr w:type="spellEnd"/>
      <w:r w:rsidRPr="0067760F">
        <w:rPr>
          <w:sz w:val="24"/>
          <w:szCs w:val="24"/>
        </w:rPr>
        <w:t xml:space="preserve"> (50, 350, eller 750 mg/kg/dag) blev administreret oralt til han- og hunrotter inden og under parring og fortsat til hunner indtil drægtighedsdag 6, var NOAEL for fertilitet og tidlig fosterudvikling hos rotter 750 mg/kg/dag, og var associeret med lavere plasmaeksponering (AUC) for </w:t>
      </w:r>
      <w:proofErr w:type="spellStart"/>
      <w:r w:rsidRPr="0067760F">
        <w:rPr>
          <w:sz w:val="24"/>
          <w:szCs w:val="24"/>
        </w:rPr>
        <w:t>clobazam</w:t>
      </w:r>
      <w:proofErr w:type="spellEnd"/>
      <w:r w:rsidRPr="0067760F">
        <w:rPr>
          <w:sz w:val="24"/>
          <w:szCs w:val="24"/>
        </w:rPr>
        <w:t xml:space="preserve"> og dets vigtigste aktive metabolit, N-</w:t>
      </w:r>
      <w:proofErr w:type="spellStart"/>
      <w:r w:rsidRPr="0067760F">
        <w:rPr>
          <w:sz w:val="24"/>
          <w:szCs w:val="24"/>
        </w:rPr>
        <w:t>desmethylclobazam</w:t>
      </w:r>
      <w:proofErr w:type="spellEnd"/>
      <w:r w:rsidRPr="0067760F">
        <w:rPr>
          <w:sz w:val="24"/>
          <w:szCs w:val="24"/>
        </w:rPr>
        <w:t xml:space="preserve">, end hos mennesker ved den maksimalt anbefalede dosis til mennesker på 80 mg/kg/dag. </w:t>
      </w:r>
    </w:p>
    <w:p w14:paraId="361551D9" w14:textId="77777777" w:rsidR="009260DE" w:rsidRPr="0067760F" w:rsidRDefault="009260DE" w:rsidP="00876CA2">
      <w:pPr>
        <w:rPr>
          <w:sz w:val="24"/>
          <w:szCs w:val="24"/>
        </w:rPr>
      </w:pPr>
    </w:p>
    <w:p w14:paraId="6AF1CC1E" w14:textId="77777777" w:rsidR="009260DE" w:rsidRPr="0067760F" w:rsidRDefault="009260DE" w:rsidP="00876CA2">
      <w:pPr>
        <w:rPr>
          <w:sz w:val="24"/>
          <w:szCs w:val="24"/>
        </w:rPr>
      </w:pPr>
    </w:p>
    <w:p w14:paraId="59309661" w14:textId="77777777" w:rsidR="009260DE" w:rsidRPr="0067760F" w:rsidRDefault="009260DE" w:rsidP="009260DE">
      <w:pPr>
        <w:tabs>
          <w:tab w:val="left" w:pos="851"/>
        </w:tabs>
        <w:ind w:left="851" w:hanging="851"/>
        <w:rPr>
          <w:b/>
          <w:sz w:val="24"/>
          <w:szCs w:val="24"/>
        </w:rPr>
      </w:pPr>
      <w:r w:rsidRPr="0067760F">
        <w:rPr>
          <w:b/>
          <w:sz w:val="24"/>
          <w:szCs w:val="24"/>
        </w:rPr>
        <w:t>6.</w:t>
      </w:r>
      <w:r w:rsidRPr="0067760F">
        <w:rPr>
          <w:b/>
          <w:sz w:val="24"/>
          <w:szCs w:val="24"/>
        </w:rPr>
        <w:tab/>
        <w:t>FARMACEUTISKE OPLYSNINGER</w:t>
      </w:r>
    </w:p>
    <w:p w14:paraId="3805EE44" w14:textId="77777777" w:rsidR="009260DE" w:rsidRPr="0067760F" w:rsidRDefault="009260DE" w:rsidP="009260DE">
      <w:pPr>
        <w:tabs>
          <w:tab w:val="left" w:pos="851"/>
        </w:tabs>
        <w:ind w:left="851"/>
        <w:rPr>
          <w:sz w:val="24"/>
          <w:szCs w:val="24"/>
        </w:rPr>
      </w:pPr>
    </w:p>
    <w:p w14:paraId="5692772D" w14:textId="77777777" w:rsidR="009260DE" w:rsidRPr="0067760F" w:rsidRDefault="009260DE" w:rsidP="009260DE">
      <w:pPr>
        <w:tabs>
          <w:tab w:val="left" w:pos="851"/>
        </w:tabs>
        <w:ind w:left="851" w:hanging="851"/>
        <w:rPr>
          <w:b/>
          <w:sz w:val="24"/>
          <w:szCs w:val="24"/>
        </w:rPr>
      </w:pPr>
      <w:r w:rsidRPr="0067760F">
        <w:rPr>
          <w:b/>
          <w:sz w:val="24"/>
          <w:szCs w:val="24"/>
        </w:rPr>
        <w:t>6.1</w:t>
      </w:r>
      <w:r w:rsidRPr="0067760F">
        <w:rPr>
          <w:b/>
          <w:sz w:val="24"/>
          <w:szCs w:val="24"/>
        </w:rPr>
        <w:tab/>
        <w:t>Hjælpestoffer</w:t>
      </w:r>
    </w:p>
    <w:p w14:paraId="1DBF45F7" w14:textId="77777777" w:rsidR="00A077C7" w:rsidRPr="0067760F" w:rsidRDefault="00A077C7" w:rsidP="0067760F">
      <w:pPr>
        <w:ind w:left="851"/>
        <w:rPr>
          <w:sz w:val="24"/>
          <w:szCs w:val="24"/>
        </w:rPr>
      </w:pPr>
      <w:r w:rsidRPr="0067760F">
        <w:rPr>
          <w:sz w:val="24"/>
          <w:szCs w:val="24"/>
        </w:rPr>
        <w:t>Sorbitol (E420)</w:t>
      </w:r>
    </w:p>
    <w:p w14:paraId="4DEBD817" w14:textId="77777777" w:rsidR="00A077C7" w:rsidRPr="0067760F" w:rsidRDefault="00A077C7" w:rsidP="0067760F">
      <w:pPr>
        <w:ind w:left="851"/>
        <w:rPr>
          <w:sz w:val="24"/>
          <w:szCs w:val="24"/>
          <w:lang w:val="en-US"/>
        </w:rPr>
      </w:pPr>
      <w:proofErr w:type="spellStart"/>
      <w:r w:rsidRPr="0067760F">
        <w:rPr>
          <w:sz w:val="24"/>
          <w:szCs w:val="24"/>
          <w:lang w:val="en-US"/>
        </w:rPr>
        <w:t>Xanthangummi</w:t>
      </w:r>
      <w:proofErr w:type="spellEnd"/>
      <w:r w:rsidRPr="0067760F">
        <w:rPr>
          <w:sz w:val="24"/>
          <w:szCs w:val="24"/>
          <w:lang w:val="en-US"/>
        </w:rPr>
        <w:t xml:space="preserve"> (E415)</w:t>
      </w:r>
    </w:p>
    <w:p w14:paraId="6BCDCF82" w14:textId="77777777" w:rsidR="00A077C7" w:rsidRPr="0067760F" w:rsidRDefault="00A077C7" w:rsidP="0067760F">
      <w:pPr>
        <w:ind w:left="851"/>
        <w:rPr>
          <w:sz w:val="24"/>
          <w:szCs w:val="24"/>
          <w:lang w:val="en-US"/>
        </w:rPr>
      </w:pPr>
      <w:proofErr w:type="spellStart"/>
      <w:r w:rsidRPr="0067760F">
        <w:rPr>
          <w:sz w:val="24"/>
          <w:szCs w:val="24"/>
          <w:lang w:val="en-US"/>
        </w:rPr>
        <w:t>Acesulfamkalium</w:t>
      </w:r>
      <w:proofErr w:type="spellEnd"/>
      <w:r w:rsidRPr="0067760F">
        <w:rPr>
          <w:sz w:val="24"/>
          <w:szCs w:val="24"/>
          <w:lang w:val="en-US"/>
        </w:rPr>
        <w:t xml:space="preserve"> (E950)</w:t>
      </w:r>
    </w:p>
    <w:p w14:paraId="519E904F" w14:textId="77777777" w:rsidR="00A077C7" w:rsidRPr="0067760F" w:rsidRDefault="00A077C7" w:rsidP="0067760F">
      <w:pPr>
        <w:ind w:left="851"/>
        <w:rPr>
          <w:spacing w:val="-5"/>
          <w:sz w:val="24"/>
          <w:szCs w:val="24"/>
          <w:lang w:val="en-US"/>
        </w:rPr>
      </w:pPr>
      <w:proofErr w:type="spellStart"/>
      <w:r w:rsidRPr="0067760F">
        <w:rPr>
          <w:sz w:val="24"/>
          <w:szCs w:val="24"/>
          <w:lang w:val="en-US"/>
        </w:rPr>
        <w:t>Hindbæraroma</w:t>
      </w:r>
      <w:proofErr w:type="spellEnd"/>
      <w:r w:rsidRPr="0067760F">
        <w:rPr>
          <w:sz w:val="24"/>
          <w:szCs w:val="24"/>
          <w:lang w:val="en-US"/>
        </w:rPr>
        <w:t xml:space="preserve"> </w:t>
      </w:r>
      <w:r w:rsidRPr="0067760F">
        <w:rPr>
          <w:color w:val="000000"/>
          <w:sz w:val="24"/>
          <w:szCs w:val="24"/>
          <w:shd w:val="clear" w:color="auto" w:fill="FFFFFF"/>
          <w:lang w:val="en-US"/>
        </w:rPr>
        <w:t>(</w:t>
      </w:r>
      <w:proofErr w:type="spellStart"/>
      <w:r w:rsidRPr="0067760F">
        <w:rPr>
          <w:sz w:val="24"/>
          <w:szCs w:val="24"/>
          <w:lang w:val="en-US"/>
        </w:rPr>
        <w:t>indeholder</w:t>
      </w:r>
      <w:proofErr w:type="spellEnd"/>
      <w:r w:rsidRPr="0067760F">
        <w:rPr>
          <w:sz w:val="24"/>
          <w:szCs w:val="24"/>
          <w:lang w:val="en-US"/>
        </w:rPr>
        <w:t xml:space="preserve"> </w:t>
      </w:r>
      <w:proofErr w:type="spellStart"/>
      <w:r w:rsidRPr="0067760F">
        <w:rPr>
          <w:sz w:val="24"/>
          <w:szCs w:val="24"/>
          <w:lang w:val="en-US"/>
        </w:rPr>
        <w:t>propylenglycol</w:t>
      </w:r>
      <w:proofErr w:type="spellEnd"/>
      <w:r w:rsidRPr="0067760F">
        <w:rPr>
          <w:sz w:val="24"/>
          <w:szCs w:val="24"/>
          <w:lang w:val="en-US"/>
        </w:rPr>
        <w:t>)</w:t>
      </w:r>
    </w:p>
    <w:p w14:paraId="4B12F7B2" w14:textId="0AA0588B" w:rsidR="00A077C7" w:rsidRPr="0067760F" w:rsidRDefault="00A077C7" w:rsidP="0067760F">
      <w:pPr>
        <w:ind w:left="851"/>
        <w:rPr>
          <w:sz w:val="24"/>
          <w:szCs w:val="24"/>
          <w:lang w:val="en-US"/>
        </w:rPr>
      </w:pPr>
      <w:proofErr w:type="spellStart"/>
      <w:r w:rsidRPr="0067760F">
        <w:rPr>
          <w:sz w:val="24"/>
          <w:szCs w:val="24"/>
          <w:lang w:val="en-US"/>
        </w:rPr>
        <w:t>Natriumpropylhydroxy-benzoat</w:t>
      </w:r>
      <w:proofErr w:type="spellEnd"/>
      <w:r w:rsidRPr="0067760F">
        <w:rPr>
          <w:sz w:val="24"/>
          <w:szCs w:val="24"/>
          <w:lang w:val="en-US"/>
        </w:rPr>
        <w:t xml:space="preserve"> (E217)</w:t>
      </w:r>
    </w:p>
    <w:p w14:paraId="31B54F11" w14:textId="77777777" w:rsidR="00A077C7" w:rsidRPr="0067760F" w:rsidRDefault="00A077C7" w:rsidP="0067760F">
      <w:pPr>
        <w:ind w:left="851"/>
        <w:rPr>
          <w:sz w:val="24"/>
          <w:szCs w:val="24"/>
          <w:lang w:val="en-US"/>
        </w:rPr>
      </w:pPr>
      <w:proofErr w:type="spellStart"/>
      <w:r w:rsidRPr="0067760F">
        <w:rPr>
          <w:sz w:val="24"/>
          <w:szCs w:val="24"/>
          <w:lang w:val="en-US"/>
        </w:rPr>
        <w:t>Natriummethylhydroxy-benzoat</w:t>
      </w:r>
      <w:proofErr w:type="spellEnd"/>
      <w:r w:rsidRPr="0067760F">
        <w:rPr>
          <w:sz w:val="24"/>
          <w:szCs w:val="24"/>
          <w:lang w:val="en-US"/>
        </w:rPr>
        <w:t xml:space="preserve"> (E219)</w:t>
      </w:r>
    </w:p>
    <w:p w14:paraId="13F25CFE" w14:textId="77777777" w:rsidR="0067760F" w:rsidRPr="0067760F" w:rsidRDefault="00A077C7" w:rsidP="0067760F">
      <w:pPr>
        <w:ind w:left="851"/>
        <w:rPr>
          <w:sz w:val="24"/>
          <w:szCs w:val="24"/>
        </w:rPr>
      </w:pPr>
      <w:proofErr w:type="spellStart"/>
      <w:r w:rsidRPr="0067760F">
        <w:rPr>
          <w:sz w:val="24"/>
          <w:szCs w:val="24"/>
        </w:rPr>
        <w:t>Dinatriumhydrogenphosphatdihydrat</w:t>
      </w:r>
      <w:proofErr w:type="spellEnd"/>
      <w:r w:rsidRPr="0067760F" w:rsidDel="00E51114">
        <w:rPr>
          <w:sz w:val="24"/>
          <w:szCs w:val="24"/>
        </w:rPr>
        <w:t xml:space="preserve"> </w:t>
      </w:r>
    </w:p>
    <w:p w14:paraId="4307504C" w14:textId="77777777" w:rsidR="0067760F" w:rsidRPr="0067760F" w:rsidRDefault="00A077C7" w:rsidP="0067760F">
      <w:pPr>
        <w:ind w:left="851"/>
        <w:rPr>
          <w:sz w:val="24"/>
          <w:szCs w:val="24"/>
        </w:rPr>
      </w:pPr>
      <w:proofErr w:type="spellStart"/>
      <w:r w:rsidRPr="0067760F">
        <w:rPr>
          <w:sz w:val="24"/>
          <w:szCs w:val="24"/>
        </w:rPr>
        <w:t>Natriumdihydrogenphosphatdihydrat</w:t>
      </w:r>
      <w:proofErr w:type="spellEnd"/>
      <w:r w:rsidRPr="0067760F" w:rsidDel="00E51114">
        <w:rPr>
          <w:sz w:val="24"/>
          <w:szCs w:val="24"/>
        </w:rPr>
        <w:t xml:space="preserve"> </w:t>
      </w:r>
    </w:p>
    <w:p w14:paraId="13A70C21" w14:textId="53E63EE2" w:rsidR="00A077C7" w:rsidRPr="0067760F" w:rsidRDefault="00A077C7" w:rsidP="0067760F">
      <w:pPr>
        <w:ind w:left="851"/>
        <w:rPr>
          <w:sz w:val="24"/>
          <w:szCs w:val="24"/>
        </w:rPr>
      </w:pPr>
      <w:r w:rsidRPr="0067760F">
        <w:rPr>
          <w:sz w:val="24"/>
          <w:szCs w:val="24"/>
        </w:rPr>
        <w:t>Renset vand</w:t>
      </w:r>
    </w:p>
    <w:p w14:paraId="3E1564AE" w14:textId="77777777" w:rsidR="009260DE" w:rsidRPr="0067760F" w:rsidRDefault="009260DE" w:rsidP="00876CA2">
      <w:pPr>
        <w:rPr>
          <w:sz w:val="24"/>
          <w:szCs w:val="24"/>
        </w:rPr>
      </w:pPr>
    </w:p>
    <w:p w14:paraId="55C42CF8" w14:textId="77777777" w:rsidR="009260DE" w:rsidRPr="0067760F" w:rsidRDefault="009260DE" w:rsidP="009260DE">
      <w:pPr>
        <w:tabs>
          <w:tab w:val="left" w:pos="851"/>
        </w:tabs>
        <w:ind w:left="851" w:hanging="851"/>
        <w:rPr>
          <w:b/>
          <w:sz w:val="24"/>
          <w:szCs w:val="24"/>
        </w:rPr>
      </w:pPr>
      <w:r w:rsidRPr="0067760F">
        <w:rPr>
          <w:b/>
          <w:sz w:val="24"/>
          <w:szCs w:val="24"/>
        </w:rPr>
        <w:t>6.2</w:t>
      </w:r>
      <w:r w:rsidRPr="0067760F">
        <w:rPr>
          <w:b/>
          <w:sz w:val="24"/>
          <w:szCs w:val="24"/>
        </w:rPr>
        <w:tab/>
        <w:t>Uforligeligheder</w:t>
      </w:r>
    </w:p>
    <w:p w14:paraId="482BFFD2" w14:textId="77777777" w:rsidR="00A077C7" w:rsidRPr="0067760F" w:rsidRDefault="00A077C7" w:rsidP="0067760F">
      <w:pPr>
        <w:ind w:left="851"/>
        <w:rPr>
          <w:sz w:val="24"/>
          <w:szCs w:val="24"/>
        </w:rPr>
      </w:pPr>
      <w:r w:rsidRPr="0067760F">
        <w:rPr>
          <w:sz w:val="24"/>
          <w:szCs w:val="24"/>
        </w:rPr>
        <w:t>Ingen</w:t>
      </w:r>
    </w:p>
    <w:p w14:paraId="68EE5E62" w14:textId="77777777" w:rsidR="009260DE" w:rsidRPr="0067760F" w:rsidRDefault="009260DE" w:rsidP="009260DE">
      <w:pPr>
        <w:tabs>
          <w:tab w:val="left" w:pos="851"/>
        </w:tabs>
        <w:ind w:left="851"/>
        <w:rPr>
          <w:sz w:val="24"/>
          <w:szCs w:val="24"/>
        </w:rPr>
      </w:pPr>
    </w:p>
    <w:p w14:paraId="1BA7B284" w14:textId="77777777" w:rsidR="009260DE" w:rsidRPr="0067760F" w:rsidRDefault="009260DE" w:rsidP="009260DE">
      <w:pPr>
        <w:tabs>
          <w:tab w:val="left" w:pos="851"/>
        </w:tabs>
        <w:ind w:left="851" w:hanging="851"/>
        <w:rPr>
          <w:b/>
          <w:sz w:val="24"/>
          <w:szCs w:val="24"/>
        </w:rPr>
      </w:pPr>
      <w:r w:rsidRPr="0067760F">
        <w:rPr>
          <w:b/>
          <w:sz w:val="24"/>
          <w:szCs w:val="24"/>
        </w:rPr>
        <w:t>6.3</w:t>
      </w:r>
      <w:r w:rsidRPr="0067760F">
        <w:rPr>
          <w:b/>
          <w:sz w:val="24"/>
          <w:szCs w:val="24"/>
        </w:rPr>
        <w:tab/>
        <w:t>Opbevaringstid</w:t>
      </w:r>
    </w:p>
    <w:p w14:paraId="3EDB07B4" w14:textId="7B17E316" w:rsidR="00A077C7" w:rsidRPr="0067760F" w:rsidRDefault="00A077C7" w:rsidP="0067760F">
      <w:pPr>
        <w:ind w:left="851"/>
        <w:rPr>
          <w:sz w:val="24"/>
          <w:szCs w:val="24"/>
        </w:rPr>
      </w:pPr>
      <w:r w:rsidRPr="0067760F">
        <w:rPr>
          <w:sz w:val="24"/>
          <w:szCs w:val="24"/>
        </w:rPr>
        <w:t>2 år</w:t>
      </w:r>
    </w:p>
    <w:p w14:paraId="73C34E7E" w14:textId="77777777" w:rsidR="00A077C7" w:rsidRPr="0067760F" w:rsidRDefault="00A077C7" w:rsidP="0067760F">
      <w:pPr>
        <w:ind w:left="851"/>
        <w:rPr>
          <w:sz w:val="24"/>
          <w:szCs w:val="24"/>
        </w:rPr>
      </w:pPr>
      <w:r w:rsidRPr="0067760F">
        <w:rPr>
          <w:sz w:val="24"/>
          <w:szCs w:val="24"/>
        </w:rPr>
        <w:t xml:space="preserve">Efter første åbning: 28 dage </w:t>
      </w:r>
    </w:p>
    <w:p w14:paraId="1C99AF1E" w14:textId="77777777" w:rsidR="009260DE" w:rsidRPr="0067760F" w:rsidRDefault="009260DE" w:rsidP="009260DE">
      <w:pPr>
        <w:tabs>
          <w:tab w:val="left" w:pos="851"/>
        </w:tabs>
        <w:ind w:left="851"/>
        <w:rPr>
          <w:sz w:val="24"/>
          <w:szCs w:val="24"/>
        </w:rPr>
      </w:pPr>
    </w:p>
    <w:p w14:paraId="4EDFC91F" w14:textId="77777777" w:rsidR="009260DE" w:rsidRPr="0067760F" w:rsidRDefault="009260DE" w:rsidP="009260DE">
      <w:pPr>
        <w:tabs>
          <w:tab w:val="left" w:pos="851"/>
        </w:tabs>
        <w:ind w:left="851" w:hanging="851"/>
        <w:rPr>
          <w:b/>
          <w:sz w:val="24"/>
          <w:szCs w:val="24"/>
        </w:rPr>
      </w:pPr>
      <w:r w:rsidRPr="0067760F">
        <w:rPr>
          <w:b/>
          <w:sz w:val="24"/>
          <w:szCs w:val="24"/>
        </w:rPr>
        <w:t>6.4</w:t>
      </w:r>
      <w:r w:rsidRPr="0067760F">
        <w:rPr>
          <w:b/>
          <w:sz w:val="24"/>
          <w:szCs w:val="24"/>
        </w:rPr>
        <w:tab/>
        <w:t>Særlige opbevaringsforhold</w:t>
      </w:r>
    </w:p>
    <w:p w14:paraId="74A3602B" w14:textId="77777777" w:rsidR="00A077C7" w:rsidRPr="0067760F" w:rsidRDefault="00A077C7" w:rsidP="0067760F">
      <w:pPr>
        <w:ind w:left="851"/>
        <w:rPr>
          <w:sz w:val="24"/>
          <w:szCs w:val="24"/>
        </w:rPr>
      </w:pPr>
      <w:r w:rsidRPr="0067760F">
        <w:rPr>
          <w:sz w:val="24"/>
          <w:szCs w:val="24"/>
        </w:rPr>
        <w:t>Må ikke opbevares ved temperaturer over 25 °C.</w:t>
      </w:r>
    </w:p>
    <w:p w14:paraId="249F13C9" w14:textId="77777777" w:rsidR="009260DE" w:rsidRPr="0067760F" w:rsidRDefault="009260DE" w:rsidP="009260DE">
      <w:pPr>
        <w:tabs>
          <w:tab w:val="left" w:pos="851"/>
        </w:tabs>
        <w:ind w:left="851"/>
        <w:rPr>
          <w:sz w:val="24"/>
          <w:szCs w:val="24"/>
        </w:rPr>
      </w:pPr>
    </w:p>
    <w:p w14:paraId="05C6C0B1" w14:textId="77777777" w:rsidR="009260DE" w:rsidRPr="0067760F" w:rsidRDefault="009260DE" w:rsidP="009260DE">
      <w:pPr>
        <w:tabs>
          <w:tab w:val="left" w:pos="851"/>
        </w:tabs>
        <w:ind w:left="851" w:hanging="851"/>
        <w:rPr>
          <w:b/>
          <w:sz w:val="24"/>
          <w:szCs w:val="24"/>
        </w:rPr>
      </w:pPr>
      <w:r w:rsidRPr="0067760F">
        <w:rPr>
          <w:b/>
          <w:sz w:val="24"/>
          <w:szCs w:val="24"/>
        </w:rPr>
        <w:t>6.5</w:t>
      </w:r>
      <w:r w:rsidRPr="0067760F">
        <w:rPr>
          <w:b/>
          <w:sz w:val="24"/>
          <w:szCs w:val="24"/>
        </w:rPr>
        <w:tab/>
        <w:t>Emballagetyper og pakningsstørrelser</w:t>
      </w:r>
    </w:p>
    <w:p w14:paraId="04B0EE7D" w14:textId="77777777" w:rsidR="00A077C7" w:rsidRPr="0067760F" w:rsidRDefault="00A077C7" w:rsidP="0067760F">
      <w:pPr>
        <w:ind w:left="851"/>
        <w:rPr>
          <w:sz w:val="24"/>
          <w:szCs w:val="24"/>
        </w:rPr>
      </w:pPr>
      <w:r w:rsidRPr="0067760F">
        <w:rPr>
          <w:sz w:val="24"/>
          <w:szCs w:val="24"/>
        </w:rPr>
        <w:t>Ravfarvede glasflasker forseglede med anbruds- og børnesikrede skruelåg i HDPE-plast.</w:t>
      </w:r>
    </w:p>
    <w:p w14:paraId="12B9EEB4" w14:textId="77777777" w:rsidR="00A077C7" w:rsidRPr="0067760F" w:rsidRDefault="00A077C7" w:rsidP="0067760F">
      <w:pPr>
        <w:ind w:left="851"/>
        <w:rPr>
          <w:sz w:val="24"/>
          <w:szCs w:val="24"/>
        </w:rPr>
      </w:pPr>
    </w:p>
    <w:p w14:paraId="02073933" w14:textId="73C2239C" w:rsidR="00A077C7" w:rsidRPr="0067760F" w:rsidRDefault="00A077C7" w:rsidP="0067760F">
      <w:pPr>
        <w:ind w:left="851"/>
        <w:rPr>
          <w:sz w:val="24"/>
          <w:szCs w:val="24"/>
        </w:rPr>
      </w:pPr>
      <w:r w:rsidRPr="0067760F">
        <w:rPr>
          <w:sz w:val="24"/>
          <w:szCs w:val="24"/>
        </w:rPr>
        <w:t xml:space="preserve">Flasken er pakket i en papæske, som indeholder en 5 ml sprøjte i polypropylen med adapter og et 30 ml doseringsbæger i polypropylen samt indlægsseddel for både </w:t>
      </w:r>
      <w:proofErr w:type="spellStart"/>
      <w:r w:rsidRPr="0067760F">
        <w:rPr>
          <w:sz w:val="24"/>
          <w:szCs w:val="24"/>
        </w:rPr>
        <w:t>Epaclob</w:t>
      </w:r>
      <w:proofErr w:type="spellEnd"/>
      <w:r w:rsidRPr="0067760F">
        <w:rPr>
          <w:sz w:val="24"/>
          <w:szCs w:val="24"/>
        </w:rPr>
        <w:t xml:space="preserve"> 1</w:t>
      </w:r>
      <w:r w:rsidR="00BE66D6">
        <w:rPr>
          <w:sz w:val="24"/>
          <w:szCs w:val="24"/>
        </w:rPr>
        <w:t> </w:t>
      </w:r>
      <w:r w:rsidRPr="0067760F">
        <w:rPr>
          <w:sz w:val="24"/>
          <w:szCs w:val="24"/>
        </w:rPr>
        <w:t xml:space="preserve">mg/ml og 2 mg/ml oral suspension. </w:t>
      </w:r>
    </w:p>
    <w:p w14:paraId="6A2A09C7" w14:textId="77777777" w:rsidR="00A077C7" w:rsidRPr="0067760F" w:rsidRDefault="00A077C7" w:rsidP="0067760F">
      <w:pPr>
        <w:ind w:left="851"/>
        <w:rPr>
          <w:sz w:val="24"/>
          <w:szCs w:val="24"/>
        </w:rPr>
      </w:pPr>
    </w:p>
    <w:p w14:paraId="69C61699" w14:textId="77777777" w:rsidR="00A077C7" w:rsidRPr="0067760F" w:rsidRDefault="00A077C7" w:rsidP="0067760F">
      <w:pPr>
        <w:ind w:left="851"/>
        <w:rPr>
          <w:rFonts w:eastAsia="Calibri"/>
          <w:sz w:val="24"/>
          <w:szCs w:val="24"/>
        </w:rPr>
      </w:pPr>
      <w:bookmarkStart w:id="7" w:name="_Hlk46387656"/>
      <w:r w:rsidRPr="0067760F">
        <w:rPr>
          <w:sz w:val="24"/>
          <w:szCs w:val="24"/>
        </w:rPr>
        <w:t>Flasken har en ekstra 1 ml sprøjte til en styrke på 1 mg/ml. 1 ml sprøjten leveres med pakkestørrelserne 100 ml og 150 ml og er beregnet til patienter, som har brug for små doser på mindre end 1 ml.</w:t>
      </w:r>
      <w:bookmarkStart w:id="8" w:name="_Hlk46387690"/>
      <w:bookmarkEnd w:id="7"/>
    </w:p>
    <w:p w14:paraId="6F5DCD5C" w14:textId="77777777" w:rsidR="00A077C7" w:rsidRPr="0067760F" w:rsidRDefault="00A077C7" w:rsidP="0067760F">
      <w:pPr>
        <w:ind w:left="851"/>
        <w:rPr>
          <w:sz w:val="24"/>
          <w:szCs w:val="24"/>
        </w:rPr>
      </w:pPr>
    </w:p>
    <w:p w14:paraId="7C9C4432" w14:textId="77777777" w:rsidR="00A077C7" w:rsidRPr="0067760F" w:rsidRDefault="00A077C7" w:rsidP="0067760F">
      <w:pPr>
        <w:ind w:left="851"/>
        <w:rPr>
          <w:sz w:val="24"/>
          <w:szCs w:val="24"/>
        </w:rPr>
      </w:pPr>
      <w:bookmarkStart w:id="9" w:name="_Hlk58251016"/>
      <w:bookmarkStart w:id="10" w:name="_Hlk45285487"/>
      <w:r w:rsidRPr="0067760F">
        <w:rPr>
          <w:sz w:val="24"/>
          <w:szCs w:val="24"/>
        </w:rPr>
        <w:t>5 ml sprøjten kan bruges til alle voluminer mellem 0,5 ml og 5 ml.</w:t>
      </w:r>
      <w:bookmarkEnd w:id="9"/>
      <w:r w:rsidRPr="0067760F">
        <w:rPr>
          <w:sz w:val="24"/>
          <w:szCs w:val="24"/>
        </w:rPr>
        <w:t xml:space="preserve"> 1 ml sprøjten kan bruges til alle voluminer mellem 0,1 ml og 1 ml. 30 ml doseringsbægeret kan bruges til alle voluminer mellem 5 ml og 30 ml. 30 ml doseringsbægeret kan kun bruges til dosering i trin a 5 ml. Til voluminer, som ikke er i trin a 5 ml, bør der anvendes en kombination af enheder for at opnå korrekt dosering. </w:t>
      </w:r>
    </w:p>
    <w:bookmarkEnd w:id="8"/>
    <w:bookmarkEnd w:id="10"/>
    <w:p w14:paraId="11F12316" w14:textId="77777777" w:rsidR="00A077C7" w:rsidRPr="0067760F" w:rsidRDefault="00A077C7" w:rsidP="00A077C7">
      <w:pPr>
        <w:jc w:val="both"/>
        <w:rPr>
          <w:sz w:val="24"/>
          <w:szCs w:val="24"/>
        </w:rPr>
      </w:pPr>
    </w:p>
    <w:p w14:paraId="6ADBAC47" w14:textId="348F6976" w:rsidR="00A077C7" w:rsidRPr="0067760F" w:rsidRDefault="00A077C7" w:rsidP="00A077C7">
      <w:pPr>
        <w:pStyle w:val="Brdtekst"/>
        <w:ind w:left="851"/>
        <w:rPr>
          <w:sz w:val="24"/>
          <w:szCs w:val="24"/>
        </w:rPr>
      </w:pPr>
      <w:bookmarkStart w:id="11" w:name="_Hlk46387801"/>
      <w:r w:rsidRPr="0067760F">
        <w:rPr>
          <w:noProof/>
          <w:sz w:val="24"/>
          <w:szCs w:val="24"/>
        </w:rPr>
        <w:drawing>
          <wp:inline distT="0" distB="0" distL="0" distR="0" wp14:anchorId="23884118" wp14:editId="30CFF24E">
            <wp:extent cx="1869440" cy="450215"/>
            <wp:effectExtent l="0" t="0" r="0" b="698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450215"/>
                    </a:xfrm>
                    <a:prstGeom prst="rect">
                      <a:avLst/>
                    </a:prstGeom>
                    <a:noFill/>
                    <a:ln>
                      <a:noFill/>
                    </a:ln>
                  </pic:spPr>
                </pic:pic>
              </a:graphicData>
            </a:graphic>
          </wp:inline>
        </w:drawing>
      </w:r>
    </w:p>
    <w:p w14:paraId="086CFCDC" w14:textId="77777777" w:rsidR="00A077C7" w:rsidRPr="0067760F" w:rsidRDefault="00A077C7" w:rsidP="00A077C7">
      <w:pPr>
        <w:pStyle w:val="Brdtekst"/>
        <w:ind w:left="0"/>
        <w:rPr>
          <w:sz w:val="24"/>
          <w:szCs w:val="24"/>
        </w:rPr>
      </w:pPr>
    </w:p>
    <w:p w14:paraId="582D281C" w14:textId="2E2C8943" w:rsidR="00A077C7" w:rsidRPr="0067760F" w:rsidRDefault="00A077C7" w:rsidP="0067760F">
      <w:pPr>
        <w:ind w:left="851"/>
        <w:rPr>
          <w:sz w:val="24"/>
          <w:szCs w:val="24"/>
        </w:rPr>
      </w:pPr>
      <w:r w:rsidRPr="0067760F">
        <w:rPr>
          <w:sz w:val="24"/>
          <w:szCs w:val="24"/>
        </w:rPr>
        <w:t xml:space="preserve">På 1 ml sprøjten svarer hvert nummereret trin på 0,1 ml til 0,1 mg </w:t>
      </w:r>
      <w:proofErr w:type="spellStart"/>
      <w:r w:rsidRPr="0067760F">
        <w:rPr>
          <w:sz w:val="24"/>
          <w:szCs w:val="24"/>
        </w:rPr>
        <w:t>Epaclob</w:t>
      </w:r>
      <w:proofErr w:type="spellEnd"/>
      <w:r w:rsidRPr="0067760F">
        <w:rPr>
          <w:sz w:val="24"/>
          <w:szCs w:val="24"/>
        </w:rPr>
        <w:t xml:space="preserve"> 1</w:t>
      </w:r>
      <w:r w:rsidR="00BE66D6">
        <w:rPr>
          <w:sz w:val="24"/>
          <w:szCs w:val="24"/>
        </w:rPr>
        <w:t xml:space="preserve"> </w:t>
      </w:r>
      <w:r w:rsidRPr="0067760F">
        <w:rPr>
          <w:sz w:val="24"/>
          <w:szCs w:val="24"/>
        </w:rPr>
        <w:t>mg/ml oral suspension. Mellemtrinnene er 0,05 ml svarende til 0,05</w:t>
      </w:r>
      <w:r w:rsidR="00BE66D6">
        <w:rPr>
          <w:sz w:val="24"/>
          <w:szCs w:val="24"/>
        </w:rPr>
        <w:t xml:space="preserve"> </w:t>
      </w:r>
      <w:r w:rsidRPr="0067760F">
        <w:rPr>
          <w:sz w:val="24"/>
          <w:szCs w:val="24"/>
        </w:rPr>
        <w:t>mg af 1 mg/ml oral suspension. De mindste trin er 0,01 ml svarende til 0,01 mg af 1 mg/ml oral suspension.</w:t>
      </w:r>
    </w:p>
    <w:p w14:paraId="5768B01C" w14:textId="77777777" w:rsidR="00A077C7" w:rsidRPr="0067760F" w:rsidRDefault="00A077C7" w:rsidP="00A077C7">
      <w:pPr>
        <w:pStyle w:val="Brdtekst"/>
        <w:ind w:left="0"/>
        <w:rPr>
          <w:sz w:val="24"/>
          <w:szCs w:val="24"/>
        </w:rPr>
      </w:pPr>
    </w:p>
    <w:bookmarkEnd w:id="11"/>
    <w:p w14:paraId="6638F843" w14:textId="1954A154" w:rsidR="00A077C7" w:rsidRPr="0067760F" w:rsidRDefault="00A077C7" w:rsidP="00A077C7">
      <w:pPr>
        <w:kinsoku w:val="0"/>
        <w:overflowPunct w:val="0"/>
        <w:ind w:left="851"/>
        <w:rPr>
          <w:sz w:val="24"/>
          <w:szCs w:val="24"/>
        </w:rPr>
      </w:pPr>
      <w:r w:rsidRPr="0067760F">
        <w:rPr>
          <w:noProof/>
          <w:sz w:val="24"/>
          <w:szCs w:val="24"/>
        </w:rPr>
        <w:drawing>
          <wp:inline distT="0" distB="0" distL="0" distR="0" wp14:anchorId="3D35FCD4" wp14:editId="0D693CF8">
            <wp:extent cx="2047240" cy="546100"/>
            <wp:effectExtent l="0" t="0" r="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240" cy="546100"/>
                    </a:xfrm>
                    <a:prstGeom prst="rect">
                      <a:avLst/>
                    </a:prstGeom>
                    <a:noFill/>
                    <a:ln>
                      <a:noFill/>
                    </a:ln>
                  </pic:spPr>
                </pic:pic>
              </a:graphicData>
            </a:graphic>
          </wp:inline>
        </w:drawing>
      </w:r>
    </w:p>
    <w:p w14:paraId="3299173B" w14:textId="77777777" w:rsidR="00A077C7" w:rsidRPr="0067760F" w:rsidRDefault="00A077C7" w:rsidP="0067760F">
      <w:pPr>
        <w:ind w:left="851"/>
        <w:rPr>
          <w:sz w:val="24"/>
          <w:szCs w:val="24"/>
        </w:rPr>
      </w:pPr>
      <w:r w:rsidRPr="0067760F">
        <w:rPr>
          <w:sz w:val="24"/>
          <w:szCs w:val="24"/>
        </w:rPr>
        <w:t xml:space="preserve">5 ml sprøjten - hvert nummereret trin er 1 ml. </w:t>
      </w:r>
    </w:p>
    <w:p w14:paraId="361CF3B2" w14:textId="77777777" w:rsidR="00A077C7" w:rsidRPr="008720D1" w:rsidRDefault="00A077C7" w:rsidP="008720D1">
      <w:pPr>
        <w:pStyle w:val="Listeafsnit"/>
        <w:numPr>
          <w:ilvl w:val="0"/>
          <w:numId w:val="36"/>
        </w:numPr>
        <w:ind w:left="1276" w:hanging="425"/>
        <w:rPr>
          <w:spacing w:val="1"/>
        </w:rPr>
      </w:pPr>
      <w:bookmarkStart w:id="12" w:name="_Hlk46387932"/>
      <w:r w:rsidRPr="008720D1">
        <w:t xml:space="preserve">For 1 mg/ml oral suspension svarer hvert nummereret trin til 1 mg </w:t>
      </w:r>
      <w:proofErr w:type="spellStart"/>
      <w:r w:rsidRPr="008720D1">
        <w:t>Epaclob</w:t>
      </w:r>
      <w:proofErr w:type="spellEnd"/>
      <w:r w:rsidRPr="008720D1">
        <w:t xml:space="preserve">. De mindre trin er 0,2 ml eller 0,2 mg </w:t>
      </w:r>
      <w:proofErr w:type="spellStart"/>
      <w:r w:rsidRPr="008720D1">
        <w:t>Epaclob</w:t>
      </w:r>
      <w:proofErr w:type="spellEnd"/>
      <w:r w:rsidRPr="008720D1">
        <w:t xml:space="preserve"> 1 mg/ml oral suspension. </w:t>
      </w:r>
    </w:p>
    <w:p w14:paraId="0FBDD586" w14:textId="77777777" w:rsidR="00A077C7" w:rsidRPr="008720D1" w:rsidRDefault="00A077C7" w:rsidP="008720D1">
      <w:pPr>
        <w:pStyle w:val="Listeafsnit"/>
        <w:numPr>
          <w:ilvl w:val="0"/>
          <w:numId w:val="36"/>
        </w:numPr>
        <w:ind w:left="1276" w:hanging="425"/>
        <w:rPr>
          <w:spacing w:val="1"/>
        </w:rPr>
      </w:pPr>
      <w:r w:rsidRPr="008720D1">
        <w:t xml:space="preserve">For 2 mg/ml oral suspension svarer hvert nummereret trin til 2 mg </w:t>
      </w:r>
      <w:proofErr w:type="spellStart"/>
      <w:r w:rsidRPr="008720D1">
        <w:t>Epaclob</w:t>
      </w:r>
      <w:proofErr w:type="spellEnd"/>
      <w:r w:rsidRPr="008720D1">
        <w:t xml:space="preserve">. De mindre trin er 0,4 mg </w:t>
      </w:r>
      <w:proofErr w:type="spellStart"/>
      <w:r w:rsidRPr="008720D1">
        <w:t>Epaclob</w:t>
      </w:r>
      <w:proofErr w:type="spellEnd"/>
      <w:r w:rsidRPr="008720D1">
        <w:t xml:space="preserve"> 2 mg/ml oral suspension</w:t>
      </w:r>
    </w:p>
    <w:bookmarkEnd w:id="12"/>
    <w:p w14:paraId="00B531B4" w14:textId="77777777" w:rsidR="00A077C7" w:rsidRPr="0067760F" w:rsidRDefault="00A077C7" w:rsidP="00A077C7">
      <w:pPr>
        <w:pStyle w:val="Brdtekst"/>
        <w:kinsoku w:val="0"/>
        <w:overflowPunct w:val="0"/>
        <w:ind w:left="0"/>
        <w:jc w:val="both"/>
        <w:rPr>
          <w:sz w:val="24"/>
          <w:szCs w:val="24"/>
        </w:rPr>
      </w:pPr>
    </w:p>
    <w:p w14:paraId="42406676" w14:textId="58D71B68" w:rsidR="00A077C7" w:rsidRPr="0067760F" w:rsidRDefault="00A077C7" w:rsidP="00A077C7">
      <w:pPr>
        <w:pStyle w:val="Brdtekst"/>
        <w:kinsoku w:val="0"/>
        <w:overflowPunct w:val="0"/>
        <w:ind w:left="851"/>
        <w:jc w:val="both"/>
        <w:rPr>
          <w:sz w:val="24"/>
          <w:szCs w:val="24"/>
        </w:rPr>
      </w:pPr>
      <w:r w:rsidRPr="0067760F">
        <w:rPr>
          <w:noProof/>
          <w:sz w:val="24"/>
          <w:szCs w:val="24"/>
        </w:rPr>
        <w:drawing>
          <wp:inline distT="0" distB="0" distL="0" distR="0" wp14:anchorId="5B3112F4" wp14:editId="0A7580B3">
            <wp:extent cx="1057910" cy="894080"/>
            <wp:effectExtent l="0" t="0" r="889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910" cy="894080"/>
                    </a:xfrm>
                    <a:prstGeom prst="rect">
                      <a:avLst/>
                    </a:prstGeom>
                    <a:noFill/>
                    <a:ln>
                      <a:noFill/>
                    </a:ln>
                  </pic:spPr>
                </pic:pic>
              </a:graphicData>
            </a:graphic>
          </wp:inline>
        </w:drawing>
      </w:r>
    </w:p>
    <w:p w14:paraId="3BA78CD1" w14:textId="77777777" w:rsidR="00A077C7" w:rsidRPr="0067760F" w:rsidRDefault="00A077C7" w:rsidP="0067760F">
      <w:pPr>
        <w:ind w:left="851"/>
        <w:rPr>
          <w:spacing w:val="6"/>
          <w:sz w:val="24"/>
          <w:szCs w:val="24"/>
        </w:rPr>
      </w:pPr>
      <w:r w:rsidRPr="0067760F">
        <w:rPr>
          <w:sz w:val="24"/>
          <w:szCs w:val="24"/>
        </w:rPr>
        <w:t>30 ml doseringsbægeret - hvert nummereret trin er 5 ml.</w:t>
      </w:r>
    </w:p>
    <w:p w14:paraId="25D20BF6" w14:textId="77777777" w:rsidR="00A077C7" w:rsidRPr="008720D1" w:rsidRDefault="00A077C7" w:rsidP="008720D1">
      <w:pPr>
        <w:pStyle w:val="Listeafsnit"/>
        <w:numPr>
          <w:ilvl w:val="0"/>
          <w:numId w:val="37"/>
        </w:numPr>
        <w:ind w:left="1276" w:hanging="425"/>
        <w:rPr>
          <w:spacing w:val="-4"/>
        </w:rPr>
      </w:pPr>
      <w:bookmarkStart w:id="13" w:name="_Hlk46388127"/>
      <w:r w:rsidRPr="008720D1">
        <w:lastRenderedPageBreak/>
        <w:t xml:space="preserve">For 1 mg/ml oral suspension svarer hvert trin til 5 mg </w:t>
      </w:r>
      <w:proofErr w:type="spellStart"/>
      <w:r w:rsidRPr="008720D1">
        <w:t>Epaclob</w:t>
      </w:r>
      <w:proofErr w:type="spellEnd"/>
      <w:r w:rsidRPr="008720D1">
        <w:t>.</w:t>
      </w:r>
    </w:p>
    <w:p w14:paraId="0621B4A3" w14:textId="77777777" w:rsidR="00A077C7" w:rsidRPr="008720D1" w:rsidRDefault="00A077C7" w:rsidP="008720D1">
      <w:pPr>
        <w:pStyle w:val="Listeafsnit"/>
        <w:numPr>
          <w:ilvl w:val="0"/>
          <w:numId w:val="37"/>
        </w:numPr>
        <w:ind w:left="1276" w:hanging="425"/>
        <w:rPr>
          <w:spacing w:val="-4"/>
        </w:rPr>
      </w:pPr>
      <w:r w:rsidRPr="008720D1">
        <w:t xml:space="preserve">For 2 mg/ml oral suspension svarer hvert trin til 10 mg </w:t>
      </w:r>
      <w:proofErr w:type="spellStart"/>
      <w:r w:rsidRPr="008720D1">
        <w:t>Epaclob</w:t>
      </w:r>
      <w:proofErr w:type="spellEnd"/>
      <w:r w:rsidRPr="008720D1">
        <w:t>.</w:t>
      </w:r>
      <w:bookmarkEnd w:id="13"/>
    </w:p>
    <w:p w14:paraId="561B83A4" w14:textId="77777777" w:rsidR="00A077C7" w:rsidRPr="0067760F" w:rsidRDefault="00A077C7" w:rsidP="0067760F">
      <w:pPr>
        <w:ind w:left="851"/>
        <w:rPr>
          <w:sz w:val="24"/>
          <w:szCs w:val="24"/>
        </w:rPr>
      </w:pPr>
    </w:p>
    <w:p w14:paraId="78960DC8" w14:textId="77777777" w:rsidR="00A077C7" w:rsidRPr="0067760F" w:rsidRDefault="00A077C7" w:rsidP="0067760F">
      <w:pPr>
        <w:ind w:left="851"/>
        <w:rPr>
          <w:sz w:val="24"/>
          <w:szCs w:val="24"/>
        </w:rPr>
      </w:pPr>
      <w:r w:rsidRPr="0067760F">
        <w:rPr>
          <w:sz w:val="24"/>
          <w:szCs w:val="24"/>
        </w:rPr>
        <w:t>Pakningsstørrelser: 100 ml, 150 ml og 250 ml.</w:t>
      </w:r>
    </w:p>
    <w:p w14:paraId="2F9B9E61" w14:textId="77777777" w:rsidR="00A077C7" w:rsidRPr="0067760F" w:rsidRDefault="00A077C7" w:rsidP="0067760F">
      <w:pPr>
        <w:ind w:left="851"/>
        <w:rPr>
          <w:sz w:val="24"/>
          <w:szCs w:val="24"/>
        </w:rPr>
      </w:pPr>
    </w:p>
    <w:p w14:paraId="0017B84C" w14:textId="77777777" w:rsidR="00A077C7" w:rsidRPr="0067760F" w:rsidRDefault="00A077C7" w:rsidP="0067760F">
      <w:pPr>
        <w:ind w:left="851"/>
        <w:rPr>
          <w:sz w:val="24"/>
          <w:szCs w:val="24"/>
        </w:rPr>
      </w:pPr>
      <w:r w:rsidRPr="0067760F">
        <w:rPr>
          <w:sz w:val="24"/>
          <w:szCs w:val="24"/>
        </w:rPr>
        <w:t>Ikke alle pakningsstørrelser er nødvendigvis markedsført.</w:t>
      </w:r>
    </w:p>
    <w:p w14:paraId="50F7AA17" w14:textId="77777777" w:rsidR="009260DE" w:rsidRPr="0067760F" w:rsidRDefault="009260DE" w:rsidP="009725A6">
      <w:pPr>
        <w:rPr>
          <w:sz w:val="24"/>
          <w:szCs w:val="24"/>
        </w:rPr>
      </w:pPr>
    </w:p>
    <w:p w14:paraId="4845268C" w14:textId="77777777" w:rsidR="009260DE" w:rsidRPr="0067760F" w:rsidRDefault="009260DE" w:rsidP="009260DE">
      <w:pPr>
        <w:tabs>
          <w:tab w:val="left" w:pos="851"/>
        </w:tabs>
        <w:ind w:left="851" w:hanging="851"/>
        <w:rPr>
          <w:b/>
          <w:sz w:val="24"/>
          <w:szCs w:val="24"/>
        </w:rPr>
      </w:pPr>
      <w:r w:rsidRPr="0067760F">
        <w:rPr>
          <w:b/>
          <w:sz w:val="24"/>
          <w:szCs w:val="24"/>
        </w:rPr>
        <w:t>6.6</w:t>
      </w:r>
      <w:r w:rsidRPr="0067760F">
        <w:rPr>
          <w:b/>
          <w:sz w:val="24"/>
          <w:szCs w:val="24"/>
        </w:rPr>
        <w:tab/>
        <w:t>Regler for destruktion og anden håndtering</w:t>
      </w:r>
    </w:p>
    <w:p w14:paraId="6FBF6A4D" w14:textId="77777777" w:rsidR="00A077C7" w:rsidRPr="0067760F" w:rsidRDefault="00A077C7" w:rsidP="0067760F">
      <w:pPr>
        <w:ind w:left="851"/>
        <w:rPr>
          <w:sz w:val="24"/>
          <w:szCs w:val="24"/>
        </w:rPr>
      </w:pPr>
      <w:r w:rsidRPr="0067760F">
        <w:rPr>
          <w:sz w:val="24"/>
          <w:szCs w:val="24"/>
        </w:rPr>
        <w:t>Ingen særlige forholdsregler ved bortskaffelse.</w:t>
      </w:r>
    </w:p>
    <w:p w14:paraId="1D5DF83F" w14:textId="77777777" w:rsidR="00A077C7" w:rsidRPr="0067760F" w:rsidRDefault="00A077C7" w:rsidP="009725A6">
      <w:pPr>
        <w:rPr>
          <w:sz w:val="24"/>
          <w:szCs w:val="24"/>
        </w:rPr>
      </w:pPr>
    </w:p>
    <w:p w14:paraId="39094E7F" w14:textId="77777777" w:rsidR="00A077C7" w:rsidRPr="0067760F" w:rsidRDefault="00A077C7" w:rsidP="0067760F">
      <w:pPr>
        <w:ind w:left="851"/>
        <w:rPr>
          <w:sz w:val="24"/>
          <w:szCs w:val="24"/>
        </w:rPr>
      </w:pPr>
      <w:r w:rsidRPr="0067760F">
        <w:rPr>
          <w:sz w:val="24"/>
          <w:szCs w:val="24"/>
        </w:rPr>
        <w:t>Ikke anvendt lægemiddel samt affald heraf skal bortskaffes i henhold til lokale retningslinjer.</w:t>
      </w:r>
    </w:p>
    <w:p w14:paraId="35152E29" w14:textId="77777777" w:rsidR="00A077C7" w:rsidRPr="0067760F" w:rsidRDefault="00A077C7" w:rsidP="0067760F">
      <w:pPr>
        <w:ind w:left="851"/>
        <w:rPr>
          <w:sz w:val="24"/>
          <w:szCs w:val="24"/>
        </w:rPr>
      </w:pPr>
      <w:r w:rsidRPr="0067760F">
        <w:rPr>
          <w:sz w:val="24"/>
          <w:szCs w:val="24"/>
        </w:rPr>
        <w:t>Dette produkt kan bundfælde under opbevaringen. Ryst flasken grundigt bør brug.</w:t>
      </w:r>
    </w:p>
    <w:p w14:paraId="0898B470" w14:textId="77777777" w:rsidR="00A077C7" w:rsidRPr="0067760F" w:rsidRDefault="00A077C7" w:rsidP="0067760F">
      <w:pPr>
        <w:ind w:left="851"/>
        <w:rPr>
          <w:sz w:val="24"/>
          <w:szCs w:val="24"/>
        </w:rPr>
      </w:pPr>
    </w:p>
    <w:p w14:paraId="654EE27C" w14:textId="77777777" w:rsidR="00A077C7" w:rsidRPr="0067760F" w:rsidRDefault="00A077C7" w:rsidP="0067760F">
      <w:pPr>
        <w:ind w:left="851"/>
        <w:rPr>
          <w:sz w:val="24"/>
          <w:szCs w:val="24"/>
        </w:rPr>
      </w:pPr>
      <w:r w:rsidRPr="0067760F">
        <w:rPr>
          <w:sz w:val="24"/>
          <w:szCs w:val="24"/>
        </w:rPr>
        <w:t xml:space="preserve">Æsken med dette lægemiddel, indeholder en 5 ml doseringssprøjte, en doseringsadapter og et 30 ml doseringsbæger. </w:t>
      </w:r>
    </w:p>
    <w:p w14:paraId="1E5398EC" w14:textId="77777777" w:rsidR="00A077C7" w:rsidRPr="0067760F" w:rsidRDefault="00A077C7" w:rsidP="0067760F">
      <w:pPr>
        <w:ind w:left="851"/>
        <w:rPr>
          <w:sz w:val="24"/>
          <w:szCs w:val="24"/>
        </w:rPr>
      </w:pPr>
      <w:r w:rsidRPr="0067760F">
        <w:rPr>
          <w:sz w:val="24"/>
          <w:szCs w:val="24"/>
        </w:rPr>
        <w:t xml:space="preserve">For </w:t>
      </w:r>
      <w:proofErr w:type="spellStart"/>
      <w:r w:rsidRPr="0067760F">
        <w:rPr>
          <w:sz w:val="24"/>
          <w:szCs w:val="24"/>
        </w:rPr>
        <w:t>clobazam</w:t>
      </w:r>
      <w:proofErr w:type="spellEnd"/>
      <w:r w:rsidRPr="0067760F">
        <w:rPr>
          <w:sz w:val="24"/>
          <w:szCs w:val="24"/>
        </w:rPr>
        <w:t xml:space="preserve"> 1 mg/ml oral suspension er der kun vedlagt en 1 ml sprøjte i 100 ml og 150 ml pakningsstørrelsen.</w:t>
      </w:r>
    </w:p>
    <w:p w14:paraId="203A0A99" w14:textId="77777777" w:rsidR="009260DE" w:rsidRPr="0067760F" w:rsidRDefault="009260DE" w:rsidP="009725A6">
      <w:pPr>
        <w:rPr>
          <w:sz w:val="24"/>
          <w:szCs w:val="24"/>
        </w:rPr>
      </w:pPr>
    </w:p>
    <w:p w14:paraId="6DB56479" w14:textId="77777777" w:rsidR="009260DE" w:rsidRPr="0067760F" w:rsidRDefault="009260DE" w:rsidP="009260DE">
      <w:pPr>
        <w:tabs>
          <w:tab w:val="left" w:pos="851"/>
        </w:tabs>
        <w:ind w:left="851" w:hanging="851"/>
        <w:rPr>
          <w:b/>
          <w:sz w:val="24"/>
          <w:szCs w:val="24"/>
        </w:rPr>
      </w:pPr>
      <w:r w:rsidRPr="0067760F">
        <w:rPr>
          <w:b/>
          <w:sz w:val="24"/>
          <w:szCs w:val="24"/>
        </w:rPr>
        <w:t>7.</w:t>
      </w:r>
      <w:r w:rsidRPr="0067760F">
        <w:rPr>
          <w:b/>
          <w:sz w:val="24"/>
          <w:szCs w:val="24"/>
        </w:rPr>
        <w:tab/>
        <w:t>INDEHAVER AF MARKEDSFØRINGSTILLADELSEN</w:t>
      </w:r>
    </w:p>
    <w:p w14:paraId="23D9764C" w14:textId="77777777" w:rsidR="00A077C7" w:rsidRPr="0067760F" w:rsidRDefault="00A077C7" w:rsidP="0067760F">
      <w:pPr>
        <w:ind w:left="851"/>
        <w:rPr>
          <w:sz w:val="24"/>
          <w:szCs w:val="24"/>
        </w:rPr>
      </w:pPr>
      <w:proofErr w:type="spellStart"/>
      <w:r w:rsidRPr="0067760F">
        <w:rPr>
          <w:sz w:val="24"/>
          <w:szCs w:val="24"/>
        </w:rPr>
        <w:t>Ethypharm</w:t>
      </w:r>
      <w:proofErr w:type="spellEnd"/>
    </w:p>
    <w:p w14:paraId="689C02DF" w14:textId="77777777" w:rsidR="00A077C7" w:rsidRPr="0067760F" w:rsidRDefault="00A077C7" w:rsidP="0067760F">
      <w:pPr>
        <w:ind w:left="851"/>
        <w:rPr>
          <w:sz w:val="24"/>
          <w:szCs w:val="24"/>
        </w:rPr>
      </w:pPr>
      <w:r w:rsidRPr="0067760F">
        <w:rPr>
          <w:sz w:val="24"/>
          <w:szCs w:val="24"/>
        </w:rPr>
        <w:t xml:space="preserve">194 </w:t>
      </w:r>
      <w:proofErr w:type="spellStart"/>
      <w:r w:rsidRPr="0067760F">
        <w:rPr>
          <w:sz w:val="24"/>
          <w:szCs w:val="24"/>
        </w:rPr>
        <w:t>Bureaux</w:t>
      </w:r>
      <w:proofErr w:type="spellEnd"/>
      <w:r w:rsidRPr="0067760F">
        <w:rPr>
          <w:sz w:val="24"/>
          <w:szCs w:val="24"/>
        </w:rPr>
        <w:t xml:space="preserve"> de la </w:t>
      </w:r>
      <w:proofErr w:type="spellStart"/>
      <w:r w:rsidRPr="0067760F">
        <w:rPr>
          <w:sz w:val="24"/>
          <w:szCs w:val="24"/>
        </w:rPr>
        <w:t>Colline</w:t>
      </w:r>
      <w:proofErr w:type="spellEnd"/>
    </w:p>
    <w:p w14:paraId="442706DE" w14:textId="77777777" w:rsidR="00A077C7" w:rsidRPr="0067760F" w:rsidRDefault="00A077C7" w:rsidP="0067760F">
      <w:pPr>
        <w:ind w:left="851"/>
        <w:rPr>
          <w:sz w:val="24"/>
          <w:szCs w:val="24"/>
          <w:lang w:val="en-US"/>
        </w:rPr>
      </w:pPr>
      <w:proofErr w:type="spellStart"/>
      <w:r w:rsidRPr="0067760F">
        <w:rPr>
          <w:sz w:val="24"/>
          <w:szCs w:val="24"/>
          <w:lang w:val="en-US"/>
        </w:rPr>
        <w:t>Batiment</w:t>
      </w:r>
      <w:proofErr w:type="spellEnd"/>
      <w:r w:rsidRPr="0067760F">
        <w:rPr>
          <w:sz w:val="24"/>
          <w:szCs w:val="24"/>
          <w:lang w:val="en-US"/>
        </w:rPr>
        <w:t xml:space="preserve"> D</w:t>
      </w:r>
    </w:p>
    <w:p w14:paraId="283F5508" w14:textId="77777777" w:rsidR="00A077C7" w:rsidRPr="0067760F" w:rsidRDefault="00A077C7" w:rsidP="0067760F">
      <w:pPr>
        <w:ind w:left="851"/>
        <w:rPr>
          <w:sz w:val="24"/>
          <w:szCs w:val="24"/>
          <w:lang w:val="en-US"/>
        </w:rPr>
      </w:pPr>
      <w:r w:rsidRPr="0067760F">
        <w:rPr>
          <w:sz w:val="24"/>
          <w:szCs w:val="24"/>
          <w:lang w:val="en-US"/>
        </w:rPr>
        <w:t>92 213 Saint-Cloud Cedex</w:t>
      </w:r>
    </w:p>
    <w:p w14:paraId="20ADDA57" w14:textId="77777777" w:rsidR="00A077C7" w:rsidRPr="0067760F" w:rsidRDefault="00A077C7" w:rsidP="0067760F">
      <w:pPr>
        <w:ind w:left="851"/>
        <w:rPr>
          <w:sz w:val="24"/>
          <w:szCs w:val="24"/>
          <w:lang w:val="en-US"/>
        </w:rPr>
      </w:pPr>
      <w:proofErr w:type="spellStart"/>
      <w:r w:rsidRPr="0067760F">
        <w:rPr>
          <w:sz w:val="24"/>
          <w:szCs w:val="24"/>
          <w:lang w:val="en-US"/>
        </w:rPr>
        <w:t>Frankrig</w:t>
      </w:r>
      <w:proofErr w:type="spellEnd"/>
    </w:p>
    <w:p w14:paraId="489E0B8E" w14:textId="77777777" w:rsidR="00A077C7" w:rsidRPr="0067760F" w:rsidRDefault="00A077C7" w:rsidP="0067760F">
      <w:pPr>
        <w:ind w:left="851"/>
        <w:rPr>
          <w:sz w:val="24"/>
          <w:szCs w:val="24"/>
          <w:lang w:val="en-US"/>
        </w:rPr>
      </w:pPr>
    </w:p>
    <w:p w14:paraId="4F6BFD54" w14:textId="77777777" w:rsidR="009260DE" w:rsidRPr="0067760F" w:rsidRDefault="009260DE" w:rsidP="009260DE">
      <w:pPr>
        <w:tabs>
          <w:tab w:val="left" w:pos="851"/>
        </w:tabs>
        <w:ind w:left="851" w:hanging="851"/>
        <w:rPr>
          <w:b/>
          <w:sz w:val="24"/>
          <w:szCs w:val="24"/>
        </w:rPr>
      </w:pPr>
      <w:r w:rsidRPr="0067760F">
        <w:rPr>
          <w:b/>
          <w:sz w:val="24"/>
          <w:szCs w:val="24"/>
        </w:rPr>
        <w:t>8.</w:t>
      </w:r>
      <w:r w:rsidRPr="0067760F">
        <w:rPr>
          <w:b/>
          <w:sz w:val="24"/>
          <w:szCs w:val="24"/>
        </w:rPr>
        <w:tab/>
        <w:t>MARKEDSFØRINGSTILLADELSESNUMMER (NUMRE)</w:t>
      </w:r>
    </w:p>
    <w:p w14:paraId="7CE24D83" w14:textId="44D5E694" w:rsidR="009260DE" w:rsidRPr="0067760F" w:rsidRDefault="008C00AA" w:rsidP="009260DE">
      <w:pPr>
        <w:tabs>
          <w:tab w:val="left" w:pos="851"/>
        </w:tabs>
        <w:ind w:left="851"/>
        <w:rPr>
          <w:sz w:val="24"/>
          <w:szCs w:val="24"/>
        </w:rPr>
      </w:pPr>
      <w:r w:rsidRPr="0067760F">
        <w:rPr>
          <w:sz w:val="24"/>
          <w:szCs w:val="24"/>
        </w:rPr>
        <w:t>1 mg/ml:</w:t>
      </w:r>
      <w:r w:rsidR="003D410F">
        <w:rPr>
          <w:sz w:val="24"/>
          <w:szCs w:val="24"/>
        </w:rPr>
        <w:t xml:space="preserve"> 63777</w:t>
      </w:r>
    </w:p>
    <w:p w14:paraId="20402356" w14:textId="476DDBB7" w:rsidR="008C00AA" w:rsidRPr="0067760F" w:rsidRDefault="008C00AA" w:rsidP="009260DE">
      <w:pPr>
        <w:tabs>
          <w:tab w:val="left" w:pos="851"/>
        </w:tabs>
        <w:ind w:left="851"/>
        <w:rPr>
          <w:sz w:val="24"/>
          <w:szCs w:val="24"/>
        </w:rPr>
      </w:pPr>
      <w:r w:rsidRPr="0067760F">
        <w:rPr>
          <w:sz w:val="24"/>
          <w:szCs w:val="24"/>
        </w:rPr>
        <w:t>2 mg/ml:</w:t>
      </w:r>
      <w:r w:rsidR="003D410F">
        <w:rPr>
          <w:sz w:val="24"/>
          <w:szCs w:val="24"/>
        </w:rPr>
        <w:t xml:space="preserve"> 63778</w:t>
      </w:r>
    </w:p>
    <w:p w14:paraId="10C49E2B" w14:textId="77777777" w:rsidR="009260DE" w:rsidRPr="0067760F" w:rsidRDefault="009260DE" w:rsidP="009260DE">
      <w:pPr>
        <w:tabs>
          <w:tab w:val="left" w:pos="851"/>
        </w:tabs>
        <w:ind w:left="851"/>
        <w:jc w:val="both"/>
        <w:rPr>
          <w:sz w:val="24"/>
          <w:szCs w:val="24"/>
        </w:rPr>
      </w:pPr>
    </w:p>
    <w:p w14:paraId="61F48999" w14:textId="77777777" w:rsidR="009260DE" w:rsidRPr="0067760F" w:rsidRDefault="009260DE" w:rsidP="009260DE">
      <w:pPr>
        <w:tabs>
          <w:tab w:val="left" w:pos="851"/>
        </w:tabs>
        <w:ind w:left="851" w:hanging="851"/>
        <w:rPr>
          <w:b/>
          <w:sz w:val="24"/>
          <w:szCs w:val="24"/>
        </w:rPr>
      </w:pPr>
      <w:r w:rsidRPr="0067760F">
        <w:rPr>
          <w:b/>
          <w:sz w:val="24"/>
          <w:szCs w:val="24"/>
        </w:rPr>
        <w:t>9.</w:t>
      </w:r>
      <w:r w:rsidRPr="0067760F">
        <w:rPr>
          <w:b/>
          <w:sz w:val="24"/>
          <w:szCs w:val="24"/>
        </w:rPr>
        <w:tab/>
        <w:t>DATO FOR FØRSTE MARKEDSFØRINGSTILLADELSE</w:t>
      </w:r>
    </w:p>
    <w:p w14:paraId="7D4F9256" w14:textId="6CA0B147" w:rsidR="009260DE" w:rsidRPr="0067760F" w:rsidRDefault="004C6F26" w:rsidP="009260DE">
      <w:pPr>
        <w:tabs>
          <w:tab w:val="left" w:pos="851"/>
        </w:tabs>
        <w:ind w:left="851"/>
        <w:rPr>
          <w:sz w:val="24"/>
          <w:szCs w:val="24"/>
        </w:rPr>
      </w:pPr>
      <w:r>
        <w:rPr>
          <w:sz w:val="24"/>
          <w:szCs w:val="24"/>
        </w:rPr>
        <w:t>25. marts 2021</w:t>
      </w:r>
    </w:p>
    <w:p w14:paraId="70ADF2B0" w14:textId="77777777" w:rsidR="009260DE" w:rsidRPr="0067760F" w:rsidRDefault="009260DE" w:rsidP="009260DE">
      <w:pPr>
        <w:tabs>
          <w:tab w:val="left" w:pos="851"/>
        </w:tabs>
        <w:ind w:left="851"/>
        <w:rPr>
          <w:sz w:val="24"/>
          <w:szCs w:val="24"/>
        </w:rPr>
      </w:pPr>
    </w:p>
    <w:p w14:paraId="5C44371B" w14:textId="77777777" w:rsidR="009260DE" w:rsidRPr="0067760F" w:rsidRDefault="009260DE" w:rsidP="009260DE">
      <w:pPr>
        <w:tabs>
          <w:tab w:val="left" w:pos="851"/>
        </w:tabs>
        <w:ind w:left="851" w:hanging="851"/>
        <w:rPr>
          <w:b/>
          <w:sz w:val="24"/>
          <w:szCs w:val="24"/>
        </w:rPr>
      </w:pPr>
      <w:r w:rsidRPr="0067760F">
        <w:rPr>
          <w:b/>
          <w:sz w:val="24"/>
          <w:szCs w:val="24"/>
        </w:rPr>
        <w:t>10.</w:t>
      </w:r>
      <w:r w:rsidRPr="0067760F">
        <w:rPr>
          <w:b/>
          <w:sz w:val="24"/>
          <w:szCs w:val="24"/>
        </w:rPr>
        <w:tab/>
        <w:t>DATO FOR ÆNDRING AF TEKSTEN</w:t>
      </w:r>
    </w:p>
    <w:p w14:paraId="4002F9AD" w14:textId="6D323780" w:rsidR="009260DE" w:rsidRPr="0067760F" w:rsidRDefault="000C2A6E" w:rsidP="009260DE">
      <w:pPr>
        <w:tabs>
          <w:tab w:val="left" w:pos="851"/>
        </w:tabs>
        <w:ind w:left="851"/>
        <w:rPr>
          <w:sz w:val="24"/>
          <w:szCs w:val="24"/>
        </w:rPr>
      </w:pPr>
      <w:r>
        <w:rPr>
          <w:sz w:val="24"/>
          <w:szCs w:val="24"/>
        </w:rPr>
        <w:t>19. december 2022</w:t>
      </w:r>
    </w:p>
    <w:sectPr w:rsidR="009260DE" w:rsidRPr="0067760F"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FBF63" w14:textId="77777777" w:rsidR="002458FE" w:rsidRDefault="002458FE">
      <w:r>
        <w:separator/>
      </w:r>
    </w:p>
  </w:endnote>
  <w:endnote w:type="continuationSeparator" w:id="0">
    <w:p w14:paraId="538A199B" w14:textId="77777777" w:rsidR="002458FE" w:rsidRDefault="0024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ItalicMT">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196C" w14:textId="77777777" w:rsidR="002458FE" w:rsidRDefault="002458FE">
    <w:pPr>
      <w:pStyle w:val="Sidefod"/>
      <w:pBdr>
        <w:bottom w:val="single" w:sz="6" w:space="1" w:color="auto"/>
      </w:pBdr>
    </w:pPr>
  </w:p>
  <w:p w14:paraId="1E4905CD" w14:textId="77777777" w:rsidR="002458FE" w:rsidRDefault="002458FE" w:rsidP="00C42586">
    <w:pPr>
      <w:pStyle w:val="Sidefod"/>
      <w:tabs>
        <w:tab w:val="clear" w:pos="4819"/>
        <w:tab w:val="left" w:pos="8505"/>
      </w:tabs>
      <w:rPr>
        <w:i/>
        <w:sz w:val="18"/>
        <w:szCs w:val="18"/>
      </w:rPr>
    </w:pPr>
  </w:p>
  <w:p w14:paraId="72703A79" w14:textId="393A4B1E" w:rsidR="002458FE" w:rsidRPr="00B373D7" w:rsidRDefault="002458F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Epaclob, oral suspension 1 mg-ml og 2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695E8" w14:textId="77777777" w:rsidR="002458FE" w:rsidRDefault="002458FE">
      <w:r>
        <w:separator/>
      </w:r>
    </w:p>
  </w:footnote>
  <w:footnote w:type="continuationSeparator" w:id="0">
    <w:p w14:paraId="7AE14CE2" w14:textId="77777777" w:rsidR="002458FE" w:rsidRDefault="00245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720"/>
      </w:pPr>
      <w:rPr>
        <w:rFonts w:ascii="Times New Roman" w:hAnsi="Times New Roman" w:cs="Times New Roman"/>
        <w:b/>
        <w:bCs/>
        <w:sz w:val="28"/>
        <w:szCs w:val="28"/>
      </w:rPr>
    </w:lvl>
    <w:lvl w:ilvl="1">
      <w:start w:val="1"/>
      <w:numFmt w:val="decimal"/>
      <w:lvlText w:val="%1.%2"/>
      <w:lvlJc w:val="left"/>
      <w:pPr>
        <w:ind w:hanging="720"/>
      </w:pPr>
      <w:rPr>
        <w:rFonts w:ascii="Times New Roman" w:hAnsi="Times New Roman" w:cs="Times New Roman"/>
        <w:b/>
        <w:bCs/>
        <w:sz w:val="24"/>
        <w:szCs w:val="24"/>
      </w:rPr>
    </w:lvl>
    <w:lvl w:ilvl="2">
      <w:numFmt w:val="bullet"/>
      <w:lvlText w:val="•"/>
      <w:lvlJc w:val="left"/>
      <w:pPr>
        <w:ind w:hanging="243"/>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Arial" w:hAnsi="Arial"/>
        <w:b w:val="0"/>
        <w:w w:val="131"/>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EB57B5"/>
    <w:multiLevelType w:val="hybridMultilevel"/>
    <w:tmpl w:val="44D8659E"/>
    <w:lvl w:ilvl="0" w:tplc="04060001">
      <w:start w:val="1"/>
      <w:numFmt w:val="bullet"/>
      <w:lvlText w:val=""/>
      <w:lvlJc w:val="left"/>
      <w:pPr>
        <w:ind w:left="744" w:hanging="360"/>
      </w:pPr>
      <w:rPr>
        <w:rFonts w:ascii="Symbol" w:hAnsi="Symbol" w:hint="default"/>
      </w:rPr>
    </w:lvl>
    <w:lvl w:ilvl="1" w:tplc="04060003" w:tentative="1">
      <w:start w:val="1"/>
      <w:numFmt w:val="bullet"/>
      <w:lvlText w:val="o"/>
      <w:lvlJc w:val="left"/>
      <w:pPr>
        <w:ind w:left="1464" w:hanging="360"/>
      </w:pPr>
      <w:rPr>
        <w:rFonts w:ascii="Courier New" w:hAnsi="Courier New" w:cs="Courier New" w:hint="default"/>
      </w:rPr>
    </w:lvl>
    <w:lvl w:ilvl="2" w:tplc="04060005" w:tentative="1">
      <w:start w:val="1"/>
      <w:numFmt w:val="bullet"/>
      <w:lvlText w:val=""/>
      <w:lvlJc w:val="left"/>
      <w:pPr>
        <w:ind w:left="2184" w:hanging="360"/>
      </w:pPr>
      <w:rPr>
        <w:rFonts w:ascii="Wingdings" w:hAnsi="Wingdings" w:hint="default"/>
      </w:rPr>
    </w:lvl>
    <w:lvl w:ilvl="3" w:tplc="04060001" w:tentative="1">
      <w:start w:val="1"/>
      <w:numFmt w:val="bullet"/>
      <w:lvlText w:val=""/>
      <w:lvlJc w:val="left"/>
      <w:pPr>
        <w:ind w:left="2904" w:hanging="360"/>
      </w:pPr>
      <w:rPr>
        <w:rFonts w:ascii="Symbol" w:hAnsi="Symbol" w:hint="default"/>
      </w:rPr>
    </w:lvl>
    <w:lvl w:ilvl="4" w:tplc="04060003" w:tentative="1">
      <w:start w:val="1"/>
      <w:numFmt w:val="bullet"/>
      <w:lvlText w:val="o"/>
      <w:lvlJc w:val="left"/>
      <w:pPr>
        <w:ind w:left="3624" w:hanging="360"/>
      </w:pPr>
      <w:rPr>
        <w:rFonts w:ascii="Courier New" w:hAnsi="Courier New" w:cs="Courier New" w:hint="default"/>
      </w:rPr>
    </w:lvl>
    <w:lvl w:ilvl="5" w:tplc="04060005" w:tentative="1">
      <w:start w:val="1"/>
      <w:numFmt w:val="bullet"/>
      <w:lvlText w:val=""/>
      <w:lvlJc w:val="left"/>
      <w:pPr>
        <w:ind w:left="4344" w:hanging="360"/>
      </w:pPr>
      <w:rPr>
        <w:rFonts w:ascii="Wingdings" w:hAnsi="Wingdings" w:hint="default"/>
      </w:rPr>
    </w:lvl>
    <w:lvl w:ilvl="6" w:tplc="04060001" w:tentative="1">
      <w:start w:val="1"/>
      <w:numFmt w:val="bullet"/>
      <w:lvlText w:val=""/>
      <w:lvlJc w:val="left"/>
      <w:pPr>
        <w:ind w:left="5064" w:hanging="360"/>
      </w:pPr>
      <w:rPr>
        <w:rFonts w:ascii="Symbol" w:hAnsi="Symbol" w:hint="default"/>
      </w:rPr>
    </w:lvl>
    <w:lvl w:ilvl="7" w:tplc="04060003" w:tentative="1">
      <w:start w:val="1"/>
      <w:numFmt w:val="bullet"/>
      <w:lvlText w:val="o"/>
      <w:lvlJc w:val="left"/>
      <w:pPr>
        <w:ind w:left="5784" w:hanging="360"/>
      </w:pPr>
      <w:rPr>
        <w:rFonts w:ascii="Courier New" w:hAnsi="Courier New" w:cs="Courier New" w:hint="default"/>
      </w:rPr>
    </w:lvl>
    <w:lvl w:ilvl="8" w:tplc="04060005" w:tentative="1">
      <w:start w:val="1"/>
      <w:numFmt w:val="bullet"/>
      <w:lvlText w:val=""/>
      <w:lvlJc w:val="left"/>
      <w:pPr>
        <w:ind w:left="6504" w:hanging="360"/>
      </w:pPr>
      <w:rPr>
        <w:rFonts w:ascii="Wingdings" w:hAnsi="Wingdings" w:hint="default"/>
      </w:rPr>
    </w:lvl>
  </w:abstractNum>
  <w:abstractNum w:abstractNumId="3" w15:restartNumberingAfterBreak="0">
    <w:nsid w:val="07F20D0F"/>
    <w:multiLevelType w:val="hybridMultilevel"/>
    <w:tmpl w:val="22F2027A"/>
    <w:lvl w:ilvl="0" w:tplc="04060001">
      <w:start w:val="1"/>
      <w:numFmt w:val="bullet"/>
      <w:lvlText w:val=""/>
      <w:lvlJc w:val="left"/>
      <w:pPr>
        <w:ind w:left="1464" w:hanging="360"/>
      </w:pPr>
      <w:rPr>
        <w:rFonts w:ascii="Symbol" w:hAnsi="Symbol" w:hint="default"/>
      </w:rPr>
    </w:lvl>
    <w:lvl w:ilvl="1" w:tplc="04060003" w:tentative="1">
      <w:start w:val="1"/>
      <w:numFmt w:val="bullet"/>
      <w:lvlText w:val="o"/>
      <w:lvlJc w:val="left"/>
      <w:pPr>
        <w:ind w:left="2184" w:hanging="360"/>
      </w:pPr>
      <w:rPr>
        <w:rFonts w:ascii="Courier New" w:hAnsi="Courier New" w:cs="Courier New" w:hint="default"/>
      </w:rPr>
    </w:lvl>
    <w:lvl w:ilvl="2" w:tplc="04060005" w:tentative="1">
      <w:start w:val="1"/>
      <w:numFmt w:val="bullet"/>
      <w:lvlText w:val=""/>
      <w:lvlJc w:val="left"/>
      <w:pPr>
        <w:ind w:left="2904" w:hanging="360"/>
      </w:pPr>
      <w:rPr>
        <w:rFonts w:ascii="Wingdings" w:hAnsi="Wingdings" w:hint="default"/>
      </w:rPr>
    </w:lvl>
    <w:lvl w:ilvl="3" w:tplc="04060001" w:tentative="1">
      <w:start w:val="1"/>
      <w:numFmt w:val="bullet"/>
      <w:lvlText w:val=""/>
      <w:lvlJc w:val="left"/>
      <w:pPr>
        <w:ind w:left="3624" w:hanging="360"/>
      </w:pPr>
      <w:rPr>
        <w:rFonts w:ascii="Symbol" w:hAnsi="Symbol" w:hint="default"/>
      </w:rPr>
    </w:lvl>
    <w:lvl w:ilvl="4" w:tplc="04060003" w:tentative="1">
      <w:start w:val="1"/>
      <w:numFmt w:val="bullet"/>
      <w:lvlText w:val="o"/>
      <w:lvlJc w:val="left"/>
      <w:pPr>
        <w:ind w:left="4344" w:hanging="360"/>
      </w:pPr>
      <w:rPr>
        <w:rFonts w:ascii="Courier New" w:hAnsi="Courier New" w:cs="Courier New" w:hint="default"/>
      </w:rPr>
    </w:lvl>
    <w:lvl w:ilvl="5" w:tplc="04060005" w:tentative="1">
      <w:start w:val="1"/>
      <w:numFmt w:val="bullet"/>
      <w:lvlText w:val=""/>
      <w:lvlJc w:val="left"/>
      <w:pPr>
        <w:ind w:left="5064" w:hanging="360"/>
      </w:pPr>
      <w:rPr>
        <w:rFonts w:ascii="Wingdings" w:hAnsi="Wingdings" w:hint="default"/>
      </w:rPr>
    </w:lvl>
    <w:lvl w:ilvl="6" w:tplc="04060001" w:tentative="1">
      <w:start w:val="1"/>
      <w:numFmt w:val="bullet"/>
      <w:lvlText w:val=""/>
      <w:lvlJc w:val="left"/>
      <w:pPr>
        <w:ind w:left="5784" w:hanging="360"/>
      </w:pPr>
      <w:rPr>
        <w:rFonts w:ascii="Symbol" w:hAnsi="Symbol" w:hint="default"/>
      </w:rPr>
    </w:lvl>
    <w:lvl w:ilvl="7" w:tplc="04060003" w:tentative="1">
      <w:start w:val="1"/>
      <w:numFmt w:val="bullet"/>
      <w:lvlText w:val="o"/>
      <w:lvlJc w:val="left"/>
      <w:pPr>
        <w:ind w:left="6504" w:hanging="360"/>
      </w:pPr>
      <w:rPr>
        <w:rFonts w:ascii="Courier New" w:hAnsi="Courier New" w:cs="Courier New" w:hint="default"/>
      </w:rPr>
    </w:lvl>
    <w:lvl w:ilvl="8" w:tplc="04060005" w:tentative="1">
      <w:start w:val="1"/>
      <w:numFmt w:val="bullet"/>
      <w:lvlText w:val=""/>
      <w:lvlJc w:val="left"/>
      <w:pPr>
        <w:ind w:left="7224" w:hanging="360"/>
      </w:pPr>
      <w:rPr>
        <w:rFonts w:ascii="Wingdings" w:hAnsi="Wingdings" w:hint="default"/>
      </w:rPr>
    </w:lvl>
  </w:abstractNum>
  <w:abstractNum w:abstractNumId="4" w15:restartNumberingAfterBreak="0">
    <w:nsid w:val="086420A9"/>
    <w:multiLevelType w:val="hybridMultilevel"/>
    <w:tmpl w:val="4C6069E0"/>
    <w:lvl w:ilvl="0" w:tplc="2E643DAE">
      <w:start w:val="1"/>
      <w:numFmt w:val="bullet"/>
      <w:lvlText w:val=""/>
      <w:lvlJc w:val="left"/>
      <w:pPr>
        <w:ind w:left="1489" w:hanging="360"/>
      </w:pPr>
      <w:rPr>
        <w:rFonts w:ascii="Symbol" w:hAnsi="Symbol" w:hint="default"/>
      </w:rPr>
    </w:lvl>
    <w:lvl w:ilvl="1" w:tplc="97DEA8C2" w:tentative="1">
      <w:start w:val="1"/>
      <w:numFmt w:val="bullet"/>
      <w:lvlText w:val="o"/>
      <w:lvlJc w:val="left"/>
      <w:pPr>
        <w:ind w:left="2209" w:hanging="360"/>
      </w:pPr>
      <w:rPr>
        <w:rFonts w:ascii="Courier New" w:hAnsi="Courier New" w:hint="default"/>
      </w:rPr>
    </w:lvl>
    <w:lvl w:ilvl="2" w:tplc="BAE6BDEA" w:tentative="1">
      <w:start w:val="1"/>
      <w:numFmt w:val="bullet"/>
      <w:lvlText w:val=""/>
      <w:lvlJc w:val="left"/>
      <w:pPr>
        <w:ind w:left="2929" w:hanging="360"/>
      </w:pPr>
      <w:rPr>
        <w:rFonts w:ascii="Wingdings" w:hAnsi="Wingdings" w:hint="default"/>
      </w:rPr>
    </w:lvl>
    <w:lvl w:ilvl="3" w:tplc="392A85B0" w:tentative="1">
      <w:start w:val="1"/>
      <w:numFmt w:val="bullet"/>
      <w:lvlText w:val=""/>
      <w:lvlJc w:val="left"/>
      <w:pPr>
        <w:ind w:left="3649" w:hanging="360"/>
      </w:pPr>
      <w:rPr>
        <w:rFonts w:ascii="Symbol" w:hAnsi="Symbol" w:hint="default"/>
      </w:rPr>
    </w:lvl>
    <w:lvl w:ilvl="4" w:tplc="374A7BDA" w:tentative="1">
      <w:start w:val="1"/>
      <w:numFmt w:val="bullet"/>
      <w:lvlText w:val="o"/>
      <w:lvlJc w:val="left"/>
      <w:pPr>
        <w:ind w:left="4369" w:hanging="360"/>
      </w:pPr>
      <w:rPr>
        <w:rFonts w:ascii="Courier New" w:hAnsi="Courier New" w:hint="default"/>
      </w:rPr>
    </w:lvl>
    <w:lvl w:ilvl="5" w:tplc="CB8691C2" w:tentative="1">
      <w:start w:val="1"/>
      <w:numFmt w:val="bullet"/>
      <w:lvlText w:val=""/>
      <w:lvlJc w:val="left"/>
      <w:pPr>
        <w:ind w:left="5089" w:hanging="360"/>
      </w:pPr>
      <w:rPr>
        <w:rFonts w:ascii="Wingdings" w:hAnsi="Wingdings" w:hint="default"/>
      </w:rPr>
    </w:lvl>
    <w:lvl w:ilvl="6" w:tplc="580AD9CC" w:tentative="1">
      <w:start w:val="1"/>
      <w:numFmt w:val="bullet"/>
      <w:lvlText w:val=""/>
      <w:lvlJc w:val="left"/>
      <w:pPr>
        <w:ind w:left="5809" w:hanging="360"/>
      </w:pPr>
      <w:rPr>
        <w:rFonts w:ascii="Symbol" w:hAnsi="Symbol" w:hint="default"/>
      </w:rPr>
    </w:lvl>
    <w:lvl w:ilvl="7" w:tplc="F5A0C1DA" w:tentative="1">
      <w:start w:val="1"/>
      <w:numFmt w:val="bullet"/>
      <w:lvlText w:val="o"/>
      <w:lvlJc w:val="left"/>
      <w:pPr>
        <w:ind w:left="6529" w:hanging="360"/>
      </w:pPr>
      <w:rPr>
        <w:rFonts w:ascii="Courier New" w:hAnsi="Courier New" w:hint="default"/>
      </w:rPr>
    </w:lvl>
    <w:lvl w:ilvl="8" w:tplc="5FC6C860" w:tentative="1">
      <w:start w:val="1"/>
      <w:numFmt w:val="bullet"/>
      <w:lvlText w:val=""/>
      <w:lvlJc w:val="left"/>
      <w:pPr>
        <w:ind w:left="7249" w:hanging="360"/>
      </w:pPr>
      <w:rPr>
        <w:rFonts w:ascii="Wingdings" w:hAnsi="Wingdings" w:hint="default"/>
      </w:rPr>
    </w:lvl>
  </w:abstractNum>
  <w:abstractNum w:abstractNumId="5" w15:restartNumberingAfterBreak="0">
    <w:nsid w:val="10FD5C73"/>
    <w:multiLevelType w:val="hybridMultilevel"/>
    <w:tmpl w:val="E66EAF82"/>
    <w:lvl w:ilvl="0" w:tplc="04060001">
      <w:start w:val="1"/>
      <w:numFmt w:val="bullet"/>
      <w:lvlText w:val=""/>
      <w:lvlJc w:val="left"/>
      <w:pPr>
        <w:ind w:left="1464" w:hanging="360"/>
      </w:pPr>
      <w:rPr>
        <w:rFonts w:ascii="Symbol" w:hAnsi="Symbol" w:hint="default"/>
      </w:rPr>
    </w:lvl>
    <w:lvl w:ilvl="1" w:tplc="04060003" w:tentative="1">
      <w:start w:val="1"/>
      <w:numFmt w:val="bullet"/>
      <w:lvlText w:val="o"/>
      <w:lvlJc w:val="left"/>
      <w:pPr>
        <w:ind w:left="2184" w:hanging="360"/>
      </w:pPr>
      <w:rPr>
        <w:rFonts w:ascii="Courier New" w:hAnsi="Courier New" w:cs="Courier New" w:hint="default"/>
      </w:rPr>
    </w:lvl>
    <w:lvl w:ilvl="2" w:tplc="04060005" w:tentative="1">
      <w:start w:val="1"/>
      <w:numFmt w:val="bullet"/>
      <w:lvlText w:val=""/>
      <w:lvlJc w:val="left"/>
      <w:pPr>
        <w:ind w:left="2904" w:hanging="360"/>
      </w:pPr>
      <w:rPr>
        <w:rFonts w:ascii="Wingdings" w:hAnsi="Wingdings" w:hint="default"/>
      </w:rPr>
    </w:lvl>
    <w:lvl w:ilvl="3" w:tplc="04060001" w:tentative="1">
      <w:start w:val="1"/>
      <w:numFmt w:val="bullet"/>
      <w:lvlText w:val=""/>
      <w:lvlJc w:val="left"/>
      <w:pPr>
        <w:ind w:left="3624" w:hanging="360"/>
      </w:pPr>
      <w:rPr>
        <w:rFonts w:ascii="Symbol" w:hAnsi="Symbol" w:hint="default"/>
      </w:rPr>
    </w:lvl>
    <w:lvl w:ilvl="4" w:tplc="04060003" w:tentative="1">
      <w:start w:val="1"/>
      <w:numFmt w:val="bullet"/>
      <w:lvlText w:val="o"/>
      <w:lvlJc w:val="left"/>
      <w:pPr>
        <w:ind w:left="4344" w:hanging="360"/>
      </w:pPr>
      <w:rPr>
        <w:rFonts w:ascii="Courier New" w:hAnsi="Courier New" w:cs="Courier New" w:hint="default"/>
      </w:rPr>
    </w:lvl>
    <w:lvl w:ilvl="5" w:tplc="04060005" w:tentative="1">
      <w:start w:val="1"/>
      <w:numFmt w:val="bullet"/>
      <w:lvlText w:val=""/>
      <w:lvlJc w:val="left"/>
      <w:pPr>
        <w:ind w:left="5064" w:hanging="360"/>
      </w:pPr>
      <w:rPr>
        <w:rFonts w:ascii="Wingdings" w:hAnsi="Wingdings" w:hint="default"/>
      </w:rPr>
    </w:lvl>
    <w:lvl w:ilvl="6" w:tplc="04060001" w:tentative="1">
      <w:start w:val="1"/>
      <w:numFmt w:val="bullet"/>
      <w:lvlText w:val=""/>
      <w:lvlJc w:val="left"/>
      <w:pPr>
        <w:ind w:left="5784" w:hanging="360"/>
      </w:pPr>
      <w:rPr>
        <w:rFonts w:ascii="Symbol" w:hAnsi="Symbol" w:hint="default"/>
      </w:rPr>
    </w:lvl>
    <w:lvl w:ilvl="7" w:tplc="04060003" w:tentative="1">
      <w:start w:val="1"/>
      <w:numFmt w:val="bullet"/>
      <w:lvlText w:val="o"/>
      <w:lvlJc w:val="left"/>
      <w:pPr>
        <w:ind w:left="6504" w:hanging="360"/>
      </w:pPr>
      <w:rPr>
        <w:rFonts w:ascii="Courier New" w:hAnsi="Courier New" w:cs="Courier New" w:hint="default"/>
      </w:rPr>
    </w:lvl>
    <w:lvl w:ilvl="8" w:tplc="04060005" w:tentative="1">
      <w:start w:val="1"/>
      <w:numFmt w:val="bullet"/>
      <w:lvlText w:val=""/>
      <w:lvlJc w:val="left"/>
      <w:pPr>
        <w:ind w:left="7224" w:hanging="360"/>
      </w:pPr>
      <w:rPr>
        <w:rFonts w:ascii="Wingdings" w:hAnsi="Wingdings" w:hint="default"/>
      </w:rPr>
    </w:lvl>
  </w:abstractNum>
  <w:abstractNum w:abstractNumId="6" w15:restartNumberingAfterBreak="0">
    <w:nsid w:val="1420518F"/>
    <w:multiLevelType w:val="hybridMultilevel"/>
    <w:tmpl w:val="4F26F5A4"/>
    <w:lvl w:ilvl="0" w:tplc="04060001">
      <w:start w:val="1"/>
      <w:numFmt w:val="bullet"/>
      <w:lvlText w:val=""/>
      <w:lvlJc w:val="left"/>
      <w:pPr>
        <w:ind w:left="808" w:hanging="360"/>
      </w:pPr>
      <w:rPr>
        <w:rFonts w:ascii="Symbol" w:hAnsi="Symbol" w:hint="default"/>
      </w:rPr>
    </w:lvl>
    <w:lvl w:ilvl="1" w:tplc="04060003" w:tentative="1">
      <w:start w:val="1"/>
      <w:numFmt w:val="bullet"/>
      <w:lvlText w:val="o"/>
      <w:lvlJc w:val="left"/>
      <w:pPr>
        <w:ind w:left="1528" w:hanging="360"/>
      </w:pPr>
      <w:rPr>
        <w:rFonts w:ascii="Courier New" w:hAnsi="Courier New" w:cs="Courier New" w:hint="default"/>
      </w:rPr>
    </w:lvl>
    <w:lvl w:ilvl="2" w:tplc="04060005" w:tentative="1">
      <w:start w:val="1"/>
      <w:numFmt w:val="bullet"/>
      <w:lvlText w:val=""/>
      <w:lvlJc w:val="left"/>
      <w:pPr>
        <w:ind w:left="2248" w:hanging="360"/>
      </w:pPr>
      <w:rPr>
        <w:rFonts w:ascii="Wingdings" w:hAnsi="Wingdings" w:hint="default"/>
      </w:rPr>
    </w:lvl>
    <w:lvl w:ilvl="3" w:tplc="04060001" w:tentative="1">
      <w:start w:val="1"/>
      <w:numFmt w:val="bullet"/>
      <w:lvlText w:val=""/>
      <w:lvlJc w:val="left"/>
      <w:pPr>
        <w:ind w:left="2968" w:hanging="360"/>
      </w:pPr>
      <w:rPr>
        <w:rFonts w:ascii="Symbol" w:hAnsi="Symbol" w:hint="default"/>
      </w:rPr>
    </w:lvl>
    <w:lvl w:ilvl="4" w:tplc="04060003" w:tentative="1">
      <w:start w:val="1"/>
      <w:numFmt w:val="bullet"/>
      <w:lvlText w:val="o"/>
      <w:lvlJc w:val="left"/>
      <w:pPr>
        <w:ind w:left="3688" w:hanging="360"/>
      </w:pPr>
      <w:rPr>
        <w:rFonts w:ascii="Courier New" w:hAnsi="Courier New" w:cs="Courier New" w:hint="default"/>
      </w:rPr>
    </w:lvl>
    <w:lvl w:ilvl="5" w:tplc="04060005" w:tentative="1">
      <w:start w:val="1"/>
      <w:numFmt w:val="bullet"/>
      <w:lvlText w:val=""/>
      <w:lvlJc w:val="left"/>
      <w:pPr>
        <w:ind w:left="4408" w:hanging="360"/>
      </w:pPr>
      <w:rPr>
        <w:rFonts w:ascii="Wingdings" w:hAnsi="Wingdings" w:hint="default"/>
      </w:rPr>
    </w:lvl>
    <w:lvl w:ilvl="6" w:tplc="04060001" w:tentative="1">
      <w:start w:val="1"/>
      <w:numFmt w:val="bullet"/>
      <w:lvlText w:val=""/>
      <w:lvlJc w:val="left"/>
      <w:pPr>
        <w:ind w:left="5128" w:hanging="360"/>
      </w:pPr>
      <w:rPr>
        <w:rFonts w:ascii="Symbol" w:hAnsi="Symbol" w:hint="default"/>
      </w:rPr>
    </w:lvl>
    <w:lvl w:ilvl="7" w:tplc="04060003" w:tentative="1">
      <w:start w:val="1"/>
      <w:numFmt w:val="bullet"/>
      <w:lvlText w:val="o"/>
      <w:lvlJc w:val="left"/>
      <w:pPr>
        <w:ind w:left="5848" w:hanging="360"/>
      </w:pPr>
      <w:rPr>
        <w:rFonts w:ascii="Courier New" w:hAnsi="Courier New" w:cs="Courier New" w:hint="default"/>
      </w:rPr>
    </w:lvl>
    <w:lvl w:ilvl="8" w:tplc="04060005" w:tentative="1">
      <w:start w:val="1"/>
      <w:numFmt w:val="bullet"/>
      <w:lvlText w:val=""/>
      <w:lvlJc w:val="left"/>
      <w:pPr>
        <w:ind w:left="6568" w:hanging="360"/>
      </w:pPr>
      <w:rPr>
        <w:rFonts w:ascii="Wingdings" w:hAnsi="Wingdings" w:hint="default"/>
      </w:rPr>
    </w:lvl>
  </w:abstractNum>
  <w:abstractNum w:abstractNumId="7"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76B2906"/>
    <w:multiLevelType w:val="hybridMultilevel"/>
    <w:tmpl w:val="236410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1AA303FD"/>
    <w:multiLevelType w:val="hybridMultilevel"/>
    <w:tmpl w:val="6AEC6950"/>
    <w:lvl w:ilvl="0" w:tplc="28AA76E6">
      <w:start w:val="1"/>
      <w:numFmt w:val="bullet"/>
      <w:lvlText w:val=""/>
      <w:lvlJc w:val="left"/>
      <w:pPr>
        <w:ind w:left="1205" w:hanging="360"/>
      </w:pPr>
      <w:rPr>
        <w:rFonts w:ascii="Symbol" w:hAnsi="Symbol" w:hint="default"/>
      </w:rPr>
    </w:lvl>
    <w:lvl w:ilvl="1" w:tplc="BE963602" w:tentative="1">
      <w:start w:val="1"/>
      <w:numFmt w:val="bullet"/>
      <w:lvlText w:val="o"/>
      <w:lvlJc w:val="left"/>
      <w:pPr>
        <w:ind w:left="1925" w:hanging="360"/>
      </w:pPr>
      <w:rPr>
        <w:rFonts w:ascii="Courier New" w:hAnsi="Courier New" w:hint="default"/>
      </w:rPr>
    </w:lvl>
    <w:lvl w:ilvl="2" w:tplc="62A84036" w:tentative="1">
      <w:start w:val="1"/>
      <w:numFmt w:val="bullet"/>
      <w:lvlText w:val=""/>
      <w:lvlJc w:val="left"/>
      <w:pPr>
        <w:ind w:left="2645" w:hanging="360"/>
      </w:pPr>
      <w:rPr>
        <w:rFonts w:ascii="Wingdings" w:hAnsi="Wingdings" w:hint="default"/>
      </w:rPr>
    </w:lvl>
    <w:lvl w:ilvl="3" w:tplc="B37C27E0" w:tentative="1">
      <w:start w:val="1"/>
      <w:numFmt w:val="bullet"/>
      <w:lvlText w:val=""/>
      <w:lvlJc w:val="left"/>
      <w:pPr>
        <w:ind w:left="3365" w:hanging="360"/>
      </w:pPr>
      <w:rPr>
        <w:rFonts w:ascii="Symbol" w:hAnsi="Symbol" w:hint="default"/>
      </w:rPr>
    </w:lvl>
    <w:lvl w:ilvl="4" w:tplc="205A8B1E" w:tentative="1">
      <w:start w:val="1"/>
      <w:numFmt w:val="bullet"/>
      <w:lvlText w:val="o"/>
      <w:lvlJc w:val="left"/>
      <w:pPr>
        <w:ind w:left="4085" w:hanging="360"/>
      </w:pPr>
      <w:rPr>
        <w:rFonts w:ascii="Courier New" w:hAnsi="Courier New" w:hint="default"/>
      </w:rPr>
    </w:lvl>
    <w:lvl w:ilvl="5" w:tplc="A16C181E" w:tentative="1">
      <w:start w:val="1"/>
      <w:numFmt w:val="bullet"/>
      <w:lvlText w:val=""/>
      <w:lvlJc w:val="left"/>
      <w:pPr>
        <w:ind w:left="4805" w:hanging="360"/>
      </w:pPr>
      <w:rPr>
        <w:rFonts w:ascii="Wingdings" w:hAnsi="Wingdings" w:hint="default"/>
      </w:rPr>
    </w:lvl>
    <w:lvl w:ilvl="6" w:tplc="B8C27952" w:tentative="1">
      <w:start w:val="1"/>
      <w:numFmt w:val="bullet"/>
      <w:lvlText w:val=""/>
      <w:lvlJc w:val="left"/>
      <w:pPr>
        <w:ind w:left="5525" w:hanging="360"/>
      </w:pPr>
      <w:rPr>
        <w:rFonts w:ascii="Symbol" w:hAnsi="Symbol" w:hint="default"/>
      </w:rPr>
    </w:lvl>
    <w:lvl w:ilvl="7" w:tplc="D5EC6F84" w:tentative="1">
      <w:start w:val="1"/>
      <w:numFmt w:val="bullet"/>
      <w:lvlText w:val="o"/>
      <w:lvlJc w:val="left"/>
      <w:pPr>
        <w:ind w:left="6245" w:hanging="360"/>
      </w:pPr>
      <w:rPr>
        <w:rFonts w:ascii="Courier New" w:hAnsi="Courier New" w:hint="default"/>
      </w:rPr>
    </w:lvl>
    <w:lvl w:ilvl="8" w:tplc="B9DCD256" w:tentative="1">
      <w:start w:val="1"/>
      <w:numFmt w:val="bullet"/>
      <w:lvlText w:val=""/>
      <w:lvlJc w:val="left"/>
      <w:pPr>
        <w:ind w:left="6965" w:hanging="360"/>
      </w:pPr>
      <w:rPr>
        <w:rFonts w:ascii="Wingdings" w:hAnsi="Wingdings" w:hint="default"/>
      </w:rPr>
    </w:lvl>
  </w:abstractNum>
  <w:abstractNum w:abstractNumId="10" w15:restartNumberingAfterBreak="0">
    <w:nsid w:val="1C3C5300"/>
    <w:multiLevelType w:val="hybridMultilevel"/>
    <w:tmpl w:val="FE1C27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CD2EE8"/>
    <w:multiLevelType w:val="hybridMultilevel"/>
    <w:tmpl w:val="8E98F91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2460322F"/>
    <w:multiLevelType w:val="hybridMultilevel"/>
    <w:tmpl w:val="B996242A"/>
    <w:lvl w:ilvl="0" w:tplc="04060001">
      <w:start w:val="1"/>
      <w:numFmt w:val="bullet"/>
      <w:lvlText w:val=""/>
      <w:lvlJc w:val="left"/>
      <w:pPr>
        <w:ind w:left="1464" w:hanging="360"/>
      </w:pPr>
      <w:rPr>
        <w:rFonts w:ascii="Symbol" w:hAnsi="Symbol" w:hint="default"/>
      </w:rPr>
    </w:lvl>
    <w:lvl w:ilvl="1" w:tplc="04060003" w:tentative="1">
      <w:start w:val="1"/>
      <w:numFmt w:val="bullet"/>
      <w:lvlText w:val="o"/>
      <w:lvlJc w:val="left"/>
      <w:pPr>
        <w:ind w:left="2184" w:hanging="360"/>
      </w:pPr>
      <w:rPr>
        <w:rFonts w:ascii="Courier New" w:hAnsi="Courier New" w:cs="Courier New" w:hint="default"/>
      </w:rPr>
    </w:lvl>
    <w:lvl w:ilvl="2" w:tplc="04060005" w:tentative="1">
      <w:start w:val="1"/>
      <w:numFmt w:val="bullet"/>
      <w:lvlText w:val=""/>
      <w:lvlJc w:val="left"/>
      <w:pPr>
        <w:ind w:left="2904" w:hanging="360"/>
      </w:pPr>
      <w:rPr>
        <w:rFonts w:ascii="Wingdings" w:hAnsi="Wingdings" w:hint="default"/>
      </w:rPr>
    </w:lvl>
    <w:lvl w:ilvl="3" w:tplc="04060001" w:tentative="1">
      <w:start w:val="1"/>
      <w:numFmt w:val="bullet"/>
      <w:lvlText w:val=""/>
      <w:lvlJc w:val="left"/>
      <w:pPr>
        <w:ind w:left="3624" w:hanging="360"/>
      </w:pPr>
      <w:rPr>
        <w:rFonts w:ascii="Symbol" w:hAnsi="Symbol" w:hint="default"/>
      </w:rPr>
    </w:lvl>
    <w:lvl w:ilvl="4" w:tplc="04060003" w:tentative="1">
      <w:start w:val="1"/>
      <w:numFmt w:val="bullet"/>
      <w:lvlText w:val="o"/>
      <w:lvlJc w:val="left"/>
      <w:pPr>
        <w:ind w:left="4344" w:hanging="360"/>
      </w:pPr>
      <w:rPr>
        <w:rFonts w:ascii="Courier New" w:hAnsi="Courier New" w:cs="Courier New" w:hint="default"/>
      </w:rPr>
    </w:lvl>
    <w:lvl w:ilvl="5" w:tplc="04060005" w:tentative="1">
      <w:start w:val="1"/>
      <w:numFmt w:val="bullet"/>
      <w:lvlText w:val=""/>
      <w:lvlJc w:val="left"/>
      <w:pPr>
        <w:ind w:left="5064" w:hanging="360"/>
      </w:pPr>
      <w:rPr>
        <w:rFonts w:ascii="Wingdings" w:hAnsi="Wingdings" w:hint="default"/>
      </w:rPr>
    </w:lvl>
    <w:lvl w:ilvl="6" w:tplc="04060001" w:tentative="1">
      <w:start w:val="1"/>
      <w:numFmt w:val="bullet"/>
      <w:lvlText w:val=""/>
      <w:lvlJc w:val="left"/>
      <w:pPr>
        <w:ind w:left="5784" w:hanging="360"/>
      </w:pPr>
      <w:rPr>
        <w:rFonts w:ascii="Symbol" w:hAnsi="Symbol" w:hint="default"/>
      </w:rPr>
    </w:lvl>
    <w:lvl w:ilvl="7" w:tplc="04060003" w:tentative="1">
      <w:start w:val="1"/>
      <w:numFmt w:val="bullet"/>
      <w:lvlText w:val="o"/>
      <w:lvlJc w:val="left"/>
      <w:pPr>
        <w:ind w:left="6504" w:hanging="360"/>
      </w:pPr>
      <w:rPr>
        <w:rFonts w:ascii="Courier New" w:hAnsi="Courier New" w:cs="Courier New" w:hint="default"/>
      </w:rPr>
    </w:lvl>
    <w:lvl w:ilvl="8" w:tplc="04060005" w:tentative="1">
      <w:start w:val="1"/>
      <w:numFmt w:val="bullet"/>
      <w:lvlText w:val=""/>
      <w:lvlJc w:val="left"/>
      <w:pPr>
        <w:ind w:left="7224" w:hanging="360"/>
      </w:pPr>
      <w:rPr>
        <w:rFonts w:ascii="Wingdings" w:hAnsi="Wingdings" w:hint="default"/>
      </w:rPr>
    </w:lvl>
  </w:abstractNum>
  <w:abstractNum w:abstractNumId="13" w15:restartNumberingAfterBreak="0">
    <w:nsid w:val="257A6FE1"/>
    <w:multiLevelType w:val="hybridMultilevel"/>
    <w:tmpl w:val="572470D4"/>
    <w:lvl w:ilvl="0" w:tplc="A8AA247E">
      <w:start w:val="2"/>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4" w15:restartNumberingAfterBreak="0">
    <w:nsid w:val="271633A6"/>
    <w:multiLevelType w:val="hybridMultilevel"/>
    <w:tmpl w:val="432E95DA"/>
    <w:lvl w:ilvl="0" w:tplc="04060001">
      <w:start w:val="1"/>
      <w:numFmt w:val="bullet"/>
      <w:lvlText w:val=""/>
      <w:lvlJc w:val="left"/>
      <w:pPr>
        <w:ind w:left="744" w:hanging="360"/>
      </w:pPr>
      <w:rPr>
        <w:rFonts w:ascii="Symbol" w:hAnsi="Symbol" w:hint="default"/>
      </w:rPr>
    </w:lvl>
    <w:lvl w:ilvl="1" w:tplc="04060003" w:tentative="1">
      <w:start w:val="1"/>
      <w:numFmt w:val="bullet"/>
      <w:lvlText w:val="o"/>
      <w:lvlJc w:val="left"/>
      <w:pPr>
        <w:ind w:left="1464" w:hanging="360"/>
      </w:pPr>
      <w:rPr>
        <w:rFonts w:ascii="Courier New" w:hAnsi="Courier New" w:cs="Courier New" w:hint="default"/>
      </w:rPr>
    </w:lvl>
    <w:lvl w:ilvl="2" w:tplc="04060005" w:tentative="1">
      <w:start w:val="1"/>
      <w:numFmt w:val="bullet"/>
      <w:lvlText w:val=""/>
      <w:lvlJc w:val="left"/>
      <w:pPr>
        <w:ind w:left="2184" w:hanging="360"/>
      </w:pPr>
      <w:rPr>
        <w:rFonts w:ascii="Wingdings" w:hAnsi="Wingdings" w:hint="default"/>
      </w:rPr>
    </w:lvl>
    <w:lvl w:ilvl="3" w:tplc="04060001" w:tentative="1">
      <w:start w:val="1"/>
      <w:numFmt w:val="bullet"/>
      <w:lvlText w:val=""/>
      <w:lvlJc w:val="left"/>
      <w:pPr>
        <w:ind w:left="2904" w:hanging="360"/>
      </w:pPr>
      <w:rPr>
        <w:rFonts w:ascii="Symbol" w:hAnsi="Symbol" w:hint="default"/>
      </w:rPr>
    </w:lvl>
    <w:lvl w:ilvl="4" w:tplc="04060003" w:tentative="1">
      <w:start w:val="1"/>
      <w:numFmt w:val="bullet"/>
      <w:lvlText w:val="o"/>
      <w:lvlJc w:val="left"/>
      <w:pPr>
        <w:ind w:left="3624" w:hanging="360"/>
      </w:pPr>
      <w:rPr>
        <w:rFonts w:ascii="Courier New" w:hAnsi="Courier New" w:cs="Courier New" w:hint="default"/>
      </w:rPr>
    </w:lvl>
    <w:lvl w:ilvl="5" w:tplc="04060005" w:tentative="1">
      <w:start w:val="1"/>
      <w:numFmt w:val="bullet"/>
      <w:lvlText w:val=""/>
      <w:lvlJc w:val="left"/>
      <w:pPr>
        <w:ind w:left="4344" w:hanging="360"/>
      </w:pPr>
      <w:rPr>
        <w:rFonts w:ascii="Wingdings" w:hAnsi="Wingdings" w:hint="default"/>
      </w:rPr>
    </w:lvl>
    <w:lvl w:ilvl="6" w:tplc="04060001" w:tentative="1">
      <w:start w:val="1"/>
      <w:numFmt w:val="bullet"/>
      <w:lvlText w:val=""/>
      <w:lvlJc w:val="left"/>
      <w:pPr>
        <w:ind w:left="5064" w:hanging="360"/>
      </w:pPr>
      <w:rPr>
        <w:rFonts w:ascii="Symbol" w:hAnsi="Symbol" w:hint="default"/>
      </w:rPr>
    </w:lvl>
    <w:lvl w:ilvl="7" w:tplc="04060003" w:tentative="1">
      <w:start w:val="1"/>
      <w:numFmt w:val="bullet"/>
      <w:lvlText w:val="o"/>
      <w:lvlJc w:val="left"/>
      <w:pPr>
        <w:ind w:left="5784" w:hanging="360"/>
      </w:pPr>
      <w:rPr>
        <w:rFonts w:ascii="Courier New" w:hAnsi="Courier New" w:cs="Courier New" w:hint="default"/>
      </w:rPr>
    </w:lvl>
    <w:lvl w:ilvl="8" w:tplc="04060005" w:tentative="1">
      <w:start w:val="1"/>
      <w:numFmt w:val="bullet"/>
      <w:lvlText w:val=""/>
      <w:lvlJc w:val="left"/>
      <w:pPr>
        <w:ind w:left="6504" w:hanging="360"/>
      </w:pPr>
      <w:rPr>
        <w:rFonts w:ascii="Wingdings" w:hAnsi="Wingdings" w:hint="default"/>
      </w:rPr>
    </w:lvl>
  </w:abstractNum>
  <w:abstractNum w:abstractNumId="15" w15:restartNumberingAfterBreak="0">
    <w:nsid w:val="285E5D76"/>
    <w:multiLevelType w:val="hybridMultilevel"/>
    <w:tmpl w:val="C360EE10"/>
    <w:lvl w:ilvl="0" w:tplc="04060001">
      <w:start w:val="1"/>
      <w:numFmt w:val="bullet"/>
      <w:lvlText w:val=""/>
      <w:lvlJc w:val="left"/>
      <w:pPr>
        <w:ind w:left="722" w:hanging="360"/>
      </w:pPr>
      <w:rPr>
        <w:rFonts w:ascii="Symbol" w:hAnsi="Symbol" w:hint="default"/>
      </w:rPr>
    </w:lvl>
    <w:lvl w:ilvl="1" w:tplc="04060003" w:tentative="1">
      <w:start w:val="1"/>
      <w:numFmt w:val="bullet"/>
      <w:lvlText w:val="o"/>
      <w:lvlJc w:val="left"/>
      <w:pPr>
        <w:ind w:left="1442" w:hanging="360"/>
      </w:pPr>
      <w:rPr>
        <w:rFonts w:ascii="Courier New" w:hAnsi="Courier New" w:cs="Courier New" w:hint="default"/>
      </w:rPr>
    </w:lvl>
    <w:lvl w:ilvl="2" w:tplc="04060005" w:tentative="1">
      <w:start w:val="1"/>
      <w:numFmt w:val="bullet"/>
      <w:lvlText w:val=""/>
      <w:lvlJc w:val="left"/>
      <w:pPr>
        <w:ind w:left="2162" w:hanging="360"/>
      </w:pPr>
      <w:rPr>
        <w:rFonts w:ascii="Wingdings" w:hAnsi="Wingdings" w:hint="default"/>
      </w:rPr>
    </w:lvl>
    <w:lvl w:ilvl="3" w:tplc="04060001" w:tentative="1">
      <w:start w:val="1"/>
      <w:numFmt w:val="bullet"/>
      <w:lvlText w:val=""/>
      <w:lvlJc w:val="left"/>
      <w:pPr>
        <w:ind w:left="2882" w:hanging="360"/>
      </w:pPr>
      <w:rPr>
        <w:rFonts w:ascii="Symbol" w:hAnsi="Symbol" w:hint="default"/>
      </w:rPr>
    </w:lvl>
    <w:lvl w:ilvl="4" w:tplc="04060003" w:tentative="1">
      <w:start w:val="1"/>
      <w:numFmt w:val="bullet"/>
      <w:lvlText w:val="o"/>
      <w:lvlJc w:val="left"/>
      <w:pPr>
        <w:ind w:left="3602" w:hanging="360"/>
      </w:pPr>
      <w:rPr>
        <w:rFonts w:ascii="Courier New" w:hAnsi="Courier New" w:cs="Courier New" w:hint="default"/>
      </w:rPr>
    </w:lvl>
    <w:lvl w:ilvl="5" w:tplc="04060005" w:tentative="1">
      <w:start w:val="1"/>
      <w:numFmt w:val="bullet"/>
      <w:lvlText w:val=""/>
      <w:lvlJc w:val="left"/>
      <w:pPr>
        <w:ind w:left="4322" w:hanging="360"/>
      </w:pPr>
      <w:rPr>
        <w:rFonts w:ascii="Wingdings" w:hAnsi="Wingdings" w:hint="default"/>
      </w:rPr>
    </w:lvl>
    <w:lvl w:ilvl="6" w:tplc="04060001" w:tentative="1">
      <w:start w:val="1"/>
      <w:numFmt w:val="bullet"/>
      <w:lvlText w:val=""/>
      <w:lvlJc w:val="left"/>
      <w:pPr>
        <w:ind w:left="5042" w:hanging="360"/>
      </w:pPr>
      <w:rPr>
        <w:rFonts w:ascii="Symbol" w:hAnsi="Symbol" w:hint="default"/>
      </w:rPr>
    </w:lvl>
    <w:lvl w:ilvl="7" w:tplc="04060003" w:tentative="1">
      <w:start w:val="1"/>
      <w:numFmt w:val="bullet"/>
      <w:lvlText w:val="o"/>
      <w:lvlJc w:val="left"/>
      <w:pPr>
        <w:ind w:left="5762" w:hanging="360"/>
      </w:pPr>
      <w:rPr>
        <w:rFonts w:ascii="Courier New" w:hAnsi="Courier New" w:cs="Courier New" w:hint="default"/>
      </w:rPr>
    </w:lvl>
    <w:lvl w:ilvl="8" w:tplc="04060005" w:tentative="1">
      <w:start w:val="1"/>
      <w:numFmt w:val="bullet"/>
      <w:lvlText w:val=""/>
      <w:lvlJc w:val="left"/>
      <w:pPr>
        <w:ind w:left="6482" w:hanging="360"/>
      </w:pPr>
      <w:rPr>
        <w:rFonts w:ascii="Wingdings" w:hAnsi="Wingdings" w:hint="default"/>
      </w:rPr>
    </w:lvl>
  </w:abstractNum>
  <w:abstractNum w:abstractNumId="16" w15:restartNumberingAfterBreak="0">
    <w:nsid w:val="29513B1F"/>
    <w:multiLevelType w:val="hybridMultilevel"/>
    <w:tmpl w:val="C3B0D7A6"/>
    <w:lvl w:ilvl="0" w:tplc="4842727A">
      <w:start w:val="1"/>
      <w:numFmt w:val="bullet"/>
      <w:lvlText w:val=""/>
      <w:lvlJc w:val="left"/>
      <w:pPr>
        <w:ind w:left="720" w:hanging="360"/>
      </w:pPr>
      <w:rPr>
        <w:rFonts w:ascii="Symbol" w:hAnsi="Symbol" w:hint="default"/>
      </w:rPr>
    </w:lvl>
    <w:lvl w:ilvl="1" w:tplc="1D8A9D54" w:tentative="1">
      <w:start w:val="1"/>
      <w:numFmt w:val="bullet"/>
      <w:lvlText w:val="o"/>
      <w:lvlJc w:val="left"/>
      <w:pPr>
        <w:ind w:left="1440" w:hanging="360"/>
      </w:pPr>
      <w:rPr>
        <w:rFonts w:ascii="Courier New" w:hAnsi="Courier New" w:hint="default"/>
      </w:rPr>
    </w:lvl>
    <w:lvl w:ilvl="2" w:tplc="17E28D80" w:tentative="1">
      <w:start w:val="1"/>
      <w:numFmt w:val="bullet"/>
      <w:lvlText w:val=""/>
      <w:lvlJc w:val="left"/>
      <w:pPr>
        <w:ind w:left="2160" w:hanging="360"/>
      </w:pPr>
      <w:rPr>
        <w:rFonts w:ascii="Wingdings" w:hAnsi="Wingdings" w:hint="default"/>
      </w:rPr>
    </w:lvl>
    <w:lvl w:ilvl="3" w:tplc="F6E42DBC" w:tentative="1">
      <w:start w:val="1"/>
      <w:numFmt w:val="bullet"/>
      <w:lvlText w:val=""/>
      <w:lvlJc w:val="left"/>
      <w:pPr>
        <w:ind w:left="2880" w:hanging="360"/>
      </w:pPr>
      <w:rPr>
        <w:rFonts w:ascii="Symbol" w:hAnsi="Symbol" w:hint="default"/>
      </w:rPr>
    </w:lvl>
    <w:lvl w:ilvl="4" w:tplc="E904FE46" w:tentative="1">
      <w:start w:val="1"/>
      <w:numFmt w:val="bullet"/>
      <w:lvlText w:val="o"/>
      <w:lvlJc w:val="left"/>
      <w:pPr>
        <w:ind w:left="3600" w:hanging="360"/>
      </w:pPr>
      <w:rPr>
        <w:rFonts w:ascii="Courier New" w:hAnsi="Courier New" w:hint="default"/>
      </w:rPr>
    </w:lvl>
    <w:lvl w:ilvl="5" w:tplc="8D72AFE6" w:tentative="1">
      <w:start w:val="1"/>
      <w:numFmt w:val="bullet"/>
      <w:lvlText w:val=""/>
      <w:lvlJc w:val="left"/>
      <w:pPr>
        <w:ind w:left="4320" w:hanging="360"/>
      </w:pPr>
      <w:rPr>
        <w:rFonts w:ascii="Wingdings" w:hAnsi="Wingdings" w:hint="default"/>
      </w:rPr>
    </w:lvl>
    <w:lvl w:ilvl="6" w:tplc="A996795A" w:tentative="1">
      <w:start w:val="1"/>
      <w:numFmt w:val="bullet"/>
      <w:lvlText w:val=""/>
      <w:lvlJc w:val="left"/>
      <w:pPr>
        <w:ind w:left="5040" w:hanging="360"/>
      </w:pPr>
      <w:rPr>
        <w:rFonts w:ascii="Symbol" w:hAnsi="Symbol" w:hint="default"/>
      </w:rPr>
    </w:lvl>
    <w:lvl w:ilvl="7" w:tplc="D9B47804" w:tentative="1">
      <w:start w:val="1"/>
      <w:numFmt w:val="bullet"/>
      <w:lvlText w:val="o"/>
      <w:lvlJc w:val="left"/>
      <w:pPr>
        <w:ind w:left="5760" w:hanging="360"/>
      </w:pPr>
      <w:rPr>
        <w:rFonts w:ascii="Courier New" w:hAnsi="Courier New" w:hint="default"/>
      </w:rPr>
    </w:lvl>
    <w:lvl w:ilvl="8" w:tplc="C5FCE668" w:tentative="1">
      <w:start w:val="1"/>
      <w:numFmt w:val="bullet"/>
      <w:lvlText w:val=""/>
      <w:lvlJc w:val="left"/>
      <w:pPr>
        <w:ind w:left="6480" w:hanging="360"/>
      </w:pPr>
      <w:rPr>
        <w:rFonts w:ascii="Wingdings" w:hAnsi="Wingdings" w:hint="default"/>
      </w:rPr>
    </w:lvl>
  </w:abstractNum>
  <w:abstractNum w:abstractNumId="17" w15:restartNumberingAfterBreak="0">
    <w:nsid w:val="2F1D22CB"/>
    <w:multiLevelType w:val="hybridMultilevel"/>
    <w:tmpl w:val="4A98206A"/>
    <w:lvl w:ilvl="0" w:tplc="792C1682">
      <w:start w:val="1"/>
      <w:numFmt w:val="bullet"/>
      <w:lvlText w:val=""/>
      <w:lvlJc w:val="left"/>
      <w:pPr>
        <w:ind w:left="1429" w:hanging="360"/>
      </w:pPr>
      <w:rPr>
        <w:rFonts w:ascii="Symbol" w:hAnsi="Symbol" w:hint="default"/>
      </w:rPr>
    </w:lvl>
    <w:lvl w:ilvl="1" w:tplc="CF92A6EC" w:tentative="1">
      <w:start w:val="1"/>
      <w:numFmt w:val="bullet"/>
      <w:lvlText w:val="o"/>
      <w:lvlJc w:val="left"/>
      <w:pPr>
        <w:ind w:left="2149" w:hanging="360"/>
      </w:pPr>
      <w:rPr>
        <w:rFonts w:ascii="Courier New" w:hAnsi="Courier New" w:cs="Courier New" w:hint="default"/>
      </w:rPr>
    </w:lvl>
    <w:lvl w:ilvl="2" w:tplc="527481A0" w:tentative="1">
      <w:start w:val="1"/>
      <w:numFmt w:val="bullet"/>
      <w:lvlText w:val=""/>
      <w:lvlJc w:val="left"/>
      <w:pPr>
        <w:ind w:left="2869" w:hanging="360"/>
      </w:pPr>
      <w:rPr>
        <w:rFonts w:ascii="Wingdings" w:hAnsi="Wingdings" w:hint="default"/>
      </w:rPr>
    </w:lvl>
    <w:lvl w:ilvl="3" w:tplc="38240C0E" w:tentative="1">
      <w:start w:val="1"/>
      <w:numFmt w:val="bullet"/>
      <w:lvlText w:val=""/>
      <w:lvlJc w:val="left"/>
      <w:pPr>
        <w:ind w:left="3589" w:hanging="360"/>
      </w:pPr>
      <w:rPr>
        <w:rFonts w:ascii="Symbol" w:hAnsi="Symbol" w:hint="default"/>
      </w:rPr>
    </w:lvl>
    <w:lvl w:ilvl="4" w:tplc="E77AD7B2" w:tentative="1">
      <w:start w:val="1"/>
      <w:numFmt w:val="bullet"/>
      <w:lvlText w:val="o"/>
      <w:lvlJc w:val="left"/>
      <w:pPr>
        <w:ind w:left="4309" w:hanging="360"/>
      </w:pPr>
      <w:rPr>
        <w:rFonts w:ascii="Courier New" w:hAnsi="Courier New" w:cs="Courier New" w:hint="default"/>
      </w:rPr>
    </w:lvl>
    <w:lvl w:ilvl="5" w:tplc="4A948F9C" w:tentative="1">
      <w:start w:val="1"/>
      <w:numFmt w:val="bullet"/>
      <w:lvlText w:val=""/>
      <w:lvlJc w:val="left"/>
      <w:pPr>
        <w:ind w:left="5029" w:hanging="360"/>
      </w:pPr>
      <w:rPr>
        <w:rFonts w:ascii="Wingdings" w:hAnsi="Wingdings" w:hint="default"/>
      </w:rPr>
    </w:lvl>
    <w:lvl w:ilvl="6" w:tplc="D40C8E6A" w:tentative="1">
      <w:start w:val="1"/>
      <w:numFmt w:val="bullet"/>
      <w:lvlText w:val=""/>
      <w:lvlJc w:val="left"/>
      <w:pPr>
        <w:ind w:left="5749" w:hanging="360"/>
      </w:pPr>
      <w:rPr>
        <w:rFonts w:ascii="Symbol" w:hAnsi="Symbol" w:hint="default"/>
      </w:rPr>
    </w:lvl>
    <w:lvl w:ilvl="7" w:tplc="DFDC7C8A" w:tentative="1">
      <w:start w:val="1"/>
      <w:numFmt w:val="bullet"/>
      <w:lvlText w:val="o"/>
      <w:lvlJc w:val="left"/>
      <w:pPr>
        <w:ind w:left="6469" w:hanging="360"/>
      </w:pPr>
      <w:rPr>
        <w:rFonts w:ascii="Courier New" w:hAnsi="Courier New" w:cs="Courier New" w:hint="default"/>
      </w:rPr>
    </w:lvl>
    <w:lvl w:ilvl="8" w:tplc="45BCD0E8" w:tentative="1">
      <w:start w:val="1"/>
      <w:numFmt w:val="bullet"/>
      <w:lvlText w:val=""/>
      <w:lvlJc w:val="left"/>
      <w:pPr>
        <w:ind w:left="7189" w:hanging="360"/>
      </w:pPr>
      <w:rPr>
        <w:rFonts w:ascii="Wingdings" w:hAnsi="Wingdings" w:hint="default"/>
      </w:rPr>
    </w:lvl>
  </w:abstractNum>
  <w:abstractNum w:abstractNumId="1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20" w15:restartNumberingAfterBreak="0">
    <w:nsid w:val="3C2E6F2F"/>
    <w:multiLevelType w:val="hybridMultilevel"/>
    <w:tmpl w:val="634E3CE0"/>
    <w:lvl w:ilvl="0" w:tplc="04060001">
      <w:start w:val="1"/>
      <w:numFmt w:val="bullet"/>
      <w:lvlText w:val=""/>
      <w:lvlJc w:val="left"/>
      <w:pPr>
        <w:ind w:left="1464" w:hanging="360"/>
      </w:pPr>
      <w:rPr>
        <w:rFonts w:ascii="Symbol" w:hAnsi="Symbol" w:hint="default"/>
      </w:rPr>
    </w:lvl>
    <w:lvl w:ilvl="1" w:tplc="04060003" w:tentative="1">
      <w:start w:val="1"/>
      <w:numFmt w:val="bullet"/>
      <w:lvlText w:val="o"/>
      <w:lvlJc w:val="left"/>
      <w:pPr>
        <w:ind w:left="2184" w:hanging="360"/>
      </w:pPr>
      <w:rPr>
        <w:rFonts w:ascii="Courier New" w:hAnsi="Courier New" w:cs="Courier New" w:hint="default"/>
      </w:rPr>
    </w:lvl>
    <w:lvl w:ilvl="2" w:tplc="04060005" w:tentative="1">
      <w:start w:val="1"/>
      <w:numFmt w:val="bullet"/>
      <w:lvlText w:val=""/>
      <w:lvlJc w:val="left"/>
      <w:pPr>
        <w:ind w:left="2904" w:hanging="360"/>
      </w:pPr>
      <w:rPr>
        <w:rFonts w:ascii="Wingdings" w:hAnsi="Wingdings" w:hint="default"/>
      </w:rPr>
    </w:lvl>
    <w:lvl w:ilvl="3" w:tplc="04060001" w:tentative="1">
      <w:start w:val="1"/>
      <w:numFmt w:val="bullet"/>
      <w:lvlText w:val=""/>
      <w:lvlJc w:val="left"/>
      <w:pPr>
        <w:ind w:left="3624" w:hanging="360"/>
      </w:pPr>
      <w:rPr>
        <w:rFonts w:ascii="Symbol" w:hAnsi="Symbol" w:hint="default"/>
      </w:rPr>
    </w:lvl>
    <w:lvl w:ilvl="4" w:tplc="04060003" w:tentative="1">
      <w:start w:val="1"/>
      <w:numFmt w:val="bullet"/>
      <w:lvlText w:val="o"/>
      <w:lvlJc w:val="left"/>
      <w:pPr>
        <w:ind w:left="4344" w:hanging="360"/>
      </w:pPr>
      <w:rPr>
        <w:rFonts w:ascii="Courier New" w:hAnsi="Courier New" w:cs="Courier New" w:hint="default"/>
      </w:rPr>
    </w:lvl>
    <w:lvl w:ilvl="5" w:tplc="04060005" w:tentative="1">
      <w:start w:val="1"/>
      <w:numFmt w:val="bullet"/>
      <w:lvlText w:val=""/>
      <w:lvlJc w:val="left"/>
      <w:pPr>
        <w:ind w:left="5064" w:hanging="360"/>
      </w:pPr>
      <w:rPr>
        <w:rFonts w:ascii="Wingdings" w:hAnsi="Wingdings" w:hint="default"/>
      </w:rPr>
    </w:lvl>
    <w:lvl w:ilvl="6" w:tplc="04060001" w:tentative="1">
      <w:start w:val="1"/>
      <w:numFmt w:val="bullet"/>
      <w:lvlText w:val=""/>
      <w:lvlJc w:val="left"/>
      <w:pPr>
        <w:ind w:left="5784" w:hanging="360"/>
      </w:pPr>
      <w:rPr>
        <w:rFonts w:ascii="Symbol" w:hAnsi="Symbol" w:hint="default"/>
      </w:rPr>
    </w:lvl>
    <w:lvl w:ilvl="7" w:tplc="04060003" w:tentative="1">
      <w:start w:val="1"/>
      <w:numFmt w:val="bullet"/>
      <w:lvlText w:val="o"/>
      <w:lvlJc w:val="left"/>
      <w:pPr>
        <w:ind w:left="6504" w:hanging="360"/>
      </w:pPr>
      <w:rPr>
        <w:rFonts w:ascii="Courier New" w:hAnsi="Courier New" w:cs="Courier New" w:hint="default"/>
      </w:rPr>
    </w:lvl>
    <w:lvl w:ilvl="8" w:tplc="04060005" w:tentative="1">
      <w:start w:val="1"/>
      <w:numFmt w:val="bullet"/>
      <w:lvlText w:val=""/>
      <w:lvlJc w:val="left"/>
      <w:pPr>
        <w:ind w:left="7224" w:hanging="360"/>
      </w:pPr>
      <w:rPr>
        <w:rFonts w:ascii="Wingdings" w:hAnsi="Wingdings" w:hint="default"/>
      </w:rPr>
    </w:lvl>
  </w:abstractNum>
  <w:abstractNum w:abstractNumId="2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2" w15:restartNumberingAfterBreak="0">
    <w:nsid w:val="4352654D"/>
    <w:multiLevelType w:val="hybridMultilevel"/>
    <w:tmpl w:val="176035E2"/>
    <w:lvl w:ilvl="0" w:tplc="04060001">
      <w:start w:val="1"/>
      <w:numFmt w:val="bullet"/>
      <w:lvlText w:val=""/>
      <w:lvlJc w:val="left"/>
      <w:pPr>
        <w:ind w:left="744" w:hanging="360"/>
      </w:pPr>
      <w:rPr>
        <w:rFonts w:ascii="Symbol" w:hAnsi="Symbol" w:hint="default"/>
      </w:rPr>
    </w:lvl>
    <w:lvl w:ilvl="1" w:tplc="04060003" w:tentative="1">
      <w:start w:val="1"/>
      <w:numFmt w:val="bullet"/>
      <w:lvlText w:val="o"/>
      <w:lvlJc w:val="left"/>
      <w:pPr>
        <w:ind w:left="1464" w:hanging="360"/>
      </w:pPr>
      <w:rPr>
        <w:rFonts w:ascii="Courier New" w:hAnsi="Courier New" w:cs="Courier New" w:hint="default"/>
      </w:rPr>
    </w:lvl>
    <w:lvl w:ilvl="2" w:tplc="04060005" w:tentative="1">
      <w:start w:val="1"/>
      <w:numFmt w:val="bullet"/>
      <w:lvlText w:val=""/>
      <w:lvlJc w:val="left"/>
      <w:pPr>
        <w:ind w:left="2184" w:hanging="360"/>
      </w:pPr>
      <w:rPr>
        <w:rFonts w:ascii="Wingdings" w:hAnsi="Wingdings" w:hint="default"/>
      </w:rPr>
    </w:lvl>
    <w:lvl w:ilvl="3" w:tplc="04060001" w:tentative="1">
      <w:start w:val="1"/>
      <w:numFmt w:val="bullet"/>
      <w:lvlText w:val=""/>
      <w:lvlJc w:val="left"/>
      <w:pPr>
        <w:ind w:left="2904" w:hanging="360"/>
      </w:pPr>
      <w:rPr>
        <w:rFonts w:ascii="Symbol" w:hAnsi="Symbol" w:hint="default"/>
      </w:rPr>
    </w:lvl>
    <w:lvl w:ilvl="4" w:tplc="04060003" w:tentative="1">
      <w:start w:val="1"/>
      <w:numFmt w:val="bullet"/>
      <w:lvlText w:val="o"/>
      <w:lvlJc w:val="left"/>
      <w:pPr>
        <w:ind w:left="3624" w:hanging="360"/>
      </w:pPr>
      <w:rPr>
        <w:rFonts w:ascii="Courier New" w:hAnsi="Courier New" w:cs="Courier New" w:hint="default"/>
      </w:rPr>
    </w:lvl>
    <w:lvl w:ilvl="5" w:tplc="04060005" w:tentative="1">
      <w:start w:val="1"/>
      <w:numFmt w:val="bullet"/>
      <w:lvlText w:val=""/>
      <w:lvlJc w:val="left"/>
      <w:pPr>
        <w:ind w:left="4344" w:hanging="360"/>
      </w:pPr>
      <w:rPr>
        <w:rFonts w:ascii="Wingdings" w:hAnsi="Wingdings" w:hint="default"/>
      </w:rPr>
    </w:lvl>
    <w:lvl w:ilvl="6" w:tplc="04060001" w:tentative="1">
      <w:start w:val="1"/>
      <w:numFmt w:val="bullet"/>
      <w:lvlText w:val=""/>
      <w:lvlJc w:val="left"/>
      <w:pPr>
        <w:ind w:left="5064" w:hanging="360"/>
      </w:pPr>
      <w:rPr>
        <w:rFonts w:ascii="Symbol" w:hAnsi="Symbol" w:hint="default"/>
      </w:rPr>
    </w:lvl>
    <w:lvl w:ilvl="7" w:tplc="04060003" w:tentative="1">
      <w:start w:val="1"/>
      <w:numFmt w:val="bullet"/>
      <w:lvlText w:val="o"/>
      <w:lvlJc w:val="left"/>
      <w:pPr>
        <w:ind w:left="5784" w:hanging="360"/>
      </w:pPr>
      <w:rPr>
        <w:rFonts w:ascii="Courier New" w:hAnsi="Courier New" w:cs="Courier New" w:hint="default"/>
      </w:rPr>
    </w:lvl>
    <w:lvl w:ilvl="8" w:tplc="04060005" w:tentative="1">
      <w:start w:val="1"/>
      <w:numFmt w:val="bullet"/>
      <w:lvlText w:val=""/>
      <w:lvlJc w:val="left"/>
      <w:pPr>
        <w:ind w:left="6504" w:hanging="360"/>
      </w:pPr>
      <w:rPr>
        <w:rFonts w:ascii="Wingdings" w:hAnsi="Wingdings" w:hint="default"/>
      </w:rPr>
    </w:lvl>
  </w:abstractNum>
  <w:abstractNum w:abstractNumId="23" w15:restartNumberingAfterBreak="0">
    <w:nsid w:val="44AB18F6"/>
    <w:multiLevelType w:val="hybridMultilevel"/>
    <w:tmpl w:val="8AEAC692"/>
    <w:lvl w:ilvl="0" w:tplc="02B05AD2">
      <w:start w:val="1"/>
      <w:numFmt w:val="bullet"/>
      <w:lvlText w:val=""/>
      <w:lvlJc w:val="left"/>
      <w:pPr>
        <w:ind w:left="1165" w:hanging="360"/>
      </w:pPr>
      <w:rPr>
        <w:rFonts w:ascii="Symbol" w:hAnsi="Symbol" w:hint="default"/>
      </w:rPr>
    </w:lvl>
    <w:lvl w:ilvl="1" w:tplc="7C3C8218" w:tentative="1">
      <w:start w:val="1"/>
      <w:numFmt w:val="bullet"/>
      <w:lvlText w:val="o"/>
      <w:lvlJc w:val="left"/>
      <w:pPr>
        <w:ind w:left="1885" w:hanging="360"/>
      </w:pPr>
      <w:rPr>
        <w:rFonts w:ascii="Courier New" w:hAnsi="Courier New" w:cs="Courier New" w:hint="default"/>
      </w:rPr>
    </w:lvl>
    <w:lvl w:ilvl="2" w:tplc="5CEC59FE" w:tentative="1">
      <w:start w:val="1"/>
      <w:numFmt w:val="bullet"/>
      <w:lvlText w:val=""/>
      <w:lvlJc w:val="left"/>
      <w:pPr>
        <w:ind w:left="2605" w:hanging="360"/>
      </w:pPr>
      <w:rPr>
        <w:rFonts w:ascii="Wingdings" w:hAnsi="Wingdings" w:hint="default"/>
      </w:rPr>
    </w:lvl>
    <w:lvl w:ilvl="3" w:tplc="DE20EADE" w:tentative="1">
      <w:start w:val="1"/>
      <w:numFmt w:val="bullet"/>
      <w:lvlText w:val=""/>
      <w:lvlJc w:val="left"/>
      <w:pPr>
        <w:ind w:left="3325" w:hanging="360"/>
      </w:pPr>
      <w:rPr>
        <w:rFonts w:ascii="Symbol" w:hAnsi="Symbol" w:hint="default"/>
      </w:rPr>
    </w:lvl>
    <w:lvl w:ilvl="4" w:tplc="F574F4D6" w:tentative="1">
      <w:start w:val="1"/>
      <w:numFmt w:val="bullet"/>
      <w:lvlText w:val="o"/>
      <w:lvlJc w:val="left"/>
      <w:pPr>
        <w:ind w:left="4045" w:hanging="360"/>
      </w:pPr>
      <w:rPr>
        <w:rFonts w:ascii="Courier New" w:hAnsi="Courier New" w:cs="Courier New" w:hint="default"/>
      </w:rPr>
    </w:lvl>
    <w:lvl w:ilvl="5" w:tplc="7F847ECE" w:tentative="1">
      <w:start w:val="1"/>
      <w:numFmt w:val="bullet"/>
      <w:lvlText w:val=""/>
      <w:lvlJc w:val="left"/>
      <w:pPr>
        <w:ind w:left="4765" w:hanging="360"/>
      </w:pPr>
      <w:rPr>
        <w:rFonts w:ascii="Wingdings" w:hAnsi="Wingdings" w:hint="default"/>
      </w:rPr>
    </w:lvl>
    <w:lvl w:ilvl="6" w:tplc="13C273EA" w:tentative="1">
      <w:start w:val="1"/>
      <w:numFmt w:val="bullet"/>
      <w:lvlText w:val=""/>
      <w:lvlJc w:val="left"/>
      <w:pPr>
        <w:ind w:left="5485" w:hanging="360"/>
      </w:pPr>
      <w:rPr>
        <w:rFonts w:ascii="Symbol" w:hAnsi="Symbol" w:hint="default"/>
      </w:rPr>
    </w:lvl>
    <w:lvl w:ilvl="7" w:tplc="5DA282C6" w:tentative="1">
      <w:start w:val="1"/>
      <w:numFmt w:val="bullet"/>
      <w:lvlText w:val="o"/>
      <w:lvlJc w:val="left"/>
      <w:pPr>
        <w:ind w:left="6205" w:hanging="360"/>
      </w:pPr>
      <w:rPr>
        <w:rFonts w:ascii="Courier New" w:hAnsi="Courier New" w:cs="Courier New" w:hint="default"/>
      </w:rPr>
    </w:lvl>
    <w:lvl w:ilvl="8" w:tplc="791C8ECA" w:tentative="1">
      <w:start w:val="1"/>
      <w:numFmt w:val="bullet"/>
      <w:lvlText w:val=""/>
      <w:lvlJc w:val="left"/>
      <w:pPr>
        <w:ind w:left="6925" w:hanging="360"/>
      </w:pPr>
      <w:rPr>
        <w:rFonts w:ascii="Wingdings" w:hAnsi="Wingdings" w:hint="default"/>
      </w:rPr>
    </w:lvl>
  </w:abstractNum>
  <w:abstractNum w:abstractNumId="24" w15:restartNumberingAfterBreak="0">
    <w:nsid w:val="459D6869"/>
    <w:multiLevelType w:val="hybridMultilevel"/>
    <w:tmpl w:val="70ACCE7E"/>
    <w:lvl w:ilvl="0" w:tplc="04060001">
      <w:start w:val="1"/>
      <w:numFmt w:val="bullet"/>
      <w:lvlText w:val=""/>
      <w:lvlJc w:val="left"/>
      <w:pPr>
        <w:ind w:left="1464" w:hanging="360"/>
      </w:pPr>
      <w:rPr>
        <w:rFonts w:ascii="Symbol" w:hAnsi="Symbol" w:hint="default"/>
      </w:rPr>
    </w:lvl>
    <w:lvl w:ilvl="1" w:tplc="04060003" w:tentative="1">
      <w:start w:val="1"/>
      <w:numFmt w:val="bullet"/>
      <w:lvlText w:val="o"/>
      <w:lvlJc w:val="left"/>
      <w:pPr>
        <w:ind w:left="2184" w:hanging="360"/>
      </w:pPr>
      <w:rPr>
        <w:rFonts w:ascii="Courier New" w:hAnsi="Courier New" w:cs="Courier New" w:hint="default"/>
      </w:rPr>
    </w:lvl>
    <w:lvl w:ilvl="2" w:tplc="04060005" w:tentative="1">
      <w:start w:val="1"/>
      <w:numFmt w:val="bullet"/>
      <w:lvlText w:val=""/>
      <w:lvlJc w:val="left"/>
      <w:pPr>
        <w:ind w:left="2904" w:hanging="360"/>
      </w:pPr>
      <w:rPr>
        <w:rFonts w:ascii="Wingdings" w:hAnsi="Wingdings" w:hint="default"/>
      </w:rPr>
    </w:lvl>
    <w:lvl w:ilvl="3" w:tplc="04060001" w:tentative="1">
      <w:start w:val="1"/>
      <w:numFmt w:val="bullet"/>
      <w:lvlText w:val=""/>
      <w:lvlJc w:val="left"/>
      <w:pPr>
        <w:ind w:left="3624" w:hanging="360"/>
      </w:pPr>
      <w:rPr>
        <w:rFonts w:ascii="Symbol" w:hAnsi="Symbol" w:hint="default"/>
      </w:rPr>
    </w:lvl>
    <w:lvl w:ilvl="4" w:tplc="04060003" w:tentative="1">
      <w:start w:val="1"/>
      <w:numFmt w:val="bullet"/>
      <w:lvlText w:val="o"/>
      <w:lvlJc w:val="left"/>
      <w:pPr>
        <w:ind w:left="4344" w:hanging="360"/>
      </w:pPr>
      <w:rPr>
        <w:rFonts w:ascii="Courier New" w:hAnsi="Courier New" w:cs="Courier New" w:hint="default"/>
      </w:rPr>
    </w:lvl>
    <w:lvl w:ilvl="5" w:tplc="04060005" w:tentative="1">
      <w:start w:val="1"/>
      <w:numFmt w:val="bullet"/>
      <w:lvlText w:val=""/>
      <w:lvlJc w:val="left"/>
      <w:pPr>
        <w:ind w:left="5064" w:hanging="360"/>
      </w:pPr>
      <w:rPr>
        <w:rFonts w:ascii="Wingdings" w:hAnsi="Wingdings" w:hint="default"/>
      </w:rPr>
    </w:lvl>
    <w:lvl w:ilvl="6" w:tplc="04060001" w:tentative="1">
      <w:start w:val="1"/>
      <w:numFmt w:val="bullet"/>
      <w:lvlText w:val=""/>
      <w:lvlJc w:val="left"/>
      <w:pPr>
        <w:ind w:left="5784" w:hanging="360"/>
      </w:pPr>
      <w:rPr>
        <w:rFonts w:ascii="Symbol" w:hAnsi="Symbol" w:hint="default"/>
      </w:rPr>
    </w:lvl>
    <w:lvl w:ilvl="7" w:tplc="04060003" w:tentative="1">
      <w:start w:val="1"/>
      <w:numFmt w:val="bullet"/>
      <w:lvlText w:val="o"/>
      <w:lvlJc w:val="left"/>
      <w:pPr>
        <w:ind w:left="6504" w:hanging="360"/>
      </w:pPr>
      <w:rPr>
        <w:rFonts w:ascii="Courier New" w:hAnsi="Courier New" w:cs="Courier New" w:hint="default"/>
      </w:rPr>
    </w:lvl>
    <w:lvl w:ilvl="8" w:tplc="04060005" w:tentative="1">
      <w:start w:val="1"/>
      <w:numFmt w:val="bullet"/>
      <w:lvlText w:val=""/>
      <w:lvlJc w:val="left"/>
      <w:pPr>
        <w:ind w:left="7224" w:hanging="360"/>
      </w:pPr>
      <w:rPr>
        <w:rFonts w:ascii="Wingdings" w:hAnsi="Wingdings" w:hint="default"/>
      </w:rPr>
    </w:lvl>
  </w:abstractNum>
  <w:abstractNum w:abstractNumId="25" w15:restartNumberingAfterBreak="0">
    <w:nsid w:val="509C2E29"/>
    <w:multiLevelType w:val="hybridMultilevel"/>
    <w:tmpl w:val="2CDEAE26"/>
    <w:lvl w:ilvl="0" w:tplc="04060001">
      <w:start w:val="1"/>
      <w:numFmt w:val="bullet"/>
      <w:lvlText w:val=""/>
      <w:lvlJc w:val="left"/>
      <w:pPr>
        <w:ind w:left="744" w:hanging="360"/>
      </w:pPr>
      <w:rPr>
        <w:rFonts w:ascii="Symbol" w:hAnsi="Symbol" w:hint="default"/>
      </w:rPr>
    </w:lvl>
    <w:lvl w:ilvl="1" w:tplc="04060003" w:tentative="1">
      <w:start w:val="1"/>
      <w:numFmt w:val="bullet"/>
      <w:lvlText w:val="o"/>
      <w:lvlJc w:val="left"/>
      <w:pPr>
        <w:ind w:left="1464" w:hanging="360"/>
      </w:pPr>
      <w:rPr>
        <w:rFonts w:ascii="Courier New" w:hAnsi="Courier New" w:cs="Courier New" w:hint="default"/>
      </w:rPr>
    </w:lvl>
    <w:lvl w:ilvl="2" w:tplc="04060005" w:tentative="1">
      <w:start w:val="1"/>
      <w:numFmt w:val="bullet"/>
      <w:lvlText w:val=""/>
      <w:lvlJc w:val="left"/>
      <w:pPr>
        <w:ind w:left="2184" w:hanging="360"/>
      </w:pPr>
      <w:rPr>
        <w:rFonts w:ascii="Wingdings" w:hAnsi="Wingdings" w:hint="default"/>
      </w:rPr>
    </w:lvl>
    <w:lvl w:ilvl="3" w:tplc="04060001" w:tentative="1">
      <w:start w:val="1"/>
      <w:numFmt w:val="bullet"/>
      <w:lvlText w:val=""/>
      <w:lvlJc w:val="left"/>
      <w:pPr>
        <w:ind w:left="2904" w:hanging="360"/>
      </w:pPr>
      <w:rPr>
        <w:rFonts w:ascii="Symbol" w:hAnsi="Symbol" w:hint="default"/>
      </w:rPr>
    </w:lvl>
    <w:lvl w:ilvl="4" w:tplc="04060003" w:tentative="1">
      <w:start w:val="1"/>
      <w:numFmt w:val="bullet"/>
      <w:lvlText w:val="o"/>
      <w:lvlJc w:val="left"/>
      <w:pPr>
        <w:ind w:left="3624" w:hanging="360"/>
      </w:pPr>
      <w:rPr>
        <w:rFonts w:ascii="Courier New" w:hAnsi="Courier New" w:cs="Courier New" w:hint="default"/>
      </w:rPr>
    </w:lvl>
    <w:lvl w:ilvl="5" w:tplc="04060005" w:tentative="1">
      <w:start w:val="1"/>
      <w:numFmt w:val="bullet"/>
      <w:lvlText w:val=""/>
      <w:lvlJc w:val="left"/>
      <w:pPr>
        <w:ind w:left="4344" w:hanging="360"/>
      </w:pPr>
      <w:rPr>
        <w:rFonts w:ascii="Wingdings" w:hAnsi="Wingdings" w:hint="default"/>
      </w:rPr>
    </w:lvl>
    <w:lvl w:ilvl="6" w:tplc="04060001" w:tentative="1">
      <w:start w:val="1"/>
      <w:numFmt w:val="bullet"/>
      <w:lvlText w:val=""/>
      <w:lvlJc w:val="left"/>
      <w:pPr>
        <w:ind w:left="5064" w:hanging="360"/>
      </w:pPr>
      <w:rPr>
        <w:rFonts w:ascii="Symbol" w:hAnsi="Symbol" w:hint="default"/>
      </w:rPr>
    </w:lvl>
    <w:lvl w:ilvl="7" w:tplc="04060003" w:tentative="1">
      <w:start w:val="1"/>
      <w:numFmt w:val="bullet"/>
      <w:lvlText w:val="o"/>
      <w:lvlJc w:val="left"/>
      <w:pPr>
        <w:ind w:left="5784" w:hanging="360"/>
      </w:pPr>
      <w:rPr>
        <w:rFonts w:ascii="Courier New" w:hAnsi="Courier New" w:cs="Courier New" w:hint="default"/>
      </w:rPr>
    </w:lvl>
    <w:lvl w:ilvl="8" w:tplc="04060005" w:tentative="1">
      <w:start w:val="1"/>
      <w:numFmt w:val="bullet"/>
      <w:lvlText w:val=""/>
      <w:lvlJc w:val="left"/>
      <w:pPr>
        <w:ind w:left="6504" w:hanging="360"/>
      </w:pPr>
      <w:rPr>
        <w:rFonts w:ascii="Wingdings" w:hAnsi="Wingdings" w:hint="default"/>
      </w:rPr>
    </w:lvl>
  </w:abstractNum>
  <w:abstractNum w:abstractNumId="26" w15:restartNumberingAfterBreak="0">
    <w:nsid w:val="51D9388C"/>
    <w:multiLevelType w:val="hybridMultilevel"/>
    <w:tmpl w:val="43A20B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89A4B4E"/>
    <w:multiLevelType w:val="hybridMultilevel"/>
    <w:tmpl w:val="97EA695C"/>
    <w:lvl w:ilvl="0" w:tplc="0B541B5E">
      <w:start w:val="1"/>
      <w:numFmt w:val="bullet"/>
      <w:lvlText w:val=""/>
      <w:lvlJc w:val="left"/>
      <w:pPr>
        <w:ind w:left="1260" w:hanging="360"/>
      </w:pPr>
      <w:rPr>
        <w:rFonts w:ascii="Symbol" w:hAnsi="Symbol" w:hint="default"/>
      </w:rPr>
    </w:lvl>
    <w:lvl w:ilvl="1" w:tplc="36B88660" w:tentative="1">
      <w:start w:val="1"/>
      <w:numFmt w:val="bullet"/>
      <w:lvlText w:val="o"/>
      <w:lvlJc w:val="left"/>
      <w:pPr>
        <w:ind w:left="1980" w:hanging="360"/>
      </w:pPr>
      <w:rPr>
        <w:rFonts w:ascii="Courier New" w:hAnsi="Courier New" w:cs="Courier New" w:hint="default"/>
      </w:rPr>
    </w:lvl>
    <w:lvl w:ilvl="2" w:tplc="84D4224E" w:tentative="1">
      <w:start w:val="1"/>
      <w:numFmt w:val="bullet"/>
      <w:lvlText w:val=""/>
      <w:lvlJc w:val="left"/>
      <w:pPr>
        <w:ind w:left="2700" w:hanging="360"/>
      </w:pPr>
      <w:rPr>
        <w:rFonts w:ascii="Wingdings" w:hAnsi="Wingdings" w:hint="default"/>
      </w:rPr>
    </w:lvl>
    <w:lvl w:ilvl="3" w:tplc="8DA451AE" w:tentative="1">
      <w:start w:val="1"/>
      <w:numFmt w:val="bullet"/>
      <w:lvlText w:val=""/>
      <w:lvlJc w:val="left"/>
      <w:pPr>
        <w:ind w:left="3420" w:hanging="360"/>
      </w:pPr>
      <w:rPr>
        <w:rFonts w:ascii="Symbol" w:hAnsi="Symbol" w:hint="default"/>
      </w:rPr>
    </w:lvl>
    <w:lvl w:ilvl="4" w:tplc="E080132C" w:tentative="1">
      <w:start w:val="1"/>
      <w:numFmt w:val="bullet"/>
      <w:lvlText w:val="o"/>
      <w:lvlJc w:val="left"/>
      <w:pPr>
        <w:ind w:left="4140" w:hanging="360"/>
      </w:pPr>
      <w:rPr>
        <w:rFonts w:ascii="Courier New" w:hAnsi="Courier New" w:cs="Courier New" w:hint="default"/>
      </w:rPr>
    </w:lvl>
    <w:lvl w:ilvl="5" w:tplc="C602D26C" w:tentative="1">
      <w:start w:val="1"/>
      <w:numFmt w:val="bullet"/>
      <w:lvlText w:val=""/>
      <w:lvlJc w:val="left"/>
      <w:pPr>
        <w:ind w:left="4860" w:hanging="360"/>
      </w:pPr>
      <w:rPr>
        <w:rFonts w:ascii="Wingdings" w:hAnsi="Wingdings" w:hint="default"/>
      </w:rPr>
    </w:lvl>
    <w:lvl w:ilvl="6" w:tplc="1BA00C24" w:tentative="1">
      <w:start w:val="1"/>
      <w:numFmt w:val="bullet"/>
      <w:lvlText w:val=""/>
      <w:lvlJc w:val="left"/>
      <w:pPr>
        <w:ind w:left="5580" w:hanging="360"/>
      </w:pPr>
      <w:rPr>
        <w:rFonts w:ascii="Symbol" w:hAnsi="Symbol" w:hint="default"/>
      </w:rPr>
    </w:lvl>
    <w:lvl w:ilvl="7" w:tplc="21785276" w:tentative="1">
      <w:start w:val="1"/>
      <w:numFmt w:val="bullet"/>
      <w:lvlText w:val="o"/>
      <w:lvlJc w:val="left"/>
      <w:pPr>
        <w:ind w:left="6300" w:hanging="360"/>
      </w:pPr>
      <w:rPr>
        <w:rFonts w:ascii="Courier New" w:hAnsi="Courier New" w:cs="Courier New" w:hint="default"/>
      </w:rPr>
    </w:lvl>
    <w:lvl w:ilvl="8" w:tplc="FB56DB1E" w:tentative="1">
      <w:start w:val="1"/>
      <w:numFmt w:val="bullet"/>
      <w:lvlText w:val=""/>
      <w:lvlJc w:val="left"/>
      <w:pPr>
        <w:ind w:left="7020" w:hanging="360"/>
      </w:pPr>
      <w:rPr>
        <w:rFonts w:ascii="Wingdings" w:hAnsi="Wingdings" w:hint="default"/>
      </w:rPr>
    </w:lvl>
  </w:abstractNum>
  <w:abstractNum w:abstractNumId="29" w15:restartNumberingAfterBreak="0">
    <w:nsid w:val="5C961DF6"/>
    <w:multiLevelType w:val="hybridMultilevel"/>
    <w:tmpl w:val="1D9A0E1A"/>
    <w:lvl w:ilvl="0" w:tplc="5510C5A6">
      <w:start w:val="1"/>
      <w:numFmt w:val="bullet"/>
      <w:lvlText w:val=""/>
      <w:lvlJc w:val="left"/>
      <w:pPr>
        <w:ind w:left="1063" w:hanging="360"/>
      </w:pPr>
      <w:rPr>
        <w:rFonts w:ascii="Symbol" w:hAnsi="Symbol" w:hint="default"/>
      </w:rPr>
    </w:lvl>
    <w:lvl w:ilvl="1" w:tplc="F0EE75A2" w:tentative="1">
      <w:start w:val="1"/>
      <w:numFmt w:val="bullet"/>
      <w:lvlText w:val="o"/>
      <w:lvlJc w:val="left"/>
      <w:pPr>
        <w:ind w:left="1783" w:hanging="360"/>
      </w:pPr>
      <w:rPr>
        <w:rFonts w:ascii="Courier New" w:hAnsi="Courier New" w:hint="default"/>
      </w:rPr>
    </w:lvl>
    <w:lvl w:ilvl="2" w:tplc="241A63A0" w:tentative="1">
      <w:start w:val="1"/>
      <w:numFmt w:val="bullet"/>
      <w:lvlText w:val=""/>
      <w:lvlJc w:val="left"/>
      <w:pPr>
        <w:ind w:left="2503" w:hanging="360"/>
      </w:pPr>
      <w:rPr>
        <w:rFonts w:ascii="Wingdings" w:hAnsi="Wingdings" w:hint="default"/>
      </w:rPr>
    </w:lvl>
    <w:lvl w:ilvl="3" w:tplc="4662A46A" w:tentative="1">
      <w:start w:val="1"/>
      <w:numFmt w:val="bullet"/>
      <w:lvlText w:val=""/>
      <w:lvlJc w:val="left"/>
      <w:pPr>
        <w:ind w:left="3223" w:hanging="360"/>
      </w:pPr>
      <w:rPr>
        <w:rFonts w:ascii="Symbol" w:hAnsi="Symbol" w:hint="default"/>
      </w:rPr>
    </w:lvl>
    <w:lvl w:ilvl="4" w:tplc="0EA407F4" w:tentative="1">
      <w:start w:val="1"/>
      <w:numFmt w:val="bullet"/>
      <w:lvlText w:val="o"/>
      <w:lvlJc w:val="left"/>
      <w:pPr>
        <w:ind w:left="3943" w:hanging="360"/>
      </w:pPr>
      <w:rPr>
        <w:rFonts w:ascii="Courier New" w:hAnsi="Courier New" w:hint="default"/>
      </w:rPr>
    </w:lvl>
    <w:lvl w:ilvl="5" w:tplc="71C862FA" w:tentative="1">
      <w:start w:val="1"/>
      <w:numFmt w:val="bullet"/>
      <w:lvlText w:val=""/>
      <w:lvlJc w:val="left"/>
      <w:pPr>
        <w:ind w:left="4663" w:hanging="360"/>
      </w:pPr>
      <w:rPr>
        <w:rFonts w:ascii="Wingdings" w:hAnsi="Wingdings" w:hint="default"/>
      </w:rPr>
    </w:lvl>
    <w:lvl w:ilvl="6" w:tplc="7A9C2856" w:tentative="1">
      <w:start w:val="1"/>
      <w:numFmt w:val="bullet"/>
      <w:lvlText w:val=""/>
      <w:lvlJc w:val="left"/>
      <w:pPr>
        <w:ind w:left="5383" w:hanging="360"/>
      </w:pPr>
      <w:rPr>
        <w:rFonts w:ascii="Symbol" w:hAnsi="Symbol" w:hint="default"/>
      </w:rPr>
    </w:lvl>
    <w:lvl w:ilvl="7" w:tplc="EDE40564" w:tentative="1">
      <w:start w:val="1"/>
      <w:numFmt w:val="bullet"/>
      <w:lvlText w:val="o"/>
      <w:lvlJc w:val="left"/>
      <w:pPr>
        <w:ind w:left="6103" w:hanging="360"/>
      </w:pPr>
      <w:rPr>
        <w:rFonts w:ascii="Courier New" w:hAnsi="Courier New" w:hint="default"/>
      </w:rPr>
    </w:lvl>
    <w:lvl w:ilvl="8" w:tplc="4A46C786" w:tentative="1">
      <w:start w:val="1"/>
      <w:numFmt w:val="bullet"/>
      <w:lvlText w:val=""/>
      <w:lvlJc w:val="left"/>
      <w:pPr>
        <w:ind w:left="6823" w:hanging="360"/>
      </w:pPr>
      <w:rPr>
        <w:rFonts w:ascii="Wingdings" w:hAnsi="Wingdings" w:hint="default"/>
      </w:rPr>
    </w:lvl>
  </w:abstractNum>
  <w:abstractNum w:abstractNumId="30" w15:restartNumberingAfterBreak="0">
    <w:nsid w:val="5C97480E"/>
    <w:multiLevelType w:val="hybridMultilevel"/>
    <w:tmpl w:val="C1440A70"/>
    <w:lvl w:ilvl="0" w:tplc="11CE4B3E">
      <w:start w:val="1"/>
      <w:numFmt w:val="bullet"/>
      <w:lvlText w:val=""/>
      <w:lvlJc w:val="left"/>
      <w:pPr>
        <w:ind w:left="1205" w:hanging="360"/>
      </w:pPr>
      <w:rPr>
        <w:rFonts w:ascii="Symbol" w:hAnsi="Symbol" w:hint="default"/>
      </w:rPr>
    </w:lvl>
    <w:lvl w:ilvl="1" w:tplc="194E2FFC" w:tentative="1">
      <w:start w:val="1"/>
      <w:numFmt w:val="bullet"/>
      <w:lvlText w:val="o"/>
      <w:lvlJc w:val="left"/>
      <w:pPr>
        <w:ind w:left="1925" w:hanging="360"/>
      </w:pPr>
      <w:rPr>
        <w:rFonts w:ascii="Courier New" w:hAnsi="Courier New" w:hint="default"/>
      </w:rPr>
    </w:lvl>
    <w:lvl w:ilvl="2" w:tplc="61742E46" w:tentative="1">
      <w:start w:val="1"/>
      <w:numFmt w:val="bullet"/>
      <w:lvlText w:val=""/>
      <w:lvlJc w:val="left"/>
      <w:pPr>
        <w:ind w:left="2645" w:hanging="360"/>
      </w:pPr>
      <w:rPr>
        <w:rFonts w:ascii="Wingdings" w:hAnsi="Wingdings" w:hint="default"/>
      </w:rPr>
    </w:lvl>
    <w:lvl w:ilvl="3" w:tplc="BA865762" w:tentative="1">
      <w:start w:val="1"/>
      <w:numFmt w:val="bullet"/>
      <w:lvlText w:val=""/>
      <w:lvlJc w:val="left"/>
      <w:pPr>
        <w:ind w:left="3365" w:hanging="360"/>
      </w:pPr>
      <w:rPr>
        <w:rFonts w:ascii="Symbol" w:hAnsi="Symbol" w:hint="default"/>
      </w:rPr>
    </w:lvl>
    <w:lvl w:ilvl="4" w:tplc="E738E644" w:tentative="1">
      <w:start w:val="1"/>
      <w:numFmt w:val="bullet"/>
      <w:lvlText w:val="o"/>
      <w:lvlJc w:val="left"/>
      <w:pPr>
        <w:ind w:left="4085" w:hanging="360"/>
      </w:pPr>
      <w:rPr>
        <w:rFonts w:ascii="Courier New" w:hAnsi="Courier New" w:hint="default"/>
      </w:rPr>
    </w:lvl>
    <w:lvl w:ilvl="5" w:tplc="6BA86316" w:tentative="1">
      <w:start w:val="1"/>
      <w:numFmt w:val="bullet"/>
      <w:lvlText w:val=""/>
      <w:lvlJc w:val="left"/>
      <w:pPr>
        <w:ind w:left="4805" w:hanging="360"/>
      </w:pPr>
      <w:rPr>
        <w:rFonts w:ascii="Wingdings" w:hAnsi="Wingdings" w:hint="default"/>
      </w:rPr>
    </w:lvl>
    <w:lvl w:ilvl="6" w:tplc="A3AC8C52" w:tentative="1">
      <w:start w:val="1"/>
      <w:numFmt w:val="bullet"/>
      <w:lvlText w:val=""/>
      <w:lvlJc w:val="left"/>
      <w:pPr>
        <w:ind w:left="5525" w:hanging="360"/>
      </w:pPr>
      <w:rPr>
        <w:rFonts w:ascii="Symbol" w:hAnsi="Symbol" w:hint="default"/>
      </w:rPr>
    </w:lvl>
    <w:lvl w:ilvl="7" w:tplc="C0F038D8" w:tentative="1">
      <w:start w:val="1"/>
      <w:numFmt w:val="bullet"/>
      <w:lvlText w:val="o"/>
      <w:lvlJc w:val="left"/>
      <w:pPr>
        <w:ind w:left="6245" w:hanging="360"/>
      </w:pPr>
      <w:rPr>
        <w:rFonts w:ascii="Courier New" w:hAnsi="Courier New" w:hint="default"/>
      </w:rPr>
    </w:lvl>
    <w:lvl w:ilvl="8" w:tplc="3A6A782A" w:tentative="1">
      <w:start w:val="1"/>
      <w:numFmt w:val="bullet"/>
      <w:lvlText w:val=""/>
      <w:lvlJc w:val="left"/>
      <w:pPr>
        <w:ind w:left="6965" w:hanging="360"/>
      </w:pPr>
      <w:rPr>
        <w:rFonts w:ascii="Wingdings" w:hAnsi="Wingdings" w:hint="default"/>
      </w:rPr>
    </w:lvl>
  </w:abstractNum>
  <w:abstractNum w:abstractNumId="31" w15:restartNumberingAfterBreak="0">
    <w:nsid w:val="5CD7610E"/>
    <w:multiLevelType w:val="hybridMultilevel"/>
    <w:tmpl w:val="5C4653C6"/>
    <w:lvl w:ilvl="0" w:tplc="04060001">
      <w:start w:val="1"/>
      <w:numFmt w:val="bullet"/>
      <w:lvlText w:val=""/>
      <w:lvlJc w:val="left"/>
      <w:pPr>
        <w:ind w:left="744" w:hanging="360"/>
      </w:pPr>
      <w:rPr>
        <w:rFonts w:ascii="Symbol" w:hAnsi="Symbol" w:hint="default"/>
      </w:rPr>
    </w:lvl>
    <w:lvl w:ilvl="1" w:tplc="04060003" w:tentative="1">
      <w:start w:val="1"/>
      <w:numFmt w:val="bullet"/>
      <w:lvlText w:val="o"/>
      <w:lvlJc w:val="left"/>
      <w:pPr>
        <w:ind w:left="1464" w:hanging="360"/>
      </w:pPr>
      <w:rPr>
        <w:rFonts w:ascii="Courier New" w:hAnsi="Courier New" w:cs="Courier New" w:hint="default"/>
      </w:rPr>
    </w:lvl>
    <w:lvl w:ilvl="2" w:tplc="04060005" w:tentative="1">
      <w:start w:val="1"/>
      <w:numFmt w:val="bullet"/>
      <w:lvlText w:val=""/>
      <w:lvlJc w:val="left"/>
      <w:pPr>
        <w:ind w:left="2184" w:hanging="360"/>
      </w:pPr>
      <w:rPr>
        <w:rFonts w:ascii="Wingdings" w:hAnsi="Wingdings" w:hint="default"/>
      </w:rPr>
    </w:lvl>
    <w:lvl w:ilvl="3" w:tplc="04060001" w:tentative="1">
      <w:start w:val="1"/>
      <w:numFmt w:val="bullet"/>
      <w:lvlText w:val=""/>
      <w:lvlJc w:val="left"/>
      <w:pPr>
        <w:ind w:left="2904" w:hanging="360"/>
      </w:pPr>
      <w:rPr>
        <w:rFonts w:ascii="Symbol" w:hAnsi="Symbol" w:hint="default"/>
      </w:rPr>
    </w:lvl>
    <w:lvl w:ilvl="4" w:tplc="04060003" w:tentative="1">
      <w:start w:val="1"/>
      <w:numFmt w:val="bullet"/>
      <w:lvlText w:val="o"/>
      <w:lvlJc w:val="left"/>
      <w:pPr>
        <w:ind w:left="3624" w:hanging="360"/>
      </w:pPr>
      <w:rPr>
        <w:rFonts w:ascii="Courier New" w:hAnsi="Courier New" w:cs="Courier New" w:hint="default"/>
      </w:rPr>
    </w:lvl>
    <w:lvl w:ilvl="5" w:tplc="04060005" w:tentative="1">
      <w:start w:val="1"/>
      <w:numFmt w:val="bullet"/>
      <w:lvlText w:val=""/>
      <w:lvlJc w:val="left"/>
      <w:pPr>
        <w:ind w:left="4344" w:hanging="360"/>
      </w:pPr>
      <w:rPr>
        <w:rFonts w:ascii="Wingdings" w:hAnsi="Wingdings" w:hint="default"/>
      </w:rPr>
    </w:lvl>
    <w:lvl w:ilvl="6" w:tplc="04060001" w:tentative="1">
      <w:start w:val="1"/>
      <w:numFmt w:val="bullet"/>
      <w:lvlText w:val=""/>
      <w:lvlJc w:val="left"/>
      <w:pPr>
        <w:ind w:left="5064" w:hanging="360"/>
      </w:pPr>
      <w:rPr>
        <w:rFonts w:ascii="Symbol" w:hAnsi="Symbol" w:hint="default"/>
      </w:rPr>
    </w:lvl>
    <w:lvl w:ilvl="7" w:tplc="04060003" w:tentative="1">
      <w:start w:val="1"/>
      <w:numFmt w:val="bullet"/>
      <w:lvlText w:val="o"/>
      <w:lvlJc w:val="left"/>
      <w:pPr>
        <w:ind w:left="5784" w:hanging="360"/>
      </w:pPr>
      <w:rPr>
        <w:rFonts w:ascii="Courier New" w:hAnsi="Courier New" w:cs="Courier New" w:hint="default"/>
      </w:rPr>
    </w:lvl>
    <w:lvl w:ilvl="8" w:tplc="04060005" w:tentative="1">
      <w:start w:val="1"/>
      <w:numFmt w:val="bullet"/>
      <w:lvlText w:val=""/>
      <w:lvlJc w:val="left"/>
      <w:pPr>
        <w:ind w:left="6504" w:hanging="360"/>
      </w:pPr>
      <w:rPr>
        <w:rFonts w:ascii="Wingdings" w:hAnsi="Wingdings" w:hint="default"/>
      </w:rPr>
    </w:lvl>
  </w:abstractNum>
  <w:abstractNum w:abstractNumId="32" w15:restartNumberingAfterBreak="0">
    <w:nsid w:val="64803C9C"/>
    <w:multiLevelType w:val="hybridMultilevel"/>
    <w:tmpl w:val="D27A25B8"/>
    <w:lvl w:ilvl="0" w:tplc="04060001">
      <w:start w:val="1"/>
      <w:numFmt w:val="bullet"/>
      <w:lvlText w:val=""/>
      <w:lvlJc w:val="left"/>
      <w:pPr>
        <w:ind w:left="744" w:hanging="360"/>
      </w:pPr>
      <w:rPr>
        <w:rFonts w:ascii="Symbol" w:hAnsi="Symbol" w:hint="default"/>
      </w:rPr>
    </w:lvl>
    <w:lvl w:ilvl="1" w:tplc="04060003" w:tentative="1">
      <w:start w:val="1"/>
      <w:numFmt w:val="bullet"/>
      <w:lvlText w:val="o"/>
      <w:lvlJc w:val="left"/>
      <w:pPr>
        <w:ind w:left="1464" w:hanging="360"/>
      </w:pPr>
      <w:rPr>
        <w:rFonts w:ascii="Courier New" w:hAnsi="Courier New" w:cs="Courier New" w:hint="default"/>
      </w:rPr>
    </w:lvl>
    <w:lvl w:ilvl="2" w:tplc="04060005" w:tentative="1">
      <w:start w:val="1"/>
      <w:numFmt w:val="bullet"/>
      <w:lvlText w:val=""/>
      <w:lvlJc w:val="left"/>
      <w:pPr>
        <w:ind w:left="2184" w:hanging="360"/>
      </w:pPr>
      <w:rPr>
        <w:rFonts w:ascii="Wingdings" w:hAnsi="Wingdings" w:hint="default"/>
      </w:rPr>
    </w:lvl>
    <w:lvl w:ilvl="3" w:tplc="04060001" w:tentative="1">
      <w:start w:val="1"/>
      <w:numFmt w:val="bullet"/>
      <w:lvlText w:val=""/>
      <w:lvlJc w:val="left"/>
      <w:pPr>
        <w:ind w:left="2904" w:hanging="360"/>
      </w:pPr>
      <w:rPr>
        <w:rFonts w:ascii="Symbol" w:hAnsi="Symbol" w:hint="default"/>
      </w:rPr>
    </w:lvl>
    <w:lvl w:ilvl="4" w:tplc="04060003" w:tentative="1">
      <w:start w:val="1"/>
      <w:numFmt w:val="bullet"/>
      <w:lvlText w:val="o"/>
      <w:lvlJc w:val="left"/>
      <w:pPr>
        <w:ind w:left="3624" w:hanging="360"/>
      </w:pPr>
      <w:rPr>
        <w:rFonts w:ascii="Courier New" w:hAnsi="Courier New" w:cs="Courier New" w:hint="default"/>
      </w:rPr>
    </w:lvl>
    <w:lvl w:ilvl="5" w:tplc="04060005" w:tentative="1">
      <w:start w:val="1"/>
      <w:numFmt w:val="bullet"/>
      <w:lvlText w:val=""/>
      <w:lvlJc w:val="left"/>
      <w:pPr>
        <w:ind w:left="4344" w:hanging="360"/>
      </w:pPr>
      <w:rPr>
        <w:rFonts w:ascii="Wingdings" w:hAnsi="Wingdings" w:hint="default"/>
      </w:rPr>
    </w:lvl>
    <w:lvl w:ilvl="6" w:tplc="04060001" w:tentative="1">
      <w:start w:val="1"/>
      <w:numFmt w:val="bullet"/>
      <w:lvlText w:val=""/>
      <w:lvlJc w:val="left"/>
      <w:pPr>
        <w:ind w:left="5064" w:hanging="360"/>
      </w:pPr>
      <w:rPr>
        <w:rFonts w:ascii="Symbol" w:hAnsi="Symbol" w:hint="default"/>
      </w:rPr>
    </w:lvl>
    <w:lvl w:ilvl="7" w:tplc="04060003" w:tentative="1">
      <w:start w:val="1"/>
      <w:numFmt w:val="bullet"/>
      <w:lvlText w:val="o"/>
      <w:lvlJc w:val="left"/>
      <w:pPr>
        <w:ind w:left="5784" w:hanging="360"/>
      </w:pPr>
      <w:rPr>
        <w:rFonts w:ascii="Courier New" w:hAnsi="Courier New" w:cs="Courier New" w:hint="default"/>
      </w:rPr>
    </w:lvl>
    <w:lvl w:ilvl="8" w:tplc="04060005" w:tentative="1">
      <w:start w:val="1"/>
      <w:numFmt w:val="bullet"/>
      <w:lvlText w:val=""/>
      <w:lvlJc w:val="left"/>
      <w:pPr>
        <w:ind w:left="6504" w:hanging="360"/>
      </w:pPr>
      <w:rPr>
        <w:rFonts w:ascii="Wingdings" w:hAnsi="Wingdings" w:hint="default"/>
      </w:rPr>
    </w:lvl>
  </w:abstractNum>
  <w:abstractNum w:abstractNumId="33" w15:restartNumberingAfterBreak="0">
    <w:nsid w:val="654B4D08"/>
    <w:multiLevelType w:val="hybridMultilevel"/>
    <w:tmpl w:val="034E41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28951A7"/>
    <w:multiLevelType w:val="hybridMultilevel"/>
    <w:tmpl w:val="8D8E12E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5" w15:restartNumberingAfterBreak="0">
    <w:nsid w:val="75377ECA"/>
    <w:multiLevelType w:val="hybridMultilevel"/>
    <w:tmpl w:val="C53078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A0F515B"/>
    <w:multiLevelType w:val="hybridMultilevel"/>
    <w:tmpl w:val="AFB658D2"/>
    <w:lvl w:ilvl="0" w:tplc="FCD2B6A6">
      <w:start w:val="1"/>
      <w:numFmt w:val="bullet"/>
      <w:lvlText w:val=""/>
      <w:lvlJc w:val="left"/>
      <w:pPr>
        <w:ind w:left="1489" w:hanging="360"/>
      </w:pPr>
      <w:rPr>
        <w:rFonts w:ascii="Symbol" w:hAnsi="Symbol" w:hint="default"/>
      </w:rPr>
    </w:lvl>
    <w:lvl w:ilvl="1" w:tplc="91F00E5E" w:tentative="1">
      <w:start w:val="1"/>
      <w:numFmt w:val="bullet"/>
      <w:lvlText w:val="o"/>
      <w:lvlJc w:val="left"/>
      <w:pPr>
        <w:ind w:left="2209" w:hanging="360"/>
      </w:pPr>
      <w:rPr>
        <w:rFonts w:ascii="Courier New" w:hAnsi="Courier New" w:hint="default"/>
      </w:rPr>
    </w:lvl>
    <w:lvl w:ilvl="2" w:tplc="A190AD58" w:tentative="1">
      <w:start w:val="1"/>
      <w:numFmt w:val="bullet"/>
      <w:lvlText w:val=""/>
      <w:lvlJc w:val="left"/>
      <w:pPr>
        <w:ind w:left="2929" w:hanging="360"/>
      </w:pPr>
      <w:rPr>
        <w:rFonts w:ascii="Wingdings" w:hAnsi="Wingdings" w:hint="default"/>
      </w:rPr>
    </w:lvl>
    <w:lvl w:ilvl="3" w:tplc="BA1A067C" w:tentative="1">
      <w:start w:val="1"/>
      <w:numFmt w:val="bullet"/>
      <w:lvlText w:val=""/>
      <w:lvlJc w:val="left"/>
      <w:pPr>
        <w:ind w:left="3649" w:hanging="360"/>
      </w:pPr>
      <w:rPr>
        <w:rFonts w:ascii="Symbol" w:hAnsi="Symbol" w:hint="default"/>
      </w:rPr>
    </w:lvl>
    <w:lvl w:ilvl="4" w:tplc="03BA67AE" w:tentative="1">
      <w:start w:val="1"/>
      <w:numFmt w:val="bullet"/>
      <w:lvlText w:val="o"/>
      <w:lvlJc w:val="left"/>
      <w:pPr>
        <w:ind w:left="4369" w:hanging="360"/>
      </w:pPr>
      <w:rPr>
        <w:rFonts w:ascii="Courier New" w:hAnsi="Courier New" w:hint="default"/>
      </w:rPr>
    </w:lvl>
    <w:lvl w:ilvl="5" w:tplc="DD907004" w:tentative="1">
      <w:start w:val="1"/>
      <w:numFmt w:val="bullet"/>
      <w:lvlText w:val=""/>
      <w:lvlJc w:val="left"/>
      <w:pPr>
        <w:ind w:left="5089" w:hanging="360"/>
      </w:pPr>
      <w:rPr>
        <w:rFonts w:ascii="Wingdings" w:hAnsi="Wingdings" w:hint="default"/>
      </w:rPr>
    </w:lvl>
    <w:lvl w:ilvl="6" w:tplc="B6C2E50E" w:tentative="1">
      <w:start w:val="1"/>
      <w:numFmt w:val="bullet"/>
      <w:lvlText w:val=""/>
      <w:lvlJc w:val="left"/>
      <w:pPr>
        <w:ind w:left="5809" w:hanging="360"/>
      </w:pPr>
      <w:rPr>
        <w:rFonts w:ascii="Symbol" w:hAnsi="Symbol" w:hint="default"/>
      </w:rPr>
    </w:lvl>
    <w:lvl w:ilvl="7" w:tplc="10C6F302" w:tentative="1">
      <w:start w:val="1"/>
      <w:numFmt w:val="bullet"/>
      <w:lvlText w:val="o"/>
      <w:lvlJc w:val="left"/>
      <w:pPr>
        <w:ind w:left="6529" w:hanging="360"/>
      </w:pPr>
      <w:rPr>
        <w:rFonts w:ascii="Courier New" w:hAnsi="Courier New" w:hint="default"/>
      </w:rPr>
    </w:lvl>
    <w:lvl w:ilvl="8" w:tplc="5C0EDF44" w:tentative="1">
      <w:start w:val="1"/>
      <w:numFmt w:val="bullet"/>
      <w:lvlText w:val=""/>
      <w:lvlJc w:val="left"/>
      <w:pPr>
        <w:ind w:left="7249" w:hanging="360"/>
      </w:pPr>
      <w:rPr>
        <w:rFonts w:ascii="Wingdings" w:hAnsi="Wingdings" w:hint="default"/>
      </w:r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1"/>
  </w:num>
  <w:num w:numId="9">
    <w:abstractNumId w:val="36"/>
  </w:num>
  <w:num w:numId="10">
    <w:abstractNumId w:val="4"/>
  </w:num>
  <w:num w:numId="11">
    <w:abstractNumId w:val="30"/>
  </w:num>
  <w:num w:numId="12">
    <w:abstractNumId w:val="16"/>
  </w:num>
  <w:num w:numId="13">
    <w:abstractNumId w:val="9"/>
  </w:num>
  <w:num w:numId="14">
    <w:abstractNumId w:val="29"/>
  </w:num>
  <w:num w:numId="15">
    <w:abstractNumId w:val="23"/>
  </w:num>
  <w:num w:numId="16">
    <w:abstractNumId w:val="17"/>
  </w:num>
  <w:num w:numId="17">
    <w:abstractNumId w:val="28"/>
  </w:num>
  <w:num w:numId="18">
    <w:abstractNumId w:val="35"/>
  </w:num>
  <w:num w:numId="19">
    <w:abstractNumId w:val="6"/>
  </w:num>
  <w:num w:numId="20">
    <w:abstractNumId w:val="31"/>
  </w:num>
  <w:num w:numId="21">
    <w:abstractNumId w:val="14"/>
  </w:num>
  <w:num w:numId="22">
    <w:abstractNumId w:val="25"/>
  </w:num>
  <w:num w:numId="23">
    <w:abstractNumId w:val="26"/>
  </w:num>
  <w:num w:numId="24">
    <w:abstractNumId w:val="22"/>
  </w:num>
  <w:num w:numId="25">
    <w:abstractNumId w:val="2"/>
  </w:num>
  <w:num w:numId="26">
    <w:abstractNumId w:val="5"/>
  </w:num>
  <w:num w:numId="27">
    <w:abstractNumId w:val="10"/>
  </w:num>
  <w:num w:numId="28">
    <w:abstractNumId w:val="33"/>
  </w:num>
  <w:num w:numId="29">
    <w:abstractNumId w:val="32"/>
  </w:num>
  <w:num w:numId="30">
    <w:abstractNumId w:val="15"/>
  </w:num>
  <w:num w:numId="31">
    <w:abstractNumId w:val="20"/>
  </w:num>
  <w:num w:numId="32">
    <w:abstractNumId w:val="24"/>
  </w:num>
  <w:num w:numId="33">
    <w:abstractNumId w:val="12"/>
  </w:num>
  <w:num w:numId="34">
    <w:abstractNumId w:val="3"/>
  </w:num>
  <w:num w:numId="35">
    <w:abstractNumId w:val="11"/>
  </w:num>
  <w:num w:numId="36">
    <w:abstractNumId w:val="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85"/>
    <w:rsid w:val="000259B9"/>
    <w:rsid w:val="0003744D"/>
    <w:rsid w:val="00041491"/>
    <w:rsid w:val="00050D16"/>
    <w:rsid w:val="00074F2A"/>
    <w:rsid w:val="000A1CA8"/>
    <w:rsid w:val="000A466B"/>
    <w:rsid w:val="000B058C"/>
    <w:rsid w:val="000C10D1"/>
    <w:rsid w:val="000C2A6E"/>
    <w:rsid w:val="000E4EE6"/>
    <w:rsid w:val="001029D4"/>
    <w:rsid w:val="0014041D"/>
    <w:rsid w:val="001454E2"/>
    <w:rsid w:val="0018576B"/>
    <w:rsid w:val="00206CE8"/>
    <w:rsid w:val="0021526C"/>
    <w:rsid w:val="002458FE"/>
    <w:rsid w:val="002710AB"/>
    <w:rsid w:val="00281385"/>
    <w:rsid w:val="00283A2B"/>
    <w:rsid w:val="002A78AF"/>
    <w:rsid w:val="002B30AD"/>
    <w:rsid w:val="002C2C01"/>
    <w:rsid w:val="00323814"/>
    <w:rsid w:val="0032431D"/>
    <w:rsid w:val="00347D37"/>
    <w:rsid w:val="003564D8"/>
    <w:rsid w:val="00385045"/>
    <w:rsid w:val="003A29AE"/>
    <w:rsid w:val="003A32D7"/>
    <w:rsid w:val="003B4074"/>
    <w:rsid w:val="003C769A"/>
    <w:rsid w:val="003D410F"/>
    <w:rsid w:val="003F1838"/>
    <w:rsid w:val="00423200"/>
    <w:rsid w:val="00424151"/>
    <w:rsid w:val="00442E15"/>
    <w:rsid w:val="0045746C"/>
    <w:rsid w:val="0049104B"/>
    <w:rsid w:val="004C6F26"/>
    <w:rsid w:val="004E3B12"/>
    <w:rsid w:val="00532310"/>
    <w:rsid w:val="00565F0F"/>
    <w:rsid w:val="00594A86"/>
    <w:rsid w:val="00596D86"/>
    <w:rsid w:val="00637F5A"/>
    <w:rsid w:val="00646B96"/>
    <w:rsid w:val="00654BA3"/>
    <w:rsid w:val="006560B1"/>
    <w:rsid w:val="006756DD"/>
    <w:rsid w:val="0067760F"/>
    <w:rsid w:val="006C150E"/>
    <w:rsid w:val="00703163"/>
    <w:rsid w:val="00737275"/>
    <w:rsid w:val="00740EEC"/>
    <w:rsid w:val="00757C57"/>
    <w:rsid w:val="00773191"/>
    <w:rsid w:val="0078011A"/>
    <w:rsid w:val="00782AF4"/>
    <w:rsid w:val="00790EE7"/>
    <w:rsid w:val="007A68A6"/>
    <w:rsid w:val="007B6649"/>
    <w:rsid w:val="007E2823"/>
    <w:rsid w:val="00801A18"/>
    <w:rsid w:val="0082576E"/>
    <w:rsid w:val="008720D1"/>
    <w:rsid w:val="00876CA2"/>
    <w:rsid w:val="00877988"/>
    <w:rsid w:val="008C00AA"/>
    <w:rsid w:val="008D28B0"/>
    <w:rsid w:val="008D31EA"/>
    <w:rsid w:val="00907F75"/>
    <w:rsid w:val="00913C7E"/>
    <w:rsid w:val="009260DE"/>
    <w:rsid w:val="0093258A"/>
    <w:rsid w:val="009337D6"/>
    <w:rsid w:val="009638C2"/>
    <w:rsid w:val="009725A6"/>
    <w:rsid w:val="009C7BA3"/>
    <w:rsid w:val="009D1F5A"/>
    <w:rsid w:val="00A02D86"/>
    <w:rsid w:val="00A077C7"/>
    <w:rsid w:val="00A9379E"/>
    <w:rsid w:val="00AC4D97"/>
    <w:rsid w:val="00B003BF"/>
    <w:rsid w:val="00B373D7"/>
    <w:rsid w:val="00B420F0"/>
    <w:rsid w:val="00BE66D6"/>
    <w:rsid w:val="00BF577A"/>
    <w:rsid w:val="00C1166F"/>
    <w:rsid w:val="00C36276"/>
    <w:rsid w:val="00C42586"/>
    <w:rsid w:val="00C60CCD"/>
    <w:rsid w:val="00C60EA7"/>
    <w:rsid w:val="00C84483"/>
    <w:rsid w:val="00C95551"/>
    <w:rsid w:val="00CA319D"/>
    <w:rsid w:val="00CB20D7"/>
    <w:rsid w:val="00CF3683"/>
    <w:rsid w:val="00D020B0"/>
    <w:rsid w:val="00D11748"/>
    <w:rsid w:val="00D147C2"/>
    <w:rsid w:val="00D366CF"/>
    <w:rsid w:val="00E108AA"/>
    <w:rsid w:val="00E3749A"/>
    <w:rsid w:val="00E7437F"/>
    <w:rsid w:val="00E865B8"/>
    <w:rsid w:val="00EA2473"/>
    <w:rsid w:val="00EA3C83"/>
    <w:rsid w:val="00EC0B9B"/>
    <w:rsid w:val="00ED5E9F"/>
    <w:rsid w:val="00EE6636"/>
    <w:rsid w:val="00F669B6"/>
    <w:rsid w:val="00F66D4F"/>
    <w:rsid w:val="00FA3328"/>
    <w:rsid w:val="00FB6D01"/>
    <w:rsid w:val="00FF2B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67CCD"/>
  <w15:chartTrackingRefBased/>
  <w15:docId w15:val="{FEE61DBA-C92A-49A4-9ED5-B45E4B8D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uiPriority w:val="1"/>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9638C2"/>
    <w:pPr>
      <w:widowControl w:val="0"/>
      <w:autoSpaceDE w:val="0"/>
      <w:autoSpaceDN w:val="0"/>
      <w:adjustRightInd w:val="0"/>
      <w:ind w:left="837"/>
    </w:pPr>
    <w:rPr>
      <w:sz w:val="22"/>
      <w:szCs w:val="22"/>
      <w:lang w:eastAsia="en-GB"/>
    </w:rPr>
  </w:style>
  <w:style w:type="character" w:customStyle="1" w:styleId="BrdtekstTegn">
    <w:name w:val="Brødtekst Tegn"/>
    <w:basedOn w:val="Standardskrifttypeiafsnit"/>
    <w:link w:val="Brdtekst"/>
    <w:uiPriority w:val="1"/>
    <w:rsid w:val="009638C2"/>
    <w:rPr>
      <w:sz w:val="22"/>
      <w:szCs w:val="22"/>
      <w:lang w:eastAsia="en-GB"/>
    </w:rPr>
  </w:style>
  <w:style w:type="paragraph" w:styleId="FormateretHTML">
    <w:name w:val="HTML Preformatted"/>
    <w:basedOn w:val="Normal"/>
    <w:link w:val="FormateretHTMLTegn"/>
    <w:uiPriority w:val="99"/>
    <w:unhideWhenUsed/>
    <w:rsid w:val="00963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GB"/>
    </w:rPr>
  </w:style>
  <w:style w:type="character" w:customStyle="1" w:styleId="FormateretHTMLTegn">
    <w:name w:val="Formateret HTML Tegn"/>
    <w:basedOn w:val="Standardskrifttypeiafsnit"/>
    <w:link w:val="FormateretHTML"/>
    <w:uiPriority w:val="99"/>
    <w:rsid w:val="009638C2"/>
    <w:rPr>
      <w:rFonts w:ascii="Courier New" w:hAnsi="Courier New" w:cs="Courier New"/>
      <w:lang w:eastAsia="en-GB"/>
    </w:rPr>
  </w:style>
  <w:style w:type="character" w:customStyle="1" w:styleId="Overskrift3Tegn">
    <w:name w:val="Overskrift 3 Tegn"/>
    <w:link w:val="Overskrift3"/>
    <w:uiPriority w:val="1"/>
    <w:locked/>
    <w:rsid w:val="009638C2"/>
    <w:rPr>
      <w:rFonts w:ascii="Arial" w:hAnsi="Arial"/>
      <w:sz w:val="24"/>
      <w:lang w:eastAsia="en-US"/>
    </w:rPr>
  </w:style>
  <w:style w:type="paragraph" w:styleId="Listeafsnit">
    <w:name w:val="List Paragraph"/>
    <w:basedOn w:val="Normal"/>
    <w:uiPriority w:val="34"/>
    <w:qFormat/>
    <w:rsid w:val="00773191"/>
    <w:pPr>
      <w:widowControl w:val="0"/>
      <w:autoSpaceDE w:val="0"/>
      <w:autoSpaceDN w:val="0"/>
      <w:adjustRightInd w:val="0"/>
    </w:pPr>
    <w:rPr>
      <w:sz w:val="24"/>
      <w:szCs w:val="24"/>
      <w:lang w:eastAsia="en-GB"/>
    </w:rPr>
  </w:style>
  <w:style w:type="paragraph" w:customStyle="1" w:styleId="TableParagraph">
    <w:name w:val="Table Paragraph"/>
    <w:basedOn w:val="Normal"/>
    <w:uiPriority w:val="1"/>
    <w:qFormat/>
    <w:rsid w:val="00773191"/>
    <w:pPr>
      <w:widowControl w:val="0"/>
      <w:autoSpaceDE w:val="0"/>
      <w:autoSpaceDN w:val="0"/>
      <w:adjustRightInd w:val="0"/>
    </w:pPr>
    <w:rPr>
      <w:sz w:val="24"/>
      <w:szCs w:val="24"/>
      <w:lang w:eastAsia="en-GB"/>
    </w:rPr>
  </w:style>
  <w:style w:type="table" w:styleId="Tabel-Gitter">
    <w:name w:val="Table Grid"/>
    <w:basedOn w:val="Tabel-Normal"/>
    <w:uiPriority w:val="59"/>
    <w:rsid w:val="00140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232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2</TotalTime>
  <Pages>17</Pages>
  <Words>5097</Words>
  <Characters>32202</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2022120924_x000d_
Sletning af repræsentanten Unimedic Pharma AB_x000d_
</dc:description>
  <cp:lastModifiedBy>Marianne Ott Jensen</cp:lastModifiedBy>
  <cp:revision>3</cp:revision>
  <cp:lastPrinted>2012-08-22T08:53:00Z</cp:lastPrinted>
  <dcterms:created xsi:type="dcterms:W3CDTF">2022-12-19T13:40:00Z</dcterms:created>
  <dcterms:modified xsi:type="dcterms:W3CDTF">2022-12-19T13:41:00Z</dcterms:modified>
</cp:coreProperties>
</file>