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C1EC6"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90569F9" w14:textId="77777777" w:rsidR="009260DE" w:rsidRPr="00C84483" w:rsidRDefault="009260DE" w:rsidP="009260DE">
      <w:pPr>
        <w:pStyle w:val="Titel"/>
        <w:tabs>
          <w:tab w:val="right" w:pos="9356"/>
        </w:tabs>
        <w:jc w:val="left"/>
        <w:rPr>
          <w:b w:val="0"/>
          <w:szCs w:val="24"/>
          <w:lang w:eastAsia="en-US"/>
        </w:rPr>
      </w:pPr>
    </w:p>
    <w:p w14:paraId="4FBF3957" w14:textId="72D150A6"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98738F">
        <w:rPr>
          <w:szCs w:val="24"/>
        </w:rPr>
        <w:t>29. september 2026</w:t>
      </w:r>
    </w:p>
    <w:p w14:paraId="7607AE2C" w14:textId="77777777" w:rsidR="009260DE" w:rsidRPr="00C84483" w:rsidRDefault="009260DE" w:rsidP="009260DE">
      <w:pPr>
        <w:pStyle w:val="Titel"/>
        <w:tabs>
          <w:tab w:val="left" w:pos="8222"/>
        </w:tabs>
        <w:jc w:val="left"/>
        <w:rPr>
          <w:b w:val="0"/>
          <w:szCs w:val="24"/>
        </w:rPr>
      </w:pPr>
    </w:p>
    <w:p w14:paraId="1FB1B995" w14:textId="77777777" w:rsidR="009260DE" w:rsidRPr="00C84483" w:rsidRDefault="009260DE" w:rsidP="009260DE">
      <w:pPr>
        <w:pStyle w:val="Titel"/>
        <w:jc w:val="left"/>
        <w:rPr>
          <w:b w:val="0"/>
          <w:szCs w:val="24"/>
        </w:rPr>
      </w:pPr>
    </w:p>
    <w:p w14:paraId="00295CAE" w14:textId="77777777" w:rsidR="009260DE" w:rsidRPr="00C84483" w:rsidRDefault="009260DE" w:rsidP="009260DE">
      <w:pPr>
        <w:pStyle w:val="Titel"/>
        <w:jc w:val="left"/>
        <w:rPr>
          <w:b w:val="0"/>
          <w:szCs w:val="24"/>
        </w:rPr>
      </w:pPr>
    </w:p>
    <w:p w14:paraId="4DD520A1" w14:textId="77777777" w:rsidR="009260DE" w:rsidRPr="00C84483" w:rsidRDefault="009260DE" w:rsidP="009260DE">
      <w:pPr>
        <w:jc w:val="center"/>
        <w:rPr>
          <w:b/>
          <w:sz w:val="24"/>
          <w:szCs w:val="24"/>
        </w:rPr>
      </w:pPr>
      <w:r w:rsidRPr="00C84483">
        <w:rPr>
          <w:b/>
          <w:sz w:val="24"/>
          <w:szCs w:val="24"/>
        </w:rPr>
        <w:t>PRODUKTRESUMÉ</w:t>
      </w:r>
    </w:p>
    <w:p w14:paraId="04519AC8" w14:textId="77777777" w:rsidR="009260DE" w:rsidRPr="00C84483" w:rsidRDefault="009260DE" w:rsidP="009260DE">
      <w:pPr>
        <w:jc w:val="center"/>
        <w:rPr>
          <w:b/>
          <w:sz w:val="24"/>
          <w:szCs w:val="24"/>
        </w:rPr>
      </w:pPr>
    </w:p>
    <w:p w14:paraId="49ABA7CC" w14:textId="77777777" w:rsidR="009260DE" w:rsidRDefault="009260DE" w:rsidP="009260DE">
      <w:pPr>
        <w:jc w:val="center"/>
        <w:rPr>
          <w:b/>
          <w:sz w:val="24"/>
          <w:szCs w:val="24"/>
        </w:rPr>
      </w:pPr>
      <w:r w:rsidRPr="00C84483">
        <w:rPr>
          <w:b/>
          <w:sz w:val="24"/>
          <w:szCs w:val="24"/>
        </w:rPr>
        <w:t>for</w:t>
      </w:r>
    </w:p>
    <w:p w14:paraId="59511F57" w14:textId="77777777" w:rsidR="000B058C" w:rsidRPr="00C84483" w:rsidRDefault="000B058C" w:rsidP="009260DE">
      <w:pPr>
        <w:jc w:val="center"/>
        <w:rPr>
          <w:b/>
          <w:sz w:val="24"/>
          <w:szCs w:val="24"/>
        </w:rPr>
      </w:pPr>
    </w:p>
    <w:p w14:paraId="182C2B78" w14:textId="6B3F1447" w:rsidR="009260DE" w:rsidRPr="00C84483" w:rsidRDefault="00111BCB" w:rsidP="009260DE">
      <w:pPr>
        <w:jc w:val="center"/>
        <w:rPr>
          <w:b/>
          <w:sz w:val="24"/>
          <w:szCs w:val="24"/>
        </w:rPr>
      </w:pPr>
      <w:r>
        <w:rPr>
          <w:b/>
          <w:sz w:val="24"/>
          <w:szCs w:val="24"/>
        </w:rPr>
        <w:t>Epistatus, mundhulevæske, opløsning 10 mg/ml</w:t>
      </w:r>
    </w:p>
    <w:p w14:paraId="718C4C6B" w14:textId="77777777" w:rsidR="009260DE" w:rsidRPr="00C84483" w:rsidRDefault="009260DE" w:rsidP="009260DE">
      <w:pPr>
        <w:jc w:val="both"/>
        <w:rPr>
          <w:sz w:val="24"/>
          <w:szCs w:val="24"/>
        </w:rPr>
      </w:pPr>
    </w:p>
    <w:p w14:paraId="2E5C9D0F" w14:textId="77777777" w:rsidR="009260DE" w:rsidRPr="00C84483" w:rsidRDefault="009260DE" w:rsidP="009260DE">
      <w:pPr>
        <w:jc w:val="both"/>
        <w:rPr>
          <w:sz w:val="24"/>
          <w:szCs w:val="24"/>
        </w:rPr>
      </w:pPr>
    </w:p>
    <w:p w14:paraId="3202096A"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132FED7E" w14:textId="6987E5BB" w:rsidR="009260DE" w:rsidRPr="00C84483" w:rsidRDefault="00111BCB" w:rsidP="009260DE">
      <w:pPr>
        <w:tabs>
          <w:tab w:val="left" w:pos="851"/>
        </w:tabs>
        <w:ind w:left="851"/>
        <w:rPr>
          <w:sz w:val="24"/>
          <w:szCs w:val="24"/>
        </w:rPr>
      </w:pPr>
      <w:r>
        <w:rPr>
          <w:sz w:val="24"/>
          <w:szCs w:val="24"/>
        </w:rPr>
        <w:t>31348</w:t>
      </w:r>
    </w:p>
    <w:p w14:paraId="30B6C747" w14:textId="77777777" w:rsidR="009260DE" w:rsidRPr="00C84483" w:rsidRDefault="009260DE" w:rsidP="009260DE">
      <w:pPr>
        <w:tabs>
          <w:tab w:val="left" w:pos="851"/>
        </w:tabs>
        <w:ind w:left="851"/>
        <w:rPr>
          <w:sz w:val="24"/>
          <w:szCs w:val="24"/>
        </w:rPr>
      </w:pPr>
    </w:p>
    <w:p w14:paraId="6F07B3B9"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1586C49C" w14:textId="62F59E78" w:rsidR="009260DE" w:rsidRPr="00C84483" w:rsidRDefault="00111BCB" w:rsidP="009260DE">
      <w:pPr>
        <w:tabs>
          <w:tab w:val="left" w:pos="851"/>
        </w:tabs>
        <w:ind w:left="851"/>
        <w:rPr>
          <w:sz w:val="24"/>
          <w:szCs w:val="24"/>
        </w:rPr>
      </w:pPr>
      <w:r>
        <w:rPr>
          <w:sz w:val="24"/>
          <w:szCs w:val="24"/>
        </w:rPr>
        <w:t>Epistatus</w:t>
      </w:r>
    </w:p>
    <w:p w14:paraId="6E3146A6" w14:textId="77777777" w:rsidR="009260DE" w:rsidRPr="00C84483" w:rsidRDefault="009260DE" w:rsidP="009260DE">
      <w:pPr>
        <w:tabs>
          <w:tab w:val="left" w:pos="851"/>
        </w:tabs>
        <w:ind w:left="851"/>
        <w:rPr>
          <w:sz w:val="24"/>
          <w:szCs w:val="24"/>
        </w:rPr>
      </w:pPr>
    </w:p>
    <w:p w14:paraId="73702E0F"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A7D5637" w14:textId="77777777" w:rsidR="00814CA3" w:rsidRPr="00814CA3" w:rsidRDefault="00814CA3" w:rsidP="00814CA3">
      <w:pPr>
        <w:tabs>
          <w:tab w:val="left" w:pos="851"/>
        </w:tabs>
        <w:ind w:left="851"/>
        <w:rPr>
          <w:sz w:val="24"/>
          <w:szCs w:val="24"/>
        </w:rPr>
      </w:pPr>
      <w:r w:rsidRPr="00814CA3">
        <w:rPr>
          <w:sz w:val="24"/>
          <w:szCs w:val="24"/>
        </w:rPr>
        <w:t>Hver ml mundhulevæske, opløsning indeholder midazolammaleat svarende til 10 mg midazolam.</w:t>
      </w:r>
    </w:p>
    <w:p w14:paraId="256134B4" w14:textId="77777777" w:rsidR="00814CA3" w:rsidRPr="00814CA3" w:rsidRDefault="00814CA3" w:rsidP="00814CA3">
      <w:pPr>
        <w:tabs>
          <w:tab w:val="left" w:pos="851"/>
        </w:tabs>
        <w:ind w:left="851"/>
        <w:rPr>
          <w:sz w:val="24"/>
          <w:szCs w:val="24"/>
        </w:rPr>
      </w:pPr>
    </w:p>
    <w:p w14:paraId="1D2FA420" w14:textId="24D385A1" w:rsidR="00814CA3" w:rsidRPr="00814CA3" w:rsidRDefault="00814CA3" w:rsidP="00814CA3">
      <w:pPr>
        <w:tabs>
          <w:tab w:val="left" w:pos="851"/>
        </w:tabs>
        <w:ind w:left="851"/>
        <w:rPr>
          <w:sz w:val="24"/>
          <w:szCs w:val="24"/>
        </w:rPr>
      </w:pPr>
      <w:r w:rsidRPr="00814CA3">
        <w:rPr>
          <w:sz w:val="24"/>
          <w:szCs w:val="24"/>
          <w:u w:val="single"/>
        </w:rPr>
        <w:t>Hjælpestoffer, som behandleren skal være opmærksom på</w:t>
      </w:r>
      <w:r w:rsidRPr="00814CA3">
        <w:rPr>
          <w:sz w:val="24"/>
          <w:szCs w:val="24"/>
        </w:rPr>
        <w:br/>
        <w:t>Hver ml mundhulevæske, opløsning indeholder 197 mg ethanol og 675 mg flydende maltitol.</w:t>
      </w:r>
    </w:p>
    <w:p w14:paraId="47B82515" w14:textId="77777777" w:rsidR="00814CA3" w:rsidRPr="00814CA3" w:rsidRDefault="00814CA3" w:rsidP="00814CA3">
      <w:pPr>
        <w:tabs>
          <w:tab w:val="left" w:pos="851"/>
        </w:tabs>
        <w:ind w:left="851"/>
        <w:rPr>
          <w:sz w:val="24"/>
          <w:szCs w:val="24"/>
        </w:rPr>
      </w:pPr>
      <w:r w:rsidRPr="00814CA3">
        <w:rPr>
          <w:sz w:val="24"/>
          <w:szCs w:val="24"/>
        </w:rPr>
        <w:br/>
        <w:t>Alle hjælpestoffer er anført under pkt. 6.1.</w:t>
      </w:r>
    </w:p>
    <w:p w14:paraId="7AE2D01A" w14:textId="77777777" w:rsidR="009260DE" w:rsidRPr="00C84483" w:rsidRDefault="009260DE" w:rsidP="009260DE">
      <w:pPr>
        <w:tabs>
          <w:tab w:val="left" w:pos="851"/>
        </w:tabs>
        <w:ind w:left="851"/>
        <w:rPr>
          <w:sz w:val="24"/>
          <w:szCs w:val="24"/>
        </w:rPr>
      </w:pPr>
    </w:p>
    <w:p w14:paraId="6A565FFE"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E0C14A9" w14:textId="5E4B421B" w:rsidR="00814CA3" w:rsidRDefault="00814CA3" w:rsidP="00814CA3">
      <w:pPr>
        <w:tabs>
          <w:tab w:val="left" w:pos="851"/>
        </w:tabs>
        <w:ind w:left="851"/>
        <w:rPr>
          <w:sz w:val="24"/>
          <w:szCs w:val="24"/>
        </w:rPr>
      </w:pPr>
      <w:r w:rsidRPr="00814CA3">
        <w:rPr>
          <w:sz w:val="24"/>
          <w:szCs w:val="24"/>
        </w:rPr>
        <w:t>Mundhulevæske, opløsning</w:t>
      </w:r>
    </w:p>
    <w:p w14:paraId="49E3CBCB" w14:textId="77777777" w:rsidR="00814CA3" w:rsidRPr="00814CA3" w:rsidRDefault="00814CA3" w:rsidP="00814CA3">
      <w:pPr>
        <w:tabs>
          <w:tab w:val="left" w:pos="851"/>
        </w:tabs>
        <w:ind w:left="851"/>
        <w:rPr>
          <w:sz w:val="24"/>
          <w:szCs w:val="24"/>
        </w:rPr>
      </w:pPr>
    </w:p>
    <w:p w14:paraId="00815823" w14:textId="77777777" w:rsidR="00814CA3" w:rsidRPr="00814CA3" w:rsidRDefault="00814CA3" w:rsidP="00814CA3">
      <w:pPr>
        <w:tabs>
          <w:tab w:val="left" w:pos="851"/>
        </w:tabs>
        <w:ind w:left="851"/>
        <w:rPr>
          <w:sz w:val="24"/>
          <w:szCs w:val="24"/>
        </w:rPr>
      </w:pPr>
      <w:r w:rsidRPr="00814CA3">
        <w:rPr>
          <w:sz w:val="24"/>
          <w:szCs w:val="24"/>
        </w:rPr>
        <w:t>Let viskøs, klar, farveløs til svagt gul opløsning, praktisk taget fri for synlige partikler.</w:t>
      </w:r>
    </w:p>
    <w:p w14:paraId="7D1EE7CA" w14:textId="77777777" w:rsidR="00814CA3" w:rsidRPr="00814CA3" w:rsidRDefault="00814CA3" w:rsidP="00814CA3">
      <w:pPr>
        <w:tabs>
          <w:tab w:val="left" w:pos="851"/>
        </w:tabs>
        <w:ind w:left="851"/>
        <w:rPr>
          <w:sz w:val="24"/>
          <w:szCs w:val="24"/>
        </w:rPr>
      </w:pPr>
      <w:r w:rsidRPr="00814CA3">
        <w:rPr>
          <w:sz w:val="24"/>
          <w:szCs w:val="24"/>
        </w:rPr>
        <w:t>pH 4,8</w:t>
      </w:r>
      <w:r w:rsidRPr="00814CA3">
        <w:rPr>
          <w:sz w:val="24"/>
          <w:szCs w:val="24"/>
        </w:rPr>
        <w:noBreakHyphen/>
        <w:t>5,6</w:t>
      </w:r>
    </w:p>
    <w:p w14:paraId="2FF4AF8D" w14:textId="77777777" w:rsidR="009260DE" w:rsidRPr="00C84483" w:rsidRDefault="009260DE" w:rsidP="009260DE">
      <w:pPr>
        <w:tabs>
          <w:tab w:val="left" w:pos="851"/>
        </w:tabs>
        <w:ind w:left="851"/>
        <w:rPr>
          <w:sz w:val="24"/>
          <w:szCs w:val="24"/>
        </w:rPr>
      </w:pPr>
    </w:p>
    <w:p w14:paraId="58FF8106" w14:textId="77777777" w:rsidR="009260DE" w:rsidRPr="00C84483" w:rsidRDefault="009260DE" w:rsidP="009260DE">
      <w:pPr>
        <w:tabs>
          <w:tab w:val="left" w:pos="851"/>
        </w:tabs>
        <w:ind w:left="851"/>
        <w:rPr>
          <w:sz w:val="24"/>
          <w:szCs w:val="24"/>
        </w:rPr>
      </w:pPr>
    </w:p>
    <w:p w14:paraId="5D05A3FC"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3C70EE76" w14:textId="77777777" w:rsidR="009260DE" w:rsidRPr="00C84483" w:rsidRDefault="009260DE" w:rsidP="009260DE">
      <w:pPr>
        <w:tabs>
          <w:tab w:val="left" w:pos="851"/>
        </w:tabs>
        <w:ind w:left="851"/>
        <w:rPr>
          <w:b/>
          <w:sz w:val="24"/>
          <w:szCs w:val="24"/>
        </w:rPr>
      </w:pPr>
    </w:p>
    <w:p w14:paraId="5378FEA1"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55CF4DB" w14:textId="77777777" w:rsidR="00814CA3" w:rsidRPr="00814CA3" w:rsidRDefault="00814CA3" w:rsidP="00814CA3">
      <w:pPr>
        <w:tabs>
          <w:tab w:val="left" w:pos="851"/>
        </w:tabs>
        <w:ind w:left="851"/>
        <w:rPr>
          <w:sz w:val="24"/>
          <w:szCs w:val="24"/>
        </w:rPr>
      </w:pPr>
      <w:r w:rsidRPr="00814CA3">
        <w:rPr>
          <w:sz w:val="24"/>
          <w:szCs w:val="24"/>
        </w:rPr>
        <w:t>Epistatus er indiceret til behandling af langvarige, akutte, konvulsive anfald hos spædbørn, småbørn, børn og unge i alderen fra 3 måneder til under 18 år.</w:t>
      </w:r>
    </w:p>
    <w:p w14:paraId="6A2A541E" w14:textId="77777777" w:rsidR="00814CA3" w:rsidRPr="00814CA3" w:rsidRDefault="00814CA3" w:rsidP="00814CA3">
      <w:pPr>
        <w:tabs>
          <w:tab w:val="left" w:pos="851"/>
        </w:tabs>
        <w:ind w:left="851"/>
        <w:rPr>
          <w:sz w:val="24"/>
          <w:szCs w:val="24"/>
        </w:rPr>
      </w:pPr>
    </w:p>
    <w:p w14:paraId="74E9E593" w14:textId="77777777" w:rsidR="00814CA3" w:rsidRPr="00814CA3" w:rsidRDefault="00814CA3" w:rsidP="00814CA3">
      <w:pPr>
        <w:tabs>
          <w:tab w:val="left" w:pos="851"/>
        </w:tabs>
        <w:ind w:left="851"/>
        <w:rPr>
          <w:sz w:val="24"/>
          <w:szCs w:val="24"/>
        </w:rPr>
      </w:pPr>
      <w:r w:rsidRPr="00814CA3">
        <w:rPr>
          <w:sz w:val="24"/>
          <w:szCs w:val="24"/>
        </w:rPr>
        <w:t>Spædbørn fra 3 måneder til under 6 måneder må kun gives dette lægemiddel på et hospital med mulighed for overvågning og tilgængeligt genoplivningsudstyr. Se pkt. 4.4.</w:t>
      </w:r>
    </w:p>
    <w:p w14:paraId="57A4C018" w14:textId="18DAB914" w:rsidR="00814CA3" w:rsidRDefault="00814CA3">
      <w:pPr>
        <w:rPr>
          <w:sz w:val="24"/>
          <w:szCs w:val="24"/>
        </w:rPr>
      </w:pPr>
      <w:r>
        <w:rPr>
          <w:sz w:val="24"/>
          <w:szCs w:val="24"/>
        </w:rPr>
        <w:br w:type="page"/>
      </w:r>
    </w:p>
    <w:p w14:paraId="19FAE5CC" w14:textId="77777777" w:rsidR="009260DE" w:rsidRPr="00C84483" w:rsidRDefault="009260DE" w:rsidP="009260DE">
      <w:pPr>
        <w:tabs>
          <w:tab w:val="left" w:pos="851"/>
        </w:tabs>
        <w:ind w:left="851"/>
        <w:rPr>
          <w:sz w:val="24"/>
          <w:szCs w:val="24"/>
        </w:rPr>
      </w:pPr>
    </w:p>
    <w:p w14:paraId="666A4CEE"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0BDC6812" w14:textId="77777777" w:rsidR="00814CA3" w:rsidRPr="00814CA3" w:rsidRDefault="00814CA3" w:rsidP="00814CA3">
      <w:pPr>
        <w:tabs>
          <w:tab w:val="left" w:pos="851"/>
        </w:tabs>
        <w:ind w:left="851"/>
        <w:rPr>
          <w:sz w:val="24"/>
          <w:szCs w:val="24"/>
        </w:rPr>
      </w:pPr>
      <w:r w:rsidRPr="00814CA3">
        <w:rPr>
          <w:sz w:val="24"/>
          <w:szCs w:val="24"/>
        </w:rPr>
        <w:t>Epistatus 10 mg/ml mundhulevæske, opløsning leveres i en multidosisflaske og bør kun indgives af uddannede sundhedspersoner.</w:t>
      </w:r>
    </w:p>
    <w:p w14:paraId="219143D2" w14:textId="77777777" w:rsidR="00814CA3" w:rsidRPr="00814CA3" w:rsidRDefault="00814CA3" w:rsidP="00814CA3">
      <w:pPr>
        <w:tabs>
          <w:tab w:val="left" w:pos="851"/>
        </w:tabs>
        <w:ind w:left="851"/>
        <w:rPr>
          <w:sz w:val="24"/>
          <w:szCs w:val="24"/>
          <w:u w:val="single"/>
        </w:rPr>
      </w:pPr>
    </w:p>
    <w:p w14:paraId="5CE39B7D" w14:textId="77777777" w:rsidR="00814CA3" w:rsidRPr="00814CA3" w:rsidRDefault="00814CA3" w:rsidP="00814CA3">
      <w:pPr>
        <w:tabs>
          <w:tab w:val="left" w:pos="851"/>
        </w:tabs>
        <w:ind w:left="851"/>
        <w:rPr>
          <w:sz w:val="24"/>
          <w:szCs w:val="24"/>
          <w:u w:val="single"/>
        </w:rPr>
      </w:pPr>
      <w:r w:rsidRPr="00814CA3">
        <w:rPr>
          <w:sz w:val="24"/>
          <w:szCs w:val="24"/>
          <w:u w:val="single"/>
        </w:rPr>
        <w:t>Dosering</w:t>
      </w:r>
    </w:p>
    <w:p w14:paraId="0ED16E86" w14:textId="77777777" w:rsidR="00814CA3" w:rsidRDefault="00814CA3" w:rsidP="00814CA3">
      <w:pPr>
        <w:tabs>
          <w:tab w:val="left" w:pos="851"/>
        </w:tabs>
        <w:ind w:left="851"/>
        <w:rPr>
          <w:sz w:val="24"/>
          <w:szCs w:val="24"/>
        </w:rPr>
      </w:pPr>
    </w:p>
    <w:p w14:paraId="22D10033" w14:textId="59AAF6F8" w:rsidR="00814CA3" w:rsidRPr="00814CA3" w:rsidRDefault="00814CA3" w:rsidP="00814CA3">
      <w:pPr>
        <w:tabs>
          <w:tab w:val="left" w:pos="851"/>
        </w:tabs>
        <w:ind w:left="851"/>
        <w:rPr>
          <w:sz w:val="24"/>
          <w:szCs w:val="24"/>
        </w:rPr>
      </w:pPr>
      <w:r w:rsidRPr="00814CA3">
        <w:rPr>
          <w:sz w:val="24"/>
          <w:szCs w:val="24"/>
        </w:rPr>
        <w:t>Standarddosering er angivet nedenfor:</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854"/>
      </w:tblGrid>
      <w:tr w:rsidR="00814CA3" w:rsidRPr="00814CA3" w14:paraId="25848C7C" w14:textId="77777777" w:rsidTr="00814CA3">
        <w:trPr>
          <w:trHeight w:val="362"/>
        </w:trPr>
        <w:tc>
          <w:tcPr>
            <w:tcW w:w="3118" w:type="dxa"/>
            <w:tcBorders>
              <w:top w:val="single" w:sz="4" w:space="0" w:color="auto"/>
              <w:left w:val="single" w:sz="4" w:space="0" w:color="auto"/>
              <w:bottom w:val="single" w:sz="4" w:space="0" w:color="auto"/>
              <w:right w:val="single" w:sz="4" w:space="0" w:color="auto"/>
            </w:tcBorders>
            <w:hideMark/>
          </w:tcPr>
          <w:p w14:paraId="47016CAF" w14:textId="77777777" w:rsidR="00814CA3" w:rsidRPr="00814CA3" w:rsidRDefault="00814CA3" w:rsidP="00814CA3">
            <w:pPr>
              <w:ind w:left="33"/>
              <w:rPr>
                <w:sz w:val="24"/>
                <w:szCs w:val="24"/>
              </w:rPr>
            </w:pPr>
            <w:r w:rsidRPr="00814CA3">
              <w:rPr>
                <w:sz w:val="24"/>
                <w:szCs w:val="24"/>
              </w:rPr>
              <w:t>Aldersgruppe</w:t>
            </w:r>
          </w:p>
        </w:tc>
        <w:tc>
          <w:tcPr>
            <w:tcW w:w="2854" w:type="dxa"/>
            <w:tcBorders>
              <w:top w:val="single" w:sz="4" w:space="0" w:color="auto"/>
              <w:left w:val="single" w:sz="4" w:space="0" w:color="auto"/>
              <w:bottom w:val="single" w:sz="4" w:space="0" w:color="auto"/>
              <w:right w:val="single" w:sz="4" w:space="0" w:color="auto"/>
            </w:tcBorders>
            <w:hideMark/>
          </w:tcPr>
          <w:p w14:paraId="1CB34C58" w14:textId="77777777" w:rsidR="00814CA3" w:rsidRPr="00814CA3" w:rsidRDefault="00814CA3" w:rsidP="00814CA3">
            <w:pPr>
              <w:ind w:left="31"/>
              <w:rPr>
                <w:sz w:val="24"/>
                <w:szCs w:val="24"/>
              </w:rPr>
            </w:pPr>
            <w:r w:rsidRPr="00814CA3">
              <w:rPr>
                <w:sz w:val="24"/>
                <w:szCs w:val="24"/>
              </w:rPr>
              <w:t>Dosis</w:t>
            </w:r>
          </w:p>
        </w:tc>
      </w:tr>
      <w:tr w:rsidR="00814CA3" w:rsidRPr="00814CA3" w14:paraId="36294C1C" w14:textId="77777777" w:rsidTr="00814CA3">
        <w:trPr>
          <w:trHeight w:val="362"/>
        </w:trPr>
        <w:tc>
          <w:tcPr>
            <w:tcW w:w="3118" w:type="dxa"/>
            <w:tcBorders>
              <w:top w:val="single" w:sz="4" w:space="0" w:color="auto"/>
              <w:left w:val="single" w:sz="4" w:space="0" w:color="auto"/>
              <w:bottom w:val="single" w:sz="4" w:space="0" w:color="auto"/>
              <w:right w:val="single" w:sz="4" w:space="0" w:color="auto"/>
            </w:tcBorders>
            <w:hideMark/>
          </w:tcPr>
          <w:p w14:paraId="690E3395" w14:textId="77777777" w:rsidR="00814CA3" w:rsidRPr="00814CA3" w:rsidRDefault="00814CA3" w:rsidP="00814CA3">
            <w:pPr>
              <w:ind w:left="33"/>
              <w:rPr>
                <w:sz w:val="24"/>
                <w:szCs w:val="24"/>
              </w:rPr>
            </w:pPr>
            <w:r w:rsidRPr="00814CA3">
              <w:rPr>
                <w:sz w:val="24"/>
                <w:szCs w:val="24"/>
              </w:rPr>
              <w:t>3 til 6 måneder (på hospital)</w:t>
            </w:r>
          </w:p>
        </w:tc>
        <w:tc>
          <w:tcPr>
            <w:tcW w:w="2854" w:type="dxa"/>
            <w:tcBorders>
              <w:top w:val="single" w:sz="4" w:space="0" w:color="auto"/>
              <w:left w:val="single" w:sz="4" w:space="0" w:color="auto"/>
              <w:bottom w:val="single" w:sz="4" w:space="0" w:color="auto"/>
              <w:right w:val="single" w:sz="4" w:space="0" w:color="auto"/>
            </w:tcBorders>
            <w:hideMark/>
          </w:tcPr>
          <w:p w14:paraId="60DDC05B" w14:textId="77777777" w:rsidR="00814CA3" w:rsidRPr="00814CA3" w:rsidRDefault="00814CA3" w:rsidP="00814CA3">
            <w:pPr>
              <w:ind w:left="31"/>
              <w:rPr>
                <w:sz w:val="24"/>
                <w:szCs w:val="24"/>
              </w:rPr>
            </w:pPr>
            <w:r w:rsidRPr="00814CA3">
              <w:rPr>
                <w:sz w:val="24"/>
                <w:szCs w:val="24"/>
              </w:rPr>
              <w:t>2,5 mg (0,25 ml)</w:t>
            </w:r>
          </w:p>
        </w:tc>
      </w:tr>
      <w:tr w:rsidR="00814CA3" w:rsidRPr="00814CA3" w14:paraId="33A4B541" w14:textId="77777777" w:rsidTr="00814CA3">
        <w:trPr>
          <w:trHeight w:val="362"/>
        </w:trPr>
        <w:tc>
          <w:tcPr>
            <w:tcW w:w="3118" w:type="dxa"/>
            <w:tcBorders>
              <w:top w:val="single" w:sz="4" w:space="0" w:color="auto"/>
              <w:left w:val="single" w:sz="4" w:space="0" w:color="auto"/>
              <w:bottom w:val="single" w:sz="4" w:space="0" w:color="auto"/>
              <w:right w:val="single" w:sz="4" w:space="0" w:color="auto"/>
            </w:tcBorders>
            <w:hideMark/>
          </w:tcPr>
          <w:p w14:paraId="69599AF9" w14:textId="77777777" w:rsidR="00814CA3" w:rsidRPr="00814CA3" w:rsidRDefault="00814CA3" w:rsidP="00814CA3">
            <w:pPr>
              <w:ind w:left="33"/>
              <w:rPr>
                <w:sz w:val="24"/>
                <w:szCs w:val="24"/>
              </w:rPr>
            </w:pPr>
            <w:r w:rsidRPr="00814CA3">
              <w:rPr>
                <w:sz w:val="24"/>
                <w:szCs w:val="24"/>
              </w:rPr>
              <w:t>&gt; 6 måneder til &lt; 1 år</w:t>
            </w:r>
          </w:p>
        </w:tc>
        <w:tc>
          <w:tcPr>
            <w:tcW w:w="2854" w:type="dxa"/>
            <w:tcBorders>
              <w:top w:val="single" w:sz="4" w:space="0" w:color="auto"/>
              <w:left w:val="single" w:sz="4" w:space="0" w:color="auto"/>
              <w:bottom w:val="single" w:sz="4" w:space="0" w:color="auto"/>
              <w:right w:val="single" w:sz="4" w:space="0" w:color="auto"/>
            </w:tcBorders>
            <w:hideMark/>
          </w:tcPr>
          <w:p w14:paraId="2D9B2344" w14:textId="77777777" w:rsidR="00814CA3" w:rsidRPr="00814CA3" w:rsidRDefault="00814CA3" w:rsidP="00814CA3">
            <w:pPr>
              <w:ind w:left="31"/>
              <w:rPr>
                <w:sz w:val="24"/>
                <w:szCs w:val="24"/>
              </w:rPr>
            </w:pPr>
            <w:r w:rsidRPr="00814CA3">
              <w:rPr>
                <w:sz w:val="24"/>
                <w:szCs w:val="24"/>
              </w:rPr>
              <w:t>2,5 mg (0,25 ml)</w:t>
            </w:r>
          </w:p>
        </w:tc>
      </w:tr>
      <w:tr w:rsidR="00814CA3" w:rsidRPr="00814CA3" w14:paraId="7C473A0F" w14:textId="77777777" w:rsidTr="00814CA3">
        <w:trPr>
          <w:trHeight w:val="376"/>
        </w:trPr>
        <w:tc>
          <w:tcPr>
            <w:tcW w:w="3118" w:type="dxa"/>
            <w:tcBorders>
              <w:top w:val="single" w:sz="4" w:space="0" w:color="auto"/>
              <w:left w:val="single" w:sz="4" w:space="0" w:color="auto"/>
              <w:bottom w:val="single" w:sz="4" w:space="0" w:color="auto"/>
              <w:right w:val="single" w:sz="4" w:space="0" w:color="auto"/>
            </w:tcBorders>
            <w:hideMark/>
          </w:tcPr>
          <w:p w14:paraId="50CA5860" w14:textId="77777777" w:rsidR="00814CA3" w:rsidRPr="00814CA3" w:rsidRDefault="00814CA3" w:rsidP="00814CA3">
            <w:pPr>
              <w:ind w:left="33"/>
              <w:rPr>
                <w:sz w:val="24"/>
                <w:szCs w:val="24"/>
              </w:rPr>
            </w:pPr>
            <w:r w:rsidRPr="00814CA3">
              <w:rPr>
                <w:sz w:val="24"/>
                <w:szCs w:val="24"/>
              </w:rPr>
              <w:t>1 år til &lt; 5 år</w:t>
            </w:r>
          </w:p>
        </w:tc>
        <w:tc>
          <w:tcPr>
            <w:tcW w:w="2854" w:type="dxa"/>
            <w:tcBorders>
              <w:top w:val="single" w:sz="4" w:space="0" w:color="auto"/>
              <w:left w:val="single" w:sz="4" w:space="0" w:color="auto"/>
              <w:bottom w:val="single" w:sz="4" w:space="0" w:color="auto"/>
              <w:right w:val="single" w:sz="4" w:space="0" w:color="auto"/>
            </w:tcBorders>
            <w:hideMark/>
          </w:tcPr>
          <w:p w14:paraId="7DAD4BF0" w14:textId="77777777" w:rsidR="00814CA3" w:rsidRPr="00814CA3" w:rsidRDefault="00814CA3" w:rsidP="00814CA3">
            <w:pPr>
              <w:ind w:left="31"/>
              <w:rPr>
                <w:sz w:val="24"/>
                <w:szCs w:val="24"/>
              </w:rPr>
            </w:pPr>
            <w:r w:rsidRPr="00814CA3">
              <w:rPr>
                <w:sz w:val="24"/>
                <w:szCs w:val="24"/>
              </w:rPr>
              <w:t>5 mg (0,5 ml)</w:t>
            </w:r>
          </w:p>
        </w:tc>
      </w:tr>
      <w:tr w:rsidR="00814CA3" w:rsidRPr="00814CA3" w14:paraId="0C19A55D" w14:textId="77777777" w:rsidTr="00814CA3">
        <w:trPr>
          <w:trHeight w:val="362"/>
        </w:trPr>
        <w:tc>
          <w:tcPr>
            <w:tcW w:w="3118" w:type="dxa"/>
            <w:tcBorders>
              <w:top w:val="single" w:sz="4" w:space="0" w:color="auto"/>
              <w:left w:val="single" w:sz="4" w:space="0" w:color="auto"/>
              <w:bottom w:val="single" w:sz="4" w:space="0" w:color="auto"/>
              <w:right w:val="single" w:sz="4" w:space="0" w:color="auto"/>
            </w:tcBorders>
            <w:hideMark/>
          </w:tcPr>
          <w:p w14:paraId="538B45AA" w14:textId="77777777" w:rsidR="00814CA3" w:rsidRPr="00814CA3" w:rsidRDefault="00814CA3" w:rsidP="00814CA3">
            <w:pPr>
              <w:ind w:left="33"/>
              <w:rPr>
                <w:sz w:val="24"/>
                <w:szCs w:val="24"/>
              </w:rPr>
            </w:pPr>
            <w:r w:rsidRPr="00814CA3">
              <w:rPr>
                <w:sz w:val="24"/>
                <w:szCs w:val="24"/>
              </w:rPr>
              <w:t>5 år til &lt; 10 år</w:t>
            </w:r>
          </w:p>
        </w:tc>
        <w:tc>
          <w:tcPr>
            <w:tcW w:w="2854" w:type="dxa"/>
            <w:tcBorders>
              <w:top w:val="single" w:sz="4" w:space="0" w:color="auto"/>
              <w:left w:val="single" w:sz="4" w:space="0" w:color="auto"/>
              <w:bottom w:val="single" w:sz="4" w:space="0" w:color="auto"/>
              <w:right w:val="single" w:sz="4" w:space="0" w:color="auto"/>
            </w:tcBorders>
            <w:hideMark/>
          </w:tcPr>
          <w:p w14:paraId="20FC5A1C" w14:textId="77777777" w:rsidR="00814CA3" w:rsidRPr="00814CA3" w:rsidRDefault="00814CA3" w:rsidP="00814CA3">
            <w:pPr>
              <w:ind w:left="31"/>
              <w:rPr>
                <w:sz w:val="24"/>
                <w:szCs w:val="24"/>
              </w:rPr>
            </w:pPr>
            <w:r w:rsidRPr="00814CA3">
              <w:rPr>
                <w:sz w:val="24"/>
                <w:szCs w:val="24"/>
              </w:rPr>
              <w:t>7,5 mg (0,75 ml)</w:t>
            </w:r>
          </w:p>
        </w:tc>
      </w:tr>
      <w:tr w:rsidR="00814CA3" w:rsidRPr="00814CA3" w14:paraId="328636F3" w14:textId="77777777" w:rsidTr="00814CA3">
        <w:trPr>
          <w:trHeight w:val="348"/>
        </w:trPr>
        <w:tc>
          <w:tcPr>
            <w:tcW w:w="3118" w:type="dxa"/>
            <w:tcBorders>
              <w:top w:val="single" w:sz="4" w:space="0" w:color="auto"/>
              <w:left w:val="single" w:sz="4" w:space="0" w:color="auto"/>
              <w:bottom w:val="single" w:sz="4" w:space="0" w:color="auto"/>
              <w:right w:val="single" w:sz="4" w:space="0" w:color="auto"/>
            </w:tcBorders>
            <w:hideMark/>
          </w:tcPr>
          <w:p w14:paraId="4EE9954F" w14:textId="77777777" w:rsidR="00814CA3" w:rsidRPr="00814CA3" w:rsidRDefault="00814CA3" w:rsidP="00814CA3">
            <w:pPr>
              <w:ind w:left="33"/>
              <w:rPr>
                <w:sz w:val="24"/>
                <w:szCs w:val="24"/>
              </w:rPr>
            </w:pPr>
            <w:r w:rsidRPr="00814CA3">
              <w:rPr>
                <w:sz w:val="24"/>
                <w:szCs w:val="24"/>
              </w:rPr>
              <w:t>10 år til &lt; 18 år</w:t>
            </w:r>
          </w:p>
        </w:tc>
        <w:tc>
          <w:tcPr>
            <w:tcW w:w="2854" w:type="dxa"/>
            <w:tcBorders>
              <w:top w:val="single" w:sz="4" w:space="0" w:color="auto"/>
              <w:left w:val="single" w:sz="4" w:space="0" w:color="auto"/>
              <w:bottom w:val="single" w:sz="4" w:space="0" w:color="auto"/>
              <w:right w:val="single" w:sz="4" w:space="0" w:color="auto"/>
            </w:tcBorders>
            <w:hideMark/>
          </w:tcPr>
          <w:p w14:paraId="7211DE33" w14:textId="77777777" w:rsidR="00814CA3" w:rsidRPr="00814CA3" w:rsidRDefault="00814CA3" w:rsidP="00814CA3">
            <w:pPr>
              <w:ind w:left="31"/>
              <w:rPr>
                <w:sz w:val="24"/>
                <w:szCs w:val="24"/>
              </w:rPr>
            </w:pPr>
            <w:r w:rsidRPr="00814CA3">
              <w:rPr>
                <w:sz w:val="24"/>
                <w:szCs w:val="24"/>
              </w:rPr>
              <w:t>10 mg (1 ml)</w:t>
            </w:r>
          </w:p>
        </w:tc>
      </w:tr>
    </w:tbl>
    <w:p w14:paraId="61F6DBD2" w14:textId="77777777" w:rsidR="00814CA3" w:rsidRPr="00814CA3" w:rsidRDefault="00814CA3" w:rsidP="00814CA3">
      <w:pPr>
        <w:tabs>
          <w:tab w:val="left" w:pos="851"/>
        </w:tabs>
        <w:ind w:left="851"/>
        <w:rPr>
          <w:sz w:val="24"/>
          <w:szCs w:val="24"/>
          <w:u w:val="single"/>
        </w:rPr>
      </w:pPr>
    </w:p>
    <w:p w14:paraId="565BF56F" w14:textId="77777777" w:rsidR="00814CA3" w:rsidRPr="00814CA3" w:rsidRDefault="00814CA3" w:rsidP="00814CA3">
      <w:pPr>
        <w:tabs>
          <w:tab w:val="left" w:pos="851"/>
        </w:tabs>
        <w:ind w:left="851"/>
        <w:rPr>
          <w:sz w:val="24"/>
          <w:szCs w:val="24"/>
          <w:u w:val="single"/>
        </w:rPr>
      </w:pPr>
      <w:r w:rsidRPr="00814CA3">
        <w:rPr>
          <w:sz w:val="24"/>
          <w:szCs w:val="24"/>
          <w:u w:val="single"/>
        </w:rPr>
        <w:t>Særlige populationer</w:t>
      </w:r>
    </w:p>
    <w:p w14:paraId="20E37D9D" w14:textId="77777777" w:rsidR="00814CA3" w:rsidRPr="00814CA3" w:rsidRDefault="00814CA3" w:rsidP="00814CA3">
      <w:pPr>
        <w:tabs>
          <w:tab w:val="left" w:pos="851"/>
        </w:tabs>
        <w:ind w:left="851"/>
        <w:rPr>
          <w:sz w:val="24"/>
          <w:szCs w:val="24"/>
        </w:rPr>
      </w:pPr>
    </w:p>
    <w:p w14:paraId="5256C527" w14:textId="77777777" w:rsidR="00814CA3" w:rsidRPr="00814CA3" w:rsidRDefault="00814CA3" w:rsidP="00814CA3">
      <w:pPr>
        <w:tabs>
          <w:tab w:val="left" w:pos="851"/>
        </w:tabs>
        <w:ind w:left="851"/>
        <w:rPr>
          <w:i/>
          <w:iCs/>
          <w:sz w:val="24"/>
          <w:szCs w:val="24"/>
        </w:rPr>
      </w:pPr>
      <w:r w:rsidRPr="00814CA3">
        <w:rPr>
          <w:i/>
          <w:sz w:val="24"/>
          <w:szCs w:val="24"/>
        </w:rPr>
        <w:t>Nedsat nyrefunktion</w:t>
      </w:r>
    </w:p>
    <w:p w14:paraId="65D65031" w14:textId="77777777" w:rsidR="00814CA3" w:rsidRPr="00814CA3" w:rsidRDefault="00814CA3" w:rsidP="00814CA3">
      <w:pPr>
        <w:tabs>
          <w:tab w:val="left" w:pos="851"/>
        </w:tabs>
        <w:ind w:left="851"/>
        <w:rPr>
          <w:iCs/>
          <w:sz w:val="24"/>
          <w:szCs w:val="24"/>
        </w:rPr>
      </w:pPr>
      <w:r w:rsidRPr="00814CA3">
        <w:rPr>
          <w:sz w:val="24"/>
          <w:szCs w:val="24"/>
        </w:rPr>
        <w:t>Der er ikke rapporteret om virkningsstudier af midazolam hos patienter med kronisk nyresvigt. Flere doser af midazolam til patienter med kronisk nyresvigt kan medføre forsinket elimination af midazolam og hermed forlængelse af virkninger (se pkt. 4.4). I forbindelse med behandlingen af et akut epileptisk krampeanfald med en enkelt dosis eller 2 doser midazolam er det ikke sandsynligt, at der opstår akkumulering af moderstoffet eller metabolitten, og hermed forårsager forlængelse af klinisk signifikante farmakologiske virkninger.</w:t>
      </w:r>
    </w:p>
    <w:p w14:paraId="69CF5EA3" w14:textId="77777777" w:rsidR="00814CA3" w:rsidRPr="00814CA3" w:rsidRDefault="00814CA3" w:rsidP="00814CA3">
      <w:pPr>
        <w:tabs>
          <w:tab w:val="left" w:pos="851"/>
        </w:tabs>
        <w:ind w:left="851"/>
        <w:rPr>
          <w:iCs/>
          <w:sz w:val="24"/>
          <w:szCs w:val="24"/>
        </w:rPr>
      </w:pPr>
    </w:p>
    <w:p w14:paraId="536E7033" w14:textId="77777777" w:rsidR="00814CA3" w:rsidRPr="00814CA3" w:rsidRDefault="00814CA3" w:rsidP="00814CA3">
      <w:pPr>
        <w:tabs>
          <w:tab w:val="left" w:pos="851"/>
        </w:tabs>
        <w:ind w:left="851"/>
        <w:rPr>
          <w:i/>
          <w:iCs/>
          <w:sz w:val="24"/>
          <w:szCs w:val="24"/>
        </w:rPr>
      </w:pPr>
      <w:r w:rsidRPr="00814CA3">
        <w:rPr>
          <w:i/>
          <w:sz w:val="24"/>
          <w:szCs w:val="24"/>
        </w:rPr>
        <w:t>Nedsat leverfunktion</w:t>
      </w:r>
    </w:p>
    <w:p w14:paraId="4ED33E53" w14:textId="77777777" w:rsidR="00814CA3" w:rsidRPr="00814CA3" w:rsidRDefault="00814CA3" w:rsidP="00814CA3">
      <w:pPr>
        <w:tabs>
          <w:tab w:val="left" w:pos="851"/>
        </w:tabs>
        <w:ind w:left="851"/>
        <w:rPr>
          <w:iCs/>
          <w:sz w:val="24"/>
          <w:szCs w:val="24"/>
        </w:rPr>
      </w:pPr>
      <w:r w:rsidRPr="00814CA3">
        <w:rPr>
          <w:sz w:val="24"/>
          <w:szCs w:val="24"/>
        </w:rPr>
        <w:t>Der er ikke rapporteret om virkningsstudier med midazolam hos patienter med nedsat leverfunktion. Nedsat leverfunktion reducerer clearance af midazolam med en efterfølgende forøgelse af den terminale halveringstid. Derfor kan de kliniske virkninger være kraftigere og vare længere, og derfor anbefales nøje overvågning af de kliniske virkninger og vitale tegn efter indgivelse af midazolam hos patienter med nedsat leverfunktion (se pkt. 4.4).</w:t>
      </w:r>
    </w:p>
    <w:p w14:paraId="190AE247" w14:textId="77777777" w:rsidR="00814CA3" w:rsidRPr="00814CA3" w:rsidRDefault="00814CA3" w:rsidP="00814CA3">
      <w:pPr>
        <w:tabs>
          <w:tab w:val="left" w:pos="851"/>
        </w:tabs>
        <w:ind w:left="851"/>
        <w:rPr>
          <w:iCs/>
          <w:sz w:val="24"/>
          <w:szCs w:val="24"/>
        </w:rPr>
      </w:pPr>
      <w:r w:rsidRPr="00814CA3">
        <w:rPr>
          <w:sz w:val="24"/>
          <w:szCs w:val="24"/>
        </w:rPr>
        <w:t>Epistatus er kontraindiceret hos patienter med svært nedsat leverfunktion (se pkt. 4.3).</w:t>
      </w:r>
    </w:p>
    <w:p w14:paraId="51977564" w14:textId="77777777" w:rsidR="00814CA3" w:rsidRPr="00814CA3" w:rsidRDefault="00814CA3" w:rsidP="00814CA3">
      <w:pPr>
        <w:tabs>
          <w:tab w:val="left" w:pos="851"/>
        </w:tabs>
        <w:ind w:left="851"/>
        <w:rPr>
          <w:iCs/>
          <w:sz w:val="24"/>
          <w:szCs w:val="24"/>
        </w:rPr>
      </w:pPr>
    </w:p>
    <w:p w14:paraId="3A7F4EA0" w14:textId="77777777" w:rsidR="00814CA3" w:rsidRPr="00814CA3" w:rsidRDefault="00814CA3" w:rsidP="00814CA3">
      <w:pPr>
        <w:tabs>
          <w:tab w:val="left" w:pos="851"/>
        </w:tabs>
        <w:ind w:left="851"/>
        <w:rPr>
          <w:i/>
          <w:iCs/>
          <w:sz w:val="24"/>
          <w:szCs w:val="24"/>
        </w:rPr>
      </w:pPr>
      <w:r w:rsidRPr="00814CA3">
        <w:rPr>
          <w:i/>
          <w:sz w:val="24"/>
          <w:szCs w:val="24"/>
        </w:rPr>
        <w:t>Fedme</w:t>
      </w:r>
    </w:p>
    <w:p w14:paraId="40F82D09" w14:textId="77777777" w:rsidR="00814CA3" w:rsidRPr="00814CA3" w:rsidRDefault="00814CA3" w:rsidP="00814CA3">
      <w:pPr>
        <w:tabs>
          <w:tab w:val="left" w:pos="851"/>
        </w:tabs>
        <w:ind w:left="851"/>
        <w:rPr>
          <w:sz w:val="24"/>
          <w:szCs w:val="24"/>
        </w:rPr>
      </w:pPr>
      <w:r w:rsidRPr="00814CA3">
        <w:rPr>
          <w:sz w:val="24"/>
          <w:szCs w:val="24"/>
        </w:rPr>
        <w:t>Der er ikke rapporteret om virkningsstudier af midazolam til svært overvægtige patienter.</w:t>
      </w:r>
    </w:p>
    <w:p w14:paraId="0BE4951A" w14:textId="77777777" w:rsidR="00814CA3" w:rsidRPr="00814CA3" w:rsidRDefault="00814CA3" w:rsidP="00814CA3">
      <w:pPr>
        <w:tabs>
          <w:tab w:val="left" w:pos="851"/>
        </w:tabs>
        <w:ind w:left="851"/>
        <w:rPr>
          <w:iCs/>
          <w:sz w:val="24"/>
          <w:szCs w:val="24"/>
        </w:rPr>
      </w:pPr>
    </w:p>
    <w:p w14:paraId="5B38D053" w14:textId="77777777" w:rsidR="00814CA3" w:rsidRPr="00814CA3" w:rsidRDefault="00814CA3" w:rsidP="00814CA3">
      <w:pPr>
        <w:tabs>
          <w:tab w:val="left" w:pos="851"/>
        </w:tabs>
        <w:ind w:left="851"/>
        <w:rPr>
          <w:i/>
          <w:iCs/>
          <w:sz w:val="24"/>
          <w:szCs w:val="24"/>
        </w:rPr>
      </w:pPr>
      <w:r w:rsidRPr="00814CA3">
        <w:rPr>
          <w:i/>
          <w:sz w:val="24"/>
          <w:szCs w:val="24"/>
        </w:rPr>
        <w:t>Kritisk syge patienter</w:t>
      </w:r>
    </w:p>
    <w:p w14:paraId="2D9CDDBD" w14:textId="77777777" w:rsidR="00814CA3" w:rsidRPr="00814CA3" w:rsidRDefault="00814CA3" w:rsidP="00814CA3">
      <w:pPr>
        <w:tabs>
          <w:tab w:val="left" w:pos="851"/>
        </w:tabs>
        <w:ind w:left="851"/>
        <w:rPr>
          <w:iCs/>
          <w:sz w:val="24"/>
          <w:szCs w:val="24"/>
        </w:rPr>
      </w:pPr>
      <w:r w:rsidRPr="00814CA3">
        <w:rPr>
          <w:sz w:val="24"/>
          <w:szCs w:val="24"/>
        </w:rPr>
        <w:t>Der er ikke rapporteret om virkningsstudier af midazolam til kritisk syge patienter.</w:t>
      </w:r>
    </w:p>
    <w:p w14:paraId="75F3707A" w14:textId="77777777" w:rsidR="00814CA3" w:rsidRPr="00814CA3" w:rsidRDefault="00814CA3" w:rsidP="00814CA3">
      <w:pPr>
        <w:tabs>
          <w:tab w:val="left" w:pos="851"/>
        </w:tabs>
        <w:ind w:left="851"/>
        <w:rPr>
          <w:iCs/>
          <w:sz w:val="24"/>
          <w:szCs w:val="24"/>
        </w:rPr>
      </w:pPr>
    </w:p>
    <w:p w14:paraId="172EE9D7" w14:textId="77777777" w:rsidR="00814CA3" w:rsidRPr="00814CA3" w:rsidRDefault="00814CA3" w:rsidP="00814CA3">
      <w:pPr>
        <w:tabs>
          <w:tab w:val="left" w:pos="851"/>
        </w:tabs>
        <w:ind w:left="851"/>
        <w:rPr>
          <w:i/>
          <w:iCs/>
          <w:sz w:val="24"/>
          <w:szCs w:val="24"/>
        </w:rPr>
      </w:pPr>
      <w:r w:rsidRPr="00814CA3">
        <w:rPr>
          <w:i/>
          <w:sz w:val="24"/>
          <w:szCs w:val="24"/>
        </w:rPr>
        <w:t>Hjerteinsufficiens</w:t>
      </w:r>
    </w:p>
    <w:p w14:paraId="7DCD97C5" w14:textId="77777777" w:rsidR="00814CA3" w:rsidRPr="00814CA3" w:rsidRDefault="00814CA3" w:rsidP="00814CA3">
      <w:pPr>
        <w:tabs>
          <w:tab w:val="left" w:pos="851"/>
        </w:tabs>
        <w:ind w:left="851"/>
        <w:rPr>
          <w:sz w:val="24"/>
          <w:szCs w:val="24"/>
        </w:rPr>
      </w:pPr>
      <w:r w:rsidRPr="00814CA3">
        <w:rPr>
          <w:sz w:val="24"/>
          <w:szCs w:val="24"/>
        </w:rPr>
        <w:t>Der er ikke rapporteret om virkningsstudier af midazolam til patienter med hjerteinsufficiens.</w:t>
      </w:r>
    </w:p>
    <w:p w14:paraId="53446962" w14:textId="77777777" w:rsidR="00814CA3" w:rsidRPr="00814CA3" w:rsidRDefault="00814CA3" w:rsidP="00814CA3">
      <w:pPr>
        <w:tabs>
          <w:tab w:val="left" w:pos="851"/>
        </w:tabs>
        <w:ind w:left="851"/>
        <w:rPr>
          <w:iCs/>
          <w:sz w:val="24"/>
          <w:szCs w:val="24"/>
        </w:rPr>
      </w:pPr>
    </w:p>
    <w:p w14:paraId="028BC885" w14:textId="77777777" w:rsidR="00814CA3" w:rsidRPr="00814CA3" w:rsidRDefault="00814CA3" w:rsidP="00814CA3">
      <w:pPr>
        <w:tabs>
          <w:tab w:val="left" w:pos="851"/>
        </w:tabs>
        <w:ind w:left="851"/>
        <w:rPr>
          <w:bCs/>
          <w:i/>
          <w:iCs/>
          <w:sz w:val="24"/>
          <w:szCs w:val="24"/>
        </w:rPr>
      </w:pPr>
      <w:r w:rsidRPr="00814CA3">
        <w:rPr>
          <w:i/>
          <w:sz w:val="24"/>
          <w:szCs w:val="24"/>
        </w:rPr>
        <w:t>Pædiatrisk population</w:t>
      </w:r>
    </w:p>
    <w:p w14:paraId="479849B8" w14:textId="77777777" w:rsidR="00814CA3" w:rsidRPr="00814CA3" w:rsidRDefault="00814CA3" w:rsidP="00814CA3">
      <w:pPr>
        <w:tabs>
          <w:tab w:val="left" w:pos="851"/>
        </w:tabs>
        <w:ind w:left="851"/>
        <w:rPr>
          <w:sz w:val="24"/>
          <w:szCs w:val="24"/>
        </w:rPr>
      </w:pPr>
      <w:r w:rsidRPr="00814CA3">
        <w:rPr>
          <w:sz w:val="24"/>
          <w:szCs w:val="24"/>
        </w:rPr>
        <w:t>Midazolams sikkerhed og virkning hos børn i alderen 0</w:t>
      </w:r>
      <w:r w:rsidRPr="00814CA3">
        <w:rPr>
          <w:sz w:val="24"/>
          <w:szCs w:val="24"/>
        </w:rPr>
        <w:noBreakHyphen/>
        <w:t>3 måneder er ikke klarlagt. Der foreligger ingen data.</w:t>
      </w:r>
    </w:p>
    <w:p w14:paraId="3850E28D" w14:textId="77777777" w:rsidR="00814CA3" w:rsidRPr="00814CA3" w:rsidRDefault="00814CA3" w:rsidP="00814CA3">
      <w:pPr>
        <w:tabs>
          <w:tab w:val="left" w:pos="851"/>
        </w:tabs>
        <w:ind w:left="851"/>
        <w:rPr>
          <w:sz w:val="24"/>
          <w:szCs w:val="24"/>
        </w:rPr>
      </w:pPr>
    </w:p>
    <w:p w14:paraId="12100960" w14:textId="77777777" w:rsidR="00814CA3" w:rsidRPr="00814CA3" w:rsidRDefault="00814CA3" w:rsidP="00814CA3">
      <w:pPr>
        <w:tabs>
          <w:tab w:val="left" w:pos="851"/>
        </w:tabs>
        <w:ind w:left="851"/>
        <w:rPr>
          <w:sz w:val="24"/>
          <w:szCs w:val="24"/>
          <w:u w:val="single"/>
        </w:rPr>
      </w:pPr>
      <w:r w:rsidRPr="00814CA3">
        <w:rPr>
          <w:sz w:val="24"/>
          <w:szCs w:val="24"/>
          <w:u w:val="single"/>
        </w:rPr>
        <w:lastRenderedPageBreak/>
        <w:t>Administration</w:t>
      </w:r>
    </w:p>
    <w:p w14:paraId="0C446CAA" w14:textId="77777777" w:rsidR="00814CA3" w:rsidRPr="00814CA3" w:rsidRDefault="00814CA3" w:rsidP="00814CA3">
      <w:pPr>
        <w:tabs>
          <w:tab w:val="left" w:pos="851"/>
        </w:tabs>
        <w:ind w:left="851"/>
        <w:rPr>
          <w:sz w:val="24"/>
          <w:szCs w:val="24"/>
        </w:rPr>
      </w:pPr>
      <w:r w:rsidRPr="00814CA3">
        <w:rPr>
          <w:sz w:val="24"/>
          <w:szCs w:val="24"/>
        </w:rPr>
        <w:t>Epistatus er til anvendelse i mundhulen.</w:t>
      </w:r>
    </w:p>
    <w:p w14:paraId="38095F7E" w14:textId="77777777" w:rsidR="00814CA3" w:rsidRPr="00814CA3" w:rsidRDefault="00814CA3" w:rsidP="00814CA3">
      <w:pPr>
        <w:tabs>
          <w:tab w:val="left" w:pos="851"/>
        </w:tabs>
        <w:ind w:left="851"/>
        <w:rPr>
          <w:sz w:val="24"/>
          <w:szCs w:val="24"/>
        </w:rPr>
      </w:pPr>
      <w:r w:rsidRPr="00814CA3">
        <w:rPr>
          <w:sz w:val="24"/>
          <w:szCs w:val="24"/>
        </w:rPr>
        <w:t>Epistatus 10 mg/ml mundhulevæske, opløsning leveres i en flaske med 5 ml opløsning.</w:t>
      </w:r>
    </w:p>
    <w:p w14:paraId="5AA14548" w14:textId="77777777" w:rsidR="00814CA3" w:rsidRPr="00814CA3" w:rsidRDefault="00814CA3" w:rsidP="00814CA3">
      <w:pPr>
        <w:tabs>
          <w:tab w:val="left" w:pos="851"/>
        </w:tabs>
        <w:ind w:left="851"/>
        <w:rPr>
          <w:sz w:val="24"/>
          <w:szCs w:val="24"/>
        </w:rPr>
      </w:pPr>
    </w:p>
    <w:p w14:paraId="77EBB332" w14:textId="77777777" w:rsidR="00814CA3" w:rsidRPr="00814CA3" w:rsidRDefault="00814CA3" w:rsidP="00814CA3">
      <w:pPr>
        <w:tabs>
          <w:tab w:val="left" w:pos="851"/>
        </w:tabs>
        <w:ind w:left="851"/>
        <w:rPr>
          <w:sz w:val="24"/>
          <w:szCs w:val="24"/>
        </w:rPr>
      </w:pPr>
      <w:r w:rsidRPr="00814CA3">
        <w:rPr>
          <w:sz w:val="24"/>
          <w:szCs w:val="24"/>
        </w:rPr>
        <w:t>Cirka halvdelen af den anbefalede dosis af opløsningen skal indgives langsomt ved hjælp af én af de medfølgende 1 ml orale sprøjter i hvert af de bukkale hulrum (hulrummet mellem tandkødet og kinden) i løbet af 2</w:t>
      </w:r>
      <w:r w:rsidRPr="00814CA3">
        <w:rPr>
          <w:sz w:val="24"/>
          <w:szCs w:val="24"/>
        </w:rPr>
        <w:noBreakHyphen/>
        <w:t>3 sekunder. Laryngotrakeal indsættelse skal undgås for at undgå utilsigtet aspiration af opløsningen. Hvis det er særligt vanskeligt at få sprøjten ind i det bukkale hulrum, kan hele dosis indgives langsomt i løbet af 4</w:t>
      </w:r>
      <w:r w:rsidRPr="00814CA3">
        <w:rPr>
          <w:sz w:val="24"/>
          <w:szCs w:val="24"/>
        </w:rPr>
        <w:noBreakHyphen/>
        <w:t>5 sekunder i ét bukkalt hulrum.</w:t>
      </w:r>
    </w:p>
    <w:p w14:paraId="28466F6A" w14:textId="77777777" w:rsidR="00814CA3" w:rsidRPr="00814CA3" w:rsidRDefault="00814CA3" w:rsidP="00814CA3">
      <w:pPr>
        <w:tabs>
          <w:tab w:val="left" w:pos="851"/>
        </w:tabs>
        <w:ind w:left="851"/>
        <w:rPr>
          <w:sz w:val="24"/>
          <w:szCs w:val="24"/>
        </w:rPr>
      </w:pPr>
    </w:p>
    <w:p w14:paraId="312CFEDD" w14:textId="77777777" w:rsidR="00814CA3" w:rsidRPr="00814CA3" w:rsidRDefault="00814CA3" w:rsidP="00814CA3">
      <w:pPr>
        <w:tabs>
          <w:tab w:val="left" w:pos="851"/>
        </w:tabs>
        <w:ind w:left="851"/>
        <w:rPr>
          <w:sz w:val="24"/>
          <w:szCs w:val="24"/>
        </w:rPr>
      </w:pPr>
      <w:r w:rsidRPr="00814CA3">
        <w:rPr>
          <w:sz w:val="24"/>
          <w:szCs w:val="24"/>
        </w:rPr>
        <w:t>For instruktioner om administration af lægemidlet, se pkt. 6.6.</w:t>
      </w:r>
    </w:p>
    <w:p w14:paraId="4B0C6BAA" w14:textId="77777777" w:rsidR="009260DE" w:rsidRPr="00C84483" w:rsidRDefault="009260DE" w:rsidP="009260DE">
      <w:pPr>
        <w:tabs>
          <w:tab w:val="left" w:pos="851"/>
        </w:tabs>
        <w:ind w:left="851"/>
        <w:rPr>
          <w:sz w:val="24"/>
          <w:szCs w:val="24"/>
        </w:rPr>
      </w:pPr>
    </w:p>
    <w:p w14:paraId="368B37C5"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1265EDE2" w14:textId="77777777" w:rsidR="00814CA3" w:rsidRPr="00814CA3" w:rsidRDefault="00814CA3" w:rsidP="00814CA3">
      <w:pPr>
        <w:tabs>
          <w:tab w:val="left" w:pos="851"/>
        </w:tabs>
        <w:ind w:left="851"/>
        <w:rPr>
          <w:sz w:val="24"/>
          <w:szCs w:val="24"/>
        </w:rPr>
      </w:pPr>
      <w:r w:rsidRPr="00814CA3">
        <w:rPr>
          <w:sz w:val="24"/>
          <w:szCs w:val="24"/>
        </w:rPr>
        <w:t>Overfølsomhed over for det aktive stof, andre benzodiazepiner eller over for et eller flere af hjælpestofferne anført i pkt. 6.1.</w:t>
      </w:r>
    </w:p>
    <w:p w14:paraId="6B63C4F3" w14:textId="77777777" w:rsidR="00814CA3" w:rsidRPr="00814CA3" w:rsidRDefault="00814CA3" w:rsidP="00814CA3">
      <w:pPr>
        <w:tabs>
          <w:tab w:val="left" w:pos="851"/>
        </w:tabs>
        <w:ind w:left="851"/>
        <w:rPr>
          <w:sz w:val="24"/>
          <w:szCs w:val="24"/>
        </w:rPr>
      </w:pPr>
      <w:r w:rsidRPr="00814CA3">
        <w:rPr>
          <w:sz w:val="24"/>
          <w:szCs w:val="24"/>
        </w:rPr>
        <w:t>Myasthenia gravis.</w:t>
      </w:r>
    </w:p>
    <w:p w14:paraId="6D8793EA" w14:textId="77777777" w:rsidR="00814CA3" w:rsidRPr="00814CA3" w:rsidRDefault="00814CA3" w:rsidP="00814CA3">
      <w:pPr>
        <w:tabs>
          <w:tab w:val="left" w:pos="851"/>
        </w:tabs>
        <w:ind w:left="851"/>
        <w:rPr>
          <w:sz w:val="24"/>
          <w:szCs w:val="24"/>
        </w:rPr>
      </w:pPr>
      <w:r w:rsidRPr="00814CA3">
        <w:rPr>
          <w:sz w:val="24"/>
          <w:szCs w:val="24"/>
        </w:rPr>
        <w:t>Svær respirationsinsufficiens.</w:t>
      </w:r>
    </w:p>
    <w:p w14:paraId="054258BF" w14:textId="77777777" w:rsidR="00814CA3" w:rsidRPr="00814CA3" w:rsidRDefault="00814CA3" w:rsidP="00814CA3">
      <w:pPr>
        <w:tabs>
          <w:tab w:val="left" w:pos="851"/>
        </w:tabs>
        <w:ind w:left="851"/>
        <w:rPr>
          <w:sz w:val="24"/>
          <w:szCs w:val="24"/>
        </w:rPr>
      </w:pPr>
      <w:r w:rsidRPr="00814CA3">
        <w:rPr>
          <w:sz w:val="24"/>
          <w:szCs w:val="24"/>
        </w:rPr>
        <w:t>Søvnapnø-syndrom.</w:t>
      </w:r>
    </w:p>
    <w:p w14:paraId="5D5337AE" w14:textId="77777777" w:rsidR="00814CA3" w:rsidRPr="00814CA3" w:rsidRDefault="00814CA3" w:rsidP="00814CA3">
      <w:pPr>
        <w:tabs>
          <w:tab w:val="left" w:pos="851"/>
        </w:tabs>
        <w:ind w:left="851"/>
        <w:rPr>
          <w:sz w:val="24"/>
          <w:szCs w:val="24"/>
        </w:rPr>
      </w:pPr>
      <w:r w:rsidRPr="00814CA3">
        <w:rPr>
          <w:sz w:val="24"/>
          <w:szCs w:val="24"/>
        </w:rPr>
        <w:t>Svært nedsat leverfunktion.</w:t>
      </w:r>
    </w:p>
    <w:p w14:paraId="5C8BF310" w14:textId="77777777" w:rsidR="00814CA3" w:rsidRPr="00814CA3" w:rsidRDefault="00814CA3" w:rsidP="00814CA3">
      <w:pPr>
        <w:tabs>
          <w:tab w:val="left" w:pos="851"/>
        </w:tabs>
        <w:ind w:left="851"/>
        <w:rPr>
          <w:sz w:val="24"/>
          <w:szCs w:val="24"/>
        </w:rPr>
      </w:pPr>
    </w:p>
    <w:p w14:paraId="6A195E94"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697B409C" w14:textId="77777777" w:rsidR="006A3716" w:rsidRPr="006A3716" w:rsidRDefault="006A3716" w:rsidP="006A3716">
      <w:pPr>
        <w:tabs>
          <w:tab w:val="left" w:pos="851"/>
        </w:tabs>
        <w:ind w:left="851"/>
        <w:rPr>
          <w:sz w:val="24"/>
          <w:szCs w:val="24"/>
        </w:rPr>
      </w:pPr>
    </w:p>
    <w:p w14:paraId="386A9616" w14:textId="77777777" w:rsidR="006A3716" w:rsidRPr="006A3716" w:rsidRDefault="006A3716" w:rsidP="006A3716">
      <w:pPr>
        <w:tabs>
          <w:tab w:val="left" w:pos="851"/>
        </w:tabs>
        <w:ind w:left="851"/>
        <w:rPr>
          <w:i/>
          <w:sz w:val="24"/>
          <w:szCs w:val="24"/>
        </w:rPr>
      </w:pPr>
      <w:r w:rsidRPr="006A3716">
        <w:rPr>
          <w:i/>
          <w:sz w:val="24"/>
          <w:szCs w:val="24"/>
        </w:rPr>
        <w:t>Pædiatriske patienter i alderen 3 til 6 måneder</w:t>
      </w:r>
    </w:p>
    <w:p w14:paraId="6C0C95AB" w14:textId="77777777" w:rsidR="006A3716" w:rsidRPr="006A3716" w:rsidRDefault="006A3716" w:rsidP="006A3716">
      <w:pPr>
        <w:tabs>
          <w:tab w:val="left" w:pos="851"/>
        </w:tabs>
        <w:ind w:left="851"/>
        <w:rPr>
          <w:sz w:val="24"/>
          <w:szCs w:val="24"/>
        </w:rPr>
      </w:pPr>
      <w:r w:rsidRPr="006A3716">
        <w:rPr>
          <w:sz w:val="24"/>
          <w:szCs w:val="24"/>
        </w:rPr>
        <w:t>Da forholdet mellem metabolit og moderstof er større hos yngre børn, kan en forsinket respirationsdepression som et resultat af en høj aktiv metabolitkoncentration i aldersgruppen 3</w:t>
      </w:r>
      <w:r w:rsidRPr="006A3716">
        <w:rPr>
          <w:sz w:val="24"/>
          <w:szCs w:val="24"/>
        </w:rPr>
        <w:noBreakHyphen/>
        <w:t>6 måneder ikke udelukkes. Derfor skal brug af Epistatus i aldersgruppen 3</w:t>
      </w:r>
      <w:r w:rsidRPr="006A3716">
        <w:rPr>
          <w:sz w:val="24"/>
          <w:szCs w:val="24"/>
        </w:rPr>
        <w:noBreakHyphen/>
        <w:t>6 måneder begrænses til anvendelse under overvågning af en sundhedsperson, hvor genoplivningsudstyr er til rådighed, og hvor respirationsfunktionen kan overvåges, og hvor udstyr til respirationsassistance er tilgængeligt ved behov.</w:t>
      </w:r>
    </w:p>
    <w:p w14:paraId="39D6AC7E" w14:textId="77777777" w:rsidR="006A3716" w:rsidRPr="006A3716" w:rsidRDefault="006A3716" w:rsidP="006A3716">
      <w:pPr>
        <w:tabs>
          <w:tab w:val="left" w:pos="851"/>
        </w:tabs>
        <w:ind w:left="851"/>
        <w:rPr>
          <w:sz w:val="24"/>
          <w:szCs w:val="24"/>
        </w:rPr>
      </w:pPr>
    </w:p>
    <w:p w14:paraId="7BA442D9" w14:textId="3DABD0EB" w:rsidR="006A3716" w:rsidRPr="006A3716" w:rsidRDefault="006A3716" w:rsidP="006A3716">
      <w:pPr>
        <w:tabs>
          <w:tab w:val="left" w:pos="851"/>
        </w:tabs>
        <w:ind w:left="851"/>
        <w:rPr>
          <w:i/>
          <w:sz w:val="24"/>
          <w:szCs w:val="24"/>
        </w:rPr>
      </w:pPr>
      <w:r w:rsidRPr="006A3716">
        <w:rPr>
          <w:i/>
          <w:sz w:val="24"/>
          <w:szCs w:val="24"/>
        </w:rPr>
        <w:t>Respirationsinsufficiens</w:t>
      </w:r>
    </w:p>
    <w:p w14:paraId="67A5804E" w14:textId="77777777" w:rsidR="006A3716" w:rsidRPr="006A3716" w:rsidRDefault="006A3716" w:rsidP="006A3716">
      <w:pPr>
        <w:tabs>
          <w:tab w:val="left" w:pos="851"/>
        </w:tabs>
        <w:ind w:left="851"/>
        <w:rPr>
          <w:sz w:val="24"/>
          <w:szCs w:val="24"/>
        </w:rPr>
      </w:pPr>
      <w:r w:rsidRPr="006A3716">
        <w:rPr>
          <w:sz w:val="24"/>
          <w:szCs w:val="24"/>
        </w:rPr>
        <w:t>Midazolam skal anvendes med forsigtighed hos patienter med kronisk respirationsinsufficiens, da midazolam kan føre til yderligere respirationsdepression.</w:t>
      </w:r>
    </w:p>
    <w:p w14:paraId="53382BBE" w14:textId="77777777" w:rsidR="006A3716" w:rsidRPr="006A3716" w:rsidRDefault="006A3716" w:rsidP="006A3716">
      <w:pPr>
        <w:tabs>
          <w:tab w:val="left" w:pos="851"/>
        </w:tabs>
        <w:ind w:left="851"/>
        <w:rPr>
          <w:sz w:val="24"/>
          <w:szCs w:val="24"/>
        </w:rPr>
      </w:pPr>
    </w:p>
    <w:p w14:paraId="2CF2F815" w14:textId="037A93CD" w:rsidR="006A3716" w:rsidRPr="006A3716" w:rsidRDefault="006A3716" w:rsidP="006A3716">
      <w:pPr>
        <w:tabs>
          <w:tab w:val="left" w:pos="851"/>
        </w:tabs>
        <w:ind w:left="851"/>
        <w:rPr>
          <w:i/>
          <w:sz w:val="24"/>
          <w:szCs w:val="24"/>
        </w:rPr>
      </w:pPr>
      <w:r w:rsidRPr="006A3716">
        <w:rPr>
          <w:i/>
          <w:sz w:val="24"/>
          <w:szCs w:val="24"/>
        </w:rPr>
        <w:t>Ændret elimination af midazolam</w:t>
      </w:r>
    </w:p>
    <w:p w14:paraId="0024123A" w14:textId="77777777" w:rsidR="006A3716" w:rsidRPr="006A3716" w:rsidRDefault="006A3716" w:rsidP="006A3716">
      <w:pPr>
        <w:tabs>
          <w:tab w:val="left" w:pos="851"/>
        </w:tabs>
        <w:ind w:left="851"/>
        <w:rPr>
          <w:sz w:val="24"/>
          <w:szCs w:val="24"/>
        </w:rPr>
      </w:pPr>
      <w:r w:rsidRPr="006A3716">
        <w:rPr>
          <w:sz w:val="24"/>
          <w:szCs w:val="24"/>
        </w:rPr>
        <w:t>Midazolam skal anvendes med forsigtighed hos ældre patienter og patienter med kronisk nyresvigt, nedsat lever- eller hjertefunktion. Midazolam kan akkumuleres hos patienter med kronisk nyresvigt eller nedsat leverfunktion, mens det hos patienter med nedsat hjertefunktion kan forårsage nedsat clearance af midazolam.</w:t>
      </w:r>
    </w:p>
    <w:p w14:paraId="02DBF153" w14:textId="77777777" w:rsidR="006A3716" w:rsidRPr="006A3716" w:rsidRDefault="006A3716" w:rsidP="006A3716">
      <w:pPr>
        <w:tabs>
          <w:tab w:val="left" w:pos="851"/>
        </w:tabs>
        <w:ind w:left="851"/>
        <w:rPr>
          <w:sz w:val="24"/>
          <w:szCs w:val="24"/>
        </w:rPr>
      </w:pPr>
    </w:p>
    <w:p w14:paraId="4AC59DBF" w14:textId="345F41EA" w:rsidR="006A3716" w:rsidRPr="006A3716" w:rsidRDefault="006A3716" w:rsidP="006A3716">
      <w:pPr>
        <w:tabs>
          <w:tab w:val="left" w:pos="851"/>
        </w:tabs>
        <w:ind w:left="851"/>
        <w:rPr>
          <w:i/>
          <w:sz w:val="24"/>
          <w:szCs w:val="24"/>
        </w:rPr>
      </w:pPr>
      <w:r w:rsidRPr="006A3716">
        <w:rPr>
          <w:i/>
          <w:sz w:val="24"/>
          <w:szCs w:val="24"/>
        </w:rPr>
        <w:t>Samtidig brug med andre benzodiazepiner</w:t>
      </w:r>
    </w:p>
    <w:p w14:paraId="1A419121" w14:textId="77777777" w:rsidR="006A3716" w:rsidRPr="006A3716" w:rsidRDefault="006A3716" w:rsidP="006A3716">
      <w:pPr>
        <w:tabs>
          <w:tab w:val="left" w:pos="851"/>
        </w:tabs>
        <w:ind w:left="851"/>
        <w:rPr>
          <w:sz w:val="24"/>
          <w:szCs w:val="24"/>
        </w:rPr>
      </w:pPr>
      <w:r w:rsidRPr="006A3716">
        <w:rPr>
          <w:sz w:val="24"/>
          <w:szCs w:val="24"/>
        </w:rPr>
        <w:t>Svækkede patienter er mere modtagelige over for benzodiazepiners virkning på centralnervesystemet (CNS) (se pkt. 4.5).</w:t>
      </w:r>
    </w:p>
    <w:p w14:paraId="60694FFD" w14:textId="77777777" w:rsidR="006A3716" w:rsidRPr="006A3716" w:rsidRDefault="006A3716" w:rsidP="006A3716">
      <w:pPr>
        <w:tabs>
          <w:tab w:val="left" w:pos="851"/>
        </w:tabs>
        <w:ind w:left="851"/>
        <w:rPr>
          <w:sz w:val="24"/>
          <w:szCs w:val="24"/>
        </w:rPr>
      </w:pPr>
    </w:p>
    <w:p w14:paraId="432E952C" w14:textId="45708BE5" w:rsidR="006A3716" w:rsidRPr="006A3716" w:rsidRDefault="006A3716" w:rsidP="006A3716">
      <w:pPr>
        <w:tabs>
          <w:tab w:val="left" w:pos="851"/>
        </w:tabs>
        <w:ind w:left="851"/>
        <w:rPr>
          <w:i/>
          <w:sz w:val="24"/>
          <w:szCs w:val="24"/>
        </w:rPr>
      </w:pPr>
      <w:r w:rsidRPr="006A3716">
        <w:rPr>
          <w:i/>
          <w:sz w:val="24"/>
          <w:szCs w:val="24"/>
        </w:rPr>
        <w:t>Risiko ved samtidig brug af opioider</w:t>
      </w:r>
    </w:p>
    <w:p w14:paraId="6D1D80EA" w14:textId="77777777" w:rsidR="006A3716" w:rsidRPr="006A3716" w:rsidRDefault="006A3716" w:rsidP="006A3716">
      <w:pPr>
        <w:tabs>
          <w:tab w:val="left" w:pos="851"/>
        </w:tabs>
        <w:ind w:left="851"/>
        <w:rPr>
          <w:sz w:val="24"/>
          <w:szCs w:val="24"/>
        </w:rPr>
      </w:pPr>
      <w:r w:rsidRPr="006A3716">
        <w:rPr>
          <w:sz w:val="24"/>
          <w:szCs w:val="24"/>
        </w:rPr>
        <w:t xml:space="preserve">Samtidig brug af Epistatus og opioider kan medføre sedation, respirationsdepression, koma og dødsfald. På grund af disse risici bør samtidig behandling med sedativa, f.eks. benzodiazepiner eller beslægtede lægemidler, f.eks. Epistatus, og opioider forbeholdes patienter, som ikke har andre behandlingsmuligheder. Hvis det besluttes at ordinere </w:t>
      </w:r>
      <w:r w:rsidRPr="006A3716">
        <w:rPr>
          <w:sz w:val="24"/>
          <w:szCs w:val="24"/>
        </w:rPr>
        <w:lastRenderedPageBreak/>
        <w:t>Epistatus samtidig med opioider, skal der anvendes den laveste effektive dosis af opioider, og behandlingsvarigheden skal være så kort som mulig.</w:t>
      </w:r>
    </w:p>
    <w:p w14:paraId="1FE7793C" w14:textId="77777777" w:rsidR="006A3716" w:rsidRPr="006A3716" w:rsidRDefault="006A3716" w:rsidP="006A3716">
      <w:pPr>
        <w:tabs>
          <w:tab w:val="left" w:pos="851"/>
        </w:tabs>
        <w:ind w:left="851"/>
        <w:rPr>
          <w:sz w:val="24"/>
          <w:szCs w:val="24"/>
        </w:rPr>
      </w:pPr>
      <w:r w:rsidRPr="006A3716">
        <w:rPr>
          <w:sz w:val="24"/>
          <w:szCs w:val="24"/>
        </w:rPr>
        <w:t>Patienterne skal overvåges tæt for tegn og symptomer på respirationsdepression og sedation. I denne henseende anbefales det på det kraftigste at informere patienter og deres omsorgspersoner (hvor det er relevant) om at være opmærksomme på sådanne symptomer (se pkt. 4.5).</w:t>
      </w:r>
    </w:p>
    <w:p w14:paraId="0E22BFC0" w14:textId="77777777" w:rsidR="006A3716" w:rsidRPr="006A3716" w:rsidRDefault="006A3716" w:rsidP="006A3716">
      <w:pPr>
        <w:tabs>
          <w:tab w:val="left" w:pos="851"/>
        </w:tabs>
        <w:ind w:left="851"/>
        <w:rPr>
          <w:sz w:val="24"/>
          <w:szCs w:val="24"/>
        </w:rPr>
      </w:pPr>
    </w:p>
    <w:p w14:paraId="6622F121" w14:textId="09B39A86" w:rsidR="006A3716" w:rsidRPr="006A3716" w:rsidRDefault="006A3716" w:rsidP="006A3716">
      <w:pPr>
        <w:tabs>
          <w:tab w:val="left" w:pos="851"/>
        </w:tabs>
        <w:ind w:left="851"/>
        <w:rPr>
          <w:i/>
          <w:sz w:val="24"/>
          <w:szCs w:val="24"/>
        </w:rPr>
      </w:pPr>
      <w:r w:rsidRPr="006A3716">
        <w:rPr>
          <w:i/>
          <w:sz w:val="24"/>
          <w:szCs w:val="24"/>
        </w:rPr>
        <w:t>Anamnese med alkohol- og stofmisbrug</w:t>
      </w:r>
    </w:p>
    <w:p w14:paraId="65896AA9" w14:textId="77777777" w:rsidR="006A3716" w:rsidRPr="006A3716" w:rsidRDefault="006A3716" w:rsidP="006A3716">
      <w:pPr>
        <w:tabs>
          <w:tab w:val="left" w:pos="851"/>
        </w:tabs>
        <w:ind w:left="851"/>
        <w:rPr>
          <w:sz w:val="24"/>
          <w:szCs w:val="24"/>
        </w:rPr>
      </w:pPr>
      <w:r w:rsidRPr="006A3716">
        <w:rPr>
          <w:sz w:val="24"/>
          <w:szCs w:val="24"/>
        </w:rPr>
        <w:t>Midazolam skal undgås hos patienter med en anamnese med alkohol- eller stofmisbrug.</w:t>
      </w:r>
    </w:p>
    <w:p w14:paraId="63CDAFE8" w14:textId="77777777" w:rsidR="006A3716" w:rsidRPr="006A3716" w:rsidRDefault="006A3716" w:rsidP="006A3716">
      <w:pPr>
        <w:tabs>
          <w:tab w:val="left" w:pos="851"/>
        </w:tabs>
        <w:ind w:left="851"/>
        <w:rPr>
          <w:i/>
          <w:sz w:val="24"/>
          <w:szCs w:val="24"/>
        </w:rPr>
      </w:pPr>
    </w:p>
    <w:p w14:paraId="64E2414E" w14:textId="717555C9" w:rsidR="006A3716" w:rsidRPr="006A3716" w:rsidRDefault="006A3716" w:rsidP="006A3716">
      <w:pPr>
        <w:tabs>
          <w:tab w:val="left" w:pos="851"/>
        </w:tabs>
        <w:ind w:left="851"/>
        <w:rPr>
          <w:i/>
          <w:sz w:val="24"/>
          <w:szCs w:val="24"/>
        </w:rPr>
      </w:pPr>
      <w:r w:rsidRPr="006A3716">
        <w:rPr>
          <w:i/>
          <w:sz w:val="24"/>
          <w:szCs w:val="24"/>
        </w:rPr>
        <w:t>Amnesi</w:t>
      </w:r>
    </w:p>
    <w:p w14:paraId="56F02800" w14:textId="77777777" w:rsidR="006A3716" w:rsidRPr="006A3716" w:rsidRDefault="006A3716" w:rsidP="006A3716">
      <w:pPr>
        <w:tabs>
          <w:tab w:val="left" w:pos="851"/>
        </w:tabs>
        <w:ind w:left="851"/>
        <w:rPr>
          <w:sz w:val="24"/>
          <w:szCs w:val="24"/>
        </w:rPr>
      </w:pPr>
      <w:r w:rsidRPr="006A3716">
        <w:rPr>
          <w:sz w:val="24"/>
          <w:szCs w:val="24"/>
        </w:rPr>
        <w:t>Midazolam kan forårsage anterograd amnesi.</w:t>
      </w:r>
    </w:p>
    <w:p w14:paraId="563B5999" w14:textId="77777777" w:rsidR="006A3716" w:rsidRPr="006A3716" w:rsidRDefault="006A3716" w:rsidP="006A3716">
      <w:pPr>
        <w:tabs>
          <w:tab w:val="left" w:pos="851"/>
        </w:tabs>
        <w:ind w:left="851"/>
        <w:rPr>
          <w:sz w:val="24"/>
          <w:szCs w:val="24"/>
          <w:lang w:val="pt-PT"/>
        </w:rPr>
      </w:pPr>
    </w:p>
    <w:p w14:paraId="3DE91501" w14:textId="4A3BC159" w:rsidR="006A3716" w:rsidRPr="006A3716" w:rsidRDefault="006A3716" w:rsidP="006A3716">
      <w:pPr>
        <w:tabs>
          <w:tab w:val="left" w:pos="851"/>
        </w:tabs>
        <w:ind w:left="851"/>
        <w:rPr>
          <w:iCs/>
          <w:sz w:val="24"/>
          <w:szCs w:val="24"/>
          <w:u w:val="single"/>
        </w:rPr>
      </w:pPr>
      <w:r w:rsidRPr="006A3716">
        <w:rPr>
          <w:iCs/>
          <w:sz w:val="24"/>
          <w:szCs w:val="24"/>
          <w:u w:val="single"/>
        </w:rPr>
        <w:t>Hjælpestoffer, som behandleren skal være opmærksom på</w:t>
      </w:r>
    </w:p>
    <w:p w14:paraId="31D799B6" w14:textId="77777777" w:rsidR="006A3716" w:rsidRPr="006A3716" w:rsidRDefault="006A3716" w:rsidP="006A3716">
      <w:pPr>
        <w:tabs>
          <w:tab w:val="left" w:pos="851"/>
        </w:tabs>
        <w:ind w:left="851"/>
        <w:rPr>
          <w:sz w:val="24"/>
          <w:szCs w:val="24"/>
        </w:rPr>
      </w:pPr>
    </w:p>
    <w:p w14:paraId="3730A67F" w14:textId="77777777" w:rsidR="006A3716" w:rsidRPr="006A3716" w:rsidRDefault="006A3716" w:rsidP="006A3716">
      <w:pPr>
        <w:tabs>
          <w:tab w:val="left" w:pos="851"/>
        </w:tabs>
        <w:ind w:left="851"/>
        <w:rPr>
          <w:i/>
          <w:iCs/>
          <w:sz w:val="24"/>
          <w:szCs w:val="24"/>
        </w:rPr>
      </w:pPr>
      <w:r w:rsidRPr="006A3716">
        <w:rPr>
          <w:i/>
          <w:iCs/>
          <w:sz w:val="24"/>
          <w:szCs w:val="24"/>
        </w:rPr>
        <w:t>Maltitol</w:t>
      </w:r>
    </w:p>
    <w:p w14:paraId="607025A2" w14:textId="77777777" w:rsidR="006A3716" w:rsidRPr="006A3716" w:rsidRDefault="006A3716" w:rsidP="006A3716">
      <w:pPr>
        <w:tabs>
          <w:tab w:val="left" w:pos="851"/>
        </w:tabs>
        <w:ind w:left="851"/>
        <w:rPr>
          <w:sz w:val="24"/>
          <w:szCs w:val="24"/>
        </w:rPr>
      </w:pPr>
      <w:r w:rsidRPr="006A3716">
        <w:rPr>
          <w:sz w:val="24"/>
          <w:szCs w:val="24"/>
        </w:rPr>
        <w:t>Epistatus indeholder maltitol. Bør ikke anvendes til patienter med hereditær fructoseintolerans.</w:t>
      </w:r>
    </w:p>
    <w:p w14:paraId="4960AD57" w14:textId="77777777" w:rsidR="006A3716" w:rsidRPr="006A3716" w:rsidRDefault="006A3716" w:rsidP="006A3716">
      <w:pPr>
        <w:tabs>
          <w:tab w:val="left" w:pos="851"/>
        </w:tabs>
        <w:ind w:left="851"/>
        <w:rPr>
          <w:sz w:val="24"/>
          <w:szCs w:val="24"/>
        </w:rPr>
      </w:pPr>
    </w:p>
    <w:p w14:paraId="1CE6B541" w14:textId="77777777" w:rsidR="006A3716" w:rsidRPr="006A3716" w:rsidRDefault="006A3716" w:rsidP="006A3716">
      <w:pPr>
        <w:tabs>
          <w:tab w:val="left" w:pos="851"/>
        </w:tabs>
        <w:ind w:left="851"/>
        <w:rPr>
          <w:i/>
          <w:iCs/>
          <w:sz w:val="24"/>
          <w:szCs w:val="24"/>
        </w:rPr>
      </w:pPr>
      <w:r w:rsidRPr="006A3716">
        <w:rPr>
          <w:i/>
          <w:iCs/>
          <w:sz w:val="24"/>
          <w:szCs w:val="24"/>
        </w:rPr>
        <w:t>Ethanol</w:t>
      </w:r>
    </w:p>
    <w:p w14:paraId="59C43F80" w14:textId="77777777" w:rsidR="006A3716" w:rsidRPr="006A3716" w:rsidRDefault="006A3716" w:rsidP="006A3716">
      <w:pPr>
        <w:tabs>
          <w:tab w:val="left" w:pos="851"/>
        </w:tabs>
        <w:ind w:left="851"/>
        <w:rPr>
          <w:sz w:val="24"/>
          <w:szCs w:val="24"/>
        </w:rPr>
      </w:pPr>
      <w:r w:rsidRPr="006A3716">
        <w:rPr>
          <w:sz w:val="24"/>
          <w:szCs w:val="24"/>
        </w:rPr>
        <w:t>Hver ml Epistatus mundhulevæske, opløsning indeholder 197 mg ethanol. Mængden pr. dosis svarer til mindre end 5 ml øl eller 2 ml vin.</w:t>
      </w:r>
    </w:p>
    <w:p w14:paraId="58C4F6E0" w14:textId="77777777" w:rsidR="006A3716" w:rsidRPr="006A3716" w:rsidRDefault="006A3716" w:rsidP="006A3716">
      <w:pPr>
        <w:tabs>
          <w:tab w:val="left" w:pos="851"/>
        </w:tabs>
        <w:ind w:left="851"/>
        <w:rPr>
          <w:sz w:val="24"/>
          <w:szCs w:val="24"/>
        </w:rPr>
      </w:pPr>
    </w:p>
    <w:p w14:paraId="173FE65D" w14:textId="77777777" w:rsidR="006A3716" w:rsidRPr="006A3716" w:rsidRDefault="006A3716" w:rsidP="006A3716">
      <w:pPr>
        <w:tabs>
          <w:tab w:val="left" w:pos="851"/>
        </w:tabs>
        <w:ind w:left="851"/>
        <w:rPr>
          <w:sz w:val="24"/>
          <w:szCs w:val="24"/>
        </w:rPr>
      </w:pPr>
      <w:r w:rsidRPr="006A3716">
        <w:rPr>
          <w:sz w:val="24"/>
          <w:szCs w:val="24"/>
        </w:rPr>
        <w:t>Den mindre mængde alkohol i dette lægemiddel vil ikke have nogen nævneværdig effekt.</w:t>
      </w:r>
    </w:p>
    <w:p w14:paraId="09754259" w14:textId="77777777" w:rsidR="006A3716" w:rsidRPr="006A3716" w:rsidRDefault="006A3716" w:rsidP="006A3716">
      <w:pPr>
        <w:tabs>
          <w:tab w:val="left" w:pos="851"/>
        </w:tabs>
        <w:ind w:left="851"/>
        <w:rPr>
          <w:sz w:val="24"/>
          <w:szCs w:val="24"/>
        </w:rPr>
      </w:pPr>
    </w:p>
    <w:p w14:paraId="727F0B86" w14:textId="77777777" w:rsidR="006A3716" w:rsidRPr="006A3716" w:rsidRDefault="006A3716" w:rsidP="006A3716">
      <w:pPr>
        <w:tabs>
          <w:tab w:val="left" w:pos="851"/>
        </w:tabs>
        <w:ind w:left="851"/>
        <w:rPr>
          <w:i/>
          <w:iCs/>
          <w:sz w:val="24"/>
          <w:szCs w:val="24"/>
        </w:rPr>
      </w:pPr>
      <w:r w:rsidRPr="006A3716">
        <w:rPr>
          <w:i/>
          <w:iCs/>
          <w:sz w:val="24"/>
          <w:szCs w:val="24"/>
        </w:rPr>
        <w:t>Natrium</w:t>
      </w:r>
    </w:p>
    <w:p w14:paraId="0EEA008E" w14:textId="77777777" w:rsidR="006A3716" w:rsidRPr="006A3716" w:rsidRDefault="006A3716" w:rsidP="006A3716">
      <w:pPr>
        <w:tabs>
          <w:tab w:val="left" w:pos="851"/>
        </w:tabs>
        <w:ind w:left="851"/>
        <w:rPr>
          <w:sz w:val="24"/>
          <w:szCs w:val="24"/>
        </w:rPr>
      </w:pPr>
      <w:r w:rsidRPr="006A3716">
        <w:rPr>
          <w:sz w:val="24"/>
          <w:szCs w:val="24"/>
        </w:rPr>
        <w:t>Epistatus indeholder mindre end 1 mmol (23 mg) natrium pr. dosis, dvs. det er i det væsentlige natriumfrit.</w:t>
      </w:r>
    </w:p>
    <w:p w14:paraId="55F03131" w14:textId="77777777" w:rsidR="009260DE" w:rsidRPr="00C84483" w:rsidRDefault="009260DE" w:rsidP="009260DE">
      <w:pPr>
        <w:tabs>
          <w:tab w:val="left" w:pos="851"/>
        </w:tabs>
        <w:ind w:left="851"/>
        <w:rPr>
          <w:sz w:val="24"/>
          <w:szCs w:val="24"/>
        </w:rPr>
      </w:pPr>
    </w:p>
    <w:p w14:paraId="7A9C13D7"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BA0AA3A" w14:textId="77777777" w:rsidR="006A3716" w:rsidRPr="006A3716" w:rsidRDefault="006A3716" w:rsidP="006A3716">
      <w:pPr>
        <w:tabs>
          <w:tab w:val="left" w:pos="851"/>
        </w:tabs>
        <w:ind w:left="851"/>
        <w:rPr>
          <w:sz w:val="24"/>
          <w:szCs w:val="24"/>
        </w:rPr>
      </w:pPr>
      <w:r w:rsidRPr="006A3716">
        <w:rPr>
          <w:sz w:val="24"/>
          <w:szCs w:val="24"/>
        </w:rPr>
        <w:t>Midazolam metaboliseres af cytokrom P450 3A4-isozym (CYP3A4). Hæmmere og inducere af CYP3A4 har potentialet til hhv. at forøge og nedsætte plasmakoncentrationerne og derved virkningerne af midazolam, således at der kræves dosisjusteringer i henhold hertil. Farmakokinetiske interaktioner med CYP3A4-hæmmere eller -inducere er mere udprægede for midazolam indgivet oralt sammenlignet med indgivelse via mundhulen eller parenteral indgivelse, da CYP3A4-enzymer også er til stede i den øvre del af mave-tarm-kanalen. Efter indgivelse via mundhulen vil kun den systemiske clearance blive påvirket. Efter en enkelt dosis af midazolam indgivet via mundhulen vil konsekvensen af den maksimale kliniske virkning, der skyldes CYP3A4-hæmmere, være af mindre betydning, mens virkningens varighed kan være forlænget. Derfor anbefales nøje overvågning af kliniske virkninger og vitale tegn under anvendelse af midazolam sammen med en CYP3A4-hæmmer, selv efter en enkelt dosis.</w:t>
      </w:r>
    </w:p>
    <w:p w14:paraId="1DAF5561" w14:textId="77777777" w:rsidR="006A3716" w:rsidRPr="006A3716" w:rsidRDefault="006A3716" w:rsidP="006A3716">
      <w:pPr>
        <w:tabs>
          <w:tab w:val="left" w:pos="851"/>
        </w:tabs>
        <w:ind w:left="851"/>
        <w:rPr>
          <w:sz w:val="24"/>
          <w:szCs w:val="24"/>
        </w:rPr>
      </w:pPr>
    </w:p>
    <w:p w14:paraId="6A6B29B3" w14:textId="3F3C8415" w:rsidR="006A3716" w:rsidRPr="006A3716" w:rsidRDefault="006A3716" w:rsidP="006A3716">
      <w:pPr>
        <w:tabs>
          <w:tab w:val="left" w:pos="851"/>
        </w:tabs>
        <w:ind w:left="851"/>
        <w:rPr>
          <w:sz w:val="24"/>
          <w:szCs w:val="24"/>
        </w:rPr>
      </w:pPr>
      <w:r w:rsidRPr="006A3716">
        <w:rPr>
          <w:sz w:val="24"/>
          <w:szCs w:val="24"/>
          <w:u w:val="single"/>
        </w:rPr>
        <w:t>Anæstetika og narkotiske analgetika</w:t>
      </w:r>
    </w:p>
    <w:p w14:paraId="2C2BB276" w14:textId="77777777" w:rsidR="006A3716" w:rsidRPr="006A3716" w:rsidRDefault="006A3716" w:rsidP="006A3716">
      <w:pPr>
        <w:tabs>
          <w:tab w:val="left" w:pos="851"/>
        </w:tabs>
        <w:ind w:left="851"/>
        <w:rPr>
          <w:sz w:val="24"/>
          <w:szCs w:val="24"/>
        </w:rPr>
      </w:pPr>
      <w:r w:rsidRPr="006A3716">
        <w:rPr>
          <w:sz w:val="24"/>
          <w:szCs w:val="24"/>
        </w:rPr>
        <w:t>Fentanyl kan reducere clearance af midazolam.</w:t>
      </w:r>
    </w:p>
    <w:p w14:paraId="236A2B11" w14:textId="77777777" w:rsidR="006A3716" w:rsidRPr="006A3716" w:rsidRDefault="006A3716" w:rsidP="006A3716">
      <w:pPr>
        <w:tabs>
          <w:tab w:val="left" w:pos="851"/>
        </w:tabs>
        <w:ind w:left="851"/>
        <w:rPr>
          <w:sz w:val="24"/>
          <w:szCs w:val="24"/>
          <w:u w:val="single"/>
        </w:rPr>
      </w:pPr>
    </w:p>
    <w:p w14:paraId="3B02E89E" w14:textId="0FA3F592" w:rsidR="006A3716" w:rsidRPr="006A3716" w:rsidRDefault="006A3716" w:rsidP="006A3716">
      <w:pPr>
        <w:tabs>
          <w:tab w:val="left" w:pos="851"/>
        </w:tabs>
        <w:ind w:left="851"/>
        <w:rPr>
          <w:sz w:val="24"/>
          <w:szCs w:val="24"/>
        </w:rPr>
      </w:pPr>
      <w:r w:rsidRPr="006A3716">
        <w:rPr>
          <w:sz w:val="24"/>
          <w:szCs w:val="24"/>
          <w:u w:val="single"/>
        </w:rPr>
        <w:t>Antiepileptika</w:t>
      </w:r>
    </w:p>
    <w:p w14:paraId="79A2CD23" w14:textId="77777777" w:rsidR="006A3716" w:rsidRPr="006A3716" w:rsidRDefault="006A3716" w:rsidP="006A3716">
      <w:pPr>
        <w:tabs>
          <w:tab w:val="left" w:pos="851"/>
        </w:tabs>
        <w:ind w:left="851"/>
        <w:rPr>
          <w:sz w:val="24"/>
          <w:szCs w:val="24"/>
        </w:rPr>
      </w:pPr>
      <w:r w:rsidRPr="006A3716">
        <w:rPr>
          <w:sz w:val="24"/>
          <w:szCs w:val="24"/>
        </w:rPr>
        <w:t>Indgivelse sammen med midazolam kan forårsage forøget sedation eller respirationsdepression eller kardiovaskulær depression. Midazolam kan påvirke andre lægemidler, der metaboliseres via leveren, f.eks. phenytoin, hvilket forårsager potensering.</w:t>
      </w:r>
    </w:p>
    <w:p w14:paraId="75A4AC73" w14:textId="77777777" w:rsidR="006A3716" w:rsidRPr="006A3716" w:rsidRDefault="006A3716" w:rsidP="006A3716">
      <w:pPr>
        <w:tabs>
          <w:tab w:val="left" w:pos="851"/>
        </w:tabs>
        <w:ind w:left="851"/>
        <w:rPr>
          <w:sz w:val="24"/>
          <w:szCs w:val="24"/>
          <w:u w:val="single"/>
        </w:rPr>
      </w:pPr>
    </w:p>
    <w:p w14:paraId="4978B7FB" w14:textId="201090A6" w:rsidR="006A3716" w:rsidRPr="006A3716" w:rsidRDefault="006A3716" w:rsidP="006A3716">
      <w:pPr>
        <w:tabs>
          <w:tab w:val="left" w:pos="851"/>
        </w:tabs>
        <w:ind w:left="851"/>
        <w:rPr>
          <w:sz w:val="24"/>
          <w:szCs w:val="24"/>
        </w:rPr>
      </w:pPr>
      <w:r w:rsidRPr="006A3716">
        <w:rPr>
          <w:sz w:val="24"/>
          <w:szCs w:val="24"/>
          <w:u w:val="single"/>
        </w:rPr>
        <w:lastRenderedPageBreak/>
        <w:t>Dopaminerge lægemidler</w:t>
      </w:r>
    </w:p>
    <w:p w14:paraId="3736E9EE" w14:textId="77777777" w:rsidR="006A3716" w:rsidRPr="006A3716" w:rsidRDefault="006A3716" w:rsidP="006A3716">
      <w:pPr>
        <w:tabs>
          <w:tab w:val="left" w:pos="851"/>
        </w:tabs>
        <w:ind w:left="851"/>
        <w:rPr>
          <w:sz w:val="24"/>
          <w:szCs w:val="24"/>
        </w:rPr>
      </w:pPr>
      <w:r w:rsidRPr="006A3716">
        <w:rPr>
          <w:sz w:val="24"/>
          <w:szCs w:val="24"/>
        </w:rPr>
        <w:t>Midazolam kan forårsage hæmning af levodopa.</w:t>
      </w:r>
    </w:p>
    <w:p w14:paraId="50B92FD1" w14:textId="77777777" w:rsidR="006A3716" w:rsidRPr="006A3716" w:rsidRDefault="006A3716" w:rsidP="006A3716">
      <w:pPr>
        <w:tabs>
          <w:tab w:val="left" w:pos="851"/>
        </w:tabs>
        <w:ind w:left="851"/>
        <w:rPr>
          <w:sz w:val="24"/>
          <w:szCs w:val="24"/>
          <w:u w:val="single"/>
        </w:rPr>
      </w:pPr>
    </w:p>
    <w:p w14:paraId="6B6C5564" w14:textId="3689E308" w:rsidR="006A3716" w:rsidRPr="006A3716" w:rsidRDefault="006A3716" w:rsidP="006A3716">
      <w:pPr>
        <w:tabs>
          <w:tab w:val="left" w:pos="851"/>
        </w:tabs>
        <w:ind w:left="851"/>
        <w:rPr>
          <w:sz w:val="24"/>
          <w:szCs w:val="24"/>
        </w:rPr>
      </w:pPr>
      <w:r w:rsidRPr="006A3716">
        <w:rPr>
          <w:sz w:val="24"/>
          <w:szCs w:val="24"/>
          <w:u w:val="single"/>
        </w:rPr>
        <w:t>Muskelrelaksantia</w:t>
      </w:r>
      <w:r w:rsidRPr="006A3716">
        <w:rPr>
          <w:sz w:val="24"/>
          <w:szCs w:val="24"/>
        </w:rPr>
        <w:t xml:space="preserve"> f.eks. baclofen.</w:t>
      </w:r>
    </w:p>
    <w:p w14:paraId="3614CFD2" w14:textId="77777777" w:rsidR="006A3716" w:rsidRPr="006A3716" w:rsidRDefault="006A3716" w:rsidP="006A3716">
      <w:pPr>
        <w:tabs>
          <w:tab w:val="left" w:pos="851"/>
        </w:tabs>
        <w:ind w:left="851"/>
        <w:rPr>
          <w:sz w:val="24"/>
          <w:szCs w:val="24"/>
        </w:rPr>
      </w:pPr>
      <w:r w:rsidRPr="006A3716">
        <w:rPr>
          <w:sz w:val="24"/>
          <w:szCs w:val="24"/>
        </w:rPr>
        <w:t>Midazolam kan forårsage potensering af muskelrelaksantia med forhøjede CNS-undertrykkende virkninger.</w:t>
      </w:r>
    </w:p>
    <w:p w14:paraId="577573BE" w14:textId="77777777" w:rsidR="006A3716" w:rsidRPr="006A3716" w:rsidRDefault="006A3716" w:rsidP="006A3716">
      <w:pPr>
        <w:tabs>
          <w:tab w:val="left" w:pos="851"/>
        </w:tabs>
        <w:ind w:left="851"/>
        <w:rPr>
          <w:sz w:val="24"/>
          <w:szCs w:val="24"/>
          <w:u w:val="single"/>
        </w:rPr>
      </w:pPr>
    </w:p>
    <w:p w14:paraId="4FE632AA" w14:textId="62D7829F" w:rsidR="006A3716" w:rsidRPr="006A3716" w:rsidRDefault="006A3716" w:rsidP="006A3716">
      <w:pPr>
        <w:tabs>
          <w:tab w:val="left" w:pos="851"/>
        </w:tabs>
        <w:ind w:left="851"/>
        <w:rPr>
          <w:sz w:val="24"/>
          <w:szCs w:val="24"/>
        </w:rPr>
      </w:pPr>
      <w:r w:rsidRPr="006A3716">
        <w:rPr>
          <w:sz w:val="24"/>
          <w:szCs w:val="24"/>
          <w:u w:val="single"/>
        </w:rPr>
        <w:t>Nabilon</w:t>
      </w:r>
    </w:p>
    <w:p w14:paraId="4D327A26" w14:textId="77777777" w:rsidR="006A3716" w:rsidRPr="006A3716" w:rsidRDefault="006A3716" w:rsidP="006A3716">
      <w:pPr>
        <w:tabs>
          <w:tab w:val="left" w:pos="851"/>
        </w:tabs>
        <w:ind w:left="851"/>
        <w:rPr>
          <w:sz w:val="24"/>
          <w:szCs w:val="24"/>
        </w:rPr>
      </w:pPr>
      <w:r w:rsidRPr="006A3716">
        <w:rPr>
          <w:sz w:val="24"/>
          <w:szCs w:val="24"/>
        </w:rPr>
        <w:t>Indgivelse sammen med midazolam kan forårsage forøget sedation eller respirationsdepression og kardiovaskulær depression.</w:t>
      </w:r>
    </w:p>
    <w:p w14:paraId="2484EE34" w14:textId="77777777" w:rsidR="006A3716" w:rsidRPr="006A3716" w:rsidRDefault="006A3716" w:rsidP="006A3716">
      <w:pPr>
        <w:tabs>
          <w:tab w:val="left" w:pos="851"/>
        </w:tabs>
        <w:ind w:left="851"/>
        <w:rPr>
          <w:sz w:val="24"/>
          <w:szCs w:val="24"/>
        </w:rPr>
      </w:pPr>
    </w:p>
    <w:p w14:paraId="1AB31809" w14:textId="00BAEA01" w:rsidR="006A3716" w:rsidRPr="006A3716" w:rsidRDefault="006A3716" w:rsidP="006A3716">
      <w:pPr>
        <w:tabs>
          <w:tab w:val="left" w:pos="851"/>
        </w:tabs>
        <w:ind w:left="851"/>
        <w:rPr>
          <w:sz w:val="24"/>
          <w:szCs w:val="24"/>
          <w:u w:val="single"/>
        </w:rPr>
      </w:pPr>
      <w:r w:rsidRPr="006A3716">
        <w:rPr>
          <w:sz w:val="24"/>
          <w:szCs w:val="24"/>
          <w:u w:val="single"/>
        </w:rPr>
        <w:t>Opioider</w:t>
      </w:r>
    </w:p>
    <w:p w14:paraId="63ADCE42" w14:textId="77777777" w:rsidR="006A3716" w:rsidRPr="006A3716" w:rsidRDefault="006A3716" w:rsidP="006A3716">
      <w:pPr>
        <w:tabs>
          <w:tab w:val="left" w:pos="851"/>
        </w:tabs>
        <w:ind w:left="851"/>
        <w:rPr>
          <w:sz w:val="24"/>
          <w:szCs w:val="24"/>
        </w:rPr>
      </w:pPr>
      <w:r w:rsidRPr="006A3716">
        <w:rPr>
          <w:sz w:val="24"/>
          <w:szCs w:val="24"/>
        </w:rPr>
        <w:t>Anvendelse af sedativa, såsom benzodiazepiner eller beslægtede lægemidler såsom Epistatus, sammen med opioider øger risikoen for sedation, respirationsdepression, koma og dødsfald som følge af additiv CNS-undertrykkende virkning. Dosering og varighed af samtidig brug skal begrænses (se pkt. 4.4).</w:t>
      </w:r>
    </w:p>
    <w:p w14:paraId="1DCEB4A3" w14:textId="77777777" w:rsidR="006A3716" w:rsidRPr="006A3716" w:rsidRDefault="006A3716" w:rsidP="006A3716">
      <w:pPr>
        <w:tabs>
          <w:tab w:val="left" w:pos="851"/>
        </w:tabs>
        <w:ind w:left="851"/>
        <w:rPr>
          <w:sz w:val="24"/>
          <w:szCs w:val="24"/>
          <w:u w:val="single"/>
        </w:rPr>
      </w:pPr>
    </w:p>
    <w:p w14:paraId="1DF491F5" w14:textId="1DAFCC7B" w:rsidR="006A3716" w:rsidRPr="006A3716" w:rsidRDefault="006A3716" w:rsidP="006A3716">
      <w:pPr>
        <w:tabs>
          <w:tab w:val="left" w:pos="851"/>
        </w:tabs>
        <w:ind w:left="851"/>
        <w:rPr>
          <w:sz w:val="24"/>
          <w:szCs w:val="24"/>
        </w:rPr>
      </w:pPr>
      <w:r w:rsidRPr="006A3716">
        <w:rPr>
          <w:sz w:val="24"/>
          <w:szCs w:val="24"/>
          <w:u w:val="single"/>
        </w:rPr>
        <w:t>Ulcus-helende lægemidler</w:t>
      </w:r>
    </w:p>
    <w:p w14:paraId="4A901515" w14:textId="77777777" w:rsidR="006A3716" w:rsidRPr="006A3716" w:rsidRDefault="006A3716" w:rsidP="006A3716">
      <w:pPr>
        <w:tabs>
          <w:tab w:val="left" w:pos="851"/>
        </w:tabs>
        <w:ind w:left="851"/>
        <w:rPr>
          <w:sz w:val="24"/>
          <w:szCs w:val="24"/>
        </w:rPr>
      </w:pPr>
      <w:r w:rsidRPr="006A3716">
        <w:rPr>
          <w:sz w:val="24"/>
          <w:szCs w:val="24"/>
        </w:rPr>
        <w:t>Cimetidin, ranitidin og omeprazol har vist sig at reducere clearance af midazolam og andre benzodiazepiner og kan potensere deres virkninger.</w:t>
      </w:r>
    </w:p>
    <w:p w14:paraId="14859F7F" w14:textId="77777777" w:rsidR="006A3716" w:rsidRPr="006A3716" w:rsidRDefault="006A3716" w:rsidP="006A3716">
      <w:pPr>
        <w:tabs>
          <w:tab w:val="left" w:pos="851"/>
        </w:tabs>
        <w:ind w:left="851"/>
        <w:rPr>
          <w:sz w:val="24"/>
          <w:szCs w:val="24"/>
          <w:u w:val="single"/>
        </w:rPr>
      </w:pPr>
    </w:p>
    <w:p w14:paraId="65448EF2" w14:textId="7C445349" w:rsidR="006A3716" w:rsidRPr="006A3716" w:rsidRDefault="006A3716" w:rsidP="006A3716">
      <w:pPr>
        <w:tabs>
          <w:tab w:val="left" w:pos="851"/>
        </w:tabs>
        <w:ind w:left="851"/>
        <w:rPr>
          <w:sz w:val="24"/>
          <w:szCs w:val="24"/>
        </w:rPr>
      </w:pPr>
      <w:r w:rsidRPr="006A3716">
        <w:rPr>
          <w:sz w:val="24"/>
          <w:szCs w:val="24"/>
          <w:u w:val="single"/>
        </w:rPr>
        <w:t>Xanthiner</w:t>
      </w:r>
    </w:p>
    <w:p w14:paraId="122CC284" w14:textId="77777777" w:rsidR="006A3716" w:rsidRPr="006A3716" w:rsidRDefault="006A3716" w:rsidP="006A3716">
      <w:pPr>
        <w:tabs>
          <w:tab w:val="left" w:pos="851"/>
        </w:tabs>
        <w:ind w:left="851"/>
        <w:rPr>
          <w:sz w:val="24"/>
          <w:szCs w:val="24"/>
        </w:rPr>
      </w:pPr>
      <w:r w:rsidRPr="006A3716">
        <w:rPr>
          <w:sz w:val="24"/>
          <w:szCs w:val="24"/>
        </w:rPr>
        <w:t>Metabolismen af midazolam og andre benzodiazepiner accelereres af xanthiner.</w:t>
      </w:r>
    </w:p>
    <w:p w14:paraId="5A2F0B4F" w14:textId="77777777" w:rsidR="006A3716" w:rsidRPr="006A3716" w:rsidRDefault="006A3716" w:rsidP="006A3716">
      <w:pPr>
        <w:tabs>
          <w:tab w:val="left" w:pos="851"/>
        </w:tabs>
        <w:ind w:left="851"/>
        <w:rPr>
          <w:i/>
          <w:iCs/>
          <w:sz w:val="24"/>
          <w:szCs w:val="24"/>
          <w:u w:val="single"/>
        </w:rPr>
      </w:pPr>
    </w:p>
    <w:p w14:paraId="59D1A8DE" w14:textId="643C2399" w:rsidR="006A3716" w:rsidRPr="006A3716" w:rsidRDefault="006A3716" w:rsidP="006A3716">
      <w:pPr>
        <w:tabs>
          <w:tab w:val="left" w:pos="851"/>
        </w:tabs>
        <w:ind w:left="851"/>
        <w:rPr>
          <w:sz w:val="24"/>
          <w:szCs w:val="24"/>
        </w:rPr>
      </w:pPr>
      <w:r w:rsidRPr="006A3716">
        <w:rPr>
          <w:sz w:val="24"/>
          <w:szCs w:val="24"/>
          <w:u w:val="single"/>
        </w:rPr>
        <w:t>CYP3A4-hæmmere</w:t>
      </w:r>
    </w:p>
    <w:p w14:paraId="5B483E50" w14:textId="77777777" w:rsidR="006A3716" w:rsidRPr="006A3716" w:rsidRDefault="006A3716" w:rsidP="006A3716">
      <w:pPr>
        <w:tabs>
          <w:tab w:val="left" w:pos="851"/>
        </w:tabs>
        <w:ind w:left="851"/>
        <w:rPr>
          <w:sz w:val="24"/>
          <w:szCs w:val="24"/>
        </w:rPr>
      </w:pPr>
      <w:r w:rsidRPr="006A3716">
        <w:rPr>
          <w:sz w:val="24"/>
          <w:szCs w:val="24"/>
        </w:rPr>
        <w:t>Lægemiddelinteraktioner efter indgivelse af midazolam via mundhulen ligner sandsynligvis mere dem, der observeres efter intravenøst midazolam end efter oral indgivelse.</w:t>
      </w:r>
    </w:p>
    <w:p w14:paraId="7D8B71F4" w14:textId="77777777" w:rsidR="006A3716" w:rsidRPr="006A3716" w:rsidRDefault="006A3716" w:rsidP="006A3716">
      <w:pPr>
        <w:tabs>
          <w:tab w:val="left" w:pos="851"/>
        </w:tabs>
        <w:ind w:left="851"/>
        <w:rPr>
          <w:sz w:val="24"/>
          <w:szCs w:val="24"/>
          <w:u w:val="single"/>
        </w:rPr>
      </w:pPr>
    </w:p>
    <w:p w14:paraId="699F973F" w14:textId="722E816A" w:rsidR="006A3716" w:rsidRPr="006A3716" w:rsidRDefault="006A3716" w:rsidP="006A3716">
      <w:pPr>
        <w:tabs>
          <w:tab w:val="left" w:pos="851"/>
        </w:tabs>
        <w:ind w:left="851"/>
        <w:rPr>
          <w:sz w:val="24"/>
          <w:szCs w:val="24"/>
          <w:u w:val="single"/>
        </w:rPr>
      </w:pPr>
      <w:r w:rsidRPr="006A3716">
        <w:rPr>
          <w:sz w:val="24"/>
          <w:szCs w:val="24"/>
          <w:u w:val="single"/>
        </w:rPr>
        <w:t>Fødevarer</w:t>
      </w:r>
    </w:p>
    <w:p w14:paraId="2A7A4499" w14:textId="77777777" w:rsidR="006A3716" w:rsidRPr="006A3716" w:rsidRDefault="006A3716" w:rsidP="006A3716">
      <w:pPr>
        <w:tabs>
          <w:tab w:val="left" w:pos="851"/>
        </w:tabs>
        <w:ind w:left="851"/>
        <w:rPr>
          <w:sz w:val="24"/>
          <w:szCs w:val="24"/>
        </w:rPr>
      </w:pPr>
      <w:r w:rsidRPr="006A3716">
        <w:rPr>
          <w:sz w:val="24"/>
          <w:szCs w:val="24"/>
        </w:rPr>
        <w:t>Grapefrugtjuice reducerer clearance af midazolam og potenserer dets virkning.</w:t>
      </w:r>
    </w:p>
    <w:p w14:paraId="2FA66CF6" w14:textId="77777777" w:rsidR="006A3716" w:rsidRPr="006A3716" w:rsidRDefault="006A3716" w:rsidP="006A3716">
      <w:pPr>
        <w:tabs>
          <w:tab w:val="left" w:pos="851"/>
        </w:tabs>
        <w:ind w:left="851"/>
        <w:rPr>
          <w:sz w:val="24"/>
          <w:szCs w:val="24"/>
          <w:u w:val="single"/>
        </w:rPr>
      </w:pPr>
    </w:p>
    <w:p w14:paraId="1EAEE8DE" w14:textId="7D27C1BB" w:rsidR="006A3716" w:rsidRPr="006A3716" w:rsidRDefault="006A3716" w:rsidP="006A3716">
      <w:pPr>
        <w:tabs>
          <w:tab w:val="left" w:pos="851"/>
        </w:tabs>
        <w:ind w:left="851"/>
        <w:rPr>
          <w:sz w:val="24"/>
          <w:szCs w:val="24"/>
          <w:u w:val="single"/>
        </w:rPr>
      </w:pPr>
      <w:r w:rsidRPr="006A3716">
        <w:rPr>
          <w:sz w:val="24"/>
          <w:szCs w:val="24"/>
          <w:u w:val="single"/>
        </w:rPr>
        <w:t>Azol-antimykotika</w:t>
      </w:r>
    </w:p>
    <w:p w14:paraId="37285BC6"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Ketoconazol femdoblede plasmakoncentrationerne af intravenøst midazolam, mens den terminale halveringstid blev cirka tredoblet.</w:t>
      </w:r>
    </w:p>
    <w:p w14:paraId="22558D94"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Voriconazol tredoblede eksponeringen over for intravenøst midazolam, mens eliminationshalveringstiden blev cirka tredoblet.</w:t>
      </w:r>
    </w:p>
    <w:p w14:paraId="472527A7"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Fluconazol og itraconazol forøgede begge plasmakoncentrationerne af intravenøst midazolam med 2</w:t>
      </w:r>
      <w:r w:rsidRPr="006A3716">
        <w:rPr>
          <w:sz w:val="24"/>
          <w:szCs w:val="24"/>
        </w:rPr>
        <w:noBreakHyphen/>
        <w:t>3 gange i forbindelse med en forøgelse i terminal halveringstid med 2,4 gange for itraconazol og 1,5 gange for fluconazol.</w:t>
      </w:r>
    </w:p>
    <w:p w14:paraId="776F170B"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Posaconazol førte til cirka en fordobling af plasmakoncentrationerne af intravenøst midazolam.</w:t>
      </w:r>
    </w:p>
    <w:p w14:paraId="7BD3F7FB" w14:textId="77777777" w:rsidR="006A3716" w:rsidRPr="006A3716" w:rsidRDefault="006A3716" w:rsidP="006A3716">
      <w:pPr>
        <w:tabs>
          <w:tab w:val="left" w:pos="851"/>
        </w:tabs>
        <w:ind w:left="851"/>
        <w:rPr>
          <w:sz w:val="24"/>
          <w:szCs w:val="24"/>
          <w:u w:val="single"/>
        </w:rPr>
      </w:pPr>
    </w:p>
    <w:p w14:paraId="0DDD431C" w14:textId="79401772" w:rsidR="006A3716" w:rsidRPr="006A3716" w:rsidRDefault="006A3716" w:rsidP="006A3716">
      <w:pPr>
        <w:tabs>
          <w:tab w:val="left" w:pos="851"/>
        </w:tabs>
        <w:ind w:left="851"/>
        <w:rPr>
          <w:sz w:val="24"/>
          <w:szCs w:val="24"/>
          <w:u w:val="single"/>
        </w:rPr>
      </w:pPr>
      <w:r w:rsidRPr="006A3716">
        <w:rPr>
          <w:sz w:val="24"/>
          <w:szCs w:val="24"/>
          <w:u w:val="single"/>
        </w:rPr>
        <w:t>Makrolid-antibiotika</w:t>
      </w:r>
    </w:p>
    <w:p w14:paraId="7C644470"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Erythromycin resulterede i en forøgelse af plasmakoncentrationerne af intravenøst midazolam med cirka 1,6 til 2 gange i forbindelse med en forøgelse af den terminale halveringstid af midazolam med 1,5 til 1,8 gange.</w:t>
      </w:r>
    </w:p>
    <w:p w14:paraId="2DA27087" w14:textId="77777777" w:rsidR="006A3716" w:rsidRPr="006A3716" w:rsidRDefault="006A3716" w:rsidP="006A3716">
      <w:pPr>
        <w:numPr>
          <w:ilvl w:val="0"/>
          <w:numId w:val="6"/>
        </w:numPr>
        <w:tabs>
          <w:tab w:val="left" w:pos="851"/>
        </w:tabs>
        <w:ind w:left="1134" w:hanging="283"/>
        <w:rPr>
          <w:sz w:val="24"/>
          <w:szCs w:val="24"/>
        </w:rPr>
      </w:pPr>
      <w:r w:rsidRPr="006A3716">
        <w:rPr>
          <w:sz w:val="24"/>
          <w:szCs w:val="24"/>
        </w:rPr>
        <w:t>Clarithromycin forøgede plasmakoncentrationerne af intravenøst midazolam med op til 2,5 gange i forbindelse med en forøgelse af den terminale halveringstid med 1,5 til 2 gange.</w:t>
      </w:r>
    </w:p>
    <w:p w14:paraId="4BC3BDFD" w14:textId="77777777" w:rsidR="006A3716" w:rsidRPr="006A3716" w:rsidRDefault="006A3716" w:rsidP="006A3716">
      <w:pPr>
        <w:tabs>
          <w:tab w:val="left" w:pos="851"/>
        </w:tabs>
        <w:ind w:left="851"/>
        <w:rPr>
          <w:sz w:val="24"/>
          <w:szCs w:val="24"/>
          <w:u w:val="single"/>
        </w:rPr>
      </w:pPr>
    </w:p>
    <w:p w14:paraId="2F5C6FAC" w14:textId="3097F2F4" w:rsidR="006A3716" w:rsidRPr="006A3716" w:rsidRDefault="006A3716" w:rsidP="006A3716">
      <w:pPr>
        <w:tabs>
          <w:tab w:val="left" w:pos="851"/>
        </w:tabs>
        <w:ind w:left="851"/>
        <w:rPr>
          <w:sz w:val="24"/>
          <w:szCs w:val="24"/>
        </w:rPr>
      </w:pPr>
      <w:r w:rsidRPr="006A3716">
        <w:rPr>
          <w:sz w:val="24"/>
          <w:szCs w:val="24"/>
          <w:u w:val="single"/>
        </w:rPr>
        <w:lastRenderedPageBreak/>
        <w:t>Hiv-proteasehæmmerne (Saquinavir og andre hiv-proteasehæmmere)</w:t>
      </w:r>
    </w:p>
    <w:p w14:paraId="0834EE62" w14:textId="77777777" w:rsidR="006A3716" w:rsidRPr="006A3716" w:rsidRDefault="006A3716" w:rsidP="006A3716">
      <w:pPr>
        <w:tabs>
          <w:tab w:val="left" w:pos="851"/>
        </w:tabs>
        <w:ind w:left="851"/>
        <w:rPr>
          <w:sz w:val="24"/>
          <w:szCs w:val="24"/>
        </w:rPr>
      </w:pPr>
      <w:r w:rsidRPr="006A3716">
        <w:rPr>
          <w:sz w:val="24"/>
          <w:szCs w:val="24"/>
        </w:rPr>
        <w:t>Indgivelse sammen med proteasehæmmere kan give anledning til en kraftig forøgelse af koncentrationen af midazolam. Ved indgivelse sammen med ritonavir-boostet lopinavir var plasmakoncentrationerne af intravenøst midazolam forøget 5,4 gange i forbindelse med en lignende stigning i den terminale halveringstid.</w:t>
      </w:r>
    </w:p>
    <w:p w14:paraId="71A9D15B" w14:textId="77777777" w:rsidR="006A3716" w:rsidRPr="006A3716" w:rsidRDefault="006A3716" w:rsidP="006A3716">
      <w:pPr>
        <w:tabs>
          <w:tab w:val="left" w:pos="851"/>
        </w:tabs>
        <w:ind w:left="851"/>
        <w:rPr>
          <w:iCs/>
          <w:sz w:val="24"/>
          <w:szCs w:val="24"/>
          <w:u w:val="single"/>
        </w:rPr>
      </w:pPr>
    </w:p>
    <w:p w14:paraId="1AD19343" w14:textId="50504040" w:rsidR="006A3716" w:rsidRPr="006A3716" w:rsidRDefault="006A3716" w:rsidP="006A3716">
      <w:pPr>
        <w:tabs>
          <w:tab w:val="left" w:pos="851"/>
        </w:tabs>
        <w:ind w:left="851"/>
        <w:rPr>
          <w:sz w:val="24"/>
          <w:szCs w:val="24"/>
        </w:rPr>
      </w:pPr>
      <w:r w:rsidRPr="006A3716">
        <w:rPr>
          <w:sz w:val="24"/>
          <w:szCs w:val="24"/>
          <w:u w:val="single"/>
        </w:rPr>
        <w:t>Calciumantagonister</w:t>
      </w:r>
    </w:p>
    <w:p w14:paraId="750B26E9" w14:textId="77777777" w:rsidR="006A3716" w:rsidRPr="006A3716" w:rsidRDefault="006A3716" w:rsidP="006A3716">
      <w:pPr>
        <w:tabs>
          <w:tab w:val="left" w:pos="851"/>
        </w:tabs>
        <w:ind w:left="851"/>
        <w:rPr>
          <w:sz w:val="24"/>
          <w:szCs w:val="24"/>
        </w:rPr>
      </w:pPr>
      <w:r w:rsidRPr="006A3716">
        <w:rPr>
          <w:sz w:val="24"/>
          <w:szCs w:val="24"/>
        </w:rPr>
        <w:t>Diltiazem: En enkelt dosis af diltiazem forøgede plasmakoncentrationerne af intravenøs midazolam med cirka 25 %, og den terminale halveringstid blev forlænget med 43 %.</w:t>
      </w:r>
    </w:p>
    <w:p w14:paraId="47E0B3FA" w14:textId="77777777" w:rsidR="006A3716" w:rsidRPr="006A3716" w:rsidRDefault="006A3716" w:rsidP="006A3716">
      <w:pPr>
        <w:tabs>
          <w:tab w:val="left" w:pos="851"/>
        </w:tabs>
        <w:ind w:left="851"/>
        <w:rPr>
          <w:sz w:val="24"/>
          <w:szCs w:val="24"/>
        </w:rPr>
      </w:pPr>
      <w:r w:rsidRPr="006A3716">
        <w:rPr>
          <w:sz w:val="24"/>
          <w:szCs w:val="24"/>
        </w:rPr>
        <w:t>Verapamil: Verapamil har vist sig at være en hæmmer af CYP3A4-enzymer, og samtidig brug kan øge plasmakoncentrationen af midazolam.</w:t>
      </w:r>
    </w:p>
    <w:p w14:paraId="12655710" w14:textId="77777777" w:rsidR="006A3716" w:rsidRPr="006A3716" w:rsidRDefault="006A3716" w:rsidP="006A3716">
      <w:pPr>
        <w:tabs>
          <w:tab w:val="left" w:pos="851"/>
        </w:tabs>
        <w:ind w:left="851"/>
        <w:rPr>
          <w:sz w:val="24"/>
          <w:szCs w:val="24"/>
          <w:u w:val="single"/>
        </w:rPr>
      </w:pPr>
    </w:p>
    <w:p w14:paraId="54C9C11A" w14:textId="31BDA746" w:rsidR="006A3716" w:rsidRPr="006A3716" w:rsidRDefault="006A3716" w:rsidP="006A3716">
      <w:pPr>
        <w:tabs>
          <w:tab w:val="left" w:pos="851"/>
        </w:tabs>
        <w:ind w:left="851"/>
        <w:rPr>
          <w:sz w:val="24"/>
          <w:szCs w:val="24"/>
          <w:u w:val="single"/>
        </w:rPr>
      </w:pPr>
      <w:r w:rsidRPr="006A3716">
        <w:rPr>
          <w:sz w:val="24"/>
          <w:szCs w:val="24"/>
          <w:u w:val="single"/>
        </w:rPr>
        <w:t>Forskellige lægemidler</w:t>
      </w:r>
    </w:p>
    <w:p w14:paraId="5B01D670" w14:textId="77777777" w:rsidR="006A3716" w:rsidRPr="006A3716" w:rsidRDefault="006A3716" w:rsidP="006A3716">
      <w:pPr>
        <w:tabs>
          <w:tab w:val="left" w:pos="851"/>
        </w:tabs>
        <w:ind w:left="851"/>
        <w:rPr>
          <w:sz w:val="24"/>
          <w:szCs w:val="24"/>
        </w:rPr>
      </w:pPr>
      <w:r w:rsidRPr="006A3716">
        <w:rPr>
          <w:sz w:val="24"/>
          <w:szCs w:val="24"/>
        </w:rPr>
        <w:t>Atorvastatin viste en forøgelse af plasmakoncentrationerne af intravenøs midazolam på 1,4 gange sammenlignet med kontrolgruppen.</w:t>
      </w:r>
    </w:p>
    <w:p w14:paraId="708C7847" w14:textId="77777777" w:rsidR="006A3716" w:rsidRPr="006A3716" w:rsidRDefault="006A3716" w:rsidP="006A3716">
      <w:pPr>
        <w:tabs>
          <w:tab w:val="left" w:pos="851"/>
        </w:tabs>
        <w:ind w:left="851"/>
        <w:rPr>
          <w:i/>
          <w:iCs/>
          <w:sz w:val="24"/>
          <w:szCs w:val="24"/>
          <w:u w:val="single"/>
        </w:rPr>
      </w:pPr>
    </w:p>
    <w:p w14:paraId="57EF23B8" w14:textId="77777777" w:rsidR="006A3716" w:rsidRPr="006A3716" w:rsidRDefault="006A3716" w:rsidP="006A3716">
      <w:pPr>
        <w:tabs>
          <w:tab w:val="left" w:pos="851"/>
        </w:tabs>
        <w:ind w:left="851"/>
        <w:rPr>
          <w:i/>
          <w:sz w:val="24"/>
          <w:szCs w:val="24"/>
        </w:rPr>
      </w:pPr>
      <w:r w:rsidRPr="006A3716">
        <w:rPr>
          <w:i/>
          <w:sz w:val="24"/>
          <w:szCs w:val="24"/>
        </w:rPr>
        <w:t>Lægemidler, der inducerer CYP3A4</w:t>
      </w:r>
    </w:p>
    <w:p w14:paraId="0C3A214A" w14:textId="77777777" w:rsidR="006A3716" w:rsidRPr="006A3716" w:rsidRDefault="006A3716" w:rsidP="006A3716">
      <w:pPr>
        <w:tabs>
          <w:tab w:val="left" w:pos="851"/>
        </w:tabs>
        <w:ind w:left="851"/>
        <w:rPr>
          <w:sz w:val="24"/>
          <w:szCs w:val="24"/>
        </w:rPr>
      </w:pPr>
      <w:r w:rsidRPr="006A3716">
        <w:rPr>
          <w:sz w:val="24"/>
          <w:szCs w:val="24"/>
        </w:rPr>
        <w:t>Rifampicin (7 dage med 600 mg én gang dagligt) reducerede plasmakoncentrationerne af intravenøs midazolam med cirka 60 %. Den terminale halveringstid blev reduceret med cirka 50</w:t>
      </w:r>
      <w:r w:rsidRPr="006A3716">
        <w:rPr>
          <w:sz w:val="24"/>
          <w:szCs w:val="24"/>
        </w:rPr>
        <w:noBreakHyphen/>
        <w:t>60 %.</w:t>
      </w:r>
    </w:p>
    <w:p w14:paraId="2D1BC663" w14:textId="77777777" w:rsidR="006A3716" w:rsidRPr="006A3716" w:rsidRDefault="006A3716" w:rsidP="006A3716">
      <w:pPr>
        <w:tabs>
          <w:tab w:val="left" w:pos="851"/>
        </w:tabs>
        <w:ind w:left="851"/>
        <w:rPr>
          <w:sz w:val="24"/>
          <w:szCs w:val="24"/>
          <w:u w:val="single"/>
        </w:rPr>
      </w:pPr>
    </w:p>
    <w:p w14:paraId="1D9687C7" w14:textId="53C701F8" w:rsidR="006A3716" w:rsidRPr="006A3716" w:rsidRDefault="006A3716" w:rsidP="006A3716">
      <w:pPr>
        <w:tabs>
          <w:tab w:val="left" w:pos="851"/>
        </w:tabs>
        <w:ind w:left="851"/>
        <w:rPr>
          <w:i/>
          <w:iCs/>
          <w:sz w:val="24"/>
          <w:szCs w:val="24"/>
        </w:rPr>
      </w:pPr>
      <w:r w:rsidRPr="006A3716">
        <w:rPr>
          <w:i/>
          <w:iCs/>
          <w:sz w:val="24"/>
          <w:szCs w:val="24"/>
        </w:rPr>
        <w:t>Naturlægemidler</w:t>
      </w:r>
    </w:p>
    <w:p w14:paraId="32E39F88" w14:textId="77777777" w:rsidR="006A3716" w:rsidRPr="006A3716" w:rsidRDefault="006A3716" w:rsidP="006A3716">
      <w:pPr>
        <w:tabs>
          <w:tab w:val="left" w:pos="851"/>
        </w:tabs>
        <w:ind w:left="851"/>
        <w:rPr>
          <w:sz w:val="24"/>
          <w:szCs w:val="24"/>
        </w:rPr>
      </w:pPr>
      <w:r w:rsidRPr="006A3716">
        <w:rPr>
          <w:sz w:val="24"/>
          <w:szCs w:val="24"/>
        </w:rPr>
        <w:t>Perikon reducerede plasmakoncentrationerne af midazolam med cirka 20</w:t>
      </w:r>
      <w:r w:rsidRPr="006A3716">
        <w:rPr>
          <w:sz w:val="24"/>
          <w:szCs w:val="24"/>
        </w:rPr>
        <w:noBreakHyphen/>
        <w:t>40 %, hvilket er forbundet med en reduktion i den terminale halveringstid på cirka 15</w:t>
      </w:r>
      <w:r w:rsidRPr="006A3716">
        <w:rPr>
          <w:sz w:val="24"/>
          <w:szCs w:val="24"/>
        </w:rPr>
        <w:noBreakHyphen/>
        <w:t>17 %. Den CYP3A4-inducerende virkning kan variere, afhængigt af det specifikke ekstrakt af perikon.</w:t>
      </w:r>
    </w:p>
    <w:p w14:paraId="616BEDC2" w14:textId="77777777" w:rsidR="006A3716" w:rsidRPr="006A3716" w:rsidRDefault="006A3716" w:rsidP="006A3716">
      <w:pPr>
        <w:tabs>
          <w:tab w:val="left" w:pos="851"/>
        </w:tabs>
        <w:ind w:left="851"/>
        <w:rPr>
          <w:i/>
          <w:iCs/>
          <w:sz w:val="24"/>
          <w:szCs w:val="24"/>
          <w:u w:val="single"/>
        </w:rPr>
      </w:pPr>
    </w:p>
    <w:p w14:paraId="048D2504" w14:textId="77777777" w:rsidR="006A3716" w:rsidRPr="006A3716" w:rsidRDefault="006A3716" w:rsidP="006A3716">
      <w:pPr>
        <w:tabs>
          <w:tab w:val="left" w:pos="851"/>
        </w:tabs>
        <w:ind w:left="851"/>
        <w:rPr>
          <w:iCs/>
          <w:sz w:val="24"/>
          <w:szCs w:val="24"/>
          <w:u w:val="single"/>
        </w:rPr>
      </w:pPr>
      <w:r w:rsidRPr="006A3716">
        <w:rPr>
          <w:iCs/>
          <w:sz w:val="24"/>
          <w:szCs w:val="24"/>
          <w:u w:val="single"/>
        </w:rPr>
        <w:t>Farmakodynamiske lægemiddelinteraktioner</w:t>
      </w:r>
    </w:p>
    <w:p w14:paraId="35D1AF65" w14:textId="77777777" w:rsidR="006A3716" w:rsidRPr="006A3716" w:rsidRDefault="006A3716" w:rsidP="006A3716">
      <w:pPr>
        <w:tabs>
          <w:tab w:val="left" w:pos="851"/>
        </w:tabs>
        <w:ind w:left="851"/>
        <w:rPr>
          <w:sz w:val="24"/>
          <w:szCs w:val="24"/>
        </w:rPr>
      </w:pPr>
      <w:r w:rsidRPr="006A3716">
        <w:rPr>
          <w:sz w:val="24"/>
          <w:szCs w:val="24"/>
        </w:rPr>
        <w:t>Samtidig indgivelse af midazolam og andre sedative/hypnotika og CNS-depressiva, herunder alkohol, kan sandsynligvis resultere i forøget sedation og respirationsdepression.</w:t>
      </w:r>
    </w:p>
    <w:p w14:paraId="48427E39" w14:textId="77777777" w:rsidR="006A3716" w:rsidRPr="006A3716" w:rsidRDefault="006A3716" w:rsidP="006A3716">
      <w:pPr>
        <w:tabs>
          <w:tab w:val="left" w:pos="851"/>
        </w:tabs>
        <w:ind w:left="851"/>
        <w:rPr>
          <w:sz w:val="24"/>
          <w:szCs w:val="24"/>
        </w:rPr>
      </w:pPr>
    </w:p>
    <w:p w14:paraId="39F123F4" w14:textId="77777777" w:rsidR="006A3716" w:rsidRPr="006A3716" w:rsidRDefault="006A3716" w:rsidP="006A3716">
      <w:pPr>
        <w:tabs>
          <w:tab w:val="left" w:pos="851"/>
        </w:tabs>
        <w:ind w:left="851"/>
        <w:rPr>
          <w:sz w:val="24"/>
          <w:szCs w:val="24"/>
        </w:rPr>
      </w:pPr>
      <w:r w:rsidRPr="006A3716">
        <w:rPr>
          <w:sz w:val="24"/>
          <w:szCs w:val="24"/>
        </w:rPr>
        <w:t>Eksempler herpå omfatter opiat-derivater (der anvendes som analgetika, antitussiver eller substitutionsbehandlinger), antipsykotika, andre benzodiazepiner, der anvendes som anxiolytika eller hypnotika (se pkt. 4.4), barbiturater, propofol, ketamin, etomidat, sederende antidepressiva, sederende H1-antihistaminer og centralt virkende antihypertensiva.</w:t>
      </w:r>
    </w:p>
    <w:p w14:paraId="72FD19E9" w14:textId="77777777" w:rsidR="006A3716" w:rsidRPr="006A3716" w:rsidRDefault="006A3716" w:rsidP="006A3716">
      <w:pPr>
        <w:tabs>
          <w:tab w:val="left" w:pos="851"/>
        </w:tabs>
        <w:ind w:left="851"/>
        <w:rPr>
          <w:sz w:val="24"/>
          <w:szCs w:val="24"/>
        </w:rPr>
      </w:pPr>
    </w:p>
    <w:p w14:paraId="72D7EA6A" w14:textId="77777777" w:rsidR="006A3716" w:rsidRPr="006A3716" w:rsidRDefault="006A3716" w:rsidP="006A3716">
      <w:pPr>
        <w:tabs>
          <w:tab w:val="left" w:pos="851"/>
        </w:tabs>
        <w:ind w:left="851"/>
        <w:rPr>
          <w:sz w:val="24"/>
          <w:szCs w:val="24"/>
        </w:rPr>
      </w:pPr>
      <w:r w:rsidRPr="006A3716">
        <w:rPr>
          <w:sz w:val="24"/>
          <w:szCs w:val="24"/>
        </w:rPr>
        <w:t>Alkohol (herunder lægemidler indeholdende alkohol) kan markant forøge den sederende virkning af midazolam. Det anbefales på det kraftigste at undgå yderligere indtagelse af alkohol i tilfælde af indgivelse af midazolam (se pkt. 4.4).</w:t>
      </w:r>
    </w:p>
    <w:p w14:paraId="6048DE90" w14:textId="77777777" w:rsidR="006A3716" w:rsidRPr="006A3716" w:rsidRDefault="006A3716" w:rsidP="006A3716">
      <w:pPr>
        <w:tabs>
          <w:tab w:val="left" w:pos="851"/>
        </w:tabs>
        <w:ind w:left="851"/>
        <w:rPr>
          <w:sz w:val="24"/>
          <w:szCs w:val="24"/>
        </w:rPr>
      </w:pPr>
    </w:p>
    <w:p w14:paraId="668F3677" w14:textId="77777777" w:rsidR="006A3716" w:rsidRPr="006A3716" w:rsidRDefault="006A3716" w:rsidP="006A3716">
      <w:pPr>
        <w:tabs>
          <w:tab w:val="left" w:pos="851"/>
        </w:tabs>
        <w:ind w:left="851"/>
        <w:rPr>
          <w:sz w:val="24"/>
          <w:szCs w:val="24"/>
        </w:rPr>
      </w:pPr>
      <w:r w:rsidRPr="006A3716">
        <w:rPr>
          <w:sz w:val="24"/>
          <w:szCs w:val="24"/>
        </w:rPr>
        <w:t>Disulfiram: Epistatus indeholder en lille mængde alkohol og må derfor ikke indgives sammen med disulfiram.</w:t>
      </w:r>
    </w:p>
    <w:p w14:paraId="1F29729C" w14:textId="77777777" w:rsidR="006A3716" w:rsidRPr="006A3716" w:rsidRDefault="006A3716" w:rsidP="006A3716">
      <w:pPr>
        <w:tabs>
          <w:tab w:val="left" w:pos="851"/>
        </w:tabs>
        <w:ind w:left="851"/>
        <w:rPr>
          <w:sz w:val="24"/>
          <w:szCs w:val="24"/>
        </w:rPr>
      </w:pPr>
    </w:p>
    <w:p w14:paraId="141E9C6C" w14:textId="77777777" w:rsidR="006A3716" w:rsidRPr="006A3716" w:rsidRDefault="006A3716" w:rsidP="006A3716">
      <w:pPr>
        <w:tabs>
          <w:tab w:val="left" w:pos="851"/>
        </w:tabs>
        <w:ind w:left="851"/>
        <w:rPr>
          <w:sz w:val="24"/>
          <w:szCs w:val="24"/>
        </w:rPr>
      </w:pPr>
      <w:r w:rsidRPr="006A3716">
        <w:rPr>
          <w:sz w:val="24"/>
          <w:szCs w:val="24"/>
        </w:rPr>
        <w:t>Midazolam nedsætter den minimale alveolære koncentration (MAC) af anæstetika til inhalation.</w:t>
      </w:r>
    </w:p>
    <w:p w14:paraId="7563953A" w14:textId="77777777" w:rsidR="006A3716" w:rsidRPr="006A3716" w:rsidRDefault="006A3716" w:rsidP="006A3716">
      <w:pPr>
        <w:tabs>
          <w:tab w:val="left" w:pos="851"/>
        </w:tabs>
        <w:ind w:left="851"/>
        <w:rPr>
          <w:sz w:val="24"/>
          <w:szCs w:val="24"/>
        </w:rPr>
      </w:pPr>
    </w:p>
    <w:p w14:paraId="0860C28B" w14:textId="77777777" w:rsidR="006A3716" w:rsidRPr="006A3716" w:rsidRDefault="006A3716" w:rsidP="006A3716">
      <w:pPr>
        <w:tabs>
          <w:tab w:val="left" w:pos="851"/>
        </w:tabs>
        <w:ind w:left="851"/>
        <w:rPr>
          <w:sz w:val="24"/>
          <w:szCs w:val="24"/>
        </w:rPr>
      </w:pPr>
      <w:r w:rsidRPr="006A3716">
        <w:rPr>
          <w:sz w:val="24"/>
          <w:szCs w:val="24"/>
        </w:rPr>
        <w:t>Virkningen af CYP3A4-hæmmere kan være større hos spædbørn, da dele af den indgivne dosis i mundhulen sandsynligvis synkes og absorberes i mave-tarm-kanalen.</w:t>
      </w:r>
    </w:p>
    <w:p w14:paraId="5D819EC5" w14:textId="18DA885E" w:rsidR="00162150" w:rsidRDefault="00162150">
      <w:pPr>
        <w:rPr>
          <w:sz w:val="24"/>
          <w:szCs w:val="24"/>
        </w:rPr>
      </w:pPr>
      <w:r>
        <w:rPr>
          <w:sz w:val="24"/>
          <w:szCs w:val="24"/>
        </w:rPr>
        <w:br w:type="page"/>
      </w:r>
    </w:p>
    <w:p w14:paraId="12AE4050" w14:textId="77777777" w:rsidR="009260DE" w:rsidRPr="00C84483" w:rsidRDefault="009260DE" w:rsidP="009260DE">
      <w:pPr>
        <w:tabs>
          <w:tab w:val="left" w:pos="851"/>
        </w:tabs>
        <w:ind w:left="851"/>
        <w:rPr>
          <w:sz w:val="24"/>
          <w:szCs w:val="24"/>
        </w:rPr>
      </w:pPr>
    </w:p>
    <w:p w14:paraId="50B4DE0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2F85B612" w14:textId="77777777" w:rsidR="00162150" w:rsidRDefault="00162150" w:rsidP="00162150">
      <w:pPr>
        <w:tabs>
          <w:tab w:val="left" w:pos="851"/>
        </w:tabs>
        <w:ind w:left="851"/>
        <w:rPr>
          <w:sz w:val="24"/>
          <w:szCs w:val="24"/>
          <w:u w:val="single"/>
        </w:rPr>
      </w:pPr>
    </w:p>
    <w:p w14:paraId="36131BFE" w14:textId="41E5FF73" w:rsidR="00162150" w:rsidRPr="00162150" w:rsidRDefault="00162150" w:rsidP="00162150">
      <w:pPr>
        <w:tabs>
          <w:tab w:val="left" w:pos="851"/>
        </w:tabs>
        <w:ind w:left="851"/>
        <w:rPr>
          <w:sz w:val="24"/>
          <w:szCs w:val="24"/>
          <w:u w:val="single"/>
        </w:rPr>
      </w:pPr>
      <w:r w:rsidRPr="00162150">
        <w:rPr>
          <w:sz w:val="24"/>
          <w:szCs w:val="24"/>
          <w:u w:val="single"/>
        </w:rPr>
        <w:t>Graviditet</w:t>
      </w:r>
    </w:p>
    <w:p w14:paraId="1625B452" w14:textId="77777777" w:rsidR="00162150" w:rsidRPr="00162150" w:rsidRDefault="00162150" w:rsidP="00162150">
      <w:pPr>
        <w:tabs>
          <w:tab w:val="left" w:pos="851"/>
        </w:tabs>
        <w:ind w:left="851"/>
        <w:rPr>
          <w:sz w:val="24"/>
          <w:szCs w:val="24"/>
        </w:rPr>
      </w:pPr>
      <w:r w:rsidRPr="00162150">
        <w:rPr>
          <w:sz w:val="24"/>
          <w:szCs w:val="24"/>
        </w:rPr>
        <w:t>Der er ingen eller utilstrækkelige data fra anvendelse af midazolam til gravide kvinder. Dyrestudier indikerer ikke en teratogen virkning, men som for andre benzodiazepiner er der observeret føtotoksicitet. Der er ingen tilgængelige data fra eksponerede graviditeter for graviditetens første to trimestre.</w:t>
      </w:r>
    </w:p>
    <w:p w14:paraId="3F83677C" w14:textId="77777777" w:rsidR="00162150" w:rsidRPr="00162150" w:rsidRDefault="00162150" w:rsidP="00162150">
      <w:pPr>
        <w:tabs>
          <w:tab w:val="left" w:pos="851"/>
        </w:tabs>
        <w:ind w:left="851"/>
        <w:rPr>
          <w:sz w:val="24"/>
          <w:szCs w:val="24"/>
        </w:rPr>
      </w:pPr>
    </w:p>
    <w:p w14:paraId="2F25D4A4" w14:textId="77777777" w:rsidR="00162150" w:rsidRPr="00162150" w:rsidRDefault="00162150" w:rsidP="00162150">
      <w:pPr>
        <w:tabs>
          <w:tab w:val="left" w:pos="851"/>
        </w:tabs>
        <w:ind w:left="851"/>
        <w:rPr>
          <w:sz w:val="24"/>
          <w:szCs w:val="24"/>
        </w:rPr>
      </w:pPr>
      <w:r w:rsidRPr="00162150">
        <w:rPr>
          <w:sz w:val="24"/>
          <w:szCs w:val="24"/>
        </w:rPr>
        <w:t>Det er blevet rapporteret, at indgivelse af høje doser midazolam i graviditetens sidste trimester eller under fødsel frembringer bivirkninger hos moder eller foster (risiko for aspiration af væsker og maveindhold under fødslen hos moderen, uregelmæssig føtal hjerterytme, hypotoni, dårlig sutterefleks, hypotermi og respirationsdepression hos det nyfødte spædbarn).</w:t>
      </w:r>
    </w:p>
    <w:p w14:paraId="595B7430" w14:textId="77777777" w:rsidR="00162150" w:rsidRPr="00162150" w:rsidRDefault="00162150" w:rsidP="00162150">
      <w:pPr>
        <w:tabs>
          <w:tab w:val="left" w:pos="851"/>
        </w:tabs>
        <w:ind w:left="851"/>
        <w:rPr>
          <w:sz w:val="24"/>
          <w:szCs w:val="24"/>
        </w:rPr>
      </w:pPr>
    </w:p>
    <w:p w14:paraId="248542C3" w14:textId="77777777" w:rsidR="00162150" w:rsidRPr="00162150" w:rsidRDefault="00162150" w:rsidP="00162150">
      <w:pPr>
        <w:tabs>
          <w:tab w:val="left" w:pos="851"/>
        </w:tabs>
        <w:ind w:left="851"/>
        <w:rPr>
          <w:sz w:val="24"/>
          <w:szCs w:val="24"/>
        </w:rPr>
      </w:pPr>
      <w:r w:rsidRPr="00162150">
        <w:rPr>
          <w:sz w:val="24"/>
          <w:szCs w:val="24"/>
        </w:rPr>
        <w:t>Midazolam kan anvendes på tvingende indikation under graviditeten. Risikoen for nyfødte spædbørn skal tages i betragtning i tilfælde af indgivelse af midazolam i graviditetens tredje trimester.</w:t>
      </w:r>
    </w:p>
    <w:p w14:paraId="275EE6D8" w14:textId="77777777" w:rsidR="00162150" w:rsidRPr="00162150" w:rsidRDefault="00162150" w:rsidP="00162150">
      <w:pPr>
        <w:tabs>
          <w:tab w:val="left" w:pos="851"/>
        </w:tabs>
        <w:ind w:left="851"/>
        <w:rPr>
          <w:sz w:val="24"/>
          <w:szCs w:val="24"/>
          <w:u w:val="single"/>
        </w:rPr>
      </w:pPr>
    </w:p>
    <w:p w14:paraId="7ECAA230" w14:textId="77777777" w:rsidR="00162150" w:rsidRPr="00162150" w:rsidRDefault="00162150" w:rsidP="00162150">
      <w:pPr>
        <w:tabs>
          <w:tab w:val="left" w:pos="851"/>
        </w:tabs>
        <w:ind w:left="851"/>
        <w:rPr>
          <w:sz w:val="24"/>
          <w:szCs w:val="24"/>
          <w:u w:val="single"/>
        </w:rPr>
      </w:pPr>
      <w:r w:rsidRPr="00162150">
        <w:rPr>
          <w:sz w:val="24"/>
          <w:szCs w:val="24"/>
          <w:u w:val="single"/>
        </w:rPr>
        <w:t>Amning</w:t>
      </w:r>
    </w:p>
    <w:p w14:paraId="3EBD14B5" w14:textId="77777777" w:rsidR="00162150" w:rsidRPr="00162150" w:rsidRDefault="00162150" w:rsidP="00162150">
      <w:pPr>
        <w:tabs>
          <w:tab w:val="left" w:pos="851"/>
        </w:tabs>
        <w:ind w:left="851"/>
        <w:rPr>
          <w:sz w:val="24"/>
          <w:szCs w:val="24"/>
        </w:rPr>
      </w:pPr>
      <w:r w:rsidRPr="00162150">
        <w:rPr>
          <w:sz w:val="24"/>
          <w:szCs w:val="24"/>
        </w:rPr>
        <w:t>Midazolam udskilles i små mængder (0,6 %) i brystmælk. Som følge heraf er det måske ikke nødvendigt at stoppe amningen efter en enkelt dosis midazolam.</w:t>
      </w:r>
    </w:p>
    <w:p w14:paraId="76D03499" w14:textId="77777777" w:rsidR="00162150" w:rsidRPr="00162150" w:rsidRDefault="00162150" w:rsidP="00162150">
      <w:pPr>
        <w:tabs>
          <w:tab w:val="left" w:pos="851"/>
        </w:tabs>
        <w:ind w:left="851"/>
        <w:rPr>
          <w:sz w:val="24"/>
          <w:szCs w:val="24"/>
        </w:rPr>
      </w:pPr>
    </w:p>
    <w:p w14:paraId="2C7ED169" w14:textId="77777777" w:rsidR="00162150" w:rsidRPr="00162150" w:rsidRDefault="00162150" w:rsidP="00162150">
      <w:pPr>
        <w:tabs>
          <w:tab w:val="left" w:pos="851"/>
        </w:tabs>
        <w:ind w:left="851"/>
        <w:rPr>
          <w:sz w:val="24"/>
          <w:szCs w:val="24"/>
          <w:u w:val="single"/>
        </w:rPr>
      </w:pPr>
      <w:r w:rsidRPr="00162150">
        <w:rPr>
          <w:sz w:val="24"/>
          <w:szCs w:val="24"/>
          <w:u w:val="single"/>
        </w:rPr>
        <w:t>Fertilitet</w:t>
      </w:r>
    </w:p>
    <w:p w14:paraId="18347E7E" w14:textId="77777777" w:rsidR="00162150" w:rsidRPr="00162150" w:rsidRDefault="00162150" w:rsidP="00162150">
      <w:pPr>
        <w:tabs>
          <w:tab w:val="left" w:pos="851"/>
        </w:tabs>
        <w:ind w:left="851"/>
        <w:rPr>
          <w:sz w:val="24"/>
          <w:szCs w:val="24"/>
        </w:rPr>
      </w:pPr>
      <w:r w:rsidRPr="00162150">
        <w:rPr>
          <w:sz w:val="24"/>
          <w:szCs w:val="24"/>
        </w:rPr>
        <w:t>Dyrestudier viste ingen forringelse af fertiliteten (se pkt. 5.3).</w:t>
      </w:r>
    </w:p>
    <w:p w14:paraId="3297698F" w14:textId="77777777" w:rsidR="009260DE" w:rsidRPr="00C84483" w:rsidRDefault="009260DE" w:rsidP="009260DE">
      <w:pPr>
        <w:tabs>
          <w:tab w:val="left" w:pos="851"/>
        </w:tabs>
        <w:ind w:left="851"/>
        <w:rPr>
          <w:sz w:val="24"/>
          <w:szCs w:val="24"/>
        </w:rPr>
      </w:pPr>
    </w:p>
    <w:p w14:paraId="75B9695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7093D27" w14:textId="77777777" w:rsidR="00162150" w:rsidRPr="00162150" w:rsidRDefault="00162150" w:rsidP="00162150">
      <w:pPr>
        <w:tabs>
          <w:tab w:val="left" w:pos="851"/>
        </w:tabs>
        <w:ind w:left="851"/>
        <w:rPr>
          <w:sz w:val="24"/>
          <w:szCs w:val="24"/>
        </w:rPr>
      </w:pPr>
      <w:r w:rsidRPr="00162150">
        <w:rPr>
          <w:sz w:val="24"/>
          <w:szCs w:val="24"/>
        </w:rPr>
        <w:t>Mærkning</w:t>
      </w:r>
    </w:p>
    <w:p w14:paraId="087BC3A2" w14:textId="77777777" w:rsidR="00162150" w:rsidRPr="00162150" w:rsidRDefault="00162150" w:rsidP="00162150">
      <w:pPr>
        <w:tabs>
          <w:tab w:val="left" w:pos="851"/>
        </w:tabs>
        <w:ind w:left="851"/>
        <w:rPr>
          <w:sz w:val="24"/>
          <w:szCs w:val="24"/>
        </w:rPr>
      </w:pPr>
      <w:r w:rsidRPr="00162150">
        <w:rPr>
          <w:sz w:val="24"/>
          <w:szCs w:val="24"/>
        </w:rPr>
        <w:t>Epistatus påvirker i væsentlig grad evnen til at føre motorkøretøj og betjene maskiner.</w:t>
      </w:r>
    </w:p>
    <w:p w14:paraId="0F0CD5C0" w14:textId="77777777" w:rsidR="00162150" w:rsidRPr="00162150" w:rsidRDefault="00162150" w:rsidP="00162150">
      <w:pPr>
        <w:tabs>
          <w:tab w:val="left" w:pos="851"/>
        </w:tabs>
        <w:ind w:left="851"/>
        <w:rPr>
          <w:sz w:val="24"/>
          <w:szCs w:val="24"/>
        </w:rPr>
      </w:pPr>
    </w:p>
    <w:p w14:paraId="7A70ED8E" w14:textId="77777777" w:rsidR="00162150" w:rsidRPr="00162150" w:rsidRDefault="00162150" w:rsidP="00162150">
      <w:pPr>
        <w:tabs>
          <w:tab w:val="left" w:pos="851"/>
        </w:tabs>
        <w:ind w:left="851"/>
        <w:rPr>
          <w:sz w:val="24"/>
          <w:szCs w:val="24"/>
        </w:rPr>
      </w:pPr>
      <w:r w:rsidRPr="00162150">
        <w:rPr>
          <w:sz w:val="24"/>
          <w:szCs w:val="24"/>
        </w:rPr>
        <w:t>Sedation, amnesi, nedsat opmærksomhed og nedsat muskelfunktion kan påvirke evnen til at føre motorkøretøj, cykle eller betjene maskiner. Efter at have fået midazolam skal patienten advares mod at føre motorkøretøj eller betjene maskiner, indtil fuld bedring er opnået.</w:t>
      </w:r>
    </w:p>
    <w:p w14:paraId="75CB1280" w14:textId="77777777" w:rsidR="009260DE" w:rsidRPr="00C84483" w:rsidRDefault="009260DE" w:rsidP="009260DE">
      <w:pPr>
        <w:tabs>
          <w:tab w:val="left" w:pos="851"/>
        </w:tabs>
        <w:ind w:left="851"/>
        <w:rPr>
          <w:sz w:val="24"/>
          <w:szCs w:val="24"/>
        </w:rPr>
      </w:pPr>
    </w:p>
    <w:p w14:paraId="0A91C239"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0D5D97D1" w14:textId="77777777" w:rsidR="00162150" w:rsidRDefault="00162150" w:rsidP="00162150">
      <w:pPr>
        <w:keepNext/>
        <w:ind w:left="851"/>
        <w:rPr>
          <w:sz w:val="24"/>
          <w:szCs w:val="24"/>
          <w:u w:val="single"/>
          <w:lang w:eastAsia="en-GB"/>
        </w:rPr>
      </w:pPr>
    </w:p>
    <w:p w14:paraId="4C81C14A" w14:textId="304976C1" w:rsidR="00162150" w:rsidRPr="00162150" w:rsidRDefault="00162150" w:rsidP="00162150">
      <w:pPr>
        <w:keepNext/>
        <w:ind w:left="851"/>
        <w:rPr>
          <w:sz w:val="24"/>
          <w:szCs w:val="24"/>
          <w:u w:val="single"/>
          <w:lang w:eastAsia="en-GB"/>
        </w:rPr>
      </w:pPr>
      <w:r w:rsidRPr="00162150">
        <w:rPr>
          <w:sz w:val="24"/>
          <w:szCs w:val="24"/>
          <w:u w:val="single"/>
          <w:lang w:eastAsia="en-GB"/>
        </w:rPr>
        <w:t>Oversigt over sikkerhedsprofilen</w:t>
      </w:r>
    </w:p>
    <w:p w14:paraId="28E109AD" w14:textId="77777777" w:rsidR="00162150" w:rsidRPr="00162150" w:rsidRDefault="00162150" w:rsidP="00162150">
      <w:pPr>
        <w:ind w:left="851"/>
        <w:rPr>
          <w:sz w:val="24"/>
          <w:szCs w:val="24"/>
          <w:lang w:eastAsia="en-GB"/>
        </w:rPr>
      </w:pPr>
      <w:r w:rsidRPr="00162150">
        <w:rPr>
          <w:sz w:val="24"/>
          <w:szCs w:val="24"/>
          <w:lang w:eastAsia="en-GB"/>
        </w:rPr>
        <w:t>Publicerede kliniske studier viser, at midazolam til anvendelse i mundhulen blev indgivet til cirka 446 børn med krampeanfald. Respirationsdepression forekommer med en hyppighed på op til 5 %, selvom dette er en kendt komplikation ved krampeanfald såvel som værende relateret til anvendelsen af benzodiazepiner.</w:t>
      </w:r>
    </w:p>
    <w:p w14:paraId="5C3D0ADC" w14:textId="77777777" w:rsidR="00162150" w:rsidRPr="00162150" w:rsidRDefault="00162150" w:rsidP="00162150">
      <w:pPr>
        <w:ind w:left="851"/>
        <w:rPr>
          <w:sz w:val="24"/>
          <w:szCs w:val="24"/>
          <w:lang w:eastAsia="en-GB"/>
        </w:rPr>
      </w:pPr>
    </w:p>
    <w:p w14:paraId="2CD69209" w14:textId="77777777" w:rsidR="00162150" w:rsidRPr="00162150" w:rsidRDefault="00162150" w:rsidP="00162150">
      <w:pPr>
        <w:ind w:left="851"/>
        <w:rPr>
          <w:sz w:val="24"/>
          <w:szCs w:val="24"/>
          <w:u w:val="single"/>
          <w:lang w:eastAsia="en-GB"/>
        </w:rPr>
      </w:pPr>
      <w:r w:rsidRPr="00162150">
        <w:rPr>
          <w:sz w:val="24"/>
          <w:szCs w:val="24"/>
          <w:u w:val="single"/>
          <w:lang w:eastAsia="en-GB"/>
        </w:rPr>
        <w:t>Tabel over bivirkninger</w:t>
      </w:r>
    </w:p>
    <w:p w14:paraId="3EAD1D44" w14:textId="77777777" w:rsidR="00162150" w:rsidRPr="00162150" w:rsidRDefault="00162150" w:rsidP="00162150">
      <w:pPr>
        <w:ind w:left="851"/>
        <w:rPr>
          <w:sz w:val="24"/>
          <w:szCs w:val="24"/>
          <w:lang w:eastAsia="en-GB"/>
        </w:rPr>
      </w:pPr>
      <w:r w:rsidRPr="00162150">
        <w:rPr>
          <w:sz w:val="24"/>
          <w:szCs w:val="24"/>
          <w:lang w:eastAsia="en-GB"/>
        </w:rPr>
        <w:t>Den nedenstående tabel opstiller de bivirkninger, der blev rapporteret, når midazolam til anvendelse i mundhulen blev indgivet til børn i forbindelse med kliniske studier og efter markedsføring.</w:t>
      </w:r>
    </w:p>
    <w:p w14:paraId="124883CF" w14:textId="77777777" w:rsidR="00162150" w:rsidRPr="00162150" w:rsidRDefault="00162150" w:rsidP="00162150">
      <w:pPr>
        <w:ind w:left="851"/>
        <w:rPr>
          <w:sz w:val="24"/>
          <w:szCs w:val="24"/>
          <w:lang w:eastAsia="en-GB"/>
        </w:rPr>
      </w:pPr>
    </w:p>
    <w:p w14:paraId="02F56855" w14:textId="77777777" w:rsidR="00162150" w:rsidRPr="00162150" w:rsidRDefault="00162150" w:rsidP="00162150">
      <w:pPr>
        <w:ind w:left="851"/>
        <w:rPr>
          <w:sz w:val="24"/>
          <w:szCs w:val="24"/>
          <w:lang w:eastAsia="en-GB"/>
        </w:rPr>
      </w:pPr>
      <w:r w:rsidRPr="00162150">
        <w:rPr>
          <w:sz w:val="24"/>
          <w:szCs w:val="24"/>
          <w:lang w:eastAsia="en-GB"/>
        </w:rPr>
        <w:t>Hyppigheden af bivirkninger er klassificeret på følgende måde:</w:t>
      </w:r>
    </w:p>
    <w:p w14:paraId="1BB026F9" w14:textId="77777777" w:rsidR="00162150" w:rsidRPr="00162150" w:rsidRDefault="00162150" w:rsidP="00162150">
      <w:pPr>
        <w:ind w:left="851"/>
        <w:rPr>
          <w:sz w:val="24"/>
          <w:szCs w:val="24"/>
          <w:lang w:eastAsia="en-GB"/>
        </w:rPr>
      </w:pPr>
      <w:r w:rsidRPr="00162150">
        <w:rPr>
          <w:sz w:val="24"/>
          <w:szCs w:val="24"/>
          <w:lang w:eastAsia="en-GB"/>
        </w:rPr>
        <w:t xml:space="preserve">Meget almindelig: </w:t>
      </w:r>
      <w:r w:rsidRPr="00162150">
        <w:rPr>
          <w:rFonts w:ascii="Symbol" w:hAnsi="Symbol"/>
          <w:sz w:val="24"/>
          <w:szCs w:val="24"/>
          <w:lang w:eastAsia="en-GB"/>
        </w:rPr>
        <w:t>³</w:t>
      </w:r>
      <w:r w:rsidRPr="00162150">
        <w:rPr>
          <w:sz w:val="24"/>
          <w:szCs w:val="24"/>
          <w:lang w:eastAsia="en-GB"/>
        </w:rPr>
        <w:t> 1/10</w:t>
      </w:r>
    </w:p>
    <w:p w14:paraId="4FD3EABC" w14:textId="77777777" w:rsidR="00162150" w:rsidRPr="00162150" w:rsidRDefault="00162150" w:rsidP="00162150">
      <w:pPr>
        <w:ind w:left="851"/>
        <w:rPr>
          <w:sz w:val="24"/>
          <w:szCs w:val="24"/>
          <w:lang w:eastAsia="en-GB"/>
        </w:rPr>
      </w:pPr>
      <w:r w:rsidRPr="00162150">
        <w:rPr>
          <w:sz w:val="24"/>
          <w:szCs w:val="24"/>
          <w:lang w:eastAsia="en-GB"/>
        </w:rPr>
        <w:t>Almindelig: ≥ 1/100 til &lt; 1/10</w:t>
      </w:r>
    </w:p>
    <w:p w14:paraId="0FE11BB2" w14:textId="77777777" w:rsidR="00162150" w:rsidRPr="00162150" w:rsidRDefault="00162150" w:rsidP="00162150">
      <w:pPr>
        <w:ind w:left="851"/>
        <w:rPr>
          <w:sz w:val="24"/>
          <w:szCs w:val="24"/>
          <w:lang w:eastAsia="en-GB"/>
        </w:rPr>
      </w:pPr>
      <w:r w:rsidRPr="00162150">
        <w:rPr>
          <w:sz w:val="24"/>
          <w:szCs w:val="24"/>
          <w:lang w:eastAsia="en-GB"/>
        </w:rPr>
        <w:lastRenderedPageBreak/>
        <w:t>Ikke almindelig: ≥ 1/1.000 til &lt; 1/100</w:t>
      </w:r>
    </w:p>
    <w:p w14:paraId="49F036A2" w14:textId="77777777" w:rsidR="00162150" w:rsidRPr="00162150" w:rsidRDefault="00162150" w:rsidP="00162150">
      <w:pPr>
        <w:ind w:left="851"/>
        <w:rPr>
          <w:sz w:val="24"/>
          <w:szCs w:val="24"/>
          <w:lang w:eastAsia="en-GB"/>
        </w:rPr>
      </w:pPr>
      <w:r w:rsidRPr="00162150">
        <w:rPr>
          <w:sz w:val="24"/>
          <w:szCs w:val="24"/>
          <w:lang w:eastAsia="en-GB"/>
        </w:rPr>
        <w:t>Meget sjælden: ≤ 1/10.000</w:t>
      </w:r>
    </w:p>
    <w:p w14:paraId="1F6CBCD2" w14:textId="77777777" w:rsidR="00162150" w:rsidRPr="00162150" w:rsidRDefault="00162150" w:rsidP="00162150">
      <w:pPr>
        <w:ind w:left="851"/>
        <w:rPr>
          <w:sz w:val="24"/>
          <w:szCs w:val="24"/>
          <w:lang w:eastAsia="en-GB"/>
        </w:rPr>
      </w:pPr>
      <w:r w:rsidRPr="00162150">
        <w:rPr>
          <w:sz w:val="24"/>
          <w:szCs w:val="24"/>
          <w:lang w:eastAsia="en-GB"/>
        </w:rPr>
        <w:t>Ikke kendt: kan ikke estimeres ud fra forhåndenværende data</w:t>
      </w:r>
    </w:p>
    <w:p w14:paraId="29948135" w14:textId="77777777" w:rsidR="00162150" w:rsidRPr="00162150" w:rsidRDefault="00162150" w:rsidP="00162150">
      <w:pPr>
        <w:ind w:left="851"/>
        <w:rPr>
          <w:sz w:val="24"/>
          <w:szCs w:val="24"/>
          <w:lang w:eastAsia="en-GB"/>
        </w:rPr>
      </w:pPr>
    </w:p>
    <w:p w14:paraId="412D9B95" w14:textId="77777777" w:rsidR="00162150" w:rsidRPr="00162150" w:rsidRDefault="00162150" w:rsidP="00162150">
      <w:pPr>
        <w:ind w:left="851"/>
        <w:rPr>
          <w:sz w:val="24"/>
          <w:szCs w:val="24"/>
          <w:lang w:eastAsia="en-GB"/>
        </w:rPr>
      </w:pPr>
      <w:r w:rsidRPr="00162150">
        <w:rPr>
          <w:sz w:val="24"/>
          <w:szCs w:val="24"/>
          <w:lang w:eastAsia="en-GB"/>
        </w:rPr>
        <w:t>Inden for hver hyppighedsgruppe opstilles bivirkningerne efter, hvor alvorlige de er. De alvorligste bivirkninger er anført først.</w:t>
      </w:r>
    </w:p>
    <w:p w14:paraId="0DB667FE" w14:textId="77777777" w:rsidR="00162150" w:rsidRPr="00162150" w:rsidRDefault="00162150" w:rsidP="00162150">
      <w:pPr>
        <w:ind w:left="720"/>
        <w:rPr>
          <w:sz w:val="22"/>
          <w:lang w:eastAsia="en-GB"/>
        </w:rPr>
      </w:pPr>
    </w:p>
    <w:tbl>
      <w:tblPr>
        <w:tblW w:w="8220" w:type="dxa"/>
        <w:jc w:val="center"/>
        <w:tblBorders>
          <w:top w:val="outset" w:sz="6" w:space="0" w:color="7B7B7B"/>
          <w:left w:val="outset" w:sz="6" w:space="0" w:color="7B7B7B"/>
          <w:bottom w:val="outset" w:sz="6" w:space="0" w:color="7B7B7B"/>
          <w:right w:val="outset" w:sz="6" w:space="0" w:color="7B7B7B"/>
        </w:tblBorders>
        <w:tblLayout w:type="fixed"/>
        <w:tblCellMar>
          <w:top w:w="30" w:type="dxa"/>
          <w:left w:w="30" w:type="dxa"/>
          <w:bottom w:w="30" w:type="dxa"/>
          <w:right w:w="30" w:type="dxa"/>
        </w:tblCellMar>
        <w:tblLook w:val="04A0" w:firstRow="1" w:lastRow="0" w:firstColumn="1" w:lastColumn="0" w:noHBand="0" w:noVBand="1"/>
      </w:tblPr>
      <w:tblGrid>
        <w:gridCol w:w="3401"/>
        <w:gridCol w:w="4819"/>
      </w:tblGrid>
      <w:tr w:rsidR="00162150" w:rsidRPr="00162150" w14:paraId="314FB3AC"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29C02BFA" w14:textId="77777777" w:rsidR="00162150" w:rsidRPr="00162150" w:rsidRDefault="00162150" w:rsidP="00162150">
            <w:pPr>
              <w:jc w:val="center"/>
              <w:rPr>
                <w:rFonts w:cs="Calibri"/>
                <w:sz w:val="20"/>
                <w:lang w:eastAsia="en-GB" w:bidi="hi-IN"/>
              </w:rPr>
            </w:pPr>
            <w:r w:rsidRPr="00162150">
              <w:rPr>
                <w:b/>
                <w:sz w:val="20"/>
                <w:lang w:eastAsia="en-GB" w:bidi="hi-IN"/>
              </w:rPr>
              <w:t>Systemorganklasse</w:t>
            </w:r>
          </w:p>
        </w:tc>
        <w:tc>
          <w:tcPr>
            <w:tcW w:w="4820" w:type="dxa"/>
            <w:tcBorders>
              <w:top w:val="outset" w:sz="6" w:space="0" w:color="7B7B7B"/>
              <w:left w:val="outset" w:sz="6" w:space="0" w:color="7B7B7B"/>
              <w:bottom w:val="outset" w:sz="6" w:space="0" w:color="7B7B7B"/>
              <w:right w:val="outset" w:sz="6" w:space="0" w:color="7B7B7B"/>
            </w:tcBorders>
            <w:hideMark/>
          </w:tcPr>
          <w:p w14:paraId="4C63F235" w14:textId="77777777" w:rsidR="00162150" w:rsidRPr="00162150" w:rsidRDefault="00162150" w:rsidP="00162150">
            <w:pPr>
              <w:jc w:val="center"/>
              <w:rPr>
                <w:rFonts w:cs="Calibri"/>
                <w:sz w:val="20"/>
                <w:lang w:eastAsia="en-GB" w:bidi="hi-IN"/>
              </w:rPr>
            </w:pPr>
            <w:r w:rsidRPr="00162150">
              <w:rPr>
                <w:b/>
                <w:sz w:val="20"/>
                <w:lang w:eastAsia="en-GB" w:bidi="hi-IN"/>
              </w:rPr>
              <w:t>Hyppighed:</w:t>
            </w:r>
            <w:bookmarkStart w:id="0" w:name="_Hlk531950783"/>
            <w:r w:rsidRPr="00162150">
              <w:rPr>
                <w:b/>
                <w:sz w:val="20"/>
                <w:lang w:eastAsia="en-GB" w:bidi="hi-IN"/>
              </w:rPr>
              <w:t xml:space="preserve"> Bivirkning</w:t>
            </w:r>
            <w:bookmarkEnd w:id="0"/>
          </w:p>
        </w:tc>
      </w:tr>
      <w:tr w:rsidR="00162150" w:rsidRPr="00162150" w14:paraId="04AABE91" w14:textId="77777777">
        <w:trPr>
          <w:trHeight w:val="1909"/>
          <w:jc w:val="center"/>
        </w:trPr>
        <w:tc>
          <w:tcPr>
            <w:tcW w:w="3402" w:type="dxa"/>
            <w:tcBorders>
              <w:top w:val="outset" w:sz="6" w:space="0" w:color="7B7B7B"/>
              <w:left w:val="outset" w:sz="6" w:space="0" w:color="7B7B7B"/>
              <w:bottom w:val="outset" w:sz="6" w:space="0" w:color="7B7B7B"/>
              <w:right w:val="outset" w:sz="6" w:space="0" w:color="7B7B7B"/>
            </w:tcBorders>
            <w:hideMark/>
          </w:tcPr>
          <w:p w14:paraId="59AC8DD9" w14:textId="77777777" w:rsidR="00162150" w:rsidRPr="00162150" w:rsidRDefault="00162150" w:rsidP="00162150">
            <w:pPr>
              <w:rPr>
                <w:rFonts w:cs="Calibri"/>
                <w:sz w:val="20"/>
                <w:lang w:eastAsia="en-GB" w:bidi="hi-IN"/>
              </w:rPr>
            </w:pPr>
            <w:r w:rsidRPr="00162150">
              <w:rPr>
                <w:sz w:val="20"/>
                <w:lang w:eastAsia="en-GB" w:bidi="hi-IN"/>
              </w:rPr>
              <w:t>Psykiske forstyrrelser</w:t>
            </w:r>
          </w:p>
        </w:tc>
        <w:tc>
          <w:tcPr>
            <w:tcW w:w="4820" w:type="dxa"/>
            <w:tcBorders>
              <w:top w:val="outset" w:sz="6" w:space="0" w:color="7B7B7B"/>
              <w:left w:val="outset" w:sz="6" w:space="0" w:color="7B7B7B"/>
              <w:bottom w:val="outset" w:sz="6" w:space="0" w:color="7B7B7B"/>
              <w:right w:val="outset" w:sz="6" w:space="0" w:color="7B7B7B"/>
            </w:tcBorders>
          </w:tcPr>
          <w:p w14:paraId="4BCA98CB" w14:textId="77777777" w:rsidR="00162150" w:rsidRPr="00162150" w:rsidRDefault="00162150" w:rsidP="00162150">
            <w:pPr>
              <w:rPr>
                <w:rFonts w:cs="Calibri"/>
                <w:sz w:val="20"/>
                <w:lang w:eastAsia="en-GB" w:bidi="hi-IN"/>
              </w:rPr>
            </w:pPr>
            <w:r w:rsidRPr="00162150">
              <w:rPr>
                <w:sz w:val="20"/>
                <w:lang w:eastAsia="en-GB" w:bidi="hi-IN"/>
              </w:rPr>
              <w:t>Ikke almindelig:</w:t>
            </w:r>
          </w:p>
          <w:p w14:paraId="36549138" w14:textId="77777777" w:rsidR="00162150" w:rsidRPr="00162150" w:rsidRDefault="00162150" w:rsidP="00162150">
            <w:pPr>
              <w:rPr>
                <w:rFonts w:cs="Calibri"/>
                <w:sz w:val="20"/>
                <w:lang w:eastAsia="en-GB" w:bidi="hi-IN"/>
              </w:rPr>
            </w:pPr>
            <w:r w:rsidRPr="00162150">
              <w:rPr>
                <w:sz w:val="20"/>
                <w:lang w:eastAsia="en-GB" w:bidi="hi-IN"/>
              </w:rPr>
              <w:t>Hallucination*, agitation*</w:t>
            </w:r>
          </w:p>
          <w:p w14:paraId="6553D347" w14:textId="77777777" w:rsidR="00162150" w:rsidRPr="00162150" w:rsidRDefault="00162150" w:rsidP="00162150">
            <w:pPr>
              <w:rPr>
                <w:rFonts w:cs="Calibri"/>
                <w:sz w:val="20"/>
                <w:lang w:eastAsia="en-GB" w:bidi="hi-IN"/>
              </w:rPr>
            </w:pPr>
          </w:p>
          <w:p w14:paraId="5BDD4500" w14:textId="77777777" w:rsidR="00162150" w:rsidRPr="00162150" w:rsidRDefault="00162150" w:rsidP="00162150">
            <w:pPr>
              <w:rPr>
                <w:rFonts w:cs="Calibri"/>
                <w:sz w:val="20"/>
                <w:lang w:eastAsia="en-GB" w:bidi="hi-IN"/>
              </w:rPr>
            </w:pPr>
            <w:r w:rsidRPr="00162150">
              <w:rPr>
                <w:sz w:val="20"/>
                <w:lang w:eastAsia="en-GB" w:bidi="hi-IN"/>
              </w:rPr>
              <w:t>Meget sjælden:</w:t>
            </w:r>
          </w:p>
          <w:p w14:paraId="52ACF4A7" w14:textId="77777777" w:rsidR="00162150" w:rsidRPr="00162150" w:rsidRDefault="00162150" w:rsidP="00162150">
            <w:pPr>
              <w:rPr>
                <w:rFonts w:cs="Calibri"/>
                <w:sz w:val="20"/>
                <w:vertAlign w:val="superscript"/>
                <w:lang w:eastAsia="en-GB" w:bidi="hi-IN"/>
              </w:rPr>
            </w:pPr>
            <w:r w:rsidRPr="00162150">
              <w:rPr>
                <w:sz w:val="20"/>
                <w:lang w:eastAsia="en-GB" w:bidi="hi-IN"/>
              </w:rPr>
              <w:t>Aggression*, mobilitetsforstyrrelser*, fysisk overfald*</w:t>
            </w:r>
          </w:p>
          <w:p w14:paraId="50329AD6" w14:textId="77777777" w:rsidR="00162150" w:rsidRPr="00162150" w:rsidRDefault="00162150" w:rsidP="00162150">
            <w:pPr>
              <w:rPr>
                <w:rFonts w:cs="Calibri"/>
                <w:sz w:val="20"/>
                <w:lang w:eastAsia="en-GB" w:bidi="hi-IN"/>
              </w:rPr>
            </w:pPr>
          </w:p>
          <w:p w14:paraId="406ADA5C" w14:textId="77777777" w:rsidR="00162150" w:rsidRPr="00162150" w:rsidRDefault="00162150" w:rsidP="00162150">
            <w:pPr>
              <w:rPr>
                <w:rFonts w:cs="Calibri"/>
                <w:sz w:val="20"/>
                <w:lang w:eastAsia="en-GB" w:bidi="hi-IN"/>
              </w:rPr>
            </w:pPr>
            <w:r w:rsidRPr="00162150">
              <w:rPr>
                <w:sz w:val="20"/>
                <w:lang w:eastAsia="en-GB" w:bidi="hi-IN"/>
              </w:rPr>
              <w:t>Hyppighed ikke kendt:</w:t>
            </w:r>
          </w:p>
          <w:p w14:paraId="5E47D45C" w14:textId="77777777" w:rsidR="00162150" w:rsidRPr="00162150" w:rsidRDefault="00162150" w:rsidP="00162150">
            <w:pPr>
              <w:rPr>
                <w:rFonts w:cs="Calibri"/>
                <w:sz w:val="20"/>
                <w:lang w:eastAsia="en-GB" w:bidi="hi-IN"/>
              </w:rPr>
            </w:pPr>
            <w:r w:rsidRPr="00162150">
              <w:rPr>
                <w:sz w:val="20"/>
                <w:lang w:eastAsia="en-GB" w:bidi="hi-IN"/>
              </w:rPr>
              <w:t>Vrede*, forvirring*, fjendtlighed*, eufori*</w:t>
            </w:r>
          </w:p>
        </w:tc>
      </w:tr>
      <w:tr w:rsidR="00162150" w:rsidRPr="00162150" w14:paraId="1E335678"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255D7ECB" w14:textId="77777777" w:rsidR="00162150" w:rsidRPr="00162150" w:rsidRDefault="00162150" w:rsidP="00162150">
            <w:pPr>
              <w:rPr>
                <w:rFonts w:cs="Calibri"/>
                <w:sz w:val="20"/>
                <w:lang w:eastAsia="en-GB" w:bidi="hi-IN"/>
              </w:rPr>
            </w:pPr>
            <w:r w:rsidRPr="00162150">
              <w:rPr>
                <w:sz w:val="20"/>
                <w:lang w:eastAsia="en-GB" w:bidi="hi-IN"/>
              </w:rPr>
              <w:t>Nervesystemet</w:t>
            </w:r>
          </w:p>
        </w:tc>
        <w:tc>
          <w:tcPr>
            <w:tcW w:w="4820" w:type="dxa"/>
            <w:tcBorders>
              <w:top w:val="outset" w:sz="6" w:space="0" w:color="7B7B7B"/>
              <w:left w:val="outset" w:sz="6" w:space="0" w:color="7B7B7B"/>
              <w:bottom w:val="outset" w:sz="6" w:space="0" w:color="7B7B7B"/>
              <w:right w:val="outset" w:sz="6" w:space="0" w:color="7B7B7B"/>
            </w:tcBorders>
          </w:tcPr>
          <w:p w14:paraId="0ED5FB7B" w14:textId="77777777" w:rsidR="00162150" w:rsidRPr="00162150" w:rsidRDefault="00162150" w:rsidP="00162150">
            <w:pPr>
              <w:rPr>
                <w:rFonts w:cs="Calibri"/>
                <w:sz w:val="20"/>
                <w:lang w:eastAsia="en-GB" w:bidi="hi-IN"/>
              </w:rPr>
            </w:pPr>
            <w:r w:rsidRPr="00162150">
              <w:rPr>
                <w:sz w:val="20"/>
                <w:lang w:eastAsia="en-GB" w:bidi="hi-IN"/>
              </w:rPr>
              <w:t>Almindelig:</w:t>
            </w:r>
          </w:p>
          <w:p w14:paraId="421D46F8" w14:textId="77777777" w:rsidR="00162150" w:rsidRPr="00162150" w:rsidRDefault="00162150" w:rsidP="00162150">
            <w:pPr>
              <w:rPr>
                <w:rFonts w:cs="Calibri"/>
                <w:sz w:val="20"/>
                <w:lang w:eastAsia="en-GB" w:bidi="hi-IN"/>
              </w:rPr>
            </w:pPr>
            <w:r w:rsidRPr="00162150">
              <w:rPr>
                <w:sz w:val="20"/>
                <w:lang w:eastAsia="en-GB" w:bidi="hi-IN"/>
              </w:rPr>
              <w:t>Sedation, somnolens, bevidsthedssvækkelse, respirationsdepression, ataksi*, svimmelhed*, hovedpine*</w:t>
            </w:r>
          </w:p>
          <w:p w14:paraId="78387527" w14:textId="77777777" w:rsidR="00162150" w:rsidRPr="00162150" w:rsidRDefault="00162150" w:rsidP="00162150">
            <w:pPr>
              <w:rPr>
                <w:rFonts w:cs="Calibri"/>
                <w:sz w:val="20"/>
                <w:lang w:eastAsia="en-GB" w:bidi="hi-IN"/>
              </w:rPr>
            </w:pPr>
          </w:p>
          <w:p w14:paraId="28F349F0" w14:textId="77777777" w:rsidR="00162150" w:rsidRPr="00162150" w:rsidRDefault="00162150" w:rsidP="00162150">
            <w:pPr>
              <w:rPr>
                <w:rFonts w:cs="Calibri"/>
                <w:sz w:val="20"/>
                <w:lang w:eastAsia="en-GB" w:bidi="hi-IN"/>
              </w:rPr>
            </w:pPr>
            <w:r w:rsidRPr="00162150">
              <w:rPr>
                <w:sz w:val="20"/>
                <w:lang w:eastAsia="en-GB" w:bidi="hi-IN"/>
              </w:rPr>
              <w:t>Ikke almindelig:</w:t>
            </w:r>
          </w:p>
          <w:p w14:paraId="18683DE7" w14:textId="77777777" w:rsidR="00162150" w:rsidRPr="00162150" w:rsidRDefault="00162150" w:rsidP="00162150">
            <w:pPr>
              <w:rPr>
                <w:rFonts w:cs="Calibri"/>
                <w:sz w:val="20"/>
                <w:lang w:eastAsia="en-GB" w:bidi="hi-IN"/>
              </w:rPr>
            </w:pPr>
            <w:r w:rsidRPr="00162150">
              <w:rPr>
                <w:sz w:val="20"/>
                <w:lang w:eastAsia="en-GB" w:bidi="hi-IN"/>
              </w:rPr>
              <w:t>Anterograd amnesi*</w:t>
            </w:r>
          </w:p>
          <w:p w14:paraId="721B85DB" w14:textId="77777777" w:rsidR="00162150" w:rsidRPr="00162150" w:rsidRDefault="00162150" w:rsidP="00162150">
            <w:pPr>
              <w:rPr>
                <w:rFonts w:cs="Calibri"/>
                <w:sz w:val="20"/>
                <w:lang w:eastAsia="en-GB" w:bidi="hi-IN"/>
              </w:rPr>
            </w:pPr>
          </w:p>
          <w:p w14:paraId="24EB1294" w14:textId="77777777" w:rsidR="00162150" w:rsidRPr="00162150" w:rsidRDefault="00162150" w:rsidP="00162150">
            <w:pPr>
              <w:rPr>
                <w:rFonts w:cs="Calibri"/>
                <w:sz w:val="20"/>
                <w:lang w:eastAsia="en-GB" w:bidi="hi-IN"/>
              </w:rPr>
            </w:pPr>
            <w:r w:rsidRPr="00162150">
              <w:rPr>
                <w:sz w:val="20"/>
                <w:lang w:eastAsia="en-GB" w:bidi="hi-IN"/>
              </w:rPr>
              <w:t>Meget sjælden:</w:t>
            </w:r>
          </w:p>
          <w:p w14:paraId="69348085" w14:textId="77777777" w:rsidR="00162150" w:rsidRPr="00162150" w:rsidRDefault="00162150" w:rsidP="00162150">
            <w:pPr>
              <w:rPr>
                <w:rFonts w:cs="Calibri"/>
                <w:sz w:val="20"/>
                <w:lang w:eastAsia="en-GB" w:bidi="hi-IN"/>
              </w:rPr>
            </w:pPr>
            <w:r w:rsidRPr="00162150">
              <w:rPr>
                <w:sz w:val="20"/>
                <w:lang w:eastAsia="en-GB" w:bidi="hi-IN"/>
              </w:rPr>
              <w:t>Krampeanfald*, paradokse reaktioner*</w:t>
            </w:r>
          </w:p>
        </w:tc>
      </w:tr>
      <w:tr w:rsidR="00162150" w:rsidRPr="00162150" w14:paraId="353AFED5"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3288FF81" w14:textId="77777777" w:rsidR="00162150" w:rsidRPr="00162150" w:rsidRDefault="00162150" w:rsidP="00162150">
            <w:pPr>
              <w:rPr>
                <w:rFonts w:cs="Calibri"/>
                <w:sz w:val="20"/>
                <w:lang w:eastAsia="en-GB" w:bidi="hi-IN"/>
              </w:rPr>
            </w:pPr>
            <w:r w:rsidRPr="00162150">
              <w:rPr>
                <w:sz w:val="20"/>
                <w:lang w:eastAsia="en-GB" w:bidi="hi-IN"/>
              </w:rPr>
              <w:t>Hjerte</w:t>
            </w:r>
          </w:p>
        </w:tc>
        <w:tc>
          <w:tcPr>
            <w:tcW w:w="4820" w:type="dxa"/>
            <w:tcBorders>
              <w:top w:val="outset" w:sz="6" w:space="0" w:color="7B7B7B"/>
              <w:left w:val="outset" w:sz="6" w:space="0" w:color="7B7B7B"/>
              <w:bottom w:val="outset" w:sz="6" w:space="0" w:color="7B7B7B"/>
              <w:right w:val="outset" w:sz="6" w:space="0" w:color="7B7B7B"/>
            </w:tcBorders>
            <w:hideMark/>
          </w:tcPr>
          <w:p w14:paraId="4CBEBD65" w14:textId="77777777" w:rsidR="00162150" w:rsidRPr="00162150" w:rsidRDefault="00162150" w:rsidP="00162150">
            <w:pPr>
              <w:rPr>
                <w:rFonts w:cs="Calibri"/>
                <w:sz w:val="20"/>
                <w:lang w:eastAsia="en-GB" w:bidi="hi-IN"/>
              </w:rPr>
            </w:pPr>
            <w:r w:rsidRPr="00162150">
              <w:rPr>
                <w:sz w:val="20"/>
                <w:lang w:eastAsia="en-GB" w:bidi="hi-IN"/>
              </w:rPr>
              <w:t>Meget sjælden:</w:t>
            </w:r>
          </w:p>
          <w:p w14:paraId="4C74BB1C" w14:textId="77777777" w:rsidR="00162150" w:rsidRPr="00162150" w:rsidRDefault="00162150" w:rsidP="00162150">
            <w:pPr>
              <w:rPr>
                <w:rFonts w:cs="Calibri"/>
                <w:sz w:val="20"/>
                <w:lang w:eastAsia="en-GB" w:bidi="hi-IN"/>
              </w:rPr>
            </w:pPr>
            <w:r w:rsidRPr="00162150">
              <w:rPr>
                <w:sz w:val="20"/>
                <w:lang w:eastAsia="en-GB" w:bidi="hi-IN"/>
              </w:rPr>
              <w:t>Bradykardi*, hjertestop*, hypotension*, vasodilatation*</w:t>
            </w:r>
          </w:p>
        </w:tc>
      </w:tr>
      <w:tr w:rsidR="00162150" w:rsidRPr="00162150" w14:paraId="4C64590A"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334F0D2B" w14:textId="77777777" w:rsidR="00162150" w:rsidRPr="00162150" w:rsidRDefault="00162150" w:rsidP="00162150">
            <w:pPr>
              <w:rPr>
                <w:rFonts w:cs="Calibri"/>
                <w:sz w:val="20"/>
                <w:lang w:eastAsia="en-GB" w:bidi="hi-IN"/>
              </w:rPr>
            </w:pPr>
            <w:r w:rsidRPr="00162150">
              <w:rPr>
                <w:sz w:val="20"/>
                <w:lang w:eastAsia="en-GB" w:bidi="hi-IN"/>
              </w:rPr>
              <w:t>Blod og lymfesystem</w:t>
            </w:r>
          </w:p>
        </w:tc>
        <w:tc>
          <w:tcPr>
            <w:tcW w:w="4820" w:type="dxa"/>
            <w:tcBorders>
              <w:top w:val="outset" w:sz="6" w:space="0" w:color="7B7B7B"/>
              <w:left w:val="outset" w:sz="6" w:space="0" w:color="7B7B7B"/>
              <w:bottom w:val="outset" w:sz="6" w:space="0" w:color="7B7B7B"/>
              <w:right w:val="outset" w:sz="6" w:space="0" w:color="7B7B7B"/>
            </w:tcBorders>
            <w:hideMark/>
          </w:tcPr>
          <w:p w14:paraId="7AB8F1A6" w14:textId="77777777" w:rsidR="00162150" w:rsidRPr="00162150" w:rsidRDefault="00162150" w:rsidP="00162150">
            <w:pPr>
              <w:rPr>
                <w:rFonts w:cs="Calibri"/>
                <w:sz w:val="20"/>
                <w:lang w:eastAsia="en-GB" w:bidi="hi-IN"/>
              </w:rPr>
            </w:pPr>
            <w:r w:rsidRPr="00162150">
              <w:rPr>
                <w:sz w:val="20"/>
                <w:lang w:eastAsia="en-GB" w:bidi="hi-IN"/>
              </w:rPr>
              <w:t>Ikke kendt:</w:t>
            </w:r>
          </w:p>
          <w:p w14:paraId="241B7500" w14:textId="77777777" w:rsidR="00162150" w:rsidRPr="00162150" w:rsidRDefault="00162150" w:rsidP="00162150">
            <w:pPr>
              <w:rPr>
                <w:rFonts w:cs="Calibri"/>
                <w:sz w:val="20"/>
                <w:lang w:eastAsia="en-GB" w:bidi="hi-IN"/>
              </w:rPr>
            </w:pPr>
            <w:r w:rsidRPr="00162150">
              <w:rPr>
                <w:sz w:val="20"/>
                <w:lang w:eastAsia="en-GB" w:bidi="hi-IN"/>
              </w:rPr>
              <w:t>Trombose</w:t>
            </w:r>
          </w:p>
        </w:tc>
      </w:tr>
      <w:tr w:rsidR="00162150" w:rsidRPr="00162150" w14:paraId="673BC3E3"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40B8BEE2" w14:textId="77777777" w:rsidR="00162150" w:rsidRPr="00162150" w:rsidRDefault="00162150" w:rsidP="00162150">
            <w:pPr>
              <w:rPr>
                <w:rFonts w:cs="Calibri"/>
                <w:sz w:val="20"/>
                <w:lang w:eastAsia="en-GB" w:bidi="hi-IN"/>
              </w:rPr>
            </w:pPr>
            <w:r w:rsidRPr="00162150">
              <w:rPr>
                <w:sz w:val="20"/>
                <w:lang w:eastAsia="en-GB" w:bidi="hi-IN"/>
              </w:rPr>
              <w:t>Luftveje, thorax og mediastinum</w:t>
            </w:r>
          </w:p>
        </w:tc>
        <w:tc>
          <w:tcPr>
            <w:tcW w:w="4820" w:type="dxa"/>
            <w:tcBorders>
              <w:top w:val="outset" w:sz="6" w:space="0" w:color="7B7B7B"/>
              <w:left w:val="outset" w:sz="6" w:space="0" w:color="7B7B7B"/>
              <w:bottom w:val="outset" w:sz="6" w:space="0" w:color="7B7B7B"/>
              <w:right w:val="outset" w:sz="6" w:space="0" w:color="7B7B7B"/>
            </w:tcBorders>
          </w:tcPr>
          <w:p w14:paraId="0A7FAD4F" w14:textId="77777777" w:rsidR="00162150" w:rsidRPr="00162150" w:rsidRDefault="00162150" w:rsidP="00162150">
            <w:pPr>
              <w:rPr>
                <w:rFonts w:cs="Calibri"/>
                <w:sz w:val="20"/>
                <w:lang w:eastAsia="en-GB" w:bidi="hi-IN"/>
              </w:rPr>
            </w:pPr>
            <w:r w:rsidRPr="00162150">
              <w:rPr>
                <w:sz w:val="20"/>
                <w:lang w:eastAsia="en-GB" w:bidi="hi-IN"/>
              </w:rPr>
              <w:t>Meget sjælden:</w:t>
            </w:r>
          </w:p>
          <w:p w14:paraId="5F2874EE" w14:textId="77777777" w:rsidR="00162150" w:rsidRPr="00162150" w:rsidRDefault="00162150" w:rsidP="00162150">
            <w:pPr>
              <w:rPr>
                <w:rFonts w:cs="Calibri"/>
                <w:sz w:val="20"/>
                <w:lang w:eastAsia="en-GB" w:bidi="hi-IN"/>
              </w:rPr>
            </w:pPr>
            <w:r w:rsidRPr="00162150">
              <w:rPr>
                <w:sz w:val="20"/>
                <w:lang w:eastAsia="en-GB" w:bidi="hi-IN"/>
              </w:rPr>
              <w:t>Apnø*, dyspnø*</w:t>
            </w:r>
          </w:p>
          <w:p w14:paraId="2E1AC85F" w14:textId="77777777" w:rsidR="00162150" w:rsidRPr="00162150" w:rsidRDefault="00162150" w:rsidP="00162150">
            <w:pPr>
              <w:rPr>
                <w:rFonts w:cs="Calibri"/>
                <w:sz w:val="20"/>
                <w:lang w:eastAsia="en-GB" w:bidi="hi-IN"/>
              </w:rPr>
            </w:pPr>
          </w:p>
          <w:p w14:paraId="5485AC4B" w14:textId="77777777" w:rsidR="00162150" w:rsidRPr="00162150" w:rsidRDefault="00162150" w:rsidP="00162150">
            <w:pPr>
              <w:rPr>
                <w:rFonts w:cs="Calibri"/>
                <w:sz w:val="20"/>
                <w:lang w:eastAsia="en-GB" w:bidi="hi-IN"/>
              </w:rPr>
            </w:pPr>
            <w:r w:rsidRPr="00162150">
              <w:rPr>
                <w:sz w:val="20"/>
                <w:lang w:eastAsia="en-GB" w:bidi="hi-IN"/>
              </w:rPr>
              <w:t>Hyppighed ikke kendt:</w:t>
            </w:r>
          </w:p>
          <w:p w14:paraId="272F9389" w14:textId="77777777" w:rsidR="00162150" w:rsidRPr="00162150" w:rsidRDefault="00162150" w:rsidP="00162150">
            <w:pPr>
              <w:rPr>
                <w:rFonts w:cs="Calibri"/>
                <w:sz w:val="20"/>
                <w:lang w:eastAsia="en-GB" w:bidi="hi-IN"/>
              </w:rPr>
            </w:pPr>
            <w:r w:rsidRPr="00162150">
              <w:rPr>
                <w:sz w:val="20"/>
                <w:lang w:eastAsia="en-GB" w:bidi="hi-IN"/>
              </w:rPr>
              <w:t>Laryngospasme*, respirationsstop*</w:t>
            </w:r>
          </w:p>
        </w:tc>
      </w:tr>
      <w:tr w:rsidR="00162150" w:rsidRPr="00162150" w14:paraId="2325E6CA"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7AD6C27D" w14:textId="77777777" w:rsidR="00162150" w:rsidRPr="00162150" w:rsidRDefault="00162150" w:rsidP="00162150">
            <w:pPr>
              <w:rPr>
                <w:rFonts w:cs="Calibri"/>
                <w:sz w:val="20"/>
                <w:lang w:eastAsia="en-GB" w:bidi="hi-IN"/>
              </w:rPr>
            </w:pPr>
            <w:r w:rsidRPr="00162150">
              <w:rPr>
                <w:sz w:val="20"/>
                <w:lang w:eastAsia="en-GB" w:bidi="hi-IN"/>
              </w:rPr>
              <w:t>Mave-tarm-kanalen</w:t>
            </w:r>
          </w:p>
        </w:tc>
        <w:tc>
          <w:tcPr>
            <w:tcW w:w="4820" w:type="dxa"/>
            <w:tcBorders>
              <w:top w:val="outset" w:sz="6" w:space="0" w:color="7B7B7B"/>
              <w:left w:val="outset" w:sz="6" w:space="0" w:color="7B7B7B"/>
              <w:bottom w:val="outset" w:sz="6" w:space="0" w:color="7B7B7B"/>
              <w:right w:val="outset" w:sz="6" w:space="0" w:color="7B7B7B"/>
            </w:tcBorders>
          </w:tcPr>
          <w:p w14:paraId="1BF02C40" w14:textId="77777777" w:rsidR="00162150" w:rsidRPr="00162150" w:rsidRDefault="00162150" w:rsidP="00162150">
            <w:pPr>
              <w:rPr>
                <w:rFonts w:cs="Calibri"/>
                <w:sz w:val="20"/>
                <w:lang w:eastAsia="en-GB" w:bidi="hi-IN"/>
              </w:rPr>
            </w:pPr>
            <w:r w:rsidRPr="00162150">
              <w:rPr>
                <w:sz w:val="20"/>
                <w:lang w:eastAsia="en-GB" w:bidi="hi-IN"/>
              </w:rPr>
              <w:t>Almindelig:</w:t>
            </w:r>
          </w:p>
          <w:p w14:paraId="67DE4A05" w14:textId="77777777" w:rsidR="00162150" w:rsidRPr="00162150" w:rsidRDefault="00162150" w:rsidP="00162150">
            <w:pPr>
              <w:rPr>
                <w:rFonts w:cs="Calibri"/>
                <w:sz w:val="20"/>
                <w:lang w:eastAsia="en-GB" w:bidi="hi-IN"/>
              </w:rPr>
            </w:pPr>
            <w:r w:rsidRPr="00162150">
              <w:rPr>
                <w:sz w:val="20"/>
                <w:lang w:eastAsia="en-GB" w:bidi="hi-IN"/>
              </w:rPr>
              <w:t>Kvalme og opkastning</w:t>
            </w:r>
          </w:p>
          <w:p w14:paraId="55CA998D" w14:textId="77777777" w:rsidR="00162150" w:rsidRPr="00162150" w:rsidRDefault="00162150" w:rsidP="00162150">
            <w:pPr>
              <w:rPr>
                <w:rFonts w:cs="Calibri"/>
                <w:sz w:val="20"/>
                <w:lang w:eastAsia="en-GB" w:bidi="hi-IN"/>
              </w:rPr>
            </w:pPr>
          </w:p>
          <w:p w14:paraId="58719A1A" w14:textId="77777777" w:rsidR="00162150" w:rsidRPr="00162150" w:rsidRDefault="00162150" w:rsidP="00162150">
            <w:pPr>
              <w:rPr>
                <w:rFonts w:cs="Calibri"/>
                <w:sz w:val="20"/>
                <w:lang w:eastAsia="en-GB" w:bidi="hi-IN"/>
              </w:rPr>
            </w:pPr>
            <w:r w:rsidRPr="00162150">
              <w:rPr>
                <w:sz w:val="20"/>
                <w:lang w:eastAsia="en-GB" w:bidi="hi-IN"/>
              </w:rPr>
              <w:t>Meget sjælden:</w:t>
            </w:r>
          </w:p>
          <w:p w14:paraId="1931B628" w14:textId="77777777" w:rsidR="00162150" w:rsidRPr="00162150" w:rsidRDefault="00162150" w:rsidP="00162150">
            <w:pPr>
              <w:rPr>
                <w:rFonts w:cs="Calibri"/>
                <w:sz w:val="20"/>
                <w:lang w:eastAsia="en-GB" w:bidi="hi-IN"/>
              </w:rPr>
            </w:pPr>
            <w:r w:rsidRPr="00162150">
              <w:rPr>
                <w:sz w:val="20"/>
                <w:lang w:eastAsia="en-GB" w:bidi="hi-IN"/>
              </w:rPr>
              <w:t>Forstoppelse*, mundtørhed*</w:t>
            </w:r>
            <w:r w:rsidRPr="00162150">
              <w:rPr>
                <w:sz w:val="20"/>
                <w:vertAlign w:val="superscript"/>
                <w:lang w:eastAsia="en-GB" w:bidi="hi-IN"/>
              </w:rPr>
              <w:t xml:space="preserve"> </w:t>
            </w:r>
          </w:p>
        </w:tc>
      </w:tr>
      <w:tr w:rsidR="00162150" w:rsidRPr="00162150" w14:paraId="55EC4D25"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00138716" w14:textId="77777777" w:rsidR="00162150" w:rsidRPr="00162150" w:rsidRDefault="00162150" w:rsidP="00162150">
            <w:pPr>
              <w:rPr>
                <w:rFonts w:cs="Calibri"/>
                <w:sz w:val="20"/>
                <w:lang w:eastAsia="en-GB" w:bidi="hi-IN"/>
              </w:rPr>
            </w:pPr>
            <w:r w:rsidRPr="00162150">
              <w:rPr>
                <w:sz w:val="20"/>
                <w:lang w:eastAsia="en-GB" w:bidi="hi-IN"/>
              </w:rPr>
              <w:t>Hud og subkutane væv</w:t>
            </w:r>
          </w:p>
        </w:tc>
        <w:tc>
          <w:tcPr>
            <w:tcW w:w="4820" w:type="dxa"/>
            <w:tcBorders>
              <w:top w:val="outset" w:sz="6" w:space="0" w:color="7B7B7B"/>
              <w:left w:val="outset" w:sz="6" w:space="0" w:color="7B7B7B"/>
              <w:bottom w:val="outset" w:sz="6" w:space="0" w:color="7B7B7B"/>
              <w:right w:val="outset" w:sz="6" w:space="0" w:color="7B7B7B"/>
            </w:tcBorders>
          </w:tcPr>
          <w:p w14:paraId="08321736" w14:textId="77777777" w:rsidR="00162150" w:rsidRPr="00162150" w:rsidRDefault="00162150" w:rsidP="00162150">
            <w:pPr>
              <w:rPr>
                <w:rFonts w:cs="Calibri"/>
                <w:sz w:val="20"/>
                <w:lang w:eastAsia="en-GB" w:bidi="hi-IN"/>
              </w:rPr>
            </w:pPr>
            <w:r w:rsidRPr="00162150">
              <w:rPr>
                <w:sz w:val="20"/>
                <w:lang w:eastAsia="en-GB" w:bidi="hi-IN"/>
              </w:rPr>
              <w:t>Ikke almindelig:</w:t>
            </w:r>
          </w:p>
          <w:p w14:paraId="04B11949" w14:textId="77777777" w:rsidR="00162150" w:rsidRPr="00162150" w:rsidRDefault="00162150" w:rsidP="00162150">
            <w:pPr>
              <w:rPr>
                <w:rFonts w:cs="Calibri"/>
                <w:sz w:val="20"/>
                <w:lang w:eastAsia="en-GB" w:bidi="hi-IN"/>
              </w:rPr>
            </w:pPr>
            <w:r w:rsidRPr="00162150">
              <w:rPr>
                <w:sz w:val="20"/>
                <w:lang w:eastAsia="en-GB" w:bidi="hi-IN"/>
              </w:rPr>
              <w:t>Kløe, udslæt og urticaria</w:t>
            </w:r>
          </w:p>
          <w:p w14:paraId="1923BC2A" w14:textId="77777777" w:rsidR="00162150" w:rsidRPr="00162150" w:rsidRDefault="00162150" w:rsidP="00162150">
            <w:pPr>
              <w:rPr>
                <w:sz w:val="20"/>
                <w:lang w:eastAsia="en-GB" w:bidi="hi-IN"/>
              </w:rPr>
            </w:pPr>
          </w:p>
          <w:p w14:paraId="0AF652D9" w14:textId="77777777" w:rsidR="00162150" w:rsidRPr="00162150" w:rsidRDefault="00162150" w:rsidP="00162150">
            <w:pPr>
              <w:rPr>
                <w:rFonts w:cs="Calibri"/>
                <w:sz w:val="20"/>
                <w:lang w:eastAsia="en-GB" w:bidi="hi-IN"/>
              </w:rPr>
            </w:pPr>
            <w:r w:rsidRPr="00162150">
              <w:rPr>
                <w:sz w:val="20"/>
                <w:lang w:eastAsia="en-GB" w:bidi="hi-IN"/>
              </w:rPr>
              <w:t>Ikke kendt:</w:t>
            </w:r>
          </w:p>
          <w:p w14:paraId="26D509F9" w14:textId="77777777" w:rsidR="00162150" w:rsidRPr="00162150" w:rsidRDefault="00162150" w:rsidP="00162150">
            <w:pPr>
              <w:rPr>
                <w:rFonts w:cs="Calibri"/>
                <w:sz w:val="20"/>
                <w:lang w:eastAsia="en-GB" w:bidi="hi-IN"/>
              </w:rPr>
            </w:pPr>
            <w:r w:rsidRPr="00162150">
              <w:rPr>
                <w:sz w:val="20"/>
                <w:lang w:eastAsia="en-GB" w:bidi="hi-IN"/>
              </w:rPr>
              <w:t>Angioødem**</w:t>
            </w:r>
          </w:p>
        </w:tc>
      </w:tr>
      <w:tr w:rsidR="00162150" w:rsidRPr="00162150" w14:paraId="4EC078E6"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65587B33" w14:textId="77777777" w:rsidR="00162150" w:rsidRPr="00162150" w:rsidRDefault="00162150" w:rsidP="00162150">
            <w:pPr>
              <w:rPr>
                <w:rFonts w:cs="Calibri"/>
                <w:sz w:val="20"/>
                <w:lang w:eastAsia="en-GB" w:bidi="hi-IN"/>
              </w:rPr>
            </w:pPr>
            <w:r w:rsidRPr="00162150">
              <w:rPr>
                <w:sz w:val="20"/>
                <w:lang w:eastAsia="en-GB" w:bidi="hi-IN"/>
              </w:rPr>
              <w:t>Almene symptomer og reaktioner på administrationsstedet</w:t>
            </w:r>
          </w:p>
        </w:tc>
        <w:tc>
          <w:tcPr>
            <w:tcW w:w="4820" w:type="dxa"/>
            <w:tcBorders>
              <w:top w:val="outset" w:sz="6" w:space="0" w:color="7B7B7B"/>
              <w:left w:val="outset" w:sz="6" w:space="0" w:color="7B7B7B"/>
              <w:bottom w:val="outset" w:sz="6" w:space="0" w:color="7B7B7B"/>
              <w:right w:val="outset" w:sz="6" w:space="0" w:color="7B7B7B"/>
            </w:tcBorders>
          </w:tcPr>
          <w:p w14:paraId="0E7B4FE9" w14:textId="77777777" w:rsidR="00162150" w:rsidRPr="00162150" w:rsidRDefault="00162150" w:rsidP="00162150">
            <w:pPr>
              <w:rPr>
                <w:rFonts w:cs="Calibri"/>
                <w:sz w:val="20"/>
                <w:lang w:eastAsia="en-GB" w:bidi="hi-IN"/>
              </w:rPr>
            </w:pPr>
            <w:r w:rsidRPr="00162150">
              <w:rPr>
                <w:sz w:val="20"/>
                <w:lang w:eastAsia="en-GB" w:bidi="hi-IN"/>
              </w:rPr>
              <w:t>Almindelig:</w:t>
            </w:r>
          </w:p>
          <w:p w14:paraId="2BB56534" w14:textId="77777777" w:rsidR="00162150" w:rsidRPr="00162150" w:rsidRDefault="00162150" w:rsidP="00162150">
            <w:pPr>
              <w:rPr>
                <w:rFonts w:cs="Calibri"/>
                <w:sz w:val="20"/>
                <w:lang w:eastAsia="en-GB" w:bidi="hi-IN"/>
              </w:rPr>
            </w:pPr>
            <w:r w:rsidRPr="00162150">
              <w:rPr>
                <w:sz w:val="20"/>
                <w:lang w:eastAsia="en-GB" w:bidi="hi-IN"/>
              </w:rPr>
              <w:t>Træthed*</w:t>
            </w:r>
          </w:p>
          <w:p w14:paraId="68F84146" w14:textId="77777777" w:rsidR="00162150" w:rsidRPr="00162150" w:rsidRDefault="00162150" w:rsidP="00162150">
            <w:pPr>
              <w:rPr>
                <w:rFonts w:cs="Calibri"/>
                <w:sz w:val="20"/>
                <w:lang w:eastAsia="en-GB" w:bidi="hi-IN"/>
              </w:rPr>
            </w:pPr>
          </w:p>
          <w:p w14:paraId="16ECFBEA" w14:textId="77777777" w:rsidR="00162150" w:rsidRPr="00162150" w:rsidRDefault="00162150" w:rsidP="00162150">
            <w:pPr>
              <w:rPr>
                <w:rFonts w:cs="Calibri"/>
                <w:sz w:val="20"/>
                <w:lang w:eastAsia="en-GB" w:bidi="hi-IN"/>
              </w:rPr>
            </w:pPr>
            <w:r w:rsidRPr="00162150">
              <w:rPr>
                <w:sz w:val="20"/>
                <w:lang w:eastAsia="en-GB" w:bidi="hi-IN"/>
              </w:rPr>
              <w:t>Meget sjælden:</w:t>
            </w:r>
          </w:p>
          <w:p w14:paraId="1C88FF8D" w14:textId="77777777" w:rsidR="00162150" w:rsidRPr="00162150" w:rsidRDefault="00162150" w:rsidP="00162150">
            <w:pPr>
              <w:rPr>
                <w:rFonts w:cs="Calibri"/>
                <w:sz w:val="20"/>
                <w:lang w:eastAsia="en-GB" w:bidi="hi-IN"/>
              </w:rPr>
            </w:pPr>
            <w:r w:rsidRPr="00162150">
              <w:rPr>
                <w:sz w:val="20"/>
                <w:lang w:eastAsia="en-GB" w:bidi="hi-IN"/>
              </w:rPr>
              <w:t>Hikke*</w:t>
            </w:r>
          </w:p>
        </w:tc>
      </w:tr>
      <w:tr w:rsidR="00162150" w:rsidRPr="00162150" w14:paraId="5D8C82BD" w14:textId="77777777">
        <w:trPr>
          <w:jc w:val="center"/>
        </w:trPr>
        <w:tc>
          <w:tcPr>
            <w:tcW w:w="3402" w:type="dxa"/>
            <w:tcBorders>
              <w:top w:val="outset" w:sz="6" w:space="0" w:color="7B7B7B"/>
              <w:left w:val="outset" w:sz="6" w:space="0" w:color="7B7B7B"/>
              <w:bottom w:val="outset" w:sz="6" w:space="0" w:color="7B7B7B"/>
              <w:right w:val="outset" w:sz="6" w:space="0" w:color="7B7B7B"/>
            </w:tcBorders>
            <w:hideMark/>
          </w:tcPr>
          <w:p w14:paraId="48EADDA1" w14:textId="77777777" w:rsidR="00162150" w:rsidRPr="00162150" w:rsidRDefault="00162150" w:rsidP="00162150">
            <w:pPr>
              <w:rPr>
                <w:rFonts w:cs="Calibri"/>
                <w:sz w:val="20"/>
                <w:lang w:eastAsia="en-GB" w:bidi="hi-IN"/>
              </w:rPr>
            </w:pPr>
            <w:r w:rsidRPr="00162150">
              <w:rPr>
                <w:sz w:val="20"/>
                <w:lang w:eastAsia="en-GB" w:bidi="hi-IN"/>
              </w:rPr>
              <w:t>Immunsystemet</w:t>
            </w:r>
          </w:p>
        </w:tc>
        <w:tc>
          <w:tcPr>
            <w:tcW w:w="4820" w:type="dxa"/>
            <w:tcBorders>
              <w:top w:val="outset" w:sz="6" w:space="0" w:color="7B7B7B"/>
              <w:left w:val="outset" w:sz="6" w:space="0" w:color="7B7B7B"/>
              <w:bottom w:val="outset" w:sz="6" w:space="0" w:color="7B7B7B"/>
              <w:right w:val="outset" w:sz="6" w:space="0" w:color="7B7B7B"/>
            </w:tcBorders>
            <w:hideMark/>
          </w:tcPr>
          <w:p w14:paraId="75454DAA" w14:textId="77777777" w:rsidR="00162150" w:rsidRPr="00162150" w:rsidRDefault="00162150" w:rsidP="00162150">
            <w:pPr>
              <w:rPr>
                <w:rFonts w:cs="Calibri"/>
                <w:sz w:val="20"/>
                <w:lang w:eastAsia="en-GB" w:bidi="hi-IN"/>
              </w:rPr>
            </w:pPr>
            <w:r w:rsidRPr="00162150">
              <w:rPr>
                <w:sz w:val="20"/>
                <w:lang w:eastAsia="en-GB" w:bidi="hi-IN"/>
              </w:rPr>
              <w:t>Ikke kendt:</w:t>
            </w:r>
          </w:p>
          <w:p w14:paraId="7EC16D56" w14:textId="77777777" w:rsidR="00162150" w:rsidRPr="00162150" w:rsidRDefault="00162150" w:rsidP="00162150">
            <w:pPr>
              <w:rPr>
                <w:rFonts w:cs="Calibri"/>
                <w:sz w:val="20"/>
                <w:lang w:eastAsia="en-GB" w:bidi="hi-IN"/>
              </w:rPr>
            </w:pPr>
            <w:r w:rsidRPr="00162150">
              <w:rPr>
                <w:sz w:val="20"/>
                <w:lang w:eastAsia="en-GB" w:bidi="hi-IN"/>
              </w:rPr>
              <w:t>Anafylaktisk reaktion*</w:t>
            </w:r>
          </w:p>
        </w:tc>
      </w:tr>
    </w:tbl>
    <w:p w14:paraId="7280684B" w14:textId="2E453574" w:rsidR="00162150" w:rsidRPr="00162150" w:rsidRDefault="00162150" w:rsidP="00162150">
      <w:pPr>
        <w:tabs>
          <w:tab w:val="left" w:pos="993"/>
        </w:tabs>
        <w:ind w:left="993" w:hanging="284"/>
        <w:rPr>
          <w:sz w:val="20"/>
          <w:lang w:eastAsia="en-GB"/>
        </w:rPr>
      </w:pPr>
      <w:r w:rsidRPr="00162150">
        <w:rPr>
          <w:sz w:val="20"/>
          <w:lang w:eastAsia="en-GB"/>
        </w:rPr>
        <w:t>*</w:t>
      </w:r>
      <w:r>
        <w:rPr>
          <w:sz w:val="20"/>
          <w:lang w:eastAsia="en-GB"/>
        </w:rPr>
        <w:tab/>
      </w:r>
      <w:r w:rsidRPr="00162150">
        <w:rPr>
          <w:sz w:val="20"/>
          <w:lang w:eastAsia="en-GB"/>
        </w:rPr>
        <w:t>Disse bivirkninger er rapporteret ved injektion af midazolam hos børn og/eller voksne, hvilket kan være relevant for indgivelse via mundhulen.</w:t>
      </w:r>
    </w:p>
    <w:p w14:paraId="432E0B11" w14:textId="6773515B" w:rsidR="00162150" w:rsidRPr="00162150" w:rsidRDefault="00162150" w:rsidP="00162150">
      <w:pPr>
        <w:tabs>
          <w:tab w:val="left" w:pos="993"/>
        </w:tabs>
        <w:ind w:left="993" w:hanging="284"/>
        <w:rPr>
          <w:sz w:val="20"/>
          <w:lang w:eastAsia="en-GB"/>
        </w:rPr>
      </w:pPr>
      <w:r w:rsidRPr="00162150">
        <w:rPr>
          <w:sz w:val="20"/>
          <w:lang w:eastAsia="en-GB"/>
        </w:rPr>
        <w:t>**</w:t>
      </w:r>
      <w:r>
        <w:rPr>
          <w:sz w:val="20"/>
          <w:lang w:eastAsia="en-GB"/>
        </w:rPr>
        <w:tab/>
      </w:r>
      <w:r w:rsidRPr="00162150">
        <w:rPr>
          <w:sz w:val="20"/>
          <w:lang w:eastAsia="en-GB"/>
        </w:rPr>
        <w:t>Bivirkninger identificeret efter markedsføring.</w:t>
      </w:r>
    </w:p>
    <w:p w14:paraId="586B74E6" w14:textId="5A95EE43" w:rsidR="00162150" w:rsidRDefault="00162150" w:rsidP="00E450A3">
      <w:pPr>
        <w:ind w:left="851"/>
        <w:rPr>
          <w:sz w:val="24"/>
          <w:szCs w:val="24"/>
          <w:lang w:eastAsia="en-GB"/>
        </w:rPr>
      </w:pPr>
      <w:r>
        <w:rPr>
          <w:sz w:val="24"/>
          <w:szCs w:val="24"/>
          <w:lang w:eastAsia="en-GB"/>
        </w:rPr>
        <w:br w:type="page"/>
      </w:r>
    </w:p>
    <w:p w14:paraId="44E2692A" w14:textId="77777777" w:rsidR="00162150" w:rsidRPr="00162150" w:rsidRDefault="00162150" w:rsidP="00E450A3">
      <w:pPr>
        <w:ind w:left="851"/>
        <w:rPr>
          <w:sz w:val="24"/>
          <w:szCs w:val="24"/>
          <w:lang w:eastAsia="en-GB"/>
        </w:rPr>
      </w:pPr>
    </w:p>
    <w:p w14:paraId="2D7080B6" w14:textId="77777777" w:rsidR="00162150" w:rsidRPr="00162150" w:rsidRDefault="00162150" w:rsidP="00E450A3">
      <w:pPr>
        <w:ind w:left="851"/>
        <w:rPr>
          <w:iCs/>
          <w:sz w:val="24"/>
          <w:szCs w:val="24"/>
          <w:u w:val="single"/>
          <w:lang w:eastAsia="en-GB"/>
        </w:rPr>
      </w:pPr>
      <w:r w:rsidRPr="00162150">
        <w:rPr>
          <w:sz w:val="24"/>
          <w:szCs w:val="24"/>
          <w:u w:val="single"/>
          <w:lang w:eastAsia="en-GB"/>
        </w:rPr>
        <w:t>Beskrivelse af udvalgte bivirkninger</w:t>
      </w:r>
    </w:p>
    <w:p w14:paraId="500681D6" w14:textId="77777777" w:rsidR="00162150" w:rsidRPr="00162150" w:rsidRDefault="00162150" w:rsidP="00E450A3">
      <w:pPr>
        <w:ind w:left="851"/>
        <w:rPr>
          <w:sz w:val="24"/>
          <w:szCs w:val="24"/>
          <w:lang w:eastAsia="en-GB"/>
        </w:rPr>
      </w:pPr>
      <w:r w:rsidRPr="00162150">
        <w:rPr>
          <w:sz w:val="24"/>
          <w:szCs w:val="24"/>
          <w:lang w:eastAsia="en-GB"/>
        </w:rPr>
        <w:t>Der har været indberetninger om fald og frakturer hos benzodiazepin-brugere. Risikoen for fald og frakturer er øget hos dem, som samtidig tager sedativa (inklusive alkoholiske drikkevarer) og hos ældre.</w:t>
      </w:r>
    </w:p>
    <w:p w14:paraId="24AFBFAB" w14:textId="77777777" w:rsidR="00162150" w:rsidRPr="00162150" w:rsidRDefault="00162150" w:rsidP="00E450A3">
      <w:pPr>
        <w:ind w:left="851"/>
        <w:rPr>
          <w:sz w:val="24"/>
          <w:szCs w:val="24"/>
          <w:lang w:eastAsia="en-GB"/>
        </w:rPr>
      </w:pPr>
    </w:p>
    <w:p w14:paraId="0558BD32" w14:textId="77777777" w:rsidR="00162150" w:rsidRPr="00162150" w:rsidRDefault="00162150" w:rsidP="00E450A3">
      <w:pPr>
        <w:ind w:left="851"/>
        <w:rPr>
          <w:sz w:val="24"/>
          <w:szCs w:val="24"/>
          <w:lang w:eastAsia="en-GB"/>
        </w:rPr>
      </w:pPr>
      <w:r w:rsidRPr="00162150">
        <w:rPr>
          <w:sz w:val="24"/>
          <w:szCs w:val="24"/>
          <w:lang w:eastAsia="en-GB"/>
        </w:rPr>
        <w:t>Livstruende bivirkninger har større tendens til at forekomme hos patienter med eksisterende respirationsinsufficiens eller nedsat hjertefunktion, især når der indgives en høj dosis (se pkt. 4.4).</w:t>
      </w:r>
    </w:p>
    <w:p w14:paraId="385ED1E0" w14:textId="77777777" w:rsidR="00162150" w:rsidRPr="00162150" w:rsidRDefault="00162150" w:rsidP="00E450A3">
      <w:pPr>
        <w:ind w:left="851"/>
        <w:rPr>
          <w:iCs/>
          <w:sz w:val="24"/>
          <w:szCs w:val="24"/>
          <w:u w:val="single"/>
          <w:lang w:eastAsia="en-GB"/>
        </w:rPr>
      </w:pPr>
    </w:p>
    <w:p w14:paraId="28A64662" w14:textId="77777777" w:rsidR="00162150" w:rsidRPr="00162150" w:rsidRDefault="00162150" w:rsidP="00E450A3">
      <w:pPr>
        <w:ind w:left="851"/>
        <w:rPr>
          <w:iCs/>
          <w:sz w:val="24"/>
          <w:szCs w:val="24"/>
          <w:u w:val="single"/>
          <w:lang w:eastAsia="en-GB"/>
        </w:rPr>
      </w:pPr>
      <w:r w:rsidRPr="00162150">
        <w:rPr>
          <w:sz w:val="24"/>
          <w:szCs w:val="24"/>
          <w:u w:val="single"/>
          <w:lang w:eastAsia="en-GB"/>
        </w:rPr>
        <w:t>Indberetning af formodede bivirkninger</w:t>
      </w:r>
    </w:p>
    <w:p w14:paraId="0DE6E66F" w14:textId="77777777" w:rsidR="00162150" w:rsidRPr="00162150" w:rsidRDefault="00162150" w:rsidP="00E450A3">
      <w:pPr>
        <w:tabs>
          <w:tab w:val="left" w:pos="567"/>
        </w:tabs>
        <w:autoSpaceDE w:val="0"/>
        <w:autoSpaceDN w:val="0"/>
        <w:adjustRightInd w:val="0"/>
        <w:ind w:left="851"/>
        <w:rPr>
          <w:sz w:val="24"/>
          <w:szCs w:val="24"/>
          <w:lang w:eastAsia="en-GB"/>
        </w:rPr>
      </w:pPr>
      <w:r w:rsidRPr="00162150">
        <w:rPr>
          <w:sz w:val="24"/>
          <w:szCs w:val="24"/>
          <w:lang w:eastAsia="en-GB"/>
        </w:rPr>
        <w:t>Når lægemidlet er godkendt, er indberetning af formodede bivirkninger vigtig. Det muliggør løbende overvågning af benefit/risk-forholdet for lægemidlet. Sundhedspersoner anmodes om at indberette alle formodede bivirkninger via:</w:t>
      </w:r>
      <w:r w:rsidRPr="00162150">
        <w:rPr>
          <w:sz w:val="24"/>
          <w:szCs w:val="24"/>
          <w:lang w:eastAsia="en-GB"/>
        </w:rPr>
        <w:br/>
      </w:r>
      <w:r w:rsidRPr="00162150">
        <w:rPr>
          <w:sz w:val="24"/>
          <w:szCs w:val="24"/>
          <w:lang w:eastAsia="en-GB"/>
        </w:rPr>
        <w:br/>
        <w:t>Lægemiddelstyrelsen</w:t>
      </w:r>
    </w:p>
    <w:p w14:paraId="6E22F914" w14:textId="77777777" w:rsidR="00162150" w:rsidRPr="00162150" w:rsidRDefault="00162150" w:rsidP="00E450A3">
      <w:pPr>
        <w:tabs>
          <w:tab w:val="left" w:pos="567"/>
        </w:tabs>
        <w:autoSpaceDE w:val="0"/>
        <w:autoSpaceDN w:val="0"/>
        <w:adjustRightInd w:val="0"/>
        <w:ind w:left="851"/>
        <w:rPr>
          <w:sz w:val="24"/>
          <w:szCs w:val="24"/>
          <w:lang w:eastAsia="en-GB"/>
        </w:rPr>
      </w:pPr>
      <w:r w:rsidRPr="00162150">
        <w:rPr>
          <w:sz w:val="24"/>
          <w:szCs w:val="24"/>
          <w:lang w:eastAsia="en-GB"/>
        </w:rPr>
        <w:t>Axel Heides Gade 1</w:t>
      </w:r>
    </w:p>
    <w:p w14:paraId="4EBA5C6A" w14:textId="77777777" w:rsidR="00162150" w:rsidRPr="00162150" w:rsidRDefault="00162150" w:rsidP="00E450A3">
      <w:pPr>
        <w:tabs>
          <w:tab w:val="left" w:pos="567"/>
        </w:tabs>
        <w:autoSpaceDE w:val="0"/>
        <w:autoSpaceDN w:val="0"/>
        <w:adjustRightInd w:val="0"/>
        <w:ind w:left="851"/>
        <w:rPr>
          <w:sz w:val="24"/>
          <w:szCs w:val="24"/>
          <w:lang w:eastAsia="en-GB"/>
        </w:rPr>
      </w:pPr>
      <w:r w:rsidRPr="00162150">
        <w:rPr>
          <w:sz w:val="24"/>
          <w:szCs w:val="24"/>
          <w:lang w:eastAsia="en-GB"/>
        </w:rPr>
        <w:t>DK-2300 København S</w:t>
      </w:r>
    </w:p>
    <w:p w14:paraId="5E783AED" w14:textId="77777777" w:rsidR="00162150" w:rsidRPr="00162150" w:rsidRDefault="00162150" w:rsidP="00E450A3">
      <w:pPr>
        <w:tabs>
          <w:tab w:val="left" w:pos="567"/>
        </w:tabs>
        <w:autoSpaceDE w:val="0"/>
        <w:autoSpaceDN w:val="0"/>
        <w:adjustRightInd w:val="0"/>
        <w:ind w:left="851"/>
        <w:rPr>
          <w:iCs/>
          <w:sz w:val="24"/>
          <w:szCs w:val="24"/>
          <w:lang w:eastAsia="en-GB"/>
        </w:rPr>
      </w:pPr>
      <w:r w:rsidRPr="00162150">
        <w:rPr>
          <w:sz w:val="24"/>
          <w:szCs w:val="24"/>
          <w:lang w:eastAsia="en-GB"/>
        </w:rPr>
        <w:t>Websted: www.meldenbivirkning.dk</w:t>
      </w:r>
    </w:p>
    <w:p w14:paraId="3EDBBE0F" w14:textId="77777777" w:rsidR="009260DE" w:rsidRPr="00162150" w:rsidRDefault="009260DE" w:rsidP="00E450A3">
      <w:pPr>
        <w:tabs>
          <w:tab w:val="left" w:pos="851"/>
        </w:tabs>
        <w:ind w:left="851"/>
        <w:rPr>
          <w:sz w:val="24"/>
          <w:szCs w:val="24"/>
        </w:rPr>
      </w:pPr>
    </w:p>
    <w:p w14:paraId="0F1714A7"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6C0285E6" w14:textId="77777777" w:rsidR="00E450A3" w:rsidRPr="00E450A3" w:rsidRDefault="00E450A3" w:rsidP="00E450A3">
      <w:pPr>
        <w:tabs>
          <w:tab w:val="left" w:pos="851"/>
        </w:tabs>
        <w:ind w:left="851"/>
        <w:rPr>
          <w:iCs/>
          <w:sz w:val="24"/>
          <w:szCs w:val="24"/>
        </w:rPr>
      </w:pPr>
      <w:r w:rsidRPr="00E450A3">
        <w:rPr>
          <w:sz w:val="24"/>
          <w:szCs w:val="24"/>
        </w:rPr>
        <w:t>En overdosis af midazolam kan være livstruende, hvis patienten har eksisterende respirations- eller hjerteinsufficiens, eller hvis det kombineres med andre CNS-depressiva (herunder alkohol).</w:t>
      </w:r>
    </w:p>
    <w:p w14:paraId="37D7AEE8" w14:textId="77777777" w:rsidR="00E450A3" w:rsidRPr="00E450A3" w:rsidRDefault="00E450A3" w:rsidP="00E450A3">
      <w:pPr>
        <w:tabs>
          <w:tab w:val="left" w:pos="851"/>
        </w:tabs>
        <w:ind w:left="851"/>
        <w:rPr>
          <w:iCs/>
          <w:sz w:val="24"/>
          <w:szCs w:val="24"/>
          <w:u w:val="single"/>
        </w:rPr>
      </w:pPr>
    </w:p>
    <w:p w14:paraId="685DD8EA" w14:textId="77777777" w:rsidR="00E450A3" w:rsidRPr="00E450A3" w:rsidRDefault="00E450A3" w:rsidP="00E450A3">
      <w:pPr>
        <w:tabs>
          <w:tab w:val="left" w:pos="851"/>
        </w:tabs>
        <w:ind w:left="851"/>
        <w:rPr>
          <w:iCs/>
          <w:sz w:val="24"/>
          <w:szCs w:val="24"/>
          <w:u w:val="single"/>
        </w:rPr>
      </w:pPr>
      <w:r w:rsidRPr="00E450A3">
        <w:rPr>
          <w:sz w:val="24"/>
          <w:szCs w:val="24"/>
          <w:u w:val="single"/>
        </w:rPr>
        <w:t>Symptomer</w:t>
      </w:r>
    </w:p>
    <w:p w14:paraId="735772A7" w14:textId="77777777" w:rsidR="00E450A3" w:rsidRPr="00E450A3" w:rsidRDefault="00E450A3" w:rsidP="00E450A3">
      <w:pPr>
        <w:tabs>
          <w:tab w:val="left" w:pos="851"/>
        </w:tabs>
        <w:ind w:left="851"/>
        <w:rPr>
          <w:iCs/>
          <w:sz w:val="24"/>
          <w:szCs w:val="24"/>
        </w:rPr>
      </w:pPr>
      <w:r w:rsidRPr="00E450A3">
        <w:rPr>
          <w:sz w:val="24"/>
          <w:szCs w:val="24"/>
        </w:rPr>
        <w:t>En overdosering af benzodiazepiner manifesterer sig normalt ved forskellige grader af depression af centralnervesystemet, der varierer fra døsighed til koma. I milde tilfælde omfatter symptomerne døsighed, mental forvirring og letargi, i mere alvorlige tilfælde kan symptomerne omfatte ataksi, hypotoni, hypotension, respirationsdepression, i sjældne tilfælde koma og i meget sjældne tilfælde dødsfald.</w:t>
      </w:r>
    </w:p>
    <w:p w14:paraId="7CD67536" w14:textId="77777777" w:rsidR="00E450A3" w:rsidRPr="00E450A3" w:rsidRDefault="00E450A3" w:rsidP="00E450A3">
      <w:pPr>
        <w:tabs>
          <w:tab w:val="left" w:pos="851"/>
        </w:tabs>
        <w:ind w:left="851"/>
        <w:rPr>
          <w:iCs/>
          <w:sz w:val="24"/>
          <w:szCs w:val="24"/>
        </w:rPr>
      </w:pPr>
    </w:p>
    <w:p w14:paraId="4A5BA542" w14:textId="77777777" w:rsidR="00E450A3" w:rsidRPr="00E450A3" w:rsidRDefault="00E450A3" w:rsidP="00E450A3">
      <w:pPr>
        <w:tabs>
          <w:tab w:val="left" w:pos="851"/>
        </w:tabs>
        <w:ind w:left="851"/>
        <w:rPr>
          <w:iCs/>
          <w:sz w:val="24"/>
          <w:szCs w:val="24"/>
          <w:u w:val="single"/>
        </w:rPr>
      </w:pPr>
      <w:r w:rsidRPr="00E450A3">
        <w:rPr>
          <w:sz w:val="24"/>
          <w:szCs w:val="24"/>
          <w:u w:val="single"/>
        </w:rPr>
        <w:t>Behandling</w:t>
      </w:r>
    </w:p>
    <w:p w14:paraId="38DFAC92" w14:textId="77777777" w:rsidR="00E450A3" w:rsidRPr="00E450A3" w:rsidRDefault="00E450A3" w:rsidP="00E450A3">
      <w:pPr>
        <w:tabs>
          <w:tab w:val="left" w:pos="851"/>
        </w:tabs>
        <w:ind w:left="851"/>
        <w:rPr>
          <w:iCs/>
          <w:sz w:val="24"/>
          <w:szCs w:val="24"/>
        </w:rPr>
      </w:pPr>
      <w:r w:rsidRPr="00E450A3">
        <w:rPr>
          <w:sz w:val="24"/>
          <w:szCs w:val="24"/>
        </w:rPr>
        <w:t>Ved behandling af overdosering med alle former for lægemidler skal der tages hensyn til, at der kan være indtaget flere stoffer.</w:t>
      </w:r>
    </w:p>
    <w:p w14:paraId="77EC1D79" w14:textId="77777777" w:rsidR="00E450A3" w:rsidRPr="00E450A3" w:rsidRDefault="00E450A3" w:rsidP="00E450A3">
      <w:pPr>
        <w:tabs>
          <w:tab w:val="left" w:pos="851"/>
        </w:tabs>
        <w:ind w:left="851"/>
        <w:rPr>
          <w:iCs/>
          <w:sz w:val="24"/>
          <w:szCs w:val="24"/>
        </w:rPr>
      </w:pPr>
    </w:p>
    <w:p w14:paraId="3833B341" w14:textId="77777777" w:rsidR="00E450A3" w:rsidRPr="00E450A3" w:rsidRDefault="00E450A3" w:rsidP="00E450A3">
      <w:pPr>
        <w:tabs>
          <w:tab w:val="left" w:pos="851"/>
        </w:tabs>
        <w:ind w:left="851"/>
        <w:rPr>
          <w:iCs/>
          <w:sz w:val="24"/>
          <w:szCs w:val="24"/>
        </w:rPr>
      </w:pPr>
      <w:r w:rsidRPr="00E450A3">
        <w:rPr>
          <w:sz w:val="24"/>
          <w:szCs w:val="24"/>
        </w:rPr>
        <w:t>Efter overdosering med oralt midazolam skal opkastning fremprovokeres (inden for en time), hvis patienten er ved bevidsthed, eller der skal udføres ventrikelskylning med beskyttelse af luftvejene, hvis patienten ikke er ved bevidsthed. Hvis der ikke er nogen fordel ved at tømme maven, skal der gives aktivt kul for at reducere absorptionen. Der skal tages særligt hensyn til respiratoriske og kardiovaskulære funktioner ved intensiv behandling.</w:t>
      </w:r>
    </w:p>
    <w:p w14:paraId="327087AD" w14:textId="77777777" w:rsidR="00E450A3" w:rsidRPr="00E450A3" w:rsidRDefault="00E450A3" w:rsidP="00E450A3">
      <w:pPr>
        <w:tabs>
          <w:tab w:val="left" w:pos="851"/>
        </w:tabs>
        <w:ind w:left="851"/>
        <w:rPr>
          <w:iCs/>
          <w:sz w:val="24"/>
          <w:szCs w:val="24"/>
        </w:rPr>
      </w:pPr>
    </w:p>
    <w:p w14:paraId="2211C121" w14:textId="77777777" w:rsidR="00E450A3" w:rsidRPr="00E450A3" w:rsidRDefault="00E450A3" w:rsidP="00E450A3">
      <w:pPr>
        <w:tabs>
          <w:tab w:val="left" w:pos="851"/>
        </w:tabs>
        <w:ind w:left="851"/>
        <w:rPr>
          <w:iCs/>
          <w:sz w:val="24"/>
          <w:szCs w:val="24"/>
        </w:rPr>
      </w:pPr>
      <w:r w:rsidRPr="00E450A3">
        <w:rPr>
          <w:sz w:val="24"/>
          <w:szCs w:val="24"/>
        </w:rPr>
        <w:t>Flumazenil kan være nyttigt som antidot.</w:t>
      </w:r>
    </w:p>
    <w:p w14:paraId="603D0380" w14:textId="77777777" w:rsidR="009260DE" w:rsidRPr="00C84483" w:rsidRDefault="009260DE" w:rsidP="009260DE">
      <w:pPr>
        <w:tabs>
          <w:tab w:val="left" w:pos="851"/>
        </w:tabs>
        <w:ind w:left="851"/>
        <w:rPr>
          <w:sz w:val="24"/>
          <w:szCs w:val="24"/>
        </w:rPr>
      </w:pPr>
    </w:p>
    <w:p w14:paraId="1FBC2B41"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0D429B8" w14:textId="59A62664" w:rsidR="009260DE" w:rsidRPr="00C84483" w:rsidRDefault="00E450A3" w:rsidP="009260DE">
      <w:pPr>
        <w:tabs>
          <w:tab w:val="left" w:pos="851"/>
        </w:tabs>
        <w:ind w:left="851"/>
        <w:rPr>
          <w:sz w:val="24"/>
          <w:szCs w:val="24"/>
        </w:rPr>
      </w:pPr>
      <w:r>
        <w:rPr>
          <w:sz w:val="24"/>
          <w:szCs w:val="24"/>
        </w:rPr>
        <w:t>BEGR (kun til sygehuse)</w:t>
      </w:r>
    </w:p>
    <w:p w14:paraId="365127CC" w14:textId="77777777" w:rsidR="009260DE" w:rsidRPr="00C84483" w:rsidRDefault="009260DE" w:rsidP="009260DE">
      <w:pPr>
        <w:tabs>
          <w:tab w:val="left" w:pos="851"/>
        </w:tabs>
        <w:ind w:left="851"/>
        <w:rPr>
          <w:sz w:val="24"/>
          <w:szCs w:val="24"/>
        </w:rPr>
      </w:pPr>
    </w:p>
    <w:p w14:paraId="6270A08A" w14:textId="561BB3AD" w:rsidR="00E450A3" w:rsidRDefault="00E450A3">
      <w:pPr>
        <w:rPr>
          <w:sz w:val="24"/>
          <w:szCs w:val="24"/>
        </w:rPr>
      </w:pPr>
      <w:r>
        <w:rPr>
          <w:sz w:val="24"/>
          <w:szCs w:val="24"/>
        </w:rPr>
        <w:br w:type="page"/>
      </w:r>
    </w:p>
    <w:p w14:paraId="7FC8DC85" w14:textId="77777777" w:rsidR="009260DE" w:rsidRPr="00C84483" w:rsidRDefault="009260DE" w:rsidP="009260DE">
      <w:pPr>
        <w:tabs>
          <w:tab w:val="left" w:pos="851"/>
        </w:tabs>
        <w:ind w:left="851"/>
        <w:rPr>
          <w:sz w:val="24"/>
          <w:szCs w:val="24"/>
        </w:rPr>
      </w:pPr>
    </w:p>
    <w:p w14:paraId="15CBA966"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412E6AAC" w14:textId="77777777" w:rsidR="009260DE" w:rsidRPr="00C84483" w:rsidRDefault="009260DE" w:rsidP="009260DE">
      <w:pPr>
        <w:tabs>
          <w:tab w:val="left" w:pos="851"/>
        </w:tabs>
        <w:ind w:left="851"/>
        <w:rPr>
          <w:sz w:val="24"/>
          <w:szCs w:val="24"/>
        </w:rPr>
      </w:pPr>
    </w:p>
    <w:p w14:paraId="2CBF204D"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2509074B" w14:textId="5341E9CC" w:rsidR="00E450A3" w:rsidRPr="00E450A3" w:rsidRDefault="00E450A3" w:rsidP="00E450A3">
      <w:pPr>
        <w:tabs>
          <w:tab w:val="left" w:pos="851"/>
        </w:tabs>
        <w:ind w:left="851"/>
        <w:rPr>
          <w:iCs/>
          <w:sz w:val="24"/>
          <w:szCs w:val="24"/>
        </w:rPr>
      </w:pPr>
      <w:r w:rsidRPr="00E450A3">
        <w:rPr>
          <w:sz w:val="24"/>
          <w:szCs w:val="24"/>
        </w:rPr>
        <w:t>Farmakoterapeutisk klassifikation: Hypnotika og sedativa (benzodiazepin-derivater)</w:t>
      </w:r>
      <w:r>
        <w:rPr>
          <w:sz w:val="24"/>
          <w:szCs w:val="24"/>
        </w:rPr>
        <w:t xml:space="preserve">, </w:t>
      </w:r>
      <w:r w:rsidRPr="00E450A3">
        <w:rPr>
          <w:sz w:val="24"/>
          <w:szCs w:val="24"/>
        </w:rPr>
        <w:t>ATC-kode: N05CD08.</w:t>
      </w:r>
    </w:p>
    <w:p w14:paraId="666998F1" w14:textId="77777777" w:rsidR="00E450A3" w:rsidRPr="00E450A3" w:rsidRDefault="00E450A3" w:rsidP="00E450A3">
      <w:pPr>
        <w:tabs>
          <w:tab w:val="left" w:pos="851"/>
        </w:tabs>
        <w:ind w:left="851"/>
        <w:rPr>
          <w:iCs/>
          <w:sz w:val="24"/>
          <w:szCs w:val="24"/>
        </w:rPr>
      </w:pPr>
    </w:p>
    <w:p w14:paraId="7C1D4770" w14:textId="77777777" w:rsidR="00E450A3" w:rsidRPr="00E450A3" w:rsidRDefault="00E450A3" w:rsidP="00E450A3">
      <w:pPr>
        <w:tabs>
          <w:tab w:val="left" w:pos="851"/>
        </w:tabs>
        <w:ind w:left="851"/>
        <w:rPr>
          <w:sz w:val="24"/>
          <w:szCs w:val="24"/>
          <w:u w:val="single"/>
        </w:rPr>
      </w:pPr>
      <w:r w:rsidRPr="00E450A3">
        <w:rPr>
          <w:sz w:val="24"/>
          <w:szCs w:val="24"/>
          <w:u w:val="single"/>
        </w:rPr>
        <w:t>Virkningsmekanisme</w:t>
      </w:r>
    </w:p>
    <w:p w14:paraId="0A4A977D" w14:textId="77777777" w:rsidR="00E450A3" w:rsidRPr="00E450A3" w:rsidRDefault="00E450A3" w:rsidP="00E450A3">
      <w:pPr>
        <w:tabs>
          <w:tab w:val="left" w:pos="851"/>
        </w:tabs>
        <w:ind w:left="851"/>
        <w:rPr>
          <w:iCs/>
          <w:sz w:val="24"/>
          <w:szCs w:val="24"/>
        </w:rPr>
      </w:pPr>
      <w:r w:rsidRPr="00E450A3">
        <w:rPr>
          <w:sz w:val="24"/>
          <w:szCs w:val="24"/>
        </w:rPr>
        <w:t>Midazolam er et derivat af imidazobenzodiazepin-gruppen. Den frie base er et lipofilt stof med en lav vandopløselighed. Det basiske nitrogen i position 2 af imidazobenzodiazepin-ringsystemet gør midazolam i stand til at danne hydrochloridsalte med syrer. Disse giver en stabil opløsning, der er velegnet til indgivelse via mundhulen.</w:t>
      </w:r>
    </w:p>
    <w:p w14:paraId="6AA25D5D" w14:textId="77777777" w:rsidR="00E450A3" w:rsidRPr="00E450A3" w:rsidRDefault="00E450A3" w:rsidP="00E450A3">
      <w:pPr>
        <w:tabs>
          <w:tab w:val="left" w:pos="851"/>
        </w:tabs>
        <w:ind w:left="851"/>
        <w:rPr>
          <w:iCs/>
          <w:sz w:val="24"/>
          <w:szCs w:val="24"/>
        </w:rPr>
      </w:pPr>
    </w:p>
    <w:p w14:paraId="71E4B982" w14:textId="77777777" w:rsidR="00E450A3" w:rsidRPr="00E450A3" w:rsidRDefault="00E450A3" w:rsidP="00E450A3">
      <w:pPr>
        <w:tabs>
          <w:tab w:val="left" w:pos="851"/>
        </w:tabs>
        <w:ind w:left="851"/>
        <w:rPr>
          <w:iCs/>
          <w:sz w:val="24"/>
          <w:szCs w:val="24"/>
        </w:rPr>
      </w:pPr>
      <w:r w:rsidRPr="00E450A3">
        <w:rPr>
          <w:sz w:val="24"/>
          <w:szCs w:val="24"/>
          <w:u w:val="single"/>
        </w:rPr>
        <w:t>Farmakodynamisk virkning</w:t>
      </w:r>
    </w:p>
    <w:p w14:paraId="6EADB2AD" w14:textId="77777777" w:rsidR="00E450A3" w:rsidRPr="00E450A3" w:rsidRDefault="00E450A3" w:rsidP="00E450A3">
      <w:pPr>
        <w:tabs>
          <w:tab w:val="left" w:pos="851"/>
        </w:tabs>
        <w:ind w:left="851"/>
        <w:rPr>
          <w:iCs/>
          <w:sz w:val="24"/>
          <w:szCs w:val="24"/>
        </w:rPr>
      </w:pPr>
      <w:r w:rsidRPr="00E450A3">
        <w:rPr>
          <w:sz w:val="24"/>
          <w:szCs w:val="24"/>
        </w:rPr>
        <w:t>Midazolams farmakologiske virkning er karakteriseret ved en kort varighed på grund af en hurtig metabolisk transformation. Midazolam har en antikonvulsiv virkning. Det udøver også en sederende og søvninducerende virkning af udpræget intensitet samt en anxiolytisk og muskelafslappende virkning.</w:t>
      </w:r>
    </w:p>
    <w:p w14:paraId="18AC79D5" w14:textId="77777777" w:rsidR="00E450A3" w:rsidRPr="00E450A3" w:rsidRDefault="00E450A3" w:rsidP="00E450A3">
      <w:pPr>
        <w:tabs>
          <w:tab w:val="left" w:pos="851"/>
        </w:tabs>
        <w:ind w:left="851"/>
        <w:rPr>
          <w:iCs/>
          <w:sz w:val="24"/>
          <w:szCs w:val="24"/>
        </w:rPr>
      </w:pPr>
    </w:p>
    <w:p w14:paraId="2BCA91E8" w14:textId="77777777" w:rsidR="00E450A3" w:rsidRPr="00E450A3" w:rsidRDefault="00E450A3" w:rsidP="00E450A3">
      <w:pPr>
        <w:tabs>
          <w:tab w:val="left" w:pos="851"/>
        </w:tabs>
        <w:ind w:left="851"/>
        <w:rPr>
          <w:sz w:val="24"/>
          <w:szCs w:val="24"/>
          <w:u w:val="single"/>
        </w:rPr>
      </w:pPr>
      <w:r w:rsidRPr="00E450A3">
        <w:rPr>
          <w:sz w:val="24"/>
          <w:szCs w:val="24"/>
          <w:u w:val="single"/>
        </w:rPr>
        <w:t>Klinisk virkning og sikkerhed</w:t>
      </w:r>
    </w:p>
    <w:p w14:paraId="154C4D99" w14:textId="77777777" w:rsidR="00E450A3" w:rsidRPr="00E450A3" w:rsidRDefault="00E450A3" w:rsidP="00E450A3">
      <w:pPr>
        <w:tabs>
          <w:tab w:val="left" w:pos="851"/>
        </w:tabs>
        <w:ind w:left="851"/>
        <w:rPr>
          <w:iCs/>
          <w:sz w:val="24"/>
          <w:szCs w:val="24"/>
        </w:rPr>
      </w:pPr>
      <w:r w:rsidRPr="00E450A3">
        <w:rPr>
          <w:sz w:val="24"/>
          <w:szCs w:val="24"/>
        </w:rPr>
        <w:t xml:space="preserve">I 5 kontrollerede studier med rektalt diazepam og i 2 studier </w:t>
      </w:r>
      <w:r w:rsidRPr="00E450A3">
        <w:rPr>
          <w:i/>
          <w:iCs/>
          <w:sz w:val="24"/>
          <w:szCs w:val="24"/>
        </w:rPr>
        <w:t>versus</w:t>
      </w:r>
      <w:r w:rsidRPr="00E450A3">
        <w:rPr>
          <w:sz w:val="24"/>
          <w:szCs w:val="24"/>
        </w:rPr>
        <w:t xml:space="preserve"> intravenøs diazepam til børn, der omfattede i alt 435 børn, som fik midazolam indgivet via mundhulen, blev det observeret, at de synlige tegn på krampeanfald ophørte inden for 10 minutter hos 65 % til 100 % af de patienter, der fik midazolam indgivet via mundhulen. I 3 af studierne blev der ydermere observeret ophør af de synlige tegn på krampeanfald inden for 10 minutter hos 56 % til 100 % af patienterne uden recidiv inden for 1 time efter indgivelse. Hyppigheden og sværhedsgraden for bivirkninger, der blev rapporteret for midazolam indgivet via mundhulen i publicerede kliniske studier, ligner de bivirkninger, der blev rapporteret i den sammenlignende gruppe, der brugte rektalt diazepam.</w:t>
      </w:r>
    </w:p>
    <w:p w14:paraId="2DBD9BFF" w14:textId="77777777" w:rsidR="009260DE" w:rsidRPr="00C84483" w:rsidRDefault="009260DE" w:rsidP="009260DE">
      <w:pPr>
        <w:tabs>
          <w:tab w:val="left" w:pos="851"/>
        </w:tabs>
        <w:ind w:left="851"/>
        <w:rPr>
          <w:sz w:val="24"/>
          <w:szCs w:val="24"/>
        </w:rPr>
      </w:pPr>
    </w:p>
    <w:p w14:paraId="5E1649BF"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3F42BF79" w14:textId="77777777" w:rsidR="00E450A3" w:rsidRPr="00E450A3" w:rsidRDefault="00E450A3" w:rsidP="00E450A3">
      <w:pPr>
        <w:ind w:left="851"/>
        <w:rPr>
          <w:sz w:val="24"/>
          <w:szCs w:val="24"/>
          <w:lang w:eastAsia="en-GB"/>
        </w:rPr>
      </w:pPr>
      <w:r w:rsidRPr="00E450A3">
        <w:rPr>
          <w:sz w:val="24"/>
          <w:szCs w:val="24"/>
          <w:lang w:eastAsia="en-GB"/>
        </w:rPr>
        <w:t>Simulerede farmakokinetiske parametre for den anbefalede dosering til børn i alderen 3 måneder til under 18 år, baseret på et populationsfarmakologisk studie, er angivet i nedenstående tabel:</w:t>
      </w:r>
    </w:p>
    <w:p w14:paraId="7EB85414" w14:textId="77777777" w:rsidR="00E450A3" w:rsidRPr="00E450A3" w:rsidRDefault="00E450A3" w:rsidP="00E450A3">
      <w:pPr>
        <w:rPr>
          <w:sz w:val="22"/>
          <w:lang w:eastAsia="en-GB"/>
        </w:rPr>
      </w:pPr>
    </w:p>
    <w:tbl>
      <w:tblPr>
        <w:tblStyle w:val="TableNormal2"/>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559"/>
        <w:gridCol w:w="2552"/>
        <w:gridCol w:w="1559"/>
        <w:gridCol w:w="1120"/>
      </w:tblGrid>
      <w:tr w:rsidR="00E450A3" w:rsidRPr="00E450A3" w14:paraId="0E1809A2" w14:textId="77777777" w:rsidTr="00E450A3">
        <w:trPr>
          <w:trHeight w:val="276"/>
        </w:trPr>
        <w:tc>
          <w:tcPr>
            <w:tcW w:w="1418" w:type="dxa"/>
            <w:tcBorders>
              <w:top w:val="single" w:sz="4" w:space="0" w:color="000000"/>
              <w:left w:val="single" w:sz="4" w:space="0" w:color="000000"/>
              <w:bottom w:val="single" w:sz="4" w:space="0" w:color="000000"/>
              <w:right w:val="single" w:sz="4" w:space="0" w:color="000000"/>
            </w:tcBorders>
            <w:hideMark/>
          </w:tcPr>
          <w:p w14:paraId="007E7C47" w14:textId="77777777" w:rsidR="00E450A3" w:rsidRPr="00E450A3" w:rsidRDefault="00E450A3" w:rsidP="00E450A3">
            <w:pPr>
              <w:spacing w:before="1" w:line="255" w:lineRule="exact"/>
              <w:ind w:left="568"/>
              <w:rPr>
                <w:rFonts w:ascii="Times New Roman" w:hAnsi="Times New Roman" w:cs="Times New Roman"/>
                <w:b/>
                <w:sz w:val="20"/>
                <w:szCs w:val="20"/>
              </w:rPr>
            </w:pPr>
            <w:r w:rsidRPr="00E450A3">
              <w:rPr>
                <w:rFonts w:ascii="Times New Roman" w:hAnsi="Times New Roman" w:cs="Times New Roman"/>
                <w:b/>
                <w:spacing w:val="-2"/>
                <w:sz w:val="20"/>
                <w:szCs w:val="20"/>
              </w:rPr>
              <w:t>Dosis</w:t>
            </w:r>
          </w:p>
        </w:tc>
        <w:tc>
          <w:tcPr>
            <w:tcW w:w="1559" w:type="dxa"/>
            <w:tcBorders>
              <w:top w:val="single" w:sz="4" w:space="0" w:color="000000"/>
              <w:left w:val="single" w:sz="4" w:space="0" w:color="000000"/>
              <w:bottom w:val="single" w:sz="4" w:space="0" w:color="000000"/>
              <w:right w:val="single" w:sz="4" w:space="0" w:color="000000"/>
            </w:tcBorders>
            <w:hideMark/>
          </w:tcPr>
          <w:p w14:paraId="0F7270C2" w14:textId="77777777" w:rsidR="00E450A3" w:rsidRPr="00E450A3" w:rsidRDefault="00E450A3" w:rsidP="00E450A3">
            <w:pPr>
              <w:spacing w:before="1" w:line="255" w:lineRule="exact"/>
              <w:ind w:left="531"/>
              <w:rPr>
                <w:rFonts w:ascii="Times New Roman" w:hAnsi="Times New Roman" w:cs="Times New Roman"/>
                <w:b/>
                <w:sz w:val="20"/>
                <w:szCs w:val="20"/>
              </w:rPr>
            </w:pPr>
            <w:r w:rsidRPr="00E450A3">
              <w:rPr>
                <w:rFonts w:ascii="Times New Roman" w:hAnsi="Times New Roman" w:cs="Times New Roman"/>
                <w:b/>
                <w:spacing w:val="-2"/>
                <w:sz w:val="20"/>
                <w:szCs w:val="20"/>
              </w:rPr>
              <w:t>Alder</w:t>
            </w:r>
          </w:p>
        </w:tc>
        <w:tc>
          <w:tcPr>
            <w:tcW w:w="2552" w:type="dxa"/>
            <w:tcBorders>
              <w:top w:val="single" w:sz="4" w:space="0" w:color="000000"/>
              <w:left w:val="single" w:sz="4" w:space="0" w:color="000000"/>
              <w:bottom w:val="single" w:sz="4" w:space="0" w:color="000000"/>
              <w:right w:val="single" w:sz="4" w:space="0" w:color="000000"/>
            </w:tcBorders>
            <w:hideMark/>
          </w:tcPr>
          <w:p w14:paraId="345C8876" w14:textId="77777777" w:rsidR="00E450A3" w:rsidRPr="00E450A3" w:rsidRDefault="00E450A3" w:rsidP="00E450A3">
            <w:pPr>
              <w:spacing w:before="1" w:line="255" w:lineRule="exact"/>
              <w:ind w:left="11"/>
              <w:jc w:val="center"/>
              <w:rPr>
                <w:rFonts w:ascii="Times New Roman" w:hAnsi="Times New Roman" w:cs="Times New Roman"/>
                <w:b/>
                <w:sz w:val="20"/>
                <w:szCs w:val="20"/>
              </w:rPr>
            </w:pPr>
            <w:r w:rsidRPr="00E450A3">
              <w:rPr>
                <w:rFonts w:ascii="Times New Roman" w:hAnsi="Times New Roman" w:cs="Times New Roman"/>
                <w:b/>
                <w:spacing w:val="-2"/>
                <w:sz w:val="20"/>
                <w:szCs w:val="20"/>
              </w:rPr>
              <w:t>Parameter</w:t>
            </w:r>
          </w:p>
        </w:tc>
        <w:tc>
          <w:tcPr>
            <w:tcW w:w="1559" w:type="dxa"/>
            <w:tcBorders>
              <w:top w:val="single" w:sz="4" w:space="0" w:color="000000"/>
              <w:left w:val="single" w:sz="4" w:space="0" w:color="000000"/>
              <w:bottom w:val="single" w:sz="4" w:space="0" w:color="000000"/>
              <w:right w:val="single" w:sz="4" w:space="0" w:color="000000"/>
            </w:tcBorders>
            <w:hideMark/>
          </w:tcPr>
          <w:p w14:paraId="5CEBEEDE" w14:textId="77777777" w:rsidR="00E450A3" w:rsidRPr="00E450A3" w:rsidRDefault="00E450A3" w:rsidP="00E450A3">
            <w:pPr>
              <w:spacing w:before="1" w:line="255" w:lineRule="exact"/>
              <w:ind w:left="12"/>
              <w:jc w:val="center"/>
              <w:rPr>
                <w:rFonts w:ascii="Times New Roman" w:hAnsi="Times New Roman" w:cs="Times New Roman"/>
                <w:b/>
                <w:sz w:val="20"/>
                <w:szCs w:val="20"/>
              </w:rPr>
            </w:pPr>
            <w:r w:rsidRPr="00E450A3">
              <w:rPr>
                <w:rFonts w:ascii="Times New Roman" w:hAnsi="Times New Roman" w:cs="Times New Roman"/>
                <w:b/>
                <w:spacing w:val="-2"/>
                <w:sz w:val="20"/>
                <w:szCs w:val="20"/>
              </w:rPr>
              <w:t>Gennemsnit</w:t>
            </w:r>
          </w:p>
        </w:tc>
        <w:tc>
          <w:tcPr>
            <w:tcW w:w="1120" w:type="dxa"/>
            <w:tcBorders>
              <w:top w:val="single" w:sz="4" w:space="0" w:color="000000"/>
              <w:left w:val="single" w:sz="4" w:space="0" w:color="000000"/>
              <w:bottom w:val="single" w:sz="4" w:space="0" w:color="000000"/>
              <w:right w:val="single" w:sz="4" w:space="0" w:color="000000"/>
            </w:tcBorders>
            <w:hideMark/>
          </w:tcPr>
          <w:p w14:paraId="6237B498" w14:textId="77777777" w:rsidR="00E450A3" w:rsidRPr="00E450A3" w:rsidRDefault="00E450A3" w:rsidP="00E450A3">
            <w:pPr>
              <w:spacing w:before="1" w:line="255" w:lineRule="exact"/>
              <w:ind w:left="11" w:right="1"/>
              <w:jc w:val="center"/>
              <w:rPr>
                <w:rFonts w:ascii="Times New Roman" w:hAnsi="Times New Roman" w:cs="Times New Roman"/>
                <w:b/>
                <w:sz w:val="20"/>
                <w:szCs w:val="20"/>
              </w:rPr>
            </w:pPr>
            <w:r w:rsidRPr="00E450A3">
              <w:rPr>
                <w:rFonts w:ascii="Times New Roman" w:hAnsi="Times New Roman" w:cs="Times New Roman"/>
                <w:b/>
                <w:spacing w:val="-5"/>
                <w:sz w:val="20"/>
                <w:szCs w:val="20"/>
              </w:rPr>
              <w:t>SD</w:t>
            </w:r>
          </w:p>
        </w:tc>
      </w:tr>
      <w:tr w:rsidR="00E450A3" w:rsidRPr="00E450A3" w14:paraId="674AEA05" w14:textId="77777777" w:rsidTr="00E450A3">
        <w:trPr>
          <w:trHeight w:val="203"/>
        </w:trPr>
        <w:tc>
          <w:tcPr>
            <w:tcW w:w="1418" w:type="dxa"/>
            <w:vMerge w:val="restart"/>
            <w:tcBorders>
              <w:top w:val="single" w:sz="4" w:space="0" w:color="000000"/>
              <w:left w:val="single" w:sz="4" w:space="0" w:color="000000"/>
              <w:bottom w:val="single" w:sz="4" w:space="0" w:color="000000"/>
              <w:right w:val="single" w:sz="4" w:space="0" w:color="000000"/>
            </w:tcBorders>
            <w:hideMark/>
          </w:tcPr>
          <w:p w14:paraId="4B363A3B" w14:textId="77777777" w:rsidR="00E450A3" w:rsidRPr="00E450A3" w:rsidRDefault="00E450A3" w:rsidP="00E450A3">
            <w:pPr>
              <w:ind w:left="568"/>
              <w:rPr>
                <w:rFonts w:ascii="Times New Roman" w:hAnsi="Times New Roman" w:cs="Times New Roman"/>
                <w:bCs/>
                <w:sz w:val="20"/>
                <w:szCs w:val="20"/>
              </w:rPr>
            </w:pPr>
            <w:r w:rsidRPr="00E450A3">
              <w:rPr>
                <w:rFonts w:ascii="Times New Roman" w:hAnsi="Times New Roman" w:cs="Times New Roman"/>
                <w:bCs/>
                <w:sz w:val="20"/>
                <w:szCs w:val="20"/>
              </w:rPr>
              <w:t>2,5 </w:t>
            </w:r>
            <w:r w:rsidRPr="00E450A3">
              <w:rPr>
                <w:rFonts w:ascii="Times New Roman" w:hAnsi="Times New Roman" w:cs="Times New Roman"/>
                <w:bCs/>
                <w:spacing w:val="-5"/>
                <w:sz w:val="20"/>
                <w:szCs w:val="20"/>
              </w:rPr>
              <w:t>mg</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A64D3FA" w14:textId="77777777" w:rsidR="00E450A3" w:rsidRPr="00E450A3" w:rsidRDefault="00E450A3" w:rsidP="00E450A3">
            <w:pPr>
              <w:ind w:left="340"/>
              <w:rPr>
                <w:rFonts w:ascii="Times New Roman" w:hAnsi="Times New Roman" w:cs="Times New Roman"/>
                <w:sz w:val="20"/>
                <w:szCs w:val="20"/>
              </w:rPr>
            </w:pPr>
            <w:r w:rsidRPr="00E450A3">
              <w:rPr>
                <w:rFonts w:ascii="Times New Roman" w:hAnsi="Times New Roman" w:cs="Times New Roman"/>
                <w:sz w:val="20"/>
                <w:szCs w:val="20"/>
              </w:rPr>
              <w:t>3 m &lt; 1 </w:t>
            </w:r>
            <w:r w:rsidRPr="00E450A3">
              <w:rPr>
                <w:rFonts w:ascii="Times New Roman" w:hAnsi="Times New Roman" w:cs="Times New Roman"/>
                <w:spacing w:val="-5"/>
                <w:sz w:val="20"/>
                <w:szCs w:val="20"/>
              </w:rPr>
              <w:t>år</w:t>
            </w:r>
          </w:p>
        </w:tc>
        <w:tc>
          <w:tcPr>
            <w:tcW w:w="2552" w:type="dxa"/>
            <w:tcBorders>
              <w:top w:val="single" w:sz="4" w:space="0" w:color="000000"/>
              <w:left w:val="single" w:sz="4" w:space="0" w:color="000000"/>
              <w:bottom w:val="single" w:sz="4" w:space="0" w:color="000000"/>
              <w:right w:val="single" w:sz="4" w:space="0" w:color="000000"/>
            </w:tcBorders>
            <w:hideMark/>
          </w:tcPr>
          <w:p w14:paraId="09252944" w14:textId="77777777" w:rsidR="00E450A3" w:rsidRPr="00E450A3" w:rsidRDefault="00E450A3" w:rsidP="00E450A3">
            <w:pPr>
              <w:spacing w:line="266" w:lineRule="exact"/>
              <w:ind w:left="427" w:firstLine="14"/>
              <w:rPr>
                <w:rFonts w:ascii="Times New Roman" w:hAnsi="Times New Roman" w:cs="Times New Roman"/>
                <w:sz w:val="20"/>
                <w:szCs w:val="20"/>
              </w:rPr>
            </w:pPr>
            <w:r w:rsidRPr="00E450A3">
              <w:rPr>
                <w:rFonts w:ascii="Times New Roman" w:hAnsi="Times New Roman" w:cs="Times New Roman"/>
                <w:spacing w:val="-2"/>
                <w:position w:val="1"/>
                <w:sz w:val="20"/>
                <w:szCs w:val="20"/>
              </w:rPr>
              <w:t>AUC</w:t>
            </w:r>
            <w:r w:rsidRPr="00E450A3">
              <w:rPr>
                <w:rFonts w:ascii="Times New Roman" w:hAnsi="Times New Roman" w:cs="Times New Roman"/>
                <w:spacing w:val="-2"/>
                <w:sz w:val="20"/>
                <w:szCs w:val="20"/>
                <w:vertAlign w:val="subscript"/>
              </w:rPr>
              <w:t>0-inf</w:t>
            </w:r>
            <w:r w:rsidRPr="00E450A3">
              <w:rPr>
                <w:rFonts w:ascii="Times New Roman" w:hAnsi="Times New Roman" w:cs="Times New Roman"/>
                <w:spacing w:val="40"/>
                <w:sz w:val="20"/>
                <w:szCs w:val="20"/>
              </w:rPr>
              <w:t xml:space="preserve"> </w:t>
            </w:r>
            <w:r w:rsidRPr="00E450A3">
              <w:rPr>
                <w:rFonts w:ascii="Times New Roman" w:hAnsi="Times New Roman" w:cs="Times New Roman"/>
                <w:spacing w:val="-2"/>
                <w:sz w:val="20"/>
                <w:szCs w:val="20"/>
              </w:rPr>
              <w:t>(ng.t/ml)</w:t>
            </w:r>
          </w:p>
        </w:tc>
        <w:tc>
          <w:tcPr>
            <w:tcW w:w="1559" w:type="dxa"/>
            <w:tcBorders>
              <w:top w:val="single" w:sz="4" w:space="0" w:color="000000"/>
              <w:left w:val="single" w:sz="4" w:space="0" w:color="000000"/>
              <w:bottom w:val="single" w:sz="4" w:space="0" w:color="000000"/>
              <w:right w:val="single" w:sz="4" w:space="0" w:color="000000"/>
            </w:tcBorders>
            <w:hideMark/>
          </w:tcPr>
          <w:p w14:paraId="71ACCA86" w14:textId="77777777" w:rsidR="00E450A3" w:rsidRPr="00E450A3" w:rsidRDefault="00E450A3" w:rsidP="00E450A3">
            <w:pPr>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168</w:t>
            </w:r>
          </w:p>
        </w:tc>
        <w:tc>
          <w:tcPr>
            <w:tcW w:w="1120" w:type="dxa"/>
            <w:tcBorders>
              <w:top w:val="single" w:sz="4" w:space="0" w:color="000000"/>
              <w:left w:val="single" w:sz="4" w:space="0" w:color="000000"/>
              <w:bottom w:val="single" w:sz="4" w:space="0" w:color="000000"/>
              <w:right w:val="single" w:sz="4" w:space="0" w:color="000000"/>
            </w:tcBorders>
            <w:hideMark/>
          </w:tcPr>
          <w:p w14:paraId="0CE2790F" w14:textId="77777777" w:rsidR="00E450A3" w:rsidRPr="00E450A3" w:rsidRDefault="00E450A3" w:rsidP="00E450A3">
            <w:pPr>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98</w:t>
            </w:r>
          </w:p>
        </w:tc>
      </w:tr>
      <w:tr w:rsidR="00E450A3" w:rsidRPr="00E450A3" w14:paraId="6EFA4E40" w14:textId="77777777" w:rsidTr="00E450A3">
        <w:trPr>
          <w:trHeight w:val="275"/>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000BD26" w14:textId="77777777" w:rsidR="00E450A3" w:rsidRPr="00E450A3" w:rsidRDefault="00E450A3" w:rsidP="00E450A3">
            <w:pPr>
              <w:ind w:left="568"/>
              <w:rPr>
                <w:rFonts w:ascii="Times New Roman" w:hAnsi="Times New Roman" w:cs="Times New Roman"/>
                <w:bCs/>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76533E4" w14:textId="77777777" w:rsidR="00E450A3" w:rsidRPr="00E450A3" w:rsidRDefault="00E450A3" w:rsidP="00E450A3">
            <w:pPr>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hideMark/>
          </w:tcPr>
          <w:p w14:paraId="0084B0E9" w14:textId="77777777" w:rsidR="00E450A3" w:rsidRPr="00E450A3" w:rsidRDefault="00E450A3" w:rsidP="00E450A3">
            <w:pPr>
              <w:spacing w:line="256" w:lineRule="exact"/>
              <w:ind w:left="11"/>
              <w:jc w:val="center"/>
              <w:rPr>
                <w:rFonts w:ascii="Times New Roman" w:hAnsi="Times New Roman" w:cs="Times New Roman"/>
                <w:position w:val="1"/>
                <w:sz w:val="20"/>
                <w:szCs w:val="20"/>
              </w:rPr>
            </w:pPr>
            <w:r w:rsidRPr="00E450A3">
              <w:rPr>
                <w:rFonts w:ascii="Times New Roman" w:hAnsi="Times New Roman" w:cs="Times New Roman"/>
                <w:position w:val="1"/>
                <w:sz w:val="20"/>
                <w:szCs w:val="20"/>
              </w:rPr>
              <w:t>C</w:t>
            </w:r>
            <w:r w:rsidRPr="00E450A3">
              <w:rPr>
                <w:rFonts w:ascii="Times New Roman" w:hAnsi="Times New Roman" w:cs="Times New Roman"/>
                <w:sz w:val="20"/>
                <w:szCs w:val="20"/>
                <w:vertAlign w:val="subscript"/>
              </w:rPr>
              <w:t>max</w:t>
            </w:r>
            <w:r w:rsidRPr="00E450A3">
              <w:rPr>
                <w:rFonts w:ascii="Times New Roman" w:hAnsi="Times New Roman" w:cs="Times New Roman"/>
                <w:spacing w:val="14"/>
                <w:sz w:val="20"/>
                <w:szCs w:val="20"/>
              </w:rPr>
              <w:t xml:space="preserve"> </w:t>
            </w:r>
            <w:r w:rsidRPr="00E450A3">
              <w:rPr>
                <w:rFonts w:ascii="Times New Roman" w:hAnsi="Times New Roman" w:cs="Times New Roman"/>
                <w:spacing w:val="-2"/>
                <w:position w:val="1"/>
                <w:sz w:val="20"/>
                <w:szCs w:val="20"/>
              </w:rPr>
              <w:t>(ng/ml)</w:t>
            </w:r>
          </w:p>
        </w:tc>
        <w:tc>
          <w:tcPr>
            <w:tcW w:w="1559" w:type="dxa"/>
            <w:tcBorders>
              <w:top w:val="single" w:sz="4" w:space="0" w:color="000000"/>
              <w:left w:val="single" w:sz="4" w:space="0" w:color="000000"/>
              <w:bottom w:val="single" w:sz="4" w:space="0" w:color="000000"/>
              <w:right w:val="single" w:sz="4" w:space="0" w:color="000000"/>
            </w:tcBorders>
            <w:hideMark/>
          </w:tcPr>
          <w:p w14:paraId="7D839084" w14:textId="77777777" w:rsidR="00E450A3" w:rsidRPr="00E450A3" w:rsidRDefault="00E450A3" w:rsidP="00E450A3">
            <w:pPr>
              <w:spacing w:line="255" w:lineRule="exact"/>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104</w:t>
            </w:r>
          </w:p>
        </w:tc>
        <w:tc>
          <w:tcPr>
            <w:tcW w:w="1120" w:type="dxa"/>
            <w:tcBorders>
              <w:top w:val="single" w:sz="4" w:space="0" w:color="000000"/>
              <w:left w:val="single" w:sz="4" w:space="0" w:color="000000"/>
              <w:bottom w:val="single" w:sz="4" w:space="0" w:color="000000"/>
              <w:right w:val="single" w:sz="4" w:space="0" w:color="000000"/>
            </w:tcBorders>
            <w:hideMark/>
          </w:tcPr>
          <w:p w14:paraId="3B4C08CC" w14:textId="77777777" w:rsidR="00E450A3" w:rsidRPr="00E450A3" w:rsidRDefault="00E450A3" w:rsidP="00E450A3">
            <w:pPr>
              <w:spacing w:line="255" w:lineRule="exact"/>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46</w:t>
            </w:r>
          </w:p>
        </w:tc>
      </w:tr>
      <w:tr w:rsidR="00E450A3" w:rsidRPr="00E450A3" w14:paraId="075F21C3" w14:textId="77777777" w:rsidTr="00E450A3">
        <w:trPr>
          <w:trHeight w:val="211"/>
        </w:trPr>
        <w:tc>
          <w:tcPr>
            <w:tcW w:w="1418" w:type="dxa"/>
            <w:vMerge w:val="restart"/>
            <w:tcBorders>
              <w:top w:val="single" w:sz="4" w:space="0" w:color="000000"/>
              <w:left w:val="single" w:sz="4" w:space="0" w:color="000000"/>
              <w:bottom w:val="single" w:sz="4" w:space="0" w:color="000000"/>
              <w:right w:val="single" w:sz="4" w:space="0" w:color="000000"/>
            </w:tcBorders>
            <w:hideMark/>
          </w:tcPr>
          <w:p w14:paraId="1398ECC8" w14:textId="77777777" w:rsidR="00E450A3" w:rsidRPr="00E450A3" w:rsidRDefault="00E450A3" w:rsidP="00E450A3">
            <w:pPr>
              <w:spacing w:before="1"/>
              <w:ind w:left="568"/>
              <w:rPr>
                <w:rFonts w:ascii="Times New Roman" w:hAnsi="Times New Roman" w:cs="Times New Roman"/>
                <w:bCs/>
                <w:sz w:val="20"/>
                <w:szCs w:val="20"/>
              </w:rPr>
            </w:pPr>
            <w:r w:rsidRPr="00E450A3">
              <w:rPr>
                <w:rFonts w:ascii="Times New Roman" w:hAnsi="Times New Roman" w:cs="Times New Roman"/>
                <w:bCs/>
                <w:sz w:val="20"/>
                <w:szCs w:val="20"/>
              </w:rPr>
              <w:t>5 </w:t>
            </w:r>
            <w:r w:rsidRPr="00E450A3">
              <w:rPr>
                <w:rFonts w:ascii="Times New Roman" w:hAnsi="Times New Roman" w:cs="Times New Roman"/>
                <w:bCs/>
                <w:spacing w:val="-5"/>
                <w:sz w:val="20"/>
                <w:szCs w:val="20"/>
              </w:rPr>
              <w:t>mg</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6CC06E20" w14:textId="77777777" w:rsidR="00E450A3" w:rsidRPr="00E450A3" w:rsidRDefault="00E450A3" w:rsidP="00E450A3">
            <w:pPr>
              <w:spacing w:before="1"/>
              <w:ind w:left="340"/>
              <w:rPr>
                <w:rFonts w:ascii="Times New Roman" w:hAnsi="Times New Roman" w:cs="Times New Roman"/>
                <w:sz w:val="20"/>
                <w:szCs w:val="20"/>
              </w:rPr>
            </w:pPr>
            <w:r w:rsidRPr="00E450A3">
              <w:rPr>
                <w:rFonts w:ascii="Times New Roman" w:hAnsi="Times New Roman" w:cs="Times New Roman"/>
                <w:sz w:val="20"/>
                <w:szCs w:val="20"/>
              </w:rPr>
              <w:t>1 år &lt; 5 </w:t>
            </w:r>
            <w:r w:rsidRPr="00E450A3">
              <w:rPr>
                <w:rFonts w:ascii="Times New Roman" w:hAnsi="Times New Roman" w:cs="Times New Roman"/>
                <w:spacing w:val="-5"/>
                <w:sz w:val="20"/>
                <w:szCs w:val="20"/>
              </w:rPr>
              <w:t>år</w:t>
            </w:r>
          </w:p>
        </w:tc>
        <w:tc>
          <w:tcPr>
            <w:tcW w:w="2552" w:type="dxa"/>
            <w:tcBorders>
              <w:top w:val="single" w:sz="4" w:space="0" w:color="000000"/>
              <w:left w:val="single" w:sz="4" w:space="0" w:color="000000"/>
              <w:bottom w:val="single" w:sz="4" w:space="0" w:color="000000"/>
              <w:right w:val="single" w:sz="4" w:space="0" w:color="000000"/>
            </w:tcBorders>
            <w:hideMark/>
          </w:tcPr>
          <w:p w14:paraId="2D4DA7AE" w14:textId="77777777" w:rsidR="00E450A3" w:rsidRPr="00E450A3" w:rsidRDefault="00E450A3" w:rsidP="00E450A3">
            <w:pPr>
              <w:spacing w:line="270" w:lineRule="atLeast"/>
              <w:ind w:left="427" w:firstLine="14"/>
              <w:rPr>
                <w:rFonts w:ascii="Times New Roman" w:hAnsi="Times New Roman" w:cs="Times New Roman"/>
                <w:sz w:val="20"/>
                <w:szCs w:val="20"/>
              </w:rPr>
            </w:pPr>
            <w:r w:rsidRPr="00E450A3">
              <w:rPr>
                <w:rFonts w:ascii="Times New Roman" w:hAnsi="Times New Roman" w:cs="Times New Roman"/>
                <w:spacing w:val="-2"/>
                <w:position w:val="1"/>
                <w:sz w:val="20"/>
                <w:szCs w:val="20"/>
              </w:rPr>
              <w:t>AUC</w:t>
            </w:r>
            <w:r w:rsidRPr="00E450A3">
              <w:rPr>
                <w:rFonts w:ascii="Times New Roman" w:hAnsi="Times New Roman" w:cs="Times New Roman"/>
                <w:spacing w:val="-2"/>
                <w:sz w:val="20"/>
                <w:szCs w:val="20"/>
                <w:vertAlign w:val="subscript"/>
              </w:rPr>
              <w:t>0-inf</w:t>
            </w:r>
            <w:r w:rsidRPr="00E450A3">
              <w:rPr>
                <w:rFonts w:ascii="Times New Roman" w:hAnsi="Times New Roman" w:cs="Times New Roman"/>
                <w:spacing w:val="40"/>
                <w:sz w:val="20"/>
                <w:szCs w:val="20"/>
              </w:rPr>
              <w:t xml:space="preserve"> </w:t>
            </w:r>
            <w:r w:rsidRPr="00E450A3">
              <w:rPr>
                <w:rFonts w:ascii="Times New Roman" w:hAnsi="Times New Roman" w:cs="Times New Roman"/>
                <w:spacing w:val="-2"/>
                <w:sz w:val="20"/>
                <w:szCs w:val="20"/>
              </w:rPr>
              <w:t>(ng.t/ml)</w:t>
            </w:r>
          </w:p>
        </w:tc>
        <w:tc>
          <w:tcPr>
            <w:tcW w:w="1559" w:type="dxa"/>
            <w:tcBorders>
              <w:top w:val="single" w:sz="4" w:space="0" w:color="000000"/>
              <w:left w:val="single" w:sz="4" w:space="0" w:color="000000"/>
              <w:bottom w:val="single" w:sz="4" w:space="0" w:color="000000"/>
              <w:right w:val="single" w:sz="4" w:space="0" w:color="000000"/>
            </w:tcBorders>
            <w:hideMark/>
          </w:tcPr>
          <w:p w14:paraId="172680FA" w14:textId="77777777" w:rsidR="00E450A3" w:rsidRPr="00E450A3" w:rsidRDefault="00E450A3" w:rsidP="00E450A3">
            <w:pPr>
              <w:spacing w:before="1"/>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242</w:t>
            </w:r>
          </w:p>
        </w:tc>
        <w:tc>
          <w:tcPr>
            <w:tcW w:w="1120" w:type="dxa"/>
            <w:tcBorders>
              <w:top w:val="single" w:sz="4" w:space="0" w:color="000000"/>
              <w:left w:val="single" w:sz="4" w:space="0" w:color="000000"/>
              <w:bottom w:val="single" w:sz="4" w:space="0" w:color="000000"/>
              <w:right w:val="single" w:sz="4" w:space="0" w:color="000000"/>
            </w:tcBorders>
            <w:hideMark/>
          </w:tcPr>
          <w:p w14:paraId="3B2EA43A" w14:textId="77777777" w:rsidR="00E450A3" w:rsidRPr="00E450A3" w:rsidRDefault="00E450A3" w:rsidP="00E450A3">
            <w:pPr>
              <w:spacing w:before="1"/>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116</w:t>
            </w:r>
          </w:p>
        </w:tc>
      </w:tr>
      <w:tr w:rsidR="00E450A3" w:rsidRPr="00E450A3" w14:paraId="2D5BE2DF" w14:textId="77777777" w:rsidTr="00E450A3">
        <w:trPr>
          <w:trHeight w:val="275"/>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79EDD66" w14:textId="77777777" w:rsidR="00E450A3" w:rsidRPr="00E450A3" w:rsidRDefault="00E450A3" w:rsidP="00E450A3">
            <w:pPr>
              <w:ind w:left="568"/>
              <w:rPr>
                <w:rFonts w:ascii="Times New Roman" w:hAnsi="Times New Roman" w:cs="Times New Roman"/>
                <w:bCs/>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4A08EA9" w14:textId="77777777" w:rsidR="00E450A3" w:rsidRPr="00E450A3" w:rsidRDefault="00E450A3" w:rsidP="00E450A3">
            <w:pPr>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hideMark/>
          </w:tcPr>
          <w:p w14:paraId="2E8DC5DC" w14:textId="77777777" w:rsidR="00E450A3" w:rsidRPr="00E450A3" w:rsidRDefault="00E450A3" w:rsidP="00E450A3">
            <w:pPr>
              <w:spacing w:line="256" w:lineRule="exact"/>
              <w:ind w:left="11"/>
              <w:jc w:val="center"/>
              <w:rPr>
                <w:rFonts w:ascii="Times New Roman" w:hAnsi="Times New Roman" w:cs="Times New Roman"/>
                <w:position w:val="1"/>
                <w:sz w:val="20"/>
                <w:szCs w:val="20"/>
              </w:rPr>
            </w:pPr>
            <w:r w:rsidRPr="00E450A3">
              <w:rPr>
                <w:rFonts w:ascii="Times New Roman" w:hAnsi="Times New Roman" w:cs="Times New Roman"/>
                <w:position w:val="1"/>
                <w:sz w:val="20"/>
                <w:szCs w:val="20"/>
              </w:rPr>
              <w:t>C</w:t>
            </w:r>
            <w:r w:rsidRPr="00E450A3">
              <w:rPr>
                <w:rFonts w:ascii="Times New Roman" w:hAnsi="Times New Roman" w:cs="Times New Roman"/>
                <w:sz w:val="20"/>
                <w:szCs w:val="20"/>
                <w:vertAlign w:val="subscript"/>
              </w:rPr>
              <w:t>max</w:t>
            </w:r>
            <w:r w:rsidRPr="00E450A3">
              <w:rPr>
                <w:rFonts w:ascii="Times New Roman" w:hAnsi="Times New Roman" w:cs="Times New Roman"/>
                <w:spacing w:val="14"/>
                <w:sz w:val="20"/>
                <w:szCs w:val="20"/>
              </w:rPr>
              <w:t xml:space="preserve"> </w:t>
            </w:r>
            <w:r w:rsidRPr="00E450A3">
              <w:rPr>
                <w:rFonts w:ascii="Times New Roman" w:hAnsi="Times New Roman" w:cs="Times New Roman"/>
                <w:spacing w:val="-2"/>
                <w:position w:val="1"/>
                <w:sz w:val="20"/>
                <w:szCs w:val="20"/>
              </w:rPr>
              <w:t>(ng/ml)</w:t>
            </w:r>
          </w:p>
        </w:tc>
        <w:tc>
          <w:tcPr>
            <w:tcW w:w="1559" w:type="dxa"/>
            <w:tcBorders>
              <w:top w:val="single" w:sz="4" w:space="0" w:color="000000"/>
              <w:left w:val="single" w:sz="4" w:space="0" w:color="000000"/>
              <w:bottom w:val="single" w:sz="4" w:space="0" w:color="000000"/>
              <w:right w:val="single" w:sz="4" w:space="0" w:color="000000"/>
            </w:tcBorders>
            <w:hideMark/>
          </w:tcPr>
          <w:p w14:paraId="0FEC41F2" w14:textId="77777777" w:rsidR="00E450A3" w:rsidRPr="00E450A3" w:rsidRDefault="00E450A3" w:rsidP="00E450A3">
            <w:pPr>
              <w:spacing w:line="255" w:lineRule="exact"/>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148</w:t>
            </w:r>
          </w:p>
        </w:tc>
        <w:tc>
          <w:tcPr>
            <w:tcW w:w="1120" w:type="dxa"/>
            <w:tcBorders>
              <w:top w:val="single" w:sz="4" w:space="0" w:color="000000"/>
              <w:left w:val="single" w:sz="4" w:space="0" w:color="000000"/>
              <w:bottom w:val="single" w:sz="4" w:space="0" w:color="000000"/>
              <w:right w:val="single" w:sz="4" w:space="0" w:color="000000"/>
            </w:tcBorders>
            <w:hideMark/>
          </w:tcPr>
          <w:p w14:paraId="75AA9D27" w14:textId="77777777" w:rsidR="00E450A3" w:rsidRPr="00E450A3" w:rsidRDefault="00E450A3" w:rsidP="00E450A3">
            <w:pPr>
              <w:spacing w:line="255" w:lineRule="exact"/>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62</w:t>
            </w:r>
          </w:p>
        </w:tc>
      </w:tr>
      <w:tr w:rsidR="00E450A3" w:rsidRPr="00E450A3" w14:paraId="71498097" w14:textId="77777777" w:rsidTr="00E450A3">
        <w:trPr>
          <w:trHeight w:val="205"/>
        </w:trPr>
        <w:tc>
          <w:tcPr>
            <w:tcW w:w="1418" w:type="dxa"/>
            <w:vMerge w:val="restart"/>
            <w:tcBorders>
              <w:top w:val="single" w:sz="4" w:space="0" w:color="000000"/>
              <w:left w:val="single" w:sz="4" w:space="0" w:color="000000"/>
              <w:bottom w:val="single" w:sz="4" w:space="0" w:color="000000"/>
              <w:right w:val="single" w:sz="4" w:space="0" w:color="000000"/>
            </w:tcBorders>
            <w:hideMark/>
          </w:tcPr>
          <w:p w14:paraId="391B48AC" w14:textId="77777777" w:rsidR="00E450A3" w:rsidRPr="00E450A3" w:rsidRDefault="00E450A3" w:rsidP="00E450A3">
            <w:pPr>
              <w:ind w:left="568"/>
              <w:rPr>
                <w:rFonts w:ascii="Times New Roman" w:hAnsi="Times New Roman" w:cs="Times New Roman"/>
                <w:bCs/>
                <w:sz w:val="20"/>
                <w:szCs w:val="20"/>
              </w:rPr>
            </w:pPr>
            <w:r w:rsidRPr="00E450A3">
              <w:rPr>
                <w:rFonts w:ascii="Times New Roman" w:hAnsi="Times New Roman" w:cs="Times New Roman"/>
                <w:bCs/>
                <w:sz w:val="20"/>
                <w:szCs w:val="20"/>
              </w:rPr>
              <w:t>7,5 </w:t>
            </w:r>
            <w:r w:rsidRPr="00E450A3">
              <w:rPr>
                <w:rFonts w:ascii="Times New Roman" w:hAnsi="Times New Roman" w:cs="Times New Roman"/>
                <w:bCs/>
                <w:spacing w:val="-5"/>
                <w:sz w:val="20"/>
                <w:szCs w:val="20"/>
              </w:rPr>
              <w:t>mg</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66BFC925" w14:textId="77777777" w:rsidR="00E450A3" w:rsidRPr="00E450A3" w:rsidRDefault="00E450A3" w:rsidP="00E450A3">
            <w:pPr>
              <w:ind w:left="280"/>
              <w:rPr>
                <w:rFonts w:ascii="Times New Roman" w:hAnsi="Times New Roman" w:cs="Times New Roman"/>
                <w:sz w:val="20"/>
                <w:szCs w:val="20"/>
              </w:rPr>
            </w:pPr>
            <w:r w:rsidRPr="00E450A3">
              <w:rPr>
                <w:rFonts w:ascii="Times New Roman" w:hAnsi="Times New Roman" w:cs="Times New Roman"/>
                <w:sz w:val="20"/>
                <w:szCs w:val="20"/>
              </w:rPr>
              <w:t>5 år &lt; 10 </w:t>
            </w:r>
            <w:r w:rsidRPr="00E450A3">
              <w:rPr>
                <w:rFonts w:ascii="Times New Roman" w:hAnsi="Times New Roman" w:cs="Times New Roman"/>
                <w:spacing w:val="-5"/>
                <w:sz w:val="20"/>
                <w:szCs w:val="20"/>
              </w:rPr>
              <w:t>år</w:t>
            </w:r>
          </w:p>
        </w:tc>
        <w:tc>
          <w:tcPr>
            <w:tcW w:w="2552" w:type="dxa"/>
            <w:tcBorders>
              <w:top w:val="single" w:sz="4" w:space="0" w:color="000000"/>
              <w:left w:val="single" w:sz="4" w:space="0" w:color="000000"/>
              <w:bottom w:val="single" w:sz="4" w:space="0" w:color="000000"/>
              <w:right w:val="single" w:sz="4" w:space="0" w:color="000000"/>
            </w:tcBorders>
            <w:hideMark/>
          </w:tcPr>
          <w:p w14:paraId="66948866" w14:textId="77777777" w:rsidR="00E450A3" w:rsidRPr="00E450A3" w:rsidRDefault="00E450A3" w:rsidP="00E450A3">
            <w:pPr>
              <w:spacing w:line="266" w:lineRule="exact"/>
              <w:ind w:left="427" w:firstLine="14"/>
              <w:rPr>
                <w:rFonts w:ascii="Times New Roman" w:hAnsi="Times New Roman" w:cs="Times New Roman"/>
                <w:sz w:val="20"/>
                <w:szCs w:val="20"/>
              </w:rPr>
            </w:pPr>
            <w:r w:rsidRPr="00E450A3">
              <w:rPr>
                <w:rFonts w:ascii="Times New Roman" w:hAnsi="Times New Roman" w:cs="Times New Roman"/>
                <w:spacing w:val="-2"/>
                <w:position w:val="1"/>
                <w:sz w:val="20"/>
                <w:szCs w:val="20"/>
              </w:rPr>
              <w:t>AUC</w:t>
            </w:r>
            <w:r w:rsidRPr="00E450A3">
              <w:rPr>
                <w:rFonts w:ascii="Times New Roman" w:hAnsi="Times New Roman" w:cs="Times New Roman"/>
                <w:spacing w:val="-2"/>
                <w:sz w:val="20"/>
                <w:szCs w:val="20"/>
                <w:vertAlign w:val="subscript"/>
              </w:rPr>
              <w:t>0-inf</w:t>
            </w:r>
            <w:r w:rsidRPr="00E450A3">
              <w:rPr>
                <w:rFonts w:ascii="Times New Roman" w:hAnsi="Times New Roman" w:cs="Times New Roman"/>
                <w:spacing w:val="40"/>
                <w:sz w:val="20"/>
                <w:szCs w:val="20"/>
              </w:rPr>
              <w:t xml:space="preserve"> </w:t>
            </w:r>
            <w:r w:rsidRPr="00E450A3">
              <w:rPr>
                <w:rFonts w:ascii="Times New Roman" w:hAnsi="Times New Roman" w:cs="Times New Roman"/>
                <w:spacing w:val="-2"/>
                <w:sz w:val="20"/>
                <w:szCs w:val="20"/>
              </w:rPr>
              <w:t>(ng.t/ml)</w:t>
            </w:r>
          </w:p>
        </w:tc>
        <w:tc>
          <w:tcPr>
            <w:tcW w:w="1559" w:type="dxa"/>
            <w:tcBorders>
              <w:top w:val="single" w:sz="4" w:space="0" w:color="000000"/>
              <w:left w:val="single" w:sz="4" w:space="0" w:color="000000"/>
              <w:bottom w:val="single" w:sz="4" w:space="0" w:color="000000"/>
              <w:right w:val="single" w:sz="4" w:space="0" w:color="000000"/>
            </w:tcBorders>
            <w:hideMark/>
          </w:tcPr>
          <w:p w14:paraId="6B41A9D6" w14:textId="77777777" w:rsidR="00E450A3" w:rsidRPr="00E450A3" w:rsidRDefault="00E450A3" w:rsidP="00E450A3">
            <w:pPr>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254</w:t>
            </w:r>
          </w:p>
        </w:tc>
        <w:tc>
          <w:tcPr>
            <w:tcW w:w="1120" w:type="dxa"/>
            <w:tcBorders>
              <w:top w:val="single" w:sz="4" w:space="0" w:color="000000"/>
              <w:left w:val="single" w:sz="4" w:space="0" w:color="000000"/>
              <w:bottom w:val="single" w:sz="4" w:space="0" w:color="000000"/>
              <w:right w:val="single" w:sz="4" w:space="0" w:color="000000"/>
            </w:tcBorders>
            <w:hideMark/>
          </w:tcPr>
          <w:p w14:paraId="511D6F73" w14:textId="77777777" w:rsidR="00E450A3" w:rsidRPr="00E450A3" w:rsidRDefault="00E450A3" w:rsidP="00E450A3">
            <w:pPr>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136</w:t>
            </w:r>
          </w:p>
        </w:tc>
      </w:tr>
      <w:tr w:rsidR="00E450A3" w:rsidRPr="00E450A3" w14:paraId="66D353C5" w14:textId="77777777" w:rsidTr="00E450A3">
        <w:trPr>
          <w:trHeight w:val="276"/>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BD71DB0" w14:textId="77777777" w:rsidR="00E450A3" w:rsidRPr="00E450A3" w:rsidRDefault="00E450A3" w:rsidP="00E450A3">
            <w:pPr>
              <w:ind w:left="568"/>
              <w:rPr>
                <w:rFonts w:ascii="Times New Roman" w:hAnsi="Times New Roman" w:cs="Times New Roman"/>
                <w:bCs/>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69AB416" w14:textId="77777777" w:rsidR="00E450A3" w:rsidRPr="00E450A3" w:rsidRDefault="00E450A3" w:rsidP="00E450A3">
            <w:pPr>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hideMark/>
          </w:tcPr>
          <w:p w14:paraId="27FBB751" w14:textId="77777777" w:rsidR="00E450A3" w:rsidRPr="00E450A3" w:rsidRDefault="00E450A3" w:rsidP="00E450A3">
            <w:pPr>
              <w:spacing w:before="1" w:line="256" w:lineRule="exact"/>
              <w:ind w:left="11"/>
              <w:jc w:val="center"/>
              <w:rPr>
                <w:rFonts w:ascii="Times New Roman" w:hAnsi="Times New Roman" w:cs="Times New Roman"/>
                <w:position w:val="1"/>
                <w:sz w:val="20"/>
                <w:szCs w:val="20"/>
              </w:rPr>
            </w:pPr>
            <w:r w:rsidRPr="00E450A3">
              <w:rPr>
                <w:rFonts w:ascii="Times New Roman" w:hAnsi="Times New Roman" w:cs="Times New Roman"/>
                <w:position w:val="1"/>
                <w:sz w:val="20"/>
                <w:szCs w:val="20"/>
              </w:rPr>
              <w:t>C</w:t>
            </w:r>
            <w:r w:rsidRPr="00E450A3">
              <w:rPr>
                <w:rFonts w:ascii="Times New Roman" w:hAnsi="Times New Roman" w:cs="Times New Roman"/>
                <w:sz w:val="20"/>
                <w:szCs w:val="20"/>
                <w:vertAlign w:val="subscript"/>
              </w:rPr>
              <w:t>max</w:t>
            </w:r>
            <w:r w:rsidRPr="00E450A3">
              <w:rPr>
                <w:rFonts w:ascii="Times New Roman" w:hAnsi="Times New Roman" w:cs="Times New Roman"/>
                <w:spacing w:val="14"/>
                <w:sz w:val="20"/>
                <w:szCs w:val="20"/>
              </w:rPr>
              <w:t xml:space="preserve"> </w:t>
            </w:r>
            <w:r w:rsidRPr="00E450A3">
              <w:rPr>
                <w:rFonts w:ascii="Times New Roman" w:hAnsi="Times New Roman" w:cs="Times New Roman"/>
                <w:spacing w:val="-2"/>
                <w:position w:val="1"/>
                <w:sz w:val="20"/>
                <w:szCs w:val="20"/>
              </w:rPr>
              <w:t>(ng/ml)</w:t>
            </w:r>
          </w:p>
        </w:tc>
        <w:tc>
          <w:tcPr>
            <w:tcW w:w="1559" w:type="dxa"/>
            <w:tcBorders>
              <w:top w:val="single" w:sz="4" w:space="0" w:color="000000"/>
              <w:left w:val="single" w:sz="4" w:space="0" w:color="000000"/>
              <w:bottom w:val="single" w:sz="4" w:space="0" w:color="000000"/>
              <w:right w:val="single" w:sz="4" w:space="0" w:color="000000"/>
            </w:tcBorders>
            <w:hideMark/>
          </w:tcPr>
          <w:p w14:paraId="7EB453B2" w14:textId="77777777" w:rsidR="00E450A3" w:rsidRPr="00E450A3" w:rsidRDefault="00E450A3" w:rsidP="00E450A3">
            <w:pPr>
              <w:spacing w:before="1" w:line="255" w:lineRule="exact"/>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140</w:t>
            </w:r>
          </w:p>
        </w:tc>
        <w:tc>
          <w:tcPr>
            <w:tcW w:w="1120" w:type="dxa"/>
            <w:tcBorders>
              <w:top w:val="single" w:sz="4" w:space="0" w:color="000000"/>
              <w:left w:val="single" w:sz="4" w:space="0" w:color="000000"/>
              <w:bottom w:val="single" w:sz="4" w:space="0" w:color="000000"/>
              <w:right w:val="single" w:sz="4" w:space="0" w:color="000000"/>
            </w:tcBorders>
            <w:hideMark/>
          </w:tcPr>
          <w:p w14:paraId="66FBD97C" w14:textId="77777777" w:rsidR="00E450A3" w:rsidRPr="00E450A3" w:rsidRDefault="00E450A3" w:rsidP="00E450A3">
            <w:pPr>
              <w:spacing w:before="1" w:line="255" w:lineRule="exact"/>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60</w:t>
            </w:r>
          </w:p>
        </w:tc>
      </w:tr>
      <w:tr w:rsidR="00E450A3" w:rsidRPr="00E450A3" w14:paraId="73BB3A28" w14:textId="77777777" w:rsidTr="00E450A3">
        <w:trPr>
          <w:trHeight w:val="214"/>
        </w:trPr>
        <w:tc>
          <w:tcPr>
            <w:tcW w:w="1418" w:type="dxa"/>
            <w:vMerge w:val="restart"/>
            <w:tcBorders>
              <w:top w:val="single" w:sz="4" w:space="0" w:color="000000"/>
              <w:left w:val="single" w:sz="4" w:space="0" w:color="000000"/>
              <w:bottom w:val="single" w:sz="4" w:space="0" w:color="000000"/>
              <w:right w:val="single" w:sz="4" w:space="0" w:color="000000"/>
            </w:tcBorders>
            <w:hideMark/>
          </w:tcPr>
          <w:p w14:paraId="544191B8" w14:textId="77777777" w:rsidR="00E450A3" w:rsidRPr="00E450A3" w:rsidRDefault="00E450A3" w:rsidP="00E450A3">
            <w:pPr>
              <w:ind w:left="568"/>
              <w:rPr>
                <w:rFonts w:ascii="Times New Roman" w:hAnsi="Times New Roman" w:cs="Times New Roman"/>
                <w:bCs/>
                <w:sz w:val="20"/>
                <w:szCs w:val="20"/>
              </w:rPr>
            </w:pPr>
            <w:r w:rsidRPr="00E450A3">
              <w:rPr>
                <w:rFonts w:ascii="Times New Roman" w:hAnsi="Times New Roman" w:cs="Times New Roman"/>
                <w:bCs/>
                <w:sz w:val="20"/>
                <w:szCs w:val="20"/>
              </w:rPr>
              <w:t>10 </w:t>
            </w:r>
            <w:r w:rsidRPr="00E450A3">
              <w:rPr>
                <w:rFonts w:ascii="Times New Roman" w:hAnsi="Times New Roman" w:cs="Times New Roman"/>
                <w:bCs/>
                <w:spacing w:val="-5"/>
                <w:sz w:val="20"/>
                <w:szCs w:val="20"/>
              </w:rPr>
              <w:t>mg</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28021EC" w14:textId="77777777" w:rsidR="00E450A3" w:rsidRPr="00E450A3" w:rsidRDefault="00E450A3" w:rsidP="00E450A3">
            <w:pPr>
              <w:ind w:left="220"/>
              <w:rPr>
                <w:rFonts w:ascii="Times New Roman" w:hAnsi="Times New Roman" w:cs="Times New Roman"/>
                <w:sz w:val="20"/>
                <w:szCs w:val="20"/>
              </w:rPr>
            </w:pPr>
            <w:r w:rsidRPr="00E450A3">
              <w:rPr>
                <w:rFonts w:ascii="Times New Roman" w:hAnsi="Times New Roman" w:cs="Times New Roman"/>
                <w:sz w:val="20"/>
                <w:szCs w:val="20"/>
              </w:rPr>
              <w:t>10 år &lt; 18 </w:t>
            </w:r>
            <w:r w:rsidRPr="00E450A3">
              <w:rPr>
                <w:rFonts w:ascii="Times New Roman" w:hAnsi="Times New Roman" w:cs="Times New Roman"/>
                <w:spacing w:val="-5"/>
                <w:sz w:val="20"/>
                <w:szCs w:val="20"/>
              </w:rPr>
              <w:t>år</w:t>
            </w:r>
          </w:p>
        </w:tc>
        <w:tc>
          <w:tcPr>
            <w:tcW w:w="2552" w:type="dxa"/>
            <w:tcBorders>
              <w:top w:val="single" w:sz="4" w:space="0" w:color="000000"/>
              <w:left w:val="single" w:sz="4" w:space="0" w:color="000000"/>
              <w:bottom w:val="single" w:sz="4" w:space="0" w:color="000000"/>
              <w:right w:val="single" w:sz="4" w:space="0" w:color="000000"/>
            </w:tcBorders>
            <w:hideMark/>
          </w:tcPr>
          <w:p w14:paraId="38A25205" w14:textId="77777777" w:rsidR="00E450A3" w:rsidRPr="00E450A3" w:rsidRDefault="00E450A3" w:rsidP="00E450A3">
            <w:pPr>
              <w:spacing w:line="266" w:lineRule="exact"/>
              <w:ind w:left="427" w:firstLine="14"/>
              <w:rPr>
                <w:rFonts w:ascii="Times New Roman" w:hAnsi="Times New Roman" w:cs="Times New Roman"/>
                <w:sz w:val="20"/>
                <w:szCs w:val="20"/>
              </w:rPr>
            </w:pPr>
            <w:r w:rsidRPr="00E450A3">
              <w:rPr>
                <w:rFonts w:ascii="Times New Roman" w:hAnsi="Times New Roman" w:cs="Times New Roman"/>
                <w:spacing w:val="-2"/>
                <w:position w:val="1"/>
                <w:sz w:val="20"/>
                <w:szCs w:val="20"/>
              </w:rPr>
              <w:t>AUC</w:t>
            </w:r>
            <w:r w:rsidRPr="00E450A3">
              <w:rPr>
                <w:rFonts w:ascii="Times New Roman" w:hAnsi="Times New Roman" w:cs="Times New Roman"/>
                <w:spacing w:val="-2"/>
                <w:sz w:val="20"/>
                <w:szCs w:val="20"/>
                <w:vertAlign w:val="subscript"/>
              </w:rPr>
              <w:t>0-inf</w:t>
            </w:r>
            <w:r w:rsidRPr="00E450A3">
              <w:rPr>
                <w:rFonts w:ascii="Times New Roman" w:hAnsi="Times New Roman" w:cs="Times New Roman"/>
                <w:spacing w:val="40"/>
                <w:sz w:val="20"/>
                <w:szCs w:val="20"/>
              </w:rPr>
              <w:t xml:space="preserve"> </w:t>
            </w:r>
            <w:r w:rsidRPr="00E450A3">
              <w:rPr>
                <w:rFonts w:ascii="Times New Roman" w:hAnsi="Times New Roman" w:cs="Times New Roman"/>
                <w:spacing w:val="-2"/>
                <w:sz w:val="20"/>
                <w:szCs w:val="20"/>
              </w:rPr>
              <w:t>(ng.t/ml)</w:t>
            </w:r>
          </w:p>
        </w:tc>
        <w:tc>
          <w:tcPr>
            <w:tcW w:w="1559" w:type="dxa"/>
            <w:tcBorders>
              <w:top w:val="single" w:sz="4" w:space="0" w:color="000000"/>
              <w:left w:val="single" w:sz="4" w:space="0" w:color="000000"/>
              <w:bottom w:val="single" w:sz="4" w:space="0" w:color="000000"/>
              <w:right w:val="single" w:sz="4" w:space="0" w:color="000000"/>
            </w:tcBorders>
            <w:hideMark/>
          </w:tcPr>
          <w:p w14:paraId="46316A40" w14:textId="77777777" w:rsidR="00E450A3" w:rsidRPr="00E450A3" w:rsidRDefault="00E450A3" w:rsidP="00E450A3">
            <w:pPr>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189</w:t>
            </w:r>
          </w:p>
        </w:tc>
        <w:tc>
          <w:tcPr>
            <w:tcW w:w="1120" w:type="dxa"/>
            <w:tcBorders>
              <w:top w:val="single" w:sz="4" w:space="0" w:color="000000"/>
              <w:left w:val="single" w:sz="4" w:space="0" w:color="000000"/>
              <w:bottom w:val="single" w:sz="4" w:space="0" w:color="000000"/>
              <w:right w:val="single" w:sz="4" w:space="0" w:color="000000"/>
            </w:tcBorders>
            <w:hideMark/>
          </w:tcPr>
          <w:p w14:paraId="70C5EA52" w14:textId="77777777" w:rsidR="00E450A3" w:rsidRPr="00E450A3" w:rsidRDefault="00E450A3" w:rsidP="00E450A3">
            <w:pPr>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96</w:t>
            </w:r>
          </w:p>
        </w:tc>
      </w:tr>
      <w:tr w:rsidR="00E450A3" w:rsidRPr="00E450A3" w14:paraId="6EDA99C4" w14:textId="77777777" w:rsidTr="00E450A3">
        <w:trPr>
          <w:trHeight w:val="276"/>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0B2FFCC" w14:textId="77777777" w:rsidR="00E450A3" w:rsidRPr="00E450A3" w:rsidRDefault="00E450A3" w:rsidP="00E450A3">
            <w:pPr>
              <w:ind w:left="568"/>
              <w:rPr>
                <w:rFonts w:ascii="Times New Roman" w:hAnsi="Times New Roman" w:cs="Times New Roman"/>
                <w:bCs/>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E0C2B46" w14:textId="77777777" w:rsidR="00E450A3" w:rsidRPr="00E450A3" w:rsidRDefault="00E450A3" w:rsidP="00E450A3">
            <w:pPr>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hideMark/>
          </w:tcPr>
          <w:p w14:paraId="53E4E123" w14:textId="77777777" w:rsidR="00E450A3" w:rsidRPr="00E450A3" w:rsidRDefault="00E450A3" w:rsidP="00E450A3">
            <w:pPr>
              <w:spacing w:line="257" w:lineRule="exact"/>
              <w:ind w:left="11"/>
              <w:jc w:val="center"/>
              <w:rPr>
                <w:rFonts w:ascii="Times New Roman" w:hAnsi="Times New Roman" w:cs="Times New Roman"/>
                <w:position w:val="1"/>
                <w:sz w:val="20"/>
                <w:szCs w:val="20"/>
              </w:rPr>
            </w:pPr>
            <w:r w:rsidRPr="00E450A3">
              <w:rPr>
                <w:rFonts w:ascii="Times New Roman" w:hAnsi="Times New Roman" w:cs="Times New Roman"/>
                <w:position w:val="1"/>
                <w:sz w:val="20"/>
                <w:szCs w:val="20"/>
              </w:rPr>
              <w:t>C</w:t>
            </w:r>
            <w:r w:rsidRPr="00E450A3">
              <w:rPr>
                <w:rFonts w:ascii="Times New Roman" w:hAnsi="Times New Roman" w:cs="Times New Roman"/>
                <w:sz w:val="20"/>
                <w:szCs w:val="20"/>
                <w:vertAlign w:val="subscript"/>
              </w:rPr>
              <w:t>max</w:t>
            </w:r>
            <w:r w:rsidRPr="00E450A3">
              <w:rPr>
                <w:rFonts w:ascii="Times New Roman" w:hAnsi="Times New Roman" w:cs="Times New Roman"/>
                <w:spacing w:val="14"/>
                <w:sz w:val="20"/>
                <w:szCs w:val="20"/>
              </w:rPr>
              <w:t xml:space="preserve"> </w:t>
            </w:r>
            <w:r w:rsidRPr="00E450A3">
              <w:rPr>
                <w:rFonts w:ascii="Times New Roman" w:hAnsi="Times New Roman" w:cs="Times New Roman"/>
                <w:spacing w:val="-2"/>
                <w:position w:val="1"/>
                <w:sz w:val="20"/>
                <w:szCs w:val="20"/>
              </w:rPr>
              <w:t>(ng/ml)</w:t>
            </w:r>
          </w:p>
        </w:tc>
        <w:tc>
          <w:tcPr>
            <w:tcW w:w="1559" w:type="dxa"/>
            <w:tcBorders>
              <w:top w:val="single" w:sz="4" w:space="0" w:color="000000"/>
              <w:left w:val="single" w:sz="4" w:space="0" w:color="000000"/>
              <w:bottom w:val="single" w:sz="4" w:space="0" w:color="000000"/>
              <w:right w:val="single" w:sz="4" w:space="0" w:color="000000"/>
            </w:tcBorders>
            <w:hideMark/>
          </w:tcPr>
          <w:p w14:paraId="0E9DEB36" w14:textId="77777777" w:rsidR="00E450A3" w:rsidRPr="00E450A3" w:rsidRDefault="00E450A3" w:rsidP="00E450A3">
            <w:pPr>
              <w:spacing w:line="257" w:lineRule="exact"/>
              <w:ind w:left="12" w:right="1"/>
              <w:jc w:val="center"/>
              <w:rPr>
                <w:rFonts w:ascii="Times New Roman" w:hAnsi="Times New Roman" w:cs="Times New Roman"/>
                <w:sz w:val="20"/>
                <w:szCs w:val="20"/>
              </w:rPr>
            </w:pPr>
            <w:r w:rsidRPr="00E450A3">
              <w:rPr>
                <w:rFonts w:ascii="Times New Roman" w:hAnsi="Times New Roman" w:cs="Times New Roman"/>
                <w:spacing w:val="-5"/>
                <w:sz w:val="20"/>
                <w:szCs w:val="20"/>
              </w:rPr>
              <w:t>87</w:t>
            </w:r>
          </w:p>
        </w:tc>
        <w:tc>
          <w:tcPr>
            <w:tcW w:w="1120" w:type="dxa"/>
            <w:tcBorders>
              <w:top w:val="single" w:sz="4" w:space="0" w:color="000000"/>
              <w:left w:val="single" w:sz="4" w:space="0" w:color="000000"/>
              <w:bottom w:val="single" w:sz="4" w:space="0" w:color="000000"/>
              <w:right w:val="single" w:sz="4" w:space="0" w:color="000000"/>
            </w:tcBorders>
            <w:hideMark/>
          </w:tcPr>
          <w:p w14:paraId="5B5534E2" w14:textId="77777777" w:rsidR="00E450A3" w:rsidRPr="00E450A3" w:rsidRDefault="00E450A3" w:rsidP="00E450A3">
            <w:pPr>
              <w:spacing w:line="257" w:lineRule="exact"/>
              <w:ind w:left="11"/>
              <w:jc w:val="center"/>
              <w:rPr>
                <w:rFonts w:ascii="Times New Roman" w:hAnsi="Times New Roman" w:cs="Times New Roman"/>
                <w:sz w:val="20"/>
                <w:szCs w:val="20"/>
              </w:rPr>
            </w:pPr>
            <w:r w:rsidRPr="00E450A3">
              <w:rPr>
                <w:rFonts w:ascii="Times New Roman" w:hAnsi="Times New Roman" w:cs="Times New Roman"/>
                <w:spacing w:val="-5"/>
                <w:sz w:val="20"/>
                <w:szCs w:val="20"/>
              </w:rPr>
              <w:t>44</w:t>
            </w:r>
          </w:p>
        </w:tc>
      </w:tr>
    </w:tbl>
    <w:p w14:paraId="5349E1F9" w14:textId="77777777" w:rsidR="00E450A3" w:rsidRPr="00E450A3" w:rsidRDefault="00E450A3" w:rsidP="00E450A3">
      <w:pPr>
        <w:ind w:left="851"/>
        <w:rPr>
          <w:iCs/>
          <w:sz w:val="24"/>
          <w:szCs w:val="24"/>
          <w:u w:val="single"/>
          <w:lang w:eastAsia="en-GB"/>
        </w:rPr>
      </w:pPr>
    </w:p>
    <w:p w14:paraId="546EEB57" w14:textId="77777777" w:rsidR="00E450A3" w:rsidRPr="00E450A3" w:rsidRDefault="00E450A3" w:rsidP="00E450A3">
      <w:pPr>
        <w:ind w:left="851"/>
        <w:rPr>
          <w:i/>
          <w:iCs/>
          <w:sz w:val="24"/>
          <w:szCs w:val="24"/>
          <w:u w:val="single"/>
          <w:lang w:eastAsia="en-GB"/>
        </w:rPr>
      </w:pPr>
      <w:r w:rsidRPr="00E450A3">
        <w:rPr>
          <w:sz w:val="24"/>
          <w:szCs w:val="24"/>
          <w:u w:val="single"/>
          <w:lang w:eastAsia="en-GB"/>
        </w:rPr>
        <w:t>Absorption</w:t>
      </w:r>
    </w:p>
    <w:p w14:paraId="3E47594C" w14:textId="77777777" w:rsidR="00E450A3" w:rsidRPr="00E450A3" w:rsidRDefault="00E450A3" w:rsidP="00E450A3">
      <w:pPr>
        <w:ind w:left="851"/>
        <w:rPr>
          <w:sz w:val="24"/>
          <w:szCs w:val="24"/>
          <w:lang w:eastAsia="en-GB"/>
        </w:rPr>
      </w:pPr>
      <w:r w:rsidRPr="00E450A3">
        <w:rPr>
          <w:sz w:val="24"/>
          <w:szCs w:val="24"/>
          <w:lang w:eastAsia="en-GB"/>
        </w:rPr>
        <w:t>Absorption af midazolam fra mundslimhinden er hurtig. De maksimale plasmakoncentrationer opnås i løbet af 30 minutter. Den absolutte biotilgængelighed af midazolam indgivet via mundhulen er cirka 75 % hos raske voksne. Biotilgængeligheden af midazolam indgivet via mundhulen er blevet estimeret til 87 % hos børn med svær malaria og krampeanfald.</w:t>
      </w:r>
    </w:p>
    <w:p w14:paraId="523999A4" w14:textId="77777777" w:rsidR="00E450A3" w:rsidRPr="00E450A3" w:rsidRDefault="00E450A3" w:rsidP="00E450A3">
      <w:pPr>
        <w:ind w:left="851"/>
        <w:rPr>
          <w:i/>
          <w:iCs/>
          <w:sz w:val="24"/>
          <w:szCs w:val="24"/>
          <w:u w:val="single"/>
          <w:lang w:eastAsia="en-GB"/>
        </w:rPr>
      </w:pPr>
    </w:p>
    <w:p w14:paraId="06C80B0A" w14:textId="77777777" w:rsidR="00E450A3" w:rsidRPr="00E450A3" w:rsidRDefault="00E450A3" w:rsidP="00E450A3">
      <w:pPr>
        <w:keepNext/>
        <w:ind w:left="851"/>
        <w:rPr>
          <w:iCs/>
          <w:sz w:val="24"/>
          <w:szCs w:val="24"/>
          <w:u w:val="single"/>
          <w:lang w:eastAsia="en-GB"/>
        </w:rPr>
      </w:pPr>
      <w:r w:rsidRPr="00E450A3">
        <w:rPr>
          <w:sz w:val="24"/>
          <w:szCs w:val="24"/>
          <w:u w:val="single"/>
          <w:lang w:eastAsia="en-GB"/>
        </w:rPr>
        <w:t>Fordeling</w:t>
      </w:r>
    </w:p>
    <w:p w14:paraId="435C25AC" w14:textId="77777777" w:rsidR="00E450A3" w:rsidRPr="00E450A3" w:rsidRDefault="00E450A3" w:rsidP="00E450A3">
      <w:pPr>
        <w:ind w:left="851"/>
        <w:rPr>
          <w:sz w:val="24"/>
          <w:szCs w:val="24"/>
          <w:lang w:eastAsia="en-GB"/>
        </w:rPr>
      </w:pPr>
      <w:r w:rsidRPr="00E450A3">
        <w:rPr>
          <w:sz w:val="24"/>
          <w:szCs w:val="24"/>
          <w:lang w:eastAsia="en-GB"/>
        </w:rPr>
        <w:t xml:space="preserve">Midazolam er meget lipofilt og fordeles ekstensivt. </w:t>
      </w:r>
      <w:r w:rsidRPr="00E450A3">
        <w:rPr>
          <w:i/>
          <w:iCs/>
          <w:sz w:val="24"/>
          <w:szCs w:val="24"/>
          <w:lang w:eastAsia="en-GB"/>
        </w:rPr>
        <w:t>Steady-state</w:t>
      </w:r>
      <w:r w:rsidRPr="00E450A3">
        <w:rPr>
          <w:sz w:val="24"/>
          <w:szCs w:val="24"/>
          <w:lang w:eastAsia="en-GB"/>
        </w:rPr>
        <w:t>-fordelingsvolumen efter indgivelse via mundhulen er estimeret til 5,3 l/kg.</w:t>
      </w:r>
    </w:p>
    <w:p w14:paraId="411E0350" w14:textId="77777777" w:rsidR="00E450A3" w:rsidRPr="00E450A3" w:rsidRDefault="00E450A3" w:rsidP="00E450A3">
      <w:pPr>
        <w:ind w:left="851"/>
        <w:rPr>
          <w:sz w:val="24"/>
          <w:szCs w:val="24"/>
          <w:lang w:eastAsia="en-GB"/>
        </w:rPr>
      </w:pPr>
      <w:r w:rsidRPr="00E450A3">
        <w:rPr>
          <w:sz w:val="24"/>
          <w:szCs w:val="24"/>
          <w:lang w:eastAsia="en-GB"/>
        </w:rPr>
        <w:t>Cirka 96</w:t>
      </w:r>
      <w:r w:rsidRPr="00E450A3">
        <w:rPr>
          <w:sz w:val="24"/>
          <w:szCs w:val="24"/>
          <w:lang w:eastAsia="en-GB"/>
        </w:rPr>
        <w:noBreakHyphen/>
        <w:t>98 % af midazolam er bundet til plasmaproteiner. Den største fraktion af plasmaprotein-binding skyldes albumin. Der er en langsom og ikke-signifikant passage af midazolam ind i cerebrospinalvæsken. Hos mennesker har midazolam vist sig at krydse placenta langsomt og indgå i kredsløbet hos fosteret. Små mængder af midazolam findes i human mælk.</w:t>
      </w:r>
    </w:p>
    <w:p w14:paraId="3771E702" w14:textId="77777777" w:rsidR="00E450A3" w:rsidRPr="00E450A3" w:rsidRDefault="00E450A3" w:rsidP="00E450A3">
      <w:pPr>
        <w:ind w:left="851"/>
        <w:rPr>
          <w:i/>
          <w:iCs/>
          <w:sz w:val="24"/>
          <w:szCs w:val="24"/>
          <w:u w:val="single"/>
          <w:lang w:eastAsia="en-GB"/>
        </w:rPr>
      </w:pPr>
    </w:p>
    <w:p w14:paraId="27B8147D" w14:textId="77777777" w:rsidR="00E450A3" w:rsidRPr="00E450A3" w:rsidRDefault="00E450A3" w:rsidP="00E450A3">
      <w:pPr>
        <w:ind w:left="851"/>
        <w:rPr>
          <w:iCs/>
          <w:sz w:val="24"/>
          <w:szCs w:val="24"/>
          <w:u w:val="single"/>
          <w:lang w:eastAsia="en-GB"/>
        </w:rPr>
      </w:pPr>
      <w:r w:rsidRPr="00E450A3">
        <w:rPr>
          <w:sz w:val="24"/>
          <w:szCs w:val="24"/>
          <w:u w:val="single"/>
          <w:lang w:eastAsia="en-GB"/>
        </w:rPr>
        <w:t>Biotransformation</w:t>
      </w:r>
    </w:p>
    <w:p w14:paraId="5BF6D44D" w14:textId="77777777" w:rsidR="00E450A3" w:rsidRPr="00E450A3" w:rsidRDefault="00E450A3" w:rsidP="00E450A3">
      <w:pPr>
        <w:ind w:left="851"/>
        <w:rPr>
          <w:sz w:val="24"/>
          <w:szCs w:val="24"/>
          <w:lang w:eastAsia="en-GB"/>
        </w:rPr>
      </w:pPr>
      <w:r w:rsidRPr="00E450A3">
        <w:rPr>
          <w:sz w:val="24"/>
          <w:szCs w:val="24"/>
          <w:lang w:eastAsia="en-GB"/>
        </w:rPr>
        <w:t>Midazolam elimineres næsten udelukkende via biotransformation. Fraktionen af den dosis, der ekstraheres af leveren, er blevet estimeret til at være 30</w:t>
      </w:r>
      <w:r w:rsidRPr="00E450A3">
        <w:rPr>
          <w:sz w:val="24"/>
          <w:szCs w:val="24"/>
          <w:lang w:eastAsia="en-GB"/>
        </w:rPr>
        <w:noBreakHyphen/>
        <w:t>60 %. Midazolam hydroxyleres af CYP3A4-isoenzymet og metaboliseres til en aktiv metabolit, 1</w:t>
      </w:r>
      <w:r w:rsidRPr="00E450A3">
        <w:rPr>
          <w:sz w:val="24"/>
          <w:szCs w:val="24"/>
          <w:lang w:eastAsia="en-GB"/>
        </w:rPr>
        <w:noBreakHyphen/>
        <w:t>hydroxymidazolam, og 2 mindre metabolitter: 4</w:t>
      </w:r>
      <w:r w:rsidRPr="00E450A3">
        <w:rPr>
          <w:sz w:val="24"/>
          <w:szCs w:val="24"/>
          <w:lang w:eastAsia="en-GB"/>
        </w:rPr>
        <w:noBreakHyphen/>
        <w:t>hydroxy-metabolit og 1,4</w:t>
      </w:r>
      <w:r w:rsidRPr="00E450A3">
        <w:rPr>
          <w:sz w:val="24"/>
          <w:szCs w:val="24"/>
          <w:lang w:eastAsia="en-GB"/>
        </w:rPr>
        <w:noBreakHyphen/>
        <w:t>hydroxy-metabolit. På baggrund af det gennemsnitlige AUC-forhold for 1</w:t>
      </w:r>
      <w:r w:rsidRPr="00E450A3">
        <w:rPr>
          <w:sz w:val="24"/>
          <w:szCs w:val="24"/>
          <w:lang w:eastAsia="en-GB"/>
        </w:rPr>
        <w:noBreakHyphen/>
        <w:t>hydroxymidazolam-metabolitten til midazolam efter indgivelse via mundhulen hos børn blev 46 % of midazolam konverteret til 1</w:t>
      </w:r>
      <w:r w:rsidRPr="00E450A3">
        <w:rPr>
          <w:sz w:val="24"/>
          <w:szCs w:val="24"/>
          <w:lang w:eastAsia="en-GB"/>
        </w:rPr>
        <w:noBreakHyphen/>
        <w:t>hydroxymidazolam med en estimeret halveringstid på 0,84 timer. Der var en tendens til et højere metabolit-til-lægemiddel-forhold hos yngre børn. I et biotilgængelighedsstudie med Epistatus var konverteringsforholdet hos raske voksne 22 % med en estimeret halveringstid på 2,7 timer. I offentliggjorte litteraturrapporter er 50</w:t>
      </w:r>
      <w:r w:rsidRPr="00E450A3">
        <w:rPr>
          <w:sz w:val="24"/>
          <w:szCs w:val="24"/>
          <w:lang w:eastAsia="en-GB"/>
        </w:rPr>
        <w:noBreakHyphen/>
        <w:t>70 % af midazolam konverteret til den primære metabolit med en estimeret halveringstid på 1</w:t>
      </w:r>
      <w:r w:rsidRPr="00E450A3">
        <w:rPr>
          <w:sz w:val="24"/>
          <w:szCs w:val="24"/>
          <w:lang w:eastAsia="en-GB"/>
        </w:rPr>
        <w:noBreakHyphen/>
        <w:t>3 timer. Disse forskellige værdier kan muligvis forklares ud fra den høje iboende farmakokinetiske variabilitet af midazolam.</w:t>
      </w:r>
    </w:p>
    <w:p w14:paraId="273B8676" w14:textId="77777777" w:rsidR="00E450A3" w:rsidRPr="00E450A3" w:rsidRDefault="00E450A3" w:rsidP="00E450A3">
      <w:pPr>
        <w:ind w:left="851"/>
        <w:rPr>
          <w:iCs/>
          <w:sz w:val="24"/>
          <w:szCs w:val="24"/>
          <w:u w:val="single"/>
          <w:lang w:eastAsia="en-GB"/>
        </w:rPr>
      </w:pPr>
    </w:p>
    <w:p w14:paraId="31A21357" w14:textId="77777777" w:rsidR="00E450A3" w:rsidRPr="00E450A3" w:rsidRDefault="00E450A3" w:rsidP="00E450A3">
      <w:pPr>
        <w:ind w:left="851"/>
        <w:rPr>
          <w:iCs/>
          <w:sz w:val="24"/>
          <w:szCs w:val="24"/>
          <w:u w:val="single"/>
          <w:lang w:eastAsia="en-GB"/>
        </w:rPr>
      </w:pPr>
      <w:r w:rsidRPr="00E450A3">
        <w:rPr>
          <w:sz w:val="24"/>
          <w:szCs w:val="24"/>
          <w:u w:val="single"/>
          <w:lang w:eastAsia="en-GB"/>
        </w:rPr>
        <w:t>Elimination</w:t>
      </w:r>
    </w:p>
    <w:p w14:paraId="31CCCC78" w14:textId="77777777" w:rsidR="00E450A3" w:rsidRPr="00E450A3" w:rsidRDefault="00E450A3" w:rsidP="00E450A3">
      <w:pPr>
        <w:ind w:left="851"/>
        <w:rPr>
          <w:sz w:val="24"/>
          <w:szCs w:val="24"/>
          <w:lang w:eastAsia="en-GB"/>
        </w:rPr>
      </w:pPr>
      <w:r w:rsidRPr="00E450A3">
        <w:rPr>
          <w:sz w:val="24"/>
          <w:szCs w:val="24"/>
          <w:lang w:eastAsia="en-GB"/>
        </w:rPr>
        <w:t>Hos børn over 12 måneder blev halveringstiden for parenteral midazolam rapporteret til at være 0,8</w:t>
      </w:r>
      <w:r w:rsidRPr="00E450A3">
        <w:rPr>
          <w:sz w:val="24"/>
          <w:szCs w:val="24"/>
          <w:lang w:eastAsia="en-GB"/>
        </w:rPr>
        <w:noBreakHyphen/>
        <w:t>1,8 timer, hvilket svarede til eller var kortere end hos voksne (1,7</w:t>
      </w:r>
      <w:r w:rsidRPr="00E450A3">
        <w:rPr>
          <w:sz w:val="24"/>
          <w:szCs w:val="24"/>
          <w:lang w:eastAsia="en-GB"/>
        </w:rPr>
        <w:noBreakHyphen/>
        <w:t>2,6 timer). Plasmaclearance hos børn over 12 måneder var 4,7</w:t>
      </w:r>
      <w:r w:rsidRPr="00E450A3">
        <w:rPr>
          <w:sz w:val="24"/>
          <w:szCs w:val="24"/>
          <w:lang w:eastAsia="en-GB"/>
        </w:rPr>
        <w:noBreakHyphen/>
        <w:t>19,7 ml/min/kg, hvilket svarede til eller var højere end hos voksne (6,4</w:t>
      </w:r>
      <w:r w:rsidRPr="00E450A3">
        <w:rPr>
          <w:sz w:val="24"/>
          <w:szCs w:val="24"/>
          <w:lang w:eastAsia="en-GB"/>
        </w:rPr>
        <w:noBreakHyphen/>
        <w:t>11,0 ml/min/kg). Disse forskelle er i overensstemmelse med en øget metabolisk clearance hos børn, hvilket også ses efter intravenøs og rektal administration. Midazolam udskilles primært via nyrerne (60</w:t>
      </w:r>
      <w:r w:rsidRPr="00E450A3">
        <w:rPr>
          <w:sz w:val="24"/>
          <w:szCs w:val="24"/>
          <w:lang w:eastAsia="en-GB"/>
        </w:rPr>
        <w:noBreakHyphen/>
        <w:t>80 % af den injicerede dosis) og genfindes som glucuro-konjugeret 1</w:t>
      </w:r>
      <w:r w:rsidRPr="00E450A3">
        <w:rPr>
          <w:sz w:val="24"/>
          <w:szCs w:val="24"/>
          <w:lang w:eastAsia="en-GB"/>
        </w:rPr>
        <w:noBreakHyphen/>
        <w:t>hydroxymidazolam. Under 1 % af dosis genfindes i urinen som uændret lægemiddel.</w:t>
      </w:r>
    </w:p>
    <w:p w14:paraId="18CCE599" w14:textId="77777777" w:rsidR="00E450A3" w:rsidRPr="00E450A3" w:rsidRDefault="00E450A3" w:rsidP="00E450A3">
      <w:pPr>
        <w:ind w:left="851"/>
        <w:rPr>
          <w:sz w:val="24"/>
          <w:szCs w:val="24"/>
          <w:lang w:eastAsia="en-GB"/>
        </w:rPr>
      </w:pPr>
      <w:r w:rsidRPr="00E450A3">
        <w:rPr>
          <w:sz w:val="24"/>
          <w:szCs w:val="24"/>
          <w:lang w:eastAsia="en-GB"/>
        </w:rPr>
        <w:t>Den gennemsnitlige eliminationshalveringstid for 1</w:t>
      </w:r>
      <w:r w:rsidRPr="00E450A3">
        <w:rPr>
          <w:sz w:val="24"/>
          <w:szCs w:val="24"/>
          <w:lang w:eastAsia="en-GB"/>
        </w:rPr>
        <w:noBreakHyphen/>
        <w:t>hydroxymidazolam var 5,6 timer hos raske voksne.</w:t>
      </w:r>
    </w:p>
    <w:p w14:paraId="0790D56F" w14:textId="77777777" w:rsidR="00E450A3" w:rsidRPr="00E450A3" w:rsidRDefault="00E450A3" w:rsidP="00E450A3">
      <w:pPr>
        <w:ind w:left="851"/>
        <w:rPr>
          <w:sz w:val="24"/>
          <w:szCs w:val="24"/>
          <w:lang w:eastAsia="en-GB"/>
        </w:rPr>
      </w:pPr>
    </w:p>
    <w:p w14:paraId="5A58B54D" w14:textId="77777777" w:rsidR="00E450A3" w:rsidRPr="00E450A3" w:rsidRDefault="00E450A3" w:rsidP="00E450A3">
      <w:pPr>
        <w:ind w:left="851"/>
        <w:rPr>
          <w:iCs/>
          <w:sz w:val="24"/>
          <w:szCs w:val="24"/>
          <w:u w:val="single"/>
          <w:lang w:eastAsia="en-GB"/>
        </w:rPr>
      </w:pPr>
      <w:r w:rsidRPr="00E450A3">
        <w:rPr>
          <w:iCs/>
          <w:sz w:val="24"/>
          <w:szCs w:val="24"/>
          <w:u w:val="single"/>
          <w:lang w:eastAsia="en-GB"/>
        </w:rPr>
        <w:t>Farmakokinetik hos særlige populationer</w:t>
      </w:r>
    </w:p>
    <w:p w14:paraId="18302ABC" w14:textId="77777777" w:rsidR="00E450A3" w:rsidRPr="00E450A3" w:rsidRDefault="00E450A3" w:rsidP="00E450A3">
      <w:pPr>
        <w:ind w:left="851"/>
        <w:rPr>
          <w:i/>
          <w:iCs/>
          <w:sz w:val="24"/>
          <w:szCs w:val="24"/>
          <w:lang w:eastAsia="en-GB"/>
        </w:rPr>
      </w:pPr>
    </w:p>
    <w:p w14:paraId="0AE42705" w14:textId="77777777" w:rsidR="00E450A3" w:rsidRPr="00E450A3" w:rsidRDefault="00E450A3" w:rsidP="00E450A3">
      <w:pPr>
        <w:ind w:left="851"/>
        <w:rPr>
          <w:i/>
          <w:iCs/>
          <w:sz w:val="24"/>
          <w:szCs w:val="24"/>
          <w:lang w:eastAsia="en-GB"/>
        </w:rPr>
      </w:pPr>
      <w:r w:rsidRPr="00E450A3">
        <w:rPr>
          <w:i/>
          <w:sz w:val="24"/>
          <w:szCs w:val="24"/>
          <w:lang w:eastAsia="en-GB"/>
        </w:rPr>
        <w:t>Fedme</w:t>
      </w:r>
    </w:p>
    <w:p w14:paraId="6DB9B18C" w14:textId="77777777" w:rsidR="00E450A3" w:rsidRPr="00E450A3" w:rsidRDefault="00E450A3" w:rsidP="00E450A3">
      <w:pPr>
        <w:ind w:left="851"/>
        <w:rPr>
          <w:i/>
          <w:iCs/>
          <w:sz w:val="24"/>
          <w:szCs w:val="24"/>
          <w:lang w:eastAsia="en-GB"/>
        </w:rPr>
      </w:pPr>
      <w:r w:rsidRPr="00E450A3">
        <w:rPr>
          <w:sz w:val="24"/>
          <w:szCs w:val="24"/>
          <w:lang w:eastAsia="en-GB"/>
        </w:rPr>
        <w:t xml:space="preserve">Den gennemsnitlige halveringstid er større hos svært overvægtige patienter end hos patienter, der ikke er svært overvægtige (5,9 </w:t>
      </w:r>
      <w:r w:rsidRPr="00E450A3">
        <w:rPr>
          <w:i/>
          <w:iCs/>
          <w:sz w:val="24"/>
          <w:szCs w:val="24"/>
          <w:lang w:eastAsia="en-GB"/>
        </w:rPr>
        <w:t>vs.</w:t>
      </w:r>
      <w:r w:rsidRPr="00E450A3">
        <w:rPr>
          <w:sz w:val="24"/>
          <w:szCs w:val="24"/>
          <w:lang w:eastAsia="en-GB"/>
        </w:rPr>
        <w:t xml:space="preserve"> 2,3 timer). Dette skyldes en forøgelse på cirka 50 % af fordelingsvoluminet korrigeret for samlet kropsvægt. Clearance er ikke signifikant forskellig hos svært overvægtige patienter sammenlignet med patienter, der ikke er svært overvægtige.</w:t>
      </w:r>
    </w:p>
    <w:p w14:paraId="07DD33AF" w14:textId="77777777" w:rsidR="00E450A3" w:rsidRPr="00E450A3" w:rsidRDefault="00E450A3" w:rsidP="00E450A3">
      <w:pPr>
        <w:ind w:left="851"/>
        <w:rPr>
          <w:i/>
          <w:iCs/>
          <w:sz w:val="24"/>
          <w:szCs w:val="24"/>
          <w:lang w:eastAsia="en-GB"/>
        </w:rPr>
      </w:pPr>
    </w:p>
    <w:p w14:paraId="4C1482BC" w14:textId="77777777" w:rsidR="00E450A3" w:rsidRPr="00E450A3" w:rsidRDefault="00E450A3" w:rsidP="00E450A3">
      <w:pPr>
        <w:ind w:left="851"/>
        <w:rPr>
          <w:i/>
          <w:iCs/>
          <w:sz w:val="24"/>
          <w:szCs w:val="24"/>
          <w:lang w:eastAsia="en-GB"/>
        </w:rPr>
      </w:pPr>
      <w:r w:rsidRPr="00E450A3">
        <w:rPr>
          <w:i/>
          <w:sz w:val="24"/>
          <w:szCs w:val="24"/>
          <w:lang w:eastAsia="en-GB"/>
        </w:rPr>
        <w:t>Patienter med nedsat leverfunktion</w:t>
      </w:r>
    </w:p>
    <w:p w14:paraId="49E84F0C" w14:textId="77777777" w:rsidR="00E450A3" w:rsidRPr="00E450A3" w:rsidRDefault="00E450A3" w:rsidP="00E450A3">
      <w:pPr>
        <w:ind w:left="851"/>
        <w:rPr>
          <w:sz w:val="24"/>
          <w:szCs w:val="24"/>
          <w:lang w:eastAsia="en-GB"/>
        </w:rPr>
      </w:pPr>
      <w:r w:rsidRPr="00E450A3">
        <w:rPr>
          <w:sz w:val="24"/>
          <w:szCs w:val="24"/>
          <w:lang w:eastAsia="en-GB"/>
        </w:rPr>
        <w:t>Eliminationshalveringstiden hos patienter med cirrose kan være længere, og clearance kan være lavere sammenlignet med værdierne for raske frivillige forsøgspersoner (se pkt. 4.4).</w:t>
      </w:r>
    </w:p>
    <w:p w14:paraId="702D56A6" w14:textId="07FC3B2A" w:rsidR="00E450A3" w:rsidRDefault="00E450A3">
      <w:pPr>
        <w:rPr>
          <w:i/>
          <w:iCs/>
          <w:sz w:val="24"/>
          <w:szCs w:val="24"/>
          <w:lang w:eastAsia="en-GB"/>
        </w:rPr>
      </w:pPr>
      <w:r>
        <w:rPr>
          <w:i/>
          <w:iCs/>
          <w:sz w:val="24"/>
          <w:szCs w:val="24"/>
          <w:lang w:eastAsia="en-GB"/>
        </w:rPr>
        <w:br w:type="page"/>
      </w:r>
    </w:p>
    <w:p w14:paraId="72766F01" w14:textId="77777777" w:rsidR="00E450A3" w:rsidRPr="00E450A3" w:rsidRDefault="00E450A3" w:rsidP="00E450A3">
      <w:pPr>
        <w:ind w:left="851"/>
        <w:rPr>
          <w:i/>
          <w:iCs/>
          <w:sz w:val="24"/>
          <w:szCs w:val="24"/>
          <w:lang w:eastAsia="en-GB"/>
        </w:rPr>
      </w:pPr>
    </w:p>
    <w:p w14:paraId="16620F99" w14:textId="77777777" w:rsidR="00E450A3" w:rsidRPr="00E450A3" w:rsidRDefault="00E450A3" w:rsidP="00E450A3">
      <w:pPr>
        <w:ind w:left="851"/>
        <w:rPr>
          <w:i/>
          <w:iCs/>
          <w:sz w:val="24"/>
          <w:szCs w:val="24"/>
          <w:lang w:eastAsia="en-GB"/>
        </w:rPr>
      </w:pPr>
      <w:r w:rsidRPr="00E450A3">
        <w:rPr>
          <w:i/>
          <w:sz w:val="24"/>
          <w:szCs w:val="24"/>
          <w:lang w:eastAsia="en-GB"/>
        </w:rPr>
        <w:t>Patienter med nedsat nyrefunktion</w:t>
      </w:r>
    </w:p>
    <w:p w14:paraId="4AFD2CA2" w14:textId="77777777" w:rsidR="00E450A3" w:rsidRPr="00E450A3" w:rsidRDefault="00E450A3" w:rsidP="00E450A3">
      <w:pPr>
        <w:ind w:left="851"/>
        <w:rPr>
          <w:sz w:val="24"/>
          <w:szCs w:val="24"/>
          <w:lang w:eastAsia="en-GB"/>
        </w:rPr>
      </w:pPr>
      <w:r w:rsidRPr="00E450A3">
        <w:rPr>
          <w:sz w:val="24"/>
          <w:szCs w:val="24"/>
          <w:lang w:eastAsia="en-GB"/>
        </w:rPr>
        <w:t>Eliminationshalveringstiden for patienter med kronisk nyresvigt er sammenlignelig med halveringstiden for raske frivillige forsøgspersoner.</w:t>
      </w:r>
    </w:p>
    <w:p w14:paraId="6DA62AB3" w14:textId="77777777" w:rsidR="00E450A3" w:rsidRPr="00E450A3" w:rsidRDefault="00E450A3" w:rsidP="00E450A3">
      <w:pPr>
        <w:ind w:left="851"/>
        <w:rPr>
          <w:sz w:val="24"/>
          <w:szCs w:val="24"/>
          <w:lang w:eastAsia="en-GB"/>
        </w:rPr>
      </w:pPr>
    </w:p>
    <w:p w14:paraId="1AC10BCB" w14:textId="77777777" w:rsidR="00E450A3" w:rsidRPr="00E450A3" w:rsidRDefault="00E450A3" w:rsidP="00E450A3">
      <w:pPr>
        <w:ind w:left="851"/>
        <w:rPr>
          <w:i/>
          <w:iCs/>
          <w:sz w:val="24"/>
          <w:szCs w:val="24"/>
          <w:lang w:eastAsia="en-GB"/>
        </w:rPr>
      </w:pPr>
      <w:r w:rsidRPr="00E450A3">
        <w:rPr>
          <w:i/>
          <w:sz w:val="24"/>
          <w:szCs w:val="24"/>
          <w:lang w:eastAsia="en-GB"/>
        </w:rPr>
        <w:t>Kritisk syge patienter</w:t>
      </w:r>
    </w:p>
    <w:p w14:paraId="7AEE1A79" w14:textId="77777777" w:rsidR="00E450A3" w:rsidRPr="00E450A3" w:rsidRDefault="00E450A3" w:rsidP="00E450A3">
      <w:pPr>
        <w:ind w:left="851"/>
        <w:rPr>
          <w:sz w:val="24"/>
          <w:szCs w:val="24"/>
          <w:lang w:eastAsia="en-GB"/>
        </w:rPr>
      </w:pPr>
      <w:r w:rsidRPr="00E450A3">
        <w:rPr>
          <w:sz w:val="24"/>
          <w:szCs w:val="24"/>
          <w:lang w:eastAsia="en-GB"/>
        </w:rPr>
        <w:t>Eliminationshalveringstiden af midazolam er forlænget op til 6 gange hos kritisk syge patienter.</w:t>
      </w:r>
    </w:p>
    <w:p w14:paraId="1B7A88D9" w14:textId="77777777" w:rsidR="00E450A3" w:rsidRPr="00E450A3" w:rsidRDefault="00E450A3" w:rsidP="00E450A3">
      <w:pPr>
        <w:ind w:left="851"/>
        <w:rPr>
          <w:i/>
          <w:iCs/>
          <w:sz w:val="24"/>
          <w:szCs w:val="24"/>
          <w:lang w:eastAsia="en-GB"/>
        </w:rPr>
      </w:pPr>
    </w:p>
    <w:p w14:paraId="46E0AE18" w14:textId="77777777" w:rsidR="00E450A3" w:rsidRPr="00E450A3" w:rsidRDefault="00E450A3" w:rsidP="00E450A3">
      <w:pPr>
        <w:ind w:left="851"/>
        <w:rPr>
          <w:i/>
          <w:iCs/>
          <w:sz w:val="24"/>
          <w:szCs w:val="24"/>
          <w:lang w:eastAsia="en-GB"/>
        </w:rPr>
      </w:pPr>
      <w:r w:rsidRPr="00E450A3">
        <w:rPr>
          <w:i/>
          <w:sz w:val="24"/>
          <w:szCs w:val="24"/>
          <w:lang w:eastAsia="en-GB"/>
        </w:rPr>
        <w:t>Patienter med hjerteinsufficiens</w:t>
      </w:r>
    </w:p>
    <w:p w14:paraId="3483B093" w14:textId="77777777" w:rsidR="00E450A3" w:rsidRPr="00E450A3" w:rsidRDefault="00E450A3" w:rsidP="00E450A3">
      <w:pPr>
        <w:ind w:left="851"/>
        <w:rPr>
          <w:sz w:val="24"/>
          <w:szCs w:val="24"/>
          <w:lang w:eastAsia="en-GB"/>
        </w:rPr>
      </w:pPr>
      <w:r w:rsidRPr="00E450A3">
        <w:rPr>
          <w:sz w:val="24"/>
          <w:szCs w:val="24"/>
          <w:lang w:eastAsia="en-GB"/>
        </w:rPr>
        <w:t>Eliminationshalveringstiden er længere hos patienter med kongestiv hjerteinsufficiens sammenlignet med halveringstiden for raske forsøgspersoner (se pkt. 4.4).</w:t>
      </w:r>
    </w:p>
    <w:p w14:paraId="3B19D9C9" w14:textId="77777777" w:rsidR="00E450A3" w:rsidRPr="00E450A3" w:rsidRDefault="00E450A3" w:rsidP="00E450A3">
      <w:pPr>
        <w:ind w:left="851"/>
        <w:rPr>
          <w:i/>
          <w:iCs/>
          <w:sz w:val="24"/>
          <w:szCs w:val="24"/>
          <w:lang w:eastAsia="en-GB"/>
        </w:rPr>
      </w:pPr>
    </w:p>
    <w:p w14:paraId="69C4BA73" w14:textId="77777777" w:rsidR="00E450A3" w:rsidRPr="00E450A3" w:rsidRDefault="00E450A3" w:rsidP="00E450A3">
      <w:pPr>
        <w:ind w:left="851"/>
        <w:rPr>
          <w:i/>
          <w:iCs/>
          <w:sz w:val="24"/>
          <w:szCs w:val="24"/>
          <w:lang w:eastAsia="en-GB"/>
        </w:rPr>
      </w:pPr>
      <w:r w:rsidRPr="00E450A3">
        <w:rPr>
          <w:i/>
          <w:sz w:val="24"/>
          <w:szCs w:val="24"/>
          <w:lang w:eastAsia="en-GB"/>
        </w:rPr>
        <w:t>Akkumulering af midazolam efter gentagne doser</w:t>
      </w:r>
    </w:p>
    <w:p w14:paraId="3B31C417" w14:textId="77777777" w:rsidR="00E450A3" w:rsidRPr="00E450A3" w:rsidRDefault="00E450A3" w:rsidP="00E450A3">
      <w:pPr>
        <w:ind w:left="851"/>
        <w:rPr>
          <w:sz w:val="24"/>
          <w:szCs w:val="24"/>
          <w:lang w:eastAsia="en-GB"/>
        </w:rPr>
      </w:pPr>
      <w:r w:rsidRPr="00E450A3">
        <w:rPr>
          <w:sz w:val="24"/>
          <w:szCs w:val="24"/>
          <w:lang w:eastAsia="en-GB"/>
        </w:rPr>
        <w:t>Gentagne intravenøse doser af midazolam i 4</w:t>
      </w:r>
      <w:r w:rsidRPr="00E450A3">
        <w:rPr>
          <w:sz w:val="24"/>
          <w:szCs w:val="24"/>
          <w:lang w:eastAsia="en-GB"/>
        </w:rPr>
        <w:noBreakHyphen/>
        <w:t>6 dage til mekanisk ventilerede patienter i intensiv behandling medførte en markant akkumulering og forlænget sedation og respirationsdepression (som krævede forlænget ventilation). De terminale halveringstider for midazolam lå i området 8,9</w:t>
      </w:r>
      <w:r w:rsidRPr="00E450A3">
        <w:rPr>
          <w:sz w:val="24"/>
          <w:szCs w:val="24"/>
          <w:lang w:eastAsia="en-GB"/>
        </w:rPr>
        <w:noBreakHyphen/>
        <w:t>19,4 timer (se pkt. 4.2).</w:t>
      </w:r>
    </w:p>
    <w:p w14:paraId="6C24A15E" w14:textId="77777777" w:rsidR="009260DE" w:rsidRPr="00E450A3" w:rsidRDefault="009260DE" w:rsidP="00E450A3">
      <w:pPr>
        <w:tabs>
          <w:tab w:val="left" w:pos="851"/>
        </w:tabs>
        <w:ind w:left="851"/>
        <w:rPr>
          <w:sz w:val="24"/>
          <w:szCs w:val="24"/>
        </w:rPr>
      </w:pPr>
    </w:p>
    <w:p w14:paraId="544F8E2E"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7B3BA846" w14:textId="77777777" w:rsidR="00DE2757" w:rsidRPr="00DE2757" w:rsidRDefault="00DE2757" w:rsidP="00DE2757">
      <w:pPr>
        <w:tabs>
          <w:tab w:val="left" w:pos="851"/>
        </w:tabs>
        <w:ind w:left="851"/>
        <w:rPr>
          <w:sz w:val="24"/>
          <w:szCs w:val="24"/>
        </w:rPr>
      </w:pPr>
      <w:r w:rsidRPr="00DE2757">
        <w:rPr>
          <w:sz w:val="24"/>
          <w:szCs w:val="24"/>
        </w:rPr>
        <w:t>I et fertilitetsstudie med rotter blev dyrene doseret med op til 10 gange den kliniske dosis, og der blev ikke observeret nogen bivirkninger med hensyn til fertilitet.</w:t>
      </w:r>
    </w:p>
    <w:p w14:paraId="3AB39238" w14:textId="77777777" w:rsidR="00DE2757" w:rsidRPr="00DE2757" w:rsidRDefault="00DE2757" w:rsidP="00DE2757">
      <w:pPr>
        <w:tabs>
          <w:tab w:val="left" w:pos="851"/>
        </w:tabs>
        <w:ind w:left="851"/>
        <w:rPr>
          <w:sz w:val="24"/>
          <w:szCs w:val="24"/>
        </w:rPr>
      </w:pPr>
    </w:p>
    <w:p w14:paraId="15FD53E0" w14:textId="77777777" w:rsidR="00DE2757" w:rsidRPr="00DE2757" w:rsidRDefault="00DE2757" w:rsidP="00DE2757">
      <w:pPr>
        <w:tabs>
          <w:tab w:val="left" w:pos="851"/>
        </w:tabs>
        <w:ind w:left="851"/>
        <w:rPr>
          <w:sz w:val="24"/>
          <w:szCs w:val="24"/>
        </w:rPr>
      </w:pPr>
      <w:r w:rsidRPr="00DE2757">
        <w:rPr>
          <w:sz w:val="24"/>
          <w:szCs w:val="24"/>
        </w:rPr>
        <w:t>Der er ingen andre non-kliniske data af relevans for den ordinerende læge ud over dem, som allerede er omfattet i produktresuméets øvrige afsnit.</w:t>
      </w:r>
    </w:p>
    <w:p w14:paraId="4149E5D3" w14:textId="77777777" w:rsidR="009260DE" w:rsidRPr="00C84483" w:rsidRDefault="009260DE" w:rsidP="009260DE">
      <w:pPr>
        <w:tabs>
          <w:tab w:val="left" w:pos="851"/>
        </w:tabs>
        <w:ind w:left="851"/>
        <w:rPr>
          <w:sz w:val="24"/>
          <w:szCs w:val="24"/>
        </w:rPr>
      </w:pPr>
    </w:p>
    <w:p w14:paraId="4B02A226" w14:textId="77777777" w:rsidR="009260DE" w:rsidRPr="00C84483" w:rsidRDefault="009260DE" w:rsidP="009260DE">
      <w:pPr>
        <w:tabs>
          <w:tab w:val="left" w:pos="851"/>
        </w:tabs>
        <w:ind w:left="851"/>
        <w:rPr>
          <w:sz w:val="24"/>
          <w:szCs w:val="24"/>
        </w:rPr>
      </w:pPr>
    </w:p>
    <w:p w14:paraId="3F13651F"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61B1D84" w14:textId="77777777" w:rsidR="009260DE" w:rsidRPr="00BA09F1" w:rsidRDefault="009260DE" w:rsidP="009260DE">
      <w:pPr>
        <w:tabs>
          <w:tab w:val="left" w:pos="851"/>
        </w:tabs>
        <w:ind w:left="851"/>
        <w:rPr>
          <w:sz w:val="24"/>
          <w:szCs w:val="24"/>
        </w:rPr>
      </w:pPr>
    </w:p>
    <w:p w14:paraId="39484731"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401B1071" w14:textId="77777777" w:rsidR="00463ACD" w:rsidRPr="00463ACD" w:rsidRDefault="00463ACD" w:rsidP="00463ACD">
      <w:pPr>
        <w:tabs>
          <w:tab w:val="left" w:pos="851"/>
        </w:tabs>
        <w:ind w:left="851"/>
        <w:rPr>
          <w:sz w:val="24"/>
          <w:szCs w:val="24"/>
        </w:rPr>
      </w:pPr>
      <w:r w:rsidRPr="00463ACD">
        <w:rPr>
          <w:sz w:val="24"/>
          <w:szCs w:val="24"/>
        </w:rPr>
        <w:t>Ethanol</w:t>
      </w:r>
    </w:p>
    <w:p w14:paraId="69528BED" w14:textId="77777777" w:rsidR="00463ACD" w:rsidRPr="00463ACD" w:rsidRDefault="00463ACD" w:rsidP="00463ACD">
      <w:pPr>
        <w:tabs>
          <w:tab w:val="left" w:pos="851"/>
        </w:tabs>
        <w:ind w:left="851"/>
        <w:rPr>
          <w:sz w:val="24"/>
          <w:szCs w:val="24"/>
        </w:rPr>
      </w:pPr>
      <w:r w:rsidRPr="00463ACD">
        <w:rPr>
          <w:sz w:val="24"/>
          <w:szCs w:val="24"/>
        </w:rPr>
        <w:t>Saccharinnatrium (E954)</w:t>
      </w:r>
    </w:p>
    <w:p w14:paraId="1ECEEAE0" w14:textId="77777777" w:rsidR="00463ACD" w:rsidRPr="00463ACD" w:rsidRDefault="00463ACD" w:rsidP="00463ACD">
      <w:pPr>
        <w:tabs>
          <w:tab w:val="left" w:pos="851"/>
        </w:tabs>
        <w:ind w:left="851"/>
        <w:rPr>
          <w:sz w:val="24"/>
          <w:szCs w:val="24"/>
        </w:rPr>
      </w:pPr>
      <w:r w:rsidRPr="00463ACD">
        <w:rPr>
          <w:sz w:val="24"/>
          <w:szCs w:val="24"/>
        </w:rPr>
        <w:t>Glycerol (E422)</w:t>
      </w:r>
    </w:p>
    <w:p w14:paraId="03155CCF" w14:textId="77777777" w:rsidR="00463ACD" w:rsidRPr="00463ACD" w:rsidRDefault="00463ACD" w:rsidP="00463ACD">
      <w:pPr>
        <w:tabs>
          <w:tab w:val="left" w:pos="851"/>
        </w:tabs>
        <w:ind w:left="851"/>
        <w:rPr>
          <w:sz w:val="24"/>
          <w:szCs w:val="24"/>
        </w:rPr>
      </w:pPr>
      <w:r w:rsidRPr="00463ACD">
        <w:rPr>
          <w:sz w:val="24"/>
          <w:szCs w:val="24"/>
        </w:rPr>
        <w:t>Renset vand</w:t>
      </w:r>
    </w:p>
    <w:p w14:paraId="659624F9" w14:textId="77777777" w:rsidR="00463ACD" w:rsidRPr="00463ACD" w:rsidRDefault="00463ACD" w:rsidP="00463ACD">
      <w:pPr>
        <w:tabs>
          <w:tab w:val="left" w:pos="851"/>
        </w:tabs>
        <w:ind w:left="851"/>
        <w:rPr>
          <w:sz w:val="24"/>
          <w:szCs w:val="24"/>
        </w:rPr>
      </w:pPr>
      <w:r w:rsidRPr="00463ACD">
        <w:rPr>
          <w:sz w:val="24"/>
          <w:szCs w:val="24"/>
        </w:rPr>
        <w:t>Natriumhydroxid (E524) (til pH-justering)</w:t>
      </w:r>
    </w:p>
    <w:p w14:paraId="4C155201" w14:textId="77777777" w:rsidR="00463ACD" w:rsidRPr="00463ACD" w:rsidRDefault="00463ACD" w:rsidP="00463ACD">
      <w:pPr>
        <w:tabs>
          <w:tab w:val="left" w:pos="851"/>
        </w:tabs>
        <w:ind w:left="851"/>
        <w:rPr>
          <w:sz w:val="24"/>
          <w:szCs w:val="24"/>
        </w:rPr>
      </w:pPr>
      <w:r w:rsidRPr="00463ACD">
        <w:rPr>
          <w:sz w:val="24"/>
          <w:szCs w:val="24"/>
        </w:rPr>
        <w:t>Flydende maltitol (E965)</w:t>
      </w:r>
    </w:p>
    <w:p w14:paraId="3DC9C9D3" w14:textId="77777777" w:rsidR="009260DE" w:rsidRPr="00C84483" w:rsidRDefault="009260DE" w:rsidP="009260DE">
      <w:pPr>
        <w:tabs>
          <w:tab w:val="left" w:pos="851"/>
        </w:tabs>
        <w:ind w:left="851"/>
        <w:rPr>
          <w:sz w:val="24"/>
          <w:szCs w:val="24"/>
        </w:rPr>
      </w:pPr>
    </w:p>
    <w:p w14:paraId="0150666B"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7F9234B5" w14:textId="77777777" w:rsidR="00463ACD" w:rsidRPr="00463ACD" w:rsidRDefault="00463ACD" w:rsidP="00463ACD">
      <w:pPr>
        <w:tabs>
          <w:tab w:val="left" w:pos="851"/>
        </w:tabs>
        <w:ind w:left="851"/>
        <w:rPr>
          <w:sz w:val="24"/>
          <w:szCs w:val="24"/>
        </w:rPr>
      </w:pPr>
      <w:r w:rsidRPr="00463ACD">
        <w:rPr>
          <w:sz w:val="24"/>
          <w:szCs w:val="24"/>
        </w:rPr>
        <w:t>Ikke relevant.</w:t>
      </w:r>
    </w:p>
    <w:p w14:paraId="34F7B47B" w14:textId="77777777" w:rsidR="009260DE" w:rsidRPr="00C84483" w:rsidRDefault="009260DE" w:rsidP="009260DE">
      <w:pPr>
        <w:tabs>
          <w:tab w:val="left" w:pos="851"/>
        </w:tabs>
        <w:ind w:left="851"/>
        <w:rPr>
          <w:sz w:val="24"/>
          <w:szCs w:val="24"/>
        </w:rPr>
      </w:pPr>
    </w:p>
    <w:p w14:paraId="1DD3AC1C"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4B2E2BF2" w14:textId="77777777" w:rsidR="00463ACD" w:rsidRDefault="00463ACD" w:rsidP="00463ACD">
      <w:pPr>
        <w:tabs>
          <w:tab w:val="left" w:pos="851"/>
        </w:tabs>
        <w:ind w:left="851"/>
        <w:rPr>
          <w:sz w:val="24"/>
          <w:szCs w:val="24"/>
        </w:rPr>
      </w:pPr>
      <w:r w:rsidRPr="00463ACD">
        <w:rPr>
          <w:sz w:val="24"/>
          <w:szCs w:val="24"/>
        </w:rPr>
        <w:t>18 måneder.</w:t>
      </w:r>
    </w:p>
    <w:p w14:paraId="2FFCD9BA" w14:textId="77777777" w:rsidR="00463ACD" w:rsidRPr="00463ACD" w:rsidRDefault="00463ACD" w:rsidP="00463ACD">
      <w:pPr>
        <w:tabs>
          <w:tab w:val="left" w:pos="851"/>
        </w:tabs>
        <w:ind w:left="851"/>
        <w:rPr>
          <w:sz w:val="24"/>
          <w:szCs w:val="24"/>
        </w:rPr>
      </w:pPr>
    </w:p>
    <w:p w14:paraId="4558C85F" w14:textId="123991C9" w:rsidR="00463ACD" w:rsidRPr="00463ACD" w:rsidRDefault="00463ACD" w:rsidP="00463ACD">
      <w:pPr>
        <w:tabs>
          <w:tab w:val="left" w:pos="851"/>
        </w:tabs>
        <w:ind w:left="851"/>
        <w:rPr>
          <w:sz w:val="24"/>
          <w:szCs w:val="24"/>
        </w:rPr>
      </w:pPr>
      <w:r w:rsidRPr="00463ACD">
        <w:rPr>
          <w:sz w:val="24"/>
          <w:szCs w:val="24"/>
        </w:rPr>
        <w:t>Efter åbning: 1 år</w:t>
      </w:r>
      <w:r>
        <w:rPr>
          <w:sz w:val="24"/>
          <w:szCs w:val="24"/>
        </w:rPr>
        <w:t>.</w:t>
      </w:r>
    </w:p>
    <w:p w14:paraId="77F7B917" w14:textId="77777777" w:rsidR="009260DE" w:rsidRPr="00C84483" w:rsidRDefault="009260DE" w:rsidP="009260DE">
      <w:pPr>
        <w:tabs>
          <w:tab w:val="left" w:pos="851"/>
        </w:tabs>
        <w:ind w:left="851"/>
        <w:rPr>
          <w:sz w:val="24"/>
          <w:szCs w:val="24"/>
        </w:rPr>
      </w:pPr>
    </w:p>
    <w:p w14:paraId="75849832"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6361C96" w14:textId="77777777" w:rsidR="00B565EC" w:rsidRPr="00B565EC" w:rsidRDefault="00B565EC" w:rsidP="00B565EC">
      <w:pPr>
        <w:tabs>
          <w:tab w:val="left" w:pos="851"/>
        </w:tabs>
        <w:ind w:left="851"/>
        <w:rPr>
          <w:sz w:val="24"/>
          <w:szCs w:val="24"/>
        </w:rPr>
      </w:pPr>
      <w:r w:rsidRPr="00B565EC">
        <w:rPr>
          <w:sz w:val="24"/>
          <w:szCs w:val="24"/>
        </w:rPr>
        <w:t>Må ikke opbevares ved temperaturer over 25 °C.</w:t>
      </w:r>
    </w:p>
    <w:p w14:paraId="54F37E62" w14:textId="77777777" w:rsidR="00B565EC" w:rsidRDefault="00B565EC" w:rsidP="00B565EC">
      <w:pPr>
        <w:tabs>
          <w:tab w:val="left" w:pos="851"/>
        </w:tabs>
        <w:ind w:left="851"/>
        <w:rPr>
          <w:sz w:val="24"/>
          <w:szCs w:val="24"/>
        </w:rPr>
      </w:pPr>
      <w:r w:rsidRPr="00B565EC">
        <w:rPr>
          <w:sz w:val="24"/>
          <w:szCs w:val="24"/>
        </w:rPr>
        <w:t>Må ikke opbevares i køleskab eller nedfryses.</w:t>
      </w:r>
    </w:p>
    <w:p w14:paraId="73D647AF" w14:textId="77777777" w:rsidR="00B565EC" w:rsidRPr="00B565EC" w:rsidRDefault="00B565EC" w:rsidP="00B565EC">
      <w:pPr>
        <w:tabs>
          <w:tab w:val="left" w:pos="851"/>
        </w:tabs>
        <w:ind w:left="851"/>
        <w:rPr>
          <w:sz w:val="24"/>
          <w:szCs w:val="24"/>
        </w:rPr>
      </w:pPr>
    </w:p>
    <w:p w14:paraId="1C4451EA" w14:textId="77777777" w:rsidR="00B565EC" w:rsidRPr="00B565EC" w:rsidRDefault="00B565EC" w:rsidP="00B565EC">
      <w:pPr>
        <w:tabs>
          <w:tab w:val="left" w:pos="851"/>
        </w:tabs>
        <w:ind w:left="851"/>
        <w:rPr>
          <w:sz w:val="24"/>
          <w:szCs w:val="24"/>
        </w:rPr>
      </w:pPr>
      <w:r w:rsidRPr="00B565EC">
        <w:rPr>
          <w:sz w:val="24"/>
          <w:szCs w:val="24"/>
        </w:rPr>
        <w:t>Opbevares i den originale pakning for at beskytte mod lys.</w:t>
      </w:r>
    </w:p>
    <w:p w14:paraId="04074F75" w14:textId="77777777" w:rsidR="00B565EC" w:rsidRPr="00B565EC" w:rsidRDefault="00B565EC" w:rsidP="00B565EC">
      <w:pPr>
        <w:tabs>
          <w:tab w:val="left" w:pos="851"/>
        </w:tabs>
        <w:ind w:left="851"/>
        <w:rPr>
          <w:sz w:val="24"/>
          <w:szCs w:val="24"/>
        </w:rPr>
      </w:pPr>
      <w:r w:rsidRPr="00B565EC">
        <w:rPr>
          <w:sz w:val="24"/>
          <w:szCs w:val="24"/>
        </w:rPr>
        <w:t>Sæt hætten på igen og luk den tæt efter brug.</w:t>
      </w:r>
    </w:p>
    <w:p w14:paraId="0B04A363" w14:textId="77777777" w:rsidR="009260DE" w:rsidRPr="00C84483" w:rsidRDefault="009260DE" w:rsidP="009260DE">
      <w:pPr>
        <w:tabs>
          <w:tab w:val="left" w:pos="851"/>
        </w:tabs>
        <w:ind w:left="851"/>
        <w:rPr>
          <w:sz w:val="24"/>
          <w:szCs w:val="24"/>
        </w:rPr>
      </w:pPr>
    </w:p>
    <w:p w14:paraId="4BFCB38D"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67802C1" w14:textId="77777777" w:rsidR="00B565EC" w:rsidRDefault="00B565EC" w:rsidP="00B565EC">
      <w:pPr>
        <w:tabs>
          <w:tab w:val="left" w:pos="851"/>
        </w:tabs>
        <w:ind w:left="851"/>
        <w:rPr>
          <w:sz w:val="24"/>
          <w:szCs w:val="24"/>
        </w:rPr>
      </w:pPr>
      <w:r w:rsidRPr="00B565EC">
        <w:rPr>
          <w:sz w:val="24"/>
          <w:szCs w:val="24"/>
        </w:rPr>
        <w:t>Epistatus leveres som 5 ml mundhulevæske, opløsning i en ravfarvet multidosisglasflaske med en anbrudssikret, børnesikret polypropylen (PP)-skruehætte med en integreret flaskehalsadapter fremstillet af lavdensitetspolyethylen (LDPE).</w:t>
      </w:r>
    </w:p>
    <w:p w14:paraId="4E1222F8" w14:textId="77777777" w:rsidR="00B565EC" w:rsidRDefault="00B565EC" w:rsidP="00B565EC">
      <w:pPr>
        <w:tabs>
          <w:tab w:val="left" w:pos="851"/>
        </w:tabs>
        <w:ind w:left="851"/>
        <w:rPr>
          <w:sz w:val="24"/>
          <w:szCs w:val="24"/>
        </w:rPr>
      </w:pPr>
    </w:p>
    <w:p w14:paraId="5647544A" w14:textId="16488ECF" w:rsidR="00B565EC" w:rsidRPr="00B565EC" w:rsidRDefault="00B565EC" w:rsidP="00B565EC">
      <w:pPr>
        <w:tabs>
          <w:tab w:val="left" w:pos="851"/>
        </w:tabs>
        <w:ind w:left="851"/>
        <w:rPr>
          <w:sz w:val="24"/>
          <w:szCs w:val="24"/>
          <w:u w:val="single"/>
        </w:rPr>
      </w:pPr>
      <w:r w:rsidRPr="00B565EC">
        <w:rPr>
          <w:sz w:val="24"/>
          <w:szCs w:val="24"/>
          <w:u w:val="single"/>
        </w:rPr>
        <w:t>Pakningsstørrelser</w:t>
      </w:r>
    </w:p>
    <w:p w14:paraId="64D15D55" w14:textId="4653B125" w:rsidR="00B565EC" w:rsidRPr="00B565EC" w:rsidRDefault="00B565EC" w:rsidP="00B565EC">
      <w:pPr>
        <w:tabs>
          <w:tab w:val="left" w:pos="851"/>
        </w:tabs>
        <w:ind w:left="851"/>
        <w:rPr>
          <w:sz w:val="24"/>
          <w:szCs w:val="24"/>
        </w:rPr>
      </w:pPr>
      <w:r w:rsidRPr="00B565EC">
        <w:rPr>
          <w:sz w:val="24"/>
          <w:szCs w:val="24"/>
        </w:rPr>
        <w:t>Pakningen indeholder 4</w:t>
      </w:r>
      <w:r>
        <w:rPr>
          <w:sz w:val="24"/>
          <w:szCs w:val="24"/>
        </w:rPr>
        <w:t>×</w:t>
      </w:r>
      <w:r w:rsidRPr="00B565EC">
        <w:rPr>
          <w:sz w:val="24"/>
          <w:szCs w:val="24"/>
        </w:rPr>
        <w:t>1 ml orale sprøjter og en indlægsseddel i en ydre æske.</w:t>
      </w:r>
    </w:p>
    <w:p w14:paraId="4EF66470" w14:textId="77777777" w:rsidR="00B565EC" w:rsidRPr="00B565EC" w:rsidRDefault="00B565EC" w:rsidP="00B565EC">
      <w:pPr>
        <w:tabs>
          <w:tab w:val="left" w:pos="851"/>
        </w:tabs>
        <w:ind w:left="851"/>
        <w:rPr>
          <w:sz w:val="24"/>
          <w:szCs w:val="24"/>
        </w:rPr>
      </w:pPr>
    </w:p>
    <w:p w14:paraId="5D77FF5E" w14:textId="77777777" w:rsidR="00B565EC" w:rsidRPr="00B565EC" w:rsidRDefault="00B565EC" w:rsidP="00B565EC">
      <w:pPr>
        <w:tabs>
          <w:tab w:val="left" w:pos="851"/>
        </w:tabs>
        <w:ind w:left="851"/>
        <w:rPr>
          <w:sz w:val="24"/>
          <w:szCs w:val="24"/>
        </w:rPr>
      </w:pPr>
      <w:r w:rsidRPr="00B565EC">
        <w:rPr>
          <w:sz w:val="24"/>
          <w:szCs w:val="24"/>
        </w:rPr>
        <w:t>Den orale sprøjte består af et stempel fremstillet af polystyren med påtrykte gradueringer samt en sprøjtecylinder og stempelhoved begge fremstillet af lavdensitetspolyethylen. De orale sprøjter er mærket med 0,05 ml som delgradueringer og 0,25 ml som hovedgradueringer.</w:t>
      </w:r>
    </w:p>
    <w:p w14:paraId="5F8C9B74" w14:textId="77777777" w:rsidR="00B565EC" w:rsidRDefault="00B565EC" w:rsidP="00B565EC">
      <w:pPr>
        <w:tabs>
          <w:tab w:val="left" w:pos="851"/>
        </w:tabs>
        <w:ind w:left="851"/>
        <w:rPr>
          <w:sz w:val="24"/>
          <w:szCs w:val="24"/>
        </w:rPr>
      </w:pPr>
    </w:p>
    <w:p w14:paraId="3EE4A646" w14:textId="22DDCE8D" w:rsidR="00B565EC" w:rsidRPr="00B565EC" w:rsidRDefault="00B565EC" w:rsidP="00B565EC">
      <w:pPr>
        <w:tabs>
          <w:tab w:val="left" w:pos="851"/>
        </w:tabs>
        <w:ind w:left="851"/>
        <w:rPr>
          <w:sz w:val="24"/>
          <w:szCs w:val="24"/>
        </w:rPr>
      </w:pPr>
      <w:r>
        <w:rPr>
          <w:sz w:val="24"/>
          <w:szCs w:val="24"/>
        </w:rPr>
        <w:t>Ikke alle pakningsstørrelser er nødvendigvis markedsført.</w:t>
      </w:r>
    </w:p>
    <w:p w14:paraId="4B5AED67" w14:textId="77777777" w:rsidR="009260DE" w:rsidRPr="00C84483" w:rsidRDefault="009260DE" w:rsidP="009260DE">
      <w:pPr>
        <w:tabs>
          <w:tab w:val="left" w:pos="851"/>
        </w:tabs>
        <w:ind w:left="851"/>
        <w:rPr>
          <w:sz w:val="24"/>
          <w:szCs w:val="24"/>
        </w:rPr>
      </w:pPr>
    </w:p>
    <w:p w14:paraId="7A5262EE"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D2E63D8" w14:textId="77777777" w:rsidR="00B565EC" w:rsidRPr="00B565EC" w:rsidRDefault="00B565EC" w:rsidP="00B565EC">
      <w:pPr>
        <w:tabs>
          <w:tab w:val="left" w:pos="851"/>
        </w:tabs>
        <w:ind w:left="851"/>
        <w:rPr>
          <w:sz w:val="24"/>
          <w:szCs w:val="24"/>
        </w:rPr>
      </w:pPr>
    </w:p>
    <w:p w14:paraId="67B92783" w14:textId="76EEEF36" w:rsidR="00B565EC" w:rsidRPr="00B565EC" w:rsidRDefault="00B565EC" w:rsidP="00B565EC">
      <w:pPr>
        <w:tabs>
          <w:tab w:val="left" w:pos="851"/>
        </w:tabs>
        <w:ind w:left="851"/>
        <w:rPr>
          <w:sz w:val="24"/>
          <w:szCs w:val="24"/>
          <w:u w:val="single"/>
        </w:rPr>
      </w:pPr>
      <w:r w:rsidRPr="00B565EC">
        <w:rPr>
          <w:sz w:val="24"/>
          <w:szCs w:val="24"/>
          <w:u w:val="single"/>
        </w:rPr>
        <w:t>Forholdsregler, der skal tages før håndtering eller administration af lægemidlet</w:t>
      </w:r>
    </w:p>
    <w:p w14:paraId="452DC8D2" w14:textId="77777777" w:rsidR="00B565EC" w:rsidRPr="00B565EC" w:rsidRDefault="00B565EC" w:rsidP="00B565EC">
      <w:pPr>
        <w:numPr>
          <w:ilvl w:val="0"/>
          <w:numId w:val="7"/>
        </w:numPr>
        <w:tabs>
          <w:tab w:val="left" w:pos="851"/>
        </w:tabs>
        <w:ind w:left="1134" w:hanging="283"/>
        <w:rPr>
          <w:sz w:val="24"/>
          <w:szCs w:val="24"/>
        </w:rPr>
      </w:pPr>
      <w:r w:rsidRPr="00B565EC">
        <w:rPr>
          <w:sz w:val="24"/>
          <w:szCs w:val="24"/>
        </w:rPr>
        <w:t>Må ikke anvendes, hvis opløsningen er uklar (f.eks. grumset eller med hvide partikler).</w:t>
      </w:r>
    </w:p>
    <w:p w14:paraId="087E0047" w14:textId="77777777" w:rsidR="00B565EC" w:rsidRPr="00B565EC" w:rsidRDefault="00B565EC" w:rsidP="00B565EC">
      <w:pPr>
        <w:numPr>
          <w:ilvl w:val="0"/>
          <w:numId w:val="7"/>
        </w:numPr>
        <w:tabs>
          <w:tab w:val="left" w:pos="851"/>
        </w:tabs>
        <w:ind w:left="1134" w:hanging="283"/>
        <w:rPr>
          <w:sz w:val="24"/>
          <w:szCs w:val="24"/>
        </w:rPr>
      </w:pPr>
      <w:r w:rsidRPr="00B565EC">
        <w:rPr>
          <w:sz w:val="24"/>
          <w:szCs w:val="24"/>
        </w:rPr>
        <w:t>Der må ikke fastgøres kanyle eller anden enhed til den orale sprøjte.</w:t>
      </w:r>
    </w:p>
    <w:p w14:paraId="64DD4B0E" w14:textId="77777777" w:rsidR="00B565EC" w:rsidRPr="00B565EC" w:rsidRDefault="00B565EC" w:rsidP="00B565EC">
      <w:pPr>
        <w:numPr>
          <w:ilvl w:val="0"/>
          <w:numId w:val="7"/>
        </w:numPr>
        <w:tabs>
          <w:tab w:val="left" w:pos="851"/>
        </w:tabs>
        <w:ind w:left="1134" w:hanging="283"/>
        <w:rPr>
          <w:sz w:val="24"/>
          <w:szCs w:val="24"/>
        </w:rPr>
      </w:pPr>
      <w:r w:rsidRPr="00B565EC">
        <w:rPr>
          <w:sz w:val="24"/>
          <w:szCs w:val="24"/>
        </w:rPr>
        <w:t>Der skal udvises forsigtighed ved administration af produktet for at undgå risikoen for, at patienten kvæles.</w:t>
      </w:r>
    </w:p>
    <w:p w14:paraId="189538D2" w14:textId="77777777" w:rsidR="00B565EC" w:rsidRPr="00B565EC" w:rsidRDefault="00B565EC" w:rsidP="00B565EC">
      <w:pPr>
        <w:tabs>
          <w:tab w:val="left" w:pos="851"/>
        </w:tabs>
        <w:ind w:left="851"/>
        <w:rPr>
          <w:sz w:val="24"/>
          <w:szCs w:val="24"/>
        </w:rPr>
      </w:pPr>
    </w:p>
    <w:p w14:paraId="2FB196DF" w14:textId="77777777" w:rsidR="00B565EC" w:rsidRPr="00B565EC" w:rsidRDefault="00B565EC" w:rsidP="00B565EC">
      <w:pPr>
        <w:tabs>
          <w:tab w:val="left" w:pos="851"/>
        </w:tabs>
        <w:ind w:left="851"/>
        <w:rPr>
          <w:sz w:val="24"/>
          <w:szCs w:val="24"/>
        </w:rPr>
      </w:pPr>
      <w:r w:rsidRPr="00B565EC">
        <w:rPr>
          <w:sz w:val="24"/>
          <w:szCs w:val="24"/>
        </w:rPr>
        <w:t>Se nedenfor for anvisninger i, hvordan du indgiver lægemidlet.</w:t>
      </w:r>
    </w:p>
    <w:p w14:paraId="4AF5C6E6" w14:textId="77777777" w:rsidR="00B565EC" w:rsidRPr="00B565EC" w:rsidRDefault="00B565EC" w:rsidP="00B565EC">
      <w:pPr>
        <w:tabs>
          <w:tab w:val="left" w:pos="851"/>
        </w:tabs>
        <w:ind w:left="851"/>
        <w:rPr>
          <w:sz w:val="24"/>
          <w:szCs w:val="24"/>
        </w:rPr>
      </w:pPr>
    </w:p>
    <w:tbl>
      <w:tblPr>
        <w:tblW w:w="941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3600"/>
      </w:tblGrid>
      <w:tr w:rsidR="00B565EC" w:rsidRPr="00B565EC" w14:paraId="15C6B7E1" w14:textId="77777777" w:rsidTr="003C2714">
        <w:trPr>
          <w:trHeight w:val="2783"/>
        </w:trPr>
        <w:tc>
          <w:tcPr>
            <w:tcW w:w="5812" w:type="dxa"/>
            <w:tcBorders>
              <w:top w:val="single" w:sz="4" w:space="0" w:color="auto"/>
              <w:left w:val="single" w:sz="4" w:space="0" w:color="auto"/>
              <w:bottom w:val="single" w:sz="4" w:space="0" w:color="auto"/>
              <w:right w:val="single" w:sz="4" w:space="0" w:color="auto"/>
            </w:tcBorders>
            <w:hideMark/>
          </w:tcPr>
          <w:p w14:paraId="51DC2FE2" w14:textId="5988EF68" w:rsidR="00B565EC" w:rsidRPr="00B565EC" w:rsidRDefault="00B565EC" w:rsidP="003C2714">
            <w:pPr>
              <w:tabs>
                <w:tab w:val="left" w:pos="33"/>
              </w:tabs>
              <w:rPr>
                <w:sz w:val="24"/>
                <w:szCs w:val="24"/>
              </w:rPr>
            </w:pPr>
            <w:r w:rsidRPr="00B565EC">
              <w:rPr>
                <w:noProof/>
                <w:sz w:val="24"/>
                <w:szCs w:val="24"/>
              </w:rPr>
              <w:drawing>
                <wp:inline distT="0" distB="0" distL="0" distR="0" wp14:anchorId="026D9721" wp14:editId="38817597">
                  <wp:extent cx="1409700" cy="1860550"/>
                  <wp:effectExtent l="0" t="0" r="0" b="6350"/>
                  <wp:docPr id="1954680265"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t="9987" b="10141"/>
                          <a:stretch>
                            <a:fillRect/>
                          </a:stretch>
                        </pic:blipFill>
                        <pic:spPr bwMode="auto">
                          <a:xfrm>
                            <a:off x="0" y="0"/>
                            <a:ext cx="1409700" cy="1860550"/>
                          </a:xfrm>
                          <a:prstGeom prst="rect">
                            <a:avLst/>
                          </a:prstGeom>
                          <a:noFill/>
                          <a:ln>
                            <a:noFill/>
                          </a:ln>
                        </pic:spPr>
                      </pic:pic>
                    </a:graphicData>
                  </a:graphic>
                </wp:inline>
              </w:drawing>
            </w:r>
          </w:p>
        </w:tc>
        <w:tc>
          <w:tcPr>
            <w:tcW w:w="3600" w:type="dxa"/>
            <w:tcBorders>
              <w:top w:val="single" w:sz="4" w:space="0" w:color="auto"/>
              <w:left w:val="single" w:sz="4" w:space="0" w:color="auto"/>
              <w:bottom w:val="single" w:sz="4" w:space="0" w:color="auto"/>
              <w:right w:val="single" w:sz="4" w:space="0" w:color="auto"/>
            </w:tcBorders>
          </w:tcPr>
          <w:p w14:paraId="0725D223" w14:textId="77777777" w:rsidR="00B565EC" w:rsidRPr="00B565EC" w:rsidRDefault="00B565EC" w:rsidP="003C2714">
            <w:pPr>
              <w:ind w:left="97"/>
              <w:rPr>
                <w:sz w:val="24"/>
                <w:szCs w:val="24"/>
              </w:rPr>
            </w:pPr>
          </w:p>
          <w:p w14:paraId="50FB44CE" w14:textId="77777777" w:rsidR="00B565EC" w:rsidRPr="00B565EC" w:rsidRDefault="00B565EC" w:rsidP="003C2714">
            <w:pPr>
              <w:ind w:left="97"/>
              <w:rPr>
                <w:b/>
                <w:bCs/>
                <w:sz w:val="24"/>
                <w:szCs w:val="24"/>
              </w:rPr>
            </w:pPr>
            <w:r w:rsidRPr="00B565EC">
              <w:rPr>
                <w:b/>
                <w:sz w:val="24"/>
                <w:szCs w:val="24"/>
              </w:rPr>
              <w:t>Trin 1.</w:t>
            </w:r>
          </w:p>
          <w:p w14:paraId="528B8699" w14:textId="77777777" w:rsidR="00B565EC" w:rsidRPr="00B565EC" w:rsidRDefault="00B565EC" w:rsidP="003C2714">
            <w:pPr>
              <w:ind w:left="97"/>
              <w:rPr>
                <w:sz w:val="24"/>
                <w:szCs w:val="24"/>
              </w:rPr>
            </w:pPr>
          </w:p>
          <w:p w14:paraId="4DB78DC6" w14:textId="77777777" w:rsidR="00B565EC" w:rsidRPr="00B565EC" w:rsidRDefault="00B565EC" w:rsidP="003C2714">
            <w:pPr>
              <w:ind w:left="97"/>
              <w:rPr>
                <w:sz w:val="24"/>
                <w:szCs w:val="24"/>
              </w:rPr>
            </w:pPr>
            <w:r w:rsidRPr="00B565EC">
              <w:rPr>
                <w:sz w:val="24"/>
                <w:szCs w:val="24"/>
              </w:rPr>
              <w:t>Åbn flasken ved at trykke nedad og dreje på hætten.</w:t>
            </w:r>
          </w:p>
        </w:tc>
      </w:tr>
      <w:tr w:rsidR="00B565EC" w:rsidRPr="00B565EC" w14:paraId="241FAB47" w14:textId="77777777" w:rsidTr="003C2714">
        <w:trPr>
          <w:trHeight w:val="3766"/>
        </w:trPr>
        <w:tc>
          <w:tcPr>
            <w:tcW w:w="5812" w:type="dxa"/>
            <w:tcBorders>
              <w:top w:val="single" w:sz="4" w:space="0" w:color="auto"/>
              <w:left w:val="single" w:sz="4" w:space="0" w:color="auto"/>
              <w:bottom w:val="single" w:sz="4" w:space="0" w:color="auto"/>
              <w:right w:val="single" w:sz="4" w:space="0" w:color="auto"/>
            </w:tcBorders>
            <w:hideMark/>
          </w:tcPr>
          <w:p w14:paraId="0388E924" w14:textId="29293879" w:rsidR="00B565EC" w:rsidRPr="00B565EC" w:rsidRDefault="00B565EC" w:rsidP="003C2714">
            <w:pPr>
              <w:tabs>
                <w:tab w:val="left" w:pos="3151"/>
              </w:tabs>
              <w:ind w:left="851"/>
              <w:rPr>
                <w:sz w:val="24"/>
                <w:szCs w:val="24"/>
              </w:rPr>
            </w:pPr>
            <w:r w:rsidRPr="00B565EC">
              <w:rPr>
                <w:noProof/>
                <w:sz w:val="24"/>
                <w:szCs w:val="24"/>
              </w:rPr>
              <w:drawing>
                <wp:inline distT="0" distB="0" distL="0" distR="0" wp14:anchorId="414B6DE2" wp14:editId="371B30BB">
                  <wp:extent cx="1250950" cy="2514600"/>
                  <wp:effectExtent l="0" t="0" r="6350" b="0"/>
                  <wp:docPr id="59556795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0950" cy="2514600"/>
                          </a:xfrm>
                          <a:prstGeom prst="rect">
                            <a:avLst/>
                          </a:prstGeom>
                          <a:noFill/>
                          <a:ln>
                            <a:noFill/>
                          </a:ln>
                        </pic:spPr>
                      </pic:pic>
                    </a:graphicData>
                  </a:graphic>
                </wp:inline>
              </w:drawing>
            </w:r>
            <w:r w:rsidRPr="00B565EC">
              <w:rPr>
                <w:sz w:val="24"/>
                <w:szCs w:val="24"/>
              </w:rPr>
              <w:t xml:space="preserve">           </w:t>
            </w:r>
            <w:r w:rsidRPr="00B565EC">
              <w:rPr>
                <w:noProof/>
                <w:sz w:val="24"/>
                <w:szCs w:val="24"/>
              </w:rPr>
              <w:drawing>
                <wp:inline distT="0" distB="0" distL="0" distR="0" wp14:anchorId="05C346FB" wp14:editId="65BCAE84">
                  <wp:extent cx="1149350" cy="2343150"/>
                  <wp:effectExtent l="0" t="0" r="0" b="0"/>
                  <wp:docPr id="2052891615"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9350" cy="2343150"/>
                          </a:xfrm>
                          <a:prstGeom prst="rect">
                            <a:avLst/>
                          </a:prstGeom>
                          <a:noFill/>
                          <a:ln>
                            <a:noFill/>
                          </a:ln>
                        </pic:spPr>
                      </pic:pic>
                    </a:graphicData>
                  </a:graphic>
                </wp:inline>
              </w:drawing>
            </w:r>
          </w:p>
        </w:tc>
        <w:tc>
          <w:tcPr>
            <w:tcW w:w="3600" w:type="dxa"/>
            <w:tcBorders>
              <w:top w:val="single" w:sz="4" w:space="0" w:color="auto"/>
              <w:left w:val="single" w:sz="4" w:space="0" w:color="auto"/>
              <w:bottom w:val="single" w:sz="4" w:space="0" w:color="auto"/>
              <w:right w:val="single" w:sz="4" w:space="0" w:color="auto"/>
            </w:tcBorders>
          </w:tcPr>
          <w:p w14:paraId="3664B89C" w14:textId="77777777" w:rsidR="00B565EC" w:rsidRPr="00B565EC" w:rsidRDefault="00B565EC" w:rsidP="003C2714">
            <w:pPr>
              <w:ind w:left="97"/>
              <w:rPr>
                <w:sz w:val="24"/>
                <w:szCs w:val="24"/>
              </w:rPr>
            </w:pPr>
          </w:p>
          <w:p w14:paraId="510B0ACB" w14:textId="77777777" w:rsidR="00B565EC" w:rsidRPr="00B565EC" w:rsidRDefault="00B565EC" w:rsidP="003C2714">
            <w:pPr>
              <w:ind w:left="97"/>
              <w:rPr>
                <w:b/>
                <w:bCs/>
                <w:sz w:val="24"/>
                <w:szCs w:val="24"/>
              </w:rPr>
            </w:pPr>
            <w:r w:rsidRPr="00B565EC">
              <w:rPr>
                <w:b/>
                <w:sz w:val="24"/>
                <w:szCs w:val="24"/>
              </w:rPr>
              <w:t>Trin 2.</w:t>
            </w:r>
          </w:p>
          <w:p w14:paraId="2FA9EA95" w14:textId="77777777" w:rsidR="00B565EC" w:rsidRPr="00B565EC" w:rsidRDefault="00B565EC" w:rsidP="003C2714">
            <w:pPr>
              <w:ind w:left="97"/>
              <w:rPr>
                <w:sz w:val="24"/>
                <w:szCs w:val="24"/>
              </w:rPr>
            </w:pPr>
          </w:p>
          <w:p w14:paraId="249931FE" w14:textId="77777777" w:rsidR="00B565EC" w:rsidRPr="00B565EC" w:rsidRDefault="00B565EC" w:rsidP="003C2714">
            <w:pPr>
              <w:ind w:left="97"/>
              <w:rPr>
                <w:sz w:val="24"/>
                <w:szCs w:val="24"/>
              </w:rPr>
            </w:pPr>
            <w:r w:rsidRPr="00B565EC">
              <w:rPr>
                <w:sz w:val="24"/>
                <w:szCs w:val="24"/>
              </w:rPr>
              <w:t>Sæt sprøjten i adapteren, og vend derefter flasken på hovedet.</w:t>
            </w:r>
          </w:p>
        </w:tc>
      </w:tr>
      <w:tr w:rsidR="00B565EC" w:rsidRPr="00B565EC" w14:paraId="5CAD8D84" w14:textId="77777777" w:rsidTr="003C2714">
        <w:trPr>
          <w:trHeight w:val="3779"/>
        </w:trPr>
        <w:tc>
          <w:tcPr>
            <w:tcW w:w="5812" w:type="dxa"/>
            <w:tcBorders>
              <w:top w:val="single" w:sz="4" w:space="0" w:color="auto"/>
              <w:left w:val="single" w:sz="4" w:space="0" w:color="auto"/>
              <w:bottom w:val="single" w:sz="4" w:space="0" w:color="auto"/>
              <w:right w:val="single" w:sz="4" w:space="0" w:color="auto"/>
            </w:tcBorders>
            <w:hideMark/>
          </w:tcPr>
          <w:p w14:paraId="6DFA79A3" w14:textId="7AD4F26F" w:rsidR="00B565EC" w:rsidRPr="00B565EC" w:rsidRDefault="00B565EC" w:rsidP="003C2714">
            <w:pPr>
              <w:tabs>
                <w:tab w:val="left" w:pos="1309"/>
              </w:tabs>
              <w:ind w:left="851"/>
              <w:rPr>
                <w:sz w:val="24"/>
                <w:szCs w:val="24"/>
              </w:rPr>
            </w:pPr>
            <w:r w:rsidRPr="00B565EC">
              <w:rPr>
                <w:noProof/>
                <w:sz w:val="24"/>
                <w:szCs w:val="24"/>
              </w:rPr>
              <w:lastRenderedPageBreak/>
              <w:drawing>
                <wp:inline distT="0" distB="0" distL="0" distR="0" wp14:anchorId="2F86C76D" wp14:editId="050062A4">
                  <wp:extent cx="1219200" cy="2514600"/>
                  <wp:effectExtent l="0" t="0" r="0" b="0"/>
                  <wp:docPr id="1696213100"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2514600"/>
                          </a:xfrm>
                          <a:prstGeom prst="rect">
                            <a:avLst/>
                          </a:prstGeom>
                          <a:noFill/>
                          <a:ln>
                            <a:noFill/>
                          </a:ln>
                        </pic:spPr>
                      </pic:pic>
                    </a:graphicData>
                  </a:graphic>
                </wp:inline>
              </w:drawing>
            </w:r>
            <w:r w:rsidRPr="00B565EC">
              <w:rPr>
                <w:sz w:val="24"/>
                <w:szCs w:val="24"/>
              </w:rPr>
              <w:t xml:space="preserve">           </w:t>
            </w:r>
            <w:r w:rsidRPr="00B565EC">
              <w:rPr>
                <w:noProof/>
                <w:sz w:val="24"/>
                <w:szCs w:val="24"/>
              </w:rPr>
              <w:drawing>
                <wp:inline distT="0" distB="0" distL="0" distR="0" wp14:anchorId="609D7BEF" wp14:editId="79071949">
                  <wp:extent cx="1276350" cy="2565400"/>
                  <wp:effectExtent l="0" t="0" r="0" b="6350"/>
                  <wp:docPr id="103111423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3473" t="2888" r="3473"/>
                          <a:stretch>
                            <a:fillRect/>
                          </a:stretch>
                        </pic:blipFill>
                        <pic:spPr bwMode="auto">
                          <a:xfrm>
                            <a:off x="0" y="0"/>
                            <a:ext cx="1276350" cy="2565400"/>
                          </a:xfrm>
                          <a:prstGeom prst="rect">
                            <a:avLst/>
                          </a:prstGeom>
                          <a:noFill/>
                          <a:ln>
                            <a:noFill/>
                          </a:ln>
                        </pic:spPr>
                      </pic:pic>
                    </a:graphicData>
                  </a:graphic>
                </wp:inline>
              </w:drawing>
            </w:r>
          </w:p>
        </w:tc>
        <w:tc>
          <w:tcPr>
            <w:tcW w:w="3600" w:type="dxa"/>
            <w:tcBorders>
              <w:top w:val="single" w:sz="4" w:space="0" w:color="auto"/>
              <w:left w:val="single" w:sz="4" w:space="0" w:color="auto"/>
              <w:bottom w:val="single" w:sz="4" w:space="0" w:color="auto"/>
              <w:right w:val="single" w:sz="4" w:space="0" w:color="auto"/>
            </w:tcBorders>
          </w:tcPr>
          <w:p w14:paraId="3D1960EB" w14:textId="77777777" w:rsidR="00B565EC" w:rsidRPr="00B565EC" w:rsidRDefault="00B565EC" w:rsidP="003C2714">
            <w:pPr>
              <w:ind w:left="97"/>
              <w:rPr>
                <w:sz w:val="24"/>
                <w:szCs w:val="24"/>
              </w:rPr>
            </w:pPr>
          </w:p>
          <w:p w14:paraId="11A7F735" w14:textId="77777777" w:rsidR="00B565EC" w:rsidRPr="00B565EC" w:rsidRDefault="00B565EC" w:rsidP="003C2714">
            <w:pPr>
              <w:ind w:left="97"/>
              <w:rPr>
                <w:b/>
                <w:bCs/>
                <w:sz w:val="24"/>
                <w:szCs w:val="24"/>
              </w:rPr>
            </w:pPr>
            <w:r w:rsidRPr="00B565EC">
              <w:rPr>
                <w:b/>
                <w:sz w:val="24"/>
                <w:szCs w:val="24"/>
              </w:rPr>
              <w:t>Trin 3.</w:t>
            </w:r>
          </w:p>
          <w:p w14:paraId="73C36BF1" w14:textId="77777777" w:rsidR="00B565EC" w:rsidRPr="00B565EC" w:rsidRDefault="00B565EC" w:rsidP="003C2714">
            <w:pPr>
              <w:ind w:left="97"/>
              <w:rPr>
                <w:sz w:val="24"/>
                <w:szCs w:val="24"/>
              </w:rPr>
            </w:pPr>
          </w:p>
          <w:p w14:paraId="2B10E587" w14:textId="77777777" w:rsidR="00B565EC" w:rsidRPr="00B565EC" w:rsidRDefault="00B565EC" w:rsidP="003C2714">
            <w:pPr>
              <w:ind w:left="97"/>
              <w:rPr>
                <w:sz w:val="24"/>
                <w:szCs w:val="24"/>
              </w:rPr>
            </w:pPr>
            <w:r w:rsidRPr="00B565EC">
              <w:rPr>
                <w:sz w:val="24"/>
                <w:szCs w:val="24"/>
              </w:rPr>
              <w:t>Træk den nødvendige mængde væske ud af den omvendte flaske.</w:t>
            </w:r>
          </w:p>
          <w:p w14:paraId="424231F4" w14:textId="77777777" w:rsidR="00B565EC" w:rsidRPr="00B565EC" w:rsidRDefault="00B565EC" w:rsidP="003C2714">
            <w:pPr>
              <w:ind w:left="97"/>
              <w:rPr>
                <w:sz w:val="24"/>
                <w:szCs w:val="24"/>
              </w:rPr>
            </w:pPr>
          </w:p>
          <w:p w14:paraId="0083232E" w14:textId="77777777" w:rsidR="00B565EC" w:rsidRPr="00B565EC" w:rsidRDefault="00B565EC" w:rsidP="003C2714">
            <w:pPr>
              <w:ind w:left="97"/>
              <w:rPr>
                <w:sz w:val="24"/>
                <w:szCs w:val="24"/>
              </w:rPr>
            </w:pPr>
            <w:r w:rsidRPr="00B565EC">
              <w:rPr>
                <w:sz w:val="24"/>
                <w:szCs w:val="24"/>
              </w:rPr>
              <w:t>Sæt flasken tilbage i oprejst position, og fjern den fyldte sprøjte fra adapteren.</w:t>
            </w:r>
          </w:p>
          <w:p w14:paraId="41E93E67" w14:textId="77777777" w:rsidR="00B565EC" w:rsidRPr="00B565EC" w:rsidRDefault="00B565EC" w:rsidP="003C2714">
            <w:pPr>
              <w:ind w:left="97"/>
              <w:rPr>
                <w:sz w:val="24"/>
                <w:szCs w:val="24"/>
              </w:rPr>
            </w:pPr>
          </w:p>
          <w:p w14:paraId="2C0BD315" w14:textId="77777777" w:rsidR="00B565EC" w:rsidRPr="00B565EC" w:rsidRDefault="00B565EC" w:rsidP="003C2714">
            <w:pPr>
              <w:ind w:left="97"/>
              <w:rPr>
                <w:sz w:val="24"/>
                <w:szCs w:val="24"/>
              </w:rPr>
            </w:pPr>
            <w:r w:rsidRPr="00B565EC">
              <w:rPr>
                <w:sz w:val="24"/>
                <w:szCs w:val="24"/>
              </w:rPr>
              <w:t>Tryk ikke på stemplet før indgivelse til patienten.</w:t>
            </w:r>
          </w:p>
        </w:tc>
      </w:tr>
      <w:tr w:rsidR="00B565EC" w:rsidRPr="00B565EC" w14:paraId="5263D688" w14:textId="77777777" w:rsidTr="003C2714">
        <w:trPr>
          <w:trHeight w:val="3040"/>
        </w:trPr>
        <w:tc>
          <w:tcPr>
            <w:tcW w:w="5812" w:type="dxa"/>
            <w:tcBorders>
              <w:top w:val="single" w:sz="4" w:space="0" w:color="auto"/>
              <w:left w:val="single" w:sz="4" w:space="0" w:color="auto"/>
              <w:bottom w:val="single" w:sz="4" w:space="0" w:color="auto"/>
              <w:right w:val="single" w:sz="4" w:space="0" w:color="auto"/>
            </w:tcBorders>
            <w:hideMark/>
          </w:tcPr>
          <w:p w14:paraId="091AE656" w14:textId="19AF9D9E" w:rsidR="00B565EC" w:rsidRPr="00B565EC" w:rsidRDefault="00B565EC" w:rsidP="003C2714">
            <w:pPr>
              <w:tabs>
                <w:tab w:val="left" w:pos="1309"/>
              </w:tabs>
              <w:ind w:left="851"/>
              <w:rPr>
                <w:sz w:val="24"/>
                <w:szCs w:val="24"/>
              </w:rPr>
            </w:pPr>
            <w:r w:rsidRPr="00B565EC">
              <w:rPr>
                <w:noProof/>
                <w:sz w:val="24"/>
                <w:szCs w:val="24"/>
              </w:rPr>
              <w:drawing>
                <wp:inline distT="0" distB="0" distL="0" distR="0" wp14:anchorId="14A869C7" wp14:editId="31335779">
                  <wp:extent cx="2533650" cy="1911350"/>
                  <wp:effectExtent l="0" t="0" r="0" b="0"/>
                  <wp:docPr id="1459806423"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1911350"/>
                          </a:xfrm>
                          <a:prstGeom prst="rect">
                            <a:avLst/>
                          </a:prstGeom>
                          <a:noFill/>
                          <a:ln>
                            <a:noFill/>
                          </a:ln>
                        </pic:spPr>
                      </pic:pic>
                    </a:graphicData>
                  </a:graphic>
                </wp:inline>
              </w:drawing>
            </w:r>
          </w:p>
        </w:tc>
        <w:tc>
          <w:tcPr>
            <w:tcW w:w="3600" w:type="dxa"/>
            <w:tcBorders>
              <w:top w:val="single" w:sz="4" w:space="0" w:color="auto"/>
              <w:left w:val="single" w:sz="4" w:space="0" w:color="auto"/>
              <w:bottom w:val="single" w:sz="4" w:space="0" w:color="auto"/>
              <w:right w:val="single" w:sz="4" w:space="0" w:color="auto"/>
            </w:tcBorders>
          </w:tcPr>
          <w:p w14:paraId="68031B80" w14:textId="77777777" w:rsidR="00B565EC" w:rsidRPr="00B565EC" w:rsidRDefault="00B565EC" w:rsidP="003C2714">
            <w:pPr>
              <w:ind w:left="97"/>
              <w:rPr>
                <w:b/>
                <w:bCs/>
                <w:sz w:val="24"/>
                <w:szCs w:val="24"/>
              </w:rPr>
            </w:pPr>
          </w:p>
          <w:p w14:paraId="5A42E86C" w14:textId="77777777" w:rsidR="00B565EC" w:rsidRPr="00B565EC" w:rsidRDefault="00B565EC" w:rsidP="003C2714">
            <w:pPr>
              <w:ind w:left="97"/>
              <w:rPr>
                <w:sz w:val="24"/>
                <w:szCs w:val="24"/>
              </w:rPr>
            </w:pPr>
            <w:r w:rsidRPr="00B565EC">
              <w:rPr>
                <w:b/>
                <w:sz w:val="24"/>
                <w:szCs w:val="24"/>
              </w:rPr>
              <w:t>Trin 4.</w:t>
            </w:r>
          </w:p>
          <w:p w14:paraId="53DB58CA" w14:textId="77777777" w:rsidR="00B565EC" w:rsidRPr="00B565EC" w:rsidRDefault="00B565EC" w:rsidP="003C2714">
            <w:pPr>
              <w:ind w:left="97"/>
              <w:rPr>
                <w:sz w:val="24"/>
                <w:szCs w:val="24"/>
              </w:rPr>
            </w:pPr>
            <w:r w:rsidRPr="00B565EC">
              <w:rPr>
                <w:sz w:val="24"/>
                <w:szCs w:val="24"/>
              </w:rPr>
              <w:t>Klem forsigtigt om patientens kind med tommel- og pegefingeren, og træk kinden bagud. Anbring spidsen af sprøjten bagest i hulrummet mellem indersiden af kinden og det nedre tandkød (det bukkale hulrum).</w:t>
            </w:r>
          </w:p>
          <w:p w14:paraId="20EA2A41" w14:textId="77777777" w:rsidR="00B565EC" w:rsidRPr="00B565EC" w:rsidRDefault="00B565EC" w:rsidP="003C2714">
            <w:pPr>
              <w:ind w:left="97"/>
              <w:rPr>
                <w:sz w:val="24"/>
                <w:szCs w:val="24"/>
              </w:rPr>
            </w:pPr>
          </w:p>
        </w:tc>
      </w:tr>
      <w:tr w:rsidR="00B565EC" w:rsidRPr="00B565EC" w14:paraId="4E24C81F" w14:textId="77777777" w:rsidTr="003C2714">
        <w:trPr>
          <w:trHeight w:val="2684"/>
        </w:trPr>
        <w:tc>
          <w:tcPr>
            <w:tcW w:w="5812" w:type="dxa"/>
            <w:tcBorders>
              <w:top w:val="single" w:sz="4" w:space="0" w:color="auto"/>
              <w:left w:val="single" w:sz="4" w:space="0" w:color="auto"/>
              <w:bottom w:val="single" w:sz="4" w:space="0" w:color="auto"/>
              <w:right w:val="single" w:sz="4" w:space="0" w:color="auto"/>
            </w:tcBorders>
            <w:hideMark/>
          </w:tcPr>
          <w:p w14:paraId="5B29EDDB" w14:textId="27551DAB" w:rsidR="00B565EC" w:rsidRPr="00B565EC" w:rsidRDefault="00B565EC" w:rsidP="003C2714">
            <w:pPr>
              <w:tabs>
                <w:tab w:val="left" w:pos="1309"/>
              </w:tabs>
              <w:ind w:left="851"/>
              <w:rPr>
                <w:sz w:val="24"/>
                <w:szCs w:val="24"/>
              </w:rPr>
            </w:pPr>
            <w:r w:rsidRPr="00B565EC">
              <w:rPr>
                <w:noProof/>
                <w:sz w:val="24"/>
                <w:szCs w:val="24"/>
              </w:rPr>
              <w:drawing>
                <wp:inline distT="0" distB="0" distL="0" distR="0" wp14:anchorId="1BEEA4A1" wp14:editId="47E495D6">
                  <wp:extent cx="2603500" cy="2025650"/>
                  <wp:effectExtent l="0" t="0" r="6350" b="0"/>
                  <wp:docPr id="63251616"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3500" cy="2025650"/>
                          </a:xfrm>
                          <a:prstGeom prst="rect">
                            <a:avLst/>
                          </a:prstGeom>
                          <a:noFill/>
                          <a:ln>
                            <a:noFill/>
                          </a:ln>
                        </pic:spPr>
                      </pic:pic>
                    </a:graphicData>
                  </a:graphic>
                </wp:inline>
              </w:drawing>
            </w:r>
          </w:p>
        </w:tc>
        <w:tc>
          <w:tcPr>
            <w:tcW w:w="3600" w:type="dxa"/>
            <w:tcBorders>
              <w:top w:val="single" w:sz="4" w:space="0" w:color="auto"/>
              <w:left w:val="single" w:sz="4" w:space="0" w:color="auto"/>
              <w:bottom w:val="single" w:sz="4" w:space="0" w:color="auto"/>
              <w:right w:val="single" w:sz="4" w:space="0" w:color="auto"/>
            </w:tcBorders>
          </w:tcPr>
          <w:p w14:paraId="7296CB37" w14:textId="77777777" w:rsidR="00B565EC" w:rsidRPr="00B565EC" w:rsidRDefault="00B565EC" w:rsidP="003C2714">
            <w:pPr>
              <w:ind w:left="97"/>
              <w:rPr>
                <w:b/>
                <w:bCs/>
                <w:sz w:val="24"/>
                <w:szCs w:val="24"/>
              </w:rPr>
            </w:pPr>
          </w:p>
          <w:p w14:paraId="1DFEE2F6" w14:textId="77777777" w:rsidR="00B565EC" w:rsidRPr="00B565EC" w:rsidRDefault="00B565EC" w:rsidP="003C2714">
            <w:pPr>
              <w:ind w:left="97"/>
              <w:rPr>
                <w:b/>
                <w:bCs/>
                <w:sz w:val="24"/>
                <w:szCs w:val="24"/>
              </w:rPr>
            </w:pPr>
            <w:r w:rsidRPr="00B565EC">
              <w:rPr>
                <w:b/>
                <w:sz w:val="24"/>
                <w:szCs w:val="24"/>
              </w:rPr>
              <w:t>Trin 5.</w:t>
            </w:r>
          </w:p>
          <w:p w14:paraId="5655B316" w14:textId="77777777" w:rsidR="00B565EC" w:rsidRPr="00B565EC" w:rsidRDefault="00B565EC" w:rsidP="003C2714">
            <w:pPr>
              <w:ind w:left="97"/>
              <w:rPr>
                <w:b/>
                <w:bCs/>
                <w:sz w:val="24"/>
                <w:szCs w:val="24"/>
              </w:rPr>
            </w:pPr>
          </w:p>
          <w:p w14:paraId="6FA2A870" w14:textId="0C78B7C5" w:rsidR="00B565EC" w:rsidRPr="00B565EC" w:rsidRDefault="00B565EC" w:rsidP="003C2714">
            <w:pPr>
              <w:ind w:left="97"/>
              <w:rPr>
                <w:sz w:val="24"/>
                <w:szCs w:val="24"/>
              </w:rPr>
            </w:pPr>
            <w:r w:rsidRPr="00B565EC">
              <w:rPr>
                <w:sz w:val="24"/>
                <w:szCs w:val="24"/>
              </w:rPr>
              <w:t>Indgiv langsomt cirka halvdelen af opløsningen i hulrummet i den ene side af munden, og indgiv derefter resten langsomt i den anden side ved at presse sprøjtestemplet i bund. Hvis det er særligt vanskeligt at få sprøjten ind i et af de bukkale hulrum, kan hele dosis indgives i det andet bukkale hulrum i løbet af 4</w:t>
            </w:r>
            <w:r w:rsidRPr="00B565EC">
              <w:rPr>
                <w:sz w:val="24"/>
                <w:szCs w:val="24"/>
              </w:rPr>
              <w:noBreakHyphen/>
              <w:t>5 sekunder. Sæt hætten på flasken igen efter brug. Skyl sprøjten med vand, og lad den lufttørre med henblik på genbrug. Brug separate sprøjter til hver patient. Brug ikke den samme sprøjte til flere patienter.</w:t>
            </w:r>
          </w:p>
        </w:tc>
      </w:tr>
    </w:tbl>
    <w:p w14:paraId="741E3BC7" w14:textId="77777777" w:rsidR="00B565EC" w:rsidRPr="00B565EC" w:rsidRDefault="00B565EC" w:rsidP="00B565EC">
      <w:pPr>
        <w:tabs>
          <w:tab w:val="left" w:pos="851"/>
        </w:tabs>
        <w:ind w:left="851"/>
        <w:rPr>
          <w:sz w:val="24"/>
          <w:szCs w:val="24"/>
        </w:rPr>
      </w:pPr>
    </w:p>
    <w:p w14:paraId="46E83E6C" w14:textId="77777777" w:rsidR="00B565EC" w:rsidRPr="00B565EC" w:rsidRDefault="00B565EC" w:rsidP="00B565EC">
      <w:pPr>
        <w:tabs>
          <w:tab w:val="left" w:pos="851"/>
        </w:tabs>
        <w:ind w:left="851"/>
        <w:rPr>
          <w:sz w:val="24"/>
          <w:szCs w:val="24"/>
        </w:rPr>
      </w:pPr>
      <w:r w:rsidRPr="00B565EC">
        <w:rPr>
          <w:sz w:val="24"/>
          <w:szCs w:val="24"/>
        </w:rPr>
        <w:t>Ikke anvendt lægemiddel samt affald heraf skal bortskaffes i henhold til lokale retningslinjer.</w:t>
      </w:r>
    </w:p>
    <w:p w14:paraId="56AF9C42" w14:textId="77777777" w:rsidR="00B565EC" w:rsidRPr="00B565EC" w:rsidRDefault="00B565EC" w:rsidP="00B565EC">
      <w:pPr>
        <w:tabs>
          <w:tab w:val="left" w:pos="851"/>
        </w:tabs>
        <w:ind w:left="851"/>
        <w:rPr>
          <w:sz w:val="24"/>
          <w:szCs w:val="24"/>
        </w:rPr>
      </w:pPr>
    </w:p>
    <w:p w14:paraId="2A0A86D1" w14:textId="77777777" w:rsidR="00B565EC" w:rsidRPr="00B565EC" w:rsidRDefault="00B565EC" w:rsidP="00B565EC">
      <w:pPr>
        <w:tabs>
          <w:tab w:val="left" w:pos="851"/>
        </w:tabs>
        <w:ind w:left="851"/>
        <w:rPr>
          <w:sz w:val="24"/>
          <w:szCs w:val="24"/>
        </w:rPr>
      </w:pPr>
    </w:p>
    <w:p w14:paraId="2CC625C9" w14:textId="77777777" w:rsidR="009260DE" w:rsidRPr="00C84483" w:rsidRDefault="009260DE" w:rsidP="000730CA">
      <w:pPr>
        <w:tabs>
          <w:tab w:val="left" w:pos="851"/>
        </w:tabs>
        <w:ind w:left="851"/>
        <w:rPr>
          <w:sz w:val="24"/>
          <w:szCs w:val="24"/>
        </w:rPr>
      </w:pPr>
    </w:p>
    <w:p w14:paraId="48A46896"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65964E2F" w14:textId="77777777" w:rsidR="004836E6" w:rsidRPr="0098738F" w:rsidRDefault="004836E6" w:rsidP="004836E6">
      <w:pPr>
        <w:tabs>
          <w:tab w:val="left" w:pos="851"/>
        </w:tabs>
        <w:ind w:left="851"/>
        <w:rPr>
          <w:sz w:val="24"/>
          <w:szCs w:val="24"/>
        </w:rPr>
      </w:pPr>
      <w:r w:rsidRPr="0098738F">
        <w:rPr>
          <w:sz w:val="24"/>
          <w:szCs w:val="24"/>
        </w:rPr>
        <w:t>SERB S.A.</w:t>
      </w:r>
    </w:p>
    <w:p w14:paraId="52425B48" w14:textId="77777777" w:rsidR="004836E6" w:rsidRPr="0098738F" w:rsidRDefault="004836E6" w:rsidP="004836E6">
      <w:pPr>
        <w:tabs>
          <w:tab w:val="left" w:pos="851"/>
        </w:tabs>
        <w:ind w:left="851"/>
        <w:rPr>
          <w:sz w:val="24"/>
          <w:szCs w:val="24"/>
        </w:rPr>
      </w:pPr>
      <w:r w:rsidRPr="0098738F">
        <w:rPr>
          <w:sz w:val="24"/>
          <w:szCs w:val="24"/>
        </w:rPr>
        <w:t>Avenue Louise 480</w:t>
      </w:r>
    </w:p>
    <w:p w14:paraId="56B4BCCF" w14:textId="77777777" w:rsidR="004836E6" w:rsidRPr="004836E6" w:rsidRDefault="004836E6" w:rsidP="004836E6">
      <w:pPr>
        <w:tabs>
          <w:tab w:val="left" w:pos="851"/>
        </w:tabs>
        <w:ind w:left="851"/>
        <w:rPr>
          <w:sz w:val="24"/>
          <w:szCs w:val="24"/>
        </w:rPr>
      </w:pPr>
      <w:r w:rsidRPr="004836E6">
        <w:rPr>
          <w:sz w:val="24"/>
          <w:szCs w:val="24"/>
        </w:rPr>
        <w:t>1050 Bruxelles</w:t>
      </w:r>
    </w:p>
    <w:p w14:paraId="6EBC415D" w14:textId="77777777" w:rsidR="004836E6" w:rsidRPr="004836E6" w:rsidRDefault="004836E6" w:rsidP="004836E6">
      <w:pPr>
        <w:tabs>
          <w:tab w:val="left" w:pos="851"/>
        </w:tabs>
        <w:ind w:left="851"/>
        <w:rPr>
          <w:sz w:val="24"/>
          <w:szCs w:val="24"/>
        </w:rPr>
      </w:pPr>
      <w:r w:rsidRPr="004836E6">
        <w:rPr>
          <w:sz w:val="24"/>
          <w:szCs w:val="24"/>
        </w:rPr>
        <w:t>Belgien</w:t>
      </w:r>
    </w:p>
    <w:p w14:paraId="5C0D1444" w14:textId="77777777" w:rsidR="00641C65" w:rsidRPr="00641C65" w:rsidRDefault="00641C65" w:rsidP="009260DE">
      <w:pPr>
        <w:tabs>
          <w:tab w:val="left" w:pos="851"/>
        </w:tabs>
        <w:ind w:left="851"/>
        <w:rPr>
          <w:sz w:val="24"/>
          <w:szCs w:val="24"/>
        </w:rPr>
      </w:pPr>
    </w:p>
    <w:p w14:paraId="7CCF5C2D"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A1024A2" w14:textId="02A9632B" w:rsidR="009260DE" w:rsidRPr="00C84483" w:rsidRDefault="003C2714" w:rsidP="009260DE">
      <w:pPr>
        <w:tabs>
          <w:tab w:val="left" w:pos="851"/>
        </w:tabs>
        <w:ind w:left="851"/>
        <w:rPr>
          <w:sz w:val="24"/>
          <w:szCs w:val="24"/>
        </w:rPr>
      </w:pPr>
      <w:r>
        <w:rPr>
          <w:sz w:val="24"/>
          <w:szCs w:val="24"/>
        </w:rPr>
        <w:t>73410</w:t>
      </w:r>
    </w:p>
    <w:p w14:paraId="185A1F1D" w14:textId="77777777" w:rsidR="009260DE" w:rsidRPr="00C84483" w:rsidRDefault="009260DE" w:rsidP="009260DE">
      <w:pPr>
        <w:tabs>
          <w:tab w:val="left" w:pos="851"/>
        </w:tabs>
        <w:ind w:left="851"/>
        <w:jc w:val="both"/>
        <w:rPr>
          <w:sz w:val="24"/>
          <w:szCs w:val="24"/>
        </w:rPr>
      </w:pPr>
    </w:p>
    <w:p w14:paraId="54686138"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3667856" w14:textId="78ED2A3C" w:rsidR="009260DE" w:rsidRPr="00C84483" w:rsidRDefault="00234C85" w:rsidP="009260DE">
      <w:pPr>
        <w:tabs>
          <w:tab w:val="left" w:pos="851"/>
        </w:tabs>
        <w:ind w:left="851"/>
        <w:rPr>
          <w:sz w:val="24"/>
          <w:szCs w:val="24"/>
        </w:rPr>
      </w:pPr>
      <w:r>
        <w:rPr>
          <w:sz w:val="24"/>
          <w:szCs w:val="24"/>
        </w:rPr>
        <w:t>21. marts 2019 (mundhulevæaske, opløsning 2,5 mg, 5 mg, 7,5 mg og 10 mg)</w:t>
      </w:r>
    </w:p>
    <w:p w14:paraId="4D2350A9" w14:textId="77777777" w:rsidR="009260DE" w:rsidRPr="00C84483" w:rsidRDefault="009260DE" w:rsidP="009260DE">
      <w:pPr>
        <w:tabs>
          <w:tab w:val="left" w:pos="851"/>
        </w:tabs>
        <w:ind w:left="851"/>
        <w:rPr>
          <w:sz w:val="24"/>
          <w:szCs w:val="24"/>
        </w:rPr>
      </w:pPr>
    </w:p>
    <w:p w14:paraId="5EDA3FEE"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5D373CF" w14:textId="12137E7F" w:rsidR="009260DE" w:rsidRPr="00C84483" w:rsidRDefault="00234C85" w:rsidP="009260DE">
      <w:pPr>
        <w:tabs>
          <w:tab w:val="left" w:pos="851"/>
        </w:tabs>
        <w:ind w:left="851"/>
        <w:rPr>
          <w:sz w:val="24"/>
          <w:szCs w:val="24"/>
        </w:rPr>
      </w:pPr>
      <w:r>
        <w:rPr>
          <w:sz w:val="24"/>
          <w:szCs w:val="24"/>
        </w:rPr>
        <w:t>-</w:t>
      </w:r>
    </w:p>
    <w:sectPr w:rsidR="009260DE" w:rsidRPr="00C84483" w:rsidSect="000259B9">
      <w:footerReference w:type="default" r:id="rId15"/>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F728" w14:textId="77777777" w:rsidR="001E2C85" w:rsidRDefault="001E2C85">
      <w:r>
        <w:separator/>
      </w:r>
    </w:p>
  </w:endnote>
  <w:endnote w:type="continuationSeparator" w:id="0">
    <w:p w14:paraId="51BB54FF" w14:textId="77777777" w:rsidR="001E2C85" w:rsidRDefault="001E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3A73" w14:textId="77777777" w:rsidR="000259B9" w:rsidRDefault="000259B9">
    <w:pPr>
      <w:pStyle w:val="Sidefod"/>
      <w:pBdr>
        <w:bottom w:val="single" w:sz="6" w:space="1" w:color="auto"/>
      </w:pBdr>
    </w:pPr>
  </w:p>
  <w:p w14:paraId="42B03661" w14:textId="77777777" w:rsidR="000259B9" w:rsidRDefault="000259B9" w:rsidP="00C42586">
    <w:pPr>
      <w:pStyle w:val="Sidefod"/>
      <w:tabs>
        <w:tab w:val="clear" w:pos="4819"/>
        <w:tab w:val="left" w:pos="8505"/>
      </w:tabs>
      <w:rPr>
        <w:i/>
        <w:sz w:val="18"/>
        <w:szCs w:val="18"/>
      </w:rPr>
    </w:pPr>
  </w:p>
  <w:p w14:paraId="7D22F097" w14:textId="0266803E"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814CA3">
      <w:rPr>
        <w:i/>
        <w:noProof/>
        <w:sz w:val="18"/>
        <w:szCs w:val="18"/>
      </w:rPr>
      <w:t>Epistatus, mundhulevæske, opløsning 10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D0C3" w14:textId="77777777" w:rsidR="001E2C85" w:rsidRDefault="001E2C85">
      <w:r>
        <w:separator/>
      </w:r>
    </w:p>
  </w:footnote>
  <w:footnote w:type="continuationSeparator" w:id="0">
    <w:p w14:paraId="2FE35301" w14:textId="77777777" w:rsidR="001E2C85" w:rsidRDefault="001E2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807"/>
    <w:multiLevelType w:val="hybridMultilevel"/>
    <w:tmpl w:val="C76023BC"/>
    <w:lvl w:ilvl="0" w:tplc="F4FC191A">
      <w:start w:val="1"/>
      <w:numFmt w:val="bullet"/>
      <w:lvlText w:val=""/>
      <w:lvlJc w:val="left"/>
      <w:pPr>
        <w:ind w:left="1440" w:hanging="360"/>
      </w:pPr>
      <w:rPr>
        <w:rFonts w:ascii="Symbol" w:hAnsi="Symbol" w:hint="default"/>
      </w:rPr>
    </w:lvl>
    <w:lvl w:ilvl="1" w:tplc="758635EA">
      <w:start w:val="1"/>
      <w:numFmt w:val="bullet"/>
      <w:lvlText w:val="o"/>
      <w:lvlJc w:val="left"/>
      <w:pPr>
        <w:ind w:left="2160" w:hanging="360"/>
      </w:pPr>
      <w:rPr>
        <w:rFonts w:ascii="Courier New" w:hAnsi="Courier New" w:cs="Courier New" w:hint="default"/>
      </w:rPr>
    </w:lvl>
    <w:lvl w:ilvl="2" w:tplc="A7C483C2">
      <w:start w:val="1"/>
      <w:numFmt w:val="bullet"/>
      <w:lvlText w:val=""/>
      <w:lvlJc w:val="left"/>
      <w:pPr>
        <w:ind w:left="2880" w:hanging="360"/>
      </w:pPr>
      <w:rPr>
        <w:rFonts w:ascii="Wingdings" w:hAnsi="Wingdings" w:hint="default"/>
      </w:rPr>
    </w:lvl>
    <w:lvl w:ilvl="3" w:tplc="34EA6A5E">
      <w:start w:val="1"/>
      <w:numFmt w:val="bullet"/>
      <w:lvlText w:val=""/>
      <w:lvlJc w:val="left"/>
      <w:pPr>
        <w:ind w:left="3600" w:hanging="360"/>
      </w:pPr>
      <w:rPr>
        <w:rFonts w:ascii="Symbol" w:hAnsi="Symbol" w:hint="default"/>
      </w:rPr>
    </w:lvl>
    <w:lvl w:ilvl="4" w:tplc="FF921998">
      <w:start w:val="1"/>
      <w:numFmt w:val="bullet"/>
      <w:lvlText w:val="o"/>
      <w:lvlJc w:val="left"/>
      <w:pPr>
        <w:ind w:left="4320" w:hanging="360"/>
      </w:pPr>
      <w:rPr>
        <w:rFonts w:ascii="Courier New" w:hAnsi="Courier New" w:cs="Courier New" w:hint="default"/>
      </w:rPr>
    </w:lvl>
    <w:lvl w:ilvl="5" w:tplc="393ABAFE">
      <w:start w:val="1"/>
      <w:numFmt w:val="bullet"/>
      <w:lvlText w:val=""/>
      <w:lvlJc w:val="left"/>
      <w:pPr>
        <w:ind w:left="5040" w:hanging="360"/>
      </w:pPr>
      <w:rPr>
        <w:rFonts w:ascii="Wingdings" w:hAnsi="Wingdings" w:hint="default"/>
      </w:rPr>
    </w:lvl>
    <w:lvl w:ilvl="6" w:tplc="48985818">
      <w:start w:val="1"/>
      <w:numFmt w:val="bullet"/>
      <w:lvlText w:val=""/>
      <w:lvlJc w:val="left"/>
      <w:pPr>
        <w:ind w:left="5760" w:hanging="360"/>
      </w:pPr>
      <w:rPr>
        <w:rFonts w:ascii="Symbol" w:hAnsi="Symbol" w:hint="default"/>
      </w:rPr>
    </w:lvl>
    <w:lvl w:ilvl="7" w:tplc="155E383A">
      <w:start w:val="1"/>
      <w:numFmt w:val="bullet"/>
      <w:lvlText w:val="o"/>
      <w:lvlJc w:val="left"/>
      <w:pPr>
        <w:ind w:left="6480" w:hanging="360"/>
      </w:pPr>
      <w:rPr>
        <w:rFonts w:ascii="Courier New" w:hAnsi="Courier New" w:cs="Courier New" w:hint="default"/>
      </w:rPr>
    </w:lvl>
    <w:lvl w:ilvl="8" w:tplc="53D466DC">
      <w:start w:val="1"/>
      <w:numFmt w:val="bullet"/>
      <w:lvlText w:val=""/>
      <w:lvlJc w:val="left"/>
      <w:pPr>
        <w:ind w:left="720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73EE518F"/>
    <w:multiLevelType w:val="hybridMultilevel"/>
    <w:tmpl w:val="4202B7DE"/>
    <w:lvl w:ilvl="0" w:tplc="6E2278CC">
      <w:start w:val="1"/>
      <w:numFmt w:val="bullet"/>
      <w:lvlText w:val=""/>
      <w:lvlJc w:val="left"/>
      <w:pPr>
        <w:ind w:left="720" w:hanging="360"/>
      </w:pPr>
      <w:rPr>
        <w:rFonts w:ascii="Symbol" w:hAnsi="Symbol" w:hint="default"/>
      </w:rPr>
    </w:lvl>
    <w:lvl w:ilvl="1" w:tplc="CB60A742">
      <w:start w:val="1"/>
      <w:numFmt w:val="bullet"/>
      <w:lvlText w:val="o"/>
      <w:lvlJc w:val="left"/>
      <w:pPr>
        <w:ind w:left="1440" w:hanging="360"/>
      </w:pPr>
      <w:rPr>
        <w:rFonts w:ascii="Courier New" w:hAnsi="Courier New" w:cs="Courier New" w:hint="default"/>
      </w:rPr>
    </w:lvl>
    <w:lvl w:ilvl="2" w:tplc="10001B5A">
      <w:start w:val="1"/>
      <w:numFmt w:val="bullet"/>
      <w:lvlText w:val=""/>
      <w:lvlJc w:val="left"/>
      <w:pPr>
        <w:ind w:left="2160" w:hanging="360"/>
      </w:pPr>
      <w:rPr>
        <w:rFonts w:ascii="Wingdings" w:hAnsi="Wingdings" w:hint="default"/>
      </w:rPr>
    </w:lvl>
    <w:lvl w:ilvl="3" w:tplc="9244C034">
      <w:start w:val="1"/>
      <w:numFmt w:val="bullet"/>
      <w:lvlText w:val=""/>
      <w:lvlJc w:val="left"/>
      <w:pPr>
        <w:ind w:left="2880" w:hanging="360"/>
      </w:pPr>
      <w:rPr>
        <w:rFonts w:ascii="Symbol" w:hAnsi="Symbol" w:hint="default"/>
      </w:rPr>
    </w:lvl>
    <w:lvl w:ilvl="4" w:tplc="382C6A78">
      <w:start w:val="1"/>
      <w:numFmt w:val="bullet"/>
      <w:lvlText w:val="o"/>
      <w:lvlJc w:val="left"/>
      <w:pPr>
        <w:ind w:left="3600" w:hanging="360"/>
      </w:pPr>
      <w:rPr>
        <w:rFonts w:ascii="Courier New" w:hAnsi="Courier New" w:cs="Courier New" w:hint="default"/>
      </w:rPr>
    </w:lvl>
    <w:lvl w:ilvl="5" w:tplc="F80A3C14">
      <w:start w:val="1"/>
      <w:numFmt w:val="bullet"/>
      <w:lvlText w:val=""/>
      <w:lvlJc w:val="left"/>
      <w:pPr>
        <w:ind w:left="4320" w:hanging="360"/>
      </w:pPr>
      <w:rPr>
        <w:rFonts w:ascii="Wingdings" w:hAnsi="Wingdings" w:hint="default"/>
      </w:rPr>
    </w:lvl>
    <w:lvl w:ilvl="6" w:tplc="3ACAE2E6">
      <w:start w:val="1"/>
      <w:numFmt w:val="bullet"/>
      <w:lvlText w:val=""/>
      <w:lvlJc w:val="left"/>
      <w:pPr>
        <w:ind w:left="5040" w:hanging="360"/>
      </w:pPr>
      <w:rPr>
        <w:rFonts w:ascii="Symbol" w:hAnsi="Symbol" w:hint="default"/>
      </w:rPr>
    </w:lvl>
    <w:lvl w:ilvl="7" w:tplc="578E611A">
      <w:start w:val="1"/>
      <w:numFmt w:val="bullet"/>
      <w:lvlText w:val="o"/>
      <w:lvlJc w:val="left"/>
      <w:pPr>
        <w:ind w:left="5760" w:hanging="360"/>
      </w:pPr>
      <w:rPr>
        <w:rFonts w:ascii="Courier New" w:hAnsi="Courier New" w:cs="Courier New" w:hint="default"/>
      </w:rPr>
    </w:lvl>
    <w:lvl w:ilvl="8" w:tplc="9BC69896">
      <w:start w:val="1"/>
      <w:numFmt w:val="bullet"/>
      <w:lvlText w:val=""/>
      <w:lvlJc w:val="left"/>
      <w:pPr>
        <w:ind w:left="6480" w:hanging="360"/>
      </w:pPr>
      <w:rPr>
        <w:rFonts w:ascii="Wingdings" w:hAnsi="Wingdings" w:hint="default"/>
      </w:rPr>
    </w:lvl>
  </w:abstractNum>
  <w:num w:numId="1" w16cid:durableId="198184009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548005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9884022">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302083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400666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332647">
    <w:abstractNumId w:val="0"/>
  </w:num>
  <w:num w:numId="7" w16cid:durableId="19549389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BCB"/>
    <w:rsid w:val="000259B9"/>
    <w:rsid w:val="00041491"/>
    <w:rsid w:val="00050D16"/>
    <w:rsid w:val="000730CA"/>
    <w:rsid w:val="00074F2A"/>
    <w:rsid w:val="000A1CA8"/>
    <w:rsid w:val="000A466B"/>
    <w:rsid w:val="000B058C"/>
    <w:rsid w:val="000D68B0"/>
    <w:rsid w:val="000E4EE6"/>
    <w:rsid w:val="00111BCB"/>
    <w:rsid w:val="001454E2"/>
    <w:rsid w:val="00162150"/>
    <w:rsid w:val="001E2C85"/>
    <w:rsid w:val="00206CE8"/>
    <w:rsid w:val="0021526C"/>
    <w:rsid w:val="00234C85"/>
    <w:rsid w:val="00283A2B"/>
    <w:rsid w:val="002B30AD"/>
    <w:rsid w:val="002C1EC0"/>
    <w:rsid w:val="002C2C01"/>
    <w:rsid w:val="003867DE"/>
    <w:rsid w:val="003A29AE"/>
    <w:rsid w:val="003A32D7"/>
    <w:rsid w:val="003B4074"/>
    <w:rsid w:val="003C2714"/>
    <w:rsid w:val="003C769A"/>
    <w:rsid w:val="003D3A90"/>
    <w:rsid w:val="003F1838"/>
    <w:rsid w:val="004251C1"/>
    <w:rsid w:val="0045746C"/>
    <w:rsid w:val="00463ACD"/>
    <w:rsid w:val="004836E6"/>
    <w:rsid w:val="0049104B"/>
    <w:rsid w:val="004E3B12"/>
    <w:rsid w:val="00532310"/>
    <w:rsid w:val="00565F0F"/>
    <w:rsid w:val="00594A86"/>
    <w:rsid w:val="00596D86"/>
    <w:rsid w:val="006067E7"/>
    <w:rsid w:val="00637F5A"/>
    <w:rsid w:val="00641C65"/>
    <w:rsid w:val="006560B1"/>
    <w:rsid w:val="006756DD"/>
    <w:rsid w:val="006A3716"/>
    <w:rsid w:val="0071241E"/>
    <w:rsid w:val="00737275"/>
    <w:rsid w:val="00740EEC"/>
    <w:rsid w:val="0078011A"/>
    <w:rsid w:val="00782AF4"/>
    <w:rsid w:val="00790EE7"/>
    <w:rsid w:val="007B6649"/>
    <w:rsid w:val="00814CA3"/>
    <w:rsid w:val="0082576E"/>
    <w:rsid w:val="0089346F"/>
    <w:rsid w:val="00907F75"/>
    <w:rsid w:val="009260DE"/>
    <w:rsid w:val="0093258A"/>
    <w:rsid w:val="0098738F"/>
    <w:rsid w:val="009C7BA3"/>
    <w:rsid w:val="009D1F5A"/>
    <w:rsid w:val="00A10294"/>
    <w:rsid w:val="00A55582"/>
    <w:rsid w:val="00B003BF"/>
    <w:rsid w:val="00B373D7"/>
    <w:rsid w:val="00B55271"/>
    <w:rsid w:val="00B565EC"/>
    <w:rsid w:val="00B91085"/>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DE2757"/>
    <w:rsid w:val="00E108AA"/>
    <w:rsid w:val="00E3749A"/>
    <w:rsid w:val="00E450A3"/>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EEFF5"/>
  <w15:chartTrackingRefBased/>
  <w15:docId w15:val="{CC7D86A2-58D7-457B-AC53-7F700C53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customStyle="1" w:styleId="TableNormal2">
    <w:name w:val="Table Normal2"/>
    <w:uiPriority w:val="2"/>
    <w:semiHidden/>
    <w:qFormat/>
    <w:rsid w:val="00E450A3"/>
    <w:pPr>
      <w:widowControl w:val="0"/>
      <w:autoSpaceDE w:val="0"/>
      <w:autoSpaceDN w:val="0"/>
    </w:pPr>
    <w:rPr>
      <w:rFonts w:ascii="Calibri" w:eastAsia="Calibri" w:hAnsi="Calibri" w:cs="Mangal"/>
      <w:sz w:val="22"/>
      <w:szCs w:val="22"/>
      <w:lang w:val="en-US" w:eastAsia="en-US" w:bidi="hi-I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TotalTime>
  <Pages>15</Pages>
  <Words>4022</Words>
  <Characters>24536</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2025023805 MT (ny styrke)</dc:description>
  <cp:lastModifiedBy>Hanne Thy Iversen</cp:lastModifiedBy>
  <cp:revision>2</cp:revision>
  <cp:lastPrinted>2012-08-22T08:53:00Z</cp:lastPrinted>
  <dcterms:created xsi:type="dcterms:W3CDTF">2026-09-29T07:29:00Z</dcterms:created>
  <dcterms:modified xsi:type="dcterms:W3CDTF">2026-09-29T07:29:00Z</dcterms:modified>
</cp:coreProperties>
</file>