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09FE" w:rsidRPr="00C84483" w:rsidRDefault="00AE09FE" w:rsidP="00AE09FE">
      <w:pPr>
        <w:rPr>
          <w:b/>
          <w:szCs w:val="24"/>
        </w:rPr>
      </w:pPr>
      <w:r w:rsidRPr="009260DE">
        <w:rPr>
          <w:noProof/>
          <w:sz w:val="24"/>
          <w:szCs w:val="24"/>
          <w:lang w:eastAsia="da-DK"/>
        </w:rPr>
        <w:drawing>
          <wp:anchor distT="0" distB="0" distL="114300" distR="114300" simplePos="0" relativeHeight="251659264" behindDoc="0" locked="0" layoutInCell="1" allowOverlap="1" wp14:anchorId="36901E39" wp14:editId="51E44BF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AE09FE" w:rsidRPr="00B751FD" w:rsidRDefault="00AE09FE" w:rsidP="00453BEE">
      <w:pPr>
        <w:pStyle w:val="Titel"/>
        <w:tabs>
          <w:tab w:val="right" w:pos="9356"/>
        </w:tabs>
        <w:jc w:val="left"/>
        <w:rPr>
          <w:szCs w:val="24"/>
        </w:rPr>
      </w:pPr>
      <w:r w:rsidRPr="00B751FD">
        <w:rPr>
          <w:b w:val="0"/>
          <w:szCs w:val="24"/>
          <w:lang w:eastAsia="en-US"/>
        </w:rPr>
        <w:tab/>
      </w:r>
      <w:r w:rsidR="00006FCB">
        <w:rPr>
          <w:szCs w:val="24"/>
        </w:rPr>
        <w:t>6</w:t>
      </w:r>
      <w:r w:rsidR="00B751FD" w:rsidRPr="00B751FD">
        <w:rPr>
          <w:szCs w:val="24"/>
        </w:rPr>
        <w:t xml:space="preserve">. </w:t>
      </w:r>
      <w:r w:rsidR="00006FCB">
        <w:rPr>
          <w:szCs w:val="24"/>
        </w:rPr>
        <w:t>marts</w:t>
      </w:r>
      <w:r w:rsidR="00B751FD" w:rsidRPr="00B751FD">
        <w:rPr>
          <w:szCs w:val="24"/>
        </w:rPr>
        <w:t xml:space="preserve"> 202</w:t>
      </w:r>
      <w:r w:rsidR="00006FCB">
        <w:rPr>
          <w:szCs w:val="24"/>
        </w:rPr>
        <w:t>5</w:t>
      </w:r>
    </w:p>
    <w:p w:rsidR="00AE09FE" w:rsidRPr="00B751FD" w:rsidRDefault="00AE09FE" w:rsidP="00AE09FE">
      <w:pPr>
        <w:pStyle w:val="Titel"/>
        <w:jc w:val="left"/>
        <w:rPr>
          <w:b w:val="0"/>
          <w:szCs w:val="24"/>
        </w:rPr>
      </w:pPr>
    </w:p>
    <w:p w:rsidR="00B751FD" w:rsidRPr="00B751FD" w:rsidRDefault="00B751FD" w:rsidP="00AE09FE">
      <w:pPr>
        <w:pStyle w:val="Titel"/>
        <w:jc w:val="left"/>
        <w:rPr>
          <w:b w:val="0"/>
          <w:szCs w:val="24"/>
        </w:rPr>
      </w:pPr>
    </w:p>
    <w:p w:rsidR="00AE09FE" w:rsidRPr="00B751FD" w:rsidRDefault="00AE09FE" w:rsidP="00AE09FE">
      <w:pPr>
        <w:pStyle w:val="Titel"/>
        <w:jc w:val="left"/>
        <w:rPr>
          <w:b w:val="0"/>
          <w:szCs w:val="24"/>
        </w:rPr>
      </w:pPr>
    </w:p>
    <w:p w:rsidR="00AE09FE" w:rsidRPr="00B751FD" w:rsidRDefault="00AE09FE" w:rsidP="00AE09FE">
      <w:pPr>
        <w:jc w:val="center"/>
        <w:rPr>
          <w:b/>
          <w:sz w:val="24"/>
          <w:szCs w:val="24"/>
        </w:rPr>
      </w:pPr>
      <w:r w:rsidRPr="00B751FD">
        <w:rPr>
          <w:b/>
          <w:sz w:val="24"/>
          <w:szCs w:val="24"/>
        </w:rPr>
        <w:t>PRODUKTRESUMÉ</w:t>
      </w:r>
    </w:p>
    <w:p w:rsidR="00AE09FE" w:rsidRPr="00B751FD" w:rsidRDefault="00AE09FE" w:rsidP="00AE09FE">
      <w:pPr>
        <w:jc w:val="center"/>
        <w:rPr>
          <w:b/>
          <w:sz w:val="24"/>
          <w:szCs w:val="24"/>
        </w:rPr>
      </w:pPr>
    </w:p>
    <w:p w:rsidR="00AE09FE" w:rsidRPr="00B751FD" w:rsidRDefault="00AE09FE" w:rsidP="00AE09FE">
      <w:pPr>
        <w:jc w:val="center"/>
        <w:rPr>
          <w:b/>
          <w:sz w:val="24"/>
          <w:szCs w:val="24"/>
        </w:rPr>
      </w:pPr>
      <w:r w:rsidRPr="00B751FD">
        <w:rPr>
          <w:b/>
          <w:sz w:val="24"/>
          <w:szCs w:val="24"/>
        </w:rPr>
        <w:t>for</w:t>
      </w:r>
    </w:p>
    <w:p w:rsidR="00AE09FE" w:rsidRPr="00B751FD" w:rsidRDefault="00AE09FE" w:rsidP="00AE09FE">
      <w:pPr>
        <w:jc w:val="center"/>
        <w:rPr>
          <w:b/>
          <w:sz w:val="24"/>
          <w:szCs w:val="24"/>
        </w:rPr>
      </w:pPr>
    </w:p>
    <w:p w:rsidR="00AE09FE" w:rsidRPr="00B751FD" w:rsidRDefault="00AE09FE" w:rsidP="00AE09FE">
      <w:pPr>
        <w:jc w:val="center"/>
        <w:rPr>
          <w:b/>
          <w:sz w:val="24"/>
          <w:szCs w:val="24"/>
        </w:rPr>
      </w:pPr>
      <w:proofErr w:type="spellStart"/>
      <w:r w:rsidRPr="00B751FD">
        <w:rPr>
          <w:b/>
          <w:sz w:val="24"/>
          <w:szCs w:val="24"/>
        </w:rPr>
        <w:t>Epistatus</w:t>
      </w:r>
      <w:proofErr w:type="spellEnd"/>
      <w:r w:rsidRPr="00B751FD">
        <w:rPr>
          <w:b/>
          <w:sz w:val="24"/>
          <w:szCs w:val="24"/>
        </w:rPr>
        <w:t>, mundhulevæske, opløsning</w:t>
      </w:r>
    </w:p>
    <w:p w:rsidR="00AE09FE" w:rsidRPr="00B751FD" w:rsidRDefault="00AE09FE" w:rsidP="00AE09FE">
      <w:pPr>
        <w:jc w:val="both"/>
        <w:rPr>
          <w:sz w:val="24"/>
          <w:szCs w:val="24"/>
        </w:rPr>
      </w:pPr>
    </w:p>
    <w:p w:rsidR="00AE09FE" w:rsidRPr="00B751FD" w:rsidRDefault="00AE09FE" w:rsidP="00AE09FE">
      <w:pPr>
        <w:jc w:val="both"/>
        <w:rPr>
          <w:sz w:val="24"/>
          <w:szCs w:val="24"/>
        </w:rPr>
      </w:pPr>
    </w:p>
    <w:p w:rsidR="00AE09FE" w:rsidRPr="00B751FD" w:rsidRDefault="00AE09FE" w:rsidP="00AE09FE">
      <w:pPr>
        <w:tabs>
          <w:tab w:val="left" w:pos="851"/>
        </w:tabs>
        <w:ind w:left="851" w:hanging="851"/>
        <w:rPr>
          <w:b/>
          <w:sz w:val="24"/>
          <w:szCs w:val="24"/>
        </w:rPr>
      </w:pPr>
      <w:r w:rsidRPr="00B751FD">
        <w:rPr>
          <w:b/>
          <w:sz w:val="24"/>
          <w:szCs w:val="24"/>
        </w:rPr>
        <w:t>0.</w:t>
      </w:r>
      <w:r w:rsidRPr="00B751FD">
        <w:rPr>
          <w:b/>
          <w:sz w:val="24"/>
          <w:szCs w:val="24"/>
        </w:rPr>
        <w:tab/>
        <w:t>D.SP.NR.</w:t>
      </w:r>
    </w:p>
    <w:p w:rsidR="00AE09FE" w:rsidRPr="00B751FD" w:rsidRDefault="00AE09FE" w:rsidP="00AE09FE">
      <w:pPr>
        <w:tabs>
          <w:tab w:val="left" w:pos="851"/>
        </w:tabs>
        <w:ind w:left="851"/>
        <w:rPr>
          <w:sz w:val="24"/>
          <w:szCs w:val="24"/>
        </w:rPr>
      </w:pPr>
      <w:r w:rsidRPr="00B751FD">
        <w:rPr>
          <w:sz w:val="24"/>
          <w:szCs w:val="24"/>
        </w:rPr>
        <w:t>31348</w:t>
      </w:r>
    </w:p>
    <w:p w:rsidR="00AE09FE" w:rsidRPr="00B751FD" w:rsidRDefault="00AE09FE" w:rsidP="00AE09FE">
      <w:pPr>
        <w:tabs>
          <w:tab w:val="left" w:pos="851"/>
        </w:tabs>
        <w:ind w:left="851"/>
        <w:rPr>
          <w:sz w:val="24"/>
          <w:szCs w:val="24"/>
        </w:rPr>
      </w:pPr>
    </w:p>
    <w:p w:rsidR="00AE09FE" w:rsidRPr="00B751FD" w:rsidRDefault="00AE09FE" w:rsidP="00AE09FE">
      <w:pPr>
        <w:tabs>
          <w:tab w:val="left" w:pos="851"/>
        </w:tabs>
        <w:ind w:left="851" w:hanging="851"/>
        <w:rPr>
          <w:b/>
          <w:sz w:val="24"/>
          <w:szCs w:val="24"/>
        </w:rPr>
      </w:pPr>
      <w:r w:rsidRPr="00B751FD">
        <w:rPr>
          <w:b/>
          <w:sz w:val="24"/>
          <w:szCs w:val="24"/>
        </w:rPr>
        <w:t>1.</w:t>
      </w:r>
      <w:r w:rsidRPr="00B751FD">
        <w:rPr>
          <w:b/>
          <w:sz w:val="24"/>
          <w:szCs w:val="24"/>
        </w:rPr>
        <w:tab/>
        <w:t>LÆGEMIDLETS NAVN</w:t>
      </w:r>
    </w:p>
    <w:p w:rsidR="00AE09FE" w:rsidRPr="00B751FD" w:rsidRDefault="00AE09FE" w:rsidP="00AE09FE">
      <w:pPr>
        <w:tabs>
          <w:tab w:val="left" w:pos="851"/>
        </w:tabs>
        <w:ind w:left="851"/>
        <w:rPr>
          <w:sz w:val="24"/>
          <w:szCs w:val="24"/>
        </w:rPr>
      </w:pPr>
      <w:proofErr w:type="spellStart"/>
      <w:r w:rsidRPr="00B751FD">
        <w:rPr>
          <w:sz w:val="24"/>
          <w:szCs w:val="24"/>
        </w:rPr>
        <w:t>Epistatus</w:t>
      </w:r>
      <w:proofErr w:type="spellEnd"/>
    </w:p>
    <w:p w:rsidR="00AE09FE" w:rsidRPr="00B751FD" w:rsidRDefault="00AE09FE" w:rsidP="00AE09FE">
      <w:pPr>
        <w:tabs>
          <w:tab w:val="left" w:pos="851"/>
        </w:tabs>
        <w:ind w:left="851"/>
        <w:rPr>
          <w:sz w:val="24"/>
          <w:szCs w:val="24"/>
        </w:rPr>
      </w:pPr>
    </w:p>
    <w:p w:rsidR="00AE09FE" w:rsidRPr="00B751FD" w:rsidRDefault="00AE09FE" w:rsidP="00AE09FE">
      <w:pPr>
        <w:tabs>
          <w:tab w:val="left" w:pos="851"/>
        </w:tabs>
        <w:ind w:left="851" w:hanging="851"/>
        <w:rPr>
          <w:b/>
          <w:sz w:val="24"/>
          <w:szCs w:val="24"/>
        </w:rPr>
      </w:pPr>
      <w:r w:rsidRPr="00B751FD">
        <w:rPr>
          <w:b/>
          <w:sz w:val="24"/>
          <w:szCs w:val="24"/>
        </w:rPr>
        <w:t>2.</w:t>
      </w:r>
      <w:r w:rsidRPr="00B751FD">
        <w:rPr>
          <w:b/>
          <w:sz w:val="24"/>
          <w:szCs w:val="24"/>
        </w:rPr>
        <w:tab/>
        <w:t>KVALITATIV OG KVANTITATIV SAMMENSÆTNING</w:t>
      </w:r>
    </w:p>
    <w:p w:rsidR="0017203A" w:rsidRDefault="0017203A" w:rsidP="00DB7077">
      <w:pPr>
        <w:ind w:left="851"/>
        <w:outlineLvl w:val="0"/>
        <w:rPr>
          <w:sz w:val="24"/>
          <w:szCs w:val="24"/>
        </w:rPr>
      </w:pPr>
    </w:p>
    <w:p w:rsidR="00DB7077" w:rsidRPr="0017203A" w:rsidRDefault="00DB7077" w:rsidP="00DB7077">
      <w:pPr>
        <w:ind w:left="851"/>
        <w:outlineLvl w:val="0"/>
        <w:rPr>
          <w:sz w:val="24"/>
          <w:szCs w:val="24"/>
          <w:u w:val="single"/>
        </w:rPr>
      </w:pPr>
      <w:proofErr w:type="spellStart"/>
      <w:r w:rsidRPr="0017203A">
        <w:rPr>
          <w:sz w:val="24"/>
          <w:szCs w:val="24"/>
          <w:u w:val="single"/>
        </w:rPr>
        <w:t>Epistatus</w:t>
      </w:r>
      <w:proofErr w:type="spellEnd"/>
      <w:r w:rsidRPr="0017203A">
        <w:rPr>
          <w:sz w:val="24"/>
          <w:szCs w:val="24"/>
          <w:u w:val="single"/>
        </w:rPr>
        <w:t xml:space="preserve"> 2,5 mg mundhulevæske, opløsning</w:t>
      </w:r>
    </w:p>
    <w:p w:rsidR="00DB7077" w:rsidRPr="00B751FD" w:rsidRDefault="00DB7077" w:rsidP="00DB7077">
      <w:pPr>
        <w:ind w:left="851"/>
        <w:outlineLvl w:val="0"/>
        <w:rPr>
          <w:sz w:val="24"/>
          <w:szCs w:val="24"/>
        </w:rPr>
      </w:pPr>
      <w:r w:rsidRPr="00B751FD">
        <w:rPr>
          <w:sz w:val="24"/>
          <w:szCs w:val="24"/>
        </w:rPr>
        <w:t xml:space="preserve">Hver fyldt oral sprøjte (0,25 ml) indeholder </w:t>
      </w:r>
      <w:proofErr w:type="spellStart"/>
      <w:r w:rsidRPr="00B751FD">
        <w:rPr>
          <w:sz w:val="24"/>
          <w:szCs w:val="24"/>
        </w:rPr>
        <w:t>midazolammaleat</w:t>
      </w:r>
      <w:proofErr w:type="spellEnd"/>
      <w:r w:rsidRPr="00B751FD">
        <w:rPr>
          <w:sz w:val="24"/>
          <w:szCs w:val="24"/>
        </w:rPr>
        <w:t xml:space="preserve"> svarende til 2,5 mg </w:t>
      </w:r>
      <w:proofErr w:type="spellStart"/>
      <w:r w:rsidRPr="00B751FD">
        <w:rPr>
          <w:sz w:val="24"/>
          <w:szCs w:val="24"/>
        </w:rPr>
        <w:t>midazolam</w:t>
      </w:r>
      <w:proofErr w:type="spellEnd"/>
      <w:r w:rsidRPr="00B751FD">
        <w:rPr>
          <w:sz w:val="24"/>
          <w:szCs w:val="24"/>
        </w:rPr>
        <w:t>.</w:t>
      </w:r>
    </w:p>
    <w:p w:rsidR="00DB7077" w:rsidRPr="00B751FD" w:rsidRDefault="00DB7077" w:rsidP="00DB7077">
      <w:pPr>
        <w:ind w:left="851"/>
        <w:outlineLvl w:val="0"/>
        <w:rPr>
          <w:sz w:val="24"/>
          <w:szCs w:val="24"/>
        </w:rPr>
      </w:pPr>
    </w:p>
    <w:p w:rsidR="00DB7077" w:rsidRPr="0017203A" w:rsidRDefault="00DB7077" w:rsidP="00DB7077">
      <w:pPr>
        <w:ind w:left="851"/>
        <w:outlineLvl w:val="0"/>
        <w:rPr>
          <w:sz w:val="24"/>
          <w:szCs w:val="24"/>
          <w:u w:val="single"/>
        </w:rPr>
      </w:pPr>
      <w:proofErr w:type="spellStart"/>
      <w:r w:rsidRPr="0017203A">
        <w:rPr>
          <w:sz w:val="24"/>
          <w:szCs w:val="24"/>
          <w:u w:val="single"/>
        </w:rPr>
        <w:t>Epistatus</w:t>
      </w:r>
      <w:proofErr w:type="spellEnd"/>
      <w:r w:rsidRPr="0017203A">
        <w:rPr>
          <w:sz w:val="24"/>
          <w:szCs w:val="24"/>
          <w:u w:val="single"/>
        </w:rPr>
        <w:t xml:space="preserve"> 5 mg mundhulevæske, opløsning</w:t>
      </w:r>
    </w:p>
    <w:p w:rsidR="00DB7077" w:rsidRPr="00B751FD" w:rsidRDefault="00DB7077" w:rsidP="00DB7077">
      <w:pPr>
        <w:ind w:left="851"/>
        <w:outlineLvl w:val="0"/>
        <w:rPr>
          <w:sz w:val="24"/>
          <w:szCs w:val="24"/>
        </w:rPr>
      </w:pPr>
      <w:r w:rsidRPr="00B751FD">
        <w:rPr>
          <w:sz w:val="24"/>
          <w:szCs w:val="24"/>
        </w:rPr>
        <w:t xml:space="preserve">Hver fyldt oral sprøjte (0,5 ml) indeholder </w:t>
      </w:r>
      <w:proofErr w:type="spellStart"/>
      <w:r w:rsidRPr="00B751FD">
        <w:rPr>
          <w:sz w:val="24"/>
          <w:szCs w:val="24"/>
        </w:rPr>
        <w:t>midazolammaleat</w:t>
      </w:r>
      <w:proofErr w:type="spellEnd"/>
      <w:r w:rsidRPr="00B751FD">
        <w:rPr>
          <w:sz w:val="24"/>
          <w:szCs w:val="24"/>
        </w:rPr>
        <w:t xml:space="preserve"> svarende til 5 mg </w:t>
      </w:r>
      <w:proofErr w:type="spellStart"/>
      <w:r w:rsidRPr="00B751FD">
        <w:rPr>
          <w:sz w:val="24"/>
          <w:szCs w:val="24"/>
        </w:rPr>
        <w:t>midazolam</w:t>
      </w:r>
      <w:proofErr w:type="spellEnd"/>
      <w:r w:rsidRPr="00B751FD">
        <w:rPr>
          <w:sz w:val="24"/>
          <w:szCs w:val="24"/>
        </w:rPr>
        <w:t xml:space="preserve">. </w:t>
      </w:r>
    </w:p>
    <w:p w:rsidR="00DB7077" w:rsidRPr="00B751FD" w:rsidRDefault="00DB7077" w:rsidP="00DB7077">
      <w:pPr>
        <w:ind w:left="851"/>
        <w:outlineLvl w:val="0"/>
        <w:rPr>
          <w:sz w:val="24"/>
          <w:szCs w:val="24"/>
        </w:rPr>
      </w:pPr>
    </w:p>
    <w:p w:rsidR="00DB7077" w:rsidRPr="0017203A" w:rsidRDefault="00DB7077" w:rsidP="00DB7077">
      <w:pPr>
        <w:ind w:left="851"/>
        <w:outlineLvl w:val="0"/>
        <w:rPr>
          <w:sz w:val="24"/>
          <w:szCs w:val="24"/>
          <w:u w:val="single"/>
        </w:rPr>
      </w:pPr>
      <w:proofErr w:type="spellStart"/>
      <w:r w:rsidRPr="0017203A">
        <w:rPr>
          <w:sz w:val="24"/>
          <w:szCs w:val="24"/>
          <w:u w:val="single"/>
        </w:rPr>
        <w:t>Epistatus</w:t>
      </w:r>
      <w:proofErr w:type="spellEnd"/>
      <w:r w:rsidRPr="0017203A">
        <w:rPr>
          <w:sz w:val="24"/>
          <w:szCs w:val="24"/>
          <w:u w:val="single"/>
        </w:rPr>
        <w:t xml:space="preserve"> 7,5 mg mundhulevæske, opløsning</w:t>
      </w:r>
    </w:p>
    <w:p w:rsidR="00DB7077" w:rsidRPr="00B751FD" w:rsidRDefault="00DB7077" w:rsidP="00DB7077">
      <w:pPr>
        <w:ind w:left="851"/>
        <w:outlineLvl w:val="0"/>
        <w:rPr>
          <w:sz w:val="24"/>
          <w:szCs w:val="24"/>
        </w:rPr>
      </w:pPr>
      <w:r w:rsidRPr="00B751FD">
        <w:rPr>
          <w:sz w:val="24"/>
          <w:szCs w:val="24"/>
        </w:rPr>
        <w:t xml:space="preserve">Hver fyldt oral sprøjte (0,75 ml) indeholder </w:t>
      </w:r>
      <w:proofErr w:type="spellStart"/>
      <w:r w:rsidRPr="00B751FD">
        <w:rPr>
          <w:sz w:val="24"/>
          <w:szCs w:val="24"/>
        </w:rPr>
        <w:t>midazolammaleat</w:t>
      </w:r>
      <w:proofErr w:type="spellEnd"/>
      <w:r w:rsidRPr="00B751FD">
        <w:rPr>
          <w:sz w:val="24"/>
          <w:szCs w:val="24"/>
        </w:rPr>
        <w:t xml:space="preserve"> svarende til 7,5 mg </w:t>
      </w:r>
      <w:proofErr w:type="spellStart"/>
      <w:r w:rsidRPr="00B751FD">
        <w:rPr>
          <w:sz w:val="24"/>
          <w:szCs w:val="24"/>
        </w:rPr>
        <w:t>midazolam</w:t>
      </w:r>
      <w:proofErr w:type="spellEnd"/>
      <w:r w:rsidRPr="00B751FD">
        <w:rPr>
          <w:sz w:val="24"/>
          <w:szCs w:val="24"/>
        </w:rPr>
        <w:t xml:space="preserve">. </w:t>
      </w:r>
    </w:p>
    <w:p w:rsidR="00DB7077" w:rsidRPr="00B751FD" w:rsidRDefault="00DB7077" w:rsidP="00DB7077">
      <w:pPr>
        <w:tabs>
          <w:tab w:val="left" w:pos="851"/>
        </w:tabs>
        <w:ind w:left="851"/>
        <w:rPr>
          <w:sz w:val="24"/>
          <w:szCs w:val="24"/>
        </w:rPr>
      </w:pPr>
    </w:p>
    <w:p w:rsidR="00DB7077" w:rsidRPr="0017203A" w:rsidRDefault="00DB7077" w:rsidP="00DB7077">
      <w:pPr>
        <w:tabs>
          <w:tab w:val="left" w:pos="851"/>
        </w:tabs>
        <w:ind w:left="851"/>
        <w:rPr>
          <w:sz w:val="24"/>
          <w:szCs w:val="24"/>
          <w:u w:val="single"/>
        </w:rPr>
      </w:pPr>
      <w:proofErr w:type="spellStart"/>
      <w:r w:rsidRPr="0017203A">
        <w:rPr>
          <w:sz w:val="24"/>
          <w:szCs w:val="24"/>
          <w:u w:val="single"/>
        </w:rPr>
        <w:t>Epistatus</w:t>
      </w:r>
      <w:proofErr w:type="spellEnd"/>
      <w:r w:rsidRPr="0017203A">
        <w:rPr>
          <w:sz w:val="24"/>
          <w:szCs w:val="24"/>
          <w:u w:val="single"/>
        </w:rPr>
        <w:t xml:space="preserve"> 10 mg mundhulevæske, opløsning </w:t>
      </w:r>
    </w:p>
    <w:p w:rsidR="00DB7077" w:rsidRPr="00B751FD" w:rsidRDefault="00DB7077" w:rsidP="00DB7077">
      <w:pPr>
        <w:tabs>
          <w:tab w:val="left" w:pos="851"/>
        </w:tabs>
        <w:ind w:left="851"/>
        <w:rPr>
          <w:sz w:val="24"/>
          <w:szCs w:val="24"/>
          <w:lang w:eastAsia="da-DK"/>
        </w:rPr>
      </w:pPr>
      <w:r w:rsidRPr="00B751FD">
        <w:rPr>
          <w:sz w:val="24"/>
          <w:szCs w:val="24"/>
        </w:rPr>
        <w:t xml:space="preserve">Hver fyldt oral sprøjte (1 ml) indeholder </w:t>
      </w:r>
      <w:proofErr w:type="spellStart"/>
      <w:r w:rsidRPr="00B751FD">
        <w:rPr>
          <w:sz w:val="24"/>
          <w:szCs w:val="24"/>
        </w:rPr>
        <w:t>midazolammaleat</w:t>
      </w:r>
      <w:proofErr w:type="spellEnd"/>
      <w:r w:rsidRPr="00B751FD">
        <w:rPr>
          <w:sz w:val="24"/>
          <w:szCs w:val="24"/>
        </w:rPr>
        <w:t xml:space="preserve"> svarende til 10 mg </w:t>
      </w:r>
      <w:proofErr w:type="spellStart"/>
      <w:r w:rsidRPr="00B751FD">
        <w:rPr>
          <w:sz w:val="24"/>
          <w:szCs w:val="24"/>
        </w:rPr>
        <w:t>midazolam</w:t>
      </w:r>
      <w:proofErr w:type="spellEnd"/>
      <w:r w:rsidRPr="00B751FD">
        <w:rPr>
          <w:sz w:val="24"/>
          <w:szCs w:val="24"/>
        </w:rPr>
        <w:t>.</w:t>
      </w:r>
    </w:p>
    <w:p w:rsidR="00DB7077" w:rsidRPr="00B751FD" w:rsidRDefault="00DB7077" w:rsidP="00DB7077">
      <w:pPr>
        <w:tabs>
          <w:tab w:val="left" w:pos="851"/>
        </w:tabs>
        <w:ind w:left="851"/>
        <w:rPr>
          <w:sz w:val="24"/>
          <w:szCs w:val="24"/>
          <w:u w:val="single"/>
        </w:rPr>
      </w:pPr>
    </w:p>
    <w:p w:rsidR="00DB7077" w:rsidRPr="00B751FD" w:rsidRDefault="00DB7077" w:rsidP="00DB7077">
      <w:pPr>
        <w:tabs>
          <w:tab w:val="left" w:pos="851"/>
        </w:tabs>
        <w:ind w:left="851"/>
        <w:rPr>
          <w:sz w:val="24"/>
          <w:szCs w:val="24"/>
        </w:rPr>
      </w:pPr>
      <w:r w:rsidRPr="00B751FD">
        <w:rPr>
          <w:sz w:val="24"/>
          <w:szCs w:val="24"/>
          <w:u w:val="single"/>
        </w:rPr>
        <w:t>Hjælpestoffer, som behandleren skal være opmærksom på:</w:t>
      </w:r>
    </w:p>
    <w:p w:rsidR="00DB7077" w:rsidRPr="00B751FD" w:rsidRDefault="00DB7077" w:rsidP="00DB7077">
      <w:pPr>
        <w:tabs>
          <w:tab w:val="left" w:pos="851"/>
        </w:tabs>
        <w:ind w:left="851"/>
        <w:rPr>
          <w:sz w:val="24"/>
          <w:szCs w:val="24"/>
        </w:rPr>
      </w:pPr>
      <w:proofErr w:type="spellStart"/>
      <w:r w:rsidRPr="00B751FD">
        <w:rPr>
          <w:sz w:val="24"/>
          <w:szCs w:val="24"/>
        </w:rPr>
        <w:t>Epistatus</w:t>
      </w:r>
      <w:proofErr w:type="spellEnd"/>
      <w:r w:rsidRPr="00B751FD">
        <w:rPr>
          <w:sz w:val="24"/>
          <w:szCs w:val="24"/>
        </w:rPr>
        <w:t xml:space="preserve"> 2,5 mg mundhulevæske, opløsning </w:t>
      </w:r>
    </w:p>
    <w:p w:rsidR="00DB7077" w:rsidRPr="00B751FD" w:rsidRDefault="00DB7077" w:rsidP="00DB7077">
      <w:pPr>
        <w:tabs>
          <w:tab w:val="left" w:pos="851"/>
        </w:tabs>
        <w:ind w:left="851"/>
        <w:rPr>
          <w:sz w:val="24"/>
          <w:szCs w:val="24"/>
        </w:rPr>
      </w:pPr>
      <w:proofErr w:type="spellStart"/>
      <w:r w:rsidRPr="00B751FD">
        <w:rPr>
          <w:sz w:val="24"/>
          <w:szCs w:val="24"/>
        </w:rPr>
        <w:t>Ethanol</w:t>
      </w:r>
      <w:proofErr w:type="spellEnd"/>
      <w:r w:rsidRPr="00B751FD">
        <w:rPr>
          <w:sz w:val="24"/>
          <w:szCs w:val="24"/>
        </w:rPr>
        <w:t xml:space="preserve"> 49 mg/dosis.</w:t>
      </w:r>
    </w:p>
    <w:p w:rsidR="00DB7077" w:rsidRPr="00B751FD" w:rsidRDefault="00DB7077" w:rsidP="00DB7077">
      <w:pPr>
        <w:tabs>
          <w:tab w:val="left" w:pos="851"/>
        </w:tabs>
        <w:ind w:left="851"/>
        <w:rPr>
          <w:sz w:val="24"/>
          <w:szCs w:val="24"/>
        </w:rPr>
      </w:pPr>
      <w:r w:rsidRPr="00B751FD">
        <w:rPr>
          <w:sz w:val="24"/>
          <w:szCs w:val="24"/>
        </w:rPr>
        <w:t xml:space="preserve">Flydende </w:t>
      </w:r>
      <w:proofErr w:type="spellStart"/>
      <w:r w:rsidRPr="00B751FD">
        <w:rPr>
          <w:sz w:val="24"/>
          <w:szCs w:val="24"/>
        </w:rPr>
        <w:t>maltitol</w:t>
      </w:r>
      <w:proofErr w:type="spellEnd"/>
      <w:r w:rsidRPr="00B751FD">
        <w:rPr>
          <w:sz w:val="24"/>
          <w:szCs w:val="24"/>
        </w:rPr>
        <w:t xml:space="preserve"> 169 mg/dosis.</w:t>
      </w:r>
    </w:p>
    <w:p w:rsidR="00DB7077" w:rsidRPr="00B751FD" w:rsidRDefault="00DB7077" w:rsidP="00DB7077">
      <w:pPr>
        <w:tabs>
          <w:tab w:val="left" w:pos="851"/>
        </w:tabs>
        <w:ind w:left="851"/>
        <w:rPr>
          <w:sz w:val="24"/>
          <w:szCs w:val="24"/>
        </w:rPr>
      </w:pPr>
    </w:p>
    <w:p w:rsidR="00DB7077" w:rsidRPr="00B751FD" w:rsidRDefault="00DB7077" w:rsidP="00DB7077">
      <w:pPr>
        <w:ind w:left="851"/>
        <w:outlineLvl w:val="0"/>
        <w:rPr>
          <w:sz w:val="24"/>
          <w:szCs w:val="24"/>
        </w:rPr>
      </w:pPr>
      <w:proofErr w:type="spellStart"/>
      <w:r w:rsidRPr="00B751FD">
        <w:rPr>
          <w:sz w:val="24"/>
          <w:szCs w:val="24"/>
        </w:rPr>
        <w:t>Epistatus</w:t>
      </w:r>
      <w:proofErr w:type="spellEnd"/>
      <w:r w:rsidRPr="00B751FD">
        <w:rPr>
          <w:sz w:val="24"/>
          <w:szCs w:val="24"/>
        </w:rPr>
        <w:t xml:space="preserve"> 5 mg mundhulevæske, opløsning</w:t>
      </w:r>
    </w:p>
    <w:p w:rsidR="00DB7077" w:rsidRPr="00B751FD" w:rsidRDefault="00DB7077" w:rsidP="00DB7077">
      <w:pPr>
        <w:tabs>
          <w:tab w:val="left" w:pos="851"/>
        </w:tabs>
        <w:ind w:left="851"/>
        <w:rPr>
          <w:sz w:val="24"/>
          <w:szCs w:val="24"/>
        </w:rPr>
      </w:pPr>
      <w:proofErr w:type="spellStart"/>
      <w:r w:rsidRPr="00B751FD">
        <w:rPr>
          <w:sz w:val="24"/>
          <w:szCs w:val="24"/>
        </w:rPr>
        <w:t>Ethanol</w:t>
      </w:r>
      <w:proofErr w:type="spellEnd"/>
      <w:r w:rsidRPr="00B751FD">
        <w:rPr>
          <w:sz w:val="24"/>
          <w:szCs w:val="24"/>
        </w:rPr>
        <w:t xml:space="preserve"> 99 mg/dosis.</w:t>
      </w:r>
    </w:p>
    <w:p w:rsidR="00DB7077" w:rsidRPr="00B751FD" w:rsidRDefault="00DB7077" w:rsidP="00DB7077">
      <w:pPr>
        <w:tabs>
          <w:tab w:val="left" w:pos="851"/>
        </w:tabs>
        <w:ind w:left="851"/>
        <w:rPr>
          <w:sz w:val="24"/>
          <w:szCs w:val="24"/>
        </w:rPr>
      </w:pPr>
      <w:r w:rsidRPr="00B751FD">
        <w:rPr>
          <w:sz w:val="24"/>
          <w:szCs w:val="24"/>
        </w:rPr>
        <w:t xml:space="preserve">Flydende </w:t>
      </w:r>
      <w:proofErr w:type="spellStart"/>
      <w:r w:rsidRPr="00B751FD">
        <w:rPr>
          <w:sz w:val="24"/>
          <w:szCs w:val="24"/>
        </w:rPr>
        <w:t>maltitol</w:t>
      </w:r>
      <w:proofErr w:type="spellEnd"/>
      <w:r w:rsidRPr="00B751FD">
        <w:rPr>
          <w:sz w:val="24"/>
          <w:szCs w:val="24"/>
        </w:rPr>
        <w:t xml:space="preserve"> 338 mg/dosis.</w:t>
      </w:r>
    </w:p>
    <w:p w:rsidR="00DB7077" w:rsidRPr="00B751FD" w:rsidRDefault="00DB7077" w:rsidP="00DB7077">
      <w:pPr>
        <w:tabs>
          <w:tab w:val="left" w:pos="851"/>
        </w:tabs>
        <w:ind w:left="851"/>
        <w:rPr>
          <w:sz w:val="24"/>
          <w:szCs w:val="24"/>
        </w:rPr>
      </w:pPr>
    </w:p>
    <w:p w:rsidR="00DB7077" w:rsidRPr="00B751FD" w:rsidRDefault="00DB7077" w:rsidP="00DB7077">
      <w:pPr>
        <w:ind w:left="851"/>
        <w:outlineLvl w:val="0"/>
        <w:rPr>
          <w:sz w:val="24"/>
          <w:szCs w:val="24"/>
        </w:rPr>
      </w:pPr>
      <w:proofErr w:type="spellStart"/>
      <w:r w:rsidRPr="00B751FD">
        <w:rPr>
          <w:sz w:val="24"/>
          <w:szCs w:val="24"/>
        </w:rPr>
        <w:t>Epistatus</w:t>
      </w:r>
      <w:proofErr w:type="spellEnd"/>
      <w:r w:rsidRPr="00B751FD">
        <w:rPr>
          <w:sz w:val="24"/>
          <w:szCs w:val="24"/>
        </w:rPr>
        <w:t xml:space="preserve"> 7,5 mg mundhulevæske, opløsning</w:t>
      </w:r>
    </w:p>
    <w:p w:rsidR="00DB7077" w:rsidRPr="00B751FD" w:rsidRDefault="00DB7077" w:rsidP="00DB7077">
      <w:pPr>
        <w:tabs>
          <w:tab w:val="left" w:pos="851"/>
        </w:tabs>
        <w:ind w:left="851"/>
        <w:rPr>
          <w:sz w:val="24"/>
          <w:szCs w:val="24"/>
        </w:rPr>
      </w:pPr>
      <w:proofErr w:type="spellStart"/>
      <w:r w:rsidRPr="00B751FD">
        <w:rPr>
          <w:sz w:val="24"/>
          <w:szCs w:val="24"/>
        </w:rPr>
        <w:t>Ethanol</w:t>
      </w:r>
      <w:proofErr w:type="spellEnd"/>
      <w:r w:rsidRPr="00B751FD">
        <w:rPr>
          <w:sz w:val="24"/>
          <w:szCs w:val="24"/>
        </w:rPr>
        <w:t xml:space="preserve"> 148 mg/dosis.</w:t>
      </w:r>
    </w:p>
    <w:p w:rsidR="00DB7077" w:rsidRPr="00B751FD" w:rsidRDefault="00DB7077" w:rsidP="00DB7077">
      <w:pPr>
        <w:tabs>
          <w:tab w:val="left" w:pos="851"/>
        </w:tabs>
        <w:ind w:left="851"/>
        <w:rPr>
          <w:sz w:val="24"/>
          <w:szCs w:val="24"/>
        </w:rPr>
      </w:pPr>
      <w:r w:rsidRPr="00B751FD">
        <w:rPr>
          <w:sz w:val="24"/>
          <w:szCs w:val="24"/>
        </w:rPr>
        <w:t xml:space="preserve">Flydende </w:t>
      </w:r>
      <w:proofErr w:type="spellStart"/>
      <w:r w:rsidRPr="00B751FD">
        <w:rPr>
          <w:sz w:val="24"/>
          <w:szCs w:val="24"/>
        </w:rPr>
        <w:t>maltitol</w:t>
      </w:r>
      <w:proofErr w:type="spellEnd"/>
      <w:r w:rsidRPr="00B751FD">
        <w:rPr>
          <w:sz w:val="24"/>
          <w:szCs w:val="24"/>
        </w:rPr>
        <w:t xml:space="preserve"> 506 mg/dosis.</w:t>
      </w:r>
    </w:p>
    <w:p w:rsidR="00DB7077" w:rsidRPr="00B751FD" w:rsidRDefault="00DB7077" w:rsidP="00DB7077">
      <w:pPr>
        <w:tabs>
          <w:tab w:val="left" w:pos="851"/>
        </w:tabs>
        <w:ind w:left="851"/>
        <w:rPr>
          <w:sz w:val="24"/>
          <w:szCs w:val="24"/>
        </w:rPr>
      </w:pPr>
    </w:p>
    <w:p w:rsidR="00DB7077" w:rsidRPr="00B751FD" w:rsidRDefault="00DB7077" w:rsidP="00DB7077">
      <w:pPr>
        <w:ind w:left="851"/>
        <w:outlineLvl w:val="0"/>
        <w:rPr>
          <w:sz w:val="24"/>
          <w:szCs w:val="24"/>
        </w:rPr>
      </w:pPr>
      <w:proofErr w:type="spellStart"/>
      <w:r w:rsidRPr="00B751FD">
        <w:rPr>
          <w:sz w:val="24"/>
          <w:szCs w:val="24"/>
        </w:rPr>
        <w:lastRenderedPageBreak/>
        <w:t>Epistatus</w:t>
      </w:r>
      <w:proofErr w:type="spellEnd"/>
      <w:r w:rsidRPr="00B751FD">
        <w:rPr>
          <w:sz w:val="24"/>
          <w:szCs w:val="24"/>
        </w:rPr>
        <w:t xml:space="preserve"> 10 mg mundhulevæske, opløsning</w:t>
      </w:r>
    </w:p>
    <w:p w:rsidR="00DB7077" w:rsidRPr="00B751FD" w:rsidRDefault="00DB7077" w:rsidP="00DB7077">
      <w:pPr>
        <w:tabs>
          <w:tab w:val="left" w:pos="851"/>
        </w:tabs>
        <w:ind w:left="851"/>
        <w:rPr>
          <w:sz w:val="24"/>
          <w:szCs w:val="24"/>
        </w:rPr>
      </w:pPr>
      <w:proofErr w:type="spellStart"/>
      <w:r w:rsidRPr="00B751FD">
        <w:rPr>
          <w:sz w:val="24"/>
          <w:szCs w:val="24"/>
        </w:rPr>
        <w:t>Ethanol</w:t>
      </w:r>
      <w:proofErr w:type="spellEnd"/>
      <w:r w:rsidRPr="00B751FD">
        <w:rPr>
          <w:sz w:val="24"/>
          <w:szCs w:val="24"/>
        </w:rPr>
        <w:t xml:space="preserve"> 197 mg/dosis.</w:t>
      </w:r>
    </w:p>
    <w:p w:rsidR="00DB7077" w:rsidRPr="00B751FD" w:rsidRDefault="00DB7077" w:rsidP="00DB7077">
      <w:pPr>
        <w:tabs>
          <w:tab w:val="left" w:pos="851"/>
        </w:tabs>
        <w:ind w:left="851"/>
        <w:rPr>
          <w:sz w:val="24"/>
          <w:szCs w:val="24"/>
        </w:rPr>
      </w:pPr>
      <w:r w:rsidRPr="00B751FD">
        <w:rPr>
          <w:sz w:val="24"/>
          <w:szCs w:val="24"/>
        </w:rPr>
        <w:t xml:space="preserve">Flydende </w:t>
      </w:r>
      <w:proofErr w:type="spellStart"/>
      <w:r w:rsidRPr="00B751FD">
        <w:rPr>
          <w:sz w:val="24"/>
          <w:szCs w:val="24"/>
        </w:rPr>
        <w:t>maltitol</w:t>
      </w:r>
      <w:proofErr w:type="spellEnd"/>
      <w:r w:rsidRPr="00B751FD">
        <w:rPr>
          <w:sz w:val="24"/>
          <w:szCs w:val="24"/>
        </w:rPr>
        <w:t xml:space="preserve"> 675 mg/dosis.</w:t>
      </w:r>
    </w:p>
    <w:p w:rsidR="00DB7077" w:rsidRPr="00B751FD" w:rsidRDefault="00DB7077" w:rsidP="00DB7077">
      <w:pPr>
        <w:tabs>
          <w:tab w:val="left" w:pos="851"/>
        </w:tabs>
        <w:ind w:left="851"/>
        <w:rPr>
          <w:sz w:val="24"/>
          <w:szCs w:val="24"/>
        </w:rPr>
      </w:pPr>
    </w:p>
    <w:p w:rsidR="00DB7077" w:rsidRPr="00B751FD" w:rsidRDefault="00DB7077" w:rsidP="00DB7077">
      <w:pPr>
        <w:tabs>
          <w:tab w:val="left" w:pos="851"/>
        </w:tabs>
        <w:ind w:left="851"/>
        <w:rPr>
          <w:sz w:val="24"/>
          <w:szCs w:val="24"/>
        </w:rPr>
      </w:pPr>
      <w:r w:rsidRPr="00B751FD">
        <w:rPr>
          <w:sz w:val="24"/>
          <w:szCs w:val="24"/>
        </w:rPr>
        <w:t>Alle hjælpestoffer er anført under pkt. 6.1.</w:t>
      </w:r>
    </w:p>
    <w:p w:rsidR="00AE09FE" w:rsidRPr="00B751FD" w:rsidRDefault="00AE09FE" w:rsidP="00AE09FE">
      <w:pPr>
        <w:tabs>
          <w:tab w:val="left" w:pos="851"/>
        </w:tabs>
        <w:ind w:left="851"/>
        <w:rPr>
          <w:sz w:val="24"/>
          <w:szCs w:val="24"/>
        </w:rPr>
      </w:pPr>
    </w:p>
    <w:p w:rsidR="00AE09FE" w:rsidRPr="00B751FD" w:rsidRDefault="00AE09FE" w:rsidP="00AE09FE">
      <w:pPr>
        <w:tabs>
          <w:tab w:val="left" w:pos="851"/>
        </w:tabs>
        <w:ind w:left="851" w:hanging="851"/>
        <w:rPr>
          <w:b/>
          <w:sz w:val="24"/>
          <w:szCs w:val="24"/>
        </w:rPr>
      </w:pPr>
      <w:r w:rsidRPr="00B751FD">
        <w:rPr>
          <w:b/>
          <w:sz w:val="24"/>
          <w:szCs w:val="24"/>
        </w:rPr>
        <w:t>3.</w:t>
      </w:r>
      <w:r w:rsidRPr="00B751FD">
        <w:rPr>
          <w:b/>
          <w:sz w:val="24"/>
          <w:szCs w:val="24"/>
        </w:rPr>
        <w:tab/>
        <w:t>LÆGEMIDDELFORM</w:t>
      </w:r>
    </w:p>
    <w:p w:rsidR="00AE09FE" w:rsidRPr="00B751FD" w:rsidRDefault="00AE09FE" w:rsidP="00AE09FE">
      <w:pPr>
        <w:tabs>
          <w:tab w:val="left" w:pos="851"/>
        </w:tabs>
        <w:ind w:left="851"/>
        <w:rPr>
          <w:sz w:val="24"/>
          <w:szCs w:val="24"/>
          <w:lang w:eastAsia="da-DK"/>
        </w:rPr>
      </w:pPr>
      <w:r w:rsidRPr="00B751FD">
        <w:rPr>
          <w:sz w:val="24"/>
          <w:szCs w:val="24"/>
        </w:rPr>
        <w:t>Mundhulevæske, opløsning</w:t>
      </w:r>
    </w:p>
    <w:p w:rsidR="002955F7" w:rsidRPr="00B751FD" w:rsidRDefault="002955F7" w:rsidP="002955F7">
      <w:pPr>
        <w:tabs>
          <w:tab w:val="left" w:pos="851"/>
        </w:tabs>
        <w:ind w:left="851"/>
        <w:rPr>
          <w:sz w:val="24"/>
          <w:szCs w:val="24"/>
        </w:rPr>
      </w:pPr>
      <w:r w:rsidRPr="00B751FD">
        <w:rPr>
          <w:sz w:val="24"/>
          <w:szCs w:val="24"/>
        </w:rPr>
        <w:t>Klar, farveløs til svagt gul opløsning, praktisk taget fri for synlige partikler.</w:t>
      </w:r>
    </w:p>
    <w:p w:rsidR="002955F7" w:rsidRPr="00B751FD" w:rsidRDefault="002955F7" w:rsidP="002955F7">
      <w:pPr>
        <w:tabs>
          <w:tab w:val="left" w:pos="851"/>
        </w:tabs>
        <w:ind w:left="851"/>
        <w:rPr>
          <w:sz w:val="24"/>
          <w:szCs w:val="24"/>
        </w:rPr>
      </w:pPr>
      <w:r w:rsidRPr="00B751FD">
        <w:rPr>
          <w:sz w:val="24"/>
          <w:szCs w:val="24"/>
        </w:rPr>
        <w:t>pH 4,8-5,6</w:t>
      </w:r>
    </w:p>
    <w:p w:rsidR="00AE09FE" w:rsidRPr="00B751FD" w:rsidRDefault="00AE09FE" w:rsidP="00AE09FE">
      <w:pPr>
        <w:tabs>
          <w:tab w:val="left" w:pos="851"/>
        </w:tabs>
        <w:ind w:left="851"/>
        <w:rPr>
          <w:sz w:val="24"/>
          <w:szCs w:val="24"/>
        </w:rPr>
      </w:pPr>
    </w:p>
    <w:p w:rsidR="00AE09FE" w:rsidRPr="00B751FD" w:rsidRDefault="00AE09FE" w:rsidP="00AE09FE">
      <w:pPr>
        <w:tabs>
          <w:tab w:val="left" w:pos="851"/>
        </w:tabs>
        <w:ind w:left="851"/>
        <w:rPr>
          <w:sz w:val="24"/>
          <w:szCs w:val="24"/>
        </w:rPr>
      </w:pPr>
    </w:p>
    <w:p w:rsidR="00AE09FE" w:rsidRPr="00B751FD" w:rsidRDefault="00AE09FE" w:rsidP="00AE09FE">
      <w:pPr>
        <w:tabs>
          <w:tab w:val="left" w:pos="851"/>
        </w:tabs>
        <w:ind w:left="851" w:hanging="851"/>
        <w:rPr>
          <w:b/>
          <w:sz w:val="24"/>
          <w:szCs w:val="24"/>
        </w:rPr>
      </w:pPr>
      <w:r w:rsidRPr="00B751FD">
        <w:rPr>
          <w:b/>
          <w:sz w:val="24"/>
          <w:szCs w:val="24"/>
        </w:rPr>
        <w:t>4.</w:t>
      </w:r>
      <w:r w:rsidRPr="00B751FD">
        <w:rPr>
          <w:b/>
          <w:sz w:val="24"/>
          <w:szCs w:val="24"/>
        </w:rPr>
        <w:tab/>
        <w:t>KLINISKE OPLYSNINGER</w:t>
      </w:r>
    </w:p>
    <w:p w:rsidR="00AE09FE" w:rsidRPr="00B751FD" w:rsidRDefault="00AE09FE" w:rsidP="00AE09FE">
      <w:pPr>
        <w:tabs>
          <w:tab w:val="left" w:pos="851"/>
        </w:tabs>
        <w:ind w:left="851"/>
        <w:rPr>
          <w:b/>
          <w:sz w:val="24"/>
          <w:szCs w:val="24"/>
        </w:rPr>
      </w:pPr>
    </w:p>
    <w:p w:rsidR="00AE09FE" w:rsidRPr="00B751FD" w:rsidRDefault="00AE09FE" w:rsidP="00AE09FE">
      <w:pPr>
        <w:tabs>
          <w:tab w:val="left" w:pos="851"/>
        </w:tabs>
        <w:ind w:left="851" w:hanging="851"/>
        <w:rPr>
          <w:b/>
          <w:sz w:val="24"/>
          <w:szCs w:val="24"/>
          <w:u w:val="single"/>
        </w:rPr>
      </w:pPr>
      <w:r w:rsidRPr="00B751FD">
        <w:rPr>
          <w:b/>
          <w:sz w:val="24"/>
          <w:szCs w:val="24"/>
        </w:rPr>
        <w:t>4.1</w:t>
      </w:r>
      <w:r w:rsidRPr="00B751FD">
        <w:rPr>
          <w:b/>
          <w:sz w:val="24"/>
          <w:szCs w:val="24"/>
        </w:rPr>
        <w:tab/>
        <w:t>Terapeutiske indikationer</w:t>
      </w:r>
    </w:p>
    <w:p w:rsidR="002955F7" w:rsidRPr="00B751FD" w:rsidRDefault="002955F7" w:rsidP="002955F7">
      <w:pPr>
        <w:tabs>
          <w:tab w:val="left" w:pos="851"/>
        </w:tabs>
        <w:ind w:left="851"/>
        <w:rPr>
          <w:sz w:val="24"/>
          <w:szCs w:val="24"/>
          <w:lang w:eastAsia="da-DK"/>
        </w:rPr>
      </w:pPr>
      <w:proofErr w:type="spellStart"/>
      <w:r w:rsidRPr="00B751FD">
        <w:rPr>
          <w:sz w:val="24"/>
          <w:szCs w:val="24"/>
        </w:rPr>
        <w:t>Epistatus</w:t>
      </w:r>
      <w:proofErr w:type="spellEnd"/>
      <w:r w:rsidRPr="00B751FD">
        <w:rPr>
          <w:sz w:val="24"/>
          <w:szCs w:val="24"/>
        </w:rPr>
        <w:t xml:space="preserve"> er indiceret til behandling af langvarige, akutte, </w:t>
      </w:r>
      <w:proofErr w:type="spellStart"/>
      <w:r w:rsidRPr="00B751FD">
        <w:rPr>
          <w:sz w:val="24"/>
          <w:szCs w:val="24"/>
        </w:rPr>
        <w:t>konvulsive</w:t>
      </w:r>
      <w:proofErr w:type="spellEnd"/>
      <w:r w:rsidRPr="00B751FD">
        <w:rPr>
          <w:sz w:val="24"/>
          <w:szCs w:val="24"/>
        </w:rPr>
        <w:t xml:space="preserve"> anfald hos spædbørn, småbørn, børn og unge i alderen fra 3 måneder til under 18 år.</w:t>
      </w:r>
    </w:p>
    <w:p w:rsidR="002955F7" w:rsidRPr="00B751FD" w:rsidRDefault="002955F7" w:rsidP="002955F7">
      <w:pPr>
        <w:tabs>
          <w:tab w:val="left" w:pos="851"/>
        </w:tabs>
        <w:ind w:left="851"/>
        <w:rPr>
          <w:sz w:val="24"/>
          <w:szCs w:val="24"/>
        </w:rPr>
      </w:pPr>
    </w:p>
    <w:p w:rsidR="002955F7" w:rsidRPr="00B751FD" w:rsidRDefault="002955F7" w:rsidP="002955F7">
      <w:pPr>
        <w:tabs>
          <w:tab w:val="left" w:pos="851"/>
        </w:tabs>
        <w:ind w:left="851"/>
        <w:rPr>
          <w:sz w:val="24"/>
          <w:szCs w:val="24"/>
        </w:rPr>
      </w:pPr>
      <w:proofErr w:type="spellStart"/>
      <w:r w:rsidRPr="00B751FD">
        <w:rPr>
          <w:sz w:val="24"/>
          <w:szCs w:val="24"/>
        </w:rPr>
        <w:t>Epistatus</w:t>
      </w:r>
      <w:proofErr w:type="spellEnd"/>
      <w:r w:rsidRPr="00B751FD">
        <w:rPr>
          <w:sz w:val="24"/>
          <w:szCs w:val="24"/>
        </w:rPr>
        <w:t xml:space="preserve"> må kun anvendes af forældre/omsorgspersoner, hvis patienten er blevet diagnosticeret med epilepsi.</w:t>
      </w:r>
    </w:p>
    <w:p w:rsidR="002955F7" w:rsidRPr="00B751FD" w:rsidRDefault="002955F7" w:rsidP="002955F7">
      <w:pPr>
        <w:tabs>
          <w:tab w:val="left" w:pos="851"/>
        </w:tabs>
        <w:ind w:left="851"/>
        <w:rPr>
          <w:sz w:val="24"/>
          <w:szCs w:val="24"/>
        </w:rPr>
      </w:pPr>
    </w:p>
    <w:p w:rsidR="002955F7" w:rsidRPr="00B751FD" w:rsidRDefault="002955F7" w:rsidP="002955F7">
      <w:pPr>
        <w:autoSpaceDE w:val="0"/>
        <w:autoSpaceDN w:val="0"/>
        <w:adjustRightInd w:val="0"/>
        <w:ind w:left="851"/>
        <w:rPr>
          <w:sz w:val="24"/>
          <w:szCs w:val="24"/>
        </w:rPr>
      </w:pPr>
      <w:r w:rsidRPr="00B751FD">
        <w:rPr>
          <w:sz w:val="24"/>
          <w:szCs w:val="24"/>
        </w:rPr>
        <w:t>Spædbørn fra 3 måneder til under 6 måneder må kun gives dette lægemiddel på et hospital med mulighed for overvågning og tilgængeligt genoplivningsudstyr. Se pkt. 4.4.</w:t>
      </w:r>
    </w:p>
    <w:p w:rsidR="00AE09FE" w:rsidRPr="00B751FD" w:rsidRDefault="00AE09FE" w:rsidP="00AE09FE">
      <w:pPr>
        <w:tabs>
          <w:tab w:val="left" w:pos="851"/>
        </w:tabs>
        <w:ind w:left="851"/>
        <w:rPr>
          <w:sz w:val="24"/>
          <w:szCs w:val="24"/>
        </w:rPr>
      </w:pPr>
    </w:p>
    <w:p w:rsidR="00AE09FE" w:rsidRPr="00B751FD" w:rsidRDefault="00AE09FE" w:rsidP="00AE09FE">
      <w:pPr>
        <w:tabs>
          <w:tab w:val="left" w:pos="851"/>
        </w:tabs>
        <w:ind w:left="851" w:hanging="851"/>
        <w:rPr>
          <w:b/>
          <w:sz w:val="24"/>
          <w:szCs w:val="24"/>
        </w:rPr>
      </w:pPr>
      <w:r w:rsidRPr="00B751FD">
        <w:rPr>
          <w:b/>
          <w:sz w:val="24"/>
          <w:szCs w:val="24"/>
        </w:rPr>
        <w:t>4.2</w:t>
      </w:r>
      <w:r w:rsidRPr="00B751FD">
        <w:rPr>
          <w:b/>
          <w:sz w:val="24"/>
          <w:szCs w:val="24"/>
        </w:rPr>
        <w:tab/>
        <w:t xml:space="preserve">Dosering og </w:t>
      </w:r>
      <w:r w:rsidR="00006FCB">
        <w:rPr>
          <w:b/>
          <w:sz w:val="24"/>
          <w:szCs w:val="24"/>
        </w:rPr>
        <w:t>administration</w:t>
      </w:r>
    </w:p>
    <w:p w:rsidR="00AE09FE" w:rsidRPr="00B751FD" w:rsidRDefault="00AE09FE" w:rsidP="00AE09FE">
      <w:pPr>
        <w:tabs>
          <w:tab w:val="left" w:pos="851"/>
        </w:tabs>
        <w:ind w:left="851"/>
        <w:rPr>
          <w:sz w:val="24"/>
          <w:szCs w:val="24"/>
          <w:u w:val="single"/>
        </w:rPr>
      </w:pPr>
    </w:p>
    <w:p w:rsidR="00D54CA1" w:rsidRPr="00B751FD" w:rsidRDefault="00D54CA1" w:rsidP="00D54CA1">
      <w:pPr>
        <w:tabs>
          <w:tab w:val="left" w:pos="851"/>
        </w:tabs>
        <w:ind w:left="851"/>
        <w:rPr>
          <w:i/>
          <w:sz w:val="24"/>
          <w:szCs w:val="24"/>
          <w:lang w:eastAsia="da-DK"/>
        </w:rPr>
      </w:pPr>
      <w:r w:rsidRPr="00B751FD">
        <w:rPr>
          <w:sz w:val="24"/>
          <w:szCs w:val="24"/>
          <w:u w:val="single"/>
        </w:rPr>
        <w:t>Dosering</w:t>
      </w:r>
    </w:p>
    <w:p w:rsidR="00D54CA1" w:rsidRPr="00B751FD" w:rsidRDefault="00D54CA1" w:rsidP="00D54CA1">
      <w:pPr>
        <w:tabs>
          <w:tab w:val="left" w:pos="851"/>
        </w:tabs>
        <w:ind w:left="851"/>
        <w:rPr>
          <w:sz w:val="24"/>
          <w:szCs w:val="24"/>
        </w:rPr>
      </w:pPr>
    </w:p>
    <w:p w:rsidR="00D54CA1" w:rsidRPr="00B751FD" w:rsidRDefault="00D54CA1" w:rsidP="00D54CA1">
      <w:pPr>
        <w:tabs>
          <w:tab w:val="left" w:pos="851"/>
        </w:tabs>
        <w:ind w:left="851"/>
        <w:rPr>
          <w:sz w:val="24"/>
          <w:szCs w:val="24"/>
        </w:rPr>
      </w:pPr>
      <w:r w:rsidRPr="00B751FD">
        <w:rPr>
          <w:sz w:val="24"/>
          <w:szCs w:val="24"/>
        </w:rPr>
        <w:t>Standarddosering er angivet nedenfor:</w:t>
      </w:r>
    </w:p>
    <w:tbl>
      <w:tblPr>
        <w:tblStyle w:val="Tabel-Gitter"/>
        <w:tblW w:w="0" w:type="auto"/>
        <w:jc w:val="center"/>
        <w:tblLook w:val="04A0" w:firstRow="1" w:lastRow="0" w:firstColumn="1" w:lastColumn="0" w:noHBand="0" w:noVBand="1"/>
      </w:tblPr>
      <w:tblGrid>
        <w:gridCol w:w="2972"/>
        <w:gridCol w:w="2126"/>
        <w:gridCol w:w="2136"/>
      </w:tblGrid>
      <w:tr w:rsidR="00D54CA1" w:rsidRPr="00B751FD" w:rsidTr="00CB14E4">
        <w:trPr>
          <w:jc w:val="center"/>
        </w:trPr>
        <w:tc>
          <w:tcPr>
            <w:tcW w:w="2972" w:type="dxa"/>
          </w:tcPr>
          <w:p w:rsidR="00D54CA1" w:rsidRPr="00B751FD" w:rsidRDefault="00D54CA1" w:rsidP="005E45E0">
            <w:pPr>
              <w:numPr>
                <w:ilvl w:val="12"/>
                <w:numId w:val="0"/>
              </w:numPr>
              <w:ind w:right="-2"/>
              <w:jc w:val="center"/>
              <w:rPr>
                <w:rFonts w:ascii="Times New Roman" w:hAnsi="Times New Roman"/>
                <w:sz w:val="24"/>
                <w:szCs w:val="24"/>
              </w:rPr>
            </w:pPr>
            <w:r w:rsidRPr="00B751FD">
              <w:rPr>
                <w:rFonts w:ascii="Times New Roman" w:hAnsi="Times New Roman"/>
                <w:sz w:val="24"/>
                <w:szCs w:val="24"/>
              </w:rPr>
              <w:t>Aldersgruppe</w:t>
            </w:r>
          </w:p>
        </w:tc>
        <w:tc>
          <w:tcPr>
            <w:tcW w:w="2126" w:type="dxa"/>
          </w:tcPr>
          <w:p w:rsidR="00D54CA1" w:rsidRPr="00B751FD" w:rsidRDefault="00D54CA1" w:rsidP="005E45E0">
            <w:pPr>
              <w:numPr>
                <w:ilvl w:val="12"/>
                <w:numId w:val="0"/>
              </w:numPr>
              <w:ind w:right="-2"/>
              <w:jc w:val="center"/>
              <w:rPr>
                <w:rFonts w:ascii="Times New Roman" w:hAnsi="Times New Roman"/>
                <w:sz w:val="24"/>
                <w:szCs w:val="24"/>
              </w:rPr>
            </w:pPr>
            <w:r w:rsidRPr="00B751FD">
              <w:rPr>
                <w:rFonts w:ascii="Times New Roman" w:hAnsi="Times New Roman"/>
                <w:sz w:val="24"/>
                <w:szCs w:val="24"/>
              </w:rPr>
              <w:t>Dosis</w:t>
            </w:r>
          </w:p>
        </w:tc>
        <w:tc>
          <w:tcPr>
            <w:tcW w:w="2136" w:type="dxa"/>
          </w:tcPr>
          <w:p w:rsidR="00D54CA1" w:rsidRPr="00B751FD" w:rsidRDefault="00D54CA1" w:rsidP="005E45E0">
            <w:pPr>
              <w:numPr>
                <w:ilvl w:val="12"/>
                <w:numId w:val="0"/>
              </w:numPr>
              <w:ind w:right="-2"/>
              <w:jc w:val="center"/>
              <w:rPr>
                <w:rFonts w:ascii="Times New Roman" w:hAnsi="Times New Roman"/>
                <w:sz w:val="24"/>
                <w:szCs w:val="24"/>
              </w:rPr>
            </w:pPr>
            <w:r w:rsidRPr="00B751FD">
              <w:rPr>
                <w:rFonts w:ascii="Times New Roman" w:hAnsi="Times New Roman"/>
                <w:sz w:val="24"/>
                <w:szCs w:val="24"/>
              </w:rPr>
              <w:t>Farve på emballage</w:t>
            </w:r>
          </w:p>
        </w:tc>
      </w:tr>
      <w:tr w:rsidR="00D54CA1" w:rsidRPr="00B751FD" w:rsidTr="00CB14E4">
        <w:trPr>
          <w:jc w:val="center"/>
        </w:trPr>
        <w:tc>
          <w:tcPr>
            <w:tcW w:w="2972" w:type="dxa"/>
          </w:tcPr>
          <w:p w:rsidR="00D54CA1" w:rsidRPr="00B751FD" w:rsidRDefault="00D54CA1" w:rsidP="005E45E0">
            <w:pPr>
              <w:numPr>
                <w:ilvl w:val="12"/>
                <w:numId w:val="0"/>
              </w:numPr>
              <w:ind w:right="-2"/>
              <w:jc w:val="center"/>
              <w:rPr>
                <w:rFonts w:ascii="Times New Roman" w:hAnsi="Times New Roman"/>
                <w:sz w:val="24"/>
                <w:szCs w:val="24"/>
              </w:rPr>
            </w:pPr>
            <w:r w:rsidRPr="00B751FD">
              <w:rPr>
                <w:rFonts w:ascii="Times New Roman" w:hAnsi="Times New Roman"/>
                <w:sz w:val="24"/>
                <w:szCs w:val="24"/>
              </w:rPr>
              <w:t>3 til 6 måneder (på hospital)</w:t>
            </w:r>
          </w:p>
        </w:tc>
        <w:tc>
          <w:tcPr>
            <w:tcW w:w="2126" w:type="dxa"/>
          </w:tcPr>
          <w:p w:rsidR="00D54CA1" w:rsidRPr="00B751FD" w:rsidRDefault="00D54CA1" w:rsidP="005E45E0">
            <w:pPr>
              <w:numPr>
                <w:ilvl w:val="12"/>
                <w:numId w:val="0"/>
              </w:numPr>
              <w:ind w:right="-2"/>
              <w:jc w:val="center"/>
              <w:rPr>
                <w:rFonts w:ascii="Times New Roman" w:hAnsi="Times New Roman"/>
                <w:sz w:val="24"/>
                <w:szCs w:val="24"/>
              </w:rPr>
            </w:pPr>
            <w:r w:rsidRPr="00B751FD">
              <w:rPr>
                <w:rFonts w:ascii="Times New Roman" w:hAnsi="Times New Roman"/>
                <w:sz w:val="24"/>
                <w:szCs w:val="24"/>
              </w:rPr>
              <w:t>2,5 mg (0,25 ml)</w:t>
            </w:r>
          </w:p>
        </w:tc>
        <w:tc>
          <w:tcPr>
            <w:tcW w:w="2136" w:type="dxa"/>
          </w:tcPr>
          <w:p w:rsidR="00D54CA1" w:rsidRPr="00B751FD" w:rsidRDefault="00D54CA1" w:rsidP="005E45E0">
            <w:pPr>
              <w:numPr>
                <w:ilvl w:val="12"/>
                <w:numId w:val="0"/>
              </w:numPr>
              <w:ind w:right="-2"/>
              <w:jc w:val="center"/>
              <w:rPr>
                <w:rFonts w:ascii="Times New Roman" w:hAnsi="Times New Roman"/>
                <w:sz w:val="24"/>
                <w:szCs w:val="24"/>
              </w:rPr>
            </w:pPr>
            <w:r w:rsidRPr="00B751FD">
              <w:rPr>
                <w:rFonts w:ascii="Times New Roman" w:hAnsi="Times New Roman"/>
                <w:sz w:val="24"/>
                <w:szCs w:val="24"/>
              </w:rPr>
              <w:t>Gul</w:t>
            </w:r>
          </w:p>
        </w:tc>
      </w:tr>
      <w:tr w:rsidR="00D54CA1" w:rsidRPr="00B751FD" w:rsidTr="00CB14E4">
        <w:trPr>
          <w:jc w:val="center"/>
        </w:trPr>
        <w:tc>
          <w:tcPr>
            <w:tcW w:w="2972" w:type="dxa"/>
          </w:tcPr>
          <w:p w:rsidR="00D54CA1" w:rsidRPr="00B751FD" w:rsidRDefault="00D54CA1" w:rsidP="005E45E0">
            <w:pPr>
              <w:pStyle w:val="Default"/>
              <w:jc w:val="center"/>
              <w:rPr>
                <w:rFonts w:ascii="Times New Roman" w:hAnsi="Times New Roman"/>
              </w:rPr>
            </w:pPr>
            <w:r w:rsidRPr="00B751FD">
              <w:rPr>
                <w:rFonts w:ascii="Times New Roman" w:hAnsi="Times New Roman"/>
              </w:rPr>
              <w:t>&gt; 6 måneder til &lt; 1 år</w:t>
            </w:r>
          </w:p>
        </w:tc>
        <w:tc>
          <w:tcPr>
            <w:tcW w:w="2126" w:type="dxa"/>
          </w:tcPr>
          <w:p w:rsidR="00D54CA1" w:rsidRPr="00B751FD" w:rsidRDefault="00D54CA1" w:rsidP="005E45E0">
            <w:pPr>
              <w:numPr>
                <w:ilvl w:val="12"/>
                <w:numId w:val="0"/>
              </w:numPr>
              <w:ind w:right="-2"/>
              <w:jc w:val="center"/>
              <w:rPr>
                <w:rFonts w:ascii="Times New Roman" w:hAnsi="Times New Roman"/>
                <w:sz w:val="24"/>
                <w:szCs w:val="24"/>
              </w:rPr>
            </w:pPr>
            <w:r w:rsidRPr="00B751FD">
              <w:rPr>
                <w:rFonts w:ascii="Times New Roman" w:hAnsi="Times New Roman"/>
                <w:sz w:val="24"/>
                <w:szCs w:val="24"/>
              </w:rPr>
              <w:t>2,5 mg (0,25 ml)</w:t>
            </w:r>
          </w:p>
        </w:tc>
        <w:tc>
          <w:tcPr>
            <w:tcW w:w="2136" w:type="dxa"/>
          </w:tcPr>
          <w:p w:rsidR="00D54CA1" w:rsidRPr="00B751FD" w:rsidRDefault="00D54CA1" w:rsidP="005E45E0">
            <w:pPr>
              <w:numPr>
                <w:ilvl w:val="12"/>
                <w:numId w:val="0"/>
              </w:numPr>
              <w:ind w:right="-2"/>
              <w:jc w:val="center"/>
              <w:rPr>
                <w:rFonts w:ascii="Times New Roman" w:hAnsi="Times New Roman"/>
                <w:sz w:val="24"/>
                <w:szCs w:val="24"/>
              </w:rPr>
            </w:pPr>
            <w:r w:rsidRPr="00B751FD">
              <w:rPr>
                <w:rFonts w:ascii="Times New Roman" w:hAnsi="Times New Roman"/>
                <w:sz w:val="24"/>
                <w:szCs w:val="24"/>
              </w:rPr>
              <w:t>Gul</w:t>
            </w:r>
          </w:p>
        </w:tc>
      </w:tr>
      <w:tr w:rsidR="00D54CA1" w:rsidRPr="00B751FD" w:rsidTr="00CB14E4">
        <w:trPr>
          <w:jc w:val="center"/>
        </w:trPr>
        <w:tc>
          <w:tcPr>
            <w:tcW w:w="2972" w:type="dxa"/>
          </w:tcPr>
          <w:p w:rsidR="00D54CA1" w:rsidRPr="00B751FD" w:rsidRDefault="00D54CA1" w:rsidP="005E45E0">
            <w:pPr>
              <w:numPr>
                <w:ilvl w:val="12"/>
                <w:numId w:val="0"/>
              </w:numPr>
              <w:ind w:right="-2"/>
              <w:jc w:val="center"/>
              <w:rPr>
                <w:rFonts w:ascii="Times New Roman" w:hAnsi="Times New Roman"/>
                <w:sz w:val="24"/>
                <w:szCs w:val="24"/>
              </w:rPr>
            </w:pPr>
            <w:r w:rsidRPr="00B751FD">
              <w:rPr>
                <w:rFonts w:ascii="Times New Roman" w:hAnsi="Times New Roman"/>
                <w:sz w:val="24"/>
                <w:szCs w:val="24"/>
              </w:rPr>
              <w:t>1 år til &lt; 5 år</w:t>
            </w:r>
          </w:p>
        </w:tc>
        <w:tc>
          <w:tcPr>
            <w:tcW w:w="2126" w:type="dxa"/>
          </w:tcPr>
          <w:p w:rsidR="00D54CA1" w:rsidRPr="00B751FD" w:rsidRDefault="00D54CA1" w:rsidP="005E45E0">
            <w:pPr>
              <w:numPr>
                <w:ilvl w:val="12"/>
                <w:numId w:val="0"/>
              </w:numPr>
              <w:ind w:right="-2"/>
              <w:jc w:val="center"/>
              <w:rPr>
                <w:rFonts w:ascii="Times New Roman" w:hAnsi="Times New Roman"/>
                <w:sz w:val="24"/>
                <w:szCs w:val="24"/>
              </w:rPr>
            </w:pPr>
            <w:r w:rsidRPr="00B751FD">
              <w:rPr>
                <w:rFonts w:ascii="Times New Roman" w:hAnsi="Times New Roman"/>
                <w:sz w:val="24"/>
                <w:szCs w:val="24"/>
              </w:rPr>
              <w:t>5 mg (0, 5 ml)</w:t>
            </w:r>
          </w:p>
        </w:tc>
        <w:tc>
          <w:tcPr>
            <w:tcW w:w="2136" w:type="dxa"/>
          </w:tcPr>
          <w:p w:rsidR="00D54CA1" w:rsidRPr="00B751FD" w:rsidRDefault="00D54CA1" w:rsidP="005E45E0">
            <w:pPr>
              <w:numPr>
                <w:ilvl w:val="12"/>
                <w:numId w:val="0"/>
              </w:numPr>
              <w:ind w:right="-2"/>
              <w:jc w:val="center"/>
              <w:rPr>
                <w:rFonts w:ascii="Times New Roman" w:hAnsi="Times New Roman"/>
                <w:sz w:val="24"/>
                <w:szCs w:val="24"/>
              </w:rPr>
            </w:pPr>
            <w:r w:rsidRPr="00B751FD">
              <w:rPr>
                <w:rFonts w:ascii="Times New Roman" w:hAnsi="Times New Roman"/>
                <w:sz w:val="24"/>
                <w:szCs w:val="24"/>
              </w:rPr>
              <w:t>Blå</w:t>
            </w:r>
          </w:p>
        </w:tc>
      </w:tr>
      <w:tr w:rsidR="00D54CA1" w:rsidRPr="00B751FD" w:rsidTr="00CB14E4">
        <w:trPr>
          <w:jc w:val="center"/>
        </w:trPr>
        <w:tc>
          <w:tcPr>
            <w:tcW w:w="2972" w:type="dxa"/>
          </w:tcPr>
          <w:p w:rsidR="00D54CA1" w:rsidRPr="00B751FD" w:rsidRDefault="00D54CA1" w:rsidP="005E45E0">
            <w:pPr>
              <w:numPr>
                <w:ilvl w:val="12"/>
                <w:numId w:val="0"/>
              </w:numPr>
              <w:ind w:right="-2"/>
              <w:jc w:val="center"/>
              <w:rPr>
                <w:rFonts w:ascii="Times New Roman" w:hAnsi="Times New Roman"/>
                <w:sz w:val="24"/>
                <w:szCs w:val="24"/>
              </w:rPr>
            </w:pPr>
            <w:r w:rsidRPr="00B751FD">
              <w:rPr>
                <w:rFonts w:ascii="Times New Roman" w:hAnsi="Times New Roman"/>
                <w:sz w:val="24"/>
                <w:szCs w:val="24"/>
              </w:rPr>
              <w:t>5 år til &lt; 10 år</w:t>
            </w:r>
          </w:p>
        </w:tc>
        <w:tc>
          <w:tcPr>
            <w:tcW w:w="2126" w:type="dxa"/>
          </w:tcPr>
          <w:p w:rsidR="00D54CA1" w:rsidRPr="00B751FD" w:rsidRDefault="00D54CA1" w:rsidP="005E45E0">
            <w:pPr>
              <w:numPr>
                <w:ilvl w:val="12"/>
                <w:numId w:val="0"/>
              </w:numPr>
              <w:ind w:right="-2"/>
              <w:jc w:val="center"/>
              <w:rPr>
                <w:rFonts w:ascii="Times New Roman" w:hAnsi="Times New Roman"/>
                <w:sz w:val="24"/>
                <w:szCs w:val="24"/>
              </w:rPr>
            </w:pPr>
            <w:r w:rsidRPr="00B751FD">
              <w:rPr>
                <w:rFonts w:ascii="Times New Roman" w:hAnsi="Times New Roman"/>
                <w:sz w:val="24"/>
                <w:szCs w:val="24"/>
              </w:rPr>
              <w:t>7,5 mg (0,75 ml)</w:t>
            </w:r>
          </w:p>
        </w:tc>
        <w:tc>
          <w:tcPr>
            <w:tcW w:w="2136" w:type="dxa"/>
          </w:tcPr>
          <w:p w:rsidR="00D54CA1" w:rsidRPr="00B751FD" w:rsidRDefault="00D54CA1" w:rsidP="005E45E0">
            <w:pPr>
              <w:numPr>
                <w:ilvl w:val="12"/>
                <w:numId w:val="0"/>
              </w:numPr>
              <w:ind w:right="-2"/>
              <w:jc w:val="center"/>
              <w:rPr>
                <w:rFonts w:ascii="Times New Roman" w:hAnsi="Times New Roman"/>
                <w:sz w:val="24"/>
                <w:szCs w:val="24"/>
              </w:rPr>
            </w:pPr>
            <w:r w:rsidRPr="00B751FD">
              <w:rPr>
                <w:rFonts w:ascii="Times New Roman" w:hAnsi="Times New Roman"/>
                <w:sz w:val="24"/>
                <w:szCs w:val="24"/>
              </w:rPr>
              <w:t>Lilla</w:t>
            </w:r>
          </w:p>
        </w:tc>
      </w:tr>
      <w:tr w:rsidR="00D54CA1" w:rsidRPr="00B751FD" w:rsidTr="00CB14E4">
        <w:trPr>
          <w:jc w:val="center"/>
        </w:trPr>
        <w:tc>
          <w:tcPr>
            <w:tcW w:w="2972" w:type="dxa"/>
          </w:tcPr>
          <w:p w:rsidR="00D54CA1" w:rsidRPr="00B751FD" w:rsidRDefault="00D54CA1" w:rsidP="005E45E0">
            <w:pPr>
              <w:numPr>
                <w:ilvl w:val="12"/>
                <w:numId w:val="0"/>
              </w:numPr>
              <w:ind w:right="-2"/>
              <w:jc w:val="center"/>
              <w:rPr>
                <w:rFonts w:ascii="Times New Roman" w:hAnsi="Times New Roman"/>
                <w:sz w:val="24"/>
                <w:szCs w:val="24"/>
              </w:rPr>
            </w:pPr>
            <w:r w:rsidRPr="00B751FD">
              <w:rPr>
                <w:rFonts w:ascii="Times New Roman" w:hAnsi="Times New Roman"/>
                <w:sz w:val="24"/>
                <w:szCs w:val="24"/>
              </w:rPr>
              <w:t>10 år til &lt;18 år</w:t>
            </w:r>
          </w:p>
        </w:tc>
        <w:tc>
          <w:tcPr>
            <w:tcW w:w="2126" w:type="dxa"/>
          </w:tcPr>
          <w:p w:rsidR="00D54CA1" w:rsidRPr="00B751FD" w:rsidRDefault="00D54CA1" w:rsidP="005E45E0">
            <w:pPr>
              <w:numPr>
                <w:ilvl w:val="12"/>
                <w:numId w:val="0"/>
              </w:numPr>
              <w:ind w:right="-2"/>
              <w:jc w:val="center"/>
              <w:rPr>
                <w:rFonts w:ascii="Times New Roman" w:hAnsi="Times New Roman"/>
                <w:sz w:val="24"/>
                <w:szCs w:val="24"/>
              </w:rPr>
            </w:pPr>
            <w:r w:rsidRPr="00B751FD">
              <w:rPr>
                <w:rFonts w:ascii="Times New Roman" w:hAnsi="Times New Roman"/>
                <w:sz w:val="24"/>
                <w:szCs w:val="24"/>
              </w:rPr>
              <w:t>10 mg (1 ml)</w:t>
            </w:r>
          </w:p>
        </w:tc>
        <w:tc>
          <w:tcPr>
            <w:tcW w:w="2136" w:type="dxa"/>
          </w:tcPr>
          <w:p w:rsidR="00D54CA1" w:rsidRPr="00B751FD" w:rsidRDefault="00D54CA1" w:rsidP="005E45E0">
            <w:pPr>
              <w:numPr>
                <w:ilvl w:val="12"/>
                <w:numId w:val="0"/>
              </w:numPr>
              <w:ind w:right="-2"/>
              <w:jc w:val="center"/>
              <w:rPr>
                <w:rFonts w:ascii="Times New Roman" w:hAnsi="Times New Roman"/>
                <w:sz w:val="24"/>
                <w:szCs w:val="24"/>
              </w:rPr>
            </w:pPr>
            <w:r w:rsidRPr="00B751FD">
              <w:rPr>
                <w:rFonts w:ascii="Times New Roman" w:hAnsi="Times New Roman"/>
                <w:sz w:val="24"/>
                <w:szCs w:val="24"/>
              </w:rPr>
              <w:t>Orange</w:t>
            </w:r>
          </w:p>
        </w:tc>
      </w:tr>
    </w:tbl>
    <w:p w:rsidR="00D54CA1" w:rsidRPr="00B751FD" w:rsidRDefault="00D54CA1" w:rsidP="00D54CA1">
      <w:pPr>
        <w:tabs>
          <w:tab w:val="left" w:pos="851"/>
        </w:tabs>
        <w:ind w:left="851"/>
        <w:rPr>
          <w:sz w:val="24"/>
          <w:szCs w:val="24"/>
        </w:rPr>
      </w:pPr>
    </w:p>
    <w:p w:rsidR="00D54CA1" w:rsidRPr="00B751FD" w:rsidRDefault="00D54CA1" w:rsidP="00D54CA1">
      <w:pPr>
        <w:tabs>
          <w:tab w:val="left" w:pos="851"/>
        </w:tabs>
        <w:ind w:left="851"/>
        <w:rPr>
          <w:sz w:val="24"/>
          <w:szCs w:val="24"/>
        </w:rPr>
      </w:pPr>
      <w:r w:rsidRPr="00B751FD">
        <w:rPr>
          <w:sz w:val="24"/>
          <w:szCs w:val="24"/>
        </w:rPr>
        <w:t xml:space="preserve">Forældre/omsorgspersoner må kun indgive en enkelt dosis </w:t>
      </w:r>
      <w:proofErr w:type="spellStart"/>
      <w:r w:rsidRPr="00B751FD">
        <w:rPr>
          <w:sz w:val="24"/>
          <w:szCs w:val="24"/>
        </w:rPr>
        <w:t>midazolam</w:t>
      </w:r>
      <w:proofErr w:type="spellEnd"/>
      <w:r w:rsidRPr="00B751FD">
        <w:rPr>
          <w:sz w:val="24"/>
          <w:szCs w:val="24"/>
        </w:rPr>
        <w:t xml:space="preserve">. Hvis anfaldet ikke stopper kort efter indgivelse af </w:t>
      </w:r>
      <w:proofErr w:type="spellStart"/>
      <w:r w:rsidRPr="00B751FD">
        <w:rPr>
          <w:sz w:val="24"/>
          <w:szCs w:val="24"/>
        </w:rPr>
        <w:t>midazolam</w:t>
      </w:r>
      <w:proofErr w:type="spellEnd"/>
      <w:r w:rsidRPr="00B751FD">
        <w:rPr>
          <w:sz w:val="24"/>
          <w:szCs w:val="24"/>
        </w:rPr>
        <w:t>, skal der søges akutmedicinsk hjælp under hensyntagen til tidligere instrukser fra den ordinerende læge eller lokale retningslinjer. Den tomme sprøjte skal gives til sundhedspersonalet for at give information om den dosis og det produkt, patienten har fået.</w:t>
      </w:r>
    </w:p>
    <w:p w:rsidR="00D54CA1" w:rsidRPr="00B751FD" w:rsidRDefault="00D54CA1" w:rsidP="00D54CA1">
      <w:pPr>
        <w:tabs>
          <w:tab w:val="left" w:pos="851"/>
        </w:tabs>
        <w:ind w:left="851"/>
        <w:rPr>
          <w:sz w:val="24"/>
          <w:szCs w:val="24"/>
        </w:rPr>
      </w:pPr>
    </w:p>
    <w:p w:rsidR="00D54CA1" w:rsidRPr="00B751FD" w:rsidRDefault="00D54CA1" w:rsidP="00D54CA1">
      <w:pPr>
        <w:tabs>
          <w:tab w:val="left" w:pos="851"/>
        </w:tabs>
        <w:ind w:left="851"/>
        <w:rPr>
          <w:sz w:val="24"/>
          <w:szCs w:val="24"/>
        </w:rPr>
      </w:pPr>
      <w:r w:rsidRPr="00B751FD">
        <w:rPr>
          <w:sz w:val="24"/>
          <w:szCs w:val="24"/>
        </w:rPr>
        <w:t xml:space="preserve">Efter at have fået </w:t>
      </w:r>
      <w:proofErr w:type="spellStart"/>
      <w:r w:rsidRPr="00B751FD">
        <w:rPr>
          <w:sz w:val="24"/>
          <w:szCs w:val="24"/>
        </w:rPr>
        <w:t>midazolam</w:t>
      </w:r>
      <w:proofErr w:type="spellEnd"/>
      <w:r w:rsidRPr="00B751FD">
        <w:rPr>
          <w:sz w:val="24"/>
          <w:szCs w:val="24"/>
        </w:rPr>
        <w:t xml:space="preserve"> skal patienten holdes under opsyn af en forælder/omsorgsperson, som bliver sammen med patienten.</w:t>
      </w:r>
    </w:p>
    <w:p w:rsidR="00D54CA1" w:rsidRPr="00B751FD" w:rsidRDefault="00D54CA1" w:rsidP="00D54CA1">
      <w:pPr>
        <w:tabs>
          <w:tab w:val="left" w:pos="851"/>
        </w:tabs>
        <w:ind w:left="851"/>
        <w:rPr>
          <w:sz w:val="24"/>
          <w:szCs w:val="24"/>
        </w:rPr>
      </w:pPr>
    </w:p>
    <w:p w:rsidR="00D54CA1" w:rsidRPr="00B751FD" w:rsidRDefault="00D54CA1" w:rsidP="00D54CA1">
      <w:pPr>
        <w:tabs>
          <w:tab w:val="left" w:pos="851"/>
        </w:tabs>
        <w:ind w:left="851"/>
        <w:rPr>
          <w:sz w:val="24"/>
          <w:szCs w:val="24"/>
        </w:rPr>
      </w:pPr>
      <w:r w:rsidRPr="00B751FD">
        <w:rPr>
          <w:sz w:val="24"/>
          <w:szCs w:val="24"/>
        </w:rPr>
        <w:t>En anden eller gentagen dosis, når der opstår anfald igen, efter en initial respons, må ikke gives uden forudgående lægelig rådgivning (se pkt. 5.2).</w:t>
      </w:r>
    </w:p>
    <w:p w:rsidR="0017203A" w:rsidRDefault="0017203A">
      <w:pPr>
        <w:rPr>
          <w:sz w:val="24"/>
          <w:szCs w:val="24"/>
        </w:rPr>
      </w:pPr>
      <w:r>
        <w:rPr>
          <w:sz w:val="24"/>
          <w:szCs w:val="24"/>
        </w:rPr>
        <w:br w:type="page"/>
      </w:r>
    </w:p>
    <w:p w:rsidR="00D54CA1" w:rsidRPr="00B751FD" w:rsidRDefault="00D54CA1" w:rsidP="00D54CA1">
      <w:pPr>
        <w:tabs>
          <w:tab w:val="left" w:pos="851"/>
        </w:tabs>
        <w:ind w:left="851"/>
        <w:rPr>
          <w:sz w:val="24"/>
          <w:szCs w:val="24"/>
        </w:rPr>
      </w:pPr>
    </w:p>
    <w:p w:rsidR="00D54CA1" w:rsidRPr="00B751FD" w:rsidRDefault="00D54CA1" w:rsidP="00D54CA1">
      <w:pPr>
        <w:tabs>
          <w:tab w:val="left" w:pos="851"/>
        </w:tabs>
        <w:ind w:left="851"/>
        <w:rPr>
          <w:bCs/>
          <w:sz w:val="24"/>
          <w:szCs w:val="24"/>
          <w:u w:val="single"/>
        </w:rPr>
      </w:pPr>
      <w:r w:rsidRPr="00B751FD">
        <w:rPr>
          <w:bCs/>
          <w:sz w:val="24"/>
          <w:szCs w:val="24"/>
          <w:u w:val="single"/>
        </w:rPr>
        <w:t>Særlige populationer</w:t>
      </w:r>
    </w:p>
    <w:p w:rsidR="00D54CA1" w:rsidRPr="00B751FD" w:rsidRDefault="00D54CA1" w:rsidP="00D54CA1">
      <w:pPr>
        <w:tabs>
          <w:tab w:val="left" w:pos="851"/>
        </w:tabs>
        <w:ind w:left="851"/>
        <w:rPr>
          <w:iCs/>
          <w:sz w:val="24"/>
          <w:szCs w:val="24"/>
        </w:rPr>
      </w:pPr>
    </w:p>
    <w:p w:rsidR="00D54CA1" w:rsidRPr="00B751FD" w:rsidRDefault="00D54CA1" w:rsidP="00D54CA1">
      <w:pPr>
        <w:tabs>
          <w:tab w:val="left" w:pos="851"/>
        </w:tabs>
        <w:ind w:left="851"/>
        <w:rPr>
          <w:i/>
          <w:iCs/>
          <w:sz w:val="24"/>
          <w:szCs w:val="24"/>
        </w:rPr>
      </w:pPr>
      <w:r w:rsidRPr="00B751FD">
        <w:rPr>
          <w:i/>
          <w:iCs/>
          <w:sz w:val="24"/>
          <w:szCs w:val="24"/>
        </w:rPr>
        <w:t>Nedsat nyrefunktion</w:t>
      </w:r>
    </w:p>
    <w:p w:rsidR="00D54CA1" w:rsidRPr="00B751FD" w:rsidRDefault="00D54CA1" w:rsidP="00D54CA1">
      <w:pPr>
        <w:tabs>
          <w:tab w:val="left" w:pos="851"/>
        </w:tabs>
        <w:ind w:left="851"/>
        <w:rPr>
          <w:iCs/>
          <w:sz w:val="24"/>
          <w:szCs w:val="24"/>
        </w:rPr>
      </w:pPr>
      <w:r w:rsidRPr="00B751FD">
        <w:rPr>
          <w:sz w:val="24"/>
          <w:szCs w:val="24"/>
        </w:rPr>
        <w:t xml:space="preserve">Der er ikke rapporteret om effektstudier af </w:t>
      </w:r>
      <w:proofErr w:type="spellStart"/>
      <w:r w:rsidRPr="00B751FD">
        <w:rPr>
          <w:sz w:val="24"/>
          <w:szCs w:val="24"/>
        </w:rPr>
        <w:t>midazolam</w:t>
      </w:r>
      <w:proofErr w:type="spellEnd"/>
      <w:r w:rsidRPr="00B751FD">
        <w:rPr>
          <w:sz w:val="24"/>
          <w:szCs w:val="24"/>
        </w:rPr>
        <w:t xml:space="preserve"> til børn med kronisk nyresvigt. Flere doser af </w:t>
      </w:r>
      <w:proofErr w:type="spellStart"/>
      <w:r w:rsidRPr="00B751FD">
        <w:rPr>
          <w:sz w:val="24"/>
          <w:szCs w:val="24"/>
        </w:rPr>
        <w:t>midazolam</w:t>
      </w:r>
      <w:proofErr w:type="spellEnd"/>
      <w:r w:rsidRPr="00B751FD">
        <w:rPr>
          <w:sz w:val="24"/>
          <w:szCs w:val="24"/>
        </w:rPr>
        <w:t xml:space="preserve"> til patienter med kronisk nyresvigt kan medføre forsinket elimination af </w:t>
      </w:r>
      <w:proofErr w:type="spellStart"/>
      <w:r w:rsidRPr="00B751FD">
        <w:rPr>
          <w:sz w:val="24"/>
          <w:szCs w:val="24"/>
        </w:rPr>
        <w:t>midazolam</w:t>
      </w:r>
      <w:proofErr w:type="spellEnd"/>
      <w:r w:rsidRPr="00B751FD">
        <w:rPr>
          <w:sz w:val="24"/>
          <w:szCs w:val="24"/>
        </w:rPr>
        <w:t xml:space="preserve"> og hermed forlænge virkninger. I forbindelse med behandlingen af et akut epileptisk anfald med en enkelt dosis eller 2 doser </w:t>
      </w:r>
      <w:proofErr w:type="spellStart"/>
      <w:r w:rsidRPr="00B751FD">
        <w:rPr>
          <w:sz w:val="24"/>
          <w:szCs w:val="24"/>
        </w:rPr>
        <w:t>midazolam</w:t>
      </w:r>
      <w:proofErr w:type="spellEnd"/>
      <w:r w:rsidRPr="00B751FD">
        <w:rPr>
          <w:sz w:val="24"/>
          <w:szCs w:val="24"/>
        </w:rPr>
        <w:t xml:space="preserve"> er det ikke sandsynligt, at der opstår akkumulering af moderstoffet eller metabolitten, og hermed forårsager forlængelse af klinisk signifikante farmakologiske virkninger.</w:t>
      </w:r>
    </w:p>
    <w:p w:rsidR="00D54CA1" w:rsidRPr="00B751FD" w:rsidRDefault="00D54CA1" w:rsidP="00D54CA1">
      <w:pPr>
        <w:tabs>
          <w:tab w:val="left" w:pos="851"/>
        </w:tabs>
        <w:ind w:left="851"/>
        <w:rPr>
          <w:iCs/>
          <w:sz w:val="24"/>
          <w:szCs w:val="24"/>
        </w:rPr>
      </w:pPr>
    </w:p>
    <w:p w:rsidR="00D54CA1" w:rsidRPr="00B751FD" w:rsidRDefault="00D54CA1" w:rsidP="00D54CA1">
      <w:pPr>
        <w:tabs>
          <w:tab w:val="left" w:pos="851"/>
        </w:tabs>
        <w:ind w:left="851"/>
        <w:rPr>
          <w:i/>
          <w:iCs/>
          <w:sz w:val="24"/>
          <w:szCs w:val="24"/>
        </w:rPr>
      </w:pPr>
      <w:r w:rsidRPr="00B751FD">
        <w:rPr>
          <w:i/>
          <w:iCs/>
          <w:sz w:val="24"/>
          <w:szCs w:val="24"/>
        </w:rPr>
        <w:t>Nedsat leverfunktion</w:t>
      </w:r>
    </w:p>
    <w:p w:rsidR="00D54CA1" w:rsidRPr="00B751FD" w:rsidRDefault="00D54CA1" w:rsidP="00D54CA1">
      <w:pPr>
        <w:tabs>
          <w:tab w:val="left" w:pos="851"/>
        </w:tabs>
        <w:ind w:left="851"/>
        <w:rPr>
          <w:iCs/>
          <w:sz w:val="24"/>
          <w:szCs w:val="24"/>
        </w:rPr>
      </w:pPr>
      <w:r w:rsidRPr="00B751FD">
        <w:rPr>
          <w:sz w:val="24"/>
          <w:szCs w:val="24"/>
        </w:rPr>
        <w:t xml:space="preserve">Der er ikke rapporteret om effektstudier af </w:t>
      </w:r>
      <w:proofErr w:type="spellStart"/>
      <w:r w:rsidRPr="00B751FD">
        <w:rPr>
          <w:sz w:val="24"/>
          <w:szCs w:val="24"/>
        </w:rPr>
        <w:t>midazolam</w:t>
      </w:r>
      <w:proofErr w:type="spellEnd"/>
      <w:r w:rsidRPr="00B751FD">
        <w:rPr>
          <w:sz w:val="24"/>
          <w:szCs w:val="24"/>
        </w:rPr>
        <w:t xml:space="preserve"> til børn med nedsat leverfunktion. </w:t>
      </w:r>
    </w:p>
    <w:p w:rsidR="00D54CA1" w:rsidRPr="00B751FD" w:rsidRDefault="00D54CA1" w:rsidP="00D54CA1">
      <w:pPr>
        <w:tabs>
          <w:tab w:val="left" w:pos="851"/>
        </w:tabs>
        <w:ind w:left="851"/>
        <w:rPr>
          <w:iCs/>
          <w:sz w:val="24"/>
          <w:szCs w:val="24"/>
        </w:rPr>
      </w:pPr>
    </w:p>
    <w:p w:rsidR="00D54CA1" w:rsidRPr="00B751FD" w:rsidRDefault="00D54CA1" w:rsidP="00D54CA1">
      <w:pPr>
        <w:tabs>
          <w:tab w:val="left" w:pos="851"/>
        </w:tabs>
        <w:ind w:left="851"/>
        <w:rPr>
          <w:iCs/>
          <w:sz w:val="24"/>
          <w:szCs w:val="24"/>
        </w:rPr>
      </w:pPr>
      <w:r w:rsidRPr="00B751FD">
        <w:rPr>
          <w:sz w:val="24"/>
          <w:szCs w:val="24"/>
        </w:rPr>
        <w:t xml:space="preserve">En nedsat leverfunktion reducerer </w:t>
      </w:r>
      <w:proofErr w:type="spellStart"/>
      <w:r w:rsidRPr="00B751FD">
        <w:rPr>
          <w:sz w:val="24"/>
          <w:szCs w:val="24"/>
        </w:rPr>
        <w:t>clearance</w:t>
      </w:r>
      <w:proofErr w:type="spellEnd"/>
      <w:r w:rsidRPr="00B751FD">
        <w:rPr>
          <w:sz w:val="24"/>
          <w:szCs w:val="24"/>
        </w:rPr>
        <w:t xml:space="preserve"> af </w:t>
      </w:r>
      <w:proofErr w:type="spellStart"/>
      <w:r w:rsidRPr="00B751FD">
        <w:rPr>
          <w:sz w:val="24"/>
          <w:szCs w:val="24"/>
        </w:rPr>
        <w:t>midazolam</w:t>
      </w:r>
      <w:proofErr w:type="spellEnd"/>
      <w:r w:rsidRPr="00B751FD">
        <w:rPr>
          <w:sz w:val="24"/>
          <w:szCs w:val="24"/>
        </w:rPr>
        <w:t xml:space="preserve"> med en efterfølgende forøgelse af den terminale halveringstid. Derfor kan de kliniske virkninger være kraftigere og vare længere, og derfor anbefales nøje overvågning af de kliniske virkninger og vitale tegn efter indgivelse af </w:t>
      </w:r>
      <w:proofErr w:type="spellStart"/>
      <w:r w:rsidRPr="00B751FD">
        <w:rPr>
          <w:sz w:val="24"/>
          <w:szCs w:val="24"/>
        </w:rPr>
        <w:t>midazolam</w:t>
      </w:r>
      <w:proofErr w:type="spellEnd"/>
      <w:r w:rsidRPr="00B751FD">
        <w:rPr>
          <w:sz w:val="24"/>
          <w:szCs w:val="24"/>
        </w:rPr>
        <w:t xml:space="preserve"> hos patienter med nedsat leverfunktion (se pkt. 4.4).</w:t>
      </w:r>
    </w:p>
    <w:p w:rsidR="00D54CA1" w:rsidRPr="00B751FD" w:rsidRDefault="00D54CA1" w:rsidP="00D54CA1">
      <w:pPr>
        <w:tabs>
          <w:tab w:val="left" w:pos="851"/>
        </w:tabs>
        <w:ind w:left="851"/>
        <w:rPr>
          <w:iCs/>
          <w:sz w:val="24"/>
          <w:szCs w:val="24"/>
        </w:rPr>
      </w:pPr>
    </w:p>
    <w:p w:rsidR="00D54CA1" w:rsidRPr="00B751FD" w:rsidRDefault="00D54CA1" w:rsidP="00D54CA1">
      <w:pPr>
        <w:tabs>
          <w:tab w:val="left" w:pos="851"/>
        </w:tabs>
        <w:ind w:left="851"/>
        <w:rPr>
          <w:iCs/>
          <w:sz w:val="24"/>
          <w:szCs w:val="24"/>
        </w:rPr>
      </w:pPr>
      <w:proofErr w:type="spellStart"/>
      <w:r w:rsidRPr="00B751FD">
        <w:rPr>
          <w:sz w:val="24"/>
          <w:szCs w:val="24"/>
        </w:rPr>
        <w:t>Epistatus</w:t>
      </w:r>
      <w:proofErr w:type="spellEnd"/>
      <w:r w:rsidRPr="00B751FD">
        <w:rPr>
          <w:sz w:val="24"/>
          <w:szCs w:val="24"/>
        </w:rPr>
        <w:t xml:space="preserve"> er kontraindiceret hos patienter med svær nedsat leverfunktion (se pkt. 4.3).</w:t>
      </w:r>
    </w:p>
    <w:p w:rsidR="00D54CA1" w:rsidRPr="00B751FD" w:rsidRDefault="00D54CA1" w:rsidP="00D54CA1">
      <w:pPr>
        <w:tabs>
          <w:tab w:val="left" w:pos="851"/>
        </w:tabs>
        <w:ind w:left="851"/>
        <w:rPr>
          <w:iCs/>
          <w:sz w:val="24"/>
          <w:szCs w:val="24"/>
        </w:rPr>
      </w:pPr>
    </w:p>
    <w:p w:rsidR="00D54CA1" w:rsidRPr="00B751FD" w:rsidRDefault="00D54CA1" w:rsidP="00D54CA1">
      <w:pPr>
        <w:tabs>
          <w:tab w:val="left" w:pos="851"/>
        </w:tabs>
        <w:ind w:left="851"/>
        <w:rPr>
          <w:i/>
          <w:iCs/>
          <w:sz w:val="24"/>
          <w:szCs w:val="24"/>
        </w:rPr>
      </w:pPr>
      <w:r w:rsidRPr="00B751FD">
        <w:rPr>
          <w:i/>
          <w:iCs/>
          <w:sz w:val="24"/>
          <w:szCs w:val="24"/>
        </w:rPr>
        <w:t>Fedme</w:t>
      </w:r>
    </w:p>
    <w:p w:rsidR="00D54CA1" w:rsidRPr="00B751FD" w:rsidRDefault="00D54CA1" w:rsidP="00D54CA1">
      <w:pPr>
        <w:tabs>
          <w:tab w:val="left" w:pos="851"/>
        </w:tabs>
        <w:ind w:left="851"/>
        <w:rPr>
          <w:iCs/>
          <w:sz w:val="24"/>
          <w:szCs w:val="24"/>
        </w:rPr>
      </w:pPr>
      <w:r w:rsidRPr="00B751FD">
        <w:rPr>
          <w:sz w:val="24"/>
          <w:szCs w:val="24"/>
        </w:rPr>
        <w:t xml:space="preserve">Der er ikke rapporteret om effektstudier af </w:t>
      </w:r>
      <w:proofErr w:type="spellStart"/>
      <w:r w:rsidRPr="00B751FD">
        <w:rPr>
          <w:sz w:val="24"/>
          <w:szCs w:val="24"/>
        </w:rPr>
        <w:t>midazolam</w:t>
      </w:r>
      <w:proofErr w:type="spellEnd"/>
      <w:r w:rsidRPr="00B751FD">
        <w:rPr>
          <w:sz w:val="24"/>
          <w:szCs w:val="24"/>
        </w:rPr>
        <w:t xml:space="preserve"> til svært overvægtige børn. Derfor foreligger der ingen data. </w:t>
      </w:r>
    </w:p>
    <w:p w:rsidR="00D54CA1" w:rsidRPr="00B751FD" w:rsidRDefault="00D54CA1" w:rsidP="00D54CA1">
      <w:pPr>
        <w:tabs>
          <w:tab w:val="left" w:pos="851"/>
        </w:tabs>
        <w:ind w:left="851"/>
        <w:rPr>
          <w:i/>
          <w:iCs/>
          <w:sz w:val="24"/>
          <w:szCs w:val="24"/>
        </w:rPr>
      </w:pPr>
    </w:p>
    <w:p w:rsidR="00D54CA1" w:rsidRPr="00B751FD" w:rsidRDefault="00D54CA1" w:rsidP="00D54CA1">
      <w:pPr>
        <w:tabs>
          <w:tab w:val="left" w:pos="851"/>
        </w:tabs>
        <w:ind w:left="851"/>
        <w:rPr>
          <w:i/>
          <w:iCs/>
          <w:sz w:val="24"/>
          <w:szCs w:val="24"/>
        </w:rPr>
      </w:pPr>
      <w:r w:rsidRPr="00B751FD">
        <w:rPr>
          <w:i/>
          <w:iCs/>
          <w:sz w:val="24"/>
          <w:szCs w:val="24"/>
        </w:rPr>
        <w:t>Kritisk syge patienter</w:t>
      </w:r>
    </w:p>
    <w:p w:rsidR="00D54CA1" w:rsidRPr="00B751FD" w:rsidRDefault="00D54CA1" w:rsidP="00D54CA1">
      <w:pPr>
        <w:tabs>
          <w:tab w:val="left" w:pos="851"/>
        </w:tabs>
        <w:ind w:left="851"/>
        <w:rPr>
          <w:iCs/>
          <w:sz w:val="24"/>
          <w:szCs w:val="24"/>
        </w:rPr>
      </w:pPr>
      <w:r w:rsidRPr="00B751FD">
        <w:rPr>
          <w:sz w:val="24"/>
          <w:szCs w:val="24"/>
        </w:rPr>
        <w:t xml:space="preserve">Der er ikke rapporteret om effektstudier af </w:t>
      </w:r>
      <w:proofErr w:type="spellStart"/>
      <w:r w:rsidRPr="00B751FD">
        <w:rPr>
          <w:sz w:val="24"/>
          <w:szCs w:val="24"/>
        </w:rPr>
        <w:t>midazolam</w:t>
      </w:r>
      <w:proofErr w:type="spellEnd"/>
      <w:r w:rsidRPr="00B751FD">
        <w:rPr>
          <w:sz w:val="24"/>
          <w:szCs w:val="24"/>
        </w:rPr>
        <w:t xml:space="preserve"> til kritisk syge børn.</w:t>
      </w:r>
    </w:p>
    <w:p w:rsidR="00D54CA1" w:rsidRPr="00B751FD" w:rsidRDefault="00D54CA1" w:rsidP="00D54CA1">
      <w:pPr>
        <w:tabs>
          <w:tab w:val="left" w:pos="851"/>
        </w:tabs>
        <w:ind w:left="851"/>
        <w:rPr>
          <w:iCs/>
          <w:sz w:val="24"/>
          <w:szCs w:val="24"/>
        </w:rPr>
      </w:pPr>
    </w:p>
    <w:p w:rsidR="00D54CA1" w:rsidRPr="00B751FD" w:rsidRDefault="00D54CA1" w:rsidP="00D54CA1">
      <w:pPr>
        <w:tabs>
          <w:tab w:val="left" w:pos="851"/>
        </w:tabs>
        <w:ind w:left="851"/>
        <w:rPr>
          <w:i/>
          <w:iCs/>
          <w:sz w:val="24"/>
          <w:szCs w:val="24"/>
        </w:rPr>
      </w:pPr>
      <w:r w:rsidRPr="00B751FD">
        <w:rPr>
          <w:i/>
          <w:iCs/>
          <w:sz w:val="24"/>
          <w:szCs w:val="24"/>
        </w:rPr>
        <w:t>Hjerteinsufficiens</w:t>
      </w:r>
    </w:p>
    <w:p w:rsidR="00D54CA1" w:rsidRPr="00B751FD" w:rsidRDefault="00D54CA1" w:rsidP="00D54CA1">
      <w:pPr>
        <w:tabs>
          <w:tab w:val="left" w:pos="851"/>
        </w:tabs>
        <w:ind w:left="851"/>
        <w:rPr>
          <w:iCs/>
          <w:sz w:val="24"/>
          <w:szCs w:val="24"/>
        </w:rPr>
      </w:pPr>
      <w:r w:rsidRPr="00B751FD">
        <w:rPr>
          <w:sz w:val="24"/>
          <w:szCs w:val="24"/>
        </w:rPr>
        <w:t xml:space="preserve">Der er ikke rapporteret om effektstudier af </w:t>
      </w:r>
      <w:proofErr w:type="spellStart"/>
      <w:r w:rsidRPr="00B751FD">
        <w:rPr>
          <w:sz w:val="24"/>
          <w:szCs w:val="24"/>
        </w:rPr>
        <w:t>midazolam</w:t>
      </w:r>
      <w:proofErr w:type="spellEnd"/>
      <w:r w:rsidRPr="00B751FD">
        <w:rPr>
          <w:sz w:val="24"/>
          <w:szCs w:val="24"/>
        </w:rPr>
        <w:t xml:space="preserve"> til børn med hjerteinsufficiens.</w:t>
      </w:r>
    </w:p>
    <w:p w:rsidR="00D54CA1" w:rsidRPr="00B751FD" w:rsidRDefault="00D54CA1" w:rsidP="00D54CA1">
      <w:pPr>
        <w:tabs>
          <w:tab w:val="left" w:pos="851"/>
        </w:tabs>
        <w:ind w:left="851"/>
        <w:rPr>
          <w:iCs/>
          <w:sz w:val="24"/>
          <w:szCs w:val="24"/>
        </w:rPr>
      </w:pPr>
    </w:p>
    <w:p w:rsidR="00D54CA1" w:rsidRPr="00B751FD" w:rsidRDefault="00D54CA1" w:rsidP="00D54CA1">
      <w:pPr>
        <w:tabs>
          <w:tab w:val="left" w:pos="851"/>
        </w:tabs>
        <w:ind w:left="851"/>
        <w:rPr>
          <w:i/>
          <w:sz w:val="24"/>
          <w:szCs w:val="24"/>
        </w:rPr>
      </w:pPr>
      <w:r w:rsidRPr="00B751FD">
        <w:rPr>
          <w:i/>
          <w:sz w:val="24"/>
          <w:szCs w:val="24"/>
        </w:rPr>
        <w:t>Pædiatrisk population</w:t>
      </w:r>
    </w:p>
    <w:p w:rsidR="00D54CA1" w:rsidRPr="00B751FD" w:rsidRDefault="00D54CA1" w:rsidP="00D54CA1">
      <w:pPr>
        <w:ind w:left="851"/>
        <w:rPr>
          <w:sz w:val="24"/>
          <w:szCs w:val="24"/>
        </w:rPr>
      </w:pPr>
      <w:proofErr w:type="spellStart"/>
      <w:r w:rsidRPr="00B751FD">
        <w:rPr>
          <w:sz w:val="24"/>
          <w:szCs w:val="24"/>
        </w:rPr>
        <w:t>Midazolams</w:t>
      </w:r>
      <w:proofErr w:type="spellEnd"/>
      <w:r w:rsidRPr="00B751FD">
        <w:rPr>
          <w:sz w:val="24"/>
          <w:szCs w:val="24"/>
        </w:rPr>
        <w:t xml:space="preserve"> sikkerhed og virkning hos børn i alderen 0-3 måneder er ikke klarlagt.</w:t>
      </w:r>
    </w:p>
    <w:p w:rsidR="00D54CA1" w:rsidRPr="00B751FD" w:rsidRDefault="00D54CA1" w:rsidP="00D54CA1">
      <w:pPr>
        <w:tabs>
          <w:tab w:val="left" w:pos="851"/>
        </w:tabs>
        <w:ind w:left="851"/>
        <w:rPr>
          <w:iCs/>
          <w:sz w:val="24"/>
          <w:szCs w:val="24"/>
        </w:rPr>
      </w:pPr>
      <w:r w:rsidRPr="00B751FD">
        <w:rPr>
          <w:sz w:val="24"/>
          <w:szCs w:val="24"/>
        </w:rPr>
        <w:t>Der foreligger ingen data.</w:t>
      </w:r>
    </w:p>
    <w:p w:rsidR="00D54CA1" w:rsidRPr="00B751FD" w:rsidRDefault="00D54CA1" w:rsidP="00D54CA1">
      <w:pPr>
        <w:tabs>
          <w:tab w:val="left" w:pos="851"/>
        </w:tabs>
        <w:ind w:left="851"/>
        <w:rPr>
          <w:iCs/>
          <w:sz w:val="24"/>
          <w:szCs w:val="24"/>
        </w:rPr>
      </w:pPr>
    </w:p>
    <w:p w:rsidR="00D54CA1" w:rsidRPr="00B751FD" w:rsidRDefault="00D54CA1" w:rsidP="00D54CA1">
      <w:pPr>
        <w:tabs>
          <w:tab w:val="left" w:pos="851"/>
        </w:tabs>
        <w:ind w:left="851"/>
        <w:rPr>
          <w:sz w:val="24"/>
          <w:szCs w:val="24"/>
          <w:u w:val="single"/>
        </w:rPr>
      </w:pPr>
      <w:r w:rsidRPr="00B751FD">
        <w:rPr>
          <w:sz w:val="24"/>
          <w:szCs w:val="24"/>
          <w:u w:val="single"/>
        </w:rPr>
        <w:t>Administration</w:t>
      </w:r>
    </w:p>
    <w:p w:rsidR="00D54CA1" w:rsidRPr="00B751FD" w:rsidRDefault="00D54CA1" w:rsidP="00D54CA1">
      <w:pPr>
        <w:tabs>
          <w:tab w:val="left" w:pos="851"/>
        </w:tabs>
        <w:ind w:left="851"/>
        <w:rPr>
          <w:sz w:val="24"/>
          <w:szCs w:val="24"/>
        </w:rPr>
      </w:pPr>
      <w:proofErr w:type="spellStart"/>
      <w:r w:rsidRPr="00B751FD">
        <w:rPr>
          <w:sz w:val="24"/>
          <w:szCs w:val="24"/>
        </w:rPr>
        <w:t>Epistatus</w:t>
      </w:r>
      <w:proofErr w:type="spellEnd"/>
      <w:r w:rsidRPr="00B751FD">
        <w:rPr>
          <w:sz w:val="24"/>
          <w:szCs w:val="24"/>
        </w:rPr>
        <w:t xml:space="preserve"> er til anvendelse i mundhulen. Produktet må kun anvendes i munden.</w:t>
      </w:r>
    </w:p>
    <w:p w:rsidR="00D54CA1" w:rsidRPr="00B751FD" w:rsidRDefault="00D54CA1" w:rsidP="00D54CA1">
      <w:pPr>
        <w:tabs>
          <w:tab w:val="left" w:pos="851"/>
        </w:tabs>
        <w:ind w:left="851"/>
        <w:rPr>
          <w:sz w:val="24"/>
          <w:szCs w:val="24"/>
        </w:rPr>
      </w:pPr>
    </w:p>
    <w:p w:rsidR="00D54CA1" w:rsidRPr="00B751FD" w:rsidRDefault="00D54CA1" w:rsidP="00D54CA1">
      <w:pPr>
        <w:tabs>
          <w:tab w:val="left" w:pos="851"/>
        </w:tabs>
        <w:ind w:left="851"/>
        <w:rPr>
          <w:sz w:val="24"/>
          <w:szCs w:val="24"/>
        </w:rPr>
      </w:pPr>
      <w:r w:rsidRPr="00B751FD">
        <w:rPr>
          <w:sz w:val="24"/>
          <w:szCs w:val="24"/>
        </w:rPr>
        <w:t xml:space="preserve">Ved hjælp af den leverede fyldte orale sprøjte skal cirka halvdelen af den ordinerede dosis indgives til hvert af de </w:t>
      </w:r>
      <w:proofErr w:type="spellStart"/>
      <w:r w:rsidRPr="00B751FD">
        <w:rPr>
          <w:sz w:val="24"/>
          <w:szCs w:val="24"/>
        </w:rPr>
        <w:t>bukkale</w:t>
      </w:r>
      <w:proofErr w:type="spellEnd"/>
      <w:r w:rsidRPr="00B751FD">
        <w:rPr>
          <w:sz w:val="24"/>
          <w:szCs w:val="24"/>
        </w:rPr>
        <w:t xml:space="preserve"> hulrum (hulrummet mellem gummerne og kinden) over en periode på 2-3 sekunder. </w:t>
      </w:r>
      <w:proofErr w:type="spellStart"/>
      <w:r w:rsidRPr="00B751FD">
        <w:rPr>
          <w:sz w:val="24"/>
          <w:szCs w:val="24"/>
        </w:rPr>
        <w:t>Laryngotrakeal</w:t>
      </w:r>
      <w:proofErr w:type="spellEnd"/>
      <w:r w:rsidRPr="00B751FD">
        <w:rPr>
          <w:sz w:val="24"/>
          <w:szCs w:val="24"/>
        </w:rPr>
        <w:t xml:space="preserve"> indsættelse skal undgås for at undgå utilsigtet aspiration af opløsningen. Hvis det er særligt vanskeligt at få sprøjten ind i det </w:t>
      </w:r>
      <w:proofErr w:type="spellStart"/>
      <w:r w:rsidRPr="00B751FD">
        <w:rPr>
          <w:sz w:val="24"/>
          <w:szCs w:val="24"/>
        </w:rPr>
        <w:t>bukkale</w:t>
      </w:r>
      <w:proofErr w:type="spellEnd"/>
      <w:r w:rsidRPr="00B751FD">
        <w:rPr>
          <w:sz w:val="24"/>
          <w:szCs w:val="24"/>
        </w:rPr>
        <w:t xml:space="preserve"> hulrum, kan hele dosis administreres over en periode på 4-5 sekunder i ét </w:t>
      </w:r>
      <w:proofErr w:type="spellStart"/>
      <w:r w:rsidRPr="00B751FD">
        <w:rPr>
          <w:sz w:val="24"/>
          <w:szCs w:val="24"/>
        </w:rPr>
        <w:t>bukkalt</w:t>
      </w:r>
      <w:proofErr w:type="spellEnd"/>
      <w:r w:rsidRPr="00B751FD">
        <w:rPr>
          <w:sz w:val="24"/>
          <w:szCs w:val="24"/>
        </w:rPr>
        <w:t xml:space="preserve"> hulrum.</w:t>
      </w:r>
    </w:p>
    <w:p w:rsidR="00D54CA1" w:rsidRPr="00B751FD" w:rsidRDefault="00D54CA1" w:rsidP="00D54CA1">
      <w:pPr>
        <w:tabs>
          <w:tab w:val="left" w:pos="851"/>
        </w:tabs>
        <w:ind w:left="851"/>
        <w:rPr>
          <w:sz w:val="24"/>
          <w:szCs w:val="24"/>
        </w:rPr>
      </w:pPr>
    </w:p>
    <w:p w:rsidR="00D54CA1" w:rsidRPr="00B751FD" w:rsidRDefault="00D54CA1" w:rsidP="00D54CA1">
      <w:pPr>
        <w:tabs>
          <w:tab w:val="left" w:pos="851"/>
        </w:tabs>
        <w:ind w:left="851"/>
        <w:rPr>
          <w:sz w:val="24"/>
          <w:szCs w:val="24"/>
        </w:rPr>
      </w:pPr>
      <w:r w:rsidRPr="00B751FD">
        <w:rPr>
          <w:sz w:val="24"/>
          <w:szCs w:val="24"/>
        </w:rPr>
        <w:t>For instruktioner om administration af lægemidlet, se pkt. 6.6.</w:t>
      </w:r>
    </w:p>
    <w:p w:rsidR="00AE09FE" w:rsidRPr="00B751FD" w:rsidRDefault="00AE09FE" w:rsidP="00AE09FE">
      <w:pPr>
        <w:tabs>
          <w:tab w:val="left" w:pos="851"/>
        </w:tabs>
        <w:ind w:left="851"/>
        <w:rPr>
          <w:sz w:val="24"/>
          <w:szCs w:val="24"/>
        </w:rPr>
      </w:pPr>
    </w:p>
    <w:p w:rsidR="00AE09FE" w:rsidRPr="00B751FD" w:rsidRDefault="00AE09FE" w:rsidP="00AE09FE">
      <w:pPr>
        <w:tabs>
          <w:tab w:val="left" w:pos="851"/>
        </w:tabs>
        <w:ind w:left="851" w:hanging="851"/>
        <w:rPr>
          <w:b/>
          <w:sz w:val="24"/>
          <w:szCs w:val="24"/>
        </w:rPr>
      </w:pPr>
      <w:r w:rsidRPr="00B751FD">
        <w:rPr>
          <w:b/>
          <w:sz w:val="24"/>
          <w:szCs w:val="24"/>
        </w:rPr>
        <w:t>4.3</w:t>
      </w:r>
      <w:r w:rsidRPr="00B751FD">
        <w:rPr>
          <w:b/>
          <w:sz w:val="24"/>
          <w:szCs w:val="24"/>
        </w:rPr>
        <w:tab/>
        <w:t>Kontraindikationer</w:t>
      </w:r>
    </w:p>
    <w:p w:rsidR="00D54CA1" w:rsidRPr="00B751FD" w:rsidRDefault="00D54CA1" w:rsidP="00D54CA1">
      <w:pPr>
        <w:tabs>
          <w:tab w:val="left" w:pos="851"/>
        </w:tabs>
        <w:ind w:left="851"/>
        <w:rPr>
          <w:sz w:val="24"/>
          <w:szCs w:val="24"/>
          <w:lang w:eastAsia="da-DK"/>
        </w:rPr>
      </w:pPr>
      <w:r w:rsidRPr="00B751FD">
        <w:rPr>
          <w:sz w:val="24"/>
          <w:szCs w:val="24"/>
        </w:rPr>
        <w:t>Overfølsomhed over for det aktive stof, benzodiazepiner eller over for et eller flere af hjælpestofferne anført i pkt. 6.1.</w:t>
      </w:r>
    </w:p>
    <w:p w:rsidR="00D54CA1" w:rsidRPr="00B751FD" w:rsidRDefault="00D54CA1" w:rsidP="00D54CA1">
      <w:pPr>
        <w:tabs>
          <w:tab w:val="left" w:pos="851"/>
        </w:tabs>
        <w:ind w:left="851"/>
        <w:rPr>
          <w:sz w:val="24"/>
          <w:szCs w:val="24"/>
        </w:rPr>
      </w:pPr>
      <w:proofErr w:type="spellStart"/>
      <w:r w:rsidRPr="00B751FD">
        <w:rPr>
          <w:sz w:val="24"/>
          <w:szCs w:val="24"/>
        </w:rPr>
        <w:t>Myasthenia</w:t>
      </w:r>
      <w:proofErr w:type="spellEnd"/>
      <w:r w:rsidRPr="00B751FD">
        <w:rPr>
          <w:sz w:val="24"/>
          <w:szCs w:val="24"/>
        </w:rPr>
        <w:t xml:space="preserve"> </w:t>
      </w:r>
      <w:proofErr w:type="spellStart"/>
      <w:r w:rsidRPr="00B751FD">
        <w:rPr>
          <w:sz w:val="24"/>
          <w:szCs w:val="24"/>
        </w:rPr>
        <w:t>gravis</w:t>
      </w:r>
      <w:proofErr w:type="spellEnd"/>
      <w:r w:rsidRPr="00B751FD">
        <w:rPr>
          <w:sz w:val="24"/>
          <w:szCs w:val="24"/>
        </w:rPr>
        <w:t>.</w:t>
      </w:r>
    </w:p>
    <w:p w:rsidR="00D54CA1" w:rsidRPr="00B751FD" w:rsidRDefault="00D54CA1" w:rsidP="00D54CA1">
      <w:pPr>
        <w:tabs>
          <w:tab w:val="left" w:pos="851"/>
        </w:tabs>
        <w:ind w:left="851"/>
        <w:rPr>
          <w:sz w:val="24"/>
          <w:szCs w:val="24"/>
        </w:rPr>
      </w:pPr>
      <w:r w:rsidRPr="00B751FD">
        <w:rPr>
          <w:sz w:val="24"/>
          <w:szCs w:val="24"/>
        </w:rPr>
        <w:t>Svær respirationsinsufficiens.</w:t>
      </w:r>
    </w:p>
    <w:p w:rsidR="00D54CA1" w:rsidRPr="00B751FD" w:rsidRDefault="00D54CA1" w:rsidP="00D54CA1">
      <w:pPr>
        <w:tabs>
          <w:tab w:val="left" w:pos="851"/>
        </w:tabs>
        <w:ind w:left="851"/>
        <w:rPr>
          <w:sz w:val="24"/>
          <w:szCs w:val="24"/>
        </w:rPr>
      </w:pPr>
      <w:r w:rsidRPr="00B751FD">
        <w:rPr>
          <w:sz w:val="24"/>
          <w:szCs w:val="24"/>
        </w:rPr>
        <w:t>Søvnapnø-syndrom.</w:t>
      </w:r>
    </w:p>
    <w:p w:rsidR="00D54CA1" w:rsidRPr="00B751FD" w:rsidRDefault="00D54CA1" w:rsidP="00D54CA1">
      <w:pPr>
        <w:tabs>
          <w:tab w:val="left" w:pos="851"/>
        </w:tabs>
        <w:ind w:left="851"/>
        <w:rPr>
          <w:sz w:val="24"/>
          <w:szCs w:val="24"/>
        </w:rPr>
      </w:pPr>
      <w:r w:rsidRPr="00B751FD">
        <w:rPr>
          <w:sz w:val="24"/>
          <w:szCs w:val="24"/>
        </w:rPr>
        <w:t>Svær nedsat leverfunktion.</w:t>
      </w:r>
    </w:p>
    <w:p w:rsidR="00AE09FE" w:rsidRPr="00B751FD" w:rsidRDefault="00AE09FE" w:rsidP="00AE09FE">
      <w:pPr>
        <w:tabs>
          <w:tab w:val="left" w:pos="851"/>
        </w:tabs>
        <w:ind w:left="851"/>
        <w:rPr>
          <w:sz w:val="24"/>
          <w:szCs w:val="24"/>
        </w:rPr>
      </w:pPr>
    </w:p>
    <w:p w:rsidR="00AE09FE" w:rsidRPr="00B751FD" w:rsidRDefault="00AE09FE" w:rsidP="00AE09FE">
      <w:pPr>
        <w:tabs>
          <w:tab w:val="left" w:pos="851"/>
        </w:tabs>
        <w:ind w:left="851" w:hanging="851"/>
        <w:rPr>
          <w:b/>
          <w:sz w:val="24"/>
          <w:szCs w:val="24"/>
        </w:rPr>
      </w:pPr>
      <w:r w:rsidRPr="00B751FD">
        <w:rPr>
          <w:b/>
          <w:sz w:val="24"/>
          <w:szCs w:val="24"/>
        </w:rPr>
        <w:t>4.4</w:t>
      </w:r>
      <w:r w:rsidRPr="00B751FD">
        <w:rPr>
          <w:b/>
          <w:sz w:val="24"/>
          <w:szCs w:val="24"/>
        </w:rPr>
        <w:tab/>
        <w:t>Særlige advarsler og forsigtighedsregler vedrørende brugen</w:t>
      </w:r>
    </w:p>
    <w:p w:rsidR="0017203A" w:rsidRDefault="0017203A" w:rsidP="00D54CA1">
      <w:pPr>
        <w:tabs>
          <w:tab w:val="left" w:pos="851"/>
        </w:tabs>
        <w:ind w:left="851"/>
        <w:rPr>
          <w:i/>
          <w:iCs/>
          <w:sz w:val="24"/>
          <w:szCs w:val="24"/>
        </w:rPr>
      </w:pPr>
    </w:p>
    <w:p w:rsidR="00D54CA1" w:rsidRPr="00B751FD" w:rsidRDefault="00D54CA1" w:rsidP="00D54CA1">
      <w:pPr>
        <w:tabs>
          <w:tab w:val="left" w:pos="851"/>
        </w:tabs>
        <w:ind w:left="851"/>
        <w:rPr>
          <w:i/>
          <w:iCs/>
          <w:sz w:val="24"/>
          <w:szCs w:val="24"/>
        </w:rPr>
      </w:pPr>
      <w:r w:rsidRPr="00B751FD">
        <w:rPr>
          <w:i/>
          <w:iCs/>
          <w:sz w:val="24"/>
          <w:szCs w:val="24"/>
        </w:rPr>
        <w:t>Pædiatriske patienter i alderen 3 til 6 måneder</w:t>
      </w:r>
    </w:p>
    <w:p w:rsidR="00D54CA1" w:rsidRPr="00B751FD" w:rsidRDefault="00D54CA1" w:rsidP="00D54CA1">
      <w:pPr>
        <w:tabs>
          <w:tab w:val="left" w:pos="851"/>
        </w:tabs>
        <w:ind w:left="851"/>
        <w:rPr>
          <w:sz w:val="24"/>
          <w:szCs w:val="24"/>
          <w:lang w:eastAsia="da-DK"/>
        </w:rPr>
      </w:pPr>
      <w:r w:rsidRPr="00B751FD">
        <w:rPr>
          <w:sz w:val="24"/>
          <w:szCs w:val="24"/>
        </w:rPr>
        <w:t xml:space="preserve">Da forholdet mellem metabolit og moderstof er større hos yngre børn, kan en forsinket respirationsundertrykkelse som et resultat af en </w:t>
      </w:r>
      <w:proofErr w:type="gramStart"/>
      <w:r w:rsidRPr="00B751FD">
        <w:rPr>
          <w:sz w:val="24"/>
          <w:szCs w:val="24"/>
        </w:rPr>
        <w:t>høj aktiv</w:t>
      </w:r>
      <w:proofErr w:type="gramEnd"/>
      <w:r w:rsidRPr="00B751FD">
        <w:rPr>
          <w:sz w:val="24"/>
          <w:szCs w:val="24"/>
        </w:rPr>
        <w:t xml:space="preserve"> metabolitkoncentration i aldersgruppen 3-6 måneder ikke udelukkes. Derfor skal brug af </w:t>
      </w:r>
      <w:proofErr w:type="spellStart"/>
      <w:r w:rsidRPr="00B751FD">
        <w:rPr>
          <w:sz w:val="24"/>
          <w:szCs w:val="24"/>
        </w:rPr>
        <w:t>Epistatus</w:t>
      </w:r>
      <w:proofErr w:type="spellEnd"/>
      <w:r w:rsidRPr="00B751FD">
        <w:rPr>
          <w:sz w:val="24"/>
          <w:szCs w:val="24"/>
        </w:rPr>
        <w:t xml:space="preserve"> i aldersgruppen 3-6 måneder begrænses kun til anvendelse under overvågning af sundhedspersonale, hvor genoplivningsudstyr er til rådighed, og hvor respirationsfunktionen kan overvåges, og hvor udstyr til respirationsstøtte er tilgængeligt ved behov.</w:t>
      </w:r>
    </w:p>
    <w:p w:rsidR="00D54CA1" w:rsidRPr="00B751FD" w:rsidRDefault="00D54CA1" w:rsidP="00D54CA1">
      <w:pPr>
        <w:tabs>
          <w:tab w:val="left" w:pos="851"/>
        </w:tabs>
        <w:ind w:left="851"/>
        <w:rPr>
          <w:sz w:val="24"/>
          <w:szCs w:val="24"/>
        </w:rPr>
      </w:pPr>
    </w:p>
    <w:p w:rsidR="00D54CA1" w:rsidRPr="00B751FD" w:rsidRDefault="00D54CA1" w:rsidP="00D54CA1">
      <w:pPr>
        <w:tabs>
          <w:tab w:val="left" w:pos="851"/>
        </w:tabs>
        <w:ind w:left="851"/>
        <w:rPr>
          <w:i/>
          <w:sz w:val="24"/>
          <w:szCs w:val="24"/>
        </w:rPr>
      </w:pPr>
      <w:r w:rsidRPr="00B751FD">
        <w:rPr>
          <w:i/>
          <w:sz w:val="24"/>
          <w:szCs w:val="24"/>
        </w:rPr>
        <w:t>Respirationsinsufficiens:</w:t>
      </w:r>
    </w:p>
    <w:p w:rsidR="00D54CA1" w:rsidRPr="00B751FD" w:rsidRDefault="00D54CA1" w:rsidP="00D54CA1">
      <w:pPr>
        <w:tabs>
          <w:tab w:val="left" w:pos="851"/>
        </w:tabs>
        <w:ind w:left="851"/>
        <w:rPr>
          <w:sz w:val="24"/>
          <w:szCs w:val="24"/>
        </w:rPr>
      </w:pPr>
      <w:proofErr w:type="spellStart"/>
      <w:r w:rsidRPr="00B751FD">
        <w:rPr>
          <w:sz w:val="24"/>
          <w:szCs w:val="24"/>
        </w:rPr>
        <w:t>Midazolam</w:t>
      </w:r>
      <w:proofErr w:type="spellEnd"/>
      <w:r w:rsidRPr="00B751FD">
        <w:rPr>
          <w:sz w:val="24"/>
          <w:szCs w:val="24"/>
        </w:rPr>
        <w:t xml:space="preserve"> skal anvendes med forsigtighed hos patienter med kronisk respirations</w:t>
      </w:r>
      <w:r w:rsidR="007E5309">
        <w:rPr>
          <w:sz w:val="24"/>
          <w:szCs w:val="24"/>
        </w:rPr>
        <w:softHyphen/>
      </w:r>
      <w:r w:rsidRPr="00B751FD">
        <w:rPr>
          <w:sz w:val="24"/>
          <w:szCs w:val="24"/>
        </w:rPr>
        <w:t xml:space="preserve">insufficiens, da </w:t>
      </w:r>
      <w:proofErr w:type="spellStart"/>
      <w:r w:rsidRPr="00B751FD">
        <w:rPr>
          <w:sz w:val="24"/>
          <w:szCs w:val="24"/>
        </w:rPr>
        <w:t>midazolam</w:t>
      </w:r>
      <w:proofErr w:type="spellEnd"/>
      <w:r w:rsidRPr="00B751FD">
        <w:rPr>
          <w:sz w:val="24"/>
          <w:szCs w:val="24"/>
        </w:rPr>
        <w:t xml:space="preserve"> kan føre til yderligere respirationsdepression.</w:t>
      </w:r>
    </w:p>
    <w:p w:rsidR="00D54CA1" w:rsidRPr="00B751FD" w:rsidRDefault="00D54CA1" w:rsidP="00D54CA1">
      <w:pPr>
        <w:tabs>
          <w:tab w:val="left" w:pos="851"/>
        </w:tabs>
        <w:ind w:left="851"/>
        <w:rPr>
          <w:sz w:val="24"/>
          <w:szCs w:val="24"/>
        </w:rPr>
      </w:pPr>
    </w:p>
    <w:p w:rsidR="00D54CA1" w:rsidRPr="00B751FD" w:rsidRDefault="00D54CA1" w:rsidP="00D54CA1">
      <w:pPr>
        <w:tabs>
          <w:tab w:val="left" w:pos="851"/>
        </w:tabs>
        <w:ind w:left="851"/>
        <w:rPr>
          <w:i/>
          <w:sz w:val="24"/>
          <w:szCs w:val="24"/>
        </w:rPr>
      </w:pPr>
      <w:r w:rsidRPr="00B751FD">
        <w:rPr>
          <w:i/>
          <w:sz w:val="24"/>
          <w:szCs w:val="24"/>
        </w:rPr>
        <w:t xml:space="preserve">Ændret elimination af </w:t>
      </w:r>
      <w:proofErr w:type="spellStart"/>
      <w:r w:rsidRPr="00B751FD">
        <w:rPr>
          <w:i/>
          <w:sz w:val="24"/>
          <w:szCs w:val="24"/>
        </w:rPr>
        <w:t>midazolam</w:t>
      </w:r>
      <w:proofErr w:type="spellEnd"/>
      <w:r w:rsidRPr="00B751FD">
        <w:rPr>
          <w:i/>
          <w:sz w:val="24"/>
          <w:szCs w:val="24"/>
        </w:rPr>
        <w:t>:</w:t>
      </w:r>
    </w:p>
    <w:p w:rsidR="00D54CA1" w:rsidRPr="00B751FD" w:rsidRDefault="00D54CA1" w:rsidP="00D54CA1">
      <w:pPr>
        <w:tabs>
          <w:tab w:val="left" w:pos="851"/>
        </w:tabs>
        <w:ind w:left="851"/>
        <w:rPr>
          <w:sz w:val="24"/>
          <w:szCs w:val="24"/>
        </w:rPr>
      </w:pPr>
      <w:proofErr w:type="spellStart"/>
      <w:r w:rsidRPr="00B751FD">
        <w:rPr>
          <w:sz w:val="24"/>
          <w:szCs w:val="24"/>
        </w:rPr>
        <w:t>Midazolam</w:t>
      </w:r>
      <w:proofErr w:type="spellEnd"/>
      <w:r w:rsidRPr="00B751FD">
        <w:rPr>
          <w:sz w:val="24"/>
          <w:szCs w:val="24"/>
        </w:rPr>
        <w:t xml:space="preserve"> skal anvendes med forsigtighed hos patienter med kronisk nyresvigt, nedsat lever- eller hjertefunktion. </w:t>
      </w:r>
      <w:proofErr w:type="spellStart"/>
      <w:r w:rsidRPr="00B751FD">
        <w:rPr>
          <w:sz w:val="24"/>
          <w:szCs w:val="24"/>
        </w:rPr>
        <w:t>Midazolam</w:t>
      </w:r>
      <w:proofErr w:type="spellEnd"/>
      <w:r w:rsidRPr="00B751FD">
        <w:rPr>
          <w:sz w:val="24"/>
          <w:szCs w:val="24"/>
        </w:rPr>
        <w:t xml:space="preserve"> kan akkumuleres hos patienter med kronisk nyresvigt eller nedsat leverfunktion, mens det hos patienter med nedsat hjertefunktion kan forårsage nedsat </w:t>
      </w:r>
      <w:proofErr w:type="spellStart"/>
      <w:r w:rsidRPr="00B751FD">
        <w:rPr>
          <w:sz w:val="24"/>
          <w:szCs w:val="24"/>
        </w:rPr>
        <w:t>clearance</w:t>
      </w:r>
      <w:proofErr w:type="spellEnd"/>
      <w:r w:rsidRPr="00B751FD">
        <w:rPr>
          <w:sz w:val="24"/>
          <w:szCs w:val="24"/>
        </w:rPr>
        <w:t xml:space="preserve"> af </w:t>
      </w:r>
      <w:proofErr w:type="spellStart"/>
      <w:r w:rsidRPr="00B751FD">
        <w:rPr>
          <w:sz w:val="24"/>
          <w:szCs w:val="24"/>
        </w:rPr>
        <w:t>midazolam</w:t>
      </w:r>
      <w:proofErr w:type="spellEnd"/>
      <w:r w:rsidRPr="00B751FD">
        <w:rPr>
          <w:sz w:val="24"/>
          <w:szCs w:val="24"/>
        </w:rPr>
        <w:t>.</w:t>
      </w:r>
    </w:p>
    <w:p w:rsidR="00D54CA1" w:rsidRPr="00B751FD" w:rsidRDefault="00D54CA1" w:rsidP="00D54CA1">
      <w:pPr>
        <w:tabs>
          <w:tab w:val="left" w:pos="851"/>
        </w:tabs>
        <w:ind w:left="851"/>
        <w:rPr>
          <w:sz w:val="24"/>
          <w:szCs w:val="24"/>
        </w:rPr>
      </w:pPr>
    </w:p>
    <w:p w:rsidR="00D54CA1" w:rsidRPr="00B751FD" w:rsidRDefault="00D54CA1" w:rsidP="00D54CA1">
      <w:pPr>
        <w:tabs>
          <w:tab w:val="left" w:pos="851"/>
        </w:tabs>
        <w:ind w:left="851"/>
        <w:rPr>
          <w:i/>
          <w:sz w:val="24"/>
          <w:szCs w:val="24"/>
        </w:rPr>
      </w:pPr>
      <w:r w:rsidRPr="00B751FD">
        <w:rPr>
          <w:i/>
          <w:sz w:val="24"/>
          <w:szCs w:val="24"/>
        </w:rPr>
        <w:t>Samtidig brug med andre benzodiazepiner:</w:t>
      </w:r>
    </w:p>
    <w:p w:rsidR="00D54CA1" w:rsidRPr="00B751FD" w:rsidRDefault="00D54CA1" w:rsidP="00D54CA1">
      <w:pPr>
        <w:tabs>
          <w:tab w:val="left" w:pos="851"/>
        </w:tabs>
        <w:ind w:left="851"/>
        <w:rPr>
          <w:sz w:val="24"/>
          <w:szCs w:val="24"/>
        </w:rPr>
      </w:pPr>
      <w:r w:rsidRPr="00B751FD">
        <w:rPr>
          <w:sz w:val="24"/>
          <w:szCs w:val="24"/>
        </w:rPr>
        <w:t>Svækkede patienter er mere modtagelige over for benzodiazepiners virkning på centralnervesystemet (CNS) (se pkt. 4.5).</w:t>
      </w:r>
    </w:p>
    <w:p w:rsidR="00D54CA1" w:rsidRPr="00B751FD" w:rsidRDefault="00D54CA1" w:rsidP="00D54CA1">
      <w:pPr>
        <w:tabs>
          <w:tab w:val="left" w:pos="851"/>
        </w:tabs>
        <w:ind w:left="851"/>
        <w:rPr>
          <w:sz w:val="24"/>
          <w:szCs w:val="24"/>
        </w:rPr>
      </w:pPr>
    </w:p>
    <w:p w:rsidR="00D54CA1" w:rsidRPr="00B751FD" w:rsidRDefault="00D54CA1" w:rsidP="00D54CA1">
      <w:pPr>
        <w:tabs>
          <w:tab w:val="left" w:pos="851"/>
        </w:tabs>
        <w:ind w:left="851"/>
        <w:rPr>
          <w:i/>
          <w:sz w:val="24"/>
          <w:szCs w:val="24"/>
        </w:rPr>
      </w:pPr>
      <w:r w:rsidRPr="00B751FD">
        <w:rPr>
          <w:i/>
          <w:sz w:val="24"/>
          <w:szCs w:val="24"/>
        </w:rPr>
        <w:t>Risiko ved samtidig brug af opioider:</w:t>
      </w:r>
    </w:p>
    <w:p w:rsidR="00D54CA1" w:rsidRPr="00B751FD" w:rsidRDefault="00D54CA1" w:rsidP="00D54CA1">
      <w:pPr>
        <w:tabs>
          <w:tab w:val="left" w:pos="851"/>
        </w:tabs>
        <w:ind w:left="851"/>
        <w:rPr>
          <w:sz w:val="24"/>
          <w:szCs w:val="24"/>
        </w:rPr>
      </w:pPr>
      <w:r w:rsidRPr="00B751FD">
        <w:rPr>
          <w:sz w:val="24"/>
          <w:szCs w:val="24"/>
        </w:rPr>
        <w:t xml:space="preserve">Samtidig brug af </w:t>
      </w:r>
      <w:proofErr w:type="spellStart"/>
      <w:r w:rsidRPr="00B751FD">
        <w:rPr>
          <w:sz w:val="24"/>
          <w:szCs w:val="24"/>
        </w:rPr>
        <w:t>Epistatus</w:t>
      </w:r>
      <w:proofErr w:type="spellEnd"/>
      <w:r w:rsidRPr="00B751FD">
        <w:rPr>
          <w:sz w:val="24"/>
          <w:szCs w:val="24"/>
        </w:rPr>
        <w:t xml:space="preserve"> og opioider kan medføre sedation, respirationsdepression, koma og dødsfald. På grund af disse risici bør samtidig behandling med </w:t>
      </w:r>
      <w:proofErr w:type="spellStart"/>
      <w:r w:rsidRPr="00B751FD">
        <w:rPr>
          <w:sz w:val="24"/>
          <w:szCs w:val="24"/>
        </w:rPr>
        <w:t>sedativa</w:t>
      </w:r>
      <w:proofErr w:type="spellEnd"/>
      <w:r w:rsidRPr="00B751FD">
        <w:rPr>
          <w:sz w:val="24"/>
          <w:szCs w:val="24"/>
        </w:rPr>
        <w:t xml:space="preserve">, f.eks. benzodiazepiner eller beslægtede lægemidler, f.eks. </w:t>
      </w:r>
      <w:proofErr w:type="spellStart"/>
      <w:r w:rsidRPr="00B751FD">
        <w:rPr>
          <w:sz w:val="24"/>
          <w:szCs w:val="24"/>
        </w:rPr>
        <w:t>Epistatus</w:t>
      </w:r>
      <w:proofErr w:type="spellEnd"/>
      <w:r w:rsidRPr="00B751FD">
        <w:rPr>
          <w:sz w:val="24"/>
          <w:szCs w:val="24"/>
        </w:rPr>
        <w:t xml:space="preserve">, og opioider forbeholdes patienter, som ikke har andre behandlingsmuligheder. Hvis det besluttes at ordinere </w:t>
      </w:r>
      <w:proofErr w:type="spellStart"/>
      <w:r w:rsidRPr="00B751FD">
        <w:rPr>
          <w:sz w:val="24"/>
          <w:szCs w:val="24"/>
        </w:rPr>
        <w:t>Epistatus</w:t>
      </w:r>
      <w:proofErr w:type="spellEnd"/>
      <w:r w:rsidRPr="00B751FD">
        <w:rPr>
          <w:sz w:val="24"/>
          <w:szCs w:val="24"/>
        </w:rPr>
        <w:t xml:space="preserve"> samtidig med opioider, skal der anvendes den laveste effektive dosis af opioider, og behandlingsvarigheden skal være så kort som mulig.</w:t>
      </w:r>
    </w:p>
    <w:p w:rsidR="00D54CA1" w:rsidRPr="00B751FD" w:rsidRDefault="00D54CA1" w:rsidP="00D54CA1">
      <w:pPr>
        <w:tabs>
          <w:tab w:val="left" w:pos="851"/>
        </w:tabs>
        <w:ind w:left="851"/>
        <w:rPr>
          <w:sz w:val="24"/>
          <w:szCs w:val="24"/>
        </w:rPr>
      </w:pPr>
      <w:r w:rsidRPr="00B751FD">
        <w:rPr>
          <w:sz w:val="24"/>
          <w:szCs w:val="24"/>
        </w:rPr>
        <w:t>Patienterne skal overvåges tæt for tegn og symptomer på respirationsdepression og sedation. I denne henseende anbefales det på det kraftigste at informere patienter og deres omsorgsgivere (hvor det er relevant) om at være opmærksomme på sådanne symptomer (se pkt. 4.5).</w:t>
      </w:r>
    </w:p>
    <w:p w:rsidR="00D54CA1" w:rsidRPr="00B751FD" w:rsidRDefault="00D54CA1" w:rsidP="00D54CA1">
      <w:pPr>
        <w:tabs>
          <w:tab w:val="left" w:pos="851"/>
        </w:tabs>
        <w:ind w:left="851"/>
        <w:rPr>
          <w:sz w:val="24"/>
          <w:szCs w:val="24"/>
        </w:rPr>
      </w:pPr>
    </w:p>
    <w:p w:rsidR="00D54CA1" w:rsidRPr="00B751FD" w:rsidRDefault="00D54CA1" w:rsidP="00D54CA1">
      <w:pPr>
        <w:tabs>
          <w:tab w:val="left" w:pos="851"/>
        </w:tabs>
        <w:ind w:left="851"/>
        <w:rPr>
          <w:i/>
          <w:sz w:val="24"/>
          <w:szCs w:val="24"/>
        </w:rPr>
      </w:pPr>
      <w:r w:rsidRPr="00B751FD">
        <w:rPr>
          <w:i/>
          <w:sz w:val="24"/>
          <w:szCs w:val="24"/>
        </w:rPr>
        <w:t>Anamnese af alkohol- og stofmisbrug:</w:t>
      </w:r>
    </w:p>
    <w:p w:rsidR="00D54CA1" w:rsidRPr="00B751FD" w:rsidRDefault="00D54CA1" w:rsidP="00D54CA1">
      <w:pPr>
        <w:tabs>
          <w:tab w:val="left" w:pos="851"/>
        </w:tabs>
        <w:ind w:left="851"/>
        <w:rPr>
          <w:sz w:val="24"/>
          <w:szCs w:val="24"/>
        </w:rPr>
      </w:pPr>
      <w:proofErr w:type="spellStart"/>
      <w:r w:rsidRPr="00B751FD">
        <w:rPr>
          <w:sz w:val="24"/>
          <w:szCs w:val="24"/>
        </w:rPr>
        <w:t>Midazolam</w:t>
      </w:r>
      <w:proofErr w:type="spellEnd"/>
      <w:r w:rsidRPr="00B751FD">
        <w:rPr>
          <w:sz w:val="24"/>
          <w:szCs w:val="24"/>
        </w:rPr>
        <w:t xml:space="preserve"> skal undgås hos patienter med en anamnese af alkohol- eller stofmisbrug.</w:t>
      </w:r>
    </w:p>
    <w:p w:rsidR="00D54CA1" w:rsidRPr="00B751FD" w:rsidRDefault="00D54CA1" w:rsidP="00D54CA1">
      <w:pPr>
        <w:tabs>
          <w:tab w:val="left" w:pos="851"/>
        </w:tabs>
        <w:ind w:left="851"/>
        <w:rPr>
          <w:sz w:val="24"/>
          <w:szCs w:val="24"/>
        </w:rPr>
      </w:pPr>
    </w:p>
    <w:p w:rsidR="00D54CA1" w:rsidRPr="00B751FD" w:rsidRDefault="00D54CA1" w:rsidP="00D54CA1">
      <w:pPr>
        <w:tabs>
          <w:tab w:val="left" w:pos="851"/>
        </w:tabs>
        <w:ind w:left="851"/>
        <w:rPr>
          <w:i/>
          <w:sz w:val="24"/>
          <w:szCs w:val="24"/>
        </w:rPr>
      </w:pPr>
      <w:r w:rsidRPr="00B751FD">
        <w:rPr>
          <w:i/>
          <w:sz w:val="24"/>
          <w:szCs w:val="24"/>
        </w:rPr>
        <w:t>Amnesi:</w:t>
      </w:r>
    </w:p>
    <w:p w:rsidR="00D54CA1" w:rsidRPr="00B751FD" w:rsidRDefault="00D54CA1" w:rsidP="00D54CA1">
      <w:pPr>
        <w:tabs>
          <w:tab w:val="left" w:pos="851"/>
        </w:tabs>
        <w:ind w:left="851"/>
        <w:rPr>
          <w:sz w:val="24"/>
          <w:szCs w:val="24"/>
        </w:rPr>
      </w:pPr>
      <w:proofErr w:type="spellStart"/>
      <w:r w:rsidRPr="00B751FD">
        <w:rPr>
          <w:sz w:val="24"/>
          <w:szCs w:val="24"/>
        </w:rPr>
        <w:t>Midazolam</w:t>
      </w:r>
      <w:proofErr w:type="spellEnd"/>
      <w:r w:rsidRPr="00B751FD">
        <w:rPr>
          <w:sz w:val="24"/>
          <w:szCs w:val="24"/>
        </w:rPr>
        <w:t xml:space="preserve"> kan forårsage </w:t>
      </w:r>
      <w:proofErr w:type="spellStart"/>
      <w:r w:rsidRPr="00B751FD">
        <w:rPr>
          <w:sz w:val="24"/>
          <w:szCs w:val="24"/>
        </w:rPr>
        <w:t>anterograd</w:t>
      </w:r>
      <w:proofErr w:type="spellEnd"/>
      <w:r w:rsidRPr="00B751FD">
        <w:rPr>
          <w:sz w:val="24"/>
          <w:szCs w:val="24"/>
        </w:rPr>
        <w:t xml:space="preserve"> amnesi.</w:t>
      </w:r>
    </w:p>
    <w:p w:rsidR="00D54CA1" w:rsidRPr="00B751FD" w:rsidRDefault="00D54CA1" w:rsidP="00D54CA1">
      <w:pPr>
        <w:tabs>
          <w:tab w:val="left" w:pos="851"/>
        </w:tabs>
        <w:ind w:left="851"/>
        <w:rPr>
          <w:sz w:val="24"/>
          <w:szCs w:val="24"/>
        </w:rPr>
      </w:pPr>
    </w:p>
    <w:p w:rsidR="00D54CA1" w:rsidRPr="00B751FD" w:rsidRDefault="00D54CA1" w:rsidP="00D54CA1">
      <w:pPr>
        <w:tabs>
          <w:tab w:val="left" w:pos="851"/>
        </w:tabs>
        <w:ind w:left="851"/>
        <w:rPr>
          <w:i/>
          <w:sz w:val="24"/>
          <w:szCs w:val="24"/>
        </w:rPr>
      </w:pPr>
      <w:r w:rsidRPr="00B751FD">
        <w:rPr>
          <w:i/>
          <w:sz w:val="24"/>
          <w:szCs w:val="24"/>
        </w:rPr>
        <w:t>Hjælpestoffer, som behandleren skal være opmærksom på:</w:t>
      </w:r>
    </w:p>
    <w:p w:rsidR="00D54CA1" w:rsidRPr="00B751FD" w:rsidRDefault="00D54CA1" w:rsidP="00D54CA1">
      <w:pPr>
        <w:tabs>
          <w:tab w:val="left" w:pos="851"/>
        </w:tabs>
        <w:ind w:left="851"/>
        <w:rPr>
          <w:sz w:val="24"/>
          <w:szCs w:val="24"/>
        </w:rPr>
      </w:pPr>
    </w:p>
    <w:p w:rsidR="00D54CA1" w:rsidRPr="00B751FD" w:rsidRDefault="00D54CA1" w:rsidP="00D54CA1">
      <w:pPr>
        <w:tabs>
          <w:tab w:val="left" w:pos="851"/>
        </w:tabs>
        <w:ind w:left="851"/>
        <w:rPr>
          <w:sz w:val="24"/>
          <w:szCs w:val="24"/>
          <w:u w:val="single"/>
        </w:rPr>
      </w:pPr>
      <w:proofErr w:type="spellStart"/>
      <w:r w:rsidRPr="00B751FD">
        <w:rPr>
          <w:sz w:val="24"/>
          <w:szCs w:val="24"/>
          <w:u w:val="single"/>
        </w:rPr>
        <w:t>Maltitol</w:t>
      </w:r>
      <w:proofErr w:type="spellEnd"/>
    </w:p>
    <w:p w:rsidR="00D54CA1" w:rsidRPr="00B751FD" w:rsidRDefault="00D54CA1" w:rsidP="00D54CA1">
      <w:pPr>
        <w:tabs>
          <w:tab w:val="left" w:pos="851"/>
        </w:tabs>
        <w:ind w:left="851"/>
        <w:rPr>
          <w:sz w:val="24"/>
          <w:szCs w:val="24"/>
        </w:rPr>
      </w:pPr>
      <w:proofErr w:type="spellStart"/>
      <w:r w:rsidRPr="00B751FD">
        <w:rPr>
          <w:sz w:val="24"/>
          <w:szCs w:val="24"/>
        </w:rPr>
        <w:t>Epistatus</w:t>
      </w:r>
      <w:proofErr w:type="spellEnd"/>
      <w:r w:rsidRPr="00B751FD">
        <w:rPr>
          <w:sz w:val="24"/>
          <w:szCs w:val="24"/>
        </w:rPr>
        <w:t xml:space="preserve"> indeholder </w:t>
      </w:r>
      <w:proofErr w:type="spellStart"/>
      <w:r w:rsidRPr="00B751FD">
        <w:rPr>
          <w:sz w:val="24"/>
          <w:szCs w:val="24"/>
        </w:rPr>
        <w:t>maltitol</w:t>
      </w:r>
      <w:proofErr w:type="spellEnd"/>
      <w:r w:rsidRPr="00B751FD">
        <w:rPr>
          <w:sz w:val="24"/>
          <w:szCs w:val="24"/>
        </w:rPr>
        <w:t xml:space="preserve">. Bør ikke anvendes til patienter med hereditær </w:t>
      </w:r>
      <w:proofErr w:type="spellStart"/>
      <w:r w:rsidRPr="00B751FD">
        <w:rPr>
          <w:sz w:val="24"/>
          <w:szCs w:val="24"/>
        </w:rPr>
        <w:t>fructoseintolerans</w:t>
      </w:r>
      <w:proofErr w:type="spellEnd"/>
      <w:r w:rsidRPr="00B751FD">
        <w:rPr>
          <w:sz w:val="24"/>
          <w:szCs w:val="24"/>
        </w:rPr>
        <w:t>.</w:t>
      </w:r>
    </w:p>
    <w:p w:rsidR="00D54CA1" w:rsidRPr="00B751FD" w:rsidRDefault="00D54CA1" w:rsidP="00D54CA1">
      <w:pPr>
        <w:tabs>
          <w:tab w:val="left" w:pos="851"/>
        </w:tabs>
        <w:ind w:left="851"/>
        <w:rPr>
          <w:sz w:val="24"/>
          <w:szCs w:val="24"/>
        </w:rPr>
      </w:pPr>
    </w:p>
    <w:p w:rsidR="00D54CA1" w:rsidRPr="00B751FD" w:rsidRDefault="00D54CA1" w:rsidP="00D54CA1">
      <w:pPr>
        <w:tabs>
          <w:tab w:val="left" w:pos="851"/>
        </w:tabs>
        <w:ind w:left="851"/>
        <w:rPr>
          <w:sz w:val="24"/>
          <w:szCs w:val="24"/>
          <w:u w:val="single"/>
        </w:rPr>
      </w:pPr>
      <w:proofErr w:type="spellStart"/>
      <w:r w:rsidRPr="00B751FD">
        <w:rPr>
          <w:sz w:val="24"/>
          <w:szCs w:val="24"/>
          <w:u w:val="single"/>
        </w:rPr>
        <w:t>Ethanol</w:t>
      </w:r>
      <w:proofErr w:type="spellEnd"/>
    </w:p>
    <w:p w:rsidR="00D54CA1" w:rsidRPr="00B751FD" w:rsidRDefault="00D54CA1" w:rsidP="00D54CA1">
      <w:pPr>
        <w:tabs>
          <w:tab w:val="left" w:pos="851"/>
        </w:tabs>
        <w:ind w:left="851"/>
        <w:rPr>
          <w:sz w:val="24"/>
          <w:szCs w:val="24"/>
        </w:rPr>
      </w:pPr>
      <w:proofErr w:type="spellStart"/>
      <w:r w:rsidRPr="00B751FD">
        <w:rPr>
          <w:sz w:val="24"/>
          <w:szCs w:val="24"/>
        </w:rPr>
        <w:t>Epistatus</w:t>
      </w:r>
      <w:proofErr w:type="spellEnd"/>
      <w:r w:rsidRPr="00B751FD">
        <w:rPr>
          <w:sz w:val="24"/>
          <w:szCs w:val="24"/>
        </w:rPr>
        <w:t xml:space="preserve"> 2,5 mg mundhulevæske, opløsning,</w:t>
      </w:r>
      <w:r w:rsidRPr="00B751FD" w:rsidDel="00F801F6">
        <w:rPr>
          <w:sz w:val="24"/>
          <w:szCs w:val="24"/>
        </w:rPr>
        <w:t xml:space="preserve"> </w:t>
      </w:r>
      <w:r w:rsidRPr="00B751FD">
        <w:rPr>
          <w:sz w:val="24"/>
          <w:szCs w:val="24"/>
        </w:rPr>
        <w:t xml:space="preserve">indeholder 49 mg </w:t>
      </w:r>
      <w:proofErr w:type="spellStart"/>
      <w:r w:rsidRPr="00B751FD">
        <w:rPr>
          <w:sz w:val="24"/>
          <w:szCs w:val="24"/>
        </w:rPr>
        <w:t>ethanol</w:t>
      </w:r>
      <w:proofErr w:type="spellEnd"/>
      <w:r w:rsidRPr="00B751FD">
        <w:rPr>
          <w:sz w:val="24"/>
          <w:szCs w:val="24"/>
        </w:rPr>
        <w:t xml:space="preserve"> pr. dosis. Mængden pr. dosis af dette lægemiddel svarer til mindre end 1 ml øl eller 1 ml vin.</w:t>
      </w:r>
    </w:p>
    <w:p w:rsidR="00D54CA1" w:rsidRPr="00B751FD" w:rsidRDefault="00D54CA1" w:rsidP="00D54CA1">
      <w:pPr>
        <w:tabs>
          <w:tab w:val="left" w:pos="851"/>
        </w:tabs>
        <w:ind w:left="851"/>
        <w:rPr>
          <w:sz w:val="24"/>
          <w:szCs w:val="24"/>
        </w:rPr>
      </w:pPr>
    </w:p>
    <w:p w:rsidR="00D54CA1" w:rsidRPr="00B751FD" w:rsidRDefault="00D54CA1" w:rsidP="00D54CA1">
      <w:pPr>
        <w:ind w:left="851"/>
        <w:rPr>
          <w:sz w:val="24"/>
          <w:szCs w:val="24"/>
        </w:rPr>
      </w:pPr>
      <w:proofErr w:type="spellStart"/>
      <w:r w:rsidRPr="00B751FD">
        <w:rPr>
          <w:sz w:val="24"/>
          <w:szCs w:val="24"/>
        </w:rPr>
        <w:t>Epistatus</w:t>
      </w:r>
      <w:proofErr w:type="spellEnd"/>
      <w:r w:rsidRPr="00B751FD">
        <w:rPr>
          <w:sz w:val="24"/>
          <w:szCs w:val="24"/>
        </w:rPr>
        <w:t xml:space="preserve"> 5 mg mundhulevæske, opløsning, indeholder 99 mg </w:t>
      </w:r>
      <w:proofErr w:type="spellStart"/>
      <w:r w:rsidRPr="00B751FD">
        <w:rPr>
          <w:sz w:val="24"/>
          <w:szCs w:val="24"/>
        </w:rPr>
        <w:t>ethanol</w:t>
      </w:r>
      <w:proofErr w:type="spellEnd"/>
      <w:r w:rsidRPr="00B751FD">
        <w:rPr>
          <w:sz w:val="24"/>
          <w:szCs w:val="24"/>
        </w:rPr>
        <w:t xml:space="preserve"> pr. dosis. Mængden pr. dosis af dette lægemiddel svarer til mindre end 3 ml øl eller 1 ml vin. </w:t>
      </w:r>
    </w:p>
    <w:p w:rsidR="00D54CA1" w:rsidRPr="00B751FD" w:rsidRDefault="00D54CA1" w:rsidP="00D54CA1">
      <w:pPr>
        <w:numPr>
          <w:ilvl w:val="12"/>
          <w:numId w:val="0"/>
        </w:numPr>
        <w:ind w:left="851" w:right="-2"/>
        <w:rPr>
          <w:sz w:val="24"/>
          <w:szCs w:val="24"/>
        </w:rPr>
      </w:pPr>
    </w:p>
    <w:p w:rsidR="00D54CA1" w:rsidRPr="00B751FD" w:rsidRDefault="00D54CA1" w:rsidP="00D54CA1">
      <w:pPr>
        <w:ind w:left="851"/>
        <w:rPr>
          <w:sz w:val="24"/>
          <w:szCs w:val="24"/>
        </w:rPr>
      </w:pPr>
      <w:proofErr w:type="spellStart"/>
      <w:r w:rsidRPr="00B751FD">
        <w:rPr>
          <w:sz w:val="24"/>
          <w:szCs w:val="24"/>
        </w:rPr>
        <w:t>Epistatus</w:t>
      </w:r>
      <w:proofErr w:type="spellEnd"/>
      <w:r w:rsidRPr="00B751FD">
        <w:rPr>
          <w:sz w:val="24"/>
          <w:szCs w:val="24"/>
        </w:rPr>
        <w:t xml:space="preserve"> 7,5 mg mundhulevæske, opløsning, indeholder 148 mg </w:t>
      </w:r>
      <w:proofErr w:type="spellStart"/>
      <w:r w:rsidRPr="00B751FD">
        <w:rPr>
          <w:sz w:val="24"/>
          <w:szCs w:val="24"/>
        </w:rPr>
        <w:t>ethanol</w:t>
      </w:r>
      <w:proofErr w:type="spellEnd"/>
      <w:r w:rsidRPr="00B751FD">
        <w:rPr>
          <w:sz w:val="24"/>
          <w:szCs w:val="24"/>
        </w:rPr>
        <w:t xml:space="preserve"> pr. dosis. Mængden pr. dosis af dette lægemiddel svarer til mindre end 4 ml øl eller 2 ml vin. </w:t>
      </w:r>
    </w:p>
    <w:p w:rsidR="00D54CA1" w:rsidRPr="00B751FD" w:rsidRDefault="00D54CA1" w:rsidP="00D54CA1">
      <w:pPr>
        <w:numPr>
          <w:ilvl w:val="12"/>
          <w:numId w:val="0"/>
        </w:numPr>
        <w:ind w:left="851" w:right="-2"/>
        <w:rPr>
          <w:sz w:val="24"/>
          <w:szCs w:val="24"/>
        </w:rPr>
      </w:pPr>
    </w:p>
    <w:p w:rsidR="00D54CA1" w:rsidRPr="00B751FD" w:rsidRDefault="00D54CA1" w:rsidP="00D54CA1">
      <w:pPr>
        <w:ind w:left="851"/>
        <w:rPr>
          <w:sz w:val="24"/>
          <w:szCs w:val="24"/>
        </w:rPr>
      </w:pPr>
      <w:proofErr w:type="spellStart"/>
      <w:r w:rsidRPr="00B751FD">
        <w:rPr>
          <w:sz w:val="24"/>
          <w:szCs w:val="24"/>
        </w:rPr>
        <w:t>Epistatus</w:t>
      </w:r>
      <w:proofErr w:type="spellEnd"/>
      <w:r w:rsidRPr="00B751FD">
        <w:rPr>
          <w:sz w:val="24"/>
          <w:szCs w:val="24"/>
        </w:rPr>
        <w:t xml:space="preserve"> 10 mg mundhulevæske, opløsning, indeholder 197 mg </w:t>
      </w:r>
      <w:proofErr w:type="spellStart"/>
      <w:r w:rsidRPr="00B751FD">
        <w:rPr>
          <w:sz w:val="24"/>
          <w:szCs w:val="24"/>
        </w:rPr>
        <w:t>ethanol</w:t>
      </w:r>
      <w:proofErr w:type="spellEnd"/>
      <w:r w:rsidRPr="00B751FD">
        <w:rPr>
          <w:sz w:val="24"/>
          <w:szCs w:val="24"/>
        </w:rPr>
        <w:t xml:space="preserve"> pr. dosis. Mængden pr. dosis af dette lægemiddel svarer til mindre end 5 ml øl eller 2 ml vin. </w:t>
      </w:r>
    </w:p>
    <w:p w:rsidR="00D54CA1" w:rsidRPr="00B751FD" w:rsidRDefault="00D54CA1" w:rsidP="00D54CA1">
      <w:pPr>
        <w:tabs>
          <w:tab w:val="left" w:pos="851"/>
        </w:tabs>
        <w:ind w:left="851"/>
        <w:rPr>
          <w:sz w:val="24"/>
          <w:szCs w:val="24"/>
        </w:rPr>
      </w:pPr>
    </w:p>
    <w:p w:rsidR="00D54CA1" w:rsidRPr="00B751FD" w:rsidRDefault="00D54CA1" w:rsidP="00D54CA1">
      <w:pPr>
        <w:tabs>
          <w:tab w:val="left" w:pos="851"/>
        </w:tabs>
        <w:ind w:left="851"/>
        <w:rPr>
          <w:sz w:val="24"/>
          <w:szCs w:val="24"/>
        </w:rPr>
      </w:pPr>
      <w:r w:rsidRPr="00B751FD">
        <w:rPr>
          <w:sz w:val="24"/>
          <w:szCs w:val="24"/>
        </w:rPr>
        <w:t>Den mindre mængde alkohol i dette lægemiddel vil ikke have nogen nævneværdig virkning.</w:t>
      </w:r>
    </w:p>
    <w:p w:rsidR="00D54CA1" w:rsidRPr="00B751FD" w:rsidRDefault="00D54CA1" w:rsidP="00D54CA1">
      <w:pPr>
        <w:tabs>
          <w:tab w:val="left" w:pos="851"/>
        </w:tabs>
        <w:ind w:left="851"/>
        <w:rPr>
          <w:sz w:val="24"/>
          <w:szCs w:val="24"/>
        </w:rPr>
      </w:pPr>
    </w:p>
    <w:p w:rsidR="00D54CA1" w:rsidRPr="00B751FD" w:rsidRDefault="00D54CA1" w:rsidP="00D54CA1">
      <w:pPr>
        <w:tabs>
          <w:tab w:val="left" w:pos="851"/>
        </w:tabs>
        <w:ind w:left="851"/>
        <w:rPr>
          <w:sz w:val="24"/>
          <w:szCs w:val="24"/>
          <w:u w:val="single"/>
        </w:rPr>
      </w:pPr>
      <w:r w:rsidRPr="00B751FD">
        <w:rPr>
          <w:sz w:val="24"/>
          <w:szCs w:val="24"/>
          <w:u w:val="single"/>
        </w:rPr>
        <w:t>Natrium</w:t>
      </w:r>
    </w:p>
    <w:p w:rsidR="00D54CA1" w:rsidRPr="00B751FD" w:rsidRDefault="00D54CA1" w:rsidP="00D54CA1">
      <w:pPr>
        <w:tabs>
          <w:tab w:val="left" w:pos="851"/>
        </w:tabs>
        <w:ind w:left="851"/>
        <w:rPr>
          <w:sz w:val="24"/>
          <w:szCs w:val="24"/>
        </w:rPr>
      </w:pPr>
      <w:proofErr w:type="spellStart"/>
      <w:r w:rsidRPr="00B751FD">
        <w:rPr>
          <w:sz w:val="24"/>
          <w:szCs w:val="24"/>
        </w:rPr>
        <w:t>Epistatus</w:t>
      </w:r>
      <w:proofErr w:type="spellEnd"/>
      <w:r w:rsidRPr="00B751FD">
        <w:rPr>
          <w:sz w:val="24"/>
          <w:szCs w:val="24"/>
        </w:rPr>
        <w:t xml:space="preserve"> indeholder mindre end 1 mmol (23 mg) natrium pr. dosis, dvs. det er i det væsentlige natriumfrit.</w:t>
      </w:r>
    </w:p>
    <w:p w:rsidR="00AE09FE" w:rsidRPr="00B751FD" w:rsidRDefault="00AE09FE" w:rsidP="00AE09FE">
      <w:pPr>
        <w:tabs>
          <w:tab w:val="left" w:pos="851"/>
        </w:tabs>
        <w:ind w:left="851"/>
        <w:rPr>
          <w:sz w:val="24"/>
          <w:szCs w:val="24"/>
        </w:rPr>
      </w:pPr>
    </w:p>
    <w:p w:rsidR="00AE09FE" w:rsidRPr="00B751FD" w:rsidRDefault="00AE09FE" w:rsidP="00AE09FE">
      <w:pPr>
        <w:tabs>
          <w:tab w:val="left" w:pos="851"/>
        </w:tabs>
        <w:ind w:left="851" w:hanging="851"/>
        <w:rPr>
          <w:b/>
          <w:sz w:val="24"/>
          <w:szCs w:val="24"/>
        </w:rPr>
      </w:pPr>
      <w:r w:rsidRPr="00B751FD">
        <w:rPr>
          <w:b/>
          <w:sz w:val="24"/>
          <w:szCs w:val="24"/>
        </w:rPr>
        <w:t>4.5</w:t>
      </w:r>
      <w:r w:rsidRPr="00B751FD">
        <w:rPr>
          <w:b/>
          <w:sz w:val="24"/>
          <w:szCs w:val="24"/>
        </w:rPr>
        <w:tab/>
        <w:t>Interaktion med andre lægemidler og andre former for interaktion</w:t>
      </w:r>
    </w:p>
    <w:p w:rsidR="00D54CA1" w:rsidRPr="00B751FD" w:rsidRDefault="00D54CA1" w:rsidP="00D54CA1">
      <w:pPr>
        <w:tabs>
          <w:tab w:val="left" w:pos="851"/>
        </w:tabs>
        <w:ind w:left="851"/>
        <w:rPr>
          <w:sz w:val="24"/>
          <w:szCs w:val="24"/>
          <w:lang w:eastAsia="da-DK"/>
        </w:rPr>
      </w:pPr>
      <w:proofErr w:type="spellStart"/>
      <w:r w:rsidRPr="00B751FD">
        <w:rPr>
          <w:sz w:val="24"/>
          <w:szCs w:val="24"/>
        </w:rPr>
        <w:t>Midazolam</w:t>
      </w:r>
      <w:proofErr w:type="spellEnd"/>
      <w:r w:rsidRPr="00B751FD">
        <w:rPr>
          <w:sz w:val="24"/>
          <w:szCs w:val="24"/>
        </w:rPr>
        <w:t xml:space="preserve"> </w:t>
      </w:r>
      <w:proofErr w:type="spellStart"/>
      <w:r w:rsidRPr="00B751FD">
        <w:rPr>
          <w:sz w:val="24"/>
          <w:szCs w:val="24"/>
        </w:rPr>
        <w:t>metaboliseres</w:t>
      </w:r>
      <w:proofErr w:type="spellEnd"/>
      <w:r w:rsidRPr="00B751FD">
        <w:rPr>
          <w:sz w:val="24"/>
          <w:szCs w:val="24"/>
        </w:rPr>
        <w:t xml:space="preserve"> af </w:t>
      </w:r>
      <w:proofErr w:type="spellStart"/>
      <w:r w:rsidRPr="00B751FD">
        <w:rPr>
          <w:sz w:val="24"/>
          <w:szCs w:val="24"/>
        </w:rPr>
        <w:t>cytokrom</w:t>
      </w:r>
      <w:proofErr w:type="spellEnd"/>
      <w:r w:rsidRPr="00B751FD">
        <w:rPr>
          <w:sz w:val="24"/>
          <w:szCs w:val="24"/>
        </w:rPr>
        <w:t xml:space="preserve"> P450 3A4-isozym (CYP3A4). </w:t>
      </w:r>
      <w:proofErr w:type="spellStart"/>
      <w:r w:rsidRPr="00B751FD">
        <w:rPr>
          <w:sz w:val="24"/>
          <w:szCs w:val="24"/>
        </w:rPr>
        <w:t>Hæmmere</w:t>
      </w:r>
      <w:proofErr w:type="spellEnd"/>
      <w:r w:rsidRPr="00B751FD">
        <w:rPr>
          <w:sz w:val="24"/>
          <w:szCs w:val="24"/>
        </w:rPr>
        <w:t xml:space="preserve"> og inducere af CYP3A4 har potentialet til hhv. at forøge og nedsætte plasmakoncentrationerne og derved virkningerne af </w:t>
      </w:r>
      <w:proofErr w:type="spellStart"/>
      <w:r w:rsidRPr="00B751FD">
        <w:rPr>
          <w:sz w:val="24"/>
          <w:szCs w:val="24"/>
        </w:rPr>
        <w:t>midazolam</w:t>
      </w:r>
      <w:proofErr w:type="spellEnd"/>
      <w:r w:rsidRPr="00B751FD">
        <w:rPr>
          <w:sz w:val="24"/>
          <w:szCs w:val="24"/>
        </w:rPr>
        <w:t xml:space="preserve">, således at der kræves dosisjusteringer i henhold hertil. </w:t>
      </w:r>
      <w:proofErr w:type="spellStart"/>
      <w:r w:rsidRPr="00B751FD">
        <w:rPr>
          <w:sz w:val="24"/>
          <w:szCs w:val="24"/>
        </w:rPr>
        <w:t>Farmakokinetiske</w:t>
      </w:r>
      <w:proofErr w:type="spellEnd"/>
      <w:r w:rsidRPr="00B751FD">
        <w:rPr>
          <w:sz w:val="24"/>
          <w:szCs w:val="24"/>
        </w:rPr>
        <w:t xml:space="preserve"> interaktioner med CYP3A4-hæmmere eller -inducere er mere udpræget for </w:t>
      </w:r>
      <w:proofErr w:type="spellStart"/>
      <w:r w:rsidRPr="00B751FD">
        <w:rPr>
          <w:sz w:val="24"/>
          <w:szCs w:val="24"/>
        </w:rPr>
        <w:t>midazolam</w:t>
      </w:r>
      <w:proofErr w:type="spellEnd"/>
      <w:r w:rsidRPr="00B751FD">
        <w:rPr>
          <w:sz w:val="24"/>
          <w:szCs w:val="24"/>
        </w:rPr>
        <w:t xml:space="preserve"> indgivet oralt sammenlignet med indgivelse via mundhulen eller parenteral indgivelse, da CYP3A4-enzymer også er til stede i den øvre del af mave-tarm-kanalen. Efter indgivelse via mundhulen vil kun den systemiske </w:t>
      </w:r>
      <w:proofErr w:type="spellStart"/>
      <w:r w:rsidRPr="00B751FD">
        <w:rPr>
          <w:sz w:val="24"/>
          <w:szCs w:val="24"/>
        </w:rPr>
        <w:t>clearance</w:t>
      </w:r>
      <w:proofErr w:type="spellEnd"/>
      <w:r w:rsidRPr="00B751FD">
        <w:rPr>
          <w:sz w:val="24"/>
          <w:szCs w:val="24"/>
        </w:rPr>
        <w:t xml:space="preserve"> påvirkes. Efter en enkelt dosis af </w:t>
      </w:r>
      <w:proofErr w:type="spellStart"/>
      <w:r w:rsidRPr="00B751FD">
        <w:rPr>
          <w:sz w:val="24"/>
          <w:szCs w:val="24"/>
        </w:rPr>
        <w:t>midazolam</w:t>
      </w:r>
      <w:proofErr w:type="spellEnd"/>
      <w:r w:rsidRPr="00B751FD">
        <w:rPr>
          <w:sz w:val="24"/>
          <w:szCs w:val="24"/>
        </w:rPr>
        <w:t xml:space="preserve"> indgivet via mundhulen vil konsekvensen af den maksimale kliniske virkning, der skyldes CYP3A4-hæmmere, være af mindre betydning, mens virkningens varighed kan være forlænget. Derfor anbefales en nøje overvågning af kliniske virkninger og vitale tegn under anvendelse af </w:t>
      </w:r>
      <w:proofErr w:type="spellStart"/>
      <w:r w:rsidRPr="00B751FD">
        <w:rPr>
          <w:sz w:val="24"/>
          <w:szCs w:val="24"/>
        </w:rPr>
        <w:t>midazolam</w:t>
      </w:r>
      <w:proofErr w:type="spellEnd"/>
      <w:r w:rsidRPr="00B751FD">
        <w:rPr>
          <w:sz w:val="24"/>
          <w:szCs w:val="24"/>
        </w:rPr>
        <w:t xml:space="preserve"> sammen med en CYP3A4-hæmmer, selv efter en enkelt dosis.</w:t>
      </w:r>
    </w:p>
    <w:p w:rsidR="00D54CA1" w:rsidRPr="00B751FD" w:rsidRDefault="00D54CA1" w:rsidP="00D54CA1">
      <w:pPr>
        <w:tabs>
          <w:tab w:val="left" w:pos="851"/>
        </w:tabs>
        <w:ind w:left="851"/>
        <w:rPr>
          <w:sz w:val="24"/>
          <w:szCs w:val="24"/>
        </w:rPr>
      </w:pPr>
    </w:p>
    <w:p w:rsidR="00D54CA1" w:rsidRPr="00B751FD" w:rsidRDefault="00D54CA1" w:rsidP="00D54CA1">
      <w:pPr>
        <w:tabs>
          <w:tab w:val="left" w:pos="851"/>
        </w:tabs>
        <w:ind w:left="851"/>
        <w:rPr>
          <w:sz w:val="24"/>
          <w:szCs w:val="24"/>
        </w:rPr>
      </w:pPr>
      <w:proofErr w:type="spellStart"/>
      <w:r w:rsidRPr="00B751FD">
        <w:rPr>
          <w:sz w:val="24"/>
          <w:szCs w:val="24"/>
          <w:u w:val="single"/>
        </w:rPr>
        <w:t>Anæstetika</w:t>
      </w:r>
      <w:proofErr w:type="spellEnd"/>
      <w:r w:rsidRPr="00B751FD">
        <w:rPr>
          <w:sz w:val="24"/>
          <w:szCs w:val="24"/>
          <w:u w:val="single"/>
        </w:rPr>
        <w:t xml:space="preserve"> og narkotiske </w:t>
      </w:r>
      <w:proofErr w:type="spellStart"/>
      <w:r w:rsidRPr="00B751FD">
        <w:rPr>
          <w:sz w:val="24"/>
          <w:szCs w:val="24"/>
          <w:u w:val="single"/>
        </w:rPr>
        <w:t>analgetika</w:t>
      </w:r>
      <w:proofErr w:type="spellEnd"/>
      <w:r w:rsidRPr="00B751FD">
        <w:rPr>
          <w:sz w:val="24"/>
          <w:szCs w:val="24"/>
          <w:u w:val="single"/>
        </w:rPr>
        <w:t>:</w:t>
      </w:r>
      <w:r w:rsidRPr="00B751FD">
        <w:rPr>
          <w:sz w:val="24"/>
          <w:szCs w:val="24"/>
        </w:rPr>
        <w:t xml:space="preserve"> </w:t>
      </w:r>
    </w:p>
    <w:p w:rsidR="00D54CA1" w:rsidRPr="00B751FD" w:rsidRDefault="00D54CA1" w:rsidP="00D54CA1">
      <w:pPr>
        <w:tabs>
          <w:tab w:val="left" w:pos="851"/>
        </w:tabs>
        <w:ind w:left="851"/>
        <w:rPr>
          <w:sz w:val="24"/>
          <w:szCs w:val="24"/>
        </w:rPr>
      </w:pPr>
      <w:r w:rsidRPr="00B751FD">
        <w:rPr>
          <w:sz w:val="24"/>
          <w:szCs w:val="24"/>
        </w:rPr>
        <w:t xml:space="preserve">Fentanyl kan reducere </w:t>
      </w:r>
      <w:proofErr w:type="spellStart"/>
      <w:r w:rsidRPr="00B751FD">
        <w:rPr>
          <w:sz w:val="24"/>
          <w:szCs w:val="24"/>
        </w:rPr>
        <w:t>midazolam-clearance</w:t>
      </w:r>
      <w:proofErr w:type="spellEnd"/>
      <w:r w:rsidRPr="00B751FD">
        <w:rPr>
          <w:sz w:val="24"/>
          <w:szCs w:val="24"/>
        </w:rPr>
        <w:t>.</w:t>
      </w:r>
    </w:p>
    <w:p w:rsidR="00D54CA1" w:rsidRPr="00B751FD" w:rsidRDefault="00D54CA1" w:rsidP="00D54CA1">
      <w:pPr>
        <w:tabs>
          <w:tab w:val="left" w:pos="851"/>
        </w:tabs>
        <w:ind w:left="851"/>
        <w:rPr>
          <w:sz w:val="24"/>
          <w:szCs w:val="24"/>
          <w:u w:val="single"/>
        </w:rPr>
      </w:pPr>
    </w:p>
    <w:p w:rsidR="00D54CA1" w:rsidRPr="00B751FD" w:rsidRDefault="00D54CA1" w:rsidP="00D54CA1">
      <w:pPr>
        <w:tabs>
          <w:tab w:val="left" w:pos="851"/>
        </w:tabs>
        <w:ind w:left="851"/>
        <w:rPr>
          <w:sz w:val="24"/>
          <w:szCs w:val="24"/>
        </w:rPr>
      </w:pPr>
      <w:proofErr w:type="spellStart"/>
      <w:r w:rsidRPr="00B751FD">
        <w:rPr>
          <w:sz w:val="24"/>
          <w:szCs w:val="24"/>
          <w:u w:val="single"/>
        </w:rPr>
        <w:t>Antiepileptika</w:t>
      </w:r>
      <w:proofErr w:type="spellEnd"/>
      <w:r w:rsidRPr="00B751FD">
        <w:rPr>
          <w:sz w:val="24"/>
          <w:szCs w:val="24"/>
          <w:u w:val="single"/>
        </w:rPr>
        <w:t>:</w:t>
      </w:r>
      <w:r w:rsidRPr="00B751FD">
        <w:rPr>
          <w:sz w:val="24"/>
          <w:szCs w:val="24"/>
        </w:rPr>
        <w:t xml:space="preserve"> </w:t>
      </w:r>
    </w:p>
    <w:p w:rsidR="00D54CA1" w:rsidRPr="00B751FD" w:rsidRDefault="00D54CA1" w:rsidP="00D54CA1">
      <w:pPr>
        <w:tabs>
          <w:tab w:val="left" w:pos="851"/>
        </w:tabs>
        <w:ind w:left="851"/>
        <w:rPr>
          <w:sz w:val="24"/>
          <w:szCs w:val="24"/>
        </w:rPr>
      </w:pPr>
      <w:r w:rsidRPr="00B751FD">
        <w:rPr>
          <w:sz w:val="24"/>
          <w:szCs w:val="24"/>
        </w:rPr>
        <w:t xml:space="preserve">Indgivelse sammen med </w:t>
      </w:r>
      <w:proofErr w:type="spellStart"/>
      <w:r w:rsidRPr="00B751FD">
        <w:rPr>
          <w:sz w:val="24"/>
          <w:szCs w:val="24"/>
        </w:rPr>
        <w:t>midazolam</w:t>
      </w:r>
      <w:proofErr w:type="spellEnd"/>
      <w:r w:rsidRPr="00B751FD">
        <w:rPr>
          <w:sz w:val="24"/>
          <w:szCs w:val="24"/>
        </w:rPr>
        <w:t xml:space="preserve"> kan forårsage forøget sedation eller respirations- eller </w:t>
      </w:r>
      <w:proofErr w:type="spellStart"/>
      <w:r w:rsidRPr="00B751FD">
        <w:rPr>
          <w:sz w:val="24"/>
          <w:szCs w:val="24"/>
        </w:rPr>
        <w:t>kardiovaskulær</w:t>
      </w:r>
      <w:proofErr w:type="spellEnd"/>
      <w:r w:rsidRPr="00B751FD">
        <w:rPr>
          <w:sz w:val="24"/>
          <w:szCs w:val="24"/>
        </w:rPr>
        <w:t xml:space="preserve"> depression. </w:t>
      </w:r>
      <w:proofErr w:type="spellStart"/>
      <w:r w:rsidRPr="00B751FD">
        <w:rPr>
          <w:sz w:val="24"/>
          <w:szCs w:val="24"/>
        </w:rPr>
        <w:t>Midazolam</w:t>
      </w:r>
      <w:proofErr w:type="spellEnd"/>
      <w:r w:rsidRPr="00B751FD">
        <w:rPr>
          <w:sz w:val="24"/>
          <w:szCs w:val="24"/>
        </w:rPr>
        <w:t xml:space="preserve"> kan påvirke andre lægemidler, der </w:t>
      </w:r>
      <w:proofErr w:type="spellStart"/>
      <w:r w:rsidRPr="00B751FD">
        <w:rPr>
          <w:sz w:val="24"/>
          <w:szCs w:val="24"/>
        </w:rPr>
        <w:t>metaboliseres</w:t>
      </w:r>
      <w:proofErr w:type="spellEnd"/>
      <w:r w:rsidRPr="00B751FD">
        <w:rPr>
          <w:sz w:val="24"/>
          <w:szCs w:val="24"/>
        </w:rPr>
        <w:t xml:space="preserve"> via leveren, f.eks. </w:t>
      </w:r>
      <w:proofErr w:type="spellStart"/>
      <w:r w:rsidRPr="00B751FD">
        <w:rPr>
          <w:sz w:val="24"/>
          <w:szCs w:val="24"/>
        </w:rPr>
        <w:t>phenytoin</w:t>
      </w:r>
      <w:proofErr w:type="spellEnd"/>
      <w:r w:rsidRPr="00B751FD">
        <w:rPr>
          <w:sz w:val="24"/>
          <w:szCs w:val="24"/>
        </w:rPr>
        <w:t>, hvilket forårsager potensering.</w:t>
      </w:r>
    </w:p>
    <w:p w:rsidR="00D54CA1" w:rsidRPr="00B751FD" w:rsidRDefault="00D54CA1" w:rsidP="00CB14E4">
      <w:pPr>
        <w:tabs>
          <w:tab w:val="left" w:pos="851"/>
        </w:tabs>
        <w:ind w:left="851"/>
        <w:rPr>
          <w:sz w:val="24"/>
          <w:szCs w:val="24"/>
          <w:u w:val="single"/>
        </w:rPr>
      </w:pPr>
    </w:p>
    <w:p w:rsidR="00D54CA1" w:rsidRPr="00B751FD" w:rsidRDefault="00D54CA1" w:rsidP="00D54CA1">
      <w:pPr>
        <w:tabs>
          <w:tab w:val="left" w:pos="851"/>
        </w:tabs>
        <w:ind w:left="851"/>
        <w:rPr>
          <w:sz w:val="24"/>
          <w:szCs w:val="24"/>
        </w:rPr>
      </w:pPr>
      <w:proofErr w:type="spellStart"/>
      <w:r w:rsidRPr="00B751FD">
        <w:rPr>
          <w:sz w:val="24"/>
          <w:szCs w:val="24"/>
          <w:u w:val="single"/>
        </w:rPr>
        <w:t>Dopaminerge</w:t>
      </w:r>
      <w:proofErr w:type="spellEnd"/>
      <w:r w:rsidRPr="00B751FD">
        <w:rPr>
          <w:sz w:val="24"/>
          <w:szCs w:val="24"/>
          <w:u w:val="single"/>
        </w:rPr>
        <w:t xml:space="preserve"> lægemidler:</w:t>
      </w:r>
      <w:r w:rsidRPr="00B751FD">
        <w:rPr>
          <w:sz w:val="24"/>
          <w:szCs w:val="24"/>
        </w:rPr>
        <w:t xml:space="preserve"> </w:t>
      </w:r>
    </w:p>
    <w:p w:rsidR="00D54CA1" w:rsidRPr="00B751FD" w:rsidRDefault="00D54CA1" w:rsidP="00D54CA1">
      <w:pPr>
        <w:tabs>
          <w:tab w:val="left" w:pos="851"/>
        </w:tabs>
        <w:ind w:left="851"/>
        <w:rPr>
          <w:sz w:val="24"/>
          <w:szCs w:val="24"/>
        </w:rPr>
      </w:pPr>
      <w:proofErr w:type="spellStart"/>
      <w:r w:rsidRPr="00B751FD">
        <w:rPr>
          <w:sz w:val="24"/>
          <w:szCs w:val="24"/>
        </w:rPr>
        <w:t>Midazolam</w:t>
      </w:r>
      <w:proofErr w:type="spellEnd"/>
      <w:r w:rsidRPr="00B751FD">
        <w:rPr>
          <w:sz w:val="24"/>
          <w:szCs w:val="24"/>
        </w:rPr>
        <w:t xml:space="preserve"> kan forårsage hæmning af </w:t>
      </w:r>
      <w:proofErr w:type="spellStart"/>
      <w:r w:rsidRPr="00B751FD">
        <w:rPr>
          <w:sz w:val="24"/>
          <w:szCs w:val="24"/>
        </w:rPr>
        <w:t>levodopa</w:t>
      </w:r>
      <w:proofErr w:type="spellEnd"/>
      <w:r w:rsidRPr="00B751FD">
        <w:rPr>
          <w:sz w:val="24"/>
          <w:szCs w:val="24"/>
        </w:rPr>
        <w:t>.</w:t>
      </w:r>
    </w:p>
    <w:p w:rsidR="00D54CA1" w:rsidRPr="00B751FD" w:rsidRDefault="00D54CA1" w:rsidP="00D54CA1">
      <w:pPr>
        <w:tabs>
          <w:tab w:val="left" w:pos="851"/>
        </w:tabs>
        <w:ind w:left="851"/>
        <w:rPr>
          <w:sz w:val="24"/>
          <w:szCs w:val="24"/>
          <w:u w:val="single"/>
        </w:rPr>
      </w:pPr>
    </w:p>
    <w:p w:rsidR="00D54CA1" w:rsidRPr="00B751FD" w:rsidRDefault="00D54CA1" w:rsidP="00D54CA1">
      <w:pPr>
        <w:tabs>
          <w:tab w:val="left" w:pos="851"/>
        </w:tabs>
        <w:ind w:left="851"/>
        <w:rPr>
          <w:sz w:val="24"/>
          <w:szCs w:val="24"/>
        </w:rPr>
      </w:pPr>
      <w:proofErr w:type="spellStart"/>
      <w:r w:rsidRPr="00B751FD">
        <w:rPr>
          <w:sz w:val="24"/>
          <w:szCs w:val="24"/>
          <w:u w:val="single"/>
        </w:rPr>
        <w:t>Muskelrelaksantia</w:t>
      </w:r>
      <w:proofErr w:type="spellEnd"/>
      <w:r w:rsidRPr="00B751FD">
        <w:rPr>
          <w:sz w:val="24"/>
          <w:szCs w:val="24"/>
          <w:u w:val="single"/>
        </w:rPr>
        <w:t>:</w:t>
      </w:r>
      <w:r w:rsidRPr="00B751FD">
        <w:rPr>
          <w:sz w:val="24"/>
          <w:szCs w:val="24"/>
        </w:rPr>
        <w:t xml:space="preserve"> f.eks. </w:t>
      </w:r>
      <w:proofErr w:type="spellStart"/>
      <w:r w:rsidRPr="00B751FD">
        <w:rPr>
          <w:sz w:val="24"/>
          <w:szCs w:val="24"/>
        </w:rPr>
        <w:t>baclofen</w:t>
      </w:r>
      <w:proofErr w:type="spellEnd"/>
      <w:r w:rsidRPr="00B751FD">
        <w:rPr>
          <w:sz w:val="24"/>
          <w:szCs w:val="24"/>
        </w:rPr>
        <w:t xml:space="preserve">. </w:t>
      </w:r>
    </w:p>
    <w:p w:rsidR="00D54CA1" w:rsidRPr="00B751FD" w:rsidRDefault="00D54CA1" w:rsidP="00D54CA1">
      <w:pPr>
        <w:tabs>
          <w:tab w:val="left" w:pos="851"/>
        </w:tabs>
        <w:ind w:left="851"/>
        <w:rPr>
          <w:sz w:val="24"/>
          <w:szCs w:val="24"/>
        </w:rPr>
      </w:pPr>
      <w:proofErr w:type="spellStart"/>
      <w:r w:rsidRPr="00B751FD">
        <w:rPr>
          <w:sz w:val="24"/>
          <w:szCs w:val="24"/>
        </w:rPr>
        <w:t>Midazolam</w:t>
      </w:r>
      <w:proofErr w:type="spellEnd"/>
      <w:r w:rsidRPr="00B751FD">
        <w:rPr>
          <w:sz w:val="24"/>
          <w:szCs w:val="24"/>
        </w:rPr>
        <w:t xml:space="preserve"> kan forårsage potensering af </w:t>
      </w:r>
      <w:proofErr w:type="spellStart"/>
      <w:r w:rsidRPr="00B751FD">
        <w:rPr>
          <w:sz w:val="24"/>
          <w:szCs w:val="24"/>
        </w:rPr>
        <w:t>muskelrelaksantia</w:t>
      </w:r>
      <w:proofErr w:type="spellEnd"/>
      <w:r w:rsidRPr="00B751FD">
        <w:rPr>
          <w:sz w:val="24"/>
          <w:szCs w:val="24"/>
        </w:rPr>
        <w:t xml:space="preserve"> med forhøjede CNS-undertrykkende virkninger.</w:t>
      </w:r>
    </w:p>
    <w:p w:rsidR="007F6AE5" w:rsidRDefault="007F6AE5">
      <w:pPr>
        <w:rPr>
          <w:sz w:val="24"/>
          <w:szCs w:val="24"/>
          <w:u w:val="single"/>
        </w:rPr>
      </w:pPr>
      <w:r>
        <w:rPr>
          <w:sz w:val="24"/>
          <w:szCs w:val="24"/>
          <w:u w:val="single"/>
        </w:rPr>
        <w:br w:type="page"/>
      </w:r>
    </w:p>
    <w:p w:rsidR="00D54CA1" w:rsidRPr="00B751FD" w:rsidRDefault="00D54CA1" w:rsidP="00D54CA1">
      <w:pPr>
        <w:tabs>
          <w:tab w:val="left" w:pos="851"/>
        </w:tabs>
        <w:ind w:left="851"/>
        <w:rPr>
          <w:sz w:val="24"/>
          <w:szCs w:val="24"/>
          <w:u w:val="single"/>
        </w:rPr>
      </w:pPr>
    </w:p>
    <w:p w:rsidR="00D54CA1" w:rsidRPr="00B751FD" w:rsidRDefault="00D54CA1" w:rsidP="00D54CA1">
      <w:pPr>
        <w:tabs>
          <w:tab w:val="left" w:pos="851"/>
        </w:tabs>
        <w:ind w:left="851"/>
        <w:rPr>
          <w:sz w:val="24"/>
          <w:szCs w:val="24"/>
        </w:rPr>
      </w:pPr>
      <w:proofErr w:type="spellStart"/>
      <w:r w:rsidRPr="00B751FD">
        <w:rPr>
          <w:sz w:val="24"/>
          <w:szCs w:val="24"/>
          <w:u w:val="single"/>
        </w:rPr>
        <w:t>Nabilon</w:t>
      </w:r>
      <w:proofErr w:type="spellEnd"/>
      <w:r w:rsidRPr="00B751FD">
        <w:rPr>
          <w:sz w:val="24"/>
          <w:szCs w:val="24"/>
          <w:u w:val="single"/>
        </w:rPr>
        <w:t>:</w:t>
      </w:r>
      <w:r w:rsidRPr="00B751FD">
        <w:rPr>
          <w:sz w:val="24"/>
          <w:szCs w:val="24"/>
        </w:rPr>
        <w:t xml:space="preserve"> </w:t>
      </w:r>
    </w:p>
    <w:p w:rsidR="00D54CA1" w:rsidRPr="00B751FD" w:rsidRDefault="00D54CA1" w:rsidP="00D54CA1">
      <w:pPr>
        <w:tabs>
          <w:tab w:val="left" w:pos="851"/>
        </w:tabs>
        <w:ind w:left="851"/>
        <w:rPr>
          <w:sz w:val="24"/>
          <w:szCs w:val="24"/>
        </w:rPr>
      </w:pPr>
      <w:r w:rsidRPr="00B751FD">
        <w:rPr>
          <w:sz w:val="24"/>
          <w:szCs w:val="24"/>
        </w:rPr>
        <w:t xml:space="preserve">Indgivelse sammen med </w:t>
      </w:r>
      <w:proofErr w:type="spellStart"/>
      <w:r w:rsidRPr="00B751FD">
        <w:rPr>
          <w:sz w:val="24"/>
          <w:szCs w:val="24"/>
        </w:rPr>
        <w:t>midazolam</w:t>
      </w:r>
      <w:proofErr w:type="spellEnd"/>
      <w:r w:rsidRPr="00B751FD">
        <w:rPr>
          <w:sz w:val="24"/>
          <w:szCs w:val="24"/>
        </w:rPr>
        <w:t xml:space="preserve"> kan forårsage forøget sedation eller respirations- og </w:t>
      </w:r>
      <w:proofErr w:type="spellStart"/>
      <w:r w:rsidRPr="00B751FD">
        <w:rPr>
          <w:sz w:val="24"/>
          <w:szCs w:val="24"/>
        </w:rPr>
        <w:t>kardiovaskulær</w:t>
      </w:r>
      <w:proofErr w:type="spellEnd"/>
      <w:r w:rsidRPr="00B751FD">
        <w:rPr>
          <w:sz w:val="24"/>
          <w:szCs w:val="24"/>
        </w:rPr>
        <w:t xml:space="preserve"> depression.</w:t>
      </w:r>
    </w:p>
    <w:p w:rsidR="00D54CA1" w:rsidRPr="00B751FD" w:rsidRDefault="00D54CA1" w:rsidP="00D54CA1">
      <w:pPr>
        <w:tabs>
          <w:tab w:val="left" w:pos="851"/>
        </w:tabs>
        <w:ind w:left="851"/>
        <w:rPr>
          <w:sz w:val="24"/>
          <w:szCs w:val="24"/>
          <w:u w:val="single"/>
        </w:rPr>
      </w:pPr>
    </w:p>
    <w:p w:rsidR="00D54CA1" w:rsidRPr="00B751FD" w:rsidRDefault="00D54CA1" w:rsidP="00D54CA1">
      <w:pPr>
        <w:tabs>
          <w:tab w:val="left" w:pos="851"/>
        </w:tabs>
        <w:ind w:left="851"/>
        <w:rPr>
          <w:sz w:val="24"/>
          <w:szCs w:val="24"/>
          <w:u w:val="single"/>
        </w:rPr>
      </w:pPr>
      <w:r w:rsidRPr="00B751FD">
        <w:rPr>
          <w:sz w:val="24"/>
          <w:szCs w:val="24"/>
          <w:u w:val="single"/>
        </w:rPr>
        <w:t>Opioider:</w:t>
      </w:r>
    </w:p>
    <w:p w:rsidR="00D54CA1" w:rsidRPr="00B751FD" w:rsidRDefault="00D54CA1" w:rsidP="00D54CA1">
      <w:pPr>
        <w:tabs>
          <w:tab w:val="left" w:pos="851"/>
        </w:tabs>
        <w:ind w:left="851"/>
        <w:rPr>
          <w:sz w:val="24"/>
          <w:szCs w:val="24"/>
        </w:rPr>
      </w:pPr>
      <w:r w:rsidRPr="00B751FD">
        <w:rPr>
          <w:sz w:val="24"/>
          <w:szCs w:val="24"/>
        </w:rPr>
        <w:t xml:space="preserve">Anvendelse af </w:t>
      </w:r>
      <w:proofErr w:type="spellStart"/>
      <w:r w:rsidRPr="00B751FD">
        <w:rPr>
          <w:sz w:val="24"/>
          <w:szCs w:val="24"/>
        </w:rPr>
        <w:t>sedativa</w:t>
      </w:r>
      <w:proofErr w:type="spellEnd"/>
      <w:r w:rsidRPr="00B751FD">
        <w:rPr>
          <w:sz w:val="24"/>
          <w:szCs w:val="24"/>
        </w:rPr>
        <w:t xml:space="preserve"> såsom benzodiazepiner eller beslægtede lægemidler såsom </w:t>
      </w:r>
      <w:proofErr w:type="spellStart"/>
      <w:r w:rsidRPr="00B751FD">
        <w:rPr>
          <w:sz w:val="24"/>
          <w:szCs w:val="24"/>
        </w:rPr>
        <w:t>Epistatus</w:t>
      </w:r>
      <w:proofErr w:type="spellEnd"/>
      <w:r w:rsidRPr="00B751FD">
        <w:rPr>
          <w:sz w:val="24"/>
          <w:szCs w:val="24"/>
        </w:rPr>
        <w:t xml:space="preserve"> sammen med opioider øger risikoen for sedation, respirationsdepression, koma og dødsfald som følge af additiv CNS-deprimerende virkning. Dosis og varighed af samtidig anvendelse skal begrænses (se pkt. 4.4).</w:t>
      </w:r>
    </w:p>
    <w:p w:rsidR="00D54CA1" w:rsidRPr="00B751FD" w:rsidRDefault="00D54CA1" w:rsidP="00D54CA1">
      <w:pPr>
        <w:tabs>
          <w:tab w:val="left" w:pos="851"/>
        </w:tabs>
        <w:ind w:left="851"/>
        <w:rPr>
          <w:sz w:val="24"/>
          <w:szCs w:val="24"/>
          <w:u w:val="single"/>
        </w:rPr>
      </w:pPr>
    </w:p>
    <w:p w:rsidR="00D54CA1" w:rsidRPr="00B751FD" w:rsidRDefault="00D54CA1" w:rsidP="00D54CA1">
      <w:pPr>
        <w:tabs>
          <w:tab w:val="left" w:pos="851"/>
        </w:tabs>
        <w:ind w:left="851"/>
        <w:rPr>
          <w:sz w:val="24"/>
          <w:szCs w:val="24"/>
        </w:rPr>
      </w:pPr>
      <w:r w:rsidRPr="00B751FD">
        <w:rPr>
          <w:sz w:val="24"/>
          <w:szCs w:val="24"/>
          <w:u w:val="single"/>
        </w:rPr>
        <w:t>Ulcus-helende lægemidler:</w:t>
      </w:r>
      <w:r w:rsidRPr="00B751FD">
        <w:rPr>
          <w:sz w:val="24"/>
          <w:szCs w:val="24"/>
        </w:rPr>
        <w:t xml:space="preserve"> </w:t>
      </w:r>
    </w:p>
    <w:p w:rsidR="00D54CA1" w:rsidRPr="00B751FD" w:rsidRDefault="00D54CA1" w:rsidP="00D54CA1">
      <w:pPr>
        <w:tabs>
          <w:tab w:val="left" w:pos="851"/>
        </w:tabs>
        <w:ind w:left="851"/>
        <w:rPr>
          <w:sz w:val="24"/>
          <w:szCs w:val="24"/>
        </w:rPr>
      </w:pPr>
      <w:proofErr w:type="spellStart"/>
      <w:r w:rsidRPr="00B751FD">
        <w:rPr>
          <w:sz w:val="24"/>
          <w:szCs w:val="24"/>
        </w:rPr>
        <w:t>Cimetidin</w:t>
      </w:r>
      <w:proofErr w:type="spellEnd"/>
      <w:r w:rsidRPr="00B751FD">
        <w:rPr>
          <w:sz w:val="24"/>
          <w:szCs w:val="24"/>
        </w:rPr>
        <w:t xml:space="preserve">, </w:t>
      </w:r>
      <w:proofErr w:type="spellStart"/>
      <w:r w:rsidRPr="00B751FD">
        <w:rPr>
          <w:sz w:val="24"/>
          <w:szCs w:val="24"/>
        </w:rPr>
        <w:t>ranitidin</w:t>
      </w:r>
      <w:proofErr w:type="spellEnd"/>
      <w:r w:rsidRPr="00B751FD">
        <w:rPr>
          <w:sz w:val="24"/>
          <w:szCs w:val="24"/>
        </w:rPr>
        <w:t xml:space="preserve"> og </w:t>
      </w:r>
      <w:proofErr w:type="spellStart"/>
      <w:r w:rsidRPr="00B751FD">
        <w:rPr>
          <w:sz w:val="24"/>
          <w:szCs w:val="24"/>
        </w:rPr>
        <w:t>omeprazol</w:t>
      </w:r>
      <w:proofErr w:type="spellEnd"/>
      <w:r w:rsidRPr="00B751FD">
        <w:rPr>
          <w:sz w:val="24"/>
          <w:szCs w:val="24"/>
        </w:rPr>
        <w:t xml:space="preserve"> har vist sig at reducere </w:t>
      </w:r>
      <w:proofErr w:type="spellStart"/>
      <w:r w:rsidRPr="00B751FD">
        <w:rPr>
          <w:sz w:val="24"/>
          <w:szCs w:val="24"/>
        </w:rPr>
        <w:t>clearance</w:t>
      </w:r>
      <w:proofErr w:type="spellEnd"/>
      <w:r w:rsidRPr="00B751FD">
        <w:rPr>
          <w:sz w:val="24"/>
          <w:szCs w:val="24"/>
        </w:rPr>
        <w:t xml:space="preserve"> af </w:t>
      </w:r>
      <w:proofErr w:type="spellStart"/>
      <w:r w:rsidRPr="00B751FD">
        <w:rPr>
          <w:sz w:val="24"/>
          <w:szCs w:val="24"/>
        </w:rPr>
        <w:t>midazolam</w:t>
      </w:r>
      <w:proofErr w:type="spellEnd"/>
      <w:r w:rsidRPr="00B751FD">
        <w:rPr>
          <w:sz w:val="24"/>
          <w:szCs w:val="24"/>
        </w:rPr>
        <w:t xml:space="preserve"> og andre benzodiazepiner og kan potensere deres virkninger.</w:t>
      </w:r>
    </w:p>
    <w:p w:rsidR="00D54CA1" w:rsidRPr="00B751FD" w:rsidRDefault="00D54CA1" w:rsidP="00D54CA1">
      <w:pPr>
        <w:tabs>
          <w:tab w:val="left" w:pos="851"/>
        </w:tabs>
        <w:ind w:left="851"/>
        <w:rPr>
          <w:sz w:val="24"/>
          <w:szCs w:val="24"/>
          <w:u w:val="single"/>
        </w:rPr>
      </w:pPr>
    </w:p>
    <w:p w:rsidR="00D54CA1" w:rsidRPr="00B751FD" w:rsidRDefault="00D54CA1" w:rsidP="00D54CA1">
      <w:pPr>
        <w:tabs>
          <w:tab w:val="left" w:pos="851"/>
        </w:tabs>
        <w:ind w:left="851"/>
        <w:rPr>
          <w:sz w:val="24"/>
          <w:szCs w:val="24"/>
        </w:rPr>
      </w:pPr>
      <w:proofErr w:type="spellStart"/>
      <w:r w:rsidRPr="00B751FD">
        <w:rPr>
          <w:sz w:val="24"/>
          <w:szCs w:val="24"/>
          <w:u w:val="single"/>
        </w:rPr>
        <w:t>Xanthiner</w:t>
      </w:r>
      <w:proofErr w:type="spellEnd"/>
      <w:r w:rsidRPr="00B751FD">
        <w:rPr>
          <w:sz w:val="24"/>
          <w:szCs w:val="24"/>
          <w:u w:val="single"/>
        </w:rPr>
        <w:t>:</w:t>
      </w:r>
      <w:r w:rsidRPr="00B751FD">
        <w:rPr>
          <w:sz w:val="24"/>
          <w:szCs w:val="24"/>
        </w:rPr>
        <w:t xml:space="preserve"> </w:t>
      </w:r>
    </w:p>
    <w:p w:rsidR="00D54CA1" w:rsidRPr="00B751FD" w:rsidRDefault="00D54CA1" w:rsidP="00D54CA1">
      <w:pPr>
        <w:tabs>
          <w:tab w:val="left" w:pos="851"/>
        </w:tabs>
        <w:ind w:left="851"/>
        <w:rPr>
          <w:sz w:val="24"/>
          <w:szCs w:val="24"/>
        </w:rPr>
      </w:pPr>
      <w:r w:rsidRPr="00B751FD">
        <w:rPr>
          <w:sz w:val="24"/>
          <w:szCs w:val="24"/>
        </w:rPr>
        <w:t xml:space="preserve">Metabolismen af </w:t>
      </w:r>
      <w:proofErr w:type="spellStart"/>
      <w:r w:rsidRPr="00B751FD">
        <w:rPr>
          <w:sz w:val="24"/>
          <w:szCs w:val="24"/>
        </w:rPr>
        <w:t>midazolam</w:t>
      </w:r>
      <w:proofErr w:type="spellEnd"/>
      <w:r w:rsidRPr="00B751FD">
        <w:rPr>
          <w:sz w:val="24"/>
          <w:szCs w:val="24"/>
        </w:rPr>
        <w:t xml:space="preserve"> og andre benzodiazepiner accelereres af </w:t>
      </w:r>
      <w:proofErr w:type="spellStart"/>
      <w:r w:rsidRPr="00B751FD">
        <w:rPr>
          <w:sz w:val="24"/>
          <w:szCs w:val="24"/>
        </w:rPr>
        <w:t>xanthiner</w:t>
      </w:r>
      <w:proofErr w:type="spellEnd"/>
      <w:r w:rsidRPr="00B751FD">
        <w:rPr>
          <w:sz w:val="24"/>
          <w:szCs w:val="24"/>
        </w:rPr>
        <w:t>.</w:t>
      </w:r>
    </w:p>
    <w:p w:rsidR="00D54CA1" w:rsidRPr="00B751FD" w:rsidRDefault="00D54CA1" w:rsidP="00D54CA1">
      <w:pPr>
        <w:tabs>
          <w:tab w:val="left" w:pos="851"/>
        </w:tabs>
        <w:ind w:left="851"/>
        <w:rPr>
          <w:i/>
          <w:iCs/>
          <w:sz w:val="24"/>
          <w:szCs w:val="24"/>
          <w:u w:val="single"/>
        </w:rPr>
      </w:pPr>
    </w:p>
    <w:p w:rsidR="00D54CA1" w:rsidRPr="00B751FD" w:rsidRDefault="00D54CA1" w:rsidP="00D54CA1">
      <w:pPr>
        <w:tabs>
          <w:tab w:val="left" w:pos="851"/>
        </w:tabs>
        <w:ind w:left="851"/>
        <w:rPr>
          <w:sz w:val="24"/>
          <w:szCs w:val="24"/>
          <w:u w:val="single"/>
        </w:rPr>
      </w:pPr>
      <w:r w:rsidRPr="00B751FD">
        <w:rPr>
          <w:iCs/>
          <w:sz w:val="24"/>
          <w:szCs w:val="24"/>
          <w:u w:val="single"/>
        </w:rPr>
        <w:t>CYP3A4-hæmmere</w:t>
      </w:r>
    </w:p>
    <w:p w:rsidR="00D54CA1" w:rsidRPr="00B751FD" w:rsidRDefault="00D54CA1" w:rsidP="00D54CA1">
      <w:pPr>
        <w:tabs>
          <w:tab w:val="left" w:pos="851"/>
        </w:tabs>
        <w:ind w:left="851"/>
        <w:rPr>
          <w:sz w:val="24"/>
          <w:szCs w:val="24"/>
        </w:rPr>
      </w:pPr>
      <w:r w:rsidRPr="00B751FD">
        <w:rPr>
          <w:sz w:val="24"/>
          <w:szCs w:val="24"/>
        </w:rPr>
        <w:t xml:space="preserve">Lægemiddelinteraktioner efter indgivelse via mundhulen af </w:t>
      </w:r>
      <w:proofErr w:type="spellStart"/>
      <w:r w:rsidRPr="00B751FD">
        <w:rPr>
          <w:sz w:val="24"/>
          <w:szCs w:val="24"/>
        </w:rPr>
        <w:t>midazolam</w:t>
      </w:r>
      <w:proofErr w:type="spellEnd"/>
      <w:r w:rsidRPr="00B751FD">
        <w:rPr>
          <w:sz w:val="24"/>
          <w:szCs w:val="24"/>
        </w:rPr>
        <w:t xml:space="preserve"> ligner sandsynligvis mere dem, der observeres efter intravenøst </w:t>
      </w:r>
      <w:proofErr w:type="spellStart"/>
      <w:r w:rsidRPr="00B751FD">
        <w:rPr>
          <w:sz w:val="24"/>
          <w:szCs w:val="24"/>
        </w:rPr>
        <w:t>midazolam</w:t>
      </w:r>
      <w:proofErr w:type="spellEnd"/>
      <w:r w:rsidRPr="00B751FD">
        <w:rPr>
          <w:sz w:val="24"/>
          <w:szCs w:val="24"/>
        </w:rPr>
        <w:t xml:space="preserve"> end efter oral indgivelse.</w:t>
      </w:r>
    </w:p>
    <w:p w:rsidR="00D54CA1" w:rsidRPr="00B751FD" w:rsidRDefault="00D54CA1" w:rsidP="00D54CA1">
      <w:pPr>
        <w:tabs>
          <w:tab w:val="left" w:pos="851"/>
        </w:tabs>
        <w:ind w:left="851"/>
        <w:rPr>
          <w:sz w:val="24"/>
          <w:szCs w:val="24"/>
          <w:u w:val="single"/>
        </w:rPr>
      </w:pPr>
    </w:p>
    <w:p w:rsidR="00D54CA1" w:rsidRPr="00B751FD" w:rsidRDefault="00D54CA1" w:rsidP="00D54CA1">
      <w:pPr>
        <w:tabs>
          <w:tab w:val="left" w:pos="851"/>
        </w:tabs>
        <w:ind w:left="851"/>
        <w:rPr>
          <w:sz w:val="24"/>
          <w:szCs w:val="24"/>
          <w:u w:val="single"/>
        </w:rPr>
      </w:pPr>
      <w:r w:rsidRPr="00B751FD">
        <w:rPr>
          <w:sz w:val="24"/>
          <w:szCs w:val="24"/>
          <w:u w:val="single"/>
        </w:rPr>
        <w:t>Føde:</w:t>
      </w:r>
    </w:p>
    <w:p w:rsidR="00D54CA1" w:rsidRPr="00B751FD" w:rsidRDefault="00D54CA1" w:rsidP="00D54CA1">
      <w:pPr>
        <w:tabs>
          <w:tab w:val="left" w:pos="851"/>
        </w:tabs>
        <w:ind w:left="851"/>
        <w:rPr>
          <w:sz w:val="24"/>
          <w:szCs w:val="24"/>
        </w:rPr>
      </w:pPr>
      <w:r w:rsidRPr="00B751FD">
        <w:rPr>
          <w:sz w:val="24"/>
          <w:szCs w:val="24"/>
        </w:rPr>
        <w:t xml:space="preserve">Grapefrugtjuice reducerer </w:t>
      </w:r>
      <w:proofErr w:type="spellStart"/>
      <w:r w:rsidRPr="00B751FD">
        <w:rPr>
          <w:sz w:val="24"/>
          <w:szCs w:val="24"/>
        </w:rPr>
        <w:t>clearance</w:t>
      </w:r>
      <w:proofErr w:type="spellEnd"/>
      <w:r w:rsidRPr="00B751FD">
        <w:rPr>
          <w:sz w:val="24"/>
          <w:szCs w:val="24"/>
        </w:rPr>
        <w:t xml:space="preserve"> af </w:t>
      </w:r>
      <w:proofErr w:type="spellStart"/>
      <w:r w:rsidRPr="00B751FD">
        <w:rPr>
          <w:sz w:val="24"/>
          <w:szCs w:val="24"/>
        </w:rPr>
        <w:t>midazolam</w:t>
      </w:r>
      <w:proofErr w:type="spellEnd"/>
      <w:r w:rsidRPr="00B751FD">
        <w:rPr>
          <w:sz w:val="24"/>
          <w:szCs w:val="24"/>
        </w:rPr>
        <w:t xml:space="preserve"> og potenserer dets virkning.</w:t>
      </w:r>
    </w:p>
    <w:p w:rsidR="00D54CA1" w:rsidRPr="00B751FD" w:rsidRDefault="00D54CA1" w:rsidP="00D54CA1">
      <w:pPr>
        <w:tabs>
          <w:tab w:val="left" w:pos="851"/>
        </w:tabs>
        <w:ind w:left="851"/>
        <w:rPr>
          <w:sz w:val="24"/>
          <w:szCs w:val="24"/>
          <w:u w:val="single"/>
        </w:rPr>
      </w:pPr>
    </w:p>
    <w:p w:rsidR="00D54CA1" w:rsidRPr="00B751FD" w:rsidRDefault="00D54CA1" w:rsidP="00D54CA1">
      <w:pPr>
        <w:tabs>
          <w:tab w:val="left" w:pos="851"/>
        </w:tabs>
        <w:ind w:left="851"/>
        <w:rPr>
          <w:sz w:val="24"/>
          <w:szCs w:val="24"/>
          <w:u w:val="single"/>
        </w:rPr>
      </w:pPr>
      <w:proofErr w:type="spellStart"/>
      <w:r w:rsidRPr="00B751FD">
        <w:rPr>
          <w:sz w:val="24"/>
          <w:szCs w:val="24"/>
          <w:u w:val="single"/>
        </w:rPr>
        <w:t>Azol-antimykotika</w:t>
      </w:r>
      <w:proofErr w:type="spellEnd"/>
      <w:r w:rsidRPr="00B751FD">
        <w:rPr>
          <w:sz w:val="24"/>
          <w:szCs w:val="24"/>
          <w:u w:val="single"/>
        </w:rPr>
        <w:t>:</w:t>
      </w:r>
    </w:p>
    <w:p w:rsidR="00D54CA1" w:rsidRPr="00B751FD" w:rsidRDefault="00D54CA1" w:rsidP="00D54CA1">
      <w:pPr>
        <w:numPr>
          <w:ilvl w:val="0"/>
          <w:numId w:val="7"/>
        </w:numPr>
        <w:tabs>
          <w:tab w:val="left" w:pos="851"/>
        </w:tabs>
        <w:ind w:left="1418" w:hanging="567"/>
        <w:rPr>
          <w:sz w:val="24"/>
          <w:szCs w:val="24"/>
        </w:rPr>
      </w:pPr>
      <w:proofErr w:type="spellStart"/>
      <w:r w:rsidRPr="00B751FD">
        <w:rPr>
          <w:sz w:val="24"/>
          <w:szCs w:val="24"/>
        </w:rPr>
        <w:t>Ketoconazol</w:t>
      </w:r>
      <w:proofErr w:type="spellEnd"/>
      <w:r w:rsidRPr="00B751FD">
        <w:rPr>
          <w:sz w:val="24"/>
          <w:szCs w:val="24"/>
        </w:rPr>
        <w:t xml:space="preserve"> femdoblede plasmakoncentrationerne af intravenøst </w:t>
      </w:r>
      <w:proofErr w:type="spellStart"/>
      <w:r w:rsidRPr="00B751FD">
        <w:rPr>
          <w:sz w:val="24"/>
          <w:szCs w:val="24"/>
        </w:rPr>
        <w:t>midazolam</w:t>
      </w:r>
      <w:proofErr w:type="spellEnd"/>
      <w:r w:rsidRPr="00B751FD">
        <w:rPr>
          <w:sz w:val="24"/>
          <w:szCs w:val="24"/>
        </w:rPr>
        <w:t>, mens den terminale halveringstid blev cirka tredoblet.</w:t>
      </w:r>
    </w:p>
    <w:p w:rsidR="00D54CA1" w:rsidRPr="00B751FD" w:rsidRDefault="00D54CA1" w:rsidP="00D54CA1">
      <w:pPr>
        <w:numPr>
          <w:ilvl w:val="0"/>
          <w:numId w:val="7"/>
        </w:numPr>
        <w:tabs>
          <w:tab w:val="left" w:pos="851"/>
        </w:tabs>
        <w:ind w:left="1418" w:hanging="567"/>
        <w:rPr>
          <w:sz w:val="24"/>
          <w:szCs w:val="24"/>
        </w:rPr>
      </w:pPr>
      <w:proofErr w:type="spellStart"/>
      <w:r w:rsidRPr="00B751FD">
        <w:rPr>
          <w:sz w:val="24"/>
          <w:szCs w:val="24"/>
        </w:rPr>
        <w:t>Voriconazol</w:t>
      </w:r>
      <w:proofErr w:type="spellEnd"/>
      <w:r w:rsidRPr="00B751FD">
        <w:rPr>
          <w:sz w:val="24"/>
          <w:szCs w:val="24"/>
        </w:rPr>
        <w:t xml:space="preserve"> tredoblede eksponeringen over for intravenøst </w:t>
      </w:r>
      <w:proofErr w:type="spellStart"/>
      <w:r w:rsidRPr="00B751FD">
        <w:rPr>
          <w:sz w:val="24"/>
          <w:szCs w:val="24"/>
        </w:rPr>
        <w:t>midazolam</w:t>
      </w:r>
      <w:proofErr w:type="spellEnd"/>
      <w:r w:rsidRPr="00B751FD">
        <w:rPr>
          <w:sz w:val="24"/>
          <w:szCs w:val="24"/>
        </w:rPr>
        <w:t>, mens eliminationshalveringstiden blev cirka tredoblet.</w:t>
      </w:r>
    </w:p>
    <w:p w:rsidR="00D54CA1" w:rsidRPr="00B751FD" w:rsidRDefault="00D54CA1" w:rsidP="00D54CA1">
      <w:pPr>
        <w:numPr>
          <w:ilvl w:val="0"/>
          <w:numId w:val="7"/>
        </w:numPr>
        <w:tabs>
          <w:tab w:val="left" w:pos="851"/>
        </w:tabs>
        <w:ind w:left="1418" w:hanging="567"/>
        <w:rPr>
          <w:sz w:val="24"/>
          <w:szCs w:val="24"/>
        </w:rPr>
      </w:pPr>
      <w:proofErr w:type="spellStart"/>
      <w:r w:rsidRPr="00B751FD">
        <w:rPr>
          <w:sz w:val="24"/>
          <w:szCs w:val="24"/>
        </w:rPr>
        <w:t>Fluconazol</w:t>
      </w:r>
      <w:proofErr w:type="spellEnd"/>
      <w:r w:rsidRPr="00B751FD">
        <w:rPr>
          <w:sz w:val="24"/>
          <w:szCs w:val="24"/>
        </w:rPr>
        <w:t xml:space="preserve"> og </w:t>
      </w:r>
      <w:proofErr w:type="spellStart"/>
      <w:r w:rsidRPr="00B751FD">
        <w:rPr>
          <w:sz w:val="24"/>
          <w:szCs w:val="24"/>
        </w:rPr>
        <w:t>itraconazol</w:t>
      </w:r>
      <w:proofErr w:type="spellEnd"/>
      <w:r w:rsidRPr="00B751FD">
        <w:rPr>
          <w:sz w:val="24"/>
          <w:szCs w:val="24"/>
        </w:rPr>
        <w:t xml:space="preserve"> forøgede begge plasmakoncentrationerne af intravenøst </w:t>
      </w:r>
      <w:proofErr w:type="spellStart"/>
      <w:r w:rsidRPr="00B751FD">
        <w:rPr>
          <w:sz w:val="24"/>
          <w:szCs w:val="24"/>
        </w:rPr>
        <w:t>midazolam</w:t>
      </w:r>
      <w:proofErr w:type="spellEnd"/>
      <w:r w:rsidRPr="00B751FD">
        <w:rPr>
          <w:sz w:val="24"/>
          <w:szCs w:val="24"/>
        </w:rPr>
        <w:t xml:space="preserve"> med 2-3 gange i forbindelse med en forøgelse i terminal halveringstid med 2,4 gange for </w:t>
      </w:r>
      <w:proofErr w:type="spellStart"/>
      <w:r w:rsidRPr="00B751FD">
        <w:rPr>
          <w:sz w:val="24"/>
          <w:szCs w:val="24"/>
        </w:rPr>
        <w:t>itraconazol</w:t>
      </w:r>
      <w:proofErr w:type="spellEnd"/>
      <w:r w:rsidRPr="00B751FD">
        <w:rPr>
          <w:sz w:val="24"/>
          <w:szCs w:val="24"/>
        </w:rPr>
        <w:t xml:space="preserve"> og 1,5 for </w:t>
      </w:r>
      <w:proofErr w:type="spellStart"/>
      <w:r w:rsidRPr="00B751FD">
        <w:rPr>
          <w:sz w:val="24"/>
          <w:szCs w:val="24"/>
        </w:rPr>
        <w:t>fluconazol</w:t>
      </w:r>
      <w:proofErr w:type="spellEnd"/>
      <w:r w:rsidRPr="00B751FD">
        <w:rPr>
          <w:sz w:val="24"/>
          <w:szCs w:val="24"/>
        </w:rPr>
        <w:t>.</w:t>
      </w:r>
    </w:p>
    <w:p w:rsidR="00D54CA1" w:rsidRPr="00B751FD" w:rsidRDefault="00D54CA1" w:rsidP="00D54CA1">
      <w:pPr>
        <w:numPr>
          <w:ilvl w:val="0"/>
          <w:numId w:val="7"/>
        </w:numPr>
        <w:tabs>
          <w:tab w:val="left" w:pos="851"/>
        </w:tabs>
        <w:ind w:left="1418" w:hanging="567"/>
        <w:rPr>
          <w:sz w:val="24"/>
          <w:szCs w:val="24"/>
        </w:rPr>
      </w:pPr>
      <w:proofErr w:type="spellStart"/>
      <w:r w:rsidRPr="00B751FD">
        <w:rPr>
          <w:sz w:val="24"/>
          <w:szCs w:val="24"/>
        </w:rPr>
        <w:t>Posaconazol</w:t>
      </w:r>
      <w:proofErr w:type="spellEnd"/>
      <w:r w:rsidRPr="00B751FD">
        <w:rPr>
          <w:sz w:val="24"/>
          <w:szCs w:val="24"/>
        </w:rPr>
        <w:t xml:space="preserve"> førte til cirka en fordobling af plasmakoncentrationerne af intravenøst </w:t>
      </w:r>
      <w:proofErr w:type="spellStart"/>
      <w:r w:rsidRPr="00B751FD">
        <w:rPr>
          <w:sz w:val="24"/>
          <w:szCs w:val="24"/>
        </w:rPr>
        <w:t>midazolam</w:t>
      </w:r>
      <w:proofErr w:type="spellEnd"/>
      <w:r w:rsidRPr="00B751FD">
        <w:rPr>
          <w:sz w:val="24"/>
          <w:szCs w:val="24"/>
        </w:rPr>
        <w:t>.</w:t>
      </w:r>
    </w:p>
    <w:p w:rsidR="00D54CA1" w:rsidRPr="00B751FD" w:rsidRDefault="00D54CA1" w:rsidP="00D54CA1">
      <w:pPr>
        <w:tabs>
          <w:tab w:val="left" w:pos="851"/>
        </w:tabs>
        <w:ind w:left="851"/>
        <w:rPr>
          <w:sz w:val="24"/>
          <w:szCs w:val="24"/>
          <w:u w:val="single"/>
        </w:rPr>
      </w:pPr>
    </w:p>
    <w:p w:rsidR="00D54CA1" w:rsidRPr="00B751FD" w:rsidRDefault="00D54CA1" w:rsidP="00D54CA1">
      <w:pPr>
        <w:tabs>
          <w:tab w:val="left" w:pos="851"/>
        </w:tabs>
        <w:ind w:left="851"/>
        <w:rPr>
          <w:sz w:val="24"/>
          <w:szCs w:val="24"/>
          <w:u w:val="single"/>
        </w:rPr>
      </w:pPr>
      <w:r w:rsidRPr="00B751FD">
        <w:rPr>
          <w:sz w:val="24"/>
          <w:szCs w:val="24"/>
          <w:u w:val="single"/>
        </w:rPr>
        <w:t>Makrolid-antibiotika:</w:t>
      </w:r>
    </w:p>
    <w:p w:rsidR="00D54CA1" w:rsidRPr="00B751FD" w:rsidRDefault="00D54CA1" w:rsidP="00D54CA1">
      <w:pPr>
        <w:numPr>
          <w:ilvl w:val="0"/>
          <w:numId w:val="8"/>
        </w:numPr>
        <w:tabs>
          <w:tab w:val="left" w:pos="851"/>
        </w:tabs>
        <w:ind w:left="1418" w:hanging="567"/>
        <w:rPr>
          <w:sz w:val="24"/>
          <w:szCs w:val="24"/>
        </w:rPr>
      </w:pPr>
      <w:proofErr w:type="spellStart"/>
      <w:r w:rsidRPr="00B751FD">
        <w:rPr>
          <w:sz w:val="24"/>
          <w:szCs w:val="24"/>
        </w:rPr>
        <w:t>Erythromycin</w:t>
      </w:r>
      <w:proofErr w:type="spellEnd"/>
      <w:r w:rsidRPr="00B751FD">
        <w:rPr>
          <w:sz w:val="24"/>
          <w:szCs w:val="24"/>
        </w:rPr>
        <w:t xml:space="preserve"> resulterede i en forøgelse af plasmakoncentrationerne af intravenøst </w:t>
      </w:r>
      <w:proofErr w:type="spellStart"/>
      <w:r w:rsidRPr="00B751FD">
        <w:rPr>
          <w:sz w:val="24"/>
          <w:szCs w:val="24"/>
        </w:rPr>
        <w:t>midazolam</w:t>
      </w:r>
      <w:proofErr w:type="spellEnd"/>
      <w:r w:rsidRPr="00B751FD">
        <w:rPr>
          <w:sz w:val="24"/>
          <w:szCs w:val="24"/>
        </w:rPr>
        <w:t xml:space="preserve"> med cirka 1,6 til 2 gange i forbindelse med en forøgelse af den terminale halveringstid af </w:t>
      </w:r>
      <w:proofErr w:type="spellStart"/>
      <w:r w:rsidRPr="00B751FD">
        <w:rPr>
          <w:sz w:val="24"/>
          <w:szCs w:val="24"/>
        </w:rPr>
        <w:t>midazolam</w:t>
      </w:r>
      <w:proofErr w:type="spellEnd"/>
      <w:r w:rsidRPr="00B751FD">
        <w:rPr>
          <w:sz w:val="24"/>
          <w:szCs w:val="24"/>
        </w:rPr>
        <w:t xml:space="preserve"> med 1,5 til 1,8 gange.</w:t>
      </w:r>
    </w:p>
    <w:p w:rsidR="00D54CA1" w:rsidRPr="00B751FD" w:rsidRDefault="00D54CA1" w:rsidP="00D54CA1">
      <w:pPr>
        <w:numPr>
          <w:ilvl w:val="0"/>
          <w:numId w:val="8"/>
        </w:numPr>
        <w:tabs>
          <w:tab w:val="left" w:pos="851"/>
        </w:tabs>
        <w:ind w:left="1418" w:hanging="567"/>
        <w:rPr>
          <w:sz w:val="24"/>
          <w:szCs w:val="24"/>
        </w:rPr>
      </w:pPr>
      <w:proofErr w:type="spellStart"/>
      <w:r w:rsidRPr="00B751FD">
        <w:rPr>
          <w:sz w:val="24"/>
          <w:szCs w:val="24"/>
        </w:rPr>
        <w:t>Clarithromycin</w:t>
      </w:r>
      <w:proofErr w:type="spellEnd"/>
      <w:r w:rsidRPr="00B751FD">
        <w:rPr>
          <w:sz w:val="24"/>
          <w:szCs w:val="24"/>
        </w:rPr>
        <w:t xml:space="preserve"> forøgede plasmakoncentrationerne af intravenøst </w:t>
      </w:r>
      <w:proofErr w:type="spellStart"/>
      <w:r w:rsidRPr="00B751FD">
        <w:rPr>
          <w:sz w:val="24"/>
          <w:szCs w:val="24"/>
        </w:rPr>
        <w:t>midazolam</w:t>
      </w:r>
      <w:proofErr w:type="spellEnd"/>
      <w:r w:rsidRPr="00B751FD">
        <w:rPr>
          <w:sz w:val="24"/>
          <w:szCs w:val="24"/>
        </w:rPr>
        <w:t xml:space="preserve"> med op til 2,5 gange i forbindelse med en forøgelse af den terminale halveringstid med 1,5 til 2 gange.</w:t>
      </w:r>
    </w:p>
    <w:p w:rsidR="00D54CA1" w:rsidRPr="00B751FD" w:rsidRDefault="00D54CA1" w:rsidP="00D54CA1">
      <w:pPr>
        <w:tabs>
          <w:tab w:val="left" w:pos="851"/>
        </w:tabs>
        <w:ind w:left="851"/>
        <w:rPr>
          <w:sz w:val="24"/>
          <w:szCs w:val="24"/>
          <w:u w:val="single"/>
        </w:rPr>
      </w:pPr>
    </w:p>
    <w:p w:rsidR="00D54CA1" w:rsidRPr="00B751FD" w:rsidRDefault="00D54CA1" w:rsidP="00D54CA1">
      <w:pPr>
        <w:tabs>
          <w:tab w:val="left" w:pos="851"/>
        </w:tabs>
        <w:ind w:left="851"/>
        <w:rPr>
          <w:sz w:val="24"/>
          <w:szCs w:val="24"/>
        </w:rPr>
      </w:pPr>
      <w:r w:rsidRPr="00B751FD">
        <w:rPr>
          <w:sz w:val="24"/>
          <w:szCs w:val="24"/>
          <w:u w:val="single"/>
        </w:rPr>
        <w:t>Hiv-</w:t>
      </w:r>
      <w:proofErr w:type="spellStart"/>
      <w:r w:rsidRPr="00B751FD">
        <w:rPr>
          <w:sz w:val="24"/>
          <w:szCs w:val="24"/>
          <w:u w:val="single"/>
        </w:rPr>
        <w:t>proteasehæmmerne</w:t>
      </w:r>
      <w:proofErr w:type="spellEnd"/>
      <w:r w:rsidRPr="00B751FD">
        <w:rPr>
          <w:sz w:val="24"/>
          <w:szCs w:val="24"/>
          <w:u w:val="single"/>
        </w:rPr>
        <w:t xml:space="preserve"> (</w:t>
      </w:r>
      <w:proofErr w:type="spellStart"/>
      <w:r w:rsidRPr="00B751FD">
        <w:rPr>
          <w:sz w:val="24"/>
          <w:szCs w:val="24"/>
          <w:u w:val="single"/>
        </w:rPr>
        <w:t>Saquinavir</w:t>
      </w:r>
      <w:proofErr w:type="spellEnd"/>
      <w:r w:rsidRPr="00B751FD">
        <w:rPr>
          <w:sz w:val="24"/>
          <w:szCs w:val="24"/>
          <w:u w:val="single"/>
        </w:rPr>
        <w:t xml:space="preserve"> og andre hiv-</w:t>
      </w:r>
      <w:proofErr w:type="spellStart"/>
      <w:r w:rsidRPr="00B751FD">
        <w:rPr>
          <w:sz w:val="24"/>
          <w:szCs w:val="24"/>
          <w:u w:val="single"/>
        </w:rPr>
        <w:t>proteasehæmmere</w:t>
      </w:r>
      <w:proofErr w:type="spellEnd"/>
      <w:r w:rsidRPr="00B751FD">
        <w:rPr>
          <w:sz w:val="24"/>
          <w:szCs w:val="24"/>
          <w:u w:val="single"/>
        </w:rPr>
        <w:t>):</w:t>
      </w:r>
    </w:p>
    <w:p w:rsidR="00D54CA1" w:rsidRPr="00B751FD" w:rsidRDefault="00D54CA1" w:rsidP="00D54CA1">
      <w:pPr>
        <w:tabs>
          <w:tab w:val="left" w:pos="851"/>
        </w:tabs>
        <w:ind w:left="851"/>
        <w:rPr>
          <w:sz w:val="24"/>
          <w:szCs w:val="24"/>
        </w:rPr>
      </w:pPr>
      <w:r w:rsidRPr="00B751FD">
        <w:rPr>
          <w:sz w:val="24"/>
          <w:szCs w:val="24"/>
        </w:rPr>
        <w:t xml:space="preserve">Indgivelse sammen med </w:t>
      </w:r>
      <w:proofErr w:type="spellStart"/>
      <w:r w:rsidRPr="00B751FD">
        <w:rPr>
          <w:sz w:val="24"/>
          <w:szCs w:val="24"/>
        </w:rPr>
        <w:t>proteasehæmmere</w:t>
      </w:r>
      <w:proofErr w:type="spellEnd"/>
      <w:r w:rsidRPr="00B751FD">
        <w:rPr>
          <w:sz w:val="24"/>
          <w:szCs w:val="24"/>
        </w:rPr>
        <w:t xml:space="preserve"> kan give anledning til en kraftig forøgelse af koncentrationen af </w:t>
      </w:r>
      <w:proofErr w:type="spellStart"/>
      <w:r w:rsidRPr="00B751FD">
        <w:rPr>
          <w:sz w:val="24"/>
          <w:szCs w:val="24"/>
        </w:rPr>
        <w:t>midazolam</w:t>
      </w:r>
      <w:proofErr w:type="spellEnd"/>
      <w:r w:rsidRPr="00B751FD">
        <w:rPr>
          <w:sz w:val="24"/>
          <w:szCs w:val="24"/>
        </w:rPr>
        <w:t xml:space="preserve">. Ved indgivelse sammen med </w:t>
      </w:r>
      <w:proofErr w:type="spellStart"/>
      <w:r w:rsidRPr="00B751FD">
        <w:rPr>
          <w:sz w:val="24"/>
          <w:szCs w:val="24"/>
        </w:rPr>
        <w:t>ritonavir</w:t>
      </w:r>
      <w:proofErr w:type="spellEnd"/>
      <w:r w:rsidRPr="00B751FD">
        <w:rPr>
          <w:sz w:val="24"/>
          <w:szCs w:val="24"/>
        </w:rPr>
        <w:t xml:space="preserve">-boostet </w:t>
      </w:r>
      <w:proofErr w:type="spellStart"/>
      <w:r w:rsidRPr="00B751FD">
        <w:rPr>
          <w:sz w:val="24"/>
          <w:szCs w:val="24"/>
        </w:rPr>
        <w:t>lopinavir</w:t>
      </w:r>
      <w:proofErr w:type="spellEnd"/>
      <w:r w:rsidRPr="00B751FD">
        <w:rPr>
          <w:sz w:val="24"/>
          <w:szCs w:val="24"/>
        </w:rPr>
        <w:t xml:space="preserve"> var plasmakoncentrationerne af intravenøst </w:t>
      </w:r>
      <w:proofErr w:type="spellStart"/>
      <w:r w:rsidRPr="00B751FD">
        <w:rPr>
          <w:sz w:val="24"/>
          <w:szCs w:val="24"/>
        </w:rPr>
        <w:t>midazolam</w:t>
      </w:r>
      <w:proofErr w:type="spellEnd"/>
      <w:r w:rsidRPr="00B751FD">
        <w:rPr>
          <w:sz w:val="24"/>
          <w:szCs w:val="24"/>
        </w:rPr>
        <w:t xml:space="preserve"> forøget 5,4 gange i forbindelse med en lignende stigning i den terminale halveringstid.</w:t>
      </w:r>
    </w:p>
    <w:p w:rsidR="00D54CA1" w:rsidRPr="00B751FD" w:rsidRDefault="00D54CA1" w:rsidP="00D54CA1">
      <w:pPr>
        <w:tabs>
          <w:tab w:val="left" w:pos="851"/>
        </w:tabs>
        <w:ind w:left="851"/>
        <w:rPr>
          <w:iCs/>
          <w:sz w:val="24"/>
          <w:szCs w:val="24"/>
          <w:u w:val="single"/>
        </w:rPr>
      </w:pPr>
    </w:p>
    <w:p w:rsidR="00D54CA1" w:rsidRPr="00B751FD" w:rsidRDefault="00D54CA1" w:rsidP="00D54CA1">
      <w:pPr>
        <w:tabs>
          <w:tab w:val="left" w:pos="851"/>
        </w:tabs>
        <w:ind w:left="851"/>
        <w:rPr>
          <w:sz w:val="24"/>
          <w:szCs w:val="24"/>
        </w:rPr>
      </w:pPr>
      <w:r w:rsidRPr="00B751FD">
        <w:rPr>
          <w:iCs/>
          <w:sz w:val="24"/>
          <w:szCs w:val="24"/>
          <w:u w:val="single"/>
        </w:rPr>
        <w:t>Calciumkanal-</w:t>
      </w:r>
      <w:proofErr w:type="spellStart"/>
      <w:r w:rsidRPr="00B751FD">
        <w:rPr>
          <w:iCs/>
          <w:sz w:val="24"/>
          <w:szCs w:val="24"/>
          <w:u w:val="single"/>
        </w:rPr>
        <w:t>blokkere</w:t>
      </w:r>
      <w:proofErr w:type="spellEnd"/>
      <w:r w:rsidRPr="00B751FD">
        <w:rPr>
          <w:iCs/>
          <w:sz w:val="24"/>
          <w:szCs w:val="24"/>
          <w:u w:val="single"/>
        </w:rPr>
        <w:t>:</w:t>
      </w:r>
    </w:p>
    <w:p w:rsidR="00D54CA1" w:rsidRPr="00B751FD" w:rsidRDefault="00D54CA1" w:rsidP="00D54CA1">
      <w:pPr>
        <w:tabs>
          <w:tab w:val="left" w:pos="851"/>
        </w:tabs>
        <w:ind w:left="851"/>
        <w:rPr>
          <w:sz w:val="24"/>
          <w:szCs w:val="24"/>
        </w:rPr>
      </w:pPr>
      <w:proofErr w:type="spellStart"/>
      <w:r w:rsidRPr="00B751FD">
        <w:rPr>
          <w:sz w:val="24"/>
          <w:szCs w:val="24"/>
        </w:rPr>
        <w:t>Diltiazem</w:t>
      </w:r>
      <w:proofErr w:type="spellEnd"/>
      <w:r w:rsidRPr="00B751FD">
        <w:rPr>
          <w:sz w:val="24"/>
          <w:szCs w:val="24"/>
        </w:rPr>
        <w:t xml:space="preserve">: En enkelt dosis af </w:t>
      </w:r>
      <w:proofErr w:type="spellStart"/>
      <w:r w:rsidRPr="00B751FD">
        <w:rPr>
          <w:sz w:val="24"/>
          <w:szCs w:val="24"/>
        </w:rPr>
        <w:t>diltiazem</w:t>
      </w:r>
      <w:proofErr w:type="spellEnd"/>
      <w:r w:rsidRPr="00B751FD">
        <w:rPr>
          <w:sz w:val="24"/>
          <w:szCs w:val="24"/>
        </w:rPr>
        <w:t xml:space="preserve"> forøgede plasmakoncentrationerne af intravenøs </w:t>
      </w:r>
      <w:proofErr w:type="spellStart"/>
      <w:r w:rsidRPr="00B751FD">
        <w:rPr>
          <w:sz w:val="24"/>
          <w:szCs w:val="24"/>
        </w:rPr>
        <w:t>midazolam</w:t>
      </w:r>
      <w:proofErr w:type="spellEnd"/>
      <w:r w:rsidRPr="00B751FD">
        <w:rPr>
          <w:sz w:val="24"/>
          <w:szCs w:val="24"/>
        </w:rPr>
        <w:t xml:space="preserve"> med cirka 25 %, og den terminale halveringstid blev forlænget med 43 %.</w:t>
      </w:r>
    </w:p>
    <w:p w:rsidR="00D54CA1" w:rsidRPr="00B751FD" w:rsidRDefault="00D54CA1" w:rsidP="00D54CA1">
      <w:pPr>
        <w:tabs>
          <w:tab w:val="left" w:pos="851"/>
        </w:tabs>
        <w:ind w:left="851"/>
        <w:rPr>
          <w:sz w:val="24"/>
          <w:szCs w:val="24"/>
        </w:rPr>
      </w:pPr>
    </w:p>
    <w:p w:rsidR="00D54CA1" w:rsidRPr="00B751FD" w:rsidRDefault="00D54CA1" w:rsidP="00D54CA1">
      <w:pPr>
        <w:tabs>
          <w:tab w:val="left" w:pos="851"/>
        </w:tabs>
        <w:ind w:left="851"/>
        <w:rPr>
          <w:sz w:val="24"/>
          <w:szCs w:val="24"/>
        </w:rPr>
      </w:pPr>
      <w:proofErr w:type="spellStart"/>
      <w:r w:rsidRPr="00B751FD">
        <w:rPr>
          <w:sz w:val="24"/>
          <w:szCs w:val="24"/>
        </w:rPr>
        <w:t>Verapamil</w:t>
      </w:r>
      <w:proofErr w:type="spellEnd"/>
      <w:r w:rsidRPr="00B751FD">
        <w:rPr>
          <w:sz w:val="24"/>
          <w:szCs w:val="24"/>
        </w:rPr>
        <w:t xml:space="preserve">: </w:t>
      </w:r>
      <w:proofErr w:type="spellStart"/>
      <w:r w:rsidRPr="00B751FD">
        <w:rPr>
          <w:sz w:val="24"/>
          <w:szCs w:val="24"/>
        </w:rPr>
        <w:t>Verapamil</w:t>
      </w:r>
      <w:proofErr w:type="spellEnd"/>
      <w:r w:rsidRPr="00B751FD">
        <w:rPr>
          <w:sz w:val="24"/>
          <w:szCs w:val="24"/>
        </w:rPr>
        <w:t xml:space="preserve"> har vist sig at være en hæmmer af CYP3A4-enzymer, og samtidig brug kan øge plasmakoncentrationen af </w:t>
      </w:r>
      <w:proofErr w:type="spellStart"/>
      <w:r w:rsidRPr="00B751FD">
        <w:rPr>
          <w:sz w:val="24"/>
          <w:szCs w:val="24"/>
        </w:rPr>
        <w:t>midazolam</w:t>
      </w:r>
      <w:proofErr w:type="spellEnd"/>
      <w:r w:rsidRPr="00B751FD">
        <w:rPr>
          <w:sz w:val="24"/>
          <w:szCs w:val="24"/>
        </w:rPr>
        <w:t>.</w:t>
      </w:r>
    </w:p>
    <w:p w:rsidR="00D54CA1" w:rsidRPr="00B751FD" w:rsidRDefault="00D54CA1" w:rsidP="00D54CA1">
      <w:pPr>
        <w:tabs>
          <w:tab w:val="left" w:pos="851"/>
        </w:tabs>
        <w:ind w:left="851"/>
        <w:rPr>
          <w:sz w:val="24"/>
          <w:szCs w:val="24"/>
          <w:u w:val="single"/>
        </w:rPr>
      </w:pPr>
    </w:p>
    <w:p w:rsidR="00D54CA1" w:rsidRPr="00B751FD" w:rsidRDefault="00D54CA1" w:rsidP="00D54CA1">
      <w:pPr>
        <w:tabs>
          <w:tab w:val="left" w:pos="851"/>
        </w:tabs>
        <w:ind w:left="851"/>
        <w:rPr>
          <w:sz w:val="24"/>
          <w:szCs w:val="24"/>
          <w:u w:val="single"/>
        </w:rPr>
      </w:pPr>
      <w:r w:rsidRPr="00B751FD">
        <w:rPr>
          <w:sz w:val="24"/>
          <w:szCs w:val="24"/>
          <w:u w:val="single"/>
        </w:rPr>
        <w:t>Forskellige lægemidler:</w:t>
      </w:r>
    </w:p>
    <w:p w:rsidR="00D54CA1" w:rsidRPr="00B751FD" w:rsidRDefault="00D54CA1" w:rsidP="00D54CA1">
      <w:pPr>
        <w:tabs>
          <w:tab w:val="left" w:pos="851"/>
        </w:tabs>
        <w:ind w:left="851"/>
        <w:rPr>
          <w:sz w:val="24"/>
          <w:szCs w:val="24"/>
        </w:rPr>
      </w:pPr>
      <w:proofErr w:type="spellStart"/>
      <w:r w:rsidRPr="00B751FD">
        <w:rPr>
          <w:sz w:val="24"/>
          <w:szCs w:val="24"/>
        </w:rPr>
        <w:t>Atorvastatin</w:t>
      </w:r>
      <w:proofErr w:type="spellEnd"/>
      <w:r w:rsidRPr="00B751FD">
        <w:rPr>
          <w:sz w:val="24"/>
          <w:szCs w:val="24"/>
        </w:rPr>
        <w:t xml:space="preserve"> viste en forøgelse af plasmakoncentrationerne af intravenøs </w:t>
      </w:r>
      <w:proofErr w:type="spellStart"/>
      <w:r w:rsidRPr="00B751FD">
        <w:rPr>
          <w:sz w:val="24"/>
          <w:szCs w:val="24"/>
        </w:rPr>
        <w:t>midazolam</w:t>
      </w:r>
      <w:proofErr w:type="spellEnd"/>
      <w:r w:rsidRPr="00B751FD">
        <w:rPr>
          <w:sz w:val="24"/>
          <w:szCs w:val="24"/>
        </w:rPr>
        <w:t xml:space="preserve"> på 1,4 gange sammenlignet med kontrolgruppen.</w:t>
      </w:r>
    </w:p>
    <w:p w:rsidR="00D54CA1" w:rsidRPr="00B751FD" w:rsidRDefault="00D54CA1" w:rsidP="00D54CA1">
      <w:pPr>
        <w:tabs>
          <w:tab w:val="left" w:pos="851"/>
        </w:tabs>
        <w:ind w:left="851"/>
        <w:rPr>
          <w:i/>
          <w:iCs/>
          <w:sz w:val="24"/>
          <w:szCs w:val="24"/>
          <w:u w:val="single"/>
        </w:rPr>
      </w:pPr>
    </w:p>
    <w:p w:rsidR="00D54CA1" w:rsidRPr="00B751FD" w:rsidRDefault="00D54CA1" w:rsidP="00D54CA1">
      <w:pPr>
        <w:tabs>
          <w:tab w:val="left" w:pos="851"/>
        </w:tabs>
        <w:ind w:left="851"/>
        <w:rPr>
          <w:i/>
          <w:sz w:val="24"/>
          <w:szCs w:val="24"/>
        </w:rPr>
      </w:pPr>
      <w:r w:rsidRPr="00B751FD">
        <w:rPr>
          <w:i/>
          <w:iCs/>
          <w:sz w:val="24"/>
          <w:szCs w:val="24"/>
          <w:u w:val="single"/>
        </w:rPr>
        <w:t>Lægemidler, der inducerer CYP3A4</w:t>
      </w:r>
    </w:p>
    <w:p w:rsidR="00D54CA1" w:rsidRPr="00B751FD" w:rsidRDefault="00D54CA1" w:rsidP="00D54CA1">
      <w:pPr>
        <w:tabs>
          <w:tab w:val="left" w:pos="851"/>
        </w:tabs>
        <w:ind w:left="851"/>
        <w:rPr>
          <w:sz w:val="24"/>
          <w:szCs w:val="24"/>
        </w:rPr>
      </w:pPr>
      <w:proofErr w:type="spellStart"/>
      <w:r w:rsidRPr="00B751FD">
        <w:rPr>
          <w:sz w:val="24"/>
          <w:szCs w:val="24"/>
        </w:rPr>
        <w:t>Rifampicin</w:t>
      </w:r>
      <w:proofErr w:type="spellEnd"/>
      <w:r w:rsidRPr="00B751FD">
        <w:rPr>
          <w:sz w:val="24"/>
          <w:szCs w:val="24"/>
        </w:rPr>
        <w:t xml:space="preserve"> (7 dage med 600 mg én gang dagligt) reducerede plasmakoncentrationerne af intravenøs </w:t>
      </w:r>
      <w:proofErr w:type="spellStart"/>
      <w:r w:rsidRPr="00B751FD">
        <w:rPr>
          <w:sz w:val="24"/>
          <w:szCs w:val="24"/>
        </w:rPr>
        <w:t>midazolam</w:t>
      </w:r>
      <w:proofErr w:type="spellEnd"/>
      <w:r w:rsidRPr="00B751FD">
        <w:rPr>
          <w:sz w:val="24"/>
          <w:szCs w:val="24"/>
        </w:rPr>
        <w:t xml:space="preserve"> med cirka 60 %. Den terminale halveringstid blev reduceret med cirka 50-60 %.</w:t>
      </w:r>
    </w:p>
    <w:p w:rsidR="00D54CA1" w:rsidRPr="00B751FD" w:rsidRDefault="00D54CA1" w:rsidP="00D54CA1">
      <w:pPr>
        <w:tabs>
          <w:tab w:val="left" w:pos="851"/>
        </w:tabs>
        <w:ind w:left="851"/>
        <w:rPr>
          <w:sz w:val="24"/>
          <w:szCs w:val="24"/>
          <w:u w:val="single"/>
        </w:rPr>
      </w:pPr>
    </w:p>
    <w:p w:rsidR="00D54CA1" w:rsidRPr="00B751FD" w:rsidRDefault="00D54CA1" w:rsidP="00D54CA1">
      <w:pPr>
        <w:tabs>
          <w:tab w:val="left" w:pos="851"/>
        </w:tabs>
        <w:ind w:left="851"/>
        <w:rPr>
          <w:sz w:val="24"/>
          <w:szCs w:val="24"/>
          <w:u w:val="single"/>
        </w:rPr>
      </w:pPr>
      <w:r w:rsidRPr="00B751FD">
        <w:rPr>
          <w:sz w:val="24"/>
          <w:szCs w:val="24"/>
          <w:u w:val="single"/>
        </w:rPr>
        <w:t>Naturlægemidler:</w:t>
      </w:r>
    </w:p>
    <w:p w:rsidR="00D54CA1" w:rsidRPr="00B751FD" w:rsidRDefault="00D54CA1" w:rsidP="00D54CA1">
      <w:pPr>
        <w:tabs>
          <w:tab w:val="left" w:pos="851"/>
        </w:tabs>
        <w:ind w:left="851"/>
        <w:rPr>
          <w:sz w:val="24"/>
          <w:szCs w:val="24"/>
        </w:rPr>
      </w:pPr>
      <w:r w:rsidRPr="00B751FD">
        <w:rPr>
          <w:sz w:val="24"/>
          <w:szCs w:val="24"/>
        </w:rPr>
        <w:t xml:space="preserve">Prikbladet perikon reducerede plasmakoncentrationerne af </w:t>
      </w:r>
      <w:proofErr w:type="spellStart"/>
      <w:r w:rsidRPr="00B751FD">
        <w:rPr>
          <w:sz w:val="24"/>
          <w:szCs w:val="24"/>
        </w:rPr>
        <w:t>midazolam</w:t>
      </w:r>
      <w:proofErr w:type="spellEnd"/>
      <w:r w:rsidRPr="00B751FD">
        <w:rPr>
          <w:sz w:val="24"/>
          <w:szCs w:val="24"/>
        </w:rPr>
        <w:t xml:space="preserve"> med cirka 20-40 %, hvilket er forbundet med en reduktion i den terminale halveringstid på cirka 15-17 %. Den CYP3A4-inducerende virkning kan variere, afhængigt af det specifikke ekstrakt af prikbladet perikon.</w:t>
      </w:r>
    </w:p>
    <w:p w:rsidR="00D54CA1" w:rsidRPr="00B751FD" w:rsidRDefault="00D54CA1" w:rsidP="00D54CA1">
      <w:pPr>
        <w:tabs>
          <w:tab w:val="left" w:pos="851"/>
        </w:tabs>
        <w:ind w:left="851"/>
        <w:rPr>
          <w:i/>
          <w:iCs/>
          <w:sz w:val="24"/>
          <w:szCs w:val="24"/>
          <w:u w:val="single"/>
        </w:rPr>
      </w:pPr>
    </w:p>
    <w:p w:rsidR="00D54CA1" w:rsidRPr="00B751FD" w:rsidRDefault="00D54CA1" w:rsidP="00D54CA1">
      <w:pPr>
        <w:tabs>
          <w:tab w:val="left" w:pos="851"/>
        </w:tabs>
        <w:ind w:left="851"/>
        <w:rPr>
          <w:i/>
          <w:iCs/>
          <w:sz w:val="24"/>
          <w:szCs w:val="24"/>
          <w:u w:val="single"/>
        </w:rPr>
      </w:pPr>
      <w:proofErr w:type="spellStart"/>
      <w:r w:rsidRPr="00B751FD">
        <w:rPr>
          <w:i/>
          <w:iCs/>
          <w:sz w:val="24"/>
          <w:szCs w:val="24"/>
          <w:u w:val="single"/>
        </w:rPr>
        <w:t>Farmakodynamiske</w:t>
      </w:r>
      <w:proofErr w:type="spellEnd"/>
      <w:r w:rsidRPr="00B751FD">
        <w:rPr>
          <w:i/>
          <w:iCs/>
          <w:sz w:val="24"/>
          <w:szCs w:val="24"/>
          <w:u w:val="single"/>
        </w:rPr>
        <w:t xml:space="preserve"> lægemiddelinteraktioner (drug-drug </w:t>
      </w:r>
      <w:proofErr w:type="spellStart"/>
      <w:r w:rsidRPr="00B751FD">
        <w:rPr>
          <w:i/>
          <w:iCs/>
          <w:sz w:val="24"/>
          <w:szCs w:val="24"/>
          <w:u w:val="single"/>
        </w:rPr>
        <w:t>interactions</w:t>
      </w:r>
      <w:proofErr w:type="spellEnd"/>
      <w:r w:rsidRPr="00B751FD">
        <w:rPr>
          <w:i/>
          <w:iCs/>
          <w:sz w:val="24"/>
          <w:szCs w:val="24"/>
          <w:u w:val="single"/>
        </w:rPr>
        <w:t xml:space="preserve">, DDI) </w:t>
      </w:r>
    </w:p>
    <w:p w:rsidR="00D54CA1" w:rsidRPr="00B751FD" w:rsidRDefault="00D54CA1" w:rsidP="00D54CA1">
      <w:pPr>
        <w:tabs>
          <w:tab w:val="left" w:pos="851"/>
        </w:tabs>
        <w:ind w:left="851"/>
        <w:rPr>
          <w:sz w:val="24"/>
          <w:szCs w:val="24"/>
        </w:rPr>
      </w:pPr>
      <w:r w:rsidRPr="00B751FD">
        <w:rPr>
          <w:sz w:val="24"/>
          <w:szCs w:val="24"/>
        </w:rPr>
        <w:t xml:space="preserve">Samtidig indgivelse af </w:t>
      </w:r>
      <w:proofErr w:type="spellStart"/>
      <w:r w:rsidRPr="00B751FD">
        <w:rPr>
          <w:sz w:val="24"/>
          <w:szCs w:val="24"/>
        </w:rPr>
        <w:t>midazolam</w:t>
      </w:r>
      <w:proofErr w:type="spellEnd"/>
      <w:r w:rsidRPr="00B751FD">
        <w:rPr>
          <w:sz w:val="24"/>
          <w:szCs w:val="24"/>
        </w:rPr>
        <w:t xml:space="preserve"> og andre sederende/hypnotiske stoffer og CNS-</w:t>
      </w:r>
      <w:proofErr w:type="spellStart"/>
      <w:r w:rsidRPr="00B751FD">
        <w:rPr>
          <w:sz w:val="24"/>
          <w:szCs w:val="24"/>
        </w:rPr>
        <w:t>depressiva</w:t>
      </w:r>
      <w:proofErr w:type="spellEnd"/>
      <w:r w:rsidRPr="00B751FD">
        <w:rPr>
          <w:sz w:val="24"/>
          <w:szCs w:val="24"/>
        </w:rPr>
        <w:t>, herunder alkohol, kan sandsynligvis resultere i forøget sedation og respirationsdepression.</w:t>
      </w:r>
    </w:p>
    <w:p w:rsidR="00D54CA1" w:rsidRPr="00B751FD" w:rsidRDefault="00D54CA1" w:rsidP="00D54CA1">
      <w:pPr>
        <w:tabs>
          <w:tab w:val="left" w:pos="851"/>
        </w:tabs>
        <w:ind w:left="851"/>
        <w:rPr>
          <w:sz w:val="24"/>
          <w:szCs w:val="24"/>
        </w:rPr>
      </w:pPr>
    </w:p>
    <w:p w:rsidR="00D54CA1" w:rsidRPr="00B751FD" w:rsidRDefault="00D54CA1" w:rsidP="00D54CA1">
      <w:pPr>
        <w:tabs>
          <w:tab w:val="left" w:pos="851"/>
        </w:tabs>
        <w:ind w:left="851"/>
        <w:rPr>
          <w:sz w:val="24"/>
          <w:szCs w:val="24"/>
        </w:rPr>
      </w:pPr>
      <w:r w:rsidRPr="00B751FD">
        <w:rPr>
          <w:sz w:val="24"/>
          <w:szCs w:val="24"/>
        </w:rPr>
        <w:t xml:space="preserve">Eksempler herpå omfatter opiat-derivater (der anvendes som </w:t>
      </w:r>
      <w:proofErr w:type="spellStart"/>
      <w:r w:rsidRPr="00B751FD">
        <w:rPr>
          <w:sz w:val="24"/>
          <w:szCs w:val="24"/>
        </w:rPr>
        <w:t>analgetika</w:t>
      </w:r>
      <w:proofErr w:type="spellEnd"/>
      <w:r w:rsidRPr="00B751FD">
        <w:rPr>
          <w:sz w:val="24"/>
          <w:szCs w:val="24"/>
        </w:rPr>
        <w:t xml:space="preserve">, </w:t>
      </w:r>
      <w:proofErr w:type="spellStart"/>
      <w:r w:rsidRPr="00B751FD">
        <w:rPr>
          <w:sz w:val="24"/>
          <w:szCs w:val="24"/>
        </w:rPr>
        <w:t>antitussiver</w:t>
      </w:r>
      <w:proofErr w:type="spellEnd"/>
      <w:r w:rsidRPr="00B751FD">
        <w:rPr>
          <w:sz w:val="24"/>
          <w:szCs w:val="24"/>
        </w:rPr>
        <w:t xml:space="preserve"> eller substitutionsbehandlinger), antipsykotika, andre benzodiazepiner, der anvendes som </w:t>
      </w:r>
      <w:proofErr w:type="spellStart"/>
      <w:r w:rsidRPr="00B751FD">
        <w:rPr>
          <w:sz w:val="24"/>
          <w:szCs w:val="24"/>
        </w:rPr>
        <w:t>anxiolytika</w:t>
      </w:r>
      <w:proofErr w:type="spellEnd"/>
      <w:r w:rsidRPr="00B751FD">
        <w:rPr>
          <w:sz w:val="24"/>
          <w:szCs w:val="24"/>
        </w:rPr>
        <w:t xml:space="preserve"> eller </w:t>
      </w:r>
      <w:proofErr w:type="spellStart"/>
      <w:r w:rsidRPr="00B751FD">
        <w:rPr>
          <w:sz w:val="24"/>
          <w:szCs w:val="24"/>
        </w:rPr>
        <w:t>hypnotika</w:t>
      </w:r>
      <w:proofErr w:type="spellEnd"/>
      <w:r w:rsidRPr="00B751FD">
        <w:rPr>
          <w:sz w:val="24"/>
          <w:szCs w:val="24"/>
        </w:rPr>
        <w:t xml:space="preserve"> (se pkt. 4.4), barbiturater, </w:t>
      </w:r>
      <w:proofErr w:type="spellStart"/>
      <w:r w:rsidRPr="00B751FD">
        <w:rPr>
          <w:sz w:val="24"/>
          <w:szCs w:val="24"/>
        </w:rPr>
        <w:t>propofol</w:t>
      </w:r>
      <w:proofErr w:type="spellEnd"/>
      <w:r w:rsidRPr="00B751FD">
        <w:rPr>
          <w:sz w:val="24"/>
          <w:szCs w:val="24"/>
        </w:rPr>
        <w:t xml:space="preserve">, </w:t>
      </w:r>
      <w:proofErr w:type="spellStart"/>
      <w:r w:rsidRPr="00B751FD">
        <w:rPr>
          <w:sz w:val="24"/>
          <w:szCs w:val="24"/>
        </w:rPr>
        <w:t>ketamin</w:t>
      </w:r>
      <w:proofErr w:type="spellEnd"/>
      <w:r w:rsidRPr="00B751FD">
        <w:rPr>
          <w:sz w:val="24"/>
          <w:szCs w:val="24"/>
        </w:rPr>
        <w:t xml:space="preserve">, </w:t>
      </w:r>
      <w:proofErr w:type="spellStart"/>
      <w:r w:rsidRPr="00B751FD">
        <w:rPr>
          <w:sz w:val="24"/>
          <w:szCs w:val="24"/>
        </w:rPr>
        <w:t>etomidat</w:t>
      </w:r>
      <w:proofErr w:type="spellEnd"/>
      <w:r w:rsidRPr="00B751FD">
        <w:rPr>
          <w:sz w:val="24"/>
          <w:szCs w:val="24"/>
        </w:rPr>
        <w:t xml:space="preserve">, sederende </w:t>
      </w:r>
      <w:proofErr w:type="spellStart"/>
      <w:r w:rsidRPr="00B751FD">
        <w:rPr>
          <w:sz w:val="24"/>
          <w:szCs w:val="24"/>
        </w:rPr>
        <w:t>antidepressiva</w:t>
      </w:r>
      <w:proofErr w:type="spellEnd"/>
      <w:r w:rsidRPr="00B751FD">
        <w:rPr>
          <w:sz w:val="24"/>
          <w:szCs w:val="24"/>
        </w:rPr>
        <w:t xml:space="preserve">, sederende H1-antihistaminer og centralt virkende </w:t>
      </w:r>
      <w:proofErr w:type="spellStart"/>
      <w:r w:rsidRPr="00B751FD">
        <w:rPr>
          <w:sz w:val="24"/>
          <w:szCs w:val="24"/>
        </w:rPr>
        <w:t>antihypertensiva</w:t>
      </w:r>
      <w:proofErr w:type="spellEnd"/>
      <w:r w:rsidRPr="00B751FD">
        <w:rPr>
          <w:sz w:val="24"/>
          <w:szCs w:val="24"/>
        </w:rPr>
        <w:t>.</w:t>
      </w:r>
    </w:p>
    <w:p w:rsidR="00D54CA1" w:rsidRPr="00B751FD" w:rsidRDefault="00D54CA1" w:rsidP="00D54CA1">
      <w:pPr>
        <w:tabs>
          <w:tab w:val="left" w:pos="851"/>
        </w:tabs>
        <w:ind w:left="851"/>
        <w:rPr>
          <w:sz w:val="24"/>
          <w:szCs w:val="24"/>
        </w:rPr>
      </w:pPr>
    </w:p>
    <w:p w:rsidR="00D54CA1" w:rsidRPr="00B751FD" w:rsidRDefault="00D54CA1" w:rsidP="00D54CA1">
      <w:pPr>
        <w:tabs>
          <w:tab w:val="left" w:pos="851"/>
        </w:tabs>
        <w:ind w:left="851"/>
        <w:rPr>
          <w:sz w:val="24"/>
          <w:szCs w:val="24"/>
        </w:rPr>
      </w:pPr>
      <w:r w:rsidRPr="00B751FD">
        <w:rPr>
          <w:sz w:val="24"/>
          <w:szCs w:val="24"/>
        </w:rPr>
        <w:t xml:space="preserve">Alkohol (herunder lægemidler indeholdende alkohol) kan markant forøge den sederende virkning af </w:t>
      </w:r>
      <w:proofErr w:type="spellStart"/>
      <w:r w:rsidRPr="00B751FD">
        <w:rPr>
          <w:sz w:val="24"/>
          <w:szCs w:val="24"/>
        </w:rPr>
        <w:t>midazolam</w:t>
      </w:r>
      <w:proofErr w:type="spellEnd"/>
      <w:r w:rsidRPr="00B751FD">
        <w:rPr>
          <w:sz w:val="24"/>
          <w:szCs w:val="24"/>
        </w:rPr>
        <w:t>. Det anbefales på det kraftigste at undgå yderligere alkohol</w:t>
      </w:r>
      <w:r w:rsidRPr="00B751FD">
        <w:rPr>
          <w:sz w:val="24"/>
          <w:szCs w:val="24"/>
        </w:rPr>
        <w:softHyphen/>
        <w:t xml:space="preserve">indtagelse i tilfælde af </w:t>
      </w:r>
      <w:proofErr w:type="spellStart"/>
      <w:r w:rsidRPr="00B751FD">
        <w:rPr>
          <w:sz w:val="24"/>
          <w:szCs w:val="24"/>
        </w:rPr>
        <w:t>midazolam</w:t>
      </w:r>
      <w:proofErr w:type="spellEnd"/>
      <w:r w:rsidRPr="00B751FD">
        <w:rPr>
          <w:sz w:val="24"/>
          <w:szCs w:val="24"/>
        </w:rPr>
        <w:t>-indgivelse (se pkt. 4.4).</w:t>
      </w:r>
    </w:p>
    <w:p w:rsidR="00D54CA1" w:rsidRPr="00B751FD" w:rsidRDefault="00D54CA1" w:rsidP="00D54CA1">
      <w:pPr>
        <w:tabs>
          <w:tab w:val="left" w:pos="851"/>
        </w:tabs>
        <w:ind w:left="851"/>
        <w:rPr>
          <w:sz w:val="24"/>
          <w:szCs w:val="24"/>
        </w:rPr>
      </w:pPr>
    </w:p>
    <w:p w:rsidR="00D54CA1" w:rsidRPr="00B751FD" w:rsidRDefault="00D54CA1" w:rsidP="00D54CA1">
      <w:pPr>
        <w:tabs>
          <w:tab w:val="left" w:pos="851"/>
        </w:tabs>
        <w:ind w:left="851"/>
        <w:rPr>
          <w:sz w:val="24"/>
          <w:szCs w:val="24"/>
        </w:rPr>
      </w:pPr>
      <w:proofErr w:type="spellStart"/>
      <w:r w:rsidRPr="00B751FD">
        <w:rPr>
          <w:sz w:val="24"/>
          <w:szCs w:val="24"/>
        </w:rPr>
        <w:t>Disulfiram</w:t>
      </w:r>
      <w:proofErr w:type="spellEnd"/>
      <w:r w:rsidRPr="00B751FD">
        <w:rPr>
          <w:sz w:val="24"/>
          <w:szCs w:val="24"/>
        </w:rPr>
        <w:t xml:space="preserve">: </w:t>
      </w:r>
      <w:proofErr w:type="spellStart"/>
      <w:r w:rsidRPr="00B751FD">
        <w:rPr>
          <w:sz w:val="24"/>
          <w:szCs w:val="24"/>
        </w:rPr>
        <w:t>Epistatus</w:t>
      </w:r>
      <w:proofErr w:type="spellEnd"/>
      <w:r w:rsidRPr="00B751FD">
        <w:rPr>
          <w:sz w:val="24"/>
          <w:szCs w:val="24"/>
        </w:rPr>
        <w:t xml:space="preserve"> indeholder en lille mængde alkohol og må derfor ikke indgives sammen med </w:t>
      </w:r>
      <w:proofErr w:type="spellStart"/>
      <w:r w:rsidRPr="00B751FD">
        <w:rPr>
          <w:sz w:val="24"/>
          <w:szCs w:val="24"/>
        </w:rPr>
        <w:t>disulfiram</w:t>
      </w:r>
      <w:proofErr w:type="spellEnd"/>
      <w:r w:rsidRPr="00B751FD">
        <w:rPr>
          <w:sz w:val="24"/>
          <w:szCs w:val="24"/>
        </w:rPr>
        <w:t>.</w:t>
      </w:r>
    </w:p>
    <w:p w:rsidR="00D54CA1" w:rsidRPr="00B751FD" w:rsidRDefault="00D54CA1" w:rsidP="00D54CA1">
      <w:pPr>
        <w:tabs>
          <w:tab w:val="left" w:pos="851"/>
        </w:tabs>
        <w:ind w:left="851"/>
        <w:rPr>
          <w:sz w:val="24"/>
          <w:szCs w:val="24"/>
        </w:rPr>
      </w:pPr>
    </w:p>
    <w:p w:rsidR="00D54CA1" w:rsidRPr="00B751FD" w:rsidRDefault="00D54CA1" w:rsidP="00D54CA1">
      <w:pPr>
        <w:tabs>
          <w:tab w:val="left" w:pos="851"/>
        </w:tabs>
        <w:ind w:left="851"/>
        <w:rPr>
          <w:sz w:val="24"/>
          <w:szCs w:val="24"/>
        </w:rPr>
      </w:pPr>
      <w:proofErr w:type="spellStart"/>
      <w:r w:rsidRPr="00B751FD">
        <w:rPr>
          <w:sz w:val="24"/>
          <w:szCs w:val="24"/>
        </w:rPr>
        <w:t>Midazolam</w:t>
      </w:r>
      <w:proofErr w:type="spellEnd"/>
      <w:r w:rsidRPr="00B751FD">
        <w:rPr>
          <w:sz w:val="24"/>
          <w:szCs w:val="24"/>
        </w:rPr>
        <w:t xml:space="preserve"> nedsætter den minimale alveolære koncentration (MAC) af </w:t>
      </w:r>
      <w:proofErr w:type="spellStart"/>
      <w:r w:rsidRPr="00B751FD">
        <w:rPr>
          <w:sz w:val="24"/>
          <w:szCs w:val="24"/>
        </w:rPr>
        <w:t>inhalations</w:t>
      </w:r>
      <w:r w:rsidRPr="00B751FD">
        <w:rPr>
          <w:sz w:val="24"/>
          <w:szCs w:val="24"/>
        </w:rPr>
        <w:softHyphen/>
        <w:t>anæstetika</w:t>
      </w:r>
      <w:proofErr w:type="spellEnd"/>
      <w:r w:rsidRPr="00B751FD">
        <w:rPr>
          <w:sz w:val="24"/>
          <w:szCs w:val="24"/>
        </w:rPr>
        <w:t>.</w:t>
      </w:r>
    </w:p>
    <w:p w:rsidR="00D54CA1" w:rsidRPr="00B751FD" w:rsidRDefault="00D54CA1" w:rsidP="00D54CA1">
      <w:pPr>
        <w:tabs>
          <w:tab w:val="left" w:pos="851"/>
        </w:tabs>
        <w:ind w:left="851"/>
        <w:rPr>
          <w:sz w:val="24"/>
          <w:szCs w:val="24"/>
        </w:rPr>
      </w:pPr>
    </w:p>
    <w:p w:rsidR="00D54CA1" w:rsidRPr="00B751FD" w:rsidRDefault="00D54CA1" w:rsidP="00D54CA1">
      <w:pPr>
        <w:tabs>
          <w:tab w:val="left" w:pos="851"/>
        </w:tabs>
        <w:ind w:left="851"/>
        <w:rPr>
          <w:sz w:val="24"/>
          <w:szCs w:val="24"/>
        </w:rPr>
      </w:pPr>
      <w:r w:rsidRPr="00B751FD">
        <w:rPr>
          <w:sz w:val="24"/>
          <w:szCs w:val="24"/>
        </w:rPr>
        <w:t>Virkningen af CYP3A4-hæmmere kan være større hos spædbørn, da dele af den indgivne dosis i mundhulen sandsynligvis synkes og absorberes i mave-tarm-kanalen.</w:t>
      </w:r>
    </w:p>
    <w:p w:rsidR="00D54CA1" w:rsidRPr="00B751FD" w:rsidRDefault="00D54CA1" w:rsidP="00D54CA1">
      <w:pPr>
        <w:tabs>
          <w:tab w:val="left" w:pos="851"/>
        </w:tabs>
        <w:ind w:left="851"/>
        <w:rPr>
          <w:sz w:val="24"/>
          <w:szCs w:val="24"/>
        </w:rPr>
      </w:pPr>
    </w:p>
    <w:p w:rsidR="00AE09FE" w:rsidRPr="00B751FD" w:rsidRDefault="00AE09FE" w:rsidP="00AE09FE">
      <w:pPr>
        <w:tabs>
          <w:tab w:val="left" w:pos="851"/>
        </w:tabs>
        <w:ind w:left="851" w:hanging="851"/>
        <w:rPr>
          <w:b/>
          <w:sz w:val="24"/>
          <w:szCs w:val="24"/>
        </w:rPr>
      </w:pPr>
      <w:r w:rsidRPr="00B751FD">
        <w:rPr>
          <w:b/>
          <w:sz w:val="24"/>
          <w:szCs w:val="24"/>
        </w:rPr>
        <w:t>4.6</w:t>
      </w:r>
      <w:r w:rsidRPr="00B751FD">
        <w:rPr>
          <w:b/>
          <w:sz w:val="24"/>
          <w:szCs w:val="24"/>
        </w:rPr>
        <w:tab/>
      </w:r>
      <w:r w:rsidR="00006FCB">
        <w:rPr>
          <w:b/>
          <w:sz w:val="24"/>
          <w:szCs w:val="24"/>
        </w:rPr>
        <w:t>Fertilitet, g</w:t>
      </w:r>
      <w:r w:rsidRPr="00B751FD">
        <w:rPr>
          <w:b/>
          <w:sz w:val="24"/>
          <w:szCs w:val="24"/>
        </w:rPr>
        <w:t>raviditet og amning</w:t>
      </w:r>
    </w:p>
    <w:p w:rsidR="00AE09FE" w:rsidRPr="00B751FD" w:rsidRDefault="00AE09FE" w:rsidP="00AE09FE">
      <w:pPr>
        <w:tabs>
          <w:tab w:val="left" w:pos="851"/>
        </w:tabs>
        <w:ind w:left="851"/>
        <w:rPr>
          <w:sz w:val="24"/>
          <w:szCs w:val="24"/>
          <w:u w:val="single"/>
        </w:rPr>
      </w:pPr>
    </w:p>
    <w:p w:rsidR="00D54CA1" w:rsidRPr="00B751FD" w:rsidRDefault="00D54CA1" w:rsidP="00D54CA1">
      <w:pPr>
        <w:tabs>
          <w:tab w:val="left" w:pos="851"/>
        </w:tabs>
        <w:ind w:left="851"/>
        <w:rPr>
          <w:sz w:val="24"/>
          <w:szCs w:val="24"/>
          <w:u w:val="single"/>
          <w:lang w:eastAsia="da-DK"/>
        </w:rPr>
      </w:pPr>
      <w:r w:rsidRPr="00B751FD">
        <w:rPr>
          <w:sz w:val="24"/>
          <w:szCs w:val="24"/>
          <w:u w:val="single"/>
        </w:rPr>
        <w:t>Graviditet</w:t>
      </w:r>
    </w:p>
    <w:p w:rsidR="00D54CA1" w:rsidRPr="00B751FD" w:rsidRDefault="00D54CA1" w:rsidP="00D54CA1">
      <w:pPr>
        <w:tabs>
          <w:tab w:val="left" w:pos="851"/>
        </w:tabs>
        <w:ind w:left="851"/>
        <w:rPr>
          <w:sz w:val="24"/>
          <w:szCs w:val="24"/>
        </w:rPr>
      </w:pPr>
      <w:r w:rsidRPr="00B751FD">
        <w:rPr>
          <w:sz w:val="24"/>
          <w:szCs w:val="24"/>
        </w:rPr>
        <w:t xml:space="preserve">Der er ingen eller utilstrækkelige data fra anvendelse af </w:t>
      </w:r>
      <w:proofErr w:type="spellStart"/>
      <w:r w:rsidRPr="00B751FD">
        <w:rPr>
          <w:sz w:val="24"/>
          <w:szCs w:val="24"/>
        </w:rPr>
        <w:t>midazolam</w:t>
      </w:r>
      <w:proofErr w:type="spellEnd"/>
      <w:r w:rsidRPr="00B751FD">
        <w:rPr>
          <w:sz w:val="24"/>
          <w:szCs w:val="24"/>
        </w:rPr>
        <w:t xml:space="preserve"> til gravide kvinder. Dyreforsøg indikerer ikke en </w:t>
      </w:r>
      <w:proofErr w:type="spellStart"/>
      <w:r w:rsidRPr="00B751FD">
        <w:rPr>
          <w:sz w:val="24"/>
          <w:szCs w:val="24"/>
        </w:rPr>
        <w:t>teratogen</w:t>
      </w:r>
      <w:proofErr w:type="spellEnd"/>
      <w:r w:rsidRPr="00B751FD">
        <w:rPr>
          <w:sz w:val="24"/>
          <w:szCs w:val="24"/>
        </w:rPr>
        <w:t xml:space="preserve"> virkning, men som for andre benzodiazepiner er der observeret </w:t>
      </w:r>
      <w:proofErr w:type="spellStart"/>
      <w:r w:rsidRPr="00B751FD">
        <w:rPr>
          <w:sz w:val="24"/>
          <w:szCs w:val="24"/>
        </w:rPr>
        <w:t>føtotoksicitet</w:t>
      </w:r>
      <w:proofErr w:type="spellEnd"/>
      <w:r w:rsidRPr="00B751FD">
        <w:rPr>
          <w:sz w:val="24"/>
          <w:szCs w:val="24"/>
        </w:rPr>
        <w:t>. Der er ingen tilgængelige data fra eksponerede graviditeter for graviditetens første to trimestre.</w:t>
      </w:r>
    </w:p>
    <w:p w:rsidR="00D54CA1" w:rsidRPr="00B751FD" w:rsidRDefault="00D54CA1" w:rsidP="00D54CA1">
      <w:pPr>
        <w:tabs>
          <w:tab w:val="left" w:pos="851"/>
        </w:tabs>
        <w:ind w:left="851"/>
        <w:rPr>
          <w:sz w:val="24"/>
          <w:szCs w:val="24"/>
        </w:rPr>
      </w:pPr>
    </w:p>
    <w:p w:rsidR="00D54CA1" w:rsidRPr="00B751FD" w:rsidRDefault="00D54CA1" w:rsidP="00D54CA1">
      <w:pPr>
        <w:tabs>
          <w:tab w:val="left" w:pos="851"/>
        </w:tabs>
        <w:ind w:left="851"/>
        <w:rPr>
          <w:sz w:val="24"/>
          <w:szCs w:val="24"/>
        </w:rPr>
      </w:pPr>
      <w:r w:rsidRPr="00B751FD">
        <w:rPr>
          <w:sz w:val="24"/>
          <w:szCs w:val="24"/>
        </w:rPr>
        <w:t xml:space="preserve">Det er blevet rapporteret, at indgivelse af høje doser </w:t>
      </w:r>
      <w:proofErr w:type="spellStart"/>
      <w:r w:rsidRPr="00B751FD">
        <w:rPr>
          <w:sz w:val="24"/>
          <w:szCs w:val="24"/>
        </w:rPr>
        <w:t>midazolam</w:t>
      </w:r>
      <w:proofErr w:type="spellEnd"/>
      <w:r w:rsidRPr="00B751FD">
        <w:rPr>
          <w:sz w:val="24"/>
          <w:szCs w:val="24"/>
        </w:rPr>
        <w:t xml:space="preserve"> i løbet af graviditetens sidste trimester eller under fødsel frembringer bivirkninger hos moder eller foster (risiko for aspiration af væsker og maveindhold under fødslen hos moderen, uregelmæssig </w:t>
      </w:r>
      <w:proofErr w:type="spellStart"/>
      <w:r w:rsidRPr="00B751FD">
        <w:rPr>
          <w:sz w:val="24"/>
          <w:szCs w:val="24"/>
        </w:rPr>
        <w:t>føtal</w:t>
      </w:r>
      <w:proofErr w:type="spellEnd"/>
      <w:r w:rsidRPr="00B751FD">
        <w:rPr>
          <w:sz w:val="24"/>
          <w:szCs w:val="24"/>
        </w:rPr>
        <w:t xml:space="preserve"> hjerterytme, </w:t>
      </w:r>
      <w:proofErr w:type="spellStart"/>
      <w:r w:rsidRPr="00B751FD">
        <w:rPr>
          <w:sz w:val="24"/>
          <w:szCs w:val="24"/>
        </w:rPr>
        <w:t>hypotoni</w:t>
      </w:r>
      <w:proofErr w:type="spellEnd"/>
      <w:r w:rsidRPr="00B751FD">
        <w:rPr>
          <w:sz w:val="24"/>
          <w:szCs w:val="24"/>
        </w:rPr>
        <w:t xml:space="preserve">, dårlig sutterefleks, </w:t>
      </w:r>
      <w:proofErr w:type="spellStart"/>
      <w:r w:rsidRPr="00B751FD">
        <w:rPr>
          <w:sz w:val="24"/>
          <w:szCs w:val="24"/>
        </w:rPr>
        <w:t>hypotermi</w:t>
      </w:r>
      <w:proofErr w:type="spellEnd"/>
      <w:r w:rsidRPr="00B751FD">
        <w:rPr>
          <w:sz w:val="24"/>
          <w:szCs w:val="24"/>
        </w:rPr>
        <w:t xml:space="preserve"> og respirationsdepression hos det nyfødte spædbarn).</w:t>
      </w:r>
    </w:p>
    <w:p w:rsidR="00D54CA1" w:rsidRPr="00B751FD" w:rsidRDefault="00D54CA1" w:rsidP="00D54CA1">
      <w:pPr>
        <w:tabs>
          <w:tab w:val="left" w:pos="851"/>
        </w:tabs>
        <w:ind w:left="851"/>
        <w:rPr>
          <w:sz w:val="24"/>
          <w:szCs w:val="24"/>
        </w:rPr>
      </w:pPr>
    </w:p>
    <w:p w:rsidR="00D54CA1" w:rsidRPr="00B751FD" w:rsidRDefault="00D54CA1" w:rsidP="00D54CA1">
      <w:pPr>
        <w:tabs>
          <w:tab w:val="left" w:pos="851"/>
        </w:tabs>
        <w:ind w:left="851"/>
        <w:rPr>
          <w:sz w:val="24"/>
          <w:szCs w:val="24"/>
        </w:rPr>
      </w:pPr>
      <w:proofErr w:type="spellStart"/>
      <w:r w:rsidRPr="00B751FD">
        <w:rPr>
          <w:sz w:val="24"/>
          <w:szCs w:val="24"/>
        </w:rPr>
        <w:t>Midazolam</w:t>
      </w:r>
      <w:proofErr w:type="spellEnd"/>
      <w:r w:rsidRPr="00B751FD">
        <w:rPr>
          <w:sz w:val="24"/>
          <w:szCs w:val="24"/>
        </w:rPr>
        <w:t xml:space="preserve"> kan anvendes på tvingende indikation i løbet af graviditeten. Risikoen for nyfødte spædbørn skal tages i betragtning i tilfælde af indgivelse af </w:t>
      </w:r>
      <w:proofErr w:type="spellStart"/>
      <w:r w:rsidRPr="00B751FD">
        <w:rPr>
          <w:sz w:val="24"/>
          <w:szCs w:val="24"/>
        </w:rPr>
        <w:t>midazolam</w:t>
      </w:r>
      <w:proofErr w:type="spellEnd"/>
      <w:r w:rsidRPr="00B751FD">
        <w:rPr>
          <w:sz w:val="24"/>
          <w:szCs w:val="24"/>
        </w:rPr>
        <w:t xml:space="preserve"> i løbet af graviditetens tredje trimester.</w:t>
      </w:r>
    </w:p>
    <w:p w:rsidR="00D54CA1" w:rsidRPr="00B751FD" w:rsidRDefault="00D54CA1" w:rsidP="00D54CA1">
      <w:pPr>
        <w:tabs>
          <w:tab w:val="left" w:pos="851"/>
        </w:tabs>
        <w:ind w:left="851"/>
        <w:rPr>
          <w:sz w:val="24"/>
          <w:szCs w:val="24"/>
          <w:u w:val="single"/>
        </w:rPr>
      </w:pPr>
    </w:p>
    <w:p w:rsidR="00D54CA1" w:rsidRPr="00B751FD" w:rsidRDefault="00D54CA1" w:rsidP="00D54CA1">
      <w:pPr>
        <w:tabs>
          <w:tab w:val="left" w:pos="851"/>
        </w:tabs>
        <w:ind w:left="851"/>
        <w:rPr>
          <w:sz w:val="24"/>
          <w:szCs w:val="24"/>
          <w:u w:val="single"/>
        </w:rPr>
      </w:pPr>
      <w:r w:rsidRPr="00B751FD">
        <w:rPr>
          <w:sz w:val="24"/>
          <w:szCs w:val="24"/>
          <w:u w:val="single"/>
        </w:rPr>
        <w:t>Amning</w:t>
      </w:r>
    </w:p>
    <w:p w:rsidR="00D54CA1" w:rsidRPr="00B751FD" w:rsidRDefault="00D54CA1" w:rsidP="00D54CA1">
      <w:pPr>
        <w:tabs>
          <w:tab w:val="left" w:pos="851"/>
        </w:tabs>
        <w:ind w:left="851"/>
        <w:rPr>
          <w:sz w:val="24"/>
          <w:szCs w:val="24"/>
        </w:rPr>
      </w:pPr>
      <w:proofErr w:type="spellStart"/>
      <w:r w:rsidRPr="00B751FD">
        <w:rPr>
          <w:sz w:val="24"/>
          <w:szCs w:val="24"/>
        </w:rPr>
        <w:t>Midazolam</w:t>
      </w:r>
      <w:proofErr w:type="spellEnd"/>
      <w:r w:rsidRPr="00B751FD">
        <w:rPr>
          <w:sz w:val="24"/>
          <w:szCs w:val="24"/>
        </w:rPr>
        <w:t xml:space="preserve"> udskilles i små mængder (0,6 %) i human mælk. Som følge heraf er det måske ikke nødvendigt at stoppe amningen efter en enkelt dosis </w:t>
      </w:r>
      <w:proofErr w:type="spellStart"/>
      <w:r w:rsidRPr="00B751FD">
        <w:rPr>
          <w:sz w:val="24"/>
          <w:szCs w:val="24"/>
        </w:rPr>
        <w:t>midazolam</w:t>
      </w:r>
      <w:proofErr w:type="spellEnd"/>
      <w:r w:rsidRPr="00B751FD">
        <w:rPr>
          <w:sz w:val="24"/>
          <w:szCs w:val="24"/>
        </w:rPr>
        <w:t>.</w:t>
      </w:r>
    </w:p>
    <w:p w:rsidR="00D54CA1" w:rsidRPr="00B751FD" w:rsidRDefault="00D54CA1" w:rsidP="00D54CA1">
      <w:pPr>
        <w:tabs>
          <w:tab w:val="left" w:pos="851"/>
        </w:tabs>
        <w:ind w:left="851"/>
        <w:rPr>
          <w:sz w:val="24"/>
          <w:szCs w:val="24"/>
          <w:u w:val="single"/>
        </w:rPr>
      </w:pPr>
    </w:p>
    <w:p w:rsidR="00D54CA1" w:rsidRPr="00B751FD" w:rsidRDefault="00D54CA1" w:rsidP="00D54CA1">
      <w:pPr>
        <w:tabs>
          <w:tab w:val="left" w:pos="851"/>
        </w:tabs>
        <w:ind w:left="851"/>
        <w:rPr>
          <w:sz w:val="24"/>
          <w:szCs w:val="24"/>
          <w:u w:val="single"/>
        </w:rPr>
      </w:pPr>
      <w:r w:rsidRPr="00B751FD">
        <w:rPr>
          <w:sz w:val="24"/>
          <w:szCs w:val="24"/>
          <w:u w:val="single"/>
        </w:rPr>
        <w:t>Fertilitet</w:t>
      </w:r>
    </w:p>
    <w:p w:rsidR="00D54CA1" w:rsidRPr="00B751FD" w:rsidRDefault="00D54CA1" w:rsidP="00D54CA1">
      <w:pPr>
        <w:tabs>
          <w:tab w:val="left" w:pos="851"/>
        </w:tabs>
        <w:ind w:left="851"/>
        <w:rPr>
          <w:sz w:val="24"/>
          <w:szCs w:val="24"/>
        </w:rPr>
      </w:pPr>
      <w:r w:rsidRPr="00B751FD">
        <w:rPr>
          <w:sz w:val="24"/>
          <w:szCs w:val="24"/>
        </w:rPr>
        <w:t>Dyreforsøg viste ingen forringelse af fertiliteten (se pkt. 5.3).</w:t>
      </w:r>
    </w:p>
    <w:p w:rsidR="00AE09FE" w:rsidRPr="00B751FD" w:rsidRDefault="00AE09FE" w:rsidP="00AE09FE">
      <w:pPr>
        <w:tabs>
          <w:tab w:val="left" w:pos="851"/>
        </w:tabs>
        <w:ind w:left="851"/>
        <w:rPr>
          <w:sz w:val="24"/>
          <w:szCs w:val="24"/>
        </w:rPr>
      </w:pPr>
    </w:p>
    <w:p w:rsidR="00AE09FE" w:rsidRPr="00B751FD" w:rsidRDefault="00AE09FE" w:rsidP="00AE09FE">
      <w:pPr>
        <w:tabs>
          <w:tab w:val="left" w:pos="851"/>
        </w:tabs>
        <w:ind w:left="851" w:hanging="851"/>
        <w:rPr>
          <w:b/>
          <w:sz w:val="24"/>
          <w:szCs w:val="24"/>
        </w:rPr>
      </w:pPr>
      <w:r w:rsidRPr="00B751FD">
        <w:rPr>
          <w:b/>
          <w:sz w:val="24"/>
          <w:szCs w:val="24"/>
        </w:rPr>
        <w:t>4.7</w:t>
      </w:r>
      <w:r w:rsidRPr="00B751FD">
        <w:rPr>
          <w:b/>
          <w:sz w:val="24"/>
          <w:szCs w:val="24"/>
        </w:rPr>
        <w:tab/>
        <w:t xml:space="preserve">Virkning på evnen til at føre motorkøretøj </w:t>
      </w:r>
      <w:r w:rsidR="00006FCB">
        <w:rPr>
          <w:b/>
          <w:sz w:val="24"/>
          <w:szCs w:val="24"/>
        </w:rPr>
        <w:t>og</w:t>
      </w:r>
      <w:r w:rsidRPr="00B751FD">
        <w:rPr>
          <w:b/>
          <w:sz w:val="24"/>
          <w:szCs w:val="24"/>
        </w:rPr>
        <w:t xml:space="preserve"> betjene maskiner</w:t>
      </w:r>
    </w:p>
    <w:p w:rsidR="00D54CA1" w:rsidRPr="00B751FD" w:rsidRDefault="00D54CA1" w:rsidP="00D54CA1">
      <w:pPr>
        <w:tabs>
          <w:tab w:val="left" w:pos="851"/>
        </w:tabs>
        <w:ind w:left="851"/>
        <w:rPr>
          <w:sz w:val="24"/>
          <w:szCs w:val="24"/>
          <w:lang w:eastAsia="da-DK"/>
        </w:rPr>
      </w:pPr>
      <w:r w:rsidRPr="00B751FD">
        <w:rPr>
          <w:sz w:val="24"/>
          <w:szCs w:val="24"/>
        </w:rPr>
        <w:t>Mærkning.</w:t>
      </w:r>
    </w:p>
    <w:p w:rsidR="00D54CA1" w:rsidRPr="00B751FD" w:rsidRDefault="00D54CA1" w:rsidP="00D54CA1">
      <w:pPr>
        <w:tabs>
          <w:tab w:val="left" w:pos="851"/>
        </w:tabs>
        <w:ind w:left="851"/>
        <w:rPr>
          <w:sz w:val="24"/>
          <w:szCs w:val="24"/>
        </w:rPr>
      </w:pPr>
      <w:proofErr w:type="spellStart"/>
      <w:r w:rsidRPr="00B751FD">
        <w:rPr>
          <w:sz w:val="24"/>
          <w:szCs w:val="24"/>
        </w:rPr>
        <w:t>Epistatus</w:t>
      </w:r>
      <w:proofErr w:type="spellEnd"/>
      <w:r w:rsidRPr="00B751FD">
        <w:rPr>
          <w:sz w:val="24"/>
          <w:szCs w:val="24"/>
        </w:rPr>
        <w:t xml:space="preserve"> påvirker i væsentlig grad evnen til at føre motorkøretøj og betjene maskiner.</w:t>
      </w:r>
    </w:p>
    <w:p w:rsidR="00D54CA1" w:rsidRPr="00B751FD" w:rsidRDefault="00D54CA1" w:rsidP="00D54CA1">
      <w:pPr>
        <w:tabs>
          <w:tab w:val="left" w:pos="851"/>
        </w:tabs>
        <w:ind w:left="851"/>
        <w:rPr>
          <w:sz w:val="24"/>
          <w:szCs w:val="24"/>
        </w:rPr>
      </w:pPr>
    </w:p>
    <w:p w:rsidR="00D54CA1" w:rsidRPr="00B751FD" w:rsidRDefault="00D54CA1" w:rsidP="00D54CA1">
      <w:pPr>
        <w:tabs>
          <w:tab w:val="left" w:pos="851"/>
        </w:tabs>
        <w:ind w:left="851"/>
        <w:rPr>
          <w:sz w:val="24"/>
          <w:szCs w:val="24"/>
        </w:rPr>
      </w:pPr>
      <w:r w:rsidRPr="00B751FD">
        <w:rPr>
          <w:sz w:val="24"/>
          <w:szCs w:val="24"/>
        </w:rPr>
        <w:t xml:space="preserve">Sedation, amnesi, nedsat opmærksomhed og nedsat muskelfunktion kan påvirke evnen til at føre motorkøretøj, cykle eller betjene maskiner. Efter at have fået </w:t>
      </w:r>
      <w:proofErr w:type="spellStart"/>
      <w:r w:rsidRPr="00B751FD">
        <w:rPr>
          <w:sz w:val="24"/>
          <w:szCs w:val="24"/>
        </w:rPr>
        <w:t>midazolam</w:t>
      </w:r>
      <w:proofErr w:type="spellEnd"/>
      <w:r w:rsidRPr="00B751FD">
        <w:rPr>
          <w:sz w:val="24"/>
          <w:szCs w:val="24"/>
        </w:rPr>
        <w:t xml:space="preserve"> skal patienten advares mod at føre et motorkøretøj eller betjene maskiner, indtil fuld bedring er opnået.</w:t>
      </w:r>
    </w:p>
    <w:p w:rsidR="00AE09FE" w:rsidRPr="00B751FD" w:rsidRDefault="00AE09FE" w:rsidP="00AE09FE">
      <w:pPr>
        <w:tabs>
          <w:tab w:val="left" w:pos="851"/>
        </w:tabs>
        <w:ind w:left="851"/>
        <w:rPr>
          <w:sz w:val="24"/>
          <w:szCs w:val="24"/>
        </w:rPr>
      </w:pPr>
    </w:p>
    <w:p w:rsidR="00AE09FE" w:rsidRPr="00B751FD" w:rsidRDefault="00AE09FE" w:rsidP="00AE09FE">
      <w:pPr>
        <w:tabs>
          <w:tab w:val="left" w:pos="851"/>
        </w:tabs>
        <w:ind w:left="851" w:hanging="851"/>
        <w:rPr>
          <w:b/>
          <w:sz w:val="24"/>
          <w:szCs w:val="24"/>
        </w:rPr>
      </w:pPr>
      <w:r w:rsidRPr="00B751FD">
        <w:rPr>
          <w:b/>
          <w:sz w:val="24"/>
          <w:szCs w:val="24"/>
        </w:rPr>
        <w:t>4.8</w:t>
      </w:r>
      <w:r w:rsidRPr="00B751FD">
        <w:rPr>
          <w:b/>
          <w:sz w:val="24"/>
          <w:szCs w:val="24"/>
        </w:rPr>
        <w:tab/>
        <w:t>Bivirkninger</w:t>
      </w:r>
    </w:p>
    <w:p w:rsidR="00CB14E4" w:rsidRDefault="00CB14E4" w:rsidP="00D54CA1">
      <w:pPr>
        <w:tabs>
          <w:tab w:val="left" w:pos="851"/>
        </w:tabs>
        <w:ind w:left="851"/>
        <w:rPr>
          <w:sz w:val="24"/>
          <w:szCs w:val="24"/>
          <w:u w:val="single"/>
        </w:rPr>
      </w:pPr>
    </w:p>
    <w:p w:rsidR="00D54CA1" w:rsidRPr="00B751FD" w:rsidRDefault="00D54CA1" w:rsidP="00D54CA1">
      <w:pPr>
        <w:tabs>
          <w:tab w:val="left" w:pos="851"/>
        </w:tabs>
        <w:ind w:left="851"/>
        <w:rPr>
          <w:sz w:val="24"/>
          <w:szCs w:val="24"/>
          <w:u w:val="single"/>
        </w:rPr>
      </w:pPr>
      <w:r w:rsidRPr="00B751FD">
        <w:rPr>
          <w:sz w:val="24"/>
          <w:szCs w:val="24"/>
          <w:u w:val="single"/>
        </w:rPr>
        <w:t>Oversigt over sikkerhedsprofil</w:t>
      </w:r>
    </w:p>
    <w:p w:rsidR="00D54CA1" w:rsidRPr="00B751FD" w:rsidRDefault="00D54CA1" w:rsidP="00D54CA1">
      <w:pPr>
        <w:tabs>
          <w:tab w:val="left" w:pos="851"/>
        </w:tabs>
        <w:ind w:left="851"/>
        <w:rPr>
          <w:sz w:val="24"/>
          <w:szCs w:val="24"/>
          <w:lang w:eastAsia="da-DK"/>
        </w:rPr>
      </w:pPr>
      <w:r w:rsidRPr="00B751FD">
        <w:rPr>
          <w:sz w:val="24"/>
          <w:szCs w:val="24"/>
        </w:rPr>
        <w:t xml:space="preserve">Publicerede kliniske studier viser, at </w:t>
      </w:r>
      <w:proofErr w:type="spellStart"/>
      <w:r w:rsidRPr="00B751FD">
        <w:rPr>
          <w:sz w:val="24"/>
          <w:szCs w:val="24"/>
        </w:rPr>
        <w:t>midazolam</w:t>
      </w:r>
      <w:proofErr w:type="spellEnd"/>
      <w:r w:rsidRPr="00B751FD">
        <w:rPr>
          <w:sz w:val="24"/>
          <w:szCs w:val="24"/>
        </w:rPr>
        <w:t xml:space="preserve"> til anvendelse i mundhulen blev indgivet til cirka 446 børn med anfald. Respirationsdepression forekommer med en hyppighed på op til 5 %, selvom dette er en kendt komplikation ved anfald såvel som relateret til anvendelsen af benzodiazepiner.</w:t>
      </w:r>
    </w:p>
    <w:p w:rsidR="00D54CA1" w:rsidRPr="00B751FD" w:rsidRDefault="00D54CA1" w:rsidP="00D54CA1">
      <w:pPr>
        <w:tabs>
          <w:tab w:val="left" w:pos="851"/>
        </w:tabs>
        <w:ind w:left="851"/>
        <w:rPr>
          <w:sz w:val="24"/>
          <w:szCs w:val="24"/>
        </w:rPr>
      </w:pPr>
    </w:p>
    <w:p w:rsidR="00D54CA1" w:rsidRPr="00B751FD" w:rsidRDefault="00D54CA1" w:rsidP="00D54CA1">
      <w:pPr>
        <w:tabs>
          <w:tab w:val="left" w:pos="851"/>
        </w:tabs>
        <w:ind w:left="851"/>
        <w:rPr>
          <w:sz w:val="24"/>
          <w:szCs w:val="24"/>
          <w:u w:val="single"/>
        </w:rPr>
      </w:pPr>
      <w:r w:rsidRPr="00B751FD">
        <w:rPr>
          <w:sz w:val="24"/>
          <w:szCs w:val="24"/>
          <w:u w:val="single"/>
        </w:rPr>
        <w:t>Tabel over bivirkninger</w:t>
      </w:r>
    </w:p>
    <w:p w:rsidR="00D54CA1" w:rsidRPr="00B751FD" w:rsidRDefault="00D54CA1" w:rsidP="00D54CA1">
      <w:pPr>
        <w:tabs>
          <w:tab w:val="left" w:pos="851"/>
        </w:tabs>
        <w:ind w:left="851"/>
        <w:rPr>
          <w:sz w:val="24"/>
          <w:szCs w:val="24"/>
        </w:rPr>
      </w:pPr>
      <w:r w:rsidRPr="00B751FD">
        <w:rPr>
          <w:sz w:val="24"/>
          <w:szCs w:val="24"/>
        </w:rPr>
        <w:t xml:space="preserve">Den nedenstående tabel opstiller de bivirkninger, der blev rapporteret, når </w:t>
      </w:r>
      <w:proofErr w:type="spellStart"/>
      <w:r w:rsidRPr="00B751FD">
        <w:rPr>
          <w:sz w:val="24"/>
          <w:szCs w:val="24"/>
        </w:rPr>
        <w:t>midazolam</w:t>
      </w:r>
      <w:proofErr w:type="spellEnd"/>
      <w:r w:rsidRPr="00B751FD">
        <w:rPr>
          <w:sz w:val="24"/>
          <w:szCs w:val="24"/>
        </w:rPr>
        <w:t xml:space="preserve"> til anvendelse i mundhulen blev indgivet til børn i kliniske studier og efter markedsføringen.</w:t>
      </w:r>
    </w:p>
    <w:p w:rsidR="00D54CA1" w:rsidRPr="00B751FD" w:rsidRDefault="00D54CA1" w:rsidP="00D54CA1">
      <w:pPr>
        <w:tabs>
          <w:tab w:val="left" w:pos="851"/>
        </w:tabs>
        <w:ind w:left="851"/>
        <w:rPr>
          <w:sz w:val="24"/>
          <w:szCs w:val="24"/>
        </w:rPr>
      </w:pPr>
    </w:p>
    <w:p w:rsidR="00D54CA1" w:rsidRPr="00B751FD" w:rsidRDefault="00D54CA1" w:rsidP="00D54CA1">
      <w:pPr>
        <w:tabs>
          <w:tab w:val="left" w:pos="851"/>
        </w:tabs>
        <w:ind w:left="851"/>
        <w:rPr>
          <w:sz w:val="24"/>
          <w:szCs w:val="24"/>
        </w:rPr>
      </w:pPr>
      <w:r w:rsidRPr="00B751FD">
        <w:rPr>
          <w:sz w:val="24"/>
          <w:szCs w:val="24"/>
        </w:rPr>
        <w:t>Hyppigheden af bivirkninger er klassificeret på følgende måde:</w:t>
      </w:r>
    </w:p>
    <w:p w:rsidR="00D54CA1" w:rsidRPr="00B751FD" w:rsidRDefault="00D54CA1" w:rsidP="00D54CA1">
      <w:pPr>
        <w:tabs>
          <w:tab w:val="left" w:pos="851"/>
        </w:tabs>
        <w:ind w:left="851"/>
        <w:rPr>
          <w:sz w:val="24"/>
          <w:szCs w:val="24"/>
        </w:rPr>
      </w:pPr>
      <w:r w:rsidRPr="00B751FD">
        <w:rPr>
          <w:sz w:val="24"/>
          <w:szCs w:val="24"/>
        </w:rPr>
        <w:t>Almindelig: ≥1/100 til &lt;1/10</w:t>
      </w:r>
    </w:p>
    <w:p w:rsidR="00D54CA1" w:rsidRPr="00B751FD" w:rsidRDefault="00D54CA1" w:rsidP="00D54CA1">
      <w:pPr>
        <w:tabs>
          <w:tab w:val="left" w:pos="851"/>
        </w:tabs>
        <w:ind w:left="851"/>
        <w:rPr>
          <w:sz w:val="24"/>
          <w:szCs w:val="24"/>
        </w:rPr>
      </w:pPr>
      <w:r w:rsidRPr="00B751FD">
        <w:rPr>
          <w:sz w:val="24"/>
          <w:szCs w:val="24"/>
        </w:rPr>
        <w:t>Ikke almindelig: ≥1/1.000 til &lt;1/100</w:t>
      </w:r>
    </w:p>
    <w:p w:rsidR="00D54CA1" w:rsidRPr="00B751FD" w:rsidRDefault="00D54CA1" w:rsidP="00D54CA1">
      <w:pPr>
        <w:tabs>
          <w:tab w:val="left" w:pos="851"/>
        </w:tabs>
        <w:ind w:left="851"/>
        <w:rPr>
          <w:sz w:val="24"/>
          <w:szCs w:val="24"/>
        </w:rPr>
      </w:pPr>
      <w:r w:rsidRPr="00B751FD">
        <w:rPr>
          <w:sz w:val="24"/>
          <w:szCs w:val="24"/>
        </w:rPr>
        <w:t>Meget sjælden: &lt;1/10.000</w:t>
      </w:r>
    </w:p>
    <w:p w:rsidR="00D54CA1" w:rsidRPr="00B751FD" w:rsidRDefault="00D54CA1" w:rsidP="00D54CA1">
      <w:pPr>
        <w:tabs>
          <w:tab w:val="left" w:pos="851"/>
        </w:tabs>
        <w:ind w:left="851"/>
        <w:rPr>
          <w:sz w:val="24"/>
          <w:szCs w:val="24"/>
        </w:rPr>
      </w:pPr>
      <w:r w:rsidRPr="00B751FD">
        <w:rPr>
          <w:sz w:val="24"/>
          <w:szCs w:val="24"/>
        </w:rPr>
        <w:t>Ikke kendt: kan ikke estimeres ud fra forhåndenværende data</w:t>
      </w:r>
    </w:p>
    <w:p w:rsidR="00D54CA1" w:rsidRPr="00B751FD" w:rsidRDefault="00D54CA1" w:rsidP="00D54CA1">
      <w:pPr>
        <w:tabs>
          <w:tab w:val="left" w:pos="851"/>
        </w:tabs>
        <w:ind w:left="851"/>
        <w:rPr>
          <w:sz w:val="24"/>
          <w:szCs w:val="24"/>
        </w:rPr>
      </w:pPr>
    </w:p>
    <w:p w:rsidR="00D54CA1" w:rsidRPr="00B751FD" w:rsidRDefault="00D54CA1" w:rsidP="00D54CA1">
      <w:pPr>
        <w:tabs>
          <w:tab w:val="left" w:pos="851"/>
        </w:tabs>
        <w:ind w:left="851"/>
        <w:rPr>
          <w:sz w:val="24"/>
          <w:szCs w:val="24"/>
        </w:rPr>
      </w:pPr>
      <w:r w:rsidRPr="00B751FD">
        <w:rPr>
          <w:sz w:val="24"/>
          <w:szCs w:val="24"/>
        </w:rPr>
        <w:t>Inden for hver hyppighedsgruppe opstilles bivirkningerne efter, hvor alvorlige de er. De alvorligste bivirkninger anføres først.</w:t>
      </w:r>
    </w:p>
    <w:p w:rsidR="007F6AE5" w:rsidRDefault="007F6AE5">
      <w:pPr>
        <w:rPr>
          <w:sz w:val="24"/>
          <w:szCs w:val="24"/>
        </w:rPr>
      </w:pPr>
      <w:r>
        <w:rPr>
          <w:sz w:val="24"/>
          <w:szCs w:val="24"/>
        </w:rPr>
        <w:br w:type="page"/>
      </w:r>
    </w:p>
    <w:p w:rsidR="00D54CA1" w:rsidRPr="00B751FD" w:rsidRDefault="00D54CA1" w:rsidP="00D54CA1">
      <w:pPr>
        <w:tabs>
          <w:tab w:val="left" w:pos="851"/>
        </w:tabs>
        <w:ind w:left="851"/>
        <w:rPr>
          <w:sz w:val="24"/>
          <w:szCs w:val="24"/>
        </w:rPr>
      </w:pPr>
    </w:p>
    <w:tbl>
      <w:tblPr>
        <w:tblW w:w="4533"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7"/>
        <w:gridCol w:w="5632"/>
      </w:tblGrid>
      <w:tr w:rsidR="00D54CA1" w:rsidRPr="00B751FD" w:rsidTr="005E45E0">
        <w:trPr>
          <w:cantSplit/>
        </w:trPr>
        <w:tc>
          <w:tcPr>
            <w:tcW w:w="1774" w:type="pct"/>
            <w:tcBorders>
              <w:top w:val="single" w:sz="4" w:space="0" w:color="auto"/>
              <w:left w:val="single" w:sz="4" w:space="0" w:color="auto"/>
              <w:bottom w:val="single" w:sz="4" w:space="0" w:color="auto"/>
              <w:right w:val="single" w:sz="4" w:space="0" w:color="auto"/>
            </w:tcBorders>
            <w:hideMark/>
          </w:tcPr>
          <w:p w:rsidR="00D54CA1" w:rsidRPr="00B751FD" w:rsidRDefault="00D54CA1" w:rsidP="005E45E0">
            <w:pPr>
              <w:tabs>
                <w:tab w:val="left" w:pos="851"/>
              </w:tabs>
              <w:rPr>
                <w:b/>
                <w:sz w:val="24"/>
                <w:szCs w:val="24"/>
              </w:rPr>
            </w:pPr>
            <w:r w:rsidRPr="00B751FD">
              <w:rPr>
                <w:b/>
                <w:sz w:val="24"/>
                <w:szCs w:val="24"/>
              </w:rPr>
              <w:t>Systemorganklasse</w:t>
            </w:r>
          </w:p>
        </w:tc>
        <w:tc>
          <w:tcPr>
            <w:tcW w:w="3226" w:type="pct"/>
            <w:tcBorders>
              <w:top w:val="single" w:sz="4" w:space="0" w:color="auto"/>
              <w:left w:val="single" w:sz="4" w:space="0" w:color="auto"/>
              <w:bottom w:val="single" w:sz="4" w:space="0" w:color="auto"/>
              <w:right w:val="single" w:sz="4" w:space="0" w:color="auto"/>
            </w:tcBorders>
            <w:hideMark/>
          </w:tcPr>
          <w:p w:rsidR="00D54CA1" w:rsidRPr="00B751FD" w:rsidRDefault="00D54CA1" w:rsidP="005E45E0">
            <w:pPr>
              <w:tabs>
                <w:tab w:val="left" w:pos="851"/>
              </w:tabs>
              <w:rPr>
                <w:b/>
                <w:sz w:val="24"/>
                <w:szCs w:val="24"/>
              </w:rPr>
            </w:pPr>
            <w:r w:rsidRPr="00B751FD">
              <w:rPr>
                <w:b/>
                <w:sz w:val="24"/>
                <w:szCs w:val="24"/>
              </w:rPr>
              <w:t xml:space="preserve">Hyppighed: Bivirkning </w:t>
            </w:r>
          </w:p>
        </w:tc>
      </w:tr>
      <w:tr w:rsidR="00D54CA1" w:rsidRPr="00B751FD" w:rsidTr="005E45E0">
        <w:trPr>
          <w:cantSplit/>
        </w:trPr>
        <w:tc>
          <w:tcPr>
            <w:tcW w:w="1774" w:type="pct"/>
            <w:tcBorders>
              <w:top w:val="single" w:sz="4" w:space="0" w:color="auto"/>
              <w:left w:val="single" w:sz="4" w:space="0" w:color="auto"/>
              <w:bottom w:val="single" w:sz="4" w:space="0" w:color="auto"/>
              <w:right w:val="single" w:sz="4" w:space="0" w:color="auto"/>
            </w:tcBorders>
            <w:hideMark/>
          </w:tcPr>
          <w:p w:rsidR="00D54CA1" w:rsidRPr="00B751FD" w:rsidRDefault="00D54CA1" w:rsidP="005E45E0">
            <w:pPr>
              <w:tabs>
                <w:tab w:val="left" w:pos="851"/>
              </w:tabs>
              <w:rPr>
                <w:sz w:val="24"/>
                <w:szCs w:val="24"/>
              </w:rPr>
            </w:pPr>
            <w:r w:rsidRPr="00B751FD">
              <w:rPr>
                <w:sz w:val="24"/>
                <w:szCs w:val="24"/>
              </w:rPr>
              <w:t>Psykiske forstyrrelser</w:t>
            </w:r>
          </w:p>
        </w:tc>
        <w:tc>
          <w:tcPr>
            <w:tcW w:w="3226" w:type="pct"/>
            <w:tcBorders>
              <w:top w:val="single" w:sz="4" w:space="0" w:color="auto"/>
              <w:left w:val="single" w:sz="4" w:space="0" w:color="auto"/>
              <w:bottom w:val="single" w:sz="4" w:space="0" w:color="auto"/>
              <w:right w:val="single" w:sz="4" w:space="0" w:color="auto"/>
            </w:tcBorders>
          </w:tcPr>
          <w:p w:rsidR="00D54CA1" w:rsidRPr="00B751FD" w:rsidRDefault="00D54CA1" w:rsidP="005E45E0">
            <w:pPr>
              <w:tabs>
                <w:tab w:val="left" w:pos="851"/>
              </w:tabs>
              <w:rPr>
                <w:sz w:val="24"/>
                <w:szCs w:val="24"/>
              </w:rPr>
            </w:pPr>
            <w:r w:rsidRPr="00B751FD">
              <w:rPr>
                <w:sz w:val="24"/>
                <w:szCs w:val="24"/>
              </w:rPr>
              <w:t>Ikke almindelig:</w:t>
            </w:r>
          </w:p>
          <w:p w:rsidR="00D54CA1" w:rsidRPr="00B751FD" w:rsidRDefault="00D54CA1" w:rsidP="005E45E0">
            <w:pPr>
              <w:tabs>
                <w:tab w:val="left" w:pos="851"/>
              </w:tabs>
              <w:rPr>
                <w:sz w:val="24"/>
                <w:szCs w:val="24"/>
              </w:rPr>
            </w:pPr>
            <w:r w:rsidRPr="00B751FD">
              <w:rPr>
                <w:sz w:val="24"/>
                <w:szCs w:val="24"/>
              </w:rPr>
              <w:t>Hallucination*, agitation*</w:t>
            </w:r>
          </w:p>
          <w:p w:rsidR="00D54CA1" w:rsidRPr="00B751FD" w:rsidRDefault="00D54CA1" w:rsidP="005E45E0">
            <w:pPr>
              <w:tabs>
                <w:tab w:val="left" w:pos="851"/>
              </w:tabs>
              <w:rPr>
                <w:sz w:val="24"/>
                <w:szCs w:val="24"/>
              </w:rPr>
            </w:pPr>
          </w:p>
          <w:p w:rsidR="00D54CA1" w:rsidRPr="00B751FD" w:rsidRDefault="00D54CA1" w:rsidP="005E45E0">
            <w:pPr>
              <w:tabs>
                <w:tab w:val="left" w:pos="851"/>
              </w:tabs>
              <w:rPr>
                <w:sz w:val="24"/>
                <w:szCs w:val="24"/>
              </w:rPr>
            </w:pPr>
            <w:r w:rsidRPr="00B751FD">
              <w:rPr>
                <w:sz w:val="24"/>
                <w:szCs w:val="24"/>
              </w:rPr>
              <w:t>Meget sjælden:</w:t>
            </w:r>
          </w:p>
          <w:p w:rsidR="00D54CA1" w:rsidRPr="00B751FD" w:rsidRDefault="00D54CA1" w:rsidP="005E45E0">
            <w:pPr>
              <w:tabs>
                <w:tab w:val="left" w:pos="851"/>
              </w:tabs>
              <w:rPr>
                <w:sz w:val="24"/>
                <w:szCs w:val="24"/>
              </w:rPr>
            </w:pPr>
            <w:r w:rsidRPr="00B751FD">
              <w:rPr>
                <w:sz w:val="24"/>
                <w:szCs w:val="24"/>
              </w:rPr>
              <w:t>Aggression*, mobilitetsforstyrrelser*, fysiske angreb*</w:t>
            </w:r>
          </w:p>
          <w:p w:rsidR="00D54CA1" w:rsidRPr="00B751FD" w:rsidRDefault="00D54CA1" w:rsidP="005E45E0">
            <w:pPr>
              <w:tabs>
                <w:tab w:val="left" w:pos="851"/>
              </w:tabs>
              <w:rPr>
                <w:sz w:val="24"/>
                <w:szCs w:val="24"/>
              </w:rPr>
            </w:pPr>
          </w:p>
          <w:p w:rsidR="00D54CA1" w:rsidRPr="00B751FD" w:rsidRDefault="00D54CA1" w:rsidP="005E45E0">
            <w:pPr>
              <w:tabs>
                <w:tab w:val="left" w:pos="851"/>
              </w:tabs>
              <w:rPr>
                <w:sz w:val="24"/>
                <w:szCs w:val="24"/>
              </w:rPr>
            </w:pPr>
            <w:r w:rsidRPr="00B751FD">
              <w:rPr>
                <w:sz w:val="24"/>
                <w:szCs w:val="24"/>
              </w:rPr>
              <w:t>Ikke kendt:</w:t>
            </w:r>
          </w:p>
          <w:p w:rsidR="00D54CA1" w:rsidRPr="00B751FD" w:rsidRDefault="00D54CA1" w:rsidP="005E45E0">
            <w:pPr>
              <w:tabs>
                <w:tab w:val="left" w:pos="851"/>
              </w:tabs>
              <w:rPr>
                <w:sz w:val="24"/>
                <w:szCs w:val="24"/>
              </w:rPr>
            </w:pPr>
            <w:r w:rsidRPr="00B751FD">
              <w:rPr>
                <w:sz w:val="24"/>
                <w:szCs w:val="24"/>
              </w:rPr>
              <w:t>Vrede*, forvirring*, fjendtlighed*, eufori*</w:t>
            </w:r>
          </w:p>
        </w:tc>
      </w:tr>
      <w:tr w:rsidR="00D54CA1" w:rsidRPr="00B751FD" w:rsidTr="005E45E0">
        <w:trPr>
          <w:cantSplit/>
        </w:trPr>
        <w:tc>
          <w:tcPr>
            <w:tcW w:w="1774" w:type="pct"/>
            <w:tcBorders>
              <w:top w:val="single" w:sz="4" w:space="0" w:color="auto"/>
              <w:left w:val="single" w:sz="4" w:space="0" w:color="auto"/>
              <w:bottom w:val="single" w:sz="4" w:space="0" w:color="auto"/>
              <w:right w:val="single" w:sz="4" w:space="0" w:color="auto"/>
            </w:tcBorders>
            <w:hideMark/>
          </w:tcPr>
          <w:p w:rsidR="00D54CA1" w:rsidRPr="00B751FD" w:rsidRDefault="00D54CA1" w:rsidP="005E45E0">
            <w:pPr>
              <w:tabs>
                <w:tab w:val="left" w:pos="851"/>
              </w:tabs>
              <w:rPr>
                <w:sz w:val="24"/>
                <w:szCs w:val="24"/>
              </w:rPr>
            </w:pPr>
            <w:r w:rsidRPr="00B751FD">
              <w:rPr>
                <w:sz w:val="24"/>
                <w:szCs w:val="24"/>
              </w:rPr>
              <w:t>Nervesystemet</w:t>
            </w:r>
          </w:p>
        </w:tc>
        <w:tc>
          <w:tcPr>
            <w:tcW w:w="3226" w:type="pct"/>
            <w:tcBorders>
              <w:top w:val="single" w:sz="4" w:space="0" w:color="auto"/>
              <w:left w:val="single" w:sz="4" w:space="0" w:color="auto"/>
              <w:bottom w:val="single" w:sz="4" w:space="0" w:color="auto"/>
              <w:right w:val="single" w:sz="4" w:space="0" w:color="auto"/>
            </w:tcBorders>
          </w:tcPr>
          <w:p w:rsidR="00D54CA1" w:rsidRPr="00B751FD" w:rsidRDefault="00D54CA1" w:rsidP="005E45E0">
            <w:pPr>
              <w:tabs>
                <w:tab w:val="left" w:pos="851"/>
              </w:tabs>
              <w:rPr>
                <w:sz w:val="24"/>
                <w:szCs w:val="24"/>
              </w:rPr>
            </w:pPr>
            <w:r w:rsidRPr="00B751FD">
              <w:rPr>
                <w:sz w:val="24"/>
                <w:szCs w:val="24"/>
              </w:rPr>
              <w:t>Almindelig:</w:t>
            </w:r>
          </w:p>
          <w:p w:rsidR="00D54CA1" w:rsidRPr="00B751FD" w:rsidRDefault="00D54CA1" w:rsidP="005E45E0">
            <w:pPr>
              <w:tabs>
                <w:tab w:val="left" w:pos="851"/>
              </w:tabs>
              <w:rPr>
                <w:sz w:val="24"/>
                <w:szCs w:val="24"/>
              </w:rPr>
            </w:pPr>
            <w:r w:rsidRPr="00B751FD">
              <w:rPr>
                <w:sz w:val="24"/>
                <w:szCs w:val="24"/>
              </w:rPr>
              <w:t xml:space="preserve">Sedation, </w:t>
            </w:r>
            <w:proofErr w:type="spellStart"/>
            <w:r w:rsidRPr="00B751FD">
              <w:rPr>
                <w:sz w:val="24"/>
                <w:szCs w:val="24"/>
              </w:rPr>
              <w:t>somnolens</w:t>
            </w:r>
            <w:proofErr w:type="spellEnd"/>
            <w:r w:rsidRPr="00B751FD">
              <w:rPr>
                <w:sz w:val="24"/>
                <w:szCs w:val="24"/>
              </w:rPr>
              <w:t xml:space="preserve">, nedsat bevidsthed, respirationsdepression, </w:t>
            </w:r>
            <w:proofErr w:type="spellStart"/>
            <w:r w:rsidRPr="00B751FD">
              <w:rPr>
                <w:sz w:val="24"/>
                <w:szCs w:val="24"/>
              </w:rPr>
              <w:t>ataksi</w:t>
            </w:r>
            <w:proofErr w:type="spellEnd"/>
            <w:r w:rsidRPr="00B751FD">
              <w:rPr>
                <w:sz w:val="24"/>
                <w:szCs w:val="24"/>
              </w:rPr>
              <w:t>*, svimmelhed*, hovedpine*</w:t>
            </w:r>
          </w:p>
          <w:p w:rsidR="00D54CA1" w:rsidRPr="00B751FD" w:rsidRDefault="00D54CA1" w:rsidP="005E45E0">
            <w:pPr>
              <w:tabs>
                <w:tab w:val="left" w:pos="851"/>
              </w:tabs>
              <w:rPr>
                <w:sz w:val="24"/>
                <w:szCs w:val="24"/>
              </w:rPr>
            </w:pPr>
          </w:p>
          <w:p w:rsidR="00D54CA1" w:rsidRPr="00B751FD" w:rsidRDefault="00D54CA1" w:rsidP="005E45E0">
            <w:pPr>
              <w:tabs>
                <w:tab w:val="left" w:pos="851"/>
              </w:tabs>
              <w:rPr>
                <w:sz w:val="24"/>
                <w:szCs w:val="24"/>
              </w:rPr>
            </w:pPr>
            <w:r w:rsidRPr="00B751FD">
              <w:rPr>
                <w:sz w:val="24"/>
                <w:szCs w:val="24"/>
              </w:rPr>
              <w:t>Ikke almindelig:</w:t>
            </w:r>
          </w:p>
          <w:p w:rsidR="00D54CA1" w:rsidRPr="00B751FD" w:rsidRDefault="00D54CA1" w:rsidP="005E45E0">
            <w:pPr>
              <w:tabs>
                <w:tab w:val="left" w:pos="851"/>
              </w:tabs>
              <w:rPr>
                <w:sz w:val="24"/>
                <w:szCs w:val="24"/>
              </w:rPr>
            </w:pPr>
            <w:proofErr w:type="spellStart"/>
            <w:r w:rsidRPr="00B751FD">
              <w:rPr>
                <w:sz w:val="24"/>
                <w:szCs w:val="24"/>
              </w:rPr>
              <w:t>Anterograd</w:t>
            </w:r>
            <w:proofErr w:type="spellEnd"/>
            <w:r w:rsidRPr="00B751FD">
              <w:rPr>
                <w:sz w:val="24"/>
                <w:szCs w:val="24"/>
              </w:rPr>
              <w:t xml:space="preserve"> amnesi*</w:t>
            </w:r>
          </w:p>
          <w:p w:rsidR="00D54CA1" w:rsidRPr="00B751FD" w:rsidRDefault="00D54CA1" w:rsidP="005E45E0">
            <w:pPr>
              <w:tabs>
                <w:tab w:val="left" w:pos="851"/>
              </w:tabs>
              <w:rPr>
                <w:sz w:val="24"/>
                <w:szCs w:val="24"/>
              </w:rPr>
            </w:pPr>
          </w:p>
          <w:p w:rsidR="00D54CA1" w:rsidRPr="00B751FD" w:rsidRDefault="00D54CA1" w:rsidP="005E45E0">
            <w:pPr>
              <w:tabs>
                <w:tab w:val="left" w:pos="851"/>
              </w:tabs>
              <w:rPr>
                <w:sz w:val="24"/>
                <w:szCs w:val="24"/>
              </w:rPr>
            </w:pPr>
            <w:r w:rsidRPr="00B751FD">
              <w:rPr>
                <w:sz w:val="24"/>
                <w:szCs w:val="24"/>
              </w:rPr>
              <w:t>Meget sjælden:</w:t>
            </w:r>
          </w:p>
          <w:p w:rsidR="00D54CA1" w:rsidRPr="00B751FD" w:rsidRDefault="00D54CA1" w:rsidP="005E45E0">
            <w:pPr>
              <w:tabs>
                <w:tab w:val="left" w:pos="851"/>
              </w:tabs>
              <w:rPr>
                <w:sz w:val="24"/>
                <w:szCs w:val="24"/>
              </w:rPr>
            </w:pPr>
            <w:r w:rsidRPr="00B751FD">
              <w:rPr>
                <w:sz w:val="24"/>
                <w:szCs w:val="24"/>
              </w:rPr>
              <w:t>Anfald*, paradokse reaktioner*</w:t>
            </w:r>
          </w:p>
        </w:tc>
      </w:tr>
      <w:tr w:rsidR="00D54CA1" w:rsidRPr="00B751FD" w:rsidTr="005E45E0">
        <w:trPr>
          <w:cantSplit/>
        </w:trPr>
        <w:tc>
          <w:tcPr>
            <w:tcW w:w="1774" w:type="pct"/>
            <w:tcBorders>
              <w:top w:val="single" w:sz="4" w:space="0" w:color="auto"/>
              <w:left w:val="single" w:sz="4" w:space="0" w:color="auto"/>
              <w:bottom w:val="single" w:sz="4" w:space="0" w:color="auto"/>
              <w:right w:val="single" w:sz="4" w:space="0" w:color="auto"/>
            </w:tcBorders>
            <w:hideMark/>
          </w:tcPr>
          <w:p w:rsidR="00D54CA1" w:rsidRPr="00B751FD" w:rsidRDefault="00D54CA1" w:rsidP="005E45E0">
            <w:pPr>
              <w:tabs>
                <w:tab w:val="left" w:pos="851"/>
              </w:tabs>
              <w:rPr>
                <w:sz w:val="24"/>
                <w:szCs w:val="24"/>
              </w:rPr>
            </w:pPr>
            <w:r w:rsidRPr="00B751FD">
              <w:rPr>
                <w:sz w:val="24"/>
                <w:szCs w:val="24"/>
              </w:rPr>
              <w:t>Hjerte</w:t>
            </w:r>
          </w:p>
        </w:tc>
        <w:tc>
          <w:tcPr>
            <w:tcW w:w="3226" w:type="pct"/>
            <w:tcBorders>
              <w:top w:val="single" w:sz="4" w:space="0" w:color="auto"/>
              <w:left w:val="single" w:sz="4" w:space="0" w:color="auto"/>
              <w:bottom w:val="single" w:sz="4" w:space="0" w:color="auto"/>
              <w:right w:val="single" w:sz="4" w:space="0" w:color="auto"/>
            </w:tcBorders>
            <w:hideMark/>
          </w:tcPr>
          <w:p w:rsidR="00D54CA1" w:rsidRPr="00B751FD" w:rsidRDefault="00D54CA1" w:rsidP="005E45E0">
            <w:pPr>
              <w:tabs>
                <w:tab w:val="left" w:pos="851"/>
              </w:tabs>
              <w:rPr>
                <w:sz w:val="24"/>
                <w:szCs w:val="24"/>
              </w:rPr>
            </w:pPr>
            <w:r w:rsidRPr="00B751FD">
              <w:rPr>
                <w:sz w:val="24"/>
                <w:szCs w:val="24"/>
              </w:rPr>
              <w:t>Meget sjælden:</w:t>
            </w:r>
          </w:p>
          <w:p w:rsidR="00D54CA1" w:rsidRPr="00B751FD" w:rsidRDefault="00D54CA1" w:rsidP="005E45E0">
            <w:pPr>
              <w:tabs>
                <w:tab w:val="left" w:pos="851"/>
              </w:tabs>
              <w:rPr>
                <w:sz w:val="24"/>
                <w:szCs w:val="24"/>
              </w:rPr>
            </w:pPr>
            <w:r w:rsidRPr="00B751FD">
              <w:rPr>
                <w:sz w:val="24"/>
                <w:szCs w:val="24"/>
              </w:rPr>
              <w:t>Bradykardi*, hjertestop*, hypotension*, vasodilatation*</w:t>
            </w:r>
          </w:p>
        </w:tc>
      </w:tr>
      <w:tr w:rsidR="00D54CA1" w:rsidRPr="00B751FD" w:rsidTr="005E45E0">
        <w:trPr>
          <w:cantSplit/>
        </w:trPr>
        <w:tc>
          <w:tcPr>
            <w:tcW w:w="1774" w:type="pct"/>
            <w:tcBorders>
              <w:top w:val="single" w:sz="4" w:space="0" w:color="auto"/>
              <w:left w:val="single" w:sz="4" w:space="0" w:color="auto"/>
              <w:bottom w:val="single" w:sz="4" w:space="0" w:color="auto"/>
              <w:right w:val="single" w:sz="4" w:space="0" w:color="auto"/>
            </w:tcBorders>
          </w:tcPr>
          <w:p w:rsidR="00D54CA1" w:rsidRPr="00B751FD" w:rsidRDefault="00D54CA1" w:rsidP="005E45E0">
            <w:pPr>
              <w:tabs>
                <w:tab w:val="left" w:pos="851"/>
              </w:tabs>
              <w:rPr>
                <w:sz w:val="24"/>
                <w:szCs w:val="24"/>
              </w:rPr>
            </w:pPr>
            <w:r w:rsidRPr="00B751FD">
              <w:rPr>
                <w:sz w:val="24"/>
                <w:szCs w:val="24"/>
              </w:rPr>
              <w:t>Blod og lymfesystem</w:t>
            </w:r>
          </w:p>
        </w:tc>
        <w:tc>
          <w:tcPr>
            <w:tcW w:w="3226" w:type="pct"/>
            <w:tcBorders>
              <w:top w:val="single" w:sz="4" w:space="0" w:color="auto"/>
              <w:left w:val="single" w:sz="4" w:space="0" w:color="auto"/>
              <w:bottom w:val="single" w:sz="4" w:space="0" w:color="auto"/>
              <w:right w:val="single" w:sz="4" w:space="0" w:color="auto"/>
            </w:tcBorders>
          </w:tcPr>
          <w:p w:rsidR="00D54CA1" w:rsidRPr="00B751FD" w:rsidRDefault="00D54CA1" w:rsidP="005E45E0">
            <w:pPr>
              <w:tabs>
                <w:tab w:val="left" w:pos="851"/>
              </w:tabs>
              <w:rPr>
                <w:sz w:val="24"/>
                <w:szCs w:val="24"/>
              </w:rPr>
            </w:pPr>
            <w:r w:rsidRPr="00B751FD">
              <w:rPr>
                <w:sz w:val="24"/>
                <w:szCs w:val="24"/>
              </w:rPr>
              <w:t>Ikke kendt:</w:t>
            </w:r>
          </w:p>
          <w:p w:rsidR="00D54CA1" w:rsidRPr="00B751FD" w:rsidRDefault="00D54CA1" w:rsidP="005E45E0">
            <w:pPr>
              <w:tabs>
                <w:tab w:val="left" w:pos="851"/>
              </w:tabs>
              <w:rPr>
                <w:sz w:val="24"/>
                <w:szCs w:val="24"/>
              </w:rPr>
            </w:pPr>
            <w:r w:rsidRPr="00B751FD">
              <w:rPr>
                <w:sz w:val="24"/>
                <w:szCs w:val="24"/>
              </w:rPr>
              <w:t>Trombose</w:t>
            </w:r>
          </w:p>
        </w:tc>
      </w:tr>
      <w:tr w:rsidR="00D54CA1" w:rsidRPr="00B751FD" w:rsidTr="005E45E0">
        <w:trPr>
          <w:cantSplit/>
        </w:trPr>
        <w:tc>
          <w:tcPr>
            <w:tcW w:w="1774" w:type="pct"/>
            <w:tcBorders>
              <w:top w:val="single" w:sz="4" w:space="0" w:color="auto"/>
              <w:left w:val="single" w:sz="4" w:space="0" w:color="auto"/>
              <w:bottom w:val="single" w:sz="4" w:space="0" w:color="auto"/>
              <w:right w:val="single" w:sz="4" w:space="0" w:color="auto"/>
            </w:tcBorders>
            <w:hideMark/>
          </w:tcPr>
          <w:p w:rsidR="00D54CA1" w:rsidRPr="00B751FD" w:rsidRDefault="00D54CA1" w:rsidP="005E45E0">
            <w:pPr>
              <w:tabs>
                <w:tab w:val="left" w:pos="851"/>
              </w:tabs>
              <w:rPr>
                <w:sz w:val="24"/>
                <w:szCs w:val="24"/>
              </w:rPr>
            </w:pPr>
            <w:r w:rsidRPr="00B751FD">
              <w:rPr>
                <w:sz w:val="24"/>
                <w:szCs w:val="24"/>
              </w:rPr>
              <w:t xml:space="preserve">Luftveje, thorax og </w:t>
            </w:r>
            <w:proofErr w:type="spellStart"/>
            <w:r w:rsidRPr="00B751FD">
              <w:rPr>
                <w:sz w:val="24"/>
                <w:szCs w:val="24"/>
              </w:rPr>
              <w:t>mediastinum</w:t>
            </w:r>
            <w:proofErr w:type="spellEnd"/>
          </w:p>
        </w:tc>
        <w:tc>
          <w:tcPr>
            <w:tcW w:w="3226" w:type="pct"/>
            <w:tcBorders>
              <w:top w:val="single" w:sz="4" w:space="0" w:color="auto"/>
              <w:left w:val="single" w:sz="4" w:space="0" w:color="auto"/>
              <w:bottom w:val="single" w:sz="4" w:space="0" w:color="auto"/>
              <w:right w:val="single" w:sz="4" w:space="0" w:color="auto"/>
            </w:tcBorders>
          </w:tcPr>
          <w:p w:rsidR="00D54CA1" w:rsidRPr="00B751FD" w:rsidRDefault="00D54CA1" w:rsidP="005E45E0">
            <w:pPr>
              <w:tabs>
                <w:tab w:val="left" w:pos="851"/>
              </w:tabs>
              <w:rPr>
                <w:sz w:val="24"/>
                <w:szCs w:val="24"/>
              </w:rPr>
            </w:pPr>
            <w:r w:rsidRPr="00B751FD">
              <w:rPr>
                <w:sz w:val="24"/>
                <w:szCs w:val="24"/>
              </w:rPr>
              <w:t>Meget sjælden:</w:t>
            </w:r>
          </w:p>
          <w:p w:rsidR="00D54CA1" w:rsidRPr="00B751FD" w:rsidRDefault="00D54CA1" w:rsidP="005E45E0">
            <w:pPr>
              <w:tabs>
                <w:tab w:val="left" w:pos="851"/>
              </w:tabs>
              <w:rPr>
                <w:sz w:val="24"/>
                <w:szCs w:val="24"/>
              </w:rPr>
            </w:pPr>
            <w:r w:rsidRPr="00B751FD">
              <w:rPr>
                <w:sz w:val="24"/>
                <w:szCs w:val="24"/>
              </w:rPr>
              <w:t xml:space="preserve">Apnø*, dyspnø* </w:t>
            </w:r>
          </w:p>
          <w:p w:rsidR="00D54CA1" w:rsidRPr="00B751FD" w:rsidRDefault="00D54CA1" w:rsidP="005E45E0">
            <w:pPr>
              <w:tabs>
                <w:tab w:val="left" w:pos="851"/>
              </w:tabs>
              <w:rPr>
                <w:sz w:val="24"/>
                <w:szCs w:val="24"/>
              </w:rPr>
            </w:pPr>
          </w:p>
          <w:p w:rsidR="00D54CA1" w:rsidRPr="00B751FD" w:rsidRDefault="00D54CA1" w:rsidP="005E45E0">
            <w:pPr>
              <w:tabs>
                <w:tab w:val="left" w:pos="851"/>
              </w:tabs>
              <w:rPr>
                <w:sz w:val="24"/>
                <w:szCs w:val="24"/>
              </w:rPr>
            </w:pPr>
            <w:r w:rsidRPr="00B751FD">
              <w:rPr>
                <w:sz w:val="24"/>
                <w:szCs w:val="24"/>
              </w:rPr>
              <w:t>Ikke kendt:</w:t>
            </w:r>
          </w:p>
          <w:p w:rsidR="00D54CA1" w:rsidRPr="00B751FD" w:rsidRDefault="00D54CA1" w:rsidP="005E45E0">
            <w:pPr>
              <w:tabs>
                <w:tab w:val="left" w:pos="851"/>
              </w:tabs>
              <w:rPr>
                <w:sz w:val="24"/>
                <w:szCs w:val="24"/>
              </w:rPr>
            </w:pPr>
            <w:proofErr w:type="spellStart"/>
            <w:r w:rsidRPr="00B751FD">
              <w:rPr>
                <w:sz w:val="24"/>
                <w:szCs w:val="24"/>
              </w:rPr>
              <w:t>Laryngospasme</w:t>
            </w:r>
            <w:proofErr w:type="spellEnd"/>
            <w:r w:rsidRPr="00B751FD">
              <w:rPr>
                <w:sz w:val="24"/>
                <w:szCs w:val="24"/>
              </w:rPr>
              <w:t>*, respirationsstop*</w:t>
            </w:r>
          </w:p>
        </w:tc>
      </w:tr>
      <w:tr w:rsidR="00D54CA1" w:rsidRPr="00B751FD" w:rsidTr="005E45E0">
        <w:trPr>
          <w:cantSplit/>
        </w:trPr>
        <w:tc>
          <w:tcPr>
            <w:tcW w:w="1774" w:type="pct"/>
            <w:tcBorders>
              <w:top w:val="single" w:sz="4" w:space="0" w:color="auto"/>
              <w:left w:val="single" w:sz="4" w:space="0" w:color="auto"/>
              <w:bottom w:val="single" w:sz="4" w:space="0" w:color="auto"/>
              <w:right w:val="single" w:sz="4" w:space="0" w:color="auto"/>
            </w:tcBorders>
            <w:hideMark/>
          </w:tcPr>
          <w:p w:rsidR="00D54CA1" w:rsidRPr="00B751FD" w:rsidRDefault="00D54CA1" w:rsidP="005E45E0">
            <w:pPr>
              <w:tabs>
                <w:tab w:val="left" w:pos="851"/>
              </w:tabs>
              <w:rPr>
                <w:sz w:val="24"/>
                <w:szCs w:val="24"/>
              </w:rPr>
            </w:pPr>
            <w:r w:rsidRPr="00B751FD">
              <w:rPr>
                <w:sz w:val="24"/>
                <w:szCs w:val="24"/>
              </w:rPr>
              <w:t>Mave-tarm-kanalen</w:t>
            </w:r>
          </w:p>
        </w:tc>
        <w:tc>
          <w:tcPr>
            <w:tcW w:w="3226" w:type="pct"/>
            <w:tcBorders>
              <w:top w:val="single" w:sz="4" w:space="0" w:color="auto"/>
              <w:left w:val="single" w:sz="4" w:space="0" w:color="auto"/>
              <w:bottom w:val="single" w:sz="4" w:space="0" w:color="auto"/>
              <w:right w:val="single" w:sz="4" w:space="0" w:color="auto"/>
            </w:tcBorders>
          </w:tcPr>
          <w:p w:rsidR="00D54CA1" w:rsidRPr="00B751FD" w:rsidRDefault="00D54CA1" w:rsidP="005E45E0">
            <w:pPr>
              <w:tabs>
                <w:tab w:val="left" w:pos="851"/>
              </w:tabs>
              <w:rPr>
                <w:sz w:val="24"/>
                <w:szCs w:val="24"/>
              </w:rPr>
            </w:pPr>
            <w:r w:rsidRPr="00B751FD">
              <w:rPr>
                <w:sz w:val="24"/>
                <w:szCs w:val="24"/>
              </w:rPr>
              <w:t>Almindelig:</w:t>
            </w:r>
          </w:p>
          <w:p w:rsidR="00D54CA1" w:rsidRPr="00B751FD" w:rsidRDefault="00D54CA1" w:rsidP="005E45E0">
            <w:pPr>
              <w:tabs>
                <w:tab w:val="left" w:pos="851"/>
              </w:tabs>
              <w:rPr>
                <w:sz w:val="24"/>
                <w:szCs w:val="24"/>
              </w:rPr>
            </w:pPr>
            <w:r w:rsidRPr="00B751FD">
              <w:rPr>
                <w:sz w:val="24"/>
                <w:szCs w:val="24"/>
              </w:rPr>
              <w:t>Kvalme og opkastning</w:t>
            </w:r>
          </w:p>
          <w:p w:rsidR="00D54CA1" w:rsidRPr="00B751FD" w:rsidRDefault="00D54CA1" w:rsidP="005E45E0">
            <w:pPr>
              <w:tabs>
                <w:tab w:val="left" w:pos="851"/>
              </w:tabs>
              <w:rPr>
                <w:sz w:val="24"/>
                <w:szCs w:val="24"/>
              </w:rPr>
            </w:pPr>
          </w:p>
          <w:p w:rsidR="00D54CA1" w:rsidRPr="00B751FD" w:rsidRDefault="00D54CA1" w:rsidP="005E45E0">
            <w:pPr>
              <w:tabs>
                <w:tab w:val="left" w:pos="851"/>
              </w:tabs>
              <w:rPr>
                <w:sz w:val="24"/>
                <w:szCs w:val="24"/>
              </w:rPr>
            </w:pPr>
            <w:r w:rsidRPr="00B751FD">
              <w:rPr>
                <w:sz w:val="24"/>
                <w:szCs w:val="24"/>
              </w:rPr>
              <w:t>Meget sjælden:</w:t>
            </w:r>
          </w:p>
          <w:p w:rsidR="00D54CA1" w:rsidRPr="00B751FD" w:rsidRDefault="00D54CA1" w:rsidP="005E45E0">
            <w:pPr>
              <w:tabs>
                <w:tab w:val="left" w:pos="851"/>
              </w:tabs>
              <w:rPr>
                <w:sz w:val="24"/>
                <w:szCs w:val="24"/>
              </w:rPr>
            </w:pPr>
            <w:r w:rsidRPr="00B751FD">
              <w:rPr>
                <w:sz w:val="24"/>
                <w:szCs w:val="24"/>
              </w:rPr>
              <w:t>Forstoppelse*, mundtørhed*</w:t>
            </w:r>
          </w:p>
        </w:tc>
      </w:tr>
      <w:tr w:rsidR="00D54CA1" w:rsidRPr="00B751FD" w:rsidTr="005E45E0">
        <w:trPr>
          <w:cantSplit/>
        </w:trPr>
        <w:tc>
          <w:tcPr>
            <w:tcW w:w="1774" w:type="pct"/>
            <w:tcBorders>
              <w:top w:val="single" w:sz="4" w:space="0" w:color="auto"/>
              <w:left w:val="single" w:sz="4" w:space="0" w:color="auto"/>
              <w:bottom w:val="single" w:sz="4" w:space="0" w:color="auto"/>
              <w:right w:val="single" w:sz="4" w:space="0" w:color="auto"/>
            </w:tcBorders>
            <w:hideMark/>
          </w:tcPr>
          <w:p w:rsidR="00D54CA1" w:rsidRPr="00B751FD" w:rsidRDefault="00D54CA1" w:rsidP="005E45E0">
            <w:pPr>
              <w:tabs>
                <w:tab w:val="left" w:pos="851"/>
              </w:tabs>
              <w:rPr>
                <w:sz w:val="24"/>
                <w:szCs w:val="24"/>
              </w:rPr>
            </w:pPr>
            <w:r w:rsidRPr="00B751FD">
              <w:rPr>
                <w:sz w:val="24"/>
                <w:szCs w:val="24"/>
              </w:rPr>
              <w:t>Hud og subkutane væv</w:t>
            </w:r>
          </w:p>
        </w:tc>
        <w:tc>
          <w:tcPr>
            <w:tcW w:w="3226" w:type="pct"/>
            <w:tcBorders>
              <w:top w:val="single" w:sz="4" w:space="0" w:color="auto"/>
              <w:left w:val="single" w:sz="4" w:space="0" w:color="auto"/>
              <w:bottom w:val="single" w:sz="4" w:space="0" w:color="auto"/>
              <w:right w:val="single" w:sz="4" w:space="0" w:color="auto"/>
            </w:tcBorders>
            <w:hideMark/>
          </w:tcPr>
          <w:p w:rsidR="00D54CA1" w:rsidRPr="00B751FD" w:rsidRDefault="00D54CA1" w:rsidP="005E45E0">
            <w:pPr>
              <w:tabs>
                <w:tab w:val="left" w:pos="851"/>
              </w:tabs>
              <w:rPr>
                <w:sz w:val="24"/>
                <w:szCs w:val="24"/>
              </w:rPr>
            </w:pPr>
            <w:r w:rsidRPr="00B751FD">
              <w:rPr>
                <w:sz w:val="24"/>
                <w:szCs w:val="24"/>
              </w:rPr>
              <w:t>Ikke almindelig:</w:t>
            </w:r>
          </w:p>
          <w:p w:rsidR="00D54CA1" w:rsidRPr="00B751FD" w:rsidRDefault="00D54CA1" w:rsidP="005E45E0">
            <w:pPr>
              <w:tabs>
                <w:tab w:val="left" w:pos="851"/>
              </w:tabs>
              <w:rPr>
                <w:sz w:val="24"/>
                <w:szCs w:val="24"/>
              </w:rPr>
            </w:pPr>
            <w:r w:rsidRPr="00B751FD">
              <w:rPr>
                <w:sz w:val="24"/>
                <w:szCs w:val="24"/>
              </w:rPr>
              <w:t xml:space="preserve">Kløe, udslæt og </w:t>
            </w:r>
            <w:proofErr w:type="spellStart"/>
            <w:r w:rsidRPr="00B751FD">
              <w:rPr>
                <w:sz w:val="24"/>
                <w:szCs w:val="24"/>
              </w:rPr>
              <w:t>urticaria</w:t>
            </w:r>
            <w:proofErr w:type="spellEnd"/>
          </w:p>
          <w:p w:rsidR="00D54CA1" w:rsidRPr="00B751FD" w:rsidRDefault="00D54CA1" w:rsidP="005E45E0">
            <w:pPr>
              <w:tabs>
                <w:tab w:val="left" w:pos="851"/>
              </w:tabs>
              <w:rPr>
                <w:sz w:val="24"/>
                <w:szCs w:val="24"/>
              </w:rPr>
            </w:pPr>
          </w:p>
          <w:p w:rsidR="00D54CA1" w:rsidRPr="00B751FD" w:rsidRDefault="00D54CA1" w:rsidP="005E45E0">
            <w:pPr>
              <w:tabs>
                <w:tab w:val="left" w:pos="851"/>
              </w:tabs>
              <w:rPr>
                <w:sz w:val="24"/>
                <w:szCs w:val="24"/>
              </w:rPr>
            </w:pPr>
            <w:r w:rsidRPr="00B751FD">
              <w:rPr>
                <w:sz w:val="24"/>
                <w:szCs w:val="24"/>
              </w:rPr>
              <w:t>Ikke kendt:</w:t>
            </w:r>
          </w:p>
          <w:p w:rsidR="00D54CA1" w:rsidRPr="00B751FD" w:rsidRDefault="00D54CA1" w:rsidP="005E45E0">
            <w:pPr>
              <w:tabs>
                <w:tab w:val="left" w:pos="851"/>
              </w:tabs>
              <w:rPr>
                <w:sz w:val="24"/>
                <w:szCs w:val="24"/>
              </w:rPr>
            </w:pPr>
            <w:proofErr w:type="spellStart"/>
            <w:r w:rsidRPr="00B751FD">
              <w:rPr>
                <w:sz w:val="24"/>
                <w:szCs w:val="24"/>
              </w:rPr>
              <w:t>Angioødem</w:t>
            </w:r>
            <w:proofErr w:type="spellEnd"/>
            <w:r w:rsidRPr="00B751FD">
              <w:rPr>
                <w:sz w:val="24"/>
                <w:szCs w:val="24"/>
              </w:rPr>
              <w:t>**</w:t>
            </w:r>
          </w:p>
        </w:tc>
      </w:tr>
      <w:tr w:rsidR="00D54CA1" w:rsidRPr="00B751FD" w:rsidTr="005E45E0">
        <w:trPr>
          <w:cantSplit/>
        </w:trPr>
        <w:tc>
          <w:tcPr>
            <w:tcW w:w="1774" w:type="pct"/>
            <w:tcBorders>
              <w:top w:val="single" w:sz="4" w:space="0" w:color="auto"/>
              <w:left w:val="single" w:sz="4" w:space="0" w:color="auto"/>
              <w:bottom w:val="single" w:sz="4" w:space="0" w:color="auto"/>
              <w:right w:val="single" w:sz="4" w:space="0" w:color="auto"/>
            </w:tcBorders>
            <w:hideMark/>
          </w:tcPr>
          <w:p w:rsidR="00D54CA1" w:rsidRPr="00B751FD" w:rsidRDefault="00D54CA1" w:rsidP="005E45E0">
            <w:pPr>
              <w:tabs>
                <w:tab w:val="left" w:pos="851"/>
              </w:tabs>
              <w:rPr>
                <w:sz w:val="24"/>
                <w:szCs w:val="24"/>
              </w:rPr>
            </w:pPr>
            <w:r w:rsidRPr="00B751FD">
              <w:rPr>
                <w:sz w:val="24"/>
                <w:szCs w:val="24"/>
              </w:rPr>
              <w:t>Almene symptomer og reaktioner på administrationsstedet</w:t>
            </w:r>
          </w:p>
        </w:tc>
        <w:tc>
          <w:tcPr>
            <w:tcW w:w="3226" w:type="pct"/>
            <w:tcBorders>
              <w:top w:val="single" w:sz="4" w:space="0" w:color="auto"/>
              <w:left w:val="single" w:sz="4" w:space="0" w:color="auto"/>
              <w:bottom w:val="single" w:sz="4" w:space="0" w:color="auto"/>
              <w:right w:val="single" w:sz="4" w:space="0" w:color="auto"/>
            </w:tcBorders>
          </w:tcPr>
          <w:p w:rsidR="00D54CA1" w:rsidRPr="00B751FD" w:rsidRDefault="00D54CA1" w:rsidP="005E45E0">
            <w:pPr>
              <w:tabs>
                <w:tab w:val="left" w:pos="851"/>
              </w:tabs>
              <w:rPr>
                <w:sz w:val="24"/>
                <w:szCs w:val="24"/>
              </w:rPr>
            </w:pPr>
            <w:r w:rsidRPr="00B751FD">
              <w:rPr>
                <w:sz w:val="24"/>
                <w:szCs w:val="24"/>
              </w:rPr>
              <w:t>Almindelig:</w:t>
            </w:r>
          </w:p>
          <w:p w:rsidR="00D54CA1" w:rsidRPr="00B751FD" w:rsidRDefault="00D54CA1" w:rsidP="005E45E0">
            <w:pPr>
              <w:tabs>
                <w:tab w:val="left" w:pos="851"/>
              </w:tabs>
              <w:rPr>
                <w:sz w:val="24"/>
                <w:szCs w:val="24"/>
              </w:rPr>
            </w:pPr>
            <w:r w:rsidRPr="00B751FD">
              <w:rPr>
                <w:sz w:val="24"/>
                <w:szCs w:val="24"/>
              </w:rPr>
              <w:t>Træthed*</w:t>
            </w:r>
          </w:p>
          <w:p w:rsidR="00D54CA1" w:rsidRPr="00B751FD" w:rsidRDefault="00D54CA1" w:rsidP="005E45E0">
            <w:pPr>
              <w:tabs>
                <w:tab w:val="left" w:pos="851"/>
              </w:tabs>
              <w:rPr>
                <w:sz w:val="24"/>
                <w:szCs w:val="24"/>
              </w:rPr>
            </w:pPr>
          </w:p>
          <w:p w:rsidR="00D54CA1" w:rsidRPr="00B751FD" w:rsidRDefault="00D54CA1" w:rsidP="005E45E0">
            <w:pPr>
              <w:tabs>
                <w:tab w:val="left" w:pos="851"/>
              </w:tabs>
              <w:rPr>
                <w:sz w:val="24"/>
                <w:szCs w:val="24"/>
              </w:rPr>
            </w:pPr>
            <w:r w:rsidRPr="00B751FD">
              <w:rPr>
                <w:sz w:val="24"/>
                <w:szCs w:val="24"/>
              </w:rPr>
              <w:t>Meget sjælden:</w:t>
            </w:r>
          </w:p>
          <w:p w:rsidR="00D54CA1" w:rsidRPr="00B751FD" w:rsidRDefault="00D54CA1" w:rsidP="005E45E0">
            <w:pPr>
              <w:tabs>
                <w:tab w:val="left" w:pos="851"/>
              </w:tabs>
              <w:rPr>
                <w:sz w:val="24"/>
                <w:szCs w:val="24"/>
              </w:rPr>
            </w:pPr>
            <w:r w:rsidRPr="00B751FD">
              <w:rPr>
                <w:sz w:val="24"/>
                <w:szCs w:val="24"/>
              </w:rPr>
              <w:t>Hikke*</w:t>
            </w:r>
          </w:p>
        </w:tc>
      </w:tr>
      <w:tr w:rsidR="00006FCB" w:rsidRPr="00B751FD" w:rsidTr="005E45E0">
        <w:trPr>
          <w:cantSplit/>
        </w:trPr>
        <w:tc>
          <w:tcPr>
            <w:tcW w:w="1774" w:type="pct"/>
            <w:tcBorders>
              <w:top w:val="single" w:sz="4" w:space="0" w:color="auto"/>
              <w:left w:val="single" w:sz="4" w:space="0" w:color="auto"/>
              <w:bottom w:val="single" w:sz="4" w:space="0" w:color="auto"/>
              <w:right w:val="single" w:sz="4" w:space="0" w:color="auto"/>
            </w:tcBorders>
          </w:tcPr>
          <w:p w:rsidR="00006FCB" w:rsidRPr="00B751FD" w:rsidRDefault="00006FCB" w:rsidP="005E45E0">
            <w:pPr>
              <w:tabs>
                <w:tab w:val="left" w:pos="851"/>
              </w:tabs>
              <w:rPr>
                <w:sz w:val="24"/>
                <w:szCs w:val="24"/>
              </w:rPr>
            </w:pPr>
            <w:r>
              <w:rPr>
                <w:sz w:val="24"/>
                <w:szCs w:val="24"/>
              </w:rPr>
              <w:t>Immunsystemet</w:t>
            </w:r>
          </w:p>
        </w:tc>
        <w:tc>
          <w:tcPr>
            <w:tcW w:w="3226" w:type="pct"/>
            <w:tcBorders>
              <w:top w:val="single" w:sz="4" w:space="0" w:color="auto"/>
              <w:left w:val="single" w:sz="4" w:space="0" w:color="auto"/>
              <w:bottom w:val="single" w:sz="4" w:space="0" w:color="auto"/>
              <w:right w:val="single" w:sz="4" w:space="0" w:color="auto"/>
            </w:tcBorders>
          </w:tcPr>
          <w:p w:rsidR="00006FCB" w:rsidRDefault="00006FCB" w:rsidP="00006FCB">
            <w:pPr>
              <w:tabs>
                <w:tab w:val="left" w:pos="851"/>
              </w:tabs>
              <w:rPr>
                <w:sz w:val="24"/>
                <w:szCs w:val="24"/>
              </w:rPr>
            </w:pPr>
            <w:r>
              <w:rPr>
                <w:sz w:val="24"/>
                <w:szCs w:val="24"/>
              </w:rPr>
              <w:t xml:space="preserve">Ikke kendt: </w:t>
            </w:r>
          </w:p>
          <w:p w:rsidR="00006FCB" w:rsidRPr="00B751FD" w:rsidRDefault="00006FCB" w:rsidP="00006FCB">
            <w:pPr>
              <w:tabs>
                <w:tab w:val="left" w:pos="851"/>
              </w:tabs>
              <w:rPr>
                <w:sz w:val="24"/>
                <w:szCs w:val="24"/>
              </w:rPr>
            </w:pPr>
            <w:proofErr w:type="spellStart"/>
            <w:r>
              <w:rPr>
                <w:sz w:val="24"/>
                <w:szCs w:val="24"/>
              </w:rPr>
              <w:t>Anafylaktisk</w:t>
            </w:r>
            <w:proofErr w:type="spellEnd"/>
            <w:r>
              <w:rPr>
                <w:sz w:val="24"/>
                <w:szCs w:val="24"/>
              </w:rPr>
              <w:t xml:space="preserve"> reaktion*</w:t>
            </w:r>
          </w:p>
        </w:tc>
      </w:tr>
    </w:tbl>
    <w:p w:rsidR="00D54CA1" w:rsidRPr="00B751FD" w:rsidRDefault="00D54CA1" w:rsidP="00D54CA1">
      <w:pPr>
        <w:tabs>
          <w:tab w:val="left" w:pos="1276"/>
        </w:tabs>
        <w:ind w:left="1271" w:hanging="420"/>
        <w:rPr>
          <w:sz w:val="24"/>
          <w:szCs w:val="24"/>
        </w:rPr>
      </w:pPr>
      <w:r w:rsidRPr="00B751FD">
        <w:rPr>
          <w:sz w:val="24"/>
          <w:szCs w:val="24"/>
        </w:rPr>
        <w:t>*</w:t>
      </w:r>
      <w:r w:rsidRPr="00B751FD">
        <w:rPr>
          <w:sz w:val="24"/>
          <w:szCs w:val="24"/>
        </w:rPr>
        <w:tab/>
        <w:t xml:space="preserve">Disse bivirkninger er rapporteret ved injektion af </w:t>
      </w:r>
      <w:proofErr w:type="spellStart"/>
      <w:r w:rsidRPr="00B751FD">
        <w:rPr>
          <w:sz w:val="24"/>
          <w:szCs w:val="24"/>
        </w:rPr>
        <w:t>midazolam</w:t>
      </w:r>
      <w:proofErr w:type="spellEnd"/>
      <w:r w:rsidRPr="00B751FD">
        <w:rPr>
          <w:sz w:val="24"/>
          <w:szCs w:val="24"/>
        </w:rPr>
        <w:t xml:space="preserve"> hos børn og/eller voksne, hvilket kan være relevant for indgivelse via mundhulen.</w:t>
      </w:r>
    </w:p>
    <w:p w:rsidR="00D54CA1" w:rsidRPr="00B751FD" w:rsidRDefault="00D54CA1" w:rsidP="00D54CA1">
      <w:pPr>
        <w:tabs>
          <w:tab w:val="left" w:pos="1276"/>
        </w:tabs>
        <w:ind w:left="851"/>
        <w:rPr>
          <w:sz w:val="24"/>
          <w:szCs w:val="24"/>
        </w:rPr>
      </w:pPr>
      <w:r w:rsidRPr="00B751FD">
        <w:rPr>
          <w:sz w:val="24"/>
          <w:szCs w:val="24"/>
        </w:rPr>
        <w:t>**</w:t>
      </w:r>
      <w:r w:rsidRPr="00B751FD">
        <w:rPr>
          <w:sz w:val="24"/>
          <w:szCs w:val="24"/>
        </w:rPr>
        <w:tab/>
        <w:t>Bivirkninger identificeret efter markedsføring.</w:t>
      </w:r>
    </w:p>
    <w:p w:rsidR="007F6AE5" w:rsidRDefault="007F6AE5">
      <w:pPr>
        <w:rPr>
          <w:sz w:val="24"/>
          <w:szCs w:val="24"/>
        </w:rPr>
      </w:pPr>
      <w:r>
        <w:rPr>
          <w:sz w:val="24"/>
          <w:szCs w:val="24"/>
        </w:rPr>
        <w:br w:type="page"/>
      </w:r>
    </w:p>
    <w:p w:rsidR="00D54CA1" w:rsidRPr="00B751FD" w:rsidRDefault="00D54CA1" w:rsidP="00D54CA1">
      <w:pPr>
        <w:tabs>
          <w:tab w:val="left" w:pos="851"/>
        </w:tabs>
        <w:ind w:left="851"/>
        <w:rPr>
          <w:sz w:val="24"/>
          <w:szCs w:val="24"/>
        </w:rPr>
      </w:pPr>
    </w:p>
    <w:p w:rsidR="00D54CA1" w:rsidRPr="00B751FD" w:rsidRDefault="00D54CA1" w:rsidP="00D54CA1">
      <w:pPr>
        <w:tabs>
          <w:tab w:val="left" w:pos="851"/>
        </w:tabs>
        <w:ind w:left="851"/>
        <w:rPr>
          <w:iCs/>
          <w:sz w:val="24"/>
          <w:szCs w:val="24"/>
          <w:u w:val="single"/>
        </w:rPr>
      </w:pPr>
      <w:r w:rsidRPr="00B751FD">
        <w:rPr>
          <w:iCs/>
          <w:sz w:val="24"/>
          <w:szCs w:val="24"/>
          <w:u w:val="single"/>
        </w:rPr>
        <w:t>Beskrivelse af udvalgte bivirkninger</w:t>
      </w:r>
    </w:p>
    <w:p w:rsidR="00D54CA1" w:rsidRPr="00B751FD" w:rsidRDefault="00D54CA1" w:rsidP="00D54CA1">
      <w:pPr>
        <w:tabs>
          <w:tab w:val="left" w:pos="851"/>
        </w:tabs>
        <w:ind w:left="851"/>
        <w:rPr>
          <w:sz w:val="24"/>
          <w:szCs w:val="24"/>
        </w:rPr>
      </w:pPr>
    </w:p>
    <w:p w:rsidR="00D54CA1" w:rsidRPr="00B751FD" w:rsidRDefault="00D54CA1" w:rsidP="00D54CA1">
      <w:pPr>
        <w:tabs>
          <w:tab w:val="left" w:pos="851"/>
        </w:tabs>
        <w:ind w:left="851"/>
        <w:rPr>
          <w:sz w:val="24"/>
          <w:szCs w:val="24"/>
        </w:rPr>
      </w:pPr>
      <w:r w:rsidRPr="00B751FD">
        <w:rPr>
          <w:sz w:val="24"/>
          <w:szCs w:val="24"/>
        </w:rPr>
        <w:t xml:space="preserve">Der har været indberetninger om fald og frakturer hos benzodiazepin-brugere. Risikoen for fald og frakturer er øget hos dem, som samtidig tager </w:t>
      </w:r>
      <w:proofErr w:type="spellStart"/>
      <w:r w:rsidRPr="00B751FD">
        <w:rPr>
          <w:sz w:val="24"/>
          <w:szCs w:val="24"/>
        </w:rPr>
        <w:t>sedativa</w:t>
      </w:r>
      <w:proofErr w:type="spellEnd"/>
      <w:r w:rsidRPr="00B751FD">
        <w:rPr>
          <w:sz w:val="24"/>
          <w:szCs w:val="24"/>
        </w:rPr>
        <w:t xml:space="preserve"> (inklusive alkoholiske drikkevarer) og hos de ældre.</w:t>
      </w:r>
    </w:p>
    <w:p w:rsidR="00D54CA1" w:rsidRPr="00B751FD" w:rsidRDefault="00D54CA1" w:rsidP="00D54CA1">
      <w:pPr>
        <w:tabs>
          <w:tab w:val="left" w:pos="851"/>
        </w:tabs>
        <w:ind w:left="851"/>
        <w:rPr>
          <w:sz w:val="24"/>
          <w:szCs w:val="24"/>
        </w:rPr>
      </w:pPr>
      <w:r w:rsidRPr="00B751FD">
        <w:rPr>
          <w:sz w:val="24"/>
          <w:szCs w:val="24"/>
        </w:rPr>
        <w:t>Livstruende bivirkninger har større tendens til at forekomme hos patienter med eksisterende respirationsinsufficiens eller nedsat hjertefunktion, især når der indgives en høj dosis (se pkt. 4.4).</w:t>
      </w:r>
    </w:p>
    <w:p w:rsidR="00D54CA1" w:rsidRPr="00B751FD" w:rsidRDefault="00D54CA1" w:rsidP="00D54CA1">
      <w:pPr>
        <w:tabs>
          <w:tab w:val="left" w:pos="851"/>
        </w:tabs>
        <w:ind w:left="851"/>
        <w:rPr>
          <w:iCs/>
          <w:sz w:val="24"/>
          <w:szCs w:val="24"/>
          <w:u w:val="single"/>
        </w:rPr>
      </w:pPr>
    </w:p>
    <w:p w:rsidR="00D54CA1" w:rsidRPr="00B751FD" w:rsidRDefault="00D54CA1" w:rsidP="00D54CA1">
      <w:pPr>
        <w:tabs>
          <w:tab w:val="left" w:pos="851"/>
        </w:tabs>
        <w:ind w:left="851"/>
        <w:rPr>
          <w:iCs/>
          <w:sz w:val="24"/>
          <w:szCs w:val="24"/>
          <w:u w:val="single"/>
        </w:rPr>
      </w:pPr>
      <w:r w:rsidRPr="00B751FD">
        <w:rPr>
          <w:iCs/>
          <w:sz w:val="24"/>
          <w:szCs w:val="24"/>
          <w:u w:val="single"/>
        </w:rPr>
        <w:t>Indberetning af formodede bivirkninger</w:t>
      </w:r>
    </w:p>
    <w:p w:rsidR="00D54CA1" w:rsidRPr="00B751FD" w:rsidRDefault="00D54CA1" w:rsidP="00D54CA1">
      <w:pPr>
        <w:tabs>
          <w:tab w:val="left" w:pos="851"/>
        </w:tabs>
        <w:ind w:left="851"/>
        <w:rPr>
          <w:sz w:val="24"/>
          <w:szCs w:val="24"/>
        </w:rPr>
      </w:pPr>
      <w:r w:rsidRPr="00B751FD">
        <w:rPr>
          <w:sz w:val="24"/>
          <w:szCs w:val="24"/>
        </w:rPr>
        <w:t>Når lægemidlet er godkendt, er indberetning af formodede bivirkninger vigtig. Det muliggør løbende overvågning af benefit/</w:t>
      </w:r>
      <w:proofErr w:type="spellStart"/>
      <w:r w:rsidRPr="00B751FD">
        <w:rPr>
          <w:sz w:val="24"/>
          <w:szCs w:val="24"/>
        </w:rPr>
        <w:t>risk</w:t>
      </w:r>
      <w:proofErr w:type="spellEnd"/>
      <w:r w:rsidRPr="00B751FD">
        <w:rPr>
          <w:sz w:val="24"/>
          <w:szCs w:val="24"/>
        </w:rPr>
        <w:t xml:space="preserve">-forholdet for lægemidlet. Sundhedspersoner anmodes om at indberette alle formodede bivirkninger via </w:t>
      </w:r>
      <w:r w:rsidRPr="00B751FD">
        <w:rPr>
          <w:sz w:val="24"/>
          <w:szCs w:val="24"/>
        </w:rPr>
        <w:br/>
      </w:r>
    </w:p>
    <w:p w:rsidR="00D54CA1" w:rsidRPr="00B751FD" w:rsidRDefault="00D54CA1" w:rsidP="00D54CA1">
      <w:pPr>
        <w:tabs>
          <w:tab w:val="left" w:pos="851"/>
        </w:tabs>
        <w:ind w:left="851"/>
        <w:rPr>
          <w:sz w:val="24"/>
          <w:szCs w:val="24"/>
        </w:rPr>
      </w:pPr>
      <w:r w:rsidRPr="00B751FD">
        <w:rPr>
          <w:sz w:val="24"/>
          <w:szCs w:val="24"/>
        </w:rPr>
        <w:t>Lægemiddelstyrelsen</w:t>
      </w:r>
    </w:p>
    <w:p w:rsidR="00D54CA1" w:rsidRPr="00B751FD" w:rsidRDefault="00D54CA1" w:rsidP="00D54CA1">
      <w:pPr>
        <w:tabs>
          <w:tab w:val="left" w:pos="851"/>
        </w:tabs>
        <w:ind w:left="851"/>
        <w:rPr>
          <w:sz w:val="24"/>
          <w:szCs w:val="24"/>
        </w:rPr>
      </w:pPr>
      <w:r w:rsidRPr="00B751FD">
        <w:rPr>
          <w:sz w:val="24"/>
          <w:szCs w:val="24"/>
        </w:rPr>
        <w:t>Axel Heides Gade 1</w:t>
      </w:r>
    </w:p>
    <w:p w:rsidR="00D54CA1" w:rsidRPr="00B751FD" w:rsidRDefault="00D54CA1" w:rsidP="00D54CA1">
      <w:pPr>
        <w:tabs>
          <w:tab w:val="left" w:pos="851"/>
        </w:tabs>
        <w:ind w:left="851"/>
        <w:rPr>
          <w:sz w:val="24"/>
          <w:szCs w:val="24"/>
        </w:rPr>
      </w:pPr>
      <w:r w:rsidRPr="00B751FD">
        <w:rPr>
          <w:sz w:val="24"/>
          <w:szCs w:val="24"/>
        </w:rPr>
        <w:t>DK-2300 København S</w:t>
      </w:r>
    </w:p>
    <w:p w:rsidR="00D54CA1" w:rsidRDefault="00D54CA1" w:rsidP="00D54CA1">
      <w:pPr>
        <w:tabs>
          <w:tab w:val="left" w:pos="851"/>
        </w:tabs>
        <w:ind w:left="851"/>
        <w:rPr>
          <w:rStyle w:val="Hyperlink"/>
          <w:sz w:val="24"/>
          <w:szCs w:val="24"/>
        </w:rPr>
      </w:pPr>
      <w:r w:rsidRPr="00B751FD">
        <w:rPr>
          <w:sz w:val="24"/>
          <w:szCs w:val="24"/>
        </w:rPr>
        <w:t xml:space="preserve">Websted: </w:t>
      </w:r>
      <w:hyperlink r:id="rId8" w:history="1">
        <w:r w:rsidRPr="00B751FD">
          <w:rPr>
            <w:rStyle w:val="Hyperlink"/>
            <w:sz w:val="24"/>
            <w:szCs w:val="24"/>
          </w:rPr>
          <w:t>www.meldenbivirkning.dk</w:t>
        </w:r>
      </w:hyperlink>
    </w:p>
    <w:p w:rsidR="00CB14E4" w:rsidRPr="00B751FD" w:rsidRDefault="00CB14E4" w:rsidP="00D54CA1">
      <w:pPr>
        <w:tabs>
          <w:tab w:val="left" w:pos="851"/>
        </w:tabs>
        <w:ind w:left="851"/>
        <w:rPr>
          <w:sz w:val="24"/>
          <w:szCs w:val="24"/>
        </w:rPr>
      </w:pPr>
    </w:p>
    <w:p w:rsidR="00AE09FE" w:rsidRPr="00B751FD" w:rsidRDefault="00AE09FE" w:rsidP="00AE09FE">
      <w:pPr>
        <w:tabs>
          <w:tab w:val="left" w:pos="851"/>
        </w:tabs>
        <w:ind w:left="851" w:hanging="851"/>
        <w:rPr>
          <w:b/>
          <w:sz w:val="24"/>
          <w:szCs w:val="24"/>
        </w:rPr>
      </w:pPr>
      <w:r w:rsidRPr="00B751FD">
        <w:rPr>
          <w:b/>
          <w:sz w:val="24"/>
          <w:szCs w:val="24"/>
        </w:rPr>
        <w:t>4.9</w:t>
      </w:r>
      <w:r w:rsidRPr="00B751FD">
        <w:rPr>
          <w:b/>
          <w:sz w:val="24"/>
          <w:szCs w:val="24"/>
        </w:rPr>
        <w:tab/>
        <w:t>Overdosering</w:t>
      </w:r>
    </w:p>
    <w:p w:rsidR="00D54CA1" w:rsidRPr="00B751FD" w:rsidRDefault="00D54CA1" w:rsidP="00D54CA1">
      <w:pPr>
        <w:tabs>
          <w:tab w:val="left" w:pos="851"/>
        </w:tabs>
        <w:ind w:left="851"/>
        <w:rPr>
          <w:iCs/>
          <w:sz w:val="24"/>
          <w:szCs w:val="24"/>
          <w:lang w:eastAsia="da-DK"/>
        </w:rPr>
      </w:pPr>
      <w:r w:rsidRPr="00B751FD">
        <w:rPr>
          <w:sz w:val="24"/>
          <w:szCs w:val="24"/>
        </w:rPr>
        <w:t xml:space="preserve">En overdosis af </w:t>
      </w:r>
      <w:proofErr w:type="spellStart"/>
      <w:r w:rsidRPr="00B751FD">
        <w:rPr>
          <w:sz w:val="24"/>
          <w:szCs w:val="24"/>
        </w:rPr>
        <w:t>midazolam</w:t>
      </w:r>
      <w:proofErr w:type="spellEnd"/>
      <w:r w:rsidRPr="00B751FD">
        <w:rPr>
          <w:sz w:val="24"/>
          <w:szCs w:val="24"/>
        </w:rPr>
        <w:t xml:space="preserve"> kan være livstruende, hvis patienten har eksisterende respirations- eller hjerteinsufficiens, eller hvis det kombineres med andre CNS-</w:t>
      </w:r>
      <w:proofErr w:type="spellStart"/>
      <w:r w:rsidRPr="00B751FD">
        <w:rPr>
          <w:sz w:val="24"/>
          <w:szCs w:val="24"/>
        </w:rPr>
        <w:t>depressiva</w:t>
      </w:r>
      <w:proofErr w:type="spellEnd"/>
      <w:r w:rsidRPr="00B751FD">
        <w:rPr>
          <w:sz w:val="24"/>
          <w:szCs w:val="24"/>
        </w:rPr>
        <w:t xml:space="preserve"> (herunder alkohol).</w:t>
      </w:r>
    </w:p>
    <w:p w:rsidR="00D54CA1" w:rsidRPr="00B751FD" w:rsidRDefault="00D54CA1" w:rsidP="00D54CA1">
      <w:pPr>
        <w:tabs>
          <w:tab w:val="left" w:pos="851"/>
        </w:tabs>
        <w:ind w:left="851"/>
        <w:rPr>
          <w:iCs/>
          <w:sz w:val="24"/>
          <w:szCs w:val="24"/>
        </w:rPr>
      </w:pPr>
    </w:p>
    <w:p w:rsidR="00D54CA1" w:rsidRPr="00B751FD" w:rsidRDefault="00D54CA1" w:rsidP="00D54CA1">
      <w:pPr>
        <w:tabs>
          <w:tab w:val="left" w:pos="851"/>
        </w:tabs>
        <w:ind w:left="851"/>
        <w:rPr>
          <w:iCs/>
          <w:sz w:val="24"/>
          <w:szCs w:val="24"/>
          <w:u w:val="single"/>
        </w:rPr>
      </w:pPr>
      <w:r w:rsidRPr="00B751FD">
        <w:rPr>
          <w:iCs/>
          <w:sz w:val="24"/>
          <w:szCs w:val="24"/>
          <w:u w:val="single"/>
        </w:rPr>
        <w:t>Symptomer</w:t>
      </w:r>
    </w:p>
    <w:p w:rsidR="00D54CA1" w:rsidRPr="00B751FD" w:rsidRDefault="00D54CA1" w:rsidP="00D54CA1">
      <w:pPr>
        <w:tabs>
          <w:tab w:val="left" w:pos="851"/>
        </w:tabs>
        <w:ind w:left="851"/>
        <w:rPr>
          <w:iCs/>
          <w:sz w:val="24"/>
          <w:szCs w:val="24"/>
        </w:rPr>
      </w:pPr>
      <w:r w:rsidRPr="00B751FD">
        <w:rPr>
          <w:sz w:val="24"/>
          <w:szCs w:val="24"/>
        </w:rPr>
        <w:t xml:space="preserve">En overdosering af benzodiazepiner manifesterer sig normalt ved forskellige grader af undertrykkelse af centralnervesystemet, der varierer fra døsighed til koma. I milde tilfælde omfatter symptomerne døsighed, mental forvirring og letargi, i mere alvorlige tilfælde kan symptomerne omfatte </w:t>
      </w:r>
      <w:proofErr w:type="spellStart"/>
      <w:r w:rsidRPr="00B751FD">
        <w:rPr>
          <w:sz w:val="24"/>
          <w:szCs w:val="24"/>
        </w:rPr>
        <w:t>ataksi</w:t>
      </w:r>
      <w:proofErr w:type="spellEnd"/>
      <w:r w:rsidRPr="00B751FD">
        <w:rPr>
          <w:sz w:val="24"/>
          <w:szCs w:val="24"/>
        </w:rPr>
        <w:t xml:space="preserve">, </w:t>
      </w:r>
      <w:proofErr w:type="spellStart"/>
      <w:r w:rsidRPr="00B751FD">
        <w:rPr>
          <w:sz w:val="24"/>
          <w:szCs w:val="24"/>
        </w:rPr>
        <w:t>hypotoni</w:t>
      </w:r>
      <w:proofErr w:type="spellEnd"/>
      <w:r w:rsidRPr="00B751FD">
        <w:rPr>
          <w:sz w:val="24"/>
          <w:szCs w:val="24"/>
        </w:rPr>
        <w:t>, hypotension, respirationsdepression, i sjældne tilfælde koma og i meget sjældne tilfælde død.</w:t>
      </w:r>
    </w:p>
    <w:p w:rsidR="00D54CA1" w:rsidRPr="00B751FD" w:rsidRDefault="00D54CA1" w:rsidP="00D54CA1">
      <w:pPr>
        <w:tabs>
          <w:tab w:val="left" w:pos="851"/>
        </w:tabs>
        <w:ind w:left="851"/>
        <w:rPr>
          <w:iCs/>
          <w:sz w:val="24"/>
          <w:szCs w:val="24"/>
        </w:rPr>
      </w:pPr>
    </w:p>
    <w:p w:rsidR="00D54CA1" w:rsidRPr="00B751FD" w:rsidRDefault="00D54CA1" w:rsidP="00D54CA1">
      <w:pPr>
        <w:tabs>
          <w:tab w:val="left" w:pos="851"/>
        </w:tabs>
        <w:ind w:left="851"/>
        <w:rPr>
          <w:iCs/>
          <w:sz w:val="24"/>
          <w:szCs w:val="24"/>
          <w:u w:val="single"/>
        </w:rPr>
      </w:pPr>
      <w:r w:rsidRPr="00B751FD">
        <w:rPr>
          <w:iCs/>
          <w:sz w:val="24"/>
          <w:szCs w:val="24"/>
          <w:u w:val="single"/>
        </w:rPr>
        <w:t>Behandling</w:t>
      </w:r>
    </w:p>
    <w:p w:rsidR="00D54CA1" w:rsidRPr="00B751FD" w:rsidRDefault="00D54CA1" w:rsidP="00D54CA1">
      <w:pPr>
        <w:tabs>
          <w:tab w:val="left" w:pos="851"/>
        </w:tabs>
        <w:ind w:left="851"/>
        <w:rPr>
          <w:iCs/>
          <w:sz w:val="24"/>
          <w:szCs w:val="24"/>
        </w:rPr>
      </w:pPr>
      <w:r w:rsidRPr="00B751FD">
        <w:rPr>
          <w:sz w:val="24"/>
          <w:szCs w:val="24"/>
        </w:rPr>
        <w:t>Ved behandling af en overdosering med alle former for lægemidler skal der tages hensyn til, at der kan være indtaget flere stoffer.</w:t>
      </w:r>
    </w:p>
    <w:p w:rsidR="00D54CA1" w:rsidRPr="00B751FD" w:rsidRDefault="00D54CA1" w:rsidP="00D54CA1">
      <w:pPr>
        <w:tabs>
          <w:tab w:val="left" w:pos="851"/>
        </w:tabs>
        <w:ind w:left="851"/>
        <w:rPr>
          <w:iCs/>
          <w:sz w:val="24"/>
          <w:szCs w:val="24"/>
        </w:rPr>
      </w:pPr>
    </w:p>
    <w:p w:rsidR="00D54CA1" w:rsidRPr="00B751FD" w:rsidRDefault="00D54CA1" w:rsidP="00D54CA1">
      <w:pPr>
        <w:tabs>
          <w:tab w:val="left" w:pos="851"/>
        </w:tabs>
        <w:ind w:left="851"/>
        <w:rPr>
          <w:iCs/>
          <w:sz w:val="24"/>
          <w:szCs w:val="24"/>
        </w:rPr>
      </w:pPr>
      <w:r w:rsidRPr="00B751FD">
        <w:rPr>
          <w:sz w:val="24"/>
          <w:szCs w:val="24"/>
        </w:rPr>
        <w:t xml:space="preserve">Efter overdosering med oralt </w:t>
      </w:r>
      <w:proofErr w:type="spellStart"/>
      <w:r w:rsidRPr="00B751FD">
        <w:rPr>
          <w:sz w:val="24"/>
          <w:szCs w:val="24"/>
        </w:rPr>
        <w:t>midazolam</w:t>
      </w:r>
      <w:proofErr w:type="spellEnd"/>
      <w:r w:rsidRPr="00B751FD">
        <w:rPr>
          <w:sz w:val="24"/>
          <w:szCs w:val="24"/>
        </w:rPr>
        <w:t xml:space="preserve"> skal opkastning fremprovokeres (inden for en time), hvis patienten er ved bevidsthed, eller der skal udføres ventrikelskylning med beskyttelse af luftvejene, hvis patienten ikke er ved bevidsthed. Hvis der ikke er nogen fordel ved at tømme maven, skal der gives aktivt kul for at reducere absorptionen. Der skal tages særligt hensyn til respiratoriske og </w:t>
      </w:r>
      <w:proofErr w:type="spellStart"/>
      <w:r w:rsidRPr="00B751FD">
        <w:rPr>
          <w:sz w:val="24"/>
          <w:szCs w:val="24"/>
        </w:rPr>
        <w:t>kardiovaskulære</w:t>
      </w:r>
      <w:proofErr w:type="spellEnd"/>
      <w:r w:rsidRPr="00B751FD">
        <w:rPr>
          <w:sz w:val="24"/>
          <w:szCs w:val="24"/>
        </w:rPr>
        <w:t xml:space="preserve"> funktioner ved intensiv</w:t>
      </w:r>
      <w:r w:rsidRPr="00B751FD">
        <w:rPr>
          <w:sz w:val="24"/>
          <w:szCs w:val="24"/>
        </w:rPr>
        <w:softHyphen/>
        <w:t>behandling.</w:t>
      </w:r>
    </w:p>
    <w:p w:rsidR="00D54CA1" w:rsidRPr="00B751FD" w:rsidRDefault="00D54CA1" w:rsidP="00D54CA1">
      <w:pPr>
        <w:tabs>
          <w:tab w:val="left" w:pos="851"/>
        </w:tabs>
        <w:ind w:left="851"/>
        <w:rPr>
          <w:iCs/>
          <w:sz w:val="24"/>
          <w:szCs w:val="24"/>
        </w:rPr>
      </w:pPr>
    </w:p>
    <w:p w:rsidR="00D54CA1" w:rsidRPr="00B751FD" w:rsidRDefault="00D54CA1" w:rsidP="00D54CA1">
      <w:pPr>
        <w:tabs>
          <w:tab w:val="left" w:pos="851"/>
        </w:tabs>
        <w:ind w:left="851"/>
        <w:rPr>
          <w:iCs/>
          <w:sz w:val="24"/>
          <w:szCs w:val="24"/>
        </w:rPr>
      </w:pPr>
      <w:proofErr w:type="spellStart"/>
      <w:r w:rsidRPr="00B751FD">
        <w:rPr>
          <w:sz w:val="24"/>
          <w:szCs w:val="24"/>
        </w:rPr>
        <w:t>Flumazenil</w:t>
      </w:r>
      <w:proofErr w:type="spellEnd"/>
      <w:r w:rsidRPr="00B751FD">
        <w:rPr>
          <w:sz w:val="24"/>
          <w:szCs w:val="24"/>
        </w:rPr>
        <w:t xml:space="preserve"> kan være nyttigt som en </w:t>
      </w:r>
      <w:proofErr w:type="spellStart"/>
      <w:r w:rsidRPr="00B751FD">
        <w:rPr>
          <w:sz w:val="24"/>
          <w:szCs w:val="24"/>
        </w:rPr>
        <w:t>antidot</w:t>
      </w:r>
      <w:proofErr w:type="spellEnd"/>
      <w:r w:rsidRPr="00B751FD">
        <w:rPr>
          <w:sz w:val="24"/>
          <w:szCs w:val="24"/>
        </w:rPr>
        <w:t>.</w:t>
      </w:r>
    </w:p>
    <w:p w:rsidR="00AE09FE" w:rsidRPr="00B751FD" w:rsidRDefault="00AE09FE" w:rsidP="00AE09FE">
      <w:pPr>
        <w:tabs>
          <w:tab w:val="left" w:pos="851"/>
        </w:tabs>
        <w:ind w:left="851"/>
        <w:rPr>
          <w:sz w:val="24"/>
          <w:szCs w:val="24"/>
        </w:rPr>
      </w:pPr>
    </w:p>
    <w:p w:rsidR="00AE09FE" w:rsidRPr="00B751FD" w:rsidRDefault="00AE09FE" w:rsidP="00AE09FE">
      <w:pPr>
        <w:tabs>
          <w:tab w:val="left" w:pos="851"/>
        </w:tabs>
        <w:ind w:left="851" w:hanging="851"/>
        <w:rPr>
          <w:b/>
          <w:sz w:val="24"/>
          <w:szCs w:val="24"/>
        </w:rPr>
      </w:pPr>
      <w:r w:rsidRPr="00B751FD">
        <w:rPr>
          <w:b/>
          <w:sz w:val="24"/>
          <w:szCs w:val="24"/>
        </w:rPr>
        <w:t>4.10</w:t>
      </w:r>
      <w:r w:rsidRPr="00B751FD">
        <w:rPr>
          <w:b/>
          <w:sz w:val="24"/>
          <w:szCs w:val="24"/>
        </w:rPr>
        <w:tab/>
        <w:t>Udlevering</w:t>
      </w:r>
    </w:p>
    <w:p w:rsidR="00D35FF7" w:rsidRDefault="005E3DB7" w:rsidP="00AE09FE">
      <w:pPr>
        <w:tabs>
          <w:tab w:val="left" w:pos="851"/>
        </w:tabs>
        <w:ind w:left="851"/>
        <w:rPr>
          <w:sz w:val="24"/>
          <w:szCs w:val="24"/>
        </w:rPr>
      </w:pPr>
      <w:r w:rsidRPr="006F698B">
        <w:rPr>
          <w:sz w:val="24"/>
          <w:szCs w:val="24"/>
        </w:rPr>
        <w:t>2</w:t>
      </w:r>
      <w:r>
        <w:rPr>
          <w:sz w:val="24"/>
          <w:szCs w:val="24"/>
        </w:rPr>
        <w:t>,</w:t>
      </w:r>
      <w:r w:rsidRPr="006F698B">
        <w:rPr>
          <w:sz w:val="24"/>
          <w:szCs w:val="24"/>
        </w:rPr>
        <w:t xml:space="preserve">5 mg: </w:t>
      </w:r>
      <w:r w:rsidRPr="00176ABF">
        <w:rPr>
          <w:sz w:val="24"/>
          <w:szCs w:val="24"/>
        </w:rPr>
        <w:t>BEGR</w:t>
      </w:r>
      <w:r>
        <w:rPr>
          <w:sz w:val="24"/>
          <w:szCs w:val="24"/>
        </w:rPr>
        <w:t xml:space="preserve"> </w:t>
      </w:r>
      <w:r w:rsidR="00D35FF7">
        <w:rPr>
          <w:sz w:val="24"/>
          <w:szCs w:val="24"/>
        </w:rPr>
        <w:t>- k</w:t>
      </w:r>
      <w:r>
        <w:rPr>
          <w:sz w:val="24"/>
          <w:szCs w:val="24"/>
        </w:rPr>
        <w:t>un til sygehuse</w:t>
      </w:r>
    </w:p>
    <w:p w:rsidR="00AE09FE" w:rsidRPr="00B751FD" w:rsidRDefault="00D35FF7" w:rsidP="00AE09FE">
      <w:pPr>
        <w:tabs>
          <w:tab w:val="left" w:pos="851"/>
        </w:tabs>
        <w:ind w:left="851"/>
        <w:rPr>
          <w:sz w:val="24"/>
          <w:szCs w:val="24"/>
        </w:rPr>
      </w:pPr>
      <w:r>
        <w:rPr>
          <w:sz w:val="24"/>
          <w:szCs w:val="24"/>
        </w:rPr>
        <w:t xml:space="preserve">5 mg, 7,5 mg, 10 mg: </w:t>
      </w:r>
      <w:r w:rsidR="00AE09FE" w:rsidRPr="00B751FD">
        <w:rPr>
          <w:sz w:val="24"/>
          <w:szCs w:val="24"/>
        </w:rPr>
        <w:t>A</w:t>
      </w:r>
    </w:p>
    <w:p w:rsidR="00453BEE" w:rsidRPr="00B751FD" w:rsidRDefault="00453BEE" w:rsidP="00AE09FE">
      <w:pPr>
        <w:tabs>
          <w:tab w:val="left" w:pos="851"/>
        </w:tabs>
        <w:ind w:left="851"/>
        <w:rPr>
          <w:sz w:val="24"/>
          <w:szCs w:val="24"/>
        </w:rPr>
      </w:pPr>
    </w:p>
    <w:p w:rsidR="007F6AE5" w:rsidRDefault="007F6AE5">
      <w:pPr>
        <w:rPr>
          <w:sz w:val="24"/>
          <w:szCs w:val="24"/>
        </w:rPr>
      </w:pPr>
      <w:r>
        <w:rPr>
          <w:sz w:val="24"/>
          <w:szCs w:val="24"/>
        </w:rPr>
        <w:br w:type="page"/>
      </w:r>
    </w:p>
    <w:p w:rsidR="00453BEE" w:rsidRPr="00B751FD" w:rsidRDefault="00453BEE" w:rsidP="00AE09FE">
      <w:pPr>
        <w:tabs>
          <w:tab w:val="left" w:pos="851"/>
        </w:tabs>
        <w:ind w:left="851"/>
        <w:rPr>
          <w:sz w:val="24"/>
          <w:szCs w:val="24"/>
        </w:rPr>
      </w:pPr>
    </w:p>
    <w:p w:rsidR="00AE09FE" w:rsidRPr="00B751FD" w:rsidRDefault="00AE09FE" w:rsidP="00006FCB">
      <w:pPr>
        <w:tabs>
          <w:tab w:val="left" w:pos="851"/>
        </w:tabs>
        <w:ind w:left="851" w:hanging="851"/>
        <w:rPr>
          <w:b/>
          <w:sz w:val="24"/>
          <w:szCs w:val="24"/>
        </w:rPr>
      </w:pPr>
      <w:r w:rsidRPr="00B751FD">
        <w:rPr>
          <w:b/>
          <w:sz w:val="24"/>
          <w:szCs w:val="24"/>
        </w:rPr>
        <w:t>5.</w:t>
      </w:r>
      <w:r w:rsidRPr="00B751FD">
        <w:rPr>
          <w:b/>
          <w:sz w:val="24"/>
          <w:szCs w:val="24"/>
        </w:rPr>
        <w:tab/>
        <w:t>FARMAKOLOGISKE EGENSKABER</w:t>
      </w:r>
    </w:p>
    <w:p w:rsidR="00453BEE" w:rsidRPr="00B751FD" w:rsidRDefault="00453BEE" w:rsidP="00453BEE">
      <w:pPr>
        <w:tabs>
          <w:tab w:val="left" w:pos="851"/>
        </w:tabs>
        <w:ind w:left="851"/>
        <w:rPr>
          <w:sz w:val="24"/>
          <w:szCs w:val="24"/>
        </w:rPr>
      </w:pPr>
    </w:p>
    <w:p w:rsidR="00453BEE" w:rsidRDefault="00453BEE" w:rsidP="00453BEE">
      <w:pPr>
        <w:tabs>
          <w:tab w:val="num" w:pos="851"/>
        </w:tabs>
        <w:ind w:left="851" w:hanging="851"/>
        <w:rPr>
          <w:b/>
          <w:sz w:val="24"/>
          <w:szCs w:val="24"/>
        </w:rPr>
      </w:pPr>
      <w:r w:rsidRPr="00B751FD">
        <w:rPr>
          <w:b/>
          <w:sz w:val="24"/>
          <w:szCs w:val="24"/>
        </w:rPr>
        <w:t>5.1</w:t>
      </w:r>
      <w:r w:rsidRPr="00B751FD">
        <w:rPr>
          <w:b/>
          <w:sz w:val="24"/>
          <w:szCs w:val="24"/>
        </w:rPr>
        <w:tab/>
      </w:r>
      <w:proofErr w:type="spellStart"/>
      <w:r w:rsidRPr="00B751FD">
        <w:rPr>
          <w:b/>
          <w:sz w:val="24"/>
          <w:szCs w:val="24"/>
        </w:rPr>
        <w:t>Farmakodynamiske</w:t>
      </w:r>
      <w:proofErr w:type="spellEnd"/>
      <w:r w:rsidRPr="00B751FD">
        <w:rPr>
          <w:b/>
          <w:sz w:val="24"/>
          <w:szCs w:val="24"/>
        </w:rPr>
        <w:t xml:space="preserve"> egenskaber</w:t>
      </w:r>
    </w:p>
    <w:p w:rsidR="00006FCB" w:rsidRPr="00006FCB" w:rsidRDefault="00006FCB" w:rsidP="00006FCB">
      <w:pPr>
        <w:tabs>
          <w:tab w:val="left" w:pos="851"/>
        </w:tabs>
        <w:ind w:left="851"/>
        <w:rPr>
          <w:sz w:val="24"/>
          <w:szCs w:val="24"/>
          <w:lang w:eastAsia="da-DK"/>
        </w:rPr>
      </w:pPr>
      <w:proofErr w:type="spellStart"/>
      <w:r w:rsidRPr="00006FCB">
        <w:rPr>
          <w:sz w:val="24"/>
          <w:szCs w:val="24"/>
        </w:rPr>
        <w:t>Farmakot</w:t>
      </w:r>
      <w:r w:rsidRPr="00006FCB">
        <w:rPr>
          <w:sz w:val="24"/>
          <w:szCs w:val="24"/>
        </w:rPr>
        <w:t>erapeutisk</w:t>
      </w:r>
      <w:proofErr w:type="spellEnd"/>
      <w:r w:rsidRPr="00006FCB">
        <w:rPr>
          <w:sz w:val="24"/>
          <w:szCs w:val="24"/>
        </w:rPr>
        <w:t xml:space="preserve"> klassifikation</w:t>
      </w:r>
      <w:r w:rsidRPr="00006FCB">
        <w:rPr>
          <w:sz w:val="24"/>
          <w:szCs w:val="24"/>
        </w:rPr>
        <w:t xml:space="preserve">: </w:t>
      </w:r>
      <w:proofErr w:type="spellStart"/>
      <w:r w:rsidRPr="00006FCB">
        <w:rPr>
          <w:sz w:val="24"/>
          <w:szCs w:val="24"/>
        </w:rPr>
        <w:t>Hypnotica</w:t>
      </w:r>
      <w:proofErr w:type="spellEnd"/>
      <w:r w:rsidRPr="00006FCB">
        <w:rPr>
          <w:sz w:val="24"/>
          <w:szCs w:val="24"/>
        </w:rPr>
        <w:t xml:space="preserve"> og </w:t>
      </w:r>
      <w:proofErr w:type="spellStart"/>
      <w:r w:rsidRPr="00006FCB">
        <w:rPr>
          <w:sz w:val="24"/>
          <w:szCs w:val="24"/>
        </w:rPr>
        <w:t>sedativa</w:t>
      </w:r>
      <w:proofErr w:type="spellEnd"/>
      <w:r w:rsidRPr="00006FCB">
        <w:rPr>
          <w:sz w:val="24"/>
          <w:szCs w:val="24"/>
        </w:rPr>
        <w:t xml:space="preserve"> (benzodiazepin-derivater)</w:t>
      </w:r>
      <w:r w:rsidRPr="00006FCB">
        <w:rPr>
          <w:sz w:val="24"/>
          <w:szCs w:val="24"/>
        </w:rPr>
        <w:t xml:space="preserve">, </w:t>
      </w:r>
      <w:r w:rsidRPr="00006FCB">
        <w:rPr>
          <w:sz w:val="24"/>
          <w:szCs w:val="24"/>
        </w:rPr>
        <w:t xml:space="preserve">ATC-kode: N05CD08. </w:t>
      </w:r>
    </w:p>
    <w:p w:rsidR="00453BEE" w:rsidRPr="00B751FD" w:rsidRDefault="00453BEE" w:rsidP="00006FCB">
      <w:pPr>
        <w:tabs>
          <w:tab w:val="left" w:pos="851"/>
        </w:tabs>
        <w:rPr>
          <w:sz w:val="24"/>
          <w:szCs w:val="24"/>
        </w:rPr>
      </w:pPr>
    </w:p>
    <w:p w:rsidR="00D17B03" w:rsidRPr="00B751FD" w:rsidRDefault="00D17B03" w:rsidP="00D17B03">
      <w:pPr>
        <w:tabs>
          <w:tab w:val="left" w:pos="851"/>
        </w:tabs>
        <w:ind w:left="851"/>
        <w:rPr>
          <w:sz w:val="24"/>
          <w:szCs w:val="24"/>
          <w:u w:val="single"/>
        </w:rPr>
      </w:pPr>
      <w:r w:rsidRPr="00B751FD">
        <w:rPr>
          <w:sz w:val="24"/>
          <w:szCs w:val="24"/>
          <w:u w:val="single"/>
        </w:rPr>
        <w:t>Virkningsmekanisme</w:t>
      </w:r>
    </w:p>
    <w:p w:rsidR="00D17B03" w:rsidRPr="00B751FD" w:rsidRDefault="00D17B03" w:rsidP="00D17B03">
      <w:pPr>
        <w:tabs>
          <w:tab w:val="left" w:pos="851"/>
        </w:tabs>
        <w:ind w:left="851"/>
        <w:rPr>
          <w:iCs/>
          <w:sz w:val="24"/>
          <w:szCs w:val="24"/>
          <w:lang w:eastAsia="da-DK"/>
        </w:rPr>
      </w:pPr>
      <w:proofErr w:type="spellStart"/>
      <w:r w:rsidRPr="00B751FD">
        <w:rPr>
          <w:sz w:val="24"/>
          <w:szCs w:val="24"/>
        </w:rPr>
        <w:t>Midazolam</w:t>
      </w:r>
      <w:proofErr w:type="spellEnd"/>
      <w:r w:rsidRPr="00B751FD">
        <w:rPr>
          <w:sz w:val="24"/>
          <w:szCs w:val="24"/>
        </w:rPr>
        <w:t xml:space="preserve"> er et derivat af </w:t>
      </w:r>
      <w:proofErr w:type="spellStart"/>
      <w:r w:rsidRPr="00B751FD">
        <w:rPr>
          <w:sz w:val="24"/>
          <w:szCs w:val="24"/>
        </w:rPr>
        <w:t>imidazobenzodiazepin</w:t>
      </w:r>
      <w:proofErr w:type="spellEnd"/>
      <w:r w:rsidRPr="00B751FD">
        <w:rPr>
          <w:sz w:val="24"/>
          <w:szCs w:val="24"/>
        </w:rPr>
        <w:t xml:space="preserve">-gruppen. Den frie base er et </w:t>
      </w:r>
      <w:proofErr w:type="spellStart"/>
      <w:r w:rsidRPr="00B751FD">
        <w:rPr>
          <w:sz w:val="24"/>
          <w:szCs w:val="24"/>
        </w:rPr>
        <w:t>lipofilt</w:t>
      </w:r>
      <w:proofErr w:type="spellEnd"/>
      <w:r w:rsidRPr="00B751FD">
        <w:rPr>
          <w:sz w:val="24"/>
          <w:szCs w:val="24"/>
        </w:rPr>
        <w:t xml:space="preserve"> stof med en lav vandopløselighed. Det basiske nitrogen i position 2 af </w:t>
      </w:r>
      <w:proofErr w:type="spellStart"/>
      <w:r w:rsidRPr="00B751FD">
        <w:rPr>
          <w:sz w:val="24"/>
          <w:szCs w:val="24"/>
        </w:rPr>
        <w:t>imidazobenzodiazepin</w:t>
      </w:r>
      <w:proofErr w:type="spellEnd"/>
      <w:r w:rsidRPr="00B751FD">
        <w:rPr>
          <w:sz w:val="24"/>
          <w:szCs w:val="24"/>
        </w:rPr>
        <w:t xml:space="preserve">-ringsystemet gør </w:t>
      </w:r>
      <w:proofErr w:type="spellStart"/>
      <w:r w:rsidRPr="00B751FD">
        <w:rPr>
          <w:sz w:val="24"/>
          <w:szCs w:val="24"/>
        </w:rPr>
        <w:t>midazolam</w:t>
      </w:r>
      <w:proofErr w:type="spellEnd"/>
      <w:r w:rsidRPr="00B751FD">
        <w:rPr>
          <w:sz w:val="24"/>
          <w:szCs w:val="24"/>
        </w:rPr>
        <w:t xml:space="preserve"> i stand til at danne </w:t>
      </w:r>
      <w:proofErr w:type="spellStart"/>
      <w:r w:rsidRPr="00B751FD">
        <w:rPr>
          <w:sz w:val="24"/>
          <w:szCs w:val="24"/>
        </w:rPr>
        <w:t>hydrochloridsalte</w:t>
      </w:r>
      <w:proofErr w:type="spellEnd"/>
      <w:r w:rsidRPr="00B751FD">
        <w:rPr>
          <w:sz w:val="24"/>
          <w:szCs w:val="24"/>
        </w:rPr>
        <w:t xml:space="preserve"> med syrer. Disse giver en stabil opløsning, der er velegnet til indgivelse via mundhulen.</w:t>
      </w:r>
    </w:p>
    <w:p w:rsidR="00D17B03" w:rsidRPr="00B751FD" w:rsidRDefault="00D17B03" w:rsidP="00D17B03">
      <w:pPr>
        <w:tabs>
          <w:tab w:val="left" w:pos="851"/>
        </w:tabs>
        <w:ind w:left="851"/>
        <w:rPr>
          <w:iCs/>
          <w:sz w:val="24"/>
          <w:szCs w:val="24"/>
        </w:rPr>
      </w:pPr>
    </w:p>
    <w:p w:rsidR="00D17B03" w:rsidRPr="00B751FD" w:rsidRDefault="00D17B03" w:rsidP="00D17B03">
      <w:pPr>
        <w:tabs>
          <w:tab w:val="left" w:pos="851"/>
        </w:tabs>
        <w:ind w:left="851"/>
        <w:rPr>
          <w:sz w:val="24"/>
          <w:szCs w:val="24"/>
          <w:u w:val="single"/>
        </w:rPr>
      </w:pPr>
      <w:proofErr w:type="spellStart"/>
      <w:r w:rsidRPr="00B751FD">
        <w:rPr>
          <w:sz w:val="24"/>
          <w:szCs w:val="24"/>
          <w:u w:val="single"/>
        </w:rPr>
        <w:t>Farmakodynamisk</w:t>
      </w:r>
      <w:proofErr w:type="spellEnd"/>
      <w:r w:rsidRPr="00B751FD">
        <w:rPr>
          <w:sz w:val="24"/>
          <w:szCs w:val="24"/>
          <w:u w:val="single"/>
        </w:rPr>
        <w:t xml:space="preserve"> virkning</w:t>
      </w:r>
    </w:p>
    <w:p w:rsidR="00D17B03" w:rsidRPr="00B751FD" w:rsidRDefault="00D17B03" w:rsidP="00D17B03">
      <w:pPr>
        <w:tabs>
          <w:tab w:val="left" w:pos="851"/>
        </w:tabs>
        <w:ind w:left="851"/>
        <w:rPr>
          <w:iCs/>
          <w:sz w:val="24"/>
          <w:szCs w:val="24"/>
        </w:rPr>
      </w:pPr>
      <w:proofErr w:type="spellStart"/>
      <w:r w:rsidRPr="00B751FD">
        <w:rPr>
          <w:sz w:val="24"/>
          <w:szCs w:val="24"/>
        </w:rPr>
        <w:t>Midazolams</w:t>
      </w:r>
      <w:proofErr w:type="spellEnd"/>
      <w:r w:rsidRPr="00B751FD">
        <w:rPr>
          <w:sz w:val="24"/>
          <w:szCs w:val="24"/>
        </w:rPr>
        <w:t xml:space="preserve"> farmakologiske virkning er karakteriseret ved en kort varighed på grund af en hurtig metabolisk transformation. </w:t>
      </w:r>
      <w:proofErr w:type="spellStart"/>
      <w:r w:rsidRPr="00B751FD">
        <w:rPr>
          <w:sz w:val="24"/>
          <w:szCs w:val="24"/>
        </w:rPr>
        <w:t>Midazolam</w:t>
      </w:r>
      <w:proofErr w:type="spellEnd"/>
      <w:r w:rsidRPr="00B751FD">
        <w:rPr>
          <w:sz w:val="24"/>
          <w:szCs w:val="24"/>
        </w:rPr>
        <w:t xml:space="preserve"> har en </w:t>
      </w:r>
      <w:proofErr w:type="spellStart"/>
      <w:r w:rsidRPr="00B751FD">
        <w:rPr>
          <w:sz w:val="24"/>
          <w:szCs w:val="24"/>
        </w:rPr>
        <w:t>antikonvulsiv</w:t>
      </w:r>
      <w:proofErr w:type="spellEnd"/>
      <w:r w:rsidRPr="00B751FD">
        <w:rPr>
          <w:sz w:val="24"/>
          <w:szCs w:val="24"/>
        </w:rPr>
        <w:t xml:space="preserve"> virkning. Det udøver også en sederende og søvninducerende virkning af udpræget intensitet samt en </w:t>
      </w:r>
      <w:proofErr w:type="spellStart"/>
      <w:r w:rsidRPr="00B751FD">
        <w:rPr>
          <w:sz w:val="24"/>
          <w:szCs w:val="24"/>
        </w:rPr>
        <w:t>anxiolytisk</w:t>
      </w:r>
      <w:proofErr w:type="spellEnd"/>
      <w:r w:rsidRPr="00B751FD">
        <w:rPr>
          <w:sz w:val="24"/>
          <w:szCs w:val="24"/>
        </w:rPr>
        <w:t xml:space="preserve"> og muskelafslappende virkning.</w:t>
      </w:r>
    </w:p>
    <w:p w:rsidR="00D17B03" w:rsidRPr="00B751FD" w:rsidRDefault="00D17B03" w:rsidP="00D17B03">
      <w:pPr>
        <w:tabs>
          <w:tab w:val="left" w:pos="851"/>
        </w:tabs>
        <w:rPr>
          <w:iCs/>
          <w:sz w:val="24"/>
          <w:szCs w:val="24"/>
        </w:rPr>
      </w:pPr>
    </w:p>
    <w:p w:rsidR="00D17B03" w:rsidRPr="00B751FD" w:rsidRDefault="00D17B03" w:rsidP="00D17B03">
      <w:pPr>
        <w:tabs>
          <w:tab w:val="left" w:pos="851"/>
        </w:tabs>
        <w:ind w:left="851"/>
        <w:rPr>
          <w:iCs/>
          <w:sz w:val="24"/>
          <w:szCs w:val="24"/>
          <w:u w:val="single"/>
        </w:rPr>
      </w:pPr>
      <w:r w:rsidRPr="00B751FD">
        <w:rPr>
          <w:iCs/>
          <w:sz w:val="24"/>
          <w:szCs w:val="24"/>
          <w:u w:val="single"/>
        </w:rPr>
        <w:t>Klinisk virkning og sikkerhed</w:t>
      </w:r>
    </w:p>
    <w:p w:rsidR="00D17B03" w:rsidRPr="00B751FD" w:rsidRDefault="00D17B03" w:rsidP="00D17B03">
      <w:pPr>
        <w:tabs>
          <w:tab w:val="left" w:pos="851"/>
        </w:tabs>
        <w:ind w:left="851"/>
        <w:rPr>
          <w:iCs/>
          <w:sz w:val="24"/>
          <w:szCs w:val="24"/>
        </w:rPr>
      </w:pPr>
      <w:r w:rsidRPr="00B751FD">
        <w:rPr>
          <w:sz w:val="24"/>
          <w:szCs w:val="24"/>
        </w:rPr>
        <w:t xml:space="preserve">I 5 kontrollerede studier med </w:t>
      </w:r>
      <w:proofErr w:type="spellStart"/>
      <w:r w:rsidRPr="00B751FD">
        <w:rPr>
          <w:sz w:val="24"/>
          <w:szCs w:val="24"/>
        </w:rPr>
        <w:t>rektalt</w:t>
      </w:r>
      <w:proofErr w:type="spellEnd"/>
      <w:r w:rsidRPr="00B751FD">
        <w:rPr>
          <w:sz w:val="24"/>
          <w:szCs w:val="24"/>
        </w:rPr>
        <w:t xml:space="preserve"> </w:t>
      </w:r>
      <w:proofErr w:type="spellStart"/>
      <w:r w:rsidRPr="00B751FD">
        <w:rPr>
          <w:sz w:val="24"/>
          <w:szCs w:val="24"/>
        </w:rPr>
        <w:t>diazepam</w:t>
      </w:r>
      <w:proofErr w:type="spellEnd"/>
      <w:r w:rsidRPr="00B751FD">
        <w:rPr>
          <w:sz w:val="24"/>
          <w:szCs w:val="24"/>
        </w:rPr>
        <w:t xml:space="preserve"> og i 2 studier versus intravenøs </w:t>
      </w:r>
      <w:proofErr w:type="spellStart"/>
      <w:r w:rsidRPr="00B751FD">
        <w:rPr>
          <w:sz w:val="24"/>
          <w:szCs w:val="24"/>
        </w:rPr>
        <w:t>diazepam</w:t>
      </w:r>
      <w:proofErr w:type="spellEnd"/>
      <w:r w:rsidRPr="00B751FD">
        <w:rPr>
          <w:sz w:val="24"/>
          <w:szCs w:val="24"/>
        </w:rPr>
        <w:t xml:space="preserve"> til børn, der omfattede i alt 435 børn, som fik </w:t>
      </w:r>
      <w:proofErr w:type="spellStart"/>
      <w:r w:rsidRPr="00B751FD">
        <w:rPr>
          <w:sz w:val="24"/>
          <w:szCs w:val="24"/>
        </w:rPr>
        <w:t>midazolam</w:t>
      </w:r>
      <w:proofErr w:type="spellEnd"/>
      <w:r w:rsidRPr="00B751FD">
        <w:rPr>
          <w:sz w:val="24"/>
          <w:szCs w:val="24"/>
        </w:rPr>
        <w:t xml:space="preserve"> indgivet via mundhulen, blev det observeret, at de synlige tegn på anfald ophørte inden for 10 minutter hos 65 % til 100 % af de patienter, der fik </w:t>
      </w:r>
      <w:proofErr w:type="spellStart"/>
      <w:r w:rsidRPr="00B751FD">
        <w:rPr>
          <w:sz w:val="24"/>
          <w:szCs w:val="24"/>
        </w:rPr>
        <w:t>midazolam</w:t>
      </w:r>
      <w:proofErr w:type="spellEnd"/>
      <w:r w:rsidRPr="00B751FD">
        <w:rPr>
          <w:sz w:val="24"/>
          <w:szCs w:val="24"/>
        </w:rPr>
        <w:t xml:space="preserve"> indgivet via mundhulen. I 3 af studierne blev der ydermere observeret ophør af de synlige tegn på anfald inden for 10 minutter hos 56 % til 100 % af patienterne uden recidiv inden for 1 eller 2 timer efter indgivelse. Hyppigheden og sværhedsgraden for bivirkninger, der blev rapporteret for </w:t>
      </w:r>
      <w:proofErr w:type="spellStart"/>
      <w:r w:rsidRPr="00B751FD">
        <w:rPr>
          <w:sz w:val="24"/>
          <w:szCs w:val="24"/>
        </w:rPr>
        <w:t>midazolam</w:t>
      </w:r>
      <w:proofErr w:type="spellEnd"/>
      <w:r w:rsidRPr="00B751FD">
        <w:rPr>
          <w:sz w:val="24"/>
          <w:szCs w:val="24"/>
        </w:rPr>
        <w:t xml:space="preserve"> indgivet via mundhulen i publicerede kliniske studier ligner de bivirkninger, der blev rapporteret i den sammenlignende gruppe, der brugte </w:t>
      </w:r>
      <w:proofErr w:type="spellStart"/>
      <w:r w:rsidRPr="00B751FD">
        <w:rPr>
          <w:sz w:val="24"/>
          <w:szCs w:val="24"/>
        </w:rPr>
        <w:t>rektalt</w:t>
      </w:r>
      <w:proofErr w:type="spellEnd"/>
      <w:r w:rsidRPr="00B751FD">
        <w:rPr>
          <w:sz w:val="24"/>
          <w:szCs w:val="24"/>
        </w:rPr>
        <w:t xml:space="preserve"> </w:t>
      </w:r>
      <w:proofErr w:type="spellStart"/>
      <w:r w:rsidRPr="00B751FD">
        <w:rPr>
          <w:sz w:val="24"/>
          <w:szCs w:val="24"/>
        </w:rPr>
        <w:t>diazepam</w:t>
      </w:r>
      <w:proofErr w:type="spellEnd"/>
      <w:r w:rsidRPr="00B751FD">
        <w:rPr>
          <w:sz w:val="24"/>
          <w:szCs w:val="24"/>
        </w:rPr>
        <w:t>.</w:t>
      </w:r>
    </w:p>
    <w:p w:rsidR="00453BEE" w:rsidRPr="00B751FD" w:rsidRDefault="00453BEE" w:rsidP="00453BEE">
      <w:pPr>
        <w:tabs>
          <w:tab w:val="left" w:pos="851"/>
        </w:tabs>
        <w:ind w:left="851"/>
        <w:rPr>
          <w:sz w:val="24"/>
          <w:szCs w:val="24"/>
        </w:rPr>
      </w:pPr>
    </w:p>
    <w:p w:rsidR="00453BEE" w:rsidRPr="00B751FD" w:rsidRDefault="00453BEE" w:rsidP="00453BEE">
      <w:pPr>
        <w:tabs>
          <w:tab w:val="left" w:pos="851"/>
        </w:tabs>
        <w:ind w:left="851" w:hanging="851"/>
        <w:rPr>
          <w:b/>
          <w:sz w:val="24"/>
          <w:szCs w:val="24"/>
        </w:rPr>
      </w:pPr>
      <w:r w:rsidRPr="00B751FD">
        <w:rPr>
          <w:b/>
          <w:sz w:val="24"/>
          <w:szCs w:val="24"/>
        </w:rPr>
        <w:t>5.2</w:t>
      </w:r>
      <w:r w:rsidRPr="00B751FD">
        <w:rPr>
          <w:b/>
          <w:sz w:val="24"/>
          <w:szCs w:val="24"/>
        </w:rPr>
        <w:tab/>
      </w:r>
      <w:proofErr w:type="spellStart"/>
      <w:r w:rsidRPr="00B751FD">
        <w:rPr>
          <w:b/>
          <w:sz w:val="24"/>
          <w:szCs w:val="24"/>
        </w:rPr>
        <w:t>Farmakokinetiske</w:t>
      </w:r>
      <w:proofErr w:type="spellEnd"/>
      <w:r w:rsidRPr="00B751FD">
        <w:rPr>
          <w:b/>
          <w:sz w:val="24"/>
          <w:szCs w:val="24"/>
        </w:rPr>
        <w:t xml:space="preserve"> egenskaber</w:t>
      </w:r>
    </w:p>
    <w:p w:rsidR="00453BEE" w:rsidRPr="00B751FD" w:rsidRDefault="00453BEE" w:rsidP="00453BEE">
      <w:pPr>
        <w:tabs>
          <w:tab w:val="left" w:pos="851"/>
        </w:tabs>
        <w:ind w:left="851"/>
        <w:rPr>
          <w:i/>
          <w:iCs/>
          <w:sz w:val="24"/>
          <w:szCs w:val="24"/>
          <w:u w:val="single"/>
        </w:rPr>
      </w:pPr>
    </w:p>
    <w:p w:rsidR="00D17B03" w:rsidRPr="00B751FD" w:rsidRDefault="00D17B03" w:rsidP="00D17B03">
      <w:pPr>
        <w:tabs>
          <w:tab w:val="left" w:pos="851"/>
        </w:tabs>
        <w:ind w:left="851"/>
        <w:rPr>
          <w:sz w:val="24"/>
          <w:szCs w:val="24"/>
        </w:rPr>
      </w:pPr>
      <w:r w:rsidRPr="00B751FD">
        <w:rPr>
          <w:sz w:val="24"/>
          <w:szCs w:val="24"/>
        </w:rPr>
        <w:t xml:space="preserve">Simulerede </w:t>
      </w:r>
      <w:proofErr w:type="spellStart"/>
      <w:r w:rsidRPr="00B751FD">
        <w:rPr>
          <w:sz w:val="24"/>
          <w:szCs w:val="24"/>
        </w:rPr>
        <w:t>farmakokinetiske</w:t>
      </w:r>
      <w:proofErr w:type="spellEnd"/>
      <w:r w:rsidRPr="00B751FD">
        <w:rPr>
          <w:sz w:val="24"/>
          <w:szCs w:val="24"/>
        </w:rPr>
        <w:t xml:space="preserve"> parametre for den anbefalede dosering til børn i alderen 3 måneder til under 18 år, baseret på et populationsfarmakologisk studie, er angivet i nedenstående tabel:</w:t>
      </w:r>
    </w:p>
    <w:tbl>
      <w:tblPr>
        <w:tblStyle w:val="Tabel-Gitter"/>
        <w:tblW w:w="0" w:type="auto"/>
        <w:tblInd w:w="851" w:type="dxa"/>
        <w:tblLook w:val="04A0" w:firstRow="1" w:lastRow="0" w:firstColumn="1" w:lastColumn="0" w:noHBand="0" w:noVBand="1"/>
      </w:tblPr>
      <w:tblGrid>
        <w:gridCol w:w="1608"/>
        <w:gridCol w:w="1610"/>
        <w:gridCol w:w="1700"/>
        <w:gridCol w:w="1728"/>
        <w:gridCol w:w="1563"/>
      </w:tblGrid>
      <w:tr w:rsidR="00D17B03" w:rsidRPr="00B751FD" w:rsidTr="005E45E0">
        <w:tc>
          <w:tcPr>
            <w:tcW w:w="1608" w:type="dxa"/>
          </w:tcPr>
          <w:p w:rsidR="00D17B03" w:rsidRPr="00B751FD" w:rsidRDefault="00D17B03" w:rsidP="005E45E0">
            <w:pPr>
              <w:tabs>
                <w:tab w:val="left" w:pos="851"/>
              </w:tabs>
              <w:jc w:val="center"/>
              <w:rPr>
                <w:rFonts w:ascii="Times New Roman" w:hAnsi="Times New Roman"/>
                <w:sz w:val="24"/>
                <w:szCs w:val="24"/>
              </w:rPr>
            </w:pPr>
            <w:r w:rsidRPr="00B751FD">
              <w:rPr>
                <w:rFonts w:ascii="Times New Roman" w:hAnsi="Times New Roman"/>
                <w:sz w:val="24"/>
                <w:szCs w:val="24"/>
              </w:rPr>
              <w:t>Dosis</w:t>
            </w:r>
          </w:p>
        </w:tc>
        <w:tc>
          <w:tcPr>
            <w:tcW w:w="1610" w:type="dxa"/>
          </w:tcPr>
          <w:p w:rsidR="00D17B03" w:rsidRPr="00B751FD" w:rsidRDefault="00D17B03" w:rsidP="005E45E0">
            <w:pPr>
              <w:tabs>
                <w:tab w:val="left" w:pos="851"/>
              </w:tabs>
              <w:jc w:val="center"/>
              <w:rPr>
                <w:rFonts w:ascii="Times New Roman" w:hAnsi="Times New Roman"/>
                <w:sz w:val="24"/>
                <w:szCs w:val="24"/>
              </w:rPr>
            </w:pPr>
            <w:r w:rsidRPr="00B751FD">
              <w:rPr>
                <w:rFonts w:ascii="Times New Roman" w:hAnsi="Times New Roman"/>
                <w:sz w:val="24"/>
                <w:szCs w:val="24"/>
              </w:rPr>
              <w:t>Alder</w:t>
            </w:r>
          </w:p>
        </w:tc>
        <w:tc>
          <w:tcPr>
            <w:tcW w:w="1700" w:type="dxa"/>
          </w:tcPr>
          <w:p w:rsidR="00D17B03" w:rsidRPr="00B751FD" w:rsidRDefault="00D17B03" w:rsidP="005E45E0">
            <w:pPr>
              <w:tabs>
                <w:tab w:val="left" w:pos="851"/>
              </w:tabs>
              <w:jc w:val="center"/>
              <w:rPr>
                <w:rFonts w:ascii="Times New Roman" w:hAnsi="Times New Roman"/>
                <w:sz w:val="24"/>
                <w:szCs w:val="24"/>
              </w:rPr>
            </w:pPr>
            <w:r w:rsidRPr="00B751FD">
              <w:rPr>
                <w:rFonts w:ascii="Times New Roman" w:hAnsi="Times New Roman"/>
                <w:sz w:val="24"/>
                <w:szCs w:val="24"/>
              </w:rPr>
              <w:t>Parameter</w:t>
            </w:r>
          </w:p>
        </w:tc>
        <w:tc>
          <w:tcPr>
            <w:tcW w:w="1728" w:type="dxa"/>
          </w:tcPr>
          <w:p w:rsidR="00D17B03" w:rsidRPr="00B751FD" w:rsidRDefault="00D17B03" w:rsidP="005E45E0">
            <w:pPr>
              <w:tabs>
                <w:tab w:val="left" w:pos="851"/>
              </w:tabs>
              <w:jc w:val="center"/>
              <w:rPr>
                <w:rFonts w:ascii="Times New Roman" w:hAnsi="Times New Roman"/>
                <w:sz w:val="24"/>
                <w:szCs w:val="24"/>
              </w:rPr>
            </w:pPr>
            <w:r w:rsidRPr="00B751FD">
              <w:rPr>
                <w:rFonts w:ascii="Times New Roman" w:hAnsi="Times New Roman"/>
                <w:sz w:val="24"/>
                <w:szCs w:val="24"/>
              </w:rPr>
              <w:t>Gennemsnit</w:t>
            </w:r>
          </w:p>
        </w:tc>
        <w:tc>
          <w:tcPr>
            <w:tcW w:w="1563" w:type="dxa"/>
          </w:tcPr>
          <w:p w:rsidR="00D17B03" w:rsidRPr="00B751FD" w:rsidRDefault="00D17B03" w:rsidP="005E45E0">
            <w:pPr>
              <w:tabs>
                <w:tab w:val="left" w:pos="851"/>
              </w:tabs>
              <w:jc w:val="center"/>
              <w:rPr>
                <w:rFonts w:ascii="Times New Roman" w:hAnsi="Times New Roman"/>
                <w:sz w:val="24"/>
                <w:szCs w:val="24"/>
              </w:rPr>
            </w:pPr>
            <w:r w:rsidRPr="00B751FD">
              <w:rPr>
                <w:rFonts w:ascii="Times New Roman" w:hAnsi="Times New Roman"/>
                <w:sz w:val="24"/>
                <w:szCs w:val="24"/>
              </w:rPr>
              <w:t>SD</w:t>
            </w:r>
          </w:p>
        </w:tc>
      </w:tr>
      <w:tr w:rsidR="00D17B03" w:rsidRPr="00B751FD" w:rsidTr="005E45E0">
        <w:trPr>
          <w:trHeight w:val="110"/>
        </w:trPr>
        <w:tc>
          <w:tcPr>
            <w:tcW w:w="1608" w:type="dxa"/>
            <w:vMerge w:val="restart"/>
          </w:tcPr>
          <w:p w:rsidR="00D17B03" w:rsidRPr="00B751FD" w:rsidRDefault="00D17B03" w:rsidP="005E45E0">
            <w:pPr>
              <w:tabs>
                <w:tab w:val="left" w:pos="851"/>
              </w:tabs>
              <w:jc w:val="center"/>
              <w:rPr>
                <w:rFonts w:ascii="Times New Roman" w:hAnsi="Times New Roman"/>
                <w:sz w:val="24"/>
                <w:szCs w:val="24"/>
              </w:rPr>
            </w:pPr>
            <w:r w:rsidRPr="00B751FD">
              <w:rPr>
                <w:rFonts w:ascii="Times New Roman" w:hAnsi="Times New Roman"/>
                <w:sz w:val="24"/>
                <w:szCs w:val="24"/>
              </w:rPr>
              <w:t>2,5 mg</w:t>
            </w:r>
          </w:p>
        </w:tc>
        <w:tc>
          <w:tcPr>
            <w:tcW w:w="1610" w:type="dxa"/>
            <w:vMerge w:val="restart"/>
          </w:tcPr>
          <w:p w:rsidR="00D17B03" w:rsidRPr="00B751FD" w:rsidRDefault="00D17B03" w:rsidP="005E45E0">
            <w:pPr>
              <w:tabs>
                <w:tab w:val="left" w:pos="851"/>
              </w:tabs>
              <w:jc w:val="center"/>
              <w:rPr>
                <w:rFonts w:ascii="Times New Roman" w:hAnsi="Times New Roman"/>
                <w:sz w:val="24"/>
                <w:szCs w:val="24"/>
              </w:rPr>
            </w:pPr>
            <w:r w:rsidRPr="00B751FD">
              <w:rPr>
                <w:rFonts w:ascii="Times New Roman" w:hAnsi="Times New Roman"/>
                <w:sz w:val="24"/>
                <w:szCs w:val="24"/>
              </w:rPr>
              <w:t>3 m &lt;1 år</w:t>
            </w:r>
          </w:p>
        </w:tc>
        <w:tc>
          <w:tcPr>
            <w:tcW w:w="1700" w:type="dxa"/>
          </w:tcPr>
          <w:p w:rsidR="00D17B03" w:rsidRPr="00B751FD" w:rsidRDefault="00D17B03" w:rsidP="005E45E0">
            <w:pPr>
              <w:tabs>
                <w:tab w:val="left" w:pos="851"/>
              </w:tabs>
              <w:jc w:val="center"/>
              <w:rPr>
                <w:rFonts w:ascii="Times New Roman" w:hAnsi="Times New Roman"/>
                <w:sz w:val="24"/>
                <w:szCs w:val="24"/>
                <w:lang w:val="en-US"/>
              </w:rPr>
            </w:pPr>
            <w:r w:rsidRPr="00B751FD">
              <w:rPr>
                <w:rFonts w:ascii="Times New Roman" w:hAnsi="Times New Roman"/>
                <w:sz w:val="24"/>
                <w:szCs w:val="24"/>
                <w:lang w:val="en-US"/>
              </w:rPr>
              <w:t>AUC</w:t>
            </w:r>
            <w:r w:rsidRPr="00B751FD">
              <w:rPr>
                <w:rFonts w:ascii="Times New Roman" w:hAnsi="Times New Roman"/>
                <w:sz w:val="24"/>
                <w:szCs w:val="24"/>
                <w:vertAlign w:val="subscript"/>
                <w:lang w:val="en-US"/>
              </w:rPr>
              <w:t xml:space="preserve">0-inf </w:t>
            </w:r>
            <w:r w:rsidRPr="00B751FD">
              <w:rPr>
                <w:rFonts w:ascii="Times New Roman" w:hAnsi="Times New Roman"/>
                <w:sz w:val="24"/>
                <w:szCs w:val="24"/>
                <w:lang w:val="en-US"/>
              </w:rPr>
              <w:t>(ng.t/ml)</w:t>
            </w:r>
          </w:p>
        </w:tc>
        <w:tc>
          <w:tcPr>
            <w:tcW w:w="1728" w:type="dxa"/>
          </w:tcPr>
          <w:p w:rsidR="00D17B03" w:rsidRPr="00B751FD" w:rsidRDefault="00D17B03" w:rsidP="005E45E0">
            <w:pPr>
              <w:tabs>
                <w:tab w:val="left" w:pos="851"/>
              </w:tabs>
              <w:jc w:val="center"/>
              <w:rPr>
                <w:rFonts w:ascii="Times New Roman" w:hAnsi="Times New Roman"/>
                <w:sz w:val="24"/>
                <w:szCs w:val="24"/>
              </w:rPr>
            </w:pPr>
            <w:r w:rsidRPr="00B751FD">
              <w:rPr>
                <w:rFonts w:ascii="Times New Roman" w:hAnsi="Times New Roman"/>
                <w:sz w:val="24"/>
                <w:szCs w:val="24"/>
              </w:rPr>
              <w:t>168</w:t>
            </w:r>
          </w:p>
        </w:tc>
        <w:tc>
          <w:tcPr>
            <w:tcW w:w="1563" w:type="dxa"/>
          </w:tcPr>
          <w:p w:rsidR="00D17B03" w:rsidRPr="00B751FD" w:rsidRDefault="00D17B03" w:rsidP="005E45E0">
            <w:pPr>
              <w:tabs>
                <w:tab w:val="left" w:pos="851"/>
              </w:tabs>
              <w:jc w:val="center"/>
              <w:rPr>
                <w:rFonts w:ascii="Times New Roman" w:hAnsi="Times New Roman"/>
                <w:sz w:val="24"/>
                <w:szCs w:val="24"/>
              </w:rPr>
            </w:pPr>
            <w:r w:rsidRPr="00B751FD">
              <w:rPr>
                <w:rFonts w:ascii="Times New Roman" w:hAnsi="Times New Roman"/>
                <w:sz w:val="24"/>
                <w:szCs w:val="24"/>
              </w:rPr>
              <w:t>98</w:t>
            </w:r>
          </w:p>
        </w:tc>
      </w:tr>
      <w:tr w:rsidR="00D17B03" w:rsidRPr="00B751FD" w:rsidTr="005E45E0">
        <w:trPr>
          <w:trHeight w:val="109"/>
        </w:trPr>
        <w:tc>
          <w:tcPr>
            <w:tcW w:w="1608" w:type="dxa"/>
            <w:vMerge/>
          </w:tcPr>
          <w:p w:rsidR="00D17B03" w:rsidRPr="00B751FD" w:rsidRDefault="00D17B03" w:rsidP="005E45E0">
            <w:pPr>
              <w:tabs>
                <w:tab w:val="left" w:pos="851"/>
              </w:tabs>
              <w:jc w:val="center"/>
              <w:rPr>
                <w:rFonts w:ascii="Times New Roman" w:hAnsi="Times New Roman"/>
                <w:sz w:val="24"/>
                <w:szCs w:val="24"/>
              </w:rPr>
            </w:pPr>
          </w:p>
        </w:tc>
        <w:tc>
          <w:tcPr>
            <w:tcW w:w="1610" w:type="dxa"/>
            <w:vMerge/>
          </w:tcPr>
          <w:p w:rsidR="00D17B03" w:rsidRPr="00B751FD" w:rsidRDefault="00D17B03" w:rsidP="005E45E0">
            <w:pPr>
              <w:tabs>
                <w:tab w:val="left" w:pos="851"/>
              </w:tabs>
              <w:jc w:val="center"/>
              <w:rPr>
                <w:rFonts w:ascii="Times New Roman" w:hAnsi="Times New Roman"/>
                <w:sz w:val="24"/>
                <w:szCs w:val="24"/>
              </w:rPr>
            </w:pPr>
          </w:p>
        </w:tc>
        <w:tc>
          <w:tcPr>
            <w:tcW w:w="1700" w:type="dxa"/>
          </w:tcPr>
          <w:p w:rsidR="00D17B03" w:rsidRPr="00B751FD" w:rsidRDefault="00D17B03" w:rsidP="005E45E0">
            <w:pPr>
              <w:tabs>
                <w:tab w:val="left" w:pos="851"/>
              </w:tabs>
              <w:jc w:val="center"/>
              <w:rPr>
                <w:rFonts w:ascii="Times New Roman" w:hAnsi="Times New Roman"/>
                <w:sz w:val="24"/>
                <w:szCs w:val="24"/>
              </w:rPr>
            </w:pPr>
            <w:proofErr w:type="spellStart"/>
            <w:r w:rsidRPr="00B751FD">
              <w:rPr>
                <w:rFonts w:ascii="Times New Roman" w:hAnsi="Times New Roman"/>
                <w:sz w:val="24"/>
                <w:szCs w:val="24"/>
              </w:rPr>
              <w:t>C</w:t>
            </w:r>
            <w:r w:rsidRPr="00B751FD">
              <w:rPr>
                <w:rFonts w:ascii="Times New Roman" w:hAnsi="Times New Roman"/>
                <w:sz w:val="24"/>
                <w:szCs w:val="24"/>
                <w:vertAlign w:val="subscript"/>
              </w:rPr>
              <w:t>max</w:t>
            </w:r>
            <w:proofErr w:type="spellEnd"/>
            <w:r w:rsidRPr="00B751FD">
              <w:rPr>
                <w:rFonts w:ascii="Times New Roman" w:hAnsi="Times New Roman"/>
                <w:sz w:val="24"/>
                <w:szCs w:val="24"/>
              </w:rPr>
              <w:t xml:space="preserve"> (</w:t>
            </w:r>
            <w:proofErr w:type="spellStart"/>
            <w:r w:rsidRPr="00B751FD">
              <w:rPr>
                <w:rFonts w:ascii="Times New Roman" w:hAnsi="Times New Roman"/>
                <w:sz w:val="24"/>
                <w:szCs w:val="24"/>
              </w:rPr>
              <w:t>ng</w:t>
            </w:r>
            <w:proofErr w:type="spellEnd"/>
            <w:r w:rsidRPr="00B751FD">
              <w:rPr>
                <w:rFonts w:ascii="Times New Roman" w:hAnsi="Times New Roman"/>
                <w:sz w:val="24"/>
                <w:szCs w:val="24"/>
              </w:rPr>
              <w:t>/ml)</w:t>
            </w:r>
          </w:p>
        </w:tc>
        <w:tc>
          <w:tcPr>
            <w:tcW w:w="1728" w:type="dxa"/>
          </w:tcPr>
          <w:p w:rsidR="00D17B03" w:rsidRPr="00B751FD" w:rsidRDefault="00D17B03" w:rsidP="005E45E0">
            <w:pPr>
              <w:tabs>
                <w:tab w:val="left" w:pos="851"/>
              </w:tabs>
              <w:jc w:val="center"/>
              <w:rPr>
                <w:rFonts w:ascii="Times New Roman" w:hAnsi="Times New Roman"/>
                <w:sz w:val="24"/>
                <w:szCs w:val="24"/>
              </w:rPr>
            </w:pPr>
            <w:r w:rsidRPr="00B751FD">
              <w:rPr>
                <w:rFonts w:ascii="Times New Roman" w:hAnsi="Times New Roman"/>
                <w:sz w:val="24"/>
                <w:szCs w:val="24"/>
              </w:rPr>
              <w:t>104</w:t>
            </w:r>
          </w:p>
        </w:tc>
        <w:tc>
          <w:tcPr>
            <w:tcW w:w="1563" w:type="dxa"/>
          </w:tcPr>
          <w:p w:rsidR="00D17B03" w:rsidRPr="00B751FD" w:rsidRDefault="00D17B03" w:rsidP="005E45E0">
            <w:pPr>
              <w:tabs>
                <w:tab w:val="left" w:pos="851"/>
              </w:tabs>
              <w:jc w:val="center"/>
              <w:rPr>
                <w:rFonts w:ascii="Times New Roman" w:hAnsi="Times New Roman"/>
                <w:sz w:val="24"/>
                <w:szCs w:val="24"/>
              </w:rPr>
            </w:pPr>
            <w:r w:rsidRPr="00B751FD">
              <w:rPr>
                <w:rFonts w:ascii="Times New Roman" w:hAnsi="Times New Roman"/>
                <w:sz w:val="24"/>
                <w:szCs w:val="24"/>
              </w:rPr>
              <w:t>46</w:t>
            </w:r>
          </w:p>
        </w:tc>
      </w:tr>
      <w:tr w:rsidR="00D17B03" w:rsidRPr="00B751FD" w:rsidTr="005E45E0">
        <w:trPr>
          <w:trHeight w:val="104"/>
        </w:trPr>
        <w:tc>
          <w:tcPr>
            <w:tcW w:w="1608" w:type="dxa"/>
            <w:vMerge w:val="restart"/>
          </w:tcPr>
          <w:p w:rsidR="00D17B03" w:rsidRPr="00B751FD" w:rsidRDefault="00D17B03" w:rsidP="005E45E0">
            <w:pPr>
              <w:tabs>
                <w:tab w:val="left" w:pos="851"/>
              </w:tabs>
              <w:jc w:val="center"/>
              <w:rPr>
                <w:rFonts w:ascii="Times New Roman" w:hAnsi="Times New Roman"/>
                <w:sz w:val="24"/>
                <w:szCs w:val="24"/>
              </w:rPr>
            </w:pPr>
            <w:r w:rsidRPr="00B751FD">
              <w:rPr>
                <w:rFonts w:ascii="Times New Roman" w:hAnsi="Times New Roman"/>
                <w:sz w:val="24"/>
                <w:szCs w:val="24"/>
              </w:rPr>
              <w:t>5 mg</w:t>
            </w:r>
          </w:p>
        </w:tc>
        <w:tc>
          <w:tcPr>
            <w:tcW w:w="1610" w:type="dxa"/>
            <w:vMerge w:val="restart"/>
          </w:tcPr>
          <w:p w:rsidR="00D17B03" w:rsidRPr="00B751FD" w:rsidRDefault="00D17B03" w:rsidP="005E45E0">
            <w:pPr>
              <w:tabs>
                <w:tab w:val="left" w:pos="851"/>
              </w:tabs>
              <w:jc w:val="center"/>
              <w:rPr>
                <w:rFonts w:ascii="Times New Roman" w:hAnsi="Times New Roman"/>
                <w:sz w:val="24"/>
                <w:szCs w:val="24"/>
              </w:rPr>
            </w:pPr>
            <w:r w:rsidRPr="00B751FD">
              <w:rPr>
                <w:rFonts w:ascii="Times New Roman" w:hAnsi="Times New Roman"/>
                <w:sz w:val="24"/>
                <w:szCs w:val="24"/>
              </w:rPr>
              <w:t>1 år &lt;5 år</w:t>
            </w:r>
          </w:p>
        </w:tc>
        <w:tc>
          <w:tcPr>
            <w:tcW w:w="1700" w:type="dxa"/>
          </w:tcPr>
          <w:p w:rsidR="00D17B03" w:rsidRPr="00B751FD" w:rsidRDefault="00D17B03" w:rsidP="005E45E0">
            <w:pPr>
              <w:tabs>
                <w:tab w:val="left" w:pos="851"/>
              </w:tabs>
              <w:jc w:val="center"/>
              <w:rPr>
                <w:rFonts w:ascii="Times New Roman" w:hAnsi="Times New Roman"/>
                <w:sz w:val="24"/>
                <w:szCs w:val="24"/>
                <w:lang w:val="en-US"/>
              </w:rPr>
            </w:pPr>
            <w:r w:rsidRPr="00B751FD">
              <w:rPr>
                <w:rFonts w:ascii="Times New Roman" w:hAnsi="Times New Roman"/>
                <w:sz w:val="24"/>
                <w:szCs w:val="24"/>
                <w:lang w:val="en-US"/>
              </w:rPr>
              <w:t>AUC</w:t>
            </w:r>
            <w:r w:rsidRPr="00B751FD">
              <w:rPr>
                <w:rFonts w:ascii="Times New Roman" w:hAnsi="Times New Roman"/>
                <w:sz w:val="24"/>
                <w:szCs w:val="24"/>
                <w:vertAlign w:val="subscript"/>
                <w:lang w:val="en-US"/>
              </w:rPr>
              <w:t xml:space="preserve">0-inf </w:t>
            </w:r>
            <w:r w:rsidRPr="00B751FD">
              <w:rPr>
                <w:rFonts w:ascii="Times New Roman" w:hAnsi="Times New Roman"/>
                <w:sz w:val="24"/>
                <w:szCs w:val="24"/>
                <w:lang w:val="en-US"/>
              </w:rPr>
              <w:t>(ng.t/ml)</w:t>
            </w:r>
          </w:p>
        </w:tc>
        <w:tc>
          <w:tcPr>
            <w:tcW w:w="1728" w:type="dxa"/>
          </w:tcPr>
          <w:p w:rsidR="00D17B03" w:rsidRPr="00B751FD" w:rsidRDefault="00D17B03" w:rsidP="005E45E0">
            <w:pPr>
              <w:tabs>
                <w:tab w:val="left" w:pos="851"/>
              </w:tabs>
              <w:jc w:val="center"/>
              <w:rPr>
                <w:rFonts w:ascii="Times New Roman" w:hAnsi="Times New Roman"/>
                <w:sz w:val="24"/>
                <w:szCs w:val="24"/>
              </w:rPr>
            </w:pPr>
            <w:r w:rsidRPr="00B751FD">
              <w:rPr>
                <w:rFonts w:ascii="Times New Roman" w:hAnsi="Times New Roman"/>
                <w:sz w:val="24"/>
                <w:szCs w:val="24"/>
              </w:rPr>
              <w:t>242</w:t>
            </w:r>
          </w:p>
        </w:tc>
        <w:tc>
          <w:tcPr>
            <w:tcW w:w="1563" w:type="dxa"/>
          </w:tcPr>
          <w:p w:rsidR="00D17B03" w:rsidRPr="00B751FD" w:rsidRDefault="00D17B03" w:rsidP="005E45E0">
            <w:pPr>
              <w:tabs>
                <w:tab w:val="left" w:pos="851"/>
              </w:tabs>
              <w:jc w:val="center"/>
              <w:rPr>
                <w:rFonts w:ascii="Times New Roman" w:hAnsi="Times New Roman"/>
                <w:sz w:val="24"/>
                <w:szCs w:val="24"/>
              </w:rPr>
            </w:pPr>
            <w:r w:rsidRPr="00B751FD">
              <w:rPr>
                <w:rFonts w:ascii="Times New Roman" w:hAnsi="Times New Roman"/>
                <w:sz w:val="24"/>
                <w:szCs w:val="24"/>
              </w:rPr>
              <w:t>116</w:t>
            </w:r>
          </w:p>
        </w:tc>
      </w:tr>
      <w:tr w:rsidR="00D17B03" w:rsidRPr="00B751FD" w:rsidTr="005E45E0">
        <w:trPr>
          <w:trHeight w:val="103"/>
        </w:trPr>
        <w:tc>
          <w:tcPr>
            <w:tcW w:w="1608" w:type="dxa"/>
            <w:vMerge/>
          </w:tcPr>
          <w:p w:rsidR="00D17B03" w:rsidRPr="00B751FD" w:rsidRDefault="00D17B03" w:rsidP="005E45E0">
            <w:pPr>
              <w:tabs>
                <w:tab w:val="left" w:pos="851"/>
              </w:tabs>
              <w:jc w:val="center"/>
              <w:rPr>
                <w:rFonts w:ascii="Times New Roman" w:hAnsi="Times New Roman"/>
                <w:sz w:val="24"/>
                <w:szCs w:val="24"/>
              </w:rPr>
            </w:pPr>
          </w:p>
        </w:tc>
        <w:tc>
          <w:tcPr>
            <w:tcW w:w="1610" w:type="dxa"/>
            <w:vMerge/>
          </w:tcPr>
          <w:p w:rsidR="00D17B03" w:rsidRPr="00B751FD" w:rsidRDefault="00D17B03" w:rsidP="005E45E0">
            <w:pPr>
              <w:tabs>
                <w:tab w:val="left" w:pos="851"/>
              </w:tabs>
              <w:jc w:val="center"/>
              <w:rPr>
                <w:rFonts w:ascii="Times New Roman" w:hAnsi="Times New Roman"/>
                <w:sz w:val="24"/>
                <w:szCs w:val="24"/>
              </w:rPr>
            </w:pPr>
          </w:p>
        </w:tc>
        <w:tc>
          <w:tcPr>
            <w:tcW w:w="1700" w:type="dxa"/>
          </w:tcPr>
          <w:p w:rsidR="00D17B03" w:rsidRPr="00B751FD" w:rsidRDefault="00D17B03" w:rsidP="005E45E0">
            <w:pPr>
              <w:tabs>
                <w:tab w:val="left" w:pos="851"/>
              </w:tabs>
              <w:jc w:val="center"/>
              <w:rPr>
                <w:rFonts w:ascii="Times New Roman" w:hAnsi="Times New Roman"/>
                <w:sz w:val="24"/>
                <w:szCs w:val="24"/>
              </w:rPr>
            </w:pPr>
            <w:proofErr w:type="spellStart"/>
            <w:r w:rsidRPr="00B751FD">
              <w:rPr>
                <w:rFonts w:ascii="Times New Roman" w:hAnsi="Times New Roman"/>
                <w:sz w:val="24"/>
                <w:szCs w:val="24"/>
              </w:rPr>
              <w:t>C</w:t>
            </w:r>
            <w:r w:rsidRPr="00B751FD">
              <w:rPr>
                <w:rFonts w:ascii="Times New Roman" w:hAnsi="Times New Roman"/>
                <w:sz w:val="24"/>
                <w:szCs w:val="24"/>
                <w:vertAlign w:val="subscript"/>
              </w:rPr>
              <w:t>max</w:t>
            </w:r>
            <w:proofErr w:type="spellEnd"/>
            <w:r w:rsidRPr="00B751FD">
              <w:rPr>
                <w:rFonts w:ascii="Times New Roman" w:hAnsi="Times New Roman"/>
                <w:sz w:val="24"/>
                <w:szCs w:val="24"/>
              </w:rPr>
              <w:t xml:space="preserve"> (</w:t>
            </w:r>
            <w:proofErr w:type="spellStart"/>
            <w:r w:rsidRPr="00B751FD">
              <w:rPr>
                <w:rFonts w:ascii="Times New Roman" w:hAnsi="Times New Roman"/>
                <w:sz w:val="24"/>
                <w:szCs w:val="24"/>
              </w:rPr>
              <w:t>ng</w:t>
            </w:r>
            <w:proofErr w:type="spellEnd"/>
            <w:r w:rsidRPr="00B751FD">
              <w:rPr>
                <w:rFonts w:ascii="Times New Roman" w:hAnsi="Times New Roman"/>
                <w:sz w:val="24"/>
                <w:szCs w:val="24"/>
              </w:rPr>
              <w:t>/ml)</w:t>
            </w:r>
          </w:p>
        </w:tc>
        <w:tc>
          <w:tcPr>
            <w:tcW w:w="1728" w:type="dxa"/>
          </w:tcPr>
          <w:p w:rsidR="00D17B03" w:rsidRPr="00B751FD" w:rsidRDefault="00D17B03" w:rsidP="005E45E0">
            <w:pPr>
              <w:tabs>
                <w:tab w:val="left" w:pos="851"/>
              </w:tabs>
              <w:jc w:val="center"/>
              <w:rPr>
                <w:rFonts w:ascii="Times New Roman" w:hAnsi="Times New Roman"/>
                <w:sz w:val="24"/>
                <w:szCs w:val="24"/>
              </w:rPr>
            </w:pPr>
            <w:r w:rsidRPr="00B751FD">
              <w:rPr>
                <w:rFonts w:ascii="Times New Roman" w:hAnsi="Times New Roman"/>
                <w:sz w:val="24"/>
                <w:szCs w:val="24"/>
              </w:rPr>
              <w:t>148</w:t>
            </w:r>
          </w:p>
        </w:tc>
        <w:tc>
          <w:tcPr>
            <w:tcW w:w="1563" w:type="dxa"/>
          </w:tcPr>
          <w:p w:rsidR="00D17B03" w:rsidRPr="00B751FD" w:rsidRDefault="00D17B03" w:rsidP="005E45E0">
            <w:pPr>
              <w:tabs>
                <w:tab w:val="left" w:pos="851"/>
              </w:tabs>
              <w:jc w:val="center"/>
              <w:rPr>
                <w:rFonts w:ascii="Times New Roman" w:hAnsi="Times New Roman"/>
                <w:sz w:val="24"/>
                <w:szCs w:val="24"/>
              </w:rPr>
            </w:pPr>
            <w:r w:rsidRPr="00B751FD">
              <w:rPr>
                <w:rFonts w:ascii="Times New Roman" w:hAnsi="Times New Roman"/>
                <w:sz w:val="24"/>
                <w:szCs w:val="24"/>
              </w:rPr>
              <w:t>62</w:t>
            </w:r>
          </w:p>
        </w:tc>
      </w:tr>
      <w:tr w:rsidR="00D17B03" w:rsidRPr="00B751FD" w:rsidTr="005E45E0">
        <w:trPr>
          <w:trHeight w:val="104"/>
        </w:trPr>
        <w:tc>
          <w:tcPr>
            <w:tcW w:w="1608" w:type="dxa"/>
            <w:vMerge w:val="restart"/>
          </w:tcPr>
          <w:p w:rsidR="00D17B03" w:rsidRPr="00B751FD" w:rsidRDefault="00D17B03" w:rsidP="005E45E0">
            <w:pPr>
              <w:tabs>
                <w:tab w:val="left" w:pos="851"/>
              </w:tabs>
              <w:jc w:val="center"/>
              <w:rPr>
                <w:rFonts w:ascii="Times New Roman" w:hAnsi="Times New Roman"/>
                <w:sz w:val="24"/>
                <w:szCs w:val="24"/>
              </w:rPr>
            </w:pPr>
            <w:r w:rsidRPr="00B751FD">
              <w:rPr>
                <w:rFonts w:ascii="Times New Roman" w:hAnsi="Times New Roman"/>
                <w:sz w:val="24"/>
                <w:szCs w:val="24"/>
              </w:rPr>
              <w:t>7,5 mg</w:t>
            </w:r>
          </w:p>
        </w:tc>
        <w:tc>
          <w:tcPr>
            <w:tcW w:w="1610" w:type="dxa"/>
            <w:vMerge w:val="restart"/>
          </w:tcPr>
          <w:p w:rsidR="00D17B03" w:rsidRPr="00B751FD" w:rsidRDefault="00D17B03" w:rsidP="005E45E0">
            <w:pPr>
              <w:tabs>
                <w:tab w:val="left" w:pos="851"/>
              </w:tabs>
              <w:jc w:val="center"/>
              <w:rPr>
                <w:rFonts w:ascii="Times New Roman" w:hAnsi="Times New Roman"/>
                <w:sz w:val="24"/>
                <w:szCs w:val="24"/>
              </w:rPr>
            </w:pPr>
            <w:r w:rsidRPr="00B751FD">
              <w:rPr>
                <w:rFonts w:ascii="Times New Roman" w:hAnsi="Times New Roman"/>
                <w:sz w:val="24"/>
                <w:szCs w:val="24"/>
              </w:rPr>
              <w:t>5 år &lt;10 år</w:t>
            </w:r>
          </w:p>
        </w:tc>
        <w:tc>
          <w:tcPr>
            <w:tcW w:w="1700" w:type="dxa"/>
          </w:tcPr>
          <w:p w:rsidR="00D17B03" w:rsidRPr="00B751FD" w:rsidRDefault="00D17B03" w:rsidP="005E45E0">
            <w:pPr>
              <w:tabs>
                <w:tab w:val="left" w:pos="851"/>
              </w:tabs>
              <w:jc w:val="center"/>
              <w:rPr>
                <w:rFonts w:ascii="Times New Roman" w:hAnsi="Times New Roman"/>
                <w:sz w:val="24"/>
                <w:szCs w:val="24"/>
                <w:lang w:val="en-US"/>
              </w:rPr>
            </w:pPr>
            <w:r w:rsidRPr="00B751FD">
              <w:rPr>
                <w:rFonts w:ascii="Times New Roman" w:hAnsi="Times New Roman"/>
                <w:sz w:val="24"/>
                <w:szCs w:val="24"/>
                <w:lang w:val="en-US"/>
              </w:rPr>
              <w:t>AUC</w:t>
            </w:r>
            <w:r w:rsidRPr="00B751FD">
              <w:rPr>
                <w:rFonts w:ascii="Times New Roman" w:hAnsi="Times New Roman"/>
                <w:sz w:val="24"/>
                <w:szCs w:val="24"/>
                <w:vertAlign w:val="subscript"/>
                <w:lang w:val="en-US"/>
              </w:rPr>
              <w:t xml:space="preserve">0-inf </w:t>
            </w:r>
            <w:r w:rsidRPr="00B751FD">
              <w:rPr>
                <w:rFonts w:ascii="Times New Roman" w:hAnsi="Times New Roman"/>
                <w:sz w:val="24"/>
                <w:szCs w:val="24"/>
                <w:lang w:val="en-US"/>
              </w:rPr>
              <w:t>(ng.t/ml)</w:t>
            </w:r>
          </w:p>
        </w:tc>
        <w:tc>
          <w:tcPr>
            <w:tcW w:w="1728" w:type="dxa"/>
          </w:tcPr>
          <w:p w:rsidR="00D17B03" w:rsidRPr="00B751FD" w:rsidRDefault="00D17B03" w:rsidP="005E45E0">
            <w:pPr>
              <w:tabs>
                <w:tab w:val="left" w:pos="851"/>
              </w:tabs>
              <w:jc w:val="center"/>
              <w:rPr>
                <w:rFonts w:ascii="Times New Roman" w:hAnsi="Times New Roman"/>
                <w:sz w:val="24"/>
                <w:szCs w:val="24"/>
              </w:rPr>
            </w:pPr>
            <w:r w:rsidRPr="00B751FD">
              <w:rPr>
                <w:rFonts w:ascii="Times New Roman" w:hAnsi="Times New Roman"/>
                <w:sz w:val="24"/>
                <w:szCs w:val="24"/>
              </w:rPr>
              <w:t>254</w:t>
            </w:r>
          </w:p>
        </w:tc>
        <w:tc>
          <w:tcPr>
            <w:tcW w:w="1563" w:type="dxa"/>
          </w:tcPr>
          <w:p w:rsidR="00D17B03" w:rsidRPr="00B751FD" w:rsidRDefault="00D17B03" w:rsidP="005E45E0">
            <w:pPr>
              <w:tabs>
                <w:tab w:val="left" w:pos="851"/>
              </w:tabs>
              <w:jc w:val="center"/>
              <w:rPr>
                <w:rFonts w:ascii="Times New Roman" w:hAnsi="Times New Roman"/>
                <w:sz w:val="24"/>
                <w:szCs w:val="24"/>
              </w:rPr>
            </w:pPr>
            <w:r w:rsidRPr="00B751FD">
              <w:rPr>
                <w:rFonts w:ascii="Times New Roman" w:hAnsi="Times New Roman"/>
                <w:sz w:val="24"/>
                <w:szCs w:val="24"/>
              </w:rPr>
              <w:t>136</w:t>
            </w:r>
          </w:p>
        </w:tc>
      </w:tr>
      <w:tr w:rsidR="00D17B03" w:rsidRPr="00B751FD" w:rsidTr="005E45E0">
        <w:trPr>
          <w:trHeight w:val="103"/>
        </w:trPr>
        <w:tc>
          <w:tcPr>
            <w:tcW w:w="1608" w:type="dxa"/>
            <w:vMerge/>
          </w:tcPr>
          <w:p w:rsidR="00D17B03" w:rsidRPr="00B751FD" w:rsidRDefault="00D17B03" w:rsidP="005E45E0">
            <w:pPr>
              <w:tabs>
                <w:tab w:val="left" w:pos="851"/>
              </w:tabs>
              <w:jc w:val="center"/>
              <w:rPr>
                <w:rFonts w:ascii="Times New Roman" w:hAnsi="Times New Roman"/>
                <w:sz w:val="24"/>
                <w:szCs w:val="24"/>
              </w:rPr>
            </w:pPr>
          </w:p>
        </w:tc>
        <w:tc>
          <w:tcPr>
            <w:tcW w:w="1610" w:type="dxa"/>
            <w:vMerge/>
          </w:tcPr>
          <w:p w:rsidR="00D17B03" w:rsidRPr="00B751FD" w:rsidRDefault="00D17B03" w:rsidP="005E45E0">
            <w:pPr>
              <w:tabs>
                <w:tab w:val="left" w:pos="851"/>
              </w:tabs>
              <w:jc w:val="center"/>
              <w:rPr>
                <w:rFonts w:ascii="Times New Roman" w:hAnsi="Times New Roman"/>
                <w:sz w:val="24"/>
                <w:szCs w:val="24"/>
              </w:rPr>
            </w:pPr>
          </w:p>
        </w:tc>
        <w:tc>
          <w:tcPr>
            <w:tcW w:w="1700" w:type="dxa"/>
          </w:tcPr>
          <w:p w:rsidR="00D17B03" w:rsidRPr="00B751FD" w:rsidRDefault="00D17B03" w:rsidP="005E45E0">
            <w:pPr>
              <w:tabs>
                <w:tab w:val="left" w:pos="851"/>
              </w:tabs>
              <w:jc w:val="center"/>
              <w:rPr>
                <w:rFonts w:ascii="Times New Roman" w:hAnsi="Times New Roman"/>
                <w:sz w:val="24"/>
                <w:szCs w:val="24"/>
              </w:rPr>
            </w:pPr>
            <w:proofErr w:type="spellStart"/>
            <w:r w:rsidRPr="00B751FD">
              <w:rPr>
                <w:rFonts w:ascii="Times New Roman" w:hAnsi="Times New Roman"/>
                <w:sz w:val="24"/>
                <w:szCs w:val="24"/>
              </w:rPr>
              <w:t>C</w:t>
            </w:r>
            <w:r w:rsidRPr="00B751FD">
              <w:rPr>
                <w:rFonts w:ascii="Times New Roman" w:hAnsi="Times New Roman"/>
                <w:sz w:val="24"/>
                <w:szCs w:val="24"/>
                <w:vertAlign w:val="subscript"/>
              </w:rPr>
              <w:t>max</w:t>
            </w:r>
            <w:proofErr w:type="spellEnd"/>
            <w:r w:rsidRPr="00B751FD">
              <w:rPr>
                <w:rFonts w:ascii="Times New Roman" w:hAnsi="Times New Roman"/>
                <w:sz w:val="24"/>
                <w:szCs w:val="24"/>
              </w:rPr>
              <w:t xml:space="preserve"> (</w:t>
            </w:r>
            <w:proofErr w:type="spellStart"/>
            <w:r w:rsidRPr="00B751FD">
              <w:rPr>
                <w:rFonts w:ascii="Times New Roman" w:hAnsi="Times New Roman"/>
                <w:sz w:val="24"/>
                <w:szCs w:val="24"/>
              </w:rPr>
              <w:t>ng</w:t>
            </w:r>
            <w:proofErr w:type="spellEnd"/>
            <w:r w:rsidRPr="00B751FD">
              <w:rPr>
                <w:rFonts w:ascii="Times New Roman" w:hAnsi="Times New Roman"/>
                <w:sz w:val="24"/>
                <w:szCs w:val="24"/>
              </w:rPr>
              <w:t>/ml)</w:t>
            </w:r>
          </w:p>
        </w:tc>
        <w:tc>
          <w:tcPr>
            <w:tcW w:w="1728" w:type="dxa"/>
          </w:tcPr>
          <w:p w:rsidR="00D17B03" w:rsidRPr="00B751FD" w:rsidRDefault="00D17B03" w:rsidP="005E45E0">
            <w:pPr>
              <w:tabs>
                <w:tab w:val="left" w:pos="851"/>
              </w:tabs>
              <w:jc w:val="center"/>
              <w:rPr>
                <w:rFonts w:ascii="Times New Roman" w:hAnsi="Times New Roman"/>
                <w:sz w:val="24"/>
                <w:szCs w:val="24"/>
              </w:rPr>
            </w:pPr>
            <w:r w:rsidRPr="00B751FD">
              <w:rPr>
                <w:rFonts w:ascii="Times New Roman" w:hAnsi="Times New Roman"/>
                <w:sz w:val="24"/>
                <w:szCs w:val="24"/>
              </w:rPr>
              <w:t>140</w:t>
            </w:r>
          </w:p>
        </w:tc>
        <w:tc>
          <w:tcPr>
            <w:tcW w:w="1563" w:type="dxa"/>
          </w:tcPr>
          <w:p w:rsidR="00D17B03" w:rsidRPr="00B751FD" w:rsidRDefault="00D17B03" w:rsidP="005E45E0">
            <w:pPr>
              <w:tabs>
                <w:tab w:val="left" w:pos="851"/>
              </w:tabs>
              <w:jc w:val="center"/>
              <w:rPr>
                <w:rFonts w:ascii="Times New Roman" w:hAnsi="Times New Roman"/>
                <w:sz w:val="24"/>
                <w:szCs w:val="24"/>
              </w:rPr>
            </w:pPr>
            <w:r w:rsidRPr="00B751FD">
              <w:rPr>
                <w:rFonts w:ascii="Times New Roman" w:hAnsi="Times New Roman"/>
                <w:sz w:val="24"/>
                <w:szCs w:val="24"/>
              </w:rPr>
              <w:t>60</w:t>
            </w:r>
          </w:p>
        </w:tc>
      </w:tr>
      <w:tr w:rsidR="00D17B03" w:rsidRPr="00B751FD" w:rsidTr="005E45E0">
        <w:trPr>
          <w:trHeight w:val="104"/>
        </w:trPr>
        <w:tc>
          <w:tcPr>
            <w:tcW w:w="1608" w:type="dxa"/>
            <w:vMerge w:val="restart"/>
          </w:tcPr>
          <w:p w:rsidR="00D17B03" w:rsidRPr="00B751FD" w:rsidRDefault="00D17B03" w:rsidP="005E45E0">
            <w:pPr>
              <w:tabs>
                <w:tab w:val="left" w:pos="851"/>
              </w:tabs>
              <w:jc w:val="center"/>
              <w:rPr>
                <w:rFonts w:ascii="Times New Roman" w:hAnsi="Times New Roman"/>
                <w:sz w:val="24"/>
                <w:szCs w:val="24"/>
              </w:rPr>
            </w:pPr>
            <w:r w:rsidRPr="00B751FD">
              <w:rPr>
                <w:rFonts w:ascii="Times New Roman" w:hAnsi="Times New Roman"/>
                <w:sz w:val="24"/>
                <w:szCs w:val="24"/>
              </w:rPr>
              <w:t>10 mg</w:t>
            </w:r>
          </w:p>
        </w:tc>
        <w:tc>
          <w:tcPr>
            <w:tcW w:w="1610" w:type="dxa"/>
            <w:vMerge w:val="restart"/>
          </w:tcPr>
          <w:p w:rsidR="00D17B03" w:rsidRPr="00B751FD" w:rsidRDefault="00D17B03" w:rsidP="005E45E0">
            <w:pPr>
              <w:tabs>
                <w:tab w:val="left" w:pos="851"/>
              </w:tabs>
              <w:jc w:val="center"/>
              <w:rPr>
                <w:rFonts w:ascii="Times New Roman" w:hAnsi="Times New Roman"/>
                <w:sz w:val="24"/>
                <w:szCs w:val="24"/>
              </w:rPr>
            </w:pPr>
            <w:r w:rsidRPr="00B751FD">
              <w:rPr>
                <w:rFonts w:ascii="Times New Roman" w:hAnsi="Times New Roman"/>
                <w:sz w:val="24"/>
                <w:szCs w:val="24"/>
              </w:rPr>
              <w:t>10 år &lt;18 år</w:t>
            </w:r>
          </w:p>
        </w:tc>
        <w:tc>
          <w:tcPr>
            <w:tcW w:w="1700" w:type="dxa"/>
          </w:tcPr>
          <w:p w:rsidR="00D17B03" w:rsidRPr="00B751FD" w:rsidRDefault="00D17B03" w:rsidP="005E45E0">
            <w:pPr>
              <w:tabs>
                <w:tab w:val="left" w:pos="851"/>
              </w:tabs>
              <w:jc w:val="center"/>
              <w:rPr>
                <w:rFonts w:ascii="Times New Roman" w:hAnsi="Times New Roman"/>
                <w:sz w:val="24"/>
                <w:szCs w:val="24"/>
                <w:lang w:val="en-US"/>
              </w:rPr>
            </w:pPr>
            <w:r w:rsidRPr="00B751FD">
              <w:rPr>
                <w:rFonts w:ascii="Times New Roman" w:hAnsi="Times New Roman"/>
                <w:sz w:val="24"/>
                <w:szCs w:val="24"/>
                <w:lang w:val="en-US"/>
              </w:rPr>
              <w:t>AUC</w:t>
            </w:r>
            <w:r w:rsidRPr="00B751FD">
              <w:rPr>
                <w:rFonts w:ascii="Times New Roman" w:hAnsi="Times New Roman"/>
                <w:sz w:val="24"/>
                <w:szCs w:val="24"/>
                <w:vertAlign w:val="subscript"/>
                <w:lang w:val="en-US"/>
              </w:rPr>
              <w:t xml:space="preserve">0-inf </w:t>
            </w:r>
            <w:r w:rsidRPr="00B751FD">
              <w:rPr>
                <w:rFonts w:ascii="Times New Roman" w:hAnsi="Times New Roman"/>
                <w:sz w:val="24"/>
                <w:szCs w:val="24"/>
                <w:lang w:val="en-US"/>
              </w:rPr>
              <w:t>(ng.t/ml)</w:t>
            </w:r>
          </w:p>
        </w:tc>
        <w:tc>
          <w:tcPr>
            <w:tcW w:w="1728" w:type="dxa"/>
          </w:tcPr>
          <w:p w:rsidR="00D17B03" w:rsidRPr="00B751FD" w:rsidRDefault="00D17B03" w:rsidP="005E45E0">
            <w:pPr>
              <w:tabs>
                <w:tab w:val="left" w:pos="851"/>
              </w:tabs>
              <w:jc w:val="center"/>
              <w:rPr>
                <w:rFonts w:ascii="Times New Roman" w:hAnsi="Times New Roman"/>
                <w:sz w:val="24"/>
                <w:szCs w:val="24"/>
              </w:rPr>
            </w:pPr>
            <w:r w:rsidRPr="00B751FD">
              <w:rPr>
                <w:rFonts w:ascii="Times New Roman" w:hAnsi="Times New Roman"/>
                <w:sz w:val="24"/>
                <w:szCs w:val="24"/>
              </w:rPr>
              <w:t>189</w:t>
            </w:r>
          </w:p>
        </w:tc>
        <w:tc>
          <w:tcPr>
            <w:tcW w:w="1563" w:type="dxa"/>
          </w:tcPr>
          <w:p w:rsidR="00D17B03" w:rsidRPr="00B751FD" w:rsidRDefault="00D17B03" w:rsidP="005E45E0">
            <w:pPr>
              <w:tabs>
                <w:tab w:val="left" w:pos="851"/>
              </w:tabs>
              <w:jc w:val="center"/>
              <w:rPr>
                <w:rFonts w:ascii="Times New Roman" w:hAnsi="Times New Roman"/>
                <w:sz w:val="24"/>
                <w:szCs w:val="24"/>
              </w:rPr>
            </w:pPr>
            <w:r w:rsidRPr="00B751FD">
              <w:rPr>
                <w:rFonts w:ascii="Times New Roman" w:hAnsi="Times New Roman"/>
                <w:sz w:val="24"/>
                <w:szCs w:val="24"/>
              </w:rPr>
              <w:t>96</w:t>
            </w:r>
          </w:p>
        </w:tc>
      </w:tr>
      <w:tr w:rsidR="00D17B03" w:rsidRPr="00B751FD" w:rsidTr="005E45E0">
        <w:trPr>
          <w:trHeight w:val="103"/>
        </w:trPr>
        <w:tc>
          <w:tcPr>
            <w:tcW w:w="1608" w:type="dxa"/>
            <w:vMerge/>
          </w:tcPr>
          <w:p w:rsidR="00D17B03" w:rsidRPr="00B751FD" w:rsidRDefault="00D17B03" w:rsidP="005E45E0">
            <w:pPr>
              <w:tabs>
                <w:tab w:val="left" w:pos="851"/>
              </w:tabs>
              <w:jc w:val="center"/>
              <w:rPr>
                <w:rFonts w:ascii="Times New Roman" w:hAnsi="Times New Roman"/>
                <w:sz w:val="24"/>
                <w:szCs w:val="24"/>
              </w:rPr>
            </w:pPr>
          </w:p>
        </w:tc>
        <w:tc>
          <w:tcPr>
            <w:tcW w:w="1610" w:type="dxa"/>
            <w:vMerge/>
          </w:tcPr>
          <w:p w:rsidR="00D17B03" w:rsidRPr="00B751FD" w:rsidRDefault="00D17B03" w:rsidP="005E45E0">
            <w:pPr>
              <w:tabs>
                <w:tab w:val="left" w:pos="851"/>
              </w:tabs>
              <w:jc w:val="center"/>
              <w:rPr>
                <w:rFonts w:ascii="Times New Roman" w:hAnsi="Times New Roman"/>
                <w:sz w:val="24"/>
                <w:szCs w:val="24"/>
              </w:rPr>
            </w:pPr>
          </w:p>
        </w:tc>
        <w:tc>
          <w:tcPr>
            <w:tcW w:w="1700" w:type="dxa"/>
          </w:tcPr>
          <w:p w:rsidR="00D17B03" w:rsidRPr="00B751FD" w:rsidRDefault="00D17B03" w:rsidP="005E45E0">
            <w:pPr>
              <w:tabs>
                <w:tab w:val="left" w:pos="851"/>
              </w:tabs>
              <w:jc w:val="center"/>
              <w:rPr>
                <w:rFonts w:ascii="Times New Roman" w:hAnsi="Times New Roman"/>
                <w:sz w:val="24"/>
                <w:szCs w:val="24"/>
              </w:rPr>
            </w:pPr>
            <w:proofErr w:type="spellStart"/>
            <w:r w:rsidRPr="00B751FD">
              <w:rPr>
                <w:rFonts w:ascii="Times New Roman" w:hAnsi="Times New Roman"/>
                <w:sz w:val="24"/>
                <w:szCs w:val="24"/>
              </w:rPr>
              <w:t>C</w:t>
            </w:r>
            <w:r w:rsidRPr="00B751FD">
              <w:rPr>
                <w:rFonts w:ascii="Times New Roman" w:hAnsi="Times New Roman"/>
                <w:sz w:val="24"/>
                <w:szCs w:val="24"/>
                <w:vertAlign w:val="subscript"/>
              </w:rPr>
              <w:t>max</w:t>
            </w:r>
            <w:proofErr w:type="spellEnd"/>
            <w:r w:rsidRPr="00B751FD">
              <w:rPr>
                <w:rFonts w:ascii="Times New Roman" w:hAnsi="Times New Roman"/>
                <w:sz w:val="24"/>
                <w:szCs w:val="24"/>
              </w:rPr>
              <w:t xml:space="preserve"> (</w:t>
            </w:r>
            <w:proofErr w:type="spellStart"/>
            <w:r w:rsidRPr="00B751FD">
              <w:rPr>
                <w:rFonts w:ascii="Times New Roman" w:hAnsi="Times New Roman"/>
                <w:sz w:val="24"/>
                <w:szCs w:val="24"/>
              </w:rPr>
              <w:t>ng</w:t>
            </w:r>
            <w:proofErr w:type="spellEnd"/>
            <w:r w:rsidRPr="00B751FD">
              <w:rPr>
                <w:rFonts w:ascii="Times New Roman" w:hAnsi="Times New Roman"/>
                <w:sz w:val="24"/>
                <w:szCs w:val="24"/>
              </w:rPr>
              <w:t>/ml)</w:t>
            </w:r>
          </w:p>
        </w:tc>
        <w:tc>
          <w:tcPr>
            <w:tcW w:w="1728" w:type="dxa"/>
          </w:tcPr>
          <w:p w:rsidR="00D17B03" w:rsidRPr="00B751FD" w:rsidRDefault="00D17B03" w:rsidP="005E45E0">
            <w:pPr>
              <w:tabs>
                <w:tab w:val="left" w:pos="851"/>
              </w:tabs>
              <w:jc w:val="center"/>
              <w:rPr>
                <w:rFonts w:ascii="Times New Roman" w:hAnsi="Times New Roman"/>
                <w:sz w:val="24"/>
                <w:szCs w:val="24"/>
              </w:rPr>
            </w:pPr>
            <w:r w:rsidRPr="00B751FD">
              <w:rPr>
                <w:rFonts w:ascii="Times New Roman" w:hAnsi="Times New Roman"/>
                <w:sz w:val="24"/>
                <w:szCs w:val="24"/>
              </w:rPr>
              <w:t>87</w:t>
            </w:r>
          </w:p>
        </w:tc>
        <w:tc>
          <w:tcPr>
            <w:tcW w:w="1563" w:type="dxa"/>
          </w:tcPr>
          <w:p w:rsidR="00D17B03" w:rsidRPr="00B751FD" w:rsidRDefault="00D17B03" w:rsidP="005E45E0">
            <w:pPr>
              <w:tabs>
                <w:tab w:val="left" w:pos="851"/>
              </w:tabs>
              <w:jc w:val="center"/>
              <w:rPr>
                <w:rFonts w:ascii="Times New Roman" w:hAnsi="Times New Roman"/>
                <w:sz w:val="24"/>
                <w:szCs w:val="24"/>
              </w:rPr>
            </w:pPr>
            <w:r w:rsidRPr="00B751FD">
              <w:rPr>
                <w:rFonts w:ascii="Times New Roman" w:hAnsi="Times New Roman"/>
                <w:sz w:val="24"/>
                <w:szCs w:val="24"/>
              </w:rPr>
              <w:t>44</w:t>
            </w:r>
          </w:p>
        </w:tc>
      </w:tr>
    </w:tbl>
    <w:p w:rsidR="007F6AE5" w:rsidRDefault="007F6AE5" w:rsidP="00D17B03">
      <w:pPr>
        <w:tabs>
          <w:tab w:val="left" w:pos="851"/>
        </w:tabs>
        <w:ind w:left="851"/>
        <w:rPr>
          <w:sz w:val="24"/>
          <w:szCs w:val="24"/>
        </w:rPr>
      </w:pPr>
    </w:p>
    <w:p w:rsidR="007F6AE5" w:rsidRDefault="007F6AE5">
      <w:pPr>
        <w:rPr>
          <w:sz w:val="24"/>
          <w:szCs w:val="24"/>
        </w:rPr>
      </w:pPr>
      <w:r>
        <w:rPr>
          <w:sz w:val="24"/>
          <w:szCs w:val="24"/>
        </w:rPr>
        <w:br w:type="page"/>
      </w:r>
    </w:p>
    <w:p w:rsidR="00D17B03" w:rsidRPr="00B751FD" w:rsidRDefault="00D17B03" w:rsidP="00D17B03">
      <w:pPr>
        <w:tabs>
          <w:tab w:val="left" w:pos="851"/>
        </w:tabs>
        <w:ind w:left="851"/>
        <w:rPr>
          <w:sz w:val="24"/>
          <w:szCs w:val="24"/>
        </w:rPr>
      </w:pPr>
    </w:p>
    <w:p w:rsidR="00D17B03" w:rsidRPr="00B751FD" w:rsidRDefault="00D17B03" w:rsidP="00D17B03">
      <w:pPr>
        <w:tabs>
          <w:tab w:val="left" w:pos="851"/>
        </w:tabs>
        <w:ind w:left="851"/>
        <w:rPr>
          <w:i/>
          <w:iCs/>
          <w:sz w:val="24"/>
          <w:szCs w:val="24"/>
          <w:u w:val="single"/>
          <w:lang w:eastAsia="da-DK"/>
        </w:rPr>
      </w:pPr>
      <w:r w:rsidRPr="00B751FD">
        <w:rPr>
          <w:sz w:val="24"/>
          <w:szCs w:val="24"/>
          <w:u w:val="single"/>
        </w:rPr>
        <w:t>Absorption</w:t>
      </w:r>
    </w:p>
    <w:p w:rsidR="00D17B03" w:rsidRPr="00B751FD" w:rsidRDefault="00D17B03" w:rsidP="00D17B03">
      <w:pPr>
        <w:tabs>
          <w:tab w:val="left" w:pos="851"/>
        </w:tabs>
        <w:ind w:left="851"/>
        <w:rPr>
          <w:sz w:val="24"/>
          <w:szCs w:val="24"/>
        </w:rPr>
      </w:pPr>
      <w:r w:rsidRPr="00B751FD">
        <w:rPr>
          <w:sz w:val="24"/>
          <w:szCs w:val="24"/>
        </w:rPr>
        <w:t xml:space="preserve">Absorption af </w:t>
      </w:r>
      <w:proofErr w:type="spellStart"/>
      <w:r w:rsidRPr="00B751FD">
        <w:rPr>
          <w:sz w:val="24"/>
          <w:szCs w:val="24"/>
        </w:rPr>
        <w:t>midazolam</w:t>
      </w:r>
      <w:proofErr w:type="spellEnd"/>
      <w:r w:rsidRPr="00B751FD">
        <w:rPr>
          <w:sz w:val="24"/>
          <w:szCs w:val="24"/>
        </w:rPr>
        <w:t xml:space="preserve"> fra mundslimhinden er hurtig. De maksimale plasmakoncentrationer opnås i løbet af 30 minutter. Den absolutte biotilgængelighed af </w:t>
      </w:r>
      <w:proofErr w:type="spellStart"/>
      <w:r w:rsidRPr="00B751FD">
        <w:rPr>
          <w:sz w:val="24"/>
          <w:szCs w:val="24"/>
        </w:rPr>
        <w:t>midazolam</w:t>
      </w:r>
      <w:proofErr w:type="spellEnd"/>
      <w:r w:rsidRPr="00B751FD">
        <w:rPr>
          <w:sz w:val="24"/>
          <w:szCs w:val="24"/>
        </w:rPr>
        <w:t xml:space="preserve"> indgivet via mundhulen er cirka 75 % hos raske voksne. Biotilgængeligheden af </w:t>
      </w:r>
      <w:proofErr w:type="spellStart"/>
      <w:r w:rsidRPr="00B751FD">
        <w:rPr>
          <w:sz w:val="24"/>
          <w:szCs w:val="24"/>
        </w:rPr>
        <w:t>midazolam</w:t>
      </w:r>
      <w:proofErr w:type="spellEnd"/>
      <w:r w:rsidRPr="00B751FD">
        <w:rPr>
          <w:sz w:val="24"/>
          <w:szCs w:val="24"/>
        </w:rPr>
        <w:t xml:space="preserve"> indgivet via mundhulen er blevet estimeret til 87 % hos børn med svær malaria og krampeanfald.</w:t>
      </w:r>
    </w:p>
    <w:p w:rsidR="00D17B03" w:rsidRPr="00B751FD" w:rsidRDefault="00D17B03" w:rsidP="00D17B03">
      <w:pPr>
        <w:tabs>
          <w:tab w:val="left" w:pos="851"/>
        </w:tabs>
        <w:ind w:left="851"/>
        <w:rPr>
          <w:i/>
          <w:iCs/>
          <w:sz w:val="24"/>
          <w:szCs w:val="24"/>
          <w:u w:val="single"/>
        </w:rPr>
      </w:pPr>
    </w:p>
    <w:p w:rsidR="00D17B03" w:rsidRPr="00B751FD" w:rsidRDefault="00D17B03" w:rsidP="00D17B03">
      <w:pPr>
        <w:tabs>
          <w:tab w:val="left" w:pos="851"/>
        </w:tabs>
        <w:ind w:left="851"/>
        <w:rPr>
          <w:sz w:val="24"/>
          <w:szCs w:val="24"/>
          <w:u w:val="single"/>
        </w:rPr>
      </w:pPr>
      <w:r w:rsidRPr="00B751FD">
        <w:rPr>
          <w:sz w:val="24"/>
          <w:szCs w:val="24"/>
          <w:u w:val="single"/>
        </w:rPr>
        <w:t>Fordeling</w:t>
      </w:r>
    </w:p>
    <w:p w:rsidR="00D17B03" w:rsidRPr="00B751FD" w:rsidRDefault="00D17B03" w:rsidP="00D17B03">
      <w:pPr>
        <w:tabs>
          <w:tab w:val="left" w:pos="851"/>
        </w:tabs>
        <w:ind w:left="851"/>
        <w:rPr>
          <w:sz w:val="24"/>
          <w:szCs w:val="24"/>
        </w:rPr>
      </w:pPr>
      <w:proofErr w:type="spellStart"/>
      <w:r w:rsidRPr="00B751FD">
        <w:rPr>
          <w:sz w:val="24"/>
          <w:szCs w:val="24"/>
        </w:rPr>
        <w:t>Midazolam</w:t>
      </w:r>
      <w:proofErr w:type="spellEnd"/>
      <w:r w:rsidRPr="00B751FD">
        <w:rPr>
          <w:sz w:val="24"/>
          <w:szCs w:val="24"/>
        </w:rPr>
        <w:t xml:space="preserve"> er meget </w:t>
      </w:r>
      <w:proofErr w:type="spellStart"/>
      <w:r w:rsidRPr="00B751FD">
        <w:rPr>
          <w:sz w:val="24"/>
          <w:szCs w:val="24"/>
        </w:rPr>
        <w:t>lipofilt</w:t>
      </w:r>
      <w:proofErr w:type="spellEnd"/>
      <w:r w:rsidRPr="00B751FD">
        <w:rPr>
          <w:sz w:val="24"/>
          <w:szCs w:val="24"/>
        </w:rPr>
        <w:t xml:space="preserve"> og fordeles ekstensivt. </w:t>
      </w:r>
      <w:proofErr w:type="spellStart"/>
      <w:r w:rsidRPr="00B751FD">
        <w:rPr>
          <w:sz w:val="24"/>
          <w:szCs w:val="24"/>
        </w:rPr>
        <w:t>Steady</w:t>
      </w:r>
      <w:proofErr w:type="spellEnd"/>
      <w:r w:rsidRPr="00B751FD">
        <w:rPr>
          <w:sz w:val="24"/>
          <w:szCs w:val="24"/>
        </w:rPr>
        <w:t>-</w:t>
      </w:r>
      <w:proofErr w:type="spellStart"/>
      <w:r w:rsidRPr="00B751FD">
        <w:rPr>
          <w:sz w:val="24"/>
          <w:szCs w:val="24"/>
        </w:rPr>
        <w:t>state</w:t>
      </w:r>
      <w:proofErr w:type="spellEnd"/>
      <w:r w:rsidRPr="00B751FD">
        <w:rPr>
          <w:sz w:val="24"/>
          <w:szCs w:val="24"/>
        </w:rPr>
        <w:t>-fordelingsvolumen efter indgivelse via mundhulen er estimeret til 5,3 l/kg.</w:t>
      </w:r>
    </w:p>
    <w:p w:rsidR="00D17B03" w:rsidRPr="00B751FD" w:rsidRDefault="00D17B03" w:rsidP="00D17B03">
      <w:pPr>
        <w:tabs>
          <w:tab w:val="left" w:pos="851"/>
        </w:tabs>
        <w:ind w:left="851"/>
        <w:rPr>
          <w:sz w:val="24"/>
          <w:szCs w:val="24"/>
        </w:rPr>
      </w:pPr>
      <w:r w:rsidRPr="00B751FD">
        <w:rPr>
          <w:sz w:val="24"/>
          <w:szCs w:val="24"/>
        </w:rPr>
        <w:t xml:space="preserve">Cirka 96-98 % af </w:t>
      </w:r>
      <w:proofErr w:type="spellStart"/>
      <w:r w:rsidRPr="00B751FD">
        <w:rPr>
          <w:sz w:val="24"/>
          <w:szCs w:val="24"/>
        </w:rPr>
        <w:t>midazolam</w:t>
      </w:r>
      <w:proofErr w:type="spellEnd"/>
      <w:r w:rsidRPr="00B751FD">
        <w:rPr>
          <w:sz w:val="24"/>
          <w:szCs w:val="24"/>
        </w:rPr>
        <w:t xml:space="preserve"> er bundet til plasmaproteiner. Den største fraktion af plasmaprotein-binding skyldes albumin. Der er en langsom og ikke-signifikant passage af </w:t>
      </w:r>
      <w:proofErr w:type="spellStart"/>
      <w:r w:rsidRPr="00B751FD">
        <w:rPr>
          <w:sz w:val="24"/>
          <w:szCs w:val="24"/>
        </w:rPr>
        <w:t>midazolam</w:t>
      </w:r>
      <w:proofErr w:type="spellEnd"/>
      <w:r w:rsidRPr="00B751FD">
        <w:rPr>
          <w:sz w:val="24"/>
          <w:szCs w:val="24"/>
        </w:rPr>
        <w:t xml:space="preserve"> ind i cerebrospinalvæsken. Hos mennesker har </w:t>
      </w:r>
      <w:proofErr w:type="spellStart"/>
      <w:r w:rsidRPr="00B751FD">
        <w:rPr>
          <w:sz w:val="24"/>
          <w:szCs w:val="24"/>
        </w:rPr>
        <w:t>midazolam</w:t>
      </w:r>
      <w:proofErr w:type="spellEnd"/>
      <w:r w:rsidRPr="00B751FD">
        <w:rPr>
          <w:sz w:val="24"/>
          <w:szCs w:val="24"/>
        </w:rPr>
        <w:t xml:space="preserve"> vist sig at krydse placenta langsomt og indgå i det </w:t>
      </w:r>
      <w:proofErr w:type="spellStart"/>
      <w:r w:rsidRPr="00B751FD">
        <w:rPr>
          <w:sz w:val="24"/>
          <w:szCs w:val="24"/>
        </w:rPr>
        <w:t>føtale</w:t>
      </w:r>
      <w:proofErr w:type="spellEnd"/>
      <w:r w:rsidRPr="00B751FD">
        <w:rPr>
          <w:sz w:val="24"/>
          <w:szCs w:val="24"/>
        </w:rPr>
        <w:t xml:space="preserve"> kredsløb. Små mængder </w:t>
      </w:r>
      <w:proofErr w:type="spellStart"/>
      <w:r w:rsidRPr="00B751FD">
        <w:rPr>
          <w:sz w:val="24"/>
          <w:szCs w:val="24"/>
        </w:rPr>
        <w:t>midazolam</w:t>
      </w:r>
      <w:proofErr w:type="spellEnd"/>
      <w:r w:rsidRPr="00B751FD">
        <w:rPr>
          <w:sz w:val="24"/>
          <w:szCs w:val="24"/>
        </w:rPr>
        <w:t xml:space="preserve"> findes i human mælk.</w:t>
      </w:r>
    </w:p>
    <w:p w:rsidR="00D17B03" w:rsidRPr="00B751FD" w:rsidRDefault="00D17B03" w:rsidP="00D17B03">
      <w:pPr>
        <w:tabs>
          <w:tab w:val="left" w:pos="851"/>
        </w:tabs>
        <w:ind w:left="851"/>
        <w:rPr>
          <w:i/>
          <w:iCs/>
          <w:sz w:val="24"/>
          <w:szCs w:val="24"/>
          <w:u w:val="single"/>
        </w:rPr>
      </w:pPr>
    </w:p>
    <w:p w:rsidR="00D17B03" w:rsidRPr="00B751FD" w:rsidRDefault="00D17B03" w:rsidP="00D17B03">
      <w:pPr>
        <w:tabs>
          <w:tab w:val="left" w:pos="851"/>
        </w:tabs>
        <w:ind w:left="851"/>
        <w:rPr>
          <w:sz w:val="24"/>
          <w:szCs w:val="24"/>
          <w:u w:val="single"/>
        </w:rPr>
      </w:pPr>
      <w:r w:rsidRPr="00B751FD">
        <w:rPr>
          <w:sz w:val="24"/>
          <w:szCs w:val="24"/>
          <w:u w:val="single"/>
        </w:rPr>
        <w:t>Biotransformation</w:t>
      </w:r>
    </w:p>
    <w:p w:rsidR="00D17B03" w:rsidRPr="00B751FD" w:rsidRDefault="00D17B03" w:rsidP="00D17B03">
      <w:pPr>
        <w:tabs>
          <w:tab w:val="left" w:pos="851"/>
        </w:tabs>
        <w:ind w:left="851"/>
        <w:rPr>
          <w:sz w:val="24"/>
          <w:szCs w:val="24"/>
        </w:rPr>
      </w:pPr>
      <w:proofErr w:type="spellStart"/>
      <w:r w:rsidRPr="00B751FD">
        <w:rPr>
          <w:sz w:val="24"/>
          <w:szCs w:val="24"/>
        </w:rPr>
        <w:t>Midazolam</w:t>
      </w:r>
      <w:proofErr w:type="spellEnd"/>
      <w:r w:rsidRPr="00B751FD">
        <w:rPr>
          <w:sz w:val="24"/>
          <w:szCs w:val="24"/>
        </w:rPr>
        <w:t xml:space="preserve"> er næsten udelukkende elimineret via biotransformation. Fraktionen af den dosis, der ekstraheres af leveren, er blevet estimeret til at være 30-60 %. </w:t>
      </w:r>
      <w:proofErr w:type="spellStart"/>
      <w:r w:rsidRPr="00B751FD">
        <w:rPr>
          <w:sz w:val="24"/>
          <w:szCs w:val="24"/>
        </w:rPr>
        <w:t>Midazolam</w:t>
      </w:r>
      <w:proofErr w:type="spellEnd"/>
      <w:r w:rsidRPr="00B751FD">
        <w:rPr>
          <w:sz w:val="24"/>
          <w:szCs w:val="24"/>
        </w:rPr>
        <w:t xml:space="preserve"> </w:t>
      </w:r>
      <w:proofErr w:type="spellStart"/>
      <w:r w:rsidRPr="00B751FD">
        <w:rPr>
          <w:sz w:val="24"/>
          <w:szCs w:val="24"/>
        </w:rPr>
        <w:t>hydroxyleres</w:t>
      </w:r>
      <w:proofErr w:type="spellEnd"/>
      <w:r w:rsidRPr="00B751FD">
        <w:rPr>
          <w:sz w:val="24"/>
          <w:szCs w:val="24"/>
        </w:rPr>
        <w:t xml:space="preserve"> af CYP3A4-isoenzymet og </w:t>
      </w:r>
      <w:proofErr w:type="spellStart"/>
      <w:r w:rsidRPr="00B751FD">
        <w:rPr>
          <w:sz w:val="24"/>
          <w:szCs w:val="24"/>
        </w:rPr>
        <w:t>metaboliseres</w:t>
      </w:r>
      <w:proofErr w:type="spellEnd"/>
      <w:r w:rsidRPr="00B751FD">
        <w:rPr>
          <w:sz w:val="24"/>
          <w:szCs w:val="24"/>
        </w:rPr>
        <w:t xml:space="preserve"> til en aktiv metabolit, 1-hydroxymidazolam, og 2 mindre metabolitter: 4-hydroxymetabolit og 1,4</w:t>
      </w:r>
      <w:r w:rsidRPr="00B751FD">
        <w:rPr>
          <w:sz w:val="24"/>
          <w:szCs w:val="24"/>
        </w:rPr>
        <w:noBreakHyphen/>
        <w:t>hydroxy</w:t>
      </w:r>
      <w:r w:rsidRPr="00B751FD">
        <w:rPr>
          <w:sz w:val="24"/>
          <w:szCs w:val="24"/>
        </w:rPr>
        <w:softHyphen/>
        <w:t xml:space="preserve">metabolit. På baggrund af den gennemsnitlige AUC-ratio for 1-hydroxymidazolam-metabolitten til </w:t>
      </w:r>
      <w:proofErr w:type="spellStart"/>
      <w:r w:rsidRPr="00B751FD">
        <w:rPr>
          <w:sz w:val="24"/>
          <w:szCs w:val="24"/>
        </w:rPr>
        <w:t>midazolam</w:t>
      </w:r>
      <w:proofErr w:type="spellEnd"/>
      <w:r w:rsidRPr="00B751FD">
        <w:rPr>
          <w:sz w:val="24"/>
          <w:szCs w:val="24"/>
        </w:rPr>
        <w:t xml:space="preserve"> efter indgivelse via mundhulen hos børn blev 46 % of </w:t>
      </w:r>
      <w:proofErr w:type="spellStart"/>
      <w:r w:rsidRPr="00B751FD">
        <w:rPr>
          <w:sz w:val="24"/>
          <w:szCs w:val="24"/>
        </w:rPr>
        <w:t>midazolam</w:t>
      </w:r>
      <w:proofErr w:type="spellEnd"/>
      <w:r w:rsidRPr="00B751FD">
        <w:rPr>
          <w:sz w:val="24"/>
          <w:szCs w:val="24"/>
        </w:rPr>
        <w:t xml:space="preserve"> konverteret til 1-hydroxymidazolam med en estimeret halveringstid på 0,84 timer. Der var en tendens til en højere metabolit-til-lægemiddel-forhold hos yngre børn. I et biotilgængelighedsstudie med </w:t>
      </w:r>
      <w:proofErr w:type="spellStart"/>
      <w:r w:rsidRPr="00B751FD">
        <w:rPr>
          <w:sz w:val="24"/>
          <w:szCs w:val="24"/>
        </w:rPr>
        <w:t>Epistatus</w:t>
      </w:r>
      <w:proofErr w:type="spellEnd"/>
      <w:r w:rsidRPr="00B751FD">
        <w:rPr>
          <w:sz w:val="24"/>
          <w:szCs w:val="24"/>
        </w:rPr>
        <w:t xml:space="preserve"> var konverteringsforholdet hos raske voksne 22 % med en estimeret halveringstid på 2,7 timer. I offentliggjorte litteraturrapporter er 50-70 % af </w:t>
      </w:r>
      <w:proofErr w:type="spellStart"/>
      <w:r w:rsidRPr="00B751FD">
        <w:rPr>
          <w:sz w:val="24"/>
          <w:szCs w:val="24"/>
        </w:rPr>
        <w:t>midazolam</w:t>
      </w:r>
      <w:proofErr w:type="spellEnd"/>
      <w:r w:rsidRPr="00B751FD">
        <w:rPr>
          <w:sz w:val="24"/>
          <w:szCs w:val="24"/>
        </w:rPr>
        <w:t xml:space="preserve"> konverteret til den primære metabolit med en estimeret halveringstid på 1-3 timer. Disse forskellige værdier kan muligvis forklares ud fra den høje iboende </w:t>
      </w:r>
      <w:proofErr w:type="spellStart"/>
      <w:r w:rsidRPr="00B751FD">
        <w:rPr>
          <w:sz w:val="24"/>
          <w:szCs w:val="24"/>
        </w:rPr>
        <w:t>farmakokinetiske</w:t>
      </w:r>
      <w:proofErr w:type="spellEnd"/>
      <w:r w:rsidRPr="00B751FD">
        <w:rPr>
          <w:sz w:val="24"/>
          <w:szCs w:val="24"/>
        </w:rPr>
        <w:t xml:space="preserve"> variabilitet af </w:t>
      </w:r>
      <w:proofErr w:type="spellStart"/>
      <w:r w:rsidRPr="00B751FD">
        <w:rPr>
          <w:sz w:val="24"/>
          <w:szCs w:val="24"/>
        </w:rPr>
        <w:t>midazolam</w:t>
      </w:r>
      <w:proofErr w:type="spellEnd"/>
      <w:r w:rsidRPr="00B751FD">
        <w:rPr>
          <w:sz w:val="24"/>
          <w:szCs w:val="24"/>
        </w:rPr>
        <w:t>.</w:t>
      </w:r>
    </w:p>
    <w:p w:rsidR="00D17B03" w:rsidRPr="00B751FD" w:rsidRDefault="00D17B03" w:rsidP="00D17B03">
      <w:pPr>
        <w:tabs>
          <w:tab w:val="left" w:pos="851"/>
        </w:tabs>
        <w:ind w:left="851"/>
        <w:rPr>
          <w:i/>
          <w:iCs/>
          <w:sz w:val="24"/>
          <w:szCs w:val="24"/>
          <w:u w:val="single"/>
        </w:rPr>
      </w:pPr>
    </w:p>
    <w:p w:rsidR="00D17B03" w:rsidRPr="00B751FD" w:rsidRDefault="00D17B03" w:rsidP="00D17B03">
      <w:pPr>
        <w:tabs>
          <w:tab w:val="left" w:pos="851"/>
        </w:tabs>
        <w:ind w:left="851"/>
        <w:rPr>
          <w:sz w:val="24"/>
          <w:szCs w:val="24"/>
          <w:u w:val="single"/>
        </w:rPr>
      </w:pPr>
      <w:r w:rsidRPr="00B751FD">
        <w:rPr>
          <w:sz w:val="24"/>
          <w:szCs w:val="24"/>
          <w:u w:val="single"/>
        </w:rPr>
        <w:t>Elimination</w:t>
      </w:r>
    </w:p>
    <w:p w:rsidR="00D17B03" w:rsidRPr="00B751FD" w:rsidRDefault="00D17B03" w:rsidP="00D17B03">
      <w:pPr>
        <w:tabs>
          <w:tab w:val="left" w:pos="851"/>
        </w:tabs>
        <w:ind w:left="851"/>
        <w:rPr>
          <w:sz w:val="24"/>
          <w:szCs w:val="24"/>
        </w:rPr>
      </w:pPr>
      <w:r w:rsidRPr="00B751FD">
        <w:rPr>
          <w:sz w:val="24"/>
          <w:szCs w:val="24"/>
        </w:rPr>
        <w:t xml:space="preserve">Hos børn over 12 måneder blev halveringstiden for parenteral </w:t>
      </w:r>
      <w:proofErr w:type="spellStart"/>
      <w:r w:rsidRPr="00B751FD">
        <w:rPr>
          <w:sz w:val="24"/>
          <w:szCs w:val="24"/>
        </w:rPr>
        <w:t>midazolam</w:t>
      </w:r>
      <w:proofErr w:type="spellEnd"/>
      <w:r w:rsidRPr="00B751FD">
        <w:rPr>
          <w:sz w:val="24"/>
          <w:szCs w:val="24"/>
        </w:rPr>
        <w:t xml:space="preserve"> rapporteret til at være 0,8-1,8 timer, hvilket svarede til eller var kortere end hos voksne (1,7-2,6 timer). </w:t>
      </w:r>
      <w:proofErr w:type="spellStart"/>
      <w:r w:rsidRPr="00B751FD">
        <w:rPr>
          <w:sz w:val="24"/>
          <w:szCs w:val="24"/>
        </w:rPr>
        <w:t>Plasmaclearance</w:t>
      </w:r>
      <w:proofErr w:type="spellEnd"/>
      <w:r w:rsidRPr="00B751FD">
        <w:rPr>
          <w:sz w:val="24"/>
          <w:szCs w:val="24"/>
        </w:rPr>
        <w:t xml:space="preserve"> hos børn over 12 måneder var 4,7-19,7 ml/min/kg, hvilket svarede til eller var højere end hos voksne (6,4-11,0 ml/min/kg). Disse forskelle er i overensstemmelse med en øget metabolisk </w:t>
      </w:r>
      <w:proofErr w:type="spellStart"/>
      <w:r w:rsidRPr="00B751FD">
        <w:rPr>
          <w:sz w:val="24"/>
          <w:szCs w:val="24"/>
        </w:rPr>
        <w:t>clearance</w:t>
      </w:r>
      <w:proofErr w:type="spellEnd"/>
      <w:r w:rsidRPr="00B751FD">
        <w:rPr>
          <w:sz w:val="24"/>
          <w:szCs w:val="24"/>
        </w:rPr>
        <w:t xml:space="preserve"> hos børn, hvilket også ses efter intravenøs og </w:t>
      </w:r>
      <w:proofErr w:type="spellStart"/>
      <w:r w:rsidRPr="00B751FD">
        <w:rPr>
          <w:sz w:val="24"/>
          <w:szCs w:val="24"/>
        </w:rPr>
        <w:t>rektal</w:t>
      </w:r>
      <w:proofErr w:type="spellEnd"/>
      <w:r w:rsidRPr="00B751FD">
        <w:rPr>
          <w:sz w:val="24"/>
          <w:szCs w:val="24"/>
        </w:rPr>
        <w:t xml:space="preserve"> administration. </w:t>
      </w:r>
      <w:proofErr w:type="spellStart"/>
      <w:r w:rsidRPr="00B751FD">
        <w:rPr>
          <w:sz w:val="24"/>
          <w:szCs w:val="24"/>
        </w:rPr>
        <w:t>Midazolam</w:t>
      </w:r>
      <w:proofErr w:type="spellEnd"/>
      <w:r w:rsidRPr="00B751FD">
        <w:rPr>
          <w:sz w:val="24"/>
          <w:szCs w:val="24"/>
        </w:rPr>
        <w:t xml:space="preserve"> udskilles primært via nyrerne (60-80 % af den injicerede dosis) og genfindes som </w:t>
      </w:r>
      <w:proofErr w:type="spellStart"/>
      <w:r w:rsidRPr="00B751FD">
        <w:rPr>
          <w:sz w:val="24"/>
          <w:szCs w:val="24"/>
        </w:rPr>
        <w:t>glucuro</w:t>
      </w:r>
      <w:proofErr w:type="spellEnd"/>
      <w:r w:rsidRPr="00B751FD">
        <w:rPr>
          <w:sz w:val="24"/>
          <w:szCs w:val="24"/>
        </w:rPr>
        <w:t>-konjugeret 1-hydroxymidazolam.</w:t>
      </w:r>
    </w:p>
    <w:p w:rsidR="00D17B03" w:rsidRPr="00B751FD" w:rsidRDefault="00D17B03" w:rsidP="00D17B03">
      <w:pPr>
        <w:tabs>
          <w:tab w:val="left" w:pos="851"/>
        </w:tabs>
        <w:ind w:left="851"/>
        <w:rPr>
          <w:sz w:val="24"/>
          <w:szCs w:val="24"/>
        </w:rPr>
      </w:pPr>
      <w:r w:rsidRPr="00B751FD">
        <w:rPr>
          <w:sz w:val="24"/>
          <w:szCs w:val="24"/>
        </w:rPr>
        <w:t>Under 1 % af dosis genfindes i urinen som uændret lægemiddel. Den gennemsnitlige eliminationshalveringstid for 1-hydroxymidazolam var 5,6 timer hos raske voksne.</w:t>
      </w:r>
    </w:p>
    <w:p w:rsidR="00D17B03" w:rsidRPr="00B751FD" w:rsidRDefault="00D17B03" w:rsidP="00D17B03">
      <w:pPr>
        <w:tabs>
          <w:tab w:val="left" w:pos="851"/>
        </w:tabs>
        <w:ind w:left="851"/>
        <w:rPr>
          <w:i/>
          <w:iCs/>
          <w:sz w:val="24"/>
          <w:szCs w:val="24"/>
          <w:u w:val="single"/>
        </w:rPr>
      </w:pPr>
    </w:p>
    <w:p w:rsidR="00D17B03" w:rsidRPr="00B751FD" w:rsidRDefault="00D17B03" w:rsidP="00D17B03">
      <w:pPr>
        <w:tabs>
          <w:tab w:val="left" w:pos="851"/>
        </w:tabs>
        <w:ind w:left="851"/>
        <w:rPr>
          <w:sz w:val="24"/>
          <w:szCs w:val="24"/>
          <w:u w:val="single"/>
        </w:rPr>
      </w:pPr>
      <w:r w:rsidRPr="00B751FD">
        <w:rPr>
          <w:sz w:val="24"/>
          <w:szCs w:val="24"/>
          <w:u w:val="single"/>
        </w:rPr>
        <w:t>Farmakokinetik hos særlige populationer</w:t>
      </w:r>
    </w:p>
    <w:p w:rsidR="00D17B03" w:rsidRPr="00B751FD" w:rsidRDefault="00D17B03" w:rsidP="00D17B03">
      <w:pPr>
        <w:tabs>
          <w:tab w:val="left" w:pos="851"/>
        </w:tabs>
        <w:ind w:left="851"/>
        <w:rPr>
          <w:i/>
          <w:iCs/>
          <w:sz w:val="24"/>
          <w:szCs w:val="24"/>
        </w:rPr>
      </w:pPr>
    </w:p>
    <w:p w:rsidR="00D17B03" w:rsidRPr="00B751FD" w:rsidRDefault="00D17B03" w:rsidP="00D17B03">
      <w:pPr>
        <w:tabs>
          <w:tab w:val="left" w:pos="851"/>
        </w:tabs>
        <w:ind w:left="851"/>
        <w:rPr>
          <w:i/>
          <w:iCs/>
          <w:sz w:val="24"/>
          <w:szCs w:val="24"/>
        </w:rPr>
      </w:pPr>
      <w:r w:rsidRPr="00B751FD">
        <w:rPr>
          <w:i/>
          <w:iCs/>
          <w:sz w:val="24"/>
          <w:szCs w:val="24"/>
        </w:rPr>
        <w:t>Fedme</w:t>
      </w:r>
    </w:p>
    <w:p w:rsidR="00D17B03" w:rsidRPr="00B751FD" w:rsidRDefault="00D17B03" w:rsidP="00D17B03">
      <w:pPr>
        <w:tabs>
          <w:tab w:val="left" w:pos="851"/>
        </w:tabs>
        <w:ind w:left="851"/>
        <w:rPr>
          <w:sz w:val="24"/>
          <w:szCs w:val="24"/>
        </w:rPr>
      </w:pPr>
      <w:r w:rsidRPr="00B751FD">
        <w:rPr>
          <w:sz w:val="24"/>
          <w:szCs w:val="24"/>
        </w:rPr>
        <w:t xml:space="preserve">Den gennemsnitlige halveringstid er større hos svært overvægtige patienter end hos patienter, der ikke er svært overvægtige (5,9 vs. 2,3 timer). Dette skyldes en forøgelse på cirka 50 % af fordelingsvoluminet korrigeret for total kropsvægt. </w:t>
      </w:r>
      <w:proofErr w:type="spellStart"/>
      <w:r w:rsidRPr="00B751FD">
        <w:rPr>
          <w:sz w:val="24"/>
          <w:szCs w:val="24"/>
        </w:rPr>
        <w:t>Clearance</w:t>
      </w:r>
      <w:proofErr w:type="spellEnd"/>
      <w:r w:rsidRPr="00B751FD">
        <w:rPr>
          <w:sz w:val="24"/>
          <w:szCs w:val="24"/>
        </w:rPr>
        <w:t xml:space="preserve"> er ikke signifikant forskellig hos svært overvægtige patienter sammenlignet med patienter, der ikke er svært overvægtige.</w:t>
      </w:r>
    </w:p>
    <w:p w:rsidR="00D17B03" w:rsidRPr="00B751FD" w:rsidRDefault="00D17B03" w:rsidP="00D17B03">
      <w:pPr>
        <w:tabs>
          <w:tab w:val="left" w:pos="851"/>
        </w:tabs>
        <w:ind w:left="851"/>
        <w:rPr>
          <w:i/>
          <w:iCs/>
          <w:sz w:val="24"/>
          <w:szCs w:val="24"/>
        </w:rPr>
      </w:pPr>
    </w:p>
    <w:p w:rsidR="00D17B03" w:rsidRPr="00B751FD" w:rsidRDefault="00D17B03" w:rsidP="00D17B03">
      <w:pPr>
        <w:tabs>
          <w:tab w:val="left" w:pos="851"/>
        </w:tabs>
        <w:ind w:left="851"/>
        <w:rPr>
          <w:i/>
          <w:iCs/>
          <w:sz w:val="24"/>
          <w:szCs w:val="24"/>
        </w:rPr>
      </w:pPr>
      <w:r w:rsidRPr="00B751FD">
        <w:rPr>
          <w:i/>
          <w:iCs/>
          <w:sz w:val="24"/>
          <w:szCs w:val="24"/>
        </w:rPr>
        <w:t>Patienter med nedsat leverfunktion</w:t>
      </w:r>
    </w:p>
    <w:p w:rsidR="00D17B03" w:rsidRPr="00B751FD" w:rsidRDefault="00D17B03" w:rsidP="00D17B03">
      <w:pPr>
        <w:tabs>
          <w:tab w:val="left" w:pos="851"/>
        </w:tabs>
        <w:ind w:left="851"/>
        <w:rPr>
          <w:sz w:val="24"/>
          <w:szCs w:val="24"/>
        </w:rPr>
      </w:pPr>
      <w:r w:rsidRPr="00B751FD">
        <w:rPr>
          <w:sz w:val="24"/>
          <w:szCs w:val="24"/>
        </w:rPr>
        <w:t xml:space="preserve">Eliminationshalveringstiden hos patienter med cirrose kan være længere, og </w:t>
      </w:r>
      <w:proofErr w:type="spellStart"/>
      <w:r w:rsidRPr="00B751FD">
        <w:rPr>
          <w:sz w:val="24"/>
          <w:szCs w:val="24"/>
        </w:rPr>
        <w:t>clearance</w:t>
      </w:r>
      <w:proofErr w:type="spellEnd"/>
      <w:r w:rsidRPr="00B751FD">
        <w:rPr>
          <w:sz w:val="24"/>
          <w:szCs w:val="24"/>
        </w:rPr>
        <w:t xml:space="preserve"> kan være lavere sammenlignet med værdierne for raske frivillige forsøgspersoner (se pkt. 4.4).</w:t>
      </w:r>
    </w:p>
    <w:p w:rsidR="00D17B03" w:rsidRPr="00B751FD" w:rsidRDefault="00D17B03" w:rsidP="00D17B03">
      <w:pPr>
        <w:tabs>
          <w:tab w:val="left" w:pos="851"/>
        </w:tabs>
        <w:ind w:left="851"/>
        <w:rPr>
          <w:i/>
          <w:iCs/>
          <w:sz w:val="24"/>
          <w:szCs w:val="24"/>
        </w:rPr>
      </w:pPr>
    </w:p>
    <w:p w:rsidR="00D17B03" w:rsidRPr="00B751FD" w:rsidRDefault="00D17B03" w:rsidP="00D17B03">
      <w:pPr>
        <w:tabs>
          <w:tab w:val="left" w:pos="851"/>
        </w:tabs>
        <w:ind w:left="851"/>
        <w:rPr>
          <w:i/>
          <w:iCs/>
          <w:sz w:val="24"/>
          <w:szCs w:val="24"/>
        </w:rPr>
      </w:pPr>
      <w:r w:rsidRPr="00B751FD">
        <w:rPr>
          <w:i/>
          <w:iCs/>
          <w:sz w:val="24"/>
          <w:szCs w:val="24"/>
        </w:rPr>
        <w:t>Patienter med nedsat nyrefunktion</w:t>
      </w:r>
    </w:p>
    <w:p w:rsidR="00D17B03" w:rsidRPr="00B751FD" w:rsidRDefault="00D17B03" w:rsidP="00D17B03">
      <w:pPr>
        <w:tabs>
          <w:tab w:val="left" w:pos="851"/>
        </w:tabs>
        <w:ind w:left="851"/>
        <w:rPr>
          <w:sz w:val="24"/>
          <w:szCs w:val="24"/>
        </w:rPr>
      </w:pPr>
      <w:r w:rsidRPr="00B751FD">
        <w:rPr>
          <w:sz w:val="24"/>
          <w:szCs w:val="24"/>
        </w:rPr>
        <w:t>Eliminationshalveringstiden for patienter med kronisk nyresvigt er sammenlignelig med halveringstiden for raske frivillige forsøgspersoner.</w:t>
      </w:r>
    </w:p>
    <w:p w:rsidR="00D17B03" w:rsidRPr="00B751FD" w:rsidRDefault="00D17B03" w:rsidP="00D17B03">
      <w:pPr>
        <w:tabs>
          <w:tab w:val="left" w:pos="851"/>
        </w:tabs>
        <w:ind w:left="851"/>
        <w:rPr>
          <w:i/>
          <w:iCs/>
          <w:sz w:val="24"/>
          <w:szCs w:val="24"/>
        </w:rPr>
      </w:pPr>
    </w:p>
    <w:p w:rsidR="00D17B03" w:rsidRPr="00B751FD" w:rsidRDefault="00D17B03" w:rsidP="00D17B03">
      <w:pPr>
        <w:tabs>
          <w:tab w:val="left" w:pos="851"/>
        </w:tabs>
        <w:ind w:left="851"/>
        <w:rPr>
          <w:i/>
          <w:iCs/>
          <w:sz w:val="24"/>
          <w:szCs w:val="24"/>
        </w:rPr>
      </w:pPr>
      <w:r w:rsidRPr="00B751FD">
        <w:rPr>
          <w:i/>
          <w:iCs/>
          <w:sz w:val="24"/>
          <w:szCs w:val="24"/>
        </w:rPr>
        <w:t>Kritisk syge patienter</w:t>
      </w:r>
    </w:p>
    <w:p w:rsidR="00D17B03" w:rsidRPr="00B751FD" w:rsidRDefault="00D17B03" w:rsidP="00D17B03">
      <w:pPr>
        <w:tabs>
          <w:tab w:val="left" w:pos="851"/>
        </w:tabs>
        <w:ind w:left="851"/>
        <w:rPr>
          <w:sz w:val="24"/>
          <w:szCs w:val="24"/>
        </w:rPr>
      </w:pPr>
      <w:r w:rsidRPr="00B751FD">
        <w:rPr>
          <w:sz w:val="24"/>
          <w:szCs w:val="24"/>
        </w:rPr>
        <w:t xml:space="preserve">Eliminationshalveringstiden af </w:t>
      </w:r>
      <w:proofErr w:type="spellStart"/>
      <w:r w:rsidRPr="00B751FD">
        <w:rPr>
          <w:sz w:val="24"/>
          <w:szCs w:val="24"/>
        </w:rPr>
        <w:t>midazolam</w:t>
      </w:r>
      <w:proofErr w:type="spellEnd"/>
      <w:r w:rsidRPr="00B751FD">
        <w:rPr>
          <w:sz w:val="24"/>
          <w:szCs w:val="24"/>
        </w:rPr>
        <w:t xml:space="preserve"> er forlænget op til 6 gange hos kritisk syge patienter.</w:t>
      </w:r>
    </w:p>
    <w:p w:rsidR="00D17B03" w:rsidRPr="00B751FD" w:rsidRDefault="00D17B03" w:rsidP="00D17B03">
      <w:pPr>
        <w:tabs>
          <w:tab w:val="left" w:pos="851"/>
        </w:tabs>
        <w:ind w:left="851"/>
        <w:rPr>
          <w:i/>
          <w:iCs/>
          <w:sz w:val="24"/>
          <w:szCs w:val="24"/>
        </w:rPr>
      </w:pPr>
    </w:p>
    <w:p w:rsidR="00D17B03" w:rsidRPr="00B751FD" w:rsidRDefault="00D17B03" w:rsidP="00D17B03">
      <w:pPr>
        <w:tabs>
          <w:tab w:val="left" w:pos="851"/>
        </w:tabs>
        <w:ind w:left="851"/>
        <w:rPr>
          <w:i/>
          <w:iCs/>
          <w:sz w:val="24"/>
          <w:szCs w:val="24"/>
        </w:rPr>
      </w:pPr>
      <w:r w:rsidRPr="00B751FD">
        <w:rPr>
          <w:i/>
          <w:iCs/>
          <w:sz w:val="24"/>
          <w:szCs w:val="24"/>
        </w:rPr>
        <w:t>Patienter med hjerteinsufficiens</w:t>
      </w:r>
    </w:p>
    <w:p w:rsidR="00D17B03" w:rsidRPr="00B751FD" w:rsidRDefault="00D17B03" w:rsidP="00D17B03">
      <w:pPr>
        <w:tabs>
          <w:tab w:val="left" w:pos="851"/>
        </w:tabs>
        <w:ind w:left="851"/>
        <w:rPr>
          <w:sz w:val="24"/>
          <w:szCs w:val="24"/>
        </w:rPr>
      </w:pPr>
      <w:r w:rsidRPr="00B751FD">
        <w:rPr>
          <w:sz w:val="24"/>
          <w:szCs w:val="24"/>
        </w:rPr>
        <w:t>Eliminationshalveringstiden er længere hos patienter med kongestiv hjerteinsufficiens sammenlignet med halveringstiden for raske forsøgspersoner (se pkt. 4.4).</w:t>
      </w:r>
    </w:p>
    <w:p w:rsidR="00D17B03" w:rsidRPr="00B751FD" w:rsidRDefault="00D17B03" w:rsidP="00D17B03">
      <w:pPr>
        <w:tabs>
          <w:tab w:val="left" w:pos="851"/>
        </w:tabs>
        <w:ind w:left="851"/>
        <w:rPr>
          <w:i/>
          <w:iCs/>
          <w:sz w:val="24"/>
          <w:szCs w:val="24"/>
        </w:rPr>
      </w:pPr>
    </w:p>
    <w:p w:rsidR="00D17B03" w:rsidRPr="00B751FD" w:rsidRDefault="00D17B03" w:rsidP="00D17B03">
      <w:pPr>
        <w:tabs>
          <w:tab w:val="left" w:pos="851"/>
        </w:tabs>
        <w:ind w:left="851"/>
        <w:rPr>
          <w:i/>
          <w:iCs/>
          <w:sz w:val="24"/>
          <w:szCs w:val="24"/>
        </w:rPr>
      </w:pPr>
      <w:r w:rsidRPr="00B751FD">
        <w:rPr>
          <w:i/>
          <w:iCs/>
          <w:sz w:val="24"/>
          <w:szCs w:val="24"/>
        </w:rPr>
        <w:t xml:space="preserve">Akkumulering af </w:t>
      </w:r>
      <w:proofErr w:type="spellStart"/>
      <w:r w:rsidRPr="00B751FD">
        <w:rPr>
          <w:i/>
          <w:iCs/>
          <w:sz w:val="24"/>
          <w:szCs w:val="24"/>
        </w:rPr>
        <w:t>midazolam</w:t>
      </w:r>
      <w:proofErr w:type="spellEnd"/>
      <w:r w:rsidRPr="00B751FD">
        <w:rPr>
          <w:i/>
          <w:iCs/>
          <w:sz w:val="24"/>
          <w:szCs w:val="24"/>
        </w:rPr>
        <w:t xml:space="preserve"> efter gentagne doser</w:t>
      </w:r>
    </w:p>
    <w:p w:rsidR="00D17B03" w:rsidRPr="00B751FD" w:rsidRDefault="00D17B03" w:rsidP="00D17B03">
      <w:pPr>
        <w:tabs>
          <w:tab w:val="left" w:pos="851"/>
        </w:tabs>
        <w:ind w:left="851"/>
        <w:rPr>
          <w:sz w:val="24"/>
          <w:szCs w:val="24"/>
        </w:rPr>
      </w:pPr>
      <w:r w:rsidRPr="00B751FD">
        <w:rPr>
          <w:sz w:val="24"/>
          <w:szCs w:val="24"/>
        </w:rPr>
        <w:t xml:space="preserve">Gentagne intravenøse doser af </w:t>
      </w:r>
      <w:proofErr w:type="spellStart"/>
      <w:r w:rsidRPr="00B751FD">
        <w:rPr>
          <w:sz w:val="24"/>
          <w:szCs w:val="24"/>
        </w:rPr>
        <w:t>midazolam</w:t>
      </w:r>
      <w:proofErr w:type="spellEnd"/>
      <w:r w:rsidRPr="00B751FD">
        <w:rPr>
          <w:sz w:val="24"/>
          <w:szCs w:val="24"/>
        </w:rPr>
        <w:t xml:space="preserve"> i 4-6 dage til mekanisk ventilerede patienter i intensivbehandling medførte en markant akkumulering og forlænget sedation og respirationsdepression (som krævede forlænget ventilation). De terminale halveringstider for </w:t>
      </w:r>
      <w:proofErr w:type="spellStart"/>
      <w:r w:rsidRPr="00B751FD">
        <w:rPr>
          <w:sz w:val="24"/>
          <w:szCs w:val="24"/>
        </w:rPr>
        <w:t>midazolam</w:t>
      </w:r>
      <w:proofErr w:type="spellEnd"/>
      <w:r w:rsidRPr="00B751FD">
        <w:rPr>
          <w:sz w:val="24"/>
          <w:szCs w:val="24"/>
        </w:rPr>
        <w:t xml:space="preserve"> lå i området 8,9-19,4 timer (se pkt. 4.2).</w:t>
      </w:r>
    </w:p>
    <w:p w:rsidR="00AE09FE" w:rsidRPr="00B751FD" w:rsidRDefault="00AE09FE" w:rsidP="00AE09FE">
      <w:pPr>
        <w:tabs>
          <w:tab w:val="left" w:pos="851"/>
        </w:tabs>
        <w:ind w:left="851"/>
        <w:rPr>
          <w:sz w:val="24"/>
          <w:szCs w:val="24"/>
        </w:rPr>
      </w:pPr>
    </w:p>
    <w:p w:rsidR="00AE09FE" w:rsidRPr="00B751FD" w:rsidRDefault="00AE09FE" w:rsidP="00AE09FE">
      <w:pPr>
        <w:tabs>
          <w:tab w:val="left" w:pos="851"/>
        </w:tabs>
        <w:ind w:left="851" w:hanging="851"/>
        <w:rPr>
          <w:b/>
          <w:sz w:val="24"/>
          <w:szCs w:val="24"/>
        </w:rPr>
      </w:pPr>
      <w:r w:rsidRPr="00B751FD">
        <w:rPr>
          <w:b/>
          <w:sz w:val="24"/>
          <w:szCs w:val="24"/>
        </w:rPr>
        <w:t>5.3</w:t>
      </w:r>
      <w:r w:rsidRPr="00B751FD">
        <w:rPr>
          <w:b/>
          <w:sz w:val="24"/>
          <w:szCs w:val="24"/>
        </w:rPr>
        <w:tab/>
      </w:r>
      <w:r w:rsidR="00006FCB">
        <w:rPr>
          <w:b/>
          <w:sz w:val="24"/>
          <w:szCs w:val="24"/>
        </w:rPr>
        <w:t>Non-</w:t>
      </w:r>
      <w:r w:rsidRPr="00B751FD">
        <w:rPr>
          <w:b/>
          <w:sz w:val="24"/>
          <w:szCs w:val="24"/>
        </w:rPr>
        <w:t>kliniske sikkerhedsdata</w:t>
      </w:r>
    </w:p>
    <w:p w:rsidR="00D17B03" w:rsidRPr="00B751FD" w:rsidRDefault="00D17B03" w:rsidP="00D17B03">
      <w:pPr>
        <w:tabs>
          <w:tab w:val="left" w:pos="851"/>
        </w:tabs>
        <w:ind w:left="851"/>
        <w:rPr>
          <w:sz w:val="24"/>
          <w:szCs w:val="24"/>
          <w:lang w:eastAsia="da-DK"/>
        </w:rPr>
      </w:pPr>
      <w:r w:rsidRPr="00B751FD">
        <w:rPr>
          <w:sz w:val="24"/>
          <w:szCs w:val="24"/>
        </w:rPr>
        <w:t>I et fertilitetsstudie med rotter blev dyrene doseret med op til 10 gange den kliniske dosis, og der blev ikke observeret nogen bivirkning med hensyn til fertilitet.</w:t>
      </w:r>
    </w:p>
    <w:p w:rsidR="00D17B03" w:rsidRPr="00B751FD" w:rsidRDefault="00D17B03" w:rsidP="00D17B03">
      <w:pPr>
        <w:tabs>
          <w:tab w:val="left" w:pos="851"/>
        </w:tabs>
        <w:ind w:left="851"/>
        <w:rPr>
          <w:sz w:val="24"/>
          <w:szCs w:val="24"/>
        </w:rPr>
      </w:pPr>
    </w:p>
    <w:p w:rsidR="00D17B03" w:rsidRPr="00B751FD" w:rsidRDefault="00D17B03" w:rsidP="00D17B03">
      <w:pPr>
        <w:tabs>
          <w:tab w:val="left" w:pos="851"/>
        </w:tabs>
        <w:ind w:left="851"/>
        <w:rPr>
          <w:sz w:val="24"/>
          <w:szCs w:val="24"/>
        </w:rPr>
      </w:pPr>
      <w:r w:rsidRPr="00B751FD">
        <w:rPr>
          <w:sz w:val="24"/>
          <w:szCs w:val="24"/>
        </w:rPr>
        <w:t>Der er ingen andre non-kliniske data af relevans for den ordinerende læge ud over dem, som allerede er omfattet i produktresuméets øvrige afsnit.</w:t>
      </w:r>
    </w:p>
    <w:p w:rsidR="00AE09FE" w:rsidRDefault="00AE09FE" w:rsidP="00AE09FE">
      <w:pPr>
        <w:tabs>
          <w:tab w:val="left" w:pos="851"/>
        </w:tabs>
        <w:ind w:left="851"/>
        <w:rPr>
          <w:sz w:val="24"/>
          <w:szCs w:val="24"/>
        </w:rPr>
      </w:pPr>
    </w:p>
    <w:p w:rsidR="00714F25" w:rsidRPr="00B751FD" w:rsidRDefault="00714F25" w:rsidP="00AE09FE">
      <w:pPr>
        <w:tabs>
          <w:tab w:val="left" w:pos="851"/>
        </w:tabs>
        <w:ind w:left="851"/>
        <w:rPr>
          <w:sz w:val="24"/>
          <w:szCs w:val="24"/>
        </w:rPr>
      </w:pPr>
    </w:p>
    <w:p w:rsidR="00AE09FE" w:rsidRPr="00B751FD" w:rsidRDefault="00AE09FE" w:rsidP="00AE09FE">
      <w:pPr>
        <w:tabs>
          <w:tab w:val="left" w:pos="851"/>
        </w:tabs>
        <w:ind w:left="851" w:hanging="851"/>
        <w:rPr>
          <w:b/>
          <w:sz w:val="24"/>
          <w:szCs w:val="24"/>
        </w:rPr>
      </w:pPr>
      <w:r w:rsidRPr="00B751FD">
        <w:rPr>
          <w:b/>
          <w:sz w:val="24"/>
          <w:szCs w:val="24"/>
        </w:rPr>
        <w:t>6.</w:t>
      </w:r>
      <w:r w:rsidRPr="00B751FD">
        <w:rPr>
          <w:b/>
          <w:sz w:val="24"/>
          <w:szCs w:val="24"/>
        </w:rPr>
        <w:tab/>
        <w:t>FARMACEUTISKE OPLYSNINGER</w:t>
      </w:r>
    </w:p>
    <w:p w:rsidR="00AE09FE" w:rsidRPr="00B751FD" w:rsidRDefault="00AE09FE" w:rsidP="00AE09FE">
      <w:pPr>
        <w:tabs>
          <w:tab w:val="left" w:pos="851"/>
        </w:tabs>
        <w:ind w:left="851"/>
        <w:rPr>
          <w:sz w:val="24"/>
          <w:szCs w:val="24"/>
        </w:rPr>
      </w:pPr>
    </w:p>
    <w:p w:rsidR="00AE09FE" w:rsidRPr="00B751FD" w:rsidRDefault="00AE09FE" w:rsidP="00AE09FE">
      <w:pPr>
        <w:tabs>
          <w:tab w:val="left" w:pos="851"/>
        </w:tabs>
        <w:ind w:left="851" w:hanging="851"/>
        <w:rPr>
          <w:b/>
          <w:sz w:val="24"/>
          <w:szCs w:val="24"/>
        </w:rPr>
      </w:pPr>
      <w:r w:rsidRPr="00B751FD">
        <w:rPr>
          <w:b/>
          <w:sz w:val="24"/>
          <w:szCs w:val="24"/>
        </w:rPr>
        <w:t>6.1</w:t>
      </w:r>
      <w:r w:rsidRPr="00B751FD">
        <w:rPr>
          <w:b/>
          <w:sz w:val="24"/>
          <w:szCs w:val="24"/>
        </w:rPr>
        <w:tab/>
        <w:t>Hjælpestoffer</w:t>
      </w:r>
    </w:p>
    <w:p w:rsidR="00D17B03" w:rsidRPr="00B751FD" w:rsidRDefault="00D17B03" w:rsidP="00D17B03">
      <w:pPr>
        <w:tabs>
          <w:tab w:val="left" w:pos="851"/>
        </w:tabs>
        <w:ind w:left="851"/>
        <w:rPr>
          <w:sz w:val="24"/>
          <w:szCs w:val="24"/>
          <w:lang w:eastAsia="da-DK"/>
        </w:rPr>
      </w:pPr>
      <w:proofErr w:type="spellStart"/>
      <w:r w:rsidRPr="00B751FD">
        <w:rPr>
          <w:sz w:val="24"/>
          <w:szCs w:val="24"/>
        </w:rPr>
        <w:t>Ethanol</w:t>
      </w:r>
      <w:proofErr w:type="spellEnd"/>
    </w:p>
    <w:p w:rsidR="00D17B03" w:rsidRPr="00B751FD" w:rsidRDefault="00D17B03" w:rsidP="00D17B03">
      <w:pPr>
        <w:tabs>
          <w:tab w:val="left" w:pos="851"/>
        </w:tabs>
        <w:ind w:left="851"/>
        <w:rPr>
          <w:sz w:val="24"/>
          <w:szCs w:val="24"/>
        </w:rPr>
      </w:pPr>
      <w:proofErr w:type="spellStart"/>
      <w:r w:rsidRPr="00B751FD">
        <w:rPr>
          <w:sz w:val="24"/>
          <w:szCs w:val="24"/>
        </w:rPr>
        <w:t>Saccharinnatrium</w:t>
      </w:r>
      <w:proofErr w:type="spellEnd"/>
    </w:p>
    <w:p w:rsidR="00D17B03" w:rsidRPr="00B751FD" w:rsidRDefault="00D17B03" w:rsidP="00D17B03">
      <w:pPr>
        <w:tabs>
          <w:tab w:val="left" w:pos="851"/>
        </w:tabs>
        <w:ind w:left="851"/>
        <w:rPr>
          <w:sz w:val="24"/>
          <w:szCs w:val="24"/>
        </w:rPr>
      </w:pPr>
      <w:r w:rsidRPr="00B751FD">
        <w:rPr>
          <w:sz w:val="24"/>
          <w:szCs w:val="24"/>
        </w:rPr>
        <w:t>Glycerol</w:t>
      </w:r>
    </w:p>
    <w:p w:rsidR="00D17B03" w:rsidRPr="00B751FD" w:rsidRDefault="00D17B03" w:rsidP="00D17B03">
      <w:pPr>
        <w:tabs>
          <w:tab w:val="left" w:pos="851"/>
        </w:tabs>
        <w:ind w:left="851"/>
        <w:rPr>
          <w:sz w:val="24"/>
          <w:szCs w:val="24"/>
        </w:rPr>
      </w:pPr>
      <w:r w:rsidRPr="00B751FD">
        <w:rPr>
          <w:sz w:val="24"/>
          <w:szCs w:val="24"/>
        </w:rPr>
        <w:t>Renset vand</w:t>
      </w:r>
    </w:p>
    <w:p w:rsidR="00D17B03" w:rsidRPr="00B751FD" w:rsidRDefault="00D17B03" w:rsidP="00D17B03">
      <w:pPr>
        <w:tabs>
          <w:tab w:val="left" w:pos="851"/>
        </w:tabs>
        <w:ind w:left="851"/>
        <w:rPr>
          <w:sz w:val="24"/>
          <w:szCs w:val="24"/>
        </w:rPr>
      </w:pPr>
      <w:r w:rsidRPr="00B751FD">
        <w:rPr>
          <w:sz w:val="24"/>
          <w:szCs w:val="24"/>
        </w:rPr>
        <w:t>Natriumhydroxid (til pH-justering)</w:t>
      </w:r>
    </w:p>
    <w:p w:rsidR="00D17B03" w:rsidRPr="00B751FD" w:rsidRDefault="00D17B03" w:rsidP="00D17B03">
      <w:pPr>
        <w:tabs>
          <w:tab w:val="left" w:pos="851"/>
        </w:tabs>
        <w:ind w:left="851"/>
        <w:rPr>
          <w:sz w:val="24"/>
          <w:szCs w:val="24"/>
        </w:rPr>
      </w:pPr>
      <w:proofErr w:type="spellStart"/>
      <w:r w:rsidRPr="00B751FD">
        <w:rPr>
          <w:sz w:val="24"/>
          <w:szCs w:val="24"/>
        </w:rPr>
        <w:t>Maltitol</w:t>
      </w:r>
      <w:proofErr w:type="spellEnd"/>
      <w:r w:rsidRPr="00B751FD">
        <w:rPr>
          <w:sz w:val="24"/>
          <w:szCs w:val="24"/>
        </w:rPr>
        <w:t>, flydende</w:t>
      </w:r>
    </w:p>
    <w:p w:rsidR="00AE09FE" w:rsidRPr="00B751FD" w:rsidRDefault="00AE09FE" w:rsidP="00AE09FE">
      <w:pPr>
        <w:tabs>
          <w:tab w:val="left" w:pos="851"/>
        </w:tabs>
        <w:ind w:left="851"/>
        <w:rPr>
          <w:sz w:val="24"/>
          <w:szCs w:val="24"/>
        </w:rPr>
      </w:pPr>
    </w:p>
    <w:p w:rsidR="00AE09FE" w:rsidRPr="00B751FD" w:rsidRDefault="00AE09FE" w:rsidP="00AE09FE">
      <w:pPr>
        <w:tabs>
          <w:tab w:val="left" w:pos="851"/>
        </w:tabs>
        <w:ind w:left="851" w:hanging="851"/>
        <w:rPr>
          <w:b/>
          <w:sz w:val="24"/>
          <w:szCs w:val="24"/>
        </w:rPr>
      </w:pPr>
      <w:r w:rsidRPr="00B751FD">
        <w:rPr>
          <w:b/>
          <w:sz w:val="24"/>
          <w:szCs w:val="24"/>
        </w:rPr>
        <w:t>6.2</w:t>
      </w:r>
      <w:r w:rsidRPr="00B751FD">
        <w:rPr>
          <w:b/>
          <w:sz w:val="24"/>
          <w:szCs w:val="24"/>
        </w:rPr>
        <w:tab/>
        <w:t>Uforligeligheder</w:t>
      </w:r>
    </w:p>
    <w:p w:rsidR="00AE09FE" w:rsidRPr="00B751FD" w:rsidRDefault="00AE09FE" w:rsidP="00AE09FE">
      <w:pPr>
        <w:tabs>
          <w:tab w:val="left" w:pos="851"/>
        </w:tabs>
        <w:ind w:left="851"/>
        <w:rPr>
          <w:sz w:val="24"/>
          <w:szCs w:val="24"/>
          <w:lang w:eastAsia="da-DK"/>
        </w:rPr>
      </w:pPr>
      <w:r w:rsidRPr="00B751FD">
        <w:rPr>
          <w:sz w:val="24"/>
          <w:szCs w:val="24"/>
        </w:rPr>
        <w:t>Ikke relevant.</w:t>
      </w:r>
    </w:p>
    <w:p w:rsidR="00AE09FE" w:rsidRPr="00B751FD" w:rsidRDefault="00AE09FE" w:rsidP="00AE09FE">
      <w:pPr>
        <w:tabs>
          <w:tab w:val="left" w:pos="851"/>
        </w:tabs>
        <w:ind w:left="851"/>
        <w:rPr>
          <w:sz w:val="24"/>
          <w:szCs w:val="24"/>
        </w:rPr>
      </w:pPr>
    </w:p>
    <w:p w:rsidR="00AE09FE" w:rsidRPr="00B751FD" w:rsidRDefault="00AE09FE" w:rsidP="00AE09FE">
      <w:pPr>
        <w:tabs>
          <w:tab w:val="left" w:pos="851"/>
        </w:tabs>
        <w:ind w:left="851" w:hanging="851"/>
        <w:rPr>
          <w:b/>
          <w:sz w:val="24"/>
          <w:szCs w:val="24"/>
        </w:rPr>
      </w:pPr>
      <w:r w:rsidRPr="00B751FD">
        <w:rPr>
          <w:b/>
          <w:sz w:val="24"/>
          <w:szCs w:val="24"/>
        </w:rPr>
        <w:t>6.3</w:t>
      </w:r>
      <w:r w:rsidRPr="00B751FD">
        <w:rPr>
          <w:b/>
          <w:sz w:val="24"/>
          <w:szCs w:val="24"/>
        </w:rPr>
        <w:tab/>
        <w:t>Opbevaringstid</w:t>
      </w:r>
    </w:p>
    <w:p w:rsidR="00AE09FE" w:rsidRPr="00B751FD" w:rsidRDefault="00AE09FE" w:rsidP="00AE09FE">
      <w:pPr>
        <w:tabs>
          <w:tab w:val="left" w:pos="851"/>
        </w:tabs>
        <w:ind w:left="851"/>
        <w:rPr>
          <w:sz w:val="24"/>
          <w:szCs w:val="24"/>
          <w:lang w:eastAsia="da-DK"/>
        </w:rPr>
      </w:pPr>
      <w:r w:rsidRPr="00B751FD">
        <w:rPr>
          <w:sz w:val="24"/>
          <w:szCs w:val="24"/>
        </w:rPr>
        <w:t>1</w:t>
      </w:r>
      <w:r w:rsidR="00B167FE">
        <w:rPr>
          <w:sz w:val="24"/>
          <w:szCs w:val="24"/>
        </w:rPr>
        <w:t>8</w:t>
      </w:r>
      <w:r w:rsidRPr="00B751FD">
        <w:rPr>
          <w:sz w:val="24"/>
          <w:szCs w:val="24"/>
        </w:rPr>
        <w:t xml:space="preserve"> måneder.</w:t>
      </w:r>
    </w:p>
    <w:p w:rsidR="00AE09FE" w:rsidRPr="00B751FD" w:rsidRDefault="00AE09FE" w:rsidP="00AE09FE">
      <w:pPr>
        <w:tabs>
          <w:tab w:val="left" w:pos="851"/>
        </w:tabs>
        <w:ind w:left="851"/>
        <w:rPr>
          <w:sz w:val="24"/>
          <w:szCs w:val="24"/>
        </w:rPr>
      </w:pPr>
    </w:p>
    <w:p w:rsidR="00AE09FE" w:rsidRPr="00B751FD" w:rsidRDefault="00AE09FE" w:rsidP="00AE09FE">
      <w:pPr>
        <w:tabs>
          <w:tab w:val="left" w:pos="851"/>
        </w:tabs>
        <w:ind w:left="851" w:hanging="851"/>
        <w:rPr>
          <w:b/>
          <w:sz w:val="24"/>
          <w:szCs w:val="24"/>
        </w:rPr>
      </w:pPr>
      <w:r w:rsidRPr="00B751FD">
        <w:rPr>
          <w:b/>
          <w:sz w:val="24"/>
          <w:szCs w:val="24"/>
        </w:rPr>
        <w:t>6.4</w:t>
      </w:r>
      <w:r w:rsidRPr="00B751FD">
        <w:rPr>
          <w:b/>
          <w:sz w:val="24"/>
          <w:szCs w:val="24"/>
        </w:rPr>
        <w:tab/>
        <w:t>Særlige opbevaringsforhold</w:t>
      </w:r>
    </w:p>
    <w:p w:rsidR="005E45E0" w:rsidRPr="00B751FD" w:rsidRDefault="005E45E0" w:rsidP="005E45E0">
      <w:pPr>
        <w:tabs>
          <w:tab w:val="left" w:pos="851"/>
        </w:tabs>
        <w:ind w:left="851"/>
        <w:rPr>
          <w:sz w:val="24"/>
          <w:szCs w:val="24"/>
          <w:lang w:eastAsia="da-DK"/>
        </w:rPr>
      </w:pPr>
      <w:r w:rsidRPr="00B751FD">
        <w:rPr>
          <w:sz w:val="24"/>
          <w:szCs w:val="24"/>
        </w:rPr>
        <w:t>Må ikke opbevares over 25</w:t>
      </w:r>
      <w:r w:rsidR="0033496E">
        <w:rPr>
          <w:sz w:val="24"/>
          <w:szCs w:val="24"/>
        </w:rPr>
        <w:t xml:space="preserve"> </w:t>
      </w:r>
      <w:r w:rsidRPr="00B751FD">
        <w:rPr>
          <w:sz w:val="24"/>
          <w:szCs w:val="24"/>
        </w:rPr>
        <w:t>°C.</w:t>
      </w:r>
    </w:p>
    <w:p w:rsidR="005E45E0" w:rsidRPr="00B751FD" w:rsidRDefault="005E45E0" w:rsidP="005E45E0">
      <w:pPr>
        <w:tabs>
          <w:tab w:val="left" w:pos="851"/>
        </w:tabs>
        <w:ind w:left="851"/>
        <w:rPr>
          <w:sz w:val="24"/>
          <w:szCs w:val="24"/>
        </w:rPr>
      </w:pPr>
      <w:r w:rsidRPr="00B751FD">
        <w:rPr>
          <w:sz w:val="24"/>
          <w:szCs w:val="24"/>
        </w:rPr>
        <w:t>Må ikke opbevares i køleskab eller nedfryses.</w:t>
      </w:r>
    </w:p>
    <w:p w:rsidR="005E45E0" w:rsidRPr="00B751FD" w:rsidRDefault="005E45E0" w:rsidP="005E45E0">
      <w:pPr>
        <w:tabs>
          <w:tab w:val="left" w:pos="851"/>
        </w:tabs>
        <w:ind w:left="851"/>
        <w:rPr>
          <w:sz w:val="24"/>
          <w:szCs w:val="24"/>
        </w:rPr>
      </w:pPr>
      <w:r w:rsidRPr="00B751FD">
        <w:rPr>
          <w:sz w:val="24"/>
          <w:szCs w:val="24"/>
        </w:rPr>
        <w:t>Opbevares i den originale pakning for at beskytte mod lys.</w:t>
      </w:r>
    </w:p>
    <w:p w:rsidR="00AE09FE" w:rsidRPr="00B751FD" w:rsidRDefault="00AE09FE" w:rsidP="00AE09FE">
      <w:pPr>
        <w:tabs>
          <w:tab w:val="left" w:pos="851"/>
        </w:tabs>
        <w:ind w:left="851"/>
        <w:rPr>
          <w:sz w:val="24"/>
          <w:szCs w:val="24"/>
        </w:rPr>
      </w:pPr>
    </w:p>
    <w:p w:rsidR="00AE09FE" w:rsidRPr="00B751FD" w:rsidRDefault="00AE09FE" w:rsidP="00AE09FE">
      <w:pPr>
        <w:tabs>
          <w:tab w:val="left" w:pos="851"/>
        </w:tabs>
        <w:ind w:left="851" w:hanging="851"/>
        <w:rPr>
          <w:b/>
          <w:sz w:val="24"/>
          <w:szCs w:val="24"/>
        </w:rPr>
      </w:pPr>
      <w:r w:rsidRPr="00B751FD">
        <w:rPr>
          <w:b/>
          <w:sz w:val="24"/>
          <w:szCs w:val="24"/>
        </w:rPr>
        <w:t>6.5</w:t>
      </w:r>
      <w:r w:rsidRPr="00B751FD">
        <w:rPr>
          <w:b/>
          <w:sz w:val="24"/>
          <w:szCs w:val="24"/>
        </w:rPr>
        <w:tab/>
        <w:t>Emballagetype og pakningsstørrelser</w:t>
      </w:r>
    </w:p>
    <w:p w:rsidR="005E45E0" w:rsidRPr="00B751FD" w:rsidRDefault="005E45E0" w:rsidP="005E45E0">
      <w:pPr>
        <w:tabs>
          <w:tab w:val="left" w:pos="851"/>
        </w:tabs>
        <w:ind w:left="851"/>
        <w:rPr>
          <w:sz w:val="24"/>
          <w:szCs w:val="24"/>
        </w:rPr>
      </w:pPr>
      <w:proofErr w:type="spellStart"/>
      <w:r w:rsidRPr="00B751FD">
        <w:rPr>
          <w:sz w:val="24"/>
          <w:szCs w:val="24"/>
        </w:rPr>
        <w:t>Epistatus</w:t>
      </w:r>
      <w:proofErr w:type="spellEnd"/>
      <w:r w:rsidRPr="00B751FD">
        <w:rPr>
          <w:sz w:val="24"/>
          <w:szCs w:val="24"/>
        </w:rPr>
        <w:t xml:space="preserve"> leveres i en 1 ml sprøjte med forskellige fyldning</w:t>
      </w:r>
      <w:r w:rsidR="00B8345D">
        <w:rPr>
          <w:sz w:val="24"/>
          <w:szCs w:val="24"/>
        </w:rPr>
        <w:t>s</w:t>
      </w:r>
      <w:r w:rsidRPr="00B751FD">
        <w:rPr>
          <w:sz w:val="24"/>
          <w:szCs w:val="24"/>
        </w:rPr>
        <w:t>volumener á hhv. 0,25 ml, 0,5 ml, 0,75 ml og 1 ml for doser á hhv. 2,5 mg, 5 mg, 7,5 mg og 10 mg.</w:t>
      </w:r>
    </w:p>
    <w:p w:rsidR="005E45E0" w:rsidRPr="00B751FD" w:rsidRDefault="005E45E0" w:rsidP="005E45E0">
      <w:pPr>
        <w:tabs>
          <w:tab w:val="left" w:pos="851"/>
        </w:tabs>
        <w:ind w:left="851"/>
        <w:rPr>
          <w:sz w:val="24"/>
          <w:szCs w:val="24"/>
        </w:rPr>
      </w:pPr>
      <w:r w:rsidRPr="00B751FD">
        <w:rPr>
          <w:sz w:val="24"/>
          <w:szCs w:val="24"/>
        </w:rPr>
        <w:t xml:space="preserve">Den orale sprøjte med 1 ml er fremstillet med en cyklisk </w:t>
      </w:r>
      <w:proofErr w:type="spellStart"/>
      <w:r w:rsidRPr="00B751FD">
        <w:rPr>
          <w:sz w:val="24"/>
          <w:szCs w:val="24"/>
        </w:rPr>
        <w:t>olefin</w:t>
      </w:r>
      <w:proofErr w:type="spellEnd"/>
      <w:r w:rsidRPr="00B751FD">
        <w:rPr>
          <w:sz w:val="24"/>
          <w:szCs w:val="24"/>
        </w:rPr>
        <w:t xml:space="preserve"> polymer (COP) </w:t>
      </w:r>
      <w:proofErr w:type="spellStart"/>
      <w:r w:rsidRPr="00B751FD">
        <w:rPr>
          <w:sz w:val="24"/>
          <w:szCs w:val="24"/>
        </w:rPr>
        <w:t>silikoniseret</w:t>
      </w:r>
      <w:proofErr w:type="spellEnd"/>
      <w:r w:rsidRPr="00B751FD">
        <w:rPr>
          <w:sz w:val="24"/>
          <w:szCs w:val="24"/>
        </w:rPr>
        <w:t xml:space="preserve"> cylinder, en termoplastisk elastomer stempelprop og et COP ravfarvet hylster. Produktet leveres som en enkeltdosispakning i en manipulationssikret polypropylenbeholder (se nedenstående farvemærkning), der hver indeholder én sprøjte med 0,25 ml / 0,5 ml / 0,75 ml / 1 ml af produktet.</w:t>
      </w:r>
    </w:p>
    <w:p w:rsidR="005E45E0" w:rsidRPr="00B751FD" w:rsidRDefault="005E45E0" w:rsidP="005E45E0">
      <w:pPr>
        <w:tabs>
          <w:tab w:val="left" w:pos="851"/>
        </w:tabs>
        <w:ind w:left="851"/>
        <w:rPr>
          <w:sz w:val="24"/>
          <w:szCs w:val="24"/>
        </w:rPr>
      </w:pPr>
    </w:p>
    <w:p w:rsidR="005E45E0" w:rsidRPr="00B751FD" w:rsidRDefault="005E45E0" w:rsidP="005E45E0">
      <w:pPr>
        <w:numPr>
          <w:ilvl w:val="12"/>
          <w:numId w:val="0"/>
        </w:numPr>
        <w:ind w:left="851"/>
        <w:rPr>
          <w:sz w:val="24"/>
          <w:szCs w:val="24"/>
        </w:rPr>
      </w:pPr>
      <w:proofErr w:type="spellStart"/>
      <w:r w:rsidRPr="00B751FD">
        <w:rPr>
          <w:sz w:val="24"/>
          <w:szCs w:val="24"/>
        </w:rPr>
        <w:t>Epistatus</w:t>
      </w:r>
      <w:proofErr w:type="spellEnd"/>
      <w:r w:rsidRPr="00B751FD">
        <w:rPr>
          <w:sz w:val="24"/>
          <w:szCs w:val="24"/>
        </w:rPr>
        <w:t xml:space="preserve"> 2,5 mg mundhulevæske, opløsning</w:t>
      </w:r>
    </w:p>
    <w:p w:rsidR="005E45E0" w:rsidRPr="00B751FD" w:rsidRDefault="005E45E0" w:rsidP="005E45E0">
      <w:pPr>
        <w:numPr>
          <w:ilvl w:val="12"/>
          <w:numId w:val="0"/>
        </w:numPr>
        <w:ind w:left="851"/>
        <w:rPr>
          <w:sz w:val="24"/>
          <w:szCs w:val="24"/>
        </w:rPr>
      </w:pPr>
      <w:r w:rsidRPr="00B751FD">
        <w:rPr>
          <w:sz w:val="24"/>
          <w:szCs w:val="24"/>
        </w:rPr>
        <w:t>Gul sprøjteetiket, pakket i gul polypropylenbeholder</w:t>
      </w:r>
    </w:p>
    <w:p w:rsidR="005E45E0" w:rsidRPr="00B751FD" w:rsidRDefault="005E45E0" w:rsidP="005E45E0">
      <w:pPr>
        <w:numPr>
          <w:ilvl w:val="12"/>
          <w:numId w:val="0"/>
        </w:numPr>
        <w:ind w:left="851"/>
        <w:rPr>
          <w:sz w:val="24"/>
          <w:szCs w:val="24"/>
        </w:rPr>
      </w:pPr>
    </w:p>
    <w:p w:rsidR="005E45E0" w:rsidRPr="00B751FD" w:rsidRDefault="005E45E0" w:rsidP="005E45E0">
      <w:pPr>
        <w:numPr>
          <w:ilvl w:val="12"/>
          <w:numId w:val="0"/>
        </w:numPr>
        <w:ind w:left="851"/>
        <w:rPr>
          <w:sz w:val="24"/>
          <w:szCs w:val="24"/>
        </w:rPr>
      </w:pPr>
      <w:proofErr w:type="spellStart"/>
      <w:r w:rsidRPr="00B751FD">
        <w:rPr>
          <w:sz w:val="24"/>
          <w:szCs w:val="24"/>
        </w:rPr>
        <w:t>Epistatus</w:t>
      </w:r>
      <w:proofErr w:type="spellEnd"/>
      <w:r w:rsidRPr="00B751FD">
        <w:rPr>
          <w:sz w:val="24"/>
          <w:szCs w:val="24"/>
        </w:rPr>
        <w:t xml:space="preserve"> 5 mg mundhulevæske, opløsning</w:t>
      </w:r>
    </w:p>
    <w:p w:rsidR="005E45E0" w:rsidRPr="00B751FD" w:rsidRDefault="005E45E0" w:rsidP="005E45E0">
      <w:pPr>
        <w:numPr>
          <w:ilvl w:val="12"/>
          <w:numId w:val="0"/>
        </w:numPr>
        <w:ind w:left="851"/>
        <w:rPr>
          <w:sz w:val="24"/>
          <w:szCs w:val="24"/>
        </w:rPr>
      </w:pPr>
      <w:r w:rsidRPr="00B751FD">
        <w:rPr>
          <w:sz w:val="24"/>
          <w:szCs w:val="24"/>
        </w:rPr>
        <w:t>Blå sprøjteetiket, pakket i blå polypropylenbeholder</w:t>
      </w:r>
    </w:p>
    <w:p w:rsidR="005E45E0" w:rsidRPr="00B751FD" w:rsidRDefault="005E45E0" w:rsidP="005E45E0">
      <w:pPr>
        <w:numPr>
          <w:ilvl w:val="12"/>
          <w:numId w:val="0"/>
        </w:numPr>
        <w:ind w:left="851"/>
        <w:rPr>
          <w:sz w:val="24"/>
          <w:szCs w:val="24"/>
        </w:rPr>
      </w:pPr>
    </w:p>
    <w:p w:rsidR="005E45E0" w:rsidRPr="00B751FD" w:rsidRDefault="005E45E0" w:rsidP="005E45E0">
      <w:pPr>
        <w:numPr>
          <w:ilvl w:val="12"/>
          <w:numId w:val="0"/>
        </w:numPr>
        <w:ind w:left="851"/>
        <w:rPr>
          <w:sz w:val="24"/>
          <w:szCs w:val="24"/>
        </w:rPr>
      </w:pPr>
      <w:proofErr w:type="spellStart"/>
      <w:r w:rsidRPr="00B751FD">
        <w:rPr>
          <w:sz w:val="24"/>
          <w:szCs w:val="24"/>
        </w:rPr>
        <w:t>Epistatus</w:t>
      </w:r>
      <w:proofErr w:type="spellEnd"/>
      <w:r w:rsidRPr="00B751FD">
        <w:rPr>
          <w:sz w:val="24"/>
          <w:szCs w:val="24"/>
        </w:rPr>
        <w:t xml:space="preserve"> 7,5 mg mundhulevæske, opløsning</w:t>
      </w:r>
    </w:p>
    <w:p w:rsidR="005E45E0" w:rsidRPr="00B751FD" w:rsidRDefault="005E45E0" w:rsidP="005E45E0">
      <w:pPr>
        <w:numPr>
          <w:ilvl w:val="12"/>
          <w:numId w:val="0"/>
        </w:numPr>
        <w:ind w:left="851"/>
        <w:rPr>
          <w:sz w:val="24"/>
          <w:szCs w:val="24"/>
        </w:rPr>
      </w:pPr>
      <w:r w:rsidRPr="00B751FD">
        <w:rPr>
          <w:sz w:val="24"/>
          <w:szCs w:val="24"/>
        </w:rPr>
        <w:t>Lilla sprøjteetiket, pakket i lilla polypropylenbeholder</w:t>
      </w:r>
    </w:p>
    <w:p w:rsidR="005E45E0" w:rsidRPr="00B751FD" w:rsidRDefault="005E45E0" w:rsidP="005E45E0">
      <w:pPr>
        <w:numPr>
          <w:ilvl w:val="12"/>
          <w:numId w:val="0"/>
        </w:numPr>
        <w:ind w:left="851"/>
        <w:rPr>
          <w:sz w:val="24"/>
          <w:szCs w:val="24"/>
        </w:rPr>
      </w:pPr>
    </w:p>
    <w:p w:rsidR="005E45E0" w:rsidRPr="00B751FD" w:rsidRDefault="005E45E0" w:rsidP="005E45E0">
      <w:pPr>
        <w:numPr>
          <w:ilvl w:val="12"/>
          <w:numId w:val="0"/>
        </w:numPr>
        <w:ind w:left="851"/>
        <w:rPr>
          <w:sz w:val="24"/>
          <w:szCs w:val="24"/>
        </w:rPr>
      </w:pPr>
      <w:proofErr w:type="spellStart"/>
      <w:r w:rsidRPr="00B751FD">
        <w:rPr>
          <w:sz w:val="24"/>
          <w:szCs w:val="24"/>
        </w:rPr>
        <w:t>Epistatus</w:t>
      </w:r>
      <w:proofErr w:type="spellEnd"/>
      <w:r w:rsidRPr="00B751FD">
        <w:rPr>
          <w:sz w:val="24"/>
          <w:szCs w:val="24"/>
        </w:rPr>
        <w:t xml:space="preserve"> 10 mg mundhulevæske, opløsning</w:t>
      </w:r>
    </w:p>
    <w:p w:rsidR="005E45E0" w:rsidRPr="00B751FD" w:rsidRDefault="005E45E0" w:rsidP="005E45E0">
      <w:pPr>
        <w:numPr>
          <w:ilvl w:val="12"/>
          <w:numId w:val="0"/>
        </w:numPr>
        <w:ind w:left="851"/>
        <w:rPr>
          <w:sz w:val="24"/>
          <w:szCs w:val="24"/>
          <w:lang w:eastAsia="da-DK"/>
        </w:rPr>
      </w:pPr>
      <w:r w:rsidRPr="00B751FD">
        <w:rPr>
          <w:sz w:val="24"/>
          <w:szCs w:val="24"/>
        </w:rPr>
        <w:t>Orange sprøjteetiket, pakket i polypropylenorange beholder</w:t>
      </w:r>
    </w:p>
    <w:p w:rsidR="00AE09FE" w:rsidRPr="00B751FD" w:rsidRDefault="00AE09FE" w:rsidP="00AE09FE">
      <w:pPr>
        <w:tabs>
          <w:tab w:val="left" w:pos="851"/>
        </w:tabs>
        <w:ind w:left="851"/>
        <w:rPr>
          <w:sz w:val="24"/>
          <w:szCs w:val="24"/>
        </w:rPr>
      </w:pPr>
    </w:p>
    <w:p w:rsidR="00AE09FE" w:rsidRPr="00B751FD" w:rsidRDefault="00AE09FE" w:rsidP="00AE09FE">
      <w:pPr>
        <w:tabs>
          <w:tab w:val="left" w:pos="851"/>
        </w:tabs>
        <w:ind w:left="851" w:hanging="851"/>
        <w:rPr>
          <w:b/>
          <w:sz w:val="24"/>
          <w:szCs w:val="24"/>
        </w:rPr>
      </w:pPr>
      <w:r w:rsidRPr="00B751FD">
        <w:rPr>
          <w:b/>
          <w:sz w:val="24"/>
          <w:szCs w:val="24"/>
        </w:rPr>
        <w:t>6.6</w:t>
      </w:r>
      <w:r w:rsidRPr="00B751FD">
        <w:rPr>
          <w:b/>
          <w:sz w:val="24"/>
          <w:szCs w:val="24"/>
        </w:rPr>
        <w:tab/>
        <w:t xml:space="preserve">Regler for </w:t>
      </w:r>
      <w:r w:rsidR="00006FCB">
        <w:rPr>
          <w:b/>
          <w:sz w:val="24"/>
          <w:szCs w:val="24"/>
        </w:rPr>
        <w:t>bortskaffelse</w:t>
      </w:r>
      <w:r w:rsidRPr="00B751FD">
        <w:rPr>
          <w:b/>
          <w:sz w:val="24"/>
          <w:szCs w:val="24"/>
        </w:rPr>
        <w:t xml:space="preserve"> og anden håndtering</w:t>
      </w:r>
    </w:p>
    <w:p w:rsidR="005E45E0" w:rsidRPr="00B751FD" w:rsidRDefault="005E45E0" w:rsidP="005E45E0">
      <w:pPr>
        <w:tabs>
          <w:tab w:val="left" w:pos="851"/>
        </w:tabs>
        <w:ind w:left="851"/>
        <w:rPr>
          <w:sz w:val="24"/>
          <w:szCs w:val="24"/>
          <w:lang w:eastAsia="da-DK"/>
        </w:rPr>
      </w:pPr>
      <w:r w:rsidRPr="00B751FD">
        <w:rPr>
          <w:sz w:val="24"/>
          <w:szCs w:val="24"/>
          <w:lang w:eastAsia="da-DK"/>
        </w:rPr>
        <w:t>Administration</w:t>
      </w:r>
    </w:p>
    <w:p w:rsidR="005E45E0" w:rsidRPr="00B751FD" w:rsidRDefault="005E45E0" w:rsidP="005E45E0">
      <w:pPr>
        <w:tabs>
          <w:tab w:val="left" w:pos="851"/>
        </w:tabs>
        <w:ind w:left="851"/>
        <w:rPr>
          <w:sz w:val="24"/>
          <w:szCs w:val="24"/>
          <w:lang w:eastAsia="da-DK"/>
        </w:rPr>
      </w:pPr>
      <w:proofErr w:type="spellStart"/>
      <w:r w:rsidRPr="00B751FD">
        <w:rPr>
          <w:sz w:val="24"/>
          <w:szCs w:val="24"/>
          <w:lang w:eastAsia="da-DK"/>
        </w:rPr>
        <w:t>Epistatus</w:t>
      </w:r>
      <w:proofErr w:type="spellEnd"/>
      <w:r w:rsidRPr="00B751FD">
        <w:rPr>
          <w:sz w:val="24"/>
          <w:szCs w:val="24"/>
          <w:lang w:eastAsia="da-DK"/>
        </w:rPr>
        <w:t xml:space="preserve"> er til anvendelse i mundhulen.</w:t>
      </w:r>
    </w:p>
    <w:p w:rsidR="005E45E0" w:rsidRPr="00B751FD" w:rsidRDefault="005E45E0" w:rsidP="005E45E0">
      <w:pPr>
        <w:tabs>
          <w:tab w:val="left" w:pos="851"/>
        </w:tabs>
        <w:ind w:left="851"/>
        <w:rPr>
          <w:sz w:val="24"/>
          <w:szCs w:val="24"/>
          <w:lang w:eastAsia="da-DK"/>
        </w:rPr>
      </w:pPr>
      <w:r w:rsidRPr="00B751FD">
        <w:rPr>
          <w:sz w:val="24"/>
          <w:szCs w:val="24"/>
          <w:lang w:eastAsia="da-DK"/>
        </w:rPr>
        <w:t>Det må kun bruges i munden.</w:t>
      </w:r>
    </w:p>
    <w:p w:rsidR="005E45E0" w:rsidRPr="00B751FD" w:rsidRDefault="005E45E0" w:rsidP="005E45E0">
      <w:pPr>
        <w:tabs>
          <w:tab w:val="left" w:pos="851"/>
        </w:tabs>
        <w:ind w:left="851"/>
        <w:rPr>
          <w:sz w:val="24"/>
          <w:szCs w:val="24"/>
          <w:lang w:eastAsia="da-DK"/>
        </w:rPr>
      </w:pPr>
    </w:p>
    <w:p w:rsidR="005E45E0" w:rsidRPr="00B751FD" w:rsidRDefault="005E45E0" w:rsidP="005E45E0">
      <w:pPr>
        <w:tabs>
          <w:tab w:val="left" w:pos="851"/>
        </w:tabs>
        <w:ind w:left="851"/>
        <w:rPr>
          <w:sz w:val="24"/>
          <w:szCs w:val="24"/>
          <w:lang w:eastAsia="da-DK"/>
        </w:rPr>
      </w:pPr>
      <w:r w:rsidRPr="00B751FD">
        <w:rPr>
          <w:sz w:val="24"/>
          <w:szCs w:val="24"/>
          <w:lang w:eastAsia="da-DK"/>
        </w:rPr>
        <w:t>Forholdsregler, der skal tages før håndtering eller administration af lægemidlet:</w:t>
      </w:r>
    </w:p>
    <w:p w:rsidR="005E45E0" w:rsidRPr="00B751FD" w:rsidRDefault="005E45E0" w:rsidP="005E45E0">
      <w:pPr>
        <w:pStyle w:val="Listeafsnit"/>
        <w:numPr>
          <w:ilvl w:val="3"/>
          <w:numId w:val="9"/>
        </w:numPr>
        <w:ind w:left="1418" w:hanging="567"/>
        <w:rPr>
          <w:sz w:val="24"/>
          <w:szCs w:val="24"/>
          <w:lang w:eastAsia="da-DK"/>
        </w:rPr>
      </w:pPr>
      <w:r w:rsidRPr="00B751FD">
        <w:rPr>
          <w:sz w:val="24"/>
          <w:szCs w:val="24"/>
          <w:lang w:eastAsia="da-DK"/>
        </w:rPr>
        <w:t>Må ikke anvendes, hvis opløsningen ikke er klar (fx uklar eller der ses hvide partikler).</w:t>
      </w:r>
    </w:p>
    <w:p w:rsidR="005E45E0" w:rsidRPr="00B751FD" w:rsidRDefault="005E45E0" w:rsidP="005E45E0">
      <w:pPr>
        <w:pStyle w:val="Listeafsnit"/>
        <w:numPr>
          <w:ilvl w:val="3"/>
          <w:numId w:val="9"/>
        </w:numPr>
        <w:ind w:left="1418" w:hanging="567"/>
        <w:rPr>
          <w:sz w:val="24"/>
          <w:szCs w:val="24"/>
          <w:lang w:eastAsia="da-DK"/>
        </w:rPr>
      </w:pPr>
      <w:r w:rsidRPr="00B751FD">
        <w:rPr>
          <w:sz w:val="24"/>
          <w:szCs w:val="24"/>
          <w:lang w:eastAsia="da-DK"/>
        </w:rPr>
        <w:t>Det ravgule hylster skal fjernes før brug.</w:t>
      </w:r>
    </w:p>
    <w:p w:rsidR="005E45E0" w:rsidRPr="00B751FD" w:rsidRDefault="005E45E0" w:rsidP="005E45E0">
      <w:pPr>
        <w:pStyle w:val="Listeafsnit"/>
        <w:numPr>
          <w:ilvl w:val="3"/>
          <w:numId w:val="9"/>
        </w:numPr>
        <w:ind w:left="1418" w:hanging="567"/>
        <w:rPr>
          <w:sz w:val="24"/>
          <w:szCs w:val="24"/>
          <w:lang w:eastAsia="da-DK"/>
        </w:rPr>
      </w:pPr>
      <w:r w:rsidRPr="00B751FD">
        <w:rPr>
          <w:sz w:val="24"/>
          <w:szCs w:val="24"/>
          <w:lang w:eastAsia="da-DK"/>
        </w:rPr>
        <w:t>Der må ikke fastgøres kanyle eller anden enhed til den orale sprøjte</w:t>
      </w:r>
    </w:p>
    <w:p w:rsidR="005E45E0" w:rsidRPr="00B751FD" w:rsidRDefault="005E45E0" w:rsidP="005E45E0">
      <w:pPr>
        <w:pStyle w:val="Listeafsnit"/>
        <w:numPr>
          <w:ilvl w:val="3"/>
          <w:numId w:val="9"/>
        </w:numPr>
        <w:ind w:left="1418" w:hanging="567"/>
        <w:rPr>
          <w:sz w:val="24"/>
          <w:szCs w:val="24"/>
          <w:lang w:eastAsia="da-DK"/>
        </w:rPr>
      </w:pPr>
      <w:r w:rsidRPr="00B751FD">
        <w:rPr>
          <w:sz w:val="24"/>
          <w:szCs w:val="24"/>
          <w:lang w:eastAsia="da-DK"/>
        </w:rPr>
        <w:t>Der skal udvises forsigtighed ved administration af produktet for at undgå risikoen for, at patienten kvæles</w:t>
      </w:r>
    </w:p>
    <w:p w:rsidR="005E45E0" w:rsidRPr="00B751FD" w:rsidRDefault="005E45E0" w:rsidP="005E45E0">
      <w:pPr>
        <w:tabs>
          <w:tab w:val="left" w:pos="851"/>
        </w:tabs>
        <w:ind w:left="851"/>
        <w:rPr>
          <w:sz w:val="24"/>
          <w:szCs w:val="24"/>
          <w:lang w:eastAsia="da-DK"/>
        </w:rPr>
      </w:pPr>
    </w:p>
    <w:p w:rsidR="005E45E0" w:rsidRPr="00B751FD" w:rsidRDefault="005E45E0" w:rsidP="005E45E0">
      <w:pPr>
        <w:tabs>
          <w:tab w:val="left" w:pos="851"/>
        </w:tabs>
        <w:ind w:left="851"/>
        <w:rPr>
          <w:sz w:val="24"/>
          <w:szCs w:val="24"/>
          <w:lang w:eastAsia="da-DK"/>
        </w:rPr>
      </w:pPr>
      <w:r w:rsidRPr="00B751FD">
        <w:rPr>
          <w:sz w:val="24"/>
          <w:szCs w:val="24"/>
          <w:lang w:eastAsia="da-DK"/>
        </w:rPr>
        <w:t>For instruktioner om, hvordan du administrerer lægemidlet, se nedenfor</w:t>
      </w:r>
    </w:p>
    <w:p w:rsidR="005E45E0" w:rsidRPr="00B751FD" w:rsidRDefault="005E45E0" w:rsidP="005E45E0">
      <w:pPr>
        <w:tabs>
          <w:tab w:val="left" w:pos="851"/>
        </w:tabs>
        <w:ind w:left="851"/>
        <w:rPr>
          <w:sz w:val="24"/>
          <w:szCs w:val="24"/>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844"/>
        <w:gridCol w:w="3933"/>
      </w:tblGrid>
      <w:tr w:rsidR="005E45E0" w:rsidRPr="00B751FD" w:rsidTr="005E45E0">
        <w:tc>
          <w:tcPr>
            <w:tcW w:w="4901" w:type="dxa"/>
            <w:tcBorders>
              <w:top w:val="single" w:sz="4" w:space="0" w:color="auto"/>
              <w:left w:val="single" w:sz="4" w:space="0" w:color="auto"/>
              <w:bottom w:val="single" w:sz="4" w:space="0" w:color="auto"/>
              <w:right w:val="nil"/>
            </w:tcBorders>
            <w:vAlign w:val="center"/>
            <w:hideMark/>
          </w:tcPr>
          <w:p w:rsidR="005E45E0" w:rsidRPr="00B751FD" w:rsidRDefault="005E45E0" w:rsidP="005E45E0">
            <w:pPr>
              <w:tabs>
                <w:tab w:val="left" w:pos="851"/>
              </w:tabs>
              <w:rPr>
                <w:sz w:val="24"/>
                <w:szCs w:val="24"/>
              </w:rPr>
            </w:pPr>
            <w:r w:rsidRPr="00B751FD">
              <w:rPr>
                <w:sz w:val="24"/>
                <w:szCs w:val="24"/>
              </w:rPr>
              <w:t xml:space="preserve"> </w:t>
            </w:r>
            <w:r w:rsidRPr="00B751FD">
              <w:rPr>
                <w:noProof/>
                <w:sz w:val="24"/>
                <w:szCs w:val="24"/>
              </w:rPr>
              <w:drawing>
                <wp:inline distT="0" distB="0" distL="0" distR="0" wp14:anchorId="6F46003A" wp14:editId="6B839B77">
                  <wp:extent cx="2245995" cy="1931035"/>
                  <wp:effectExtent l="0" t="0" r="1905" b="0"/>
                  <wp:docPr id="18" name="Bille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5995" cy="1931035"/>
                          </a:xfrm>
                          <a:prstGeom prst="rect">
                            <a:avLst/>
                          </a:prstGeom>
                          <a:noFill/>
                          <a:ln>
                            <a:noFill/>
                          </a:ln>
                        </pic:spPr>
                      </pic:pic>
                    </a:graphicData>
                  </a:graphic>
                </wp:inline>
              </w:drawing>
            </w:r>
          </w:p>
        </w:tc>
        <w:tc>
          <w:tcPr>
            <w:tcW w:w="4025" w:type="dxa"/>
            <w:tcBorders>
              <w:top w:val="single" w:sz="4" w:space="0" w:color="auto"/>
              <w:left w:val="nil"/>
              <w:bottom w:val="single" w:sz="4" w:space="0" w:color="auto"/>
              <w:right w:val="single" w:sz="4" w:space="0" w:color="auto"/>
            </w:tcBorders>
            <w:vAlign w:val="center"/>
          </w:tcPr>
          <w:p w:rsidR="005E45E0" w:rsidRPr="00B751FD" w:rsidRDefault="005E45E0" w:rsidP="005E45E0">
            <w:pPr>
              <w:tabs>
                <w:tab w:val="left" w:pos="851"/>
              </w:tabs>
              <w:rPr>
                <w:b/>
                <w:sz w:val="24"/>
                <w:szCs w:val="24"/>
              </w:rPr>
            </w:pPr>
            <w:r w:rsidRPr="00B751FD">
              <w:rPr>
                <w:b/>
                <w:sz w:val="24"/>
                <w:szCs w:val="24"/>
              </w:rPr>
              <w:t>Trin 1</w:t>
            </w:r>
          </w:p>
          <w:p w:rsidR="005E45E0" w:rsidRPr="00B751FD" w:rsidRDefault="005E45E0" w:rsidP="005E45E0">
            <w:pPr>
              <w:tabs>
                <w:tab w:val="left" w:pos="851"/>
              </w:tabs>
              <w:rPr>
                <w:sz w:val="24"/>
                <w:szCs w:val="24"/>
              </w:rPr>
            </w:pPr>
          </w:p>
          <w:p w:rsidR="005E45E0" w:rsidRPr="00B751FD" w:rsidRDefault="005E45E0" w:rsidP="005E45E0">
            <w:pPr>
              <w:tabs>
                <w:tab w:val="left" w:pos="851"/>
              </w:tabs>
              <w:rPr>
                <w:sz w:val="24"/>
                <w:szCs w:val="24"/>
              </w:rPr>
            </w:pPr>
            <w:r w:rsidRPr="00B751FD">
              <w:rPr>
                <w:sz w:val="24"/>
                <w:szCs w:val="24"/>
              </w:rPr>
              <w:t xml:space="preserve">Træk i den manipulationssikrede tap på siden af den sekundære polypropylenemballage, åbn den og tag sprøjten ud. </w:t>
            </w:r>
          </w:p>
        </w:tc>
      </w:tr>
      <w:tr w:rsidR="005E45E0" w:rsidRPr="00B751FD" w:rsidTr="005E45E0">
        <w:tc>
          <w:tcPr>
            <w:tcW w:w="4901" w:type="dxa"/>
            <w:tcBorders>
              <w:top w:val="single" w:sz="4" w:space="0" w:color="auto"/>
              <w:left w:val="single" w:sz="4" w:space="0" w:color="auto"/>
              <w:bottom w:val="single" w:sz="4" w:space="0" w:color="auto"/>
              <w:right w:val="nil"/>
            </w:tcBorders>
            <w:vAlign w:val="center"/>
            <w:hideMark/>
          </w:tcPr>
          <w:p w:rsidR="005E45E0" w:rsidRPr="00B751FD" w:rsidRDefault="005E45E0" w:rsidP="005E45E0">
            <w:pPr>
              <w:tabs>
                <w:tab w:val="left" w:pos="851"/>
              </w:tabs>
              <w:rPr>
                <w:sz w:val="24"/>
                <w:szCs w:val="24"/>
              </w:rPr>
            </w:pPr>
            <w:r w:rsidRPr="00B751FD">
              <w:rPr>
                <w:sz w:val="24"/>
                <w:szCs w:val="24"/>
              </w:rPr>
              <w:t xml:space="preserve"> </w:t>
            </w:r>
            <w:r w:rsidRPr="00B751FD">
              <w:rPr>
                <w:noProof/>
                <w:sz w:val="24"/>
                <w:szCs w:val="24"/>
              </w:rPr>
              <w:drawing>
                <wp:inline distT="0" distB="0" distL="0" distR="0" wp14:anchorId="32F021BD" wp14:editId="414B0CBA">
                  <wp:extent cx="2157730" cy="1865630"/>
                  <wp:effectExtent l="0" t="0" r="0" b="1270"/>
                  <wp:docPr id="17"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7730" cy="1865630"/>
                          </a:xfrm>
                          <a:prstGeom prst="rect">
                            <a:avLst/>
                          </a:prstGeom>
                          <a:noFill/>
                          <a:ln>
                            <a:noFill/>
                          </a:ln>
                        </pic:spPr>
                      </pic:pic>
                    </a:graphicData>
                  </a:graphic>
                </wp:inline>
              </w:drawing>
            </w:r>
          </w:p>
          <w:p w:rsidR="005E45E0" w:rsidRPr="00B751FD" w:rsidRDefault="005E45E0" w:rsidP="005E45E0">
            <w:pPr>
              <w:tabs>
                <w:tab w:val="left" w:pos="851"/>
              </w:tabs>
              <w:rPr>
                <w:sz w:val="24"/>
                <w:szCs w:val="24"/>
              </w:rPr>
            </w:pPr>
            <w:r w:rsidRPr="00B751FD">
              <w:rPr>
                <w:sz w:val="24"/>
                <w:szCs w:val="24"/>
              </w:rPr>
              <w:t xml:space="preserve"> </w:t>
            </w:r>
            <w:r w:rsidRPr="00B751FD">
              <w:rPr>
                <w:noProof/>
                <w:sz w:val="24"/>
                <w:szCs w:val="24"/>
              </w:rPr>
              <w:drawing>
                <wp:inline distT="0" distB="0" distL="0" distR="0" wp14:anchorId="773416D4" wp14:editId="245CCC5C">
                  <wp:extent cx="2157730" cy="1945640"/>
                  <wp:effectExtent l="0" t="0" r="0" b="0"/>
                  <wp:docPr id="19"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7730" cy="1945640"/>
                          </a:xfrm>
                          <a:prstGeom prst="rect">
                            <a:avLst/>
                          </a:prstGeom>
                          <a:noFill/>
                          <a:ln>
                            <a:noFill/>
                          </a:ln>
                        </pic:spPr>
                      </pic:pic>
                    </a:graphicData>
                  </a:graphic>
                </wp:inline>
              </w:drawing>
            </w:r>
          </w:p>
        </w:tc>
        <w:tc>
          <w:tcPr>
            <w:tcW w:w="4025" w:type="dxa"/>
            <w:tcBorders>
              <w:top w:val="single" w:sz="4" w:space="0" w:color="auto"/>
              <w:left w:val="nil"/>
              <w:bottom w:val="single" w:sz="4" w:space="0" w:color="auto"/>
              <w:right w:val="single" w:sz="4" w:space="0" w:color="auto"/>
            </w:tcBorders>
            <w:vAlign w:val="center"/>
          </w:tcPr>
          <w:p w:rsidR="005E45E0" w:rsidRPr="00B751FD" w:rsidRDefault="005E45E0" w:rsidP="005E45E0">
            <w:pPr>
              <w:tabs>
                <w:tab w:val="left" w:pos="851"/>
              </w:tabs>
              <w:rPr>
                <w:b/>
                <w:sz w:val="24"/>
                <w:szCs w:val="24"/>
              </w:rPr>
            </w:pPr>
            <w:r w:rsidRPr="00B751FD">
              <w:rPr>
                <w:b/>
                <w:sz w:val="24"/>
                <w:szCs w:val="24"/>
              </w:rPr>
              <w:t>Trin 2</w:t>
            </w:r>
          </w:p>
          <w:p w:rsidR="005E45E0" w:rsidRPr="00B751FD" w:rsidRDefault="005E45E0" w:rsidP="005E45E0">
            <w:pPr>
              <w:tabs>
                <w:tab w:val="left" w:pos="851"/>
              </w:tabs>
              <w:rPr>
                <w:sz w:val="24"/>
                <w:szCs w:val="24"/>
              </w:rPr>
            </w:pPr>
          </w:p>
          <w:p w:rsidR="005E45E0" w:rsidRPr="00B751FD" w:rsidRDefault="005E45E0" w:rsidP="005E45E0">
            <w:pPr>
              <w:tabs>
                <w:tab w:val="left" w:pos="851"/>
              </w:tabs>
              <w:rPr>
                <w:sz w:val="24"/>
                <w:szCs w:val="24"/>
              </w:rPr>
            </w:pPr>
            <w:r w:rsidRPr="00B751FD">
              <w:rPr>
                <w:sz w:val="24"/>
                <w:szCs w:val="24"/>
              </w:rPr>
              <w:t xml:space="preserve">Skru ved hjælp af de gennemsigtige fingergreb det ravfarvede hylster af i retning mod uret, og fjern det. </w:t>
            </w:r>
          </w:p>
        </w:tc>
      </w:tr>
      <w:tr w:rsidR="005E45E0" w:rsidRPr="00B751FD" w:rsidTr="005E45E0">
        <w:tc>
          <w:tcPr>
            <w:tcW w:w="4901" w:type="dxa"/>
            <w:tcBorders>
              <w:top w:val="single" w:sz="4" w:space="0" w:color="auto"/>
              <w:left w:val="single" w:sz="4" w:space="0" w:color="auto"/>
              <w:bottom w:val="single" w:sz="4" w:space="0" w:color="auto"/>
              <w:right w:val="nil"/>
            </w:tcBorders>
            <w:vAlign w:val="center"/>
            <w:hideMark/>
          </w:tcPr>
          <w:p w:rsidR="005E45E0" w:rsidRPr="00B751FD" w:rsidRDefault="005E45E0" w:rsidP="005E45E0">
            <w:pPr>
              <w:tabs>
                <w:tab w:val="left" w:pos="851"/>
              </w:tabs>
              <w:rPr>
                <w:sz w:val="24"/>
                <w:szCs w:val="24"/>
              </w:rPr>
            </w:pPr>
            <w:r w:rsidRPr="00B751FD">
              <w:rPr>
                <w:noProof/>
                <w:sz w:val="24"/>
                <w:szCs w:val="24"/>
              </w:rPr>
              <w:drawing>
                <wp:inline distT="0" distB="0" distL="0" distR="0" wp14:anchorId="1718BD51" wp14:editId="2B238260">
                  <wp:extent cx="2362200" cy="1798320"/>
                  <wp:effectExtent l="0" t="0" r="0" b="0"/>
                  <wp:docPr id="15"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62200" cy="1798320"/>
                          </a:xfrm>
                          <a:prstGeom prst="rect">
                            <a:avLst/>
                          </a:prstGeom>
                          <a:noFill/>
                          <a:ln>
                            <a:noFill/>
                          </a:ln>
                        </pic:spPr>
                      </pic:pic>
                    </a:graphicData>
                  </a:graphic>
                </wp:inline>
              </w:drawing>
            </w:r>
          </w:p>
        </w:tc>
        <w:tc>
          <w:tcPr>
            <w:tcW w:w="4025" w:type="dxa"/>
            <w:tcBorders>
              <w:top w:val="single" w:sz="4" w:space="0" w:color="auto"/>
              <w:left w:val="nil"/>
              <w:bottom w:val="single" w:sz="4" w:space="0" w:color="auto"/>
              <w:right w:val="single" w:sz="4" w:space="0" w:color="auto"/>
            </w:tcBorders>
            <w:vAlign w:val="center"/>
          </w:tcPr>
          <w:p w:rsidR="005E45E0" w:rsidRPr="00B751FD" w:rsidRDefault="005E45E0" w:rsidP="005E45E0">
            <w:pPr>
              <w:tabs>
                <w:tab w:val="left" w:pos="851"/>
              </w:tabs>
              <w:rPr>
                <w:b/>
                <w:sz w:val="24"/>
                <w:szCs w:val="24"/>
              </w:rPr>
            </w:pPr>
            <w:r w:rsidRPr="00B751FD">
              <w:rPr>
                <w:b/>
                <w:sz w:val="24"/>
                <w:szCs w:val="24"/>
              </w:rPr>
              <w:t>Trin 3</w:t>
            </w:r>
          </w:p>
          <w:p w:rsidR="005E45E0" w:rsidRPr="00B751FD" w:rsidRDefault="005E45E0" w:rsidP="005E45E0">
            <w:pPr>
              <w:tabs>
                <w:tab w:val="left" w:pos="851"/>
              </w:tabs>
              <w:rPr>
                <w:sz w:val="24"/>
                <w:szCs w:val="24"/>
              </w:rPr>
            </w:pPr>
          </w:p>
          <w:p w:rsidR="005E45E0" w:rsidRPr="00B751FD" w:rsidRDefault="005E45E0" w:rsidP="005E45E0">
            <w:pPr>
              <w:tabs>
                <w:tab w:val="left" w:pos="851"/>
              </w:tabs>
              <w:rPr>
                <w:sz w:val="24"/>
                <w:szCs w:val="24"/>
              </w:rPr>
            </w:pPr>
            <w:r w:rsidRPr="00B751FD">
              <w:rPr>
                <w:sz w:val="24"/>
                <w:szCs w:val="24"/>
              </w:rPr>
              <w:t xml:space="preserve">Klem forsigtigt om patientens kind med tommel- og pegefinger og træk kinden bagud. Anbring spidsen af sprøjten bagest i hulrummet mellem indersiden af kinden og gummerne forneden (det </w:t>
            </w:r>
            <w:proofErr w:type="spellStart"/>
            <w:r w:rsidRPr="00B751FD">
              <w:rPr>
                <w:sz w:val="24"/>
                <w:szCs w:val="24"/>
              </w:rPr>
              <w:t>bukkale</w:t>
            </w:r>
            <w:proofErr w:type="spellEnd"/>
            <w:r w:rsidRPr="00B751FD">
              <w:rPr>
                <w:sz w:val="24"/>
                <w:szCs w:val="24"/>
              </w:rPr>
              <w:t xml:space="preserve"> hulrum).</w:t>
            </w:r>
          </w:p>
        </w:tc>
      </w:tr>
      <w:tr w:rsidR="005E45E0" w:rsidRPr="00B751FD" w:rsidTr="005E45E0">
        <w:tc>
          <w:tcPr>
            <w:tcW w:w="4901" w:type="dxa"/>
            <w:tcBorders>
              <w:top w:val="single" w:sz="4" w:space="0" w:color="auto"/>
              <w:left w:val="single" w:sz="4" w:space="0" w:color="auto"/>
              <w:bottom w:val="single" w:sz="4" w:space="0" w:color="auto"/>
              <w:right w:val="nil"/>
            </w:tcBorders>
            <w:vAlign w:val="center"/>
            <w:hideMark/>
          </w:tcPr>
          <w:p w:rsidR="005E45E0" w:rsidRPr="00B751FD" w:rsidRDefault="005E45E0" w:rsidP="005E45E0">
            <w:pPr>
              <w:tabs>
                <w:tab w:val="left" w:pos="851"/>
              </w:tabs>
              <w:rPr>
                <w:sz w:val="24"/>
                <w:szCs w:val="24"/>
              </w:rPr>
            </w:pPr>
            <w:r w:rsidRPr="00B751FD">
              <w:rPr>
                <w:noProof/>
                <w:sz w:val="24"/>
                <w:szCs w:val="24"/>
              </w:rPr>
              <w:drawing>
                <wp:inline distT="0" distB="0" distL="0" distR="0" wp14:anchorId="0C4D6E53" wp14:editId="118E2AA4">
                  <wp:extent cx="2385060" cy="1805940"/>
                  <wp:effectExtent l="0" t="0" r="0" b="3810"/>
                  <wp:docPr id="16"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5060" cy="1805940"/>
                          </a:xfrm>
                          <a:prstGeom prst="rect">
                            <a:avLst/>
                          </a:prstGeom>
                          <a:noFill/>
                          <a:ln>
                            <a:noFill/>
                          </a:ln>
                        </pic:spPr>
                      </pic:pic>
                    </a:graphicData>
                  </a:graphic>
                </wp:inline>
              </w:drawing>
            </w:r>
          </w:p>
        </w:tc>
        <w:tc>
          <w:tcPr>
            <w:tcW w:w="4025" w:type="dxa"/>
            <w:tcBorders>
              <w:top w:val="single" w:sz="4" w:space="0" w:color="auto"/>
              <w:left w:val="nil"/>
              <w:bottom w:val="single" w:sz="4" w:space="0" w:color="auto"/>
              <w:right w:val="single" w:sz="4" w:space="0" w:color="auto"/>
            </w:tcBorders>
            <w:vAlign w:val="center"/>
          </w:tcPr>
          <w:p w:rsidR="005E45E0" w:rsidRPr="00B751FD" w:rsidRDefault="005E45E0" w:rsidP="005E45E0">
            <w:pPr>
              <w:tabs>
                <w:tab w:val="left" w:pos="851"/>
              </w:tabs>
              <w:rPr>
                <w:b/>
                <w:sz w:val="24"/>
                <w:szCs w:val="24"/>
              </w:rPr>
            </w:pPr>
            <w:r w:rsidRPr="00B751FD">
              <w:rPr>
                <w:b/>
                <w:sz w:val="24"/>
                <w:szCs w:val="24"/>
              </w:rPr>
              <w:t>Trin 4</w:t>
            </w:r>
          </w:p>
          <w:p w:rsidR="005E45E0" w:rsidRPr="00B751FD" w:rsidRDefault="005E45E0" w:rsidP="005E45E0">
            <w:pPr>
              <w:tabs>
                <w:tab w:val="left" w:pos="851"/>
              </w:tabs>
              <w:rPr>
                <w:sz w:val="24"/>
                <w:szCs w:val="24"/>
              </w:rPr>
            </w:pPr>
          </w:p>
          <w:p w:rsidR="005E45E0" w:rsidRPr="00B751FD" w:rsidRDefault="005E45E0" w:rsidP="005E45E0">
            <w:pPr>
              <w:tabs>
                <w:tab w:val="left" w:pos="851"/>
              </w:tabs>
              <w:rPr>
                <w:sz w:val="24"/>
                <w:szCs w:val="24"/>
              </w:rPr>
            </w:pPr>
            <w:r w:rsidRPr="00B751FD">
              <w:rPr>
                <w:sz w:val="24"/>
                <w:szCs w:val="24"/>
              </w:rPr>
              <w:t xml:space="preserve">Indgiv langsomt cirka halvdelen af opløsningen i hulrummet i den ene side af munden, og indgiv derefter resten langsomt i den anden side ved at presse sprøjtestemplet i bund. Hvis det er særligt vanskeligt at få sprøjten ind i et af de </w:t>
            </w:r>
            <w:proofErr w:type="spellStart"/>
            <w:r w:rsidRPr="00B751FD">
              <w:rPr>
                <w:sz w:val="24"/>
                <w:szCs w:val="24"/>
              </w:rPr>
              <w:t>bukkale</w:t>
            </w:r>
            <w:proofErr w:type="spellEnd"/>
            <w:r w:rsidRPr="00B751FD">
              <w:rPr>
                <w:sz w:val="24"/>
                <w:szCs w:val="24"/>
              </w:rPr>
              <w:t xml:space="preserve"> hulrum, kan hele dosis administreres i det andet </w:t>
            </w:r>
            <w:proofErr w:type="spellStart"/>
            <w:r w:rsidRPr="00B751FD">
              <w:rPr>
                <w:sz w:val="24"/>
                <w:szCs w:val="24"/>
              </w:rPr>
              <w:t>bukkale</w:t>
            </w:r>
            <w:proofErr w:type="spellEnd"/>
            <w:r w:rsidRPr="00B751FD">
              <w:rPr>
                <w:sz w:val="24"/>
                <w:szCs w:val="24"/>
              </w:rPr>
              <w:t xml:space="preserve"> hulrum over en periode på 4-5 sekunder. Bortskaf sprøjten og hylstret på en sikker måde. </w:t>
            </w:r>
          </w:p>
        </w:tc>
      </w:tr>
    </w:tbl>
    <w:p w:rsidR="005E45E0" w:rsidRPr="00B751FD" w:rsidRDefault="005E45E0" w:rsidP="005E45E0">
      <w:pPr>
        <w:tabs>
          <w:tab w:val="left" w:pos="851"/>
        </w:tabs>
        <w:ind w:left="851"/>
        <w:jc w:val="both"/>
        <w:rPr>
          <w:sz w:val="24"/>
          <w:szCs w:val="24"/>
        </w:rPr>
      </w:pPr>
    </w:p>
    <w:p w:rsidR="005E45E0" w:rsidRPr="00B751FD" w:rsidRDefault="005E45E0" w:rsidP="005E45E0">
      <w:pPr>
        <w:tabs>
          <w:tab w:val="left" w:pos="851"/>
        </w:tabs>
        <w:ind w:left="851"/>
        <w:jc w:val="both"/>
        <w:rPr>
          <w:sz w:val="24"/>
          <w:szCs w:val="24"/>
        </w:rPr>
      </w:pPr>
      <w:r w:rsidRPr="00B751FD">
        <w:rPr>
          <w:sz w:val="24"/>
          <w:szCs w:val="24"/>
        </w:rPr>
        <w:t>Ikke anvendt lægemiddel samt affald heraf skal bortskaffes i henhold til lokale retningslinjer.</w:t>
      </w:r>
    </w:p>
    <w:p w:rsidR="007F6AE5" w:rsidRDefault="007F6AE5">
      <w:pPr>
        <w:rPr>
          <w:sz w:val="24"/>
          <w:szCs w:val="24"/>
        </w:rPr>
      </w:pPr>
      <w:r>
        <w:rPr>
          <w:sz w:val="24"/>
          <w:szCs w:val="24"/>
        </w:rPr>
        <w:br w:type="page"/>
      </w:r>
    </w:p>
    <w:p w:rsidR="00A11134" w:rsidRPr="00B751FD" w:rsidRDefault="00A11134" w:rsidP="00A11134">
      <w:pPr>
        <w:tabs>
          <w:tab w:val="left" w:pos="851"/>
        </w:tabs>
        <w:ind w:left="851"/>
        <w:jc w:val="both"/>
        <w:rPr>
          <w:sz w:val="24"/>
          <w:szCs w:val="24"/>
        </w:rPr>
      </w:pPr>
    </w:p>
    <w:p w:rsidR="00AE09FE" w:rsidRPr="00B751FD" w:rsidRDefault="00AE09FE" w:rsidP="00AE09FE">
      <w:pPr>
        <w:tabs>
          <w:tab w:val="left" w:pos="851"/>
        </w:tabs>
        <w:ind w:left="851" w:hanging="851"/>
        <w:rPr>
          <w:b/>
          <w:sz w:val="24"/>
          <w:szCs w:val="24"/>
        </w:rPr>
      </w:pPr>
      <w:r w:rsidRPr="00B751FD">
        <w:rPr>
          <w:b/>
          <w:sz w:val="24"/>
          <w:szCs w:val="24"/>
        </w:rPr>
        <w:t>7.</w:t>
      </w:r>
      <w:r w:rsidRPr="00B751FD">
        <w:rPr>
          <w:b/>
          <w:sz w:val="24"/>
          <w:szCs w:val="24"/>
        </w:rPr>
        <w:tab/>
        <w:t>INDEHAVER AF MARKEDSFØRINGSTILLADELSEN</w:t>
      </w:r>
    </w:p>
    <w:p w:rsidR="009A5CE2" w:rsidRPr="00B751FD" w:rsidRDefault="009A5CE2" w:rsidP="009A5CE2">
      <w:pPr>
        <w:ind w:left="851"/>
        <w:rPr>
          <w:sz w:val="24"/>
          <w:szCs w:val="24"/>
        </w:rPr>
      </w:pPr>
      <w:r w:rsidRPr="00B751FD">
        <w:rPr>
          <w:sz w:val="24"/>
          <w:szCs w:val="24"/>
        </w:rPr>
        <w:t xml:space="preserve">SERB SA </w:t>
      </w:r>
    </w:p>
    <w:p w:rsidR="009A5CE2" w:rsidRPr="00B751FD" w:rsidRDefault="009A5CE2" w:rsidP="009A5CE2">
      <w:pPr>
        <w:ind w:left="851"/>
        <w:rPr>
          <w:sz w:val="24"/>
          <w:szCs w:val="24"/>
        </w:rPr>
      </w:pPr>
      <w:r w:rsidRPr="00B751FD">
        <w:rPr>
          <w:sz w:val="24"/>
          <w:szCs w:val="24"/>
        </w:rPr>
        <w:t>Avenue Louise 480</w:t>
      </w:r>
    </w:p>
    <w:p w:rsidR="009A5CE2" w:rsidRPr="00B751FD" w:rsidRDefault="009A5CE2" w:rsidP="009A5CE2">
      <w:pPr>
        <w:ind w:left="851"/>
        <w:rPr>
          <w:sz w:val="24"/>
          <w:szCs w:val="24"/>
        </w:rPr>
      </w:pPr>
      <w:r w:rsidRPr="00B751FD">
        <w:rPr>
          <w:sz w:val="24"/>
          <w:szCs w:val="24"/>
        </w:rPr>
        <w:t>1050 Bruxelles</w:t>
      </w:r>
    </w:p>
    <w:p w:rsidR="00AE09FE" w:rsidRPr="00B751FD" w:rsidRDefault="009A5CE2" w:rsidP="009A5CE2">
      <w:pPr>
        <w:ind w:left="851"/>
        <w:rPr>
          <w:sz w:val="24"/>
          <w:szCs w:val="24"/>
        </w:rPr>
      </w:pPr>
      <w:r w:rsidRPr="00B751FD">
        <w:rPr>
          <w:sz w:val="24"/>
          <w:szCs w:val="24"/>
        </w:rPr>
        <w:t>Belgien</w:t>
      </w:r>
    </w:p>
    <w:p w:rsidR="00A11134" w:rsidRPr="00B751FD" w:rsidRDefault="00A11134" w:rsidP="009A5CE2">
      <w:pPr>
        <w:rPr>
          <w:sz w:val="24"/>
          <w:szCs w:val="24"/>
        </w:rPr>
      </w:pPr>
    </w:p>
    <w:p w:rsidR="00AE09FE" w:rsidRPr="00B751FD" w:rsidRDefault="00AE09FE" w:rsidP="00AE09FE">
      <w:pPr>
        <w:tabs>
          <w:tab w:val="left" w:pos="851"/>
        </w:tabs>
        <w:ind w:left="851" w:hanging="851"/>
        <w:rPr>
          <w:b/>
          <w:sz w:val="24"/>
          <w:szCs w:val="24"/>
        </w:rPr>
      </w:pPr>
      <w:r w:rsidRPr="00B751FD">
        <w:rPr>
          <w:b/>
          <w:sz w:val="24"/>
          <w:szCs w:val="24"/>
        </w:rPr>
        <w:t>8.</w:t>
      </w:r>
      <w:r w:rsidRPr="00B751FD">
        <w:rPr>
          <w:b/>
          <w:sz w:val="24"/>
          <w:szCs w:val="24"/>
        </w:rPr>
        <w:tab/>
        <w:t>MARKEDSFØRINGSTILLADELSESNUMMER (</w:t>
      </w:r>
      <w:r w:rsidR="00006FCB">
        <w:rPr>
          <w:b/>
          <w:sz w:val="24"/>
          <w:szCs w:val="24"/>
        </w:rPr>
        <w:t>-</w:t>
      </w:r>
      <w:r w:rsidRPr="00B751FD">
        <w:rPr>
          <w:b/>
          <w:sz w:val="24"/>
          <w:szCs w:val="24"/>
        </w:rPr>
        <w:t>NUMRE)</w:t>
      </w:r>
    </w:p>
    <w:p w:rsidR="00D61791" w:rsidRPr="00B751FD" w:rsidRDefault="00D61791" w:rsidP="00FA72DD">
      <w:pPr>
        <w:tabs>
          <w:tab w:val="left" w:pos="851"/>
          <w:tab w:val="left" w:pos="1843"/>
        </w:tabs>
        <w:ind w:left="851"/>
        <w:rPr>
          <w:sz w:val="24"/>
          <w:szCs w:val="24"/>
        </w:rPr>
      </w:pPr>
      <w:r w:rsidRPr="00B751FD">
        <w:rPr>
          <w:sz w:val="24"/>
          <w:szCs w:val="24"/>
        </w:rPr>
        <w:t>2,5 mg:</w:t>
      </w:r>
      <w:r w:rsidR="00224183" w:rsidRPr="00B751FD">
        <w:rPr>
          <w:sz w:val="24"/>
          <w:szCs w:val="24"/>
        </w:rPr>
        <w:t xml:space="preserve"> </w:t>
      </w:r>
      <w:r w:rsidR="00FA72DD" w:rsidRPr="00B751FD">
        <w:rPr>
          <w:sz w:val="24"/>
          <w:szCs w:val="24"/>
        </w:rPr>
        <w:tab/>
      </w:r>
      <w:r w:rsidR="00793060" w:rsidRPr="00B751FD">
        <w:rPr>
          <w:sz w:val="24"/>
          <w:szCs w:val="24"/>
        </w:rPr>
        <w:t>65297</w:t>
      </w:r>
    </w:p>
    <w:p w:rsidR="00D61791" w:rsidRPr="00B751FD" w:rsidRDefault="00D61791" w:rsidP="00FA72DD">
      <w:pPr>
        <w:tabs>
          <w:tab w:val="left" w:pos="851"/>
          <w:tab w:val="left" w:pos="1843"/>
        </w:tabs>
        <w:ind w:left="851"/>
        <w:rPr>
          <w:sz w:val="24"/>
          <w:szCs w:val="24"/>
        </w:rPr>
      </w:pPr>
      <w:r w:rsidRPr="00B751FD">
        <w:rPr>
          <w:sz w:val="24"/>
          <w:szCs w:val="24"/>
        </w:rPr>
        <w:t>5 mg:</w:t>
      </w:r>
      <w:r w:rsidR="00FA72DD" w:rsidRPr="00B751FD">
        <w:rPr>
          <w:sz w:val="24"/>
          <w:szCs w:val="24"/>
        </w:rPr>
        <w:tab/>
      </w:r>
      <w:r w:rsidR="00793060" w:rsidRPr="00B751FD">
        <w:rPr>
          <w:sz w:val="24"/>
          <w:szCs w:val="24"/>
        </w:rPr>
        <w:t>65298</w:t>
      </w:r>
    </w:p>
    <w:p w:rsidR="00D61791" w:rsidRPr="00B751FD" w:rsidRDefault="00D61791" w:rsidP="00FA72DD">
      <w:pPr>
        <w:tabs>
          <w:tab w:val="left" w:pos="851"/>
          <w:tab w:val="left" w:pos="1843"/>
        </w:tabs>
        <w:ind w:left="851"/>
        <w:rPr>
          <w:sz w:val="24"/>
          <w:szCs w:val="24"/>
        </w:rPr>
      </w:pPr>
      <w:r w:rsidRPr="00B751FD">
        <w:rPr>
          <w:sz w:val="24"/>
          <w:szCs w:val="24"/>
        </w:rPr>
        <w:t>7,5 mg:</w:t>
      </w:r>
      <w:r w:rsidR="00FA72DD" w:rsidRPr="00B751FD">
        <w:rPr>
          <w:sz w:val="24"/>
          <w:szCs w:val="24"/>
        </w:rPr>
        <w:tab/>
      </w:r>
      <w:r w:rsidR="00793060" w:rsidRPr="00B751FD">
        <w:rPr>
          <w:sz w:val="24"/>
          <w:szCs w:val="24"/>
        </w:rPr>
        <w:t>65299</w:t>
      </w:r>
    </w:p>
    <w:p w:rsidR="00D61791" w:rsidRPr="00B751FD" w:rsidRDefault="00D61791" w:rsidP="00FA72DD">
      <w:pPr>
        <w:tabs>
          <w:tab w:val="left" w:pos="851"/>
          <w:tab w:val="left" w:pos="1843"/>
        </w:tabs>
        <w:ind w:left="851"/>
        <w:rPr>
          <w:sz w:val="24"/>
          <w:szCs w:val="24"/>
        </w:rPr>
      </w:pPr>
      <w:r w:rsidRPr="00B751FD">
        <w:rPr>
          <w:sz w:val="24"/>
          <w:szCs w:val="24"/>
        </w:rPr>
        <w:t xml:space="preserve">10 mg: </w:t>
      </w:r>
      <w:r w:rsidR="00FA72DD" w:rsidRPr="00B751FD">
        <w:rPr>
          <w:sz w:val="24"/>
          <w:szCs w:val="24"/>
        </w:rPr>
        <w:tab/>
      </w:r>
      <w:r w:rsidRPr="00B751FD">
        <w:rPr>
          <w:sz w:val="24"/>
          <w:szCs w:val="24"/>
        </w:rPr>
        <w:t>61772</w:t>
      </w:r>
    </w:p>
    <w:p w:rsidR="00AE09FE" w:rsidRPr="00B751FD" w:rsidRDefault="00AE09FE" w:rsidP="00AE09FE">
      <w:pPr>
        <w:tabs>
          <w:tab w:val="left" w:pos="851"/>
        </w:tabs>
        <w:ind w:left="851"/>
        <w:jc w:val="both"/>
        <w:rPr>
          <w:sz w:val="24"/>
          <w:szCs w:val="24"/>
        </w:rPr>
      </w:pPr>
    </w:p>
    <w:p w:rsidR="00AE09FE" w:rsidRPr="00B751FD" w:rsidRDefault="00AE09FE" w:rsidP="00AE09FE">
      <w:pPr>
        <w:tabs>
          <w:tab w:val="left" w:pos="851"/>
        </w:tabs>
        <w:ind w:left="851" w:hanging="851"/>
        <w:rPr>
          <w:b/>
          <w:sz w:val="24"/>
          <w:szCs w:val="24"/>
        </w:rPr>
      </w:pPr>
      <w:r w:rsidRPr="00B751FD">
        <w:rPr>
          <w:b/>
          <w:sz w:val="24"/>
          <w:szCs w:val="24"/>
        </w:rPr>
        <w:t>9.</w:t>
      </w:r>
      <w:r w:rsidRPr="00B751FD">
        <w:rPr>
          <w:b/>
          <w:sz w:val="24"/>
          <w:szCs w:val="24"/>
        </w:rPr>
        <w:tab/>
        <w:t>DATO FOR FØRSTE MARKEDSFØRINGSTILLADELSE</w:t>
      </w:r>
    </w:p>
    <w:p w:rsidR="00AE09FE" w:rsidRPr="00B751FD" w:rsidRDefault="00AE09FE" w:rsidP="00AE09FE">
      <w:pPr>
        <w:tabs>
          <w:tab w:val="left" w:pos="851"/>
        </w:tabs>
        <w:ind w:left="851"/>
        <w:rPr>
          <w:sz w:val="24"/>
          <w:szCs w:val="24"/>
        </w:rPr>
      </w:pPr>
      <w:r w:rsidRPr="00B751FD">
        <w:rPr>
          <w:sz w:val="24"/>
          <w:szCs w:val="24"/>
        </w:rPr>
        <w:t>21. marts 2019</w:t>
      </w:r>
    </w:p>
    <w:p w:rsidR="00AE09FE" w:rsidRPr="00B751FD" w:rsidRDefault="00AE09FE" w:rsidP="00AE09FE">
      <w:pPr>
        <w:tabs>
          <w:tab w:val="left" w:pos="851"/>
        </w:tabs>
        <w:ind w:left="851"/>
        <w:rPr>
          <w:sz w:val="24"/>
          <w:szCs w:val="24"/>
        </w:rPr>
      </w:pPr>
    </w:p>
    <w:p w:rsidR="00AE09FE" w:rsidRPr="00B751FD" w:rsidRDefault="00AE09FE" w:rsidP="00AE09FE">
      <w:pPr>
        <w:tabs>
          <w:tab w:val="left" w:pos="851"/>
        </w:tabs>
        <w:ind w:left="851" w:hanging="851"/>
        <w:rPr>
          <w:b/>
          <w:sz w:val="24"/>
          <w:szCs w:val="24"/>
        </w:rPr>
      </w:pPr>
      <w:r w:rsidRPr="00B751FD">
        <w:rPr>
          <w:b/>
          <w:sz w:val="24"/>
          <w:szCs w:val="24"/>
        </w:rPr>
        <w:t>10.</w:t>
      </w:r>
      <w:r w:rsidRPr="00B751FD">
        <w:rPr>
          <w:b/>
          <w:sz w:val="24"/>
          <w:szCs w:val="24"/>
        </w:rPr>
        <w:tab/>
        <w:t>DATO FOR ÆNDRING AF TEKSTEN</w:t>
      </w:r>
    </w:p>
    <w:p w:rsidR="009260DE" w:rsidRPr="00AE09FE" w:rsidRDefault="00006FCB" w:rsidP="00714F25">
      <w:pPr>
        <w:tabs>
          <w:tab w:val="left" w:pos="851"/>
        </w:tabs>
        <w:ind w:left="851"/>
      </w:pPr>
      <w:r>
        <w:rPr>
          <w:sz w:val="24"/>
          <w:szCs w:val="24"/>
        </w:rPr>
        <w:t>6</w:t>
      </w:r>
      <w:r w:rsidR="00B8345D">
        <w:rPr>
          <w:sz w:val="24"/>
          <w:szCs w:val="24"/>
        </w:rPr>
        <w:t xml:space="preserve">. </w:t>
      </w:r>
      <w:r>
        <w:rPr>
          <w:sz w:val="24"/>
          <w:szCs w:val="24"/>
        </w:rPr>
        <w:t>marts</w:t>
      </w:r>
      <w:r w:rsidR="00B8345D">
        <w:rPr>
          <w:sz w:val="24"/>
          <w:szCs w:val="24"/>
        </w:rPr>
        <w:t xml:space="preserve"> 202</w:t>
      </w:r>
      <w:r>
        <w:rPr>
          <w:sz w:val="24"/>
          <w:szCs w:val="24"/>
        </w:rPr>
        <w:t>5</w:t>
      </w:r>
      <w:bookmarkStart w:id="0" w:name="_GoBack"/>
      <w:bookmarkEnd w:id="0"/>
    </w:p>
    <w:sectPr w:rsidR="009260DE" w:rsidRPr="00AE09FE" w:rsidSect="000259B9">
      <w:footerReference w:type="default" r:id="rId14"/>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13BA" w:rsidRDefault="005513BA">
      <w:r>
        <w:separator/>
      </w:r>
    </w:p>
  </w:endnote>
  <w:endnote w:type="continuationSeparator" w:id="0">
    <w:p w:rsidR="005513BA" w:rsidRDefault="00551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13BA" w:rsidRDefault="005513BA" w:rsidP="00D16D05">
    <w:pPr>
      <w:pStyle w:val="Sidefod"/>
      <w:pBdr>
        <w:bottom w:val="single" w:sz="6" w:space="1" w:color="auto"/>
      </w:pBdr>
    </w:pPr>
  </w:p>
  <w:p w:rsidR="005513BA" w:rsidRDefault="005513BA" w:rsidP="00D16D05">
    <w:pPr>
      <w:pStyle w:val="Sidefod"/>
      <w:tabs>
        <w:tab w:val="clear" w:pos="4819"/>
        <w:tab w:val="left" w:pos="8505"/>
      </w:tabs>
      <w:rPr>
        <w:i/>
        <w:sz w:val="18"/>
        <w:szCs w:val="18"/>
      </w:rPr>
    </w:pPr>
  </w:p>
  <w:p w:rsidR="005513BA" w:rsidRPr="00D16D05" w:rsidRDefault="005513BA" w:rsidP="00D16D05">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Epistatus, mundhulevæske, opløsning 2,5 mg, 5 mg, 7,5 mg og 10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sz w:val="18"/>
        <w:szCs w:val="18"/>
      </w:rPr>
      <w:t>1</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13BA" w:rsidRDefault="005513BA">
      <w:r>
        <w:separator/>
      </w:r>
    </w:p>
  </w:footnote>
  <w:footnote w:type="continuationSeparator" w:id="0">
    <w:p w:rsidR="005513BA" w:rsidRDefault="005513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4CA4206"/>
    <w:multiLevelType w:val="hybridMultilevel"/>
    <w:tmpl w:val="540840E2"/>
    <w:lvl w:ilvl="0" w:tplc="5A5CF712">
      <w:start w:val="1"/>
      <w:numFmt w:val="bullet"/>
      <w:lvlText w:val="-"/>
      <w:lvlJc w:val="left"/>
      <w:pPr>
        <w:ind w:left="1211" w:hanging="360"/>
      </w:pPr>
      <w:rPr>
        <w:rFonts w:ascii="Courier New" w:hAnsi="Courier New" w:hint="default"/>
      </w:rPr>
    </w:lvl>
    <w:lvl w:ilvl="1" w:tplc="FFFFFFFF">
      <w:start w:val="1"/>
      <w:numFmt w:val="bullet"/>
      <w:lvlText w:val="o"/>
      <w:lvlJc w:val="left"/>
      <w:pPr>
        <w:ind w:left="1931" w:hanging="360"/>
      </w:pPr>
      <w:rPr>
        <w:rFonts w:ascii="Courier New" w:hAnsi="Courier New" w:cs="Courier New" w:hint="default"/>
      </w:rPr>
    </w:lvl>
    <w:lvl w:ilvl="2" w:tplc="FFFFFFFF">
      <w:start w:val="1"/>
      <w:numFmt w:val="bullet"/>
      <w:lvlText w:val=""/>
      <w:lvlJc w:val="left"/>
      <w:pPr>
        <w:ind w:left="2651" w:hanging="360"/>
      </w:pPr>
      <w:rPr>
        <w:rFonts w:ascii="Wingdings" w:hAnsi="Wingdings" w:hint="default"/>
      </w:rPr>
    </w:lvl>
    <w:lvl w:ilvl="3" w:tplc="FFFFFFFF">
      <w:start w:val="1"/>
      <w:numFmt w:val="bullet"/>
      <w:lvlText w:val=""/>
      <w:lvlJc w:val="left"/>
      <w:pPr>
        <w:ind w:left="3371" w:hanging="360"/>
      </w:pPr>
      <w:rPr>
        <w:rFonts w:ascii="Symbol" w:hAnsi="Symbol" w:hint="default"/>
      </w:rPr>
    </w:lvl>
    <w:lvl w:ilvl="4" w:tplc="FFFFFFFF">
      <w:start w:val="1"/>
      <w:numFmt w:val="bullet"/>
      <w:lvlText w:val="o"/>
      <w:lvlJc w:val="left"/>
      <w:pPr>
        <w:ind w:left="4091" w:hanging="360"/>
      </w:pPr>
      <w:rPr>
        <w:rFonts w:ascii="Courier New" w:hAnsi="Courier New" w:cs="Courier New" w:hint="default"/>
      </w:rPr>
    </w:lvl>
    <w:lvl w:ilvl="5" w:tplc="FFFFFFFF">
      <w:start w:val="1"/>
      <w:numFmt w:val="bullet"/>
      <w:lvlText w:val=""/>
      <w:lvlJc w:val="left"/>
      <w:pPr>
        <w:ind w:left="4811" w:hanging="360"/>
      </w:pPr>
      <w:rPr>
        <w:rFonts w:ascii="Wingdings" w:hAnsi="Wingdings" w:hint="default"/>
      </w:rPr>
    </w:lvl>
    <w:lvl w:ilvl="6" w:tplc="FFFFFFFF">
      <w:start w:val="1"/>
      <w:numFmt w:val="bullet"/>
      <w:lvlText w:val=""/>
      <w:lvlJc w:val="left"/>
      <w:pPr>
        <w:ind w:left="5531" w:hanging="360"/>
      </w:pPr>
      <w:rPr>
        <w:rFonts w:ascii="Symbol" w:hAnsi="Symbol" w:hint="default"/>
      </w:rPr>
    </w:lvl>
    <w:lvl w:ilvl="7" w:tplc="FFFFFFFF">
      <w:start w:val="1"/>
      <w:numFmt w:val="bullet"/>
      <w:lvlText w:val="o"/>
      <w:lvlJc w:val="left"/>
      <w:pPr>
        <w:ind w:left="6251" w:hanging="360"/>
      </w:pPr>
      <w:rPr>
        <w:rFonts w:ascii="Courier New" w:hAnsi="Courier New" w:cs="Courier New" w:hint="default"/>
      </w:rPr>
    </w:lvl>
    <w:lvl w:ilvl="8" w:tplc="FFFFFFFF">
      <w:start w:val="1"/>
      <w:numFmt w:val="bullet"/>
      <w:lvlText w:val=""/>
      <w:lvlJc w:val="left"/>
      <w:pPr>
        <w:ind w:left="6971" w:hanging="360"/>
      </w:pPr>
      <w:rPr>
        <w:rFonts w:ascii="Wingdings" w:hAnsi="Wingdings" w:hint="default"/>
      </w:rPr>
    </w:lvl>
  </w:abstractNum>
  <w:abstractNum w:abstractNumId="2" w15:restartNumberingAfterBreak="0">
    <w:nsid w:val="167B1B57"/>
    <w:multiLevelType w:val="hybridMultilevel"/>
    <w:tmpl w:val="437C405E"/>
    <w:lvl w:ilvl="0" w:tplc="04060001">
      <w:start w:val="1"/>
      <w:numFmt w:val="bullet"/>
      <w:lvlText w:val=""/>
      <w:lvlJc w:val="left"/>
      <w:pPr>
        <w:ind w:left="1211" w:hanging="360"/>
      </w:pPr>
      <w:rPr>
        <w:rFonts w:ascii="Symbol" w:hAnsi="Symbol" w:hint="default"/>
      </w:rPr>
    </w:lvl>
    <w:lvl w:ilvl="1" w:tplc="04090003">
      <w:start w:val="1"/>
      <w:numFmt w:val="bullet"/>
      <w:lvlText w:val="o"/>
      <w:lvlJc w:val="left"/>
      <w:pPr>
        <w:ind w:left="1931" w:hanging="360"/>
      </w:pPr>
      <w:rPr>
        <w:rFonts w:ascii="Courier New" w:hAnsi="Courier New" w:cs="Courier New" w:hint="default"/>
      </w:rPr>
    </w:lvl>
    <w:lvl w:ilvl="2" w:tplc="04090005">
      <w:start w:val="1"/>
      <w:numFmt w:val="bullet"/>
      <w:lvlText w:val=""/>
      <w:lvlJc w:val="left"/>
      <w:pPr>
        <w:ind w:left="2651" w:hanging="360"/>
      </w:pPr>
      <w:rPr>
        <w:rFonts w:ascii="Wingdings" w:hAnsi="Wingdings" w:hint="default"/>
      </w:rPr>
    </w:lvl>
    <w:lvl w:ilvl="3" w:tplc="04090001">
      <w:start w:val="1"/>
      <w:numFmt w:val="bullet"/>
      <w:lvlText w:val=""/>
      <w:lvlJc w:val="left"/>
      <w:pPr>
        <w:ind w:left="3371" w:hanging="360"/>
      </w:pPr>
      <w:rPr>
        <w:rFonts w:ascii="Symbol" w:hAnsi="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hint="default"/>
      </w:rPr>
    </w:lvl>
    <w:lvl w:ilvl="6" w:tplc="04090001">
      <w:start w:val="1"/>
      <w:numFmt w:val="bullet"/>
      <w:lvlText w:val=""/>
      <w:lvlJc w:val="left"/>
      <w:pPr>
        <w:ind w:left="5531" w:hanging="360"/>
      </w:pPr>
      <w:rPr>
        <w:rFonts w:ascii="Symbol" w:hAnsi="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hint="default"/>
      </w:rPr>
    </w:lvl>
  </w:abstractNum>
  <w:abstractNum w:abstractNumId="3" w15:restartNumberingAfterBreak="0">
    <w:nsid w:val="1A6D7C74"/>
    <w:multiLevelType w:val="hybridMultilevel"/>
    <w:tmpl w:val="70722762"/>
    <w:lvl w:ilvl="0" w:tplc="FFFFFFFF">
      <w:start w:val="1"/>
      <w:numFmt w:val="bullet"/>
      <w:lvlText w:val="-"/>
      <w:lvlJc w:val="left"/>
      <w:pPr>
        <w:ind w:left="1571" w:hanging="360"/>
      </w:pPr>
      <w:rPr>
        <w:rFonts w:ascii="Courier New" w:hAnsi="Courier New"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5A5CF712">
      <w:start w:val="1"/>
      <w:numFmt w:val="bullet"/>
      <w:lvlText w:val="-"/>
      <w:lvlJc w:val="left"/>
      <w:pPr>
        <w:ind w:left="3731" w:hanging="360"/>
      </w:pPr>
      <w:rPr>
        <w:rFonts w:ascii="Courier New" w:hAnsi="Courier New"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71FC1D3A"/>
    <w:multiLevelType w:val="hybridMultilevel"/>
    <w:tmpl w:val="D5943768"/>
    <w:lvl w:ilvl="0" w:tplc="5A5CF712">
      <w:start w:val="1"/>
      <w:numFmt w:val="bullet"/>
      <w:lvlText w:val="-"/>
      <w:lvlJc w:val="left"/>
      <w:pPr>
        <w:ind w:left="1211" w:hanging="360"/>
      </w:pPr>
      <w:rPr>
        <w:rFonts w:ascii="Courier New" w:hAnsi="Courier New" w:hint="default"/>
      </w:rPr>
    </w:lvl>
    <w:lvl w:ilvl="1" w:tplc="FFFFFFFF">
      <w:start w:val="1"/>
      <w:numFmt w:val="bullet"/>
      <w:lvlText w:val="o"/>
      <w:lvlJc w:val="left"/>
      <w:pPr>
        <w:ind w:left="1931" w:hanging="360"/>
      </w:pPr>
      <w:rPr>
        <w:rFonts w:ascii="Courier New" w:hAnsi="Courier New" w:cs="Courier New" w:hint="default"/>
      </w:rPr>
    </w:lvl>
    <w:lvl w:ilvl="2" w:tplc="FFFFFFFF">
      <w:start w:val="1"/>
      <w:numFmt w:val="bullet"/>
      <w:lvlText w:val=""/>
      <w:lvlJc w:val="left"/>
      <w:pPr>
        <w:ind w:left="2651" w:hanging="360"/>
      </w:pPr>
      <w:rPr>
        <w:rFonts w:ascii="Wingdings" w:hAnsi="Wingdings" w:hint="default"/>
      </w:rPr>
    </w:lvl>
    <w:lvl w:ilvl="3" w:tplc="FFFFFFFF">
      <w:start w:val="1"/>
      <w:numFmt w:val="bullet"/>
      <w:lvlText w:val=""/>
      <w:lvlJc w:val="left"/>
      <w:pPr>
        <w:ind w:left="3371" w:hanging="360"/>
      </w:pPr>
      <w:rPr>
        <w:rFonts w:ascii="Symbol" w:hAnsi="Symbol" w:hint="default"/>
      </w:rPr>
    </w:lvl>
    <w:lvl w:ilvl="4" w:tplc="FFFFFFFF">
      <w:start w:val="1"/>
      <w:numFmt w:val="bullet"/>
      <w:lvlText w:val="o"/>
      <w:lvlJc w:val="left"/>
      <w:pPr>
        <w:ind w:left="4091" w:hanging="360"/>
      </w:pPr>
      <w:rPr>
        <w:rFonts w:ascii="Courier New" w:hAnsi="Courier New" w:cs="Courier New" w:hint="default"/>
      </w:rPr>
    </w:lvl>
    <w:lvl w:ilvl="5" w:tplc="FFFFFFFF">
      <w:start w:val="1"/>
      <w:numFmt w:val="bullet"/>
      <w:lvlText w:val=""/>
      <w:lvlJc w:val="left"/>
      <w:pPr>
        <w:ind w:left="4811" w:hanging="360"/>
      </w:pPr>
      <w:rPr>
        <w:rFonts w:ascii="Wingdings" w:hAnsi="Wingdings" w:hint="default"/>
      </w:rPr>
    </w:lvl>
    <w:lvl w:ilvl="6" w:tplc="FFFFFFFF">
      <w:start w:val="1"/>
      <w:numFmt w:val="bullet"/>
      <w:lvlText w:val=""/>
      <w:lvlJc w:val="left"/>
      <w:pPr>
        <w:ind w:left="5531" w:hanging="360"/>
      </w:pPr>
      <w:rPr>
        <w:rFonts w:ascii="Symbol" w:hAnsi="Symbol" w:hint="default"/>
      </w:rPr>
    </w:lvl>
    <w:lvl w:ilvl="7" w:tplc="FFFFFFFF">
      <w:start w:val="1"/>
      <w:numFmt w:val="bullet"/>
      <w:lvlText w:val="o"/>
      <w:lvlJc w:val="left"/>
      <w:pPr>
        <w:ind w:left="6251" w:hanging="360"/>
      </w:pPr>
      <w:rPr>
        <w:rFonts w:ascii="Courier New" w:hAnsi="Courier New" w:cs="Courier New" w:hint="default"/>
      </w:rPr>
    </w:lvl>
    <w:lvl w:ilvl="8" w:tplc="FFFFFFFF">
      <w:start w:val="1"/>
      <w:numFmt w:val="bullet"/>
      <w:lvlText w:val=""/>
      <w:lvlJc w:val="left"/>
      <w:pPr>
        <w:ind w:left="6971"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8"/>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9FE"/>
    <w:rsid w:val="00006FCB"/>
    <w:rsid w:val="000259B9"/>
    <w:rsid w:val="00041491"/>
    <w:rsid w:val="00050D16"/>
    <w:rsid w:val="00074F2A"/>
    <w:rsid w:val="000A1CA8"/>
    <w:rsid w:val="000A466B"/>
    <w:rsid w:val="000B058C"/>
    <w:rsid w:val="000E4EE6"/>
    <w:rsid w:val="001454E2"/>
    <w:rsid w:val="00150138"/>
    <w:rsid w:val="0017203A"/>
    <w:rsid w:val="001E4264"/>
    <w:rsid w:val="00206CE8"/>
    <w:rsid w:val="0021526C"/>
    <w:rsid w:val="00224183"/>
    <w:rsid w:val="00257D15"/>
    <w:rsid w:val="00283A2B"/>
    <w:rsid w:val="002906BC"/>
    <w:rsid w:val="002955F7"/>
    <w:rsid w:val="002B30AD"/>
    <w:rsid w:val="002C2C01"/>
    <w:rsid w:val="0033496E"/>
    <w:rsid w:val="003879C5"/>
    <w:rsid w:val="003A29AE"/>
    <w:rsid w:val="003A32D7"/>
    <w:rsid w:val="003B4074"/>
    <w:rsid w:val="003C769A"/>
    <w:rsid w:val="003F1838"/>
    <w:rsid w:val="00453BEE"/>
    <w:rsid w:val="0045746C"/>
    <w:rsid w:val="0049104B"/>
    <w:rsid w:val="004E3B12"/>
    <w:rsid w:val="00532310"/>
    <w:rsid w:val="005513BA"/>
    <w:rsid w:val="00560ECC"/>
    <w:rsid w:val="00565F0F"/>
    <w:rsid w:val="00594A86"/>
    <w:rsid w:val="00596D86"/>
    <w:rsid w:val="005E3DB7"/>
    <w:rsid w:val="005E45E0"/>
    <w:rsid w:val="005F20F5"/>
    <w:rsid w:val="00637F5A"/>
    <w:rsid w:val="006560B1"/>
    <w:rsid w:val="006565CA"/>
    <w:rsid w:val="006756DD"/>
    <w:rsid w:val="00714F25"/>
    <w:rsid w:val="00720F87"/>
    <w:rsid w:val="00737275"/>
    <w:rsid w:val="00740EEC"/>
    <w:rsid w:val="0078011A"/>
    <w:rsid w:val="00781F4B"/>
    <w:rsid w:val="00782AF4"/>
    <w:rsid w:val="00790EE7"/>
    <w:rsid w:val="00793060"/>
    <w:rsid w:val="007B6649"/>
    <w:rsid w:val="007E5309"/>
    <w:rsid w:val="007F6AE5"/>
    <w:rsid w:val="0081546F"/>
    <w:rsid w:val="0082576E"/>
    <w:rsid w:val="00882230"/>
    <w:rsid w:val="00907F75"/>
    <w:rsid w:val="009260DE"/>
    <w:rsid w:val="0093258A"/>
    <w:rsid w:val="00960B92"/>
    <w:rsid w:val="009A5CE2"/>
    <w:rsid w:val="009C7BA3"/>
    <w:rsid w:val="009D1F5A"/>
    <w:rsid w:val="00A03DC4"/>
    <w:rsid w:val="00A11134"/>
    <w:rsid w:val="00AE09FE"/>
    <w:rsid w:val="00B003BF"/>
    <w:rsid w:val="00B167FE"/>
    <w:rsid w:val="00B373D7"/>
    <w:rsid w:val="00B751FD"/>
    <w:rsid w:val="00B8345D"/>
    <w:rsid w:val="00C36276"/>
    <w:rsid w:val="00C42586"/>
    <w:rsid w:val="00C60CCD"/>
    <w:rsid w:val="00C84483"/>
    <w:rsid w:val="00C95551"/>
    <w:rsid w:val="00CB14E4"/>
    <w:rsid w:val="00CB20D7"/>
    <w:rsid w:val="00D020B0"/>
    <w:rsid w:val="00D11748"/>
    <w:rsid w:val="00D16D05"/>
    <w:rsid w:val="00D17B03"/>
    <w:rsid w:val="00D35FF7"/>
    <w:rsid w:val="00D366CF"/>
    <w:rsid w:val="00D54CA1"/>
    <w:rsid w:val="00D61791"/>
    <w:rsid w:val="00DB7077"/>
    <w:rsid w:val="00E108AA"/>
    <w:rsid w:val="00E31812"/>
    <w:rsid w:val="00E3749A"/>
    <w:rsid w:val="00E559E9"/>
    <w:rsid w:val="00E7437F"/>
    <w:rsid w:val="00E865B8"/>
    <w:rsid w:val="00EC0B9B"/>
    <w:rsid w:val="00ED4F89"/>
    <w:rsid w:val="00ED5E9F"/>
    <w:rsid w:val="00F66D4F"/>
    <w:rsid w:val="00FA72DD"/>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244DEE"/>
  <w15:chartTrackingRefBased/>
  <w15:docId w15:val="{13EA4CF6-9A8D-4D17-86C4-009ECB658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AE09FE"/>
    <w:rPr>
      <w:color w:val="0563C1"/>
      <w:u w:val="single"/>
    </w:rPr>
  </w:style>
  <w:style w:type="table" w:styleId="Tabel-Gitter">
    <w:name w:val="Table Grid"/>
    <w:basedOn w:val="Tabel-Normal"/>
    <w:uiPriority w:val="59"/>
    <w:rsid w:val="00D54CA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54CA1"/>
    <w:pPr>
      <w:autoSpaceDE w:val="0"/>
      <w:autoSpaceDN w:val="0"/>
      <w:adjustRightInd w:val="0"/>
    </w:pPr>
    <w:rPr>
      <w:color w:val="000000"/>
      <w:sz w:val="24"/>
      <w:szCs w:val="24"/>
    </w:rPr>
  </w:style>
  <w:style w:type="paragraph" w:styleId="Listeafsnit">
    <w:name w:val="List Paragraph"/>
    <w:basedOn w:val="Normal"/>
    <w:uiPriority w:val="34"/>
    <w:qFormat/>
    <w:rsid w:val="005E45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305085337">
      <w:bodyDiv w:val="1"/>
      <w:marLeft w:val="0"/>
      <w:marRight w:val="0"/>
      <w:marTop w:val="0"/>
      <w:marBottom w:val="0"/>
      <w:divBdr>
        <w:top w:val="none" w:sz="0" w:space="0" w:color="auto"/>
        <w:left w:val="none" w:sz="0" w:space="0" w:color="auto"/>
        <w:bottom w:val="none" w:sz="0" w:space="0" w:color="auto"/>
        <w:right w:val="none" w:sz="0" w:space="0" w:color="auto"/>
      </w:divBdr>
    </w:div>
    <w:div w:id="184203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image" Target="media/image6.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4119</Words>
  <Characters>26321</Characters>
  <Application>Microsoft Office Word</Application>
  <DocSecurity>0</DocSecurity>
  <Lines>219</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Alexandra Ringgaard</dc:creator>
  <cp:keywords/>
  <dc:description>2023082072_x000d_
SPC pkt. 4.8 og overskrifter iht. QRD</dc:description>
  <cp:lastModifiedBy>Victoria Alexsandra Ringgaard</cp:lastModifiedBy>
  <cp:revision>3</cp:revision>
  <cp:lastPrinted>2012-08-22T08:53:00Z</cp:lastPrinted>
  <dcterms:created xsi:type="dcterms:W3CDTF">2025-02-28T14:36:00Z</dcterms:created>
  <dcterms:modified xsi:type="dcterms:W3CDTF">2025-02-28T14:41:00Z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