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CDE" w:rsidRPr="008E114A" w:rsidRDefault="00D44CDE" w:rsidP="00D44CDE">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8D5D68">
        <w:fldChar w:fldCharType="begin"/>
      </w:r>
      <w:r w:rsidR="008D5D68">
        <w:instrText xml:space="preserve"> INCLUDEPICTURE  "cid:image004.jpg@01D117E9.E5553340" \* MERGEFORMATINET </w:instrText>
      </w:r>
      <w:r w:rsidR="008D5D68">
        <w:fldChar w:fldCharType="separate"/>
      </w:r>
      <w:r w:rsidR="008A466E">
        <w:fldChar w:fldCharType="begin"/>
      </w:r>
      <w:r w:rsidR="008A466E">
        <w:instrText xml:space="preserve"> INCLUDEPICTURE  "cid:image004.jpg@01D117E9.E5553340" \* MERGEFORMATINET </w:instrText>
      </w:r>
      <w:r w:rsidR="008A466E">
        <w:fldChar w:fldCharType="separate"/>
      </w:r>
      <w:r w:rsidR="0027752D">
        <w:fldChar w:fldCharType="begin"/>
      </w:r>
      <w:r w:rsidR="0027752D">
        <w:instrText xml:space="preserve"> </w:instrText>
      </w:r>
      <w:r w:rsidR="0027752D">
        <w:instrText>INCLUDEPICTURE  "cid:image004.jpg@01D117E9.E5553340" \* MERGEFORMATINET</w:instrText>
      </w:r>
      <w:r w:rsidR="0027752D">
        <w:instrText xml:space="preserve"> </w:instrText>
      </w:r>
      <w:r w:rsidR="0027752D">
        <w:fldChar w:fldCharType="separate"/>
      </w:r>
      <w:r w:rsidR="00ED017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27752D">
        <w:fldChar w:fldCharType="end"/>
      </w:r>
      <w:r w:rsidR="008A466E">
        <w:fldChar w:fldCharType="end"/>
      </w:r>
      <w:r w:rsidR="008D5D68">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D44CDE" w:rsidRDefault="00D44CDE" w:rsidP="00D44CDE">
      <w:pPr>
        <w:pStyle w:val="Titel"/>
        <w:tabs>
          <w:tab w:val="right" w:pos="9356"/>
        </w:tabs>
        <w:jc w:val="left"/>
        <w:rPr>
          <w:b w:val="0"/>
          <w:szCs w:val="24"/>
          <w:lang w:eastAsia="en-US"/>
        </w:rPr>
      </w:pPr>
    </w:p>
    <w:p w:rsidR="00D44CDE" w:rsidRPr="00AB3B4D" w:rsidRDefault="00D44CDE" w:rsidP="00D44CDE">
      <w:pPr>
        <w:pStyle w:val="Titel"/>
        <w:tabs>
          <w:tab w:val="right" w:pos="9356"/>
        </w:tabs>
        <w:jc w:val="left"/>
        <w:rPr>
          <w:szCs w:val="24"/>
        </w:rPr>
      </w:pPr>
      <w:r w:rsidRPr="008E114A">
        <w:rPr>
          <w:b w:val="0"/>
          <w:szCs w:val="24"/>
          <w:lang w:eastAsia="en-US"/>
        </w:rPr>
        <w:tab/>
      </w:r>
      <w:r w:rsidR="000F74A7">
        <w:rPr>
          <w:szCs w:val="24"/>
          <w:lang w:eastAsia="en-US"/>
        </w:rPr>
        <w:t>2</w:t>
      </w:r>
      <w:r>
        <w:rPr>
          <w:szCs w:val="24"/>
        </w:rPr>
        <w:t xml:space="preserve">9. </w:t>
      </w:r>
      <w:r w:rsidR="0027752D">
        <w:rPr>
          <w:szCs w:val="24"/>
        </w:rPr>
        <w:t>januar</w:t>
      </w:r>
      <w:r w:rsidR="000F74A7">
        <w:rPr>
          <w:szCs w:val="24"/>
        </w:rPr>
        <w:t xml:space="preserve"> 202</w:t>
      </w:r>
      <w:r w:rsidR="0027752D">
        <w:rPr>
          <w:szCs w:val="24"/>
        </w:rPr>
        <w:t>4</w:t>
      </w:r>
    </w:p>
    <w:p w:rsidR="00D44CDE" w:rsidRPr="008E114A" w:rsidRDefault="00D44CDE" w:rsidP="00D44CDE">
      <w:pPr>
        <w:pStyle w:val="Titel"/>
        <w:jc w:val="left"/>
        <w:rPr>
          <w:b w:val="0"/>
          <w:szCs w:val="24"/>
        </w:rPr>
      </w:pPr>
    </w:p>
    <w:p w:rsidR="00D44CDE" w:rsidRPr="008E114A" w:rsidRDefault="00D44CDE" w:rsidP="00D44CDE">
      <w:pPr>
        <w:pStyle w:val="Titel"/>
        <w:jc w:val="left"/>
        <w:rPr>
          <w:b w:val="0"/>
          <w:szCs w:val="24"/>
        </w:rPr>
      </w:pPr>
    </w:p>
    <w:p w:rsidR="00D44CDE" w:rsidRPr="008E114A" w:rsidRDefault="00D44CDE" w:rsidP="00D44CDE">
      <w:pPr>
        <w:jc w:val="center"/>
        <w:rPr>
          <w:b/>
          <w:sz w:val="24"/>
          <w:szCs w:val="24"/>
        </w:rPr>
      </w:pPr>
      <w:r w:rsidRPr="008E114A">
        <w:rPr>
          <w:b/>
          <w:sz w:val="24"/>
          <w:szCs w:val="24"/>
        </w:rPr>
        <w:t>PRODUKTRESUMÉ</w:t>
      </w:r>
    </w:p>
    <w:p w:rsidR="00D44CDE" w:rsidRPr="008E114A" w:rsidRDefault="00D44CDE" w:rsidP="00D44CDE">
      <w:pPr>
        <w:jc w:val="center"/>
        <w:rPr>
          <w:b/>
          <w:sz w:val="24"/>
          <w:szCs w:val="24"/>
        </w:rPr>
      </w:pPr>
    </w:p>
    <w:p w:rsidR="00D44CDE" w:rsidRPr="008E114A" w:rsidRDefault="00D44CDE" w:rsidP="00D44CDE">
      <w:pPr>
        <w:jc w:val="center"/>
        <w:rPr>
          <w:b/>
          <w:sz w:val="24"/>
          <w:szCs w:val="24"/>
        </w:rPr>
      </w:pPr>
      <w:r w:rsidRPr="008E114A">
        <w:rPr>
          <w:b/>
          <w:sz w:val="24"/>
          <w:szCs w:val="24"/>
        </w:rPr>
        <w:t>for</w:t>
      </w:r>
    </w:p>
    <w:p w:rsidR="00D44CDE" w:rsidRPr="008E114A" w:rsidRDefault="00D44CDE" w:rsidP="00D44CDE">
      <w:pPr>
        <w:jc w:val="center"/>
        <w:rPr>
          <w:b/>
          <w:sz w:val="24"/>
          <w:szCs w:val="24"/>
        </w:rPr>
      </w:pPr>
    </w:p>
    <w:p w:rsidR="00D44CDE" w:rsidRPr="008E114A" w:rsidRDefault="00D44CDE" w:rsidP="00D44CDE">
      <w:pPr>
        <w:jc w:val="center"/>
        <w:rPr>
          <w:b/>
          <w:sz w:val="24"/>
          <w:szCs w:val="24"/>
        </w:rPr>
      </w:pPr>
      <w:proofErr w:type="spellStart"/>
      <w:r w:rsidRPr="008E114A">
        <w:rPr>
          <w:b/>
          <w:sz w:val="24"/>
          <w:szCs w:val="24"/>
        </w:rPr>
        <w:t>Eplerenon</w:t>
      </w:r>
      <w:proofErr w:type="spellEnd"/>
      <w:r w:rsidRPr="008E114A">
        <w:rPr>
          <w:b/>
          <w:sz w:val="24"/>
          <w:szCs w:val="24"/>
        </w:rPr>
        <w:t xml:space="preserve"> "</w:t>
      </w:r>
      <w:proofErr w:type="spellStart"/>
      <w:r w:rsidRPr="008E114A">
        <w:rPr>
          <w:b/>
          <w:sz w:val="24"/>
          <w:szCs w:val="24"/>
        </w:rPr>
        <w:t>Stada</w:t>
      </w:r>
      <w:proofErr w:type="spellEnd"/>
      <w:r w:rsidRPr="008E114A">
        <w:rPr>
          <w:b/>
          <w:sz w:val="24"/>
          <w:szCs w:val="24"/>
        </w:rPr>
        <w:t>", filmovertrukne tabletter</w:t>
      </w:r>
    </w:p>
    <w:p w:rsidR="00D44CDE" w:rsidRPr="008E114A" w:rsidRDefault="00D44CDE" w:rsidP="00D44CDE">
      <w:pPr>
        <w:jc w:val="both"/>
        <w:rPr>
          <w:sz w:val="24"/>
          <w:szCs w:val="24"/>
        </w:rPr>
      </w:pPr>
    </w:p>
    <w:p w:rsidR="00D44CDE" w:rsidRPr="008E114A" w:rsidRDefault="00D44CDE" w:rsidP="00D44CDE">
      <w:pPr>
        <w:jc w:val="both"/>
        <w:rPr>
          <w:sz w:val="24"/>
          <w:szCs w:val="24"/>
        </w:rPr>
      </w:pPr>
    </w:p>
    <w:p w:rsidR="00D44CDE" w:rsidRPr="008E114A" w:rsidRDefault="00D44CDE" w:rsidP="00D44CDE">
      <w:pPr>
        <w:tabs>
          <w:tab w:val="left" w:pos="851"/>
        </w:tabs>
        <w:ind w:left="851" w:hanging="851"/>
        <w:rPr>
          <w:b/>
          <w:sz w:val="24"/>
          <w:szCs w:val="24"/>
        </w:rPr>
      </w:pPr>
      <w:r w:rsidRPr="008E114A">
        <w:rPr>
          <w:b/>
          <w:sz w:val="24"/>
          <w:szCs w:val="24"/>
        </w:rPr>
        <w:t>0.</w:t>
      </w:r>
      <w:r w:rsidRPr="008E114A">
        <w:rPr>
          <w:b/>
          <w:sz w:val="24"/>
          <w:szCs w:val="24"/>
        </w:rPr>
        <w:tab/>
        <w:t>D.SP.NR.</w:t>
      </w:r>
    </w:p>
    <w:p w:rsidR="00D44CDE" w:rsidRPr="008E114A" w:rsidRDefault="00D44CDE" w:rsidP="00D44CDE">
      <w:pPr>
        <w:tabs>
          <w:tab w:val="left" w:pos="851"/>
        </w:tabs>
        <w:rPr>
          <w:sz w:val="24"/>
          <w:szCs w:val="24"/>
        </w:rPr>
      </w:pPr>
      <w:r w:rsidRPr="008E114A">
        <w:rPr>
          <w:sz w:val="24"/>
          <w:szCs w:val="24"/>
        </w:rPr>
        <w:tab/>
        <w:t>29235</w:t>
      </w:r>
    </w:p>
    <w:p w:rsidR="00D44CDE" w:rsidRPr="008E114A" w:rsidRDefault="00D44CDE" w:rsidP="00D44CDE">
      <w:pPr>
        <w:tabs>
          <w:tab w:val="left" w:pos="851"/>
        </w:tabs>
        <w:rPr>
          <w:sz w:val="24"/>
          <w:szCs w:val="24"/>
        </w:rPr>
      </w:pPr>
    </w:p>
    <w:p w:rsidR="00D44CDE" w:rsidRPr="008E114A" w:rsidRDefault="00D44CDE" w:rsidP="00D44CDE">
      <w:pPr>
        <w:tabs>
          <w:tab w:val="left" w:pos="851"/>
        </w:tabs>
        <w:ind w:left="851" w:hanging="851"/>
        <w:rPr>
          <w:b/>
          <w:sz w:val="24"/>
          <w:szCs w:val="24"/>
        </w:rPr>
      </w:pPr>
      <w:r w:rsidRPr="008E114A">
        <w:rPr>
          <w:b/>
          <w:sz w:val="24"/>
          <w:szCs w:val="24"/>
        </w:rPr>
        <w:t>1.</w:t>
      </w:r>
      <w:r w:rsidRPr="008E114A">
        <w:rPr>
          <w:b/>
          <w:sz w:val="24"/>
          <w:szCs w:val="24"/>
        </w:rPr>
        <w:tab/>
        <w:t>LÆGEMIDLETS NAVN</w:t>
      </w:r>
    </w:p>
    <w:p w:rsidR="00D44CDE" w:rsidRPr="008E114A" w:rsidRDefault="00D44CDE" w:rsidP="00D44CDE">
      <w:pPr>
        <w:tabs>
          <w:tab w:val="left" w:pos="851"/>
        </w:tabs>
        <w:rPr>
          <w:sz w:val="24"/>
          <w:szCs w:val="24"/>
        </w:rPr>
      </w:pPr>
      <w:r w:rsidRPr="008E114A">
        <w:rPr>
          <w:sz w:val="24"/>
          <w:szCs w:val="24"/>
        </w:rPr>
        <w:tab/>
      </w:r>
      <w:proofErr w:type="spellStart"/>
      <w:r w:rsidRPr="008E114A">
        <w:rPr>
          <w:sz w:val="24"/>
          <w:szCs w:val="24"/>
        </w:rPr>
        <w:t>Eplerenon</w:t>
      </w:r>
      <w:proofErr w:type="spellEnd"/>
      <w:r w:rsidRPr="008E114A">
        <w:rPr>
          <w:sz w:val="24"/>
          <w:szCs w:val="24"/>
        </w:rPr>
        <w:t xml:space="preserve"> "</w:t>
      </w:r>
      <w:proofErr w:type="spellStart"/>
      <w:r w:rsidRPr="008E114A">
        <w:rPr>
          <w:sz w:val="24"/>
          <w:szCs w:val="24"/>
        </w:rPr>
        <w:t>Stada</w:t>
      </w:r>
      <w:proofErr w:type="spellEnd"/>
      <w:r w:rsidRPr="008E114A">
        <w:rPr>
          <w:sz w:val="24"/>
          <w:szCs w:val="24"/>
        </w:rPr>
        <w:t>"</w:t>
      </w:r>
    </w:p>
    <w:p w:rsidR="00D44CDE" w:rsidRPr="008E114A" w:rsidRDefault="00D44CDE" w:rsidP="00D44CDE">
      <w:pPr>
        <w:tabs>
          <w:tab w:val="left" w:pos="851"/>
        </w:tabs>
        <w:rPr>
          <w:sz w:val="24"/>
          <w:szCs w:val="24"/>
        </w:rPr>
      </w:pPr>
      <w:r w:rsidRPr="008E114A">
        <w:rPr>
          <w:sz w:val="24"/>
          <w:szCs w:val="24"/>
        </w:rPr>
        <w:tab/>
      </w:r>
    </w:p>
    <w:p w:rsidR="00D44CDE" w:rsidRPr="008E114A" w:rsidRDefault="00D44CDE" w:rsidP="00D44CDE">
      <w:pPr>
        <w:tabs>
          <w:tab w:val="left" w:pos="851"/>
        </w:tabs>
        <w:ind w:left="851" w:hanging="851"/>
        <w:rPr>
          <w:b/>
          <w:sz w:val="24"/>
          <w:szCs w:val="24"/>
        </w:rPr>
      </w:pPr>
      <w:r w:rsidRPr="008E114A">
        <w:rPr>
          <w:b/>
          <w:sz w:val="24"/>
          <w:szCs w:val="24"/>
        </w:rPr>
        <w:t>2.</w:t>
      </w:r>
      <w:r w:rsidRPr="008E114A">
        <w:rPr>
          <w:b/>
          <w:sz w:val="24"/>
          <w:szCs w:val="24"/>
        </w:rPr>
        <w:tab/>
        <w:t>KVALITATIV OG KVANTITATIV SAMMENSÆTNING</w:t>
      </w:r>
    </w:p>
    <w:p w:rsidR="00D44CDE" w:rsidRPr="008E114A" w:rsidRDefault="00D44CDE" w:rsidP="00D44CDE">
      <w:pPr>
        <w:autoSpaceDE w:val="0"/>
        <w:autoSpaceDN w:val="0"/>
        <w:adjustRightInd w:val="0"/>
        <w:ind w:left="851"/>
        <w:rPr>
          <w:sz w:val="24"/>
          <w:szCs w:val="24"/>
          <w:lang w:val="hu-HU" w:eastAsia="hu-HU"/>
        </w:rPr>
      </w:pPr>
      <w:r w:rsidRPr="008E114A">
        <w:rPr>
          <w:sz w:val="24"/>
          <w:szCs w:val="24"/>
          <w:lang w:val="hu-HU" w:eastAsia="hu-HU"/>
        </w:rPr>
        <w:t xml:space="preserve">En filmovertrukket tablet indeholder 25 mg eller 50 mg eplerenon. </w:t>
      </w:r>
    </w:p>
    <w:p w:rsidR="00D44CDE" w:rsidRPr="008E114A" w:rsidRDefault="00D44CDE" w:rsidP="00D44CDE">
      <w:pPr>
        <w:autoSpaceDE w:val="0"/>
        <w:autoSpaceDN w:val="0"/>
        <w:adjustRightInd w:val="0"/>
        <w:ind w:left="851"/>
        <w:rPr>
          <w:color w:val="000000"/>
          <w:sz w:val="24"/>
          <w:szCs w:val="24"/>
          <w:lang w:val="hu-HU" w:eastAsia="hu-HU"/>
        </w:rPr>
      </w:pPr>
    </w:p>
    <w:p w:rsidR="00D44CDE" w:rsidRPr="008E114A" w:rsidRDefault="00D44CDE" w:rsidP="00D44CDE">
      <w:pPr>
        <w:autoSpaceDE w:val="0"/>
        <w:autoSpaceDN w:val="0"/>
        <w:adjustRightInd w:val="0"/>
        <w:ind w:left="851"/>
        <w:rPr>
          <w:sz w:val="24"/>
          <w:szCs w:val="24"/>
          <w:u w:val="single"/>
          <w:lang w:val="hu-HU" w:eastAsia="hu-HU"/>
        </w:rPr>
      </w:pPr>
      <w:r w:rsidRPr="008E114A">
        <w:rPr>
          <w:sz w:val="24"/>
          <w:szCs w:val="24"/>
          <w:u w:val="single"/>
          <w:lang w:val="hu-HU" w:eastAsia="hu-HU"/>
        </w:rPr>
        <w:t>Hjælpestof, som behandleren skal være opmærksom på</w:t>
      </w:r>
    </w:p>
    <w:p w:rsidR="00D44CDE" w:rsidRPr="008E114A" w:rsidRDefault="00D44CDE" w:rsidP="00D44CDE">
      <w:pPr>
        <w:ind w:firstLine="851"/>
        <w:rPr>
          <w:sz w:val="24"/>
          <w:szCs w:val="24"/>
          <w:lang w:val="hu-HU" w:eastAsia="hu-HU"/>
        </w:rPr>
      </w:pPr>
      <w:r w:rsidRPr="008E114A">
        <w:rPr>
          <w:sz w:val="24"/>
          <w:szCs w:val="24"/>
          <w:lang w:val="hu-HU" w:eastAsia="hu-HU"/>
        </w:rPr>
        <w:t>25 mg: En filmovertrukke</w:t>
      </w:r>
      <w:r>
        <w:rPr>
          <w:sz w:val="24"/>
          <w:szCs w:val="24"/>
          <w:lang w:val="hu-HU" w:eastAsia="hu-HU"/>
        </w:rPr>
        <w:t>t tablet indeholder 35,08 mg lactose (som lactose</w:t>
      </w:r>
      <w:r w:rsidRPr="008E114A">
        <w:rPr>
          <w:sz w:val="24"/>
          <w:szCs w:val="24"/>
          <w:lang w:val="hu-HU" w:eastAsia="hu-HU"/>
        </w:rPr>
        <w:t>monohydrat).</w:t>
      </w:r>
    </w:p>
    <w:p w:rsidR="00D44CDE" w:rsidRPr="008E114A" w:rsidRDefault="00D44CDE" w:rsidP="00D44CDE">
      <w:pPr>
        <w:ind w:left="851"/>
        <w:rPr>
          <w:sz w:val="24"/>
          <w:szCs w:val="24"/>
          <w:lang w:val="hu-HU" w:eastAsia="hu-HU"/>
        </w:rPr>
      </w:pPr>
      <w:r w:rsidRPr="008E114A">
        <w:rPr>
          <w:sz w:val="24"/>
          <w:szCs w:val="24"/>
          <w:lang w:val="hu-HU" w:eastAsia="hu-HU"/>
        </w:rPr>
        <w:t>50 mg: En filmovertrukke</w:t>
      </w:r>
      <w:r>
        <w:rPr>
          <w:sz w:val="24"/>
          <w:szCs w:val="24"/>
          <w:lang w:val="hu-HU" w:eastAsia="hu-HU"/>
        </w:rPr>
        <w:t>t tablet indeholder 70,16 mg lac</w:t>
      </w:r>
      <w:r w:rsidRPr="008E114A">
        <w:rPr>
          <w:sz w:val="24"/>
          <w:szCs w:val="24"/>
          <w:lang w:val="hu-HU" w:eastAsia="hu-HU"/>
        </w:rPr>
        <w:t>tose (som la</w:t>
      </w:r>
      <w:r>
        <w:rPr>
          <w:sz w:val="24"/>
          <w:szCs w:val="24"/>
          <w:lang w:val="hu-HU" w:eastAsia="hu-HU"/>
        </w:rPr>
        <w:t>c</w:t>
      </w:r>
      <w:r w:rsidRPr="008E114A">
        <w:rPr>
          <w:sz w:val="24"/>
          <w:szCs w:val="24"/>
          <w:lang w:val="hu-HU" w:eastAsia="hu-HU"/>
        </w:rPr>
        <w:t>tosemonohydrat).</w:t>
      </w:r>
    </w:p>
    <w:p w:rsidR="00D44CDE" w:rsidRPr="008E114A" w:rsidRDefault="00D44CDE" w:rsidP="00D44CDE">
      <w:pPr>
        <w:ind w:left="851"/>
        <w:rPr>
          <w:sz w:val="24"/>
          <w:szCs w:val="24"/>
          <w:lang w:val="hu-HU" w:eastAsia="hu-HU"/>
        </w:rPr>
      </w:pPr>
    </w:p>
    <w:p w:rsidR="00D44CDE" w:rsidRPr="008E114A" w:rsidRDefault="00D44CDE" w:rsidP="00D44CDE">
      <w:pPr>
        <w:ind w:left="851"/>
        <w:rPr>
          <w:sz w:val="24"/>
          <w:szCs w:val="24"/>
          <w:lang w:val="hu-HU" w:eastAsia="hu-HU"/>
        </w:rPr>
      </w:pPr>
      <w:r w:rsidRPr="008E114A">
        <w:rPr>
          <w:sz w:val="24"/>
          <w:szCs w:val="24"/>
          <w:lang w:val="hu-HU" w:eastAsia="hu-HU"/>
        </w:rPr>
        <w:t>Alle hjælpestoffer er anført under pkt. 6.1.</w:t>
      </w:r>
    </w:p>
    <w:p w:rsidR="00D44CDE" w:rsidRPr="008E114A" w:rsidRDefault="00D44CDE" w:rsidP="00D44CDE">
      <w:pPr>
        <w:tabs>
          <w:tab w:val="left" w:pos="851"/>
        </w:tabs>
        <w:rPr>
          <w:sz w:val="24"/>
          <w:szCs w:val="24"/>
          <w:lang w:val="hu-HU"/>
        </w:rPr>
      </w:pPr>
    </w:p>
    <w:p w:rsidR="00D44CDE" w:rsidRPr="008E114A" w:rsidRDefault="00D44CDE" w:rsidP="00D44CDE">
      <w:pPr>
        <w:tabs>
          <w:tab w:val="left" w:pos="851"/>
        </w:tabs>
        <w:ind w:left="851" w:hanging="851"/>
        <w:rPr>
          <w:b/>
          <w:sz w:val="24"/>
          <w:szCs w:val="24"/>
        </w:rPr>
      </w:pPr>
      <w:r w:rsidRPr="008E114A">
        <w:rPr>
          <w:b/>
          <w:sz w:val="24"/>
          <w:szCs w:val="24"/>
        </w:rPr>
        <w:t>3.</w:t>
      </w:r>
      <w:r w:rsidRPr="008E114A">
        <w:rPr>
          <w:b/>
          <w:sz w:val="24"/>
          <w:szCs w:val="24"/>
        </w:rPr>
        <w:tab/>
        <w:t>LÆGEMIDDELFORM</w:t>
      </w:r>
    </w:p>
    <w:p w:rsidR="00D44CDE" w:rsidRPr="008E114A" w:rsidRDefault="00D44CDE" w:rsidP="00D44CDE">
      <w:pPr>
        <w:autoSpaceDE w:val="0"/>
        <w:autoSpaceDN w:val="0"/>
        <w:adjustRightInd w:val="0"/>
        <w:ind w:left="851"/>
        <w:rPr>
          <w:sz w:val="24"/>
          <w:szCs w:val="24"/>
          <w:lang w:val="hu-HU" w:eastAsia="hu-HU"/>
        </w:rPr>
      </w:pPr>
      <w:r w:rsidRPr="008E114A">
        <w:rPr>
          <w:sz w:val="24"/>
          <w:szCs w:val="24"/>
          <w:lang w:val="hu-HU" w:eastAsia="hu-HU"/>
        </w:rPr>
        <w:t xml:space="preserve">Filmovertrukne tabletter. </w:t>
      </w:r>
    </w:p>
    <w:p w:rsidR="00D44CDE" w:rsidRPr="008E114A" w:rsidRDefault="00D44CDE" w:rsidP="00D44CDE">
      <w:pPr>
        <w:autoSpaceDE w:val="0"/>
        <w:autoSpaceDN w:val="0"/>
        <w:adjustRightInd w:val="0"/>
        <w:ind w:left="851"/>
        <w:rPr>
          <w:sz w:val="24"/>
          <w:szCs w:val="24"/>
          <w:lang w:val="hu-HU" w:eastAsia="hu-HU"/>
        </w:rPr>
      </w:pPr>
    </w:p>
    <w:p w:rsidR="00D44CDE" w:rsidRDefault="00D44CDE" w:rsidP="00D44CDE">
      <w:pPr>
        <w:ind w:left="851"/>
        <w:rPr>
          <w:sz w:val="24"/>
          <w:szCs w:val="24"/>
          <w:u w:val="single"/>
          <w:lang w:val="hu-HU" w:eastAsia="hu-HU"/>
        </w:rPr>
      </w:pPr>
      <w:r>
        <w:rPr>
          <w:sz w:val="24"/>
          <w:szCs w:val="24"/>
          <w:u w:val="single"/>
          <w:lang w:val="hu-HU" w:eastAsia="hu-HU"/>
        </w:rPr>
        <w:t>25 mg</w:t>
      </w:r>
    </w:p>
    <w:p w:rsidR="00D44CDE" w:rsidRDefault="00D44CDE" w:rsidP="00D44CDE">
      <w:pPr>
        <w:ind w:left="851"/>
        <w:rPr>
          <w:sz w:val="24"/>
          <w:szCs w:val="24"/>
          <w:lang w:eastAsia="hu-HU"/>
        </w:rPr>
      </w:pPr>
      <w:r>
        <w:rPr>
          <w:sz w:val="24"/>
          <w:szCs w:val="24"/>
          <w:lang w:eastAsia="hu-HU"/>
        </w:rPr>
        <w:t xml:space="preserve">Hvid til næsten hvid, rund, 6 mm, </w:t>
      </w:r>
      <w:proofErr w:type="spellStart"/>
      <w:r>
        <w:rPr>
          <w:sz w:val="24"/>
          <w:szCs w:val="24"/>
          <w:lang w:eastAsia="hu-HU"/>
        </w:rPr>
        <w:t>bikonveks</w:t>
      </w:r>
      <w:proofErr w:type="spellEnd"/>
      <w:r>
        <w:rPr>
          <w:sz w:val="24"/>
          <w:szCs w:val="24"/>
          <w:lang w:eastAsia="hu-HU"/>
        </w:rPr>
        <w:t xml:space="preserve"> og filmovertrukket tablet, præget med “CG3” på den ene side.</w:t>
      </w:r>
    </w:p>
    <w:p w:rsidR="00D44CDE" w:rsidRDefault="00D44CDE" w:rsidP="00D44CDE">
      <w:pPr>
        <w:ind w:left="851"/>
        <w:rPr>
          <w:sz w:val="24"/>
          <w:szCs w:val="24"/>
          <w:lang w:eastAsia="hu-HU"/>
        </w:rPr>
      </w:pPr>
    </w:p>
    <w:p w:rsidR="00D44CDE" w:rsidRDefault="00D44CDE" w:rsidP="00D44CDE">
      <w:pPr>
        <w:ind w:left="851"/>
        <w:rPr>
          <w:sz w:val="24"/>
          <w:szCs w:val="24"/>
          <w:u w:val="single"/>
          <w:lang w:val="hu-HU" w:eastAsia="hu-HU"/>
        </w:rPr>
      </w:pPr>
      <w:r>
        <w:rPr>
          <w:sz w:val="24"/>
          <w:szCs w:val="24"/>
          <w:u w:val="single"/>
          <w:lang w:val="hu-HU" w:eastAsia="hu-HU"/>
        </w:rPr>
        <w:t>50 mg</w:t>
      </w:r>
    </w:p>
    <w:p w:rsidR="00D44CDE" w:rsidRDefault="00D44CDE" w:rsidP="00D44CDE">
      <w:pPr>
        <w:ind w:left="851"/>
        <w:rPr>
          <w:sz w:val="24"/>
          <w:szCs w:val="24"/>
          <w:lang w:eastAsia="hu-HU"/>
        </w:rPr>
      </w:pPr>
      <w:r>
        <w:rPr>
          <w:sz w:val="24"/>
          <w:szCs w:val="24"/>
          <w:lang w:eastAsia="hu-HU"/>
        </w:rPr>
        <w:t xml:space="preserve">Hvid til næsten hvid, rund, 8 mm, </w:t>
      </w:r>
      <w:proofErr w:type="spellStart"/>
      <w:r>
        <w:rPr>
          <w:sz w:val="24"/>
          <w:szCs w:val="24"/>
          <w:lang w:eastAsia="hu-HU"/>
        </w:rPr>
        <w:t>bikonveks</w:t>
      </w:r>
      <w:proofErr w:type="spellEnd"/>
      <w:r>
        <w:rPr>
          <w:sz w:val="24"/>
          <w:szCs w:val="24"/>
          <w:lang w:eastAsia="hu-HU"/>
        </w:rPr>
        <w:t xml:space="preserve"> og filmovertrukket tablet, præget med “CG4” på den ene side.</w:t>
      </w:r>
    </w:p>
    <w:p w:rsidR="00D44CDE" w:rsidRDefault="00D44CDE" w:rsidP="00D44CDE">
      <w:pPr>
        <w:tabs>
          <w:tab w:val="left" w:pos="851"/>
        </w:tabs>
        <w:rPr>
          <w:sz w:val="24"/>
          <w:szCs w:val="24"/>
        </w:rPr>
      </w:pPr>
    </w:p>
    <w:p w:rsidR="000F74A7" w:rsidRPr="008E114A" w:rsidRDefault="000F74A7" w:rsidP="00D44CDE">
      <w:pPr>
        <w:tabs>
          <w:tab w:val="left" w:pos="851"/>
        </w:tabs>
        <w:rPr>
          <w:sz w:val="24"/>
          <w:szCs w:val="24"/>
        </w:rPr>
      </w:pPr>
    </w:p>
    <w:p w:rsidR="00D44CDE" w:rsidRPr="008E114A" w:rsidRDefault="00D44CDE" w:rsidP="00D44CDE">
      <w:pPr>
        <w:tabs>
          <w:tab w:val="left" w:pos="851"/>
        </w:tabs>
        <w:ind w:left="851" w:hanging="851"/>
        <w:rPr>
          <w:b/>
          <w:sz w:val="24"/>
          <w:szCs w:val="24"/>
        </w:rPr>
      </w:pPr>
      <w:r w:rsidRPr="008E114A">
        <w:rPr>
          <w:b/>
          <w:sz w:val="24"/>
          <w:szCs w:val="24"/>
        </w:rPr>
        <w:t>4.</w:t>
      </w:r>
      <w:r w:rsidRPr="008E114A">
        <w:rPr>
          <w:b/>
          <w:sz w:val="24"/>
          <w:szCs w:val="24"/>
        </w:rPr>
        <w:tab/>
        <w:t>KLINISKE OPLYSNINGER</w:t>
      </w:r>
    </w:p>
    <w:p w:rsidR="00D44CDE" w:rsidRPr="008E114A" w:rsidRDefault="00D44CDE" w:rsidP="00D44CDE">
      <w:pPr>
        <w:tabs>
          <w:tab w:val="left" w:pos="851"/>
        </w:tabs>
        <w:rPr>
          <w:b/>
          <w:sz w:val="24"/>
          <w:szCs w:val="24"/>
        </w:rPr>
      </w:pPr>
    </w:p>
    <w:p w:rsidR="00D44CDE" w:rsidRPr="008E114A" w:rsidRDefault="00D44CDE" w:rsidP="00D44CDE">
      <w:pPr>
        <w:tabs>
          <w:tab w:val="left" w:pos="851"/>
        </w:tabs>
        <w:ind w:left="851" w:hanging="851"/>
        <w:rPr>
          <w:b/>
          <w:sz w:val="24"/>
          <w:szCs w:val="24"/>
          <w:u w:val="single"/>
        </w:rPr>
      </w:pPr>
      <w:r w:rsidRPr="008E114A">
        <w:rPr>
          <w:b/>
          <w:sz w:val="24"/>
          <w:szCs w:val="24"/>
        </w:rPr>
        <w:t>4.1</w:t>
      </w:r>
      <w:r w:rsidRPr="008E114A">
        <w:rPr>
          <w:b/>
          <w:sz w:val="24"/>
          <w:szCs w:val="24"/>
        </w:rPr>
        <w:tab/>
        <w:t>Terapeutiske indikationer</w:t>
      </w:r>
    </w:p>
    <w:p w:rsidR="00D44CDE" w:rsidRDefault="00D44CDE" w:rsidP="00D44CDE">
      <w:pPr>
        <w:autoSpaceDE w:val="0"/>
        <w:autoSpaceDN w:val="0"/>
        <w:adjustRightInd w:val="0"/>
        <w:ind w:left="851"/>
        <w:rPr>
          <w:sz w:val="24"/>
          <w:szCs w:val="24"/>
          <w:lang w:val="hu-HU" w:eastAsia="hu-HU"/>
        </w:rPr>
      </w:pPr>
      <w:r>
        <w:rPr>
          <w:sz w:val="24"/>
          <w:szCs w:val="24"/>
          <w:lang w:val="hu-HU" w:eastAsia="hu-HU"/>
        </w:rPr>
        <w:t>Eplerenon er indiceret</w:t>
      </w:r>
    </w:p>
    <w:p w:rsidR="00D44CDE" w:rsidRDefault="00D44CDE" w:rsidP="00D44CDE">
      <w:pPr>
        <w:pStyle w:val="Listeafsnit"/>
        <w:numPr>
          <w:ilvl w:val="0"/>
          <w:numId w:val="6"/>
        </w:numPr>
        <w:autoSpaceDE w:val="0"/>
        <w:autoSpaceDN w:val="0"/>
        <w:adjustRightInd w:val="0"/>
        <w:rPr>
          <w:sz w:val="24"/>
          <w:szCs w:val="24"/>
          <w:lang w:val="hu-HU" w:eastAsia="hu-HU"/>
        </w:rPr>
      </w:pPr>
      <w:r>
        <w:rPr>
          <w:sz w:val="24"/>
          <w:szCs w:val="24"/>
          <w:lang w:val="hu-HU" w:eastAsia="hu-HU"/>
        </w:rPr>
        <w:t>Som tillæg til standardbehandling omfattende betablokkere til at reducere risikoen for kardiovaskulær mortalitet og morbiditet hos stabile patienter med venstre ventrikel dysfunktion (LVEF ≤ 40 %) og kliniske tegn på hjertesvigt efter nylig myokardieinfarkt.</w:t>
      </w:r>
    </w:p>
    <w:p w:rsidR="00D44CDE" w:rsidRDefault="00D44CDE" w:rsidP="00D44CDE">
      <w:pPr>
        <w:pStyle w:val="Listeafsnit"/>
        <w:numPr>
          <w:ilvl w:val="0"/>
          <w:numId w:val="6"/>
        </w:numPr>
        <w:autoSpaceDE w:val="0"/>
        <w:autoSpaceDN w:val="0"/>
        <w:adjustRightInd w:val="0"/>
        <w:rPr>
          <w:sz w:val="24"/>
          <w:szCs w:val="24"/>
          <w:lang w:val="hu-HU" w:eastAsia="hu-HU"/>
        </w:rPr>
      </w:pPr>
      <w:r>
        <w:rPr>
          <w:sz w:val="24"/>
          <w:szCs w:val="24"/>
          <w:lang w:val="hu-HU" w:eastAsia="hu-HU"/>
        </w:rPr>
        <w:lastRenderedPageBreak/>
        <w:t xml:space="preserve">Som tillæg til optimal standardbehandling til at reducere risikoen for kardiovaskulær mortalitet og morbiditet hos voksne patienter med NYHA klasse II (kronisk) hjertesvigt og venstre ventrikulær systolisk dysfunktion (LVEF </w:t>
      </w:r>
      <w:r>
        <w:rPr>
          <w:sz w:val="22"/>
          <w:szCs w:val="22"/>
        </w:rPr>
        <w:t>≤30%) (se pkt. 5.1).</w:t>
      </w:r>
    </w:p>
    <w:p w:rsidR="00D44CDE" w:rsidRPr="008E114A" w:rsidRDefault="00D44CDE" w:rsidP="00D44CDE">
      <w:pPr>
        <w:tabs>
          <w:tab w:val="left" w:pos="851"/>
        </w:tabs>
        <w:rPr>
          <w:sz w:val="24"/>
          <w:szCs w:val="24"/>
          <w:lang w:val="hu-HU"/>
        </w:rPr>
      </w:pPr>
    </w:p>
    <w:p w:rsidR="00D44CDE" w:rsidRPr="008E114A" w:rsidRDefault="00D44CDE" w:rsidP="00D44CDE">
      <w:pPr>
        <w:tabs>
          <w:tab w:val="left" w:pos="851"/>
        </w:tabs>
        <w:ind w:left="851" w:hanging="851"/>
        <w:rPr>
          <w:b/>
          <w:sz w:val="24"/>
          <w:szCs w:val="24"/>
        </w:rPr>
      </w:pPr>
      <w:r w:rsidRPr="008E114A">
        <w:rPr>
          <w:b/>
          <w:sz w:val="24"/>
          <w:szCs w:val="24"/>
        </w:rPr>
        <w:t>4.2</w:t>
      </w:r>
      <w:r w:rsidRPr="008E114A">
        <w:rPr>
          <w:b/>
          <w:sz w:val="24"/>
          <w:szCs w:val="24"/>
        </w:rPr>
        <w:tab/>
        <w:t xml:space="preserve">Dosering og </w:t>
      </w:r>
      <w:r w:rsidR="0027752D">
        <w:rPr>
          <w:b/>
          <w:sz w:val="24"/>
          <w:szCs w:val="24"/>
        </w:rPr>
        <w:t>administration</w:t>
      </w:r>
    </w:p>
    <w:p w:rsidR="000F74A7" w:rsidRDefault="000F74A7" w:rsidP="00D44CDE">
      <w:pPr>
        <w:autoSpaceDE w:val="0"/>
        <w:autoSpaceDN w:val="0"/>
        <w:adjustRightInd w:val="0"/>
        <w:ind w:left="851"/>
        <w:rPr>
          <w:sz w:val="24"/>
          <w:szCs w:val="24"/>
          <w:u w:val="single"/>
          <w:lang w:val="hu-HU" w:eastAsia="hu-HU"/>
        </w:rPr>
      </w:pPr>
    </w:p>
    <w:p w:rsidR="00D44CDE" w:rsidRDefault="00D44CDE" w:rsidP="00D44CDE">
      <w:pPr>
        <w:autoSpaceDE w:val="0"/>
        <w:autoSpaceDN w:val="0"/>
        <w:adjustRightInd w:val="0"/>
        <w:ind w:left="851"/>
        <w:rPr>
          <w:i/>
          <w:sz w:val="24"/>
          <w:szCs w:val="24"/>
          <w:lang w:val="hu-HU" w:eastAsia="hu-HU"/>
        </w:rPr>
      </w:pPr>
      <w:r w:rsidRPr="000F74A7">
        <w:rPr>
          <w:sz w:val="24"/>
          <w:szCs w:val="24"/>
          <w:u w:val="single"/>
          <w:lang w:val="hu-HU" w:eastAsia="hu-HU"/>
        </w:rPr>
        <w:t>Dosering</w:t>
      </w:r>
    </w:p>
    <w:p w:rsidR="00D44CDE" w:rsidRDefault="00D44CDE" w:rsidP="00D44CDE">
      <w:pPr>
        <w:autoSpaceDE w:val="0"/>
        <w:autoSpaceDN w:val="0"/>
        <w:adjustRightInd w:val="0"/>
        <w:ind w:left="851"/>
        <w:rPr>
          <w:sz w:val="24"/>
          <w:szCs w:val="24"/>
          <w:lang w:val="hu-HU" w:eastAsia="hu-HU"/>
        </w:rPr>
      </w:pPr>
      <w:r>
        <w:rPr>
          <w:sz w:val="24"/>
          <w:szCs w:val="24"/>
          <w:lang w:val="hu-HU" w:eastAsia="hu-HU"/>
        </w:rPr>
        <w:t>Styrkerne 25 mg og 50 mg er tilgængelige for individuel dosisjustering. Den maksimale dosis er 50 mg daglig.</w:t>
      </w:r>
    </w:p>
    <w:p w:rsidR="00D44CDE" w:rsidRDefault="00D44CDE" w:rsidP="00D44CDE">
      <w:pPr>
        <w:autoSpaceDE w:val="0"/>
        <w:autoSpaceDN w:val="0"/>
        <w:adjustRightInd w:val="0"/>
        <w:ind w:left="851"/>
        <w:rPr>
          <w:sz w:val="24"/>
          <w:szCs w:val="24"/>
          <w:lang w:val="hu-HU" w:eastAsia="hu-HU"/>
        </w:rPr>
      </w:pPr>
    </w:p>
    <w:p w:rsidR="00D44CDE" w:rsidRDefault="00D44CDE" w:rsidP="00D44CDE">
      <w:pPr>
        <w:autoSpaceDE w:val="0"/>
        <w:autoSpaceDN w:val="0"/>
        <w:adjustRightInd w:val="0"/>
        <w:ind w:left="851"/>
        <w:rPr>
          <w:i/>
          <w:sz w:val="24"/>
          <w:szCs w:val="24"/>
          <w:lang w:val="hu-HU" w:eastAsia="hu-HU"/>
        </w:rPr>
      </w:pPr>
      <w:r>
        <w:rPr>
          <w:i/>
          <w:sz w:val="24"/>
          <w:szCs w:val="24"/>
          <w:lang w:val="hu-HU" w:eastAsia="hu-HU"/>
        </w:rPr>
        <w:t>For post-myokardial infarkt hjertesvigt patienter:</w:t>
      </w:r>
    </w:p>
    <w:p w:rsidR="00D44CDE" w:rsidRDefault="00D44CDE" w:rsidP="00D44CDE">
      <w:pPr>
        <w:autoSpaceDE w:val="0"/>
        <w:autoSpaceDN w:val="0"/>
        <w:adjustRightInd w:val="0"/>
        <w:ind w:left="851"/>
        <w:rPr>
          <w:sz w:val="24"/>
          <w:szCs w:val="24"/>
          <w:lang w:val="hu-HU" w:eastAsia="hu-HU"/>
        </w:rPr>
      </w:pPr>
      <w:r>
        <w:rPr>
          <w:sz w:val="24"/>
          <w:szCs w:val="24"/>
          <w:lang w:val="hu-HU" w:eastAsia="hu-HU"/>
        </w:rPr>
        <w:t xml:space="preserve">Den anbefalede vedligeholdelsesdosis af eplerenon er 50 mg 1 gang daglig. Behandlingen bør initieres med 25 mg 1 gang daglig og titreres op til 50 mg 1 gang daglig helst i løbet af 4 uger afhængigt af serum-kaliumniveauet (se tabel 1). Eplerenonbehandling skal sædvanligvis initieres inden for 3-14 dage efter et akut myokardieinfarkt. </w:t>
      </w:r>
    </w:p>
    <w:p w:rsidR="00D44CDE" w:rsidRDefault="00D44CDE" w:rsidP="00D44CDE">
      <w:pPr>
        <w:autoSpaceDE w:val="0"/>
        <w:autoSpaceDN w:val="0"/>
        <w:adjustRightInd w:val="0"/>
        <w:ind w:left="851"/>
        <w:rPr>
          <w:sz w:val="24"/>
          <w:szCs w:val="24"/>
          <w:lang w:val="hu-HU" w:eastAsia="hu-HU"/>
        </w:rPr>
      </w:pPr>
    </w:p>
    <w:p w:rsidR="00D44CDE" w:rsidRDefault="00D44CDE" w:rsidP="00D44CDE">
      <w:pPr>
        <w:autoSpaceDE w:val="0"/>
        <w:autoSpaceDN w:val="0"/>
        <w:adjustRightInd w:val="0"/>
        <w:ind w:left="851"/>
        <w:rPr>
          <w:sz w:val="24"/>
          <w:szCs w:val="24"/>
          <w:lang w:val="hu-HU" w:eastAsia="hu-HU"/>
        </w:rPr>
      </w:pPr>
      <w:r>
        <w:rPr>
          <w:i/>
          <w:sz w:val="24"/>
          <w:szCs w:val="24"/>
          <w:lang w:val="hu-HU" w:eastAsia="hu-HU"/>
        </w:rPr>
        <w:t>For patienter med NYHA klasse II (kronisk) hjertesvigt:</w:t>
      </w:r>
    </w:p>
    <w:p w:rsidR="00D44CDE" w:rsidRDefault="00D44CDE" w:rsidP="00D44CDE">
      <w:pPr>
        <w:autoSpaceDE w:val="0"/>
        <w:autoSpaceDN w:val="0"/>
        <w:adjustRightInd w:val="0"/>
        <w:ind w:left="851"/>
        <w:rPr>
          <w:sz w:val="24"/>
          <w:szCs w:val="24"/>
          <w:lang w:val="hu-HU" w:eastAsia="hu-HU"/>
        </w:rPr>
      </w:pPr>
      <w:r>
        <w:rPr>
          <w:sz w:val="24"/>
          <w:szCs w:val="24"/>
          <w:lang w:val="hu-HU" w:eastAsia="hu-HU"/>
        </w:rPr>
        <w:t>For patienter med kronisk hjertesvigt NYHA klasse II bør behandlingen initieres med en dosis på 25 mg en gang daglig og titreres op til den endelige dosis på 50 mg en gang daglig, helst indenfor 4 uger under hensyntagen til serumkaliumniveauet (se Tabel 1 og pkt. 4.4).</w:t>
      </w:r>
    </w:p>
    <w:p w:rsidR="00D44CDE" w:rsidRDefault="00D44CDE" w:rsidP="00D44CDE">
      <w:pPr>
        <w:autoSpaceDE w:val="0"/>
        <w:autoSpaceDN w:val="0"/>
        <w:adjustRightInd w:val="0"/>
        <w:ind w:left="851"/>
        <w:rPr>
          <w:sz w:val="24"/>
          <w:szCs w:val="24"/>
          <w:lang w:val="hu-HU" w:eastAsia="hu-HU"/>
        </w:rPr>
      </w:pPr>
    </w:p>
    <w:p w:rsidR="00D44CDE" w:rsidRDefault="00D44CDE" w:rsidP="00D44CDE">
      <w:pPr>
        <w:autoSpaceDE w:val="0"/>
        <w:autoSpaceDN w:val="0"/>
        <w:adjustRightInd w:val="0"/>
        <w:ind w:left="851"/>
        <w:rPr>
          <w:sz w:val="24"/>
          <w:szCs w:val="24"/>
          <w:lang w:val="hu-HU" w:eastAsia="hu-HU"/>
        </w:rPr>
      </w:pPr>
      <w:r>
        <w:rPr>
          <w:sz w:val="24"/>
          <w:szCs w:val="24"/>
          <w:lang w:val="hu-HU" w:eastAsia="hu-HU"/>
        </w:rPr>
        <w:t>Patienter med serum-kalium &gt; 5,0 mmol/l bør ikke påbegynde behandling med eplerenon (se pkt. 4.3).</w:t>
      </w:r>
    </w:p>
    <w:p w:rsidR="000F74A7" w:rsidRDefault="000F74A7" w:rsidP="00D44CDE">
      <w:pPr>
        <w:autoSpaceDE w:val="0"/>
        <w:autoSpaceDN w:val="0"/>
        <w:adjustRightInd w:val="0"/>
        <w:ind w:left="851"/>
        <w:rPr>
          <w:sz w:val="24"/>
          <w:szCs w:val="24"/>
          <w:lang w:val="hu-HU" w:eastAsia="hu-HU"/>
        </w:rPr>
      </w:pPr>
    </w:p>
    <w:p w:rsidR="00D44CDE" w:rsidRDefault="00D44CDE" w:rsidP="00D44CDE">
      <w:pPr>
        <w:autoSpaceDE w:val="0"/>
        <w:autoSpaceDN w:val="0"/>
        <w:adjustRightInd w:val="0"/>
        <w:ind w:left="851"/>
        <w:rPr>
          <w:sz w:val="24"/>
          <w:szCs w:val="24"/>
          <w:lang w:val="hu-HU" w:eastAsia="hu-HU"/>
        </w:rPr>
      </w:pPr>
      <w:r>
        <w:rPr>
          <w:sz w:val="24"/>
          <w:szCs w:val="24"/>
          <w:lang w:val="hu-HU" w:eastAsia="hu-HU"/>
        </w:rPr>
        <w:t>Serum-kalium bør måles før eplerenonbehandlingen initieres, inden for den første uge og 1 måned efter behandlingens start eller efter dosisjustering. Serum-kalium bør herefter måles jævnligt efter behov.</w:t>
      </w:r>
    </w:p>
    <w:p w:rsidR="00D44CDE" w:rsidRDefault="00D44CDE" w:rsidP="00D44CDE">
      <w:pPr>
        <w:autoSpaceDE w:val="0"/>
        <w:autoSpaceDN w:val="0"/>
        <w:adjustRightInd w:val="0"/>
        <w:ind w:left="851"/>
        <w:rPr>
          <w:sz w:val="24"/>
          <w:szCs w:val="24"/>
          <w:lang w:val="hu-HU" w:eastAsia="hu-HU"/>
        </w:rPr>
      </w:pPr>
    </w:p>
    <w:p w:rsidR="00D44CDE" w:rsidRDefault="00D44CDE" w:rsidP="00D44CDE">
      <w:pPr>
        <w:autoSpaceDE w:val="0"/>
        <w:autoSpaceDN w:val="0"/>
        <w:adjustRightInd w:val="0"/>
        <w:ind w:left="851"/>
        <w:rPr>
          <w:sz w:val="24"/>
          <w:szCs w:val="24"/>
          <w:lang w:val="hu-HU" w:eastAsia="hu-HU"/>
        </w:rPr>
      </w:pPr>
      <w:r>
        <w:rPr>
          <w:sz w:val="24"/>
          <w:szCs w:val="24"/>
          <w:lang w:val="hu-HU" w:eastAsia="hu-HU"/>
        </w:rPr>
        <w:t xml:space="preserve">Efter initiering af behandling bør dosis justeres i forhold til serum-kaliumniveauet, som anført i tabel 1. </w:t>
      </w:r>
    </w:p>
    <w:p w:rsidR="00D44CDE" w:rsidRDefault="00D44CDE" w:rsidP="00D44CDE">
      <w:pPr>
        <w:autoSpaceDE w:val="0"/>
        <w:autoSpaceDN w:val="0"/>
        <w:adjustRightInd w:val="0"/>
        <w:ind w:left="851"/>
        <w:rPr>
          <w:sz w:val="24"/>
          <w:szCs w:val="24"/>
          <w:lang w:val="hu-HU" w:eastAsia="hu-HU"/>
        </w:rPr>
      </w:pPr>
    </w:p>
    <w:p w:rsidR="00D44CDE" w:rsidRDefault="00D44CDE" w:rsidP="00D44CDE">
      <w:pPr>
        <w:autoSpaceDE w:val="0"/>
        <w:autoSpaceDN w:val="0"/>
        <w:adjustRightInd w:val="0"/>
        <w:ind w:left="851"/>
        <w:rPr>
          <w:sz w:val="24"/>
          <w:szCs w:val="24"/>
          <w:lang w:val="hu-HU" w:eastAsia="hu-HU"/>
        </w:rPr>
      </w:pPr>
      <w:r>
        <w:rPr>
          <w:sz w:val="24"/>
          <w:szCs w:val="24"/>
          <w:lang w:val="hu-HU" w:eastAsia="hu-HU"/>
        </w:rPr>
        <w:t>Tabel 1: Dosisjustering efter initiering</w:t>
      </w:r>
    </w:p>
    <w:p w:rsidR="00D44CDE" w:rsidRDefault="00D44CDE" w:rsidP="00D44CDE">
      <w:pPr>
        <w:autoSpaceDE w:val="0"/>
        <w:autoSpaceDN w:val="0"/>
        <w:adjustRightInd w:val="0"/>
        <w:ind w:left="851"/>
        <w:rPr>
          <w:sz w:val="24"/>
          <w:szCs w:val="24"/>
          <w:lang w:val="hu-HU" w:eastAsia="hu-HU"/>
        </w:rPr>
      </w:pPr>
    </w:p>
    <w:tbl>
      <w:tblPr>
        <w:tblW w:w="8790"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1668"/>
        <w:gridCol w:w="4993"/>
      </w:tblGrid>
      <w:tr w:rsidR="00D44CDE" w:rsidTr="003B4BCE">
        <w:tc>
          <w:tcPr>
            <w:tcW w:w="2130" w:type="dxa"/>
            <w:tcBorders>
              <w:top w:val="single" w:sz="4" w:space="0" w:color="auto"/>
              <w:left w:val="single" w:sz="4" w:space="0" w:color="auto"/>
              <w:bottom w:val="single" w:sz="4" w:space="0" w:color="auto"/>
              <w:right w:val="single" w:sz="4" w:space="0" w:color="auto"/>
            </w:tcBorders>
            <w:hideMark/>
          </w:tcPr>
          <w:p w:rsidR="00D44CDE" w:rsidRDefault="00D44CDE" w:rsidP="003B4BCE">
            <w:pPr>
              <w:autoSpaceDE w:val="0"/>
              <w:autoSpaceDN w:val="0"/>
              <w:adjustRightInd w:val="0"/>
              <w:ind w:left="38"/>
              <w:rPr>
                <w:sz w:val="24"/>
                <w:szCs w:val="24"/>
                <w:lang w:val="hu-HU" w:eastAsia="hu-HU"/>
              </w:rPr>
            </w:pPr>
            <w:r>
              <w:rPr>
                <w:b/>
                <w:sz w:val="24"/>
                <w:szCs w:val="24"/>
                <w:lang w:val="de-DE" w:eastAsia="hu-HU"/>
              </w:rPr>
              <w:t>Serum-kalium</w:t>
            </w:r>
            <w:r>
              <w:rPr>
                <w:b/>
                <w:bCs/>
                <w:sz w:val="24"/>
                <w:szCs w:val="24"/>
                <w:lang w:val="de-DE" w:eastAsia="hu-HU"/>
              </w:rPr>
              <w:t xml:space="preserve"> </w:t>
            </w:r>
            <w:r>
              <w:rPr>
                <w:b/>
                <w:bCs/>
                <w:sz w:val="24"/>
                <w:szCs w:val="24"/>
                <w:lang w:val="hu-HU" w:eastAsia="hu-HU"/>
              </w:rPr>
              <w:t>(mmol/L)</w:t>
            </w:r>
          </w:p>
        </w:tc>
        <w:tc>
          <w:tcPr>
            <w:tcW w:w="1668" w:type="dxa"/>
            <w:tcBorders>
              <w:top w:val="single" w:sz="4" w:space="0" w:color="auto"/>
              <w:left w:val="single" w:sz="4" w:space="0" w:color="auto"/>
              <w:bottom w:val="single" w:sz="4" w:space="0" w:color="auto"/>
              <w:right w:val="single" w:sz="4" w:space="0" w:color="auto"/>
            </w:tcBorders>
            <w:hideMark/>
          </w:tcPr>
          <w:p w:rsidR="00D44CDE" w:rsidRDefault="00D44CDE" w:rsidP="003B4BCE">
            <w:pPr>
              <w:autoSpaceDE w:val="0"/>
              <w:autoSpaceDN w:val="0"/>
              <w:adjustRightInd w:val="0"/>
              <w:ind w:left="1"/>
              <w:rPr>
                <w:b/>
                <w:sz w:val="24"/>
                <w:szCs w:val="24"/>
                <w:lang w:val="hu-HU" w:eastAsia="hu-HU"/>
              </w:rPr>
            </w:pPr>
            <w:r>
              <w:rPr>
                <w:b/>
                <w:sz w:val="24"/>
                <w:szCs w:val="24"/>
                <w:lang w:val="hu-HU" w:eastAsia="hu-HU"/>
              </w:rPr>
              <w:t>Handling</w:t>
            </w:r>
          </w:p>
        </w:tc>
        <w:tc>
          <w:tcPr>
            <w:tcW w:w="4994" w:type="dxa"/>
            <w:tcBorders>
              <w:top w:val="single" w:sz="4" w:space="0" w:color="auto"/>
              <w:left w:val="single" w:sz="4" w:space="0" w:color="auto"/>
              <w:bottom w:val="single" w:sz="4" w:space="0" w:color="auto"/>
              <w:right w:val="single" w:sz="4" w:space="0" w:color="auto"/>
            </w:tcBorders>
            <w:hideMark/>
          </w:tcPr>
          <w:p w:rsidR="00D44CDE" w:rsidRDefault="00D44CDE" w:rsidP="003B4BCE">
            <w:pPr>
              <w:autoSpaceDE w:val="0"/>
              <w:autoSpaceDN w:val="0"/>
              <w:adjustRightInd w:val="0"/>
              <w:ind w:left="158"/>
              <w:rPr>
                <w:b/>
                <w:sz w:val="24"/>
                <w:szCs w:val="24"/>
                <w:lang w:val="hu-HU" w:eastAsia="hu-HU"/>
              </w:rPr>
            </w:pPr>
            <w:r>
              <w:rPr>
                <w:b/>
                <w:sz w:val="24"/>
                <w:szCs w:val="24"/>
                <w:lang w:val="hu-HU" w:eastAsia="hu-HU"/>
              </w:rPr>
              <w:t>Dosisjustering</w:t>
            </w:r>
          </w:p>
        </w:tc>
      </w:tr>
      <w:tr w:rsidR="00D44CDE" w:rsidTr="003B4BCE">
        <w:tc>
          <w:tcPr>
            <w:tcW w:w="2130" w:type="dxa"/>
            <w:tcBorders>
              <w:top w:val="single" w:sz="4" w:space="0" w:color="auto"/>
              <w:left w:val="single" w:sz="4" w:space="0" w:color="auto"/>
              <w:bottom w:val="single" w:sz="4" w:space="0" w:color="auto"/>
              <w:right w:val="single" w:sz="4" w:space="0" w:color="auto"/>
            </w:tcBorders>
            <w:hideMark/>
          </w:tcPr>
          <w:p w:rsidR="00D44CDE" w:rsidRDefault="00D44CDE" w:rsidP="003B4BCE">
            <w:pPr>
              <w:autoSpaceDE w:val="0"/>
              <w:autoSpaceDN w:val="0"/>
              <w:adjustRightInd w:val="0"/>
              <w:ind w:left="38"/>
              <w:rPr>
                <w:sz w:val="24"/>
                <w:szCs w:val="24"/>
                <w:lang w:val="hu-HU" w:eastAsia="hu-HU"/>
              </w:rPr>
            </w:pPr>
            <w:r>
              <w:rPr>
                <w:sz w:val="24"/>
                <w:szCs w:val="24"/>
                <w:lang w:val="hu-HU" w:eastAsia="hu-HU"/>
              </w:rPr>
              <w:t>&lt; 5,0</w:t>
            </w:r>
          </w:p>
        </w:tc>
        <w:tc>
          <w:tcPr>
            <w:tcW w:w="1668" w:type="dxa"/>
            <w:tcBorders>
              <w:top w:val="single" w:sz="4" w:space="0" w:color="auto"/>
              <w:left w:val="single" w:sz="4" w:space="0" w:color="auto"/>
              <w:bottom w:val="single" w:sz="4" w:space="0" w:color="auto"/>
              <w:right w:val="single" w:sz="4" w:space="0" w:color="auto"/>
            </w:tcBorders>
            <w:hideMark/>
          </w:tcPr>
          <w:p w:rsidR="00D44CDE" w:rsidRDefault="00D44CDE" w:rsidP="003B4BCE">
            <w:pPr>
              <w:autoSpaceDE w:val="0"/>
              <w:autoSpaceDN w:val="0"/>
              <w:adjustRightInd w:val="0"/>
              <w:ind w:left="1"/>
              <w:rPr>
                <w:sz w:val="24"/>
                <w:szCs w:val="24"/>
                <w:lang w:val="hu-HU" w:eastAsia="hu-HU"/>
              </w:rPr>
            </w:pPr>
            <w:r>
              <w:rPr>
                <w:sz w:val="24"/>
                <w:szCs w:val="24"/>
                <w:lang w:val="hu-HU" w:eastAsia="hu-HU"/>
              </w:rPr>
              <w:t>Øge</w:t>
            </w:r>
          </w:p>
        </w:tc>
        <w:tc>
          <w:tcPr>
            <w:tcW w:w="4994" w:type="dxa"/>
            <w:tcBorders>
              <w:top w:val="single" w:sz="4" w:space="0" w:color="auto"/>
              <w:left w:val="single" w:sz="4" w:space="0" w:color="auto"/>
              <w:bottom w:val="single" w:sz="4" w:space="0" w:color="auto"/>
              <w:right w:val="single" w:sz="4" w:space="0" w:color="auto"/>
            </w:tcBorders>
            <w:hideMark/>
          </w:tcPr>
          <w:p w:rsidR="00D44CDE" w:rsidRDefault="00D44CDE" w:rsidP="003B4BCE">
            <w:pPr>
              <w:tabs>
                <w:tab w:val="left" w:pos="851"/>
                <w:tab w:val="center" w:pos="4536"/>
                <w:tab w:val="right" w:pos="9072"/>
              </w:tabs>
              <w:ind w:left="158"/>
              <w:rPr>
                <w:sz w:val="24"/>
                <w:szCs w:val="24"/>
                <w:lang w:val="hu-HU" w:eastAsia="hu-HU"/>
              </w:rPr>
            </w:pPr>
            <w:r>
              <w:rPr>
                <w:sz w:val="24"/>
                <w:szCs w:val="24"/>
                <w:lang w:val="hu-HU" w:eastAsia="hu-HU"/>
              </w:rPr>
              <w:t>25 mg hver anden dag til 25 mg 1 gang daglig</w:t>
            </w:r>
          </w:p>
          <w:p w:rsidR="00D44CDE" w:rsidRDefault="00D44CDE" w:rsidP="003B4BCE">
            <w:pPr>
              <w:autoSpaceDE w:val="0"/>
              <w:autoSpaceDN w:val="0"/>
              <w:adjustRightInd w:val="0"/>
              <w:ind w:left="158"/>
              <w:rPr>
                <w:sz w:val="24"/>
                <w:szCs w:val="24"/>
                <w:lang w:val="hu-HU" w:eastAsia="hu-HU"/>
              </w:rPr>
            </w:pPr>
            <w:r>
              <w:rPr>
                <w:sz w:val="24"/>
                <w:szCs w:val="24"/>
                <w:lang w:val="hu-HU" w:eastAsia="hu-HU"/>
              </w:rPr>
              <w:t>25 mg 1 gang daglig til 50 mg 1 gang daglig</w:t>
            </w:r>
          </w:p>
        </w:tc>
      </w:tr>
      <w:tr w:rsidR="00D44CDE" w:rsidTr="003B4BCE">
        <w:tc>
          <w:tcPr>
            <w:tcW w:w="2130" w:type="dxa"/>
            <w:tcBorders>
              <w:top w:val="single" w:sz="4" w:space="0" w:color="auto"/>
              <w:left w:val="single" w:sz="4" w:space="0" w:color="auto"/>
              <w:bottom w:val="single" w:sz="4" w:space="0" w:color="auto"/>
              <w:right w:val="single" w:sz="4" w:space="0" w:color="auto"/>
            </w:tcBorders>
            <w:hideMark/>
          </w:tcPr>
          <w:p w:rsidR="00D44CDE" w:rsidRDefault="00D44CDE" w:rsidP="003B4BCE">
            <w:pPr>
              <w:autoSpaceDE w:val="0"/>
              <w:autoSpaceDN w:val="0"/>
              <w:adjustRightInd w:val="0"/>
              <w:ind w:left="38"/>
              <w:rPr>
                <w:sz w:val="24"/>
                <w:szCs w:val="24"/>
                <w:lang w:val="hu-HU" w:eastAsia="hu-HU"/>
              </w:rPr>
            </w:pPr>
            <w:r>
              <w:rPr>
                <w:sz w:val="24"/>
                <w:szCs w:val="24"/>
                <w:lang w:val="hu-HU" w:eastAsia="hu-HU"/>
              </w:rPr>
              <w:t>5,0-5,4</w:t>
            </w:r>
          </w:p>
        </w:tc>
        <w:tc>
          <w:tcPr>
            <w:tcW w:w="1668" w:type="dxa"/>
            <w:tcBorders>
              <w:top w:val="single" w:sz="4" w:space="0" w:color="auto"/>
              <w:left w:val="single" w:sz="4" w:space="0" w:color="auto"/>
              <w:bottom w:val="single" w:sz="4" w:space="0" w:color="auto"/>
              <w:right w:val="single" w:sz="4" w:space="0" w:color="auto"/>
            </w:tcBorders>
            <w:hideMark/>
          </w:tcPr>
          <w:p w:rsidR="00D44CDE" w:rsidRDefault="00D44CDE" w:rsidP="003B4BCE">
            <w:pPr>
              <w:autoSpaceDE w:val="0"/>
              <w:autoSpaceDN w:val="0"/>
              <w:adjustRightInd w:val="0"/>
              <w:ind w:left="1"/>
              <w:rPr>
                <w:sz w:val="24"/>
                <w:szCs w:val="24"/>
                <w:lang w:val="hu-HU" w:eastAsia="hu-HU"/>
              </w:rPr>
            </w:pPr>
            <w:r>
              <w:rPr>
                <w:sz w:val="24"/>
                <w:szCs w:val="24"/>
                <w:lang w:val="hu-HU" w:eastAsia="hu-HU"/>
              </w:rPr>
              <w:t>Vedligeholde</w:t>
            </w:r>
          </w:p>
        </w:tc>
        <w:tc>
          <w:tcPr>
            <w:tcW w:w="4994" w:type="dxa"/>
            <w:tcBorders>
              <w:top w:val="single" w:sz="4" w:space="0" w:color="auto"/>
              <w:left w:val="single" w:sz="4" w:space="0" w:color="auto"/>
              <w:bottom w:val="single" w:sz="4" w:space="0" w:color="auto"/>
              <w:right w:val="single" w:sz="4" w:space="0" w:color="auto"/>
            </w:tcBorders>
            <w:hideMark/>
          </w:tcPr>
          <w:p w:rsidR="00D44CDE" w:rsidRDefault="00D44CDE" w:rsidP="003B4BCE">
            <w:pPr>
              <w:autoSpaceDE w:val="0"/>
              <w:autoSpaceDN w:val="0"/>
              <w:adjustRightInd w:val="0"/>
              <w:ind w:left="158"/>
              <w:rPr>
                <w:sz w:val="24"/>
                <w:szCs w:val="24"/>
                <w:lang w:val="hu-HU" w:eastAsia="hu-HU"/>
              </w:rPr>
            </w:pPr>
            <w:r>
              <w:rPr>
                <w:sz w:val="24"/>
                <w:szCs w:val="24"/>
                <w:lang w:val="hu-HU" w:eastAsia="hu-HU"/>
              </w:rPr>
              <w:t>Ingen dosisjustering</w:t>
            </w:r>
          </w:p>
        </w:tc>
      </w:tr>
      <w:tr w:rsidR="00D44CDE" w:rsidTr="003B4BCE">
        <w:tc>
          <w:tcPr>
            <w:tcW w:w="2130" w:type="dxa"/>
            <w:tcBorders>
              <w:top w:val="single" w:sz="4" w:space="0" w:color="auto"/>
              <w:left w:val="single" w:sz="4" w:space="0" w:color="auto"/>
              <w:bottom w:val="single" w:sz="4" w:space="0" w:color="auto"/>
              <w:right w:val="single" w:sz="4" w:space="0" w:color="auto"/>
            </w:tcBorders>
            <w:hideMark/>
          </w:tcPr>
          <w:p w:rsidR="00D44CDE" w:rsidRDefault="00D44CDE" w:rsidP="003B4BCE">
            <w:pPr>
              <w:autoSpaceDE w:val="0"/>
              <w:autoSpaceDN w:val="0"/>
              <w:adjustRightInd w:val="0"/>
              <w:ind w:left="38"/>
              <w:rPr>
                <w:sz w:val="24"/>
                <w:szCs w:val="24"/>
                <w:lang w:val="hu-HU" w:eastAsia="hu-HU"/>
              </w:rPr>
            </w:pPr>
            <w:r>
              <w:rPr>
                <w:sz w:val="24"/>
                <w:szCs w:val="24"/>
                <w:lang w:val="hu-HU" w:eastAsia="hu-HU"/>
              </w:rPr>
              <w:t>5,5-5,9</w:t>
            </w:r>
          </w:p>
        </w:tc>
        <w:tc>
          <w:tcPr>
            <w:tcW w:w="1668" w:type="dxa"/>
            <w:tcBorders>
              <w:top w:val="single" w:sz="4" w:space="0" w:color="auto"/>
              <w:left w:val="single" w:sz="4" w:space="0" w:color="auto"/>
              <w:bottom w:val="single" w:sz="4" w:space="0" w:color="auto"/>
              <w:right w:val="single" w:sz="4" w:space="0" w:color="auto"/>
            </w:tcBorders>
            <w:hideMark/>
          </w:tcPr>
          <w:p w:rsidR="00D44CDE" w:rsidRDefault="00D44CDE" w:rsidP="003B4BCE">
            <w:pPr>
              <w:autoSpaceDE w:val="0"/>
              <w:autoSpaceDN w:val="0"/>
              <w:adjustRightInd w:val="0"/>
              <w:ind w:left="1"/>
              <w:rPr>
                <w:sz w:val="24"/>
                <w:szCs w:val="24"/>
                <w:lang w:val="hu-HU" w:eastAsia="hu-HU"/>
              </w:rPr>
            </w:pPr>
            <w:r>
              <w:rPr>
                <w:sz w:val="24"/>
                <w:szCs w:val="24"/>
                <w:lang w:val="hu-HU" w:eastAsia="hu-HU"/>
              </w:rPr>
              <w:t>Reducere</w:t>
            </w:r>
          </w:p>
        </w:tc>
        <w:tc>
          <w:tcPr>
            <w:tcW w:w="4994" w:type="dxa"/>
            <w:tcBorders>
              <w:top w:val="single" w:sz="4" w:space="0" w:color="auto"/>
              <w:left w:val="single" w:sz="4" w:space="0" w:color="auto"/>
              <w:bottom w:val="single" w:sz="4" w:space="0" w:color="auto"/>
              <w:right w:val="single" w:sz="4" w:space="0" w:color="auto"/>
            </w:tcBorders>
            <w:hideMark/>
          </w:tcPr>
          <w:p w:rsidR="00D44CDE" w:rsidRDefault="00D44CDE" w:rsidP="003B4BCE">
            <w:pPr>
              <w:tabs>
                <w:tab w:val="left" w:pos="851"/>
              </w:tabs>
              <w:ind w:left="158"/>
              <w:rPr>
                <w:sz w:val="24"/>
                <w:szCs w:val="24"/>
                <w:lang w:val="hu-HU" w:eastAsia="hu-HU"/>
              </w:rPr>
            </w:pPr>
            <w:r>
              <w:rPr>
                <w:sz w:val="24"/>
                <w:szCs w:val="24"/>
                <w:lang w:val="hu-HU" w:eastAsia="hu-HU"/>
              </w:rPr>
              <w:t>50 mg 1 gang daglig til 25 mg 1 gang daglig</w:t>
            </w:r>
          </w:p>
          <w:p w:rsidR="00D44CDE" w:rsidRDefault="00D44CDE" w:rsidP="003B4BCE">
            <w:pPr>
              <w:tabs>
                <w:tab w:val="left" w:pos="851"/>
              </w:tabs>
              <w:ind w:left="158"/>
              <w:rPr>
                <w:sz w:val="24"/>
                <w:szCs w:val="24"/>
                <w:lang w:val="hu-HU" w:eastAsia="hu-HU"/>
              </w:rPr>
            </w:pPr>
            <w:r>
              <w:rPr>
                <w:sz w:val="24"/>
                <w:szCs w:val="24"/>
                <w:lang w:val="hu-HU" w:eastAsia="hu-HU"/>
              </w:rPr>
              <w:t>25 mg 1 gang daglig til 25 mg hver anden dag</w:t>
            </w:r>
          </w:p>
          <w:p w:rsidR="00D44CDE" w:rsidRDefault="00D44CDE" w:rsidP="003B4BCE">
            <w:pPr>
              <w:autoSpaceDE w:val="0"/>
              <w:autoSpaceDN w:val="0"/>
              <w:adjustRightInd w:val="0"/>
              <w:ind w:left="158"/>
              <w:rPr>
                <w:sz w:val="24"/>
                <w:szCs w:val="24"/>
                <w:lang w:val="hu-HU" w:eastAsia="hu-HU"/>
              </w:rPr>
            </w:pPr>
            <w:r>
              <w:rPr>
                <w:sz w:val="24"/>
                <w:szCs w:val="24"/>
                <w:lang w:val="hu-HU" w:eastAsia="hu-HU"/>
              </w:rPr>
              <w:t>25 mg hver anden dag til seponering</w:t>
            </w:r>
          </w:p>
        </w:tc>
      </w:tr>
      <w:tr w:rsidR="00D44CDE" w:rsidTr="003B4BCE">
        <w:tc>
          <w:tcPr>
            <w:tcW w:w="2130" w:type="dxa"/>
            <w:tcBorders>
              <w:top w:val="single" w:sz="4" w:space="0" w:color="auto"/>
              <w:left w:val="single" w:sz="4" w:space="0" w:color="auto"/>
              <w:bottom w:val="single" w:sz="4" w:space="0" w:color="auto"/>
              <w:right w:val="single" w:sz="4" w:space="0" w:color="auto"/>
            </w:tcBorders>
            <w:hideMark/>
          </w:tcPr>
          <w:p w:rsidR="00D44CDE" w:rsidRDefault="00D44CDE" w:rsidP="003B4BCE">
            <w:pPr>
              <w:autoSpaceDE w:val="0"/>
              <w:autoSpaceDN w:val="0"/>
              <w:adjustRightInd w:val="0"/>
              <w:ind w:left="38"/>
              <w:rPr>
                <w:sz w:val="24"/>
                <w:szCs w:val="24"/>
                <w:lang w:val="hu-HU" w:eastAsia="hu-HU"/>
              </w:rPr>
            </w:pPr>
            <w:r>
              <w:rPr>
                <w:rFonts w:eastAsia="SymbolMT"/>
                <w:sz w:val="24"/>
                <w:szCs w:val="24"/>
                <w:lang w:val="hu-HU" w:eastAsia="hu-HU"/>
              </w:rPr>
              <w:t xml:space="preserve">≥ </w:t>
            </w:r>
            <w:r>
              <w:rPr>
                <w:sz w:val="24"/>
                <w:szCs w:val="24"/>
                <w:lang w:val="hu-HU" w:eastAsia="hu-HU"/>
              </w:rPr>
              <w:t>6,0</w:t>
            </w:r>
          </w:p>
        </w:tc>
        <w:tc>
          <w:tcPr>
            <w:tcW w:w="1668" w:type="dxa"/>
            <w:tcBorders>
              <w:top w:val="single" w:sz="4" w:space="0" w:color="auto"/>
              <w:left w:val="single" w:sz="4" w:space="0" w:color="auto"/>
              <w:bottom w:val="single" w:sz="4" w:space="0" w:color="auto"/>
              <w:right w:val="single" w:sz="4" w:space="0" w:color="auto"/>
            </w:tcBorders>
            <w:hideMark/>
          </w:tcPr>
          <w:p w:rsidR="00D44CDE" w:rsidRDefault="00D44CDE" w:rsidP="003B4BCE">
            <w:pPr>
              <w:autoSpaceDE w:val="0"/>
              <w:autoSpaceDN w:val="0"/>
              <w:adjustRightInd w:val="0"/>
              <w:ind w:left="1"/>
              <w:rPr>
                <w:sz w:val="24"/>
                <w:szCs w:val="24"/>
                <w:lang w:val="hu-HU" w:eastAsia="hu-HU"/>
              </w:rPr>
            </w:pPr>
            <w:r>
              <w:rPr>
                <w:sz w:val="24"/>
                <w:szCs w:val="24"/>
                <w:lang w:val="hu-HU" w:eastAsia="hu-HU"/>
              </w:rPr>
              <w:t>Seponere</w:t>
            </w:r>
          </w:p>
        </w:tc>
        <w:tc>
          <w:tcPr>
            <w:tcW w:w="4994" w:type="dxa"/>
            <w:tcBorders>
              <w:top w:val="single" w:sz="4" w:space="0" w:color="auto"/>
              <w:left w:val="single" w:sz="4" w:space="0" w:color="auto"/>
              <w:bottom w:val="single" w:sz="4" w:space="0" w:color="auto"/>
              <w:right w:val="single" w:sz="4" w:space="0" w:color="auto"/>
            </w:tcBorders>
            <w:hideMark/>
          </w:tcPr>
          <w:p w:rsidR="00D44CDE" w:rsidRDefault="00D44CDE" w:rsidP="003B4BCE">
            <w:pPr>
              <w:autoSpaceDE w:val="0"/>
              <w:autoSpaceDN w:val="0"/>
              <w:adjustRightInd w:val="0"/>
              <w:ind w:left="158"/>
              <w:rPr>
                <w:sz w:val="24"/>
                <w:szCs w:val="24"/>
                <w:lang w:val="hu-HU" w:eastAsia="hu-HU"/>
              </w:rPr>
            </w:pPr>
            <w:r>
              <w:rPr>
                <w:sz w:val="24"/>
                <w:szCs w:val="24"/>
                <w:lang w:val="hu-HU" w:eastAsia="hu-HU"/>
              </w:rPr>
              <w:t>Ikke relevant</w:t>
            </w:r>
          </w:p>
        </w:tc>
      </w:tr>
    </w:tbl>
    <w:p w:rsidR="00D44CDE" w:rsidRDefault="00D44CDE" w:rsidP="00D44CDE">
      <w:pPr>
        <w:autoSpaceDE w:val="0"/>
        <w:autoSpaceDN w:val="0"/>
        <w:adjustRightInd w:val="0"/>
        <w:ind w:left="851"/>
        <w:rPr>
          <w:sz w:val="24"/>
          <w:szCs w:val="24"/>
          <w:lang w:val="hu-HU" w:eastAsia="hu-HU"/>
        </w:rPr>
      </w:pPr>
    </w:p>
    <w:p w:rsidR="00D44CDE" w:rsidRDefault="00D44CDE" w:rsidP="00D44CDE">
      <w:pPr>
        <w:autoSpaceDE w:val="0"/>
        <w:autoSpaceDN w:val="0"/>
        <w:adjustRightInd w:val="0"/>
        <w:ind w:left="851"/>
        <w:rPr>
          <w:sz w:val="24"/>
          <w:szCs w:val="24"/>
          <w:lang w:val="hu-HU" w:eastAsia="hu-HU"/>
        </w:rPr>
      </w:pPr>
      <w:r>
        <w:rPr>
          <w:sz w:val="24"/>
          <w:szCs w:val="24"/>
          <w:lang w:val="hu-HU" w:eastAsia="hu-HU"/>
        </w:rPr>
        <w:t xml:space="preserve">Efter seponering af eplerenon på grund af serum-kalium </w:t>
      </w:r>
      <w:r>
        <w:rPr>
          <w:sz w:val="24"/>
          <w:szCs w:val="24"/>
          <w:lang w:val="de-DE" w:eastAsia="hu-HU"/>
        </w:rPr>
        <w:sym w:font="Symbol" w:char="F0B3"/>
      </w:r>
      <w:r>
        <w:rPr>
          <w:sz w:val="24"/>
          <w:szCs w:val="24"/>
          <w:lang w:val="hu-HU" w:eastAsia="hu-HU"/>
        </w:rPr>
        <w:t xml:space="preserve"> 6,0 mmol/l, kan eplerenon-behandlingen startes igen med en dosis på 25 mg hver anden dag, så snart kaliumværdien er faldet til under 5,0 mmol/l. </w:t>
      </w:r>
    </w:p>
    <w:p w:rsidR="00D44CDE" w:rsidRDefault="00D44CDE" w:rsidP="00D44CDE">
      <w:pPr>
        <w:autoSpaceDE w:val="0"/>
        <w:autoSpaceDN w:val="0"/>
        <w:adjustRightInd w:val="0"/>
        <w:ind w:left="851"/>
        <w:rPr>
          <w:sz w:val="24"/>
          <w:szCs w:val="24"/>
          <w:lang w:val="hu-HU" w:eastAsia="hu-HU"/>
        </w:rPr>
      </w:pPr>
    </w:p>
    <w:p w:rsidR="00D44CDE" w:rsidRPr="000F74A7" w:rsidRDefault="00D44CDE" w:rsidP="000F74A7">
      <w:pPr>
        <w:keepNext/>
        <w:autoSpaceDE w:val="0"/>
        <w:autoSpaceDN w:val="0"/>
        <w:adjustRightInd w:val="0"/>
        <w:ind w:left="851"/>
        <w:rPr>
          <w:bCs/>
          <w:i/>
          <w:sz w:val="24"/>
          <w:szCs w:val="24"/>
          <w:lang w:val="hu-HU" w:eastAsia="hu-HU"/>
        </w:rPr>
      </w:pPr>
      <w:r w:rsidRPr="000F74A7">
        <w:rPr>
          <w:i/>
          <w:noProof/>
          <w:sz w:val="24"/>
          <w:szCs w:val="24"/>
          <w:lang w:val="hu-HU" w:eastAsia="hu-HU"/>
        </w:rPr>
        <w:lastRenderedPageBreak/>
        <w:t>Pædiatrisk population</w:t>
      </w:r>
    </w:p>
    <w:p w:rsidR="00D44CDE" w:rsidRDefault="00D44CDE" w:rsidP="00D44CDE">
      <w:pPr>
        <w:autoSpaceDE w:val="0"/>
        <w:autoSpaceDN w:val="0"/>
        <w:adjustRightInd w:val="0"/>
        <w:ind w:left="851"/>
        <w:rPr>
          <w:sz w:val="24"/>
          <w:szCs w:val="24"/>
          <w:lang w:val="hu-HU" w:eastAsia="hu-HU"/>
        </w:rPr>
      </w:pPr>
      <w:r>
        <w:rPr>
          <w:sz w:val="24"/>
          <w:szCs w:val="24"/>
          <w:lang w:val="hu-HU" w:eastAsia="hu-HU"/>
        </w:rPr>
        <w:t>Eplerenons sikkerhed og virkning i børn og unge er ikke klarlagt. Nuværende tilgængelige data er beskrevet i pkt. 5.1 og 5.2.</w:t>
      </w:r>
    </w:p>
    <w:p w:rsidR="00D44CDE" w:rsidRDefault="00D44CDE" w:rsidP="00D44CDE">
      <w:pPr>
        <w:rPr>
          <w:sz w:val="24"/>
          <w:szCs w:val="24"/>
          <w:u w:val="single"/>
          <w:lang w:val="hu-HU" w:eastAsia="hu-HU"/>
        </w:rPr>
      </w:pPr>
    </w:p>
    <w:p w:rsidR="00D44CDE" w:rsidRDefault="00D44CDE" w:rsidP="00D44CDE">
      <w:pPr>
        <w:autoSpaceDE w:val="0"/>
        <w:autoSpaceDN w:val="0"/>
        <w:adjustRightInd w:val="0"/>
        <w:ind w:left="851"/>
        <w:rPr>
          <w:bCs/>
          <w:sz w:val="24"/>
          <w:szCs w:val="24"/>
          <w:u w:val="single"/>
          <w:lang w:val="hu-HU" w:eastAsia="hu-HU"/>
        </w:rPr>
      </w:pPr>
      <w:r w:rsidRPr="000F74A7">
        <w:rPr>
          <w:i/>
          <w:sz w:val="24"/>
          <w:szCs w:val="24"/>
          <w:lang w:val="hu-HU" w:eastAsia="hu-HU"/>
        </w:rPr>
        <w:t>Ældre</w:t>
      </w:r>
    </w:p>
    <w:p w:rsidR="00D44CDE" w:rsidRDefault="00D44CDE" w:rsidP="00D44CDE">
      <w:pPr>
        <w:autoSpaceDE w:val="0"/>
        <w:autoSpaceDN w:val="0"/>
        <w:adjustRightInd w:val="0"/>
        <w:ind w:left="851"/>
        <w:rPr>
          <w:sz w:val="24"/>
          <w:szCs w:val="24"/>
          <w:lang w:val="hu-HU" w:eastAsia="hu-HU"/>
        </w:rPr>
      </w:pPr>
      <w:r>
        <w:rPr>
          <w:sz w:val="24"/>
          <w:szCs w:val="24"/>
          <w:lang w:val="hu-HU" w:eastAsia="hu-HU"/>
        </w:rPr>
        <w:t xml:space="preserve">Justering af initialdosis hos ældre er ikke nødvendig. Der er en øget risiko for hyperkaliæmi hos ældre patienter på grund af aldersbestemt nedsættelse af nyrefunktionen. Denne risiko kan øges yderligere, når der også er andre samtidige sygdomme tilstede, som øger den systemiske eksponering. Dette ses især ved mild til moderat nedsat leverfunktion. Det anbefales at monitorere serum-kalium jævnligt (se pkt. 4.4). </w:t>
      </w:r>
    </w:p>
    <w:p w:rsidR="00D44CDE" w:rsidRDefault="00D44CDE" w:rsidP="00D44CDE">
      <w:pPr>
        <w:autoSpaceDE w:val="0"/>
        <w:autoSpaceDN w:val="0"/>
        <w:adjustRightInd w:val="0"/>
        <w:ind w:left="851"/>
        <w:rPr>
          <w:sz w:val="24"/>
          <w:szCs w:val="24"/>
          <w:lang w:val="hu-HU" w:eastAsia="hu-HU"/>
        </w:rPr>
      </w:pPr>
    </w:p>
    <w:p w:rsidR="00D44CDE" w:rsidRPr="000F74A7" w:rsidRDefault="00D44CDE" w:rsidP="00D44CDE">
      <w:pPr>
        <w:autoSpaceDE w:val="0"/>
        <w:autoSpaceDN w:val="0"/>
        <w:adjustRightInd w:val="0"/>
        <w:ind w:left="851"/>
        <w:rPr>
          <w:bCs/>
          <w:i/>
          <w:sz w:val="24"/>
          <w:szCs w:val="24"/>
          <w:lang w:val="hu-HU" w:eastAsia="hu-HU"/>
        </w:rPr>
      </w:pPr>
      <w:r w:rsidRPr="000F74A7">
        <w:rPr>
          <w:i/>
          <w:sz w:val="24"/>
          <w:szCs w:val="24"/>
          <w:lang w:val="hu-HU" w:eastAsia="hu-HU"/>
        </w:rPr>
        <w:t>Nedsat nyrefunktion</w:t>
      </w:r>
    </w:p>
    <w:p w:rsidR="00D44CDE" w:rsidRDefault="00D44CDE" w:rsidP="00D44CDE">
      <w:pPr>
        <w:autoSpaceDE w:val="0"/>
        <w:autoSpaceDN w:val="0"/>
        <w:adjustRightInd w:val="0"/>
        <w:ind w:left="851"/>
        <w:rPr>
          <w:sz w:val="24"/>
          <w:szCs w:val="24"/>
          <w:lang w:val="hu-HU" w:eastAsia="hu-HU"/>
        </w:rPr>
      </w:pPr>
      <w:r>
        <w:rPr>
          <w:sz w:val="24"/>
          <w:szCs w:val="24"/>
          <w:lang w:val="hu-HU" w:eastAsia="hu-HU"/>
        </w:rPr>
        <w:t>Justering af initialdosis er ikke nødvendig hos patienter med mild nedsat nyrefunktion. Det anbefales at monitorere serum-kalium jævnligt (se pkt. 4.4), og doser justeres i henhold til Tabel 1.</w:t>
      </w:r>
    </w:p>
    <w:p w:rsidR="000F74A7" w:rsidRDefault="000F74A7" w:rsidP="00D44CDE">
      <w:pPr>
        <w:autoSpaceDE w:val="0"/>
        <w:autoSpaceDN w:val="0"/>
        <w:adjustRightInd w:val="0"/>
        <w:ind w:left="851"/>
        <w:rPr>
          <w:sz w:val="24"/>
          <w:szCs w:val="24"/>
          <w:lang w:val="hu-HU" w:eastAsia="hu-HU"/>
        </w:rPr>
      </w:pPr>
    </w:p>
    <w:p w:rsidR="00D44CDE" w:rsidRDefault="00D44CDE" w:rsidP="00D44CDE">
      <w:pPr>
        <w:autoSpaceDE w:val="0"/>
        <w:autoSpaceDN w:val="0"/>
        <w:adjustRightInd w:val="0"/>
        <w:ind w:left="851"/>
        <w:rPr>
          <w:sz w:val="24"/>
          <w:szCs w:val="24"/>
          <w:lang w:val="hu-HU" w:eastAsia="hu-HU"/>
        </w:rPr>
      </w:pPr>
      <w:r>
        <w:rPr>
          <w:sz w:val="24"/>
          <w:szCs w:val="24"/>
          <w:lang w:val="hu-HU" w:eastAsia="hu-HU"/>
        </w:rPr>
        <w:t>Patienter med moderat nedsat nyrefunktion (CrCl 30-60 ml/min) bør begynde med 25 mg hver anden dag, og dosis bør justeres i henhold til kaliumniveauet (se Tabel 1). Periodisk monitorering af serumkalium anbefales (se pkt. 4.4).</w:t>
      </w:r>
    </w:p>
    <w:p w:rsidR="000F74A7" w:rsidRDefault="000F74A7" w:rsidP="00D44CDE">
      <w:pPr>
        <w:autoSpaceDE w:val="0"/>
        <w:autoSpaceDN w:val="0"/>
        <w:adjustRightInd w:val="0"/>
        <w:ind w:left="851"/>
        <w:rPr>
          <w:sz w:val="24"/>
          <w:szCs w:val="24"/>
          <w:lang w:val="hu-HU" w:eastAsia="hu-HU"/>
        </w:rPr>
      </w:pPr>
    </w:p>
    <w:p w:rsidR="00D44CDE" w:rsidRPr="00AB3B4D" w:rsidRDefault="00D44CDE" w:rsidP="00D44CDE">
      <w:pPr>
        <w:autoSpaceDE w:val="0"/>
        <w:autoSpaceDN w:val="0"/>
        <w:adjustRightInd w:val="0"/>
        <w:ind w:left="851"/>
        <w:rPr>
          <w:sz w:val="24"/>
          <w:szCs w:val="24"/>
        </w:rPr>
      </w:pPr>
      <w:r>
        <w:rPr>
          <w:sz w:val="24"/>
          <w:szCs w:val="24"/>
          <w:lang w:val="hu-HU" w:eastAsia="hu-HU"/>
        </w:rPr>
        <w:t xml:space="preserve">Der er ingen erfaring med patienter med CrCl </w:t>
      </w:r>
      <w:r>
        <w:rPr>
          <w:sz w:val="22"/>
          <w:szCs w:val="22"/>
        </w:rPr>
        <w:t xml:space="preserve">&lt;50 </w:t>
      </w:r>
      <w:proofErr w:type="spellStart"/>
      <w:r>
        <w:rPr>
          <w:sz w:val="22"/>
          <w:szCs w:val="22"/>
        </w:rPr>
        <w:t>mL</w:t>
      </w:r>
      <w:proofErr w:type="spellEnd"/>
      <w:r>
        <w:rPr>
          <w:sz w:val="22"/>
          <w:szCs w:val="22"/>
        </w:rPr>
        <w:t xml:space="preserve">/min med post MI hjertesvigt. </w:t>
      </w:r>
      <w:r w:rsidRPr="00AB3B4D">
        <w:rPr>
          <w:sz w:val="24"/>
          <w:szCs w:val="24"/>
        </w:rPr>
        <w:t xml:space="preserve">Anvendelsen af </w:t>
      </w:r>
      <w:proofErr w:type="spellStart"/>
      <w:r w:rsidRPr="00AB3B4D">
        <w:rPr>
          <w:sz w:val="24"/>
          <w:szCs w:val="24"/>
        </w:rPr>
        <w:t>eplerenon</w:t>
      </w:r>
      <w:proofErr w:type="spellEnd"/>
      <w:r w:rsidRPr="00AB3B4D">
        <w:rPr>
          <w:sz w:val="24"/>
          <w:szCs w:val="24"/>
        </w:rPr>
        <w:t xml:space="preserve"> til disse patienter bør foretages med forsigtighed.</w:t>
      </w:r>
    </w:p>
    <w:p w:rsidR="00D44CDE" w:rsidRDefault="00D44CDE" w:rsidP="00D44CDE">
      <w:pPr>
        <w:autoSpaceDE w:val="0"/>
        <w:autoSpaceDN w:val="0"/>
        <w:adjustRightInd w:val="0"/>
        <w:ind w:left="851"/>
        <w:rPr>
          <w:sz w:val="22"/>
          <w:szCs w:val="22"/>
        </w:rPr>
      </w:pPr>
      <w:r>
        <w:rPr>
          <w:sz w:val="24"/>
          <w:szCs w:val="24"/>
          <w:lang w:eastAsia="hu-HU"/>
        </w:rPr>
        <w:t xml:space="preserve">Doser højere end 25 mg daglig er ikke undersøgt i patienter med </w:t>
      </w:r>
      <w:proofErr w:type="spellStart"/>
      <w:r>
        <w:rPr>
          <w:sz w:val="24"/>
          <w:szCs w:val="24"/>
          <w:lang w:eastAsia="hu-HU"/>
        </w:rPr>
        <w:t>CrCl</w:t>
      </w:r>
      <w:proofErr w:type="spellEnd"/>
      <w:r>
        <w:rPr>
          <w:sz w:val="24"/>
          <w:szCs w:val="24"/>
          <w:lang w:eastAsia="hu-HU"/>
        </w:rPr>
        <w:t xml:space="preserve"> </w:t>
      </w:r>
      <w:r>
        <w:rPr>
          <w:sz w:val="22"/>
          <w:szCs w:val="22"/>
        </w:rPr>
        <w:t xml:space="preserve">&lt;50 </w:t>
      </w:r>
      <w:proofErr w:type="spellStart"/>
      <w:r>
        <w:rPr>
          <w:sz w:val="22"/>
          <w:szCs w:val="22"/>
        </w:rPr>
        <w:t>mL</w:t>
      </w:r>
      <w:proofErr w:type="spellEnd"/>
      <w:r>
        <w:rPr>
          <w:sz w:val="22"/>
          <w:szCs w:val="22"/>
        </w:rPr>
        <w:t>/min.</w:t>
      </w:r>
    </w:p>
    <w:p w:rsidR="000F74A7" w:rsidRDefault="000F74A7" w:rsidP="00D44CDE">
      <w:pPr>
        <w:autoSpaceDE w:val="0"/>
        <w:autoSpaceDN w:val="0"/>
        <w:adjustRightInd w:val="0"/>
        <w:ind w:left="851"/>
        <w:rPr>
          <w:sz w:val="24"/>
          <w:szCs w:val="24"/>
          <w:lang w:eastAsia="hu-HU"/>
        </w:rPr>
      </w:pPr>
    </w:p>
    <w:p w:rsidR="00D44CDE" w:rsidRDefault="00D44CDE" w:rsidP="00D44CDE">
      <w:pPr>
        <w:autoSpaceDE w:val="0"/>
        <w:autoSpaceDN w:val="0"/>
        <w:adjustRightInd w:val="0"/>
        <w:ind w:left="851"/>
        <w:rPr>
          <w:sz w:val="22"/>
          <w:szCs w:val="22"/>
        </w:rPr>
      </w:pPr>
      <w:r>
        <w:rPr>
          <w:sz w:val="24"/>
          <w:szCs w:val="24"/>
          <w:lang w:eastAsia="hu-HU"/>
        </w:rPr>
        <w:t>Brug til patienter med alvorlig nedsat nyrefunktion (</w:t>
      </w:r>
      <w:proofErr w:type="spellStart"/>
      <w:r>
        <w:rPr>
          <w:sz w:val="24"/>
          <w:szCs w:val="24"/>
          <w:lang w:eastAsia="hu-HU"/>
        </w:rPr>
        <w:t>CrCl</w:t>
      </w:r>
      <w:proofErr w:type="spellEnd"/>
      <w:r>
        <w:rPr>
          <w:sz w:val="24"/>
          <w:szCs w:val="24"/>
          <w:lang w:eastAsia="hu-HU"/>
        </w:rPr>
        <w:t xml:space="preserve"> </w:t>
      </w:r>
      <w:r>
        <w:rPr>
          <w:sz w:val="22"/>
          <w:szCs w:val="22"/>
        </w:rPr>
        <w:t xml:space="preserve">&lt;30 </w:t>
      </w:r>
      <w:proofErr w:type="spellStart"/>
      <w:r>
        <w:rPr>
          <w:sz w:val="22"/>
          <w:szCs w:val="22"/>
        </w:rPr>
        <w:t>mL</w:t>
      </w:r>
      <w:proofErr w:type="spellEnd"/>
      <w:r>
        <w:rPr>
          <w:sz w:val="22"/>
          <w:szCs w:val="22"/>
        </w:rPr>
        <w:t>/min) er kontraindiceret (se pkt. 4.3).</w:t>
      </w:r>
    </w:p>
    <w:p w:rsidR="000F74A7" w:rsidRDefault="000F74A7" w:rsidP="00D44CDE">
      <w:pPr>
        <w:autoSpaceDE w:val="0"/>
        <w:autoSpaceDN w:val="0"/>
        <w:adjustRightInd w:val="0"/>
        <w:ind w:left="851"/>
        <w:rPr>
          <w:sz w:val="24"/>
          <w:szCs w:val="24"/>
          <w:lang w:eastAsia="hu-HU"/>
        </w:rPr>
      </w:pPr>
    </w:p>
    <w:p w:rsidR="00D44CDE" w:rsidRDefault="00D44CDE" w:rsidP="00D44CDE">
      <w:pPr>
        <w:autoSpaceDE w:val="0"/>
        <w:autoSpaceDN w:val="0"/>
        <w:adjustRightInd w:val="0"/>
        <w:ind w:left="851"/>
        <w:rPr>
          <w:sz w:val="24"/>
          <w:szCs w:val="24"/>
          <w:lang w:eastAsia="hu-HU"/>
        </w:rPr>
      </w:pPr>
      <w:proofErr w:type="spellStart"/>
      <w:r>
        <w:rPr>
          <w:sz w:val="24"/>
          <w:szCs w:val="24"/>
          <w:lang w:eastAsia="hu-HU"/>
        </w:rPr>
        <w:t>Eplerenon</w:t>
      </w:r>
      <w:proofErr w:type="spellEnd"/>
      <w:r>
        <w:rPr>
          <w:sz w:val="24"/>
          <w:szCs w:val="24"/>
          <w:lang w:eastAsia="hu-HU"/>
        </w:rPr>
        <w:t xml:space="preserve"> er ikke </w:t>
      </w:r>
      <w:proofErr w:type="spellStart"/>
      <w:r>
        <w:rPr>
          <w:sz w:val="24"/>
          <w:szCs w:val="24"/>
          <w:lang w:eastAsia="hu-HU"/>
        </w:rPr>
        <w:t>dialyserbart</w:t>
      </w:r>
      <w:proofErr w:type="spellEnd"/>
      <w:r>
        <w:rPr>
          <w:sz w:val="24"/>
          <w:szCs w:val="24"/>
          <w:lang w:eastAsia="hu-HU"/>
        </w:rPr>
        <w:t>.</w:t>
      </w:r>
    </w:p>
    <w:p w:rsidR="00D44CDE" w:rsidRDefault="00D44CDE" w:rsidP="00D44CDE">
      <w:pPr>
        <w:autoSpaceDE w:val="0"/>
        <w:autoSpaceDN w:val="0"/>
        <w:adjustRightInd w:val="0"/>
        <w:ind w:left="851"/>
        <w:rPr>
          <w:sz w:val="24"/>
          <w:szCs w:val="24"/>
          <w:lang w:val="hu-HU" w:eastAsia="hu-HU"/>
        </w:rPr>
      </w:pPr>
    </w:p>
    <w:p w:rsidR="00D44CDE" w:rsidRPr="000F74A7" w:rsidRDefault="00D44CDE" w:rsidP="00D44CDE">
      <w:pPr>
        <w:autoSpaceDE w:val="0"/>
        <w:autoSpaceDN w:val="0"/>
        <w:adjustRightInd w:val="0"/>
        <w:ind w:left="851"/>
        <w:rPr>
          <w:bCs/>
          <w:i/>
          <w:sz w:val="24"/>
          <w:szCs w:val="24"/>
          <w:lang w:val="hu-HU" w:eastAsia="hu-HU"/>
        </w:rPr>
      </w:pPr>
      <w:r w:rsidRPr="000F74A7">
        <w:rPr>
          <w:i/>
          <w:sz w:val="24"/>
          <w:szCs w:val="24"/>
          <w:lang w:val="hu-HU" w:eastAsia="hu-HU"/>
        </w:rPr>
        <w:t>Nedsat leverfunktion</w:t>
      </w:r>
    </w:p>
    <w:p w:rsidR="00D44CDE" w:rsidRDefault="00D44CDE" w:rsidP="00D44CDE">
      <w:pPr>
        <w:autoSpaceDE w:val="0"/>
        <w:autoSpaceDN w:val="0"/>
        <w:adjustRightInd w:val="0"/>
        <w:ind w:left="851"/>
        <w:rPr>
          <w:sz w:val="24"/>
          <w:szCs w:val="24"/>
          <w:lang w:val="hu-HU" w:eastAsia="hu-HU"/>
        </w:rPr>
      </w:pPr>
      <w:r>
        <w:rPr>
          <w:sz w:val="24"/>
          <w:szCs w:val="24"/>
          <w:lang w:val="hu-HU" w:eastAsia="hu-HU"/>
        </w:rPr>
        <w:t>Justering af initialdosis er ikke nødvendig hos patienter med mild til moderat nedsat leverfunktion. På grund af en øget systemisk eksponering for eplerenon hos patienter med mild til moderat nedsat leverfunktion, anbefales det hyppigt og regelmæssigt at monitorere serum-kalium hos disse patienter, især hos ældre (se pkt. 4.4).</w:t>
      </w:r>
    </w:p>
    <w:p w:rsidR="00D44CDE" w:rsidRDefault="00D44CDE" w:rsidP="00D44CDE">
      <w:pPr>
        <w:autoSpaceDE w:val="0"/>
        <w:autoSpaceDN w:val="0"/>
        <w:adjustRightInd w:val="0"/>
        <w:ind w:left="851"/>
        <w:rPr>
          <w:sz w:val="24"/>
          <w:szCs w:val="24"/>
          <w:lang w:val="hu-HU" w:eastAsia="hu-HU"/>
        </w:rPr>
      </w:pPr>
    </w:p>
    <w:p w:rsidR="00D44CDE" w:rsidRPr="000F74A7" w:rsidRDefault="00D44CDE" w:rsidP="00D44CDE">
      <w:pPr>
        <w:autoSpaceDE w:val="0"/>
        <w:autoSpaceDN w:val="0"/>
        <w:adjustRightInd w:val="0"/>
        <w:ind w:left="851"/>
        <w:rPr>
          <w:bCs/>
          <w:i/>
          <w:sz w:val="24"/>
          <w:szCs w:val="24"/>
          <w:lang w:val="hu-HU" w:eastAsia="hu-HU"/>
        </w:rPr>
      </w:pPr>
      <w:r w:rsidRPr="000F74A7">
        <w:rPr>
          <w:i/>
          <w:sz w:val="24"/>
          <w:szCs w:val="24"/>
          <w:lang w:val="hu-HU" w:eastAsia="hu-HU"/>
        </w:rPr>
        <w:t>Samtidig behandling</w:t>
      </w:r>
    </w:p>
    <w:p w:rsidR="00D44CDE" w:rsidRDefault="00D44CDE" w:rsidP="00D44CDE">
      <w:pPr>
        <w:autoSpaceDE w:val="0"/>
        <w:autoSpaceDN w:val="0"/>
        <w:adjustRightInd w:val="0"/>
        <w:ind w:left="851"/>
        <w:rPr>
          <w:sz w:val="24"/>
          <w:szCs w:val="24"/>
          <w:lang w:val="hu-HU" w:eastAsia="hu-HU"/>
        </w:rPr>
      </w:pPr>
      <w:r>
        <w:rPr>
          <w:sz w:val="24"/>
          <w:szCs w:val="24"/>
          <w:lang w:val="hu-HU" w:eastAsia="hu-HU"/>
        </w:rPr>
        <w:t>I tilfælde af samtidig behandling med milde til moderate CYP3A4-hæmmere, f.eks. amiodaron, diltiazem og verapamil bør en dosis på 25 mg en gang daglig initieres. Dosis bør ikke overskride 25 mg en gang daglig (se pkt. 4.5).</w:t>
      </w:r>
    </w:p>
    <w:p w:rsidR="000F74A7" w:rsidRDefault="000F74A7" w:rsidP="00D44CDE">
      <w:pPr>
        <w:autoSpaceDE w:val="0"/>
        <w:autoSpaceDN w:val="0"/>
        <w:adjustRightInd w:val="0"/>
        <w:ind w:left="851"/>
        <w:rPr>
          <w:sz w:val="24"/>
          <w:szCs w:val="24"/>
          <w:lang w:val="hu-HU" w:eastAsia="hu-HU"/>
        </w:rPr>
      </w:pPr>
    </w:p>
    <w:p w:rsidR="00D44CDE" w:rsidRDefault="00D44CDE" w:rsidP="00D44CDE">
      <w:pPr>
        <w:autoSpaceDE w:val="0"/>
        <w:autoSpaceDN w:val="0"/>
        <w:adjustRightInd w:val="0"/>
        <w:ind w:left="851"/>
        <w:rPr>
          <w:sz w:val="24"/>
          <w:szCs w:val="24"/>
          <w:lang w:val="hu-HU" w:eastAsia="hu-HU"/>
        </w:rPr>
      </w:pPr>
      <w:r>
        <w:rPr>
          <w:sz w:val="24"/>
          <w:szCs w:val="24"/>
          <w:lang w:val="hu-HU" w:eastAsia="hu-HU"/>
        </w:rPr>
        <w:t>Eplerenon kan tages med eller uden føde (se pkt. 5.2).</w:t>
      </w:r>
    </w:p>
    <w:p w:rsidR="00D44CDE" w:rsidRPr="008E114A" w:rsidRDefault="00D44CDE" w:rsidP="00D44CDE">
      <w:pPr>
        <w:tabs>
          <w:tab w:val="left" w:pos="851"/>
        </w:tabs>
        <w:rPr>
          <w:sz w:val="24"/>
          <w:szCs w:val="24"/>
          <w:lang w:val="hu-HU"/>
        </w:rPr>
      </w:pPr>
    </w:p>
    <w:p w:rsidR="00D44CDE" w:rsidRPr="008E114A" w:rsidRDefault="00D44CDE" w:rsidP="00D44CDE">
      <w:pPr>
        <w:tabs>
          <w:tab w:val="left" w:pos="851"/>
        </w:tabs>
        <w:ind w:left="851" w:hanging="851"/>
        <w:rPr>
          <w:b/>
          <w:sz w:val="24"/>
          <w:szCs w:val="24"/>
        </w:rPr>
      </w:pPr>
      <w:r w:rsidRPr="008E114A">
        <w:rPr>
          <w:b/>
          <w:sz w:val="24"/>
          <w:szCs w:val="24"/>
        </w:rPr>
        <w:t>4.3</w:t>
      </w:r>
      <w:r w:rsidRPr="008E114A">
        <w:rPr>
          <w:b/>
          <w:sz w:val="24"/>
          <w:szCs w:val="24"/>
        </w:rPr>
        <w:tab/>
        <w:t>Kontraindikationer</w:t>
      </w:r>
    </w:p>
    <w:p w:rsidR="00D44CDE" w:rsidRDefault="00D44CDE" w:rsidP="00D44CDE">
      <w:pPr>
        <w:numPr>
          <w:ilvl w:val="0"/>
          <w:numId w:val="7"/>
        </w:numPr>
        <w:tabs>
          <w:tab w:val="clear" w:pos="360"/>
          <w:tab w:val="left" w:pos="851"/>
        </w:tabs>
        <w:autoSpaceDE w:val="0"/>
        <w:autoSpaceDN w:val="0"/>
        <w:adjustRightInd w:val="0"/>
        <w:ind w:left="1134" w:hanging="283"/>
        <w:rPr>
          <w:sz w:val="24"/>
          <w:szCs w:val="24"/>
          <w:lang w:val="hu-HU" w:eastAsia="hu-HU"/>
        </w:rPr>
      </w:pPr>
      <w:r>
        <w:rPr>
          <w:noProof/>
          <w:sz w:val="24"/>
          <w:szCs w:val="24"/>
          <w:lang w:val="hu-HU" w:eastAsia="hu-HU"/>
        </w:rPr>
        <w:t>Overfølsomhed over for eplerenon eller over for et eller flere af hjælpestofferne anført i punkt 6.1.</w:t>
      </w:r>
    </w:p>
    <w:p w:rsidR="00D44CDE" w:rsidRDefault="00D44CDE" w:rsidP="00D44CDE">
      <w:pPr>
        <w:numPr>
          <w:ilvl w:val="0"/>
          <w:numId w:val="7"/>
        </w:numPr>
        <w:tabs>
          <w:tab w:val="clear" w:pos="360"/>
          <w:tab w:val="left" w:pos="851"/>
        </w:tabs>
        <w:autoSpaceDE w:val="0"/>
        <w:autoSpaceDN w:val="0"/>
        <w:adjustRightInd w:val="0"/>
        <w:ind w:left="1134" w:hanging="283"/>
        <w:rPr>
          <w:rFonts w:eastAsia="SymbolMT"/>
          <w:sz w:val="24"/>
          <w:szCs w:val="24"/>
          <w:lang w:val="hu-HU" w:eastAsia="hu-HU"/>
        </w:rPr>
      </w:pPr>
      <w:r>
        <w:rPr>
          <w:sz w:val="24"/>
          <w:szCs w:val="24"/>
          <w:lang w:val="hu-HU" w:eastAsia="hu-HU"/>
        </w:rPr>
        <w:t>Patienter med serum-kalium &gt; 5,0 mmol/l ved initiering af behandling.</w:t>
      </w:r>
    </w:p>
    <w:p w:rsidR="00D44CDE" w:rsidRDefault="00D44CDE" w:rsidP="00D44CDE">
      <w:pPr>
        <w:numPr>
          <w:ilvl w:val="0"/>
          <w:numId w:val="7"/>
        </w:numPr>
        <w:tabs>
          <w:tab w:val="clear" w:pos="360"/>
          <w:tab w:val="left" w:pos="851"/>
        </w:tabs>
        <w:autoSpaceDE w:val="0"/>
        <w:autoSpaceDN w:val="0"/>
        <w:adjustRightInd w:val="0"/>
        <w:ind w:left="1134" w:hanging="283"/>
        <w:rPr>
          <w:sz w:val="24"/>
          <w:szCs w:val="24"/>
          <w:lang w:val="hu-HU" w:eastAsia="hu-HU"/>
        </w:rPr>
      </w:pPr>
      <w:r>
        <w:rPr>
          <w:sz w:val="24"/>
          <w:szCs w:val="24"/>
          <w:lang w:val="hu-HU" w:eastAsia="hu-HU"/>
        </w:rPr>
        <w:t xml:space="preserve">Patienter med svært nedsat nyrefunktion (eGFR </w:t>
      </w:r>
      <w:r>
        <w:rPr>
          <w:sz w:val="22"/>
          <w:szCs w:val="22"/>
        </w:rPr>
        <w:t>&lt;30 ml pr. minut pr. 1,73 m</w:t>
      </w:r>
      <w:r>
        <w:rPr>
          <w:sz w:val="22"/>
          <w:szCs w:val="22"/>
          <w:vertAlign w:val="superscript"/>
        </w:rPr>
        <w:t>2</w:t>
      </w:r>
      <w:r>
        <w:rPr>
          <w:sz w:val="22"/>
          <w:szCs w:val="22"/>
        </w:rPr>
        <w:t>).</w:t>
      </w:r>
    </w:p>
    <w:p w:rsidR="00D44CDE" w:rsidRDefault="00D44CDE" w:rsidP="00D44CDE">
      <w:pPr>
        <w:numPr>
          <w:ilvl w:val="0"/>
          <w:numId w:val="7"/>
        </w:numPr>
        <w:tabs>
          <w:tab w:val="clear" w:pos="360"/>
          <w:tab w:val="left" w:pos="851"/>
        </w:tabs>
        <w:autoSpaceDE w:val="0"/>
        <w:autoSpaceDN w:val="0"/>
        <w:adjustRightInd w:val="0"/>
        <w:ind w:left="1134" w:hanging="283"/>
        <w:rPr>
          <w:sz w:val="24"/>
          <w:szCs w:val="24"/>
          <w:lang w:val="hu-HU" w:eastAsia="hu-HU"/>
        </w:rPr>
      </w:pPr>
      <w:r>
        <w:rPr>
          <w:sz w:val="24"/>
          <w:szCs w:val="24"/>
          <w:lang w:val="hu-HU" w:eastAsia="hu-HU"/>
        </w:rPr>
        <w:t>Patienter med svær leverinsufficiens (Child-Pugh klasse C).</w:t>
      </w:r>
    </w:p>
    <w:p w:rsidR="00D44CDE" w:rsidRDefault="00D44CDE" w:rsidP="00D44CDE">
      <w:pPr>
        <w:numPr>
          <w:ilvl w:val="0"/>
          <w:numId w:val="7"/>
        </w:numPr>
        <w:tabs>
          <w:tab w:val="clear" w:pos="360"/>
          <w:tab w:val="left" w:pos="851"/>
        </w:tabs>
        <w:autoSpaceDE w:val="0"/>
        <w:autoSpaceDN w:val="0"/>
        <w:adjustRightInd w:val="0"/>
        <w:ind w:left="1134" w:hanging="283"/>
        <w:rPr>
          <w:sz w:val="24"/>
          <w:szCs w:val="24"/>
          <w:lang w:val="hu-HU" w:eastAsia="hu-HU"/>
        </w:rPr>
      </w:pPr>
      <w:r>
        <w:rPr>
          <w:sz w:val="24"/>
          <w:szCs w:val="24"/>
          <w:lang w:val="hu-HU" w:eastAsia="hu-HU"/>
        </w:rPr>
        <w:t>Patienter, der anvender kaliumbesparende diuretika eller stærke CYP3A4-hæmmere (f.eks. itraconazol, ketoconazol, ritonavir, nelfinavir, clarithromycin, telithromycin og nefazodon) (se pkt. 4.5).</w:t>
      </w:r>
    </w:p>
    <w:p w:rsidR="00D44CDE" w:rsidRDefault="00D44CDE" w:rsidP="00D44CDE">
      <w:pPr>
        <w:numPr>
          <w:ilvl w:val="0"/>
          <w:numId w:val="7"/>
        </w:numPr>
        <w:tabs>
          <w:tab w:val="clear" w:pos="360"/>
          <w:tab w:val="left" w:pos="851"/>
        </w:tabs>
        <w:autoSpaceDE w:val="0"/>
        <w:autoSpaceDN w:val="0"/>
        <w:adjustRightInd w:val="0"/>
        <w:ind w:left="1134" w:hanging="283"/>
        <w:rPr>
          <w:sz w:val="24"/>
          <w:szCs w:val="24"/>
          <w:lang w:val="hu-HU" w:eastAsia="hu-HU"/>
        </w:rPr>
      </w:pPr>
      <w:r>
        <w:rPr>
          <w:sz w:val="24"/>
          <w:szCs w:val="24"/>
          <w:lang w:val="hu-HU" w:eastAsia="hu-HU"/>
        </w:rPr>
        <w:lastRenderedPageBreak/>
        <w:t>Kombinationen af en angiotensinkonverterende enzymhæmmer (ACE- hæmmer) og en angiotensinreceptorblokker (ARB) med eplerenon.</w:t>
      </w:r>
    </w:p>
    <w:p w:rsidR="00D44CDE" w:rsidRPr="008E114A" w:rsidRDefault="00D44CDE" w:rsidP="00D44CDE">
      <w:pPr>
        <w:tabs>
          <w:tab w:val="left" w:pos="851"/>
        </w:tabs>
        <w:rPr>
          <w:sz w:val="24"/>
          <w:szCs w:val="24"/>
          <w:lang w:val="hu-HU"/>
        </w:rPr>
      </w:pPr>
    </w:p>
    <w:p w:rsidR="00D44CDE" w:rsidRPr="008E114A" w:rsidRDefault="00D44CDE" w:rsidP="00D44CDE">
      <w:pPr>
        <w:tabs>
          <w:tab w:val="left" w:pos="851"/>
        </w:tabs>
        <w:ind w:left="851" w:hanging="851"/>
        <w:rPr>
          <w:b/>
          <w:sz w:val="24"/>
          <w:szCs w:val="24"/>
        </w:rPr>
      </w:pPr>
      <w:r w:rsidRPr="008E114A">
        <w:rPr>
          <w:b/>
          <w:sz w:val="24"/>
          <w:szCs w:val="24"/>
        </w:rPr>
        <w:t>4.4</w:t>
      </w:r>
      <w:r w:rsidRPr="008E114A">
        <w:rPr>
          <w:b/>
          <w:sz w:val="24"/>
          <w:szCs w:val="24"/>
        </w:rPr>
        <w:tab/>
        <w:t>Særlige advarsler og forsigtighedsregler vedrørende brugen</w:t>
      </w:r>
    </w:p>
    <w:p w:rsidR="00D44CDE" w:rsidRDefault="00D44CDE" w:rsidP="00D44CDE">
      <w:pPr>
        <w:autoSpaceDE w:val="0"/>
        <w:autoSpaceDN w:val="0"/>
        <w:adjustRightInd w:val="0"/>
        <w:ind w:left="851"/>
        <w:rPr>
          <w:sz w:val="24"/>
          <w:szCs w:val="24"/>
          <w:u w:val="single"/>
          <w:lang w:val="hu-HU" w:eastAsia="hu-HU"/>
        </w:rPr>
      </w:pPr>
      <w:r w:rsidRPr="000F74A7">
        <w:rPr>
          <w:i/>
          <w:sz w:val="24"/>
          <w:szCs w:val="24"/>
          <w:lang w:val="hu-HU" w:eastAsia="hu-HU"/>
        </w:rPr>
        <w:t>Hyperkaliæmi</w:t>
      </w:r>
    </w:p>
    <w:p w:rsidR="00D44CDE" w:rsidRDefault="00D44CDE" w:rsidP="00D44CDE">
      <w:pPr>
        <w:autoSpaceDE w:val="0"/>
        <w:autoSpaceDN w:val="0"/>
        <w:adjustRightInd w:val="0"/>
        <w:ind w:left="851"/>
        <w:rPr>
          <w:sz w:val="24"/>
          <w:szCs w:val="24"/>
          <w:lang w:val="hu-HU" w:eastAsia="hu-HU"/>
        </w:rPr>
      </w:pPr>
      <w:r>
        <w:rPr>
          <w:sz w:val="24"/>
          <w:szCs w:val="24"/>
          <w:lang w:val="hu-HU" w:eastAsia="hu-HU"/>
        </w:rPr>
        <w:t xml:space="preserve">I overensstemmelse med virkningsmekanismen kan hyperkaliæmi opstå med eplerenon. Serum-kaliumniveauet skal monitoreres hos alle patienter når behandlingen initieres og ved ændring i dosis. Det anbefales derefter jævnligt at monitorere serum-kalium især hos patienter med risiko for udvikling af hyperkaliæmi, som f.eks. ældre patienter, patienter med nyreinsufficiens (se pkt. 4.2) og patienter med diabetes. Anvendelse af kaliumtilskud efter start af eplerenon-behandling anbefales ikke på grund af øget risiko for hyperkaliæmi. Dosisreduktion af eplerenon viser et fald i serum-kaliumværdierne. Et studie viser, at tillæg af hydrochlorthiazid til eplerenon-behandling udligner stigninger i serum-kalium. </w:t>
      </w:r>
    </w:p>
    <w:p w:rsidR="00D44CDE" w:rsidRDefault="00D44CDE" w:rsidP="00D44CDE">
      <w:pPr>
        <w:autoSpaceDE w:val="0"/>
        <w:autoSpaceDN w:val="0"/>
        <w:adjustRightInd w:val="0"/>
        <w:ind w:left="851"/>
        <w:rPr>
          <w:sz w:val="24"/>
          <w:szCs w:val="24"/>
          <w:lang w:val="hu-HU" w:eastAsia="hu-HU"/>
        </w:rPr>
      </w:pPr>
    </w:p>
    <w:p w:rsidR="00D44CDE" w:rsidRDefault="00D44CDE" w:rsidP="00D44CDE">
      <w:pPr>
        <w:autoSpaceDE w:val="0"/>
        <w:autoSpaceDN w:val="0"/>
        <w:adjustRightInd w:val="0"/>
        <w:ind w:left="851"/>
        <w:rPr>
          <w:sz w:val="24"/>
          <w:szCs w:val="24"/>
          <w:lang w:val="hu-HU" w:eastAsia="hu-HU"/>
        </w:rPr>
      </w:pPr>
      <w:r>
        <w:rPr>
          <w:sz w:val="24"/>
          <w:szCs w:val="24"/>
          <w:lang w:val="hu-HU" w:eastAsia="hu-HU"/>
        </w:rPr>
        <w:t>Risikoen for hyperkaliæmi kan blive forhøjet, når eplerenon anvendes i kombination med en angiotensinkonverterende enzymhæmmer (ACE-hæmmer) og/eller en angiotensinreceptorblokker (ARB). Kombinationen af en angiotensinkonverterende enzymhæmmer (ACE -hæmmer) og en angiotensinreceptorblokker (ARB) med eplerenon bør undgås (se pkt. 4.3 og 4.5).</w:t>
      </w:r>
    </w:p>
    <w:p w:rsidR="00D44CDE" w:rsidRDefault="00D44CDE" w:rsidP="00D44CDE">
      <w:pPr>
        <w:autoSpaceDE w:val="0"/>
        <w:autoSpaceDN w:val="0"/>
        <w:adjustRightInd w:val="0"/>
        <w:ind w:left="851"/>
        <w:rPr>
          <w:sz w:val="24"/>
          <w:szCs w:val="24"/>
          <w:lang w:val="hu-HU" w:eastAsia="hu-HU"/>
        </w:rPr>
      </w:pPr>
    </w:p>
    <w:p w:rsidR="00D44CDE" w:rsidRPr="000F74A7" w:rsidRDefault="00D44CDE" w:rsidP="00D44CDE">
      <w:pPr>
        <w:autoSpaceDE w:val="0"/>
        <w:autoSpaceDN w:val="0"/>
        <w:adjustRightInd w:val="0"/>
        <w:ind w:left="851"/>
        <w:rPr>
          <w:i/>
          <w:sz w:val="24"/>
          <w:szCs w:val="24"/>
          <w:lang w:val="hu-HU" w:eastAsia="hu-HU"/>
        </w:rPr>
      </w:pPr>
      <w:r w:rsidRPr="000F74A7">
        <w:rPr>
          <w:i/>
          <w:sz w:val="24"/>
          <w:szCs w:val="24"/>
          <w:lang w:val="hu-HU" w:eastAsia="hu-HU"/>
        </w:rPr>
        <w:t>Nedsat nyrefunktion</w:t>
      </w:r>
    </w:p>
    <w:p w:rsidR="00D44CDE" w:rsidRDefault="00D44CDE" w:rsidP="00D44CDE">
      <w:pPr>
        <w:autoSpaceDE w:val="0"/>
        <w:autoSpaceDN w:val="0"/>
        <w:adjustRightInd w:val="0"/>
        <w:ind w:left="851"/>
        <w:rPr>
          <w:sz w:val="24"/>
          <w:szCs w:val="24"/>
          <w:lang w:val="hu-HU" w:eastAsia="hu-HU"/>
        </w:rPr>
      </w:pPr>
      <w:r>
        <w:rPr>
          <w:sz w:val="24"/>
          <w:szCs w:val="24"/>
          <w:lang w:val="hu-HU" w:eastAsia="hu-HU"/>
        </w:rPr>
        <w:t xml:space="preserve">Kaliumværdierne bør monitoreres regelmæssigt hos patienter med nedsat nyrefunktion, inklusive diabetisk mikroalbuminuri. Risikoen for hyperkaliæmi øges med faldende nyrefunktion. Mens data fra EPHESUS hos patienter med type 2 diabetes og mikroalbuminuri er begrænset, ses en stigning i forekomsten af hyperkaliæmi hos et lille antal patienter. Disse patienter bør derfor behandles med forsigtighed. Eplerenon fjernes ikke ved hæmodialyse. </w:t>
      </w:r>
    </w:p>
    <w:p w:rsidR="00D44CDE" w:rsidRDefault="00D44CDE" w:rsidP="00D44CDE">
      <w:pPr>
        <w:autoSpaceDE w:val="0"/>
        <w:autoSpaceDN w:val="0"/>
        <w:adjustRightInd w:val="0"/>
        <w:ind w:left="851"/>
        <w:rPr>
          <w:sz w:val="24"/>
          <w:szCs w:val="24"/>
          <w:lang w:val="hu-HU" w:eastAsia="hu-HU"/>
        </w:rPr>
      </w:pPr>
    </w:p>
    <w:p w:rsidR="00D44CDE" w:rsidRPr="000F74A7" w:rsidRDefault="00D44CDE" w:rsidP="00D44CDE">
      <w:pPr>
        <w:tabs>
          <w:tab w:val="left" w:pos="426"/>
        </w:tabs>
        <w:ind w:left="851"/>
        <w:rPr>
          <w:i/>
          <w:sz w:val="24"/>
          <w:szCs w:val="24"/>
          <w:lang w:val="hu-HU" w:eastAsia="hu-HU"/>
        </w:rPr>
      </w:pPr>
      <w:r w:rsidRPr="000F74A7">
        <w:rPr>
          <w:i/>
          <w:sz w:val="24"/>
          <w:szCs w:val="24"/>
          <w:lang w:val="hu-HU" w:eastAsia="hu-HU"/>
        </w:rPr>
        <w:t>Nedsat leverfunktion</w:t>
      </w:r>
    </w:p>
    <w:p w:rsidR="00D44CDE" w:rsidRPr="008E114A" w:rsidRDefault="00D44CDE" w:rsidP="00D44CDE">
      <w:pPr>
        <w:tabs>
          <w:tab w:val="left" w:pos="426"/>
        </w:tabs>
        <w:ind w:left="851"/>
        <w:rPr>
          <w:sz w:val="24"/>
          <w:szCs w:val="24"/>
          <w:lang w:val="hu-HU" w:eastAsia="hu-HU"/>
        </w:rPr>
      </w:pPr>
      <w:r w:rsidRPr="008E114A">
        <w:rPr>
          <w:sz w:val="24"/>
          <w:szCs w:val="24"/>
          <w:lang w:val="hu-HU" w:eastAsia="hu-HU"/>
        </w:rPr>
        <w:t xml:space="preserve">Der er ikke set stigninger i serum-kalium over 5,5 mmol/l hos patienter med mild til moderat nedsat leverfunktion (Child Pugh klasse A og B). Elektrolytværdier bør monitoreres hos patienter med mild til moderat nedsat leverfunktion. Brugen af eplerenon hos patienter med svært nedsat leverfunktion er ikke evalueret, og er derfor kontraindiceret (se pkt. 4.3). </w:t>
      </w:r>
      <w:r w:rsidRPr="008E114A">
        <w:rPr>
          <w:i/>
          <w:sz w:val="24"/>
          <w:szCs w:val="24"/>
          <w:lang w:val="hu-HU" w:eastAsia="hu-HU"/>
        </w:rPr>
        <w:t xml:space="preserve">CYP3A4 induktorer: </w:t>
      </w:r>
      <w:r w:rsidRPr="008E114A">
        <w:rPr>
          <w:sz w:val="24"/>
          <w:szCs w:val="24"/>
          <w:lang w:val="hu-HU" w:eastAsia="hu-HU"/>
        </w:rPr>
        <w:t xml:space="preserve">Samtidig anvendelse af eplerenon og stærke CYP3A4 induktorer kan ikke anbefales (se pkt. 4.5). </w:t>
      </w:r>
    </w:p>
    <w:p w:rsidR="000F74A7" w:rsidRDefault="000F74A7" w:rsidP="000F74A7">
      <w:pPr>
        <w:autoSpaceDE w:val="0"/>
        <w:autoSpaceDN w:val="0"/>
        <w:adjustRightInd w:val="0"/>
        <w:ind w:left="851"/>
        <w:rPr>
          <w:sz w:val="24"/>
          <w:szCs w:val="24"/>
          <w:lang w:val="hu-HU" w:eastAsia="hu-HU"/>
        </w:rPr>
      </w:pPr>
    </w:p>
    <w:p w:rsidR="000F74A7" w:rsidRDefault="000F74A7" w:rsidP="000F74A7">
      <w:pPr>
        <w:tabs>
          <w:tab w:val="left" w:pos="851"/>
        </w:tabs>
        <w:ind w:left="851"/>
        <w:rPr>
          <w:i/>
          <w:sz w:val="24"/>
          <w:lang w:eastAsia="da-DK"/>
        </w:rPr>
      </w:pPr>
      <w:r>
        <w:rPr>
          <w:i/>
        </w:rPr>
        <w:t xml:space="preserve">CYP3A4 induktorer </w:t>
      </w:r>
    </w:p>
    <w:p w:rsidR="000F74A7" w:rsidRDefault="000F74A7" w:rsidP="000F74A7">
      <w:pPr>
        <w:tabs>
          <w:tab w:val="left" w:pos="851"/>
        </w:tabs>
        <w:ind w:left="851"/>
      </w:pPr>
      <w:r>
        <w:t xml:space="preserve">Samtidig anvendelse af </w:t>
      </w:r>
      <w:proofErr w:type="spellStart"/>
      <w:r>
        <w:t>eplerenon</w:t>
      </w:r>
      <w:proofErr w:type="spellEnd"/>
      <w:r>
        <w:t xml:space="preserve"> og stærke CYP3A4 induktorer kan ikke anbefales (se pkt. 4.5).</w:t>
      </w:r>
    </w:p>
    <w:p w:rsidR="000F74A7" w:rsidRDefault="000F74A7" w:rsidP="000F74A7">
      <w:pPr>
        <w:autoSpaceDE w:val="0"/>
        <w:autoSpaceDN w:val="0"/>
        <w:adjustRightInd w:val="0"/>
        <w:ind w:left="851"/>
        <w:rPr>
          <w:sz w:val="24"/>
          <w:szCs w:val="24"/>
          <w:u w:val="single"/>
          <w:lang w:eastAsia="hu-HU"/>
        </w:rPr>
      </w:pPr>
    </w:p>
    <w:p w:rsidR="000F74A7" w:rsidRDefault="000F74A7" w:rsidP="000F74A7">
      <w:pPr>
        <w:autoSpaceDE w:val="0"/>
        <w:autoSpaceDN w:val="0"/>
        <w:adjustRightInd w:val="0"/>
        <w:ind w:left="851"/>
        <w:rPr>
          <w:sz w:val="24"/>
          <w:szCs w:val="24"/>
          <w:lang w:val="hu-HU" w:eastAsia="hu-HU"/>
        </w:rPr>
      </w:pPr>
      <w:r>
        <w:rPr>
          <w:i/>
          <w:iCs/>
          <w:sz w:val="24"/>
          <w:szCs w:val="24"/>
          <w:lang w:val="hu-HU" w:eastAsia="hu-HU"/>
        </w:rPr>
        <w:t>Lithium, ciclosporin, tacrolimus</w:t>
      </w:r>
      <w:r>
        <w:rPr>
          <w:sz w:val="24"/>
          <w:szCs w:val="24"/>
          <w:lang w:val="hu-HU" w:eastAsia="hu-HU"/>
        </w:rPr>
        <w:t xml:space="preserve"> undgås under behandling med eplerenon (se pkt. 4.5). </w:t>
      </w:r>
    </w:p>
    <w:p w:rsidR="000F74A7" w:rsidRDefault="000F74A7" w:rsidP="000F74A7">
      <w:pPr>
        <w:rPr>
          <w:sz w:val="24"/>
          <w:szCs w:val="24"/>
          <w:lang w:val="hu-HU" w:eastAsia="hu-HU"/>
        </w:rPr>
      </w:pPr>
    </w:p>
    <w:p w:rsidR="000F74A7" w:rsidRDefault="000F74A7" w:rsidP="000F74A7">
      <w:pPr>
        <w:autoSpaceDE w:val="0"/>
        <w:autoSpaceDN w:val="0"/>
        <w:adjustRightInd w:val="0"/>
        <w:ind w:left="851"/>
        <w:rPr>
          <w:sz w:val="24"/>
          <w:szCs w:val="24"/>
          <w:u w:val="single"/>
          <w:lang w:val="hu-HU" w:eastAsia="hu-HU"/>
        </w:rPr>
      </w:pPr>
      <w:r>
        <w:rPr>
          <w:sz w:val="24"/>
          <w:szCs w:val="24"/>
          <w:u w:val="single"/>
          <w:lang w:val="hu-HU" w:eastAsia="hu-HU"/>
        </w:rPr>
        <w:t>Hjælpestoffer</w:t>
      </w:r>
    </w:p>
    <w:p w:rsidR="000F74A7" w:rsidRDefault="000F74A7" w:rsidP="000F74A7">
      <w:pPr>
        <w:autoSpaceDE w:val="0"/>
        <w:autoSpaceDN w:val="0"/>
        <w:adjustRightInd w:val="0"/>
        <w:ind w:left="851"/>
        <w:rPr>
          <w:i/>
          <w:iCs/>
          <w:sz w:val="24"/>
          <w:szCs w:val="24"/>
          <w:lang w:val="hu-HU" w:eastAsia="hu-HU"/>
        </w:rPr>
      </w:pPr>
      <w:r>
        <w:rPr>
          <w:i/>
          <w:iCs/>
          <w:sz w:val="24"/>
          <w:szCs w:val="24"/>
          <w:lang w:val="hu-HU" w:eastAsia="hu-HU"/>
        </w:rPr>
        <w:t>Lactose</w:t>
      </w:r>
    </w:p>
    <w:p w:rsidR="000F74A7" w:rsidRDefault="000F74A7" w:rsidP="000F74A7">
      <w:pPr>
        <w:autoSpaceDE w:val="0"/>
        <w:autoSpaceDN w:val="0"/>
        <w:adjustRightInd w:val="0"/>
        <w:ind w:left="851"/>
        <w:rPr>
          <w:sz w:val="24"/>
          <w:szCs w:val="24"/>
          <w:lang w:val="hu-HU" w:eastAsia="hu-HU"/>
        </w:rPr>
      </w:pPr>
      <w:r>
        <w:rPr>
          <w:sz w:val="24"/>
          <w:szCs w:val="24"/>
          <w:lang w:val="hu-HU" w:eastAsia="hu-HU"/>
        </w:rPr>
        <w:t xml:space="preserve">Tabletterne indeholder lactose. Bør ikke anvendes til patienter med hereditær galactoseintolerans, total lactasemangel eller glucose/galactosemalabsorption. </w:t>
      </w:r>
    </w:p>
    <w:p w:rsidR="000F74A7" w:rsidRDefault="000F74A7" w:rsidP="000F74A7">
      <w:pPr>
        <w:ind w:left="851"/>
        <w:rPr>
          <w:sz w:val="24"/>
          <w:szCs w:val="24"/>
          <w:lang w:val="hu-HU" w:eastAsia="hu-HU"/>
        </w:rPr>
      </w:pPr>
    </w:p>
    <w:p w:rsidR="000F74A7" w:rsidRDefault="000F74A7" w:rsidP="000F74A7">
      <w:pPr>
        <w:ind w:left="851"/>
        <w:rPr>
          <w:sz w:val="24"/>
          <w:szCs w:val="24"/>
          <w:lang w:val="hu-HU" w:eastAsia="hu-HU"/>
        </w:rPr>
      </w:pPr>
      <w:r>
        <w:rPr>
          <w:i/>
          <w:iCs/>
          <w:sz w:val="24"/>
          <w:szCs w:val="24"/>
          <w:lang w:val="hu-HU" w:eastAsia="hu-HU"/>
        </w:rPr>
        <w:t>Natrium</w:t>
      </w:r>
    </w:p>
    <w:p w:rsidR="000F74A7" w:rsidRDefault="000F74A7" w:rsidP="000F74A7">
      <w:pPr>
        <w:ind w:left="851"/>
        <w:rPr>
          <w:sz w:val="24"/>
          <w:szCs w:val="24"/>
          <w:lang w:val="hu-HU" w:eastAsia="hu-HU"/>
        </w:rPr>
      </w:pPr>
      <w:r>
        <w:rPr>
          <w:sz w:val="24"/>
          <w:szCs w:val="24"/>
          <w:lang w:val="hu-HU" w:eastAsia="hu-HU"/>
        </w:rPr>
        <w:t>Dette lægemiddel indeholder mindre end 1 mmol (23 mg) natrium pr. tablet, dvs. det er i det væsentlige natriumfrit.</w:t>
      </w:r>
    </w:p>
    <w:p w:rsidR="00D44CDE" w:rsidRPr="008E114A" w:rsidRDefault="00D44CDE" w:rsidP="00D44CDE">
      <w:pPr>
        <w:ind w:left="851"/>
        <w:rPr>
          <w:sz w:val="24"/>
          <w:szCs w:val="24"/>
          <w:lang w:val="hu-HU" w:eastAsia="hu-HU"/>
        </w:rPr>
      </w:pPr>
    </w:p>
    <w:p w:rsidR="00D44CDE" w:rsidRPr="008E114A" w:rsidRDefault="00D44CDE" w:rsidP="00D44CDE">
      <w:pPr>
        <w:tabs>
          <w:tab w:val="left" w:pos="851"/>
        </w:tabs>
        <w:ind w:left="851" w:hanging="851"/>
        <w:rPr>
          <w:b/>
          <w:sz w:val="24"/>
          <w:szCs w:val="24"/>
        </w:rPr>
      </w:pPr>
      <w:r w:rsidRPr="008E114A">
        <w:rPr>
          <w:b/>
          <w:sz w:val="24"/>
          <w:szCs w:val="24"/>
        </w:rPr>
        <w:lastRenderedPageBreak/>
        <w:t>4.5</w:t>
      </w:r>
      <w:r w:rsidRPr="008E114A">
        <w:rPr>
          <w:b/>
          <w:sz w:val="24"/>
          <w:szCs w:val="24"/>
        </w:rPr>
        <w:tab/>
        <w:t>Interaktion med andre lægemidler og andre former for interaktion</w:t>
      </w:r>
    </w:p>
    <w:p w:rsidR="000F74A7" w:rsidRDefault="000F74A7" w:rsidP="00D44CDE">
      <w:pPr>
        <w:autoSpaceDE w:val="0"/>
        <w:autoSpaceDN w:val="0"/>
        <w:adjustRightInd w:val="0"/>
        <w:ind w:left="851"/>
        <w:rPr>
          <w:b/>
          <w:sz w:val="24"/>
          <w:szCs w:val="24"/>
          <w:lang w:val="hu-HU" w:eastAsia="hu-HU"/>
        </w:rPr>
      </w:pPr>
    </w:p>
    <w:p w:rsidR="00D44CDE" w:rsidRPr="000F74A7" w:rsidRDefault="00D44CDE" w:rsidP="00D44CDE">
      <w:pPr>
        <w:autoSpaceDE w:val="0"/>
        <w:autoSpaceDN w:val="0"/>
        <w:adjustRightInd w:val="0"/>
        <w:ind w:left="851"/>
        <w:rPr>
          <w:bCs/>
          <w:sz w:val="24"/>
          <w:szCs w:val="24"/>
          <w:u w:val="single"/>
          <w:lang w:val="hu-HU" w:eastAsia="hu-HU"/>
        </w:rPr>
      </w:pPr>
      <w:r w:rsidRPr="000F74A7">
        <w:rPr>
          <w:sz w:val="24"/>
          <w:szCs w:val="24"/>
          <w:u w:val="single"/>
          <w:lang w:val="hu-HU" w:eastAsia="hu-HU"/>
        </w:rPr>
        <w:t>Farmakodynamiske interaktioner</w:t>
      </w:r>
    </w:p>
    <w:p w:rsidR="000F74A7" w:rsidRDefault="000F74A7" w:rsidP="00D44CDE">
      <w:pPr>
        <w:autoSpaceDE w:val="0"/>
        <w:autoSpaceDN w:val="0"/>
        <w:adjustRightInd w:val="0"/>
        <w:ind w:left="851"/>
        <w:rPr>
          <w:sz w:val="24"/>
          <w:szCs w:val="24"/>
          <w:u w:val="single"/>
          <w:lang w:val="hu-HU" w:eastAsia="hu-HU"/>
        </w:rPr>
      </w:pPr>
    </w:p>
    <w:p w:rsidR="00D44CDE" w:rsidRPr="000F74A7" w:rsidRDefault="00D44CDE" w:rsidP="00D44CDE">
      <w:pPr>
        <w:autoSpaceDE w:val="0"/>
        <w:autoSpaceDN w:val="0"/>
        <w:adjustRightInd w:val="0"/>
        <w:ind w:left="851"/>
        <w:rPr>
          <w:i/>
          <w:sz w:val="24"/>
          <w:szCs w:val="24"/>
          <w:lang w:val="hu-HU" w:eastAsia="hu-HU"/>
        </w:rPr>
      </w:pPr>
      <w:r w:rsidRPr="000F74A7">
        <w:rPr>
          <w:i/>
          <w:sz w:val="24"/>
          <w:szCs w:val="24"/>
          <w:lang w:val="hu-HU" w:eastAsia="hu-HU"/>
        </w:rPr>
        <w:t>Kaliumbesparende diuretika og kaliumtilskud</w:t>
      </w:r>
    </w:p>
    <w:p w:rsidR="00D44CDE" w:rsidRDefault="00D44CDE" w:rsidP="00D44CDE">
      <w:pPr>
        <w:autoSpaceDE w:val="0"/>
        <w:autoSpaceDN w:val="0"/>
        <w:adjustRightInd w:val="0"/>
        <w:ind w:left="851"/>
        <w:rPr>
          <w:sz w:val="24"/>
          <w:szCs w:val="24"/>
          <w:lang w:val="hu-HU" w:eastAsia="hu-HU"/>
        </w:rPr>
      </w:pPr>
      <w:r>
        <w:rPr>
          <w:sz w:val="24"/>
          <w:szCs w:val="24"/>
          <w:lang w:val="hu-HU" w:eastAsia="hu-HU"/>
        </w:rPr>
        <w:t>På grund af øget risiko for hyperkaliæmi må eplerenon ikke anvendes hos patienter, der samtidig får andre kaliumbesparende diuretika og kaliumtilskud (se pkt. 4.3). Kaliumbesparende diuretika kan også forstærke virkningen af antihypertensiva og andre diuretika.</w:t>
      </w:r>
    </w:p>
    <w:p w:rsidR="00D44CDE" w:rsidRDefault="00D44CDE" w:rsidP="00D44CDE">
      <w:pPr>
        <w:autoSpaceDE w:val="0"/>
        <w:autoSpaceDN w:val="0"/>
        <w:adjustRightInd w:val="0"/>
        <w:ind w:left="851"/>
        <w:rPr>
          <w:sz w:val="24"/>
          <w:szCs w:val="24"/>
          <w:lang w:val="hu-HU" w:eastAsia="hu-HU"/>
        </w:rPr>
      </w:pPr>
    </w:p>
    <w:p w:rsidR="000F74A7" w:rsidRPr="000F74A7" w:rsidRDefault="00D44CDE" w:rsidP="00D44CDE">
      <w:pPr>
        <w:autoSpaceDE w:val="0"/>
        <w:autoSpaceDN w:val="0"/>
        <w:adjustRightInd w:val="0"/>
        <w:ind w:left="851"/>
        <w:rPr>
          <w:i/>
          <w:sz w:val="24"/>
          <w:szCs w:val="24"/>
          <w:lang w:val="hu-HU" w:eastAsia="hu-HU"/>
        </w:rPr>
      </w:pPr>
      <w:r w:rsidRPr="000F74A7">
        <w:rPr>
          <w:i/>
          <w:sz w:val="24"/>
          <w:szCs w:val="24"/>
          <w:lang w:val="hu-HU" w:eastAsia="hu-HU"/>
        </w:rPr>
        <w:t>ACE-hæmmere, angiotensinreceptorblokkere (ARB)</w:t>
      </w:r>
    </w:p>
    <w:p w:rsidR="00D44CDE" w:rsidRDefault="00D44CDE" w:rsidP="00D44CDE">
      <w:pPr>
        <w:autoSpaceDE w:val="0"/>
        <w:autoSpaceDN w:val="0"/>
        <w:adjustRightInd w:val="0"/>
        <w:ind w:left="851"/>
        <w:rPr>
          <w:sz w:val="24"/>
          <w:szCs w:val="24"/>
          <w:lang w:val="hu-HU" w:eastAsia="hu-HU"/>
        </w:rPr>
      </w:pPr>
      <w:r>
        <w:rPr>
          <w:sz w:val="24"/>
          <w:szCs w:val="24"/>
          <w:lang w:val="hu-HU" w:eastAsia="hu-HU"/>
        </w:rPr>
        <w:t>Risikoen for hyperkaliæmi kan øges, når eplerenon anvendes i kombination med en angiotensinkonverterende enzymhæmmer (ACE-hæmmer) og/eller en angiotensinreceptorblokker (ARB). En tæt monitorering af serumkalium og nyrefunktionen anbefales, specielt hos patienter med risiko for nedsat nyrefunktion, f.eks. ældre. Triple-kombination af en angiotensinkonverterende enzymhæmmer (ACE-hæmmer) og en angiotensinreceptorblokker (ARB) med eplerenon bør undgås (se pkt. 4.3 og 4.4).</w:t>
      </w:r>
    </w:p>
    <w:p w:rsidR="00D44CDE" w:rsidRPr="008E114A" w:rsidRDefault="00D44CDE" w:rsidP="00D44CDE">
      <w:pPr>
        <w:autoSpaceDE w:val="0"/>
        <w:autoSpaceDN w:val="0"/>
        <w:adjustRightInd w:val="0"/>
        <w:ind w:left="851"/>
        <w:rPr>
          <w:sz w:val="24"/>
          <w:szCs w:val="24"/>
          <w:lang w:val="hu-HU" w:eastAsia="hu-HU"/>
        </w:rPr>
      </w:pPr>
    </w:p>
    <w:p w:rsidR="00D44CDE" w:rsidRDefault="00D44CDE" w:rsidP="00D44CDE">
      <w:pPr>
        <w:autoSpaceDE w:val="0"/>
        <w:autoSpaceDN w:val="0"/>
        <w:adjustRightInd w:val="0"/>
        <w:ind w:left="851"/>
        <w:rPr>
          <w:sz w:val="24"/>
          <w:szCs w:val="24"/>
          <w:u w:val="single"/>
          <w:lang w:val="hu-HU" w:eastAsia="hu-HU"/>
        </w:rPr>
      </w:pPr>
      <w:r w:rsidRPr="000F74A7">
        <w:rPr>
          <w:i/>
          <w:sz w:val="24"/>
          <w:szCs w:val="24"/>
          <w:lang w:val="hu-HU" w:eastAsia="hu-HU"/>
        </w:rPr>
        <w:t>Lithium</w:t>
      </w:r>
    </w:p>
    <w:p w:rsidR="00D44CDE" w:rsidRDefault="00D44CDE" w:rsidP="00D44CDE">
      <w:pPr>
        <w:autoSpaceDE w:val="0"/>
        <w:autoSpaceDN w:val="0"/>
        <w:adjustRightInd w:val="0"/>
        <w:ind w:left="851"/>
        <w:rPr>
          <w:sz w:val="24"/>
          <w:szCs w:val="24"/>
          <w:lang w:val="hu-HU" w:eastAsia="hu-HU"/>
        </w:rPr>
      </w:pPr>
      <w:r>
        <w:rPr>
          <w:sz w:val="24"/>
          <w:szCs w:val="24"/>
          <w:lang w:val="hu-HU" w:eastAsia="hu-HU"/>
        </w:rPr>
        <w:t>Der er ikke udført interaktionsstudier med eplerenon og lithium. Der er imidlertid set lithium-toksicitet hos patienter, der anvender lithium samtidig med diuretika og angiotensin-konverterende enzym (ACE)-hæmmere (se pkt. 4.4). Samtidig anvendelse af eplerenon og lithium bør undgås. Hvis denne kombination er nødvendig, bør lithiumplasmakoncentrationerne monitoreres (se pkt. 4.4).</w:t>
      </w:r>
    </w:p>
    <w:p w:rsidR="00D44CDE" w:rsidRDefault="00D44CDE" w:rsidP="00D44CDE">
      <w:pPr>
        <w:autoSpaceDE w:val="0"/>
        <w:autoSpaceDN w:val="0"/>
        <w:adjustRightInd w:val="0"/>
        <w:ind w:left="851"/>
        <w:rPr>
          <w:sz w:val="24"/>
          <w:szCs w:val="24"/>
          <w:lang w:val="hu-HU" w:eastAsia="hu-HU"/>
        </w:rPr>
      </w:pPr>
    </w:p>
    <w:p w:rsidR="00D44CDE" w:rsidRPr="000F74A7" w:rsidRDefault="00D44CDE" w:rsidP="00D44CDE">
      <w:pPr>
        <w:autoSpaceDE w:val="0"/>
        <w:autoSpaceDN w:val="0"/>
        <w:adjustRightInd w:val="0"/>
        <w:ind w:left="851"/>
        <w:rPr>
          <w:i/>
          <w:sz w:val="24"/>
          <w:szCs w:val="24"/>
          <w:lang w:val="hu-HU" w:eastAsia="hu-HU"/>
        </w:rPr>
      </w:pPr>
      <w:r w:rsidRPr="000F74A7">
        <w:rPr>
          <w:i/>
          <w:sz w:val="24"/>
          <w:szCs w:val="24"/>
          <w:lang w:val="hu-HU" w:eastAsia="hu-HU"/>
        </w:rPr>
        <w:t>Ciclosporin, tacrolimus</w:t>
      </w:r>
    </w:p>
    <w:p w:rsidR="00D44CDE" w:rsidRDefault="00D44CDE" w:rsidP="00D44CDE">
      <w:pPr>
        <w:autoSpaceDE w:val="0"/>
        <w:autoSpaceDN w:val="0"/>
        <w:adjustRightInd w:val="0"/>
        <w:ind w:left="851"/>
        <w:rPr>
          <w:sz w:val="24"/>
          <w:szCs w:val="24"/>
          <w:lang w:val="hu-HU" w:eastAsia="hu-HU"/>
        </w:rPr>
      </w:pPr>
      <w:r>
        <w:rPr>
          <w:sz w:val="24"/>
          <w:szCs w:val="24"/>
          <w:lang w:val="hu-HU" w:eastAsia="hu-HU"/>
        </w:rPr>
        <w:t>Ciclosporin og tacrolimus kan føre til nedsat nyrefunktion og øget risiko for hyperkaliæmi. Samtidig anvendelse af eplerenon og ciclosporin eller tacrolimus bør undgås. Hvis ciclosporin og tacrolimus er nødvendig under eplerenon-behandling, anbefales tæt monitorering af serum-kalium og nyrefunktionen (se pkt. 4.4).</w:t>
      </w:r>
    </w:p>
    <w:p w:rsidR="00D44CDE" w:rsidRPr="008E114A" w:rsidRDefault="00D44CDE" w:rsidP="00D44CDE">
      <w:pPr>
        <w:autoSpaceDE w:val="0"/>
        <w:autoSpaceDN w:val="0"/>
        <w:adjustRightInd w:val="0"/>
        <w:ind w:left="851"/>
        <w:rPr>
          <w:sz w:val="24"/>
          <w:szCs w:val="24"/>
          <w:lang w:val="hu-HU" w:eastAsia="hu-HU"/>
        </w:rPr>
      </w:pPr>
    </w:p>
    <w:p w:rsidR="000F74A7" w:rsidRDefault="000F74A7" w:rsidP="000F74A7">
      <w:pPr>
        <w:autoSpaceDE w:val="0"/>
        <w:autoSpaceDN w:val="0"/>
        <w:adjustRightInd w:val="0"/>
        <w:ind w:left="851"/>
        <w:rPr>
          <w:i/>
          <w:iCs/>
          <w:sz w:val="24"/>
          <w:szCs w:val="24"/>
          <w:lang w:val="hu-HU" w:eastAsia="hu-HU"/>
        </w:rPr>
      </w:pPr>
      <w:r>
        <w:rPr>
          <w:i/>
          <w:iCs/>
          <w:sz w:val="24"/>
          <w:szCs w:val="24"/>
          <w:lang w:val="hu-HU" w:eastAsia="hu-HU"/>
        </w:rPr>
        <w:t>Nonsteroide antiinflammatoriske midler (NSAID)</w:t>
      </w:r>
    </w:p>
    <w:p w:rsidR="000F74A7" w:rsidRDefault="000F74A7" w:rsidP="000F74A7">
      <w:pPr>
        <w:autoSpaceDE w:val="0"/>
        <w:autoSpaceDN w:val="0"/>
        <w:adjustRightInd w:val="0"/>
        <w:ind w:left="851"/>
        <w:rPr>
          <w:sz w:val="24"/>
          <w:szCs w:val="24"/>
          <w:lang w:val="hu-HU" w:eastAsia="hu-HU"/>
        </w:rPr>
      </w:pPr>
      <w:r>
        <w:rPr>
          <w:sz w:val="24"/>
          <w:szCs w:val="24"/>
          <w:lang w:val="hu-HU" w:eastAsia="hu-HU"/>
        </w:rPr>
        <w:t>Akut nyresvigt hos risikopatienter (ældre, dehydrerede patienter, der bruger diuretika med nedsat nyrefunktion) på grund af glomerulære filtration (hæmning af vasodilaterende prostaglandiner, forårsaget af non-steroid anti-inflamatoriske lægemidler). Disse effekter er generelt reversible. Ydermere, kan der være en reduktion af  den antihypertensive effekt. Hydrer patienten og monitorer nyrefunktionen i begyndelsen af behandlingen og regelmæssigt under kombinationen (se pkt.4.2 og 4.4).</w:t>
      </w:r>
    </w:p>
    <w:p w:rsidR="000F74A7" w:rsidRDefault="000F74A7" w:rsidP="000F74A7">
      <w:pPr>
        <w:autoSpaceDE w:val="0"/>
        <w:autoSpaceDN w:val="0"/>
        <w:adjustRightInd w:val="0"/>
        <w:ind w:left="851"/>
        <w:rPr>
          <w:i/>
          <w:iCs/>
          <w:sz w:val="24"/>
          <w:szCs w:val="24"/>
          <w:lang w:val="hu-HU" w:eastAsia="hu-HU"/>
        </w:rPr>
      </w:pPr>
    </w:p>
    <w:p w:rsidR="000F74A7" w:rsidRDefault="000F74A7" w:rsidP="000F74A7">
      <w:pPr>
        <w:autoSpaceDE w:val="0"/>
        <w:autoSpaceDN w:val="0"/>
        <w:adjustRightInd w:val="0"/>
        <w:ind w:left="851"/>
        <w:rPr>
          <w:i/>
          <w:iCs/>
          <w:sz w:val="24"/>
          <w:szCs w:val="24"/>
          <w:lang w:val="hu-HU" w:eastAsia="hu-HU"/>
        </w:rPr>
      </w:pPr>
      <w:r>
        <w:rPr>
          <w:i/>
          <w:iCs/>
          <w:sz w:val="24"/>
          <w:szCs w:val="24"/>
          <w:lang w:val="hu-HU" w:eastAsia="hu-HU"/>
        </w:rPr>
        <w:t>Trimethoprim</w:t>
      </w:r>
    </w:p>
    <w:p w:rsidR="00D44CDE" w:rsidRDefault="00D44CDE" w:rsidP="00D44CDE">
      <w:pPr>
        <w:autoSpaceDE w:val="0"/>
        <w:autoSpaceDN w:val="0"/>
        <w:adjustRightInd w:val="0"/>
        <w:ind w:left="851"/>
        <w:rPr>
          <w:sz w:val="24"/>
          <w:szCs w:val="24"/>
          <w:lang w:val="hu-HU" w:eastAsia="hu-HU"/>
        </w:rPr>
      </w:pPr>
      <w:r>
        <w:rPr>
          <w:sz w:val="24"/>
          <w:szCs w:val="24"/>
          <w:lang w:val="hu-HU" w:eastAsia="hu-HU"/>
        </w:rPr>
        <w:t>Samtidig anvendelse af eplerenon og trimethoprim øger risikoen for hyperkaliæmi. Serum-kalium og nyrefunktionen bør monitoreres, især hos patienter med nedsat nyrefunktion og hos ældre.</w:t>
      </w:r>
    </w:p>
    <w:p w:rsidR="00D44CDE" w:rsidRDefault="00D44CDE" w:rsidP="00D44CDE">
      <w:pPr>
        <w:autoSpaceDE w:val="0"/>
        <w:autoSpaceDN w:val="0"/>
        <w:adjustRightInd w:val="0"/>
        <w:ind w:left="851"/>
        <w:rPr>
          <w:sz w:val="24"/>
          <w:szCs w:val="24"/>
          <w:lang w:val="hu-HU" w:eastAsia="hu-HU"/>
        </w:rPr>
      </w:pPr>
    </w:p>
    <w:p w:rsidR="00D44CDE" w:rsidRPr="000F74A7" w:rsidRDefault="00D44CDE" w:rsidP="00D44CDE">
      <w:pPr>
        <w:autoSpaceDE w:val="0"/>
        <w:autoSpaceDN w:val="0"/>
        <w:adjustRightInd w:val="0"/>
        <w:ind w:left="851"/>
        <w:rPr>
          <w:i/>
          <w:sz w:val="24"/>
          <w:szCs w:val="24"/>
          <w:lang w:val="hu-HU" w:eastAsia="hu-HU"/>
        </w:rPr>
      </w:pPr>
      <w:r w:rsidRPr="000F74A7">
        <w:rPr>
          <w:i/>
          <w:sz w:val="24"/>
          <w:szCs w:val="24"/>
          <w:lang w:val="hu-HU" w:eastAsia="hu-HU"/>
        </w:rPr>
        <w:t>Alfa-1-blokkere (f.eks. prazosin, alfuzosin)</w:t>
      </w:r>
    </w:p>
    <w:p w:rsidR="00D44CDE" w:rsidRDefault="00D44CDE" w:rsidP="00D44CDE">
      <w:pPr>
        <w:autoSpaceDE w:val="0"/>
        <w:autoSpaceDN w:val="0"/>
        <w:adjustRightInd w:val="0"/>
        <w:ind w:left="851"/>
        <w:rPr>
          <w:sz w:val="24"/>
          <w:szCs w:val="24"/>
          <w:lang w:val="hu-HU" w:eastAsia="hu-HU"/>
        </w:rPr>
      </w:pPr>
      <w:r>
        <w:rPr>
          <w:sz w:val="24"/>
          <w:szCs w:val="24"/>
          <w:lang w:val="hu-HU" w:eastAsia="hu-HU"/>
        </w:rPr>
        <w:t>Når alfa-1-blokkere kombineres med eplerenon er der mulighed for øget hypotensiv virkning og/eller postural hypotension. Klinisk monitorering for postural hypotension anbefales under samtidig behandling med alfa-1-blokkere.</w:t>
      </w:r>
    </w:p>
    <w:p w:rsidR="00D44CDE" w:rsidRDefault="00D44CDE" w:rsidP="00D44CDE">
      <w:pPr>
        <w:autoSpaceDE w:val="0"/>
        <w:autoSpaceDN w:val="0"/>
        <w:adjustRightInd w:val="0"/>
        <w:ind w:left="851"/>
        <w:rPr>
          <w:sz w:val="24"/>
          <w:szCs w:val="24"/>
          <w:lang w:val="hu-HU" w:eastAsia="hu-HU"/>
        </w:rPr>
      </w:pPr>
    </w:p>
    <w:p w:rsidR="00D44CDE" w:rsidRPr="000F74A7" w:rsidRDefault="00D44CDE" w:rsidP="00512097">
      <w:pPr>
        <w:keepNext/>
        <w:autoSpaceDE w:val="0"/>
        <w:autoSpaceDN w:val="0"/>
        <w:adjustRightInd w:val="0"/>
        <w:ind w:left="851"/>
        <w:rPr>
          <w:i/>
          <w:sz w:val="24"/>
          <w:szCs w:val="24"/>
          <w:lang w:val="hu-HU" w:eastAsia="hu-HU"/>
        </w:rPr>
      </w:pPr>
      <w:r w:rsidRPr="000F74A7">
        <w:rPr>
          <w:i/>
          <w:sz w:val="24"/>
          <w:szCs w:val="24"/>
          <w:lang w:val="hu-HU" w:eastAsia="hu-HU"/>
        </w:rPr>
        <w:lastRenderedPageBreak/>
        <w:t>Tricykliske antidepressiva, neuroleptika, amifostin, baclofen</w:t>
      </w:r>
    </w:p>
    <w:p w:rsidR="00D44CDE" w:rsidRPr="008E114A" w:rsidRDefault="00D44CDE" w:rsidP="00D44CDE">
      <w:pPr>
        <w:autoSpaceDE w:val="0"/>
        <w:autoSpaceDN w:val="0"/>
        <w:adjustRightInd w:val="0"/>
        <w:ind w:left="851"/>
        <w:rPr>
          <w:sz w:val="24"/>
          <w:szCs w:val="24"/>
          <w:lang w:val="hu-HU" w:eastAsia="hu-HU"/>
        </w:rPr>
      </w:pPr>
      <w:r w:rsidRPr="008E114A">
        <w:rPr>
          <w:sz w:val="24"/>
          <w:szCs w:val="24"/>
          <w:lang w:val="hu-HU" w:eastAsia="hu-HU"/>
        </w:rPr>
        <w:t xml:space="preserve">Samtidig anvendelse af eplerenon og disse lægemidler kan muligvis øge de antihypertensive virkninger og risikoen for postural hypotension. </w:t>
      </w:r>
    </w:p>
    <w:p w:rsidR="00D44CDE" w:rsidRPr="008E114A" w:rsidRDefault="00D44CDE" w:rsidP="00D44CDE">
      <w:pPr>
        <w:autoSpaceDE w:val="0"/>
        <w:autoSpaceDN w:val="0"/>
        <w:adjustRightInd w:val="0"/>
        <w:ind w:left="851"/>
        <w:rPr>
          <w:sz w:val="24"/>
          <w:szCs w:val="24"/>
          <w:lang w:val="hu-HU" w:eastAsia="hu-HU"/>
        </w:rPr>
      </w:pPr>
    </w:p>
    <w:p w:rsidR="00D44CDE" w:rsidRPr="000F74A7" w:rsidRDefault="00D44CDE" w:rsidP="00D44CDE">
      <w:pPr>
        <w:autoSpaceDE w:val="0"/>
        <w:autoSpaceDN w:val="0"/>
        <w:adjustRightInd w:val="0"/>
        <w:ind w:left="851"/>
        <w:rPr>
          <w:i/>
          <w:sz w:val="24"/>
          <w:szCs w:val="24"/>
          <w:lang w:val="hu-HU" w:eastAsia="hu-HU"/>
        </w:rPr>
      </w:pPr>
      <w:r w:rsidRPr="000F74A7">
        <w:rPr>
          <w:i/>
          <w:sz w:val="24"/>
          <w:szCs w:val="24"/>
          <w:lang w:val="hu-HU" w:eastAsia="hu-HU"/>
        </w:rPr>
        <w:t>Glucokorticoider, tetracosactid</w:t>
      </w:r>
    </w:p>
    <w:p w:rsidR="00D44CDE" w:rsidRPr="008E114A" w:rsidRDefault="00D44CDE" w:rsidP="00D44CDE">
      <w:pPr>
        <w:autoSpaceDE w:val="0"/>
        <w:autoSpaceDN w:val="0"/>
        <w:adjustRightInd w:val="0"/>
        <w:ind w:left="851"/>
        <w:rPr>
          <w:sz w:val="24"/>
          <w:szCs w:val="24"/>
          <w:lang w:val="hu-HU" w:eastAsia="hu-HU"/>
        </w:rPr>
      </w:pPr>
      <w:r w:rsidRPr="008E114A">
        <w:rPr>
          <w:sz w:val="24"/>
          <w:szCs w:val="24"/>
          <w:lang w:val="hu-HU" w:eastAsia="hu-HU"/>
        </w:rPr>
        <w:t xml:space="preserve">Samtidig anvendelse af eplerenon og disse lægemidler kan muligvis nedsætte de antihypertensive virkninger (natrium- og væskeretension). </w:t>
      </w:r>
    </w:p>
    <w:p w:rsidR="00D44CDE" w:rsidRPr="008E114A" w:rsidRDefault="00D44CDE" w:rsidP="00D44CDE">
      <w:pPr>
        <w:autoSpaceDE w:val="0"/>
        <w:autoSpaceDN w:val="0"/>
        <w:adjustRightInd w:val="0"/>
        <w:ind w:left="851"/>
        <w:rPr>
          <w:sz w:val="24"/>
          <w:szCs w:val="24"/>
          <w:lang w:val="hu-HU" w:eastAsia="hu-HU"/>
        </w:rPr>
      </w:pPr>
    </w:p>
    <w:p w:rsidR="00D44CDE" w:rsidRPr="000F74A7" w:rsidRDefault="00D44CDE" w:rsidP="00D44CDE">
      <w:pPr>
        <w:autoSpaceDE w:val="0"/>
        <w:autoSpaceDN w:val="0"/>
        <w:adjustRightInd w:val="0"/>
        <w:ind w:left="851"/>
        <w:rPr>
          <w:bCs/>
          <w:sz w:val="24"/>
          <w:szCs w:val="24"/>
          <w:u w:val="single"/>
          <w:lang w:val="hu-HU" w:eastAsia="hu-HU"/>
        </w:rPr>
      </w:pPr>
      <w:r w:rsidRPr="000F74A7">
        <w:rPr>
          <w:sz w:val="24"/>
          <w:szCs w:val="24"/>
          <w:u w:val="single"/>
          <w:lang w:val="hu-HU" w:eastAsia="hu-HU"/>
        </w:rPr>
        <w:t>Farmakokinetiske interaktioner</w:t>
      </w:r>
    </w:p>
    <w:p w:rsidR="00D44CDE" w:rsidRPr="008E114A" w:rsidRDefault="00D44CDE" w:rsidP="00D44CDE">
      <w:pPr>
        <w:autoSpaceDE w:val="0"/>
        <w:autoSpaceDN w:val="0"/>
        <w:adjustRightInd w:val="0"/>
        <w:ind w:left="851"/>
        <w:rPr>
          <w:sz w:val="24"/>
          <w:szCs w:val="24"/>
          <w:lang w:val="hu-HU" w:eastAsia="hu-HU"/>
        </w:rPr>
      </w:pPr>
      <w:r w:rsidRPr="008E114A">
        <w:rPr>
          <w:i/>
          <w:sz w:val="24"/>
          <w:szCs w:val="24"/>
          <w:lang w:val="hu-HU" w:eastAsia="hu-HU"/>
        </w:rPr>
        <w:t>In-vitro</w:t>
      </w:r>
      <w:r w:rsidRPr="008E114A">
        <w:rPr>
          <w:sz w:val="24"/>
          <w:szCs w:val="24"/>
          <w:lang w:val="hu-HU" w:eastAsia="hu-HU"/>
        </w:rPr>
        <w:t xml:space="preserve"> studier tyder på, at eplerenon ikke er en hæmmer af CYP1A2, CYP2C19, CYP2C9, CYP2D6 eller CYP3A4 isoenzymer. Eplerenon er ikke et substrat eller en hæmmer af P-Glycoprotein.</w:t>
      </w:r>
    </w:p>
    <w:p w:rsidR="00D44CDE" w:rsidRPr="008E114A" w:rsidRDefault="00D44CDE" w:rsidP="00D44CDE">
      <w:pPr>
        <w:autoSpaceDE w:val="0"/>
        <w:autoSpaceDN w:val="0"/>
        <w:adjustRightInd w:val="0"/>
        <w:ind w:left="851"/>
        <w:rPr>
          <w:sz w:val="24"/>
          <w:szCs w:val="24"/>
          <w:lang w:val="hu-HU" w:eastAsia="hu-HU"/>
        </w:rPr>
      </w:pPr>
    </w:p>
    <w:p w:rsidR="00D44CDE" w:rsidRDefault="00D44CDE" w:rsidP="00D44CDE">
      <w:pPr>
        <w:autoSpaceDE w:val="0"/>
        <w:autoSpaceDN w:val="0"/>
        <w:adjustRightInd w:val="0"/>
        <w:ind w:left="851"/>
        <w:rPr>
          <w:sz w:val="24"/>
          <w:szCs w:val="24"/>
          <w:u w:val="single"/>
          <w:lang w:val="hu-HU" w:eastAsia="hu-HU"/>
        </w:rPr>
      </w:pPr>
      <w:r w:rsidRPr="000F74A7">
        <w:rPr>
          <w:i/>
          <w:sz w:val="24"/>
          <w:szCs w:val="24"/>
          <w:lang w:val="hu-HU" w:eastAsia="hu-HU"/>
        </w:rPr>
        <w:t>Digoxin</w:t>
      </w:r>
    </w:p>
    <w:p w:rsidR="00D44CDE" w:rsidRDefault="00D44CDE" w:rsidP="00D44CDE">
      <w:pPr>
        <w:autoSpaceDE w:val="0"/>
        <w:autoSpaceDN w:val="0"/>
        <w:adjustRightInd w:val="0"/>
        <w:ind w:left="851"/>
        <w:rPr>
          <w:sz w:val="24"/>
          <w:szCs w:val="24"/>
          <w:lang w:val="hu-HU" w:eastAsia="hu-HU"/>
        </w:rPr>
      </w:pPr>
      <w:r>
        <w:rPr>
          <w:sz w:val="24"/>
          <w:szCs w:val="24"/>
          <w:lang w:val="hu-HU" w:eastAsia="hu-HU"/>
        </w:rPr>
        <w:t>Mens en statistisk signifikant øgning på 16 % i AUC0-24 blev observeret med digoxin 200 mcg og eplerenon 100 mg en gang daglig i et farmakokinetisk studie med raske frivillige, blev denne øgning ikke ledsaget af klinisk påvisning af digoxin toksicitet. Forsigtighed tilrådes når digoxin anvendes i doser nær den øvre grænse af det terapeutiske område.</w:t>
      </w:r>
    </w:p>
    <w:p w:rsidR="00D44CDE" w:rsidRDefault="00D44CDE" w:rsidP="00D44CDE">
      <w:pPr>
        <w:autoSpaceDE w:val="0"/>
        <w:autoSpaceDN w:val="0"/>
        <w:adjustRightInd w:val="0"/>
        <w:ind w:left="851"/>
        <w:rPr>
          <w:sz w:val="24"/>
          <w:szCs w:val="24"/>
          <w:lang w:val="hu-HU" w:eastAsia="hu-HU"/>
        </w:rPr>
      </w:pPr>
    </w:p>
    <w:p w:rsidR="00D44CDE" w:rsidRDefault="00D44CDE" w:rsidP="00D44CDE">
      <w:pPr>
        <w:tabs>
          <w:tab w:val="left" w:pos="567"/>
        </w:tabs>
        <w:ind w:left="851"/>
        <w:rPr>
          <w:sz w:val="24"/>
          <w:szCs w:val="24"/>
          <w:u w:val="single"/>
          <w:lang w:val="hu-HU" w:eastAsia="hu-HU"/>
        </w:rPr>
      </w:pPr>
      <w:r w:rsidRPr="000F74A7">
        <w:rPr>
          <w:i/>
          <w:sz w:val="24"/>
          <w:szCs w:val="24"/>
          <w:lang w:val="hu-HU" w:eastAsia="hu-HU"/>
        </w:rPr>
        <w:t>Warfarin</w:t>
      </w:r>
    </w:p>
    <w:p w:rsidR="00D44CDE" w:rsidRDefault="00D44CDE" w:rsidP="00D44CDE">
      <w:pPr>
        <w:tabs>
          <w:tab w:val="left" w:pos="567"/>
        </w:tabs>
        <w:ind w:left="851"/>
        <w:rPr>
          <w:sz w:val="24"/>
          <w:szCs w:val="24"/>
          <w:lang w:val="hu-HU" w:eastAsia="hu-HU"/>
        </w:rPr>
      </w:pPr>
      <w:r>
        <w:rPr>
          <w:sz w:val="24"/>
          <w:szCs w:val="24"/>
          <w:lang w:val="hu-HU" w:eastAsia="hu-HU"/>
        </w:rPr>
        <w:t>Der er ikke set klinisk betydende farmakokinetisk interaktion med warfarin. Forsigtighed tilrådes når warfarin anvendes i doser nær den øvre grænse af det terapeutiske område.</w:t>
      </w:r>
    </w:p>
    <w:p w:rsidR="00D44CDE" w:rsidRDefault="00D44CDE" w:rsidP="00D44CDE">
      <w:pPr>
        <w:tabs>
          <w:tab w:val="left" w:pos="851"/>
        </w:tabs>
        <w:ind w:left="851"/>
        <w:rPr>
          <w:sz w:val="24"/>
          <w:szCs w:val="24"/>
          <w:lang w:val="hu-HU" w:eastAsia="hu-HU"/>
        </w:rPr>
      </w:pPr>
    </w:p>
    <w:p w:rsidR="00D44CDE" w:rsidRPr="000F74A7" w:rsidRDefault="00D44CDE" w:rsidP="00D44CDE">
      <w:pPr>
        <w:autoSpaceDE w:val="0"/>
        <w:autoSpaceDN w:val="0"/>
        <w:adjustRightInd w:val="0"/>
        <w:ind w:left="851"/>
        <w:rPr>
          <w:i/>
          <w:sz w:val="24"/>
          <w:szCs w:val="24"/>
          <w:lang w:val="hu-HU" w:eastAsia="hu-HU"/>
        </w:rPr>
      </w:pPr>
      <w:r w:rsidRPr="000F74A7">
        <w:rPr>
          <w:i/>
          <w:sz w:val="24"/>
          <w:szCs w:val="24"/>
          <w:lang w:val="hu-HU" w:eastAsia="hu-HU"/>
        </w:rPr>
        <w:t>CYP3A4-substrater</w:t>
      </w:r>
    </w:p>
    <w:p w:rsidR="00D44CDE" w:rsidRDefault="00D44CDE" w:rsidP="00D44CDE">
      <w:pPr>
        <w:autoSpaceDE w:val="0"/>
        <w:autoSpaceDN w:val="0"/>
        <w:adjustRightInd w:val="0"/>
        <w:ind w:left="851"/>
        <w:rPr>
          <w:sz w:val="24"/>
          <w:szCs w:val="24"/>
          <w:lang w:val="hu-HU" w:eastAsia="hu-HU"/>
        </w:rPr>
      </w:pPr>
      <w:r>
        <w:rPr>
          <w:sz w:val="24"/>
          <w:szCs w:val="24"/>
          <w:lang w:val="hu-HU" w:eastAsia="hu-HU"/>
        </w:rPr>
        <w:t>Resultater af farmakokinetiske studier med CYP3A4-substrater, dvs. midazolam og cisaprid, viser ingen betydende farmakokinetiske interaktioner, når disse lægemidler anvendes samtidigt med eplerenon.</w:t>
      </w:r>
    </w:p>
    <w:p w:rsidR="00D44CDE" w:rsidRPr="008E114A" w:rsidRDefault="00D44CDE" w:rsidP="00D44CDE">
      <w:pPr>
        <w:tabs>
          <w:tab w:val="left" w:pos="851"/>
        </w:tabs>
        <w:ind w:left="851"/>
        <w:rPr>
          <w:sz w:val="24"/>
          <w:szCs w:val="24"/>
          <w:lang w:val="hu-HU" w:eastAsia="hu-HU"/>
        </w:rPr>
      </w:pPr>
    </w:p>
    <w:p w:rsidR="00D44CDE" w:rsidRPr="000F74A7" w:rsidRDefault="00D44CDE" w:rsidP="00D44CDE">
      <w:pPr>
        <w:tabs>
          <w:tab w:val="left" w:pos="567"/>
        </w:tabs>
        <w:ind w:left="851"/>
        <w:rPr>
          <w:i/>
          <w:sz w:val="24"/>
          <w:szCs w:val="24"/>
          <w:lang w:val="hu-HU" w:eastAsia="hu-HU"/>
        </w:rPr>
      </w:pPr>
      <w:r w:rsidRPr="000F74A7">
        <w:rPr>
          <w:i/>
          <w:sz w:val="24"/>
          <w:szCs w:val="24"/>
          <w:lang w:val="hu-HU" w:eastAsia="hu-HU"/>
        </w:rPr>
        <w:t>CYP3A4-hæmmere</w:t>
      </w:r>
    </w:p>
    <w:p w:rsidR="00D44CDE" w:rsidRPr="008E114A" w:rsidRDefault="00D44CDE" w:rsidP="00D44CDE">
      <w:pPr>
        <w:autoSpaceDE w:val="0"/>
        <w:autoSpaceDN w:val="0"/>
        <w:adjustRightInd w:val="0"/>
        <w:ind w:left="851"/>
        <w:rPr>
          <w:sz w:val="24"/>
          <w:szCs w:val="24"/>
          <w:lang w:val="hu-HU" w:eastAsia="hu-HU"/>
        </w:rPr>
      </w:pPr>
    </w:p>
    <w:p w:rsidR="00D44CDE" w:rsidRPr="000F74A7" w:rsidRDefault="00D44CDE" w:rsidP="00D44CDE">
      <w:pPr>
        <w:autoSpaceDE w:val="0"/>
        <w:autoSpaceDN w:val="0"/>
        <w:adjustRightInd w:val="0"/>
        <w:ind w:left="851"/>
        <w:rPr>
          <w:sz w:val="24"/>
          <w:szCs w:val="24"/>
          <w:lang w:val="hu-HU" w:eastAsia="hu-HU"/>
        </w:rPr>
      </w:pPr>
      <w:r w:rsidRPr="000F74A7">
        <w:rPr>
          <w:sz w:val="24"/>
          <w:szCs w:val="24"/>
          <w:lang w:val="hu-HU" w:eastAsia="hu-HU"/>
        </w:rPr>
        <w:t>Stærke CYP3A4-hæmmere</w:t>
      </w:r>
      <w:r w:rsidR="000F74A7">
        <w:rPr>
          <w:sz w:val="24"/>
          <w:szCs w:val="24"/>
          <w:lang w:val="hu-HU" w:eastAsia="hu-HU"/>
        </w:rPr>
        <w:t>:</w:t>
      </w:r>
    </w:p>
    <w:p w:rsidR="00D44CDE" w:rsidRPr="008E114A" w:rsidRDefault="00D44CDE" w:rsidP="00D44CDE">
      <w:pPr>
        <w:autoSpaceDE w:val="0"/>
        <w:autoSpaceDN w:val="0"/>
        <w:adjustRightInd w:val="0"/>
        <w:ind w:left="851"/>
        <w:rPr>
          <w:sz w:val="24"/>
          <w:szCs w:val="24"/>
          <w:lang w:val="hu-HU" w:eastAsia="hu-HU"/>
        </w:rPr>
      </w:pPr>
      <w:r w:rsidRPr="008E114A">
        <w:rPr>
          <w:sz w:val="24"/>
          <w:szCs w:val="24"/>
          <w:lang w:val="hu-HU" w:eastAsia="hu-HU"/>
        </w:rPr>
        <w:t xml:space="preserve">Betydende farmakokinetiske interaktioner kan opstå, når eplerenon anvendes samtidig med lægemidler, der hæmmer CYP3A4-enzymet. En stærk CYP3A4-hæmmer (ketoconazol 200 mg 2 gange daglig) førte til en stigning i AUC af eplerenon på 441 % (se pkt. 4.3). Samtidig anvendelse af eplerenon og stærke CYP3A4-hæmmere, som f.eks. ketokonazol, itraconazol, ritonavir, nelfinavir, clarithromycin, telithromycin og nefazadon er kontraindiceret (se pkt. 4.3). </w:t>
      </w:r>
    </w:p>
    <w:p w:rsidR="00D44CDE" w:rsidRPr="008E114A" w:rsidRDefault="00D44CDE" w:rsidP="00D44CDE">
      <w:pPr>
        <w:autoSpaceDE w:val="0"/>
        <w:autoSpaceDN w:val="0"/>
        <w:adjustRightInd w:val="0"/>
        <w:ind w:left="851"/>
        <w:rPr>
          <w:sz w:val="24"/>
          <w:szCs w:val="24"/>
          <w:lang w:val="hu-HU" w:eastAsia="hu-HU"/>
        </w:rPr>
      </w:pPr>
    </w:p>
    <w:p w:rsidR="00D44CDE" w:rsidRPr="000F74A7" w:rsidRDefault="00D44CDE" w:rsidP="00D44CDE">
      <w:pPr>
        <w:autoSpaceDE w:val="0"/>
        <w:autoSpaceDN w:val="0"/>
        <w:adjustRightInd w:val="0"/>
        <w:ind w:left="851"/>
        <w:rPr>
          <w:sz w:val="24"/>
          <w:szCs w:val="24"/>
          <w:lang w:val="hu-HU" w:eastAsia="hu-HU"/>
        </w:rPr>
      </w:pPr>
      <w:r w:rsidRPr="000F74A7">
        <w:rPr>
          <w:sz w:val="24"/>
          <w:szCs w:val="24"/>
          <w:lang w:val="hu-HU" w:eastAsia="hu-HU"/>
        </w:rPr>
        <w:t>Milde til moderate CYP3A-hæmmere</w:t>
      </w:r>
      <w:r w:rsidR="000F74A7">
        <w:rPr>
          <w:sz w:val="24"/>
          <w:szCs w:val="24"/>
          <w:lang w:val="hu-HU" w:eastAsia="hu-HU"/>
        </w:rPr>
        <w:t>:</w:t>
      </w:r>
    </w:p>
    <w:p w:rsidR="00D44CDE" w:rsidRPr="008E114A" w:rsidRDefault="00D44CDE" w:rsidP="00D44CDE">
      <w:pPr>
        <w:autoSpaceDE w:val="0"/>
        <w:autoSpaceDN w:val="0"/>
        <w:adjustRightInd w:val="0"/>
        <w:ind w:left="851"/>
        <w:rPr>
          <w:sz w:val="24"/>
          <w:szCs w:val="24"/>
          <w:lang w:val="hu-HU" w:eastAsia="hu-HU"/>
        </w:rPr>
      </w:pPr>
      <w:r w:rsidRPr="008E114A">
        <w:rPr>
          <w:sz w:val="24"/>
          <w:szCs w:val="24"/>
          <w:lang w:val="hu-HU" w:eastAsia="hu-HU"/>
        </w:rPr>
        <w:t>Samtidig anvendelse af erythromycin, saquinavir, amiodaron, diltiazem, verapamil og fluconazol førte også til betydende farmakokinetiske interaktioner med stigninger i AUC anført i rækkefølge fra 98 % -187 %. Eplerenon-dosis bør derfor ikke overstige 25 mg</w:t>
      </w:r>
      <w:r w:rsidR="000F74A7">
        <w:rPr>
          <w:sz w:val="24"/>
          <w:szCs w:val="24"/>
          <w:lang w:val="hu-HU" w:eastAsia="hu-HU"/>
        </w:rPr>
        <w:t xml:space="preserve"> daglig</w:t>
      </w:r>
      <w:r w:rsidRPr="008E114A">
        <w:rPr>
          <w:sz w:val="24"/>
          <w:szCs w:val="24"/>
          <w:lang w:val="hu-HU" w:eastAsia="hu-HU"/>
        </w:rPr>
        <w:t xml:space="preserve">, når eplerenon anvendes samtidig med milde til moderate hæmmere af CYP3A4 (se pkt. 4.2). </w:t>
      </w:r>
    </w:p>
    <w:p w:rsidR="00D44CDE" w:rsidRPr="008E114A" w:rsidRDefault="00D44CDE" w:rsidP="00D44CDE">
      <w:pPr>
        <w:autoSpaceDE w:val="0"/>
        <w:autoSpaceDN w:val="0"/>
        <w:adjustRightInd w:val="0"/>
        <w:ind w:left="851"/>
        <w:rPr>
          <w:i/>
          <w:iCs/>
          <w:sz w:val="24"/>
          <w:szCs w:val="24"/>
          <w:lang w:val="hu-HU" w:eastAsia="hu-HU"/>
        </w:rPr>
      </w:pPr>
    </w:p>
    <w:p w:rsidR="00D44CDE" w:rsidRPr="000F74A7" w:rsidRDefault="00D44CDE" w:rsidP="00D44CDE">
      <w:pPr>
        <w:autoSpaceDE w:val="0"/>
        <w:autoSpaceDN w:val="0"/>
        <w:adjustRightInd w:val="0"/>
        <w:ind w:left="851"/>
        <w:rPr>
          <w:i/>
          <w:sz w:val="24"/>
          <w:szCs w:val="24"/>
          <w:lang w:val="hu-HU" w:eastAsia="hu-HU"/>
        </w:rPr>
      </w:pPr>
      <w:r w:rsidRPr="000F74A7">
        <w:rPr>
          <w:i/>
          <w:sz w:val="24"/>
          <w:szCs w:val="24"/>
          <w:lang w:val="hu-HU" w:eastAsia="hu-HU"/>
        </w:rPr>
        <w:t>CYP3A4-induktorer</w:t>
      </w:r>
    </w:p>
    <w:p w:rsidR="00D44CDE" w:rsidRPr="008E114A" w:rsidRDefault="00D44CDE" w:rsidP="00D44CDE">
      <w:pPr>
        <w:autoSpaceDE w:val="0"/>
        <w:autoSpaceDN w:val="0"/>
        <w:adjustRightInd w:val="0"/>
        <w:ind w:left="851"/>
        <w:rPr>
          <w:sz w:val="24"/>
          <w:szCs w:val="24"/>
          <w:lang w:val="hu-HU" w:eastAsia="hu-HU"/>
        </w:rPr>
      </w:pPr>
      <w:r w:rsidRPr="008E114A">
        <w:rPr>
          <w:sz w:val="24"/>
          <w:szCs w:val="24"/>
          <w:lang w:val="hu-HU" w:eastAsia="hu-HU"/>
        </w:rPr>
        <w:t xml:space="preserve">Samtidig anvendelse af prikbladet perikon (en stærk CYP3A4-induktor) og eplerenon førte til et fald på 30 % i eplerenons AUC. Et mere udtalt fald i eplerenons AUC kan opstå med stærkere CYP3A4 induktorer, som f.eks. rifampicin. På grund af risiko for nedsat effekt af eplerenon kan samtidig anvendelse af stærke CYP3A4-induktorer (rifampicin, </w:t>
      </w:r>
      <w:r w:rsidRPr="008E114A">
        <w:rPr>
          <w:sz w:val="24"/>
          <w:szCs w:val="24"/>
          <w:lang w:val="hu-HU" w:eastAsia="hu-HU"/>
        </w:rPr>
        <w:lastRenderedPageBreak/>
        <w:t xml:space="preserve">carbamazepin, fenytoin, phenobarbital, prikbladet perikon) med eplerenon ikke anbefales (se pkt. 4.4). </w:t>
      </w:r>
    </w:p>
    <w:p w:rsidR="00D44CDE" w:rsidRPr="008E114A" w:rsidRDefault="00D44CDE" w:rsidP="00D44CDE">
      <w:pPr>
        <w:autoSpaceDE w:val="0"/>
        <w:autoSpaceDN w:val="0"/>
        <w:adjustRightInd w:val="0"/>
        <w:ind w:left="851"/>
        <w:rPr>
          <w:sz w:val="24"/>
          <w:szCs w:val="24"/>
          <w:lang w:val="hu-HU" w:eastAsia="hu-HU"/>
        </w:rPr>
      </w:pPr>
    </w:p>
    <w:p w:rsidR="00D44CDE" w:rsidRPr="000F74A7" w:rsidRDefault="00D44CDE" w:rsidP="00D44CDE">
      <w:pPr>
        <w:autoSpaceDE w:val="0"/>
        <w:autoSpaceDN w:val="0"/>
        <w:adjustRightInd w:val="0"/>
        <w:ind w:left="851"/>
        <w:rPr>
          <w:i/>
          <w:sz w:val="24"/>
          <w:szCs w:val="24"/>
          <w:lang w:val="hu-HU" w:eastAsia="hu-HU"/>
        </w:rPr>
      </w:pPr>
      <w:r w:rsidRPr="000F74A7">
        <w:rPr>
          <w:i/>
          <w:sz w:val="24"/>
          <w:szCs w:val="24"/>
          <w:lang w:val="hu-HU" w:eastAsia="hu-HU"/>
        </w:rPr>
        <w:t>Antacida</w:t>
      </w:r>
    </w:p>
    <w:p w:rsidR="00D44CDE" w:rsidRPr="008E114A" w:rsidRDefault="00D44CDE" w:rsidP="00D44CDE">
      <w:pPr>
        <w:autoSpaceDE w:val="0"/>
        <w:autoSpaceDN w:val="0"/>
        <w:adjustRightInd w:val="0"/>
        <w:ind w:left="851"/>
        <w:rPr>
          <w:sz w:val="24"/>
          <w:szCs w:val="24"/>
          <w:lang w:val="hu-HU" w:eastAsia="hu-HU"/>
        </w:rPr>
      </w:pPr>
      <w:r w:rsidRPr="008E114A">
        <w:rPr>
          <w:sz w:val="24"/>
          <w:szCs w:val="24"/>
          <w:lang w:val="hu-HU" w:eastAsia="hu-HU"/>
        </w:rPr>
        <w:t>På baggrund af resultaterne af et farmakokinetisk klinisk studie forventes ingen betydende interaktion, når antacida anvendes samtidigt med eplerenon.</w:t>
      </w:r>
    </w:p>
    <w:p w:rsidR="00D44CDE" w:rsidRPr="008E114A" w:rsidRDefault="00D44CDE" w:rsidP="00D44CDE">
      <w:pPr>
        <w:tabs>
          <w:tab w:val="left" w:pos="851"/>
        </w:tabs>
        <w:rPr>
          <w:sz w:val="24"/>
          <w:szCs w:val="24"/>
          <w:lang w:val="hu-HU"/>
        </w:rPr>
      </w:pPr>
    </w:p>
    <w:p w:rsidR="00D44CDE" w:rsidRPr="008E114A" w:rsidRDefault="00D44CDE" w:rsidP="00D44CDE">
      <w:pPr>
        <w:tabs>
          <w:tab w:val="left" w:pos="851"/>
        </w:tabs>
        <w:ind w:left="851" w:hanging="851"/>
        <w:rPr>
          <w:b/>
          <w:sz w:val="24"/>
          <w:szCs w:val="24"/>
        </w:rPr>
      </w:pPr>
      <w:r w:rsidRPr="008E114A">
        <w:rPr>
          <w:b/>
          <w:sz w:val="24"/>
          <w:szCs w:val="24"/>
        </w:rPr>
        <w:t>4.6</w:t>
      </w:r>
      <w:r w:rsidRPr="008E114A">
        <w:rPr>
          <w:b/>
          <w:sz w:val="24"/>
          <w:szCs w:val="24"/>
        </w:rPr>
        <w:tab/>
      </w:r>
      <w:r w:rsidR="0027752D">
        <w:rPr>
          <w:b/>
          <w:sz w:val="24"/>
          <w:szCs w:val="24"/>
        </w:rPr>
        <w:t>Fertilitet, g</w:t>
      </w:r>
      <w:r w:rsidRPr="008E114A">
        <w:rPr>
          <w:b/>
          <w:sz w:val="24"/>
          <w:szCs w:val="24"/>
        </w:rPr>
        <w:t>raviditet og amning</w:t>
      </w:r>
    </w:p>
    <w:p w:rsidR="000F74A7" w:rsidRDefault="000F74A7" w:rsidP="00D44CDE">
      <w:pPr>
        <w:tabs>
          <w:tab w:val="left" w:pos="851"/>
        </w:tabs>
        <w:ind w:left="851"/>
        <w:rPr>
          <w:sz w:val="24"/>
          <w:szCs w:val="24"/>
          <w:u w:val="single"/>
          <w:lang w:val="hu-HU" w:eastAsia="hu-HU"/>
        </w:rPr>
      </w:pPr>
    </w:p>
    <w:p w:rsidR="00D44CDE" w:rsidRPr="008E114A" w:rsidRDefault="00D44CDE" w:rsidP="00D44CDE">
      <w:pPr>
        <w:tabs>
          <w:tab w:val="left" w:pos="851"/>
        </w:tabs>
        <w:ind w:left="851"/>
        <w:rPr>
          <w:sz w:val="24"/>
          <w:szCs w:val="24"/>
          <w:u w:val="single"/>
          <w:lang w:val="hu-HU" w:eastAsia="hu-HU"/>
        </w:rPr>
      </w:pPr>
      <w:r w:rsidRPr="008E114A">
        <w:rPr>
          <w:sz w:val="24"/>
          <w:szCs w:val="24"/>
          <w:u w:val="single"/>
          <w:lang w:val="hu-HU" w:eastAsia="hu-HU"/>
        </w:rPr>
        <w:t>Graviditet</w:t>
      </w:r>
    </w:p>
    <w:p w:rsidR="00D44CDE" w:rsidRPr="008E114A" w:rsidRDefault="00D44CDE" w:rsidP="00D44CDE">
      <w:pPr>
        <w:tabs>
          <w:tab w:val="left" w:pos="851"/>
        </w:tabs>
        <w:ind w:left="851"/>
        <w:rPr>
          <w:sz w:val="24"/>
          <w:szCs w:val="24"/>
          <w:lang w:val="hu-HU" w:eastAsia="hu-HU"/>
        </w:rPr>
      </w:pPr>
      <w:r w:rsidRPr="008E114A">
        <w:rPr>
          <w:sz w:val="24"/>
          <w:szCs w:val="24"/>
          <w:lang w:val="hu-HU" w:eastAsia="hu-HU"/>
        </w:rPr>
        <w:t xml:space="preserve">Der er begrænset data vedrørende anvendelse af eplerenon hos gravide. Dyreforsøg tyder ikke på direkte eller indirekte skadelige virkninger på svangerskab, den embryonale/føtale udvikling, fødsel eller den postnatale udvikling (se pkt. 5.3). Eplerenon bør kun anvendes med forsigtighed til gravide. </w:t>
      </w:r>
    </w:p>
    <w:p w:rsidR="00D44CDE" w:rsidRPr="008E114A" w:rsidRDefault="00D44CDE" w:rsidP="00D44CDE">
      <w:pPr>
        <w:autoSpaceDE w:val="0"/>
        <w:autoSpaceDN w:val="0"/>
        <w:adjustRightInd w:val="0"/>
        <w:ind w:left="851"/>
        <w:rPr>
          <w:sz w:val="24"/>
          <w:szCs w:val="24"/>
          <w:lang w:val="hu-HU" w:eastAsia="hu-HU"/>
        </w:rPr>
      </w:pPr>
    </w:p>
    <w:p w:rsidR="00D44CDE" w:rsidRPr="008E114A" w:rsidRDefault="00D44CDE" w:rsidP="00D44CDE">
      <w:pPr>
        <w:tabs>
          <w:tab w:val="left" w:pos="851"/>
        </w:tabs>
        <w:ind w:left="851"/>
        <w:rPr>
          <w:sz w:val="24"/>
          <w:szCs w:val="24"/>
          <w:u w:val="single"/>
          <w:lang w:val="hu-HU" w:eastAsia="hu-HU"/>
        </w:rPr>
      </w:pPr>
      <w:r w:rsidRPr="008E114A">
        <w:rPr>
          <w:sz w:val="24"/>
          <w:szCs w:val="24"/>
          <w:u w:val="single"/>
          <w:lang w:val="hu-HU" w:eastAsia="hu-HU"/>
        </w:rPr>
        <w:t>Amning</w:t>
      </w:r>
    </w:p>
    <w:p w:rsidR="00D44CDE" w:rsidRPr="008E114A" w:rsidRDefault="00D44CDE" w:rsidP="00D44CDE">
      <w:pPr>
        <w:tabs>
          <w:tab w:val="left" w:pos="851"/>
        </w:tabs>
        <w:ind w:left="851"/>
        <w:rPr>
          <w:sz w:val="24"/>
          <w:szCs w:val="24"/>
          <w:u w:val="single"/>
          <w:lang w:val="hu-HU" w:eastAsia="hu-HU"/>
        </w:rPr>
      </w:pPr>
      <w:r w:rsidRPr="008E114A">
        <w:rPr>
          <w:sz w:val="24"/>
          <w:szCs w:val="24"/>
          <w:lang w:val="hu-HU" w:eastAsia="hu-HU"/>
        </w:rPr>
        <w:t>Det vides ikke om eplerenon udskilles i modermælk hos mennesker efter oral indtagelse. Prækliniske data viser imidlertid, at eplerenon og/eller metabolitter findes i modermælk hos rotter, og at rotteafkom eksponeret ad denne vej, udvikles normalt.</w:t>
      </w:r>
    </w:p>
    <w:p w:rsidR="00D44CDE" w:rsidRDefault="00D44CDE" w:rsidP="00D44CDE">
      <w:pPr>
        <w:autoSpaceDE w:val="0"/>
        <w:autoSpaceDN w:val="0"/>
        <w:adjustRightInd w:val="0"/>
        <w:ind w:left="851"/>
        <w:rPr>
          <w:sz w:val="24"/>
          <w:szCs w:val="24"/>
          <w:lang w:val="hu-HU" w:eastAsia="hu-HU"/>
        </w:rPr>
      </w:pPr>
      <w:r w:rsidRPr="008E114A">
        <w:rPr>
          <w:sz w:val="24"/>
          <w:szCs w:val="24"/>
          <w:lang w:val="hu-HU" w:eastAsia="hu-HU"/>
        </w:rPr>
        <w:t>Eftersom muligheden for bivirkninger hos spædbarnet er ukendt, skal det besluttes om amning skal ophøre, eller om behandlingen skal afbrydes, under hensyntagen til vigtigheden af lægemidlet for moderen.</w:t>
      </w:r>
    </w:p>
    <w:p w:rsidR="000F74A7" w:rsidRDefault="000F74A7" w:rsidP="00D44CDE">
      <w:pPr>
        <w:autoSpaceDE w:val="0"/>
        <w:autoSpaceDN w:val="0"/>
        <w:adjustRightInd w:val="0"/>
        <w:ind w:left="851"/>
        <w:rPr>
          <w:sz w:val="24"/>
          <w:szCs w:val="24"/>
          <w:lang w:val="hu-HU" w:eastAsia="hu-HU"/>
        </w:rPr>
      </w:pPr>
    </w:p>
    <w:p w:rsidR="000F74A7" w:rsidRDefault="000F74A7" w:rsidP="000F74A7">
      <w:pPr>
        <w:tabs>
          <w:tab w:val="left" w:pos="851"/>
        </w:tabs>
        <w:ind w:left="855"/>
        <w:rPr>
          <w:sz w:val="24"/>
          <w:u w:val="single"/>
          <w:lang w:val="hu-HU" w:eastAsia="da-DK"/>
        </w:rPr>
      </w:pPr>
      <w:r>
        <w:rPr>
          <w:u w:val="single"/>
          <w:lang w:val="hu-HU"/>
        </w:rPr>
        <w:t>Fertilitet</w:t>
      </w:r>
    </w:p>
    <w:p w:rsidR="000F74A7" w:rsidRDefault="000F74A7" w:rsidP="000F74A7">
      <w:pPr>
        <w:tabs>
          <w:tab w:val="left" w:pos="851"/>
        </w:tabs>
        <w:ind w:left="855"/>
        <w:rPr>
          <w:lang w:val="hu-HU"/>
        </w:rPr>
      </w:pPr>
      <w:r>
        <w:rPr>
          <w:lang w:val="hu-HU"/>
        </w:rPr>
        <w:t>Der er ingen humane data, hvad angår fertilitet.</w:t>
      </w:r>
    </w:p>
    <w:p w:rsidR="00D44CDE" w:rsidRPr="008E114A" w:rsidRDefault="00D44CDE" w:rsidP="00D44CDE">
      <w:pPr>
        <w:tabs>
          <w:tab w:val="left" w:pos="851"/>
        </w:tabs>
        <w:rPr>
          <w:sz w:val="24"/>
          <w:szCs w:val="24"/>
        </w:rPr>
      </w:pPr>
    </w:p>
    <w:p w:rsidR="00D44CDE" w:rsidRPr="008E114A" w:rsidRDefault="00D44CDE" w:rsidP="00D44CDE">
      <w:pPr>
        <w:tabs>
          <w:tab w:val="left" w:pos="851"/>
        </w:tabs>
        <w:ind w:left="851" w:hanging="851"/>
        <w:rPr>
          <w:b/>
          <w:sz w:val="24"/>
          <w:szCs w:val="24"/>
        </w:rPr>
      </w:pPr>
      <w:r w:rsidRPr="008E114A">
        <w:rPr>
          <w:b/>
          <w:sz w:val="24"/>
          <w:szCs w:val="24"/>
        </w:rPr>
        <w:t>4.7</w:t>
      </w:r>
      <w:r w:rsidRPr="008E114A">
        <w:rPr>
          <w:b/>
          <w:sz w:val="24"/>
          <w:szCs w:val="24"/>
        </w:rPr>
        <w:tab/>
        <w:t xml:space="preserve">Virkning på evnen til at føre motorkøretøj </w:t>
      </w:r>
      <w:r w:rsidR="0027752D">
        <w:rPr>
          <w:b/>
          <w:sz w:val="24"/>
          <w:szCs w:val="24"/>
        </w:rPr>
        <w:t>og</w:t>
      </w:r>
      <w:r w:rsidRPr="008E114A">
        <w:rPr>
          <w:b/>
          <w:sz w:val="24"/>
          <w:szCs w:val="24"/>
        </w:rPr>
        <w:t xml:space="preserve"> betjene maskiner</w:t>
      </w:r>
    </w:p>
    <w:p w:rsidR="00D44CDE" w:rsidRPr="008E114A" w:rsidRDefault="00D44CDE" w:rsidP="00D44CDE">
      <w:pPr>
        <w:autoSpaceDE w:val="0"/>
        <w:autoSpaceDN w:val="0"/>
        <w:adjustRightInd w:val="0"/>
        <w:ind w:left="851"/>
        <w:rPr>
          <w:sz w:val="24"/>
          <w:szCs w:val="24"/>
          <w:lang w:val="hu-HU" w:eastAsia="hu-HU"/>
        </w:rPr>
      </w:pPr>
      <w:r w:rsidRPr="008E114A">
        <w:rPr>
          <w:sz w:val="24"/>
          <w:szCs w:val="24"/>
          <w:lang w:val="hu-HU" w:eastAsia="hu-HU"/>
        </w:rPr>
        <w:t>Ikke mærkning.</w:t>
      </w:r>
    </w:p>
    <w:p w:rsidR="00D44CDE" w:rsidRPr="008E114A" w:rsidRDefault="00D44CDE" w:rsidP="00D44CDE">
      <w:pPr>
        <w:autoSpaceDE w:val="0"/>
        <w:autoSpaceDN w:val="0"/>
        <w:adjustRightInd w:val="0"/>
        <w:ind w:left="851"/>
        <w:rPr>
          <w:sz w:val="24"/>
          <w:szCs w:val="24"/>
          <w:lang w:val="hu-HU" w:eastAsia="hu-HU"/>
        </w:rPr>
      </w:pPr>
      <w:r w:rsidRPr="008E114A">
        <w:rPr>
          <w:sz w:val="24"/>
          <w:szCs w:val="24"/>
          <w:lang w:val="hu-HU" w:eastAsia="hu-HU"/>
        </w:rPr>
        <w:t>Der er ikke foretaget undersøgelser af indflydelsen på evnen til at føre motorkøretøj eller betjene maskiner. Eplerenon forårsager ikke døsighed eller nedsættelse af den kognitive funktion, men, når man fører motorkøretøj eller betjener maskiner, bør man være opmærksom på, at eplerenon kan give svimmelhed under behandlingen.</w:t>
      </w:r>
    </w:p>
    <w:p w:rsidR="00D44CDE" w:rsidRPr="008E114A" w:rsidRDefault="00D44CDE" w:rsidP="00D44CDE">
      <w:pPr>
        <w:tabs>
          <w:tab w:val="left" w:pos="851"/>
        </w:tabs>
        <w:rPr>
          <w:sz w:val="24"/>
          <w:szCs w:val="24"/>
        </w:rPr>
      </w:pPr>
    </w:p>
    <w:p w:rsidR="00D44CDE" w:rsidRPr="008E114A" w:rsidRDefault="00D44CDE" w:rsidP="00D44CDE">
      <w:pPr>
        <w:tabs>
          <w:tab w:val="left" w:pos="851"/>
        </w:tabs>
        <w:ind w:left="851" w:hanging="851"/>
        <w:rPr>
          <w:b/>
          <w:sz w:val="24"/>
          <w:szCs w:val="24"/>
        </w:rPr>
      </w:pPr>
      <w:r w:rsidRPr="008E114A">
        <w:rPr>
          <w:b/>
          <w:sz w:val="24"/>
          <w:szCs w:val="24"/>
        </w:rPr>
        <w:t>4.8</w:t>
      </w:r>
      <w:r w:rsidRPr="008E114A">
        <w:rPr>
          <w:b/>
          <w:sz w:val="24"/>
          <w:szCs w:val="24"/>
        </w:rPr>
        <w:tab/>
        <w:t>Bivirkninger</w:t>
      </w:r>
    </w:p>
    <w:p w:rsidR="00D44CDE" w:rsidRDefault="00D44CDE" w:rsidP="00D44CDE">
      <w:pPr>
        <w:autoSpaceDE w:val="0"/>
        <w:autoSpaceDN w:val="0"/>
        <w:adjustRightInd w:val="0"/>
        <w:ind w:left="851"/>
        <w:rPr>
          <w:sz w:val="24"/>
          <w:szCs w:val="24"/>
          <w:lang w:val="hu-HU" w:eastAsia="hu-HU"/>
        </w:rPr>
      </w:pPr>
      <w:r>
        <w:rPr>
          <w:sz w:val="24"/>
          <w:szCs w:val="24"/>
          <w:lang w:val="hu-HU" w:eastAsia="hu-HU"/>
        </w:rPr>
        <w:t xml:space="preserve">I to studier (Eplerenone Post-acute Myocardial Infarction Heart Failure Efficacy and Survival Study (EPHESUS) samt Eplerenon i Mild Patients Hospitalization and Survival Study in Heart Failure (EMPHASIS-HFJ), var den samlede forekomst af bivirkninger beskrevet for eplerenon den samme som for placebo. </w:t>
      </w:r>
    </w:p>
    <w:p w:rsidR="00D44CDE" w:rsidRPr="00D57F1D" w:rsidRDefault="00D44CDE" w:rsidP="00D44CDE">
      <w:pPr>
        <w:autoSpaceDE w:val="0"/>
        <w:autoSpaceDN w:val="0"/>
        <w:adjustRightInd w:val="0"/>
        <w:ind w:left="851"/>
        <w:rPr>
          <w:sz w:val="24"/>
          <w:szCs w:val="24"/>
          <w:lang w:eastAsia="hu-HU"/>
        </w:rPr>
      </w:pPr>
    </w:p>
    <w:p w:rsidR="00D57F1D" w:rsidRPr="00D57F1D" w:rsidRDefault="00D57F1D" w:rsidP="00D57F1D">
      <w:pPr>
        <w:autoSpaceDE w:val="0"/>
        <w:autoSpaceDN w:val="0"/>
        <w:adjustRightInd w:val="0"/>
        <w:ind w:left="851"/>
        <w:rPr>
          <w:sz w:val="24"/>
          <w:szCs w:val="24"/>
          <w:lang w:eastAsia="hu-HU"/>
        </w:rPr>
      </w:pPr>
      <w:r w:rsidRPr="00D57F1D">
        <w:rPr>
          <w:color w:val="000000"/>
          <w:sz w:val="24"/>
          <w:szCs w:val="24"/>
        </w:rPr>
        <w:t>De nedenfor nævnte bivirkninger havde formodet sammenhæng til behandlingen og forekom hyppigere end for placebo eller var alvorlige og forekom signifikant hyppigere end for placebo eller er observeret efter markedsføring.</w:t>
      </w:r>
      <w:r w:rsidRPr="00D57F1D">
        <w:rPr>
          <w:sz w:val="24"/>
          <w:szCs w:val="24"/>
          <w:lang w:eastAsia="hu-HU"/>
        </w:rPr>
        <w:t xml:space="preserve"> Bivirkningerne er anført efter organklasse og absolut hyppighed. Hyppigheden er defineret som: </w:t>
      </w:r>
    </w:p>
    <w:p w:rsidR="00D57F1D" w:rsidRPr="00D57F1D" w:rsidRDefault="00D57F1D" w:rsidP="00D57F1D">
      <w:pPr>
        <w:autoSpaceDE w:val="0"/>
        <w:autoSpaceDN w:val="0"/>
        <w:adjustRightInd w:val="0"/>
        <w:ind w:left="851"/>
        <w:rPr>
          <w:sz w:val="24"/>
          <w:szCs w:val="24"/>
          <w:lang w:eastAsia="hu-HU"/>
        </w:rPr>
      </w:pPr>
    </w:p>
    <w:p w:rsidR="00D57F1D" w:rsidRDefault="00D57F1D" w:rsidP="00D57F1D">
      <w:pPr>
        <w:pStyle w:val="Paragraph"/>
        <w:spacing w:after="0"/>
        <w:ind w:firstLine="810"/>
        <w:rPr>
          <w:lang w:val="da-DK"/>
        </w:rPr>
      </w:pPr>
      <w:r>
        <w:rPr>
          <w:lang w:val="da-DK"/>
        </w:rPr>
        <w:t>Meget almindelig (</w:t>
      </w:r>
      <w:r>
        <w:rPr>
          <w:rFonts w:ascii="Symbol" w:hAnsi="Symbol"/>
          <w:lang w:val="da-DK"/>
        </w:rPr>
        <w:t></w:t>
      </w:r>
      <w:r>
        <w:rPr>
          <w:lang w:val="da-DK"/>
        </w:rPr>
        <w:t>1/10)</w:t>
      </w:r>
    </w:p>
    <w:p w:rsidR="00D57F1D" w:rsidRDefault="00D57F1D" w:rsidP="00D57F1D">
      <w:pPr>
        <w:autoSpaceDE w:val="0"/>
        <w:autoSpaceDN w:val="0"/>
        <w:adjustRightInd w:val="0"/>
        <w:ind w:left="851"/>
        <w:rPr>
          <w:sz w:val="24"/>
          <w:szCs w:val="24"/>
          <w:lang w:val="hu-HU" w:eastAsia="hu-HU"/>
        </w:rPr>
      </w:pPr>
      <w:r>
        <w:rPr>
          <w:sz w:val="24"/>
          <w:szCs w:val="24"/>
          <w:lang w:val="hu-HU" w:eastAsia="hu-HU"/>
        </w:rPr>
        <w:t>Almindelig (≥1/100 til &lt;1/10)</w:t>
      </w:r>
    </w:p>
    <w:p w:rsidR="00D57F1D" w:rsidRDefault="00D57F1D" w:rsidP="00D57F1D">
      <w:pPr>
        <w:autoSpaceDE w:val="0"/>
        <w:autoSpaceDN w:val="0"/>
        <w:adjustRightInd w:val="0"/>
        <w:ind w:left="851"/>
        <w:rPr>
          <w:sz w:val="24"/>
          <w:szCs w:val="24"/>
          <w:lang w:val="hu-HU" w:eastAsia="hu-HU"/>
        </w:rPr>
      </w:pPr>
      <w:r>
        <w:rPr>
          <w:sz w:val="24"/>
          <w:szCs w:val="24"/>
          <w:lang w:val="hu-HU" w:eastAsia="hu-HU"/>
        </w:rPr>
        <w:t>Ikke almindelig (≥1/1.000 til &lt;1/100)</w:t>
      </w:r>
    </w:p>
    <w:p w:rsidR="00D57F1D" w:rsidRDefault="00D57F1D" w:rsidP="00D57F1D">
      <w:pPr>
        <w:autoSpaceDE w:val="0"/>
        <w:autoSpaceDN w:val="0"/>
        <w:adjustRightInd w:val="0"/>
        <w:ind w:left="851"/>
        <w:rPr>
          <w:sz w:val="24"/>
          <w:szCs w:val="24"/>
          <w:lang w:val="nl-NL" w:eastAsia="hu-HU"/>
        </w:rPr>
      </w:pPr>
      <w:r>
        <w:rPr>
          <w:sz w:val="24"/>
          <w:szCs w:val="24"/>
          <w:lang w:val="nl-NL" w:eastAsia="hu-HU"/>
        </w:rPr>
        <w:t>Sjælden (</w:t>
      </w:r>
      <w:r>
        <w:rPr>
          <w:rFonts w:ascii="Symbol" w:hAnsi="Symbol"/>
        </w:rPr>
        <w:t></w:t>
      </w:r>
      <w:r>
        <w:rPr>
          <w:sz w:val="24"/>
          <w:szCs w:val="24"/>
          <w:lang w:val="nl-NL" w:eastAsia="hu-HU"/>
        </w:rPr>
        <w:t>1/10.000 til &lt;1/1.000)</w:t>
      </w:r>
    </w:p>
    <w:p w:rsidR="00D57F1D" w:rsidRDefault="00D57F1D" w:rsidP="00D57F1D">
      <w:pPr>
        <w:autoSpaceDE w:val="0"/>
        <w:autoSpaceDN w:val="0"/>
        <w:adjustRightInd w:val="0"/>
        <w:ind w:left="851"/>
        <w:rPr>
          <w:sz w:val="24"/>
          <w:szCs w:val="24"/>
          <w:lang w:val="nl-NL" w:eastAsia="hu-HU"/>
        </w:rPr>
      </w:pPr>
      <w:r>
        <w:rPr>
          <w:sz w:val="24"/>
          <w:szCs w:val="24"/>
          <w:lang w:val="nl-NL" w:eastAsia="hu-HU"/>
        </w:rPr>
        <w:t>Meget sjælden (&lt;1/10.000)</w:t>
      </w:r>
    </w:p>
    <w:p w:rsidR="00D57F1D" w:rsidRDefault="00D57F1D" w:rsidP="00D57F1D">
      <w:pPr>
        <w:autoSpaceDE w:val="0"/>
        <w:autoSpaceDN w:val="0"/>
        <w:adjustRightInd w:val="0"/>
        <w:ind w:left="851"/>
        <w:rPr>
          <w:sz w:val="24"/>
          <w:szCs w:val="24"/>
          <w:lang w:val="nl-NL" w:eastAsia="hu-HU"/>
        </w:rPr>
      </w:pPr>
      <w:r>
        <w:rPr>
          <w:sz w:val="24"/>
          <w:szCs w:val="24"/>
          <w:lang w:val="nl-NL" w:eastAsia="hu-HU"/>
        </w:rPr>
        <w:t>Ikke kendt (kan ikke estimeres ud fra forhåndenværende data).</w:t>
      </w:r>
    </w:p>
    <w:p w:rsidR="00D44CDE" w:rsidRPr="00D57F1D" w:rsidRDefault="00D44CDE" w:rsidP="00D44CDE">
      <w:pPr>
        <w:autoSpaceDE w:val="0"/>
        <w:autoSpaceDN w:val="0"/>
        <w:adjustRightInd w:val="0"/>
        <w:ind w:left="851"/>
        <w:rPr>
          <w:sz w:val="24"/>
          <w:szCs w:val="24"/>
          <w:lang w:val="nl-NL" w:eastAsia="hu-HU"/>
        </w:rPr>
      </w:pPr>
    </w:p>
    <w:p w:rsidR="00D57F1D" w:rsidRDefault="00D57F1D" w:rsidP="00D57F1D">
      <w:pPr>
        <w:keepNext/>
        <w:autoSpaceDE w:val="0"/>
        <w:autoSpaceDN w:val="0"/>
        <w:adjustRightInd w:val="0"/>
        <w:ind w:left="851"/>
        <w:rPr>
          <w:sz w:val="24"/>
          <w:szCs w:val="24"/>
          <w:lang w:val="nl-NL" w:eastAsia="hu-HU"/>
        </w:rPr>
      </w:pPr>
      <w:r>
        <w:rPr>
          <w:sz w:val="24"/>
          <w:szCs w:val="24"/>
          <w:lang w:val="nl-NL" w:eastAsia="hu-HU"/>
        </w:rPr>
        <w:lastRenderedPageBreak/>
        <w:t>Tabel 2: Frekvenser af bivirkninger i kontrollerde kliniske studier med eplerenon.</w:t>
      </w:r>
    </w:p>
    <w:p w:rsidR="00D57F1D" w:rsidRDefault="00D57F1D" w:rsidP="00D57F1D">
      <w:pPr>
        <w:keepNext/>
        <w:autoSpaceDE w:val="0"/>
        <w:autoSpaceDN w:val="0"/>
        <w:adjustRightInd w:val="0"/>
        <w:ind w:left="851"/>
        <w:rPr>
          <w:sz w:val="24"/>
          <w:szCs w:val="24"/>
          <w:lang w:val="nl-NL"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17"/>
      </w:tblGrid>
      <w:tr w:rsidR="00D57F1D" w:rsidTr="00D57F1D">
        <w:tc>
          <w:tcPr>
            <w:tcW w:w="5070" w:type="dxa"/>
            <w:tcBorders>
              <w:top w:val="single" w:sz="4" w:space="0" w:color="auto"/>
              <w:left w:val="single" w:sz="4" w:space="0" w:color="auto"/>
              <w:bottom w:val="single" w:sz="4" w:space="0" w:color="auto"/>
              <w:right w:val="single" w:sz="4" w:space="0" w:color="auto"/>
            </w:tcBorders>
            <w:hideMark/>
          </w:tcPr>
          <w:p w:rsidR="00D57F1D" w:rsidRDefault="00D57F1D">
            <w:pPr>
              <w:pStyle w:val="Paragraph"/>
              <w:overflowPunct w:val="0"/>
              <w:autoSpaceDE w:val="0"/>
              <w:autoSpaceDN w:val="0"/>
              <w:adjustRightInd w:val="0"/>
              <w:spacing w:after="0"/>
              <w:textAlignment w:val="baseline"/>
              <w:rPr>
                <w:lang w:val="da-DK"/>
              </w:rPr>
            </w:pPr>
            <w:r>
              <w:rPr>
                <w:b/>
                <w:lang w:val="da-DK"/>
              </w:rPr>
              <w:t xml:space="preserve">Systemorganklasser i henhold til </w:t>
            </w:r>
            <w:proofErr w:type="spellStart"/>
            <w:r>
              <w:rPr>
                <w:b/>
                <w:lang w:val="da-DK"/>
              </w:rPr>
              <w:t>MedDRA</w:t>
            </w:r>
            <w:proofErr w:type="spellEnd"/>
            <w:r>
              <w:rPr>
                <w:b/>
                <w:bCs/>
                <w:lang w:val="da-DK"/>
              </w:rPr>
              <w:t xml:space="preserve"> </w:t>
            </w:r>
          </w:p>
        </w:tc>
        <w:tc>
          <w:tcPr>
            <w:tcW w:w="4217" w:type="dxa"/>
            <w:tcBorders>
              <w:top w:val="single" w:sz="4" w:space="0" w:color="auto"/>
              <w:left w:val="single" w:sz="4" w:space="0" w:color="auto"/>
              <w:bottom w:val="single" w:sz="4" w:space="0" w:color="auto"/>
              <w:right w:val="single" w:sz="4" w:space="0" w:color="auto"/>
            </w:tcBorders>
            <w:hideMark/>
          </w:tcPr>
          <w:p w:rsidR="00D57F1D" w:rsidRDefault="00D57F1D">
            <w:pPr>
              <w:pStyle w:val="Paragraph"/>
              <w:overflowPunct w:val="0"/>
              <w:autoSpaceDE w:val="0"/>
              <w:autoSpaceDN w:val="0"/>
              <w:adjustRightInd w:val="0"/>
              <w:spacing w:after="0"/>
              <w:textAlignment w:val="baseline"/>
            </w:pPr>
            <w:r>
              <w:rPr>
                <w:b/>
                <w:lang w:val="da-DK"/>
              </w:rPr>
              <w:t>Bivirkning</w:t>
            </w:r>
          </w:p>
        </w:tc>
      </w:tr>
      <w:tr w:rsidR="00D57F1D" w:rsidTr="00D57F1D">
        <w:tc>
          <w:tcPr>
            <w:tcW w:w="5070" w:type="dxa"/>
            <w:tcBorders>
              <w:top w:val="single" w:sz="4" w:space="0" w:color="auto"/>
              <w:left w:val="single" w:sz="4" w:space="0" w:color="auto"/>
              <w:bottom w:val="single" w:sz="4" w:space="0" w:color="auto"/>
              <w:right w:val="single" w:sz="4" w:space="0" w:color="auto"/>
            </w:tcBorders>
            <w:hideMark/>
          </w:tcPr>
          <w:p w:rsidR="00D57F1D" w:rsidRDefault="00D57F1D">
            <w:pPr>
              <w:pStyle w:val="ListNoBullet"/>
            </w:pPr>
            <w:r>
              <w:rPr>
                <w:b/>
                <w:szCs w:val="24"/>
              </w:rPr>
              <w:t>Infektioner og parasitære sygdomme</w:t>
            </w:r>
          </w:p>
          <w:p w:rsidR="00D57F1D" w:rsidRDefault="00D57F1D">
            <w:pPr>
              <w:pStyle w:val="Paragraph"/>
              <w:overflowPunct w:val="0"/>
              <w:autoSpaceDE w:val="0"/>
              <w:autoSpaceDN w:val="0"/>
              <w:adjustRightInd w:val="0"/>
              <w:spacing w:after="0"/>
              <w:textAlignment w:val="baseline"/>
              <w:rPr>
                <w:lang w:val="da-DK"/>
              </w:rPr>
            </w:pPr>
            <w:r>
              <w:rPr>
                <w:i/>
                <w:lang w:val="da-DK"/>
              </w:rPr>
              <w:t>Ikke almindelig</w:t>
            </w:r>
          </w:p>
        </w:tc>
        <w:tc>
          <w:tcPr>
            <w:tcW w:w="4217"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pPr>
            <w:proofErr w:type="spellStart"/>
            <w:r>
              <w:rPr>
                <w:lang w:val="da-DK"/>
              </w:rPr>
              <w:t>Pyelonephritis</w:t>
            </w:r>
            <w:proofErr w:type="spellEnd"/>
            <w:r>
              <w:rPr>
                <w:lang w:val="da-DK"/>
              </w:rPr>
              <w:t xml:space="preserve">, infektion, </w:t>
            </w:r>
            <w:proofErr w:type="spellStart"/>
            <w:r>
              <w:rPr>
                <w:lang w:val="da-DK"/>
              </w:rPr>
              <w:t>faryngitis</w:t>
            </w:r>
            <w:proofErr w:type="spellEnd"/>
            <w:r>
              <w:rPr>
                <w:lang w:val="da-DK"/>
              </w:rPr>
              <w:t>.</w:t>
            </w:r>
          </w:p>
        </w:tc>
      </w:tr>
      <w:tr w:rsidR="00D57F1D" w:rsidTr="00D57F1D">
        <w:tc>
          <w:tcPr>
            <w:tcW w:w="5070" w:type="dxa"/>
            <w:tcBorders>
              <w:top w:val="single" w:sz="4" w:space="0" w:color="auto"/>
              <w:left w:val="single" w:sz="4" w:space="0" w:color="auto"/>
              <w:bottom w:val="single" w:sz="4" w:space="0" w:color="auto"/>
              <w:right w:val="single" w:sz="4" w:space="0" w:color="auto"/>
            </w:tcBorders>
            <w:hideMark/>
          </w:tcPr>
          <w:p w:rsidR="00D57F1D" w:rsidRDefault="00D57F1D">
            <w:pPr>
              <w:pStyle w:val="ListNoBullet"/>
              <w:keepNext/>
              <w:rPr>
                <w:b/>
                <w:szCs w:val="24"/>
              </w:rPr>
            </w:pPr>
            <w:r>
              <w:rPr>
                <w:b/>
                <w:szCs w:val="24"/>
              </w:rPr>
              <w:t>Blod og lymfesystem</w:t>
            </w:r>
          </w:p>
          <w:p w:rsidR="00D57F1D" w:rsidRDefault="00D57F1D">
            <w:pPr>
              <w:pStyle w:val="Paragraph"/>
              <w:overflowPunct w:val="0"/>
              <w:autoSpaceDE w:val="0"/>
              <w:autoSpaceDN w:val="0"/>
              <w:adjustRightInd w:val="0"/>
              <w:spacing w:after="0"/>
              <w:textAlignment w:val="baseline"/>
              <w:rPr>
                <w:i/>
                <w:lang w:val="da-DK"/>
              </w:rPr>
            </w:pPr>
            <w:r>
              <w:rPr>
                <w:i/>
                <w:lang w:val="da-DK"/>
              </w:rPr>
              <w:t>Ikke almindelig</w:t>
            </w:r>
          </w:p>
        </w:tc>
        <w:tc>
          <w:tcPr>
            <w:tcW w:w="4217"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pPr>
            <w:proofErr w:type="spellStart"/>
            <w:r>
              <w:rPr>
                <w:lang w:val="da-DK"/>
              </w:rPr>
              <w:t>Eosinofili</w:t>
            </w:r>
            <w:proofErr w:type="spellEnd"/>
            <w:r>
              <w:rPr>
                <w:lang w:val="da-DK"/>
              </w:rPr>
              <w:t>.</w:t>
            </w:r>
          </w:p>
        </w:tc>
      </w:tr>
      <w:tr w:rsidR="00D57F1D" w:rsidTr="00D57F1D">
        <w:tc>
          <w:tcPr>
            <w:tcW w:w="5070" w:type="dxa"/>
            <w:tcBorders>
              <w:top w:val="single" w:sz="4" w:space="0" w:color="auto"/>
              <w:left w:val="single" w:sz="4" w:space="0" w:color="auto"/>
              <w:bottom w:val="single" w:sz="4" w:space="0" w:color="auto"/>
              <w:right w:val="single" w:sz="4" w:space="0" w:color="auto"/>
            </w:tcBorders>
            <w:hideMark/>
          </w:tcPr>
          <w:p w:rsidR="00D57F1D" w:rsidRDefault="00D57F1D">
            <w:pPr>
              <w:pStyle w:val="Paragraph"/>
              <w:overflowPunct w:val="0"/>
              <w:autoSpaceDE w:val="0"/>
              <w:autoSpaceDN w:val="0"/>
              <w:adjustRightInd w:val="0"/>
              <w:spacing w:after="0"/>
              <w:textAlignment w:val="baseline"/>
              <w:rPr>
                <w:b/>
                <w:lang w:val="da-DK"/>
              </w:rPr>
            </w:pPr>
            <w:r>
              <w:rPr>
                <w:b/>
                <w:lang w:val="da-DK"/>
              </w:rPr>
              <w:t>Det endokrine system</w:t>
            </w:r>
          </w:p>
          <w:p w:rsidR="00D57F1D" w:rsidRDefault="00D57F1D">
            <w:pPr>
              <w:pStyle w:val="Paragraph"/>
              <w:overflowPunct w:val="0"/>
              <w:autoSpaceDE w:val="0"/>
              <w:autoSpaceDN w:val="0"/>
              <w:adjustRightInd w:val="0"/>
              <w:spacing w:after="0"/>
              <w:textAlignment w:val="baseline"/>
              <w:rPr>
                <w:i/>
                <w:lang w:val="da-DK"/>
              </w:rPr>
            </w:pPr>
            <w:r>
              <w:rPr>
                <w:i/>
                <w:lang w:val="da-DK"/>
              </w:rPr>
              <w:t>Ikke almindelig</w:t>
            </w:r>
          </w:p>
        </w:tc>
        <w:tc>
          <w:tcPr>
            <w:tcW w:w="4217"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pPr>
            <w:proofErr w:type="spellStart"/>
            <w:r>
              <w:rPr>
                <w:lang w:val="da-DK"/>
              </w:rPr>
              <w:t>Hypothyreoidisme</w:t>
            </w:r>
            <w:proofErr w:type="spellEnd"/>
            <w:r>
              <w:rPr>
                <w:lang w:val="da-DK"/>
              </w:rPr>
              <w:t>.</w:t>
            </w:r>
          </w:p>
        </w:tc>
      </w:tr>
      <w:tr w:rsidR="00D57F1D" w:rsidTr="00D57F1D">
        <w:tc>
          <w:tcPr>
            <w:tcW w:w="5070"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b/>
                <w:lang w:val="da-DK"/>
              </w:rPr>
            </w:pPr>
            <w:r>
              <w:rPr>
                <w:b/>
                <w:lang w:val="da-DK"/>
              </w:rPr>
              <w:t>Metabolisme og ernæring</w:t>
            </w:r>
          </w:p>
          <w:p w:rsidR="00D57F1D" w:rsidRDefault="00D57F1D">
            <w:pPr>
              <w:pStyle w:val="Paragraph"/>
              <w:overflowPunct w:val="0"/>
              <w:autoSpaceDE w:val="0"/>
              <w:autoSpaceDN w:val="0"/>
              <w:adjustRightInd w:val="0"/>
              <w:spacing w:after="0"/>
              <w:textAlignment w:val="baseline"/>
              <w:rPr>
                <w:i/>
                <w:lang w:val="da-DK"/>
              </w:rPr>
            </w:pPr>
            <w:r>
              <w:rPr>
                <w:i/>
                <w:lang w:val="da-DK"/>
              </w:rPr>
              <w:t>Almindelig</w:t>
            </w:r>
          </w:p>
          <w:p w:rsidR="00D57F1D" w:rsidRDefault="00D57F1D">
            <w:pPr>
              <w:pStyle w:val="Paragraph"/>
              <w:overflowPunct w:val="0"/>
              <w:autoSpaceDE w:val="0"/>
              <w:autoSpaceDN w:val="0"/>
              <w:adjustRightInd w:val="0"/>
              <w:spacing w:after="0"/>
              <w:textAlignment w:val="baseline"/>
              <w:rPr>
                <w:i/>
                <w:lang w:val="da-DK"/>
              </w:rPr>
            </w:pPr>
          </w:p>
          <w:p w:rsidR="00D57F1D" w:rsidRDefault="00D57F1D">
            <w:pPr>
              <w:pStyle w:val="Paragraph"/>
              <w:overflowPunct w:val="0"/>
              <w:autoSpaceDE w:val="0"/>
              <w:autoSpaceDN w:val="0"/>
              <w:adjustRightInd w:val="0"/>
              <w:spacing w:after="0"/>
              <w:textAlignment w:val="baseline"/>
              <w:rPr>
                <w:i/>
                <w:lang w:val="da-DK"/>
              </w:rPr>
            </w:pPr>
          </w:p>
          <w:p w:rsidR="00D57F1D" w:rsidRDefault="00D57F1D">
            <w:pPr>
              <w:pStyle w:val="Paragraph"/>
              <w:overflowPunct w:val="0"/>
              <w:autoSpaceDE w:val="0"/>
              <w:autoSpaceDN w:val="0"/>
              <w:adjustRightInd w:val="0"/>
              <w:spacing w:after="0"/>
              <w:textAlignment w:val="baseline"/>
              <w:rPr>
                <w:lang w:val="da-DK"/>
              </w:rPr>
            </w:pPr>
            <w:r>
              <w:rPr>
                <w:i/>
                <w:lang w:val="da-DK"/>
              </w:rPr>
              <w:t>Ikke almindelig</w:t>
            </w:r>
          </w:p>
        </w:tc>
        <w:tc>
          <w:tcPr>
            <w:tcW w:w="4217"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ListNoBullet"/>
              <w:rPr>
                <w:szCs w:val="24"/>
              </w:rPr>
            </w:pPr>
            <w:proofErr w:type="spellStart"/>
            <w:r>
              <w:rPr>
                <w:szCs w:val="24"/>
              </w:rPr>
              <w:t>Hyperkaliæmi</w:t>
            </w:r>
            <w:proofErr w:type="spellEnd"/>
            <w:r>
              <w:rPr>
                <w:szCs w:val="24"/>
              </w:rPr>
              <w:t xml:space="preserve"> (se pkt. 4.3 og 4.4)</w:t>
            </w:r>
            <w:r>
              <w:t xml:space="preserve">, </w:t>
            </w:r>
            <w:proofErr w:type="spellStart"/>
            <w:r>
              <w:t>hyperkolesterolæmi</w:t>
            </w:r>
            <w:proofErr w:type="spellEnd"/>
            <w:r>
              <w:rPr>
                <w:szCs w:val="24"/>
              </w:rPr>
              <w:t>.</w:t>
            </w:r>
          </w:p>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rPr>
                <w:lang w:val="da-DK"/>
              </w:rPr>
            </w:pPr>
            <w:proofErr w:type="spellStart"/>
            <w:r>
              <w:rPr>
                <w:lang w:val="da-DK"/>
              </w:rPr>
              <w:t>Hyponatriæmi</w:t>
            </w:r>
            <w:proofErr w:type="spellEnd"/>
            <w:r>
              <w:rPr>
                <w:lang w:val="da-DK"/>
              </w:rPr>
              <w:t xml:space="preserve">, dehydrering, </w:t>
            </w:r>
            <w:proofErr w:type="spellStart"/>
            <w:r>
              <w:rPr>
                <w:lang w:val="da-DK"/>
              </w:rPr>
              <w:t>hypertriglyceridæmi</w:t>
            </w:r>
            <w:proofErr w:type="spellEnd"/>
            <w:r>
              <w:rPr>
                <w:lang w:val="da-DK"/>
              </w:rPr>
              <w:t>.</w:t>
            </w:r>
          </w:p>
        </w:tc>
      </w:tr>
      <w:tr w:rsidR="00D57F1D" w:rsidTr="00D57F1D">
        <w:tc>
          <w:tcPr>
            <w:tcW w:w="5070" w:type="dxa"/>
            <w:tcBorders>
              <w:top w:val="single" w:sz="4" w:space="0" w:color="auto"/>
              <w:left w:val="single" w:sz="4" w:space="0" w:color="auto"/>
              <w:bottom w:val="single" w:sz="4" w:space="0" w:color="auto"/>
              <w:right w:val="single" w:sz="4" w:space="0" w:color="auto"/>
            </w:tcBorders>
            <w:hideMark/>
          </w:tcPr>
          <w:p w:rsidR="00D57F1D" w:rsidRDefault="00D57F1D">
            <w:pPr>
              <w:pStyle w:val="Paragraph"/>
              <w:overflowPunct w:val="0"/>
              <w:autoSpaceDE w:val="0"/>
              <w:autoSpaceDN w:val="0"/>
              <w:adjustRightInd w:val="0"/>
              <w:spacing w:after="0"/>
              <w:textAlignment w:val="baseline"/>
              <w:rPr>
                <w:b/>
              </w:rPr>
            </w:pPr>
            <w:r>
              <w:rPr>
                <w:b/>
                <w:lang w:val="da-DK"/>
              </w:rPr>
              <w:t>Psykiske forstyrrelser</w:t>
            </w:r>
          </w:p>
          <w:p w:rsidR="00D57F1D" w:rsidRDefault="00D57F1D">
            <w:pPr>
              <w:pStyle w:val="Paragraph"/>
              <w:overflowPunct w:val="0"/>
              <w:autoSpaceDE w:val="0"/>
              <w:autoSpaceDN w:val="0"/>
              <w:adjustRightInd w:val="0"/>
              <w:spacing w:after="0"/>
              <w:textAlignment w:val="baseline"/>
              <w:rPr>
                <w:i/>
              </w:rPr>
            </w:pPr>
            <w:r>
              <w:rPr>
                <w:i/>
                <w:lang w:val="da-DK"/>
              </w:rPr>
              <w:t>Almindelig</w:t>
            </w:r>
          </w:p>
        </w:tc>
        <w:tc>
          <w:tcPr>
            <w:tcW w:w="4217"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pPr>
          </w:p>
          <w:p w:rsidR="00D57F1D" w:rsidRDefault="00D57F1D">
            <w:pPr>
              <w:pStyle w:val="Paragraph"/>
              <w:overflowPunct w:val="0"/>
              <w:autoSpaceDE w:val="0"/>
              <w:autoSpaceDN w:val="0"/>
              <w:adjustRightInd w:val="0"/>
              <w:spacing w:after="0"/>
              <w:textAlignment w:val="baseline"/>
            </w:pPr>
            <w:r>
              <w:rPr>
                <w:lang w:val="da-DK"/>
              </w:rPr>
              <w:t>Søvnløshed.</w:t>
            </w:r>
          </w:p>
        </w:tc>
      </w:tr>
      <w:tr w:rsidR="00D57F1D" w:rsidTr="00D57F1D">
        <w:tc>
          <w:tcPr>
            <w:tcW w:w="5070"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b/>
              </w:rPr>
            </w:pPr>
            <w:r>
              <w:rPr>
                <w:b/>
                <w:lang w:val="da-DK"/>
              </w:rPr>
              <w:t>Nervesystemet</w:t>
            </w:r>
          </w:p>
          <w:p w:rsidR="00D57F1D" w:rsidRDefault="00D57F1D">
            <w:pPr>
              <w:pStyle w:val="Paragraph"/>
              <w:overflowPunct w:val="0"/>
              <w:autoSpaceDE w:val="0"/>
              <w:autoSpaceDN w:val="0"/>
              <w:adjustRightInd w:val="0"/>
              <w:spacing w:after="0"/>
              <w:textAlignment w:val="baseline"/>
              <w:rPr>
                <w:i/>
              </w:rPr>
            </w:pPr>
            <w:r>
              <w:rPr>
                <w:i/>
                <w:lang w:val="da-DK"/>
              </w:rPr>
              <w:t>Almindelige</w:t>
            </w:r>
          </w:p>
          <w:p w:rsidR="00D57F1D" w:rsidRDefault="00D57F1D">
            <w:pPr>
              <w:pStyle w:val="Paragraph"/>
              <w:overflowPunct w:val="0"/>
              <w:autoSpaceDE w:val="0"/>
              <w:autoSpaceDN w:val="0"/>
              <w:adjustRightInd w:val="0"/>
              <w:spacing w:after="0"/>
              <w:textAlignment w:val="baseline"/>
              <w:rPr>
                <w:i/>
                <w:lang w:val="da-DK"/>
              </w:rPr>
            </w:pPr>
          </w:p>
          <w:p w:rsidR="00D57F1D" w:rsidRDefault="00D57F1D">
            <w:pPr>
              <w:pStyle w:val="Paragraph"/>
              <w:overflowPunct w:val="0"/>
              <w:autoSpaceDE w:val="0"/>
              <w:autoSpaceDN w:val="0"/>
              <w:adjustRightInd w:val="0"/>
              <w:spacing w:after="0"/>
              <w:textAlignment w:val="baseline"/>
            </w:pPr>
            <w:r>
              <w:rPr>
                <w:i/>
                <w:lang w:val="da-DK"/>
              </w:rPr>
              <w:t>Ikke almindelige</w:t>
            </w:r>
          </w:p>
        </w:tc>
        <w:tc>
          <w:tcPr>
            <w:tcW w:w="4217"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rPr>
                <w:lang w:val="da-DK"/>
              </w:rPr>
            </w:pPr>
            <w:r>
              <w:rPr>
                <w:lang w:val="da-DK"/>
              </w:rPr>
              <w:t>Synkope, svimmelhed, hovedpine.</w:t>
            </w:r>
          </w:p>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rPr>
                <w:lang w:val="da-DK"/>
              </w:rPr>
            </w:pPr>
            <w:proofErr w:type="spellStart"/>
            <w:r>
              <w:rPr>
                <w:lang w:val="da-DK"/>
              </w:rPr>
              <w:t>Hypæstesi</w:t>
            </w:r>
            <w:proofErr w:type="spellEnd"/>
            <w:r>
              <w:rPr>
                <w:lang w:val="da-DK"/>
              </w:rPr>
              <w:t>.</w:t>
            </w:r>
          </w:p>
        </w:tc>
      </w:tr>
      <w:tr w:rsidR="00D57F1D" w:rsidTr="00D57F1D">
        <w:tc>
          <w:tcPr>
            <w:tcW w:w="5070"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b/>
              </w:rPr>
            </w:pPr>
            <w:r>
              <w:rPr>
                <w:b/>
                <w:lang w:val="da-DK"/>
              </w:rPr>
              <w:t>Hjerte</w:t>
            </w:r>
          </w:p>
          <w:p w:rsidR="00D57F1D" w:rsidRDefault="00D57F1D">
            <w:pPr>
              <w:pStyle w:val="Paragraph"/>
              <w:overflowPunct w:val="0"/>
              <w:autoSpaceDE w:val="0"/>
              <w:autoSpaceDN w:val="0"/>
              <w:adjustRightInd w:val="0"/>
              <w:spacing w:after="0"/>
              <w:textAlignment w:val="baseline"/>
              <w:rPr>
                <w:i/>
              </w:rPr>
            </w:pPr>
            <w:r>
              <w:rPr>
                <w:i/>
                <w:lang w:val="da-DK"/>
              </w:rPr>
              <w:t>Almindelig</w:t>
            </w:r>
          </w:p>
          <w:p w:rsidR="00D57F1D" w:rsidRDefault="00D57F1D">
            <w:pPr>
              <w:pStyle w:val="Paragraph"/>
              <w:overflowPunct w:val="0"/>
              <w:autoSpaceDE w:val="0"/>
              <w:autoSpaceDN w:val="0"/>
              <w:adjustRightInd w:val="0"/>
              <w:spacing w:after="0"/>
              <w:textAlignment w:val="baseline"/>
              <w:rPr>
                <w:i/>
                <w:lang w:val="da-DK"/>
              </w:rPr>
            </w:pPr>
          </w:p>
          <w:p w:rsidR="00D57F1D" w:rsidRDefault="00D57F1D">
            <w:pPr>
              <w:pStyle w:val="Paragraph"/>
              <w:overflowPunct w:val="0"/>
              <w:autoSpaceDE w:val="0"/>
              <w:autoSpaceDN w:val="0"/>
              <w:adjustRightInd w:val="0"/>
              <w:spacing w:after="0"/>
              <w:textAlignment w:val="baseline"/>
            </w:pPr>
            <w:r>
              <w:rPr>
                <w:i/>
                <w:lang w:val="da-DK"/>
              </w:rPr>
              <w:t>Ikke almindelige</w:t>
            </w:r>
          </w:p>
        </w:tc>
        <w:tc>
          <w:tcPr>
            <w:tcW w:w="4217"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rPr>
                <w:lang w:val="da-DK"/>
              </w:rPr>
            </w:pPr>
            <w:proofErr w:type="spellStart"/>
            <w:r>
              <w:rPr>
                <w:lang w:val="da-DK"/>
              </w:rPr>
              <w:t>Venstresidig</w:t>
            </w:r>
            <w:proofErr w:type="spellEnd"/>
            <w:r>
              <w:rPr>
                <w:lang w:val="da-DK"/>
              </w:rPr>
              <w:t xml:space="preserve"> hjertesvigt, atrieflimren  </w:t>
            </w:r>
          </w:p>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rPr>
                <w:lang w:val="da-DK"/>
              </w:rPr>
            </w:pPr>
            <w:proofErr w:type="spellStart"/>
            <w:r>
              <w:rPr>
                <w:lang w:val="da-DK"/>
              </w:rPr>
              <w:t>Takykardi</w:t>
            </w:r>
            <w:proofErr w:type="spellEnd"/>
            <w:r>
              <w:rPr>
                <w:lang w:val="da-DK"/>
              </w:rPr>
              <w:t>.</w:t>
            </w:r>
          </w:p>
        </w:tc>
      </w:tr>
      <w:tr w:rsidR="00D57F1D" w:rsidTr="00D57F1D">
        <w:tc>
          <w:tcPr>
            <w:tcW w:w="5070"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b/>
                <w:lang w:val="da-DK"/>
              </w:rPr>
            </w:pPr>
            <w:proofErr w:type="spellStart"/>
            <w:r>
              <w:rPr>
                <w:b/>
                <w:lang w:val="da-DK"/>
              </w:rPr>
              <w:t>Vaskulære</w:t>
            </w:r>
            <w:proofErr w:type="spellEnd"/>
            <w:r>
              <w:rPr>
                <w:b/>
                <w:lang w:val="da-DK"/>
              </w:rPr>
              <w:t xml:space="preserve"> sygdomme</w:t>
            </w:r>
          </w:p>
          <w:p w:rsidR="00D57F1D" w:rsidRDefault="00D57F1D">
            <w:pPr>
              <w:pStyle w:val="Paragraph"/>
              <w:overflowPunct w:val="0"/>
              <w:autoSpaceDE w:val="0"/>
              <w:autoSpaceDN w:val="0"/>
              <w:adjustRightInd w:val="0"/>
              <w:spacing w:after="0"/>
              <w:textAlignment w:val="baseline"/>
              <w:rPr>
                <w:i/>
                <w:lang w:val="da-DK"/>
              </w:rPr>
            </w:pPr>
            <w:r>
              <w:rPr>
                <w:i/>
                <w:lang w:val="da-DK"/>
              </w:rPr>
              <w:t>Almindelig</w:t>
            </w:r>
          </w:p>
          <w:p w:rsidR="00D57F1D" w:rsidRDefault="00D57F1D">
            <w:pPr>
              <w:pStyle w:val="Paragraph"/>
              <w:overflowPunct w:val="0"/>
              <w:autoSpaceDE w:val="0"/>
              <w:autoSpaceDN w:val="0"/>
              <w:adjustRightInd w:val="0"/>
              <w:spacing w:after="0"/>
              <w:textAlignment w:val="baseline"/>
              <w:rPr>
                <w:i/>
                <w:lang w:val="da-DK"/>
              </w:rPr>
            </w:pPr>
          </w:p>
          <w:p w:rsidR="00D57F1D" w:rsidRDefault="00D57F1D">
            <w:pPr>
              <w:pStyle w:val="Paragraph"/>
              <w:overflowPunct w:val="0"/>
              <w:autoSpaceDE w:val="0"/>
              <w:autoSpaceDN w:val="0"/>
              <w:adjustRightInd w:val="0"/>
              <w:spacing w:after="0"/>
              <w:textAlignment w:val="baseline"/>
              <w:rPr>
                <w:lang w:val="da-DK"/>
              </w:rPr>
            </w:pPr>
            <w:r>
              <w:rPr>
                <w:i/>
                <w:lang w:val="da-DK"/>
              </w:rPr>
              <w:t>Ikke almindelige</w:t>
            </w:r>
          </w:p>
        </w:tc>
        <w:tc>
          <w:tcPr>
            <w:tcW w:w="4217"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rPr>
                <w:lang w:val="da-DK"/>
              </w:rPr>
            </w:pPr>
            <w:r>
              <w:rPr>
                <w:lang w:val="da-DK"/>
              </w:rPr>
              <w:t>Hypotension.</w:t>
            </w:r>
          </w:p>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rPr>
                <w:lang w:val="da-DK"/>
              </w:rPr>
            </w:pPr>
            <w:r>
              <w:rPr>
                <w:lang w:val="da-DK"/>
              </w:rPr>
              <w:t xml:space="preserve">Arteriel trombose i ekstremiteter, </w:t>
            </w:r>
            <w:proofErr w:type="spellStart"/>
            <w:r>
              <w:rPr>
                <w:lang w:val="da-DK"/>
              </w:rPr>
              <w:t>ortostatisk</w:t>
            </w:r>
            <w:proofErr w:type="spellEnd"/>
            <w:r>
              <w:rPr>
                <w:lang w:val="da-DK"/>
              </w:rPr>
              <w:t xml:space="preserve"> hypotension.</w:t>
            </w:r>
          </w:p>
        </w:tc>
      </w:tr>
      <w:tr w:rsidR="00D57F1D" w:rsidTr="00D57F1D">
        <w:tc>
          <w:tcPr>
            <w:tcW w:w="5070" w:type="dxa"/>
            <w:tcBorders>
              <w:top w:val="single" w:sz="4" w:space="0" w:color="auto"/>
              <w:left w:val="single" w:sz="4" w:space="0" w:color="auto"/>
              <w:bottom w:val="single" w:sz="4" w:space="0" w:color="auto"/>
              <w:right w:val="single" w:sz="4" w:space="0" w:color="auto"/>
            </w:tcBorders>
            <w:hideMark/>
          </w:tcPr>
          <w:p w:rsidR="00D57F1D" w:rsidRDefault="00D57F1D">
            <w:pPr>
              <w:pStyle w:val="Paragraph"/>
              <w:overflowPunct w:val="0"/>
              <w:autoSpaceDE w:val="0"/>
              <w:autoSpaceDN w:val="0"/>
              <w:adjustRightInd w:val="0"/>
              <w:spacing w:after="0"/>
              <w:textAlignment w:val="baseline"/>
              <w:rPr>
                <w:b/>
                <w:lang w:val="da-DK"/>
              </w:rPr>
            </w:pPr>
            <w:r>
              <w:rPr>
                <w:b/>
                <w:lang w:val="da-DK"/>
              </w:rPr>
              <w:t xml:space="preserve">Luftveje, thorax og </w:t>
            </w:r>
            <w:proofErr w:type="spellStart"/>
            <w:r>
              <w:rPr>
                <w:b/>
                <w:lang w:val="da-DK"/>
              </w:rPr>
              <w:t>mediastinum</w:t>
            </w:r>
            <w:proofErr w:type="spellEnd"/>
          </w:p>
          <w:p w:rsidR="00D57F1D" w:rsidRDefault="00D57F1D">
            <w:pPr>
              <w:pStyle w:val="Paragraph"/>
              <w:overflowPunct w:val="0"/>
              <w:autoSpaceDE w:val="0"/>
              <w:autoSpaceDN w:val="0"/>
              <w:adjustRightInd w:val="0"/>
              <w:spacing w:after="0"/>
              <w:textAlignment w:val="baseline"/>
              <w:rPr>
                <w:i/>
                <w:lang w:val="da-DK"/>
              </w:rPr>
            </w:pPr>
            <w:r>
              <w:rPr>
                <w:i/>
                <w:lang w:val="da-DK"/>
              </w:rPr>
              <w:t>Almindelig</w:t>
            </w:r>
          </w:p>
        </w:tc>
        <w:tc>
          <w:tcPr>
            <w:tcW w:w="4217"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pPr>
            <w:r>
              <w:rPr>
                <w:lang w:val="da-DK"/>
              </w:rPr>
              <w:t>Hoste.</w:t>
            </w:r>
          </w:p>
        </w:tc>
      </w:tr>
      <w:tr w:rsidR="00D57F1D" w:rsidTr="00D57F1D">
        <w:tc>
          <w:tcPr>
            <w:tcW w:w="5070"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b/>
                <w:lang w:val="da-DK"/>
              </w:rPr>
            </w:pPr>
            <w:r>
              <w:rPr>
                <w:b/>
                <w:lang w:val="da-DK"/>
              </w:rPr>
              <w:t>Mave-tarm-kanalen</w:t>
            </w:r>
          </w:p>
          <w:p w:rsidR="00D57F1D" w:rsidRDefault="00D57F1D">
            <w:pPr>
              <w:pStyle w:val="Paragraph"/>
              <w:overflowPunct w:val="0"/>
              <w:autoSpaceDE w:val="0"/>
              <w:autoSpaceDN w:val="0"/>
              <w:adjustRightInd w:val="0"/>
              <w:spacing w:after="0"/>
              <w:textAlignment w:val="baseline"/>
              <w:rPr>
                <w:i/>
                <w:lang w:val="da-DK"/>
              </w:rPr>
            </w:pPr>
            <w:r>
              <w:rPr>
                <w:i/>
                <w:lang w:val="da-DK"/>
              </w:rPr>
              <w:t>Almindelige</w:t>
            </w:r>
          </w:p>
          <w:p w:rsidR="00D57F1D" w:rsidRDefault="00D57F1D">
            <w:pPr>
              <w:pStyle w:val="Paragraph"/>
              <w:overflowPunct w:val="0"/>
              <w:autoSpaceDE w:val="0"/>
              <w:autoSpaceDN w:val="0"/>
              <w:adjustRightInd w:val="0"/>
              <w:spacing w:after="0"/>
              <w:textAlignment w:val="baseline"/>
              <w:rPr>
                <w:i/>
                <w:lang w:val="da-DK"/>
              </w:rPr>
            </w:pPr>
          </w:p>
          <w:p w:rsidR="00D57F1D" w:rsidRDefault="00D57F1D">
            <w:pPr>
              <w:pStyle w:val="Paragraph"/>
              <w:overflowPunct w:val="0"/>
              <w:autoSpaceDE w:val="0"/>
              <w:autoSpaceDN w:val="0"/>
              <w:adjustRightInd w:val="0"/>
              <w:spacing w:after="0"/>
              <w:textAlignment w:val="baseline"/>
              <w:rPr>
                <w:lang w:val="da-DK"/>
              </w:rPr>
            </w:pPr>
            <w:r>
              <w:rPr>
                <w:i/>
                <w:lang w:val="da-DK"/>
              </w:rPr>
              <w:t>Ikke almindelige</w:t>
            </w:r>
          </w:p>
        </w:tc>
        <w:tc>
          <w:tcPr>
            <w:tcW w:w="4217"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rPr>
                <w:lang w:val="da-DK"/>
              </w:rPr>
            </w:pPr>
            <w:r>
              <w:rPr>
                <w:lang w:val="da-DK"/>
              </w:rPr>
              <w:t>Diarré, kvalme, obstipation, opkastning.</w:t>
            </w:r>
          </w:p>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rPr>
                <w:lang w:val="da-DK"/>
              </w:rPr>
            </w:pPr>
            <w:proofErr w:type="spellStart"/>
            <w:r>
              <w:rPr>
                <w:lang w:val="da-DK"/>
              </w:rPr>
              <w:t>Flatulens</w:t>
            </w:r>
            <w:proofErr w:type="spellEnd"/>
            <w:r>
              <w:rPr>
                <w:lang w:val="da-DK"/>
              </w:rPr>
              <w:t>.</w:t>
            </w:r>
          </w:p>
        </w:tc>
      </w:tr>
      <w:tr w:rsidR="00D57F1D" w:rsidTr="00D57F1D">
        <w:tc>
          <w:tcPr>
            <w:tcW w:w="5070" w:type="dxa"/>
            <w:tcBorders>
              <w:top w:val="single" w:sz="4" w:space="0" w:color="auto"/>
              <w:left w:val="single" w:sz="4" w:space="0" w:color="auto"/>
              <w:bottom w:val="single" w:sz="4" w:space="0" w:color="auto"/>
              <w:right w:val="single" w:sz="4" w:space="0" w:color="auto"/>
            </w:tcBorders>
          </w:tcPr>
          <w:p w:rsidR="00D57F1D" w:rsidRDefault="00D57F1D">
            <w:pPr>
              <w:pStyle w:val="ListNoBullet"/>
              <w:rPr>
                <w:b/>
                <w:szCs w:val="24"/>
              </w:rPr>
            </w:pPr>
            <w:r>
              <w:rPr>
                <w:b/>
                <w:szCs w:val="24"/>
              </w:rPr>
              <w:t>Hud og subkutane væv</w:t>
            </w:r>
          </w:p>
          <w:p w:rsidR="00D57F1D" w:rsidRDefault="00D57F1D">
            <w:pPr>
              <w:pStyle w:val="Paragraph"/>
              <w:overflowPunct w:val="0"/>
              <w:autoSpaceDE w:val="0"/>
              <w:autoSpaceDN w:val="0"/>
              <w:adjustRightInd w:val="0"/>
              <w:spacing w:after="0"/>
              <w:textAlignment w:val="baseline"/>
              <w:rPr>
                <w:i/>
                <w:lang w:val="da-DK"/>
              </w:rPr>
            </w:pPr>
            <w:r>
              <w:rPr>
                <w:i/>
                <w:lang w:val="da-DK"/>
              </w:rPr>
              <w:t>Almindelige</w:t>
            </w:r>
          </w:p>
          <w:p w:rsidR="00D57F1D" w:rsidRDefault="00D57F1D">
            <w:pPr>
              <w:pStyle w:val="Paragraph"/>
              <w:overflowPunct w:val="0"/>
              <w:autoSpaceDE w:val="0"/>
              <w:autoSpaceDN w:val="0"/>
              <w:adjustRightInd w:val="0"/>
              <w:spacing w:after="0"/>
              <w:textAlignment w:val="baseline"/>
              <w:rPr>
                <w:i/>
                <w:lang w:val="da-DK"/>
              </w:rPr>
            </w:pPr>
          </w:p>
          <w:p w:rsidR="00D57F1D" w:rsidRDefault="00D57F1D">
            <w:pPr>
              <w:pStyle w:val="Paragraph"/>
              <w:overflowPunct w:val="0"/>
              <w:autoSpaceDE w:val="0"/>
              <w:autoSpaceDN w:val="0"/>
              <w:adjustRightInd w:val="0"/>
              <w:spacing w:after="0"/>
              <w:textAlignment w:val="baseline"/>
              <w:rPr>
                <w:lang w:val="da-DK"/>
              </w:rPr>
            </w:pPr>
            <w:r>
              <w:rPr>
                <w:i/>
                <w:lang w:val="da-DK"/>
              </w:rPr>
              <w:t>Ikke almindelig</w:t>
            </w:r>
          </w:p>
        </w:tc>
        <w:tc>
          <w:tcPr>
            <w:tcW w:w="4217"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ListNoBullet"/>
              <w:rPr>
                <w:szCs w:val="24"/>
              </w:rPr>
            </w:pPr>
            <w:r>
              <w:rPr>
                <w:szCs w:val="24"/>
              </w:rPr>
              <w:t>Udslæt, kløe.</w:t>
            </w:r>
          </w:p>
          <w:p w:rsidR="00D57F1D" w:rsidRDefault="00D57F1D">
            <w:pPr>
              <w:pStyle w:val="ListNoBullet"/>
              <w:rPr>
                <w:szCs w:val="24"/>
              </w:rPr>
            </w:pPr>
          </w:p>
          <w:p w:rsidR="00D57F1D" w:rsidRDefault="00D57F1D">
            <w:pPr>
              <w:pStyle w:val="ListNoBullet"/>
            </w:pPr>
            <w:proofErr w:type="spellStart"/>
            <w:r>
              <w:t>Angioødem</w:t>
            </w:r>
            <w:proofErr w:type="spellEnd"/>
            <w:r>
              <w:t>,</w:t>
            </w:r>
            <w:r>
              <w:rPr>
                <w:szCs w:val="24"/>
              </w:rPr>
              <w:t xml:space="preserve"> </w:t>
            </w:r>
            <w:proofErr w:type="spellStart"/>
            <w:r>
              <w:rPr>
                <w:szCs w:val="24"/>
              </w:rPr>
              <w:t>hyperhidrose</w:t>
            </w:r>
            <w:proofErr w:type="spellEnd"/>
            <w:r>
              <w:t>.</w:t>
            </w:r>
          </w:p>
        </w:tc>
      </w:tr>
      <w:tr w:rsidR="00D57F1D" w:rsidTr="00D57F1D">
        <w:tc>
          <w:tcPr>
            <w:tcW w:w="5070" w:type="dxa"/>
            <w:tcBorders>
              <w:top w:val="single" w:sz="4" w:space="0" w:color="auto"/>
              <w:left w:val="single" w:sz="4" w:space="0" w:color="auto"/>
              <w:bottom w:val="single" w:sz="4" w:space="0" w:color="auto"/>
              <w:right w:val="single" w:sz="4" w:space="0" w:color="auto"/>
            </w:tcBorders>
          </w:tcPr>
          <w:p w:rsidR="00D57F1D" w:rsidRDefault="00D57F1D">
            <w:pPr>
              <w:pStyle w:val="ListNoBullet"/>
              <w:rPr>
                <w:b/>
                <w:szCs w:val="24"/>
              </w:rPr>
            </w:pPr>
            <w:r>
              <w:rPr>
                <w:b/>
                <w:szCs w:val="24"/>
              </w:rPr>
              <w:t>Knogler, led, muskler og bindevæv</w:t>
            </w:r>
          </w:p>
          <w:p w:rsidR="00D57F1D" w:rsidRDefault="00D57F1D">
            <w:pPr>
              <w:pStyle w:val="Paragraph"/>
              <w:overflowPunct w:val="0"/>
              <w:autoSpaceDE w:val="0"/>
              <w:autoSpaceDN w:val="0"/>
              <w:adjustRightInd w:val="0"/>
              <w:spacing w:after="0"/>
              <w:textAlignment w:val="baseline"/>
              <w:rPr>
                <w:i/>
                <w:lang w:val="da-DK"/>
              </w:rPr>
            </w:pPr>
            <w:r>
              <w:rPr>
                <w:i/>
                <w:lang w:val="da-DK"/>
              </w:rPr>
              <w:t>Almindelige</w:t>
            </w:r>
          </w:p>
          <w:p w:rsidR="00D57F1D" w:rsidRDefault="00D57F1D">
            <w:pPr>
              <w:pStyle w:val="Paragraph"/>
              <w:overflowPunct w:val="0"/>
              <w:autoSpaceDE w:val="0"/>
              <w:autoSpaceDN w:val="0"/>
              <w:adjustRightInd w:val="0"/>
              <w:spacing w:after="0"/>
              <w:textAlignment w:val="baseline"/>
              <w:rPr>
                <w:i/>
                <w:lang w:val="da-DK"/>
              </w:rPr>
            </w:pPr>
          </w:p>
          <w:p w:rsidR="00D57F1D" w:rsidRDefault="00D57F1D">
            <w:pPr>
              <w:pStyle w:val="Paragraph"/>
              <w:overflowPunct w:val="0"/>
              <w:autoSpaceDE w:val="0"/>
              <w:autoSpaceDN w:val="0"/>
              <w:adjustRightInd w:val="0"/>
              <w:spacing w:after="0"/>
              <w:textAlignment w:val="baseline"/>
            </w:pPr>
            <w:r>
              <w:rPr>
                <w:i/>
                <w:lang w:val="da-DK"/>
              </w:rPr>
              <w:t>Ikke almindelig</w:t>
            </w:r>
          </w:p>
        </w:tc>
        <w:tc>
          <w:tcPr>
            <w:tcW w:w="4217"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rPr>
                <w:lang w:val="da-DK"/>
              </w:rPr>
            </w:pPr>
            <w:r>
              <w:rPr>
                <w:lang w:val="da-DK"/>
              </w:rPr>
              <w:t xml:space="preserve">Muskelkramper, rygsmerter. </w:t>
            </w:r>
          </w:p>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rPr>
                <w:lang w:val="da-DK"/>
              </w:rPr>
            </w:pPr>
            <w:proofErr w:type="spellStart"/>
            <w:r>
              <w:rPr>
                <w:lang w:val="da-DK"/>
              </w:rPr>
              <w:t>Muskuloskeletale</w:t>
            </w:r>
            <w:proofErr w:type="spellEnd"/>
            <w:r>
              <w:rPr>
                <w:lang w:val="da-DK"/>
              </w:rPr>
              <w:t xml:space="preserve"> smerter.</w:t>
            </w:r>
          </w:p>
        </w:tc>
      </w:tr>
      <w:tr w:rsidR="00D57F1D" w:rsidTr="00D57F1D">
        <w:tc>
          <w:tcPr>
            <w:tcW w:w="5070" w:type="dxa"/>
            <w:tcBorders>
              <w:top w:val="single" w:sz="4" w:space="0" w:color="auto"/>
              <w:left w:val="single" w:sz="4" w:space="0" w:color="auto"/>
              <w:bottom w:val="single" w:sz="4" w:space="0" w:color="auto"/>
              <w:right w:val="single" w:sz="4" w:space="0" w:color="auto"/>
            </w:tcBorders>
            <w:hideMark/>
          </w:tcPr>
          <w:p w:rsidR="00D57F1D" w:rsidRDefault="00D57F1D">
            <w:pPr>
              <w:pStyle w:val="ListNoBullet"/>
              <w:rPr>
                <w:b/>
                <w:szCs w:val="24"/>
              </w:rPr>
            </w:pPr>
            <w:r>
              <w:rPr>
                <w:b/>
                <w:szCs w:val="24"/>
              </w:rPr>
              <w:t>Nyrer og urinveje</w:t>
            </w:r>
          </w:p>
          <w:p w:rsidR="00D57F1D" w:rsidRDefault="00D57F1D">
            <w:pPr>
              <w:pStyle w:val="Paragraph"/>
              <w:overflowPunct w:val="0"/>
              <w:autoSpaceDE w:val="0"/>
              <w:autoSpaceDN w:val="0"/>
              <w:adjustRightInd w:val="0"/>
              <w:spacing w:after="0"/>
              <w:textAlignment w:val="baseline"/>
              <w:rPr>
                <w:i/>
                <w:lang w:val="da-DK"/>
              </w:rPr>
            </w:pPr>
            <w:r>
              <w:rPr>
                <w:i/>
                <w:lang w:val="da-DK"/>
              </w:rPr>
              <w:t>Almindelig</w:t>
            </w:r>
          </w:p>
        </w:tc>
        <w:tc>
          <w:tcPr>
            <w:tcW w:w="4217"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rPr>
                <w:lang w:val="da-DK"/>
              </w:rPr>
            </w:pPr>
            <w:r>
              <w:rPr>
                <w:lang w:val="da-DK"/>
              </w:rPr>
              <w:t>Nedsat nyrefunktion (se pkt. 4.4 og 4.5).</w:t>
            </w:r>
          </w:p>
        </w:tc>
      </w:tr>
      <w:tr w:rsidR="00D57F1D" w:rsidTr="00D57F1D">
        <w:tc>
          <w:tcPr>
            <w:tcW w:w="5070" w:type="dxa"/>
            <w:tcBorders>
              <w:top w:val="single" w:sz="4" w:space="0" w:color="auto"/>
              <w:left w:val="single" w:sz="4" w:space="0" w:color="auto"/>
              <w:bottom w:val="single" w:sz="4" w:space="0" w:color="auto"/>
              <w:right w:val="single" w:sz="4" w:space="0" w:color="auto"/>
            </w:tcBorders>
            <w:hideMark/>
          </w:tcPr>
          <w:p w:rsidR="00D57F1D" w:rsidRDefault="00D57F1D">
            <w:pPr>
              <w:pStyle w:val="Paragraph"/>
              <w:spacing w:after="0"/>
              <w:rPr>
                <w:b/>
                <w:lang w:val="da-DK"/>
              </w:rPr>
            </w:pPr>
            <w:r>
              <w:rPr>
                <w:b/>
                <w:lang w:val="da-DK"/>
              </w:rPr>
              <w:t>Lever og galdeveje</w:t>
            </w:r>
          </w:p>
          <w:p w:rsidR="00D57F1D" w:rsidRDefault="00D57F1D">
            <w:pPr>
              <w:pStyle w:val="Paragraph"/>
              <w:spacing w:after="0"/>
              <w:rPr>
                <w:lang w:val="da-DK"/>
              </w:rPr>
            </w:pPr>
            <w:r>
              <w:rPr>
                <w:i/>
                <w:lang w:val="da-DK"/>
              </w:rPr>
              <w:t>Ikke almindelig</w:t>
            </w:r>
          </w:p>
        </w:tc>
        <w:tc>
          <w:tcPr>
            <w:tcW w:w="4217"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pPr>
            <w:proofErr w:type="spellStart"/>
            <w:r>
              <w:rPr>
                <w:lang w:val="da-DK"/>
              </w:rPr>
              <w:t>Cholecystitis</w:t>
            </w:r>
            <w:proofErr w:type="spellEnd"/>
            <w:r>
              <w:rPr>
                <w:lang w:val="da-DK"/>
              </w:rPr>
              <w:t>.</w:t>
            </w:r>
          </w:p>
        </w:tc>
      </w:tr>
      <w:tr w:rsidR="00D57F1D" w:rsidTr="00D57F1D">
        <w:trPr>
          <w:trHeight w:val="525"/>
        </w:trPr>
        <w:tc>
          <w:tcPr>
            <w:tcW w:w="5070" w:type="dxa"/>
            <w:tcBorders>
              <w:top w:val="single" w:sz="4" w:space="0" w:color="auto"/>
              <w:left w:val="single" w:sz="4" w:space="0" w:color="auto"/>
              <w:bottom w:val="single" w:sz="4" w:space="0" w:color="auto"/>
              <w:right w:val="single" w:sz="4" w:space="0" w:color="auto"/>
            </w:tcBorders>
            <w:hideMark/>
          </w:tcPr>
          <w:p w:rsidR="00D57F1D" w:rsidRDefault="00D57F1D">
            <w:pPr>
              <w:pStyle w:val="ListNoBullet"/>
              <w:rPr>
                <w:b/>
                <w:szCs w:val="24"/>
                <w:lang w:eastAsia="en-GB"/>
              </w:rPr>
            </w:pPr>
            <w:r>
              <w:rPr>
                <w:b/>
                <w:szCs w:val="24"/>
              </w:rPr>
              <w:t>Det reproduktive system og mammae</w:t>
            </w:r>
          </w:p>
          <w:p w:rsidR="00D57F1D" w:rsidRDefault="00D57F1D">
            <w:pPr>
              <w:pStyle w:val="Paragraph"/>
              <w:overflowPunct w:val="0"/>
              <w:autoSpaceDE w:val="0"/>
              <w:autoSpaceDN w:val="0"/>
              <w:adjustRightInd w:val="0"/>
              <w:spacing w:after="0"/>
              <w:textAlignment w:val="baseline"/>
              <w:rPr>
                <w:lang w:val="da-DK"/>
              </w:rPr>
            </w:pPr>
            <w:r>
              <w:rPr>
                <w:i/>
                <w:lang w:val="da-DK"/>
              </w:rPr>
              <w:t>Ikke almindelig</w:t>
            </w:r>
          </w:p>
        </w:tc>
        <w:tc>
          <w:tcPr>
            <w:tcW w:w="4217"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pPr>
            <w:proofErr w:type="spellStart"/>
            <w:r>
              <w:rPr>
                <w:lang w:val="da-DK"/>
              </w:rPr>
              <w:t>Gynækomasti</w:t>
            </w:r>
            <w:proofErr w:type="spellEnd"/>
            <w:r>
              <w:rPr>
                <w:lang w:val="da-DK"/>
              </w:rPr>
              <w:t>.</w:t>
            </w:r>
          </w:p>
        </w:tc>
      </w:tr>
      <w:tr w:rsidR="00D57F1D" w:rsidTr="00D57F1D">
        <w:tc>
          <w:tcPr>
            <w:tcW w:w="5070" w:type="dxa"/>
            <w:tcBorders>
              <w:top w:val="single" w:sz="4" w:space="0" w:color="auto"/>
              <w:left w:val="single" w:sz="4" w:space="0" w:color="auto"/>
              <w:bottom w:val="single" w:sz="4" w:space="0" w:color="auto"/>
              <w:right w:val="single" w:sz="4" w:space="0" w:color="auto"/>
            </w:tcBorders>
          </w:tcPr>
          <w:p w:rsidR="00D57F1D" w:rsidRDefault="00D57F1D">
            <w:pPr>
              <w:pStyle w:val="ListNoBullet"/>
              <w:keepNext/>
              <w:rPr>
                <w:b/>
                <w:szCs w:val="24"/>
              </w:rPr>
            </w:pPr>
            <w:r>
              <w:rPr>
                <w:b/>
                <w:szCs w:val="24"/>
              </w:rPr>
              <w:lastRenderedPageBreak/>
              <w:t>Almene symptomer og reaktioner på administrationsstedet</w:t>
            </w:r>
          </w:p>
          <w:p w:rsidR="00D57F1D" w:rsidRDefault="00D57F1D">
            <w:pPr>
              <w:pStyle w:val="Paragraph"/>
              <w:overflowPunct w:val="0"/>
              <w:autoSpaceDE w:val="0"/>
              <w:autoSpaceDN w:val="0"/>
              <w:adjustRightInd w:val="0"/>
              <w:spacing w:after="0"/>
              <w:textAlignment w:val="baseline"/>
              <w:rPr>
                <w:i/>
                <w:lang w:val="da-DK"/>
              </w:rPr>
            </w:pPr>
            <w:r>
              <w:rPr>
                <w:i/>
                <w:lang w:val="da-DK"/>
              </w:rPr>
              <w:t>Almindelig</w:t>
            </w:r>
          </w:p>
          <w:p w:rsidR="00D57F1D" w:rsidRDefault="00D57F1D">
            <w:pPr>
              <w:pStyle w:val="Paragraph"/>
              <w:overflowPunct w:val="0"/>
              <w:autoSpaceDE w:val="0"/>
              <w:autoSpaceDN w:val="0"/>
              <w:adjustRightInd w:val="0"/>
              <w:spacing w:after="0"/>
              <w:textAlignment w:val="baseline"/>
              <w:rPr>
                <w:i/>
                <w:lang w:val="da-DK"/>
              </w:rPr>
            </w:pPr>
          </w:p>
          <w:p w:rsidR="00D57F1D" w:rsidRDefault="00D57F1D">
            <w:pPr>
              <w:pStyle w:val="Paragraph"/>
              <w:overflowPunct w:val="0"/>
              <w:autoSpaceDE w:val="0"/>
              <w:autoSpaceDN w:val="0"/>
              <w:adjustRightInd w:val="0"/>
              <w:spacing w:after="0"/>
              <w:textAlignment w:val="baseline"/>
              <w:rPr>
                <w:lang w:val="da-DK"/>
              </w:rPr>
            </w:pPr>
            <w:r>
              <w:rPr>
                <w:i/>
                <w:lang w:val="da-DK"/>
              </w:rPr>
              <w:t>Ikke almindelige</w:t>
            </w:r>
          </w:p>
        </w:tc>
        <w:tc>
          <w:tcPr>
            <w:tcW w:w="4217"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rPr>
                <w:lang w:val="da-DK"/>
              </w:rPr>
            </w:pPr>
            <w:r>
              <w:rPr>
                <w:lang w:val="da-DK"/>
              </w:rPr>
              <w:t>Asteni.</w:t>
            </w:r>
          </w:p>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pPr>
            <w:r>
              <w:rPr>
                <w:lang w:val="da-DK"/>
              </w:rPr>
              <w:t>Utilpashed.</w:t>
            </w:r>
          </w:p>
        </w:tc>
      </w:tr>
      <w:tr w:rsidR="00D57F1D" w:rsidTr="00D57F1D">
        <w:tc>
          <w:tcPr>
            <w:tcW w:w="5070" w:type="dxa"/>
            <w:tcBorders>
              <w:top w:val="single" w:sz="4" w:space="0" w:color="auto"/>
              <w:left w:val="single" w:sz="4" w:space="0" w:color="auto"/>
              <w:bottom w:val="single" w:sz="4" w:space="0" w:color="auto"/>
              <w:right w:val="single" w:sz="4" w:space="0" w:color="auto"/>
            </w:tcBorders>
          </w:tcPr>
          <w:p w:rsidR="00D57F1D" w:rsidRDefault="00D57F1D">
            <w:pPr>
              <w:pStyle w:val="ListNoBullet"/>
              <w:keepNext/>
              <w:rPr>
                <w:b/>
                <w:szCs w:val="24"/>
              </w:rPr>
            </w:pPr>
            <w:r>
              <w:rPr>
                <w:b/>
                <w:szCs w:val="24"/>
              </w:rPr>
              <w:t>Undersøgelser</w:t>
            </w:r>
          </w:p>
          <w:p w:rsidR="00D57F1D" w:rsidRDefault="00D57F1D">
            <w:pPr>
              <w:pStyle w:val="Paragraph"/>
              <w:keepNext/>
              <w:spacing w:after="0"/>
              <w:rPr>
                <w:iCs/>
              </w:rPr>
            </w:pPr>
            <w:r>
              <w:rPr>
                <w:i/>
                <w:lang w:val="da-DK"/>
              </w:rPr>
              <w:t>Almindelig</w:t>
            </w:r>
          </w:p>
          <w:p w:rsidR="00D57F1D" w:rsidRDefault="00D57F1D">
            <w:pPr>
              <w:pStyle w:val="Paragraph"/>
              <w:spacing w:after="0"/>
              <w:rPr>
                <w:i/>
                <w:lang w:val="da-DK"/>
              </w:rPr>
            </w:pPr>
          </w:p>
          <w:p w:rsidR="00D57F1D" w:rsidRDefault="00D57F1D">
            <w:pPr>
              <w:pStyle w:val="Paragraph"/>
              <w:spacing w:after="0"/>
            </w:pPr>
            <w:r>
              <w:rPr>
                <w:i/>
                <w:lang w:val="da-DK"/>
              </w:rPr>
              <w:t>Ikke almindelige</w:t>
            </w:r>
          </w:p>
          <w:p w:rsidR="00D57F1D" w:rsidRDefault="00D57F1D">
            <w:pPr>
              <w:pStyle w:val="Paragraph"/>
              <w:overflowPunct w:val="0"/>
              <w:autoSpaceDE w:val="0"/>
              <w:autoSpaceDN w:val="0"/>
              <w:adjustRightInd w:val="0"/>
              <w:spacing w:after="0"/>
              <w:textAlignment w:val="baseline"/>
            </w:pPr>
          </w:p>
        </w:tc>
        <w:tc>
          <w:tcPr>
            <w:tcW w:w="4217" w:type="dxa"/>
            <w:tcBorders>
              <w:top w:val="single" w:sz="4" w:space="0" w:color="auto"/>
              <w:left w:val="single" w:sz="4" w:space="0" w:color="auto"/>
              <w:bottom w:val="single" w:sz="4" w:space="0" w:color="auto"/>
              <w:right w:val="single" w:sz="4" w:space="0" w:color="auto"/>
            </w:tcBorders>
          </w:tcPr>
          <w:p w:rsidR="00D57F1D" w:rsidRDefault="00D57F1D">
            <w:pPr>
              <w:pStyle w:val="Paragraph"/>
              <w:overflowPunct w:val="0"/>
              <w:autoSpaceDE w:val="0"/>
              <w:autoSpaceDN w:val="0"/>
              <w:adjustRightInd w:val="0"/>
              <w:spacing w:after="0"/>
              <w:textAlignment w:val="baseline"/>
              <w:rPr>
                <w:iCs/>
                <w:lang w:val="da-DK"/>
              </w:rPr>
            </w:pPr>
          </w:p>
          <w:p w:rsidR="00D57F1D" w:rsidRDefault="00D57F1D">
            <w:pPr>
              <w:pStyle w:val="Paragraph"/>
              <w:overflowPunct w:val="0"/>
              <w:autoSpaceDE w:val="0"/>
              <w:autoSpaceDN w:val="0"/>
              <w:adjustRightInd w:val="0"/>
              <w:spacing w:after="0"/>
              <w:textAlignment w:val="baseline"/>
              <w:rPr>
                <w:lang w:val="da-DK"/>
              </w:rPr>
            </w:pPr>
            <w:r>
              <w:rPr>
                <w:lang w:val="da-DK"/>
              </w:rPr>
              <w:t xml:space="preserve">Stigning i </w:t>
            </w:r>
            <w:proofErr w:type="spellStart"/>
            <w:r>
              <w:rPr>
                <w:lang w:val="da-DK"/>
              </w:rPr>
              <w:t>carbamid</w:t>
            </w:r>
            <w:proofErr w:type="spellEnd"/>
            <w:r>
              <w:rPr>
                <w:lang w:val="da-DK"/>
              </w:rPr>
              <w:t xml:space="preserve"> (BUN), øget </w:t>
            </w:r>
            <w:proofErr w:type="spellStart"/>
            <w:r>
              <w:rPr>
                <w:lang w:val="da-DK"/>
              </w:rPr>
              <w:t>kreatinin</w:t>
            </w:r>
            <w:proofErr w:type="spellEnd"/>
            <w:r>
              <w:rPr>
                <w:lang w:val="da-DK"/>
              </w:rPr>
              <w:t xml:space="preserve">. </w:t>
            </w:r>
          </w:p>
          <w:p w:rsidR="00D57F1D" w:rsidRDefault="00D57F1D">
            <w:pPr>
              <w:pStyle w:val="Paragraph"/>
              <w:overflowPunct w:val="0"/>
              <w:autoSpaceDE w:val="0"/>
              <w:autoSpaceDN w:val="0"/>
              <w:adjustRightInd w:val="0"/>
              <w:spacing w:after="0"/>
              <w:textAlignment w:val="baseline"/>
              <w:rPr>
                <w:lang w:val="da-DK"/>
              </w:rPr>
            </w:pPr>
          </w:p>
          <w:p w:rsidR="00D57F1D" w:rsidRDefault="00D57F1D">
            <w:pPr>
              <w:pStyle w:val="Paragraph"/>
              <w:overflowPunct w:val="0"/>
              <w:autoSpaceDE w:val="0"/>
              <w:autoSpaceDN w:val="0"/>
              <w:adjustRightInd w:val="0"/>
              <w:spacing w:after="0"/>
              <w:textAlignment w:val="baseline"/>
              <w:rPr>
                <w:lang w:val="da-DK"/>
              </w:rPr>
            </w:pPr>
            <w:r>
              <w:rPr>
                <w:lang w:val="da-DK"/>
              </w:rPr>
              <w:t xml:space="preserve">Nedsat </w:t>
            </w:r>
            <w:proofErr w:type="spellStart"/>
            <w:r>
              <w:rPr>
                <w:lang w:val="da-DK"/>
              </w:rPr>
              <w:t>epidermal</w:t>
            </w:r>
            <w:proofErr w:type="spellEnd"/>
            <w:r>
              <w:rPr>
                <w:lang w:val="da-DK"/>
              </w:rPr>
              <w:t xml:space="preserve"> vækstfaktor, stigning i blodsukker.</w:t>
            </w:r>
          </w:p>
        </w:tc>
      </w:tr>
    </w:tbl>
    <w:p w:rsidR="00D57F1D" w:rsidRDefault="00D57F1D" w:rsidP="00D57F1D">
      <w:pPr>
        <w:autoSpaceDE w:val="0"/>
        <w:autoSpaceDN w:val="0"/>
        <w:adjustRightInd w:val="0"/>
        <w:ind w:left="851"/>
        <w:rPr>
          <w:bCs/>
          <w:sz w:val="24"/>
          <w:szCs w:val="24"/>
          <w:lang w:val="hu-HU" w:eastAsia="hu-HU"/>
        </w:rPr>
      </w:pPr>
    </w:p>
    <w:p w:rsidR="00D57F1D" w:rsidRDefault="00D57F1D" w:rsidP="00D57F1D">
      <w:pPr>
        <w:autoSpaceDE w:val="0"/>
        <w:autoSpaceDN w:val="0"/>
        <w:adjustRightInd w:val="0"/>
        <w:ind w:left="851"/>
        <w:rPr>
          <w:sz w:val="24"/>
          <w:szCs w:val="24"/>
          <w:lang w:val="hu-HU" w:eastAsia="hu-HU"/>
        </w:rPr>
      </w:pPr>
      <w:r>
        <w:rPr>
          <w:sz w:val="24"/>
          <w:szCs w:val="24"/>
          <w:lang w:val="hu-HU" w:eastAsia="hu-HU"/>
        </w:rPr>
        <w:t>I EPHESUS studiet ses numerisk flere tilfælde af apopleksi i gruppen med meget ældre (</w:t>
      </w:r>
      <w:r>
        <w:rPr>
          <w:sz w:val="24"/>
          <w:szCs w:val="24"/>
          <w:u w:val="single"/>
          <w:lang w:val="hu-HU" w:eastAsia="hu-HU"/>
        </w:rPr>
        <w:t>&gt;</w:t>
      </w:r>
      <w:r>
        <w:rPr>
          <w:sz w:val="24"/>
          <w:szCs w:val="24"/>
          <w:lang w:val="hu-HU" w:eastAsia="hu-HU"/>
        </w:rPr>
        <w:t xml:space="preserve"> 75 år). Der er imidlertid ingen statistisk signifikant forskel mellem hyppigheden af apopleksi i eplerenongruppen (30) versus placebogruppen (22). Antallet af slagtilfælde hos de meget ældre (</w:t>
      </w:r>
      <w:r>
        <w:rPr>
          <w:sz w:val="22"/>
          <w:szCs w:val="22"/>
        </w:rPr>
        <w:t>≥ 75 år</w:t>
      </w:r>
      <w:r>
        <w:rPr>
          <w:sz w:val="24"/>
          <w:szCs w:val="24"/>
          <w:lang w:val="hu-HU" w:eastAsia="hu-HU"/>
        </w:rPr>
        <w:t>) i EMPHASIS-HF var 9 i eplerenongruppen og 8 i placebogruppen.</w:t>
      </w:r>
    </w:p>
    <w:p w:rsidR="00D57F1D" w:rsidRDefault="00D57F1D" w:rsidP="00D57F1D">
      <w:pPr>
        <w:autoSpaceDE w:val="0"/>
        <w:autoSpaceDN w:val="0"/>
        <w:adjustRightInd w:val="0"/>
        <w:ind w:left="851"/>
        <w:rPr>
          <w:sz w:val="24"/>
          <w:szCs w:val="24"/>
          <w:lang w:val="hu-HU" w:eastAsia="hu-HU"/>
        </w:rPr>
      </w:pPr>
    </w:p>
    <w:p w:rsidR="00D57F1D" w:rsidRDefault="00D57F1D" w:rsidP="00D57F1D">
      <w:pPr>
        <w:ind w:firstLine="851"/>
        <w:rPr>
          <w:b/>
        </w:rPr>
      </w:pPr>
      <w:r>
        <w:rPr>
          <w:b/>
        </w:rPr>
        <w:t>Indberetning af formodede bivirkninger</w:t>
      </w:r>
    </w:p>
    <w:p w:rsidR="00D57F1D" w:rsidRDefault="00D57F1D" w:rsidP="00D57F1D">
      <w:pPr>
        <w:ind w:left="851"/>
      </w:pPr>
      <w:r>
        <w:t>Når lægemidlet er godkendt, er indberetning af formodede bivirkninger vigtig. Det muliggør løbende overvågning af benefit/</w:t>
      </w:r>
      <w:proofErr w:type="spellStart"/>
      <w:r>
        <w:t>risk</w:t>
      </w:r>
      <w:proofErr w:type="spellEnd"/>
      <w:r>
        <w:t>-forholdet for lægemidlet. Sundhedspersoner anmodes om at indberette alle formodede bivirkninger via:</w:t>
      </w:r>
    </w:p>
    <w:p w:rsidR="00D57F1D" w:rsidRDefault="00D57F1D" w:rsidP="00D57F1D">
      <w:pPr>
        <w:ind w:left="851"/>
      </w:pPr>
    </w:p>
    <w:p w:rsidR="00D57F1D" w:rsidRDefault="00D57F1D" w:rsidP="00D57F1D">
      <w:pPr>
        <w:ind w:firstLine="851"/>
      </w:pPr>
      <w:r>
        <w:t>Lægemiddelstyrelsen</w:t>
      </w:r>
    </w:p>
    <w:p w:rsidR="00D57F1D" w:rsidRDefault="00D57F1D" w:rsidP="00D57F1D">
      <w:pPr>
        <w:ind w:firstLine="851"/>
      </w:pPr>
      <w:r>
        <w:t>Axel Heides Gade 1</w:t>
      </w:r>
    </w:p>
    <w:p w:rsidR="00D57F1D" w:rsidRDefault="00D57F1D" w:rsidP="00D57F1D">
      <w:pPr>
        <w:ind w:firstLine="851"/>
        <w:rPr>
          <w:rFonts w:eastAsia="Calibri"/>
          <w:noProof/>
          <w:lang w:eastAsia="zh-CN"/>
        </w:rPr>
      </w:pPr>
      <w:r>
        <w:rPr>
          <w:rFonts w:eastAsia="Calibri"/>
          <w:noProof/>
          <w:lang w:eastAsia="zh-CN"/>
        </w:rPr>
        <w:t xml:space="preserve">DK-2300 </w:t>
      </w:r>
      <w:r>
        <w:rPr>
          <w:rFonts w:eastAsia="Calibri"/>
          <w:lang w:eastAsia="zh-CN"/>
        </w:rPr>
        <w:t>København S</w:t>
      </w:r>
    </w:p>
    <w:p w:rsidR="00D57F1D" w:rsidRDefault="00D57F1D" w:rsidP="00D57F1D">
      <w:pPr>
        <w:ind w:firstLine="851"/>
        <w:rPr>
          <w:rFonts w:eastAsia="Calibri"/>
          <w:noProof/>
          <w:lang w:eastAsia="zh-CN"/>
        </w:rPr>
      </w:pPr>
      <w:r>
        <w:rPr>
          <w:rFonts w:eastAsia="Calibri"/>
          <w:lang w:eastAsia="zh-CN"/>
        </w:rPr>
        <w:t>Websted</w:t>
      </w:r>
      <w:r>
        <w:rPr>
          <w:rFonts w:eastAsia="Calibri"/>
          <w:noProof/>
          <w:lang w:eastAsia="zh-CN"/>
        </w:rPr>
        <w:t xml:space="preserve">: </w:t>
      </w:r>
      <w:hyperlink r:id="rId9" w:history="1">
        <w:r>
          <w:rPr>
            <w:rStyle w:val="Hyperlink"/>
            <w:rFonts w:eastAsia="Calibri"/>
            <w:noProof/>
            <w:lang w:eastAsia="zh-CN"/>
          </w:rPr>
          <w:t>www.meldenbivirkning.dk</w:t>
        </w:r>
      </w:hyperlink>
    </w:p>
    <w:p w:rsidR="00D44CDE" w:rsidRPr="008E114A" w:rsidRDefault="00D44CDE" w:rsidP="00D44CDE">
      <w:pPr>
        <w:autoSpaceDE w:val="0"/>
        <w:autoSpaceDN w:val="0"/>
        <w:adjustRightInd w:val="0"/>
        <w:ind w:left="851"/>
        <w:rPr>
          <w:sz w:val="24"/>
          <w:szCs w:val="24"/>
          <w:lang w:val="hu-HU" w:eastAsia="hu-HU"/>
        </w:rPr>
      </w:pPr>
    </w:p>
    <w:p w:rsidR="00D44CDE" w:rsidRPr="008E114A" w:rsidRDefault="00D44CDE" w:rsidP="00D44CDE">
      <w:pPr>
        <w:tabs>
          <w:tab w:val="left" w:pos="851"/>
        </w:tabs>
        <w:ind w:left="851" w:hanging="851"/>
        <w:rPr>
          <w:b/>
          <w:sz w:val="24"/>
          <w:szCs w:val="24"/>
        </w:rPr>
      </w:pPr>
      <w:r w:rsidRPr="008E114A">
        <w:rPr>
          <w:b/>
          <w:sz w:val="24"/>
          <w:szCs w:val="24"/>
        </w:rPr>
        <w:t>4.9</w:t>
      </w:r>
      <w:r w:rsidRPr="008E114A">
        <w:rPr>
          <w:b/>
          <w:sz w:val="24"/>
          <w:szCs w:val="24"/>
        </w:rPr>
        <w:tab/>
        <w:t>Overdosering</w:t>
      </w:r>
    </w:p>
    <w:p w:rsidR="00D44CDE" w:rsidRDefault="00D44CDE" w:rsidP="00D44CDE">
      <w:pPr>
        <w:autoSpaceDE w:val="0"/>
        <w:autoSpaceDN w:val="0"/>
        <w:adjustRightInd w:val="0"/>
        <w:ind w:left="851"/>
        <w:rPr>
          <w:sz w:val="24"/>
          <w:szCs w:val="24"/>
          <w:lang w:val="hu-HU" w:eastAsia="hu-HU"/>
        </w:rPr>
      </w:pPr>
      <w:r>
        <w:rPr>
          <w:sz w:val="24"/>
          <w:szCs w:val="24"/>
          <w:lang w:val="hu-HU" w:eastAsia="hu-HU"/>
        </w:rPr>
        <w:t>Der er ikke indberettet nogen tilfælde af bivirkninger ved overdosering med eplerenon hos mennesker. Det mest sandsynlige tegn på overdosering hos mennesker er hypotension eller hyperkaliæmi. Eplerenon kan ikke fjernes ved hæmodialyse. Eplerenon bindes i udstrakt grad til kul. Hvis der opstår symptomatisk hypotension, bør understøttende behandling initieres. Standardbehandling initieres ved udvikling af hyperkaliæmi.</w:t>
      </w:r>
    </w:p>
    <w:p w:rsidR="00D44CDE" w:rsidRPr="004F0F07" w:rsidRDefault="00D44CDE" w:rsidP="00D44CDE">
      <w:pPr>
        <w:tabs>
          <w:tab w:val="left" w:pos="851"/>
        </w:tabs>
        <w:rPr>
          <w:sz w:val="24"/>
          <w:szCs w:val="24"/>
          <w:lang w:val="hu-HU"/>
        </w:rPr>
      </w:pPr>
    </w:p>
    <w:p w:rsidR="00D44CDE" w:rsidRPr="008E114A" w:rsidRDefault="00D44CDE" w:rsidP="00D44CDE">
      <w:pPr>
        <w:tabs>
          <w:tab w:val="left" w:pos="851"/>
        </w:tabs>
        <w:ind w:left="851" w:hanging="851"/>
        <w:rPr>
          <w:b/>
          <w:sz w:val="24"/>
          <w:szCs w:val="24"/>
        </w:rPr>
      </w:pPr>
      <w:r w:rsidRPr="008E114A">
        <w:rPr>
          <w:b/>
          <w:sz w:val="24"/>
          <w:szCs w:val="24"/>
        </w:rPr>
        <w:t>4.10</w:t>
      </w:r>
      <w:r w:rsidRPr="008E114A">
        <w:rPr>
          <w:b/>
          <w:sz w:val="24"/>
          <w:szCs w:val="24"/>
        </w:rPr>
        <w:tab/>
        <w:t>Udlevering</w:t>
      </w:r>
    </w:p>
    <w:p w:rsidR="00D44CDE" w:rsidRPr="008E114A" w:rsidRDefault="00D44CDE" w:rsidP="00D44CDE">
      <w:pPr>
        <w:tabs>
          <w:tab w:val="left" w:pos="851"/>
        </w:tabs>
        <w:ind w:left="851" w:hanging="851"/>
        <w:rPr>
          <w:sz w:val="24"/>
          <w:szCs w:val="24"/>
        </w:rPr>
      </w:pPr>
      <w:r w:rsidRPr="008E114A">
        <w:rPr>
          <w:sz w:val="24"/>
          <w:szCs w:val="24"/>
        </w:rPr>
        <w:tab/>
        <w:t>B</w:t>
      </w:r>
    </w:p>
    <w:p w:rsidR="00D44CDE" w:rsidRPr="008E114A" w:rsidRDefault="00D44CDE" w:rsidP="00D44CDE">
      <w:pPr>
        <w:tabs>
          <w:tab w:val="left" w:pos="851"/>
        </w:tabs>
        <w:rPr>
          <w:sz w:val="24"/>
          <w:szCs w:val="24"/>
        </w:rPr>
      </w:pPr>
    </w:p>
    <w:p w:rsidR="00D44CDE" w:rsidRPr="008E114A" w:rsidRDefault="00D44CDE" w:rsidP="00D44CDE">
      <w:pPr>
        <w:tabs>
          <w:tab w:val="left" w:pos="851"/>
        </w:tabs>
        <w:rPr>
          <w:sz w:val="24"/>
          <w:szCs w:val="24"/>
        </w:rPr>
      </w:pPr>
    </w:p>
    <w:p w:rsidR="00D44CDE" w:rsidRPr="008E114A" w:rsidRDefault="00D44CDE" w:rsidP="00D44CDE">
      <w:pPr>
        <w:tabs>
          <w:tab w:val="left" w:pos="851"/>
        </w:tabs>
        <w:ind w:left="851" w:hanging="851"/>
        <w:rPr>
          <w:b/>
          <w:sz w:val="24"/>
          <w:szCs w:val="24"/>
        </w:rPr>
      </w:pPr>
      <w:r w:rsidRPr="008E114A">
        <w:rPr>
          <w:b/>
          <w:sz w:val="24"/>
          <w:szCs w:val="24"/>
        </w:rPr>
        <w:t>5.</w:t>
      </w:r>
      <w:r w:rsidRPr="008E114A">
        <w:rPr>
          <w:b/>
          <w:sz w:val="24"/>
          <w:szCs w:val="24"/>
        </w:rPr>
        <w:tab/>
        <w:t>FARMAKOLOGISKE EGENSKABER</w:t>
      </w:r>
    </w:p>
    <w:p w:rsidR="00D44CDE" w:rsidRPr="0027752D" w:rsidRDefault="00D44CDE" w:rsidP="0027752D">
      <w:pPr>
        <w:tabs>
          <w:tab w:val="left" w:pos="851"/>
        </w:tabs>
        <w:rPr>
          <w:b/>
          <w:sz w:val="24"/>
          <w:szCs w:val="24"/>
        </w:rPr>
      </w:pPr>
    </w:p>
    <w:p w:rsidR="00D44CDE" w:rsidRPr="008E114A" w:rsidRDefault="00D44CDE" w:rsidP="00D44CDE">
      <w:pPr>
        <w:tabs>
          <w:tab w:val="num" w:pos="851"/>
        </w:tabs>
        <w:ind w:left="851" w:hanging="851"/>
        <w:rPr>
          <w:b/>
          <w:sz w:val="24"/>
          <w:szCs w:val="24"/>
        </w:rPr>
      </w:pPr>
      <w:r w:rsidRPr="008E114A">
        <w:rPr>
          <w:b/>
          <w:sz w:val="24"/>
          <w:szCs w:val="24"/>
        </w:rPr>
        <w:t>5.1</w:t>
      </w:r>
      <w:r w:rsidRPr="008E114A">
        <w:rPr>
          <w:b/>
          <w:sz w:val="24"/>
          <w:szCs w:val="24"/>
        </w:rPr>
        <w:tab/>
      </w:r>
      <w:proofErr w:type="spellStart"/>
      <w:r w:rsidRPr="008E114A">
        <w:rPr>
          <w:b/>
          <w:sz w:val="24"/>
          <w:szCs w:val="24"/>
        </w:rPr>
        <w:t>Farmakodynamiske</w:t>
      </w:r>
      <w:proofErr w:type="spellEnd"/>
      <w:r w:rsidRPr="008E114A">
        <w:rPr>
          <w:b/>
          <w:sz w:val="24"/>
          <w:szCs w:val="24"/>
        </w:rPr>
        <w:t xml:space="preserve"> egenskaber</w:t>
      </w:r>
    </w:p>
    <w:p w:rsidR="00D57F1D" w:rsidRDefault="0027752D" w:rsidP="00D44CDE">
      <w:pPr>
        <w:autoSpaceDE w:val="0"/>
        <w:autoSpaceDN w:val="0"/>
        <w:adjustRightInd w:val="0"/>
        <w:ind w:left="851"/>
        <w:rPr>
          <w:sz w:val="24"/>
          <w:szCs w:val="24"/>
          <w:lang w:val="hu-HU" w:eastAsia="hu-HU"/>
        </w:rPr>
      </w:pPr>
      <w:r w:rsidRPr="0027752D">
        <w:rPr>
          <w:sz w:val="24"/>
          <w:szCs w:val="24"/>
        </w:rPr>
        <w:t>Terapeutisk klassifikation</w:t>
      </w:r>
      <w:r w:rsidRPr="0027752D">
        <w:rPr>
          <w:sz w:val="24"/>
          <w:szCs w:val="24"/>
        </w:rPr>
        <w:t>:</w:t>
      </w:r>
      <w:r>
        <w:rPr>
          <w:b/>
          <w:sz w:val="24"/>
          <w:szCs w:val="24"/>
        </w:rPr>
        <w:t xml:space="preserve"> </w:t>
      </w:r>
      <w:r w:rsidRPr="008E114A">
        <w:rPr>
          <w:sz w:val="24"/>
          <w:szCs w:val="24"/>
          <w:lang w:val="hu-HU" w:eastAsia="hu-HU"/>
        </w:rPr>
        <w:t>Vanddrivende midler, aldosteron antagoniste</w:t>
      </w:r>
      <w:r>
        <w:rPr>
          <w:sz w:val="24"/>
          <w:szCs w:val="24"/>
          <w:lang w:val="hu-HU" w:eastAsia="hu-HU"/>
        </w:rPr>
        <w:t xml:space="preserve">r, </w:t>
      </w:r>
      <w:r w:rsidRPr="008E114A">
        <w:rPr>
          <w:sz w:val="24"/>
          <w:szCs w:val="24"/>
          <w:lang w:val="hu-HU" w:eastAsia="hu-HU"/>
        </w:rPr>
        <w:t>ATC-kode: C03DA04.</w:t>
      </w:r>
    </w:p>
    <w:p w:rsidR="0027752D" w:rsidRDefault="0027752D" w:rsidP="00D44CDE">
      <w:pPr>
        <w:autoSpaceDE w:val="0"/>
        <w:autoSpaceDN w:val="0"/>
        <w:adjustRightInd w:val="0"/>
        <w:ind w:left="851"/>
        <w:rPr>
          <w:sz w:val="24"/>
          <w:szCs w:val="24"/>
          <w:lang w:val="hu-HU" w:eastAsia="hu-HU"/>
        </w:rPr>
      </w:pPr>
    </w:p>
    <w:p w:rsidR="00D57F1D" w:rsidRDefault="00D57F1D" w:rsidP="00D57F1D">
      <w:pPr>
        <w:ind w:left="851"/>
        <w:rPr>
          <w:sz w:val="24"/>
          <w:szCs w:val="24"/>
          <w:lang w:eastAsia="da-DK"/>
        </w:rPr>
      </w:pPr>
      <w:r>
        <w:rPr>
          <w:sz w:val="24"/>
          <w:szCs w:val="24"/>
          <w:u w:val="single"/>
          <w:lang w:val="hu-HU" w:eastAsia="hu-HU"/>
        </w:rPr>
        <w:t>Virkningsmekanisme</w:t>
      </w:r>
      <w:r>
        <w:rPr>
          <w:sz w:val="24"/>
          <w:szCs w:val="24"/>
          <w:lang w:eastAsia="da-DK"/>
        </w:rPr>
        <w:t xml:space="preserve"> </w:t>
      </w:r>
    </w:p>
    <w:p w:rsidR="00D44CDE" w:rsidRDefault="00D44CDE" w:rsidP="00D44CDE">
      <w:pPr>
        <w:autoSpaceDE w:val="0"/>
        <w:autoSpaceDN w:val="0"/>
        <w:adjustRightInd w:val="0"/>
        <w:ind w:left="851"/>
        <w:rPr>
          <w:sz w:val="24"/>
          <w:szCs w:val="24"/>
          <w:lang w:val="hu-HU" w:eastAsia="hu-HU"/>
        </w:rPr>
      </w:pPr>
      <w:r>
        <w:rPr>
          <w:sz w:val="24"/>
          <w:szCs w:val="24"/>
          <w:lang w:val="hu-HU" w:eastAsia="hu-HU"/>
        </w:rPr>
        <w:t>Eplerenon har relativ selektivitet i bindingen af recombinant human mineralokorticoidreceptorer sammenlignet med dets binding til rekombinant human glucokorticoid, progesteron og androgenreceptorer. Eplerenon forhindrer bindingen af aldosteron, et nøglehormon i renin-angiotensin-aldosteron-systemet (RAAS), som medinddrages i reguleringen af blodtrykket og patofysiologien af hjerte-karsygdomme.</w:t>
      </w:r>
    </w:p>
    <w:p w:rsidR="00D44CDE" w:rsidRDefault="00D44CDE" w:rsidP="00D44CDE">
      <w:pPr>
        <w:autoSpaceDE w:val="0"/>
        <w:autoSpaceDN w:val="0"/>
        <w:adjustRightInd w:val="0"/>
        <w:ind w:left="851"/>
        <w:rPr>
          <w:sz w:val="24"/>
          <w:szCs w:val="24"/>
          <w:lang w:val="hu-HU" w:eastAsia="hu-HU"/>
        </w:rPr>
      </w:pPr>
    </w:p>
    <w:p w:rsidR="00D57F1D" w:rsidRDefault="00D57F1D" w:rsidP="00D44CDE">
      <w:pPr>
        <w:autoSpaceDE w:val="0"/>
        <w:autoSpaceDN w:val="0"/>
        <w:adjustRightInd w:val="0"/>
        <w:ind w:left="851"/>
        <w:rPr>
          <w:sz w:val="24"/>
          <w:szCs w:val="24"/>
          <w:lang w:val="hu-HU" w:eastAsia="hu-HU"/>
        </w:rPr>
      </w:pPr>
      <w:r>
        <w:rPr>
          <w:sz w:val="24"/>
          <w:szCs w:val="24"/>
          <w:u w:val="single"/>
          <w:lang w:val="hu-HU" w:eastAsia="hu-HU"/>
        </w:rPr>
        <w:lastRenderedPageBreak/>
        <w:t>Farmakodynamisk virkning</w:t>
      </w:r>
    </w:p>
    <w:p w:rsidR="00D44CDE" w:rsidRDefault="00D44CDE" w:rsidP="00D44CDE">
      <w:pPr>
        <w:autoSpaceDE w:val="0"/>
        <w:autoSpaceDN w:val="0"/>
        <w:adjustRightInd w:val="0"/>
        <w:ind w:left="851"/>
        <w:rPr>
          <w:sz w:val="24"/>
          <w:szCs w:val="24"/>
          <w:lang w:val="hu-HU" w:eastAsia="hu-HU"/>
        </w:rPr>
      </w:pPr>
      <w:r>
        <w:rPr>
          <w:sz w:val="24"/>
          <w:szCs w:val="24"/>
          <w:lang w:val="hu-HU" w:eastAsia="hu-HU"/>
        </w:rPr>
        <w:t>Eplerenon har vist sig at frembringe vedholdende stigninger i plasma-renin og serum-aldosteron, som er i overensstemmelse med hæmningen af den negative regulatoriske tilbagekobling af aldosteron på reninsekretionen. Den deraf fremkaldte øgede plasmareninaktivitet og de cirkulerende aldosteronniveauer ophæver ikke eplerenons effekt.</w:t>
      </w:r>
    </w:p>
    <w:p w:rsidR="00D44CDE" w:rsidRDefault="00D44CDE" w:rsidP="00D44CDE">
      <w:pPr>
        <w:autoSpaceDE w:val="0"/>
        <w:autoSpaceDN w:val="0"/>
        <w:adjustRightInd w:val="0"/>
        <w:ind w:left="851"/>
        <w:rPr>
          <w:sz w:val="24"/>
          <w:szCs w:val="24"/>
          <w:lang w:val="hu-HU" w:eastAsia="hu-HU"/>
        </w:rPr>
      </w:pPr>
    </w:p>
    <w:p w:rsidR="00D44CDE" w:rsidRDefault="00D44CDE" w:rsidP="00D44CDE">
      <w:pPr>
        <w:autoSpaceDE w:val="0"/>
        <w:autoSpaceDN w:val="0"/>
        <w:adjustRightInd w:val="0"/>
        <w:ind w:left="851"/>
        <w:rPr>
          <w:sz w:val="24"/>
          <w:szCs w:val="24"/>
          <w:lang w:val="hu-HU" w:eastAsia="hu-HU"/>
        </w:rPr>
      </w:pPr>
      <w:r>
        <w:rPr>
          <w:sz w:val="24"/>
          <w:szCs w:val="24"/>
          <w:lang w:val="hu-HU" w:eastAsia="hu-HU"/>
        </w:rPr>
        <w:t>I dosis-respons studier af kronisk hjertesvigt (NYHA klasse II-IV) resulterer tillæg af eplerenon til standardbehandling i forventede dosisafhængige stigninger i aldosteron. Tilsvarende ses i et kardiorenalt sub-studie af EPHESUS, at eplerenon-behandling fører til en signifikant stigning i aldosteron. Disse resultater bekræfter blokaden af mineralokorticoidreceptoren i disse populationer.</w:t>
      </w:r>
    </w:p>
    <w:p w:rsidR="00D44CDE" w:rsidRDefault="00D44CDE" w:rsidP="00D44CDE">
      <w:pPr>
        <w:autoSpaceDE w:val="0"/>
        <w:autoSpaceDN w:val="0"/>
        <w:adjustRightInd w:val="0"/>
        <w:ind w:left="851"/>
        <w:rPr>
          <w:sz w:val="24"/>
          <w:szCs w:val="24"/>
          <w:lang w:val="hu-HU" w:eastAsia="hu-HU"/>
        </w:rPr>
      </w:pPr>
    </w:p>
    <w:p w:rsidR="00D44CDE" w:rsidRDefault="00D44CDE" w:rsidP="00D44CDE">
      <w:pPr>
        <w:autoSpaceDE w:val="0"/>
        <w:autoSpaceDN w:val="0"/>
        <w:adjustRightInd w:val="0"/>
        <w:ind w:left="851"/>
        <w:rPr>
          <w:sz w:val="24"/>
          <w:szCs w:val="24"/>
          <w:lang w:val="hu-HU" w:eastAsia="hu-HU"/>
        </w:rPr>
      </w:pPr>
      <w:r>
        <w:rPr>
          <w:sz w:val="24"/>
          <w:szCs w:val="24"/>
          <w:lang w:val="hu-HU" w:eastAsia="hu-HU"/>
        </w:rPr>
        <w:t xml:space="preserve">I eplerenonstudiet (EPHESUS) undersøges eplerenons effekt på hjertesvigt og overlevelse efter post-akut myokardieinfarkt. EPHESUS var et dobbeltblindt, placebokontrolleret studie af 3-års varighed på 6632 patienter med akut myokardieinfarkt (MI), reduceret venstresidig ventrikelfunktion (som blev målt ved venstresidig ventrikeluddrivningsfraktion LVEF </w:t>
      </w:r>
      <w:r>
        <w:rPr>
          <w:sz w:val="24"/>
          <w:szCs w:val="24"/>
          <w:lang w:val="hu-HU" w:eastAsia="hu-HU"/>
        </w:rPr>
        <w:sym w:font="Symbol" w:char="F0A3"/>
      </w:r>
      <w:r>
        <w:rPr>
          <w:sz w:val="24"/>
          <w:szCs w:val="24"/>
          <w:lang w:val="hu-HU" w:eastAsia="hu-HU"/>
        </w:rPr>
        <w:t xml:space="preserve"> 40 %) samt kliniske tegn på hjertesvigt. Inden for 3-14 dage (median 7 dage) efter et akut MI fik patienterne eplerenon eller placebo i tillæg til standardbehandlinger med en initialdosis på 25 mg 1 gang daglig, og blev titreret op til en vedligeholdelsesdosis på 50 mg 1 gang daglig efter 4 uger, hvis serum-kalium var &lt; 5,0 mmol/l. Under studiet fik patienterne standardbehandling, såsom acetylsalicylsyre (92 %), ACE-hæmmere (90 %), betablokkere (83 %), nitrater (72 %), loop-diuretika (66 %) eller HMG-CoA reductase-hæmmere (60 %).</w:t>
      </w:r>
    </w:p>
    <w:p w:rsidR="00D44CDE" w:rsidRDefault="00D44CDE" w:rsidP="00D44CDE">
      <w:pPr>
        <w:autoSpaceDE w:val="0"/>
        <w:autoSpaceDN w:val="0"/>
        <w:adjustRightInd w:val="0"/>
        <w:ind w:left="851"/>
        <w:rPr>
          <w:sz w:val="24"/>
          <w:szCs w:val="24"/>
          <w:lang w:val="hu-HU" w:eastAsia="hu-HU"/>
        </w:rPr>
      </w:pPr>
    </w:p>
    <w:p w:rsidR="00D44CDE" w:rsidRDefault="00D44CDE" w:rsidP="00D44CDE">
      <w:pPr>
        <w:autoSpaceDE w:val="0"/>
        <w:autoSpaceDN w:val="0"/>
        <w:adjustRightInd w:val="0"/>
        <w:ind w:left="851"/>
        <w:rPr>
          <w:sz w:val="24"/>
          <w:szCs w:val="24"/>
          <w:lang w:val="hu-HU" w:eastAsia="hu-HU"/>
        </w:rPr>
      </w:pPr>
      <w:r>
        <w:rPr>
          <w:sz w:val="24"/>
          <w:szCs w:val="24"/>
          <w:lang w:val="hu-HU" w:eastAsia="hu-HU"/>
        </w:rPr>
        <w:t>I EPHESUS studiet er de sideordnede primære endepunkter død af alle årsager samt det kombinerede endepunkt af kardiovaskulær død eller kardiovaskulære indlæggelse; 14,4 % af patienterne, der fik eplerenon, og 16,7 % af patienterne, der fik placebo døde (af alle årsager), mens 26,7 % af patienterne, der fik eplerenon og 30,0 % af patienterne, der fik placebo, opfyldte det kombinerede endepunkt af kardiovaskulær død eller indlæggelse. Derfor reducer eplerenon i EPHESUS studiet risikoen for død af alle årsager med 15 % (RR 0,85; 95 % CI, 0,75-0,96; p = 0,008) sammenlignet med placebo, primært ved at reducere kardiovaskulær mortalitet. Risikoen for kardiovaskulær død eller kardiovaskulær indlæggelse reduceres med 13 % med eplerenon (RR 0,87; 95 % CI, 0,79-0,95; p = 0,002). De absolutte risikoreduktioner for endepunkterne død af alle årsager, og den kardiovaskulære mortalitet/indlæggelse er henholdsvis 2,3 % og 3,3 %. Klinisk effekt er primært vist med eplerenon, når eplerenon-behandling initieres hos patienter &lt; 75 år. Fordelen ved behandlingen af disse patienter over 75 år er uklar. Forbedringen eller stabiliseringen i den funktionelle NYHA klassifikation forbliver stabil hos et statistisk signifikant større antal patienter, der får eplerenon sammenlignet med placebo. Hyppigheden af hyperkaliæmi er 3,4 % i eplerenongruppen versus 2,0 % i placebogruppen (p &lt; 0,001). Hyppigheden af hypokaliæmi er 0,5 % i eplerenongruppen versus 1,5 % i placebogruppen (p &lt; 0,001).</w:t>
      </w:r>
    </w:p>
    <w:p w:rsidR="00D44CDE" w:rsidRDefault="00D44CDE" w:rsidP="00D44CDE">
      <w:pPr>
        <w:autoSpaceDE w:val="0"/>
        <w:autoSpaceDN w:val="0"/>
        <w:adjustRightInd w:val="0"/>
        <w:ind w:left="851"/>
        <w:rPr>
          <w:sz w:val="24"/>
          <w:szCs w:val="24"/>
          <w:lang w:val="hu-HU" w:eastAsia="hu-HU"/>
        </w:rPr>
      </w:pPr>
    </w:p>
    <w:p w:rsidR="00D44CDE" w:rsidRDefault="00D44CDE" w:rsidP="00D44CDE">
      <w:pPr>
        <w:autoSpaceDE w:val="0"/>
        <w:autoSpaceDN w:val="0"/>
        <w:adjustRightInd w:val="0"/>
        <w:ind w:left="851"/>
        <w:rPr>
          <w:sz w:val="24"/>
          <w:szCs w:val="24"/>
          <w:lang w:val="hu-HU" w:eastAsia="hu-HU"/>
        </w:rPr>
      </w:pPr>
      <w:r>
        <w:rPr>
          <w:sz w:val="24"/>
          <w:szCs w:val="24"/>
          <w:lang w:val="hu-HU" w:eastAsia="hu-HU"/>
        </w:rPr>
        <w:t>Der ses ingen ensartet effekt af eplerenon på hjertefrekvens, QRS-varighed eller PR- eller QT-intervallet hos 147 raske forsøgspersoner, som fik evalueret elektrokardiogramændringer under farmakokinetiske studier.</w:t>
      </w:r>
    </w:p>
    <w:p w:rsidR="00D44CDE" w:rsidRDefault="00D44CDE" w:rsidP="00D44CDE">
      <w:pPr>
        <w:autoSpaceDE w:val="0"/>
        <w:autoSpaceDN w:val="0"/>
        <w:adjustRightInd w:val="0"/>
        <w:ind w:left="851"/>
        <w:rPr>
          <w:sz w:val="24"/>
          <w:szCs w:val="24"/>
          <w:lang w:val="hu-HU" w:eastAsia="hu-HU"/>
        </w:rPr>
      </w:pPr>
    </w:p>
    <w:p w:rsidR="00D44CDE" w:rsidRPr="00512097" w:rsidRDefault="00D44CDE" w:rsidP="00D44CDE">
      <w:pPr>
        <w:autoSpaceDE w:val="0"/>
        <w:autoSpaceDN w:val="0"/>
        <w:adjustRightInd w:val="0"/>
        <w:ind w:left="851"/>
        <w:rPr>
          <w:color w:val="000000"/>
          <w:sz w:val="24"/>
          <w:szCs w:val="24"/>
        </w:rPr>
      </w:pPr>
      <w:r w:rsidRPr="00512097">
        <w:rPr>
          <w:color w:val="000000"/>
          <w:sz w:val="24"/>
          <w:szCs w:val="24"/>
        </w:rPr>
        <w:t>I forsøget EMPHASIS-HF (</w:t>
      </w:r>
      <w:proofErr w:type="spellStart"/>
      <w:r w:rsidRPr="00512097">
        <w:rPr>
          <w:color w:val="000000"/>
          <w:sz w:val="24"/>
          <w:szCs w:val="24"/>
        </w:rPr>
        <w:t>Eplerenone</w:t>
      </w:r>
      <w:proofErr w:type="spellEnd"/>
      <w:r w:rsidRPr="00512097">
        <w:rPr>
          <w:color w:val="000000"/>
          <w:sz w:val="24"/>
          <w:szCs w:val="24"/>
        </w:rPr>
        <w:t xml:space="preserve"> in Mild Patients </w:t>
      </w:r>
      <w:proofErr w:type="spellStart"/>
      <w:r w:rsidRPr="00512097">
        <w:rPr>
          <w:color w:val="000000"/>
          <w:sz w:val="24"/>
          <w:szCs w:val="24"/>
        </w:rPr>
        <w:t>Hospitalization</w:t>
      </w:r>
      <w:proofErr w:type="spellEnd"/>
      <w:r w:rsidRPr="00512097">
        <w:rPr>
          <w:color w:val="000000"/>
          <w:sz w:val="24"/>
          <w:szCs w:val="24"/>
        </w:rPr>
        <w:t xml:space="preserve"> and </w:t>
      </w:r>
      <w:proofErr w:type="spellStart"/>
      <w:r w:rsidRPr="00512097">
        <w:rPr>
          <w:color w:val="000000"/>
          <w:sz w:val="24"/>
          <w:szCs w:val="24"/>
        </w:rPr>
        <w:t>Survival</w:t>
      </w:r>
      <w:proofErr w:type="spellEnd"/>
      <w:r w:rsidRPr="00512097">
        <w:rPr>
          <w:color w:val="000000"/>
          <w:sz w:val="24"/>
          <w:szCs w:val="24"/>
        </w:rPr>
        <w:t xml:space="preserve"> </w:t>
      </w:r>
      <w:proofErr w:type="spellStart"/>
      <w:r w:rsidRPr="00512097">
        <w:rPr>
          <w:color w:val="000000"/>
          <w:sz w:val="24"/>
          <w:szCs w:val="24"/>
        </w:rPr>
        <w:t>Study</w:t>
      </w:r>
      <w:proofErr w:type="spellEnd"/>
      <w:r w:rsidRPr="00512097">
        <w:rPr>
          <w:color w:val="000000"/>
          <w:sz w:val="24"/>
          <w:szCs w:val="24"/>
        </w:rPr>
        <w:t xml:space="preserve"> in Heart </w:t>
      </w:r>
      <w:proofErr w:type="spellStart"/>
      <w:r w:rsidRPr="00512097">
        <w:rPr>
          <w:color w:val="000000"/>
          <w:sz w:val="24"/>
          <w:szCs w:val="24"/>
        </w:rPr>
        <w:t>Failure</w:t>
      </w:r>
      <w:proofErr w:type="spellEnd"/>
      <w:r w:rsidRPr="00512097">
        <w:rPr>
          <w:color w:val="000000"/>
          <w:sz w:val="24"/>
          <w:szCs w:val="24"/>
        </w:rPr>
        <w:t xml:space="preserve">) blev effekten af </w:t>
      </w:r>
      <w:proofErr w:type="spellStart"/>
      <w:r w:rsidRPr="00512097">
        <w:rPr>
          <w:color w:val="000000"/>
          <w:sz w:val="24"/>
          <w:szCs w:val="24"/>
        </w:rPr>
        <w:t>eplerenon</w:t>
      </w:r>
      <w:proofErr w:type="spellEnd"/>
      <w:r w:rsidRPr="00512097">
        <w:rPr>
          <w:color w:val="000000"/>
          <w:sz w:val="24"/>
          <w:szCs w:val="24"/>
        </w:rPr>
        <w:t xml:space="preserve"> på kliniske resultater ved tilføjelse til </w:t>
      </w:r>
      <w:r w:rsidRPr="00512097">
        <w:rPr>
          <w:color w:val="000000"/>
          <w:sz w:val="24"/>
          <w:szCs w:val="24"/>
        </w:rPr>
        <w:lastRenderedPageBreak/>
        <w:t xml:space="preserve">standardterapi undersøgt hos patienter med systolisk hjertesvigt og milde symptomer (NYHA </w:t>
      </w:r>
      <w:proofErr w:type="spellStart"/>
      <w:r w:rsidRPr="00512097">
        <w:rPr>
          <w:color w:val="000000"/>
          <w:sz w:val="24"/>
          <w:szCs w:val="24"/>
        </w:rPr>
        <w:t>functional</w:t>
      </w:r>
      <w:proofErr w:type="spellEnd"/>
      <w:r w:rsidRPr="00512097">
        <w:rPr>
          <w:color w:val="000000"/>
          <w:sz w:val="24"/>
          <w:szCs w:val="24"/>
        </w:rPr>
        <w:t xml:space="preserve"> class II). </w:t>
      </w:r>
    </w:p>
    <w:p w:rsidR="00D44CDE" w:rsidRPr="00512097" w:rsidRDefault="00D44CDE" w:rsidP="00D44CDE">
      <w:pPr>
        <w:autoSpaceDE w:val="0"/>
        <w:autoSpaceDN w:val="0"/>
        <w:adjustRightInd w:val="0"/>
        <w:ind w:left="851"/>
        <w:rPr>
          <w:sz w:val="24"/>
          <w:szCs w:val="24"/>
          <w:lang w:eastAsia="hu-HU"/>
        </w:rPr>
      </w:pPr>
    </w:p>
    <w:p w:rsidR="00D44CDE" w:rsidRPr="00512097" w:rsidRDefault="00D44CDE" w:rsidP="00D44CDE">
      <w:pPr>
        <w:autoSpaceDE w:val="0"/>
        <w:autoSpaceDN w:val="0"/>
        <w:adjustRightInd w:val="0"/>
        <w:ind w:left="851"/>
        <w:rPr>
          <w:color w:val="000000"/>
          <w:sz w:val="24"/>
          <w:szCs w:val="24"/>
        </w:rPr>
      </w:pPr>
      <w:r w:rsidRPr="00512097">
        <w:rPr>
          <w:color w:val="000000"/>
          <w:sz w:val="24"/>
          <w:szCs w:val="24"/>
        </w:rPr>
        <w:t>Patienter blev inkluderet, hvis de var mindst 55 år gamle, havde en LVEF (</w:t>
      </w:r>
      <w:proofErr w:type="spellStart"/>
      <w:r w:rsidRPr="00512097">
        <w:rPr>
          <w:color w:val="000000"/>
          <w:sz w:val="24"/>
          <w:szCs w:val="24"/>
        </w:rPr>
        <w:t>left</w:t>
      </w:r>
      <w:proofErr w:type="spellEnd"/>
      <w:r w:rsidRPr="00512097">
        <w:rPr>
          <w:color w:val="000000"/>
          <w:sz w:val="24"/>
          <w:szCs w:val="24"/>
        </w:rPr>
        <w:t xml:space="preserve"> </w:t>
      </w:r>
      <w:proofErr w:type="spellStart"/>
      <w:r w:rsidRPr="00512097">
        <w:rPr>
          <w:color w:val="000000"/>
          <w:sz w:val="24"/>
          <w:szCs w:val="24"/>
        </w:rPr>
        <w:t>ventricular</w:t>
      </w:r>
      <w:proofErr w:type="spellEnd"/>
      <w:r w:rsidRPr="00512097">
        <w:rPr>
          <w:color w:val="000000"/>
          <w:sz w:val="24"/>
          <w:szCs w:val="24"/>
        </w:rPr>
        <w:t xml:space="preserve"> </w:t>
      </w:r>
      <w:proofErr w:type="spellStart"/>
      <w:r w:rsidRPr="00512097">
        <w:rPr>
          <w:color w:val="000000"/>
          <w:sz w:val="24"/>
          <w:szCs w:val="24"/>
        </w:rPr>
        <w:t>ejection</w:t>
      </w:r>
      <w:proofErr w:type="spellEnd"/>
      <w:r w:rsidRPr="00512097">
        <w:rPr>
          <w:color w:val="000000"/>
          <w:sz w:val="24"/>
          <w:szCs w:val="24"/>
        </w:rPr>
        <w:t xml:space="preserve"> </w:t>
      </w:r>
      <w:proofErr w:type="spellStart"/>
      <w:r w:rsidRPr="00512097">
        <w:rPr>
          <w:color w:val="000000"/>
          <w:sz w:val="24"/>
          <w:szCs w:val="24"/>
        </w:rPr>
        <w:t>fraction</w:t>
      </w:r>
      <w:proofErr w:type="spellEnd"/>
      <w:r w:rsidRPr="00512097">
        <w:rPr>
          <w:color w:val="000000"/>
          <w:sz w:val="24"/>
          <w:szCs w:val="24"/>
        </w:rPr>
        <w:t xml:space="preserve">) ≤ 30 % eller LVEF ≤ 35 % foruden en QRS-varighed på &gt; 130 </w:t>
      </w:r>
      <w:proofErr w:type="spellStart"/>
      <w:r w:rsidRPr="00512097">
        <w:rPr>
          <w:color w:val="000000"/>
          <w:sz w:val="24"/>
          <w:szCs w:val="24"/>
        </w:rPr>
        <w:t>msek</w:t>
      </w:r>
      <w:proofErr w:type="spellEnd"/>
      <w:r w:rsidRPr="00512097">
        <w:rPr>
          <w:color w:val="000000"/>
          <w:sz w:val="24"/>
          <w:szCs w:val="24"/>
        </w:rPr>
        <w:t xml:space="preserve"> og enten var blevet indlagt af </w:t>
      </w:r>
      <w:proofErr w:type="spellStart"/>
      <w:r w:rsidRPr="00512097">
        <w:rPr>
          <w:color w:val="000000"/>
          <w:sz w:val="24"/>
          <w:szCs w:val="24"/>
        </w:rPr>
        <w:t>kardiovaskulære</w:t>
      </w:r>
      <w:proofErr w:type="spellEnd"/>
      <w:r w:rsidRPr="00512097">
        <w:rPr>
          <w:color w:val="000000"/>
          <w:sz w:val="24"/>
          <w:szCs w:val="24"/>
        </w:rPr>
        <w:t xml:space="preserve"> (CV) årsager 6 måneder før inklusion eller havde et plasmaniveau af B-type </w:t>
      </w:r>
      <w:proofErr w:type="spellStart"/>
      <w:r w:rsidRPr="00512097">
        <w:rPr>
          <w:color w:val="000000"/>
          <w:sz w:val="24"/>
          <w:szCs w:val="24"/>
        </w:rPr>
        <w:t>natriuretisk</w:t>
      </w:r>
      <w:proofErr w:type="spellEnd"/>
      <w:r w:rsidRPr="00512097">
        <w:rPr>
          <w:color w:val="000000"/>
          <w:sz w:val="24"/>
          <w:szCs w:val="24"/>
        </w:rPr>
        <w:t xml:space="preserve"> peptid (BNP) på mindst 250 </w:t>
      </w:r>
      <w:proofErr w:type="spellStart"/>
      <w:r w:rsidRPr="00512097">
        <w:rPr>
          <w:color w:val="000000"/>
          <w:sz w:val="24"/>
          <w:szCs w:val="24"/>
        </w:rPr>
        <w:t>pg</w:t>
      </w:r>
      <w:proofErr w:type="spellEnd"/>
      <w:r w:rsidRPr="00512097">
        <w:rPr>
          <w:color w:val="000000"/>
          <w:sz w:val="24"/>
          <w:szCs w:val="24"/>
        </w:rPr>
        <w:t xml:space="preserve">/ml eller et plasmaniveau af N-terminal pro-BNP på mindst 500 </w:t>
      </w:r>
      <w:proofErr w:type="spellStart"/>
      <w:r w:rsidRPr="00512097">
        <w:rPr>
          <w:color w:val="000000"/>
          <w:sz w:val="24"/>
          <w:szCs w:val="24"/>
        </w:rPr>
        <w:t>pg</w:t>
      </w:r>
      <w:proofErr w:type="spellEnd"/>
      <w:r w:rsidRPr="00512097">
        <w:rPr>
          <w:color w:val="000000"/>
          <w:sz w:val="24"/>
          <w:szCs w:val="24"/>
        </w:rPr>
        <w:t xml:space="preserve">/ml hos mænd (750 </w:t>
      </w:r>
      <w:proofErr w:type="spellStart"/>
      <w:r w:rsidRPr="00512097">
        <w:rPr>
          <w:color w:val="000000"/>
          <w:sz w:val="24"/>
          <w:szCs w:val="24"/>
        </w:rPr>
        <w:t>pg</w:t>
      </w:r>
      <w:proofErr w:type="spellEnd"/>
      <w:r w:rsidRPr="00512097">
        <w:rPr>
          <w:color w:val="000000"/>
          <w:sz w:val="24"/>
          <w:szCs w:val="24"/>
        </w:rPr>
        <w:t xml:space="preserve">/ml hos kvinder). </w:t>
      </w:r>
      <w:proofErr w:type="spellStart"/>
      <w:r w:rsidRPr="00512097">
        <w:rPr>
          <w:color w:val="000000"/>
          <w:sz w:val="24"/>
          <w:szCs w:val="24"/>
        </w:rPr>
        <w:t>Eplerenon</w:t>
      </w:r>
      <w:proofErr w:type="spellEnd"/>
      <w:r w:rsidRPr="00512097">
        <w:rPr>
          <w:color w:val="000000"/>
          <w:sz w:val="24"/>
          <w:szCs w:val="24"/>
        </w:rPr>
        <w:t xml:space="preserve"> blev påbegyndt ved en dosis på 25 mg en gang daglig og blev forøget efter 4 uger til 50 mg en gang daglig, hvis serumkaliumniveauet var &lt; 5,0 mmol/l. Som alternativ blev </w:t>
      </w:r>
      <w:proofErr w:type="spellStart"/>
      <w:r w:rsidRPr="00512097">
        <w:rPr>
          <w:color w:val="000000"/>
          <w:sz w:val="24"/>
          <w:szCs w:val="24"/>
        </w:rPr>
        <w:t>eplerenon</w:t>
      </w:r>
      <w:proofErr w:type="spellEnd"/>
      <w:r w:rsidRPr="00512097">
        <w:rPr>
          <w:color w:val="000000"/>
          <w:sz w:val="24"/>
          <w:szCs w:val="24"/>
        </w:rPr>
        <w:t>, hvis den estimerede GFR var 30-49 ml/min/1,73 m</w:t>
      </w:r>
      <w:r w:rsidRPr="00512097">
        <w:rPr>
          <w:color w:val="000000"/>
          <w:sz w:val="24"/>
          <w:szCs w:val="24"/>
          <w:vertAlign w:val="superscript"/>
        </w:rPr>
        <w:t>2</w:t>
      </w:r>
      <w:r w:rsidRPr="00512097">
        <w:rPr>
          <w:color w:val="000000"/>
          <w:sz w:val="24"/>
          <w:szCs w:val="24"/>
        </w:rPr>
        <w:t xml:space="preserve">, påbegyndt ved 25 mg hver anden dag og øget til 25 mg en gang daglig. </w:t>
      </w:r>
    </w:p>
    <w:p w:rsidR="00D44CDE" w:rsidRPr="00512097" w:rsidRDefault="00D44CDE" w:rsidP="00D44CDE">
      <w:pPr>
        <w:autoSpaceDE w:val="0"/>
        <w:autoSpaceDN w:val="0"/>
        <w:adjustRightInd w:val="0"/>
        <w:ind w:left="851"/>
        <w:rPr>
          <w:color w:val="000000"/>
          <w:sz w:val="24"/>
          <w:szCs w:val="24"/>
        </w:rPr>
      </w:pPr>
      <w:r w:rsidRPr="00512097">
        <w:rPr>
          <w:color w:val="000000"/>
          <w:sz w:val="24"/>
          <w:szCs w:val="24"/>
        </w:rPr>
        <w:t xml:space="preserve">I alt 2737 patienter blev randomiseret (dobbeltblindet) til behandling med </w:t>
      </w:r>
      <w:proofErr w:type="spellStart"/>
      <w:r w:rsidRPr="00512097">
        <w:rPr>
          <w:color w:val="000000"/>
          <w:sz w:val="24"/>
          <w:szCs w:val="24"/>
        </w:rPr>
        <w:t>eplerenon</w:t>
      </w:r>
      <w:proofErr w:type="spellEnd"/>
      <w:r w:rsidRPr="00512097">
        <w:rPr>
          <w:color w:val="000000"/>
          <w:sz w:val="24"/>
          <w:szCs w:val="24"/>
        </w:rPr>
        <w:t xml:space="preserve"> eller placebo, inklusive baselineterapi med </w:t>
      </w:r>
      <w:proofErr w:type="spellStart"/>
      <w:r w:rsidRPr="00512097">
        <w:rPr>
          <w:color w:val="000000"/>
          <w:sz w:val="24"/>
          <w:szCs w:val="24"/>
        </w:rPr>
        <w:t>diuretika</w:t>
      </w:r>
      <w:proofErr w:type="spellEnd"/>
      <w:r w:rsidRPr="00512097">
        <w:rPr>
          <w:color w:val="000000"/>
          <w:sz w:val="24"/>
          <w:szCs w:val="24"/>
        </w:rPr>
        <w:t xml:space="preserve"> (85 %), ACE-</w:t>
      </w:r>
      <w:proofErr w:type="spellStart"/>
      <w:r w:rsidRPr="00512097">
        <w:rPr>
          <w:color w:val="000000"/>
          <w:sz w:val="24"/>
          <w:szCs w:val="24"/>
        </w:rPr>
        <w:t>hæmmere</w:t>
      </w:r>
      <w:proofErr w:type="spellEnd"/>
      <w:r w:rsidRPr="00512097">
        <w:rPr>
          <w:color w:val="000000"/>
          <w:sz w:val="24"/>
          <w:szCs w:val="24"/>
        </w:rPr>
        <w:t xml:space="preserve"> (78 %), </w:t>
      </w:r>
      <w:proofErr w:type="spellStart"/>
      <w:r w:rsidRPr="00512097">
        <w:rPr>
          <w:color w:val="000000"/>
          <w:sz w:val="24"/>
          <w:szCs w:val="24"/>
        </w:rPr>
        <w:t>angiotensin</w:t>
      </w:r>
      <w:proofErr w:type="spellEnd"/>
      <w:r w:rsidRPr="00512097">
        <w:rPr>
          <w:color w:val="000000"/>
          <w:sz w:val="24"/>
          <w:szCs w:val="24"/>
        </w:rPr>
        <w:t xml:space="preserve"> II receptorblokkere (19 %), betablokkere (87 %), </w:t>
      </w:r>
      <w:proofErr w:type="spellStart"/>
      <w:r w:rsidRPr="00512097">
        <w:rPr>
          <w:color w:val="000000"/>
          <w:sz w:val="24"/>
          <w:szCs w:val="24"/>
        </w:rPr>
        <w:t>antitrombotiske</w:t>
      </w:r>
      <w:proofErr w:type="spellEnd"/>
      <w:r w:rsidRPr="00512097">
        <w:rPr>
          <w:color w:val="000000"/>
          <w:sz w:val="24"/>
          <w:szCs w:val="24"/>
        </w:rPr>
        <w:t xml:space="preserve"> lægemidler (88 %), lipidsænkende midler (63 %) og </w:t>
      </w:r>
      <w:proofErr w:type="spellStart"/>
      <w:r w:rsidRPr="00512097">
        <w:rPr>
          <w:color w:val="000000"/>
          <w:sz w:val="24"/>
          <w:szCs w:val="24"/>
        </w:rPr>
        <w:t>digitalisglycosider</w:t>
      </w:r>
      <w:proofErr w:type="spellEnd"/>
      <w:r w:rsidRPr="00512097">
        <w:rPr>
          <w:color w:val="000000"/>
          <w:sz w:val="24"/>
          <w:szCs w:val="24"/>
        </w:rPr>
        <w:t xml:space="preserve"> (27 %). Middel-LVEF var ~26 %, og middel-QRS-varighed var ~122 </w:t>
      </w:r>
      <w:proofErr w:type="spellStart"/>
      <w:r w:rsidRPr="00512097">
        <w:rPr>
          <w:color w:val="000000"/>
          <w:sz w:val="24"/>
          <w:szCs w:val="24"/>
        </w:rPr>
        <w:t>msek</w:t>
      </w:r>
      <w:proofErr w:type="spellEnd"/>
      <w:r w:rsidRPr="00512097">
        <w:rPr>
          <w:color w:val="000000"/>
          <w:sz w:val="24"/>
          <w:szCs w:val="24"/>
        </w:rPr>
        <w:t xml:space="preserve">. De fleste af patienterne (83,4 %) var tidligere blevet indlagt af CV-årsager inden for 6 måneder før </w:t>
      </w:r>
      <w:proofErr w:type="spellStart"/>
      <w:r w:rsidRPr="00512097">
        <w:rPr>
          <w:color w:val="000000"/>
          <w:sz w:val="24"/>
          <w:szCs w:val="24"/>
        </w:rPr>
        <w:t>randomisering</w:t>
      </w:r>
      <w:proofErr w:type="spellEnd"/>
      <w:r w:rsidRPr="00512097">
        <w:rPr>
          <w:color w:val="000000"/>
          <w:sz w:val="24"/>
          <w:szCs w:val="24"/>
        </w:rPr>
        <w:t xml:space="preserve">, ca. 50 % af dem pga. hjertesvigt. Ca. 20 % af patienterne havde </w:t>
      </w:r>
      <w:proofErr w:type="spellStart"/>
      <w:r w:rsidRPr="00512097">
        <w:rPr>
          <w:color w:val="000000"/>
          <w:sz w:val="24"/>
          <w:szCs w:val="24"/>
        </w:rPr>
        <w:t>implanterbare</w:t>
      </w:r>
      <w:proofErr w:type="spellEnd"/>
      <w:r w:rsidRPr="00512097">
        <w:rPr>
          <w:color w:val="000000"/>
          <w:sz w:val="24"/>
          <w:szCs w:val="24"/>
        </w:rPr>
        <w:t xml:space="preserve"> defibrillatorer eller fik kardial </w:t>
      </w:r>
      <w:proofErr w:type="spellStart"/>
      <w:r w:rsidRPr="00512097">
        <w:rPr>
          <w:color w:val="000000"/>
          <w:sz w:val="24"/>
          <w:szCs w:val="24"/>
        </w:rPr>
        <w:t>resynkroniseringsterapi</w:t>
      </w:r>
      <w:proofErr w:type="spellEnd"/>
      <w:r w:rsidRPr="00512097">
        <w:rPr>
          <w:color w:val="000000"/>
          <w:sz w:val="24"/>
          <w:szCs w:val="24"/>
        </w:rPr>
        <w:t xml:space="preserve">. </w:t>
      </w:r>
    </w:p>
    <w:p w:rsidR="00D44CDE" w:rsidRPr="00512097" w:rsidRDefault="00D44CDE" w:rsidP="00D44CDE">
      <w:pPr>
        <w:autoSpaceDE w:val="0"/>
        <w:autoSpaceDN w:val="0"/>
        <w:adjustRightInd w:val="0"/>
        <w:ind w:left="851"/>
        <w:rPr>
          <w:sz w:val="24"/>
          <w:szCs w:val="24"/>
          <w:lang w:eastAsia="hu-HU"/>
        </w:rPr>
      </w:pPr>
    </w:p>
    <w:p w:rsidR="00D44CDE" w:rsidRPr="00512097" w:rsidRDefault="00D44CDE" w:rsidP="00D44CDE">
      <w:pPr>
        <w:autoSpaceDE w:val="0"/>
        <w:autoSpaceDN w:val="0"/>
        <w:adjustRightInd w:val="0"/>
        <w:ind w:left="851"/>
        <w:rPr>
          <w:color w:val="000000"/>
          <w:sz w:val="24"/>
          <w:szCs w:val="24"/>
        </w:rPr>
      </w:pPr>
      <w:r w:rsidRPr="00512097">
        <w:rPr>
          <w:color w:val="000000"/>
          <w:sz w:val="24"/>
          <w:szCs w:val="24"/>
        </w:rPr>
        <w:t xml:space="preserve">Det primære endepunkt, død af </w:t>
      </w:r>
      <w:proofErr w:type="spellStart"/>
      <w:r w:rsidRPr="00512097">
        <w:rPr>
          <w:color w:val="000000"/>
          <w:sz w:val="24"/>
          <w:szCs w:val="24"/>
        </w:rPr>
        <w:t>kardiovaskulære</w:t>
      </w:r>
      <w:proofErr w:type="spellEnd"/>
      <w:r w:rsidRPr="00512097">
        <w:rPr>
          <w:color w:val="000000"/>
          <w:sz w:val="24"/>
          <w:szCs w:val="24"/>
        </w:rPr>
        <w:t xml:space="preserve"> årsager eller indlæggelse for hjertesvigt forekom hos 249 patienter (18,3 %) i </w:t>
      </w:r>
      <w:proofErr w:type="spellStart"/>
      <w:r w:rsidRPr="00512097">
        <w:rPr>
          <w:color w:val="000000"/>
          <w:sz w:val="24"/>
          <w:szCs w:val="24"/>
        </w:rPr>
        <w:t>eplerenongruppen</w:t>
      </w:r>
      <w:proofErr w:type="spellEnd"/>
      <w:r w:rsidRPr="00512097">
        <w:rPr>
          <w:color w:val="000000"/>
          <w:sz w:val="24"/>
          <w:szCs w:val="24"/>
        </w:rPr>
        <w:t xml:space="preserve"> og 356 patienter (25,9 %) i placebogruppen (RR 0,63; 95 % CI; 0,54-0,74; p&lt;0,001). Effekten af </w:t>
      </w:r>
      <w:proofErr w:type="spellStart"/>
      <w:r w:rsidRPr="00512097">
        <w:rPr>
          <w:color w:val="000000"/>
          <w:sz w:val="24"/>
          <w:szCs w:val="24"/>
        </w:rPr>
        <w:t>eplerenon</w:t>
      </w:r>
      <w:proofErr w:type="spellEnd"/>
      <w:r w:rsidRPr="00512097">
        <w:rPr>
          <w:color w:val="000000"/>
          <w:sz w:val="24"/>
          <w:szCs w:val="24"/>
        </w:rPr>
        <w:t xml:space="preserve"> på de primære endepunktsresultater var konsistente på tværs af alle foruddefinerede delgrupper. </w:t>
      </w:r>
    </w:p>
    <w:p w:rsidR="00D44CDE" w:rsidRPr="00512097" w:rsidRDefault="00D44CDE" w:rsidP="00D44CDE">
      <w:pPr>
        <w:autoSpaceDE w:val="0"/>
        <w:autoSpaceDN w:val="0"/>
        <w:adjustRightInd w:val="0"/>
        <w:ind w:left="851"/>
        <w:rPr>
          <w:color w:val="000000"/>
          <w:sz w:val="24"/>
          <w:szCs w:val="24"/>
        </w:rPr>
      </w:pPr>
    </w:p>
    <w:p w:rsidR="00D44CDE" w:rsidRPr="00512097" w:rsidRDefault="00D44CDE" w:rsidP="00D44CDE">
      <w:pPr>
        <w:autoSpaceDE w:val="0"/>
        <w:autoSpaceDN w:val="0"/>
        <w:adjustRightInd w:val="0"/>
        <w:ind w:left="851"/>
        <w:rPr>
          <w:color w:val="000000"/>
          <w:sz w:val="24"/>
          <w:szCs w:val="24"/>
        </w:rPr>
      </w:pPr>
      <w:r w:rsidRPr="00512097">
        <w:rPr>
          <w:color w:val="000000"/>
          <w:sz w:val="24"/>
          <w:szCs w:val="24"/>
        </w:rPr>
        <w:t xml:space="preserve">Det sekundære endepunkt, død uanset årsag, blev opfyldt af 171 patienter (12,5 %) i </w:t>
      </w:r>
      <w:proofErr w:type="spellStart"/>
      <w:r w:rsidRPr="00512097">
        <w:rPr>
          <w:color w:val="000000"/>
          <w:sz w:val="24"/>
          <w:szCs w:val="24"/>
        </w:rPr>
        <w:t>eplerenongruppen</w:t>
      </w:r>
      <w:proofErr w:type="spellEnd"/>
      <w:r w:rsidRPr="00512097">
        <w:rPr>
          <w:color w:val="000000"/>
          <w:sz w:val="24"/>
          <w:szCs w:val="24"/>
        </w:rPr>
        <w:t xml:space="preserve"> og 213 patienter (15,5 %) i placebogruppen (RR 0,76; 95 % CI; 0,62-0,93; p = 0,008). Død af CV-årsager blev indberettet hos 147 (10,8 %) patienter i </w:t>
      </w:r>
      <w:proofErr w:type="spellStart"/>
      <w:r w:rsidRPr="00512097">
        <w:rPr>
          <w:color w:val="000000"/>
          <w:sz w:val="24"/>
          <w:szCs w:val="24"/>
        </w:rPr>
        <w:t>eplerenongruppen</w:t>
      </w:r>
      <w:proofErr w:type="spellEnd"/>
      <w:r w:rsidRPr="00512097">
        <w:rPr>
          <w:color w:val="000000"/>
          <w:sz w:val="24"/>
          <w:szCs w:val="24"/>
        </w:rPr>
        <w:t xml:space="preserve"> og 185 (13,5 %) patienter i placebogruppen (RR 0,76; 95 % CI; 0,61-0,94; p = 0,01). </w:t>
      </w:r>
    </w:p>
    <w:p w:rsidR="00D44CDE" w:rsidRPr="00512097" w:rsidRDefault="00D44CDE" w:rsidP="00D44CDE">
      <w:pPr>
        <w:autoSpaceDE w:val="0"/>
        <w:autoSpaceDN w:val="0"/>
        <w:adjustRightInd w:val="0"/>
        <w:ind w:left="851"/>
        <w:rPr>
          <w:color w:val="000000"/>
          <w:sz w:val="24"/>
          <w:szCs w:val="24"/>
        </w:rPr>
      </w:pPr>
    </w:p>
    <w:p w:rsidR="00D44CDE" w:rsidRPr="00512097" w:rsidRDefault="00D44CDE" w:rsidP="00D44CDE">
      <w:pPr>
        <w:autoSpaceDE w:val="0"/>
        <w:autoSpaceDN w:val="0"/>
        <w:adjustRightInd w:val="0"/>
        <w:ind w:left="851"/>
        <w:rPr>
          <w:color w:val="000000"/>
          <w:sz w:val="24"/>
          <w:szCs w:val="24"/>
        </w:rPr>
      </w:pPr>
      <w:r w:rsidRPr="00512097">
        <w:rPr>
          <w:color w:val="000000"/>
          <w:sz w:val="24"/>
          <w:szCs w:val="24"/>
        </w:rPr>
        <w:t xml:space="preserve">Under forsøget blev </w:t>
      </w:r>
      <w:proofErr w:type="spellStart"/>
      <w:r w:rsidRPr="00512097">
        <w:rPr>
          <w:color w:val="000000"/>
          <w:sz w:val="24"/>
          <w:szCs w:val="24"/>
        </w:rPr>
        <w:t>hyperkaliæmi</w:t>
      </w:r>
      <w:proofErr w:type="spellEnd"/>
      <w:r w:rsidRPr="00512097">
        <w:rPr>
          <w:color w:val="000000"/>
          <w:sz w:val="24"/>
          <w:szCs w:val="24"/>
        </w:rPr>
        <w:t xml:space="preserve"> (serum-kaliumniveau &gt; 5,5 mmol/l) indberettet hos 158 patienter (11,8 %) i </w:t>
      </w:r>
      <w:proofErr w:type="spellStart"/>
      <w:r w:rsidRPr="00512097">
        <w:rPr>
          <w:color w:val="000000"/>
          <w:sz w:val="24"/>
          <w:szCs w:val="24"/>
        </w:rPr>
        <w:t>eplerenongruppen</w:t>
      </w:r>
      <w:proofErr w:type="spellEnd"/>
      <w:r w:rsidRPr="00512097">
        <w:rPr>
          <w:color w:val="000000"/>
          <w:sz w:val="24"/>
          <w:szCs w:val="24"/>
        </w:rPr>
        <w:t xml:space="preserve"> og 96 patienter (7,2 %) i placebogruppen (p &lt; 0,001). </w:t>
      </w:r>
      <w:proofErr w:type="spellStart"/>
      <w:r w:rsidRPr="00512097">
        <w:rPr>
          <w:color w:val="000000"/>
          <w:sz w:val="24"/>
          <w:szCs w:val="24"/>
        </w:rPr>
        <w:t>Hypokaliæmi</w:t>
      </w:r>
      <w:proofErr w:type="spellEnd"/>
      <w:r w:rsidRPr="00512097">
        <w:rPr>
          <w:color w:val="000000"/>
          <w:sz w:val="24"/>
          <w:szCs w:val="24"/>
        </w:rPr>
        <w:t xml:space="preserve">, defineret som serumkaliumniveauer &lt; 4,0 mmol/l, var statistisk lavere med </w:t>
      </w:r>
      <w:proofErr w:type="spellStart"/>
      <w:r w:rsidRPr="00512097">
        <w:rPr>
          <w:color w:val="000000"/>
          <w:sz w:val="24"/>
          <w:szCs w:val="24"/>
        </w:rPr>
        <w:t>eplerenon</w:t>
      </w:r>
      <w:proofErr w:type="spellEnd"/>
      <w:r w:rsidRPr="00512097">
        <w:rPr>
          <w:color w:val="000000"/>
          <w:sz w:val="24"/>
          <w:szCs w:val="24"/>
        </w:rPr>
        <w:t xml:space="preserve"> sammenlignet med placebo (38,9 % for </w:t>
      </w:r>
      <w:proofErr w:type="spellStart"/>
      <w:r w:rsidRPr="00512097">
        <w:rPr>
          <w:color w:val="000000"/>
          <w:sz w:val="24"/>
          <w:szCs w:val="24"/>
        </w:rPr>
        <w:t>eplerenon</w:t>
      </w:r>
      <w:proofErr w:type="spellEnd"/>
      <w:r w:rsidRPr="00512097">
        <w:rPr>
          <w:color w:val="000000"/>
          <w:sz w:val="24"/>
          <w:szCs w:val="24"/>
        </w:rPr>
        <w:t xml:space="preserve"> sammenlignet med 48,4 % for placebo, p&lt;0,0001).</w:t>
      </w:r>
    </w:p>
    <w:p w:rsidR="00D44CDE" w:rsidRPr="00512097" w:rsidRDefault="00D44CDE" w:rsidP="00D44CDE">
      <w:pPr>
        <w:autoSpaceDE w:val="0"/>
        <w:autoSpaceDN w:val="0"/>
        <w:adjustRightInd w:val="0"/>
        <w:ind w:left="851"/>
        <w:jc w:val="both"/>
        <w:rPr>
          <w:sz w:val="22"/>
          <w:szCs w:val="22"/>
        </w:rPr>
      </w:pPr>
    </w:p>
    <w:p w:rsidR="00D44CDE" w:rsidRPr="00512097" w:rsidRDefault="00D44CDE" w:rsidP="00D44CDE">
      <w:pPr>
        <w:autoSpaceDE w:val="0"/>
        <w:autoSpaceDN w:val="0"/>
        <w:adjustRightInd w:val="0"/>
        <w:ind w:left="851"/>
        <w:rPr>
          <w:sz w:val="24"/>
          <w:szCs w:val="24"/>
          <w:u w:val="single"/>
          <w:lang w:eastAsia="hu-HU"/>
        </w:rPr>
      </w:pPr>
      <w:r w:rsidRPr="00512097">
        <w:rPr>
          <w:sz w:val="24"/>
          <w:szCs w:val="24"/>
          <w:u w:val="single"/>
          <w:lang w:eastAsia="hu-HU"/>
        </w:rPr>
        <w:t>Pædiatrisk population</w:t>
      </w:r>
    </w:p>
    <w:p w:rsidR="00D44CDE" w:rsidRPr="00512097" w:rsidRDefault="00D44CDE" w:rsidP="00D44CDE">
      <w:pPr>
        <w:autoSpaceDE w:val="0"/>
        <w:autoSpaceDN w:val="0"/>
        <w:adjustRightInd w:val="0"/>
        <w:ind w:left="851"/>
        <w:rPr>
          <w:sz w:val="24"/>
          <w:szCs w:val="24"/>
          <w:lang w:eastAsia="hu-HU"/>
        </w:rPr>
      </w:pPr>
      <w:proofErr w:type="spellStart"/>
      <w:r w:rsidRPr="00512097">
        <w:rPr>
          <w:sz w:val="24"/>
          <w:szCs w:val="24"/>
          <w:lang w:eastAsia="hu-HU"/>
        </w:rPr>
        <w:t>Eplerenon</w:t>
      </w:r>
      <w:proofErr w:type="spellEnd"/>
      <w:r w:rsidRPr="00512097">
        <w:rPr>
          <w:sz w:val="24"/>
          <w:szCs w:val="24"/>
          <w:lang w:eastAsia="hu-HU"/>
        </w:rPr>
        <w:t xml:space="preserve"> er ikke undersøgt hos pædiatriske patienter med hjertesvigt.</w:t>
      </w:r>
    </w:p>
    <w:p w:rsidR="00D44CDE" w:rsidRPr="00512097" w:rsidRDefault="00D44CDE" w:rsidP="00D57F1D">
      <w:pPr>
        <w:autoSpaceDE w:val="0"/>
        <w:autoSpaceDN w:val="0"/>
        <w:adjustRightInd w:val="0"/>
        <w:ind w:left="851"/>
        <w:rPr>
          <w:sz w:val="24"/>
          <w:szCs w:val="24"/>
          <w:lang w:eastAsia="hu-HU"/>
        </w:rPr>
      </w:pPr>
    </w:p>
    <w:p w:rsidR="00D44CDE" w:rsidRPr="00512097" w:rsidRDefault="00D44CDE" w:rsidP="00D57F1D">
      <w:pPr>
        <w:ind w:left="851"/>
        <w:rPr>
          <w:sz w:val="24"/>
          <w:szCs w:val="24"/>
          <w:lang w:eastAsia="da-DK"/>
        </w:rPr>
      </w:pPr>
      <w:r w:rsidRPr="00512097">
        <w:rPr>
          <w:sz w:val="24"/>
          <w:szCs w:val="24"/>
          <w:lang w:eastAsia="hu-HU"/>
        </w:rPr>
        <w:t xml:space="preserve">I en 10-ugers undersøgelse med pædiatriske patienter med hypertension (alder 4 til 17 år, n=304), sænkede </w:t>
      </w:r>
      <w:proofErr w:type="spellStart"/>
      <w:r w:rsidRPr="00512097">
        <w:rPr>
          <w:sz w:val="24"/>
          <w:szCs w:val="24"/>
          <w:lang w:eastAsia="hu-HU"/>
        </w:rPr>
        <w:t>eplerenon</w:t>
      </w:r>
      <w:proofErr w:type="spellEnd"/>
      <w:r w:rsidRPr="00512097">
        <w:rPr>
          <w:sz w:val="24"/>
          <w:szCs w:val="24"/>
          <w:lang w:eastAsia="hu-HU"/>
        </w:rPr>
        <w:t xml:space="preserve"> ikke blodtrykket effektivt ved doser (fra 25 mg op til 100 mg pr. dag), som gav samme eksponering som hos voksne. I dette studie samt i et 1-årigt, pædiatrisk sikkerhedsstudie hos 149 patienter</w:t>
      </w:r>
      <w:r w:rsidR="00D57F1D" w:rsidRPr="00512097">
        <w:rPr>
          <w:sz w:val="24"/>
          <w:szCs w:val="24"/>
          <w:lang w:eastAsia="hu-HU"/>
        </w:rPr>
        <w:t xml:space="preserve"> </w:t>
      </w:r>
      <w:r w:rsidRPr="00512097">
        <w:rPr>
          <w:sz w:val="24"/>
          <w:szCs w:val="24"/>
          <w:lang w:eastAsia="hu-HU"/>
        </w:rPr>
        <w:t xml:space="preserve">var sikkerhedsprofilen den samme som for voksne. </w:t>
      </w:r>
      <w:proofErr w:type="spellStart"/>
      <w:r w:rsidRPr="00512097">
        <w:rPr>
          <w:sz w:val="24"/>
          <w:szCs w:val="24"/>
          <w:lang w:eastAsia="hu-HU"/>
        </w:rPr>
        <w:t>Eplerenon</w:t>
      </w:r>
      <w:proofErr w:type="spellEnd"/>
      <w:r w:rsidRPr="00512097">
        <w:rPr>
          <w:sz w:val="24"/>
          <w:szCs w:val="24"/>
          <w:lang w:eastAsia="hu-HU"/>
        </w:rPr>
        <w:t xml:space="preserve"> er ikke undersøgt hos </w:t>
      </w:r>
      <w:proofErr w:type="spellStart"/>
      <w:r w:rsidRPr="00512097">
        <w:rPr>
          <w:sz w:val="24"/>
          <w:szCs w:val="24"/>
          <w:lang w:eastAsia="hu-HU"/>
        </w:rPr>
        <w:t>hypertensive</w:t>
      </w:r>
      <w:proofErr w:type="spellEnd"/>
      <w:r w:rsidRPr="00512097">
        <w:rPr>
          <w:sz w:val="24"/>
          <w:szCs w:val="24"/>
          <w:lang w:eastAsia="hu-HU"/>
        </w:rPr>
        <w:t xml:space="preserve"> patienter, som er yngre end 4 år, fordi studiet hos ældre, pædiatriske patienter viste mangel på effekt (se pkt. 4.2).</w:t>
      </w:r>
    </w:p>
    <w:p w:rsidR="00D44CDE" w:rsidRPr="00512097" w:rsidRDefault="00D44CDE" w:rsidP="00D57F1D">
      <w:pPr>
        <w:autoSpaceDE w:val="0"/>
        <w:autoSpaceDN w:val="0"/>
        <w:adjustRightInd w:val="0"/>
        <w:ind w:left="851"/>
        <w:rPr>
          <w:sz w:val="24"/>
          <w:szCs w:val="24"/>
          <w:lang w:eastAsia="hu-HU"/>
        </w:rPr>
      </w:pPr>
    </w:p>
    <w:p w:rsidR="00D44CDE" w:rsidRPr="00512097" w:rsidRDefault="00D44CDE" w:rsidP="00D44CDE">
      <w:pPr>
        <w:tabs>
          <w:tab w:val="left" w:pos="851"/>
        </w:tabs>
        <w:rPr>
          <w:color w:val="000000"/>
          <w:sz w:val="24"/>
          <w:szCs w:val="24"/>
        </w:rPr>
      </w:pPr>
      <w:r w:rsidRPr="00512097">
        <w:rPr>
          <w:color w:val="000000"/>
          <w:sz w:val="24"/>
          <w:szCs w:val="24"/>
        </w:rPr>
        <w:tab/>
        <w:t>(Langtids-)effekt på hormonal status i pædiatriske patienter er ikke undersøgt.</w:t>
      </w:r>
    </w:p>
    <w:p w:rsidR="00D44CDE" w:rsidRDefault="00D44CDE" w:rsidP="00D44CDE">
      <w:pPr>
        <w:tabs>
          <w:tab w:val="left" w:pos="851"/>
        </w:tabs>
        <w:rPr>
          <w:sz w:val="24"/>
          <w:szCs w:val="24"/>
        </w:rPr>
      </w:pPr>
    </w:p>
    <w:p w:rsidR="0027752D" w:rsidRPr="008E114A" w:rsidRDefault="0027752D" w:rsidP="00D44CDE">
      <w:pPr>
        <w:tabs>
          <w:tab w:val="left" w:pos="851"/>
        </w:tabs>
        <w:rPr>
          <w:sz w:val="24"/>
          <w:szCs w:val="24"/>
        </w:rPr>
      </w:pPr>
    </w:p>
    <w:p w:rsidR="00D44CDE" w:rsidRPr="008E114A" w:rsidRDefault="00D44CDE" w:rsidP="00D44CDE">
      <w:pPr>
        <w:tabs>
          <w:tab w:val="left" w:pos="851"/>
        </w:tabs>
        <w:ind w:left="851" w:hanging="851"/>
        <w:rPr>
          <w:b/>
          <w:sz w:val="24"/>
          <w:szCs w:val="24"/>
        </w:rPr>
      </w:pPr>
      <w:r w:rsidRPr="008E114A">
        <w:rPr>
          <w:b/>
          <w:sz w:val="24"/>
          <w:szCs w:val="24"/>
        </w:rPr>
        <w:lastRenderedPageBreak/>
        <w:t>5.2</w:t>
      </w:r>
      <w:r w:rsidRPr="008E114A">
        <w:rPr>
          <w:b/>
          <w:sz w:val="24"/>
          <w:szCs w:val="24"/>
        </w:rPr>
        <w:tab/>
      </w:r>
      <w:proofErr w:type="spellStart"/>
      <w:r w:rsidRPr="008E114A">
        <w:rPr>
          <w:b/>
          <w:sz w:val="24"/>
          <w:szCs w:val="24"/>
        </w:rPr>
        <w:t>Farmakokinetiske</w:t>
      </w:r>
      <w:proofErr w:type="spellEnd"/>
      <w:r w:rsidRPr="008E114A">
        <w:rPr>
          <w:b/>
          <w:sz w:val="24"/>
          <w:szCs w:val="24"/>
        </w:rPr>
        <w:t xml:space="preserve"> egenskaber</w:t>
      </w:r>
    </w:p>
    <w:p w:rsidR="00D57F1D" w:rsidRDefault="00D57F1D" w:rsidP="00D44CDE">
      <w:pPr>
        <w:autoSpaceDE w:val="0"/>
        <w:autoSpaceDN w:val="0"/>
        <w:adjustRightInd w:val="0"/>
        <w:ind w:left="851"/>
        <w:rPr>
          <w:iCs/>
          <w:sz w:val="24"/>
          <w:szCs w:val="24"/>
          <w:u w:val="single"/>
          <w:lang w:val="hu-HU" w:eastAsia="hu-HU"/>
        </w:rPr>
      </w:pPr>
    </w:p>
    <w:p w:rsidR="00D44CDE" w:rsidRPr="008E114A" w:rsidRDefault="00D44CDE" w:rsidP="00D44CDE">
      <w:pPr>
        <w:autoSpaceDE w:val="0"/>
        <w:autoSpaceDN w:val="0"/>
        <w:adjustRightInd w:val="0"/>
        <w:ind w:left="851"/>
        <w:rPr>
          <w:iCs/>
          <w:sz w:val="24"/>
          <w:szCs w:val="24"/>
          <w:u w:val="single"/>
          <w:lang w:val="hu-HU" w:eastAsia="hu-HU"/>
        </w:rPr>
      </w:pPr>
      <w:r w:rsidRPr="008E114A">
        <w:rPr>
          <w:iCs/>
          <w:sz w:val="24"/>
          <w:szCs w:val="24"/>
          <w:u w:val="single"/>
          <w:lang w:val="hu-HU" w:eastAsia="hu-HU"/>
        </w:rPr>
        <w:t>Absorption</w:t>
      </w:r>
    </w:p>
    <w:p w:rsidR="00D57F1D" w:rsidRDefault="00D57F1D" w:rsidP="00D57F1D">
      <w:pPr>
        <w:autoSpaceDE w:val="0"/>
        <w:autoSpaceDN w:val="0"/>
        <w:adjustRightInd w:val="0"/>
        <w:ind w:left="851"/>
        <w:rPr>
          <w:sz w:val="24"/>
          <w:szCs w:val="24"/>
          <w:lang w:val="hu-HU" w:eastAsia="hu-HU"/>
        </w:rPr>
      </w:pPr>
      <w:r>
        <w:rPr>
          <w:sz w:val="24"/>
          <w:szCs w:val="24"/>
          <w:lang w:val="hu-HU" w:eastAsia="hu-HU"/>
        </w:rPr>
        <w:t>Den absolutte biotilgængelighed af eplerenon er 69% efter administration af af en 100 mg oral tablet.. Maksimal plasmakoncentration opnås efter ca. 1,5-2 timer. Både maksimal plasmakoncentration (C</w:t>
      </w:r>
      <w:r>
        <w:rPr>
          <w:sz w:val="24"/>
          <w:szCs w:val="24"/>
          <w:vertAlign w:val="subscript"/>
          <w:lang w:val="hu-HU" w:eastAsia="hu-HU"/>
        </w:rPr>
        <w:t>max</w:t>
      </w:r>
      <w:r>
        <w:rPr>
          <w:sz w:val="24"/>
          <w:szCs w:val="24"/>
          <w:lang w:val="hu-HU" w:eastAsia="hu-HU"/>
        </w:rPr>
        <w:t>) og arealet under kurven (AUC) er dosis-proportionalt for doser på 10 mg - 100 mg og mindre end proportionalt ved doser over 100 mg. Steady state opnås inden for 2 dage. Absorptionen er ikke påvirket af fødeindtagelse.</w:t>
      </w:r>
    </w:p>
    <w:p w:rsidR="00D57F1D" w:rsidRDefault="00D57F1D" w:rsidP="00D57F1D">
      <w:pPr>
        <w:autoSpaceDE w:val="0"/>
        <w:autoSpaceDN w:val="0"/>
        <w:adjustRightInd w:val="0"/>
        <w:ind w:left="851"/>
        <w:rPr>
          <w:sz w:val="24"/>
          <w:szCs w:val="24"/>
          <w:lang w:val="hu-HU" w:eastAsia="hu-HU"/>
        </w:rPr>
      </w:pPr>
    </w:p>
    <w:p w:rsidR="00D57F1D" w:rsidRDefault="00D57F1D" w:rsidP="00D57F1D">
      <w:pPr>
        <w:autoSpaceDE w:val="0"/>
        <w:autoSpaceDN w:val="0"/>
        <w:adjustRightInd w:val="0"/>
        <w:ind w:left="851"/>
        <w:rPr>
          <w:sz w:val="24"/>
          <w:szCs w:val="24"/>
          <w:lang w:val="hu-HU" w:eastAsia="hu-HU"/>
        </w:rPr>
      </w:pPr>
      <w:r>
        <w:rPr>
          <w:noProof/>
          <w:sz w:val="24"/>
          <w:szCs w:val="24"/>
          <w:u w:val="single"/>
          <w:lang w:val="hu-HU" w:eastAsia="hu-HU"/>
        </w:rPr>
        <w:t>Fordeling</w:t>
      </w:r>
      <w:r>
        <w:rPr>
          <w:sz w:val="24"/>
          <w:szCs w:val="24"/>
          <w:lang w:val="hu-HU" w:eastAsia="hu-HU"/>
        </w:rPr>
        <w:t xml:space="preserve"> </w:t>
      </w:r>
    </w:p>
    <w:p w:rsidR="00D57F1D" w:rsidRDefault="00D57F1D" w:rsidP="00D57F1D">
      <w:pPr>
        <w:autoSpaceDE w:val="0"/>
        <w:autoSpaceDN w:val="0"/>
        <w:adjustRightInd w:val="0"/>
        <w:ind w:left="851"/>
        <w:rPr>
          <w:sz w:val="24"/>
          <w:szCs w:val="24"/>
          <w:lang w:val="hu-HU" w:eastAsia="hu-HU"/>
        </w:rPr>
      </w:pPr>
      <w:r>
        <w:rPr>
          <w:sz w:val="24"/>
          <w:szCs w:val="24"/>
          <w:lang w:val="hu-HU" w:eastAsia="hu-HU"/>
        </w:rPr>
        <w:t xml:space="preserve">Plasmaprotein bindingen af eplerenon er ca. 50 %, og er primært bundet til alfa-1-syreglycoproteiner. Det tilsyneladende fordelingsvolumen ved steady state er omkring 42-90 l . </w:t>
      </w:r>
    </w:p>
    <w:p w:rsidR="00D57F1D" w:rsidRDefault="00D57F1D" w:rsidP="00D57F1D">
      <w:pPr>
        <w:autoSpaceDE w:val="0"/>
        <w:autoSpaceDN w:val="0"/>
        <w:adjustRightInd w:val="0"/>
        <w:ind w:left="851"/>
        <w:rPr>
          <w:sz w:val="24"/>
          <w:szCs w:val="24"/>
          <w:lang w:val="hu-HU" w:eastAsia="hu-HU"/>
        </w:rPr>
      </w:pPr>
    </w:p>
    <w:p w:rsidR="00D57F1D" w:rsidRDefault="00D57F1D" w:rsidP="00D57F1D">
      <w:pPr>
        <w:autoSpaceDE w:val="0"/>
        <w:autoSpaceDN w:val="0"/>
        <w:adjustRightInd w:val="0"/>
        <w:ind w:left="851"/>
        <w:rPr>
          <w:sz w:val="24"/>
          <w:szCs w:val="24"/>
          <w:lang w:val="hu-HU" w:eastAsia="hu-HU"/>
        </w:rPr>
      </w:pPr>
      <w:r>
        <w:rPr>
          <w:sz w:val="24"/>
          <w:szCs w:val="24"/>
          <w:lang w:val="hu-HU" w:eastAsia="hu-HU"/>
        </w:rPr>
        <w:t xml:space="preserve">Eplerenon bindes ikke fortrinsvist til de røde blodlegemer. </w:t>
      </w:r>
    </w:p>
    <w:p w:rsidR="00D57F1D" w:rsidRDefault="00D57F1D" w:rsidP="00D57F1D">
      <w:pPr>
        <w:autoSpaceDE w:val="0"/>
        <w:autoSpaceDN w:val="0"/>
        <w:adjustRightInd w:val="0"/>
        <w:ind w:left="851"/>
        <w:rPr>
          <w:sz w:val="24"/>
          <w:szCs w:val="24"/>
          <w:lang w:val="hu-HU" w:eastAsia="hu-HU"/>
        </w:rPr>
      </w:pPr>
    </w:p>
    <w:p w:rsidR="00D57F1D" w:rsidRDefault="00D57F1D" w:rsidP="00D57F1D">
      <w:pPr>
        <w:autoSpaceDE w:val="0"/>
        <w:autoSpaceDN w:val="0"/>
        <w:adjustRightInd w:val="0"/>
        <w:ind w:left="851"/>
        <w:rPr>
          <w:iCs/>
          <w:sz w:val="24"/>
          <w:szCs w:val="24"/>
          <w:u w:val="single"/>
          <w:lang w:val="hu-HU" w:eastAsia="hu-HU"/>
        </w:rPr>
      </w:pPr>
      <w:r>
        <w:rPr>
          <w:sz w:val="24"/>
          <w:szCs w:val="24"/>
          <w:u w:val="single"/>
          <w:lang w:val="hu-HU" w:eastAsia="hu-HU"/>
        </w:rPr>
        <w:t>Biotransformation</w:t>
      </w:r>
      <w:r>
        <w:rPr>
          <w:iCs/>
          <w:sz w:val="24"/>
          <w:szCs w:val="24"/>
          <w:u w:val="single"/>
          <w:lang w:val="hu-HU" w:eastAsia="hu-HU"/>
        </w:rPr>
        <w:t xml:space="preserve"> og </w:t>
      </w:r>
      <w:r>
        <w:rPr>
          <w:sz w:val="24"/>
          <w:szCs w:val="24"/>
          <w:u w:val="single"/>
          <w:lang w:val="hu-HU" w:eastAsia="hu-HU"/>
        </w:rPr>
        <w:t>elimination</w:t>
      </w:r>
    </w:p>
    <w:p w:rsidR="00D57F1D" w:rsidRDefault="00D57F1D" w:rsidP="00D57F1D">
      <w:pPr>
        <w:autoSpaceDE w:val="0"/>
        <w:autoSpaceDN w:val="0"/>
        <w:adjustRightInd w:val="0"/>
        <w:ind w:left="851"/>
        <w:rPr>
          <w:sz w:val="24"/>
          <w:szCs w:val="24"/>
          <w:lang w:val="hu-HU" w:eastAsia="hu-HU"/>
        </w:rPr>
      </w:pPr>
      <w:r>
        <w:rPr>
          <w:sz w:val="24"/>
          <w:szCs w:val="24"/>
          <w:lang w:val="hu-HU" w:eastAsia="hu-HU"/>
        </w:rPr>
        <w:t xml:space="preserve">Eplerenon metaboliseres primært medieret via CYP3A4. Der er ikke identificeret nogen aktive metabolitter af eplerenon i humant plasma. </w:t>
      </w:r>
    </w:p>
    <w:p w:rsidR="00D57F1D" w:rsidRDefault="00D57F1D" w:rsidP="00D57F1D">
      <w:pPr>
        <w:autoSpaceDE w:val="0"/>
        <w:autoSpaceDN w:val="0"/>
        <w:adjustRightInd w:val="0"/>
        <w:ind w:left="851"/>
        <w:rPr>
          <w:sz w:val="24"/>
          <w:szCs w:val="24"/>
          <w:lang w:val="hu-HU" w:eastAsia="hu-HU"/>
        </w:rPr>
      </w:pPr>
    </w:p>
    <w:p w:rsidR="00D57F1D" w:rsidRDefault="00D57F1D" w:rsidP="00D57F1D">
      <w:pPr>
        <w:autoSpaceDE w:val="0"/>
        <w:autoSpaceDN w:val="0"/>
        <w:adjustRightInd w:val="0"/>
        <w:ind w:left="851"/>
        <w:rPr>
          <w:sz w:val="24"/>
          <w:szCs w:val="24"/>
          <w:u w:val="single"/>
          <w:lang w:val="hu-HU" w:eastAsia="hu-HU"/>
        </w:rPr>
      </w:pPr>
      <w:r>
        <w:rPr>
          <w:sz w:val="24"/>
          <w:szCs w:val="24"/>
          <w:u w:val="single"/>
          <w:lang w:val="hu-HU" w:eastAsia="hu-HU"/>
        </w:rPr>
        <w:t>Elimination</w:t>
      </w:r>
    </w:p>
    <w:p w:rsidR="00D57F1D" w:rsidRDefault="00D57F1D" w:rsidP="00D57F1D">
      <w:pPr>
        <w:autoSpaceDE w:val="0"/>
        <w:autoSpaceDN w:val="0"/>
        <w:adjustRightInd w:val="0"/>
        <w:ind w:left="851"/>
        <w:rPr>
          <w:sz w:val="24"/>
          <w:szCs w:val="24"/>
          <w:lang w:val="hu-HU" w:eastAsia="hu-HU"/>
        </w:rPr>
      </w:pPr>
      <w:r>
        <w:rPr>
          <w:sz w:val="24"/>
          <w:szCs w:val="24"/>
          <w:lang w:val="hu-HU" w:eastAsia="hu-HU"/>
        </w:rPr>
        <w:t>Mindre end 5 % af eplerenon-dosis genfindes som uomdannet stof i urin og fæces. Efter en oral enkeltdosis af radioaktivt mærket lægemiddelstof udskilles ca. 32 % af dosis i fæces, og ca. 67 % udskilles i urin. Eliminationshalveringstiden af eplerenon er ca. 3-6 timer. Den tilsyneladende plasma-clearance er ca. 10 l/time.</w:t>
      </w:r>
    </w:p>
    <w:p w:rsidR="00D57F1D" w:rsidRDefault="00D57F1D" w:rsidP="00D57F1D">
      <w:pPr>
        <w:autoSpaceDE w:val="0"/>
        <w:autoSpaceDN w:val="0"/>
        <w:adjustRightInd w:val="0"/>
        <w:ind w:left="851"/>
        <w:rPr>
          <w:b/>
          <w:bCs/>
          <w:sz w:val="24"/>
          <w:szCs w:val="24"/>
          <w:lang w:val="hu-HU" w:eastAsia="hu-HU"/>
        </w:rPr>
      </w:pPr>
    </w:p>
    <w:p w:rsidR="00D57F1D" w:rsidRDefault="00D57F1D" w:rsidP="00D57F1D">
      <w:pPr>
        <w:suppressAutoHyphens/>
        <w:ind w:left="851"/>
        <w:rPr>
          <w:bCs/>
          <w:sz w:val="24"/>
          <w:szCs w:val="24"/>
          <w:lang w:val="hu-HU" w:eastAsia="hu-HU"/>
        </w:rPr>
      </w:pPr>
      <w:r>
        <w:rPr>
          <w:bCs/>
          <w:sz w:val="24"/>
          <w:szCs w:val="24"/>
          <w:lang w:val="hu-HU" w:eastAsia="hu-HU"/>
        </w:rPr>
        <w:t>Specielle populationer</w:t>
      </w:r>
    </w:p>
    <w:p w:rsidR="00D57F1D" w:rsidRDefault="00D57F1D" w:rsidP="00D57F1D">
      <w:pPr>
        <w:autoSpaceDE w:val="0"/>
        <w:autoSpaceDN w:val="0"/>
        <w:adjustRightInd w:val="0"/>
        <w:ind w:left="851"/>
        <w:rPr>
          <w:sz w:val="24"/>
          <w:szCs w:val="24"/>
          <w:u w:val="single"/>
          <w:lang w:val="hu-HU" w:eastAsia="hu-HU"/>
        </w:rPr>
      </w:pPr>
    </w:p>
    <w:p w:rsidR="00D57F1D" w:rsidRDefault="00D57F1D" w:rsidP="00D57F1D">
      <w:pPr>
        <w:autoSpaceDE w:val="0"/>
        <w:autoSpaceDN w:val="0"/>
        <w:adjustRightInd w:val="0"/>
        <w:ind w:left="851"/>
        <w:rPr>
          <w:i/>
          <w:iCs/>
          <w:sz w:val="24"/>
          <w:szCs w:val="24"/>
          <w:lang w:val="hu-HU" w:eastAsia="hu-HU"/>
        </w:rPr>
      </w:pPr>
      <w:r>
        <w:rPr>
          <w:i/>
          <w:iCs/>
          <w:sz w:val="24"/>
          <w:szCs w:val="24"/>
          <w:lang w:val="hu-HU" w:eastAsia="hu-HU"/>
        </w:rPr>
        <w:t>Alder, køn og race</w:t>
      </w:r>
    </w:p>
    <w:p w:rsidR="00D57F1D" w:rsidRDefault="00D57F1D" w:rsidP="00D57F1D">
      <w:pPr>
        <w:autoSpaceDE w:val="0"/>
        <w:autoSpaceDN w:val="0"/>
        <w:adjustRightInd w:val="0"/>
        <w:ind w:left="851"/>
        <w:rPr>
          <w:sz w:val="24"/>
          <w:szCs w:val="24"/>
          <w:lang w:val="hu-HU" w:eastAsia="hu-HU"/>
        </w:rPr>
      </w:pPr>
      <w:r>
        <w:rPr>
          <w:sz w:val="24"/>
          <w:szCs w:val="24"/>
          <w:lang w:val="hu-HU" w:eastAsia="hu-HU"/>
        </w:rPr>
        <w:t>Eplerenons farmakokinetik ved en dosis på 100 mg 1 gang daglig er undersøgt hos ældre (</w:t>
      </w:r>
      <w:r>
        <w:rPr>
          <w:sz w:val="24"/>
          <w:szCs w:val="24"/>
          <w:lang w:val="hu-HU" w:eastAsia="hu-HU"/>
        </w:rPr>
        <w:sym w:font="Symbol" w:char="F0B3"/>
      </w:r>
      <w:r>
        <w:rPr>
          <w:sz w:val="24"/>
          <w:szCs w:val="24"/>
          <w:lang w:val="hu-HU" w:eastAsia="hu-HU"/>
        </w:rPr>
        <w:t xml:space="preserve"> 65 år) hos mænd og kvinder samt hos sorte. Eplerenons farmakokinetik er ikke signifikant forskellig mellem mænd og kvinder. Ved steady state ses hos ældre forsøgspersoner en stigning i C</w:t>
      </w:r>
      <w:r>
        <w:rPr>
          <w:sz w:val="24"/>
          <w:szCs w:val="24"/>
          <w:vertAlign w:val="subscript"/>
          <w:lang w:val="hu-HU" w:eastAsia="hu-HU"/>
        </w:rPr>
        <w:t>max</w:t>
      </w:r>
      <w:r>
        <w:rPr>
          <w:sz w:val="24"/>
          <w:szCs w:val="24"/>
          <w:lang w:val="hu-HU" w:eastAsia="hu-HU"/>
        </w:rPr>
        <w:t xml:space="preserve"> (22 %) og AUC (45 %) sammenlignet med yngre forsøgspersoner (18-45 år). Ved steady state er C</w:t>
      </w:r>
      <w:r>
        <w:rPr>
          <w:sz w:val="24"/>
          <w:szCs w:val="24"/>
          <w:vertAlign w:val="subscript"/>
          <w:lang w:val="hu-HU" w:eastAsia="hu-HU"/>
        </w:rPr>
        <w:t xml:space="preserve">max </w:t>
      </w:r>
      <w:r>
        <w:rPr>
          <w:sz w:val="24"/>
          <w:szCs w:val="24"/>
          <w:lang w:val="hu-HU" w:eastAsia="hu-HU"/>
        </w:rPr>
        <w:t>19 % lavere og AUC 26 % lavere hos sorte (se pkt. 4.2).</w:t>
      </w:r>
    </w:p>
    <w:p w:rsidR="00D57F1D" w:rsidRDefault="00D57F1D" w:rsidP="00D57F1D">
      <w:pPr>
        <w:autoSpaceDE w:val="0"/>
        <w:autoSpaceDN w:val="0"/>
        <w:adjustRightInd w:val="0"/>
        <w:ind w:left="851"/>
        <w:rPr>
          <w:sz w:val="24"/>
          <w:szCs w:val="24"/>
          <w:lang w:val="hu-HU" w:eastAsia="hu-HU"/>
        </w:rPr>
      </w:pPr>
    </w:p>
    <w:p w:rsidR="00D57F1D" w:rsidRDefault="00D57F1D" w:rsidP="00D57F1D">
      <w:pPr>
        <w:autoSpaceDE w:val="0"/>
        <w:autoSpaceDN w:val="0"/>
        <w:adjustRightInd w:val="0"/>
        <w:ind w:left="851"/>
        <w:rPr>
          <w:sz w:val="24"/>
          <w:szCs w:val="24"/>
          <w:lang w:val="hu-HU" w:eastAsia="hu-HU"/>
        </w:rPr>
      </w:pPr>
      <w:r>
        <w:rPr>
          <w:i/>
          <w:sz w:val="24"/>
          <w:szCs w:val="24"/>
          <w:lang w:val="hu-HU" w:eastAsia="hu-HU"/>
        </w:rPr>
        <w:t>Pædiatrisk population</w:t>
      </w:r>
    </w:p>
    <w:p w:rsidR="00D57F1D" w:rsidRDefault="00D57F1D" w:rsidP="0027752D">
      <w:pPr>
        <w:autoSpaceDE w:val="0"/>
        <w:autoSpaceDN w:val="0"/>
        <w:adjustRightInd w:val="0"/>
        <w:ind w:left="851"/>
        <w:rPr>
          <w:iCs/>
          <w:color w:val="000000"/>
          <w:sz w:val="24"/>
          <w:szCs w:val="24"/>
          <w:u w:val="single"/>
        </w:rPr>
      </w:pPr>
      <w:r w:rsidRPr="00D57F1D">
        <w:rPr>
          <w:color w:val="000000"/>
          <w:sz w:val="24"/>
          <w:szCs w:val="24"/>
        </w:rPr>
        <w:t xml:space="preserve">En </w:t>
      </w:r>
      <w:proofErr w:type="spellStart"/>
      <w:r w:rsidRPr="00D57F1D">
        <w:rPr>
          <w:color w:val="000000"/>
          <w:sz w:val="24"/>
          <w:szCs w:val="24"/>
        </w:rPr>
        <w:t>populationsfarmakokinetisk</w:t>
      </w:r>
      <w:proofErr w:type="spellEnd"/>
      <w:r w:rsidRPr="00D57F1D">
        <w:rPr>
          <w:color w:val="000000"/>
          <w:sz w:val="24"/>
          <w:szCs w:val="24"/>
        </w:rPr>
        <w:t xml:space="preserve"> model for </w:t>
      </w:r>
      <w:proofErr w:type="spellStart"/>
      <w:r w:rsidRPr="00D57F1D">
        <w:rPr>
          <w:color w:val="000000"/>
          <w:sz w:val="24"/>
          <w:szCs w:val="24"/>
        </w:rPr>
        <w:t>eplerenon</w:t>
      </w:r>
      <w:proofErr w:type="spellEnd"/>
      <w:r w:rsidRPr="00D57F1D">
        <w:rPr>
          <w:color w:val="000000"/>
          <w:sz w:val="24"/>
          <w:szCs w:val="24"/>
        </w:rPr>
        <w:t xml:space="preserve"> koncentrationer fra to undersøgelser i 51 pædiatriske </w:t>
      </w:r>
      <w:proofErr w:type="spellStart"/>
      <w:r w:rsidRPr="00D57F1D">
        <w:rPr>
          <w:color w:val="000000"/>
          <w:sz w:val="24"/>
          <w:szCs w:val="24"/>
        </w:rPr>
        <w:t>hypertensive</w:t>
      </w:r>
      <w:proofErr w:type="spellEnd"/>
      <w:r w:rsidRPr="00D57F1D">
        <w:rPr>
          <w:color w:val="000000"/>
          <w:sz w:val="24"/>
          <w:szCs w:val="24"/>
        </w:rPr>
        <w:t xml:space="preserve"> patienter konstaterede, at en patients legemsvægt havde en statistisk signifikant effekt på </w:t>
      </w:r>
      <w:proofErr w:type="spellStart"/>
      <w:r w:rsidRPr="00D57F1D">
        <w:rPr>
          <w:color w:val="000000"/>
          <w:sz w:val="24"/>
          <w:szCs w:val="24"/>
        </w:rPr>
        <w:t>eplerenon</w:t>
      </w:r>
      <w:proofErr w:type="spellEnd"/>
      <w:r w:rsidRPr="00D57F1D">
        <w:rPr>
          <w:color w:val="000000"/>
          <w:sz w:val="24"/>
          <w:szCs w:val="24"/>
        </w:rPr>
        <w:t xml:space="preserve"> fordelingsvolumen, men ikke på </w:t>
      </w:r>
      <w:proofErr w:type="spellStart"/>
      <w:r w:rsidRPr="00D57F1D">
        <w:rPr>
          <w:color w:val="000000"/>
          <w:sz w:val="24"/>
          <w:szCs w:val="24"/>
        </w:rPr>
        <w:t>clearance</w:t>
      </w:r>
      <w:proofErr w:type="spellEnd"/>
      <w:r w:rsidRPr="00D57F1D">
        <w:rPr>
          <w:color w:val="000000"/>
          <w:sz w:val="24"/>
          <w:szCs w:val="24"/>
        </w:rPr>
        <w:t xml:space="preserve">. </w:t>
      </w:r>
      <w:proofErr w:type="spellStart"/>
      <w:r w:rsidRPr="00D57F1D">
        <w:rPr>
          <w:color w:val="000000"/>
          <w:sz w:val="24"/>
          <w:szCs w:val="24"/>
        </w:rPr>
        <w:t>Eplerenon</w:t>
      </w:r>
      <w:proofErr w:type="spellEnd"/>
      <w:r w:rsidRPr="00D57F1D">
        <w:rPr>
          <w:color w:val="000000"/>
          <w:sz w:val="24"/>
          <w:szCs w:val="24"/>
        </w:rPr>
        <w:t xml:space="preserve"> fordelingsvolumen og peak eksponering i en tungere pædiatrisk patient forventes at være den samme som i en voksen af tilsvarende kropsvægt; i en 45 kg patient, er fordelingsvolumen omkring 40% lavere og den maksimale eksponering forventes at være højere end for voksne. </w:t>
      </w:r>
      <w:proofErr w:type="spellStart"/>
      <w:r w:rsidRPr="00D57F1D">
        <w:rPr>
          <w:color w:val="000000"/>
          <w:sz w:val="24"/>
          <w:szCs w:val="24"/>
        </w:rPr>
        <w:t>Eplerenon</w:t>
      </w:r>
      <w:proofErr w:type="spellEnd"/>
      <w:r w:rsidRPr="00D57F1D">
        <w:rPr>
          <w:color w:val="000000"/>
          <w:sz w:val="24"/>
          <w:szCs w:val="24"/>
        </w:rPr>
        <w:t xml:space="preserve"> behandling blev indledt på 25 mg en gang daglig hos pædiatriske patienter og øget til 25 mg to gange daglig efter 2 uger og til sidst til 50 mg to gange daglig, hvis det er klinisk indiceret. Ved disse doser var de højeste observerede </w:t>
      </w:r>
      <w:proofErr w:type="spellStart"/>
      <w:r w:rsidRPr="00D57F1D">
        <w:rPr>
          <w:color w:val="000000"/>
          <w:sz w:val="24"/>
          <w:szCs w:val="24"/>
        </w:rPr>
        <w:t>eplerenon</w:t>
      </w:r>
      <w:proofErr w:type="spellEnd"/>
      <w:r w:rsidRPr="00D57F1D">
        <w:rPr>
          <w:color w:val="000000"/>
          <w:sz w:val="24"/>
          <w:szCs w:val="24"/>
        </w:rPr>
        <w:t xml:space="preserve"> koncentrationer i pædiatriske forsøgspersoner ikke væsentligt højere end hos voksne indledt på 50 mg en gang daglig.</w:t>
      </w:r>
    </w:p>
    <w:p w:rsidR="0027752D" w:rsidRPr="0027752D" w:rsidRDefault="0027752D" w:rsidP="0027752D">
      <w:pPr>
        <w:autoSpaceDE w:val="0"/>
        <w:autoSpaceDN w:val="0"/>
        <w:adjustRightInd w:val="0"/>
        <w:ind w:left="851"/>
        <w:rPr>
          <w:iCs/>
          <w:color w:val="000000"/>
          <w:sz w:val="24"/>
          <w:szCs w:val="24"/>
          <w:u w:val="single"/>
        </w:rPr>
      </w:pPr>
    </w:p>
    <w:p w:rsidR="00D57F1D" w:rsidRDefault="00D57F1D" w:rsidP="00512097">
      <w:pPr>
        <w:keepNext/>
        <w:autoSpaceDE w:val="0"/>
        <w:autoSpaceDN w:val="0"/>
        <w:adjustRightInd w:val="0"/>
        <w:ind w:left="851"/>
        <w:rPr>
          <w:i/>
          <w:iCs/>
          <w:sz w:val="24"/>
          <w:szCs w:val="24"/>
          <w:lang w:val="hu-HU" w:eastAsia="hu-HU"/>
        </w:rPr>
      </w:pPr>
      <w:r>
        <w:rPr>
          <w:i/>
          <w:iCs/>
          <w:sz w:val="24"/>
          <w:szCs w:val="24"/>
          <w:lang w:val="hu-HU" w:eastAsia="hu-HU"/>
        </w:rPr>
        <w:lastRenderedPageBreak/>
        <w:t>Nedsat nyrefunktion</w:t>
      </w:r>
    </w:p>
    <w:p w:rsidR="00D57F1D" w:rsidRDefault="00D57F1D" w:rsidP="00D57F1D">
      <w:pPr>
        <w:autoSpaceDE w:val="0"/>
        <w:autoSpaceDN w:val="0"/>
        <w:adjustRightInd w:val="0"/>
        <w:ind w:left="851"/>
        <w:rPr>
          <w:sz w:val="24"/>
          <w:szCs w:val="24"/>
          <w:lang w:val="hu-HU" w:eastAsia="hu-HU"/>
        </w:rPr>
      </w:pPr>
      <w:r>
        <w:rPr>
          <w:sz w:val="24"/>
          <w:szCs w:val="24"/>
          <w:lang w:val="hu-HU" w:eastAsia="hu-HU"/>
        </w:rPr>
        <w:t>Eplerenons farmakokinetik er evalueret hos patienter med forskellige grader af nyreinsufficiens, og hos patienter, der var i hæmodialyse. Sammenlignet med kontrolgruppen steg steady state AUC og C</w:t>
      </w:r>
      <w:r>
        <w:rPr>
          <w:sz w:val="24"/>
          <w:szCs w:val="24"/>
          <w:vertAlign w:val="subscript"/>
          <w:lang w:val="hu-HU" w:eastAsia="hu-HU"/>
        </w:rPr>
        <w:t>max</w:t>
      </w:r>
      <w:r>
        <w:rPr>
          <w:sz w:val="24"/>
          <w:szCs w:val="24"/>
          <w:lang w:val="hu-HU" w:eastAsia="hu-HU"/>
        </w:rPr>
        <w:t xml:space="preserve"> med henholdsvis 38 % og 24 % hos patienter med svært nedsat nyrefunktion, og faldt med henholdsvis 26 % og 3 % hos hæmodialysepatienter. Der ses ingen korrelation mellem plasma-clearance af eplerenon og kreatinin-clearance. Eplerenon fjernes ikke ved hæmodialyse (se pkt. 4.4).</w:t>
      </w:r>
    </w:p>
    <w:p w:rsidR="00D57F1D" w:rsidRDefault="00D57F1D" w:rsidP="00D57F1D">
      <w:pPr>
        <w:autoSpaceDE w:val="0"/>
        <w:autoSpaceDN w:val="0"/>
        <w:adjustRightInd w:val="0"/>
        <w:ind w:left="851"/>
        <w:rPr>
          <w:sz w:val="24"/>
          <w:szCs w:val="24"/>
          <w:lang w:val="hu-HU" w:eastAsia="hu-HU"/>
        </w:rPr>
      </w:pPr>
    </w:p>
    <w:p w:rsidR="00D57F1D" w:rsidRDefault="00D57F1D" w:rsidP="00D57F1D">
      <w:pPr>
        <w:tabs>
          <w:tab w:val="left" w:pos="851"/>
        </w:tabs>
        <w:ind w:left="851"/>
        <w:rPr>
          <w:i/>
          <w:iCs/>
          <w:sz w:val="24"/>
          <w:szCs w:val="24"/>
          <w:lang w:val="hu-HU" w:eastAsia="hu-HU"/>
        </w:rPr>
      </w:pPr>
      <w:r>
        <w:rPr>
          <w:i/>
          <w:iCs/>
          <w:sz w:val="24"/>
          <w:szCs w:val="24"/>
          <w:lang w:val="hu-HU" w:eastAsia="hu-HU"/>
        </w:rPr>
        <w:t>Leverinsufficiens</w:t>
      </w:r>
    </w:p>
    <w:p w:rsidR="00D57F1D" w:rsidRDefault="00D57F1D" w:rsidP="00D57F1D">
      <w:pPr>
        <w:tabs>
          <w:tab w:val="left" w:pos="851"/>
        </w:tabs>
        <w:ind w:left="851"/>
        <w:rPr>
          <w:i/>
          <w:sz w:val="24"/>
          <w:szCs w:val="24"/>
          <w:lang w:val="hu-HU" w:eastAsia="hu-HU"/>
        </w:rPr>
      </w:pPr>
      <w:r>
        <w:rPr>
          <w:sz w:val="24"/>
          <w:szCs w:val="24"/>
          <w:lang w:val="hu-HU" w:eastAsia="hu-HU"/>
        </w:rPr>
        <w:t>Farmakokinetikken af 400 mg eplerenon er undersøgt hos patienter med moderat (Child-Pugh klasse B) nedsat leverfunktion og sammenlignet med raske forsøgspersoner. Steady state C</w:t>
      </w:r>
      <w:r>
        <w:rPr>
          <w:sz w:val="24"/>
          <w:szCs w:val="24"/>
          <w:vertAlign w:val="subscript"/>
          <w:lang w:val="hu-HU" w:eastAsia="hu-HU"/>
        </w:rPr>
        <w:t>max</w:t>
      </w:r>
      <w:r>
        <w:rPr>
          <w:sz w:val="24"/>
          <w:szCs w:val="24"/>
          <w:lang w:val="hu-HU" w:eastAsia="hu-HU"/>
        </w:rPr>
        <w:t xml:space="preserve"> og AUC af eplerenon stiger med henholdsvis 3,6 % og 42 % (se pkt. 4.2). Eftersom brugen af eplerenon ikke er undersøgt hos patienter med svært nedsat leverfunktion, er eplerenon kontraindiceret hos denne patientgruppe (se pkt. 4.3).</w:t>
      </w:r>
    </w:p>
    <w:p w:rsidR="00D57F1D" w:rsidRDefault="00D57F1D" w:rsidP="00D57F1D">
      <w:pPr>
        <w:autoSpaceDE w:val="0"/>
        <w:autoSpaceDN w:val="0"/>
        <w:adjustRightInd w:val="0"/>
        <w:ind w:left="851"/>
        <w:rPr>
          <w:sz w:val="24"/>
          <w:szCs w:val="24"/>
          <w:lang w:val="hu-HU" w:eastAsia="hu-HU"/>
        </w:rPr>
      </w:pPr>
    </w:p>
    <w:p w:rsidR="00D57F1D" w:rsidRDefault="00D57F1D" w:rsidP="00D57F1D">
      <w:pPr>
        <w:tabs>
          <w:tab w:val="left" w:pos="426"/>
        </w:tabs>
        <w:ind w:left="851"/>
        <w:rPr>
          <w:i/>
          <w:iCs/>
          <w:sz w:val="24"/>
          <w:szCs w:val="24"/>
          <w:lang w:val="hu-HU" w:eastAsia="hu-HU"/>
        </w:rPr>
      </w:pPr>
      <w:r>
        <w:rPr>
          <w:i/>
          <w:iCs/>
          <w:sz w:val="24"/>
          <w:szCs w:val="24"/>
          <w:lang w:val="hu-HU" w:eastAsia="hu-HU"/>
        </w:rPr>
        <w:t>Hjertesvigt</w:t>
      </w:r>
    </w:p>
    <w:p w:rsidR="00D57F1D" w:rsidRDefault="00D57F1D" w:rsidP="00D57F1D">
      <w:pPr>
        <w:tabs>
          <w:tab w:val="left" w:pos="426"/>
        </w:tabs>
        <w:ind w:left="851"/>
        <w:rPr>
          <w:i/>
          <w:sz w:val="24"/>
          <w:szCs w:val="24"/>
          <w:lang w:val="hu-HU" w:eastAsia="hu-HU"/>
        </w:rPr>
      </w:pPr>
      <w:r>
        <w:rPr>
          <w:sz w:val="24"/>
          <w:szCs w:val="24"/>
          <w:lang w:val="hu-HU" w:eastAsia="hu-HU"/>
        </w:rPr>
        <w:t>Farmakokinetikken af 50 mg eplerenon er evalueret hos patienter med hjertesvigt (NYHA klassifikation II-IV). Sammenlignet med raske forsøgspersoner, der matcher i alder, vægt og køn, var steady state AUC og C</w:t>
      </w:r>
      <w:r>
        <w:rPr>
          <w:sz w:val="24"/>
          <w:szCs w:val="24"/>
          <w:vertAlign w:val="subscript"/>
          <w:lang w:val="hu-HU" w:eastAsia="hu-HU"/>
        </w:rPr>
        <w:t xml:space="preserve">max </w:t>
      </w:r>
      <w:r>
        <w:rPr>
          <w:sz w:val="24"/>
          <w:szCs w:val="24"/>
          <w:lang w:val="hu-HU" w:eastAsia="hu-HU"/>
        </w:rPr>
        <w:t>hos patienter med hjertesvigt henholdsvis 38 % og 30 % højere. I overensstemmelse med disse resultater viser den farmakokinetiske populationsanalyse af eplerenon, der er baseret på en delmængde af patienterne fra EPHESUS, at eplerenon-clearance hos patienter med hjertesvigt var den samme, som den der ses hos raske ældre forsøgspersoner.</w:t>
      </w:r>
    </w:p>
    <w:p w:rsidR="00D44CDE" w:rsidRPr="004F0F07" w:rsidRDefault="00D44CDE" w:rsidP="00D44CDE">
      <w:pPr>
        <w:tabs>
          <w:tab w:val="left" w:pos="851"/>
        </w:tabs>
        <w:rPr>
          <w:sz w:val="24"/>
          <w:szCs w:val="24"/>
          <w:lang w:val="hu-HU"/>
        </w:rPr>
      </w:pPr>
    </w:p>
    <w:p w:rsidR="00D44CDE" w:rsidRPr="008E114A" w:rsidRDefault="00D44CDE" w:rsidP="00D44CDE">
      <w:pPr>
        <w:tabs>
          <w:tab w:val="left" w:pos="851"/>
        </w:tabs>
        <w:ind w:left="851" w:hanging="851"/>
        <w:rPr>
          <w:b/>
          <w:sz w:val="24"/>
          <w:szCs w:val="24"/>
        </w:rPr>
      </w:pPr>
      <w:r w:rsidRPr="008E114A">
        <w:rPr>
          <w:b/>
          <w:sz w:val="24"/>
          <w:szCs w:val="24"/>
        </w:rPr>
        <w:t>5.3</w:t>
      </w:r>
      <w:r w:rsidRPr="008E114A">
        <w:rPr>
          <w:b/>
          <w:sz w:val="24"/>
          <w:szCs w:val="24"/>
        </w:rPr>
        <w:tab/>
      </w:r>
      <w:r w:rsidR="0027752D">
        <w:rPr>
          <w:b/>
          <w:sz w:val="24"/>
          <w:szCs w:val="24"/>
        </w:rPr>
        <w:t>Non-</w:t>
      </w:r>
      <w:bookmarkStart w:id="0" w:name="_GoBack"/>
      <w:bookmarkEnd w:id="0"/>
      <w:r w:rsidRPr="008E114A">
        <w:rPr>
          <w:b/>
          <w:sz w:val="24"/>
          <w:szCs w:val="24"/>
        </w:rPr>
        <w:t>kliniske sikkerhedsdata</w:t>
      </w:r>
    </w:p>
    <w:p w:rsidR="00D44CDE" w:rsidRDefault="00D44CDE" w:rsidP="00D44CDE">
      <w:pPr>
        <w:ind w:left="851"/>
        <w:rPr>
          <w:sz w:val="24"/>
          <w:szCs w:val="24"/>
          <w:lang w:val="hu-HU" w:eastAsia="hu-HU"/>
        </w:rPr>
      </w:pPr>
      <w:r w:rsidRPr="008E114A">
        <w:rPr>
          <w:sz w:val="24"/>
          <w:szCs w:val="24"/>
          <w:lang w:val="hu-HU" w:eastAsia="hu-HU"/>
        </w:rPr>
        <w:t>De prækliniske data viser ingen særlig risiko for mennesker vurderet ud fra undersøgelser af sikkerhedsfarmakologi, genotoksicitet, karcinogenicitet og reproduktionstoksicitet.</w:t>
      </w:r>
    </w:p>
    <w:p w:rsidR="00463EA1" w:rsidRPr="008E114A" w:rsidRDefault="00463EA1" w:rsidP="00D44CDE">
      <w:pPr>
        <w:ind w:left="851"/>
        <w:rPr>
          <w:sz w:val="24"/>
          <w:szCs w:val="24"/>
          <w:lang w:val="hu-HU" w:eastAsia="hu-HU"/>
        </w:rPr>
      </w:pPr>
    </w:p>
    <w:p w:rsidR="00D44CDE" w:rsidRPr="008E114A" w:rsidRDefault="00D44CDE" w:rsidP="00D44CDE">
      <w:pPr>
        <w:autoSpaceDE w:val="0"/>
        <w:autoSpaceDN w:val="0"/>
        <w:adjustRightInd w:val="0"/>
        <w:ind w:left="851"/>
        <w:rPr>
          <w:sz w:val="24"/>
          <w:szCs w:val="24"/>
          <w:lang w:val="hu-HU" w:eastAsia="hu-HU"/>
        </w:rPr>
      </w:pPr>
      <w:r w:rsidRPr="008E114A">
        <w:rPr>
          <w:sz w:val="24"/>
          <w:szCs w:val="24"/>
          <w:lang w:val="hu-HU" w:eastAsia="hu-HU"/>
        </w:rPr>
        <w:t>Toksicitetsstudier efter gentagne doser viser prostata-atrofi hos rotter og hunde ved doser lidt over de kliniske doser. Ændringerne i prostata blev ikke forbundet med uønskede funktionsmæssige konsekvenser. Den kliniske betydning af disse fund kendes ikke.</w:t>
      </w:r>
    </w:p>
    <w:p w:rsidR="00D44CDE" w:rsidRPr="008E114A" w:rsidRDefault="00D44CDE" w:rsidP="00D44CDE">
      <w:pPr>
        <w:tabs>
          <w:tab w:val="left" w:pos="851"/>
        </w:tabs>
        <w:rPr>
          <w:sz w:val="24"/>
          <w:szCs w:val="24"/>
        </w:rPr>
      </w:pPr>
    </w:p>
    <w:p w:rsidR="00D44CDE" w:rsidRPr="008E114A" w:rsidRDefault="00D44CDE" w:rsidP="00D44CDE">
      <w:pPr>
        <w:tabs>
          <w:tab w:val="left" w:pos="851"/>
        </w:tabs>
        <w:rPr>
          <w:sz w:val="24"/>
          <w:szCs w:val="24"/>
        </w:rPr>
      </w:pPr>
    </w:p>
    <w:p w:rsidR="00D44CDE" w:rsidRPr="008E114A" w:rsidRDefault="00D44CDE" w:rsidP="00D44CDE">
      <w:pPr>
        <w:tabs>
          <w:tab w:val="left" w:pos="851"/>
        </w:tabs>
        <w:ind w:left="851" w:hanging="851"/>
        <w:rPr>
          <w:b/>
          <w:sz w:val="24"/>
          <w:szCs w:val="24"/>
        </w:rPr>
      </w:pPr>
      <w:r w:rsidRPr="008E114A">
        <w:rPr>
          <w:b/>
          <w:sz w:val="24"/>
          <w:szCs w:val="24"/>
        </w:rPr>
        <w:t>6.</w:t>
      </w:r>
      <w:r w:rsidRPr="008E114A">
        <w:rPr>
          <w:b/>
          <w:sz w:val="24"/>
          <w:szCs w:val="24"/>
        </w:rPr>
        <w:tab/>
        <w:t>FARMACEUTISKE OPLYSNINGER</w:t>
      </w:r>
    </w:p>
    <w:p w:rsidR="00D44CDE" w:rsidRPr="008E114A" w:rsidRDefault="00D44CDE" w:rsidP="00D44CDE">
      <w:pPr>
        <w:tabs>
          <w:tab w:val="left" w:pos="851"/>
        </w:tabs>
        <w:rPr>
          <w:b/>
          <w:sz w:val="24"/>
          <w:szCs w:val="24"/>
        </w:rPr>
      </w:pPr>
    </w:p>
    <w:p w:rsidR="00D44CDE" w:rsidRPr="008E114A" w:rsidRDefault="00D44CDE" w:rsidP="00D44CDE">
      <w:pPr>
        <w:tabs>
          <w:tab w:val="left" w:pos="851"/>
        </w:tabs>
        <w:ind w:left="851" w:hanging="851"/>
        <w:rPr>
          <w:b/>
          <w:sz w:val="24"/>
          <w:szCs w:val="24"/>
        </w:rPr>
      </w:pPr>
      <w:r w:rsidRPr="008E114A">
        <w:rPr>
          <w:b/>
          <w:sz w:val="24"/>
          <w:szCs w:val="24"/>
        </w:rPr>
        <w:t>6.1</w:t>
      </w:r>
      <w:r w:rsidRPr="008E114A">
        <w:rPr>
          <w:b/>
          <w:sz w:val="24"/>
          <w:szCs w:val="24"/>
        </w:rPr>
        <w:tab/>
        <w:t>Hjælpestoffer</w:t>
      </w:r>
    </w:p>
    <w:p w:rsidR="00D44CDE" w:rsidRPr="007F1870" w:rsidRDefault="00D44CDE" w:rsidP="00D44CDE">
      <w:pPr>
        <w:autoSpaceDE w:val="0"/>
        <w:autoSpaceDN w:val="0"/>
        <w:adjustRightInd w:val="0"/>
        <w:ind w:left="851"/>
        <w:rPr>
          <w:color w:val="000000"/>
          <w:sz w:val="24"/>
          <w:szCs w:val="24"/>
          <w:u w:val="single"/>
        </w:rPr>
      </w:pPr>
      <w:r w:rsidRPr="007F1870">
        <w:rPr>
          <w:i/>
          <w:color w:val="000000"/>
          <w:sz w:val="24"/>
          <w:szCs w:val="24"/>
          <w:u w:val="single"/>
        </w:rPr>
        <w:t>Tabletkerne</w:t>
      </w:r>
    </w:p>
    <w:p w:rsidR="00D44CDE" w:rsidRPr="007F1870" w:rsidRDefault="00D44CDE" w:rsidP="00D44CDE">
      <w:pPr>
        <w:autoSpaceDE w:val="0"/>
        <w:autoSpaceDN w:val="0"/>
        <w:adjustRightInd w:val="0"/>
        <w:ind w:left="851"/>
        <w:rPr>
          <w:color w:val="000000"/>
          <w:sz w:val="24"/>
          <w:szCs w:val="24"/>
        </w:rPr>
      </w:pPr>
      <w:proofErr w:type="spellStart"/>
      <w:r w:rsidRPr="007F1870">
        <w:rPr>
          <w:color w:val="000000"/>
          <w:sz w:val="24"/>
          <w:szCs w:val="24"/>
        </w:rPr>
        <w:t>Lactosemonohydrat</w:t>
      </w:r>
      <w:proofErr w:type="spellEnd"/>
    </w:p>
    <w:p w:rsidR="00D44CDE" w:rsidRPr="007F1870" w:rsidRDefault="00D44CDE" w:rsidP="00D44CDE">
      <w:pPr>
        <w:autoSpaceDE w:val="0"/>
        <w:autoSpaceDN w:val="0"/>
        <w:adjustRightInd w:val="0"/>
        <w:ind w:left="851"/>
        <w:rPr>
          <w:color w:val="000000"/>
          <w:sz w:val="24"/>
          <w:szCs w:val="24"/>
        </w:rPr>
      </w:pPr>
      <w:r w:rsidRPr="007F1870">
        <w:rPr>
          <w:color w:val="000000"/>
          <w:sz w:val="24"/>
          <w:szCs w:val="24"/>
        </w:rPr>
        <w:t>Cellulose, mikrokrystallinsk (type 101)</w:t>
      </w:r>
    </w:p>
    <w:p w:rsidR="00D44CDE" w:rsidRPr="007F1870" w:rsidRDefault="00D44CDE" w:rsidP="00D44CDE">
      <w:pPr>
        <w:autoSpaceDE w:val="0"/>
        <w:autoSpaceDN w:val="0"/>
        <w:adjustRightInd w:val="0"/>
        <w:ind w:left="851"/>
        <w:rPr>
          <w:color w:val="000000"/>
          <w:sz w:val="24"/>
          <w:szCs w:val="24"/>
        </w:rPr>
      </w:pPr>
      <w:proofErr w:type="spellStart"/>
      <w:r w:rsidRPr="007F1870">
        <w:rPr>
          <w:color w:val="000000"/>
          <w:sz w:val="24"/>
          <w:szCs w:val="24"/>
        </w:rPr>
        <w:t>Croscarmellosenatrium</w:t>
      </w:r>
      <w:proofErr w:type="spellEnd"/>
    </w:p>
    <w:p w:rsidR="00D44CDE" w:rsidRPr="007F1870" w:rsidRDefault="00D44CDE" w:rsidP="00D44CDE">
      <w:pPr>
        <w:autoSpaceDE w:val="0"/>
        <w:autoSpaceDN w:val="0"/>
        <w:adjustRightInd w:val="0"/>
        <w:ind w:left="851"/>
        <w:rPr>
          <w:color w:val="000000"/>
          <w:sz w:val="24"/>
          <w:szCs w:val="24"/>
        </w:rPr>
      </w:pPr>
      <w:proofErr w:type="spellStart"/>
      <w:r w:rsidRPr="007F1870">
        <w:rPr>
          <w:color w:val="000000"/>
          <w:sz w:val="24"/>
          <w:szCs w:val="24"/>
        </w:rPr>
        <w:t>Hypromellose</w:t>
      </w:r>
      <w:proofErr w:type="spellEnd"/>
      <w:r w:rsidRPr="007F1870">
        <w:rPr>
          <w:color w:val="000000"/>
          <w:sz w:val="24"/>
          <w:szCs w:val="24"/>
        </w:rPr>
        <w:t xml:space="preserve"> (type 2910)</w:t>
      </w:r>
    </w:p>
    <w:p w:rsidR="00D44CDE" w:rsidRPr="007F1870" w:rsidRDefault="00D44CDE" w:rsidP="00D44CDE">
      <w:pPr>
        <w:autoSpaceDE w:val="0"/>
        <w:autoSpaceDN w:val="0"/>
        <w:adjustRightInd w:val="0"/>
        <w:ind w:left="851"/>
        <w:rPr>
          <w:color w:val="000000"/>
          <w:sz w:val="24"/>
          <w:szCs w:val="24"/>
        </w:rPr>
      </w:pPr>
      <w:r w:rsidRPr="007F1870">
        <w:rPr>
          <w:color w:val="000000"/>
          <w:sz w:val="24"/>
          <w:szCs w:val="24"/>
        </w:rPr>
        <w:t>Cellulose, mikrokrystallinsk (type 102)</w:t>
      </w:r>
    </w:p>
    <w:p w:rsidR="00D44CDE" w:rsidRPr="007F1870" w:rsidRDefault="00D44CDE" w:rsidP="00D44CDE">
      <w:pPr>
        <w:autoSpaceDE w:val="0"/>
        <w:autoSpaceDN w:val="0"/>
        <w:adjustRightInd w:val="0"/>
        <w:ind w:left="851"/>
        <w:rPr>
          <w:color w:val="000000"/>
          <w:sz w:val="24"/>
          <w:szCs w:val="24"/>
        </w:rPr>
      </w:pPr>
      <w:proofErr w:type="spellStart"/>
      <w:r w:rsidRPr="007F1870">
        <w:rPr>
          <w:color w:val="000000"/>
          <w:sz w:val="24"/>
          <w:szCs w:val="24"/>
        </w:rPr>
        <w:t>Natriumlaurilsulfat</w:t>
      </w:r>
      <w:proofErr w:type="spellEnd"/>
    </w:p>
    <w:p w:rsidR="00D44CDE" w:rsidRPr="007F1870" w:rsidRDefault="00D44CDE" w:rsidP="00D44CDE">
      <w:pPr>
        <w:autoSpaceDE w:val="0"/>
        <w:autoSpaceDN w:val="0"/>
        <w:adjustRightInd w:val="0"/>
        <w:ind w:left="851"/>
        <w:rPr>
          <w:color w:val="000000"/>
          <w:sz w:val="24"/>
          <w:szCs w:val="24"/>
        </w:rPr>
      </w:pPr>
      <w:proofErr w:type="spellStart"/>
      <w:r w:rsidRPr="007F1870">
        <w:rPr>
          <w:color w:val="000000"/>
          <w:sz w:val="24"/>
          <w:szCs w:val="24"/>
        </w:rPr>
        <w:t>Talcum</w:t>
      </w:r>
      <w:proofErr w:type="spellEnd"/>
    </w:p>
    <w:p w:rsidR="00D44CDE" w:rsidRPr="007F1870" w:rsidRDefault="00D44CDE" w:rsidP="00D44CDE">
      <w:pPr>
        <w:autoSpaceDE w:val="0"/>
        <w:autoSpaceDN w:val="0"/>
        <w:adjustRightInd w:val="0"/>
        <w:ind w:left="851"/>
        <w:rPr>
          <w:color w:val="000000"/>
          <w:sz w:val="24"/>
          <w:szCs w:val="24"/>
        </w:rPr>
      </w:pPr>
      <w:proofErr w:type="spellStart"/>
      <w:r w:rsidRPr="007F1870">
        <w:rPr>
          <w:color w:val="000000"/>
          <w:sz w:val="24"/>
          <w:szCs w:val="24"/>
        </w:rPr>
        <w:t>Magnesiumstearat</w:t>
      </w:r>
      <w:proofErr w:type="spellEnd"/>
    </w:p>
    <w:p w:rsidR="00D44CDE" w:rsidRPr="007F1870" w:rsidRDefault="00D44CDE" w:rsidP="00D44CDE">
      <w:pPr>
        <w:autoSpaceDE w:val="0"/>
        <w:autoSpaceDN w:val="0"/>
        <w:adjustRightInd w:val="0"/>
        <w:ind w:left="851"/>
        <w:rPr>
          <w:color w:val="000000"/>
          <w:sz w:val="24"/>
          <w:szCs w:val="24"/>
        </w:rPr>
      </w:pPr>
    </w:p>
    <w:p w:rsidR="00D44CDE" w:rsidRPr="007F1870" w:rsidRDefault="00D44CDE" w:rsidP="00D44CDE">
      <w:pPr>
        <w:autoSpaceDE w:val="0"/>
        <w:autoSpaceDN w:val="0"/>
        <w:adjustRightInd w:val="0"/>
        <w:ind w:left="851"/>
        <w:rPr>
          <w:color w:val="000000"/>
          <w:sz w:val="24"/>
          <w:szCs w:val="24"/>
          <w:u w:val="single"/>
        </w:rPr>
      </w:pPr>
      <w:r w:rsidRPr="007F1870">
        <w:rPr>
          <w:i/>
          <w:color w:val="000000"/>
          <w:sz w:val="24"/>
          <w:szCs w:val="24"/>
          <w:u w:val="single"/>
        </w:rPr>
        <w:t>Filmovertræk</w:t>
      </w:r>
    </w:p>
    <w:p w:rsidR="00D44CDE" w:rsidRPr="007F1870" w:rsidRDefault="00D44CDE" w:rsidP="00D44CDE">
      <w:pPr>
        <w:autoSpaceDE w:val="0"/>
        <w:autoSpaceDN w:val="0"/>
        <w:adjustRightInd w:val="0"/>
        <w:ind w:left="851"/>
        <w:rPr>
          <w:color w:val="000000"/>
          <w:sz w:val="24"/>
          <w:szCs w:val="24"/>
        </w:rPr>
      </w:pPr>
      <w:proofErr w:type="spellStart"/>
      <w:r w:rsidRPr="007F1870">
        <w:rPr>
          <w:color w:val="000000"/>
          <w:sz w:val="24"/>
          <w:szCs w:val="24"/>
        </w:rPr>
        <w:t>Lactosemonohydrat</w:t>
      </w:r>
      <w:proofErr w:type="spellEnd"/>
    </w:p>
    <w:p w:rsidR="00D44CDE" w:rsidRPr="00ED0178" w:rsidRDefault="00D44CDE" w:rsidP="00D44CDE">
      <w:pPr>
        <w:autoSpaceDE w:val="0"/>
        <w:autoSpaceDN w:val="0"/>
        <w:adjustRightInd w:val="0"/>
        <w:ind w:left="851"/>
        <w:rPr>
          <w:color w:val="000000"/>
          <w:sz w:val="24"/>
          <w:szCs w:val="24"/>
          <w:lang w:val="en-US"/>
        </w:rPr>
      </w:pPr>
      <w:r w:rsidRPr="00ED0178">
        <w:rPr>
          <w:color w:val="000000"/>
          <w:sz w:val="24"/>
          <w:szCs w:val="24"/>
          <w:lang w:val="en-US"/>
        </w:rPr>
        <w:t>Hypromellose (type 2910)</w:t>
      </w:r>
    </w:p>
    <w:p w:rsidR="00D44CDE" w:rsidRPr="00ED0178" w:rsidRDefault="00D44CDE" w:rsidP="00D44CDE">
      <w:pPr>
        <w:autoSpaceDE w:val="0"/>
        <w:autoSpaceDN w:val="0"/>
        <w:adjustRightInd w:val="0"/>
        <w:ind w:left="851"/>
        <w:rPr>
          <w:color w:val="000000"/>
          <w:sz w:val="24"/>
          <w:szCs w:val="24"/>
          <w:lang w:val="en-US"/>
        </w:rPr>
      </w:pPr>
      <w:proofErr w:type="spellStart"/>
      <w:r w:rsidRPr="00ED0178">
        <w:rPr>
          <w:color w:val="000000"/>
          <w:sz w:val="24"/>
          <w:szCs w:val="24"/>
          <w:lang w:val="en-US"/>
        </w:rPr>
        <w:t>Titandioxid</w:t>
      </w:r>
      <w:proofErr w:type="spellEnd"/>
      <w:r w:rsidRPr="00ED0178">
        <w:rPr>
          <w:color w:val="000000"/>
          <w:sz w:val="24"/>
          <w:szCs w:val="24"/>
          <w:lang w:val="en-US"/>
        </w:rPr>
        <w:t xml:space="preserve"> (E171)</w:t>
      </w:r>
    </w:p>
    <w:p w:rsidR="00D44CDE" w:rsidRPr="00ED0178" w:rsidRDefault="00D44CDE" w:rsidP="00D44CDE">
      <w:pPr>
        <w:autoSpaceDE w:val="0"/>
        <w:autoSpaceDN w:val="0"/>
        <w:adjustRightInd w:val="0"/>
        <w:ind w:left="851"/>
        <w:rPr>
          <w:color w:val="000000"/>
          <w:sz w:val="24"/>
          <w:szCs w:val="24"/>
          <w:lang w:val="en-US"/>
        </w:rPr>
      </w:pPr>
      <w:r w:rsidRPr="00ED0178">
        <w:rPr>
          <w:color w:val="000000"/>
          <w:sz w:val="24"/>
          <w:szCs w:val="24"/>
          <w:lang w:val="en-US"/>
        </w:rPr>
        <w:t>Macrogol 4000</w:t>
      </w:r>
    </w:p>
    <w:p w:rsidR="00D44CDE" w:rsidRPr="008E114A" w:rsidRDefault="00D44CDE" w:rsidP="00D44CDE">
      <w:pPr>
        <w:tabs>
          <w:tab w:val="left" w:pos="851"/>
        </w:tabs>
        <w:ind w:left="851" w:hanging="851"/>
        <w:rPr>
          <w:sz w:val="24"/>
          <w:szCs w:val="24"/>
          <w:lang w:val="sv-SE"/>
        </w:rPr>
      </w:pPr>
    </w:p>
    <w:p w:rsidR="00D44CDE" w:rsidRPr="008E114A" w:rsidRDefault="00D44CDE" w:rsidP="00D44CDE">
      <w:pPr>
        <w:tabs>
          <w:tab w:val="left" w:pos="851"/>
        </w:tabs>
        <w:ind w:left="851" w:hanging="851"/>
        <w:rPr>
          <w:b/>
          <w:sz w:val="24"/>
          <w:szCs w:val="24"/>
        </w:rPr>
      </w:pPr>
      <w:r w:rsidRPr="008E114A">
        <w:rPr>
          <w:b/>
          <w:sz w:val="24"/>
          <w:szCs w:val="24"/>
        </w:rPr>
        <w:t>6.2</w:t>
      </w:r>
      <w:r w:rsidRPr="008E114A">
        <w:rPr>
          <w:b/>
          <w:sz w:val="24"/>
          <w:szCs w:val="24"/>
        </w:rPr>
        <w:tab/>
        <w:t>Uforligeligheder</w:t>
      </w:r>
    </w:p>
    <w:p w:rsidR="00D44CDE" w:rsidRDefault="00D44CDE" w:rsidP="00D44CDE">
      <w:pPr>
        <w:autoSpaceDE w:val="0"/>
        <w:autoSpaceDN w:val="0"/>
        <w:adjustRightInd w:val="0"/>
        <w:ind w:left="851"/>
        <w:rPr>
          <w:sz w:val="24"/>
          <w:szCs w:val="24"/>
          <w:lang w:val="hu-HU" w:eastAsia="hu-HU"/>
        </w:rPr>
      </w:pPr>
      <w:r w:rsidRPr="008E114A">
        <w:rPr>
          <w:sz w:val="24"/>
          <w:szCs w:val="24"/>
          <w:lang w:val="hu-HU" w:eastAsia="hu-HU"/>
        </w:rPr>
        <w:t>Ikke relevant.</w:t>
      </w:r>
    </w:p>
    <w:p w:rsidR="00D44CDE" w:rsidRDefault="00D44CDE" w:rsidP="00D44CDE">
      <w:pPr>
        <w:autoSpaceDE w:val="0"/>
        <w:autoSpaceDN w:val="0"/>
        <w:adjustRightInd w:val="0"/>
        <w:ind w:left="851"/>
        <w:rPr>
          <w:sz w:val="24"/>
          <w:szCs w:val="24"/>
          <w:lang w:val="hu-HU" w:eastAsia="hu-HU"/>
        </w:rPr>
      </w:pPr>
    </w:p>
    <w:p w:rsidR="00D44CDE" w:rsidRPr="008E114A" w:rsidRDefault="00D44CDE" w:rsidP="00D44CDE">
      <w:pPr>
        <w:ind w:left="851" w:hanging="851"/>
        <w:rPr>
          <w:b/>
          <w:sz w:val="24"/>
          <w:szCs w:val="24"/>
        </w:rPr>
      </w:pPr>
      <w:r w:rsidRPr="008E114A">
        <w:rPr>
          <w:b/>
          <w:sz w:val="24"/>
          <w:szCs w:val="24"/>
        </w:rPr>
        <w:t>6.3</w:t>
      </w:r>
      <w:r w:rsidRPr="008E114A">
        <w:rPr>
          <w:b/>
          <w:sz w:val="24"/>
          <w:szCs w:val="24"/>
        </w:rPr>
        <w:tab/>
        <w:t>Opbevaringstid</w:t>
      </w:r>
    </w:p>
    <w:p w:rsidR="00D44CDE" w:rsidRPr="008E114A" w:rsidRDefault="00D44CDE" w:rsidP="00D44CDE">
      <w:pPr>
        <w:autoSpaceDE w:val="0"/>
        <w:autoSpaceDN w:val="0"/>
        <w:adjustRightInd w:val="0"/>
        <w:ind w:left="851"/>
        <w:rPr>
          <w:sz w:val="24"/>
          <w:szCs w:val="24"/>
          <w:lang w:val="hu-HU" w:eastAsia="hu-HU"/>
        </w:rPr>
      </w:pPr>
      <w:r w:rsidRPr="008E114A">
        <w:rPr>
          <w:sz w:val="24"/>
          <w:szCs w:val="24"/>
          <w:lang w:val="hu-HU" w:eastAsia="hu-HU"/>
        </w:rPr>
        <w:t>3 år.</w:t>
      </w:r>
    </w:p>
    <w:p w:rsidR="00D44CDE" w:rsidRPr="008E114A" w:rsidRDefault="00D44CDE" w:rsidP="00D44CDE">
      <w:pPr>
        <w:tabs>
          <w:tab w:val="left" w:pos="851"/>
        </w:tabs>
        <w:rPr>
          <w:sz w:val="24"/>
          <w:szCs w:val="24"/>
        </w:rPr>
      </w:pPr>
    </w:p>
    <w:p w:rsidR="00D44CDE" w:rsidRPr="008E114A" w:rsidRDefault="00D44CDE" w:rsidP="00D44CDE">
      <w:pPr>
        <w:tabs>
          <w:tab w:val="left" w:pos="851"/>
        </w:tabs>
        <w:ind w:left="851" w:hanging="851"/>
        <w:rPr>
          <w:b/>
          <w:sz w:val="24"/>
          <w:szCs w:val="24"/>
        </w:rPr>
      </w:pPr>
      <w:r w:rsidRPr="008E114A">
        <w:rPr>
          <w:b/>
          <w:sz w:val="24"/>
          <w:szCs w:val="24"/>
        </w:rPr>
        <w:t>6.4</w:t>
      </w:r>
      <w:r w:rsidRPr="008E114A">
        <w:rPr>
          <w:b/>
          <w:sz w:val="24"/>
          <w:szCs w:val="24"/>
        </w:rPr>
        <w:tab/>
        <w:t>Særlige opbevaringsforhold</w:t>
      </w:r>
    </w:p>
    <w:p w:rsidR="00D44CDE" w:rsidRPr="008E114A" w:rsidRDefault="00D44CDE" w:rsidP="00D44CDE">
      <w:pPr>
        <w:autoSpaceDE w:val="0"/>
        <w:autoSpaceDN w:val="0"/>
        <w:adjustRightInd w:val="0"/>
        <w:ind w:left="851"/>
        <w:rPr>
          <w:sz w:val="24"/>
          <w:szCs w:val="24"/>
          <w:lang w:val="hu-HU" w:eastAsia="hu-HU"/>
        </w:rPr>
      </w:pPr>
      <w:r w:rsidRPr="008E114A">
        <w:rPr>
          <w:sz w:val="24"/>
          <w:szCs w:val="24"/>
          <w:lang w:val="hu-HU" w:eastAsia="hu-HU"/>
        </w:rPr>
        <w:t>Dette lægemiddel kræver ingen særlige forholdsregler vedrørende opbevaringen.</w:t>
      </w:r>
    </w:p>
    <w:p w:rsidR="00D44CDE" w:rsidRPr="008E114A" w:rsidRDefault="00D44CDE" w:rsidP="00D44CDE">
      <w:pPr>
        <w:tabs>
          <w:tab w:val="left" w:pos="851"/>
        </w:tabs>
        <w:rPr>
          <w:sz w:val="24"/>
          <w:szCs w:val="24"/>
        </w:rPr>
      </w:pPr>
    </w:p>
    <w:p w:rsidR="00D44CDE" w:rsidRPr="008E114A" w:rsidRDefault="00D44CDE" w:rsidP="00D44CDE">
      <w:pPr>
        <w:tabs>
          <w:tab w:val="left" w:pos="851"/>
        </w:tabs>
        <w:ind w:left="851" w:hanging="851"/>
        <w:rPr>
          <w:b/>
          <w:sz w:val="24"/>
          <w:szCs w:val="24"/>
        </w:rPr>
      </w:pPr>
      <w:r w:rsidRPr="008E114A">
        <w:rPr>
          <w:b/>
          <w:sz w:val="24"/>
          <w:szCs w:val="24"/>
        </w:rPr>
        <w:t>6.5</w:t>
      </w:r>
      <w:r w:rsidRPr="008E114A">
        <w:rPr>
          <w:b/>
          <w:sz w:val="24"/>
          <w:szCs w:val="24"/>
        </w:rPr>
        <w:tab/>
        <w:t>Emballagetype</w:t>
      </w:r>
      <w:r w:rsidR="0027752D">
        <w:rPr>
          <w:b/>
          <w:sz w:val="24"/>
          <w:szCs w:val="24"/>
        </w:rPr>
        <w:t xml:space="preserve"> </w:t>
      </w:r>
      <w:r w:rsidRPr="008E114A">
        <w:rPr>
          <w:b/>
          <w:sz w:val="24"/>
          <w:szCs w:val="24"/>
        </w:rPr>
        <w:t>og pakningsstørrelser</w:t>
      </w:r>
    </w:p>
    <w:p w:rsidR="00D44CDE" w:rsidRPr="008E114A" w:rsidRDefault="00D44CDE" w:rsidP="00D44CDE">
      <w:pPr>
        <w:autoSpaceDE w:val="0"/>
        <w:autoSpaceDN w:val="0"/>
        <w:adjustRightInd w:val="0"/>
        <w:ind w:left="851"/>
        <w:rPr>
          <w:bCs/>
          <w:color w:val="000000"/>
          <w:sz w:val="24"/>
          <w:szCs w:val="24"/>
          <w:lang w:eastAsia="hu-HU"/>
        </w:rPr>
      </w:pPr>
      <w:proofErr w:type="gramStart"/>
      <w:r w:rsidRPr="008E114A">
        <w:rPr>
          <w:bCs/>
          <w:color w:val="000000"/>
          <w:sz w:val="24"/>
          <w:szCs w:val="24"/>
          <w:lang w:eastAsia="hu-HU"/>
        </w:rPr>
        <w:t>PVC/aluminium blister</w:t>
      </w:r>
      <w:proofErr w:type="gramEnd"/>
      <w:r w:rsidRPr="008E114A">
        <w:rPr>
          <w:bCs/>
          <w:color w:val="000000"/>
          <w:sz w:val="24"/>
          <w:szCs w:val="24"/>
          <w:lang w:eastAsia="hu-HU"/>
        </w:rPr>
        <w:t>, pakket i papkartoner med indlægsseddel i hver pakning.</w:t>
      </w:r>
    </w:p>
    <w:p w:rsidR="00D44CDE" w:rsidRPr="008E114A" w:rsidRDefault="00D44CDE" w:rsidP="00D44CDE">
      <w:pPr>
        <w:autoSpaceDE w:val="0"/>
        <w:autoSpaceDN w:val="0"/>
        <w:adjustRightInd w:val="0"/>
        <w:ind w:left="851" w:hanging="540"/>
        <w:rPr>
          <w:b/>
          <w:bCs/>
          <w:color w:val="000000"/>
          <w:sz w:val="24"/>
          <w:szCs w:val="24"/>
          <w:lang w:eastAsia="hu-HU"/>
        </w:rPr>
      </w:pPr>
    </w:p>
    <w:p w:rsidR="00D44CDE" w:rsidRPr="008E114A" w:rsidRDefault="00D44CDE" w:rsidP="00D44CDE">
      <w:pPr>
        <w:autoSpaceDE w:val="0"/>
        <w:autoSpaceDN w:val="0"/>
        <w:adjustRightInd w:val="0"/>
        <w:ind w:left="851"/>
        <w:rPr>
          <w:b/>
          <w:bCs/>
          <w:sz w:val="24"/>
          <w:szCs w:val="24"/>
          <w:lang w:val="hu-HU" w:eastAsia="hu-HU"/>
        </w:rPr>
      </w:pPr>
      <w:r w:rsidRPr="008E114A">
        <w:rPr>
          <w:sz w:val="24"/>
          <w:szCs w:val="24"/>
          <w:lang w:val="hu-HU" w:eastAsia="hu-HU"/>
        </w:rPr>
        <w:t xml:space="preserve">Pakningsstørrelser: </w:t>
      </w:r>
      <w:r>
        <w:rPr>
          <w:sz w:val="24"/>
          <w:szCs w:val="24"/>
          <w:lang w:val="hu-HU" w:eastAsia="hu-HU"/>
        </w:rPr>
        <w:t xml:space="preserve">10, </w:t>
      </w:r>
      <w:r w:rsidRPr="008E114A">
        <w:rPr>
          <w:sz w:val="24"/>
          <w:szCs w:val="24"/>
          <w:lang w:val="hu-HU" w:eastAsia="hu-HU"/>
        </w:rPr>
        <w:t>20, 30, 50, 90 og 100 filmovertrukne tabletter</w:t>
      </w:r>
      <w:r w:rsidRPr="008E114A">
        <w:rPr>
          <w:bCs/>
          <w:sz w:val="24"/>
          <w:szCs w:val="24"/>
          <w:lang w:val="hu-HU" w:eastAsia="hu-HU"/>
        </w:rPr>
        <w:t>.</w:t>
      </w:r>
    </w:p>
    <w:p w:rsidR="00D44CDE" w:rsidRPr="008E114A" w:rsidRDefault="00D44CDE" w:rsidP="00D44CDE">
      <w:pPr>
        <w:autoSpaceDE w:val="0"/>
        <w:autoSpaceDN w:val="0"/>
        <w:adjustRightInd w:val="0"/>
        <w:ind w:left="851"/>
        <w:rPr>
          <w:bCs/>
          <w:sz w:val="24"/>
          <w:szCs w:val="24"/>
          <w:lang w:val="hu-HU" w:eastAsia="hu-HU"/>
        </w:rPr>
      </w:pPr>
      <w:r w:rsidRPr="008E114A">
        <w:rPr>
          <w:sz w:val="24"/>
          <w:szCs w:val="24"/>
          <w:lang w:val="hu-HU" w:eastAsia="hu-HU"/>
        </w:rPr>
        <w:t>Ikke alle pakningsstørrelser er nødvendigvis markedsført.</w:t>
      </w:r>
    </w:p>
    <w:p w:rsidR="00D44CDE" w:rsidRPr="008E114A" w:rsidRDefault="00D44CDE" w:rsidP="00D44CDE">
      <w:pPr>
        <w:tabs>
          <w:tab w:val="left" w:pos="851"/>
        </w:tabs>
        <w:rPr>
          <w:sz w:val="24"/>
          <w:szCs w:val="24"/>
        </w:rPr>
      </w:pPr>
    </w:p>
    <w:p w:rsidR="00D44CDE" w:rsidRPr="008E114A" w:rsidRDefault="00D44CDE" w:rsidP="00D44CDE">
      <w:pPr>
        <w:tabs>
          <w:tab w:val="left" w:pos="851"/>
        </w:tabs>
        <w:ind w:left="851" w:hanging="851"/>
        <w:rPr>
          <w:b/>
          <w:sz w:val="24"/>
          <w:szCs w:val="24"/>
        </w:rPr>
      </w:pPr>
      <w:r w:rsidRPr="008E114A">
        <w:rPr>
          <w:b/>
          <w:sz w:val="24"/>
          <w:szCs w:val="24"/>
        </w:rPr>
        <w:t>6.6</w:t>
      </w:r>
      <w:r w:rsidRPr="008E114A">
        <w:rPr>
          <w:b/>
          <w:sz w:val="24"/>
          <w:szCs w:val="24"/>
        </w:rPr>
        <w:tab/>
        <w:t xml:space="preserve">Regler for </w:t>
      </w:r>
      <w:r w:rsidR="0027752D">
        <w:rPr>
          <w:b/>
          <w:sz w:val="24"/>
          <w:szCs w:val="24"/>
        </w:rPr>
        <w:t>bortskaffelse</w:t>
      </w:r>
      <w:r w:rsidRPr="008E114A">
        <w:rPr>
          <w:b/>
          <w:sz w:val="24"/>
          <w:szCs w:val="24"/>
        </w:rPr>
        <w:t xml:space="preserve"> og anden håndtering</w:t>
      </w:r>
    </w:p>
    <w:p w:rsidR="00D44CDE" w:rsidRPr="008E114A" w:rsidRDefault="00D44CDE" w:rsidP="00D44CDE">
      <w:pPr>
        <w:autoSpaceDE w:val="0"/>
        <w:autoSpaceDN w:val="0"/>
        <w:adjustRightInd w:val="0"/>
        <w:ind w:left="851"/>
        <w:rPr>
          <w:color w:val="000000"/>
          <w:sz w:val="24"/>
          <w:szCs w:val="24"/>
          <w:lang w:val="hu-HU" w:eastAsia="hu-HU"/>
        </w:rPr>
      </w:pPr>
      <w:r>
        <w:rPr>
          <w:color w:val="000000"/>
          <w:sz w:val="24"/>
          <w:szCs w:val="24"/>
          <w:lang w:val="hu-HU" w:eastAsia="hu-HU"/>
        </w:rPr>
        <w:t>Ingen særlige forholdsregler.</w:t>
      </w:r>
    </w:p>
    <w:p w:rsidR="00D44CDE" w:rsidRPr="008E114A" w:rsidRDefault="00D44CDE" w:rsidP="00D44CDE">
      <w:pPr>
        <w:tabs>
          <w:tab w:val="left" w:pos="851"/>
        </w:tabs>
        <w:jc w:val="both"/>
        <w:rPr>
          <w:sz w:val="24"/>
          <w:szCs w:val="24"/>
        </w:rPr>
      </w:pPr>
    </w:p>
    <w:p w:rsidR="00D44CDE" w:rsidRPr="008E114A" w:rsidRDefault="00D44CDE" w:rsidP="00D44CDE">
      <w:pPr>
        <w:tabs>
          <w:tab w:val="left" w:pos="851"/>
        </w:tabs>
        <w:ind w:left="851" w:hanging="851"/>
        <w:rPr>
          <w:b/>
          <w:sz w:val="24"/>
          <w:szCs w:val="24"/>
        </w:rPr>
      </w:pPr>
      <w:r w:rsidRPr="008E114A">
        <w:rPr>
          <w:b/>
          <w:sz w:val="24"/>
          <w:szCs w:val="24"/>
        </w:rPr>
        <w:t>7.</w:t>
      </w:r>
      <w:r w:rsidRPr="008E114A">
        <w:rPr>
          <w:b/>
          <w:sz w:val="24"/>
          <w:szCs w:val="24"/>
        </w:rPr>
        <w:tab/>
        <w:t>INDEHAVER AF MARKEDSFØRINGSTILLADELSEN</w:t>
      </w:r>
    </w:p>
    <w:p w:rsidR="00D44CDE" w:rsidRPr="00C17CAE" w:rsidRDefault="00D44CDE" w:rsidP="00D44CDE">
      <w:pPr>
        <w:tabs>
          <w:tab w:val="left" w:pos="851"/>
        </w:tabs>
        <w:ind w:left="851"/>
        <w:rPr>
          <w:sz w:val="24"/>
          <w:szCs w:val="24"/>
        </w:rPr>
      </w:pPr>
      <w:proofErr w:type="spellStart"/>
      <w:r w:rsidRPr="00C17CAE">
        <w:rPr>
          <w:sz w:val="24"/>
          <w:szCs w:val="24"/>
        </w:rPr>
        <w:t>Stada</w:t>
      </w:r>
      <w:proofErr w:type="spellEnd"/>
      <w:r w:rsidRPr="00C17CAE">
        <w:rPr>
          <w:sz w:val="24"/>
          <w:szCs w:val="24"/>
        </w:rPr>
        <w:t xml:space="preserve"> </w:t>
      </w:r>
      <w:proofErr w:type="spellStart"/>
      <w:r w:rsidRPr="00C17CAE">
        <w:rPr>
          <w:sz w:val="24"/>
          <w:szCs w:val="24"/>
        </w:rPr>
        <w:t>Arzneimittel</w:t>
      </w:r>
      <w:proofErr w:type="spellEnd"/>
      <w:r w:rsidRPr="00C17CAE">
        <w:rPr>
          <w:sz w:val="24"/>
          <w:szCs w:val="24"/>
        </w:rPr>
        <w:t xml:space="preserve"> AG</w:t>
      </w:r>
    </w:p>
    <w:p w:rsidR="00D44CDE" w:rsidRPr="00C17CAE" w:rsidRDefault="00D44CDE" w:rsidP="00D44CDE">
      <w:pPr>
        <w:tabs>
          <w:tab w:val="left" w:pos="851"/>
        </w:tabs>
        <w:ind w:left="851"/>
        <w:rPr>
          <w:sz w:val="24"/>
          <w:szCs w:val="24"/>
        </w:rPr>
      </w:pPr>
      <w:proofErr w:type="spellStart"/>
      <w:r w:rsidRPr="00C17CAE">
        <w:rPr>
          <w:sz w:val="24"/>
          <w:szCs w:val="24"/>
        </w:rPr>
        <w:t>Stadastrasse</w:t>
      </w:r>
      <w:proofErr w:type="spellEnd"/>
      <w:r w:rsidRPr="00C17CAE">
        <w:rPr>
          <w:sz w:val="24"/>
          <w:szCs w:val="24"/>
        </w:rPr>
        <w:t xml:space="preserve"> 2-18</w:t>
      </w:r>
    </w:p>
    <w:p w:rsidR="00D44CDE" w:rsidRPr="00C17CAE" w:rsidRDefault="00D44CDE" w:rsidP="00D44CDE">
      <w:pPr>
        <w:tabs>
          <w:tab w:val="left" w:pos="851"/>
        </w:tabs>
        <w:ind w:left="851"/>
        <w:rPr>
          <w:sz w:val="24"/>
          <w:szCs w:val="24"/>
        </w:rPr>
      </w:pPr>
      <w:r w:rsidRPr="00C17CAE">
        <w:rPr>
          <w:sz w:val="24"/>
          <w:szCs w:val="24"/>
        </w:rPr>
        <w:t xml:space="preserve">D-61118 Bad </w:t>
      </w:r>
      <w:proofErr w:type="spellStart"/>
      <w:r w:rsidRPr="00C17CAE">
        <w:rPr>
          <w:sz w:val="24"/>
          <w:szCs w:val="24"/>
        </w:rPr>
        <w:t>Vilbel</w:t>
      </w:r>
      <w:proofErr w:type="spellEnd"/>
    </w:p>
    <w:p w:rsidR="00D44CDE" w:rsidRPr="00C17CAE" w:rsidRDefault="00D44CDE" w:rsidP="00D44CDE">
      <w:pPr>
        <w:tabs>
          <w:tab w:val="left" w:pos="851"/>
        </w:tabs>
        <w:ind w:left="851"/>
        <w:rPr>
          <w:sz w:val="24"/>
          <w:szCs w:val="24"/>
        </w:rPr>
      </w:pPr>
      <w:r w:rsidRPr="00C17CAE">
        <w:rPr>
          <w:sz w:val="24"/>
          <w:szCs w:val="24"/>
        </w:rPr>
        <w:t>Tyskland</w:t>
      </w:r>
    </w:p>
    <w:p w:rsidR="00D44CDE" w:rsidRPr="00C17CAE" w:rsidRDefault="00D44CDE" w:rsidP="00D44CDE">
      <w:pPr>
        <w:tabs>
          <w:tab w:val="left" w:pos="851"/>
        </w:tabs>
        <w:ind w:left="851"/>
        <w:rPr>
          <w:sz w:val="24"/>
          <w:szCs w:val="24"/>
        </w:rPr>
      </w:pPr>
    </w:p>
    <w:p w:rsidR="00D44CDE" w:rsidRPr="00C17CAE" w:rsidRDefault="00D44CDE" w:rsidP="00D44CDE">
      <w:pPr>
        <w:tabs>
          <w:tab w:val="left" w:pos="851"/>
        </w:tabs>
        <w:ind w:left="851"/>
        <w:rPr>
          <w:b/>
          <w:sz w:val="24"/>
          <w:szCs w:val="24"/>
        </w:rPr>
      </w:pPr>
      <w:r w:rsidRPr="00C17CAE">
        <w:rPr>
          <w:b/>
          <w:sz w:val="24"/>
          <w:szCs w:val="24"/>
        </w:rPr>
        <w:t>Repræsentant</w:t>
      </w:r>
    </w:p>
    <w:p w:rsidR="00D44CDE" w:rsidRPr="00C17CAE" w:rsidRDefault="00D44CDE" w:rsidP="00D44CDE">
      <w:pPr>
        <w:tabs>
          <w:tab w:val="left" w:pos="851"/>
        </w:tabs>
        <w:ind w:left="851"/>
        <w:rPr>
          <w:sz w:val="24"/>
          <w:szCs w:val="24"/>
        </w:rPr>
      </w:pPr>
      <w:proofErr w:type="spellStart"/>
      <w:r w:rsidRPr="00C17CAE">
        <w:rPr>
          <w:sz w:val="24"/>
          <w:szCs w:val="24"/>
        </w:rPr>
        <w:t>PharmaCoDane</w:t>
      </w:r>
      <w:proofErr w:type="spellEnd"/>
      <w:r w:rsidRPr="00C17CAE">
        <w:rPr>
          <w:sz w:val="24"/>
          <w:szCs w:val="24"/>
        </w:rPr>
        <w:t xml:space="preserve"> </w:t>
      </w:r>
      <w:proofErr w:type="spellStart"/>
      <w:r w:rsidRPr="00C17CAE">
        <w:rPr>
          <w:sz w:val="24"/>
          <w:szCs w:val="24"/>
        </w:rPr>
        <w:t>Aps</w:t>
      </w:r>
      <w:proofErr w:type="spellEnd"/>
      <w:r w:rsidRPr="00C17CAE">
        <w:rPr>
          <w:sz w:val="24"/>
          <w:szCs w:val="24"/>
        </w:rPr>
        <w:t>.</w:t>
      </w:r>
    </w:p>
    <w:p w:rsidR="00D44CDE" w:rsidRPr="00C17CAE" w:rsidRDefault="00D44CDE" w:rsidP="00D44CDE">
      <w:pPr>
        <w:tabs>
          <w:tab w:val="left" w:pos="851"/>
        </w:tabs>
        <w:ind w:left="851"/>
        <w:rPr>
          <w:sz w:val="24"/>
          <w:szCs w:val="24"/>
        </w:rPr>
      </w:pPr>
      <w:r w:rsidRPr="00C17CAE">
        <w:rPr>
          <w:sz w:val="24"/>
          <w:szCs w:val="24"/>
        </w:rPr>
        <w:t>Marielundvej 46A</w:t>
      </w:r>
    </w:p>
    <w:p w:rsidR="00D44CDE" w:rsidRDefault="00D44CDE" w:rsidP="00D44CDE">
      <w:pPr>
        <w:tabs>
          <w:tab w:val="left" w:pos="851"/>
        </w:tabs>
        <w:ind w:left="851"/>
        <w:rPr>
          <w:sz w:val="24"/>
          <w:szCs w:val="24"/>
        </w:rPr>
      </w:pPr>
      <w:r w:rsidRPr="00C17CAE">
        <w:rPr>
          <w:sz w:val="24"/>
          <w:szCs w:val="24"/>
        </w:rPr>
        <w:t>2730 Herlev</w:t>
      </w:r>
    </w:p>
    <w:p w:rsidR="00D44CDE" w:rsidRPr="008E114A" w:rsidRDefault="00D44CDE" w:rsidP="00D44CDE">
      <w:pPr>
        <w:tabs>
          <w:tab w:val="left" w:pos="851"/>
        </w:tabs>
        <w:ind w:left="851"/>
        <w:rPr>
          <w:sz w:val="24"/>
          <w:szCs w:val="24"/>
        </w:rPr>
      </w:pPr>
    </w:p>
    <w:p w:rsidR="00D44CDE" w:rsidRPr="008E114A" w:rsidRDefault="00D44CDE" w:rsidP="00D44CDE">
      <w:pPr>
        <w:tabs>
          <w:tab w:val="left" w:pos="851"/>
        </w:tabs>
        <w:ind w:left="851" w:hanging="851"/>
        <w:rPr>
          <w:b/>
          <w:sz w:val="24"/>
          <w:szCs w:val="24"/>
        </w:rPr>
      </w:pPr>
      <w:r w:rsidRPr="008E114A">
        <w:rPr>
          <w:b/>
          <w:sz w:val="24"/>
          <w:szCs w:val="24"/>
        </w:rPr>
        <w:t>8.</w:t>
      </w:r>
      <w:r w:rsidRPr="008E114A">
        <w:rPr>
          <w:b/>
          <w:sz w:val="24"/>
          <w:szCs w:val="24"/>
        </w:rPr>
        <w:tab/>
        <w:t>MARKEDSFØRINGSTILLADELSESNUMMER (</w:t>
      </w:r>
      <w:r w:rsidR="0027752D">
        <w:rPr>
          <w:b/>
          <w:sz w:val="24"/>
          <w:szCs w:val="24"/>
        </w:rPr>
        <w:t>-</w:t>
      </w:r>
      <w:r w:rsidRPr="008E114A">
        <w:rPr>
          <w:b/>
          <w:sz w:val="24"/>
          <w:szCs w:val="24"/>
        </w:rPr>
        <w:t>NUMRE)</w:t>
      </w:r>
    </w:p>
    <w:p w:rsidR="00D44CDE" w:rsidRPr="008E114A" w:rsidRDefault="00D44CDE" w:rsidP="00D44CDE">
      <w:pPr>
        <w:tabs>
          <w:tab w:val="left" w:pos="851"/>
          <w:tab w:val="left" w:pos="1701"/>
        </w:tabs>
        <w:ind w:left="851" w:hanging="851"/>
        <w:rPr>
          <w:sz w:val="24"/>
          <w:szCs w:val="24"/>
        </w:rPr>
      </w:pPr>
      <w:r w:rsidRPr="008E114A">
        <w:rPr>
          <w:sz w:val="24"/>
          <w:szCs w:val="24"/>
        </w:rPr>
        <w:tab/>
        <w:t>25 mg:</w:t>
      </w:r>
      <w:r w:rsidRPr="008E114A">
        <w:rPr>
          <w:sz w:val="24"/>
          <w:szCs w:val="24"/>
        </w:rPr>
        <w:tab/>
        <w:t>54040</w:t>
      </w:r>
    </w:p>
    <w:p w:rsidR="00D44CDE" w:rsidRPr="008E114A" w:rsidRDefault="00D44CDE" w:rsidP="00D44CDE">
      <w:pPr>
        <w:tabs>
          <w:tab w:val="left" w:pos="851"/>
          <w:tab w:val="left" w:pos="1701"/>
        </w:tabs>
        <w:ind w:left="851" w:hanging="851"/>
        <w:rPr>
          <w:sz w:val="24"/>
          <w:szCs w:val="24"/>
        </w:rPr>
      </w:pPr>
      <w:r w:rsidRPr="008E114A">
        <w:rPr>
          <w:sz w:val="24"/>
          <w:szCs w:val="24"/>
        </w:rPr>
        <w:tab/>
        <w:t>50 mg:</w:t>
      </w:r>
      <w:r w:rsidRPr="008E114A">
        <w:rPr>
          <w:sz w:val="24"/>
          <w:szCs w:val="24"/>
        </w:rPr>
        <w:tab/>
        <w:t>54041</w:t>
      </w:r>
    </w:p>
    <w:p w:rsidR="00D44CDE" w:rsidRPr="008E114A" w:rsidRDefault="00D44CDE" w:rsidP="00D44CDE">
      <w:pPr>
        <w:tabs>
          <w:tab w:val="left" w:pos="851"/>
        </w:tabs>
        <w:jc w:val="both"/>
        <w:rPr>
          <w:sz w:val="24"/>
          <w:szCs w:val="24"/>
        </w:rPr>
      </w:pPr>
    </w:p>
    <w:p w:rsidR="00D44CDE" w:rsidRPr="008E114A" w:rsidRDefault="00D44CDE" w:rsidP="00D44CDE">
      <w:pPr>
        <w:tabs>
          <w:tab w:val="left" w:pos="851"/>
        </w:tabs>
        <w:ind w:left="851" w:hanging="851"/>
        <w:rPr>
          <w:b/>
          <w:sz w:val="24"/>
          <w:szCs w:val="24"/>
        </w:rPr>
      </w:pPr>
      <w:r w:rsidRPr="008E114A">
        <w:rPr>
          <w:b/>
          <w:sz w:val="24"/>
          <w:szCs w:val="24"/>
        </w:rPr>
        <w:t>9.</w:t>
      </w:r>
      <w:r w:rsidRPr="008E114A">
        <w:rPr>
          <w:b/>
          <w:sz w:val="24"/>
          <w:szCs w:val="24"/>
        </w:rPr>
        <w:tab/>
        <w:t>DATO FOR FØRSTE MARKEDSFØRINGSTILLADELSE</w:t>
      </w:r>
    </w:p>
    <w:p w:rsidR="00D44CDE" w:rsidRPr="008E114A" w:rsidRDefault="00D44CDE" w:rsidP="00D44CDE">
      <w:pPr>
        <w:tabs>
          <w:tab w:val="left" w:pos="851"/>
        </w:tabs>
        <w:rPr>
          <w:sz w:val="24"/>
          <w:szCs w:val="24"/>
        </w:rPr>
      </w:pPr>
      <w:r w:rsidRPr="008E114A">
        <w:rPr>
          <w:sz w:val="24"/>
          <w:szCs w:val="24"/>
        </w:rPr>
        <w:tab/>
        <w:t>26. september 2014</w:t>
      </w:r>
    </w:p>
    <w:p w:rsidR="00D44CDE" w:rsidRDefault="00D44CDE" w:rsidP="00D44CDE">
      <w:pPr>
        <w:tabs>
          <w:tab w:val="left" w:pos="851"/>
        </w:tabs>
        <w:rPr>
          <w:sz w:val="24"/>
          <w:szCs w:val="24"/>
        </w:rPr>
      </w:pPr>
    </w:p>
    <w:p w:rsidR="00D44CDE" w:rsidRPr="008E114A" w:rsidRDefault="00D44CDE" w:rsidP="00D44CDE">
      <w:pPr>
        <w:tabs>
          <w:tab w:val="left" w:pos="851"/>
        </w:tabs>
        <w:ind w:left="851" w:hanging="851"/>
        <w:rPr>
          <w:b/>
          <w:sz w:val="24"/>
          <w:szCs w:val="24"/>
        </w:rPr>
      </w:pPr>
      <w:r w:rsidRPr="008E114A">
        <w:rPr>
          <w:b/>
          <w:sz w:val="24"/>
          <w:szCs w:val="24"/>
        </w:rPr>
        <w:t>10.</w:t>
      </w:r>
      <w:r w:rsidRPr="008E114A">
        <w:rPr>
          <w:b/>
          <w:sz w:val="24"/>
          <w:szCs w:val="24"/>
        </w:rPr>
        <w:tab/>
        <w:t>DATO FOR ÆNDRING AF TEKSTEN</w:t>
      </w:r>
    </w:p>
    <w:p w:rsidR="00D44CDE" w:rsidRPr="008E114A" w:rsidRDefault="00D44CDE" w:rsidP="00D44CDE">
      <w:pPr>
        <w:tabs>
          <w:tab w:val="left" w:pos="851"/>
        </w:tabs>
        <w:rPr>
          <w:sz w:val="24"/>
          <w:szCs w:val="24"/>
        </w:rPr>
      </w:pPr>
      <w:r w:rsidRPr="008E114A">
        <w:rPr>
          <w:sz w:val="24"/>
          <w:szCs w:val="24"/>
        </w:rPr>
        <w:tab/>
      </w:r>
      <w:r w:rsidR="000F74A7" w:rsidRPr="000F74A7">
        <w:rPr>
          <w:sz w:val="24"/>
          <w:szCs w:val="24"/>
        </w:rPr>
        <w:t xml:space="preserve">29. </w:t>
      </w:r>
      <w:r w:rsidR="0027752D">
        <w:rPr>
          <w:sz w:val="24"/>
          <w:szCs w:val="24"/>
        </w:rPr>
        <w:t>januar</w:t>
      </w:r>
      <w:r w:rsidR="000F74A7" w:rsidRPr="000F74A7">
        <w:rPr>
          <w:sz w:val="24"/>
          <w:szCs w:val="24"/>
        </w:rPr>
        <w:t xml:space="preserve"> 202</w:t>
      </w:r>
      <w:r w:rsidR="0027752D">
        <w:rPr>
          <w:sz w:val="24"/>
          <w:szCs w:val="24"/>
        </w:rPr>
        <w:t>4</w:t>
      </w:r>
    </w:p>
    <w:p w:rsidR="00D44CDE" w:rsidRPr="001A22F4" w:rsidRDefault="00D44CDE" w:rsidP="00D44CDE"/>
    <w:p w:rsidR="00D44CDE" w:rsidRPr="00617E92" w:rsidRDefault="00D44CDE" w:rsidP="00D44CDE"/>
    <w:p w:rsidR="009260DE" w:rsidRPr="00D44CDE" w:rsidRDefault="009260DE" w:rsidP="00D44CDE"/>
    <w:sectPr w:rsidR="009260DE" w:rsidRPr="00D44CDE"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CDE" w:rsidRDefault="00D44CDE">
      <w:r>
        <w:separator/>
      </w:r>
    </w:p>
  </w:endnote>
  <w:endnote w:type="continuationSeparator" w:id="0">
    <w:p w:rsidR="00D44CDE" w:rsidRDefault="00D4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MS Gothic"/>
    <w:panose1 w:val="00000000000000000000"/>
    <w:charset w:val="EE"/>
    <w:family w:val="auto"/>
    <w:notTrueType/>
    <w:pitch w:val="default"/>
    <w:sig w:usb0="00000005" w:usb1="08070000" w:usb2="00000010" w:usb3="00000000" w:csb0="00020002"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F74A7">
      <w:rPr>
        <w:i/>
        <w:noProof/>
        <w:sz w:val="18"/>
        <w:szCs w:val="18"/>
      </w:rPr>
      <w:t>Eplerenon Stada, filmovertrukne tabletter 25 mg og 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CDE" w:rsidRDefault="00D44CDE">
      <w:r>
        <w:separator/>
      </w:r>
    </w:p>
  </w:footnote>
  <w:footnote w:type="continuationSeparator" w:id="0">
    <w:p w:rsidR="00D44CDE" w:rsidRDefault="00D44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560C4"/>
    <w:multiLevelType w:val="hybridMultilevel"/>
    <w:tmpl w:val="4C9A197C"/>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84B5E3D"/>
    <w:multiLevelType w:val="hybridMultilevel"/>
    <w:tmpl w:val="33E07570"/>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DE"/>
    <w:rsid w:val="000259B9"/>
    <w:rsid w:val="00034939"/>
    <w:rsid w:val="00041491"/>
    <w:rsid w:val="00050D16"/>
    <w:rsid w:val="00074F2A"/>
    <w:rsid w:val="000A1CA8"/>
    <w:rsid w:val="000A466B"/>
    <w:rsid w:val="000B058C"/>
    <w:rsid w:val="000E4EE6"/>
    <w:rsid w:val="000F74A7"/>
    <w:rsid w:val="001454E2"/>
    <w:rsid w:val="0018653C"/>
    <w:rsid w:val="00206CE8"/>
    <w:rsid w:val="002139C2"/>
    <w:rsid w:val="0021526C"/>
    <w:rsid w:val="0027752D"/>
    <w:rsid w:val="00283A2B"/>
    <w:rsid w:val="002B30AD"/>
    <w:rsid w:val="002C2C01"/>
    <w:rsid w:val="003A29AE"/>
    <w:rsid w:val="003A32D7"/>
    <w:rsid w:val="003B4074"/>
    <w:rsid w:val="003C769A"/>
    <w:rsid w:val="003F1838"/>
    <w:rsid w:val="0045746C"/>
    <w:rsid w:val="00463EA1"/>
    <w:rsid w:val="0049104B"/>
    <w:rsid w:val="004E3B12"/>
    <w:rsid w:val="00512097"/>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F1870"/>
    <w:rsid w:val="0081546F"/>
    <w:rsid w:val="0082576E"/>
    <w:rsid w:val="008A451F"/>
    <w:rsid w:val="008A466E"/>
    <w:rsid w:val="008D5D68"/>
    <w:rsid w:val="00907F75"/>
    <w:rsid w:val="009260DE"/>
    <w:rsid w:val="0093258A"/>
    <w:rsid w:val="009C7BA3"/>
    <w:rsid w:val="009D1F5A"/>
    <w:rsid w:val="00B003BF"/>
    <w:rsid w:val="00B373D7"/>
    <w:rsid w:val="00C36276"/>
    <w:rsid w:val="00C42586"/>
    <w:rsid w:val="00C60CCD"/>
    <w:rsid w:val="00C84483"/>
    <w:rsid w:val="00C95551"/>
    <w:rsid w:val="00CB20D7"/>
    <w:rsid w:val="00CD5207"/>
    <w:rsid w:val="00D020B0"/>
    <w:rsid w:val="00D11748"/>
    <w:rsid w:val="00D366CF"/>
    <w:rsid w:val="00D44CDE"/>
    <w:rsid w:val="00D57F1D"/>
    <w:rsid w:val="00E108AA"/>
    <w:rsid w:val="00E31812"/>
    <w:rsid w:val="00E3749A"/>
    <w:rsid w:val="00E7437F"/>
    <w:rsid w:val="00E865B8"/>
    <w:rsid w:val="00EC0B9B"/>
    <w:rsid w:val="00ED0178"/>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F2316E4"/>
  <w15:chartTrackingRefBased/>
  <w15:docId w15:val="{CDBD6439-9D8B-4D66-BDAB-A3B0AA53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rsid w:val="00D44CDE"/>
    <w:rPr>
      <w:color w:val="0000FF"/>
      <w:u w:val="single"/>
    </w:rPr>
  </w:style>
  <w:style w:type="paragraph" w:styleId="Listeafsnit">
    <w:name w:val="List Paragraph"/>
    <w:basedOn w:val="Normal"/>
    <w:uiPriority w:val="34"/>
    <w:qFormat/>
    <w:rsid w:val="00D44CDE"/>
    <w:pPr>
      <w:ind w:left="720"/>
      <w:contextualSpacing/>
    </w:pPr>
  </w:style>
  <w:style w:type="paragraph" w:customStyle="1" w:styleId="Paragraph">
    <w:name w:val="Paragraph"/>
    <w:rsid w:val="00D57F1D"/>
    <w:pPr>
      <w:spacing w:after="240"/>
    </w:pPr>
    <w:rPr>
      <w:sz w:val="24"/>
      <w:szCs w:val="24"/>
      <w:lang w:val="en-US" w:eastAsia="en-US"/>
    </w:rPr>
  </w:style>
  <w:style w:type="character" w:customStyle="1" w:styleId="ListNoBulletChar">
    <w:name w:val="List No Bullet Char"/>
    <w:link w:val="ListNoBullet"/>
    <w:locked/>
    <w:rsid w:val="00D57F1D"/>
    <w:rPr>
      <w:sz w:val="24"/>
    </w:rPr>
  </w:style>
  <w:style w:type="paragraph" w:customStyle="1" w:styleId="ListNoBullet">
    <w:name w:val="List No Bullet"/>
    <w:link w:val="ListNoBulletChar"/>
    <w:rsid w:val="00D57F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87328140">
      <w:bodyDiv w:val="1"/>
      <w:marLeft w:val="0"/>
      <w:marRight w:val="0"/>
      <w:marTop w:val="0"/>
      <w:marBottom w:val="0"/>
      <w:divBdr>
        <w:top w:val="none" w:sz="0" w:space="0" w:color="auto"/>
        <w:left w:val="none" w:sz="0" w:space="0" w:color="auto"/>
        <w:bottom w:val="none" w:sz="0" w:space="0" w:color="auto"/>
        <w:right w:val="none" w:sz="0" w:space="0" w:color="auto"/>
      </w:divBdr>
    </w:div>
    <w:div w:id="489952309">
      <w:bodyDiv w:val="1"/>
      <w:marLeft w:val="0"/>
      <w:marRight w:val="0"/>
      <w:marTop w:val="0"/>
      <w:marBottom w:val="0"/>
      <w:divBdr>
        <w:top w:val="none" w:sz="0" w:space="0" w:color="auto"/>
        <w:left w:val="none" w:sz="0" w:space="0" w:color="auto"/>
        <w:bottom w:val="none" w:sz="0" w:space="0" w:color="auto"/>
        <w:right w:val="none" w:sz="0" w:space="0" w:color="auto"/>
      </w:divBdr>
      <w:divsChild>
        <w:div w:id="88744636">
          <w:marLeft w:val="0"/>
          <w:marRight w:val="0"/>
          <w:marTop w:val="0"/>
          <w:marBottom w:val="0"/>
          <w:divBdr>
            <w:top w:val="none" w:sz="0" w:space="0" w:color="auto"/>
            <w:left w:val="none" w:sz="0" w:space="0" w:color="auto"/>
            <w:bottom w:val="none" w:sz="0" w:space="0" w:color="auto"/>
            <w:right w:val="none" w:sz="0" w:space="0" w:color="auto"/>
          </w:divBdr>
          <w:divsChild>
            <w:div w:id="4867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5626">
      <w:bodyDiv w:val="1"/>
      <w:marLeft w:val="0"/>
      <w:marRight w:val="0"/>
      <w:marTop w:val="0"/>
      <w:marBottom w:val="0"/>
      <w:divBdr>
        <w:top w:val="none" w:sz="0" w:space="0" w:color="auto"/>
        <w:left w:val="none" w:sz="0" w:space="0" w:color="auto"/>
        <w:bottom w:val="none" w:sz="0" w:space="0" w:color="auto"/>
        <w:right w:val="none" w:sz="0" w:space="0" w:color="auto"/>
      </w:divBdr>
    </w:div>
    <w:div w:id="592931767">
      <w:bodyDiv w:val="1"/>
      <w:marLeft w:val="0"/>
      <w:marRight w:val="0"/>
      <w:marTop w:val="0"/>
      <w:marBottom w:val="0"/>
      <w:divBdr>
        <w:top w:val="none" w:sz="0" w:space="0" w:color="auto"/>
        <w:left w:val="none" w:sz="0" w:space="0" w:color="auto"/>
        <w:bottom w:val="none" w:sz="0" w:space="0" w:color="auto"/>
        <w:right w:val="none" w:sz="0" w:space="0" w:color="auto"/>
      </w:divBdr>
    </w:div>
    <w:div w:id="1056659285">
      <w:bodyDiv w:val="1"/>
      <w:marLeft w:val="0"/>
      <w:marRight w:val="0"/>
      <w:marTop w:val="0"/>
      <w:marBottom w:val="0"/>
      <w:divBdr>
        <w:top w:val="none" w:sz="0" w:space="0" w:color="auto"/>
        <w:left w:val="none" w:sz="0" w:space="0" w:color="auto"/>
        <w:bottom w:val="none" w:sz="0" w:space="0" w:color="auto"/>
        <w:right w:val="none" w:sz="0" w:space="0" w:color="auto"/>
      </w:divBdr>
    </w:div>
    <w:div w:id="1156991642">
      <w:bodyDiv w:val="1"/>
      <w:marLeft w:val="0"/>
      <w:marRight w:val="0"/>
      <w:marTop w:val="0"/>
      <w:marBottom w:val="0"/>
      <w:divBdr>
        <w:top w:val="none" w:sz="0" w:space="0" w:color="auto"/>
        <w:left w:val="none" w:sz="0" w:space="0" w:color="auto"/>
        <w:bottom w:val="none" w:sz="0" w:space="0" w:color="auto"/>
        <w:right w:val="none" w:sz="0" w:space="0" w:color="auto"/>
      </w:divBdr>
    </w:div>
    <w:div w:id="1192064489">
      <w:bodyDiv w:val="1"/>
      <w:marLeft w:val="0"/>
      <w:marRight w:val="0"/>
      <w:marTop w:val="0"/>
      <w:marBottom w:val="0"/>
      <w:divBdr>
        <w:top w:val="none" w:sz="0" w:space="0" w:color="auto"/>
        <w:left w:val="none" w:sz="0" w:space="0" w:color="auto"/>
        <w:bottom w:val="none" w:sz="0" w:space="0" w:color="auto"/>
        <w:right w:val="none" w:sz="0" w:space="0" w:color="auto"/>
      </w:divBdr>
    </w:div>
    <w:div w:id="19034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4369</Words>
  <Characters>28758</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2022102505_x000d_
SPC pkt. 5.1, 5.2 og overskrifter iht. QRD</dc:description>
  <cp:lastModifiedBy>Victoria Alexsandra Ringgaard</cp:lastModifiedBy>
  <cp:revision>3</cp:revision>
  <cp:lastPrinted>2012-08-22T08:53:00Z</cp:lastPrinted>
  <dcterms:created xsi:type="dcterms:W3CDTF">2024-01-25T13:23:00Z</dcterms:created>
  <dcterms:modified xsi:type="dcterms:W3CDTF">2024-01-25T13:29:00Z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