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15ABE"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A0D13D8" wp14:editId="12BF45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22309A8" w14:textId="77777777" w:rsidR="009260DE" w:rsidRPr="00C84483" w:rsidRDefault="009260DE" w:rsidP="009260DE">
      <w:pPr>
        <w:pStyle w:val="Titel"/>
        <w:tabs>
          <w:tab w:val="right" w:pos="9356"/>
        </w:tabs>
        <w:jc w:val="left"/>
        <w:rPr>
          <w:b w:val="0"/>
          <w:szCs w:val="24"/>
          <w:lang w:eastAsia="en-US"/>
        </w:rPr>
      </w:pPr>
    </w:p>
    <w:p w14:paraId="55365BAE" w14:textId="5BAACE7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63855">
        <w:rPr>
          <w:szCs w:val="24"/>
        </w:rPr>
        <w:t>12. september 2024</w:t>
      </w:r>
    </w:p>
    <w:p w14:paraId="21680066" w14:textId="77777777" w:rsidR="009260DE" w:rsidRPr="00C84483" w:rsidRDefault="009260DE" w:rsidP="009260DE">
      <w:pPr>
        <w:pStyle w:val="Titel"/>
        <w:tabs>
          <w:tab w:val="left" w:pos="8222"/>
        </w:tabs>
        <w:jc w:val="left"/>
        <w:rPr>
          <w:b w:val="0"/>
          <w:szCs w:val="24"/>
        </w:rPr>
      </w:pPr>
    </w:p>
    <w:p w14:paraId="2DE408E5" w14:textId="77777777" w:rsidR="009260DE" w:rsidRPr="00C84483" w:rsidRDefault="009260DE" w:rsidP="009260DE">
      <w:pPr>
        <w:pStyle w:val="Titel"/>
        <w:jc w:val="left"/>
        <w:rPr>
          <w:b w:val="0"/>
          <w:szCs w:val="24"/>
        </w:rPr>
      </w:pPr>
    </w:p>
    <w:p w14:paraId="203609BE" w14:textId="77777777" w:rsidR="009260DE" w:rsidRPr="00C84483" w:rsidRDefault="009260DE" w:rsidP="009260DE">
      <w:pPr>
        <w:pStyle w:val="Titel"/>
        <w:jc w:val="left"/>
        <w:rPr>
          <w:b w:val="0"/>
          <w:szCs w:val="24"/>
        </w:rPr>
      </w:pPr>
    </w:p>
    <w:p w14:paraId="54207B9D" w14:textId="77777777" w:rsidR="009260DE" w:rsidRPr="00C84483" w:rsidRDefault="009260DE" w:rsidP="009260DE">
      <w:pPr>
        <w:jc w:val="center"/>
        <w:rPr>
          <w:b/>
          <w:sz w:val="24"/>
          <w:szCs w:val="24"/>
        </w:rPr>
      </w:pPr>
      <w:r w:rsidRPr="00C84483">
        <w:rPr>
          <w:b/>
          <w:sz w:val="24"/>
          <w:szCs w:val="24"/>
        </w:rPr>
        <w:t>PRODUKTRESUMÉ</w:t>
      </w:r>
    </w:p>
    <w:p w14:paraId="7D331BB6" w14:textId="77777777" w:rsidR="009260DE" w:rsidRPr="00C84483" w:rsidRDefault="009260DE" w:rsidP="009260DE">
      <w:pPr>
        <w:jc w:val="center"/>
        <w:rPr>
          <w:b/>
          <w:sz w:val="24"/>
          <w:szCs w:val="24"/>
        </w:rPr>
      </w:pPr>
    </w:p>
    <w:p w14:paraId="2CBB019D" w14:textId="77777777" w:rsidR="009260DE" w:rsidRDefault="009260DE" w:rsidP="009260DE">
      <w:pPr>
        <w:jc w:val="center"/>
        <w:rPr>
          <w:b/>
          <w:sz w:val="24"/>
          <w:szCs w:val="24"/>
        </w:rPr>
      </w:pPr>
      <w:r w:rsidRPr="00C84483">
        <w:rPr>
          <w:b/>
          <w:sz w:val="24"/>
          <w:szCs w:val="24"/>
        </w:rPr>
        <w:t>for</w:t>
      </w:r>
    </w:p>
    <w:p w14:paraId="1D39BE7A" w14:textId="77777777" w:rsidR="000B058C" w:rsidRPr="00C84483" w:rsidRDefault="000B058C" w:rsidP="009260DE">
      <w:pPr>
        <w:jc w:val="center"/>
        <w:rPr>
          <w:b/>
          <w:sz w:val="24"/>
          <w:szCs w:val="24"/>
        </w:rPr>
      </w:pPr>
    </w:p>
    <w:p w14:paraId="4B4D0B03" w14:textId="77777777" w:rsidR="009260DE" w:rsidRPr="00C84483" w:rsidRDefault="00B662B3" w:rsidP="009260DE">
      <w:pPr>
        <w:jc w:val="center"/>
        <w:rPr>
          <w:b/>
          <w:sz w:val="24"/>
          <w:szCs w:val="24"/>
        </w:rPr>
      </w:pPr>
      <w:r>
        <w:rPr>
          <w:b/>
          <w:sz w:val="24"/>
          <w:szCs w:val="24"/>
        </w:rPr>
        <w:t>Ertapenem "Steriscience", pulver til koncentrat til infusionsvæske, opløsning</w:t>
      </w:r>
    </w:p>
    <w:p w14:paraId="65AC50DF" w14:textId="77777777" w:rsidR="009260DE" w:rsidRPr="00C84483" w:rsidRDefault="009260DE" w:rsidP="009260DE">
      <w:pPr>
        <w:jc w:val="both"/>
        <w:rPr>
          <w:sz w:val="24"/>
          <w:szCs w:val="24"/>
        </w:rPr>
      </w:pPr>
    </w:p>
    <w:p w14:paraId="1EA7729A" w14:textId="77777777" w:rsidR="009260DE" w:rsidRPr="00C84483" w:rsidRDefault="009260DE" w:rsidP="009260DE">
      <w:pPr>
        <w:jc w:val="both"/>
        <w:rPr>
          <w:sz w:val="24"/>
          <w:szCs w:val="24"/>
        </w:rPr>
      </w:pPr>
    </w:p>
    <w:p w14:paraId="18E42D8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4B354A3" w14:textId="77777777" w:rsidR="009260DE" w:rsidRPr="00C84483" w:rsidRDefault="007944AD" w:rsidP="009260DE">
      <w:pPr>
        <w:tabs>
          <w:tab w:val="left" w:pos="851"/>
        </w:tabs>
        <w:ind w:left="851"/>
        <w:rPr>
          <w:sz w:val="24"/>
          <w:szCs w:val="24"/>
        </w:rPr>
      </w:pPr>
      <w:r>
        <w:rPr>
          <w:sz w:val="24"/>
          <w:szCs w:val="24"/>
        </w:rPr>
        <w:t>68138</w:t>
      </w:r>
    </w:p>
    <w:p w14:paraId="6EC2945B" w14:textId="77777777" w:rsidR="009260DE" w:rsidRPr="00C84483" w:rsidRDefault="009260DE" w:rsidP="009260DE">
      <w:pPr>
        <w:tabs>
          <w:tab w:val="left" w:pos="851"/>
        </w:tabs>
        <w:ind w:left="851"/>
        <w:rPr>
          <w:sz w:val="24"/>
          <w:szCs w:val="24"/>
        </w:rPr>
      </w:pPr>
    </w:p>
    <w:p w14:paraId="39C2482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D575CAE" w14:textId="77777777" w:rsidR="009260DE" w:rsidRPr="00C84483" w:rsidRDefault="007944AD" w:rsidP="009260DE">
      <w:pPr>
        <w:tabs>
          <w:tab w:val="left" w:pos="851"/>
        </w:tabs>
        <w:ind w:left="851"/>
        <w:rPr>
          <w:sz w:val="24"/>
          <w:szCs w:val="24"/>
        </w:rPr>
      </w:pPr>
      <w:r>
        <w:rPr>
          <w:sz w:val="24"/>
          <w:szCs w:val="24"/>
        </w:rPr>
        <w:t>Ertapenem "Steriscience"</w:t>
      </w:r>
    </w:p>
    <w:p w14:paraId="4B8B6EDB" w14:textId="77777777" w:rsidR="009260DE" w:rsidRPr="00C84483" w:rsidRDefault="009260DE" w:rsidP="009260DE">
      <w:pPr>
        <w:tabs>
          <w:tab w:val="left" w:pos="851"/>
        </w:tabs>
        <w:ind w:left="851"/>
        <w:rPr>
          <w:sz w:val="24"/>
          <w:szCs w:val="24"/>
        </w:rPr>
      </w:pPr>
    </w:p>
    <w:p w14:paraId="3F2893E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7213C00" w14:textId="35FDE804" w:rsidR="00F87DF4" w:rsidRDefault="00F87DF4" w:rsidP="00F87DF4">
      <w:pPr>
        <w:tabs>
          <w:tab w:val="left" w:pos="851"/>
        </w:tabs>
        <w:ind w:left="851"/>
        <w:rPr>
          <w:sz w:val="24"/>
          <w:szCs w:val="24"/>
          <w:lang w:val="sv-SE"/>
        </w:rPr>
      </w:pPr>
      <w:r w:rsidRPr="00F87DF4">
        <w:rPr>
          <w:sz w:val="24"/>
          <w:szCs w:val="24"/>
          <w:lang w:val="sv-SE"/>
        </w:rPr>
        <w:t>Hvert hætteglas indeholder: 1 g ertapenem (som ertapenemnatrium).</w:t>
      </w:r>
    </w:p>
    <w:p w14:paraId="68BAB179" w14:textId="77777777" w:rsidR="00F87DF4" w:rsidRPr="00F87DF4" w:rsidRDefault="00F87DF4" w:rsidP="00F87DF4">
      <w:pPr>
        <w:tabs>
          <w:tab w:val="left" w:pos="851"/>
        </w:tabs>
        <w:ind w:left="851"/>
        <w:rPr>
          <w:sz w:val="24"/>
          <w:szCs w:val="24"/>
          <w:lang w:val="sv-SE"/>
        </w:rPr>
      </w:pPr>
    </w:p>
    <w:p w14:paraId="210792F6" w14:textId="77777777" w:rsidR="00F87DF4" w:rsidRPr="00F87DF4" w:rsidRDefault="00F87DF4" w:rsidP="00F87DF4">
      <w:pPr>
        <w:tabs>
          <w:tab w:val="left" w:pos="851"/>
        </w:tabs>
        <w:ind w:left="851"/>
        <w:rPr>
          <w:sz w:val="24"/>
          <w:szCs w:val="24"/>
          <w:u w:val="single"/>
          <w:lang w:val="de-DE"/>
        </w:rPr>
      </w:pPr>
      <w:r w:rsidRPr="00F87DF4">
        <w:rPr>
          <w:sz w:val="24"/>
          <w:szCs w:val="24"/>
          <w:u w:val="single"/>
          <w:lang w:val="de-DE"/>
        </w:rPr>
        <w:t>Hjælpestof, som behandleren skal være opmærksom på</w:t>
      </w:r>
    </w:p>
    <w:p w14:paraId="3A9D9B5E" w14:textId="32A4CA16" w:rsidR="00F87DF4" w:rsidRDefault="00F87DF4" w:rsidP="00F87DF4">
      <w:pPr>
        <w:tabs>
          <w:tab w:val="left" w:pos="851"/>
        </w:tabs>
        <w:ind w:left="851"/>
        <w:rPr>
          <w:sz w:val="24"/>
          <w:szCs w:val="24"/>
          <w:lang w:val="de-DE"/>
        </w:rPr>
      </w:pPr>
      <w:r w:rsidRPr="00F87DF4">
        <w:rPr>
          <w:sz w:val="24"/>
          <w:szCs w:val="24"/>
          <w:lang w:val="de-DE"/>
        </w:rPr>
        <w:t>Hvert hætteglas indeholder ca. 137 mg natrium.</w:t>
      </w:r>
    </w:p>
    <w:p w14:paraId="76E97180" w14:textId="77777777" w:rsidR="00F87DF4" w:rsidRPr="00F87DF4" w:rsidRDefault="00F87DF4" w:rsidP="00F87DF4">
      <w:pPr>
        <w:tabs>
          <w:tab w:val="left" w:pos="851"/>
        </w:tabs>
        <w:ind w:left="851"/>
        <w:rPr>
          <w:sz w:val="24"/>
          <w:szCs w:val="24"/>
          <w:lang w:val="de-DE"/>
        </w:rPr>
      </w:pPr>
    </w:p>
    <w:p w14:paraId="4B5E413C" w14:textId="77777777" w:rsidR="00F87DF4" w:rsidRPr="00F87DF4" w:rsidRDefault="00F87DF4" w:rsidP="00F87DF4">
      <w:pPr>
        <w:tabs>
          <w:tab w:val="left" w:pos="851"/>
        </w:tabs>
        <w:ind w:left="851"/>
        <w:rPr>
          <w:sz w:val="24"/>
          <w:szCs w:val="24"/>
          <w:lang w:val="de-DE"/>
        </w:rPr>
      </w:pPr>
      <w:r w:rsidRPr="00F87DF4">
        <w:rPr>
          <w:sz w:val="24"/>
          <w:szCs w:val="24"/>
          <w:lang w:val="de-DE"/>
        </w:rPr>
        <w:t>Alle hjælpestoffer er anført under pkt. 6.1.</w:t>
      </w:r>
    </w:p>
    <w:p w14:paraId="4B7B1FA4" w14:textId="77777777" w:rsidR="009260DE" w:rsidRPr="00F87DF4" w:rsidRDefault="009260DE" w:rsidP="009260DE">
      <w:pPr>
        <w:tabs>
          <w:tab w:val="left" w:pos="851"/>
        </w:tabs>
        <w:ind w:left="851"/>
        <w:rPr>
          <w:sz w:val="24"/>
          <w:szCs w:val="24"/>
          <w:lang w:val="de-DE"/>
        </w:rPr>
      </w:pPr>
    </w:p>
    <w:p w14:paraId="4D79AE1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0D56F011" w14:textId="08C3F5D3" w:rsidR="00F87DF4" w:rsidRDefault="00F87DF4" w:rsidP="00F87DF4">
      <w:pPr>
        <w:tabs>
          <w:tab w:val="left" w:pos="851"/>
        </w:tabs>
        <w:ind w:left="851"/>
        <w:rPr>
          <w:sz w:val="24"/>
          <w:szCs w:val="24"/>
          <w:lang w:val="sv-SE"/>
        </w:rPr>
      </w:pPr>
      <w:r w:rsidRPr="00F87DF4">
        <w:rPr>
          <w:sz w:val="24"/>
          <w:szCs w:val="24"/>
          <w:lang w:val="sv-SE"/>
        </w:rPr>
        <w:t>Pulver til koncentrat til infusionsvæske, opløsning.</w:t>
      </w:r>
    </w:p>
    <w:p w14:paraId="60BA59DF" w14:textId="77777777" w:rsidR="00F87DF4" w:rsidRPr="00F87DF4" w:rsidRDefault="00F87DF4" w:rsidP="00F87DF4">
      <w:pPr>
        <w:tabs>
          <w:tab w:val="left" w:pos="851"/>
        </w:tabs>
        <w:ind w:left="851"/>
        <w:rPr>
          <w:sz w:val="24"/>
          <w:szCs w:val="24"/>
          <w:lang w:val="sv-SE"/>
        </w:rPr>
      </w:pPr>
    </w:p>
    <w:p w14:paraId="5B448694" w14:textId="77777777" w:rsidR="00F87DF4" w:rsidRPr="00F87DF4" w:rsidRDefault="00F87DF4" w:rsidP="00F87DF4">
      <w:pPr>
        <w:tabs>
          <w:tab w:val="left" w:pos="851"/>
        </w:tabs>
        <w:ind w:left="851"/>
        <w:rPr>
          <w:sz w:val="24"/>
          <w:szCs w:val="24"/>
          <w:lang w:val="sv-SE"/>
        </w:rPr>
      </w:pPr>
      <w:r w:rsidRPr="00F87DF4">
        <w:rPr>
          <w:sz w:val="24"/>
          <w:szCs w:val="24"/>
          <w:lang w:val="sv-SE"/>
        </w:rPr>
        <w:t>Hvidt til lysegult frysetørret pulver eller kage.</w:t>
      </w:r>
    </w:p>
    <w:p w14:paraId="5DED3D46" w14:textId="77777777" w:rsidR="009260DE" w:rsidRPr="00F87DF4" w:rsidRDefault="009260DE" w:rsidP="009260DE">
      <w:pPr>
        <w:tabs>
          <w:tab w:val="left" w:pos="851"/>
        </w:tabs>
        <w:ind w:left="851"/>
        <w:rPr>
          <w:sz w:val="24"/>
          <w:szCs w:val="24"/>
          <w:lang w:val="sv-SE"/>
        </w:rPr>
      </w:pPr>
    </w:p>
    <w:p w14:paraId="71548F67" w14:textId="77777777" w:rsidR="009260DE" w:rsidRPr="00C84483" w:rsidRDefault="009260DE" w:rsidP="009260DE">
      <w:pPr>
        <w:tabs>
          <w:tab w:val="left" w:pos="851"/>
        </w:tabs>
        <w:ind w:left="851"/>
        <w:rPr>
          <w:sz w:val="24"/>
          <w:szCs w:val="24"/>
        </w:rPr>
      </w:pPr>
    </w:p>
    <w:p w14:paraId="540E4E9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3EAC1F7" w14:textId="77777777" w:rsidR="009260DE" w:rsidRPr="00C84483" w:rsidRDefault="009260DE" w:rsidP="009260DE">
      <w:pPr>
        <w:tabs>
          <w:tab w:val="left" w:pos="851"/>
        </w:tabs>
        <w:ind w:left="851"/>
        <w:rPr>
          <w:b/>
          <w:sz w:val="24"/>
          <w:szCs w:val="24"/>
        </w:rPr>
      </w:pPr>
    </w:p>
    <w:p w14:paraId="201FEDE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CD251BD" w14:textId="77777777" w:rsidR="00F87DF4" w:rsidRDefault="00F87DF4" w:rsidP="00F87DF4">
      <w:pPr>
        <w:tabs>
          <w:tab w:val="left" w:pos="851"/>
        </w:tabs>
        <w:ind w:left="851"/>
        <w:rPr>
          <w:i/>
          <w:iCs/>
          <w:sz w:val="24"/>
          <w:szCs w:val="24"/>
          <w:lang w:val="sv-SE"/>
        </w:rPr>
      </w:pPr>
    </w:p>
    <w:p w14:paraId="3D9A8370" w14:textId="6E74AB08" w:rsidR="00F87DF4" w:rsidRPr="00F87DF4" w:rsidRDefault="00F87DF4" w:rsidP="00F87DF4">
      <w:pPr>
        <w:tabs>
          <w:tab w:val="left" w:pos="851"/>
        </w:tabs>
        <w:ind w:left="851"/>
        <w:rPr>
          <w:iCs/>
          <w:sz w:val="24"/>
          <w:szCs w:val="24"/>
          <w:u w:val="single"/>
          <w:lang w:val="sv-SE"/>
        </w:rPr>
      </w:pPr>
      <w:r w:rsidRPr="00F87DF4">
        <w:rPr>
          <w:iCs/>
          <w:sz w:val="24"/>
          <w:szCs w:val="24"/>
          <w:u w:val="single"/>
          <w:lang w:val="sv-SE"/>
        </w:rPr>
        <w:t>Behandling</w:t>
      </w:r>
    </w:p>
    <w:p w14:paraId="08188BCE" w14:textId="0E0CC6DD" w:rsidR="00F87DF4" w:rsidRPr="00F87DF4" w:rsidRDefault="00F87DF4" w:rsidP="00F87DF4">
      <w:pPr>
        <w:tabs>
          <w:tab w:val="left" w:pos="851"/>
        </w:tabs>
        <w:ind w:left="851"/>
        <w:rPr>
          <w:sz w:val="24"/>
          <w:szCs w:val="24"/>
          <w:lang w:val="sv-SE"/>
        </w:rPr>
      </w:pPr>
      <w:r>
        <w:rPr>
          <w:sz w:val="24"/>
          <w:szCs w:val="24"/>
          <w:lang w:val="sv-SE"/>
        </w:rPr>
        <w:t>Ertapenem "Steriscience"</w:t>
      </w:r>
      <w:r w:rsidRPr="00F87DF4">
        <w:rPr>
          <w:sz w:val="24"/>
          <w:szCs w:val="24"/>
          <w:lang w:val="sv-SE"/>
        </w:rPr>
        <w:t xml:space="preserve"> er indiceret til pædiatriske patienter (i alderen 3 måneder til 17 år) og til voksne til behandling af følgende infektioner forårsaget af bakterier, der vides at være eller sandsynligvis er følsomme over for ertapenem, når parenteral behandling er nødvendig (se pkt. 4.4 og 5.1):</w:t>
      </w:r>
    </w:p>
    <w:p w14:paraId="2299636C" w14:textId="77777777" w:rsidR="00F87DF4" w:rsidRPr="00F87DF4" w:rsidRDefault="00F87DF4" w:rsidP="00F87DF4">
      <w:pPr>
        <w:numPr>
          <w:ilvl w:val="0"/>
          <w:numId w:val="6"/>
        </w:numPr>
        <w:tabs>
          <w:tab w:val="left" w:pos="851"/>
        </w:tabs>
        <w:ind w:left="1134" w:hanging="283"/>
        <w:rPr>
          <w:sz w:val="24"/>
          <w:szCs w:val="24"/>
          <w:lang w:val="en-GB"/>
        </w:rPr>
      </w:pPr>
      <w:r w:rsidRPr="00F87DF4">
        <w:rPr>
          <w:sz w:val="24"/>
          <w:szCs w:val="24"/>
          <w:lang w:val="en-GB"/>
        </w:rPr>
        <w:t xml:space="preserve">Intra-abdominale infektioner </w:t>
      </w:r>
    </w:p>
    <w:p w14:paraId="7187F821" w14:textId="77777777" w:rsidR="00F87DF4" w:rsidRPr="00F87DF4" w:rsidRDefault="00F87DF4" w:rsidP="00F87DF4">
      <w:pPr>
        <w:numPr>
          <w:ilvl w:val="0"/>
          <w:numId w:val="6"/>
        </w:numPr>
        <w:tabs>
          <w:tab w:val="left" w:pos="851"/>
        </w:tabs>
        <w:ind w:left="1134" w:hanging="283"/>
        <w:rPr>
          <w:sz w:val="24"/>
          <w:szCs w:val="24"/>
          <w:lang w:val="en-GB"/>
        </w:rPr>
      </w:pPr>
      <w:r w:rsidRPr="00F87DF4">
        <w:rPr>
          <w:sz w:val="24"/>
          <w:szCs w:val="24"/>
          <w:lang w:val="en-GB"/>
        </w:rPr>
        <w:t xml:space="preserve">Samfundserhvervet pneumoni </w:t>
      </w:r>
    </w:p>
    <w:p w14:paraId="0846F849" w14:textId="77777777" w:rsidR="00F87DF4" w:rsidRPr="00F87DF4" w:rsidRDefault="00F87DF4" w:rsidP="00F87DF4">
      <w:pPr>
        <w:numPr>
          <w:ilvl w:val="0"/>
          <w:numId w:val="6"/>
        </w:numPr>
        <w:tabs>
          <w:tab w:val="left" w:pos="851"/>
        </w:tabs>
        <w:ind w:left="1134" w:hanging="283"/>
        <w:rPr>
          <w:sz w:val="24"/>
          <w:szCs w:val="24"/>
          <w:lang w:val="en-GB"/>
        </w:rPr>
      </w:pPr>
      <w:r w:rsidRPr="00F87DF4">
        <w:rPr>
          <w:sz w:val="24"/>
          <w:szCs w:val="24"/>
          <w:lang w:val="en-GB"/>
        </w:rPr>
        <w:t xml:space="preserve">Akutte gynækologiske infektioner </w:t>
      </w:r>
    </w:p>
    <w:p w14:paraId="25AFCA62" w14:textId="77777777" w:rsidR="00F87DF4" w:rsidRPr="00F87DF4" w:rsidRDefault="00F87DF4" w:rsidP="00F87DF4">
      <w:pPr>
        <w:numPr>
          <w:ilvl w:val="0"/>
          <w:numId w:val="6"/>
        </w:numPr>
        <w:tabs>
          <w:tab w:val="left" w:pos="851"/>
        </w:tabs>
        <w:ind w:left="1134" w:hanging="283"/>
        <w:rPr>
          <w:sz w:val="24"/>
          <w:szCs w:val="24"/>
          <w:lang w:val="sv-SE"/>
        </w:rPr>
      </w:pPr>
      <w:r w:rsidRPr="00F87DF4">
        <w:rPr>
          <w:sz w:val="24"/>
          <w:szCs w:val="24"/>
          <w:lang w:val="sv-SE"/>
        </w:rPr>
        <w:t>Diabetesrelaterede infektioner i hud og bløddele på fødder (se pkt. 4.4).</w:t>
      </w:r>
    </w:p>
    <w:p w14:paraId="63F3DE7A" w14:textId="77777777" w:rsidR="00F87DF4" w:rsidRPr="00F87DF4" w:rsidRDefault="00F87DF4" w:rsidP="00F87DF4">
      <w:pPr>
        <w:tabs>
          <w:tab w:val="left" w:pos="851"/>
        </w:tabs>
        <w:ind w:left="851"/>
        <w:rPr>
          <w:sz w:val="24"/>
          <w:szCs w:val="24"/>
          <w:lang w:val="sv-SE"/>
        </w:rPr>
      </w:pPr>
    </w:p>
    <w:p w14:paraId="1DAAD619" w14:textId="77777777" w:rsidR="00F87DF4" w:rsidRPr="00F87DF4" w:rsidRDefault="00F87DF4" w:rsidP="00F87DF4">
      <w:pPr>
        <w:tabs>
          <w:tab w:val="left" w:pos="851"/>
        </w:tabs>
        <w:ind w:left="851"/>
        <w:rPr>
          <w:iCs/>
          <w:sz w:val="24"/>
          <w:szCs w:val="24"/>
          <w:u w:val="single"/>
          <w:lang w:val="sv-SE"/>
        </w:rPr>
      </w:pPr>
      <w:r w:rsidRPr="00F87DF4">
        <w:rPr>
          <w:iCs/>
          <w:sz w:val="24"/>
          <w:szCs w:val="24"/>
          <w:u w:val="single"/>
          <w:lang w:val="sv-SE"/>
        </w:rPr>
        <w:lastRenderedPageBreak/>
        <w:t>Forebyggelse</w:t>
      </w:r>
    </w:p>
    <w:p w14:paraId="7971E9BA" w14:textId="551F5F25" w:rsidR="00F87DF4" w:rsidRPr="00F87DF4" w:rsidRDefault="00F87DF4" w:rsidP="00F87DF4">
      <w:pPr>
        <w:tabs>
          <w:tab w:val="left" w:pos="851"/>
        </w:tabs>
        <w:ind w:left="851"/>
        <w:rPr>
          <w:sz w:val="24"/>
          <w:szCs w:val="24"/>
          <w:lang w:val="sv-SE"/>
        </w:rPr>
      </w:pPr>
      <w:r>
        <w:rPr>
          <w:sz w:val="24"/>
          <w:szCs w:val="24"/>
          <w:lang w:val="sv-SE"/>
        </w:rPr>
        <w:t>Ertapenem "Steriscience"</w:t>
      </w:r>
      <w:r w:rsidRPr="00F87DF4">
        <w:rPr>
          <w:sz w:val="24"/>
          <w:szCs w:val="24"/>
          <w:lang w:val="sv-SE"/>
        </w:rPr>
        <w:t xml:space="preserve"> er indiceret til voksne til profylakse mod infektion på operationssted efter elektiv kolorektal operation (se pkt. 4.4).</w:t>
      </w:r>
    </w:p>
    <w:p w14:paraId="2220721E" w14:textId="77777777" w:rsidR="00F87DF4" w:rsidRPr="00F87DF4" w:rsidRDefault="00F87DF4" w:rsidP="00F87DF4">
      <w:pPr>
        <w:tabs>
          <w:tab w:val="left" w:pos="851"/>
        </w:tabs>
        <w:ind w:left="851"/>
        <w:rPr>
          <w:sz w:val="24"/>
          <w:szCs w:val="24"/>
          <w:lang w:val="sv-SE"/>
        </w:rPr>
      </w:pPr>
    </w:p>
    <w:p w14:paraId="51C6B1F4" w14:textId="77777777" w:rsidR="00F87DF4" w:rsidRPr="00F87DF4" w:rsidRDefault="00F87DF4" w:rsidP="00F87DF4">
      <w:pPr>
        <w:tabs>
          <w:tab w:val="left" w:pos="851"/>
        </w:tabs>
        <w:ind w:left="851"/>
        <w:rPr>
          <w:sz w:val="24"/>
          <w:szCs w:val="24"/>
          <w:lang w:val="sv-SE"/>
        </w:rPr>
      </w:pPr>
      <w:r w:rsidRPr="00F87DF4">
        <w:rPr>
          <w:sz w:val="24"/>
          <w:szCs w:val="24"/>
          <w:lang w:val="sv-SE"/>
        </w:rPr>
        <w:t>Der skal tages hensyn til officielle retningslinjer vedrørende hensigtsmæssig anvendelse af antibiotika.</w:t>
      </w:r>
    </w:p>
    <w:p w14:paraId="2B602BFC" w14:textId="77777777" w:rsidR="009260DE" w:rsidRPr="00F87DF4" w:rsidRDefault="009260DE" w:rsidP="009260DE">
      <w:pPr>
        <w:tabs>
          <w:tab w:val="left" w:pos="851"/>
        </w:tabs>
        <w:ind w:left="851"/>
        <w:rPr>
          <w:sz w:val="24"/>
          <w:szCs w:val="24"/>
          <w:lang w:val="sv-SE"/>
        </w:rPr>
      </w:pPr>
    </w:p>
    <w:p w14:paraId="23843E30"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44D77F1" w14:textId="77777777" w:rsidR="00F87DF4" w:rsidRDefault="00F87DF4" w:rsidP="00F87DF4">
      <w:pPr>
        <w:tabs>
          <w:tab w:val="left" w:pos="851"/>
        </w:tabs>
        <w:ind w:left="851"/>
        <w:rPr>
          <w:sz w:val="24"/>
          <w:szCs w:val="24"/>
          <w:u w:val="single"/>
          <w:lang w:val="sv-SE"/>
        </w:rPr>
      </w:pPr>
    </w:p>
    <w:p w14:paraId="3D1859B7" w14:textId="0E38CE42" w:rsidR="00F87DF4" w:rsidRPr="00F87DF4" w:rsidRDefault="00F87DF4" w:rsidP="00F87DF4">
      <w:pPr>
        <w:tabs>
          <w:tab w:val="left" w:pos="851"/>
        </w:tabs>
        <w:ind w:left="851"/>
        <w:rPr>
          <w:b/>
          <w:sz w:val="24"/>
          <w:szCs w:val="24"/>
          <w:lang w:val="sv-SE"/>
        </w:rPr>
      </w:pPr>
      <w:r w:rsidRPr="00F87DF4">
        <w:rPr>
          <w:b/>
          <w:sz w:val="24"/>
          <w:szCs w:val="24"/>
          <w:lang w:val="sv-SE"/>
        </w:rPr>
        <w:t>Dosering</w:t>
      </w:r>
    </w:p>
    <w:p w14:paraId="6A368630" w14:textId="77777777" w:rsidR="00F87DF4" w:rsidRPr="00F87DF4" w:rsidRDefault="00F87DF4" w:rsidP="00F87DF4">
      <w:pPr>
        <w:tabs>
          <w:tab w:val="left" w:pos="851"/>
        </w:tabs>
        <w:ind w:left="851"/>
        <w:rPr>
          <w:sz w:val="24"/>
          <w:szCs w:val="24"/>
          <w:u w:val="single"/>
          <w:lang w:val="sv-SE"/>
        </w:rPr>
      </w:pPr>
    </w:p>
    <w:p w14:paraId="48C6CEEE" w14:textId="1AFF3AB6" w:rsidR="00F87DF4" w:rsidRPr="00F87DF4" w:rsidRDefault="00F87DF4" w:rsidP="00F87DF4">
      <w:pPr>
        <w:tabs>
          <w:tab w:val="left" w:pos="851"/>
        </w:tabs>
        <w:ind w:left="851"/>
        <w:rPr>
          <w:iCs/>
          <w:sz w:val="24"/>
          <w:szCs w:val="24"/>
          <w:u w:val="single"/>
          <w:lang w:val="sv-SE"/>
        </w:rPr>
      </w:pPr>
      <w:r w:rsidRPr="00F87DF4">
        <w:rPr>
          <w:iCs/>
          <w:sz w:val="24"/>
          <w:szCs w:val="24"/>
          <w:u w:val="single"/>
          <w:lang w:val="sv-SE"/>
        </w:rPr>
        <w:t>Behandling</w:t>
      </w:r>
    </w:p>
    <w:p w14:paraId="4C7C09A5" w14:textId="77777777" w:rsidR="00F87DF4" w:rsidRPr="00F87DF4" w:rsidRDefault="00F87DF4" w:rsidP="00F87DF4">
      <w:pPr>
        <w:tabs>
          <w:tab w:val="left" w:pos="851"/>
        </w:tabs>
        <w:ind w:left="851"/>
        <w:rPr>
          <w:i/>
          <w:iCs/>
          <w:sz w:val="24"/>
          <w:szCs w:val="24"/>
          <w:lang w:val="sv-SE"/>
        </w:rPr>
      </w:pPr>
    </w:p>
    <w:p w14:paraId="4CEE0E32" w14:textId="77777777" w:rsidR="00F87DF4" w:rsidRDefault="00F87DF4" w:rsidP="00F87DF4">
      <w:pPr>
        <w:tabs>
          <w:tab w:val="left" w:pos="851"/>
        </w:tabs>
        <w:ind w:left="851"/>
        <w:rPr>
          <w:i/>
          <w:iCs/>
          <w:sz w:val="24"/>
          <w:szCs w:val="24"/>
          <w:lang w:val="sv-SE"/>
        </w:rPr>
      </w:pPr>
      <w:r w:rsidRPr="00F87DF4">
        <w:rPr>
          <w:i/>
          <w:iCs/>
          <w:sz w:val="24"/>
          <w:szCs w:val="24"/>
          <w:lang w:val="sv-SE"/>
        </w:rPr>
        <w:t>Voksne og unge (i alderen 13 til 17 år)</w:t>
      </w:r>
    </w:p>
    <w:p w14:paraId="0DFD6518" w14:textId="1630104D" w:rsidR="00F87DF4" w:rsidRPr="00F87DF4" w:rsidRDefault="00F87DF4" w:rsidP="00F87DF4">
      <w:pPr>
        <w:tabs>
          <w:tab w:val="left" w:pos="851"/>
        </w:tabs>
        <w:ind w:left="851"/>
        <w:rPr>
          <w:sz w:val="24"/>
          <w:szCs w:val="24"/>
          <w:lang w:val="sv-SE"/>
        </w:rPr>
      </w:pPr>
      <w:r w:rsidRPr="00F87DF4">
        <w:rPr>
          <w:sz w:val="24"/>
          <w:szCs w:val="24"/>
          <w:lang w:val="sv-SE"/>
        </w:rPr>
        <w:t>Dosis af Ertapenem "Steriscience" er 1 gram (g) 1 gang dagligt som intravenøs administration (se pkt. 6.6).</w:t>
      </w:r>
    </w:p>
    <w:p w14:paraId="4D1BFB05" w14:textId="77777777" w:rsidR="00F87DF4" w:rsidRPr="00F87DF4" w:rsidRDefault="00F87DF4" w:rsidP="00F87DF4">
      <w:pPr>
        <w:tabs>
          <w:tab w:val="left" w:pos="851"/>
        </w:tabs>
        <w:ind w:left="851"/>
        <w:rPr>
          <w:sz w:val="24"/>
          <w:szCs w:val="24"/>
          <w:lang w:val="sv-SE"/>
        </w:rPr>
      </w:pPr>
    </w:p>
    <w:p w14:paraId="283EF847" w14:textId="77777777" w:rsidR="00F87DF4" w:rsidRDefault="00F87DF4" w:rsidP="00F87DF4">
      <w:pPr>
        <w:tabs>
          <w:tab w:val="left" w:pos="851"/>
        </w:tabs>
        <w:ind w:left="851"/>
        <w:rPr>
          <w:i/>
          <w:iCs/>
          <w:sz w:val="24"/>
          <w:szCs w:val="24"/>
          <w:lang w:val="sv-SE"/>
        </w:rPr>
      </w:pPr>
      <w:r w:rsidRPr="00F87DF4">
        <w:rPr>
          <w:i/>
          <w:iCs/>
          <w:sz w:val="24"/>
          <w:szCs w:val="24"/>
          <w:lang w:val="sv-SE"/>
        </w:rPr>
        <w:t>Spædbørn og børn (i alderen 3 måneder til 12 år)</w:t>
      </w:r>
    </w:p>
    <w:p w14:paraId="4579DC96" w14:textId="6C1978DF" w:rsidR="00F87DF4" w:rsidRPr="00F87DF4" w:rsidRDefault="00F87DF4" w:rsidP="00F87DF4">
      <w:pPr>
        <w:tabs>
          <w:tab w:val="left" w:pos="851"/>
        </w:tabs>
        <w:ind w:left="851"/>
        <w:rPr>
          <w:sz w:val="24"/>
          <w:szCs w:val="24"/>
          <w:lang w:val="sv-SE"/>
        </w:rPr>
      </w:pPr>
      <w:r w:rsidRPr="00F87DF4">
        <w:rPr>
          <w:sz w:val="24"/>
          <w:szCs w:val="24"/>
          <w:lang w:val="sv-SE"/>
        </w:rPr>
        <w:t>Dosis af Ertapenem "Steriscience" er 15 mg/kg to gange dagligt (må ikke overstige 1 g/dag) som intravenøs administration (se pkt. 6.6).</w:t>
      </w:r>
    </w:p>
    <w:p w14:paraId="6F10444D" w14:textId="77777777" w:rsidR="00F87DF4" w:rsidRPr="00F87DF4" w:rsidRDefault="00F87DF4" w:rsidP="00F87DF4">
      <w:pPr>
        <w:tabs>
          <w:tab w:val="left" w:pos="851"/>
        </w:tabs>
        <w:ind w:left="851"/>
        <w:rPr>
          <w:sz w:val="24"/>
          <w:szCs w:val="24"/>
          <w:lang w:val="sv-SE"/>
        </w:rPr>
      </w:pPr>
    </w:p>
    <w:p w14:paraId="5E1927B2" w14:textId="77777777" w:rsidR="00F87DF4" w:rsidRPr="00F87DF4" w:rsidRDefault="00F87DF4" w:rsidP="00F87DF4">
      <w:pPr>
        <w:tabs>
          <w:tab w:val="left" w:pos="851"/>
        </w:tabs>
        <w:ind w:left="851"/>
        <w:rPr>
          <w:iCs/>
          <w:sz w:val="24"/>
          <w:szCs w:val="24"/>
          <w:u w:val="single"/>
        </w:rPr>
      </w:pPr>
      <w:r w:rsidRPr="00F87DF4">
        <w:rPr>
          <w:iCs/>
          <w:sz w:val="24"/>
          <w:szCs w:val="24"/>
          <w:u w:val="single"/>
        </w:rPr>
        <w:t>Forebyggelse</w:t>
      </w:r>
    </w:p>
    <w:p w14:paraId="099129E5" w14:textId="77777777" w:rsidR="00F87DF4" w:rsidRDefault="00F87DF4" w:rsidP="00F87DF4">
      <w:pPr>
        <w:tabs>
          <w:tab w:val="left" w:pos="851"/>
        </w:tabs>
        <w:ind w:left="851"/>
        <w:rPr>
          <w:i/>
          <w:iCs/>
          <w:sz w:val="24"/>
          <w:szCs w:val="24"/>
          <w:lang w:val="sv-SE"/>
        </w:rPr>
      </w:pPr>
    </w:p>
    <w:p w14:paraId="62BAB4F8" w14:textId="77777777" w:rsidR="00F87DF4" w:rsidRDefault="00F87DF4" w:rsidP="00F87DF4">
      <w:pPr>
        <w:tabs>
          <w:tab w:val="left" w:pos="851"/>
        </w:tabs>
        <w:ind w:left="851"/>
        <w:rPr>
          <w:i/>
          <w:iCs/>
          <w:sz w:val="24"/>
          <w:szCs w:val="24"/>
          <w:lang w:val="sv-SE"/>
        </w:rPr>
      </w:pPr>
      <w:r w:rsidRPr="00F87DF4">
        <w:rPr>
          <w:i/>
          <w:iCs/>
          <w:sz w:val="24"/>
          <w:szCs w:val="24"/>
          <w:lang w:val="sv-SE"/>
        </w:rPr>
        <w:t>Voksne</w:t>
      </w:r>
    </w:p>
    <w:p w14:paraId="0614BCE5" w14:textId="48BF01F3" w:rsidR="00F87DF4" w:rsidRPr="00F87DF4" w:rsidRDefault="00F87DF4" w:rsidP="00F87DF4">
      <w:pPr>
        <w:tabs>
          <w:tab w:val="left" w:pos="851"/>
        </w:tabs>
        <w:ind w:left="851"/>
        <w:rPr>
          <w:sz w:val="24"/>
          <w:szCs w:val="24"/>
          <w:lang w:val="sv-SE"/>
        </w:rPr>
      </w:pPr>
      <w:r w:rsidRPr="00F87DF4">
        <w:rPr>
          <w:sz w:val="24"/>
          <w:szCs w:val="24"/>
          <w:lang w:val="sv-SE"/>
        </w:rPr>
        <w:t>Til forebyggelse af infektioner på operationsstedet efter elektiv kolorektal operation er den anbefalede dosis 1 g indgivet som en enkelt intravenøs dosis, der skal være afsluttet inden for 1 time før indgrebet.</w:t>
      </w:r>
    </w:p>
    <w:p w14:paraId="649F5FE0" w14:textId="77777777" w:rsidR="00F87DF4" w:rsidRPr="00F87DF4" w:rsidRDefault="00F87DF4" w:rsidP="00F87DF4">
      <w:pPr>
        <w:tabs>
          <w:tab w:val="left" w:pos="851"/>
        </w:tabs>
        <w:ind w:left="851"/>
        <w:rPr>
          <w:sz w:val="24"/>
          <w:szCs w:val="24"/>
          <w:lang w:val="sv-SE"/>
        </w:rPr>
      </w:pPr>
    </w:p>
    <w:p w14:paraId="512E078A" w14:textId="77777777" w:rsidR="00F87DF4" w:rsidRPr="00F87DF4" w:rsidRDefault="00F87DF4" w:rsidP="00F87DF4">
      <w:pPr>
        <w:tabs>
          <w:tab w:val="left" w:pos="851"/>
        </w:tabs>
        <w:ind w:left="851"/>
        <w:rPr>
          <w:i/>
          <w:iCs/>
          <w:sz w:val="24"/>
          <w:szCs w:val="24"/>
          <w:lang w:val="sv-SE"/>
        </w:rPr>
      </w:pPr>
      <w:r w:rsidRPr="00F87DF4">
        <w:rPr>
          <w:i/>
          <w:iCs/>
          <w:sz w:val="24"/>
          <w:szCs w:val="24"/>
          <w:lang w:val="sv-SE"/>
        </w:rPr>
        <w:t>Pædiatrisk population</w:t>
      </w:r>
    </w:p>
    <w:p w14:paraId="6DE419F0" w14:textId="77777777" w:rsidR="00F87DF4" w:rsidRPr="00F87DF4" w:rsidRDefault="00F87DF4" w:rsidP="00F87DF4">
      <w:pPr>
        <w:tabs>
          <w:tab w:val="left" w:pos="851"/>
        </w:tabs>
        <w:ind w:left="851"/>
        <w:rPr>
          <w:sz w:val="24"/>
          <w:szCs w:val="24"/>
          <w:lang w:val="sv-SE"/>
        </w:rPr>
      </w:pPr>
      <w:r w:rsidRPr="00F87DF4">
        <w:rPr>
          <w:sz w:val="24"/>
          <w:szCs w:val="24"/>
          <w:lang w:val="sv-SE"/>
        </w:rPr>
        <w:t xml:space="preserve">Ertapenems sikkerhed og virkning hos børn under 3 måneder er endnu ikke klarlagt. </w:t>
      </w:r>
    </w:p>
    <w:p w14:paraId="62C4001A" w14:textId="77777777" w:rsidR="00F87DF4" w:rsidRPr="00F87DF4" w:rsidRDefault="00F87DF4" w:rsidP="00F87DF4">
      <w:pPr>
        <w:tabs>
          <w:tab w:val="left" w:pos="851"/>
        </w:tabs>
        <w:ind w:left="851"/>
        <w:rPr>
          <w:sz w:val="24"/>
          <w:szCs w:val="24"/>
          <w:lang w:val="de-DE"/>
        </w:rPr>
      </w:pPr>
      <w:r w:rsidRPr="00F87DF4">
        <w:rPr>
          <w:sz w:val="24"/>
          <w:szCs w:val="24"/>
          <w:lang w:val="de-DE"/>
        </w:rPr>
        <w:t>Der foreligger ingen data.</w:t>
      </w:r>
    </w:p>
    <w:p w14:paraId="1444BF4A" w14:textId="77777777" w:rsidR="00F87DF4" w:rsidRPr="00F87DF4" w:rsidRDefault="00F87DF4" w:rsidP="00F87DF4">
      <w:pPr>
        <w:tabs>
          <w:tab w:val="left" w:pos="851"/>
        </w:tabs>
        <w:ind w:left="851"/>
        <w:rPr>
          <w:sz w:val="24"/>
          <w:szCs w:val="24"/>
          <w:lang w:val="de-DE"/>
        </w:rPr>
      </w:pPr>
    </w:p>
    <w:p w14:paraId="2C6B2531" w14:textId="77777777" w:rsidR="00F87DF4" w:rsidRPr="00F87DF4" w:rsidRDefault="00F87DF4" w:rsidP="00F87DF4">
      <w:pPr>
        <w:tabs>
          <w:tab w:val="left" w:pos="851"/>
        </w:tabs>
        <w:ind w:left="851"/>
        <w:rPr>
          <w:i/>
          <w:iCs/>
          <w:sz w:val="24"/>
          <w:szCs w:val="24"/>
          <w:lang w:val="de-DE"/>
        </w:rPr>
      </w:pPr>
      <w:r w:rsidRPr="00F87DF4">
        <w:rPr>
          <w:i/>
          <w:iCs/>
          <w:sz w:val="24"/>
          <w:szCs w:val="24"/>
          <w:lang w:val="de-DE"/>
        </w:rPr>
        <w:t>Nedsat nyrefunktion</w:t>
      </w:r>
    </w:p>
    <w:p w14:paraId="257EA231" w14:textId="77777777" w:rsidR="00F87DF4" w:rsidRPr="00F87DF4" w:rsidRDefault="00F87DF4" w:rsidP="00F87DF4">
      <w:pPr>
        <w:tabs>
          <w:tab w:val="left" w:pos="851"/>
        </w:tabs>
        <w:ind w:left="851"/>
        <w:rPr>
          <w:sz w:val="24"/>
          <w:szCs w:val="24"/>
          <w:lang w:val="de-DE"/>
        </w:rPr>
      </w:pPr>
      <w:r w:rsidRPr="00F87DF4">
        <w:rPr>
          <w:sz w:val="24"/>
          <w:szCs w:val="24"/>
          <w:lang w:val="de-DE"/>
        </w:rPr>
        <w:t>Ertapenem "Steriscience" kan anvendes til behandling af infektioner hos voksne patienter med let til moderat nedsat nyrefunktion. Dosisjustering er ikke nødvendig hos patienter med creatininclearance &gt; 30 ml/min/1,73 m</w:t>
      </w:r>
      <w:r w:rsidRPr="00F87DF4">
        <w:rPr>
          <w:sz w:val="24"/>
          <w:szCs w:val="24"/>
          <w:vertAlign w:val="superscript"/>
          <w:lang w:val="de-DE"/>
        </w:rPr>
        <w:t>2</w:t>
      </w:r>
      <w:r w:rsidRPr="00F87DF4">
        <w:rPr>
          <w:sz w:val="24"/>
          <w:szCs w:val="24"/>
          <w:lang w:val="de-DE"/>
        </w:rPr>
        <w:t>. Der foreligger ikke tilstrækkelige data om ertapenems sikkerhed og virkning hos patienter med svært nedsat nyrefunktion, der kan understøtte en dosisrekommandation. Derfor må ertapenem ikke anvendes til disse patienter (se pkt. 5.2). Der er ingen data for børn og unge med nedsat nyrefunktion.</w:t>
      </w:r>
    </w:p>
    <w:p w14:paraId="06210008" w14:textId="77777777" w:rsidR="00F87DF4" w:rsidRPr="00F87DF4" w:rsidRDefault="00F87DF4" w:rsidP="00F87DF4">
      <w:pPr>
        <w:tabs>
          <w:tab w:val="left" w:pos="851"/>
        </w:tabs>
        <w:ind w:left="851"/>
        <w:rPr>
          <w:sz w:val="24"/>
          <w:szCs w:val="24"/>
          <w:lang w:val="de-DE"/>
        </w:rPr>
      </w:pPr>
    </w:p>
    <w:p w14:paraId="3B0AD84C" w14:textId="77777777" w:rsidR="00F87DF4" w:rsidRPr="00F87DF4" w:rsidRDefault="00F87DF4" w:rsidP="00F87DF4">
      <w:pPr>
        <w:tabs>
          <w:tab w:val="left" w:pos="851"/>
        </w:tabs>
        <w:ind w:left="851"/>
        <w:rPr>
          <w:i/>
          <w:iCs/>
          <w:sz w:val="24"/>
          <w:szCs w:val="24"/>
          <w:lang w:val="de-DE"/>
        </w:rPr>
      </w:pPr>
      <w:r w:rsidRPr="00F87DF4">
        <w:rPr>
          <w:i/>
          <w:iCs/>
          <w:sz w:val="24"/>
          <w:szCs w:val="24"/>
          <w:lang w:val="de-DE"/>
        </w:rPr>
        <w:t>Hæmodialyse</w:t>
      </w:r>
    </w:p>
    <w:p w14:paraId="2A18A797" w14:textId="77777777" w:rsidR="00F87DF4" w:rsidRPr="00F87DF4" w:rsidRDefault="00F87DF4" w:rsidP="00F87DF4">
      <w:pPr>
        <w:tabs>
          <w:tab w:val="left" w:pos="851"/>
        </w:tabs>
        <w:ind w:left="851"/>
        <w:rPr>
          <w:sz w:val="24"/>
          <w:szCs w:val="24"/>
          <w:lang w:val="de-DE"/>
        </w:rPr>
      </w:pPr>
      <w:r w:rsidRPr="00F87DF4">
        <w:rPr>
          <w:sz w:val="24"/>
          <w:szCs w:val="24"/>
          <w:lang w:val="de-DE"/>
        </w:rPr>
        <w:t>Der foreligger ikke tilstrækkelige data om ertapenems sikkerhed og virkning hos patienter i hæmodialyse til at understøtte en dosisrekommandation. Derfor må ertapenem ikke anvendes til disse patienter.</w:t>
      </w:r>
    </w:p>
    <w:p w14:paraId="0EE20661" w14:textId="77777777" w:rsidR="00F87DF4" w:rsidRPr="00F87DF4" w:rsidRDefault="00F87DF4" w:rsidP="00F87DF4">
      <w:pPr>
        <w:tabs>
          <w:tab w:val="left" w:pos="851"/>
        </w:tabs>
        <w:ind w:left="851"/>
        <w:rPr>
          <w:sz w:val="24"/>
          <w:szCs w:val="24"/>
          <w:lang w:val="de-DE"/>
        </w:rPr>
      </w:pPr>
    </w:p>
    <w:p w14:paraId="101B6566" w14:textId="77777777" w:rsidR="00F87DF4" w:rsidRPr="00F87DF4" w:rsidRDefault="00F87DF4" w:rsidP="00F87DF4">
      <w:pPr>
        <w:tabs>
          <w:tab w:val="left" w:pos="851"/>
        </w:tabs>
        <w:ind w:left="851"/>
        <w:rPr>
          <w:i/>
          <w:iCs/>
          <w:sz w:val="24"/>
          <w:szCs w:val="24"/>
          <w:lang w:val="de-DE"/>
        </w:rPr>
      </w:pPr>
      <w:r w:rsidRPr="00F87DF4">
        <w:rPr>
          <w:i/>
          <w:iCs/>
          <w:sz w:val="24"/>
          <w:szCs w:val="24"/>
          <w:lang w:val="de-DE"/>
        </w:rPr>
        <w:t>Nedsat leverfunktion</w:t>
      </w:r>
    </w:p>
    <w:p w14:paraId="060DA957" w14:textId="77777777" w:rsidR="00F87DF4" w:rsidRPr="00F87DF4" w:rsidRDefault="00F87DF4" w:rsidP="00F87DF4">
      <w:pPr>
        <w:tabs>
          <w:tab w:val="left" w:pos="851"/>
        </w:tabs>
        <w:ind w:left="851"/>
        <w:rPr>
          <w:sz w:val="24"/>
          <w:szCs w:val="24"/>
          <w:lang w:val="de-DE"/>
        </w:rPr>
      </w:pPr>
      <w:r w:rsidRPr="00F87DF4">
        <w:rPr>
          <w:sz w:val="24"/>
          <w:szCs w:val="24"/>
          <w:lang w:val="de-DE"/>
        </w:rPr>
        <w:t>Dosisjustering er ikke nødvendig til patienter med nedsat leverfunktion (se pkt. 5.2).</w:t>
      </w:r>
    </w:p>
    <w:p w14:paraId="55261352" w14:textId="77777777" w:rsidR="00F87DF4" w:rsidRPr="00F87DF4" w:rsidRDefault="00F87DF4" w:rsidP="00F87DF4">
      <w:pPr>
        <w:tabs>
          <w:tab w:val="left" w:pos="851"/>
        </w:tabs>
        <w:ind w:left="851"/>
        <w:rPr>
          <w:sz w:val="24"/>
          <w:szCs w:val="24"/>
          <w:lang w:val="de-DE"/>
        </w:rPr>
      </w:pPr>
    </w:p>
    <w:p w14:paraId="30C00AC7" w14:textId="77777777" w:rsidR="00F87DF4" w:rsidRPr="00F87DF4" w:rsidRDefault="00F87DF4" w:rsidP="00F87DF4">
      <w:pPr>
        <w:tabs>
          <w:tab w:val="left" w:pos="851"/>
        </w:tabs>
        <w:ind w:left="851"/>
        <w:rPr>
          <w:i/>
          <w:iCs/>
          <w:sz w:val="24"/>
          <w:szCs w:val="24"/>
          <w:lang w:val="de-DE"/>
        </w:rPr>
      </w:pPr>
      <w:r w:rsidRPr="00F87DF4">
        <w:rPr>
          <w:i/>
          <w:iCs/>
          <w:sz w:val="24"/>
          <w:szCs w:val="24"/>
          <w:lang w:val="de-DE"/>
        </w:rPr>
        <w:t>Ældre patienter</w:t>
      </w:r>
    </w:p>
    <w:p w14:paraId="526A53E7" w14:textId="77777777" w:rsidR="00F87DF4" w:rsidRPr="00F87DF4" w:rsidRDefault="00F87DF4" w:rsidP="00F87DF4">
      <w:pPr>
        <w:tabs>
          <w:tab w:val="left" w:pos="851"/>
        </w:tabs>
        <w:ind w:left="851"/>
        <w:rPr>
          <w:b/>
          <w:i/>
          <w:sz w:val="24"/>
          <w:szCs w:val="24"/>
          <w:lang w:val="de-DE"/>
        </w:rPr>
      </w:pPr>
      <w:r w:rsidRPr="00F87DF4">
        <w:rPr>
          <w:sz w:val="24"/>
          <w:szCs w:val="24"/>
          <w:lang w:val="de-DE"/>
        </w:rPr>
        <w:t xml:space="preserve">Bortset fra tilfælde med svært nedsat nyrefunktion skal der administreres den anbefalede dosis af Ertapenem "Steriscience" (se </w:t>
      </w:r>
      <w:r w:rsidRPr="00F87DF4">
        <w:rPr>
          <w:i/>
          <w:sz w:val="24"/>
          <w:szCs w:val="24"/>
          <w:lang w:val="de-DE"/>
        </w:rPr>
        <w:t>Nedsat nyrefunktion</w:t>
      </w:r>
      <w:r w:rsidRPr="00F87DF4">
        <w:rPr>
          <w:sz w:val="24"/>
          <w:szCs w:val="24"/>
          <w:lang w:val="de-DE"/>
        </w:rPr>
        <w:t>).</w:t>
      </w:r>
    </w:p>
    <w:p w14:paraId="54219610" w14:textId="77777777" w:rsidR="00F87DF4" w:rsidRPr="00F87DF4" w:rsidRDefault="00F87DF4" w:rsidP="00F87DF4">
      <w:pPr>
        <w:tabs>
          <w:tab w:val="left" w:pos="851"/>
        </w:tabs>
        <w:ind w:left="851"/>
        <w:rPr>
          <w:b/>
          <w:sz w:val="24"/>
          <w:szCs w:val="24"/>
          <w:lang w:val="sv-SE"/>
        </w:rPr>
      </w:pPr>
      <w:r w:rsidRPr="00F87DF4">
        <w:rPr>
          <w:b/>
          <w:sz w:val="24"/>
          <w:szCs w:val="24"/>
          <w:lang w:val="sv-SE"/>
        </w:rPr>
        <w:lastRenderedPageBreak/>
        <w:t>Administration</w:t>
      </w:r>
    </w:p>
    <w:p w14:paraId="7B4571E0" w14:textId="77777777" w:rsidR="00F87DF4" w:rsidRPr="00F87DF4" w:rsidRDefault="00F87DF4" w:rsidP="00F87DF4">
      <w:pPr>
        <w:tabs>
          <w:tab w:val="left" w:pos="851"/>
        </w:tabs>
        <w:ind w:left="851"/>
        <w:rPr>
          <w:iCs/>
          <w:sz w:val="24"/>
          <w:szCs w:val="24"/>
          <w:lang w:val="sv-SE"/>
        </w:rPr>
      </w:pPr>
      <w:r w:rsidRPr="00F87DF4">
        <w:rPr>
          <w:iCs/>
          <w:sz w:val="24"/>
          <w:szCs w:val="24"/>
          <w:lang w:val="sv-SE"/>
        </w:rPr>
        <w:t>Intravenøs administration: Efter rekonstituering og fortynding skal infusionsvæsken infunderes over en periode på 30 minutter.</w:t>
      </w:r>
    </w:p>
    <w:p w14:paraId="322E8DDF" w14:textId="77777777" w:rsidR="00F87DF4" w:rsidRPr="00F87DF4" w:rsidRDefault="00F87DF4" w:rsidP="00F87DF4">
      <w:pPr>
        <w:tabs>
          <w:tab w:val="left" w:pos="851"/>
        </w:tabs>
        <w:ind w:left="851"/>
        <w:rPr>
          <w:iCs/>
          <w:sz w:val="24"/>
          <w:szCs w:val="24"/>
          <w:lang w:val="sv-SE"/>
        </w:rPr>
      </w:pPr>
    </w:p>
    <w:p w14:paraId="3F056247" w14:textId="58A27E97" w:rsidR="00F87DF4" w:rsidRPr="00F87DF4" w:rsidRDefault="00F87DF4" w:rsidP="00F87DF4">
      <w:pPr>
        <w:tabs>
          <w:tab w:val="left" w:pos="851"/>
        </w:tabs>
        <w:ind w:left="851"/>
        <w:rPr>
          <w:iCs/>
          <w:sz w:val="24"/>
          <w:szCs w:val="24"/>
          <w:lang w:val="de-DE"/>
        </w:rPr>
      </w:pPr>
      <w:r w:rsidRPr="00F87DF4">
        <w:rPr>
          <w:iCs/>
          <w:sz w:val="24"/>
          <w:szCs w:val="24"/>
          <w:lang w:val="sv-SE"/>
        </w:rPr>
        <w:t>Sædvanlig varighed af behandling med Ertapenem "Steriscience"</w:t>
      </w:r>
      <w:r w:rsidR="00863855">
        <w:rPr>
          <w:iCs/>
          <w:sz w:val="24"/>
          <w:szCs w:val="24"/>
          <w:lang w:val="sv-SE"/>
        </w:rPr>
        <w:t xml:space="preserve"> </w:t>
      </w:r>
      <w:r w:rsidRPr="00F87DF4">
        <w:rPr>
          <w:iCs/>
          <w:sz w:val="24"/>
          <w:szCs w:val="24"/>
          <w:lang w:val="sv-SE"/>
        </w:rPr>
        <w:t xml:space="preserve">er 3 - 14 dage, som kan variere afhængigt af type og sværhedsgrad af infektionen og af kausale patogener. </w:t>
      </w:r>
      <w:r w:rsidRPr="00F87DF4">
        <w:rPr>
          <w:iCs/>
          <w:sz w:val="24"/>
          <w:szCs w:val="24"/>
          <w:lang w:val="de-DE"/>
        </w:rPr>
        <w:t>Hvis der er klinisk indikation herfor, kan skift til passende oral antibakteriel behandling initieres, såfremt klinisk forbedring er observeret.</w:t>
      </w:r>
    </w:p>
    <w:p w14:paraId="4C981575" w14:textId="77777777" w:rsidR="00F87DF4" w:rsidRPr="00F87DF4" w:rsidRDefault="00F87DF4" w:rsidP="00F87DF4">
      <w:pPr>
        <w:tabs>
          <w:tab w:val="left" w:pos="851"/>
        </w:tabs>
        <w:ind w:left="851"/>
        <w:rPr>
          <w:i/>
          <w:sz w:val="24"/>
          <w:szCs w:val="24"/>
          <w:lang w:val="de-DE"/>
        </w:rPr>
      </w:pPr>
    </w:p>
    <w:p w14:paraId="017C1747" w14:textId="77777777" w:rsidR="00F87DF4" w:rsidRPr="00F87DF4" w:rsidRDefault="00F87DF4" w:rsidP="00F87DF4">
      <w:pPr>
        <w:tabs>
          <w:tab w:val="left" w:pos="851"/>
        </w:tabs>
        <w:ind w:left="851"/>
        <w:rPr>
          <w:iCs/>
          <w:sz w:val="24"/>
          <w:szCs w:val="24"/>
          <w:lang w:val="sv-SE"/>
        </w:rPr>
      </w:pPr>
      <w:r w:rsidRPr="00F87DF4">
        <w:rPr>
          <w:iCs/>
          <w:sz w:val="24"/>
          <w:szCs w:val="24"/>
          <w:lang w:val="sv-SE"/>
        </w:rPr>
        <w:t>For instruktioner om rekonstitution og fortynding af lægemidlet før administration, se afsnit 6.6.</w:t>
      </w:r>
    </w:p>
    <w:p w14:paraId="2CB3FAFB" w14:textId="77777777" w:rsidR="009260DE" w:rsidRPr="00F87DF4" w:rsidRDefault="009260DE" w:rsidP="009260DE">
      <w:pPr>
        <w:tabs>
          <w:tab w:val="left" w:pos="851"/>
        </w:tabs>
        <w:ind w:left="851"/>
        <w:rPr>
          <w:sz w:val="24"/>
          <w:szCs w:val="24"/>
          <w:lang w:val="sv-SE"/>
        </w:rPr>
      </w:pPr>
    </w:p>
    <w:p w14:paraId="0FB0466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4828638" w14:textId="77777777" w:rsidR="006A30C3" w:rsidRPr="006A30C3" w:rsidRDefault="006A30C3" w:rsidP="006A30C3">
      <w:pPr>
        <w:numPr>
          <w:ilvl w:val="0"/>
          <w:numId w:val="7"/>
        </w:numPr>
        <w:tabs>
          <w:tab w:val="left" w:pos="851"/>
        </w:tabs>
        <w:ind w:left="1134" w:hanging="283"/>
        <w:rPr>
          <w:sz w:val="24"/>
          <w:szCs w:val="24"/>
        </w:rPr>
      </w:pPr>
      <w:r w:rsidRPr="006A30C3">
        <w:rPr>
          <w:sz w:val="24"/>
          <w:szCs w:val="24"/>
        </w:rPr>
        <w:t xml:space="preserve">Overfølsomhed over for det aktive stof eller over for et eller flere af hjælpestofferne anført i pkt. 6.1. </w:t>
      </w:r>
    </w:p>
    <w:p w14:paraId="1E63CC6A" w14:textId="77777777" w:rsidR="006A30C3" w:rsidRPr="006A30C3" w:rsidRDefault="006A30C3" w:rsidP="006A30C3">
      <w:pPr>
        <w:numPr>
          <w:ilvl w:val="0"/>
          <w:numId w:val="7"/>
        </w:numPr>
        <w:tabs>
          <w:tab w:val="left" w:pos="851"/>
        </w:tabs>
        <w:ind w:left="1134" w:hanging="283"/>
        <w:rPr>
          <w:sz w:val="24"/>
          <w:szCs w:val="24"/>
        </w:rPr>
      </w:pPr>
      <w:r w:rsidRPr="006A30C3">
        <w:rPr>
          <w:sz w:val="24"/>
          <w:szCs w:val="24"/>
        </w:rPr>
        <w:t xml:space="preserve">Overfølsomhed over for andre carbapenem antibakterielle lægemidler </w:t>
      </w:r>
    </w:p>
    <w:p w14:paraId="75A5CF94" w14:textId="77777777" w:rsidR="006A30C3" w:rsidRPr="006A30C3" w:rsidRDefault="006A30C3" w:rsidP="006A30C3">
      <w:pPr>
        <w:numPr>
          <w:ilvl w:val="0"/>
          <w:numId w:val="7"/>
        </w:numPr>
        <w:tabs>
          <w:tab w:val="left" w:pos="851"/>
        </w:tabs>
        <w:ind w:left="1134" w:hanging="283"/>
        <w:rPr>
          <w:sz w:val="24"/>
          <w:szCs w:val="24"/>
        </w:rPr>
      </w:pPr>
      <w:r w:rsidRPr="006A30C3">
        <w:rPr>
          <w:sz w:val="24"/>
          <w:szCs w:val="24"/>
        </w:rPr>
        <w:t>Svær overfølsomhed (f.eks. anafylaktisk reaktion, svær hudreaktion) over for andre beta-laktam antibakterielle lægemidler (f.eks. penicilliner eller cefalosporiner).</w:t>
      </w:r>
    </w:p>
    <w:p w14:paraId="5300D669" w14:textId="77777777" w:rsidR="009260DE" w:rsidRPr="00C84483" w:rsidRDefault="009260DE" w:rsidP="009260DE">
      <w:pPr>
        <w:tabs>
          <w:tab w:val="left" w:pos="851"/>
        </w:tabs>
        <w:ind w:left="851"/>
        <w:rPr>
          <w:sz w:val="24"/>
          <w:szCs w:val="24"/>
        </w:rPr>
      </w:pPr>
    </w:p>
    <w:p w14:paraId="622E61C5"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2FC91BC" w14:textId="77777777" w:rsidR="006A30C3" w:rsidRPr="006A30C3" w:rsidRDefault="006A30C3" w:rsidP="006A30C3">
      <w:pPr>
        <w:tabs>
          <w:tab w:val="left" w:pos="851"/>
        </w:tabs>
        <w:ind w:left="851"/>
        <w:rPr>
          <w:sz w:val="24"/>
          <w:szCs w:val="24"/>
          <w:lang w:val="sv-SE"/>
        </w:rPr>
      </w:pPr>
    </w:p>
    <w:p w14:paraId="3E6FAD24" w14:textId="77777777" w:rsidR="006A30C3" w:rsidRPr="006A30C3" w:rsidRDefault="006A30C3" w:rsidP="006A30C3">
      <w:pPr>
        <w:tabs>
          <w:tab w:val="left" w:pos="851"/>
        </w:tabs>
        <w:ind w:left="851"/>
        <w:rPr>
          <w:sz w:val="24"/>
          <w:szCs w:val="24"/>
          <w:u w:val="single"/>
          <w:lang w:val="sv-SE"/>
        </w:rPr>
      </w:pPr>
      <w:r w:rsidRPr="006A30C3">
        <w:rPr>
          <w:sz w:val="24"/>
          <w:szCs w:val="24"/>
          <w:u w:val="single"/>
          <w:lang w:val="sv-SE"/>
        </w:rPr>
        <w:t>Overfølsomhed</w:t>
      </w:r>
    </w:p>
    <w:p w14:paraId="5D5221BB" w14:textId="77777777" w:rsidR="006A30C3" w:rsidRPr="006A30C3" w:rsidRDefault="006A30C3" w:rsidP="006A30C3">
      <w:pPr>
        <w:tabs>
          <w:tab w:val="left" w:pos="851"/>
        </w:tabs>
        <w:ind w:left="851"/>
        <w:rPr>
          <w:sz w:val="24"/>
          <w:szCs w:val="24"/>
          <w:lang w:val="de-DE"/>
        </w:rPr>
      </w:pPr>
      <w:r w:rsidRPr="006A30C3">
        <w:rPr>
          <w:sz w:val="24"/>
          <w:szCs w:val="24"/>
          <w:lang w:val="sv-SE"/>
        </w:rPr>
        <w:t xml:space="preserve">Der er rapporteret alvorlige, og ind i mellem fatale, overfølsomhedsreaktioner (anafylaktiske reaktioner) hos patienter i behandling med beta-laktamer. Der er større risiko for sådanne reaktioner hos patienter med overfølsomhed over for flere allergener i anamnesen. Inden påbegyndelse med behandling med ertapenem, bør patienten nøje udspørges vedrørende tidligere overfølsomhedsreaktioner i forbindelse med penicillin, cefalosporiner, andre beta-laktamer samt andre allergener (se pkt. 4.3). </w:t>
      </w:r>
      <w:r w:rsidRPr="006A30C3">
        <w:rPr>
          <w:sz w:val="24"/>
          <w:szCs w:val="24"/>
          <w:lang w:val="de-DE"/>
        </w:rPr>
        <w:t>Hvis der opstår en overfølsomhedsreaktion over for ertapenem (se pkt. 4.8), skal behandlingen straks seponeres. Alvorlige anafylaktiske reaktioner kræver akut intervention.</w:t>
      </w:r>
    </w:p>
    <w:p w14:paraId="32E4F31A" w14:textId="77777777" w:rsidR="006A30C3" w:rsidRPr="006A30C3" w:rsidRDefault="006A30C3" w:rsidP="006A30C3">
      <w:pPr>
        <w:tabs>
          <w:tab w:val="left" w:pos="851"/>
        </w:tabs>
        <w:ind w:left="851"/>
        <w:rPr>
          <w:sz w:val="24"/>
          <w:szCs w:val="24"/>
          <w:lang w:val="de-DE"/>
        </w:rPr>
      </w:pPr>
      <w:r w:rsidRPr="006A30C3">
        <w:rPr>
          <w:sz w:val="24"/>
          <w:szCs w:val="24"/>
          <w:lang w:val="de-DE"/>
        </w:rPr>
        <w:t xml:space="preserve"> </w:t>
      </w:r>
    </w:p>
    <w:p w14:paraId="144F0311" w14:textId="77777777" w:rsidR="006A30C3" w:rsidRPr="006A30C3" w:rsidRDefault="006A30C3" w:rsidP="006A30C3">
      <w:pPr>
        <w:tabs>
          <w:tab w:val="left" w:pos="851"/>
        </w:tabs>
        <w:ind w:left="851"/>
        <w:rPr>
          <w:sz w:val="24"/>
          <w:szCs w:val="24"/>
          <w:u w:val="single"/>
          <w:lang w:val="de-DE"/>
        </w:rPr>
      </w:pPr>
      <w:r w:rsidRPr="006A30C3">
        <w:rPr>
          <w:sz w:val="24"/>
          <w:szCs w:val="24"/>
          <w:u w:val="single"/>
          <w:lang w:val="de-DE"/>
        </w:rPr>
        <w:t>Superinfektion</w:t>
      </w:r>
    </w:p>
    <w:p w14:paraId="363555C1" w14:textId="77777777" w:rsidR="006A30C3" w:rsidRPr="006A30C3" w:rsidRDefault="006A30C3" w:rsidP="006A30C3">
      <w:pPr>
        <w:tabs>
          <w:tab w:val="left" w:pos="851"/>
        </w:tabs>
        <w:ind w:left="851"/>
        <w:rPr>
          <w:sz w:val="24"/>
          <w:szCs w:val="24"/>
          <w:lang w:val="de-DE"/>
        </w:rPr>
      </w:pPr>
      <w:r w:rsidRPr="006A30C3">
        <w:rPr>
          <w:sz w:val="24"/>
          <w:szCs w:val="24"/>
          <w:lang w:val="de-DE"/>
        </w:rPr>
        <w:t>Længerevarende brug af ertapenem kan resultere i overvækst af ikke-følsomme organismer. Gentagen evaluering af patientens tilstand er nødvendig. Hvis der opstår superinfektion under behandlingen, skal der tages relevante forholdsregler.</w:t>
      </w:r>
    </w:p>
    <w:p w14:paraId="372797E5" w14:textId="77777777" w:rsidR="006A30C3" w:rsidRPr="006A30C3" w:rsidRDefault="006A30C3" w:rsidP="006A30C3">
      <w:pPr>
        <w:tabs>
          <w:tab w:val="left" w:pos="851"/>
        </w:tabs>
        <w:ind w:left="851"/>
        <w:rPr>
          <w:sz w:val="24"/>
          <w:szCs w:val="24"/>
          <w:lang w:val="de-DE"/>
        </w:rPr>
      </w:pPr>
    </w:p>
    <w:p w14:paraId="04FAEA50" w14:textId="77777777" w:rsidR="006A30C3" w:rsidRPr="006A30C3" w:rsidRDefault="006A30C3" w:rsidP="006A30C3">
      <w:pPr>
        <w:tabs>
          <w:tab w:val="left" w:pos="851"/>
        </w:tabs>
        <w:ind w:left="851"/>
        <w:rPr>
          <w:sz w:val="24"/>
          <w:szCs w:val="24"/>
          <w:u w:val="single"/>
          <w:lang w:val="de-DE"/>
        </w:rPr>
      </w:pPr>
      <w:r w:rsidRPr="006A30C3">
        <w:rPr>
          <w:sz w:val="24"/>
          <w:szCs w:val="24"/>
          <w:u w:val="single"/>
          <w:lang w:val="de-DE"/>
        </w:rPr>
        <w:t>Antibiotika-associeret colitis</w:t>
      </w:r>
    </w:p>
    <w:p w14:paraId="28FBA26E" w14:textId="77777777" w:rsidR="006A30C3" w:rsidRPr="006A30C3" w:rsidRDefault="006A30C3" w:rsidP="006A30C3">
      <w:pPr>
        <w:tabs>
          <w:tab w:val="left" w:pos="851"/>
        </w:tabs>
        <w:ind w:left="851"/>
        <w:rPr>
          <w:sz w:val="24"/>
          <w:szCs w:val="24"/>
          <w:lang w:val="sv-SE"/>
        </w:rPr>
      </w:pPr>
      <w:r w:rsidRPr="006A30C3">
        <w:rPr>
          <w:sz w:val="24"/>
          <w:szCs w:val="24"/>
          <w:lang w:val="de-DE"/>
        </w:rPr>
        <w:t xml:space="preserve">Der er rapporteret antibiotika-associeret colitis og pseudomembranøs colitis med ertapenem, i sværhedsgrad varierende fra mild til livstruende. Det er derfor vigtigt at overveje denne diagnose hos patienter debuterende med diarré efter administration af antibakterielle stoffer. </w:t>
      </w:r>
      <w:r w:rsidRPr="006A30C3">
        <w:rPr>
          <w:sz w:val="24"/>
          <w:szCs w:val="24"/>
          <w:lang w:val="sv-SE"/>
        </w:rPr>
        <w:t xml:space="preserve">Det bør overvejes at seponere behandlingen med Ertapenem "Steriscience" samt den specifikke behandling for </w:t>
      </w:r>
      <w:r w:rsidRPr="006A30C3">
        <w:rPr>
          <w:i/>
          <w:iCs/>
          <w:sz w:val="24"/>
          <w:szCs w:val="24"/>
          <w:lang w:val="sv-SE"/>
        </w:rPr>
        <w:t>Clostridioides</w:t>
      </w:r>
      <w:r w:rsidRPr="006A30C3">
        <w:rPr>
          <w:sz w:val="24"/>
          <w:szCs w:val="24"/>
          <w:lang w:val="sv-SE"/>
        </w:rPr>
        <w:t xml:space="preserve"> </w:t>
      </w:r>
      <w:r w:rsidRPr="006A30C3">
        <w:rPr>
          <w:i/>
          <w:iCs/>
          <w:sz w:val="24"/>
          <w:szCs w:val="24"/>
          <w:lang w:val="sv-SE"/>
        </w:rPr>
        <w:t>difficile</w:t>
      </w:r>
      <w:r w:rsidRPr="006A30C3">
        <w:rPr>
          <w:sz w:val="24"/>
          <w:szCs w:val="24"/>
          <w:lang w:val="sv-SE"/>
        </w:rPr>
        <w:t>. Der bør ikke gives lægemidler, der hæmmer peristaltikken.</w:t>
      </w:r>
    </w:p>
    <w:p w14:paraId="5893259C" w14:textId="77777777" w:rsidR="006A30C3" w:rsidRPr="006A30C3" w:rsidRDefault="006A30C3" w:rsidP="006A30C3">
      <w:pPr>
        <w:tabs>
          <w:tab w:val="left" w:pos="851"/>
        </w:tabs>
        <w:ind w:left="851"/>
        <w:rPr>
          <w:sz w:val="24"/>
          <w:szCs w:val="24"/>
          <w:lang w:val="sv-SE"/>
        </w:rPr>
      </w:pPr>
    </w:p>
    <w:p w14:paraId="2016AEBC" w14:textId="77777777" w:rsidR="006A30C3" w:rsidRPr="006A30C3" w:rsidRDefault="006A30C3" w:rsidP="006A30C3">
      <w:pPr>
        <w:tabs>
          <w:tab w:val="left" w:pos="851"/>
        </w:tabs>
        <w:ind w:left="851"/>
        <w:rPr>
          <w:sz w:val="24"/>
          <w:szCs w:val="24"/>
          <w:u w:val="single"/>
          <w:lang w:val="sv-SE"/>
        </w:rPr>
      </w:pPr>
      <w:r w:rsidRPr="006A30C3">
        <w:rPr>
          <w:sz w:val="24"/>
          <w:szCs w:val="24"/>
          <w:u w:val="single"/>
          <w:lang w:val="sv-SE"/>
        </w:rPr>
        <w:t>Krampeanfald</w:t>
      </w:r>
    </w:p>
    <w:p w14:paraId="213A2CB4" w14:textId="77777777" w:rsidR="006A30C3" w:rsidRPr="006A30C3" w:rsidRDefault="006A30C3" w:rsidP="006A30C3">
      <w:pPr>
        <w:tabs>
          <w:tab w:val="left" w:pos="851"/>
        </w:tabs>
        <w:ind w:left="851"/>
        <w:rPr>
          <w:sz w:val="24"/>
          <w:szCs w:val="24"/>
          <w:lang w:val="sv-SE"/>
        </w:rPr>
      </w:pPr>
      <w:r w:rsidRPr="006A30C3">
        <w:rPr>
          <w:sz w:val="24"/>
          <w:szCs w:val="24"/>
          <w:lang w:val="sv-SE"/>
        </w:rPr>
        <w:t>Under et klinisk studie er der rapporteret om kramper hos voksne i behandling med ertapenem (1 g en gang dagligt) eller i 14-dages opfølgningsperioden. Kramper forekom hyppigst hos ældre patienter og hos patienter med eksisterende sygdomme i centralnervesystemet (CNS) (f.eks. hjernelæsion eller kramper i anamnesen) og/eller kompromitteret nyrefunktion. Der er gjort lignende observationer efter markedsføring.</w:t>
      </w:r>
    </w:p>
    <w:p w14:paraId="4FD1B707" w14:textId="77777777" w:rsidR="006A30C3" w:rsidRPr="006A30C3" w:rsidRDefault="006A30C3" w:rsidP="006A30C3">
      <w:pPr>
        <w:tabs>
          <w:tab w:val="left" w:pos="851"/>
        </w:tabs>
        <w:ind w:left="851"/>
        <w:rPr>
          <w:sz w:val="24"/>
          <w:szCs w:val="24"/>
          <w:lang w:val="sv-SE"/>
        </w:rPr>
      </w:pPr>
    </w:p>
    <w:p w14:paraId="3B6765E1" w14:textId="77777777" w:rsidR="006A30C3" w:rsidRPr="006A30C3" w:rsidRDefault="006A30C3" w:rsidP="006A30C3">
      <w:pPr>
        <w:tabs>
          <w:tab w:val="left" w:pos="851"/>
        </w:tabs>
        <w:ind w:left="851"/>
        <w:rPr>
          <w:sz w:val="24"/>
          <w:szCs w:val="24"/>
          <w:u w:val="single"/>
          <w:lang w:val="sv-SE"/>
        </w:rPr>
      </w:pPr>
      <w:r w:rsidRPr="006A30C3">
        <w:rPr>
          <w:sz w:val="24"/>
          <w:szCs w:val="24"/>
          <w:u w:val="single"/>
          <w:lang w:val="sv-SE"/>
        </w:rPr>
        <w:lastRenderedPageBreak/>
        <w:t>Encefalopati</w:t>
      </w:r>
    </w:p>
    <w:p w14:paraId="08BC3684" w14:textId="77777777" w:rsidR="006A30C3" w:rsidRPr="006A30C3" w:rsidRDefault="006A30C3" w:rsidP="006A30C3">
      <w:pPr>
        <w:tabs>
          <w:tab w:val="left" w:pos="851"/>
        </w:tabs>
        <w:ind w:left="851"/>
        <w:rPr>
          <w:sz w:val="24"/>
          <w:szCs w:val="24"/>
          <w:lang w:val="sv-SE"/>
        </w:rPr>
      </w:pPr>
      <w:r w:rsidRPr="006A30C3">
        <w:rPr>
          <w:sz w:val="24"/>
          <w:szCs w:val="24"/>
          <w:lang w:val="sv-SE"/>
        </w:rPr>
        <w:t>Der er rapporteret om tilfælde af encefalopati ved brug af ertapenem (se pkt. 4.8). Hvis der er formodning om ertapenem-induceret encefalopati (f.eks. myokloni, anfald, ændret mental status eller nedsat bevidsthedsniveau), bør seponering af ertapenem overvejes. Patienter med nedsat nyrefunktion har højere risiko for ertapenem-induceret encefalopati, og resolutionen (behandlingen) kan være længerevarende.</w:t>
      </w:r>
    </w:p>
    <w:p w14:paraId="37842E43" w14:textId="77777777" w:rsidR="006A30C3" w:rsidRPr="006A30C3" w:rsidRDefault="006A30C3" w:rsidP="006A30C3">
      <w:pPr>
        <w:tabs>
          <w:tab w:val="left" w:pos="851"/>
        </w:tabs>
        <w:ind w:left="851"/>
        <w:rPr>
          <w:sz w:val="24"/>
          <w:szCs w:val="24"/>
          <w:lang w:val="sv-SE"/>
        </w:rPr>
      </w:pPr>
    </w:p>
    <w:p w14:paraId="64EF7EAE" w14:textId="77777777" w:rsidR="006A30C3" w:rsidRPr="006A30C3" w:rsidRDefault="006A30C3" w:rsidP="006A30C3">
      <w:pPr>
        <w:tabs>
          <w:tab w:val="left" w:pos="851"/>
        </w:tabs>
        <w:ind w:left="851"/>
        <w:rPr>
          <w:sz w:val="24"/>
          <w:szCs w:val="24"/>
          <w:u w:val="single"/>
          <w:lang w:val="sv-SE"/>
        </w:rPr>
      </w:pPr>
      <w:r w:rsidRPr="006A30C3">
        <w:rPr>
          <w:sz w:val="24"/>
          <w:szCs w:val="24"/>
          <w:u w:val="single"/>
          <w:lang w:val="sv-SE"/>
        </w:rPr>
        <w:t>Samtidig brug af valproinsyre</w:t>
      </w:r>
    </w:p>
    <w:p w14:paraId="52DBB7D8" w14:textId="77777777" w:rsidR="006A30C3" w:rsidRPr="006A30C3" w:rsidRDefault="006A30C3" w:rsidP="006A30C3">
      <w:pPr>
        <w:tabs>
          <w:tab w:val="left" w:pos="851"/>
        </w:tabs>
        <w:ind w:left="851"/>
        <w:rPr>
          <w:sz w:val="24"/>
          <w:szCs w:val="24"/>
          <w:lang w:val="sv-SE"/>
        </w:rPr>
      </w:pPr>
      <w:r w:rsidRPr="006A30C3">
        <w:rPr>
          <w:sz w:val="24"/>
          <w:szCs w:val="24"/>
          <w:lang w:val="sv-SE"/>
        </w:rPr>
        <w:t>Ertapenem bør ikke anvendes sammen med valproinsyre/natriumvalproat (se pkt. 4.5).</w:t>
      </w:r>
    </w:p>
    <w:p w14:paraId="5228C31E" w14:textId="77777777" w:rsidR="006A30C3" w:rsidRPr="006A30C3" w:rsidRDefault="006A30C3" w:rsidP="006A30C3">
      <w:pPr>
        <w:tabs>
          <w:tab w:val="left" w:pos="851"/>
        </w:tabs>
        <w:ind w:left="851"/>
        <w:rPr>
          <w:sz w:val="24"/>
          <w:szCs w:val="24"/>
          <w:lang w:val="sv-SE"/>
        </w:rPr>
      </w:pPr>
    </w:p>
    <w:p w14:paraId="00D23416" w14:textId="77777777" w:rsidR="006A30C3" w:rsidRPr="006A30C3" w:rsidRDefault="006A30C3" w:rsidP="006A30C3">
      <w:pPr>
        <w:tabs>
          <w:tab w:val="left" w:pos="851"/>
        </w:tabs>
        <w:ind w:left="851"/>
        <w:rPr>
          <w:sz w:val="24"/>
          <w:szCs w:val="24"/>
          <w:u w:val="single"/>
        </w:rPr>
      </w:pPr>
      <w:r w:rsidRPr="006A30C3">
        <w:rPr>
          <w:sz w:val="24"/>
          <w:szCs w:val="24"/>
          <w:u w:val="single"/>
        </w:rPr>
        <w:t>Sub-optimal eksponering</w:t>
      </w:r>
    </w:p>
    <w:p w14:paraId="1B24EFD5" w14:textId="77777777" w:rsidR="006A30C3" w:rsidRPr="006A30C3" w:rsidRDefault="006A30C3" w:rsidP="006A30C3">
      <w:pPr>
        <w:tabs>
          <w:tab w:val="left" w:pos="851"/>
        </w:tabs>
        <w:ind w:left="851"/>
        <w:rPr>
          <w:sz w:val="24"/>
          <w:szCs w:val="24"/>
          <w:lang w:val="sv-SE"/>
        </w:rPr>
      </w:pPr>
      <w:r w:rsidRPr="006A30C3">
        <w:rPr>
          <w:sz w:val="24"/>
          <w:szCs w:val="24"/>
          <w:lang w:val="sv-SE"/>
        </w:rPr>
        <w:t>På basis af de tilgængelige data kan det ikke udelukkes, at patienter kan blive udsat for sub-optimale ertapenem koncentrationer og dermed risikoen for potentiel mislykket behandling i de få tilfælde af kirurgiske indgreb på over 4 timer. Forsigtighed bør derfor udvises i sådanne usædvanlige tilfælde.</w:t>
      </w:r>
    </w:p>
    <w:p w14:paraId="73118EED" w14:textId="77777777" w:rsidR="006A30C3" w:rsidRPr="006A30C3" w:rsidRDefault="006A30C3" w:rsidP="006A30C3">
      <w:pPr>
        <w:tabs>
          <w:tab w:val="left" w:pos="851"/>
        </w:tabs>
        <w:ind w:left="851"/>
        <w:rPr>
          <w:sz w:val="24"/>
          <w:szCs w:val="24"/>
          <w:lang w:val="sv-SE"/>
        </w:rPr>
      </w:pPr>
    </w:p>
    <w:p w14:paraId="03A5098F" w14:textId="77777777" w:rsidR="006A30C3" w:rsidRPr="006A30C3" w:rsidRDefault="006A30C3" w:rsidP="006A30C3">
      <w:pPr>
        <w:tabs>
          <w:tab w:val="left" w:pos="851"/>
        </w:tabs>
        <w:ind w:left="851"/>
        <w:rPr>
          <w:sz w:val="24"/>
          <w:szCs w:val="24"/>
          <w:u w:val="single"/>
          <w:lang w:val="sv-SE"/>
        </w:rPr>
      </w:pPr>
      <w:r w:rsidRPr="006A30C3">
        <w:rPr>
          <w:sz w:val="24"/>
          <w:szCs w:val="24"/>
          <w:u w:val="single"/>
          <w:lang w:val="sv-SE"/>
        </w:rPr>
        <w:t>Overvejelser vedrørende brug hos særlige populationer</w:t>
      </w:r>
    </w:p>
    <w:p w14:paraId="6D6C5A95" w14:textId="77777777" w:rsidR="006A30C3" w:rsidRPr="006A30C3" w:rsidRDefault="006A30C3" w:rsidP="006A30C3">
      <w:pPr>
        <w:tabs>
          <w:tab w:val="left" w:pos="851"/>
        </w:tabs>
        <w:ind w:left="851"/>
        <w:rPr>
          <w:sz w:val="24"/>
          <w:szCs w:val="24"/>
          <w:lang w:val="de-DE"/>
        </w:rPr>
      </w:pPr>
      <w:r w:rsidRPr="006A30C3">
        <w:rPr>
          <w:sz w:val="24"/>
          <w:szCs w:val="24"/>
          <w:lang w:val="de-DE"/>
        </w:rPr>
        <w:t>Der er begrænsede erfaringer i brugen af ertapenem ved behandling af svære infektioner. I kliniske studier af behandling af samfundserhvervet pneumoni hos voksne havde 25% af de evaluerbare patienter, som blev behandlet med ertapenem, svær sygdom (defineret som pneumoni sværhedsindex &gt;III). I et klinisk studie med akutte gynækologiske infektioner hos voksne havde 26% af de evaluerbare patienter, som blev behandlet med ertapenem, svær sygdom (defineret som temperatur ≥39°C og/eller bakteriæmi); ti patienter havde bakteriæmi. I et klinisk studie med behandling af intra-abdominale infektioner hos voksne havde 30% af de evaluerbare patienter, der var blevet behandlet med ertapenem, generaliseret peritonitis, og 39% havde infektioner, der involverede andre områder end appendiks, herunder mave, duodenum, tyndtarm, colon og galdeblære. Der var et begrænset antal evaluerbare patienter med APACHE II scores ≥15, og virkning hos disse patienter er ikke påvist.</w:t>
      </w:r>
    </w:p>
    <w:p w14:paraId="70DC09B3" w14:textId="77777777" w:rsidR="006A30C3" w:rsidRPr="006A30C3" w:rsidRDefault="006A30C3" w:rsidP="006A30C3">
      <w:pPr>
        <w:tabs>
          <w:tab w:val="left" w:pos="851"/>
        </w:tabs>
        <w:ind w:left="851"/>
        <w:rPr>
          <w:sz w:val="24"/>
          <w:szCs w:val="24"/>
          <w:lang w:val="de-DE"/>
        </w:rPr>
      </w:pPr>
    </w:p>
    <w:p w14:paraId="446D16BB" w14:textId="23C48D4E" w:rsidR="006A30C3" w:rsidRPr="006A30C3" w:rsidRDefault="006A30C3" w:rsidP="006A30C3">
      <w:pPr>
        <w:tabs>
          <w:tab w:val="left" w:pos="851"/>
        </w:tabs>
        <w:ind w:left="851"/>
        <w:rPr>
          <w:sz w:val="24"/>
          <w:szCs w:val="24"/>
          <w:lang w:val="de-DE"/>
        </w:rPr>
      </w:pPr>
      <w:r w:rsidRPr="006A30C3">
        <w:rPr>
          <w:sz w:val="24"/>
          <w:szCs w:val="24"/>
          <w:lang w:val="de-DE"/>
        </w:rPr>
        <w:t>Ertapenem</w:t>
      </w:r>
      <w:r w:rsidR="00863855">
        <w:rPr>
          <w:sz w:val="24"/>
          <w:szCs w:val="24"/>
          <w:lang w:val="de-DE"/>
        </w:rPr>
        <w:t>s</w:t>
      </w:r>
      <w:r w:rsidRPr="006A30C3">
        <w:rPr>
          <w:sz w:val="24"/>
          <w:szCs w:val="24"/>
          <w:lang w:val="de-DE"/>
        </w:rPr>
        <w:t xml:space="preserve"> virkning i behandlingen af samfundserhvervet pneumoni forårsaget af penicillinresistent </w:t>
      </w:r>
      <w:r w:rsidRPr="006A30C3">
        <w:rPr>
          <w:i/>
          <w:iCs/>
          <w:sz w:val="24"/>
          <w:szCs w:val="24"/>
          <w:lang w:val="de-DE"/>
        </w:rPr>
        <w:t>Streptococcus pneumoniae</w:t>
      </w:r>
      <w:r w:rsidRPr="006A30C3">
        <w:rPr>
          <w:sz w:val="24"/>
          <w:szCs w:val="24"/>
          <w:lang w:val="de-DE"/>
        </w:rPr>
        <w:t xml:space="preserve"> er ikke undersøgt.</w:t>
      </w:r>
    </w:p>
    <w:p w14:paraId="280DE3C5" w14:textId="77777777" w:rsidR="006A30C3" w:rsidRPr="006A30C3" w:rsidRDefault="006A30C3" w:rsidP="006A30C3">
      <w:pPr>
        <w:tabs>
          <w:tab w:val="left" w:pos="851"/>
        </w:tabs>
        <w:ind w:left="851"/>
        <w:rPr>
          <w:sz w:val="24"/>
          <w:szCs w:val="24"/>
          <w:lang w:val="de-DE"/>
        </w:rPr>
      </w:pPr>
    </w:p>
    <w:p w14:paraId="37E7BC42" w14:textId="77777777" w:rsidR="006A30C3" w:rsidRPr="006A30C3" w:rsidRDefault="006A30C3" w:rsidP="006A30C3">
      <w:pPr>
        <w:tabs>
          <w:tab w:val="left" w:pos="851"/>
        </w:tabs>
        <w:ind w:left="851"/>
        <w:rPr>
          <w:sz w:val="24"/>
          <w:szCs w:val="24"/>
          <w:lang w:val="de-DE"/>
        </w:rPr>
      </w:pPr>
      <w:r w:rsidRPr="006A30C3">
        <w:rPr>
          <w:sz w:val="24"/>
          <w:szCs w:val="24"/>
          <w:lang w:val="de-DE"/>
        </w:rPr>
        <w:t>Ertapenems virkning i behandlingen af diabetesrelaterede fodinfektioner med samtidig osteomyelitis er ikke undersøgt.</w:t>
      </w:r>
    </w:p>
    <w:p w14:paraId="502DF296" w14:textId="77777777" w:rsidR="006A30C3" w:rsidRPr="006A30C3" w:rsidRDefault="006A30C3" w:rsidP="006A30C3">
      <w:pPr>
        <w:tabs>
          <w:tab w:val="left" w:pos="851"/>
        </w:tabs>
        <w:ind w:left="851"/>
        <w:rPr>
          <w:sz w:val="24"/>
          <w:szCs w:val="24"/>
          <w:lang w:val="de-DE"/>
        </w:rPr>
      </w:pPr>
    </w:p>
    <w:p w14:paraId="0DC050B1" w14:textId="77777777" w:rsidR="006A30C3" w:rsidRPr="006A30C3" w:rsidRDefault="006A30C3" w:rsidP="006A30C3">
      <w:pPr>
        <w:tabs>
          <w:tab w:val="left" w:pos="851"/>
        </w:tabs>
        <w:ind w:left="851"/>
        <w:rPr>
          <w:sz w:val="24"/>
          <w:szCs w:val="24"/>
          <w:lang w:val="de-DE"/>
        </w:rPr>
      </w:pPr>
      <w:r w:rsidRPr="006A30C3">
        <w:rPr>
          <w:sz w:val="24"/>
          <w:szCs w:val="24"/>
          <w:lang w:val="de-DE"/>
        </w:rPr>
        <w:t>Der er relativt ringe erfaring med ertapenem til børn under 2 år. I denne aldersgruppe bør de inficerende organismers følsomhed over for ertapenem undersøges nøje. Der er ingen tilgængelige data for børn under 3 måneder.</w:t>
      </w:r>
    </w:p>
    <w:p w14:paraId="25E454DE" w14:textId="77777777" w:rsidR="006A30C3" w:rsidRPr="006A30C3" w:rsidRDefault="006A30C3" w:rsidP="006A30C3">
      <w:pPr>
        <w:tabs>
          <w:tab w:val="left" w:pos="851"/>
        </w:tabs>
        <w:ind w:left="851"/>
        <w:rPr>
          <w:sz w:val="24"/>
          <w:szCs w:val="24"/>
          <w:lang w:val="de-DE"/>
        </w:rPr>
      </w:pPr>
      <w:r w:rsidRPr="006A30C3">
        <w:rPr>
          <w:sz w:val="24"/>
          <w:szCs w:val="24"/>
          <w:lang w:val="de-DE"/>
        </w:rPr>
        <w:t xml:space="preserve"> </w:t>
      </w:r>
    </w:p>
    <w:p w14:paraId="439895D3" w14:textId="77777777" w:rsidR="006A30C3" w:rsidRPr="006A30C3" w:rsidRDefault="006A30C3" w:rsidP="006A30C3">
      <w:pPr>
        <w:tabs>
          <w:tab w:val="left" w:pos="851"/>
        </w:tabs>
        <w:ind w:left="851"/>
        <w:rPr>
          <w:sz w:val="24"/>
          <w:szCs w:val="24"/>
          <w:u w:val="single"/>
          <w:lang w:val="de-DE"/>
        </w:rPr>
      </w:pPr>
      <w:r w:rsidRPr="006A30C3">
        <w:rPr>
          <w:sz w:val="24"/>
          <w:szCs w:val="24"/>
          <w:u w:val="single"/>
          <w:lang w:val="de-DE"/>
        </w:rPr>
        <w:t>Natrium</w:t>
      </w:r>
    </w:p>
    <w:p w14:paraId="4FB89CF0" w14:textId="77777777" w:rsidR="006A30C3" w:rsidRPr="006A30C3" w:rsidRDefault="006A30C3" w:rsidP="006A30C3">
      <w:pPr>
        <w:tabs>
          <w:tab w:val="left" w:pos="851"/>
        </w:tabs>
        <w:ind w:left="851"/>
        <w:rPr>
          <w:sz w:val="24"/>
          <w:szCs w:val="24"/>
          <w:lang w:val="de-DE"/>
        </w:rPr>
      </w:pPr>
      <w:r w:rsidRPr="006A30C3">
        <w:rPr>
          <w:sz w:val="24"/>
          <w:szCs w:val="24"/>
          <w:lang w:val="de-DE"/>
        </w:rPr>
        <w:t>Dette lægemiddel indeholder ca. 137 mg natrium pr. 1,0 g dosis, svarende til 6,85% af den WHO anbefalede maksimale daglige indtagelse af 2 g natrium for en voksen.</w:t>
      </w:r>
    </w:p>
    <w:p w14:paraId="77D5A59D" w14:textId="77777777" w:rsidR="009260DE" w:rsidRPr="006A30C3" w:rsidRDefault="009260DE" w:rsidP="009260DE">
      <w:pPr>
        <w:tabs>
          <w:tab w:val="left" w:pos="851"/>
        </w:tabs>
        <w:ind w:left="851"/>
        <w:rPr>
          <w:sz w:val="24"/>
          <w:szCs w:val="24"/>
          <w:lang w:val="de-DE"/>
        </w:rPr>
      </w:pPr>
    </w:p>
    <w:p w14:paraId="5A3F64D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7F56DEB" w14:textId="77777777" w:rsidR="008563F5" w:rsidRPr="008563F5" w:rsidRDefault="008563F5" w:rsidP="008563F5">
      <w:pPr>
        <w:tabs>
          <w:tab w:val="left" w:pos="851"/>
        </w:tabs>
        <w:ind w:left="851"/>
        <w:rPr>
          <w:sz w:val="24"/>
          <w:szCs w:val="24"/>
          <w:lang w:val="de-DE"/>
        </w:rPr>
      </w:pPr>
      <w:r w:rsidRPr="008563F5">
        <w:rPr>
          <w:sz w:val="24"/>
          <w:szCs w:val="24"/>
          <w:lang w:val="de-DE"/>
        </w:rPr>
        <w:t>Interaktioner forårsaget af hæmning af P-glykoproteinmedieret eller CYP-medieret clearance af lægemidler er ikke sandsynlige (se pkt. 5.2).</w:t>
      </w:r>
    </w:p>
    <w:p w14:paraId="3D868E56" w14:textId="77777777" w:rsidR="008563F5" w:rsidRPr="008563F5" w:rsidRDefault="008563F5" w:rsidP="008563F5">
      <w:pPr>
        <w:tabs>
          <w:tab w:val="left" w:pos="851"/>
        </w:tabs>
        <w:ind w:left="851"/>
        <w:rPr>
          <w:sz w:val="24"/>
          <w:szCs w:val="24"/>
          <w:lang w:val="de-DE"/>
        </w:rPr>
      </w:pPr>
    </w:p>
    <w:p w14:paraId="6E0F5B65" w14:textId="77777777" w:rsidR="008563F5" w:rsidRPr="008563F5" w:rsidRDefault="008563F5" w:rsidP="008563F5">
      <w:pPr>
        <w:tabs>
          <w:tab w:val="left" w:pos="851"/>
        </w:tabs>
        <w:ind w:left="851"/>
        <w:rPr>
          <w:sz w:val="24"/>
          <w:szCs w:val="24"/>
          <w:lang w:val="de-DE"/>
        </w:rPr>
      </w:pPr>
      <w:r w:rsidRPr="008563F5">
        <w:rPr>
          <w:sz w:val="24"/>
          <w:szCs w:val="24"/>
          <w:lang w:val="de-DE"/>
        </w:rPr>
        <w:t xml:space="preserve">Der er set fald i koncentrationen af valproinsyre, som kan falde til under det terapeutiske interval, når valproinsyre blev administreret sammen med lægemidler med carbapenem. Den lavere koncentration af valproinsyre kan føre til utilstrækkelig anfaldskontrol; derfor </w:t>
      </w:r>
      <w:r w:rsidRPr="008563F5">
        <w:rPr>
          <w:sz w:val="24"/>
          <w:szCs w:val="24"/>
          <w:lang w:val="de-DE"/>
        </w:rPr>
        <w:lastRenderedPageBreak/>
        <w:t>bør ertapenem ikke gives samtidig med valproinsyre/natriumvalproat, og alternativ antibakteriel eller antikonvulsiv behandling bør overvejes.</w:t>
      </w:r>
    </w:p>
    <w:p w14:paraId="62B4DC16" w14:textId="77777777" w:rsidR="009260DE" w:rsidRPr="008563F5" w:rsidRDefault="009260DE" w:rsidP="009260DE">
      <w:pPr>
        <w:tabs>
          <w:tab w:val="left" w:pos="851"/>
        </w:tabs>
        <w:ind w:left="851"/>
        <w:rPr>
          <w:sz w:val="24"/>
          <w:szCs w:val="24"/>
          <w:lang w:val="de-DE"/>
        </w:rPr>
      </w:pPr>
    </w:p>
    <w:p w14:paraId="4F6C184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9C59224" w14:textId="77777777" w:rsidR="008563F5" w:rsidRDefault="008563F5" w:rsidP="008563F5">
      <w:pPr>
        <w:tabs>
          <w:tab w:val="left" w:pos="851"/>
        </w:tabs>
        <w:ind w:left="851"/>
        <w:rPr>
          <w:sz w:val="24"/>
          <w:szCs w:val="24"/>
          <w:u w:val="single"/>
          <w:lang w:val="de-DE"/>
        </w:rPr>
      </w:pPr>
    </w:p>
    <w:p w14:paraId="2471E767" w14:textId="5DF13686" w:rsidR="008563F5" w:rsidRPr="008563F5" w:rsidRDefault="008563F5" w:rsidP="008563F5">
      <w:pPr>
        <w:tabs>
          <w:tab w:val="left" w:pos="851"/>
        </w:tabs>
        <w:ind w:left="851"/>
        <w:rPr>
          <w:sz w:val="24"/>
          <w:szCs w:val="24"/>
          <w:u w:val="single"/>
          <w:lang w:val="de-DE"/>
        </w:rPr>
      </w:pPr>
      <w:r w:rsidRPr="008563F5">
        <w:rPr>
          <w:sz w:val="24"/>
          <w:szCs w:val="24"/>
          <w:u w:val="single"/>
          <w:lang w:val="de-DE"/>
        </w:rPr>
        <w:t>Graviditet</w:t>
      </w:r>
    </w:p>
    <w:p w14:paraId="40C723EC" w14:textId="77777777" w:rsidR="008563F5" w:rsidRPr="008563F5" w:rsidRDefault="008563F5" w:rsidP="008563F5">
      <w:pPr>
        <w:tabs>
          <w:tab w:val="left" w:pos="851"/>
        </w:tabs>
        <w:ind w:left="851"/>
        <w:rPr>
          <w:sz w:val="24"/>
          <w:szCs w:val="24"/>
          <w:lang w:val="de-DE"/>
        </w:rPr>
      </w:pPr>
      <w:r w:rsidRPr="008563F5">
        <w:rPr>
          <w:sz w:val="24"/>
          <w:szCs w:val="24"/>
          <w:lang w:val="de-DE"/>
        </w:rPr>
        <w:t>Der er ikke udført tilstrækkelige og velkontrollerede studier med gravide kvinder. Dyreforsøg indikerer hverken direkte eller indirekte skadelige virkninger hvad angår graviditet, embryoføtal udvikling, fødselsforløb eller postnatal udvikling. Ertapenem bør dog ikke anvendes under graviditet, medmindre den potentielle fordel opvejer mulige risici for fostret.</w:t>
      </w:r>
    </w:p>
    <w:p w14:paraId="32B9F5D8" w14:textId="77777777" w:rsidR="008563F5" w:rsidRPr="008563F5" w:rsidRDefault="008563F5" w:rsidP="008563F5">
      <w:pPr>
        <w:tabs>
          <w:tab w:val="left" w:pos="851"/>
        </w:tabs>
        <w:ind w:left="851"/>
        <w:rPr>
          <w:sz w:val="24"/>
          <w:szCs w:val="24"/>
          <w:u w:val="single"/>
          <w:lang w:val="de-DE"/>
        </w:rPr>
      </w:pPr>
    </w:p>
    <w:p w14:paraId="23192288" w14:textId="77777777" w:rsidR="008563F5" w:rsidRPr="008563F5" w:rsidRDefault="008563F5" w:rsidP="008563F5">
      <w:pPr>
        <w:tabs>
          <w:tab w:val="left" w:pos="851"/>
        </w:tabs>
        <w:ind w:left="851"/>
        <w:rPr>
          <w:sz w:val="24"/>
          <w:szCs w:val="24"/>
          <w:u w:val="single"/>
          <w:lang w:val="de-DE"/>
        </w:rPr>
      </w:pPr>
      <w:r w:rsidRPr="008563F5">
        <w:rPr>
          <w:sz w:val="24"/>
          <w:szCs w:val="24"/>
          <w:u w:val="single"/>
          <w:lang w:val="de-DE"/>
        </w:rPr>
        <w:t>Amning</w:t>
      </w:r>
    </w:p>
    <w:p w14:paraId="164E84B0" w14:textId="77777777" w:rsidR="008563F5" w:rsidRPr="008563F5" w:rsidRDefault="008563F5" w:rsidP="008563F5">
      <w:pPr>
        <w:tabs>
          <w:tab w:val="left" w:pos="851"/>
        </w:tabs>
        <w:ind w:left="851"/>
        <w:rPr>
          <w:sz w:val="24"/>
          <w:szCs w:val="24"/>
          <w:lang w:val="de-DE"/>
        </w:rPr>
      </w:pPr>
      <w:r w:rsidRPr="008563F5">
        <w:rPr>
          <w:sz w:val="24"/>
          <w:szCs w:val="24"/>
          <w:lang w:val="de-DE"/>
        </w:rPr>
        <w:t>Ertapenem udskilles i human mælk. På grund af risiko for bivirkninger hos spædbørn bør mødre ikke amme, mens de er i behandling med ertapenem.</w:t>
      </w:r>
    </w:p>
    <w:p w14:paraId="5D452023" w14:textId="77777777" w:rsidR="008563F5" w:rsidRPr="008563F5" w:rsidRDefault="008563F5" w:rsidP="008563F5">
      <w:pPr>
        <w:tabs>
          <w:tab w:val="left" w:pos="851"/>
        </w:tabs>
        <w:ind w:left="851"/>
        <w:rPr>
          <w:sz w:val="24"/>
          <w:szCs w:val="24"/>
          <w:u w:val="single"/>
          <w:lang w:val="de-DE"/>
        </w:rPr>
      </w:pPr>
    </w:p>
    <w:p w14:paraId="3FEED481" w14:textId="77777777" w:rsidR="008563F5" w:rsidRPr="008563F5" w:rsidRDefault="008563F5" w:rsidP="008563F5">
      <w:pPr>
        <w:tabs>
          <w:tab w:val="left" w:pos="851"/>
        </w:tabs>
        <w:ind w:left="851"/>
        <w:rPr>
          <w:sz w:val="24"/>
          <w:szCs w:val="24"/>
          <w:u w:val="single"/>
          <w:lang w:val="de-DE"/>
        </w:rPr>
      </w:pPr>
      <w:r w:rsidRPr="008563F5">
        <w:rPr>
          <w:sz w:val="24"/>
          <w:szCs w:val="24"/>
          <w:u w:val="single"/>
          <w:lang w:val="de-DE"/>
        </w:rPr>
        <w:t>Fertilitet</w:t>
      </w:r>
    </w:p>
    <w:p w14:paraId="485B2105" w14:textId="77777777" w:rsidR="008563F5" w:rsidRPr="008563F5" w:rsidRDefault="008563F5" w:rsidP="008563F5">
      <w:pPr>
        <w:tabs>
          <w:tab w:val="left" w:pos="851"/>
        </w:tabs>
        <w:ind w:left="851"/>
        <w:rPr>
          <w:b/>
          <w:sz w:val="24"/>
          <w:szCs w:val="24"/>
          <w:lang w:val="de-DE"/>
        </w:rPr>
      </w:pPr>
      <w:r w:rsidRPr="008563F5">
        <w:rPr>
          <w:sz w:val="24"/>
          <w:szCs w:val="24"/>
          <w:lang w:val="de-DE"/>
        </w:rPr>
        <w:t>Der er ingen tilstrækkelige eller velkontrollerede studier vedrørende ertapenems virkning på fertiliteten hos mænd og kvinder. Non-kliniske studier indikerer hverken direkte eller indirekte skadelige virkninger hvad angår fertilitet (se pkt. 5.3).</w:t>
      </w:r>
    </w:p>
    <w:p w14:paraId="7D6B60B5" w14:textId="77777777" w:rsidR="009260DE" w:rsidRPr="008563F5" w:rsidRDefault="009260DE" w:rsidP="009260DE">
      <w:pPr>
        <w:tabs>
          <w:tab w:val="left" w:pos="851"/>
        </w:tabs>
        <w:ind w:left="851"/>
        <w:rPr>
          <w:sz w:val="24"/>
          <w:szCs w:val="24"/>
          <w:lang w:val="de-DE"/>
        </w:rPr>
      </w:pPr>
    </w:p>
    <w:p w14:paraId="1B69EE3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AD6549F" w14:textId="77777777" w:rsidR="008563F5" w:rsidRPr="008563F5" w:rsidRDefault="008563F5" w:rsidP="008563F5">
      <w:pPr>
        <w:tabs>
          <w:tab w:val="left" w:pos="851"/>
        </w:tabs>
        <w:ind w:left="851"/>
        <w:rPr>
          <w:sz w:val="24"/>
          <w:szCs w:val="24"/>
          <w:lang w:val="sv-SE"/>
        </w:rPr>
      </w:pPr>
      <w:r w:rsidRPr="008563F5">
        <w:rPr>
          <w:sz w:val="24"/>
          <w:szCs w:val="24"/>
          <w:lang w:val="sv-SE"/>
        </w:rPr>
        <w:t>Ikke mærkning.</w:t>
      </w:r>
    </w:p>
    <w:p w14:paraId="2B790E89" w14:textId="77777777" w:rsidR="008563F5" w:rsidRPr="008563F5" w:rsidRDefault="008563F5" w:rsidP="008563F5">
      <w:pPr>
        <w:tabs>
          <w:tab w:val="left" w:pos="851"/>
        </w:tabs>
        <w:ind w:left="851"/>
        <w:rPr>
          <w:sz w:val="24"/>
          <w:szCs w:val="24"/>
          <w:lang w:val="sv-SE"/>
        </w:rPr>
      </w:pPr>
      <w:r w:rsidRPr="008563F5">
        <w:rPr>
          <w:sz w:val="24"/>
          <w:szCs w:val="24"/>
          <w:lang w:val="sv-SE"/>
        </w:rPr>
        <w:t>Der er ikke foretaget studier af virkningen på evnen til at føre motorkøretøj og betjene maskiner.</w:t>
      </w:r>
    </w:p>
    <w:p w14:paraId="5E2F6F24" w14:textId="77777777" w:rsidR="008563F5" w:rsidRPr="008563F5" w:rsidRDefault="008563F5" w:rsidP="008563F5">
      <w:pPr>
        <w:tabs>
          <w:tab w:val="left" w:pos="851"/>
        </w:tabs>
        <w:ind w:left="851"/>
        <w:rPr>
          <w:sz w:val="24"/>
          <w:szCs w:val="24"/>
          <w:lang w:val="sv-SE"/>
        </w:rPr>
      </w:pPr>
    </w:p>
    <w:p w14:paraId="5CC79BF5" w14:textId="77777777" w:rsidR="008563F5" w:rsidRPr="008563F5" w:rsidRDefault="008563F5" w:rsidP="008563F5">
      <w:pPr>
        <w:tabs>
          <w:tab w:val="left" w:pos="851"/>
        </w:tabs>
        <w:ind w:left="851"/>
        <w:rPr>
          <w:sz w:val="24"/>
          <w:szCs w:val="24"/>
          <w:lang w:val="sv-SE"/>
        </w:rPr>
      </w:pPr>
      <w:r w:rsidRPr="008563F5">
        <w:rPr>
          <w:sz w:val="24"/>
          <w:szCs w:val="24"/>
          <w:lang w:val="sv-SE"/>
        </w:rPr>
        <w:t>Ertapenem "Steriscience" kan påvirke patientens evne til at føre motorkøretøj og/eller betjene maskiner. Patienter bør informeres om, at der er rapporteret om svimmelhed og søvnighed i forbindelse med brug af Ertapenem "Steriscience" (se pkt. 4.8).</w:t>
      </w:r>
    </w:p>
    <w:p w14:paraId="495C093C" w14:textId="77777777" w:rsidR="009260DE" w:rsidRPr="008563F5" w:rsidRDefault="009260DE" w:rsidP="009260DE">
      <w:pPr>
        <w:tabs>
          <w:tab w:val="left" w:pos="851"/>
        </w:tabs>
        <w:ind w:left="851"/>
        <w:rPr>
          <w:sz w:val="24"/>
          <w:szCs w:val="24"/>
          <w:lang w:val="sv-SE"/>
        </w:rPr>
      </w:pPr>
    </w:p>
    <w:p w14:paraId="6ADB167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7EBA482" w14:textId="77777777" w:rsidR="008563F5" w:rsidRPr="008563F5" w:rsidRDefault="008563F5" w:rsidP="008563F5">
      <w:pPr>
        <w:ind w:left="851"/>
        <w:rPr>
          <w:sz w:val="24"/>
          <w:szCs w:val="24"/>
        </w:rPr>
      </w:pPr>
    </w:p>
    <w:p w14:paraId="7612B92F" w14:textId="77777777" w:rsidR="008563F5" w:rsidRPr="008563F5" w:rsidRDefault="008563F5" w:rsidP="008563F5">
      <w:pPr>
        <w:ind w:left="851"/>
        <w:rPr>
          <w:sz w:val="24"/>
          <w:szCs w:val="24"/>
          <w:u w:val="single"/>
        </w:rPr>
      </w:pPr>
      <w:r w:rsidRPr="008563F5">
        <w:rPr>
          <w:sz w:val="24"/>
          <w:szCs w:val="24"/>
          <w:u w:val="single"/>
        </w:rPr>
        <w:t>Opsummering af sikkerhedsprofilen</w:t>
      </w:r>
    </w:p>
    <w:p w14:paraId="4757357D" w14:textId="77777777" w:rsidR="008563F5" w:rsidRPr="008563F5" w:rsidRDefault="008563F5" w:rsidP="008563F5">
      <w:pPr>
        <w:ind w:left="851"/>
        <w:rPr>
          <w:sz w:val="24"/>
          <w:szCs w:val="24"/>
          <w:u w:val="single"/>
        </w:rPr>
      </w:pPr>
    </w:p>
    <w:p w14:paraId="77ABC829" w14:textId="77777777" w:rsidR="008563F5" w:rsidRPr="008563F5" w:rsidRDefault="008563F5" w:rsidP="008563F5">
      <w:pPr>
        <w:ind w:left="851"/>
        <w:rPr>
          <w:i/>
          <w:iCs/>
          <w:sz w:val="24"/>
          <w:szCs w:val="24"/>
        </w:rPr>
      </w:pPr>
      <w:r w:rsidRPr="008563F5">
        <w:rPr>
          <w:i/>
          <w:iCs/>
          <w:sz w:val="24"/>
          <w:szCs w:val="24"/>
        </w:rPr>
        <w:t>Voksne</w:t>
      </w:r>
    </w:p>
    <w:p w14:paraId="142ABF3D" w14:textId="77777777" w:rsidR="008563F5" w:rsidRPr="008563F5" w:rsidRDefault="008563F5" w:rsidP="008563F5">
      <w:pPr>
        <w:ind w:left="851"/>
        <w:rPr>
          <w:sz w:val="24"/>
          <w:szCs w:val="24"/>
          <w:lang w:val="de-DE"/>
        </w:rPr>
      </w:pPr>
      <w:r w:rsidRPr="008563F5">
        <w:rPr>
          <w:sz w:val="24"/>
          <w:szCs w:val="24"/>
          <w:lang w:val="sv-SE"/>
        </w:rPr>
        <w:t xml:space="preserve">Det samlede antal patienter behandlet med ertapenem i kliniske studier var over 2.200 og ud af disse modtog flere end 2.150 en dosis på 1 g ertapenem. Der blev indberettet bivirkninger (dvs. af  investigator betragtet som muligvis, sandsynligvis eller afgjort relateret til lægemidlet) hos ca. 20 % af patienterne behandlet med ertapenem. </w:t>
      </w:r>
      <w:r w:rsidRPr="008563F5">
        <w:rPr>
          <w:sz w:val="24"/>
          <w:szCs w:val="24"/>
          <w:lang w:val="de-DE"/>
        </w:rPr>
        <w:t>Behandling blev seponeret på grund af bivirkninger hos 1,3 % af patienterne. I et klinisk studie fik yderligere 476 patienter ertapenem som en enkelt 1 g dosis før operation som profylakse for infektioner på operationssted efter kolorektal operation.</w:t>
      </w:r>
    </w:p>
    <w:p w14:paraId="46F741D4" w14:textId="77777777" w:rsidR="008563F5" w:rsidRPr="008563F5" w:rsidRDefault="008563F5" w:rsidP="008563F5">
      <w:pPr>
        <w:ind w:left="851"/>
        <w:rPr>
          <w:sz w:val="24"/>
          <w:szCs w:val="24"/>
          <w:lang w:val="de-DE"/>
        </w:rPr>
      </w:pPr>
    </w:p>
    <w:p w14:paraId="16A54479" w14:textId="437EEDD3" w:rsidR="008563F5" w:rsidRPr="008563F5" w:rsidRDefault="008563F5" w:rsidP="008563F5">
      <w:pPr>
        <w:ind w:left="851"/>
        <w:rPr>
          <w:sz w:val="24"/>
          <w:szCs w:val="24"/>
          <w:lang w:val="de-DE"/>
        </w:rPr>
      </w:pPr>
      <w:r w:rsidRPr="008563F5">
        <w:rPr>
          <w:sz w:val="24"/>
          <w:szCs w:val="24"/>
          <w:lang w:val="de-DE"/>
        </w:rPr>
        <w:t xml:space="preserve">Hos patienter, der udelukkende fik </w:t>
      </w:r>
      <w:r w:rsidR="005B2212">
        <w:rPr>
          <w:sz w:val="24"/>
          <w:szCs w:val="24"/>
          <w:lang w:val="de-DE"/>
        </w:rPr>
        <w:t>e</w:t>
      </w:r>
      <w:r w:rsidRPr="008563F5">
        <w:rPr>
          <w:sz w:val="24"/>
          <w:szCs w:val="24"/>
          <w:lang w:val="de-DE"/>
        </w:rPr>
        <w:t>rtapenem, var de hyppigst rapporterede bivirkninger i løbet af behandling plus en 14 dages follow-up efter behandlingen blev seponeret: diarré (4,8 %), infusionsvenekomplikationer (4,5 %) og kvalme (2,8 %).</w:t>
      </w:r>
    </w:p>
    <w:p w14:paraId="5D40A35B" w14:textId="08A954EC" w:rsidR="008563F5" w:rsidRDefault="008563F5" w:rsidP="008563F5">
      <w:pPr>
        <w:ind w:left="851"/>
        <w:rPr>
          <w:sz w:val="24"/>
          <w:szCs w:val="24"/>
          <w:lang w:val="de-DE"/>
        </w:rPr>
      </w:pPr>
      <w:r w:rsidRPr="008563F5">
        <w:rPr>
          <w:sz w:val="24"/>
          <w:szCs w:val="24"/>
          <w:lang w:val="de-DE"/>
        </w:rPr>
        <w:t xml:space="preserve">Hos patienter, der udelukkende fik </w:t>
      </w:r>
      <w:r w:rsidR="005B2212">
        <w:rPr>
          <w:sz w:val="24"/>
          <w:szCs w:val="24"/>
          <w:lang w:val="de-DE"/>
        </w:rPr>
        <w:t>e</w:t>
      </w:r>
      <w:r w:rsidRPr="008563F5">
        <w:rPr>
          <w:sz w:val="24"/>
          <w:szCs w:val="24"/>
          <w:lang w:val="de-DE"/>
        </w:rPr>
        <w:t>rtapenem, var de hyppigst rapporterede laboratoriemæssige uregelmæssigheder og deres respektive forekomst under behandlingen samt 14 dages follow-up efter behandlingen blev seponeret: Forhøjet ALAT (4,6 %), ASAT (4,6 %), alkalisk fosfatase (3,8 %) og trombocyttal (3,0 %).</w:t>
      </w:r>
    </w:p>
    <w:p w14:paraId="4C1C48B5" w14:textId="77777777" w:rsidR="008563F5" w:rsidRPr="008563F5" w:rsidRDefault="008563F5" w:rsidP="008563F5">
      <w:pPr>
        <w:ind w:left="851"/>
        <w:rPr>
          <w:sz w:val="24"/>
          <w:szCs w:val="24"/>
          <w:lang w:val="de-DE"/>
        </w:rPr>
      </w:pPr>
    </w:p>
    <w:p w14:paraId="13C7CC41" w14:textId="741E2C4E" w:rsidR="008563F5" w:rsidRPr="008563F5" w:rsidRDefault="008563F5" w:rsidP="008563F5">
      <w:pPr>
        <w:ind w:left="851"/>
        <w:rPr>
          <w:i/>
          <w:iCs/>
          <w:sz w:val="24"/>
          <w:szCs w:val="24"/>
          <w:lang w:val="de-DE"/>
        </w:rPr>
      </w:pPr>
      <w:r w:rsidRPr="008563F5">
        <w:rPr>
          <w:i/>
          <w:iCs/>
          <w:sz w:val="24"/>
          <w:szCs w:val="24"/>
          <w:lang w:val="de-DE"/>
        </w:rPr>
        <w:lastRenderedPageBreak/>
        <w:t>Pædiatrisk population (i alderen 3 måneder til 17 år)</w:t>
      </w:r>
    </w:p>
    <w:p w14:paraId="72F38631" w14:textId="77777777" w:rsidR="008563F5" w:rsidRPr="008563F5" w:rsidRDefault="008563F5" w:rsidP="008563F5">
      <w:pPr>
        <w:ind w:left="851"/>
        <w:rPr>
          <w:sz w:val="24"/>
          <w:szCs w:val="24"/>
          <w:lang w:val="de-DE"/>
        </w:rPr>
      </w:pPr>
      <w:r w:rsidRPr="008563F5">
        <w:rPr>
          <w:sz w:val="24"/>
          <w:szCs w:val="24"/>
          <w:lang w:val="de-DE"/>
        </w:rPr>
        <w:t>Det totale antal patienter behandlet med ertapenem i kliniske studier var 384. Den samlede sikkerhedsprofil er sammenlignelig med den for voksne patienter. Bivirkninger (dvs. af investigator anset for at være muligvis, sandsynligvis eller afgjort lægemiddelrelateret) blev rapporteret hos ca. 20,8 % af de patienter, der blev behandlet med ertapenem. Behandlingen blev seponeret hos 0,5 % af patienterne pga. bivirkninger.</w:t>
      </w:r>
    </w:p>
    <w:p w14:paraId="037008EE" w14:textId="06281C93" w:rsidR="008563F5" w:rsidRPr="008563F5" w:rsidRDefault="008563F5" w:rsidP="008563F5">
      <w:pPr>
        <w:ind w:left="851"/>
        <w:rPr>
          <w:sz w:val="24"/>
          <w:szCs w:val="24"/>
          <w:lang w:val="de-DE"/>
        </w:rPr>
      </w:pPr>
      <w:r w:rsidRPr="008563F5">
        <w:rPr>
          <w:sz w:val="24"/>
          <w:szCs w:val="24"/>
          <w:lang w:val="de-DE"/>
        </w:rPr>
        <w:t xml:space="preserve">Hos patienter, der kun fik </w:t>
      </w:r>
      <w:r w:rsidR="005B2212">
        <w:rPr>
          <w:sz w:val="24"/>
          <w:szCs w:val="24"/>
          <w:lang w:val="de-DE"/>
        </w:rPr>
        <w:t>e</w:t>
      </w:r>
      <w:r w:rsidRPr="008563F5">
        <w:rPr>
          <w:sz w:val="24"/>
          <w:szCs w:val="24"/>
          <w:lang w:val="de-DE"/>
        </w:rPr>
        <w:t>rtapenem, var de hyppigste bivirkninger under behandling samt 14 dages follow-up efter behandlingen seponeredes: diarré (5,2 %) og smerte ved infusionsstedet (6,1 %).</w:t>
      </w:r>
    </w:p>
    <w:p w14:paraId="7C134123" w14:textId="5E9099F0" w:rsidR="008563F5" w:rsidRDefault="008563F5" w:rsidP="008563F5">
      <w:pPr>
        <w:ind w:left="851"/>
        <w:rPr>
          <w:sz w:val="24"/>
          <w:szCs w:val="24"/>
          <w:lang w:val="de-DE"/>
        </w:rPr>
      </w:pPr>
      <w:r w:rsidRPr="008563F5">
        <w:rPr>
          <w:sz w:val="24"/>
          <w:szCs w:val="24"/>
          <w:lang w:val="de-DE"/>
        </w:rPr>
        <w:t xml:space="preserve">Hos patienter, der udelukkende fik </w:t>
      </w:r>
      <w:r w:rsidR="005B2212">
        <w:rPr>
          <w:sz w:val="24"/>
          <w:szCs w:val="24"/>
          <w:lang w:val="de-DE"/>
        </w:rPr>
        <w:t>e</w:t>
      </w:r>
      <w:r w:rsidRPr="008563F5">
        <w:rPr>
          <w:sz w:val="24"/>
          <w:szCs w:val="24"/>
          <w:lang w:val="de-DE"/>
        </w:rPr>
        <w:t>rtapenem, var de hyppigst rapporterede laboratoriemæssige uregelmæssigheder og deres respektive forekomst under behandlingen samt 14 dages follow-up efter behandlingen blev seponeret: Nedsat neutrofiltal (3,0 %) og forhøjet ALAT (2,9 %) og ASAT (2,8 %).</w:t>
      </w:r>
    </w:p>
    <w:p w14:paraId="172DD311" w14:textId="77777777" w:rsidR="007E2226" w:rsidRPr="008563F5" w:rsidRDefault="007E2226" w:rsidP="008563F5">
      <w:pPr>
        <w:ind w:left="851"/>
        <w:rPr>
          <w:sz w:val="24"/>
          <w:szCs w:val="24"/>
          <w:lang w:val="de-DE"/>
        </w:rPr>
      </w:pPr>
    </w:p>
    <w:p w14:paraId="09B6E224" w14:textId="77777777" w:rsidR="008563F5" w:rsidRPr="008563F5" w:rsidRDefault="008563F5" w:rsidP="008563F5">
      <w:pPr>
        <w:ind w:left="851"/>
        <w:rPr>
          <w:sz w:val="24"/>
          <w:szCs w:val="24"/>
          <w:u w:val="single"/>
          <w:lang w:val="de-DE"/>
        </w:rPr>
      </w:pPr>
      <w:r w:rsidRPr="008563F5">
        <w:rPr>
          <w:sz w:val="24"/>
          <w:szCs w:val="24"/>
          <w:u w:val="single"/>
          <w:lang w:val="de-DE"/>
        </w:rPr>
        <w:t>Bivirkningstabel</w:t>
      </w:r>
    </w:p>
    <w:p w14:paraId="480E2D75" w14:textId="08F678F7" w:rsidR="008563F5" w:rsidRPr="008563F5" w:rsidRDefault="008563F5" w:rsidP="008563F5">
      <w:pPr>
        <w:ind w:left="851"/>
        <w:rPr>
          <w:sz w:val="24"/>
          <w:szCs w:val="24"/>
          <w:lang w:val="de-DE"/>
        </w:rPr>
      </w:pPr>
      <w:r w:rsidRPr="008563F5">
        <w:rPr>
          <w:sz w:val="24"/>
          <w:szCs w:val="24"/>
          <w:lang w:val="de-DE"/>
        </w:rPr>
        <w:t xml:space="preserve">Hos patienter, der udelukkende fik </w:t>
      </w:r>
      <w:r w:rsidR="005B2212">
        <w:rPr>
          <w:sz w:val="24"/>
          <w:szCs w:val="24"/>
          <w:lang w:val="de-DE"/>
        </w:rPr>
        <w:t>e</w:t>
      </w:r>
      <w:r w:rsidRPr="008563F5">
        <w:rPr>
          <w:sz w:val="24"/>
          <w:szCs w:val="24"/>
          <w:lang w:val="de-DE"/>
        </w:rPr>
        <w:t>rtapenem</w:t>
      </w:r>
      <w:r w:rsidR="005B2212">
        <w:rPr>
          <w:sz w:val="24"/>
          <w:szCs w:val="24"/>
          <w:lang w:val="de-DE"/>
        </w:rPr>
        <w:t xml:space="preserve">, </w:t>
      </w:r>
      <w:r w:rsidRPr="008563F5">
        <w:rPr>
          <w:sz w:val="24"/>
          <w:szCs w:val="24"/>
          <w:lang w:val="de-DE"/>
        </w:rPr>
        <w:t>blev følgende bivirkninger rapporteret i løbet af behandlingen plus en 14 dages follow-up efter behandlingen blev seponeret:</w:t>
      </w:r>
    </w:p>
    <w:p w14:paraId="62F2CC0D" w14:textId="5406EB12" w:rsidR="008563F5" w:rsidRDefault="008563F5" w:rsidP="008563F5">
      <w:pPr>
        <w:ind w:left="851"/>
        <w:rPr>
          <w:sz w:val="24"/>
          <w:szCs w:val="24"/>
          <w:lang w:val="de-DE"/>
        </w:rPr>
      </w:pPr>
      <w:r w:rsidRPr="008563F5">
        <w:rPr>
          <w:sz w:val="24"/>
          <w:szCs w:val="24"/>
          <w:lang w:val="de-DE"/>
        </w:rPr>
        <w:t>Almindelig (≥1/100 til &lt;1/10); Ikke almindelig (≥ 1/1.000 til &lt;1/100); Sjælden (≥1/10.000 til &lt;1/1.000); Meget sjælden (&lt;1/10.000), Ikke kendt (kan ikke estimeres ud fra forhåndenværende data).</w:t>
      </w:r>
    </w:p>
    <w:p w14:paraId="2874FEB6" w14:textId="77777777" w:rsidR="007E2226" w:rsidRPr="008563F5" w:rsidRDefault="007E2226" w:rsidP="008563F5">
      <w:pPr>
        <w:ind w:left="851"/>
        <w:rPr>
          <w:sz w:val="24"/>
          <w:szCs w:val="24"/>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6"/>
        <w:gridCol w:w="3616"/>
        <w:gridCol w:w="3306"/>
      </w:tblGrid>
      <w:tr w:rsidR="008563F5" w14:paraId="2EFB44D4" w14:textId="77777777" w:rsidTr="008563F5">
        <w:trPr>
          <w:trHeight w:val="506"/>
          <w:tblHeader/>
        </w:trPr>
        <w:tc>
          <w:tcPr>
            <w:tcW w:w="1405" w:type="pct"/>
            <w:tcBorders>
              <w:top w:val="single" w:sz="4" w:space="0" w:color="000000"/>
              <w:left w:val="single" w:sz="4" w:space="0" w:color="000000"/>
              <w:bottom w:val="single" w:sz="4" w:space="0" w:color="000000"/>
              <w:right w:val="single" w:sz="4" w:space="0" w:color="000000"/>
            </w:tcBorders>
            <w:vAlign w:val="center"/>
          </w:tcPr>
          <w:p w14:paraId="178AF3CE" w14:textId="77777777" w:rsidR="008563F5" w:rsidRDefault="008563F5">
            <w:pPr>
              <w:rPr>
                <w:b/>
                <w:bCs/>
                <w:lang w:val="de-DE"/>
              </w:rPr>
            </w:pP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48B7DA96" w14:textId="77777777" w:rsidR="008563F5" w:rsidRDefault="008563F5">
            <w:pPr>
              <w:jc w:val="center"/>
              <w:rPr>
                <w:b/>
                <w:bCs/>
                <w:lang w:val="sv-SE"/>
              </w:rPr>
            </w:pPr>
            <w:r>
              <w:rPr>
                <w:b/>
                <w:bCs/>
                <w:lang w:val="sv-SE"/>
              </w:rPr>
              <w:t>Voksne (i alderen 18 år og derover)</w:t>
            </w:r>
          </w:p>
        </w:tc>
        <w:tc>
          <w:tcPr>
            <w:tcW w:w="1717" w:type="pct"/>
            <w:tcBorders>
              <w:top w:val="single" w:sz="4" w:space="0" w:color="000000"/>
              <w:left w:val="single" w:sz="4" w:space="0" w:color="000000"/>
              <w:bottom w:val="single" w:sz="4" w:space="0" w:color="000000"/>
              <w:right w:val="single" w:sz="4" w:space="0" w:color="000000"/>
            </w:tcBorders>
            <w:vAlign w:val="center"/>
            <w:hideMark/>
          </w:tcPr>
          <w:p w14:paraId="50498189" w14:textId="77777777" w:rsidR="008563F5" w:rsidRDefault="008563F5">
            <w:pPr>
              <w:jc w:val="center"/>
              <w:rPr>
                <w:b/>
                <w:bCs/>
                <w:lang w:val="de-DE"/>
              </w:rPr>
            </w:pPr>
            <w:r>
              <w:rPr>
                <w:b/>
                <w:bCs/>
                <w:lang w:val="de-DE"/>
              </w:rPr>
              <w:t>Børn og unge (i alderen 3 måneder til 17 år)</w:t>
            </w:r>
          </w:p>
        </w:tc>
      </w:tr>
      <w:tr w:rsidR="008563F5" w14:paraId="011F2CAA" w14:textId="77777777" w:rsidTr="008563F5">
        <w:trPr>
          <w:trHeight w:val="202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788C4D9B" w14:textId="77777777" w:rsidR="008563F5" w:rsidRDefault="008563F5">
            <w:pPr>
              <w:rPr>
                <w:lang w:val="en-GB"/>
              </w:rPr>
            </w:pPr>
            <w:r>
              <w:t>Infektioner og parasitære sygdomme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398A3649" w14:textId="77777777" w:rsidR="008563F5" w:rsidRDefault="008563F5">
            <w:pPr>
              <w:spacing w:line="276" w:lineRule="auto"/>
              <w:ind w:left="144"/>
              <w:rPr>
                <w:i/>
                <w:iCs/>
              </w:rPr>
            </w:pPr>
            <w:r>
              <w:rPr>
                <w:i/>
                <w:iCs/>
              </w:rPr>
              <w:t xml:space="preserve">Ikke almindelig: </w:t>
            </w:r>
            <w:r>
              <w:t>Oral candidiasis, candidiasis, svampeinfektion, pseudomembranøs enterocolitis, vaginitis</w:t>
            </w:r>
            <w:r>
              <w:rPr>
                <w:i/>
                <w:iCs/>
              </w:rPr>
              <w:t xml:space="preserve"> </w:t>
            </w:r>
          </w:p>
          <w:p w14:paraId="0651557B" w14:textId="77777777" w:rsidR="008563F5" w:rsidRDefault="008563F5">
            <w:pPr>
              <w:spacing w:line="276" w:lineRule="auto"/>
              <w:ind w:left="144"/>
              <w:rPr>
                <w:lang w:val="de-DE"/>
              </w:rPr>
            </w:pPr>
            <w:r>
              <w:rPr>
                <w:i/>
                <w:iCs/>
                <w:lang w:val="de-DE"/>
              </w:rPr>
              <w:t xml:space="preserve">Sjælden: </w:t>
            </w:r>
            <w:r>
              <w:rPr>
                <w:lang w:val="de-DE"/>
              </w:rPr>
              <w:t>Pneumoni, dermatomykose, postoperativ sårinfektion, urinvejsinfektion</w:t>
            </w:r>
          </w:p>
        </w:tc>
        <w:tc>
          <w:tcPr>
            <w:tcW w:w="1717" w:type="pct"/>
            <w:tcBorders>
              <w:top w:val="single" w:sz="4" w:space="0" w:color="000000"/>
              <w:left w:val="single" w:sz="4" w:space="0" w:color="000000"/>
              <w:bottom w:val="single" w:sz="4" w:space="0" w:color="000000"/>
              <w:right w:val="single" w:sz="4" w:space="0" w:color="000000"/>
            </w:tcBorders>
            <w:vAlign w:val="center"/>
          </w:tcPr>
          <w:p w14:paraId="794903AE" w14:textId="77777777" w:rsidR="008563F5" w:rsidRDefault="008563F5">
            <w:pPr>
              <w:rPr>
                <w:lang w:val="de-DE"/>
              </w:rPr>
            </w:pPr>
          </w:p>
        </w:tc>
      </w:tr>
      <w:tr w:rsidR="008563F5" w14:paraId="52F55EB2" w14:textId="77777777" w:rsidTr="008563F5">
        <w:trPr>
          <w:trHeight w:val="506"/>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4013260" w14:textId="77777777" w:rsidR="008563F5" w:rsidRDefault="008563F5">
            <w:pPr>
              <w:rPr>
                <w:lang w:val="en-GB"/>
              </w:rPr>
            </w:pPr>
            <w:r>
              <w:t>Blod og lymfesystem</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5CF664B1" w14:textId="77777777" w:rsidR="008563F5" w:rsidRDefault="008563F5">
            <w:pPr>
              <w:ind w:left="144"/>
            </w:pPr>
            <w:r>
              <w:rPr>
                <w:i/>
                <w:iCs/>
              </w:rPr>
              <w:t xml:space="preserve">Sjælden: </w:t>
            </w:r>
            <w:r>
              <w:t>Neutropeni, trombocytopeni</w:t>
            </w:r>
          </w:p>
        </w:tc>
        <w:tc>
          <w:tcPr>
            <w:tcW w:w="1717" w:type="pct"/>
            <w:tcBorders>
              <w:top w:val="single" w:sz="4" w:space="0" w:color="000000"/>
              <w:left w:val="single" w:sz="4" w:space="0" w:color="000000"/>
              <w:bottom w:val="single" w:sz="4" w:space="0" w:color="000000"/>
              <w:right w:val="single" w:sz="4" w:space="0" w:color="000000"/>
            </w:tcBorders>
            <w:vAlign w:val="center"/>
          </w:tcPr>
          <w:p w14:paraId="7381BB25" w14:textId="77777777" w:rsidR="008563F5" w:rsidRDefault="008563F5"/>
        </w:tc>
      </w:tr>
      <w:tr w:rsidR="008563F5" w14:paraId="4217DE65" w14:textId="77777777" w:rsidTr="008563F5">
        <w:trPr>
          <w:trHeight w:val="755"/>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A3EAE01" w14:textId="77777777" w:rsidR="008563F5" w:rsidRDefault="008563F5">
            <w:r>
              <w:t>Immunsystemet</w:t>
            </w:r>
          </w:p>
        </w:tc>
        <w:tc>
          <w:tcPr>
            <w:tcW w:w="1878" w:type="pct"/>
            <w:tcBorders>
              <w:top w:val="single" w:sz="4" w:space="0" w:color="000000"/>
              <w:left w:val="single" w:sz="4" w:space="0" w:color="000000"/>
              <w:bottom w:val="single" w:sz="4" w:space="0" w:color="000000"/>
              <w:right w:val="single" w:sz="4" w:space="0" w:color="000000"/>
            </w:tcBorders>
            <w:hideMark/>
          </w:tcPr>
          <w:p w14:paraId="41A61FF3" w14:textId="77777777" w:rsidR="008563F5" w:rsidRDefault="008563F5">
            <w:pPr>
              <w:spacing w:line="276" w:lineRule="auto"/>
              <w:ind w:left="144"/>
              <w:rPr>
                <w:i/>
                <w:iCs/>
                <w:lang w:val="de-DE"/>
              </w:rPr>
            </w:pPr>
            <w:r>
              <w:rPr>
                <w:i/>
                <w:iCs/>
                <w:lang w:val="de-DE"/>
              </w:rPr>
              <w:t xml:space="preserve">Sjælden: </w:t>
            </w:r>
            <w:r>
              <w:rPr>
                <w:lang w:val="de-DE"/>
              </w:rPr>
              <w:t>Allergi</w:t>
            </w:r>
            <w:r>
              <w:rPr>
                <w:i/>
                <w:iCs/>
                <w:lang w:val="de-DE"/>
              </w:rPr>
              <w:t xml:space="preserve"> </w:t>
            </w:r>
          </w:p>
          <w:p w14:paraId="1D2480FA" w14:textId="77777777" w:rsidR="008563F5" w:rsidRDefault="008563F5">
            <w:pPr>
              <w:spacing w:line="276" w:lineRule="auto"/>
              <w:ind w:left="144"/>
              <w:rPr>
                <w:lang w:val="de-DE"/>
              </w:rPr>
            </w:pPr>
            <w:r>
              <w:rPr>
                <w:i/>
                <w:iCs/>
                <w:lang w:val="de-DE"/>
              </w:rPr>
              <w:t xml:space="preserve">Ikke kendt: </w:t>
            </w:r>
            <w:r>
              <w:rPr>
                <w:lang w:val="de-DE"/>
              </w:rPr>
              <w:t>Anafylaksi inklusive anafylaktiske reaktioner</w:t>
            </w:r>
          </w:p>
        </w:tc>
        <w:tc>
          <w:tcPr>
            <w:tcW w:w="1717" w:type="pct"/>
            <w:tcBorders>
              <w:top w:val="single" w:sz="4" w:space="0" w:color="000000"/>
              <w:left w:val="single" w:sz="4" w:space="0" w:color="000000"/>
              <w:bottom w:val="single" w:sz="4" w:space="0" w:color="000000"/>
              <w:right w:val="single" w:sz="4" w:space="0" w:color="000000"/>
            </w:tcBorders>
          </w:tcPr>
          <w:p w14:paraId="1C74A62D" w14:textId="77777777" w:rsidR="008563F5" w:rsidRDefault="008563F5">
            <w:pPr>
              <w:rPr>
                <w:lang w:val="de-DE"/>
              </w:rPr>
            </w:pPr>
          </w:p>
        </w:tc>
      </w:tr>
      <w:tr w:rsidR="008563F5" w14:paraId="559C213F" w14:textId="77777777" w:rsidTr="008563F5">
        <w:trPr>
          <w:trHeight w:val="506"/>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8BB9E90" w14:textId="77777777" w:rsidR="008563F5" w:rsidRDefault="008563F5">
            <w:pPr>
              <w:rPr>
                <w:lang w:val="en-GB"/>
              </w:rPr>
            </w:pPr>
            <w:r>
              <w:t>Metabolisme og ernæring</w:t>
            </w:r>
          </w:p>
        </w:tc>
        <w:tc>
          <w:tcPr>
            <w:tcW w:w="1878" w:type="pct"/>
            <w:tcBorders>
              <w:top w:val="single" w:sz="4" w:space="0" w:color="000000"/>
              <w:left w:val="single" w:sz="4" w:space="0" w:color="000000"/>
              <w:bottom w:val="single" w:sz="4" w:space="0" w:color="000000"/>
              <w:right w:val="single" w:sz="4" w:space="0" w:color="000000"/>
            </w:tcBorders>
            <w:hideMark/>
          </w:tcPr>
          <w:p w14:paraId="40BEB3EF" w14:textId="77777777" w:rsidR="008563F5" w:rsidRDefault="008563F5">
            <w:pPr>
              <w:spacing w:line="276" w:lineRule="auto"/>
              <w:ind w:left="144"/>
              <w:rPr>
                <w:i/>
                <w:iCs/>
              </w:rPr>
            </w:pPr>
            <w:r>
              <w:rPr>
                <w:i/>
                <w:iCs/>
              </w:rPr>
              <w:t xml:space="preserve">Ikke almindelig: </w:t>
            </w:r>
            <w:r>
              <w:t>Anoreksi</w:t>
            </w:r>
            <w:r>
              <w:rPr>
                <w:i/>
                <w:iCs/>
              </w:rPr>
              <w:t xml:space="preserve"> </w:t>
            </w:r>
          </w:p>
          <w:p w14:paraId="6F09A573" w14:textId="77777777" w:rsidR="008563F5" w:rsidRDefault="008563F5">
            <w:pPr>
              <w:spacing w:line="276" w:lineRule="auto"/>
              <w:ind w:left="144"/>
            </w:pPr>
            <w:r>
              <w:rPr>
                <w:i/>
                <w:iCs/>
              </w:rPr>
              <w:t xml:space="preserve">Sjælden: </w:t>
            </w:r>
            <w:r>
              <w:t>Hypoglykæmi</w:t>
            </w:r>
          </w:p>
        </w:tc>
        <w:tc>
          <w:tcPr>
            <w:tcW w:w="1717" w:type="pct"/>
            <w:tcBorders>
              <w:top w:val="single" w:sz="4" w:space="0" w:color="000000"/>
              <w:left w:val="single" w:sz="4" w:space="0" w:color="000000"/>
              <w:bottom w:val="single" w:sz="4" w:space="0" w:color="000000"/>
              <w:right w:val="single" w:sz="4" w:space="0" w:color="000000"/>
            </w:tcBorders>
          </w:tcPr>
          <w:p w14:paraId="601D0D82" w14:textId="77777777" w:rsidR="008563F5" w:rsidRDefault="008563F5"/>
        </w:tc>
      </w:tr>
      <w:tr w:rsidR="008563F5" w14:paraId="43135F72" w14:textId="77777777" w:rsidTr="008563F5">
        <w:trPr>
          <w:trHeight w:val="177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61B452BD" w14:textId="77777777" w:rsidR="008563F5" w:rsidRDefault="008563F5">
            <w:pPr>
              <w:rPr>
                <w:lang w:val="en-GB"/>
              </w:rPr>
            </w:pPr>
            <w:r>
              <w:t>Psykiske forstyrrelser</w:t>
            </w:r>
          </w:p>
        </w:tc>
        <w:tc>
          <w:tcPr>
            <w:tcW w:w="1878" w:type="pct"/>
            <w:tcBorders>
              <w:top w:val="single" w:sz="4" w:space="0" w:color="000000"/>
              <w:left w:val="single" w:sz="4" w:space="0" w:color="000000"/>
              <w:bottom w:val="single" w:sz="4" w:space="0" w:color="000000"/>
              <w:right w:val="single" w:sz="4" w:space="0" w:color="000000"/>
            </w:tcBorders>
            <w:hideMark/>
          </w:tcPr>
          <w:p w14:paraId="5DD7093B" w14:textId="77777777" w:rsidR="008563F5" w:rsidRDefault="008563F5">
            <w:pPr>
              <w:spacing w:line="276" w:lineRule="auto"/>
              <w:ind w:left="144"/>
              <w:rPr>
                <w:i/>
                <w:iCs/>
                <w:lang w:val="de-DE"/>
              </w:rPr>
            </w:pPr>
            <w:r>
              <w:rPr>
                <w:i/>
                <w:iCs/>
                <w:lang w:val="de-DE"/>
              </w:rPr>
              <w:t xml:space="preserve">Ikke almindelig: </w:t>
            </w:r>
            <w:r>
              <w:rPr>
                <w:lang w:val="de-DE"/>
              </w:rPr>
              <w:t>Insomni, konfusion</w:t>
            </w:r>
            <w:r>
              <w:rPr>
                <w:i/>
                <w:iCs/>
                <w:lang w:val="de-DE"/>
              </w:rPr>
              <w:t xml:space="preserve"> </w:t>
            </w:r>
          </w:p>
          <w:p w14:paraId="1D89FDD8" w14:textId="77777777" w:rsidR="008563F5" w:rsidRDefault="008563F5">
            <w:pPr>
              <w:spacing w:line="276" w:lineRule="auto"/>
              <w:ind w:left="144"/>
              <w:rPr>
                <w:lang w:val="de-DE"/>
              </w:rPr>
            </w:pPr>
            <w:r>
              <w:rPr>
                <w:i/>
                <w:iCs/>
                <w:lang w:val="de-DE"/>
              </w:rPr>
              <w:t xml:space="preserve">Sjælden: </w:t>
            </w:r>
            <w:r>
              <w:rPr>
                <w:lang w:val="de-DE"/>
              </w:rPr>
              <w:t xml:space="preserve">Agitation, angst, depression </w:t>
            </w:r>
          </w:p>
          <w:p w14:paraId="51DC000A" w14:textId="77777777" w:rsidR="008563F5" w:rsidRDefault="008563F5">
            <w:pPr>
              <w:spacing w:line="276" w:lineRule="auto"/>
              <w:ind w:left="144"/>
              <w:rPr>
                <w:lang w:val="sv-SE"/>
              </w:rPr>
            </w:pPr>
            <w:r>
              <w:rPr>
                <w:i/>
                <w:iCs/>
                <w:lang w:val="sv-SE"/>
              </w:rPr>
              <w:t xml:space="preserve">Ikke kendt: </w:t>
            </w:r>
            <w:r>
              <w:rPr>
                <w:lang w:val="sv-SE"/>
              </w:rPr>
              <w:t>Ændret mental status (inklusive aggression, delirium, desorientering, forandringer i mental status)</w:t>
            </w:r>
          </w:p>
        </w:tc>
        <w:tc>
          <w:tcPr>
            <w:tcW w:w="1717" w:type="pct"/>
            <w:tcBorders>
              <w:top w:val="single" w:sz="4" w:space="0" w:color="000000"/>
              <w:left w:val="single" w:sz="4" w:space="0" w:color="000000"/>
              <w:bottom w:val="single" w:sz="4" w:space="0" w:color="000000"/>
              <w:right w:val="single" w:sz="4" w:space="0" w:color="000000"/>
            </w:tcBorders>
            <w:hideMark/>
          </w:tcPr>
          <w:p w14:paraId="7FFA5ECA" w14:textId="77777777" w:rsidR="008563F5" w:rsidRDefault="008563F5">
            <w:pPr>
              <w:ind w:left="141"/>
              <w:rPr>
                <w:lang w:val="sv-SE"/>
              </w:rPr>
            </w:pPr>
            <w:r>
              <w:rPr>
                <w:i/>
                <w:iCs/>
                <w:lang w:val="sv-SE"/>
              </w:rPr>
              <w:t xml:space="preserve">Ikke kendt: </w:t>
            </w:r>
            <w:r>
              <w:rPr>
                <w:lang w:val="sv-SE"/>
              </w:rPr>
              <w:t>Ændret mental status (inklusive aggression)</w:t>
            </w:r>
          </w:p>
        </w:tc>
      </w:tr>
      <w:tr w:rsidR="008563F5" w14:paraId="71743F6F" w14:textId="77777777" w:rsidTr="008563F5">
        <w:trPr>
          <w:trHeight w:val="177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59418030" w14:textId="77777777" w:rsidR="008563F5" w:rsidRDefault="008563F5">
            <w:pPr>
              <w:rPr>
                <w:lang w:val="en-GB"/>
              </w:rPr>
            </w:pPr>
            <w:r>
              <w:t>Nervesystemet</w:t>
            </w:r>
          </w:p>
        </w:tc>
        <w:tc>
          <w:tcPr>
            <w:tcW w:w="1878" w:type="pct"/>
            <w:tcBorders>
              <w:top w:val="single" w:sz="4" w:space="0" w:color="000000"/>
              <w:left w:val="single" w:sz="4" w:space="0" w:color="000000"/>
              <w:bottom w:val="single" w:sz="4" w:space="0" w:color="000000"/>
              <w:right w:val="single" w:sz="4" w:space="0" w:color="000000"/>
            </w:tcBorders>
            <w:hideMark/>
          </w:tcPr>
          <w:p w14:paraId="40DFA13B" w14:textId="77777777" w:rsidR="008563F5" w:rsidRDefault="008563F5">
            <w:pPr>
              <w:ind w:left="144"/>
              <w:rPr>
                <w:lang w:val="sv-SE"/>
              </w:rPr>
            </w:pPr>
            <w:r>
              <w:rPr>
                <w:i/>
                <w:iCs/>
                <w:lang w:val="sv-SE"/>
              </w:rPr>
              <w:t xml:space="preserve">Almindelig: </w:t>
            </w:r>
            <w:r>
              <w:rPr>
                <w:lang w:val="sv-SE"/>
              </w:rPr>
              <w:t xml:space="preserve">Hovedpine </w:t>
            </w:r>
          </w:p>
          <w:p w14:paraId="5E392E92" w14:textId="77777777" w:rsidR="008563F5" w:rsidRDefault="008563F5">
            <w:pPr>
              <w:ind w:left="144"/>
              <w:rPr>
                <w:lang w:val="sv-SE"/>
              </w:rPr>
            </w:pPr>
            <w:r>
              <w:rPr>
                <w:i/>
                <w:iCs/>
                <w:lang w:val="sv-SE"/>
              </w:rPr>
              <w:t xml:space="preserve">Ikke almindelig: </w:t>
            </w:r>
            <w:r>
              <w:rPr>
                <w:lang w:val="sv-SE"/>
              </w:rPr>
              <w:t xml:space="preserve">Svimmelhed, søvnighed, smagsforstyrrelser, kramper (se pkt. 4.4) </w:t>
            </w:r>
          </w:p>
          <w:p w14:paraId="52BC8495" w14:textId="77777777" w:rsidR="008563F5" w:rsidRDefault="008563F5">
            <w:pPr>
              <w:ind w:left="144"/>
              <w:rPr>
                <w:i/>
                <w:iCs/>
                <w:lang w:val="sv-SE"/>
              </w:rPr>
            </w:pPr>
            <w:r>
              <w:rPr>
                <w:i/>
                <w:iCs/>
                <w:lang w:val="sv-SE"/>
              </w:rPr>
              <w:t xml:space="preserve">Sjælden: </w:t>
            </w:r>
            <w:r>
              <w:rPr>
                <w:lang w:val="sv-SE"/>
              </w:rPr>
              <w:t>Tremor, synkope</w:t>
            </w:r>
            <w:r>
              <w:rPr>
                <w:i/>
                <w:iCs/>
                <w:lang w:val="sv-SE"/>
              </w:rPr>
              <w:t xml:space="preserve"> </w:t>
            </w:r>
          </w:p>
          <w:p w14:paraId="25373766" w14:textId="77777777" w:rsidR="008563F5" w:rsidRDefault="008563F5">
            <w:pPr>
              <w:ind w:left="144"/>
              <w:rPr>
                <w:lang w:val="sv-SE"/>
              </w:rPr>
            </w:pPr>
            <w:r>
              <w:rPr>
                <w:i/>
                <w:iCs/>
                <w:lang w:val="sv-SE"/>
              </w:rPr>
              <w:t xml:space="preserve">Ikke kendt: </w:t>
            </w:r>
            <w:r>
              <w:rPr>
                <w:lang w:val="sv-SE"/>
              </w:rPr>
              <w:t xml:space="preserve">Hallucinationer, nedsat bevidsthedsniveau, dyskinesi, </w:t>
            </w:r>
            <w:r>
              <w:rPr>
                <w:lang w:val="sv-SE"/>
              </w:rPr>
              <w:lastRenderedPageBreak/>
              <w:t>myoklonus, gangforstyrrelse, encefalopati (se pkt. 4.4)</w:t>
            </w:r>
          </w:p>
        </w:tc>
        <w:tc>
          <w:tcPr>
            <w:tcW w:w="1717" w:type="pct"/>
            <w:tcBorders>
              <w:top w:val="single" w:sz="4" w:space="0" w:color="000000"/>
              <w:left w:val="single" w:sz="4" w:space="0" w:color="000000"/>
              <w:bottom w:val="single" w:sz="4" w:space="0" w:color="000000"/>
              <w:right w:val="single" w:sz="4" w:space="0" w:color="000000"/>
            </w:tcBorders>
            <w:hideMark/>
          </w:tcPr>
          <w:p w14:paraId="525513C7" w14:textId="77777777" w:rsidR="008563F5" w:rsidRDefault="008563F5">
            <w:pPr>
              <w:ind w:left="141"/>
              <w:rPr>
                <w:i/>
                <w:iCs/>
                <w:lang w:val="sv-SE"/>
              </w:rPr>
            </w:pPr>
            <w:r>
              <w:rPr>
                <w:i/>
                <w:iCs/>
                <w:lang w:val="sv-SE"/>
              </w:rPr>
              <w:lastRenderedPageBreak/>
              <w:t xml:space="preserve">Ikke almindelig: </w:t>
            </w:r>
            <w:r>
              <w:rPr>
                <w:lang w:val="sv-SE"/>
              </w:rPr>
              <w:t>Hovedpine</w:t>
            </w:r>
            <w:r>
              <w:rPr>
                <w:i/>
                <w:iCs/>
                <w:lang w:val="sv-SE"/>
              </w:rPr>
              <w:t xml:space="preserve"> </w:t>
            </w:r>
          </w:p>
          <w:p w14:paraId="24E49D53" w14:textId="77777777" w:rsidR="008563F5" w:rsidRDefault="008563F5">
            <w:pPr>
              <w:ind w:left="141"/>
              <w:rPr>
                <w:lang w:val="sv-SE"/>
              </w:rPr>
            </w:pPr>
            <w:r>
              <w:rPr>
                <w:i/>
                <w:iCs/>
                <w:lang w:val="sv-SE"/>
              </w:rPr>
              <w:t xml:space="preserve">Ikke kendt: </w:t>
            </w:r>
            <w:r>
              <w:rPr>
                <w:lang w:val="sv-SE"/>
              </w:rPr>
              <w:t>Hallucinationer</w:t>
            </w:r>
          </w:p>
        </w:tc>
      </w:tr>
      <w:tr w:rsidR="008563F5" w14:paraId="68BB18A5" w14:textId="77777777" w:rsidTr="008563F5">
        <w:trPr>
          <w:trHeight w:val="469"/>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13B26DB4" w14:textId="77777777" w:rsidR="008563F5" w:rsidRDefault="008563F5">
            <w:pPr>
              <w:rPr>
                <w:lang w:val="en-GB"/>
              </w:rPr>
            </w:pPr>
            <w:r>
              <w:t>Øjne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3F2746EA" w14:textId="77777777" w:rsidR="008563F5" w:rsidRDefault="008563F5">
            <w:pPr>
              <w:ind w:left="144"/>
            </w:pPr>
            <w:r>
              <w:rPr>
                <w:i/>
                <w:iCs/>
              </w:rPr>
              <w:t xml:space="preserve">Sjælden: </w:t>
            </w:r>
            <w:r>
              <w:t>Sklerale forstyrrelser</w:t>
            </w:r>
          </w:p>
        </w:tc>
        <w:tc>
          <w:tcPr>
            <w:tcW w:w="1717" w:type="pct"/>
            <w:tcBorders>
              <w:top w:val="single" w:sz="4" w:space="0" w:color="000000"/>
              <w:left w:val="single" w:sz="4" w:space="0" w:color="000000"/>
              <w:bottom w:val="single" w:sz="4" w:space="0" w:color="000000"/>
              <w:right w:val="single" w:sz="4" w:space="0" w:color="000000"/>
            </w:tcBorders>
          </w:tcPr>
          <w:p w14:paraId="60D86582" w14:textId="77777777" w:rsidR="008563F5" w:rsidRDefault="008563F5"/>
        </w:tc>
      </w:tr>
      <w:tr w:rsidR="008563F5" w14:paraId="2CDA496F" w14:textId="77777777" w:rsidTr="008563F5">
        <w:trPr>
          <w:trHeight w:val="831"/>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6CAD6BC6" w14:textId="77777777" w:rsidR="008563F5" w:rsidRDefault="008563F5">
            <w:r>
              <w:t>Hjerte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540C721B" w14:textId="77777777" w:rsidR="008563F5" w:rsidRDefault="008563F5">
            <w:pPr>
              <w:ind w:left="144"/>
              <w:rPr>
                <w:i/>
                <w:iCs/>
              </w:rPr>
            </w:pPr>
            <w:r>
              <w:rPr>
                <w:i/>
                <w:iCs/>
              </w:rPr>
              <w:t xml:space="preserve">Ikke almindelig: </w:t>
            </w:r>
            <w:r>
              <w:t>Sinusbradykardi</w:t>
            </w:r>
            <w:r>
              <w:rPr>
                <w:i/>
                <w:iCs/>
              </w:rPr>
              <w:t xml:space="preserve"> </w:t>
            </w:r>
          </w:p>
          <w:p w14:paraId="7C82544A" w14:textId="77777777" w:rsidR="008563F5" w:rsidRDefault="008563F5">
            <w:pPr>
              <w:ind w:left="144"/>
            </w:pPr>
            <w:r>
              <w:rPr>
                <w:i/>
                <w:iCs/>
              </w:rPr>
              <w:t xml:space="preserve">Sjælden: </w:t>
            </w:r>
            <w:r>
              <w:t>Arytmi, takykardi</w:t>
            </w:r>
          </w:p>
        </w:tc>
        <w:tc>
          <w:tcPr>
            <w:tcW w:w="1717" w:type="pct"/>
            <w:tcBorders>
              <w:top w:val="single" w:sz="4" w:space="0" w:color="000000"/>
              <w:left w:val="single" w:sz="4" w:space="0" w:color="000000"/>
              <w:bottom w:val="single" w:sz="4" w:space="0" w:color="000000"/>
              <w:right w:val="single" w:sz="4" w:space="0" w:color="000000"/>
            </w:tcBorders>
            <w:vAlign w:val="center"/>
          </w:tcPr>
          <w:p w14:paraId="2EE89CF6" w14:textId="77777777" w:rsidR="008563F5" w:rsidRDefault="008563F5"/>
        </w:tc>
      </w:tr>
      <w:tr w:rsidR="008563F5" w14:paraId="60689349" w14:textId="77777777" w:rsidTr="008563F5">
        <w:trPr>
          <w:trHeight w:val="1180"/>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4D3FE66A" w14:textId="77777777" w:rsidR="008563F5" w:rsidRDefault="008563F5">
            <w:pPr>
              <w:rPr>
                <w:lang w:val="en-GB"/>
              </w:rPr>
            </w:pPr>
            <w:r>
              <w:t>Vaskulære sygdomme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2777481A" w14:textId="77777777" w:rsidR="008563F5" w:rsidRDefault="008563F5">
            <w:pPr>
              <w:ind w:left="144"/>
              <w:rPr>
                <w:lang w:val="de-DE"/>
              </w:rPr>
            </w:pPr>
            <w:r>
              <w:rPr>
                <w:i/>
                <w:iCs/>
                <w:lang w:val="de-DE"/>
              </w:rPr>
              <w:t>Almindelig</w:t>
            </w:r>
            <w:r>
              <w:rPr>
                <w:lang w:val="de-DE"/>
              </w:rPr>
              <w:t xml:space="preserve">: Infusions venekomplikationer, flebitis/tromboflebitis </w:t>
            </w:r>
          </w:p>
          <w:p w14:paraId="2615CDE3" w14:textId="77777777" w:rsidR="008563F5" w:rsidRDefault="008563F5">
            <w:pPr>
              <w:ind w:left="144"/>
              <w:rPr>
                <w:lang w:val="de-DE"/>
              </w:rPr>
            </w:pPr>
            <w:r>
              <w:rPr>
                <w:i/>
                <w:iCs/>
                <w:lang w:val="de-DE"/>
              </w:rPr>
              <w:t>Ikke almindelig</w:t>
            </w:r>
            <w:r>
              <w:rPr>
                <w:lang w:val="de-DE"/>
              </w:rPr>
              <w:t xml:space="preserve">: Hypotension </w:t>
            </w:r>
          </w:p>
          <w:p w14:paraId="2D883909" w14:textId="77777777" w:rsidR="008563F5" w:rsidRDefault="008563F5">
            <w:pPr>
              <w:ind w:left="144"/>
              <w:rPr>
                <w:lang w:val="en-GB"/>
              </w:rPr>
            </w:pPr>
            <w:r>
              <w:rPr>
                <w:i/>
                <w:iCs/>
              </w:rPr>
              <w:t>Sjælden</w:t>
            </w:r>
            <w:r>
              <w:t>: Blødning, forhøjet blodtryk</w:t>
            </w:r>
          </w:p>
        </w:tc>
        <w:tc>
          <w:tcPr>
            <w:tcW w:w="1717" w:type="pct"/>
            <w:tcBorders>
              <w:top w:val="single" w:sz="4" w:space="0" w:color="000000"/>
              <w:left w:val="single" w:sz="4" w:space="0" w:color="000000"/>
              <w:bottom w:val="single" w:sz="4" w:space="0" w:color="000000"/>
              <w:right w:val="single" w:sz="4" w:space="0" w:color="000000"/>
            </w:tcBorders>
            <w:vAlign w:val="center"/>
            <w:hideMark/>
          </w:tcPr>
          <w:p w14:paraId="5E00D141" w14:textId="77777777" w:rsidR="008563F5" w:rsidRDefault="008563F5">
            <w:pPr>
              <w:ind w:left="141"/>
            </w:pPr>
            <w:r>
              <w:rPr>
                <w:i/>
                <w:iCs/>
              </w:rPr>
              <w:t xml:space="preserve">Ikke almindelig: </w:t>
            </w:r>
            <w:r>
              <w:t>Hedeture, hypertension</w:t>
            </w:r>
          </w:p>
        </w:tc>
      </w:tr>
      <w:tr w:rsidR="008563F5" w14:paraId="595383DF" w14:textId="77777777" w:rsidTr="008563F5">
        <w:trPr>
          <w:trHeight w:val="1339"/>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6E74E35" w14:textId="77777777" w:rsidR="008563F5" w:rsidRDefault="008563F5">
            <w:r>
              <w:t>Luftveje, thorax og mediastinum</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12B0164E" w14:textId="77777777" w:rsidR="008563F5" w:rsidRDefault="008563F5">
            <w:pPr>
              <w:ind w:left="144"/>
            </w:pPr>
            <w:r>
              <w:rPr>
                <w:i/>
                <w:iCs/>
              </w:rPr>
              <w:t>Ikke almindelig</w:t>
            </w:r>
            <w:r>
              <w:t xml:space="preserve">: Dyspnø, faryngeale gener </w:t>
            </w:r>
          </w:p>
          <w:p w14:paraId="08547A04" w14:textId="77777777" w:rsidR="008563F5" w:rsidRDefault="008563F5">
            <w:pPr>
              <w:ind w:left="144"/>
            </w:pPr>
            <w:r>
              <w:rPr>
                <w:i/>
                <w:iCs/>
              </w:rPr>
              <w:t>Sjælden</w:t>
            </w:r>
            <w:r>
              <w:t>: Tilstoppet næse, hoste, epistaxis, rallelyde/rhonchi, hvæsen</w:t>
            </w:r>
          </w:p>
        </w:tc>
        <w:tc>
          <w:tcPr>
            <w:tcW w:w="1717" w:type="pct"/>
            <w:tcBorders>
              <w:top w:val="single" w:sz="4" w:space="0" w:color="000000"/>
              <w:left w:val="single" w:sz="4" w:space="0" w:color="000000"/>
              <w:bottom w:val="single" w:sz="4" w:space="0" w:color="000000"/>
              <w:right w:val="single" w:sz="4" w:space="0" w:color="000000"/>
            </w:tcBorders>
            <w:vAlign w:val="center"/>
          </w:tcPr>
          <w:p w14:paraId="2BD9B077" w14:textId="77777777" w:rsidR="008563F5" w:rsidRDefault="008563F5"/>
        </w:tc>
      </w:tr>
      <w:tr w:rsidR="008563F5" w14:paraId="2A2DABF3" w14:textId="77777777" w:rsidTr="008563F5">
        <w:trPr>
          <w:trHeight w:val="177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73F6D627" w14:textId="77777777" w:rsidR="008563F5" w:rsidRDefault="008563F5">
            <w:pPr>
              <w:rPr>
                <w:lang w:val="en-GB"/>
              </w:rPr>
            </w:pPr>
            <w:r>
              <w:t>Mave-tarm-kanalen</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5F8295B2" w14:textId="77777777" w:rsidR="008563F5" w:rsidRDefault="008563F5">
            <w:pPr>
              <w:ind w:left="144"/>
            </w:pPr>
            <w:r>
              <w:rPr>
                <w:i/>
                <w:iCs/>
              </w:rPr>
              <w:t>Almindelig</w:t>
            </w:r>
            <w:r>
              <w:t xml:space="preserve">: Diarré, kvalme, opkastning </w:t>
            </w:r>
          </w:p>
          <w:p w14:paraId="2FB5AD80" w14:textId="77777777" w:rsidR="008563F5" w:rsidRDefault="008563F5">
            <w:pPr>
              <w:ind w:left="144"/>
            </w:pPr>
            <w:r>
              <w:rPr>
                <w:i/>
                <w:iCs/>
              </w:rPr>
              <w:t>Ikke almindelig</w:t>
            </w:r>
            <w:r>
              <w:t xml:space="preserve">: Obstipation, gastroøsofageal reflux, tør mund, dyspepsi, abdominalsmerter </w:t>
            </w:r>
          </w:p>
          <w:p w14:paraId="67CDC730" w14:textId="77777777" w:rsidR="008563F5" w:rsidRDefault="008563F5">
            <w:pPr>
              <w:ind w:left="144"/>
            </w:pPr>
            <w:r>
              <w:rPr>
                <w:i/>
                <w:iCs/>
              </w:rPr>
              <w:t>Sjælden</w:t>
            </w:r>
            <w:r>
              <w:t xml:space="preserve">: Dysfagi, fækal inkontinens, pelveoperitonitis </w:t>
            </w:r>
          </w:p>
          <w:p w14:paraId="5C5F6569" w14:textId="77777777" w:rsidR="008563F5" w:rsidRDefault="008563F5">
            <w:pPr>
              <w:ind w:left="144"/>
            </w:pPr>
            <w:r>
              <w:rPr>
                <w:i/>
              </w:rPr>
              <w:t>Ikke kendt:</w:t>
            </w:r>
            <w:r>
              <w:t xml:space="preserve"> Plettede tænder</w:t>
            </w:r>
          </w:p>
        </w:tc>
        <w:tc>
          <w:tcPr>
            <w:tcW w:w="1717" w:type="pct"/>
            <w:tcBorders>
              <w:top w:val="single" w:sz="4" w:space="0" w:color="000000"/>
              <w:left w:val="single" w:sz="4" w:space="0" w:color="000000"/>
              <w:bottom w:val="single" w:sz="4" w:space="0" w:color="000000"/>
              <w:right w:val="single" w:sz="4" w:space="0" w:color="000000"/>
            </w:tcBorders>
            <w:vAlign w:val="center"/>
            <w:hideMark/>
          </w:tcPr>
          <w:p w14:paraId="52C25957" w14:textId="77777777" w:rsidR="008563F5" w:rsidRDefault="008563F5">
            <w:pPr>
              <w:ind w:left="141"/>
              <w:rPr>
                <w:lang w:val="sv-SE"/>
              </w:rPr>
            </w:pPr>
            <w:r>
              <w:rPr>
                <w:i/>
                <w:lang w:val="sv-SE"/>
              </w:rPr>
              <w:t>Almindelig:</w:t>
            </w:r>
            <w:r>
              <w:rPr>
                <w:lang w:val="sv-SE"/>
              </w:rPr>
              <w:t xml:space="preserve"> Diarré </w:t>
            </w:r>
          </w:p>
          <w:p w14:paraId="04EA438A" w14:textId="77777777" w:rsidR="008563F5" w:rsidRDefault="008563F5">
            <w:pPr>
              <w:ind w:left="141"/>
              <w:rPr>
                <w:lang w:val="sv-SE"/>
              </w:rPr>
            </w:pPr>
            <w:r>
              <w:rPr>
                <w:i/>
                <w:iCs/>
                <w:lang w:val="sv-SE"/>
              </w:rPr>
              <w:t xml:space="preserve">Ikke almindelig: </w:t>
            </w:r>
            <w:r>
              <w:rPr>
                <w:lang w:val="sv-SE"/>
              </w:rPr>
              <w:t>Misfarvet fæces, melæna</w:t>
            </w:r>
          </w:p>
        </w:tc>
      </w:tr>
      <w:tr w:rsidR="008563F5" w14:paraId="16409CB3" w14:textId="77777777" w:rsidTr="008563F5">
        <w:trPr>
          <w:trHeight w:val="747"/>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352A4033" w14:textId="77777777" w:rsidR="008563F5" w:rsidRDefault="008563F5">
            <w:pPr>
              <w:rPr>
                <w:lang w:val="en-GB"/>
              </w:rPr>
            </w:pPr>
            <w:r>
              <w:t>Lever og galdeveje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30EDC3D6" w14:textId="77777777" w:rsidR="008563F5" w:rsidRDefault="008563F5">
            <w:pPr>
              <w:ind w:left="144"/>
            </w:pPr>
            <w:r>
              <w:rPr>
                <w:i/>
                <w:iCs/>
              </w:rPr>
              <w:t xml:space="preserve">Sjælden: </w:t>
            </w:r>
            <w:r>
              <w:t>Cholecystitis, icterus, leverforstyrrelser</w:t>
            </w:r>
          </w:p>
        </w:tc>
        <w:tc>
          <w:tcPr>
            <w:tcW w:w="1717" w:type="pct"/>
            <w:tcBorders>
              <w:top w:val="single" w:sz="4" w:space="0" w:color="000000"/>
              <w:left w:val="single" w:sz="4" w:space="0" w:color="000000"/>
              <w:bottom w:val="single" w:sz="4" w:space="0" w:color="000000"/>
              <w:right w:val="single" w:sz="4" w:space="0" w:color="000000"/>
            </w:tcBorders>
          </w:tcPr>
          <w:p w14:paraId="2C7EC462" w14:textId="77777777" w:rsidR="008563F5" w:rsidRDefault="008563F5"/>
        </w:tc>
      </w:tr>
      <w:tr w:rsidR="008563F5" w14:paraId="014DFAD8" w14:textId="77777777" w:rsidTr="008563F5">
        <w:trPr>
          <w:trHeight w:val="450"/>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47C8423D" w14:textId="77777777" w:rsidR="008563F5" w:rsidRDefault="008563F5">
            <w:r>
              <w:t>Hud og subkutane væv</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68A1F560" w14:textId="77777777" w:rsidR="008563F5" w:rsidRDefault="008563F5">
            <w:pPr>
              <w:ind w:left="144"/>
              <w:rPr>
                <w:i/>
                <w:iCs/>
              </w:rPr>
            </w:pPr>
            <w:r>
              <w:rPr>
                <w:i/>
                <w:iCs/>
              </w:rPr>
              <w:t xml:space="preserve">Almindelig: </w:t>
            </w:r>
            <w:r>
              <w:t>Udslæt, pruritus</w:t>
            </w:r>
            <w:r>
              <w:rPr>
                <w:i/>
                <w:iCs/>
              </w:rPr>
              <w:t xml:space="preserve"> </w:t>
            </w:r>
          </w:p>
          <w:p w14:paraId="284F4E33" w14:textId="77777777" w:rsidR="008563F5" w:rsidRDefault="008563F5">
            <w:pPr>
              <w:ind w:left="144"/>
              <w:rPr>
                <w:i/>
                <w:iCs/>
              </w:rPr>
            </w:pPr>
            <w:r>
              <w:rPr>
                <w:i/>
                <w:iCs/>
              </w:rPr>
              <w:t xml:space="preserve">Ikke almindelig: </w:t>
            </w:r>
            <w:r>
              <w:t>Erytem, urticaria</w:t>
            </w:r>
            <w:r>
              <w:rPr>
                <w:i/>
                <w:iCs/>
              </w:rPr>
              <w:t xml:space="preserve"> </w:t>
            </w:r>
          </w:p>
          <w:p w14:paraId="0577CAB4" w14:textId="77777777" w:rsidR="008563F5" w:rsidRDefault="008563F5">
            <w:pPr>
              <w:ind w:left="144"/>
            </w:pPr>
            <w:r>
              <w:rPr>
                <w:i/>
                <w:iCs/>
              </w:rPr>
              <w:t xml:space="preserve">Sjælden: </w:t>
            </w:r>
            <w:r>
              <w:t xml:space="preserve">Dermatitis, afskalning, allergisk vaskulitis </w:t>
            </w:r>
          </w:p>
          <w:p w14:paraId="5FA81C80" w14:textId="77777777" w:rsidR="008563F5" w:rsidRDefault="008563F5">
            <w:pPr>
              <w:ind w:left="144"/>
            </w:pPr>
            <w:r>
              <w:rPr>
                <w:i/>
                <w:iCs/>
              </w:rPr>
              <w:t xml:space="preserve">Ikke kendt: </w:t>
            </w:r>
            <w:r>
              <w:t>Akut generaliseret eksantematøs pustulose (AGEP), lægemiddeludslæt med eosinofili og systemiske symptomer (DRESS syndrom)</w:t>
            </w:r>
          </w:p>
        </w:tc>
        <w:tc>
          <w:tcPr>
            <w:tcW w:w="1717" w:type="pct"/>
            <w:tcBorders>
              <w:top w:val="single" w:sz="4" w:space="0" w:color="000000"/>
              <w:left w:val="single" w:sz="4" w:space="0" w:color="000000"/>
              <w:bottom w:val="single" w:sz="4" w:space="0" w:color="000000"/>
              <w:right w:val="single" w:sz="4" w:space="0" w:color="000000"/>
            </w:tcBorders>
            <w:vAlign w:val="center"/>
            <w:hideMark/>
          </w:tcPr>
          <w:p w14:paraId="4F5A54C8" w14:textId="77777777" w:rsidR="008563F5" w:rsidRDefault="008563F5">
            <w:pPr>
              <w:ind w:left="141"/>
              <w:rPr>
                <w:i/>
                <w:iCs/>
                <w:lang w:val="de-DE"/>
              </w:rPr>
            </w:pPr>
            <w:r>
              <w:rPr>
                <w:i/>
                <w:iCs/>
                <w:lang w:val="de-DE"/>
              </w:rPr>
              <w:t xml:space="preserve">Almindelig: </w:t>
            </w:r>
            <w:r>
              <w:rPr>
                <w:lang w:val="de-DE"/>
              </w:rPr>
              <w:t>Bledermatitis</w:t>
            </w:r>
            <w:r>
              <w:rPr>
                <w:i/>
                <w:iCs/>
                <w:lang w:val="de-DE"/>
              </w:rPr>
              <w:t xml:space="preserve"> </w:t>
            </w:r>
          </w:p>
          <w:p w14:paraId="57736747" w14:textId="77777777" w:rsidR="008563F5" w:rsidRDefault="008563F5">
            <w:pPr>
              <w:ind w:left="141"/>
              <w:rPr>
                <w:lang w:val="de-DE"/>
              </w:rPr>
            </w:pPr>
            <w:r>
              <w:rPr>
                <w:i/>
                <w:iCs/>
                <w:lang w:val="de-DE"/>
              </w:rPr>
              <w:t xml:space="preserve">Ikke almindelig: </w:t>
            </w:r>
            <w:r>
              <w:rPr>
                <w:lang w:val="de-DE"/>
              </w:rPr>
              <w:t>Erytem, udslæt, petekkier</w:t>
            </w:r>
          </w:p>
        </w:tc>
      </w:tr>
      <w:tr w:rsidR="008563F5" w14:paraId="61BABB66" w14:textId="77777777" w:rsidTr="008563F5">
        <w:trPr>
          <w:trHeight w:val="944"/>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79CE119" w14:textId="77777777" w:rsidR="008563F5" w:rsidRDefault="008563F5">
            <w:r>
              <w:t>Knogler, led, muskler og bindevæv</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48745180" w14:textId="77777777" w:rsidR="008563F5" w:rsidRDefault="008563F5">
            <w:pPr>
              <w:ind w:left="144"/>
              <w:rPr>
                <w:lang w:val="de-DE"/>
              </w:rPr>
            </w:pPr>
            <w:r>
              <w:rPr>
                <w:i/>
                <w:iCs/>
                <w:lang w:val="de-DE"/>
              </w:rPr>
              <w:t xml:space="preserve">Sjælden: </w:t>
            </w:r>
            <w:r>
              <w:rPr>
                <w:lang w:val="de-DE"/>
              </w:rPr>
              <w:t xml:space="preserve">Muskelkramper, skuldersmerter </w:t>
            </w:r>
          </w:p>
          <w:p w14:paraId="3167838A" w14:textId="77777777" w:rsidR="008563F5" w:rsidRDefault="008563F5">
            <w:pPr>
              <w:ind w:left="144"/>
              <w:rPr>
                <w:lang w:val="de-DE"/>
              </w:rPr>
            </w:pPr>
            <w:r>
              <w:rPr>
                <w:i/>
                <w:iCs/>
                <w:lang w:val="de-DE"/>
              </w:rPr>
              <w:t xml:space="preserve">Ikke kendt: </w:t>
            </w:r>
            <w:r>
              <w:rPr>
                <w:lang w:val="de-DE"/>
              </w:rPr>
              <w:t>Muskelsvækkelse</w:t>
            </w:r>
          </w:p>
        </w:tc>
        <w:tc>
          <w:tcPr>
            <w:tcW w:w="1717" w:type="pct"/>
            <w:tcBorders>
              <w:top w:val="single" w:sz="4" w:space="0" w:color="000000"/>
              <w:left w:val="single" w:sz="4" w:space="0" w:color="000000"/>
              <w:bottom w:val="single" w:sz="4" w:space="0" w:color="000000"/>
              <w:right w:val="single" w:sz="4" w:space="0" w:color="000000"/>
            </w:tcBorders>
          </w:tcPr>
          <w:p w14:paraId="6B2E13CE" w14:textId="77777777" w:rsidR="008563F5" w:rsidRDefault="008563F5">
            <w:pPr>
              <w:rPr>
                <w:lang w:val="de-DE"/>
              </w:rPr>
            </w:pPr>
          </w:p>
        </w:tc>
      </w:tr>
      <w:tr w:rsidR="008563F5" w14:paraId="1BD2DCAB" w14:textId="77777777" w:rsidTr="008563F5">
        <w:trPr>
          <w:trHeight w:val="75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53B411BE" w14:textId="77777777" w:rsidR="008563F5" w:rsidRDefault="008563F5">
            <w:pPr>
              <w:rPr>
                <w:lang w:val="en-GB"/>
              </w:rPr>
            </w:pPr>
            <w:r>
              <w:t>Nyrer og urinveje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3E19901F" w14:textId="77777777" w:rsidR="008563F5" w:rsidRDefault="008563F5">
            <w:pPr>
              <w:ind w:left="144"/>
            </w:pPr>
            <w:r>
              <w:rPr>
                <w:i/>
                <w:iCs/>
              </w:rPr>
              <w:t xml:space="preserve">Sjælden: </w:t>
            </w:r>
            <w:r>
              <w:t>Nyreinsufficiens, akut nyreinsufficiens</w:t>
            </w:r>
          </w:p>
        </w:tc>
        <w:tc>
          <w:tcPr>
            <w:tcW w:w="1717" w:type="pct"/>
            <w:tcBorders>
              <w:top w:val="single" w:sz="4" w:space="0" w:color="000000"/>
              <w:left w:val="single" w:sz="4" w:space="0" w:color="000000"/>
              <w:bottom w:val="single" w:sz="4" w:space="0" w:color="000000"/>
              <w:right w:val="single" w:sz="4" w:space="0" w:color="000000"/>
            </w:tcBorders>
          </w:tcPr>
          <w:p w14:paraId="75BAD6E4" w14:textId="77777777" w:rsidR="008563F5" w:rsidRDefault="008563F5"/>
        </w:tc>
      </w:tr>
      <w:tr w:rsidR="008563F5" w14:paraId="593496C0" w14:textId="77777777" w:rsidTr="008563F5">
        <w:trPr>
          <w:trHeight w:val="678"/>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03685F12" w14:textId="77777777" w:rsidR="008563F5" w:rsidRDefault="008563F5">
            <w:pPr>
              <w:rPr>
                <w:lang w:val="de-DE"/>
              </w:rPr>
            </w:pPr>
            <w:r>
              <w:rPr>
                <w:lang w:val="de-DE"/>
              </w:rPr>
              <w:t>Graviditet, puerperium og den perinatale periode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5613EBF0" w14:textId="77777777" w:rsidR="008563F5" w:rsidRDefault="008563F5">
            <w:pPr>
              <w:ind w:left="144"/>
              <w:rPr>
                <w:lang w:val="en-GB"/>
              </w:rPr>
            </w:pPr>
            <w:r>
              <w:rPr>
                <w:i/>
                <w:iCs/>
              </w:rPr>
              <w:t xml:space="preserve">Sjælden: </w:t>
            </w:r>
            <w:r>
              <w:t>Abort</w:t>
            </w:r>
          </w:p>
        </w:tc>
        <w:tc>
          <w:tcPr>
            <w:tcW w:w="1717" w:type="pct"/>
            <w:tcBorders>
              <w:top w:val="single" w:sz="4" w:space="0" w:color="000000"/>
              <w:left w:val="single" w:sz="4" w:space="0" w:color="000000"/>
              <w:bottom w:val="single" w:sz="4" w:space="0" w:color="000000"/>
              <w:right w:val="single" w:sz="4" w:space="0" w:color="000000"/>
            </w:tcBorders>
          </w:tcPr>
          <w:p w14:paraId="554F2B15" w14:textId="77777777" w:rsidR="008563F5" w:rsidRDefault="008563F5"/>
        </w:tc>
      </w:tr>
      <w:tr w:rsidR="008563F5" w14:paraId="40554FBC" w14:textId="77777777" w:rsidTr="008563F5">
        <w:trPr>
          <w:trHeight w:val="717"/>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51882096" w14:textId="77777777" w:rsidR="008563F5" w:rsidRDefault="008563F5">
            <w:pPr>
              <w:rPr>
                <w:lang w:val="de-DE"/>
              </w:rPr>
            </w:pPr>
            <w:r>
              <w:rPr>
                <w:lang w:val="de-DE"/>
              </w:rPr>
              <w:lastRenderedPageBreak/>
              <w:t>Det reproduktive system og mammae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6E56F65A" w14:textId="77777777" w:rsidR="008563F5" w:rsidRDefault="008563F5">
            <w:pPr>
              <w:ind w:left="144"/>
              <w:rPr>
                <w:lang w:val="en-GB"/>
              </w:rPr>
            </w:pPr>
            <w:r>
              <w:rPr>
                <w:i/>
                <w:iCs/>
              </w:rPr>
              <w:t xml:space="preserve">Sjælden: </w:t>
            </w:r>
            <w:r>
              <w:t>Genital blødning</w:t>
            </w:r>
          </w:p>
        </w:tc>
        <w:tc>
          <w:tcPr>
            <w:tcW w:w="1717" w:type="pct"/>
            <w:tcBorders>
              <w:top w:val="single" w:sz="4" w:space="0" w:color="000000"/>
              <w:left w:val="single" w:sz="4" w:space="0" w:color="000000"/>
              <w:bottom w:val="single" w:sz="4" w:space="0" w:color="000000"/>
              <w:right w:val="single" w:sz="4" w:space="0" w:color="000000"/>
            </w:tcBorders>
            <w:vAlign w:val="center"/>
          </w:tcPr>
          <w:p w14:paraId="1935CF10" w14:textId="77777777" w:rsidR="008563F5" w:rsidRDefault="008563F5"/>
        </w:tc>
      </w:tr>
      <w:tr w:rsidR="008563F5" w14:paraId="56DCF65B" w14:textId="77777777" w:rsidTr="008563F5">
        <w:trPr>
          <w:trHeight w:val="177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3E0BE9C" w14:textId="77777777" w:rsidR="008563F5" w:rsidRDefault="008563F5">
            <w:pPr>
              <w:rPr>
                <w:lang w:val="sv-SE"/>
              </w:rPr>
            </w:pPr>
            <w:r>
              <w:rPr>
                <w:lang w:val="sv-SE"/>
              </w:rPr>
              <w:t>Almene symptomer og reaktioner på administrationsstedet</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7FFD1BF1" w14:textId="77777777" w:rsidR="008563F5" w:rsidRDefault="008563F5">
            <w:pPr>
              <w:ind w:left="144"/>
              <w:rPr>
                <w:i/>
                <w:iCs/>
                <w:lang w:val="sv-SE"/>
              </w:rPr>
            </w:pPr>
            <w:r>
              <w:rPr>
                <w:i/>
                <w:iCs/>
                <w:lang w:val="sv-SE"/>
              </w:rPr>
              <w:t xml:space="preserve">Ikke almindelig: </w:t>
            </w:r>
            <w:r>
              <w:rPr>
                <w:lang w:val="sv-SE"/>
              </w:rPr>
              <w:t>Ekstravasation, asteni/træthed, feber, ødem/hævelser, brystsmerter</w:t>
            </w:r>
            <w:r>
              <w:rPr>
                <w:i/>
                <w:iCs/>
                <w:lang w:val="sv-SE"/>
              </w:rPr>
              <w:t xml:space="preserve"> </w:t>
            </w:r>
          </w:p>
          <w:p w14:paraId="2C25F260" w14:textId="77777777" w:rsidR="008563F5" w:rsidRDefault="008563F5">
            <w:pPr>
              <w:ind w:left="144"/>
              <w:rPr>
                <w:lang w:val="sv-SE"/>
              </w:rPr>
            </w:pPr>
            <w:r>
              <w:rPr>
                <w:i/>
                <w:iCs/>
                <w:lang w:val="sv-SE"/>
              </w:rPr>
              <w:t xml:space="preserve">Sjælden: </w:t>
            </w:r>
            <w:r>
              <w:rPr>
                <w:lang w:val="sv-SE"/>
              </w:rPr>
              <w:t>Induration på injektionsstedet, utilpashed</w:t>
            </w:r>
          </w:p>
        </w:tc>
        <w:tc>
          <w:tcPr>
            <w:tcW w:w="1717" w:type="pct"/>
            <w:tcBorders>
              <w:top w:val="single" w:sz="4" w:space="0" w:color="000000"/>
              <w:left w:val="single" w:sz="4" w:space="0" w:color="000000"/>
              <w:bottom w:val="single" w:sz="4" w:space="0" w:color="000000"/>
              <w:right w:val="single" w:sz="4" w:space="0" w:color="000000"/>
            </w:tcBorders>
            <w:vAlign w:val="center"/>
            <w:hideMark/>
          </w:tcPr>
          <w:p w14:paraId="46D0103C" w14:textId="77777777" w:rsidR="008563F5" w:rsidRDefault="008563F5">
            <w:pPr>
              <w:ind w:left="141"/>
              <w:rPr>
                <w:lang w:val="sv-SE"/>
              </w:rPr>
            </w:pPr>
            <w:r>
              <w:rPr>
                <w:i/>
                <w:iCs/>
                <w:lang w:val="sv-SE"/>
              </w:rPr>
              <w:t xml:space="preserve">Almindelig: </w:t>
            </w:r>
            <w:r>
              <w:rPr>
                <w:lang w:val="sv-SE"/>
              </w:rPr>
              <w:t xml:space="preserve">Smerte ved infusionsstedet </w:t>
            </w:r>
          </w:p>
          <w:p w14:paraId="370BB2F3" w14:textId="77777777" w:rsidR="008563F5" w:rsidRDefault="008563F5">
            <w:pPr>
              <w:ind w:left="141"/>
              <w:rPr>
                <w:lang w:val="sv-SE"/>
              </w:rPr>
            </w:pPr>
            <w:r>
              <w:rPr>
                <w:i/>
                <w:iCs/>
                <w:lang w:val="sv-SE"/>
              </w:rPr>
              <w:t xml:space="preserve">Ikke almindelig: </w:t>
            </w:r>
            <w:r>
              <w:rPr>
                <w:lang w:val="sv-SE"/>
              </w:rPr>
              <w:t>Brændende fornemmelse ved infusionsstedet, kløe ved infusionsstedet, erytem ved infusionsstedet, erytem ved injektionsstedet, varme ved infusionsstedet</w:t>
            </w:r>
          </w:p>
        </w:tc>
      </w:tr>
      <w:tr w:rsidR="008563F5" w14:paraId="6A6031A6" w14:textId="77777777" w:rsidTr="008563F5">
        <w:trPr>
          <w:trHeight w:val="427"/>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75E3F857" w14:textId="77777777" w:rsidR="008563F5" w:rsidRDefault="008563F5">
            <w:pPr>
              <w:rPr>
                <w:lang w:val="en-GB"/>
              </w:rPr>
            </w:pPr>
            <w:r>
              <w:t>Undersøgelser</w:t>
            </w:r>
          </w:p>
        </w:tc>
        <w:tc>
          <w:tcPr>
            <w:tcW w:w="1878" w:type="pct"/>
            <w:tcBorders>
              <w:top w:val="single" w:sz="4" w:space="0" w:color="000000"/>
              <w:left w:val="single" w:sz="4" w:space="0" w:color="000000"/>
              <w:bottom w:val="single" w:sz="4" w:space="0" w:color="000000"/>
              <w:right w:val="single" w:sz="4" w:space="0" w:color="000000"/>
            </w:tcBorders>
          </w:tcPr>
          <w:p w14:paraId="45BB2867" w14:textId="77777777" w:rsidR="008563F5" w:rsidRDefault="008563F5"/>
        </w:tc>
        <w:tc>
          <w:tcPr>
            <w:tcW w:w="1717" w:type="pct"/>
            <w:tcBorders>
              <w:top w:val="single" w:sz="4" w:space="0" w:color="000000"/>
              <w:left w:val="single" w:sz="4" w:space="0" w:color="000000"/>
              <w:bottom w:val="single" w:sz="4" w:space="0" w:color="000000"/>
              <w:right w:val="single" w:sz="4" w:space="0" w:color="000000"/>
            </w:tcBorders>
          </w:tcPr>
          <w:p w14:paraId="3809C891" w14:textId="77777777" w:rsidR="008563F5" w:rsidRDefault="008563F5"/>
        </w:tc>
      </w:tr>
      <w:tr w:rsidR="008563F5" w14:paraId="2A375ABE" w14:textId="77777777" w:rsidTr="008563F5">
        <w:trPr>
          <w:trHeight w:val="322"/>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075D9862" w14:textId="77777777" w:rsidR="008563F5" w:rsidRDefault="008563F5">
            <w:r>
              <w:t>Kemi</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2CAB8A5F" w14:textId="77777777" w:rsidR="008563F5" w:rsidRDefault="008563F5">
            <w:pPr>
              <w:ind w:left="144"/>
              <w:rPr>
                <w:lang w:val="sv-SE"/>
              </w:rPr>
            </w:pPr>
            <w:r>
              <w:rPr>
                <w:i/>
                <w:iCs/>
                <w:lang w:val="sv-SE"/>
              </w:rPr>
              <w:t xml:space="preserve">Almindelig: </w:t>
            </w:r>
            <w:r>
              <w:rPr>
                <w:lang w:val="sv-SE"/>
              </w:rPr>
              <w:t>Stigninger i ALAT, ASAT, alkalisk fosfatase</w:t>
            </w:r>
          </w:p>
          <w:p w14:paraId="4BE81CC7" w14:textId="77777777" w:rsidR="008563F5" w:rsidRDefault="008563F5">
            <w:pPr>
              <w:ind w:left="144"/>
              <w:rPr>
                <w:i/>
                <w:iCs/>
                <w:lang w:val="sv-SE"/>
              </w:rPr>
            </w:pPr>
            <w:r>
              <w:rPr>
                <w:i/>
                <w:iCs/>
                <w:lang w:val="sv-SE"/>
              </w:rPr>
              <w:t xml:space="preserve">Ikke almindelig: </w:t>
            </w:r>
            <w:r>
              <w:rPr>
                <w:lang w:val="sv-SE"/>
              </w:rPr>
              <w:t>Forhøjet total serumbilirubin, direkte serumbilirubin og indirekte serumbilirubin; serumkreatinin; serumurinstof, serumglucose</w:t>
            </w:r>
            <w:r>
              <w:rPr>
                <w:i/>
                <w:iCs/>
                <w:lang w:val="sv-SE"/>
              </w:rPr>
              <w:t xml:space="preserve"> </w:t>
            </w:r>
          </w:p>
          <w:p w14:paraId="22A4D5F6" w14:textId="77777777" w:rsidR="008563F5" w:rsidRDefault="008563F5">
            <w:pPr>
              <w:ind w:left="144"/>
              <w:rPr>
                <w:lang w:val="sv-SE"/>
              </w:rPr>
            </w:pPr>
            <w:r>
              <w:rPr>
                <w:i/>
                <w:iCs/>
                <w:lang w:val="sv-SE"/>
              </w:rPr>
              <w:t xml:space="preserve">Sjælden: </w:t>
            </w:r>
            <w:r>
              <w:rPr>
                <w:lang w:val="sv-SE"/>
              </w:rPr>
              <w:t>Fald i serumhydrogencarbonat, serum kreatinin og serumkalium; forhøjet serum-LDH, serumfosfat og serumkalium</w:t>
            </w:r>
          </w:p>
        </w:tc>
        <w:tc>
          <w:tcPr>
            <w:tcW w:w="1717" w:type="pct"/>
            <w:tcBorders>
              <w:top w:val="single" w:sz="4" w:space="0" w:color="000000"/>
              <w:left w:val="single" w:sz="4" w:space="0" w:color="000000"/>
              <w:bottom w:val="single" w:sz="4" w:space="0" w:color="000000"/>
              <w:right w:val="single" w:sz="4" w:space="0" w:color="000000"/>
            </w:tcBorders>
            <w:hideMark/>
          </w:tcPr>
          <w:p w14:paraId="28B105C7" w14:textId="77777777" w:rsidR="008563F5" w:rsidRDefault="008563F5">
            <w:pPr>
              <w:ind w:left="141"/>
            </w:pPr>
            <w:r>
              <w:rPr>
                <w:i/>
                <w:iCs/>
              </w:rPr>
              <w:t xml:space="preserve">Almindelig: </w:t>
            </w:r>
            <w:r>
              <w:t>Forhøjet ALAT og ASAT</w:t>
            </w:r>
          </w:p>
        </w:tc>
      </w:tr>
      <w:tr w:rsidR="008563F5" w14:paraId="5E02C35C" w14:textId="77777777" w:rsidTr="008563F5">
        <w:trPr>
          <w:trHeight w:val="255"/>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28A0EE63" w14:textId="77777777" w:rsidR="008563F5" w:rsidRDefault="008563F5">
            <w:pPr>
              <w:rPr>
                <w:lang w:val="en-GB"/>
              </w:rPr>
            </w:pPr>
            <w:r>
              <w:t>Hæmatologi</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40E60AC1" w14:textId="77777777" w:rsidR="008563F5" w:rsidRDefault="008563F5">
            <w:pPr>
              <w:ind w:left="144"/>
            </w:pPr>
            <w:r>
              <w:rPr>
                <w:i/>
                <w:iCs/>
              </w:rPr>
              <w:t>Almindelig</w:t>
            </w:r>
            <w:r>
              <w:t xml:space="preserve">: Forhøjet trombocyttal </w:t>
            </w:r>
          </w:p>
          <w:p w14:paraId="54377032" w14:textId="77777777" w:rsidR="008563F5" w:rsidRDefault="008563F5">
            <w:pPr>
              <w:ind w:left="144"/>
            </w:pPr>
            <w:r>
              <w:rPr>
                <w:i/>
              </w:rPr>
              <w:t>Ikke almindelig:</w:t>
            </w:r>
            <w:r>
              <w:t xml:space="preserve"> Fald i antal hvide blodlegemer, fald i trombocyttal og segmenterede neutrofiler, fald i hæmoglobin og hæmatokrit; stigning i eosinofiltal, øget APPT, øget protrombintid, stigning i segmenterede neutrofiler og hvide blodlegemer </w:t>
            </w:r>
          </w:p>
          <w:p w14:paraId="6DD7FF16" w14:textId="77777777" w:rsidR="008563F5" w:rsidRDefault="008563F5">
            <w:pPr>
              <w:ind w:left="144"/>
              <w:rPr>
                <w:lang w:val="sv-SE"/>
              </w:rPr>
            </w:pPr>
            <w:r>
              <w:rPr>
                <w:i/>
                <w:iCs/>
                <w:lang w:val="sv-SE"/>
              </w:rPr>
              <w:t>Sjælden</w:t>
            </w:r>
            <w:r>
              <w:rPr>
                <w:lang w:val="sv-SE"/>
              </w:rPr>
              <w:t>: Fald i lymfocytter; stigning i båndneutrofiler, lymfocytter, metamyelocytter, monocytter og myelocytter; atypiske lymfocytter</w:t>
            </w:r>
          </w:p>
        </w:tc>
        <w:tc>
          <w:tcPr>
            <w:tcW w:w="1717" w:type="pct"/>
            <w:tcBorders>
              <w:top w:val="single" w:sz="4" w:space="0" w:color="000000"/>
              <w:left w:val="single" w:sz="4" w:space="0" w:color="000000"/>
              <w:bottom w:val="single" w:sz="4" w:space="0" w:color="000000"/>
              <w:right w:val="single" w:sz="4" w:space="0" w:color="000000"/>
            </w:tcBorders>
            <w:vAlign w:val="center"/>
            <w:hideMark/>
          </w:tcPr>
          <w:p w14:paraId="1261CF6E" w14:textId="77777777" w:rsidR="008563F5" w:rsidRDefault="008563F5">
            <w:pPr>
              <w:ind w:left="141"/>
              <w:rPr>
                <w:i/>
                <w:iCs/>
                <w:lang w:val="sv-SE"/>
              </w:rPr>
            </w:pPr>
            <w:r>
              <w:rPr>
                <w:i/>
                <w:iCs/>
                <w:lang w:val="sv-SE"/>
              </w:rPr>
              <w:t xml:space="preserve">Almindelig: </w:t>
            </w:r>
            <w:r>
              <w:rPr>
                <w:lang w:val="sv-SE"/>
              </w:rPr>
              <w:t>Fald i neutrofiltal</w:t>
            </w:r>
            <w:r>
              <w:rPr>
                <w:i/>
                <w:iCs/>
                <w:lang w:val="sv-SE"/>
              </w:rPr>
              <w:t xml:space="preserve"> </w:t>
            </w:r>
          </w:p>
          <w:p w14:paraId="4D5F59BF" w14:textId="77777777" w:rsidR="008563F5" w:rsidRDefault="008563F5">
            <w:pPr>
              <w:ind w:left="141"/>
              <w:rPr>
                <w:lang w:val="sv-SE"/>
              </w:rPr>
            </w:pPr>
            <w:r>
              <w:rPr>
                <w:i/>
                <w:iCs/>
                <w:lang w:val="sv-SE"/>
              </w:rPr>
              <w:t xml:space="preserve">Ikke almindelig: </w:t>
            </w:r>
            <w:r>
              <w:rPr>
                <w:lang w:val="sv-SE"/>
              </w:rPr>
              <w:t>Forhøjet trombocyttal, øget aktiveret partiel tromboplastintid (APPT), forlænget protrombintid; fald i hæmoglobin</w:t>
            </w:r>
          </w:p>
        </w:tc>
      </w:tr>
      <w:tr w:rsidR="008563F5" w14:paraId="47097583" w14:textId="77777777" w:rsidTr="008563F5">
        <w:trPr>
          <w:trHeight w:val="1442"/>
        </w:trPr>
        <w:tc>
          <w:tcPr>
            <w:tcW w:w="1405" w:type="pct"/>
            <w:tcBorders>
              <w:top w:val="single" w:sz="4" w:space="0" w:color="000000"/>
              <w:left w:val="single" w:sz="4" w:space="0" w:color="000000"/>
              <w:bottom w:val="single" w:sz="4" w:space="0" w:color="000000"/>
              <w:right w:val="single" w:sz="4" w:space="0" w:color="000000"/>
            </w:tcBorders>
            <w:vAlign w:val="center"/>
          </w:tcPr>
          <w:p w14:paraId="2B0D8B7F" w14:textId="77777777" w:rsidR="008563F5" w:rsidRDefault="008563F5">
            <w:pPr>
              <w:rPr>
                <w:lang w:val="en-GB"/>
              </w:rPr>
            </w:pPr>
            <w:r>
              <w:t>Urinanalyse</w:t>
            </w:r>
          </w:p>
          <w:p w14:paraId="41AD5044" w14:textId="77777777" w:rsidR="008563F5" w:rsidRDefault="008563F5"/>
        </w:tc>
        <w:tc>
          <w:tcPr>
            <w:tcW w:w="1878" w:type="pct"/>
            <w:tcBorders>
              <w:top w:val="single" w:sz="4" w:space="0" w:color="000000"/>
              <w:left w:val="single" w:sz="4" w:space="0" w:color="000000"/>
              <w:bottom w:val="single" w:sz="4" w:space="0" w:color="000000"/>
              <w:right w:val="single" w:sz="4" w:space="0" w:color="000000"/>
            </w:tcBorders>
            <w:vAlign w:val="center"/>
            <w:hideMark/>
          </w:tcPr>
          <w:p w14:paraId="30ED2555" w14:textId="77777777" w:rsidR="008563F5" w:rsidRDefault="008563F5">
            <w:pPr>
              <w:ind w:left="144"/>
              <w:rPr>
                <w:lang w:val="sv-SE"/>
              </w:rPr>
            </w:pPr>
            <w:r>
              <w:rPr>
                <w:i/>
                <w:iCs/>
                <w:lang w:val="sv-SE"/>
              </w:rPr>
              <w:t xml:space="preserve">Ikke almindelig: </w:t>
            </w:r>
            <w:r>
              <w:rPr>
                <w:lang w:val="sv-SE"/>
              </w:rPr>
              <w:t xml:space="preserve">Stigning i urinbakterier, hvide blodlegemer i urinen, epitelceller og røde blodlegemer i urinen; gærceller til stede i urinen </w:t>
            </w:r>
          </w:p>
          <w:p w14:paraId="14BE058C" w14:textId="77777777" w:rsidR="008563F5" w:rsidRDefault="008563F5">
            <w:pPr>
              <w:ind w:left="144"/>
              <w:rPr>
                <w:lang w:val="en-GB"/>
              </w:rPr>
            </w:pPr>
            <w:r>
              <w:rPr>
                <w:i/>
                <w:iCs/>
              </w:rPr>
              <w:t xml:space="preserve">Sjælden: </w:t>
            </w:r>
            <w:r>
              <w:t>Stigning i urobilinogen</w:t>
            </w:r>
          </w:p>
        </w:tc>
        <w:tc>
          <w:tcPr>
            <w:tcW w:w="1717" w:type="pct"/>
            <w:tcBorders>
              <w:top w:val="single" w:sz="4" w:space="0" w:color="000000"/>
              <w:left w:val="single" w:sz="4" w:space="0" w:color="000000"/>
              <w:bottom w:val="single" w:sz="4" w:space="0" w:color="000000"/>
              <w:right w:val="single" w:sz="4" w:space="0" w:color="000000"/>
            </w:tcBorders>
          </w:tcPr>
          <w:p w14:paraId="58E79344" w14:textId="77777777" w:rsidR="008563F5" w:rsidRDefault="008563F5"/>
        </w:tc>
      </w:tr>
      <w:tr w:rsidR="008563F5" w14:paraId="49E584BC" w14:textId="77777777" w:rsidTr="008563F5">
        <w:trPr>
          <w:trHeight w:val="733"/>
        </w:trPr>
        <w:tc>
          <w:tcPr>
            <w:tcW w:w="1405" w:type="pct"/>
            <w:tcBorders>
              <w:top w:val="single" w:sz="4" w:space="0" w:color="000000"/>
              <w:left w:val="single" w:sz="4" w:space="0" w:color="000000"/>
              <w:bottom w:val="single" w:sz="4" w:space="0" w:color="000000"/>
              <w:right w:val="single" w:sz="4" w:space="0" w:color="000000"/>
            </w:tcBorders>
            <w:vAlign w:val="center"/>
            <w:hideMark/>
          </w:tcPr>
          <w:p w14:paraId="50EE0C50" w14:textId="77777777" w:rsidR="008563F5" w:rsidRDefault="008563F5">
            <w:r>
              <w:t>Diverse</w:t>
            </w:r>
          </w:p>
        </w:tc>
        <w:tc>
          <w:tcPr>
            <w:tcW w:w="1878" w:type="pct"/>
            <w:tcBorders>
              <w:top w:val="single" w:sz="4" w:space="0" w:color="000000"/>
              <w:left w:val="single" w:sz="4" w:space="0" w:color="000000"/>
              <w:bottom w:val="single" w:sz="4" w:space="0" w:color="000000"/>
              <w:right w:val="single" w:sz="4" w:space="0" w:color="000000"/>
            </w:tcBorders>
            <w:vAlign w:val="center"/>
            <w:hideMark/>
          </w:tcPr>
          <w:p w14:paraId="575B3E37" w14:textId="77777777" w:rsidR="008563F5" w:rsidRDefault="008563F5">
            <w:pPr>
              <w:ind w:left="144"/>
            </w:pPr>
            <w:r>
              <w:rPr>
                <w:i/>
                <w:iCs/>
              </w:rPr>
              <w:t>Ikke almindelig</w:t>
            </w:r>
            <w:r>
              <w:t xml:space="preserve">: Positiv </w:t>
            </w:r>
            <w:r>
              <w:rPr>
                <w:i/>
                <w:iCs/>
              </w:rPr>
              <w:t>Clostridioides difficile</w:t>
            </w:r>
            <w:r>
              <w:t xml:space="preserve"> toksin</w:t>
            </w:r>
          </w:p>
        </w:tc>
        <w:tc>
          <w:tcPr>
            <w:tcW w:w="1717" w:type="pct"/>
            <w:tcBorders>
              <w:top w:val="single" w:sz="4" w:space="0" w:color="000000"/>
              <w:left w:val="single" w:sz="4" w:space="0" w:color="000000"/>
              <w:bottom w:val="single" w:sz="4" w:space="0" w:color="000000"/>
              <w:right w:val="single" w:sz="4" w:space="0" w:color="000000"/>
            </w:tcBorders>
          </w:tcPr>
          <w:p w14:paraId="626EA60F" w14:textId="77777777" w:rsidR="008563F5" w:rsidRDefault="008563F5"/>
        </w:tc>
      </w:tr>
    </w:tbl>
    <w:p w14:paraId="3ECB7C92" w14:textId="3D65EDB2" w:rsidR="00341535" w:rsidRDefault="00341535" w:rsidP="008563F5">
      <w:pPr>
        <w:autoSpaceDE w:val="0"/>
        <w:autoSpaceDN w:val="0"/>
        <w:adjustRightInd w:val="0"/>
        <w:ind w:left="851"/>
        <w:rPr>
          <w:sz w:val="24"/>
          <w:szCs w:val="24"/>
          <w:u w:val="single"/>
          <w:lang w:val="sv-SE"/>
        </w:rPr>
      </w:pPr>
    </w:p>
    <w:p w14:paraId="0A5C9C36" w14:textId="77777777" w:rsidR="00341535" w:rsidRDefault="00341535">
      <w:pPr>
        <w:rPr>
          <w:sz w:val="24"/>
          <w:szCs w:val="24"/>
          <w:u w:val="single"/>
          <w:lang w:val="sv-SE"/>
        </w:rPr>
      </w:pPr>
      <w:r>
        <w:rPr>
          <w:sz w:val="24"/>
          <w:szCs w:val="24"/>
          <w:u w:val="single"/>
          <w:lang w:val="sv-SE"/>
        </w:rPr>
        <w:br w:type="page"/>
      </w:r>
    </w:p>
    <w:p w14:paraId="27853C45" w14:textId="77777777" w:rsidR="00341535" w:rsidRDefault="00341535" w:rsidP="008563F5">
      <w:pPr>
        <w:autoSpaceDE w:val="0"/>
        <w:autoSpaceDN w:val="0"/>
        <w:adjustRightInd w:val="0"/>
        <w:ind w:left="851"/>
        <w:rPr>
          <w:sz w:val="24"/>
          <w:szCs w:val="24"/>
          <w:u w:val="single"/>
          <w:lang w:val="sv-SE"/>
        </w:rPr>
      </w:pPr>
    </w:p>
    <w:p w14:paraId="052200BC" w14:textId="427287AB" w:rsidR="008563F5" w:rsidRPr="008563F5" w:rsidRDefault="008563F5" w:rsidP="008563F5">
      <w:pPr>
        <w:autoSpaceDE w:val="0"/>
        <w:autoSpaceDN w:val="0"/>
        <w:adjustRightInd w:val="0"/>
        <w:ind w:left="851"/>
        <w:rPr>
          <w:sz w:val="24"/>
          <w:szCs w:val="24"/>
          <w:u w:val="single"/>
          <w:lang w:val="sv-SE"/>
        </w:rPr>
      </w:pPr>
      <w:r w:rsidRPr="008563F5">
        <w:rPr>
          <w:sz w:val="24"/>
          <w:szCs w:val="24"/>
          <w:u w:val="single"/>
          <w:lang w:val="sv-SE"/>
        </w:rPr>
        <w:t>Indberetning af formodede bivirkninger</w:t>
      </w:r>
    </w:p>
    <w:p w14:paraId="0482D703" w14:textId="77777777" w:rsidR="008563F5" w:rsidRPr="008563F5" w:rsidRDefault="008563F5" w:rsidP="008563F5">
      <w:pPr>
        <w:autoSpaceDE w:val="0"/>
        <w:autoSpaceDN w:val="0"/>
        <w:adjustRightInd w:val="0"/>
        <w:ind w:left="851"/>
        <w:rPr>
          <w:noProof/>
          <w:sz w:val="24"/>
          <w:szCs w:val="24"/>
          <w:lang w:val="de-DE"/>
        </w:rPr>
      </w:pPr>
      <w:r w:rsidRPr="008563F5">
        <w:rPr>
          <w:noProof/>
          <w:sz w:val="24"/>
          <w:szCs w:val="24"/>
          <w:lang w:val="de-DE"/>
        </w:rPr>
        <w:t xml:space="preserve">Når lægemidlet er godkendt, er indberetning af formodede bivirkninger vigtig. </w:t>
      </w:r>
      <w:r w:rsidRPr="008563F5">
        <w:rPr>
          <w:noProof/>
          <w:sz w:val="24"/>
          <w:szCs w:val="24"/>
          <w:lang w:val="sv-SE"/>
        </w:rPr>
        <w:t xml:space="preserve">Det muliggør løbende overvågning af benefit/risk-forholdet for lægemidlet. </w:t>
      </w:r>
      <w:r w:rsidRPr="008563F5">
        <w:rPr>
          <w:noProof/>
          <w:sz w:val="24"/>
          <w:szCs w:val="24"/>
          <w:lang w:val="de-DE"/>
        </w:rPr>
        <w:t xml:space="preserve">Sundhedspersoner anmodes om at indberette alle formodede bivirkninger via  </w:t>
      </w:r>
    </w:p>
    <w:p w14:paraId="2A7F2FBC" w14:textId="77777777" w:rsidR="008563F5" w:rsidRPr="008563F5" w:rsidRDefault="008563F5" w:rsidP="008563F5">
      <w:pPr>
        <w:ind w:left="851"/>
        <w:rPr>
          <w:noProof/>
          <w:sz w:val="24"/>
          <w:szCs w:val="24"/>
          <w:lang w:val="de-DE"/>
        </w:rPr>
      </w:pPr>
      <w:r w:rsidRPr="008563F5">
        <w:rPr>
          <w:noProof/>
          <w:sz w:val="24"/>
          <w:szCs w:val="24"/>
          <w:lang w:val="de-DE"/>
        </w:rPr>
        <w:t xml:space="preserve"> </w:t>
      </w:r>
    </w:p>
    <w:p w14:paraId="6C570820" w14:textId="77777777" w:rsidR="008563F5" w:rsidRPr="008563F5" w:rsidRDefault="008563F5" w:rsidP="008563F5">
      <w:pPr>
        <w:ind w:left="851"/>
        <w:rPr>
          <w:rFonts w:eastAsia="Calibri"/>
          <w:color w:val="000000"/>
          <w:sz w:val="24"/>
          <w:szCs w:val="24"/>
          <w:lang w:eastAsia="zh-CN"/>
        </w:rPr>
      </w:pPr>
      <w:r w:rsidRPr="008563F5">
        <w:rPr>
          <w:sz w:val="24"/>
          <w:szCs w:val="24"/>
        </w:rPr>
        <w:t>Lægemiddelstyrelsen</w:t>
      </w:r>
    </w:p>
    <w:p w14:paraId="61DFA2BE" w14:textId="77777777" w:rsidR="008563F5" w:rsidRPr="008563F5" w:rsidRDefault="008563F5" w:rsidP="008563F5">
      <w:pPr>
        <w:ind w:left="851"/>
        <w:rPr>
          <w:rFonts w:eastAsia="Calibri"/>
          <w:noProof/>
          <w:sz w:val="24"/>
          <w:szCs w:val="24"/>
          <w:lang w:eastAsia="zh-CN"/>
        </w:rPr>
      </w:pPr>
      <w:r w:rsidRPr="008563F5">
        <w:rPr>
          <w:rFonts w:eastAsia="Calibri"/>
          <w:sz w:val="24"/>
          <w:szCs w:val="24"/>
          <w:lang w:eastAsia="zh-CN"/>
        </w:rPr>
        <w:t>Axel Heides Gade 1</w:t>
      </w:r>
    </w:p>
    <w:p w14:paraId="5B733B3F" w14:textId="77777777" w:rsidR="008563F5" w:rsidRPr="008563F5" w:rsidRDefault="008563F5" w:rsidP="008563F5">
      <w:pPr>
        <w:ind w:left="851"/>
        <w:rPr>
          <w:rFonts w:eastAsia="Calibri"/>
          <w:noProof/>
          <w:sz w:val="24"/>
          <w:szCs w:val="24"/>
          <w:lang w:eastAsia="zh-CN"/>
        </w:rPr>
      </w:pPr>
      <w:r w:rsidRPr="008563F5">
        <w:rPr>
          <w:rFonts w:eastAsia="Calibri"/>
          <w:noProof/>
          <w:sz w:val="24"/>
          <w:szCs w:val="24"/>
          <w:lang w:eastAsia="zh-CN"/>
        </w:rPr>
        <w:t xml:space="preserve">DK-2300 </w:t>
      </w:r>
      <w:r w:rsidRPr="008563F5">
        <w:rPr>
          <w:rFonts w:eastAsia="Calibri"/>
          <w:sz w:val="24"/>
          <w:szCs w:val="24"/>
          <w:lang w:eastAsia="zh-CN"/>
        </w:rPr>
        <w:t>København S</w:t>
      </w:r>
    </w:p>
    <w:p w14:paraId="6EB4D320" w14:textId="6C74D2F8" w:rsidR="008563F5" w:rsidRPr="008563F5" w:rsidRDefault="008563F5" w:rsidP="008563F5">
      <w:pPr>
        <w:tabs>
          <w:tab w:val="left" w:pos="-720"/>
        </w:tabs>
        <w:suppressAutoHyphens/>
        <w:ind w:left="851"/>
        <w:rPr>
          <w:rFonts w:eastAsia="Calibri"/>
          <w:noProof/>
          <w:sz w:val="24"/>
          <w:szCs w:val="24"/>
          <w:lang w:eastAsia="zh-CN"/>
        </w:rPr>
      </w:pPr>
      <w:r w:rsidRPr="008563F5">
        <w:rPr>
          <w:rFonts w:eastAsia="Calibri"/>
          <w:sz w:val="24"/>
          <w:szCs w:val="24"/>
          <w:lang w:eastAsia="zh-CN"/>
        </w:rPr>
        <w:t>Websted</w:t>
      </w:r>
      <w:r w:rsidRPr="008563F5">
        <w:rPr>
          <w:rFonts w:eastAsia="Calibri"/>
          <w:noProof/>
          <w:sz w:val="24"/>
          <w:szCs w:val="24"/>
          <w:lang w:eastAsia="zh-CN"/>
        </w:rPr>
        <w:t xml:space="preserve">: </w:t>
      </w:r>
      <w:r w:rsidRPr="00341535">
        <w:rPr>
          <w:rFonts w:eastAsia="Calibri"/>
          <w:noProof/>
          <w:sz w:val="24"/>
          <w:szCs w:val="24"/>
          <w:lang w:eastAsia="zh-CN"/>
        </w:rPr>
        <w:t>www.meldenbivirkning.dk</w:t>
      </w:r>
    </w:p>
    <w:p w14:paraId="3A1174D2" w14:textId="77777777" w:rsidR="009260DE" w:rsidRPr="008563F5" w:rsidRDefault="009260DE" w:rsidP="008563F5">
      <w:pPr>
        <w:tabs>
          <w:tab w:val="left" w:pos="851"/>
        </w:tabs>
        <w:ind w:left="851"/>
        <w:rPr>
          <w:sz w:val="24"/>
          <w:szCs w:val="24"/>
        </w:rPr>
      </w:pPr>
    </w:p>
    <w:p w14:paraId="4ABB723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B3E0C5B" w14:textId="77777777" w:rsidR="005872EA" w:rsidRPr="005872EA" w:rsidRDefault="005872EA" w:rsidP="005872EA">
      <w:pPr>
        <w:tabs>
          <w:tab w:val="left" w:pos="851"/>
        </w:tabs>
        <w:ind w:left="851"/>
        <w:rPr>
          <w:sz w:val="24"/>
          <w:szCs w:val="24"/>
        </w:rPr>
      </w:pPr>
      <w:r w:rsidRPr="005872EA">
        <w:rPr>
          <w:sz w:val="24"/>
          <w:szCs w:val="24"/>
        </w:rPr>
        <w:t>Der er ingen specifik information vedrørende behandling af overdosering med ertapenem. Overdosering med ertapenem er ikke sandsynlig. Intravenøs administration af ertapenem 3 g dagligt i 8 dage til raske voksne frivillige resulterede ikke i signifikant toksicitet. I kliniske studier af voksne resulterede uforsætlig administration af op til 3 g på en dag ikke i bivirkninger af klinisk betydning. I pædiatriske kliniske studier resulterede en enkelt intravenøs (i.v.) dosis på 40 mg/kg op til maksimalt 2 g ikke i toksicitet.</w:t>
      </w:r>
    </w:p>
    <w:p w14:paraId="366CD022" w14:textId="77777777" w:rsidR="005872EA" w:rsidRPr="005872EA" w:rsidRDefault="005872EA" w:rsidP="005872EA">
      <w:pPr>
        <w:tabs>
          <w:tab w:val="left" w:pos="851"/>
        </w:tabs>
        <w:ind w:left="851"/>
        <w:rPr>
          <w:sz w:val="24"/>
          <w:szCs w:val="24"/>
        </w:rPr>
      </w:pPr>
    </w:p>
    <w:p w14:paraId="0779705D" w14:textId="77777777" w:rsidR="005872EA" w:rsidRPr="005872EA" w:rsidRDefault="005872EA" w:rsidP="005872EA">
      <w:pPr>
        <w:tabs>
          <w:tab w:val="left" w:pos="851"/>
        </w:tabs>
        <w:ind w:left="851"/>
        <w:rPr>
          <w:sz w:val="24"/>
          <w:szCs w:val="24"/>
        </w:rPr>
      </w:pPr>
      <w:r w:rsidRPr="005872EA">
        <w:rPr>
          <w:sz w:val="24"/>
          <w:szCs w:val="24"/>
        </w:rPr>
        <w:t>I tilfælde af overdosering skal behandling med Ertapenem "Steriscience" dog seponeres, og der skal gives generel understøttende behandling indtil renal elimination har fundet sted.</w:t>
      </w:r>
    </w:p>
    <w:p w14:paraId="58D84240" w14:textId="77777777" w:rsidR="005872EA" w:rsidRPr="005872EA" w:rsidRDefault="005872EA" w:rsidP="005872EA">
      <w:pPr>
        <w:tabs>
          <w:tab w:val="left" w:pos="851"/>
        </w:tabs>
        <w:ind w:left="851"/>
        <w:rPr>
          <w:sz w:val="24"/>
          <w:szCs w:val="24"/>
        </w:rPr>
      </w:pPr>
    </w:p>
    <w:p w14:paraId="7B72805E" w14:textId="77777777" w:rsidR="005872EA" w:rsidRPr="005872EA" w:rsidRDefault="005872EA" w:rsidP="005872EA">
      <w:pPr>
        <w:tabs>
          <w:tab w:val="left" w:pos="851"/>
        </w:tabs>
        <w:ind w:left="851"/>
        <w:rPr>
          <w:i/>
          <w:sz w:val="24"/>
          <w:szCs w:val="24"/>
        </w:rPr>
      </w:pPr>
      <w:r w:rsidRPr="005872EA">
        <w:rPr>
          <w:sz w:val="24"/>
          <w:szCs w:val="24"/>
        </w:rPr>
        <w:t>Ertapenem kan i nogen udstrækning fjernes ved hæmodialyse (se pkt. 5.2); der er dog ingen information vedrørende brug af hæmodialyse til behandling af overdosering.</w:t>
      </w:r>
    </w:p>
    <w:p w14:paraId="4A8C2778" w14:textId="77777777" w:rsidR="009260DE" w:rsidRPr="00C84483" w:rsidRDefault="009260DE" w:rsidP="009260DE">
      <w:pPr>
        <w:tabs>
          <w:tab w:val="left" w:pos="851"/>
        </w:tabs>
        <w:ind w:left="851"/>
        <w:rPr>
          <w:sz w:val="24"/>
          <w:szCs w:val="24"/>
        </w:rPr>
      </w:pPr>
    </w:p>
    <w:p w14:paraId="7DD307B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3DB4774" w14:textId="63FC92D6" w:rsidR="009260DE" w:rsidRPr="00C84483" w:rsidRDefault="005872EA" w:rsidP="009260DE">
      <w:pPr>
        <w:tabs>
          <w:tab w:val="left" w:pos="851"/>
        </w:tabs>
        <w:ind w:left="851"/>
        <w:rPr>
          <w:sz w:val="24"/>
          <w:szCs w:val="24"/>
        </w:rPr>
      </w:pPr>
      <w:r>
        <w:rPr>
          <w:sz w:val="24"/>
          <w:szCs w:val="24"/>
        </w:rPr>
        <w:t>A</w:t>
      </w:r>
    </w:p>
    <w:p w14:paraId="2E50F67F" w14:textId="77777777" w:rsidR="009260DE" w:rsidRPr="00C84483" w:rsidRDefault="009260DE" w:rsidP="009260DE">
      <w:pPr>
        <w:tabs>
          <w:tab w:val="left" w:pos="851"/>
        </w:tabs>
        <w:ind w:left="851"/>
        <w:rPr>
          <w:sz w:val="24"/>
          <w:szCs w:val="24"/>
        </w:rPr>
      </w:pPr>
    </w:p>
    <w:p w14:paraId="730D394E" w14:textId="77777777" w:rsidR="009260DE" w:rsidRPr="00C84483" w:rsidRDefault="009260DE" w:rsidP="009260DE">
      <w:pPr>
        <w:tabs>
          <w:tab w:val="left" w:pos="851"/>
        </w:tabs>
        <w:ind w:left="851"/>
        <w:rPr>
          <w:sz w:val="24"/>
          <w:szCs w:val="24"/>
        </w:rPr>
      </w:pPr>
    </w:p>
    <w:p w14:paraId="5D5C570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A8289F8" w14:textId="77777777" w:rsidR="009260DE" w:rsidRPr="00C84483" w:rsidRDefault="009260DE" w:rsidP="009260DE">
      <w:pPr>
        <w:tabs>
          <w:tab w:val="left" w:pos="851"/>
        </w:tabs>
        <w:ind w:left="851"/>
        <w:rPr>
          <w:sz w:val="24"/>
          <w:szCs w:val="24"/>
        </w:rPr>
      </w:pPr>
    </w:p>
    <w:p w14:paraId="3CF3C94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C14A286" w14:textId="7687F4CD" w:rsidR="005872EA" w:rsidRDefault="005872EA" w:rsidP="005872EA">
      <w:pPr>
        <w:ind w:left="851"/>
        <w:rPr>
          <w:sz w:val="24"/>
          <w:szCs w:val="24"/>
        </w:rPr>
      </w:pPr>
      <w:r w:rsidRPr="005872EA">
        <w:rPr>
          <w:sz w:val="24"/>
          <w:szCs w:val="24"/>
        </w:rPr>
        <w:t>Farmakoterapeutisk klassifikation: Antibakterielle lægemidler til systemisk brug, carbapenemer, ATC kode: J01DH03</w:t>
      </w:r>
      <w:r>
        <w:rPr>
          <w:sz w:val="24"/>
          <w:szCs w:val="24"/>
        </w:rPr>
        <w:t>.</w:t>
      </w:r>
    </w:p>
    <w:p w14:paraId="58C746B8" w14:textId="77777777" w:rsidR="005872EA" w:rsidRPr="005872EA" w:rsidRDefault="005872EA" w:rsidP="005872EA">
      <w:pPr>
        <w:ind w:left="851"/>
        <w:rPr>
          <w:sz w:val="24"/>
          <w:szCs w:val="24"/>
        </w:rPr>
      </w:pPr>
    </w:p>
    <w:p w14:paraId="1EABE020" w14:textId="77777777" w:rsidR="005872EA" w:rsidRPr="005872EA" w:rsidRDefault="005872EA" w:rsidP="005872EA">
      <w:pPr>
        <w:ind w:left="851"/>
        <w:rPr>
          <w:sz w:val="24"/>
          <w:szCs w:val="24"/>
          <w:u w:val="single"/>
        </w:rPr>
      </w:pPr>
      <w:r w:rsidRPr="005872EA">
        <w:rPr>
          <w:sz w:val="24"/>
          <w:szCs w:val="24"/>
          <w:u w:val="single"/>
        </w:rPr>
        <w:t>Virkningsmekanisme</w:t>
      </w:r>
    </w:p>
    <w:p w14:paraId="42C1DF40" w14:textId="77777777" w:rsidR="005872EA" w:rsidRPr="005872EA" w:rsidRDefault="005872EA" w:rsidP="005872EA">
      <w:pPr>
        <w:ind w:left="851"/>
        <w:rPr>
          <w:sz w:val="24"/>
          <w:szCs w:val="24"/>
        </w:rPr>
      </w:pPr>
      <w:r w:rsidRPr="005872EA">
        <w:rPr>
          <w:sz w:val="24"/>
          <w:szCs w:val="24"/>
        </w:rPr>
        <w:t xml:space="preserve">Ertapenem hæmmer bakteriecellevægssyntesen efter binding til penicillinbindende proteiner (PBP’er). I </w:t>
      </w:r>
      <w:r w:rsidRPr="005872EA">
        <w:rPr>
          <w:i/>
          <w:iCs/>
          <w:sz w:val="24"/>
          <w:szCs w:val="24"/>
        </w:rPr>
        <w:t>Escherichia coli</w:t>
      </w:r>
      <w:r w:rsidRPr="005872EA">
        <w:rPr>
          <w:sz w:val="24"/>
          <w:szCs w:val="24"/>
        </w:rPr>
        <w:t xml:space="preserve"> er affiniteten stærkest over for PBP 2 og 3.</w:t>
      </w:r>
    </w:p>
    <w:p w14:paraId="229E79DC" w14:textId="77777777" w:rsidR="005872EA" w:rsidRPr="005872EA" w:rsidRDefault="005872EA" w:rsidP="005872EA">
      <w:pPr>
        <w:ind w:left="851"/>
        <w:rPr>
          <w:sz w:val="24"/>
          <w:szCs w:val="24"/>
        </w:rPr>
      </w:pPr>
    </w:p>
    <w:p w14:paraId="34B5BE12" w14:textId="77777777" w:rsidR="005872EA" w:rsidRPr="005872EA" w:rsidRDefault="005872EA" w:rsidP="005872EA">
      <w:pPr>
        <w:ind w:left="851"/>
        <w:rPr>
          <w:sz w:val="24"/>
          <w:szCs w:val="24"/>
          <w:u w:val="single"/>
        </w:rPr>
      </w:pPr>
      <w:r w:rsidRPr="005872EA">
        <w:rPr>
          <w:sz w:val="24"/>
          <w:szCs w:val="24"/>
          <w:u w:val="single"/>
        </w:rPr>
        <w:t>Det farmakokinetiske/farmakodynamiske (PK/PD) forhold</w:t>
      </w:r>
    </w:p>
    <w:p w14:paraId="3B498784" w14:textId="77777777" w:rsidR="005872EA" w:rsidRPr="005872EA" w:rsidRDefault="005872EA" w:rsidP="005872EA">
      <w:pPr>
        <w:ind w:left="851"/>
        <w:rPr>
          <w:sz w:val="24"/>
          <w:szCs w:val="24"/>
        </w:rPr>
      </w:pPr>
      <w:r w:rsidRPr="005872EA">
        <w:rPr>
          <w:sz w:val="24"/>
          <w:szCs w:val="24"/>
        </w:rPr>
        <w:t>I lighed med andre beta-laktam antimikrobielle stoffer har tiden som ertapenems plasmakoncentration overstiger den inficerende organismes MIC vist sig bedst at korrelere med virkningen i non-kliniske PK/PD studier.</w:t>
      </w:r>
    </w:p>
    <w:p w14:paraId="0EE097AA" w14:textId="77777777" w:rsidR="005872EA" w:rsidRPr="005872EA" w:rsidRDefault="005872EA" w:rsidP="005872EA">
      <w:pPr>
        <w:ind w:left="851"/>
        <w:rPr>
          <w:sz w:val="24"/>
          <w:szCs w:val="24"/>
        </w:rPr>
      </w:pPr>
    </w:p>
    <w:p w14:paraId="59271DE3" w14:textId="77777777" w:rsidR="005872EA" w:rsidRPr="005872EA" w:rsidRDefault="005872EA" w:rsidP="005872EA">
      <w:pPr>
        <w:ind w:left="851"/>
        <w:rPr>
          <w:sz w:val="24"/>
          <w:szCs w:val="24"/>
          <w:u w:val="single"/>
        </w:rPr>
      </w:pPr>
      <w:r w:rsidRPr="005872EA">
        <w:rPr>
          <w:sz w:val="24"/>
          <w:szCs w:val="24"/>
          <w:u w:val="single"/>
        </w:rPr>
        <w:t>Resistensmekanisme</w:t>
      </w:r>
    </w:p>
    <w:p w14:paraId="4CB27218" w14:textId="6FF0F08F" w:rsidR="005872EA" w:rsidRPr="005872EA" w:rsidRDefault="005872EA" w:rsidP="005872EA">
      <w:pPr>
        <w:ind w:left="851"/>
        <w:rPr>
          <w:sz w:val="24"/>
          <w:szCs w:val="24"/>
        </w:rPr>
      </w:pPr>
      <w:r w:rsidRPr="005872EA">
        <w:rPr>
          <w:sz w:val="24"/>
          <w:szCs w:val="24"/>
        </w:rPr>
        <w:t>For arter, der betragtes som modtagelige for ertapenem, var resistens usædvanlig i kontrolstudier i Europa. I resistente isolater sås resistens over for andre antibakterielle stoffer i carbapenemklassen i nogle men ikke alle isolater. Ertapenem er effektivt stabilt over for hydrolyse af de fleste beta-laktamaseklasser, inklusive penicillinaser, cefalosporinaser og udvidede spektrum beta-laktamaser, men ikke metallo-beta-laktamaser.</w:t>
      </w:r>
    </w:p>
    <w:p w14:paraId="74CFDA62" w14:textId="77777777" w:rsidR="005872EA" w:rsidRPr="005872EA" w:rsidRDefault="005872EA" w:rsidP="005872EA">
      <w:pPr>
        <w:ind w:left="851"/>
        <w:rPr>
          <w:sz w:val="24"/>
          <w:szCs w:val="24"/>
        </w:rPr>
      </w:pPr>
    </w:p>
    <w:p w14:paraId="64F9CF5F" w14:textId="77777777" w:rsidR="005872EA" w:rsidRPr="005872EA" w:rsidRDefault="005872EA" w:rsidP="005872EA">
      <w:pPr>
        <w:ind w:left="851"/>
        <w:rPr>
          <w:sz w:val="24"/>
          <w:szCs w:val="24"/>
        </w:rPr>
      </w:pPr>
      <w:r w:rsidRPr="005872EA">
        <w:rPr>
          <w:sz w:val="24"/>
          <w:szCs w:val="24"/>
        </w:rPr>
        <w:t>Methicillin-resistente stafylokokker og enterokokker er resistente over for ertapenem på grund af PBP målcelle-ufølsomhed; P. aeruginosa og andre ikke-gærende bakterier er generelt resistente, sandsynligvis på grund af begrænset penetration og aktiv udstrømning.</w:t>
      </w:r>
    </w:p>
    <w:p w14:paraId="5E954D65" w14:textId="77777777" w:rsidR="005872EA" w:rsidRPr="005872EA" w:rsidRDefault="005872EA" w:rsidP="005872EA">
      <w:pPr>
        <w:ind w:left="851"/>
        <w:rPr>
          <w:sz w:val="24"/>
          <w:szCs w:val="24"/>
        </w:rPr>
      </w:pPr>
    </w:p>
    <w:p w14:paraId="20C70C63" w14:textId="77777777" w:rsidR="005872EA" w:rsidRPr="005872EA" w:rsidRDefault="005872EA" w:rsidP="005872EA">
      <w:pPr>
        <w:ind w:left="851"/>
        <w:rPr>
          <w:sz w:val="24"/>
          <w:szCs w:val="24"/>
        </w:rPr>
      </w:pPr>
      <w:r w:rsidRPr="005872EA">
        <w:rPr>
          <w:sz w:val="24"/>
          <w:szCs w:val="24"/>
        </w:rPr>
        <w:t>Resistens er usædvanlig hos Enterobacteriaceae, og ertapenem er generelt aktivt over for dem med udvidet spektrum beta-laktamaser (ESBL). Resistens kan imidlertid observeres, når ESBL eller andre potente beta-laktamaser (f.eks. AmpC typer) er til stede i forbindelse med reduceret permeabilitet, der opstår ved tab af en eller flere ydre membranporiner, eller med opreguleret udstrømning. Resistens kan også opstå via tilegnelse af beta-laktamaser med signifikant carbapenem-hydrolyserende aktivitet (f.eks. IMP og VIM metallo-beta-laktamaser eller KPC typer), skønt disse er sjældne.</w:t>
      </w:r>
    </w:p>
    <w:p w14:paraId="0F32ECA3" w14:textId="77777777" w:rsidR="005872EA" w:rsidRPr="005872EA" w:rsidRDefault="005872EA" w:rsidP="005872EA">
      <w:pPr>
        <w:ind w:left="851"/>
        <w:rPr>
          <w:sz w:val="24"/>
          <w:szCs w:val="24"/>
        </w:rPr>
      </w:pPr>
    </w:p>
    <w:p w14:paraId="2FACE54F" w14:textId="0949977D" w:rsidR="005872EA" w:rsidRDefault="005872EA" w:rsidP="005872EA">
      <w:pPr>
        <w:ind w:left="851"/>
        <w:rPr>
          <w:sz w:val="24"/>
          <w:szCs w:val="24"/>
        </w:rPr>
      </w:pPr>
      <w:r w:rsidRPr="005872EA">
        <w:rPr>
          <w:sz w:val="24"/>
          <w:szCs w:val="24"/>
        </w:rPr>
        <w:t>Ertapenems virkningsmekanisme er forskellig fra andre antibiotikaklassers, såsom quinoloner, aminoglykosider, makrolider og tetracykliner. Der er ingen målbaseret krydsresistens mellem ertapenem og disse substanser. Mikroorganismer kan dog udvise resistens over for mere end en klasse af antibakterielle stoffer, når mekanismen er, eller omfatter, uigennemtrængelighed for nogle sammensætninger og/eller en udstrømningspumpe.</w:t>
      </w:r>
    </w:p>
    <w:p w14:paraId="67453B7F" w14:textId="77777777" w:rsidR="005872EA" w:rsidRPr="005872EA" w:rsidRDefault="005872EA" w:rsidP="005872EA">
      <w:pPr>
        <w:ind w:left="851"/>
        <w:rPr>
          <w:sz w:val="24"/>
          <w:szCs w:val="24"/>
        </w:rPr>
      </w:pPr>
    </w:p>
    <w:p w14:paraId="16E5D51A" w14:textId="77777777" w:rsidR="005872EA" w:rsidRPr="005872EA" w:rsidRDefault="005872EA" w:rsidP="005872EA">
      <w:pPr>
        <w:ind w:left="851"/>
        <w:rPr>
          <w:b/>
          <w:bCs/>
          <w:i/>
          <w:iCs/>
          <w:sz w:val="24"/>
          <w:szCs w:val="24"/>
          <w:u w:val="single"/>
        </w:rPr>
      </w:pPr>
      <w:r w:rsidRPr="005872EA">
        <w:rPr>
          <w:b/>
          <w:bCs/>
          <w:i/>
          <w:iCs/>
          <w:sz w:val="24"/>
          <w:szCs w:val="24"/>
          <w:u w:val="single"/>
        </w:rPr>
        <w:t>Grænseværdier</w:t>
      </w:r>
    </w:p>
    <w:p w14:paraId="0A2D1247" w14:textId="77777777" w:rsidR="005872EA" w:rsidRPr="005872EA" w:rsidRDefault="005872EA" w:rsidP="005872EA">
      <w:pPr>
        <w:ind w:left="851"/>
        <w:rPr>
          <w:sz w:val="24"/>
          <w:szCs w:val="24"/>
        </w:rPr>
      </w:pPr>
      <w:r w:rsidRPr="005872EA">
        <w:rPr>
          <w:sz w:val="24"/>
          <w:szCs w:val="24"/>
        </w:rPr>
        <w:t>EUCAST MIC-grænseværdier er som følgende:</w:t>
      </w:r>
    </w:p>
    <w:p w14:paraId="7E22DA5F"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da-DK"/>
        </w:rPr>
      </w:pPr>
      <w:r w:rsidRPr="005872EA">
        <w:rPr>
          <w:i/>
          <w:iCs/>
          <w:sz w:val="24"/>
          <w:szCs w:val="24"/>
          <w:lang w:val="da-DK"/>
        </w:rPr>
        <w:t xml:space="preserve">Enterobakterier: S ≤ 0,5 mg/l og R &gt; 0,5 mg/l </w:t>
      </w:r>
    </w:p>
    <w:p w14:paraId="1A2071A4"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da-DK"/>
        </w:rPr>
      </w:pPr>
      <w:r w:rsidRPr="005872EA">
        <w:rPr>
          <w:i/>
          <w:iCs/>
          <w:sz w:val="24"/>
          <w:szCs w:val="24"/>
          <w:lang w:val="da-DK"/>
        </w:rPr>
        <w:t xml:space="preserve">Streptococcus pneumoniae: S≤ 0,5 mg/l og R &gt; 0,5 mg/l </w:t>
      </w:r>
    </w:p>
    <w:p w14:paraId="69B44F42" w14:textId="77777777" w:rsidR="005872EA" w:rsidRPr="005872EA" w:rsidRDefault="005872EA" w:rsidP="005872EA">
      <w:pPr>
        <w:pStyle w:val="Listeafsnit"/>
        <w:numPr>
          <w:ilvl w:val="0"/>
          <w:numId w:val="8"/>
        </w:numPr>
        <w:spacing w:line="240" w:lineRule="auto"/>
        <w:ind w:left="851" w:firstLine="0"/>
        <w:contextualSpacing w:val="0"/>
        <w:rPr>
          <w:i/>
          <w:iCs/>
          <w:sz w:val="24"/>
          <w:szCs w:val="24"/>
        </w:rPr>
      </w:pPr>
      <w:r w:rsidRPr="005872EA">
        <w:rPr>
          <w:i/>
          <w:iCs/>
          <w:sz w:val="24"/>
          <w:szCs w:val="24"/>
        </w:rPr>
        <w:t xml:space="preserve">Haemophilus influenzae: S ≤ 0,5 mg/l og R &gt; 0,5 mg/l </w:t>
      </w:r>
    </w:p>
    <w:p w14:paraId="45517709"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pt-PT"/>
        </w:rPr>
      </w:pPr>
      <w:r w:rsidRPr="005872EA">
        <w:rPr>
          <w:i/>
          <w:iCs/>
          <w:sz w:val="24"/>
          <w:szCs w:val="24"/>
          <w:lang w:val="pt-PT"/>
        </w:rPr>
        <w:t xml:space="preserve">M. catarrhalis: S ≤ 0,5 mg/l og R &gt; 0,5 mg/l </w:t>
      </w:r>
    </w:p>
    <w:p w14:paraId="615068DD"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pt-PT"/>
        </w:rPr>
      </w:pPr>
      <w:r w:rsidRPr="005872EA">
        <w:rPr>
          <w:i/>
          <w:iCs/>
          <w:sz w:val="24"/>
          <w:szCs w:val="24"/>
          <w:lang w:val="pt-PT"/>
        </w:rPr>
        <w:t xml:space="preserve">Gram negative anaerober: S ≤ 0,5 mg/l og R &gt; 0,5 mg/l </w:t>
      </w:r>
    </w:p>
    <w:p w14:paraId="64D3C2E5"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pt-PT"/>
        </w:rPr>
      </w:pPr>
      <w:r w:rsidRPr="005872EA">
        <w:rPr>
          <w:i/>
          <w:iCs/>
          <w:sz w:val="24"/>
          <w:szCs w:val="24"/>
          <w:lang w:val="pt-PT"/>
        </w:rPr>
        <w:t xml:space="preserve">Gram positive anaerober: S ≤ 0,5 mg/l og R &gt; 0,5 mg/l </w:t>
      </w:r>
    </w:p>
    <w:p w14:paraId="2AE8B883"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sv-SE"/>
        </w:rPr>
      </w:pPr>
      <w:r w:rsidRPr="005872EA">
        <w:rPr>
          <w:i/>
          <w:iCs/>
          <w:sz w:val="24"/>
          <w:szCs w:val="24"/>
          <w:lang w:val="sv-SE"/>
        </w:rPr>
        <w:t xml:space="preserve">Streptokokker af viridans-gruppen: S ≤ 0,5 mg/l og R &gt; 0,5 mg/l </w:t>
      </w:r>
    </w:p>
    <w:p w14:paraId="3CFB53F4" w14:textId="77777777" w:rsidR="005872EA" w:rsidRPr="005872EA" w:rsidRDefault="005872EA" w:rsidP="005872EA">
      <w:pPr>
        <w:pStyle w:val="Listeafsnit"/>
        <w:numPr>
          <w:ilvl w:val="0"/>
          <w:numId w:val="8"/>
        </w:numPr>
        <w:spacing w:line="240" w:lineRule="auto"/>
        <w:ind w:left="851" w:firstLine="0"/>
        <w:contextualSpacing w:val="0"/>
        <w:rPr>
          <w:i/>
          <w:iCs/>
          <w:sz w:val="24"/>
          <w:szCs w:val="24"/>
          <w:lang w:val="da-DK"/>
        </w:rPr>
      </w:pPr>
      <w:r w:rsidRPr="005872EA">
        <w:rPr>
          <w:i/>
          <w:iCs/>
          <w:sz w:val="24"/>
          <w:szCs w:val="24"/>
          <w:lang w:val="da-DK"/>
        </w:rPr>
        <w:t>Non species relaterede grænseværdier: S ≤ 0,5 mg/l og R &gt; 0,5 mg/l</w:t>
      </w:r>
    </w:p>
    <w:p w14:paraId="10D093BB" w14:textId="77777777" w:rsidR="005872EA" w:rsidRPr="005872EA" w:rsidRDefault="005872EA" w:rsidP="005872EA">
      <w:pPr>
        <w:ind w:left="851"/>
        <w:rPr>
          <w:i/>
          <w:iCs/>
          <w:sz w:val="24"/>
          <w:szCs w:val="24"/>
        </w:rPr>
      </w:pPr>
      <w:r w:rsidRPr="005872EA">
        <w:rPr>
          <w:i/>
          <w:iCs/>
          <w:sz w:val="24"/>
          <w:szCs w:val="24"/>
        </w:rPr>
        <w:t>(NB: Staphylococci følsomheden over for ertapenem udledes fra methicillinfølsomhed og gruppe A-, B-, C- og G-streptokokkers følsomhed udledes fra benzylpenicillinfølsomhed).</w:t>
      </w:r>
    </w:p>
    <w:p w14:paraId="2CC0297A" w14:textId="660873F7" w:rsidR="005872EA" w:rsidRDefault="005872EA" w:rsidP="005872EA">
      <w:pPr>
        <w:ind w:left="851"/>
        <w:rPr>
          <w:sz w:val="24"/>
          <w:szCs w:val="24"/>
          <w:lang w:val="de-DE"/>
        </w:rPr>
      </w:pPr>
      <w:r w:rsidRPr="005872EA">
        <w:rPr>
          <w:sz w:val="24"/>
          <w:szCs w:val="24"/>
          <w:lang w:val="de-DE"/>
        </w:rPr>
        <w:t>Lægen, der udskriver medicinen, informeres om, at der bør bruges lokale MIC-grænseværdier, hvis de findes.</w:t>
      </w:r>
    </w:p>
    <w:p w14:paraId="6D55BC18" w14:textId="77777777" w:rsidR="005872EA" w:rsidRPr="005872EA" w:rsidRDefault="005872EA" w:rsidP="005872EA">
      <w:pPr>
        <w:ind w:left="851"/>
        <w:rPr>
          <w:sz w:val="24"/>
          <w:szCs w:val="24"/>
          <w:lang w:val="de-DE"/>
        </w:rPr>
      </w:pPr>
    </w:p>
    <w:p w14:paraId="6303FE2B" w14:textId="77777777" w:rsidR="005872EA" w:rsidRPr="005872EA" w:rsidRDefault="005872EA" w:rsidP="005872EA">
      <w:pPr>
        <w:ind w:left="851"/>
        <w:rPr>
          <w:sz w:val="24"/>
          <w:szCs w:val="24"/>
          <w:u w:val="single"/>
          <w:lang w:val="de-DE"/>
        </w:rPr>
      </w:pPr>
      <w:r w:rsidRPr="005872EA">
        <w:rPr>
          <w:sz w:val="24"/>
          <w:szCs w:val="24"/>
          <w:u w:val="single"/>
          <w:lang w:val="de-DE"/>
        </w:rPr>
        <w:t>Mikrobiologisk følsomhed</w:t>
      </w:r>
    </w:p>
    <w:p w14:paraId="2B3A9116" w14:textId="0D1DDE1B" w:rsidR="005872EA" w:rsidRDefault="005872EA" w:rsidP="005872EA">
      <w:pPr>
        <w:ind w:left="851"/>
        <w:rPr>
          <w:lang w:val="de-DE"/>
        </w:rPr>
      </w:pPr>
      <w:r w:rsidRPr="005872EA">
        <w:rPr>
          <w:sz w:val="24"/>
          <w:szCs w:val="24"/>
          <w:lang w:val="de-DE"/>
        </w:rPr>
        <w:t xml:space="preserve">Prævalensen af erhvervet resistens kan variere geografisk og med tid for udvalgte arter og lokal information vedrørende resistens anbefales, særligt i tilfælde af svære infektioner. Der er i den Europæiske Union rapporteret om lokaliserede infektionsklynger grundet carbapenem-resistente organismer. Nedenstående information er udelukkende vejledende for sandsynligheden for om mikroorganismen </w:t>
      </w:r>
      <w:r>
        <w:rPr>
          <w:lang w:val="de-DE"/>
        </w:rPr>
        <w:t>er følsom over for ertapenem eller ej.</w:t>
      </w:r>
    </w:p>
    <w:p w14:paraId="4DDE6F2D" w14:textId="77777777" w:rsidR="005872EA" w:rsidRDefault="005872EA" w:rsidP="005872EA">
      <w:pPr>
        <w:ind w:left="851"/>
        <w:rPr>
          <w:lang w:val="de-D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628"/>
      </w:tblGrid>
      <w:tr w:rsidR="005872EA" w14:paraId="31DECF12" w14:textId="77777777" w:rsidTr="005872EA">
        <w:trPr>
          <w:trHeight w:val="254"/>
        </w:trPr>
        <w:tc>
          <w:tcPr>
            <w:tcW w:w="5000" w:type="pct"/>
            <w:tcBorders>
              <w:top w:val="single" w:sz="4" w:space="0" w:color="000000"/>
              <w:left w:val="single" w:sz="4" w:space="0" w:color="000000"/>
              <w:bottom w:val="single" w:sz="4" w:space="0" w:color="000000"/>
              <w:right w:val="single" w:sz="4" w:space="0" w:color="000000"/>
            </w:tcBorders>
            <w:hideMark/>
          </w:tcPr>
          <w:p w14:paraId="00DCCE31" w14:textId="77777777" w:rsidR="005872EA" w:rsidRDefault="005872EA">
            <w:pPr>
              <w:pStyle w:val="TableParagraph"/>
              <w:spacing w:before="45" w:line="189" w:lineRule="exact"/>
              <w:ind w:left="100"/>
              <w:rPr>
                <w:b/>
                <w:i/>
              </w:rPr>
            </w:pPr>
            <w:bookmarkStart w:id="0" w:name="_Hlk166764981"/>
            <w:r>
              <w:rPr>
                <w:b/>
                <w:i/>
                <w:w w:val="130"/>
              </w:rPr>
              <w:t>Almindeligvis følsomme arter:</w:t>
            </w:r>
          </w:p>
        </w:tc>
      </w:tr>
      <w:tr w:rsidR="005872EA" w14:paraId="615D1F5E" w14:textId="77777777" w:rsidTr="005872EA">
        <w:trPr>
          <w:trHeight w:val="1264"/>
        </w:trPr>
        <w:tc>
          <w:tcPr>
            <w:tcW w:w="5000" w:type="pct"/>
            <w:tcBorders>
              <w:top w:val="single" w:sz="4" w:space="0" w:color="000000"/>
              <w:left w:val="single" w:sz="4" w:space="0" w:color="000000"/>
              <w:bottom w:val="single" w:sz="4" w:space="0" w:color="000000"/>
              <w:right w:val="single" w:sz="4" w:space="0" w:color="000000"/>
            </w:tcBorders>
            <w:hideMark/>
          </w:tcPr>
          <w:p w14:paraId="4BBAB1E4" w14:textId="77777777" w:rsidR="005872EA" w:rsidRDefault="005872EA">
            <w:pPr>
              <w:spacing w:line="360" w:lineRule="auto"/>
              <w:ind w:left="142"/>
              <w:rPr>
                <w:b/>
                <w:bCs/>
              </w:rPr>
            </w:pPr>
            <w:r>
              <w:rPr>
                <w:b/>
                <w:bCs/>
              </w:rPr>
              <w:t>Gram-positive aerober:</w:t>
            </w:r>
          </w:p>
          <w:p w14:paraId="544760B0" w14:textId="77777777" w:rsidR="005872EA" w:rsidRDefault="005872EA">
            <w:pPr>
              <w:spacing w:line="360" w:lineRule="auto"/>
              <w:ind w:left="142"/>
            </w:pPr>
            <w:r>
              <w:t xml:space="preserve">Methicillin-følsomme stafylokokker herunder </w:t>
            </w:r>
          </w:p>
          <w:p w14:paraId="515534D3" w14:textId="77777777" w:rsidR="005872EA" w:rsidRDefault="005872EA">
            <w:pPr>
              <w:spacing w:line="360" w:lineRule="auto"/>
              <w:ind w:left="142"/>
              <w:rPr>
                <w:i/>
                <w:iCs/>
                <w:lang w:val="de-DE"/>
              </w:rPr>
            </w:pPr>
            <w:r>
              <w:rPr>
                <w:i/>
                <w:iCs/>
                <w:lang w:val="de-DE"/>
              </w:rPr>
              <w:t>Staphylococcus aureus*</w:t>
            </w:r>
          </w:p>
          <w:p w14:paraId="4CD86A47" w14:textId="77777777" w:rsidR="005872EA" w:rsidRDefault="005872EA">
            <w:pPr>
              <w:spacing w:line="360" w:lineRule="auto"/>
              <w:ind w:left="142"/>
              <w:rPr>
                <w:lang w:val="en-GB"/>
              </w:rPr>
            </w:pPr>
            <w:r>
              <w:rPr>
                <w:i/>
                <w:iCs/>
                <w:lang w:val="de-DE"/>
              </w:rPr>
              <w:t>Streptococcus agalactiae*</w:t>
            </w:r>
          </w:p>
          <w:p w14:paraId="257207A7" w14:textId="77777777" w:rsidR="005872EA" w:rsidRDefault="005872EA">
            <w:pPr>
              <w:spacing w:line="360" w:lineRule="auto"/>
              <w:ind w:left="142"/>
              <w:rPr>
                <w:i/>
                <w:iCs/>
                <w:lang w:val="de-DE"/>
              </w:rPr>
            </w:pPr>
            <w:r>
              <w:rPr>
                <w:i/>
                <w:iCs/>
                <w:lang w:val="de-DE"/>
              </w:rPr>
              <w:t>Streptococcus pneumoniae*</w:t>
            </w:r>
            <w:r>
              <w:rPr>
                <w:iCs/>
                <w:lang w:val="de-DE"/>
              </w:rPr>
              <w:t>†</w:t>
            </w:r>
          </w:p>
          <w:p w14:paraId="229C4DB0" w14:textId="77777777" w:rsidR="005872EA" w:rsidRDefault="005872EA">
            <w:pPr>
              <w:spacing w:line="360" w:lineRule="auto"/>
              <w:ind w:left="142" w:right="5092"/>
              <w:rPr>
                <w:i/>
                <w:iCs/>
                <w:lang w:val="en-GB"/>
              </w:rPr>
            </w:pPr>
            <w:r>
              <w:rPr>
                <w:i/>
                <w:iCs/>
                <w:lang w:val="de-DE"/>
              </w:rPr>
              <w:t>Streptococcus pyogenes</w:t>
            </w:r>
          </w:p>
        </w:tc>
        <w:bookmarkEnd w:id="0"/>
      </w:tr>
      <w:tr w:rsidR="005872EA" w14:paraId="2C0DECE1" w14:textId="77777777" w:rsidTr="005872EA">
        <w:trPr>
          <w:trHeight w:val="1407"/>
        </w:trPr>
        <w:tc>
          <w:tcPr>
            <w:tcW w:w="5000" w:type="pct"/>
            <w:tcBorders>
              <w:top w:val="single" w:sz="4" w:space="0" w:color="000000"/>
              <w:left w:val="single" w:sz="4" w:space="0" w:color="000000"/>
              <w:bottom w:val="single" w:sz="4" w:space="0" w:color="000000"/>
              <w:right w:val="single" w:sz="4" w:space="0" w:color="000000"/>
            </w:tcBorders>
          </w:tcPr>
          <w:p w14:paraId="4C894F76" w14:textId="77777777" w:rsidR="005872EA" w:rsidRDefault="005872EA">
            <w:pPr>
              <w:spacing w:line="360" w:lineRule="auto"/>
              <w:ind w:left="142" w:right="5092"/>
              <w:rPr>
                <w:b/>
                <w:bCs/>
                <w:lang w:val="de-DE"/>
              </w:rPr>
            </w:pPr>
            <w:r>
              <w:rPr>
                <w:b/>
                <w:bCs/>
                <w:lang w:val="de-DE"/>
              </w:rPr>
              <w:lastRenderedPageBreak/>
              <w:t xml:space="preserve">Gram-negative aerober: </w:t>
            </w:r>
          </w:p>
          <w:p w14:paraId="4ABA3470" w14:textId="77777777" w:rsidR="005872EA" w:rsidRDefault="005872EA">
            <w:pPr>
              <w:spacing w:line="360" w:lineRule="auto"/>
              <w:ind w:left="142" w:right="5092"/>
              <w:rPr>
                <w:i/>
                <w:iCs/>
                <w:lang w:val="de-DE"/>
              </w:rPr>
            </w:pPr>
            <w:r>
              <w:rPr>
                <w:i/>
                <w:iCs/>
                <w:lang w:val="de-DE"/>
              </w:rPr>
              <w:t xml:space="preserve">Citrobacter freundii </w:t>
            </w:r>
          </w:p>
          <w:p w14:paraId="647A8CF8" w14:textId="77777777" w:rsidR="005872EA" w:rsidRDefault="005872EA">
            <w:pPr>
              <w:spacing w:line="360" w:lineRule="auto"/>
              <w:ind w:left="142" w:right="5092"/>
              <w:rPr>
                <w:i/>
                <w:iCs/>
                <w:lang w:val="de-DE"/>
              </w:rPr>
            </w:pPr>
            <w:r>
              <w:rPr>
                <w:i/>
                <w:iCs/>
                <w:lang w:val="de-DE"/>
              </w:rPr>
              <w:t xml:space="preserve">Enterobacter aerogenes </w:t>
            </w:r>
          </w:p>
          <w:p w14:paraId="4C7EEF98" w14:textId="77777777" w:rsidR="005872EA" w:rsidRDefault="005872EA">
            <w:pPr>
              <w:spacing w:line="360" w:lineRule="auto"/>
              <w:ind w:left="142" w:right="5092"/>
              <w:rPr>
                <w:i/>
                <w:iCs/>
                <w:lang w:val="de-DE"/>
              </w:rPr>
            </w:pPr>
            <w:r>
              <w:rPr>
                <w:i/>
                <w:iCs/>
                <w:lang w:val="de-DE"/>
              </w:rPr>
              <w:t xml:space="preserve">Enterobacter cloacae </w:t>
            </w:r>
          </w:p>
          <w:p w14:paraId="3CBA6A78" w14:textId="77777777" w:rsidR="005872EA" w:rsidRDefault="005872EA">
            <w:pPr>
              <w:spacing w:line="360" w:lineRule="auto"/>
              <w:ind w:left="142" w:right="5092"/>
              <w:rPr>
                <w:i/>
                <w:iCs/>
                <w:lang w:val="de-DE"/>
              </w:rPr>
            </w:pPr>
            <w:r>
              <w:rPr>
                <w:i/>
                <w:iCs/>
                <w:lang w:val="de-DE"/>
              </w:rPr>
              <w:t xml:space="preserve">Escherichia coli* </w:t>
            </w:r>
          </w:p>
          <w:p w14:paraId="569345AC" w14:textId="77777777" w:rsidR="005872EA" w:rsidRDefault="005872EA">
            <w:pPr>
              <w:spacing w:line="360" w:lineRule="auto"/>
              <w:ind w:left="142" w:right="5092"/>
              <w:rPr>
                <w:i/>
                <w:iCs/>
                <w:lang w:val="de-DE"/>
              </w:rPr>
            </w:pPr>
            <w:r>
              <w:rPr>
                <w:i/>
                <w:iCs/>
                <w:lang w:val="de-DE"/>
              </w:rPr>
              <w:t xml:space="preserve">Haemophilus influenzae* </w:t>
            </w:r>
          </w:p>
          <w:p w14:paraId="6AE4CDA5" w14:textId="77777777" w:rsidR="005872EA" w:rsidRDefault="005872EA">
            <w:pPr>
              <w:spacing w:line="360" w:lineRule="auto"/>
              <w:ind w:left="142" w:right="5092"/>
              <w:rPr>
                <w:i/>
                <w:iCs/>
                <w:lang w:val="de-DE"/>
              </w:rPr>
            </w:pPr>
            <w:r>
              <w:rPr>
                <w:i/>
                <w:iCs/>
                <w:lang w:val="de-DE"/>
              </w:rPr>
              <w:t>Haemophilus parainfluenzae</w:t>
            </w:r>
          </w:p>
          <w:p w14:paraId="66B21DF0" w14:textId="77777777" w:rsidR="005872EA" w:rsidRDefault="005872EA">
            <w:pPr>
              <w:spacing w:line="360" w:lineRule="auto"/>
              <w:ind w:left="142" w:right="5092"/>
              <w:rPr>
                <w:i/>
                <w:iCs/>
                <w:lang w:val="de-DE"/>
              </w:rPr>
            </w:pPr>
            <w:r>
              <w:rPr>
                <w:i/>
                <w:iCs/>
                <w:lang w:val="de-DE"/>
              </w:rPr>
              <w:t xml:space="preserve">Klebsiella oxytoca </w:t>
            </w:r>
          </w:p>
          <w:p w14:paraId="5A3368B6" w14:textId="77777777" w:rsidR="005872EA" w:rsidRDefault="005872EA">
            <w:pPr>
              <w:spacing w:line="360" w:lineRule="auto"/>
              <w:ind w:left="142" w:right="5092"/>
              <w:rPr>
                <w:i/>
                <w:iCs/>
                <w:lang w:val="de-DE"/>
              </w:rPr>
            </w:pPr>
            <w:r>
              <w:rPr>
                <w:i/>
                <w:iCs/>
                <w:lang w:val="de-DE"/>
              </w:rPr>
              <w:t xml:space="preserve">Klebsiella pneumoniae* </w:t>
            </w:r>
          </w:p>
          <w:p w14:paraId="0144F6DF" w14:textId="77777777" w:rsidR="005872EA" w:rsidRDefault="005872EA">
            <w:pPr>
              <w:spacing w:line="360" w:lineRule="auto"/>
              <w:ind w:left="142" w:right="5092"/>
              <w:rPr>
                <w:i/>
                <w:iCs/>
                <w:lang w:val="de-DE"/>
              </w:rPr>
            </w:pPr>
            <w:r>
              <w:rPr>
                <w:i/>
                <w:iCs/>
                <w:lang w:val="de-DE"/>
              </w:rPr>
              <w:t xml:space="preserve">Moraxella catarrhalis* </w:t>
            </w:r>
          </w:p>
          <w:p w14:paraId="4DBF79F0" w14:textId="77777777" w:rsidR="005872EA" w:rsidRDefault="005872EA">
            <w:pPr>
              <w:spacing w:line="360" w:lineRule="auto"/>
              <w:ind w:left="142" w:right="5092"/>
              <w:rPr>
                <w:i/>
                <w:iCs/>
                <w:lang w:val="de-DE"/>
              </w:rPr>
            </w:pPr>
            <w:r>
              <w:rPr>
                <w:i/>
                <w:iCs/>
                <w:lang w:val="de-DE"/>
              </w:rPr>
              <w:t xml:space="preserve">Morganella morganii </w:t>
            </w:r>
          </w:p>
          <w:p w14:paraId="45B5DD7B" w14:textId="77777777" w:rsidR="005872EA" w:rsidRDefault="005872EA">
            <w:pPr>
              <w:spacing w:line="360" w:lineRule="auto"/>
              <w:ind w:left="142" w:right="5092"/>
              <w:rPr>
                <w:i/>
                <w:iCs/>
                <w:lang w:val="de-DE"/>
              </w:rPr>
            </w:pPr>
            <w:r>
              <w:rPr>
                <w:i/>
                <w:iCs/>
                <w:lang w:val="de-DE"/>
              </w:rPr>
              <w:t>Proteus mirabilis*</w:t>
            </w:r>
          </w:p>
          <w:p w14:paraId="6CFE8F33" w14:textId="77777777" w:rsidR="005872EA" w:rsidRDefault="005872EA">
            <w:pPr>
              <w:spacing w:line="360" w:lineRule="auto"/>
              <w:ind w:left="142" w:right="5092"/>
              <w:rPr>
                <w:i/>
                <w:iCs/>
                <w:lang w:val="de-DE"/>
              </w:rPr>
            </w:pPr>
            <w:r>
              <w:rPr>
                <w:i/>
                <w:iCs/>
                <w:lang w:val="de-DE"/>
              </w:rPr>
              <w:t>Proteus vulgaris</w:t>
            </w:r>
          </w:p>
          <w:p w14:paraId="7CC8775B" w14:textId="77777777" w:rsidR="005872EA" w:rsidRDefault="005872EA">
            <w:pPr>
              <w:spacing w:line="360" w:lineRule="auto"/>
              <w:ind w:left="142" w:right="5092"/>
              <w:rPr>
                <w:i/>
                <w:iCs/>
                <w:lang w:val="de-DE"/>
              </w:rPr>
            </w:pPr>
            <w:r>
              <w:rPr>
                <w:i/>
                <w:iCs/>
                <w:lang w:val="de-DE"/>
              </w:rPr>
              <w:t>Serratia marcescens</w:t>
            </w:r>
          </w:p>
          <w:p w14:paraId="3197EA8D" w14:textId="77777777" w:rsidR="005872EA" w:rsidRDefault="005872EA">
            <w:pPr>
              <w:spacing w:line="360" w:lineRule="auto"/>
              <w:rPr>
                <w:i/>
                <w:iCs/>
                <w:lang w:val="de-DE"/>
              </w:rPr>
            </w:pPr>
          </w:p>
        </w:tc>
      </w:tr>
      <w:tr w:rsidR="005872EA" w14:paraId="369B9D72" w14:textId="77777777" w:rsidTr="005872EA">
        <w:trPr>
          <w:trHeight w:val="1771"/>
        </w:trPr>
        <w:tc>
          <w:tcPr>
            <w:tcW w:w="5000" w:type="pct"/>
            <w:tcBorders>
              <w:top w:val="single" w:sz="4" w:space="0" w:color="000000"/>
              <w:left w:val="single" w:sz="4" w:space="0" w:color="000000"/>
              <w:bottom w:val="single" w:sz="4" w:space="0" w:color="000000"/>
              <w:right w:val="single" w:sz="4" w:space="0" w:color="000000"/>
            </w:tcBorders>
            <w:hideMark/>
          </w:tcPr>
          <w:p w14:paraId="2D453C6C" w14:textId="77777777" w:rsidR="005872EA" w:rsidRDefault="005872EA">
            <w:pPr>
              <w:spacing w:line="360" w:lineRule="auto"/>
              <w:ind w:left="142" w:right="5092"/>
              <w:rPr>
                <w:b/>
                <w:bCs/>
                <w:lang w:val="en-GB"/>
              </w:rPr>
            </w:pPr>
            <w:r w:rsidRPr="005872EA">
              <w:rPr>
                <w:b/>
                <w:bCs/>
                <w:lang w:val="en-US"/>
              </w:rPr>
              <w:t>Anaerober:</w:t>
            </w:r>
          </w:p>
          <w:p w14:paraId="542BB60D" w14:textId="77777777" w:rsidR="005872EA" w:rsidRPr="005872EA" w:rsidRDefault="005872EA">
            <w:pPr>
              <w:spacing w:line="360" w:lineRule="auto"/>
              <w:ind w:left="142" w:right="5092"/>
              <w:rPr>
                <w:i/>
                <w:iCs/>
                <w:lang w:val="en-US"/>
              </w:rPr>
            </w:pPr>
            <w:r w:rsidRPr="005872EA">
              <w:rPr>
                <w:i/>
                <w:iCs/>
                <w:lang w:val="en-US"/>
              </w:rPr>
              <w:t xml:space="preserve">Clodistrium </w:t>
            </w:r>
            <w:r w:rsidRPr="005872EA">
              <w:rPr>
                <w:iCs/>
                <w:lang w:val="en-US"/>
              </w:rPr>
              <w:t>arter (eksklusiv</w:t>
            </w:r>
            <w:r w:rsidRPr="005872EA">
              <w:rPr>
                <w:i/>
                <w:iCs/>
                <w:lang w:val="en-US"/>
              </w:rPr>
              <w:t xml:space="preserve"> C. difficile</w:t>
            </w:r>
            <w:r w:rsidRPr="005872EA">
              <w:rPr>
                <w:iCs/>
                <w:lang w:val="en-US"/>
              </w:rPr>
              <w:t>)*</w:t>
            </w:r>
            <w:r w:rsidRPr="005872EA">
              <w:rPr>
                <w:i/>
                <w:iCs/>
                <w:lang w:val="en-US"/>
              </w:rPr>
              <w:t xml:space="preserve"> Eubacterium </w:t>
            </w:r>
            <w:r w:rsidRPr="005872EA">
              <w:rPr>
                <w:iCs/>
                <w:lang w:val="en-US"/>
              </w:rPr>
              <w:t>arter*</w:t>
            </w:r>
          </w:p>
          <w:p w14:paraId="2BF4011E" w14:textId="77777777" w:rsidR="005872EA" w:rsidRPr="005872EA" w:rsidRDefault="005872EA">
            <w:pPr>
              <w:spacing w:line="360" w:lineRule="auto"/>
              <w:ind w:left="142" w:right="5092"/>
              <w:rPr>
                <w:i/>
                <w:iCs/>
                <w:lang w:val="en-US"/>
              </w:rPr>
            </w:pPr>
            <w:r w:rsidRPr="005872EA">
              <w:rPr>
                <w:i/>
                <w:iCs/>
                <w:lang w:val="en-US"/>
              </w:rPr>
              <w:t xml:space="preserve">Fusobacterium </w:t>
            </w:r>
            <w:r w:rsidRPr="005872EA">
              <w:rPr>
                <w:iCs/>
                <w:lang w:val="en-US"/>
              </w:rPr>
              <w:t>arter*</w:t>
            </w:r>
            <w:r w:rsidRPr="005872EA">
              <w:rPr>
                <w:i/>
                <w:iCs/>
                <w:lang w:val="en-US"/>
              </w:rPr>
              <w:t xml:space="preserve"> </w:t>
            </w:r>
          </w:p>
          <w:p w14:paraId="4ADBA10F" w14:textId="77777777" w:rsidR="005872EA" w:rsidRPr="005872EA" w:rsidRDefault="005872EA">
            <w:pPr>
              <w:spacing w:line="360" w:lineRule="auto"/>
              <w:ind w:left="142" w:right="5092"/>
              <w:rPr>
                <w:i/>
                <w:iCs/>
                <w:lang w:val="en-US"/>
              </w:rPr>
            </w:pPr>
            <w:r w:rsidRPr="005872EA">
              <w:rPr>
                <w:i/>
                <w:iCs/>
                <w:lang w:val="en-US"/>
              </w:rPr>
              <w:t xml:space="preserve">Peptostreptococcus </w:t>
            </w:r>
            <w:r w:rsidRPr="005872EA">
              <w:rPr>
                <w:iCs/>
                <w:lang w:val="en-US"/>
              </w:rPr>
              <w:t>arter*</w:t>
            </w:r>
            <w:r w:rsidRPr="005872EA">
              <w:rPr>
                <w:i/>
                <w:iCs/>
                <w:lang w:val="en-US"/>
              </w:rPr>
              <w:t xml:space="preserve"> Porphyromonas asaccharolytica</w:t>
            </w:r>
            <w:r w:rsidRPr="005872EA">
              <w:rPr>
                <w:iCs/>
                <w:lang w:val="en-US"/>
              </w:rPr>
              <w:t>*</w:t>
            </w:r>
          </w:p>
          <w:p w14:paraId="66BE8906" w14:textId="77777777" w:rsidR="005872EA" w:rsidRDefault="005872EA">
            <w:pPr>
              <w:spacing w:line="360" w:lineRule="auto"/>
              <w:ind w:left="142" w:right="5092"/>
            </w:pPr>
            <w:r>
              <w:rPr>
                <w:i/>
                <w:iCs/>
                <w:lang w:val="de-DE"/>
              </w:rPr>
              <w:t xml:space="preserve">Prevotella </w:t>
            </w:r>
            <w:r>
              <w:rPr>
                <w:iCs/>
                <w:lang w:val="de-DE"/>
              </w:rPr>
              <w:t>arter*</w:t>
            </w:r>
          </w:p>
        </w:tc>
      </w:tr>
      <w:tr w:rsidR="005872EA" w14:paraId="4C8A8728" w14:textId="77777777" w:rsidTr="005872EA">
        <w:trPr>
          <w:trHeight w:val="254"/>
        </w:trPr>
        <w:tc>
          <w:tcPr>
            <w:tcW w:w="5000" w:type="pct"/>
            <w:tcBorders>
              <w:top w:val="single" w:sz="4" w:space="0" w:color="000000"/>
              <w:left w:val="single" w:sz="4" w:space="0" w:color="000000"/>
              <w:bottom w:val="single" w:sz="4" w:space="0" w:color="000000"/>
              <w:right w:val="single" w:sz="4" w:space="0" w:color="000000"/>
            </w:tcBorders>
            <w:hideMark/>
          </w:tcPr>
          <w:p w14:paraId="0AF3F855" w14:textId="77777777" w:rsidR="005872EA" w:rsidRDefault="005872EA">
            <w:pPr>
              <w:spacing w:line="360" w:lineRule="auto"/>
              <w:ind w:left="142" w:right="272"/>
              <w:rPr>
                <w:b/>
                <w:i/>
                <w:iCs/>
                <w:lang w:val="de-DE"/>
              </w:rPr>
            </w:pPr>
            <w:r>
              <w:rPr>
                <w:b/>
                <w:bCs/>
                <w:i/>
                <w:iCs/>
                <w:lang w:val="de-DE"/>
              </w:rPr>
              <w:t>Arter for hvilke erhvervet resistens kan blive et problem:</w:t>
            </w:r>
          </w:p>
        </w:tc>
      </w:tr>
      <w:tr w:rsidR="005872EA" w14:paraId="01A4FA36" w14:textId="77777777" w:rsidTr="005872EA">
        <w:trPr>
          <w:trHeight w:val="505"/>
        </w:trPr>
        <w:tc>
          <w:tcPr>
            <w:tcW w:w="5000" w:type="pct"/>
            <w:tcBorders>
              <w:top w:val="single" w:sz="4" w:space="0" w:color="000000"/>
              <w:left w:val="single" w:sz="4" w:space="0" w:color="000000"/>
              <w:bottom w:val="single" w:sz="4" w:space="0" w:color="000000"/>
              <w:right w:val="single" w:sz="4" w:space="0" w:color="000000"/>
            </w:tcBorders>
            <w:hideMark/>
          </w:tcPr>
          <w:p w14:paraId="796FDECC" w14:textId="77777777" w:rsidR="005872EA" w:rsidRDefault="005872EA">
            <w:pPr>
              <w:spacing w:line="360" w:lineRule="auto"/>
              <w:ind w:left="142" w:right="5092"/>
              <w:rPr>
                <w:b/>
                <w:bCs/>
                <w:lang w:val="de-DE"/>
              </w:rPr>
            </w:pPr>
            <w:r>
              <w:rPr>
                <w:b/>
                <w:bCs/>
                <w:lang w:val="de-DE"/>
              </w:rPr>
              <w:t xml:space="preserve">Gram-positive aerober: </w:t>
            </w:r>
          </w:p>
          <w:p w14:paraId="53C32D12" w14:textId="77777777" w:rsidR="005872EA" w:rsidRDefault="005872EA">
            <w:pPr>
              <w:spacing w:line="360" w:lineRule="auto"/>
              <w:ind w:left="142" w:right="5092"/>
              <w:rPr>
                <w:iCs/>
                <w:lang w:val="de-DE"/>
              </w:rPr>
            </w:pPr>
            <w:r>
              <w:rPr>
                <w:iCs/>
                <w:lang w:val="de-DE"/>
              </w:rPr>
              <w:t xml:space="preserve">Methicillin-resistente stafylokokker </w:t>
            </w:r>
            <w:r>
              <w:rPr>
                <w:iCs/>
                <w:vertAlign w:val="superscript"/>
                <w:lang w:val="de-DE"/>
              </w:rPr>
              <w:t>+#</w:t>
            </w:r>
          </w:p>
        </w:tc>
      </w:tr>
      <w:tr w:rsidR="005872EA" w14:paraId="616BA25D" w14:textId="77777777" w:rsidTr="005872EA">
        <w:trPr>
          <w:trHeight w:val="506"/>
        </w:trPr>
        <w:tc>
          <w:tcPr>
            <w:tcW w:w="5000" w:type="pct"/>
            <w:tcBorders>
              <w:top w:val="single" w:sz="4" w:space="0" w:color="000000"/>
              <w:left w:val="single" w:sz="4" w:space="0" w:color="000000"/>
              <w:bottom w:val="single" w:sz="4" w:space="0" w:color="000000"/>
              <w:right w:val="single" w:sz="4" w:space="0" w:color="000000"/>
            </w:tcBorders>
            <w:hideMark/>
          </w:tcPr>
          <w:p w14:paraId="311FA7F5" w14:textId="77777777" w:rsidR="005872EA" w:rsidRDefault="005872EA">
            <w:pPr>
              <w:spacing w:line="360" w:lineRule="auto"/>
              <w:ind w:left="142" w:right="5092"/>
              <w:rPr>
                <w:lang w:val="sv-SE"/>
              </w:rPr>
            </w:pPr>
            <w:r>
              <w:rPr>
                <w:b/>
                <w:bCs/>
                <w:lang w:val="de-DE"/>
              </w:rPr>
              <w:t>Anaerober</w:t>
            </w:r>
            <w:r>
              <w:rPr>
                <w:spacing w:val="-2"/>
                <w:w w:val="130"/>
                <w:lang w:val="sv-SE"/>
              </w:rPr>
              <w:t>:</w:t>
            </w:r>
          </w:p>
          <w:p w14:paraId="267B40A4" w14:textId="77777777" w:rsidR="005872EA" w:rsidRDefault="005872EA">
            <w:pPr>
              <w:spacing w:line="360" w:lineRule="auto"/>
              <w:ind w:left="142" w:right="414"/>
            </w:pPr>
            <w:r>
              <w:rPr>
                <w:i/>
                <w:iCs/>
                <w:lang w:val="de-DE"/>
              </w:rPr>
              <w:t xml:space="preserve">Bacteroides fragilis </w:t>
            </w:r>
            <w:r>
              <w:rPr>
                <w:iCs/>
                <w:lang w:val="de-DE"/>
              </w:rPr>
              <w:t xml:space="preserve">og arter i </w:t>
            </w:r>
            <w:r>
              <w:rPr>
                <w:i/>
                <w:iCs/>
                <w:lang w:val="de-DE"/>
              </w:rPr>
              <w:t>B. fragilis</w:t>
            </w:r>
            <w:r>
              <w:rPr>
                <w:iCs/>
                <w:lang w:val="de-DE"/>
              </w:rPr>
              <w:t>-gruppen</w:t>
            </w:r>
            <w:r>
              <w:rPr>
                <w:iCs/>
              </w:rPr>
              <w:t>*</w:t>
            </w:r>
          </w:p>
        </w:tc>
      </w:tr>
      <w:tr w:rsidR="005872EA" w14:paraId="42AAB20D" w14:textId="77777777" w:rsidTr="005872EA">
        <w:trPr>
          <w:trHeight w:val="251"/>
        </w:trPr>
        <w:tc>
          <w:tcPr>
            <w:tcW w:w="5000" w:type="pct"/>
            <w:tcBorders>
              <w:top w:val="single" w:sz="4" w:space="0" w:color="000000"/>
              <w:left w:val="single" w:sz="4" w:space="0" w:color="000000"/>
              <w:bottom w:val="single" w:sz="4" w:space="0" w:color="000000"/>
              <w:right w:val="single" w:sz="4" w:space="0" w:color="000000"/>
            </w:tcBorders>
            <w:hideMark/>
          </w:tcPr>
          <w:p w14:paraId="7940B69E" w14:textId="77777777" w:rsidR="005872EA" w:rsidRDefault="005872EA">
            <w:pPr>
              <w:spacing w:line="360" w:lineRule="auto"/>
              <w:ind w:left="142" w:right="272"/>
              <w:rPr>
                <w:b/>
                <w:bCs/>
                <w:i/>
                <w:iCs/>
                <w:lang w:val="de-DE"/>
              </w:rPr>
            </w:pPr>
            <w:r>
              <w:rPr>
                <w:b/>
                <w:bCs/>
                <w:i/>
                <w:iCs/>
                <w:lang w:val="de-DE"/>
              </w:rPr>
              <w:t>Naturligt resistente organismer:</w:t>
            </w:r>
          </w:p>
        </w:tc>
      </w:tr>
      <w:tr w:rsidR="005872EA" w14:paraId="28493D01" w14:textId="77777777" w:rsidTr="005872EA">
        <w:trPr>
          <w:trHeight w:val="1060"/>
        </w:trPr>
        <w:tc>
          <w:tcPr>
            <w:tcW w:w="5000" w:type="pct"/>
            <w:tcBorders>
              <w:top w:val="single" w:sz="4" w:space="0" w:color="000000"/>
              <w:left w:val="single" w:sz="4" w:space="0" w:color="000000"/>
              <w:bottom w:val="single" w:sz="4" w:space="0" w:color="auto"/>
              <w:right w:val="single" w:sz="4" w:space="0" w:color="000000"/>
            </w:tcBorders>
            <w:hideMark/>
          </w:tcPr>
          <w:p w14:paraId="297D70DE" w14:textId="77777777" w:rsidR="005872EA" w:rsidRDefault="005872EA">
            <w:pPr>
              <w:spacing w:line="360" w:lineRule="auto"/>
              <w:ind w:left="142" w:right="5092"/>
              <w:rPr>
                <w:b/>
                <w:bCs/>
                <w:lang w:val="de-DE"/>
              </w:rPr>
            </w:pPr>
            <w:r>
              <w:rPr>
                <w:b/>
                <w:bCs/>
                <w:lang w:val="de-DE"/>
              </w:rPr>
              <w:t xml:space="preserve">Gram-positive aerober: </w:t>
            </w:r>
          </w:p>
          <w:p w14:paraId="4C5FCDD0" w14:textId="77777777" w:rsidR="005872EA" w:rsidRDefault="005872EA">
            <w:pPr>
              <w:spacing w:line="360" w:lineRule="auto"/>
              <w:ind w:left="142" w:right="414"/>
              <w:rPr>
                <w:i/>
                <w:iCs/>
                <w:lang w:val="de-DE"/>
              </w:rPr>
            </w:pPr>
            <w:r>
              <w:rPr>
                <w:i/>
                <w:iCs/>
                <w:lang w:val="de-DE"/>
              </w:rPr>
              <w:t>Corynebacterium jeikeium</w:t>
            </w:r>
          </w:p>
          <w:p w14:paraId="12678440" w14:textId="77777777" w:rsidR="005872EA" w:rsidRDefault="005872EA">
            <w:pPr>
              <w:pStyle w:val="TableParagraph"/>
              <w:spacing w:before="57" w:line="360" w:lineRule="auto"/>
              <w:ind w:left="100"/>
              <w:rPr>
                <w:i/>
                <w:spacing w:val="-2"/>
                <w:w w:val="130"/>
                <w:lang w:val="pt-PT"/>
              </w:rPr>
            </w:pPr>
            <w:r>
              <w:rPr>
                <w:szCs w:val="20"/>
                <w:lang w:val="de-DE"/>
              </w:rPr>
              <w:t>Enterococci inklusive</w:t>
            </w:r>
            <w:r>
              <w:rPr>
                <w:i/>
                <w:spacing w:val="-2"/>
                <w:w w:val="130"/>
                <w:lang w:val="pt-PT"/>
              </w:rPr>
              <w:t xml:space="preserve"> </w:t>
            </w:r>
            <w:r>
              <w:rPr>
                <w:i/>
                <w:iCs/>
                <w:szCs w:val="20"/>
                <w:lang w:val="de-DE"/>
              </w:rPr>
              <w:t>Enterococcus faecalis</w:t>
            </w:r>
            <w:r>
              <w:rPr>
                <w:iCs/>
                <w:szCs w:val="20"/>
                <w:lang w:val="de-DE"/>
              </w:rPr>
              <w:t xml:space="preserve"> og</w:t>
            </w:r>
            <w:r>
              <w:rPr>
                <w:i/>
                <w:iCs/>
                <w:szCs w:val="20"/>
                <w:lang w:val="de-DE"/>
              </w:rPr>
              <w:t xml:space="preserve"> Enterococcus faecium</w:t>
            </w:r>
          </w:p>
        </w:tc>
      </w:tr>
      <w:tr w:rsidR="005872EA" w14:paraId="082A0111" w14:textId="77777777" w:rsidTr="005872EA">
        <w:trPr>
          <w:trHeight w:val="1875"/>
        </w:trPr>
        <w:tc>
          <w:tcPr>
            <w:tcW w:w="5000" w:type="pct"/>
            <w:tcBorders>
              <w:top w:val="single" w:sz="4" w:space="0" w:color="auto"/>
              <w:left w:val="single" w:sz="4" w:space="0" w:color="000000"/>
              <w:bottom w:val="single" w:sz="4" w:space="0" w:color="000000"/>
              <w:right w:val="single" w:sz="4" w:space="0" w:color="000000"/>
            </w:tcBorders>
            <w:hideMark/>
          </w:tcPr>
          <w:p w14:paraId="1CB61A38" w14:textId="77777777" w:rsidR="005872EA" w:rsidRDefault="005872EA">
            <w:pPr>
              <w:widowControl w:val="0"/>
              <w:tabs>
                <w:tab w:val="left" w:pos="1304"/>
              </w:tabs>
              <w:autoSpaceDE w:val="0"/>
              <w:autoSpaceDN w:val="0"/>
              <w:spacing w:line="360" w:lineRule="auto"/>
              <w:ind w:left="102" w:right="6048"/>
              <w:rPr>
                <w:w w:val="130"/>
                <w:szCs w:val="22"/>
                <w:lang w:val="pt-PT"/>
              </w:rPr>
            </w:pPr>
            <w:r>
              <w:rPr>
                <w:b/>
                <w:bCs/>
                <w:lang w:val="pt-PT"/>
              </w:rPr>
              <w:lastRenderedPageBreak/>
              <w:t>Gram-negative aerober:</w:t>
            </w:r>
            <w:r>
              <w:rPr>
                <w:w w:val="130"/>
                <w:szCs w:val="22"/>
                <w:lang w:val="pt-PT"/>
              </w:rPr>
              <w:t xml:space="preserve"> </w:t>
            </w:r>
            <w:r>
              <w:rPr>
                <w:i/>
                <w:iCs/>
                <w:lang w:val="pt-PT"/>
              </w:rPr>
              <w:t xml:space="preserve">Aeromonas </w:t>
            </w:r>
            <w:r>
              <w:rPr>
                <w:iCs/>
                <w:lang w:val="pt-PT"/>
              </w:rPr>
              <w:t>arter</w:t>
            </w:r>
            <w:r>
              <w:rPr>
                <w:w w:val="130"/>
                <w:szCs w:val="22"/>
                <w:lang w:val="pt-PT"/>
              </w:rPr>
              <w:t xml:space="preserve"> </w:t>
            </w:r>
          </w:p>
          <w:p w14:paraId="11189B6E" w14:textId="77777777" w:rsidR="005872EA" w:rsidRDefault="005872EA">
            <w:pPr>
              <w:widowControl w:val="0"/>
              <w:tabs>
                <w:tab w:val="left" w:pos="1304"/>
              </w:tabs>
              <w:autoSpaceDE w:val="0"/>
              <w:autoSpaceDN w:val="0"/>
              <w:spacing w:line="360" w:lineRule="auto"/>
              <w:ind w:left="102" w:right="6048"/>
              <w:rPr>
                <w:i/>
                <w:iCs/>
                <w:lang w:val="pt-PT"/>
              </w:rPr>
            </w:pPr>
            <w:r>
              <w:rPr>
                <w:i/>
                <w:iCs/>
                <w:lang w:val="pt-PT"/>
              </w:rPr>
              <w:t>Acinetobacter</w:t>
            </w:r>
            <w:r>
              <w:rPr>
                <w:iCs/>
                <w:lang w:val="pt-PT"/>
              </w:rPr>
              <w:t xml:space="preserve"> arter</w:t>
            </w:r>
            <w:r>
              <w:rPr>
                <w:w w:val="130"/>
                <w:szCs w:val="22"/>
                <w:lang w:val="pt-PT"/>
              </w:rPr>
              <w:t xml:space="preserve"> </w:t>
            </w:r>
            <w:r>
              <w:rPr>
                <w:i/>
                <w:iCs/>
                <w:lang w:val="pt-PT"/>
              </w:rPr>
              <w:t>Burkholderia cepacia Pseudomonas aeruginosa</w:t>
            </w:r>
          </w:p>
          <w:p w14:paraId="780F9091" w14:textId="77777777" w:rsidR="005872EA" w:rsidRDefault="005872EA">
            <w:pPr>
              <w:widowControl w:val="0"/>
              <w:tabs>
                <w:tab w:val="left" w:pos="1304"/>
              </w:tabs>
              <w:autoSpaceDE w:val="0"/>
              <w:autoSpaceDN w:val="0"/>
              <w:spacing w:line="360" w:lineRule="auto"/>
              <w:ind w:left="102" w:right="6048"/>
              <w:rPr>
                <w:spacing w:val="-2"/>
                <w:w w:val="130"/>
                <w:lang w:val="pt-PT"/>
              </w:rPr>
            </w:pPr>
            <w:r>
              <w:rPr>
                <w:i/>
                <w:iCs/>
                <w:lang w:val="pt-PT"/>
              </w:rPr>
              <w:t>Stenotrophomonas maltophilia</w:t>
            </w:r>
          </w:p>
        </w:tc>
      </w:tr>
      <w:tr w:rsidR="005872EA" w14:paraId="2AE52F6F" w14:textId="77777777" w:rsidTr="005872EA">
        <w:trPr>
          <w:trHeight w:val="549"/>
        </w:trPr>
        <w:tc>
          <w:tcPr>
            <w:tcW w:w="5000" w:type="pct"/>
            <w:tcBorders>
              <w:top w:val="single" w:sz="4" w:space="0" w:color="000000"/>
              <w:left w:val="single" w:sz="4" w:space="0" w:color="000000"/>
              <w:bottom w:val="single" w:sz="4" w:space="0" w:color="000000"/>
              <w:right w:val="single" w:sz="4" w:space="0" w:color="000000"/>
            </w:tcBorders>
            <w:hideMark/>
          </w:tcPr>
          <w:p w14:paraId="4E779C5A" w14:textId="77777777" w:rsidR="005872EA" w:rsidRDefault="005872EA">
            <w:pPr>
              <w:pStyle w:val="TableParagraph"/>
              <w:spacing w:line="360" w:lineRule="auto"/>
              <w:ind w:left="100"/>
            </w:pPr>
            <w:r>
              <w:rPr>
                <w:b/>
                <w:bCs/>
                <w:szCs w:val="20"/>
                <w:lang w:val="pt-PT"/>
              </w:rPr>
              <w:t>Anaerober</w:t>
            </w:r>
            <w:r>
              <w:rPr>
                <w:spacing w:val="-2"/>
                <w:w w:val="135"/>
              </w:rPr>
              <w:t>:</w:t>
            </w:r>
          </w:p>
          <w:p w14:paraId="5DB604DB" w14:textId="77777777" w:rsidR="005872EA" w:rsidRDefault="005872EA">
            <w:pPr>
              <w:widowControl w:val="0"/>
              <w:tabs>
                <w:tab w:val="left" w:pos="1304"/>
              </w:tabs>
              <w:autoSpaceDE w:val="0"/>
              <w:autoSpaceDN w:val="0"/>
              <w:spacing w:line="360" w:lineRule="auto"/>
              <w:ind w:left="102" w:right="6048"/>
              <w:rPr>
                <w:spacing w:val="-2"/>
                <w:w w:val="130"/>
              </w:rPr>
            </w:pPr>
            <w:r>
              <w:rPr>
                <w:i/>
                <w:iCs/>
                <w:lang w:val="pt-PT"/>
              </w:rPr>
              <w:t xml:space="preserve">Lactobacillus </w:t>
            </w:r>
            <w:r>
              <w:rPr>
                <w:iCs/>
                <w:lang w:val="pt-PT"/>
              </w:rPr>
              <w:t>arter</w:t>
            </w:r>
          </w:p>
        </w:tc>
      </w:tr>
      <w:tr w:rsidR="005872EA" w14:paraId="010C9A44" w14:textId="77777777" w:rsidTr="005872EA">
        <w:trPr>
          <w:trHeight w:val="1393"/>
        </w:trPr>
        <w:tc>
          <w:tcPr>
            <w:tcW w:w="5000" w:type="pct"/>
            <w:tcBorders>
              <w:top w:val="single" w:sz="4" w:space="0" w:color="000000"/>
              <w:left w:val="single" w:sz="4" w:space="0" w:color="000000"/>
              <w:bottom w:val="single" w:sz="4" w:space="0" w:color="000000"/>
              <w:right w:val="single" w:sz="4" w:space="0" w:color="000000"/>
            </w:tcBorders>
            <w:hideMark/>
          </w:tcPr>
          <w:p w14:paraId="3559820D" w14:textId="77777777" w:rsidR="005872EA" w:rsidRDefault="005872EA">
            <w:pPr>
              <w:widowControl w:val="0"/>
              <w:tabs>
                <w:tab w:val="left" w:pos="1304"/>
              </w:tabs>
              <w:autoSpaceDE w:val="0"/>
              <w:autoSpaceDN w:val="0"/>
              <w:spacing w:line="360" w:lineRule="auto"/>
              <w:ind w:left="102" w:right="6048"/>
              <w:rPr>
                <w:b/>
                <w:bCs/>
                <w:lang w:val="pt-PT"/>
              </w:rPr>
            </w:pPr>
            <w:r>
              <w:rPr>
                <w:b/>
                <w:bCs/>
                <w:lang w:val="pt-PT"/>
              </w:rPr>
              <w:t>Andre:</w:t>
            </w:r>
          </w:p>
          <w:p w14:paraId="45DF0690" w14:textId="77777777" w:rsidR="005872EA" w:rsidRDefault="005872EA">
            <w:pPr>
              <w:widowControl w:val="0"/>
              <w:tabs>
                <w:tab w:val="left" w:pos="1304"/>
              </w:tabs>
              <w:autoSpaceDE w:val="0"/>
              <w:autoSpaceDN w:val="0"/>
              <w:spacing w:line="360" w:lineRule="auto"/>
              <w:ind w:left="102" w:right="6048"/>
              <w:rPr>
                <w:iCs/>
                <w:lang w:val="pt-PT"/>
              </w:rPr>
            </w:pPr>
            <w:r>
              <w:rPr>
                <w:iCs/>
                <w:lang w:val="pt-PT"/>
              </w:rPr>
              <w:t xml:space="preserve">Klamydiaarter </w:t>
            </w:r>
          </w:p>
          <w:p w14:paraId="180B93FD" w14:textId="77777777" w:rsidR="005872EA" w:rsidRDefault="005872EA">
            <w:pPr>
              <w:widowControl w:val="0"/>
              <w:tabs>
                <w:tab w:val="left" w:pos="1304"/>
              </w:tabs>
              <w:autoSpaceDE w:val="0"/>
              <w:autoSpaceDN w:val="0"/>
              <w:spacing w:line="360" w:lineRule="auto"/>
              <w:ind w:left="102" w:right="6048"/>
              <w:rPr>
                <w:iCs/>
                <w:lang w:val="pt-PT"/>
              </w:rPr>
            </w:pPr>
            <w:r>
              <w:rPr>
                <w:iCs/>
                <w:lang w:val="pt-PT"/>
              </w:rPr>
              <w:t xml:space="preserve">Mycoplasmaarter </w:t>
            </w:r>
          </w:p>
          <w:p w14:paraId="0F3903F1" w14:textId="77777777" w:rsidR="005872EA" w:rsidRDefault="005872EA">
            <w:pPr>
              <w:widowControl w:val="0"/>
              <w:tabs>
                <w:tab w:val="left" w:pos="1304"/>
              </w:tabs>
              <w:autoSpaceDE w:val="0"/>
              <w:autoSpaceDN w:val="0"/>
              <w:spacing w:line="360" w:lineRule="auto"/>
              <w:ind w:left="102" w:right="6048"/>
              <w:rPr>
                <w:iCs/>
                <w:lang w:val="pt-PT"/>
              </w:rPr>
            </w:pPr>
            <w:r>
              <w:rPr>
                <w:iCs/>
                <w:lang w:val="pt-PT"/>
              </w:rPr>
              <w:t>Rickettsiaarter</w:t>
            </w:r>
          </w:p>
          <w:p w14:paraId="1958DC6A" w14:textId="77777777" w:rsidR="005872EA" w:rsidRDefault="005872EA">
            <w:pPr>
              <w:widowControl w:val="0"/>
              <w:tabs>
                <w:tab w:val="left" w:pos="1304"/>
              </w:tabs>
              <w:autoSpaceDE w:val="0"/>
              <w:autoSpaceDN w:val="0"/>
              <w:spacing w:line="360" w:lineRule="auto"/>
              <w:ind w:left="102" w:right="6048"/>
              <w:rPr>
                <w:i/>
                <w:iCs/>
                <w:lang w:val="pt-PT"/>
              </w:rPr>
            </w:pPr>
            <w:r>
              <w:rPr>
                <w:iCs/>
                <w:lang w:val="pt-PT"/>
              </w:rPr>
              <w:t>Legionellaarter</w:t>
            </w:r>
          </w:p>
        </w:tc>
      </w:tr>
    </w:tbl>
    <w:p w14:paraId="5B86C851" w14:textId="77777777" w:rsidR="005872EA" w:rsidRDefault="005872EA" w:rsidP="005872EA">
      <w:pPr>
        <w:rPr>
          <w:sz w:val="20"/>
        </w:rPr>
      </w:pPr>
      <w:r>
        <w:rPr>
          <w:sz w:val="20"/>
        </w:rPr>
        <w:t>* Tilfredsstillende aktivitet er påvist i kliniske studier.</w:t>
      </w:r>
    </w:p>
    <w:p w14:paraId="5CBFAC4F" w14:textId="15429236" w:rsidR="005872EA" w:rsidRDefault="005872EA" w:rsidP="005872EA">
      <w:pPr>
        <w:rPr>
          <w:sz w:val="20"/>
        </w:rPr>
      </w:pPr>
      <w:r>
        <w:rPr>
          <w:sz w:val="20"/>
          <w:vertAlign w:val="superscript"/>
        </w:rPr>
        <w:t>†</w:t>
      </w:r>
      <w:r>
        <w:rPr>
          <w:sz w:val="20"/>
        </w:rPr>
        <w:t xml:space="preserve"> Der er ikke påvist virkning af </w:t>
      </w:r>
      <w:r w:rsidR="005B2212">
        <w:rPr>
          <w:sz w:val="20"/>
        </w:rPr>
        <w:t>e</w:t>
      </w:r>
      <w:r>
        <w:rPr>
          <w:sz w:val="20"/>
        </w:rPr>
        <w:t xml:space="preserve">rtapenem i behandling af samfundserhvervet pneumoni forårsaget af penicillin resistente </w:t>
      </w:r>
      <w:r>
        <w:rPr>
          <w:i/>
          <w:iCs/>
          <w:sz w:val="20"/>
        </w:rPr>
        <w:t>Streptococcus pneumoniae</w:t>
      </w:r>
      <w:r>
        <w:rPr>
          <w:sz w:val="20"/>
        </w:rPr>
        <w:t>.</w:t>
      </w:r>
    </w:p>
    <w:p w14:paraId="404232AF" w14:textId="35EFD698" w:rsidR="005872EA" w:rsidRDefault="005872EA" w:rsidP="005872EA">
      <w:pPr>
        <w:rPr>
          <w:sz w:val="20"/>
        </w:rPr>
      </w:pPr>
      <w:r>
        <w:rPr>
          <w:sz w:val="20"/>
          <w:vertAlign w:val="superscript"/>
        </w:rPr>
        <w:t xml:space="preserve">+ </w:t>
      </w:r>
      <w:r>
        <w:rPr>
          <w:sz w:val="20"/>
        </w:rPr>
        <w:t>frekvens for erhvervet resistens &gt;50</w:t>
      </w:r>
      <w:r w:rsidR="005B2212">
        <w:rPr>
          <w:sz w:val="20"/>
        </w:rPr>
        <w:t xml:space="preserve"> </w:t>
      </w:r>
      <w:r>
        <w:rPr>
          <w:sz w:val="20"/>
        </w:rPr>
        <w:t>% i nogle medlemslande.</w:t>
      </w:r>
    </w:p>
    <w:p w14:paraId="469F3133" w14:textId="695BE21E" w:rsidR="005872EA" w:rsidRDefault="005872EA" w:rsidP="005872EA">
      <w:pPr>
        <w:rPr>
          <w:sz w:val="20"/>
        </w:rPr>
      </w:pPr>
      <w:r>
        <w:rPr>
          <w:sz w:val="20"/>
          <w:vertAlign w:val="superscript"/>
        </w:rPr>
        <w:t>#</w:t>
      </w:r>
      <w:r>
        <w:rPr>
          <w:sz w:val="20"/>
        </w:rPr>
        <w:t xml:space="preserve"> Methicillin-resistente stafylokokker (inklusive MRSA) er altid resistente over for beta-laktamer.</w:t>
      </w:r>
    </w:p>
    <w:p w14:paraId="04FE91C3" w14:textId="77777777" w:rsidR="005872EA" w:rsidRDefault="005872EA" w:rsidP="005872EA">
      <w:pPr>
        <w:rPr>
          <w:sz w:val="20"/>
        </w:rPr>
      </w:pPr>
    </w:p>
    <w:p w14:paraId="642F5242" w14:textId="352A98CB" w:rsidR="005872EA" w:rsidRDefault="005872EA" w:rsidP="005872EA">
      <w:pPr>
        <w:ind w:left="851"/>
        <w:rPr>
          <w:b/>
          <w:bCs/>
          <w:i/>
          <w:iCs/>
          <w:sz w:val="24"/>
          <w:szCs w:val="24"/>
        </w:rPr>
      </w:pPr>
      <w:r w:rsidRPr="005872EA">
        <w:rPr>
          <w:b/>
          <w:bCs/>
          <w:i/>
          <w:iCs/>
          <w:sz w:val="24"/>
          <w:szCs w:val="24"/>
        </w:rPr>
        <w:t>Information fra kliniske studier</w:t>
      </w:r>
    </w:p>
    <w:p w14:paraId="3E346B01" w14:textId="77777777" w:rsidR="005872EA" w:rsidRPr="005872EA" w:rsidRDefault="005872EA" w:rsidP="005872EA">
      <w:pPr>
        <w:ind w:left="851"/>
        <w:rPr>
          <w:b/>
          <w:bCs/>
          <w:i/>
          <w:iCs/>
          <w:sz w:val="24"/>
          <w:szCs w:val="24"/>
        </w:rPr>
      </w:pPr>
    </w:p>
    <w:p w14:paraId="06739AED" w14:textId="77777777" w:rsidR="005872EA" w:rsidRPr="005872EA" w:rsidRDefault="005872EA" w:rsidP="005872EA">
      <w:pPr>
        <w:ind w:left="851"/>
        <w:rPr>
          <w:sz w:val="24"/>
          <w:szCs w:val="24"/>
          <w:u w:val="single"/>
        </w:rPr>
      </w:pPr>
      <w:r w:rsidRPr="005872EA">
        <w:rPr>
          <w:sz w:val="24"/>
          <w:szCs w:val="24"/>
          <w:u w:val="single"/>
        </w:rPr>
        <w:t>Virkning i pædiatriske studier</w:t>
      </w:r>
    </w:p>
    <w:p w14:paraId="1C0B2D9F" w14:textId="77777777" w:rsidR="005872EA" w:rsidRPr="005872EA" w:rsidRDefault="005872EA" w:rsidP="005872EA">
      <w:pPr>
        <w:ind w:left="851"/>
        <w:rPr>
          <w:sz w:val="24"/>
          <w:szCs w:val="24"/>
        </w:rPr>
      </w:pPr>
      <w:r w:rsidRPr="005872EA">
        <w:rPr>
          <w:sz w:val="24"/>
          <w:szCs w:val="24"/>
        </w:rPr>
        <w:t>Ertapenem blev primært evalueret med henblik på pædiatrisk sikkerhed og sekundært med henblik på virkning i randomiserede, komparative multicenterstudier med patienter i alderen 3 måneder til 17 år.</w:t>
      </w:r>
    </w:p>
    <w:p w14:paraId="73E1F716" w14:textId="7BF9D53C" w:rsidR="005872EA" w:rsidRDefault="005872EA" w:rsidP="005872EA">
      <w:pPr>
        <w:ind w:left="851"/>
        <w:rPr>
          <w:sz w:val="24"/>
          <w:szCs w:val="24"/>
        </w:rPr>
      </w:pPr>
      <w:r w:rsidRPr="005872EA">
        <w:rPr>
          <w:sz w:val="24"/>
          <w:szCs w:val="24"/>
        </w:rPr>
        <w:t>Fordelingen af patienter med favorabel klinisk responsvurdering ved kontrolbesøg efter afslutning af behandling i den kliniske MITT (modified intention to treat) population ses nedenfor:</w:t>
      </w:r>
    </w:p>
    <w:p w14:paraId="3A7650C3" w14:textId="77777777" w:rsidR="005872EA" w:rsidRPr="005872EA" w:rsidRDefault="005872EA" w:rsidP="005872EA">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8"/>
        <w:gridCol w:w="1729"/>
        <w:gridCol w:w="944"/>
        <w:gridCol w:w="1257"/>
        <w:gridCol w:w="1098"/>
        <w:gridCol w:w="1462"/>
      </w:tblGrid>
      <w:tr w:rsidR="005872EA" w14:paraId="31C31FE3" w14:textId="77777777" w:rsidTr="005872EA">
        <w:trPr>
          <w:trHeight w:val="251"/>
        </w:trPr>
        <w:tc>
          <w:tcPr>
            <w:tcW w:w="1630" w:type="pct"/>
            <w:vMerge w:val="restart"/>
            <w:tcBorders>
              <w:top w:val="single" w:sz="4" w:space="0" w:color="000000"/>
              <w:left w:val="single" w:sz="4" w:space="0" w:color="000000"/>
              <w:bottom w:val="single" w:sz="4" w:space="0" w:color="000000"/>
              <w:right w:val="single" w:sz="4" w:space="0" w:color="000000"/>
            </w:tcBorders>
            <w:vAlign w:val="center"/>
            <w:hideMark/>
          </w:tcPr>
          <w:p w14:paraId="3ED10E63" w14:textId="77777777" w:rsidR="005872EA" w:rsidRDefault="005872EA">
            <w:pPr>
              <w:rPr>
                <w:sz w:val="20"/>
                <w:lang w:val="en-GB"/>
              </w:rPr>
            </w:pPr>
            <w:r>
              <w:rPr>
                <w:sz w:val="20"/>
              </w:rPr>
              <w:t>Sygdomsstratum†</w:t>
            </w:r>
          </w:p>
        </w:tc>
        <w:tc>
          <w:tcPr>
            <w:tcW w:w="898" w:type="pct"/>
            <w:vMerge w:val="restart"/>
            <w:tcBorders>
              <w:top w:val="single" w:sz="4" w:space="0" w:color="000000"/>
              <w:left w:val="single" w:sz="4" w:space="0" w:color="000000"/>
              <w:bottom w:val="single" w:sz="4" w:space="0" w:color="000000"/>
              <w:right w:val="single" w:sz="4" w:space="0" w:color="000000"/>
            </w:tcBorders>
            <w:vAlign w:val="center"/>
            <w:hideMark/>
          </w:tcPr>
          <w:p w14:paraId="7521CE7E" w14:textId="77777777" w:rsidR="005872EA" w:rsidRDefault="005872EA">
            <w:pPr>
              <w:jc w:val="center"/>
              <w:rPr>
                <w:sz w:val="20"/>
              </w:rPr>
            </w:pPr>
            <w:r>
              <w:rPr>
                <w:sz w:val="20"/>
              </w:rPr>
              <w:t>Aldersstratum</w:t>
            </w:r>
          </w:p>
        </w:tc>
        <w:tc>
          <w:tcPr>
            <w:tcW w:w="1142" w:type="pct"/>
            <w:gridSpan w:val="2"/>
            <w:tcBorders>
              <w:top w:val="single" w:sz="4" w:space="0" w:color="000000"/>
              <w:left w:val="single" w:sz="4" w:space="0" w:color="000000"/>
              <w:bottom w:val="single" w:sz="4" w:space="0" w:color="000000"/>
              <w:right w:val="single" w:sz="4" w:space="0" w:color="000000"/>
            </w:tcBorders>
            <w:vAlign w:val="center"/>
            <w:hideMark/>
          </w:tcPr>
          <w:p w14:paraId="2CFBB282" w14:textId="77777777" w:rsidR="005872EA" w:rsidRDefault="005872EA">
            <w:pPr>
              <w:jc w:val="center"/>
              <w:rPr>
                <w:sz w:val="20"/>
              </w:rPr>
            </w:pPr>
            <w:r>
              <w:rPr>
                <w:sz w:val="20"/>
              </w:rPr>
              <w:t>Ertapenem</w:t>
            </w:r>
          </w:p>
        </w:tc>
        <w:tc>
          <w:tcPr>
            <w:tcW w:w="1330" w:type="pct"/>
            <w:gridSpan w:val="2"/>
            <w:tcBorders>
              <w:top w:val="single" w:sz="4" w:space="0" w:color="000000"/>
              <w:left w:val="single" w:sz="4" w:space="0" w:color="000000"/>
              <w:bottom w:val="single" w:sz="4" w:space="0" w:color="000000"/>
              <w:right w:val="single" w:sz="4" w:space="0" w:color="000000"/>
            </w:tcBorders>
            <w:vAlign w:val="center"/>
            <w:hideMark/>
          </w:tcPr>
          <w:p w14:paraId="4EFBED15" w14:textId="77777777" w:rsidR="005872EA" w:rsidRDefault="005872EA">
            <w:pPr>
              <w:jc w:val="center"/>
              <w:rPr>
                <w:sz w:val="20"/>
              </w:rPr>
            </w:pPr>
            <w:r>
              <w:rPr>
                <w:sz w:val="20"/>
              </w:rPr>
              <w:t>Ceftriaxone</w:t>
            </w:r>
          </w:p>
        </w:tc>
      </w:tr>
      <w:tr w:rsidR="005872EA" w14:paraId="1E8E16A4" w14:textId="77777777" w:rsidTr="005872EA">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B1877" w14:textId="77777777" w:rsidR="005872EA" w:rsidRDefault="005872EA">
            <w:pPr>
              <w:rPr>
                <w:sz w:val="20"/>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D64E45" w14:textId="77777777" w:rsidR="005872EA" w:rsidRDefault="005872EA">
            <w:pPr>
              <w:rPr>
                <w:sz w:val="20"/>
                <w:lang w:val="en-GB"/>
              </w:rPr>
            </w:pP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4B857A04" w14:textId="77777777" w:rsidR="005872EA" w:rsidRDefault="005872EA">
            <w:pPr>
              <w:jc w:val="center"/>
              <w:rPr>
                <w:sz w:val="20"/>
              </w:rPr>
            </w:pPr>
            <w:r>
              <w:rPr>
                <w:sz w:val="20"/>
              </w:rPr>
              <w:t>n/m</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5AA6DA32" w14:textId="77777777" w:rsidR="005872EA" w:rsidRDefault="005872EA">
            <w:pPr>
              <w:jc w:val="center"/>
              <w:rPr>
                <w:sz w:val="20"/>
              </w:rPr>
            </w:pPr>
            <w:r>
              <w:rPr>
                <w:sz w:val="20"/>
              </w:rPr>
              <w:t>%</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4E0D9BD6" w14:textId="77777777" w:rsidR="005872EA" w:rsidRDefault="005872EA">
            <w:pPr>
              <w:jc w:val="center"/>
              <w:rPr>
                <w:sz w:val="20"/>
              </w:rPr>
            </w:pPr>
            <w:r>
              <w:rPr>
                <w:sz w:val="20"/>
              </w:rPr>
              <w:t>n/m</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7B203B41" w14:textId="77777777" w:rsidR="005872EA" w:rsidRDefault="005872EA">
            <w:pPr>
              <w:jc w:val="center"/>
              <w:rPr>
                <w:sz w:val="20"/>
              </w:rPr>
            </w:pPr>
            <w:r>
              <w:rPr>
                <w:sz w:val="20"/>
              </w:rPr>
              <w:t>%</w:t>
            </w:r>
          </w:p>
        </w:tc>
      </w:tr>
      <w:tr w:rsidR="005872EA" w14:paraId="4DE32877" w14:textId="77777777" w:rsidTr="005872EA">
        <w:trPr>
          <w:trHeight w:val="506"/>
        </w:trPr>
        <w:tc>
          <w:tcPr>
            <w:tcW w:w="1630" w:type="pct"/>
            <w:tcBorders>
              <w:top w:val="single" w:sz="4" w:space="0" w:color="000000"/>
              <w:left w:val="single" w:sz="4" w:space="0" w:color="000000"/>
              <w:bottom w:val="single" w:sz="4" w:space="0" w:color="000000"/>
              <w:right w:val="single" w:sz="4" w:space="0" w:color="000000"/>
            </w:tcBorders>
            <w:vAlign w:val="center"/>
            <w:hideMark/>
          </w:tcPr>
          <w:p w14:paraId="4C0745F4" w14:textId="77777777" w:rsidR="005872EA" w:rsidRDefault="005872EA">
            <w:pPr>
              <w:rPr>
                <w:sz w:val="20"/>
              </w:rPr>
            </w:pPr>
            <w:r>
              <w:rPr>
                <w:sz w:val="20"/>
              </w:rPr>
              <w:t>Samfundserhvervet pneumoni</w:t>
            </w:r>
          </w:p>
        </w:tc>
        <w:tc>
          <w:tcPr>
            <w:tcW w:w="898" w:type="pct"/>
            <w:tcBorders>
              <w:top w:val="single" w:sz="4" w:space="0" w:color="000000"/>
              <w:left w:val="single" w:sz="4" w:space="0" w:color="000000"/>
              <w:bottom w:val="single" w:sz="4" w:space="0" w:color="000000"/>
              <w:right w:val="single" w:sz="4" w:space="0" w:color="000000"/>
            </w:tcBorders>
            <w:vAlign w:val="center"/>
            <w:hideMark/>
          </w:tcPr>
          <w:p w14:paraId="4E137A35" w14:textId="77777777" w:rsidR="005872EA" w:rsidRDefault="005872EA">
            <w:pPr>
              <w:jc w:val="center"/>
              <w:rPr>
                <w:sz w:val="20"/>
              </w:rPr>
            </w:pPr>
            <w:r>
              <w:rPr>
                <w:sz w:val="20"/>
              </w:rPr>
              <w:t>3 - 23 måneder</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5C44118D" w14:textId="77777777" w:rsidR="005872EA" w:rsidRDefault="005872EA">
            <w:pPr>
              <w:jc w:val="center"/>
              <w:rPr>
                <w:sz w:val="20"/>
              </w:rPr>
            </w:pPr>
            <w:r>
              <w:rPr>
                <w:sz w:val="20"/>
              </w:rPr>
              <w:t>31/35</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3A62474F" w14:textId="77777777" w:rsidR="005872EA" w:rsidRDefault="005872EA">
            <w:pPr>
              <w:jc w:val="center"/>
              <w:rPr>
                <w:sz w:val="20"/>
              </w:rPr>
            </w:pPr>
            <w:r>
              <w:rPr>
                <w:sz w:val="20"/>
              </w:rPr>
              <w:t>88,6</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6756698E" w14:textId="77777777" w:rsidR="005872EA" w:rsidRDefault="005872EA">
            <w:pPr>
              <w:jc w:val="center"/>
              <w:rPr>
                <w:sz w:val="20"/>
              </w:rPr>
            </w:pPr>
            <w:r>
              <w:rPr>
                <w:sz w:val="20"/>
              </w:rPr>
              <w:t>13/13</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791C4DD7" w14:textId="77777777" w:rsidR="005872EA" w:rsidRDefault="005872EA">
            <w:pPr>
              <w:jc w:val="center"/>
              <w:rPr>
                <w:sz w:val="20"/>
              </w:rPr>
            </w:pPr>
            <w:r>
              <w:rPr>
                <w:sz w:val="20"/>
              </w:rPr>
              <w:t>100,0</w:t>
            </w:r>
          </w:p>
        </w:tc>
      </w:tr>
      <w:tr w:rsidR="005872EA" w14:paraId="0A25A51E" w14:textId="77777777" w:rsidTr="005872EA">
        <w:trPr>
          <w:trHeight w:val="251"/>
        </w:trPr>
        <w:tc>
          <w:tcPr>
            <w:tcW w:w="1630" w:type="pct"/>
            <w:tcBorders>
              <w:top w:val="single" w:sz="4" w:space="0" w:color="000000"/>
              <w:left w:val="single" w:sz="4" w:space="0" w:color="000000"/>
              <w:bottom w:val="single" w:sz="4" w:space="0" w:color="000000"/>
              <w:right w:val="single" w:sz="4" w:space="0" w:color="000000"/>
            </w:tcBorders>
          </w:tcPr>
          <w:p w14:paraId="1E9444B5" w14:textId="77777777" w:rsidR="005872EA" w:rsidRDefault="005872EA">
            <w:pPr>
              <w:rPr>
                <w:sz w:val="20"/>
              </w:rPr>
            </w:pPr>
          </w:p>
        </w:tc>
        <w:tc>
          <w:tcPr>
            <w:tcW w:w="898" w:type="pct"/>
            <w:tcBorders>
              <w:top w:val="single" w:sz="4" w:space="0" w:color="000000"/>
              <w:left w:val="single" w:sz="4" w:space="0" w:color="000000"/>
              <w:bottom w:val="single" w:sz="4" w:space="0" w:color="000000"/>
              <w:right w:val="single" w:sz="4" w:space="0" w:color="000000"/>
            </w:tcBorders>
            <w:vAlign w:val="center"/>
            <w:hideMark/>
          </w:tcPr>
          <w:p w14:paraId="391CA7AD" w14:textId="77777777" w:rsidR="005872EA" w:rsidRDefault="005872EA">
            <w:pPr>
              <w:jc w:val="center"/>
              <w:rPr>
                <w:sz w:val="20"/>
              </w:rPr>
            </w:pPr>
            <w:r>
              <w:rPr>
                <w:sz w:val="20"/>
              </w:rPr>
              <w:t>2 - 12 år</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1B595C1C" w14:textId="77777777" w:rsidR="005872EA" w:rsidRDefault="005872EA">
            <w:pPr>
              <w:jc w:val="center"/>
              <w:rPr>
                <w:sz w:val="20"/>
              </w:rPr>
            </w:pPr>
            <w:r>
              <w:rPr>
                <w:sz w:val="20"/>
              </w:rPr>
              <w:t>55/57</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4E2F63DB" w14:textId="77777777" w:rsidR="005872EA" w:rsidRDefault="005872EA">
            <w:pPr>
              <w:jc w:val="center"/>
              <w:rPr>
                <w:sz w:val="20"/>
              </w:rPr>
            </w:pPr>
            <w:r>
              <w:rPr>
                <w:sz w:val="20"/>
              </w:rPr>
              <w:t>96,5</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0B169F8E" w14:textId="77777777" w:rsidR="005872EA" w:rsidRDefault="005872EA">
            <w:pPr>
              <w:jc w:val="center"/>
              <w:rPr>
                <w:sz w:val="20"/>
              </w:rPr>
            </w:pPr>
            <w:r>
              <w:rPr>
                <w:sz w:val="20"/>
              </w:rPr>
              <w:t>16/17</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7DF3B9A3" w14:textId="77777777" w:rsidR="005872EA" w:rsidRDefault="005872EA">
            <w:pPr>
              <w:jc w:val="center"/>
              <w:rPr>
                <w:sz w:val="20"/>
              </w:rPr>
            </w:pPr>
            <w:r>
              <w:rPr>
                <w:sz w:val="20"/>
              </w:rPr>
              <w:t>94,1</w:t>
            </w:r>
          </w:p>
        </w:tc>
      </w:tr>
      <w:tr w:rsidR="005872EA" w14:paraId="2DEE9692" w14:textId="77777777" w:rsidTr="005872EA">
        <w:trPr>
          <w:trHeight w:val="254"/>
        </w:trPr>
        <w:tc>
          <w:tcPr>
            <w:tcW w:w="1630" w:type="pct"/>
            <w:tcBorders>
              <w:top w:val="single" w:sz="4" w:space="0" w:color="000000"/>
              <w:left w:val="single" w:sz="4" w:space="0" w:color="000000"/>
              <w:bottom w:val="single" w:sz="4" w:space="0" w:color="000000"/>
              <w:right w:val="single" w:sz="4" w:space="0" w:color="000000"/>
            </w:tcBorders>
          </w:tcPr>
          <w:p w14:paraId="613C2FF6" w14:textId="77777777" w:rsidR="005872EA" w:rsidRDefault="005872EA">
            <w:pPr>
              <w:rPr>
                <w:sz w:val="20"/>
              </w:rPr>
            </w:pPr>
          </w:p>
        </w:tc>
        <w:tc>
          <w:tcPr>
            <w:tcW w:w="898" w:type="pct"/>
            <w:tcBorders>
              <w:top w:val="single" w:sz="4" w:space="0" w:color="000000"/>
              <w:left w:val="single" w:sz="4" w:space="0" w:color="000000"/>
              <w:bottom w:val="single" w:sz="4" w:space="0" w:color="000000"/>
              <w:right w:val="single" w:sz="4" w:space="0" w:color="000000"/>
            </w:tcBorders>
            <w:vAlign w:val="center"/>
            <w:hideMark/>
          </w:tcPr>
          <w:p w14:paraId="5D08D5D2" w14:textId="77777777" w:rsidR="005872EA" w:rsidRDefault="005872EA">
            <w:pPr>
              <w:jc w:val="center"/>
              <w:rPr>
                <w:sz w:val="20"/>
              </w:rPr>
            </w:pPr>
            <w:r>
              <w:rPr>
                <w:sz w:val="20"/>
              </w:rPr>
              <w:t>13 - 17 år</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36FFB0E2" w14:textId="77777777" w:rsidR="005872EA" w:rsidRDefault="005872EA">
            <w:pPr>
              <w:jc w:val="center"/>
              <w:rPr>
                <w:sz w:val="20"/>
              </w:rPr>
            </w:pPr>
            <w:r>
              <w:rPr>
                <w:sz w:val="20"/>
              </w:rPr>
              <w:t>3/3</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0A318E8B" w14:textId="77777777" w:rsidR="005872EA" w:rsidRDefault="005872EA">
            <w:pPr>
              <w:jc w:val="center"/>
              <w:rPr>
                <w:sz w:val="20"/>
              </w:rPr>
            </w:pPr>
            <w:r>
              <w:rPr>
                <w:sz w:val="20"/>
              </w:rPr>
              <w:t>100,0</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2A362611" w14:textId="77777777" w:rsidR="005872EA" w:rsidRDefault="005872EA">
            <w:pPr>
              <w:jc w:val="center"/>
              <w:rPr>
                <w:sz w:val="20"/>
              </w:rPr>
            </w:pPr>
            <w:r>
              <w:rPr>
                <w:sz w:val="20"/>
              </w:rPr>
              <w:t>3/3</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7A5F1D29" w14:textId="77777777" w:rsidR="005872EA" w:rsidRDefault="005872EA">
            <w:pPr>
              <w:jc w:val="center"/>
              <w:rPr>
                <w:sz w:val="20"/>
              </w:rPr>
            </w:pPr>
            <w:r>
              <w:rPr>
                <w:sz w:val="20"/>
              </w:rPr>
              <w:t>100,0</w:t>
            </w:r>
          </w:p>
        </w:tc>
      </w:tr>
      <w:tr w:rsidR="005872EA" w14:paraId="3C0FB1B5" w14:textId="77777777" w:rsidTr="005872EA">
        <w:trPr>
          <w:trHeight w:val="122"/>
        </w:trPr>
        <w:tc>
          <w:tcPr>
            <w:tcW w:w="5000" w:type="pct"/>
            <w:gridSpan w:val="6"/>
            <w:tcBorders>
              <w:top w:val="single" w:sz="4" w:space="0" w:color="000000"/>
              <w:left w:val="single" w:sz="4" w:space="0" w:color="000000"/>
              <w:bottom w:val="single" w:sz="4" w:space="0" w:color="000000"/>
              <w:right w:val="single" w:sz="4" w:space="0" w:color="000000"/>
            </w:tcBorders>
          </w:tcPr>
          <w:p w14:paraId="35132F70" w14:textId="77777777" w:rsidR="005872EA" w:rsidRDefault="005872EA">
            <w:pPr>
              <w:jc w:val="center"/>
              <w:rPr>
                <w:sz w:val="20"/>
              </w:rPr>
            </w:pPr>
          </w:p>
        </w:tc>
      </w:tr>
      <w:tr w:rsidR="005872EA" w14:paraId="3D98D2C2" w14:textId="77777777" w:rsidTr="005872EA">
        <w:trPr>
          <w:trHeight w:val="251"/>
        </w:trPr>
        <w:tc>
          <w:tcPr>
            <w:tcW w:w="1630" w:type="pct"/>
            <w:vMerge w:val="restart"/>
            <w:tcBorders>
              <w:top w:val="single" w:sz="4" w:space="0" w:color="000000"/>
              <w:left w:val="single" w:sz="4" w:space="0" w:color="000000"/>
              <w:bottom w:val="single" w:sz="4" w:space="0" w:color="000000"/>
              <w:right w:val="single" w:sz="4" w:space="0" w:color="000000"/>
            </w:tcBorders>
            <w:vAlign w:val="center"/>
            <w:hideMark/>
          </w:tcPr>
          <w:p w14:paraId="41213450" w14:textId="77777777" w:rsidR="005872EA" w:rsidRDefault="005872EA">
            <w:pPr>
              <w:rPr>
                <w:sz w:val="20"/>
              </w:rPr>
            </w:pPr>
            <w:r>
              <w:rPr>
                <w:sz w:val="20"/>
              </w:rPr>
              <w:t>Sygdomsstratum</w:t>
            </w:r>
          </w:p>
        </w:tc>
        <w:tc>
          <w:tcPr>
            <w:tcW w:w="898" w:type="pct"/>
            <w:vMerge w:val="restart"/>
            <w:tcBorders>
              <w:top w:val="single" w:sz="4" w:space="0" w:color="000000"/>
              <w:left w:val="single" w:sz="4" w:space="0" w:color="000000"/>
              <w:bottom w:val="single" w:sz="4" w:space="0" w:color="000000"/>
              <w:right w:val="single" w:sz="4" w:space="0" w:color="000000"/>
            </w:tcBorders>
            <w:vAlign w:val="center"/>
            <w:hideMark/>
          </w:tcPr>
          <w:p w14:paraId="31E0A673" w14:textId="77777777" w:rsidR="005872EA" w:rsidRDefault="005872EA">
            <w:pPr>
              <w:jc w:val="center"/>
              <w:rPr>
                <w:sz w:val="20"/>
              </w:rPr>
            </w:pPr>
            <w:r>
              <w:rPr>
                <w:sz w:val="20"/>
              </w:rPr>
              <w:t>Aldersstratum</w:t>
            </w:r>
          </w:p>
        </w:tc>
        <w:tc>
          <w:tcPr>
            <w:tcW w:w="1142" w:type="pct"/>
            <w:gridSpan w:val="2"/>
            <w:tcBorders>
              <w:top w:val="single" w:sz="4" w:space="0" w:color="000000"/>
              <w:left w:val="single" w:sz="4" w:space="0" w:color="000000"/>
              <w:bottom w:val="single" w:sz="4" w:space="0" w:color="000000"/>
              <w:right w:val="single" w:sz="4" w:space="0" w:color="000000"/>
            </w:tcBorders>
            <w:vAlign w:val="center"/>
            <w:hideMark/>
          </w:tcPr>
          <w:p w14:paraId="125E44E6" w14:textId="77777777" w:rsidR="005872EA" w:rsidRDefault="005872EA">
            <w:pPr>
              <w:jc w:val="center"/>
              <w:rPr>
                <w:sz w:val="20"/>
              </w:rPr>
            </w:pPr>
            <w:r>
              <w:rPr>
                <w:sz w:val="20"/>
              </w:rPr>
              <w:t>Ertapenem</w:t>
            </w:r>
          </w:p>
        </w:tc>
        <w:tc>
          <w:tcPr>
            <w:tcW w:w="1330" w:type="pct"/>
            <w:gridSpan w:val="2"/>
            <w:tcBorders>
              <w:top w:val="single" w:sz="4" w:space="0" w:color="000000"/>
              <w:left w:val="single" w:sz="4" w:space="0" w:color="000000"/>
              <w:bottom w:val="single" w:sz="4" w:space="0" w:color="000000"/>
              <w:right w:val="single" w:sz="4" w:space="0" w:color="000000"/>
            </w:tcBorders>
            <w:vAlign w:val="center"/>
            <w:hideMark/>
          </w:tcPr>
          <w:p w14:paraId="4585EB18" w14:textId="77777777" w:rsidR="005872EA" w:rsidRDefault="005872EA">
            <w:pPr>
              <w:jc w:val="center"/>
              <w:rPr>
                <w:sz w:val="20"/>
              </w:rPr>
            </w:pPr>
            <w:r>
              <w:rPr>
                <w:sz w:val="20"/>
              </w:rPr>
              <w:t>Ticarcillin/clavulanat</w:t>
            </w:r>
          </w:p>
        </w:tc>
      </w:tr>
      <w:tr w:rsidR="005872EA" w14:paraId="6F9F4DE7" w14:textId="77777777" w:rsidTr="005872EA">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DA2A8E" w14:textId="77777777" w:rsidR="005872EA" w:rsidRDefault="005872EA">
            <w:pPr>
              <w:rPr>
                <w:sz w:val="20"/>
                <w:lang w:val="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9F4768" w14:textId="77777777" w:rsidR="005872EA" w:rsidRDefault="005872EA">
            <w:pPr>
              <w:rPr>
                <w:sz w:val="20"/>
                <w:lang w:val="en-GB"/>
              </w:rPr>
            </w:pP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0F830EA4" w14:textId="77777777" w:rsidR="005872EA" w:rsidRDefault="005872EA">
            <w:pPr>
              <w:jc w:val="center"/>
              <w:rPr>
                <w:sz w:val="20"/>
              </w:rPr>
            </w:pPr>
            <w:r>
              <w:rPr>
                <w:sz w:val="20"/>
              </w:rPr>
              <w:t>n/m</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31D56359" w14:textId="77777777" w:rsidR="005872EA" w:rsidRDefault="005872EA">
            <w:pPr>
              <w:jc w:val="center"/>
              <w:rPr>
                <w:sz w:val="20"/>
              </w:rPr>
            </w:pPr>
            <w:r>
              <w:rPr>
                <w:sz w:val="20"/>
              </w:rPr>
              <w:t>%</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625128E5" w14:textId="77777777" w:rsidR="005872EA" w:rsidRDefault="005872EA">
            <w:pPr>
              <w:jc w:val="center"/>
              <w:rPr>
                <w:sz w:val="20"/>
              </w:rPr>
            </w:pPr>
            <w:r>
              <w:rPr>
                <w:sz w:val="20"/>
              </w:rPr>
              <w:t>n/m</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5E9AB1AE" w14:textId="77777777" w:rsidR="005872EA" w:rsidRDefault="005872EA">
            <w:pPr>
              <w:jc w:val="center"/>
              <w:rPr>
                <w:sz w:val="20"/>
              </w:rPr>
            </w:pPr>
            <w:r>
              <w:rPr>
                <w:sz w:val="20"/>
              </w:rPr>
              <w:t>%</w:t>
            </w:r>
          </w:p>
        </w:tc>
      </w:tr>
      <w:tr w:rsidR="005872EA" w14:paraId="3C0A3700" w14:textId="77777777" w:rsidTr="005872EA">
        <w:trPr>
          <w:trHeight w:val="251"/>
        </w:trPr>
        <w:tc>
          <w:tcPr>
            <w:tcW w:w="1630" w:type="pct"/>
            <w:tcBorders>
              <w:top w:val="single" w:sz="4" w:space="0" w:color="000000"/>
              <w:left w:val="single" w:sz="4" w:space="0" w:color="000000"/>
              <w:bottom w:val="single" w:sz="4" w:space="0" w:color="000000"/>
              <w:right w:val="single" w:sz="4" w:space="0" w:color="000000"/>
            </w:tcBorders>
            <w:vAlign w:val="center"/>
            <w:hideMark/>
          </w:tcPr>
          <w:p w14:paraId="4D7C941F" w14:textId="77777777" w:rsidR="005872EA" w:rsidRDefault="005872EA">
            <w:pPr>
              <w:rPr>
                <w:sz w:val="20"/>
              </w:rPr>
            </w:pPr>
            <w:r>
              <w:rPr>
                <w:sz w:val="20"/>
              </w:rPr>
              <w:t>Intra-abdominale infektion</w:t>
            </w:r>
          </w:p>
        </w:tc>
        <w:tc>
          <w:tcPr>
            <w:tcW w:w="898" w:type="pct"/>
            <w:tcBorders>
              <w:top w:val="single" w:sz="4" w:space="0" w:color="000000"/>
              <w:left w:val="single" w:sz="4" w:space="0" w:color="000000"/>
              <w:bottom w:val="single" w:sz="4" w:space="0" w:color="000000"/>
              <w:right w:val="single" w:sz="4" w:space="0" w:color="000000"/>
            </w:tcBorders>
            <w:vAlign w:val="center"/>
            <w:hideMark/>
          </w:tcPr>
          <w:p w14:paraId="3F4B572F" w14:textId="77777777" w:rsidR="005872EA" w:rsidRDefault="005872EA">
            <w:pPr>
              <w:jc w:val="center"/>
              <w:rPr>
                <w:sz w:val="20"/>
              </w:rPr>
            </w:pPr>
            <w:r>
              <w:rPr>
                <w:sz w:val="20"/>
              </w:rPr>
              <w:t>2 - 12 år</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485C6B75" w14:textId="77777777" w:rsidR="005872EA" w:rsidRDefault="005872EA">
            <w:pPr>
              <w:jc w:val="center"/>
              <w:rPr>
                <w:sz w:val="20"/>
              </w:rPr>
            </w:pPr>
            <w:r>
              <w:rPr>
                <w:sz w:val="20"/>
              </w:rPr>
              <w:t>28/34</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1C9348FD" w14:textId="77777777" w:rsidR="005872EA" w:rsidRDefault="005872EA">
            <w:pPr>
              <w:jc w:val="center"/>
              <w:rPr>
                <w:sz w:val="20"/>
              </w:rPr>
            </w:pPr>
            <w:r>
              <w:rPr>
                <w:sz w:val="20"/>
              </w:rPr>
              <w:t>82,4</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5963D173" w14:textId="77777777" w:rsidR="005872EA" w:rsidRDefault="005872EA">
            <w:pPr>
              <w:jc w:val="center"/>
              <w:rPr>
                <w:sz w:val="20"/>
              </w:rPr>
            </w:pPr>
            <w:r>
              <w:rPr>
                <w:sz w:val="20"/>
              </w:rPr>
              <w:t>7/9</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656703D0" w14:textId="77777777" w:rsidR="005872EA" w:rsidRDefault="005872EA">
            <w:pPr>
              <w:jc w:val="center"/>
              <w:rPr>
                <w:sz w:val="20"/>
              </w:rPr>
            </w:pPr>
            <w:r>
              <w:rPr>
                <w:sz w:val="20"/>
              </w:rPr>
              <w:t>77,8</w:t>
            </w:r>
          </w:p>
        </w:tc>
      </w:tr>
      <w:tr w:rsidR="005872EA" w14:paraId="2EC5168F" w14:textId="77777777" w:rsidTr="005872EA">
        <w:trPr>
          <w:trHeight w:val="253"/>
        </w:trPr>
        <w:tc>
          <w:tcPr>
            <w:tcW w:w="1630" w:type="pct"/>
            <w:tcBorders>
              <w:top w:val="single" w:sz="4" w:space="0" w:color="000000"/>
              <w:left w:val="single" w:sz="4" w:space="0" w:color="000000"/>
              <w:bottom w:val="single" w:sz="4" w:space="0" w:color="000000"/>
              <w:right w:val="single" w:sz="4" w:space="0" w:color="000000"/>
            </w:tcBorders>
            <w:vAlign w:val="center"/>
          </w:tcPr>
          <w:p w14:paraId="6EECDF2D" w14:textId="77777777" w:rsidR="005872EA" w:rsidRDefault="005872EA">
            <w:pPr>
              <w:rPr>
                <w:sz w:val="20"/>
              </w:rPr>
            </w:pPr>
          </w:p>
        </w:tc>
        <w:tc>
          <w:tcPr>
            <w:tcW w:w="898" w:type="pct"/>
            <w:tcBorders>
              <w:top w:val="single" w:sz="4" w:space="0" w:color="000000"/>
              <w:left w:val="single" w:sz="4" w:space="0" w:color="000000"/>
              <w:bottom w:val="single" w:sz="4" w:space="0" w:color="000000"/>
              <w:right w:val="single" w:sz="4" w:space="0" w:color="000000"/>
            </w:tcBorders>
            <w:vAlign w:val="center"/>
            <w:hideMark/>
          </w:tcPr>
          <w:p w14:paraId="103ABBEF" w14:textId="77777777" w:rsidR="005872EA" w:rsidRDefault="005872EA">
            <w:pPr>
              <w:jc w:val="center"/>
              <w:rPr>
                <w:sz w:val="20"/>
              </w:rPr>
            </w:pPr>
            <w:r>
              <w:rPr>
                <w:sz w:val="20"/>
              </w:rPr>
              <w:t>13 - 17 år</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38487998" w14:textId="77777777" w:rsidR="005872EA" w:rsidRDefault="005872EA">
            <w:pPr>
              <w:jc w:val="center"/>
              <w:rPr>
                <w:sz w:val="20"/>
              </w:rPr>
            </w:pPr>
            <w:r>
              <w:rPr>
                <w:sz w:val="20"/>
              </w:rPr>
              <w:t>15/16</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4F6D97C8" w14:textId="77777777" w:rsidR="005872EA" w:rsidRDefault="005872EA">
            <w:pPr>
              <w:jc w:val="center"/>
              <w:rPr>
                <w:sz w:val="20"/>
              </w:rPr>
            </w:pPr>
            <w:r>
              <w:rPr>
                <w:sz w:val="20"/>
              </w:rPr>
              <w:t>93,8</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3A64AC26" w14:textId="77777777" w:rsidR="005872EA" w:rsidRDefault="005872EA">
            <w:pPr>
              <w:jc w:val="center"/>
              <w:rPr>
                <w:sz w:val="20"/>
              </w:rPr>
            </w:pPr>
            <w:r>
              <w:rPr>
                <w:sz w:val="20"/>
              </w:rPr>
              <w:t>4/6</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432CF523" w14:textId="77777777" w:rsidR="005872EA" w:rsidRDefault="005872EA">
            <w:pPr>
              <w:jc w:val="center"/>
              <w:rPr>
                <w:sz w:val="20"/>
              </w:rPr>
            </w:pPr>
            <w:r>
              <w:rPr>
                <w:sz w:val="20"/>
              </w:rPr>
              <w:t>66,7</w:t>
            </w:r>
          </w:p>
        </w:tc>
      </w:tr>
      <w:tr w:rsidR="005872EA" w14:paraId="3BD17D05" w14:textId="77777777" w:rsidTr="005872EA">
        <w:trPr>
          <w:trHeight w:val="253"/>
        </w:trPr>
        <w:tc>
          <w:tcPr>
            <w:tcW w:w="1630" w:type="pct"/>
            <w:tcBorders>
              <w:top w:val="single" w:sz="4" w:space="0" w:color="000000"/>
              <w:left w:val="single" w:sz="4" w:space="0" w:color="000000"/>
              <w:bottom w:val="single" w:sz="4" w:space="0" w:color="000000"/>
              <w:right w:val="single" w:sz="4" w:space="0" w:color="000000"/>
            </w:tcBorders>
            <w:vAlign w:val="center"/>
            <w:hideMark/>
          </w:tcPr>
          <w:p w14:paraId="59FF336E" w14:textId="77777777" w:rsidR="005872EA" w:rsidRDefault="005872EA">
            <w:pPr>
              <w:rPr>
                <w:sz w:val="20"/>
              </w:rPr>
            </w:pPr>
            <w:r>
              <w:rPr>
                <w:sz w:val="20"/>
              </w:rPr>
              <w:t>Akutte bækkeninfektioner</w:t>
            </w:r>
          </w:p>
        </w:tc>
        <w:tc>
          <w:tcPr>
            <w:tcW w:w="898" w:type="pct"/>
            <w:tcBorders>
              <w:top w:val="single" w:sz="4" w:space="0" w:color="000000"/>
              <w:left w:val="single" w:sz="4" w:space="0" w:color="000000"/>
              <w:bottom w:val="single" w:sz="4" w:space="0" w:color="000000"/>
              <w:right w:val="single" w:sz="4" w:space="0" w:color="000000"/>
            </w:tcBorders>
            <w:vAlign w:val="center"/>
            <w:hideMark/>
          </w:tcPr>
          <w:p w14:paraId="2E64E7BE" w14:textId="77777777" w:rsidR="005872EA" w:rsidRDefault="005872EA">
            <w:pPr>
              <w:jc w:val="center"/>
              <w:rPr>
                <w:sz w:val="20"/>
              </w:rPr>
            </w:pPr>
            <w:r>
              <w:rPr>
                <w:sz w:val="20"/>
              </w:rPr>
              <w:t>13 - 17 år</w:t>
            </w:r>
          </w:p>
        </w:tc>
        <w:tc>
          <w:tcPr>
            <w:tcW w:w="490" w:type="pct"/>
            <w:tcBorders>
              <w:top w:val="single" w:sz="4" w:space="0" w:color="000000"/>
              <w:left w:val="single" w:sz="4" w:space="0" w:color="000000"/>
              <w:bottom w:val="single" w:sz="4" w:space="0" w:color="000000"/>
              <w:right w:val="single" w:sz="4" w:space="0" w:color="000000"/>
            </w:tcBorders>
            <w:vAlign w:val="center"/>
            <w:hideMark/>
          </w:tcPr>
          <w:p w14:paraId="701B2343" w14:textId="77777777" w:rsidR="005872EA" w:rsidRDefault="005872EA">
            <w:pPr>
              <w:jc w:val="center"/>
              <w:rPr>
                <w:sz w:val="20"/>
              </w:rPr>
            </w:pPr>
            <w:r>
              <w:rPr>
                <w:sz w:val="20"/>
              </w:rPr>
              <w:t>25/25</w:t>
            </w:r>
          </w:p>
        </w:tc>
        <w:tc>
          <w:tcPr>
            <w:tcW w:w="653" w:type="pct"/>
            <w:tcBorders>
              <w:top w:val="single" w:sz="4" w:space="0" w:color="000000"/>
              <w:left w:val="single" w:sz="4" w:space="0" w:color="000000"/>
              <w:bottom w:val="single" w:sz="4" w:space="0" w:color="000000"/>
              <w:right w:val="single" w:sz="4" w:space="0" w:color="000000"/>
            </w:tcBorders>
            <w:vAlign w:val="center"/>
            <w:hideMark/>
          </w:tcPr>
          <w:p w14:paraId="5C24A6DE" w14:textId="77777777" w:rsidR="005872EA" w:rsidRDefault="005872EA">
            <w:pPr>
              <w:jc w:val="center"/>
              <w:rPr>
                <w:sz w:val="20"/>
              </w:rPr>
            </w:pPr>
            <w:r>
              <w:rPr>
                <w:sz w:val="20"/>
              </w:rPr>
              <w:t>100,0</w:t>
            </w:r>
          </w:p>
        </w:tc>
        <w:tc>
          <w:tcPr>
            <w:tcW w:w="570" w:type="pct"/>
            <w:tcBorders>
              <w:top w:val="single" w:sz="4" w:space="0" w:color="000000"/>
              <w:left w:val="single" w:sz="4" w:space="0" w:color="000000"/>
              <w:bottom w:val="single" w:sz="4" w:space="0" w:color="000000"/>
              <w:right w:val="single" w:sz="4" w:space="0" w:color="000000"/>
            </w:tcBorders>
            <w:vAlign w:val="center"/>
            <w:hideMark/>
          </w:tcPr>
          <w:p w14:paraId="05227149" w14:textId="77777777" w:rsidR="005872EA" w:rsidRDefault="005872EA">
            <w:pPr>
              <w:jc w:val="center"/>
              <w:rPr>
                <w:sz w:val="20"/>
              </w:rPr>
            </w:pPr>
            <w:r>
              <w:rPr>
                <w:sz w:val="20"/>
              </w:rPr>
              <w:t>8/8</w:t>
            </w:r>
          </w:p>
        </w:tc>
        <w:tc>
          <w:tcPr>
            <w:tcW w:w="760" w:type="pct"/>
            <w:tcBorders>
              <w:top w:val="single" w:sz="4" w:space="0" w:color="000000"/>
              <w:left w:val="single" w:sz="4" w:space="0" w:color="000000"/>
              <w:bottom w:val="single" w:sz="4" w:space="0" w:color="000000"/>
              <w:right w:val="single" w:sz="4" w:space="0" w:color="000000"/>
            </w:tcBorders>
            <w:vAlign w:val="center"/>
            <w:hideMark/>
          </w:tcPr>
          <w:p w14:paraId="1560C0CF" w14:textId="77777777" w:rsidR="005872EA" w:rsidRDefault="005872EA">
            <w:pPr>
              <w:jc w:val="center"/>
              <w:rPr>
                <w:sz w:val="20"/>
              </w:rPr>
            </w:pPr>
            <w:r>
              <w:rPr>
                <w:sz w:val="20"/>
              </w:rPr>
              <w:t>100,0</w:t>
            </w:r>
          </w:p>
        </w:tc>
      </w:tr>
    </w:tbl>
    <w:p w14:paraId="6EB60F04" w14:textId="405EB570" w:rsidR="005872EA" w:rsidRDefault="005872EA" w:rsidP="006B3E07">
      <w:pPr>
        <w:tabs>
          <w:tab w:val="left" w:pos="1304"/>
        </w:tabs>
        <w:ind w:left="142"/>
        <w:rPr>
          <w:sz w:val="20"/>
          <w:lang w:val="sv-SE"/>
        </w:rPr>
      </w:pPr>
      <w:r>
        <w:rPr>
          <w:sz w:val="20"/>
          <w:lang w:val="sv-SE"/>
        </w:rPr>
        <w:t>† Dette omfatter 9 patienter i ertapenem-gruppen (7 med samfundserhvervet pneumoni og 2 med intra abdominale infektioner), 2 patienter i ceftriaxon-gruppen (2 med samfundserhvervet pneumoni) og 1 patient med intra-abdominale infektioner i ticarcillin/clavulanat-gruppen med sekundær bakteriæmi ved inklusion i studiet.</w:t>
      </w:r>
    </w:p>
    <w:p w14:paraId="0C636088" w14:textId="5B7B08E3" w:rsidR="006B3E07" w:rsidRDefault="006B3E07">
      <w:pPr>
        <w:rPr>
          <w:sz w:val="20"/>
          <w:lang w:val="sv-SE"/>
        </w:rPr>
      </w:pPr>
      <w:r>
        <w:rPr>
          <w:sz w:val="20"/>
          <w:lang w:val="sv-SE"/>
        </w:rPr>
        <w:br w:type="page"/>
      </w:r>
    </w:p>
    <w:p w14:paraId="1A10D13F" w14:textId="12381D21" w:rsidR="006B3E07" w:rsidRDefault="006B3E07" w:rsidP="006B3E07">
      <w:pPr>
        <w:tabs>
          <w:tab w:val="left" w:pos="1304"/>
        </w:tabs>
        <w:ind w:left="142"/>
        <w:rPr>
          <w:sz w:val="20"/>
          <w:lang w:val="sv-SE"/>
        </w:rPr>
      </w:pPr>
      <w:r>
        <w:rPr>
          <w:sz w:val="20"/>
          <w:lang w:val="sv-SE"/>
        </w:rPr>
        <w:lastRenderedPageBreak/>
        <w:t xml:space="preserve"> </w:t>
      </w:r>
    </w:p>
    <w:p w14:paraId="5D65716E" w14:textId="77777777" w:rsidR="009260DE" w:rsidRPr="00C84483" w:rsidRDefault="009260DE" w:rsidP="006B3E07">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AA07720" w14:textId="77777777" w:rsidR="006B3E07" w:rsidRPr="006B3E07" w:rsidRDefault="006B3E07" w:rsidP="006B3E07">
      <w:pPr>
        <w:tabs>
          <w:tab w:val="left" w:pos="851"/>
        </w:tabs>
        <w:ind w:left="851"/>
        <w:rPr>
          <w:sz w:val="24"/>
          <w:szCs w:val="24"/>
          <w:lang w:val="sv-SE"/>
        </w:rPr>
      </w:pPr>
    </w:p>
    <w:p w14:paraId="290702C8" w14:textId="77777777" w:rsidR="006B3E07" w:rsidRPr="006B3E07" w:rsidRDefault="006B3E07" w:rsidP="006B3E07">
      <w:pPr>
        <w:tabs>
          <w:tab w:val="left" w:pos="851"/>
        </w:tabs>
        <w:ind w:left="851"/>
        <w:rPr>
          <w:iCs/>
          <w:sz w:val="24"/>
          <w:szCs w:val="24"/>
          <w:u w:val="single"/>
          <w:lang w:val="sv-SE"/>
        </w:rPr>
      </w:pPr>
      <w:r w:rsidRPr="006B3E07">
        <w:rPr>
          <w:iCs/>
          <w:sz w:val="24"/>
          <w:szCs w:val="24"/>
          <w:u w:val="single"/>
          <w:lang w:val="sv-SE"/>
        </w:rPr>
        <w:t>Plasmakoncentrationer</w:t>
      </w:r>
    </w:p>
    <w:p w14:paraId="0D028BAD" w14:textId="77777777" w:rsidR="006B3E07" w:rsidRPr="006B3E07" w:rsidRDefault="006B3E07" w:rsidP="006B3E07">
      <w:pPr>
        <w:tabs>
          <w:tab w:val="left" w:pos="851"/>
        </w:tabs>
        <w:ind w:left="851"/>
        <w:rPr>
          <w:iCs/>
          <w:sz w:val="24"/>
          <w:szCs w:val="24"/>
          <w:lang w:val="sv-SE"/>
        </w:rPr>
      </w:pPr>
      <w:r w:rsidRPr="006B3E07">
        <w:rPr>
          <w:iCs/>
          <w:sz w:val="24"/>
          <w:szCs w:val="24"/>
          <w:lang w:val="sv-SE"/>
        </w:rPr>
        <w:t>Gennemsnitlige plasmakoncentrationer af ertapenem efter en enkelt 30 minutters intravenøs infusion af en 1 g dosis til raske, unge voksne (25 - 45 år) var 155 mikrogram/ml (C</w:t>
      </w:r>
      <w:r w:rsidRPr="006B3E07">
        <w:rPr>
          <w:iCs/>
          <w:sz w:val="24"/>
          <w:szCs w:val="24"/>
          <w:vertAlign w:val="subscript"/>
          <w:lang w:val="sv-SE"/>
        </w:rPr>
        <w:t>max</w:t>
      </w:r>
      <w:r w:rsidRPr="006B3E07">
        <w:rPr>
          <w:iCs/>
          <w:sz w:val="24"/>
          <w:szCs w:val="24"/>
          <w:lang w:val="sv-SE"/>
        </w:rPr>
        <w:t>) ved 0,5 time efter dosering (ved afslutning på infusion), 9 mikrogram/ml ved 12 timer efter dosering og 1 mikrogram/ml ved 24 timer efter dosering.</w:t>
      </w:r>
    </w:p>
    <w:p w14:paraId="35B5173B" w14:textId="77777777" w:rsidR="006B3E07" w:rsidRPr="006B3E07" w:rsidRDefault="006B3E07" w:rsidP="006B3E07">
      <w:pPr>
        <w:tabs>
          <w:tab w:val="left" w:pos="851"/>
        </w:tabs>
        <w:ind w:left="851"/>
        <w:rPr>
          <w:iCs/>
          <w:sz w:val="24"/>
          <w:szCs w:val="24"/>
          <w:lang w:val="sv-SE"/>
        </w:rPr>
      </w:pPr>
    </w:p>
    <w:p w14:paraId="7F4912CA" w14:textId="77777777" w:rsidR="006B3E07" w:rsidRPr="006B3E07" w:rsidRDefault="006B3E07" w:rsidP="006B3E07">
      <w:pPr>
        <w:tabs>
          <w:tab w:val="left" w:pos="851"/>
        </w:tabs>
        <w:ind w:left="851"/>
        <w:rPr>
          <w:iCs/>
          <w:sz w:val="24"/>
          <w:szCs w:val="24"/>
          <w:lang w:val="sv-SE"/>
        </w:rPr>
      </w:pPr>
      <w:r w:rsidRPr="006B3E07">
        <w:rPr>
          <w:iCs/>
          <w:sz w:val="24"/>
          <w:szCs w:val="24"/>
          <w:lang w:val="sv-SE"/>
        </w:rPr>
        <w:t>Arealet under plasmakoncentrationskurven (AUC) af ertapenem hos voksne øges næsten dosisproportionelt inden for dosisintervallet 0,5 - 2 g.</w:t>
      </w:r>
    </w:p>
    <w:p w14:paraId="3162BFDA" w14:textId="77777777" w:rsidR="006B3E07" w:rsidRPr="006B3E07" w:rsidRDefault="006B3E07" w:rsidP="006B3E07">
      <w:pPr>
        <w:tabs>
          <w:tab w:val="left" w:pos="851"/>
        </w:tabs>
        <w:ind w:left="851"/>
        <w:rPr>
          <w:iCs/>
          <w:sz w:val="24"/>
          <w:szCs w:val="24"/>
          <w:lang w:val="sv-SE"/>
        </w:rPr>
      </w:pPr>
    </w:p>
    <w:p w14:paraId="3466DA66" w14:textId="77777777" w:rsidR="006B3E07" w:rsidRPr="006B3E07" w:rsidRDefault="006B3E07" w:rsidP="006B3E07">
      <w:pPr>
        <w:tabs>
          <w:tab w:val="left" w:pos="851"/>
        </w:tabs>
        <w:ind w:left="851"/>
        <w:rPr>
          <w:iCs/>
          <w:sz w:val="24"/>
          <w:szCs w:val="24"/>
          <w:lang w:val="sv-SE"/>
        </w:rPr>
      </w:pPr>
      <w:r w:rsidRPr="006B3E07">
        <w:rPr>
          <w:iCs/>
          <w:sz w:val="24"/>
          <w:szCs w:val="24"/>
          <w:lang w:val="sv-SE"/>
        </w:rPr>
        <w:t>Ertapenem akkumuleres ikke hos voksne efter gentagne intravenøse doser fra 0,5 -2 g dagligt.</w:t>
      </w:r>
    </w:p>
    <w:p w14:paraId="68D54A7A" w14:textId="77777777" w:rsidR="006B3E07" w:rsidRPr="006B3E07" w:rsidRDefault="006B3E07" w:rsidP="006B3E07">
      <w:pPr>
        <w:tabs>
          <w:tab w:val="left" w:pos="851"/>
        </w:tabs>
        <w:ind w:left="851"/>
        <w:rPr>
          <w:iCs/>
          <w:sz w:val="24"/>
          <w:szCs w:val="24"/>
          <w:lang w:val="sv-SE"/>
        </w:rPr>
      </w:pPr>
      <w:r w:rsidRPr="006B3E07">
        <w:rPr>
          <w:iCs/>
          <w:sz w:val="24"/>
          <w:szCs w:val="24"/>
          <w:lang w:val="sv-SE"/>
        </w:rPr>
        <w:t xml:space="preserve"> </w:t>
      </w:r>
    </w:p>
    <w:p w14:paraId="599718D7" w14:textId="77777777" w:rsidR="006B3E07" w:rsidRPr="006B3E07" w:rsidRDefault="006B3E07" w:rsidP="006B3E07">
      <w:pPr>
        <w:tabs>
          <w:tab w:val="left" w:pos="851"/>
        </w:tabs>
        <w:ind w:left="851"/>
        <w:rPr>
          <w:iCs/>
          <w:sz w:val="24"/>
          <w:szCs w:val="24"/>
          <w:lang w:val="sv-SE"/>
        </w:rPr>
      </w:pPr>
      <w:r w:rsidRPr="006B3E07">
        <w:rPr>
          <w:iCs/>
          <w:sz w:val="24"/>
          <w:szCs w:val="24"/>
          <w:lang w:val="sv-SE"/>
        </w:rPr>
        <w:t>Gennemsnitlige plasmakoncentrationer af ertapenem efter en enkelt 30 minutters intravenøs infusion af en 15 mg/kg dosis (op til maksimal dosis på 1 g) til patienter i alderen 3 - 23 måneder var 103,8 mikrogram/ml (C</w:t>
      </w:r>
      <w:r w:rsidRPr="006B3E07">
        <w:rPr>
          <w:iCs/>
          <w:sz w:val="24"/>
          <w:szCs w:val="24"/>
          <w:vertAlign w:val="subscript"/>
          <w:lang w:val="sv-SE"/>
        </w:rPr>
        <w:t>max</w:t>
      </w:r>
      <w:r w:rsidRPr="006B3E07">
        <w:rPr>
          <w:iCs/>
          <w:sz w:val="24"/>
          <w:szCs w:val="24"/>
          <w:lang w:val="sv-SE"/>
        </w:rPr>
        <w:t>) ved 0,5 time efter dosering (ved afslutning på infusion), 13,5 mikrogram/ml ved 6 timer efter dosering og 2,5 mikrogram/ml ved 12 timer efter dosering.</w:t>
      </w:r>
    </w:p>
    <w:p w14:paraId="14A0C6E0" w14:textId="77777777" w:rsidR="006B3E07" w:rsidRPr="006B3E07" w:rsidRDefault="006B3E07" w:rsidP="006B3E07">
      <w:pPr>
        <w:tabs>
          <w:tab w:val="left" w:pos="851"/>
        </w:tabs>
        <w:ind w:left="851"/>
        <w:rPr>
          <w:iCs/>
          <w:sz w:val="24"/>
          <w:szCs w:val="24"/>
          <w:lang w:val="sv-SE"/>
        </w:rPr>
      </w:pPr>
    </w:p>
    <w:p w14:paraId="76FA3FE3" w14:textId="77777777" w:rsidR="006B3E07" w:rsidRPr="006B3E07" w:rsidRDefault="006B3E07" w:rsidP="006B3E07">
      <w:pPr>
        <w:tabs>
          <w:tab w:val="left" w:pos="851"/>
        </w:tabs>
        <w:ind w:left="851"/>
        <w:rPr>
          <w:iCs/>
          <w:sz w:val="24"/>
          <w:szCs w:val="24"/>
          <w:lang w:val="sv-SE"/>
        </w:rPr>
      </w:pPr>
      <w:r w:rsidRPr="006B3E07">
        <w:rPr>
          <w:iCs/>
          <w:sz w:val="24"/>
          <w:szCs w:val="24"/>
          <w:lang w:val="sv-SE"/>
        </w:rPr>
        <w:t>Gennemsnitlige plasmakoncentrationer af ertapenem efter en enkelt 30 minutters intravenøs infusion af en 15 mg/kg dosis (op til maksimal dosis på 1 g) til patienter i alderen 2 – 12 år var 113,2 mikrogram/ml (C</w:t>
      </w:r>
      <w:r w:rsidRPr="006B3E07">
        <w:rPr>
          <w:iCs/>
          <w:sz w:val="24"/>
          <w:szCs w:val="24"/>
          <w:vertAlign w:val="subscript"/>
          <w:lang w:val="sv-SE"/>
        </w:rPr>
        <w:t>max</w:t>
      </w:r>
      <w:r w:rsidRPr="006B3E07">
        <w:rPr>
          <w:iCs/>
          <w:sz w:val="24"/>
          <w:szCs w:val="24"/>
          <w:lang w:val="sv-SE"/>
        </w:rPr>
        <w:t>) ved 0,5 time efter dosering (ved afslutning på infusion), 12,8 mikrogram/ml ved 6 timer efter dosering og 3,0 mikrogram/ml ved 12 timer efter dosering.</w:t>
      </w:r>
    </w:p>
    <w:p w14:paraId="7971D05C" w14:textId="77777777" w:rsidR="006B3E07" w:rsidRPr="006B3E07" w:rsidRDefault="006B3E07" w:rsidP="006B3E07">
      <w:pPr>
        <w:tabs>
          <w:tab w:val="left" w:pos="851"/>
        </w:tabs>
        <w:ind w:left="851"/>
        <w:rPr>
          <w:iCs/>
          <w:sz w:val="24"/>
          <w:szCs w:val="24"/>
          <w:lang w:val="sv-SE"/>
        </w:rPr>
      </w:pPr>
    </w:p>
    <w:p w14:paraId="1E536504" w14:textId="77777777" w:rsidR="006B3E07" w:rsidRPr="006B3E07" w:rsidRDefault="006B3E07" w:rsidP="006B3E07">
      <w:pPr>
        <w:tabs>
          <w:tab w:val="left" w:pos="851"/>
        </w:tabs>
        <w:ind w:left="851"/>
        <w:rPr>
          <w:iCs/>
          <w:sz w:val="24"/>
          <w:szCs w:val="24"/>
          <w:lang w:val="sv-SE"/>
        </w:rPr>
      </w:pPr>
      <w:r w:rsidRPr="006B3E07">
        <w:rPr>
          <w:iCs/>
          <w:sz w:val="24"/>
          <w:szCs w:val="24"/>
          <w:lang w:val="sv-SE"/>
        </w:rPr>
        <w:t>Gennemsnitlige plasmakoncentrationer af ertapenem efter en enkelt 30 minutters intravenøs infusion af en 20 mg/kg dosis (op til maksimal dosis på 1 g) til patienter i alderen 13 - 17 år var 170,4 mikrogram/ml (C</w:t>
      </w:r>
      <w:r w:rsidRPr="006B3E07">
        <w:rPr>
          <w:iCs/>
          <w:sz w:val="24"/>
          <w:szCs w:val="24"/>
          <w:vertAlign w:val="subscript"/>
          <w:lang w:val="sv-SE"/>
        </w:rPr>
        <w:t>max</w:t>
      </w:r>
      <w:r w:rsidRPr="006B3E07">
        <w:rPr>
          <w:iCs/>
          <w:sz w:val="24"/>
          <w:szCs w:val="24"/>
          <w:lang w:val="sv-SE"/>
        </w:rPr>
        <w:t>) ved 0,5 time efter dosering (ved afslutning på infusion), 7,0 mikrogram/ml ved 12 timer efter dosering og 1,1 mikrogram/ml ved 24 timer efter dosering.</w:t>
      </w:r>
    </w:p>
    <w:p w14:paraId="00570D38" w14:textId="77777777" w:rsidR="006B3E07" w:rsidRPr="006B3E07" w:rsidRDefault="006B3E07" w:rsidP="006B3E07">
      <w:pPr>
        <w:tabs>
          <w:tab w:val="left" w:pos="851"/>
        </w:tabs>
        <w:ind w:left="851"/>
        <w:rPr>
          <w:iCs/>
          <w:sz w:val="24"/>
          <w:szCs w:val="24"/>
          <w:lang w:val="sv-SE"/>
        </w:rPr>
      </w:pPr>
    </w:p>
    <w:p w14:paraId="26A2CAC1" w14:textId="77777777" w:rsidR="006B3E07" w:rsidRPr="006B3E07" w:rsidRDefault="006B3E07" w:rsidP="006B3E07">
      <w:pPr>
        <w:tabs>
          <w:tab w:val="left" w:pos="851"/>
        </w:tabs>
        <w:ind w:left="851"/>
        <w:rPr>
          <w:iCs/>
          <w:sz w:val="24"/>
          <w:szCs w:val="24"/>
          <w:lang w:val="sv-SE"/>
        </w:rPr>
      </w:pPr>
      <w:r w:rsidRPr="006B3E07">
        <w:rPr>
          <w:iCs/>
          <w:sz w:val="24"/>
          <w:szCs w:val="24"/>
          <w:lang w:val="sv-SE"/>
        </w:rPr>
        <w:t>Gennemsnitlige plasmakoncentrationer af ertapenem efter en enkelt 30 minutters intravenøs infusion af en 1 g dosis til 3 patienter i alderen 13 - 17 år var 155,9 mikrogram/ml (C</w:t>
      </w:r>
      <w:r w:rsidRPr="006B3E07">
        <w:rPr>
          <w:iCs/>
          <w:sz w:val="24"/>
          <w:szCs w:val="24"/>
          <w:vertAlign w:val="subscript"/>
          <w:lang w:val="sv-SE"/>
        </w:rPr>
        <w:t>max</w:t>
      </w:r>
      <w:r w:rsidRPr="006B3E07">
        <w:rPr>
          <w:iCs/>
          <w:sz w:val="24"/>
          <w:szCs w:val="24"/>
          <w:lang w:val="sv-SE"/>
        </w:rPr>
        <w:t>) ved 0,5 time efter dosering (ved afslutning på infusion) og 6,2 mikrogram/ml ved 12 timer efter dosering.</w:t>
      </w:r>
    </w:p>
    <w:p w14:paraId="4E490470" w14:textId="77777777" w:rsidR="006B3E07" w:rsidRPr="006B3E07" w:rsidRDefault="006B3E07" w:rsidP="006B3E07">
      <w:pPr>
        <w:tabs>
          <w:tab w:val="left" w:pos="851"/>
        </w:tabs>
        <w:ind w:left="851"/>
        <w:rPr>
          <w:iCs/>
          <w:sz w:val="24"/>
          <w:szCs w:val="24"/>
          <w:lang w:val="sv-SE"/>
        </w:rPr>
      </w:pPr>
    </w:p>
    <w:p w14:paraId="623C18FF" w14:textId="77777777" w:rsidR="006B3E07" w:rsidRPr="006B3E07" w:rsidRDefault="006B3E07" w:rsidP="006B3E07">
      <w:pPr>
        <w:tabs>
          <w:tab w:val="left" w:pos="851"/>
        </w:tabs>
        <w:ind w:left="851"/>
        <w:rPr>
          <w:iCs/>
          <w:sz w:val="24"/>
          <w:szCs w:val="24"/>
          <w:u w:val="single"/>
          <w:lang w:val="de-DE"/>
        </w:rPr>
      </w:pPr>
      <w:r w:rsidRPr="006B3E07">
        <w:rPr>
          <w:iCs/>
          <w:sz w:val="24"/>
          <w:szCs w:val="24"/>
          <w:u w:val="single"/>
          <w:lang w:val="de-DE"/>
        </w:rPr>
        <w:t>Fordeling</w:t>
      </w:r>
    </w:p>
    <w:p w14:paraId="3697E673" w14:textId="77777777" w:rsidR="006B3E07" w:rsidRPr="006B3E07" w:rsidRDefault="006B3E07" w:rsidP="006B3E07">
      <w:pPr>
        <w:tabs>
          <w:tab w:val="left" w:pos="851"/>
        </w:tabs>
        <w:ind w:left="851"/>
        <w:rPr>
          <w:iCs/>
          <w:sz w:val="24"/>
          <w:szCs w:val="24"/>
          <w:lang w:val="de-DE"/>
        </w:rPr>
      </w:pPr>
      <w:r w:rsidRPr="006B3E07">
        <w:rPr>
          <w:iCs/>
          <w:sz w:val="24"/>
          <w:szCs w:val="24"/>
          <w:lang w:val="de-DE"/>
        </w:rPr>
        <w:t>Ertapenem bindes i udstrakt grad til humane plasmaproteiner. Hos raske, unge voksne (25 - 45 år) falder ertapenems proteinbinding når plasmakoncentrationen stiger, fra ca. 95% binding ved en ca. plasmakoncentration på &lt; 50 mikrogram/ml til ca. 92% binding ved en ca. plasmakoncentration på 155 mikrogram/ml (gennemsnitlig koncentration nået ved afslutning af infusion af 1 g intravenøst).</w:t>
      </w:r>
    </w:p>
    <w:p w14:paraId="7C708E42" w14:textId="77777777" w:rsidR="006B3E07" w:rsidRPr="006B3E07" w:rsidRDefault="006B3E07" w:rsidP="006B3E07">
      <w:pPr>
        <w:tabs>
          <w:tab w:val="left" w:pos="851"/>
        </w:tabs>
        <w:ind w:left="851"/>
        <w:rPr>
          <w:iCs/>
          <w:sz w:val="24"/>
          <w:szCs w:val="24"/>
          <w:lang w:val="de-DE"/>
        </w:rPr>
      </w:pPr>
    </w:p>
    <w:p w14:paraId="050E7AEF" w14:textId="77777777" w:rsidR="006B3E07" w:rsidRPr="006B3E07" w:rsidRDefault="006B3E07" w:rsidP="006B3E07">
      <w:pPr>
        <w:tabs>
          <w:tab w:val="left" w:pos="851"/>
        </w:tabs>
        <w:ind w:left="851"/>
        <w:rPr>
          <w:iCs/>
          <w:sz w:val="24"/>
          <w:szCs w:val="24"/>
          <w:lang w:val="de-DE"/>
        </w:rPr>
      </w:pPr>
      <w:r w:rsidRPr="006B3E07">
        <w:rPr>
          <w:iCs/>
          <w:sz w:val="24"/>
          <w:szCs w:val="24"/>
          <w:lang w:val="de-DE"/>
        </w:rPr>
        <w:t>Ertapenems fordelingsvolumen (Vdss) hos voksne er ca. 8 liter (0,11 liter/kg) og ca. 0,2 liter/kg hos pædiatriske patienter i alderen 3 måneder - 12 år og ca. 0,16 liter/kg hos børn i alderen 13 - 17 år.</w:t>
      </w:r>
    </w:p>
    <w:p w14:paraId="178EC72B" w14:textId="77777777" w:rsidR="006B3E07" w:rsidRPr="006B3E07" w:rsidRDefault="006B3E07" w:rsidP="006B3E07">
      <w:pPr>
        <w:tabs>
          <w:tab w:val="left" w:pos="851"/>
        </w:tabs>
        <w:ind w:left="851"/>
        <w:rPr>
          <w:iCs/>
          <w:sz w:val="24"/>
          <w:szCs w:val="24"/>
          <w:lang w:val="de-DE"/>
        </w:rPr>
      </w:pPr>
    </w:p>
    <w:p w14:paraId="5B7B73C4" w14:textId="77777777" w:rsidR="006B3E07" w:rsidRPr="006B3E07" w:rsidRDefault="006B3E07" w:rsidP="006B3E07">
      <w:pPr>
        <w:tabs>
          <w:tab w:val="left" w:pos="851"/>
        </w:tabs>
        <w:ind w:left="851"/>
        <w:rPr>
          <w:iCs/>
          <w:sz w:val="24"/>
          <w:szCs w:val="24"/>
          <w:lang w:val="de-DE"/>
        </w:rPr>
      </w:pPr>
      <w:r w:rsidRPr="006B3E07">
        <w:rPr>
          <w:iCs/>
          <w:sz w:val="24"/>
          <w:szCs w:val="24"/>
          <w:lang w:val="de-DE"/>
        </w:rPr>
        <w:t>Koncentrationer af ertapenem hos voksne fundet i væske i vabler efter 3 dages intravenøs behandling med 1 g, 1 gang dagligt viste en AUC-ratio i hudvabelvæske/plasma på 0,61.</w:t>
      </w:r>
    </w:p>
    <w:p w14:paraId="2A151A6B" w14:textId="77777777" w:rsidR="006B3E07" w:rsidRPr="006B3E07" w:rsidRDefault="006B3E07" w:rsidP="006B3E07">
      <w:pPr>
        <w:tabs>
          <w:tab w:val="left" w:pos="851"/>
        </w:tabs>
        <w:ind w:left="851"/>
        <w:rPr>
          <w:iCs/>
          <w:sz w:val="24"/>
          <w:szCs w:val="24"/>
          <w:lang w:val="de-DE"/>
        </w:rPr>
      </w:pPr>
    </w:p>
    <w:p w14:paraId="06A34A26" w14:textId="77777777" w:rsidR="006B3E07" w:rsidRPr="006B3E07" w:rsidRDefault="006B3E07" w:rsidP="006B3E07">
      <w:pPr>
        <w:tabs>
          <w:tab w:val="left" w:pos="851"/>
        </w:tabs>
        <w:ind w:left="851"/>
        <w:rPr>
          <w:iCs/>
          <w:sz w:val="24"/>
          <w:szCs w:val="24"/>
          <w:lang w:val="de-DE"/>
        </w:rPr>
      </w:pPr>
      <w:r w:rsidRPr="006B3E07">
        <w:rPr>
          <w:i/>
          <w:sz w:val="24"/>
          <w:szCs w:val="24"/>
          <w:lang w:val="de-DE"/>
        </w:rPr>
        <w:t>In-vitro</w:t>
      </w:r>
      <w:r w:rsidRPr="006B3E07">
        <w:rPr>
          <w:iCs/>
          <w:sz w:val="24"/>
          <w:szCs w:val="24"/>
          <w:lang w:val="de-DE"/>
        </w:rPr>
        <w:t xml:space="preserve"> studier viser, at ertapenem havde en lille effekt på plasmaproteinbinding hos meget proteinbundne lægemidler (warfarin, ethinyl estradiol og norethindron). Ændring i bindingen var &lt; 12 % ved peak plasma ertapenem koncentration efter en dosis på 1 g. In vivo reducerede probenecid (500 mg hver 6. time) den bundne fraktion af ertapenem i plasma ved slutningen af infusionen hos patienter, som fik en enkelt 1 g intravenøs dosis fra ca. 91% til ca. 87%. Effekten af denne ændring forventes at være forbigående. En klinisk signifikant interaktion på grund af, at ertapenem fortrænger et andet lægemiddel, eller at et andet lægemiddel fortrænger ertapenem, er usandsynlig.</w:t>
      </w:r>
    </w:p>
    <w:p w14:paraId="41604E06" w14:textId="77777777" w:rsidR="006B3E07" w:rsidRPr="006B3E07" w:rsidRDefault="006B3E07" w:rsidP="006B3E07">
      <w:pPr>
        <w:tabs>
          <w:tab w:val="left" w:pos="851"/>
        </w:tabs>
        <w:ind w:left="851"/>
        <w:rPr>
          <w:iCs/>
          <w:sz w:val="24"/>
          <w:szCs w:val="24"/>
          <w:lang w:val="de-DE"/>
        </w:rPr>
      </w:pPr>
    </w:p>
    <w:p w14:paraId="269E1B31" w14:textId="77777777" w:rsidR="006B3E07" w:rsidRPr="006B3E07" w:rsidRDefault="006B3E07" w:rsidP="006B3E07">
      <w:pPr>
        <w:tabs>
          <w:tab w:val="left" w:pos="851"/>
        </w:tabs>
        <w:ind w:left="851"/>
        <w:rPr>
          <w:iCs/>
          <w:sz w:val="24"/>
          <w:szCs w:val="24"/>
          <w:lang w:val="de-DE"/>
        </w:rPr>
      </w:pPr>
      <w:r w:rsidRPr="006B3E07">
        <w:rPr>
          <w:i/>
          <w:sz w:val="24"/>
          <w:szCs w:val="24"/>
          <w:lang w:val="de-DE"/>
        </w:rPr>
        <w:t xml:space="preserve">In-vitro </w:t>
      </w:r>
      <w:r w:rsidRPr="006B3E07">
        <w:rPr>
          <w:iCs/>
          <w:sz w:val="24"/>
          <w:szCs w:val="24"/>
          <w:lang w:val="de-DE"/>
        </w:rPr>
        <w:t>studier viser, at ertapenem ikke hæmmer P-glycoprotein-medieret transport af digoxin eller vinblastin og, at ertapenem ikke er et substrat for P-glycoprotein-medieret transport.</w:t>
      </w:r>
    </w:p>
    <w:p w14:paraId="1A85E691" w14:textId="77777777" w:rsidR="006B3E07" w:rsidRPr="006B3E07" w:rsidRDefault="006B3E07" w:rsidP="006B3E07">
      <w:pPr>
        <w:tabs>
          <w:tab w:val="left" w:pos="851"/>
        </w:tabs>
        <w:ind w:left="851"/>
        <w:rPr>
          <w:iCs/>
          <w:sz w:val="24"/>
          <w:szCs w:val="24"/>
          <w:lang w:val="de-DE"/>
        </w:rPr>
      </w:pPr>
    </w:p>
    <w:p w14:paraId="1DEB1242" w14:textId="77777777" w:rsidR="006B3E07" w:rsidRPr="006B3E07" w:rsidRDefault="006B3E07" w:rsidP="006B3E07">
      <w:pPr>
        <w:tabs>
          <w:tab w:val="left" w:pos="851"/>
        </w:tabs>
        <w:ind w:left="851"/>
        <w:rPr>
          <w:iCs/>
          <w:sz w:val="24"/>
          <w:szCs w:val="24"/>
          <w:u w:val="single"/>
          <w:lang w:val="de-DE"/>
        </w:rPr>
      </w:pPr>
      <w:r w:rsidRPr="006B3E07">
        <w:rPr>
          <w:iCs/>
          <w:sz w:val="24"/>
          <w:szCs w:val="24"/>
          <w:u w:val="single"/>
          <w:lang w:val="de-DE"/>
        </w:rPr>
        <w:t>Biotransformation</w:t>
      </w:r>
    </w:p>
    <w:p w14:paraId="5E282FB0" w14:textId="77777777" w:rsidR="006B3E07" w:rsidRPr="006B3E07" w:rsidRDefault="006B3E07" w:rsidP="006B3E07">
      <w:pPr>
        <w:tabs>
          <w:tab w:val="left" w:pos="851"/>
        </w:tabs>
        <w:ind w:left="851"/>
        <w:rPr>
          <w:iCs/>
          <w:sz w:val="24"/>
          <w:szCs w:val="24"/>
          <w:lang w:val="de-DE"/>
        </w:rPr>
      </w:pPr>
      <w:r w:rsidRPr="006B3E07">
        <w:rPr>
          <w:iCs/>
          <w:sz w:val="24"/>
          <w:szCs w:val="24"/>
          <w:lang w:val="de-DE"/>
        </w:rPr>
        <w:t>Efter intravenøs infusion af radioaktivt mærket ertapenem 1 g til raske, unge voksne (23 - 49 år) består plasmaradioaktiviteten primært (94%) af ertapenem. Ertapenems hovedmetabolit dannes ved en dihydropeptidase-I-medieret hydrolytisk åbning af beta-laktamringen.</w:t>
      </w:r>
    </w:p>
    <w:p w14:paraId="46BA583E" w14:textId="77777777" w:rsidR="006B3E07" w:rsidRPr="006B3E07" w:rsidRDefault="006B3E07" w:rsidP="006B3E07">
      <w:pPr>
        <w:tabs>
          <w:tab w:val="left" w:pos="851"/>
        </w:tabs>
        <w:ind w:left="851"/>
        <w:rPr>
          <w:iCs/>
          <w:sz w:val="24"/>
          <w:szCs w:val="24"/>
          <w:lang w:val="de-DE"/>
        </w:rPr>
      </w:pPr>
    </w:p>
    <w:p w14:paraId="75D80C2D" w14:textId="77777777" w:rsidR="006B3E07" w:rsidRPr="006B3E07" w:rsidRDefault="006B3E07" w:rsidP="006B3E07">
      <w:pPr>
        <w:tabs>
          <w:tab w:val="left" w:pos="851"/>
        </w:tabs>
        <w:ind w:left="851"/>
        <w:rPr>
          <w:iCs/>
          <w:sz w:val="24"/>
          <w:szCs w:val="24"/>
          <w:lang w:val="de-DE"/>
        </w:rPr>
      </w:pPr>
      <w:r w:rsidRPr="006B3E07">
        <w:rPr>
          <w:i/>
          <w:sz w:val="24"/>
          <w:szCs w:val="24"/>
          <w:lang w:val="de-DE"/>
        </w:rPr>
        <w:t>In-vitro</w:t>
      </w:r>
      <w:r w:rsidRPr="006B3E07">
        <w:rPr>
          <w:iCs/>
          <w:sz w:val="24"/>
          <w:szCs w:val="24"/>
          <w:lang w:val="de-DE"/>
        </w:rPr>
        <w:t xml:space="preserve"> studier i humane levermikrosomer viser, at ertapenem ikke hæmmer metabolismen medieret af de 6 primære CYP-isoformer: 1A2, 2C9, 2C19, 2D6, 2E1 og 3A4.</w:t>
      </w:r>
    </w:p>
    <w:p w14:paraId="7C580963" w14:textId="77777777" w:rsidR="006B3E07" w:rsidRPr="006B3E07" w:rsidRDefault="006B3E07" w:rsidP="006B3E07">
      <w:pPr>
        <w:tabs>
          <w:tab w:val="left" w:pos="851"/>
        </w:tabs>
        <w:ind w:left="851"/>
        <w:rPr>
          <w:iCs/>
          <w:sz w:val="24"/>
          <w:szCs w:val="24"/>
          <w:lang w:val="de-DE"/>
        </w:rPr>
      </w:pPr>
      <w:r w:rsidRPr="006B3E07">
        <w:rPr>
          <w:iCs/>
          <w:sz w:val="24"/>
          <w:szCs w:val="24"/>
          <w:lang w:val="de-DE"/>
        </w:rPr>
        <w:t xml:space="preserve"> </w:t>
      </w:r>
    </w:p>
    <w:p w14:paraId="586D22A9" w14:textId="77777777" w:rsidR="006B3E07" w:rsidRPr="006B3E07" w:rsidRDefault="006B3E07" w:rsidP="006B3E07">
      <w:pPr>
        <w:tabs>
          <w:tab w:val="left" w:pos="851"/>
        </w:tabs>
        <w:ind w:left="851"/>
        <w:rPr>
          <w:iCs/>
          <w:sz w:val="24"/>
          <w:szCs w:val="24"/>
          <w:u w:val="single"/>
          <w:lang w:val="de-DE"/>
        </w:rPr>
      </w:pPr>
      <w:r w:rsidRPr="006B3E07">
        <w:rPr>
          <w:iCs/>
          <w:sz w:val="24"/>
          <w:szCs w:val="24"/>
          <w:u w:val="single"/>
          <w:lang w:val="de-DE"/>
        </w:rPr>
        <w:t>Elimination</w:t>
      </w:r>
    </w:p>
    <w:p w14:paraId="6DD7856F" w14:textId="77777777" w:rsidR="006B3E07" w:rsidRPr="006B3E07" w:rsidRDefault="006B3E07" w:rsidP="006B3E07">
      <w:pPr>
        <w:tabs>
          <w:tab w:val="left" w:pos="851"/>
        </w:tabs>
        <w:ind w:left="851"/>
        <w:rPr>
          <w:iCs/>
          <w:sz w:val="24"/>
          <w:szCs w:val="24"/>
          <w:lang w:val="de-DE"/>
        </w:rPr>
      </w:pPr>
      <w:r w:rsidRPr="006B3E07">
        <w:rPr>
          <w:iCs/>
          <w:sz w:val="24"/>
          <w:szCs w:val="24"/>
          <w:lang w:val="de-DE"/>
        </w:rPr>
        <w:t>Efter administration af 1 g radiomærket intravenøs dosis af ertapenem til raske, unge voksne (23 - 49 år) genfindes ca. 80% i urinen og 10% i fæces. Af de 80% genfundet i urinen er ca. 38% udskilt uomdannet og ca. 37% i hydrolyseret form.</w:t>
      </w:r>
    </w:p>
    <w:p w14:paraId="0026DD94" w14:textId="77777777" w:rsidR="006B3E07" w:rsidRPr="006B3E07" w:rsidRDefault="006B3E07" w:rsidP="006B3E07">
      <w:pPr>
        <w:tabs>
          <w:tab w:val="left" w:pos="851"/>
        </w:tabs>
        <w:ind w:left="851"/>
        <w:rPr>
          <w:iCs/>
          <w:sz w:val="24"/>
          <w:szCs w:val="24"/>
          <w:lang w:val="de-DE"/>
        </w:rPr>
      </w:pPr>
    </w:p>
    <w:p w14:paraId="6E0F19C1" w14:textId="0DC23A28" w:rsidR="006B3E07" w:rsidRDefault="006B3E07" w:rsidP="006B3E07">
      <w:pPr>
        <w:tabs>
          <w:tab w:val="left" w:pos="851"/>
        </w:tabs>
        <w:ind w:left="851"/>
        <w:rPr>
          <w:iCs/>
          <w:sz w:val="24"/>
          <w:szCs w:val="24"/>
          <w:lang w:val="de-DE"/>
        </w:rPr>
      </w:pPr>
      <w:r w:rsidRPr="006B3E07">
        <w:rPr>
          <w:iCs/>
          <w:sz w:val="24"/>
          <w:szCs w:val="24"/>
          <w:lang w:val="de-DE"/>
        </w:rPr>
        <w:t>Den gennemsnitlige halveringstid hos raske, unge voksne (18 - 49 år) og patienter i alderen 13 - 17 år administreret 1 g intravenøst er ca. 4 timer. Den gennemsnitlige halveringstid hos børn i alderen 3 måneder – 12 år er ca. 2,5 time. Gennemsnitlige koncentrationer af ertapenem i urinen er højere end 984 mikrogram/ml i perioden 0 - 2 timer efter administration og højere end 52 mikrogram/ml i perioden 12 - 24 timer efter administration.</w:t>
      </w:r>
    </w:p>
    <w:p w14:paraId="6F3DC8BA" w14:textId="77777777" w:rsidR="006B3E07" w:rsidRPr="006B3E07" w:rsidRDefault="006B3E07" w:rsidP="006B3E07">
      <w:pPr>
        <w:tabs>
          <w:tab w:val="left" w:pos="851"/>
        </w:tabs>
        <w:ind w:left="851"/>
        <w:rPr>
          <w:iCs/>
          <w:sz w:val="24"/>
          <w:szCs w:val="24"/>
          <w:lang w:val="de-DE"/>
        </w:rPr>
      </w:pPr>
    </w:p>
    <w:p w14:paraId="545BFAA6" w14:textId="77777777" w:rsidR="006B3E07" w:rsidRPr="006B3E07" w:rsidRDefault="006B3E07" w:rsidP="006B3E07">
      <w:pPr>
        <w:tabs>
          <w:tab w:val="left" w:pos="851"/>
        </w:tabs>
        <w:ind w:left="851"/>
        <w:rPr>
          <w:iCs/>
          <w:sz w:val="24"/>
          <w:szCs w:val="24"/>
          <w:u w:val="single"/>
          <w:lang w:val="de-DE"/>
        </w:rPr>
      </w:pPr>
      <w:r w:rsidRPr="006B3E07">
        <w:rPr>
          <w:iCs/>
          <w:sz w:val="24"/>
          <w:szCs w:val="24"/>
          <w:u w:val="single"/>
          <w:lang w:val="de-DE"/>
        </w:rPr>
        <w:t>Særlige populationer</w:t>
      </w:r>
    </w:p>
    <w:p w14:paraId="31DAFBA2" w14:textId="77777777" w:rsidR="006B3E07" w:rsidRDefault="006B3E07" w:rsidP="006B3E07">
      <w:pPr>
        <w:tabs>
          <w:tab w:val="left" w:pos="851"/>
        </w:tabs>
        <w:ind w:left="851"/>
        <w:rPr>
          <w:iCs/>
          <w:sz w:val="24"/>
          <w:szCs w:val="24"/>
          <w:u w:val="single"/>
          <w:lang w:val="de-DE"/>
        </w:rPr>
      </w:pPr>
    </w:p>
    <w:p w14:paraId="67AB8BFE" w14:textId="304A6A41" w:rsidR="006B3E07" w:rsidRPr="006B3E07" w:rsidRDefault="006B3E07" w:rsidP="006B3E07">
      <w:pPr>
        <w:tabs>
          <w:tab w:val="left" w:pos="851"/>
        </w:tabs>
        <w:ind w:left="851"/>
        <w:rPr>
          <w:i/>
          <w:iCs/>
          <w:sz w:val="24"/>
          <w:szCs w:val="24"/>
          <w:lang w:val="de-DE"/>
        </w:rPr>
      </w:pPr>
      <w:r w:rsidRPr="006B3E07">
        <w:rPr>
          <w:i/>
          <w:iCs/>
          <w:sz w:val="24"/>
          <w:szCs w:val="24"/>
          <w:lang w:val="de-DE"/>
        </w:rPr>
        <w:t>Køn</w:t>
      </w:r>
    </w:p>
    <w:p w14:paraId="3B26795F" w14:textId="77777777" w:rsidR="006B3E07" w:rsidRPr="006B3E07" w:rsidRDefault="006B3E07" w:rsidP="006B3E07">
      <w:pPr>
        <w:tabs>
          <w:tab w:val="left" w:pos="851"/>
        </w:tabs>
        <w:ind w:left="851"/>
        <w:rPr>
          <w:iCs/>
          <w:sz w:val="24"/>
          <w:szCs w:val="24"/>
          <w:lang w:val="de-DE"/>
        </w:rPr>
      </w:pPr>
      <w:r w:rsidRPr="006B3E07">
        <w:rPr>
          <w:iCs/>
          <w:sz w:val="24"/>
          <w:szCs w:val="24"/>
          <w:lang w:val="de-DE"/>
        </w:rPr>
        <w:t>Plasmakoncentrationer af ertapenem er sammenlignelig hos mænd og kvinder.</w:t>
      </w:r>
    </w:p>
    <w:p w14:paraId="4E0B1325" w14:textId="77777777" w:rsidR="006B3E07" w:rsidRPr="006B3E07" w:rsidRDefault="006B3E07" w:rsidP="006B3E07">
      <w:pPr>
        <w:tabs>
          <w:tab w:val="left" w:pos="851"/>
        </w:tabs>
        <w:ind w:left="851"/>
        <w:rPr>
          <w:iCs/>
          <w:sz w:val="24"/>
          <w:szCs w:val="24"/>
          <w:lang w:val="de-DE"/>
        </w:rPr>
      </w:pPr>
    </w:p>
    <w:p w14:paraId="19EA3FEB" w14:textId="77777777" w:rsidR="006B3E07" w:rsidRPr="006B3E07" w:rsidRDefault="006B3E07" w:rsidP="006B3E07">
      <w:pPr>
        <w:tabs>
          <w:tab w:val="left" w:pos="851"/>
        </w:tabs>
        <w:ind w:left="851"/>
        <w:rPr>
          <w:i/>
          <w:iCs/>
          <w:sz w:val="24"/>
          <w:szCs w:val="24"/>
          <w:lang w:val="de-DE"/>
        </w:rPr>
      </w:pPr>
      <w:r w:rsidRPr="006B3E07">
        <w:rPr>
          <w:i/>
          <w:iCs/>
          <w:sz w:val="24"/>
          <w:szCs w:val="24"/>
          <w:lang w:val="de-DE"/>
        </w:rPr>
        <w:t>Ældre</w:t>
      </w:r>
    </w:p>
    <w:p w14:paraId="4AA2ED2B" w14:textId="77777777" w:rsidR="006B3E07" w:rsidRPr="006B3E07" w:rsidRDefault="006B3E07" w:rsidP="006B3E07">
      <w:pPr>
        <w:tabs>
          <w:tab w:val="left" w:pos="851"/>
        </w:tabs>
        <w:ind w:left="851"/>
        <w:rPr>
          <w:iCs/>
          <w:sz w:val="24"/>
          <w:szCs w:val="24"/>
          <w:lang w:val="de-DE"/>
        </w:rPr>
      </w:pPr>
      <w:r w:rsidRPr="006B3E07">
        <w:rPr>
          <w:iCs/>
          <w:sz w:val="24"/>
          <w:szCs w:val="24"/>
          <w:lang w:val="de-DE"/>
        </w:rPr>
        <w:t>Plasmakoncentrationer efter intravenøs administration af henholdsvis 1 g og 2 g ertapenem er en anelse højere (henholdsvis ca. 39% og 22%) hos raske, ældre patienter (≥ 65 år) end hos unge voksne (&lt; 65 år). Det er ikke nødvendigt at justere dosis til ældre patienter, hvis der ikke er svært nedsat nyrefunktion.</w:t>
      </w:r>
    </w:p>
    <w:p w14:paraId="67715972" w14:textId="77777777" w:rsidR="006B3E07" w:rsidRPr="006B3E07" w:rsidRDefault="006B3E07" w:rsidP="006B3E07">
      <w:pPr>
        <w:tabs>
          <w:tab w:val="left" w:pos="851"/>
        </w:tabs>
        <w:ind w:left="851"/>
        <w:rPr>
          <w:iCs/>
          <w:sz w:val="24"/>
          <w:szCs w:val="24"/>
          <w:lang w:val="de-DE"/>
        </w:rPr>
      </w:pPr>
    </w:p>
    <w:p w14:paraId="0281478E" w14:textId="77777777" w:rsidR="006B3E07" w:rsidRPr="006B3E07" w:rsidRDefault="006B3E07" w:rsidP="006B3E07">
      <w:pPr>
        <w:tabs>
          <w:tab w:val="left" w:pos="851"/>
        </w:tabs>
        <w:ind w:left="851"/>
        <w:rPr>
          <w:i/>
          <w:iCs/>
          <w:sz w:val="24"/>
          <w:szCs w:val="24"/>
          <w:lang w:val="de-DE"/>
        </w:rPr>
      </w:pPr>
      <w:r w:rsidRPr="006B3E07">
        <w:rPr>
          <w:i/>
          <w:iCs/>
          <w:sz w:val="24"/>
          <w:szCs w:val="24"/>
          <w:lang w:val="de-DE"/>
        </w:rPr>
        <w:t>Pædiatrisk population</w:t>
      </w:r>
    </w:p>
    <w:p w14:paraId="34A2BD99" w14:textId="77777777" w:rsidR="006B3E07" w:rsidRPr="006B3E07" w:rsidRDefault="006B3E07" w:rsidP="006B3E07">
      <w:pPr>
        <w:tabs>
          <w:tab w:val="left" w:pos="851"/>
        </w:tabs>
        <w:ind w:left="851"/>
        <w:rPr>
          <w:iCs/>
          <w:sz w:val="24"/>
          <w:szCs w:val="24"/>
          <w:lang w:val="de-DE"/>
        </w:rPr>
      </w:pPr>
      <w:r w:rsidRPr="006B3E07">
        <w:rPr>
          <w:iCs/>
          <w:sz w:val="24"/>
          <w:szCs w:val="24"/>
          <w:lang w:val="de-DE"/>
        </w:rPr>
        <w:t>Ertapenem plasmakoncentrationer er sammenlignelige hos børn i alderen 13 - 17 år og voksne efter en daglig intravenøs dosis på 1 g.</w:t>
      </w:r>
    </w:p>
    <w:p w14:paraId="62505419" w14:textId="77777777" w:rsidR="006B3E07" w:rsidRPr="006B3E07" w:rsidRDefault="006B3E07" w:rsidP="006B3E07">
      <w:pPr>
        <w:tabs>
          <w:tab w:val="left" w:pos="851"/>
        </w:tabs>
        <w:ind w:left="851"/>
        <w:rPr>
          <w:iCs/>
          <w:sz w:val="24"/>
          <w:szCs w:val="24"/>
          <w:lang w:val="de-DE"/>
        </w:rPr>
      </w:pPr>
    </w:p>
    <w:p w14:paraId="3EB738CB" w14:textId="77777777" w:rsidR="006B3E07" w:rsidRPr="006B3E07" w:rsidRDefault="006B3E07" w:rsidP="006B3E07">
      <w:pPr>
        <w:tabs>
          <w:tab w:val="left" w:pos="851"/>
        </w:tabs>
        <w:ind w:left="851"/>
        <w:rPr>
          <w:iCs/>
          <w:sz w:val="24"/>
          <w:szCs w:val="24"/>
          <w:lang w:val="de-DE"/>
        </w:rPr>
      </w:pPr>
      <w:r w:rsidRPr="006B3E07">
        <w:rPr>
          <w:iCs/>
          <w:sz w:val="24"/>
          <w:szCs w:val="24"/>
          <w:lang w:val="de-DE"/>
        </w:rPr>
        <w:lastRenderedPageBreak/>
        <w:t>Efter 20 mg/kg dosen (op til maksimal dosis på 1 g) var de farmakokinetiske parameterværdier hos patienter i alderen 13 - 17 år generelt sammenlignelige med dem hos raske unge voksne. For at give et estimat af de farmakokinetiske data, hvis alle patienter i denne aldersgruppe skulle have en 1 g dosis, blev de farmakokinetiske data beregnet ved justering for 1 g dosis, under forudsætning af linearitet. En sammenligning af resultater viste, at ved en dosis ertapenem på 1 g dagligt opnås en farmakokinetisk profil hos patienter i alderen 13 - 17 år, der er sammenlignelig med voksnes. Ratio for AUC (13 - 17 år/voksne), koncentrationen ved afslutning på infusion og koncentrationen ved midtpunktet af doseringsintervallet var henholdsvis 0,99, 1,20 og 0,84.</w:t>
      </w:r>
    </w:p>
    <w:p w14:paraId="160AAB4D" w14:textId="77777777" w:rsidR="006B3E07" w:rsidRPr="006B3E07" w:rsidRDefault="006B3E07" w:rsidP="006B3E07">
      <w:pPr>
        <w:tabs>
          <w:tab w:val="left" w:pos="851"/>
        </w:tabs>
        <w:ind w:left="851"/>
        <w:rPr>
          <w:iCs/>
          <w:sz w:val="24"/>
          <w:szCs w:val="24"/>
          <w:lang w:val="de-DE"/>
        </w:rPr>
      </w:pPr>
    </w:p>
    <w:p w14:paraId="325A5D80" w14:textId="77777777" w:rsidR="006B3E07" w:rsidRPr="006B3E07" w:rsidRDefault="006B3E07" w:rsidP="006B3E07">
      <w:pPr>
        <w:tabs>
          <w:tab w:val="left" w:pos="851"/>
        </w:tabs>
        <w:ind w:left="851"/>
        <w:rPr>
          <w:iCs/>
          <w:sz w:val="24"/>
          <w:szCs w:val="24"/>
          <w:lang w:val="de-DE"/>
        </w:rPr>
      </w:pPr>
      <w:r w:rsidRPr="006B3E07">
        <w:rPr>
          <w:iCs/>
          <w:sz w:val="24"/>
          <w:szCs w:val="24"/>
          <w:lang w:val="de-DE"/>
        </w:rPr>
        <w:t>Plasmakoncentrationerne ved midtpunktet af doseringsintervallet efter en enkelt intravenøs dosis ertapenem på 15 mg/kg hos patienter i alderen 3 måneder - 12 år er sammenlignelig med plasmakoncentrationerne ved midtpunktet af doseringsintervallet efter en daglig intravenøs dosis på 1 g hos voksne (se Plasmakoncentrationer). Plasmaclearance (ml/min/kg) for ertapenem hos patienter i alderen 3 måneder - 12 år er ca. 2 gange højere end hos voksne. Ved dosis på 15 mg/kg var AUC værdien og plasmakoncentrationerne ved midtpunktet af doseringsintervallet hos patienter i alderen 3 måneder - 12 år sammenlignelig med værdierne hos unge raske voksne, der fik 1 g ertapenem intravenøst.</w:t>
      </w:r>
    </w:p>
    <w:p w14:paraId="4FC1B7A3" w14:textId="77777777" w:rsidR="006B3E07" w:rsidRPr="006B3E07" w:rsidRDefault="006B3E07" w:rsidP="006B3E07">
      <w:pPr>
        <w:tabs>
          <w:tab w:val="left" w:pos="851"/>
        </w:tabs>
        <w:ind w:left="851"/>
        <w:rPr>
          <w:iCs/>
          <w:sz w:val="24"/>
          <w:szCs w:val="24"/>
          <w:lang w:val="de-DE"/>
        </w:rPr>
      </w:pPr>
    </w:p>
    <w:p w14:paraId="55AED4A3" w14:textId="77777777" w:rsidR="006B3E07" w:rsidRPr="006B3E07" w:rsidRDefault="006B3E07" w:rsidP="006B3E07">
      <w:pPr>
        <w:tabs>
          <w:tab w:val="left" w:pos="851"/>
        </w:tabs>
        <w:ind w:left="851"/>
        <w:rPr>
          <w:i/>
          <w:iCs/>
          <w:sz w:val="24"/>
          <w:szCs w:val="24"/>
          <w:lang w:val="de-DE"/>
        </w:rPr>
      </w:pPr>
      <w:r w:rsidRPr="006B3E07">
        <w:rPr>
          <w:i/>
          <w:iCs/>
          <w:sz w:val="24"/>
          <w:szCs w:val="24"/>
          <w:lang w:val="de-DE"/>
        </w:rPr>
        <w:t>Nedsat leverfunktion</w:t>
      </w:r>
    </w:p>
    <w:p w14:paraId="2F2044B0" w14:textId="77777777" w:rsidR="006B3E07" w:rsidRPr="006B3E07" w:rsidRDefault="006B3E07" w:rsidP="006B3E07">
      <w:pPr>
        <w:tabs>
          <w:tab w:val="left" w:pos="851"/>
        </w:tabs>
        <w:ind w:left="851"/>
        <w:rPr>
          <w:iCs/>
          <w:sz w:val="24"/>
          <w:szCs w:val="24"/>
          <w:lang w:val="de-DE"/>
        </w:rPr>
      </w:pPr>
      <w:r w:rsidRPr="006B3E07">
        <w:rPr>
          <w:iCs/>
          <w:sz w:val="24"/>
          <w:szCs w:val="24"/>
          <w:lang w:val="de-DE"/>
        </w:rPr>
        <w:t>Ertapenems farmakokinetik er ikke undersøgt hos patienter med nedsat leverfunktion. På grund af ertapenems begrænsede levermetabolisme formodes det ikke at farmakokinetikken påvirkes af nedsat leverfunktion. Det anbefales derfor ikke at justere dosis til patienter med nedsat leverfunktion.</w:t>
      </w:r>
    </w:p>
    <w:p w14:paraId="03F7D4C1" w14:textId="77777777" w:rsidR="006B3E07" w:rsidRPr="006B3E07" w:rsidRDefault="006B3E07" w:rsidP="006B3E07">
      <w:pPr>
        <w:tabs>
          <w:tab w:val="left" w:pos="851"/>
        </w:tabs>
        <w:ind w:left="851"/>
        <w:rPr>
          <w:iCs/>
          <w:sz w:val="24"/>
          <w:szCs w:val="24"/>
          <w:lang w:val="de-DE"/>
        </w:rPr>
      </w:pPr>
    </w:p>
    <w:p w14:paraId="55A9A829" w14:textId="77777777" w:rsidR="006B3E07" w:rsidRPr="006B3E07" w:rsidRDefault="006B3E07" w:rsidP="006B3E07">
      <w:pPr>
        <w:tabs>
          <w:tab w:val="left" w:pos="851"/>
        </w:tabs>
        <w:ind w:left="851"/>
        <w:rPr>
          <w:i/>
          <w:iCs/>
          <w:sz w:val="24"/>
          <w:szCs w:val="24"/>
          <w:lang w:val="de-DE"/>
        </w:rPr>
      </w:pPr>
      <w:r w:rsidRPr="006B3E07">
        <w:rPr>
          <w:i/>
          <w:iCs/>
          <w:sz w:val="24"/>
          <w:szCs w:val="24"/>
          <w:lang w:val="de-DE"/>
        </w:rPr>
        <w:t>Nedsat nyrefunktion</w:t>
      </w:r>
    </w:p>
    <w:p w14:paraId="68A501A3" w14:textId="77777777" w:rsidR="006B3E07" w:rsidRPr="006B3E07" w:rsidRDefault="006B3E07" w:rsidP="006B3E07">
      <w:pPr>
        <w:tabs>
          <w:tab w:val="left" w:pos="851"/>
        </w:tabs>
        <w:ind w:left="851"/>
        <w:rPr>
          <w:iCs/>
          <w:sz w:val="24"/>
          <w:szCs w:val="24"/>
          <w:lang w:val="de-DE"/>
        </w:rPr>
      </w:pPr>
      <w:r w:rsidRPr="006B3E07">
        <w:rPr>
          <w:iCs/>
          <w:sz w:val="24"/>
          <w:szCs w:val="24"/>
          <w:lang w:val="de-DE"/>
        </w:rPr>
        <w:t>Efter en enkelt intravenøs dosis af ertapenem 1 g hos voksne er AUC for totalt ertapenem (bundet og ubundet) og for ubundet ertapenem sammenlignelig hos patienter med let nedsat nyrefunktion (Cl</w:t>
      </w:r>
      <w:r w:rsidRPr="006B3E07">
        <w:rPr>
          <w:iCs/>
          <w:sz w:val="24"/>
          <w:szCs w:val="24"/>
          <w:vertAlign w:val="subscript"/>
          <w:lang w:val="de-DE"/>
        </w:rPr>
        <w:t>cr</w:t>
      </w:r>
      <w:r w:rsidRPr="006B3E07">
        <w:rPr>
          <w:iCs/>
          <w:sz w:val="24"/>
          <w:szCs w:val="24"/>
          <w:lang w:val="de-DE"/>
        </w:rPr>
        <w:t xml:space="preserve"> 60 90 ml/min/1,73 m</w:t>
      </w:r>
      <w:r w:rsidRPr="006B3E07">
        <w:rPr>
          <w:iCs/>
          <w:sz w:val="24"/>
          <w:szCs w:val="24"/>
          <w:vertAlign w:val="superscript"/>
          <w:lang w:val="de-DE"/>
        </w:rPr>
        <w:t>2</w:t>
      </w:r>
      <w:r w:rsidRPr="006B3E07">
        <w:rPr>
          <w:iCs/>
          <w:sz w:val="24"/>
          <w:szCs w:val="24"/>
          <w:lang w:val="de-DE"/>
        </w:rPr>
        <w:t>) og hos raske frivillige (25 - 82 år). AUC for totalt ertapenem og for ubundet ertapenem øges hos patienter med moderat nedsat nyrefunktion (Clcr 31 til 59 ml/min/1,73 m</w:t>
      </w:r>
      <w:r w:rsidRPr="006B3E07">
        <w:rPr>
          <w:iCs/>
          <w:sz w:val="24"/>
          <w:szCs w:val="24"/>
          <w:vertAlign w:val="superscript"/>
          <w:lang w:val="de-DE"/>
        </w:rPr>
        <w:t>2</w:t>
      </w:r>
      <w:r w:rsidRPr="006B3E07">
        <w:rPr>
          <w:iCs/>
          <w:sz w:val="24"/>
          <w:szCs w:val="24"/>
          <w:lang w:val="de-DE"/>
        </w:rPr>
        <w:t>) med henholdsvis ca. 1,5 gange og 1,8 gange sammenlignet med raske frivillige. Hos patienter med svært nedsat nyrefunktion (Cl</w:t>
      </w:r>
      <w:r w:rsidRPr="006B3E07">
        <w:rPr>
          <w:iCs/>
          <w:sz w:val="24"/>
          <w:szCs w:val="24"/>
          <w:vertAlign w:val="subscript"/>
          <w:lang w:val="de-DE"/>
        </w:rPr>
        <w:t>cr</w:t>
      </w:r>
      <w:r w:rsidRPr="006B3E07">
        <w:rPr>
          <w:iCs/>
          <w:sz w:val="24"/>
          <w:szCs w:val="24"/>
          <w:lang w:val="de-DE"/>
        </w:rPr>
        <w:t xml:space="preserve"> 5 til 30 ml/min/1,73 m</w:t>
      </w:r>
      <w:r w:rsidRPr="006B3E07">
        <w:rPr>
          <w:iCs/>
          <w:sz w:val="24"/>
          <w:szCs w:val="24"/>
          <w:vertAlign w:val="superscript"/>
          <w:lang w:val="de-DE"/>
        </w:rPr>
        <w:t>2</w:t>
      </w:r>
      <w:r w:rsidRPr="006B3E07">
        <w:rPr>
          <w:iCs/>
          <w:sz w:val="24"/>
          <w:szCs w:val="24"/>
          <w:lang w:val="de-DE"/>
        </w:rPr>
        <w:t>) øges AUC for totalt ertapenem og for ubundet ertapenem med henholdsvis ca. 2,6 gange og 3,4 gange sammenlignet med raske frivillige. Hos patienter med nedsat nyrefunktion, som er hæmodialysekrævende, øges AUC for totalt ertapenem og for ubundet ertapenem med henholdsvis ca. 2,9 gange og 6,0 gange mellem dialysesessionerne sammenlignet med raske frivillige. Efter en enkelt intravenøs dosis på 1 g administreret umiddelbart inden hæmodialyse kan ca. 30% af dosis genfindes i dialysatet. Der er ingen data fra børn med nedsat nyrefunktion.</w:t>
      </w:r>
    </w:p>
    <w:p w14:paraId="1D3CB4C4" w14:textId="77777777" w:rsidR="006B3E07" w:rsidRPr="006B3E07" w:rsidRDefault="006B3E07" w:rsidP="006B3E07">
      <w:pPr>
        <w:tabs>
          <w:tab w:val="left" w:pos="851"/>
        </w:tabs>
        <w:ind w:left="851"/>
        <w:rPr>
          <w:iCs/>
          <w:sz w:val="24"/>
          <w:szCs w:val="24"/>
          <w:lang w:val="de-DE"/>
        </w:rPr>
      </w:pPr>
    </w:p>
    <w:p w14:paraId="3CEF81EB" w14:textId="77777777" w:rsidR="006B3E07" w:rsidRPr="006B3E07" w:rsidRDefault="006B3E07" w:rsidP="006B3E07">
      <w:pPr>
        <w:tabs>
          <w:tab w:val="left" w:pos="851"/>
        </w:tabs>
        <w:ind w:left="851"/>
        <w:rPr>
          <w:b/>
          <w:sz w:val="24"/>
          <w:szCs w:val="24"/>
          <w:lang w:val="de-DE"/>
        </w:rPr>
      </w:pPr>
      <w:r w:rsidRPr="006B3E07">
        <w:rPr>
          <w:iCs/>
          <w:sz w:val="24"/>
          <w:szCs w:val="24"/>
          <w:lang w:val="de-DE"/>
        </w:rPr>
        <w:t>Der foreligger ikke tilstrækkelige data vedrørende ertapenems sikkerhed og virkning hos patienter med fremskreden nedsat nyrefunktion og hos patienter, som er hæmodialysekrævende, til at understøtte en dosisrekommandation. Derfor må ertapenem ikke anvendes til disse patienter.</w:t>
      </w:r>
    </w:p>
    <w:p w14:paraId="5A9AA094" w14:textId="77777777" w:rsidR="009260DE" w:rsidRPr="00C84483" w:rsidRDefault="009260DE" w:rsidP="009260DE">
      <w:pPr>
        <w:tabs>
          <w:tab w:val="left" w:pos="851"/>
        </w:tabs>
        <w:ind w:left="851"/>
        <w:rPr>
          <w:sz w:val="24"/>
          <w:szCs w:val="24"/>
        </w:rPr>
      </w:pPr>
    </w:p>
    <w:p w14:paraId="790F38C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0833D51" w14:textId="77777777" w:rsidR="006B3E07" w:rsidRPr="006B3E07" w:rsidRDefault="006B3E07" w:rsidP="006B3E07">
      <w:pPr>
        <w:tabs>
          <w:tab w:val="left" w:pos="851"/>
        </w:tabs>
        <w:ind w:left="851"/>
        <w:rPr>
          <w:sz w:val="24"/>
          <w:szCs w:val="24"/>
          <w:lang w:val="de-DE"/>
        </w:rPr>
      </w:pPr>
      <w:r w:rsidRPr="006B3E07">
        <w:rPr>
          <w:sz w:val="24"/>
          <w:szCs w:val="24"/>
          <w:lang w:val="de-DE"/>
        </w:rPr>
        <w:t>Non-kliniske data viser ingen speciel risiko for mennesker vurderet ud fra konventionelle studier af sikkerhedsfarmakologi, toksicitet efter gentagne doser, genotoksicitet samt reproduktions- og udviklingstoksicitet. Der sås imidlertid fald i neutrofiltal hos rotter der fik høje doser ertapenem; dette blev ikke betragtet som havende betydning for sikkerhedsprofilen.</w:t>
      </w:r>
    </w:p>
    <w:p w14:paraId="45D3F93C" w14:textId="77777777" w:rsidR="006B3E07" w:rsidRPr="006B3E07" w:rsidRDefault="006B3E07" w:rsidP="006B3E07">
      <w:pPr>
        <w:tabs>
          <w:tab w:val="left" w:pos="851"/>
        </w:tabs>
        <w:ind w:left="851"/>
        <w:rPr>
          <w:sz w:val="24"/>
          <w:szCs w:val="24"/>
          <w:lang w:val="de-DE"/>
        </w:rPr>
      </w:pPr>
    </w:p>
    <w:p w14:paraId="700D3E19" w14:textId="77777777" w:rsidR="006B3E07" w:rsidRPr="006B3E07" w:rsidRDefault="006B3E07" w:rsidP="006B3E07">
      <w:pPr>
        <w:tabs>
          <w:tab w:val="left" w:pos="851"/>
        </w:tabs>
        <w:ind w:left="851"/>
        <w:rPr>
          <w:b/>
          <w:sz w:val="24"/>
          <w:szCs w:val="24"/>
          <w:lang w:val="de-DE"/>
        </w:rPr>
      </w:pPr>
      <w:r w:rsidRPr="006B3E07">
        <w:rPr>
          <w:sz w:val="24"/>
          <w:szCs w:val="24"/>
          <w:lang w:val="de-DE"/>
        </w:rPr>
        <w:t>Der er ikke udført langtidsstudier med dyr med henblik på at undersøge ertapenems karcinogene potentiale.</w:t>
      </w:r>
    </w:p>
    <w:p w14:paraId="4B99CD9C" w14:textId="77777777" w:rsidR="009260DE" w:rsidRPr="006B3E07" w:rsidRDefault="009260DE" w:rsidP="009260DE">
      <w:pPr>
        <w:tabs>
          <w:tab w:val="left" w:pos="851"/>
        </w:tabs>
        <w:ind w:left="851"/>
        <w:rPr>
          <w:sz w:val="24"/>
          <w:szCs w:val="24"/>
          <w:lang w:val="de-DE"/>
        </w:rPr>
      </w:pPr>
    </w:p>
    <w:p w14:paraId="6671B7EE" w14:textId="77777777" w:rsidR="009260DE" w:rsidRPr="00C84483" w:rsidRDefault="009260DE" w:rsidP="009260DE">
      <w:pPr>
        <w:tabs>
          <w:tab w:val="left" w:pos="851"/>
        </w:tabs>
        <w:ind w:left="851"/>
        <w:rPr>
          <w:sz w:val="24"/>
          <w:szCs w:val="24"/>
        </w:rPr>
      </w:pPr>
    </w:p>
    <w:p w14:paraId="33AA12A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E999D48" w14:textId="77777777" w:rsidR="009260DE" w:rsidRPr="00BA09F1" w:rsidRDefault="009260DE" w:rsidP="009260DE">
      <w:pPr>
        <w:tabs>
          <w:tab w:val="left" w:pos="851"/>
        </w:tabs>
        <w:ind w:left="851"/>
        <w:rPr>
          <w:sz w:val="24"/>
          <w:szCs w:val="24"/>
        </w:rPr>
      </w:pPr>
    </w:p>
    <w:p w14:paraId="0633912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E2D593A" w14:textId="77777777" w:rsidR="00170819" w:rsidRPr="00170819" w:rsidRDefault="00170819" w:rsidP="00170819">
      <w:pPr>
        <w:tabs>
          <w:tab w:val="left" w:pos="851"/>
        </w:tabs>
        <w:ind w:left="851"/>
        <w:rPr>
          <w:sz w:val="24"/>
          <w:szCs w:val="24"/>
          <w:lang w:val="de-DE"/>
        </w:rPr>
      </w:pPr>
      <w:r w:rsidRPr="00170819">
        <w:rPr>
          <w:sz w:val="24"/>
          <w:szCs w:val="24"/>
          <w:lang w:val="de-DE"/>
        </w:rPr>
        <w:t xml:space="preserve">Natriumhydrogencarbonat (E500) </w:t>
      </w:r>
    </w:p>
    <w:p w14:paraId="0CC4E130" w14:textId="77777777" w:rsidR="00170819" w:rsidRPr="00170819" w:rsidRDefault="00170819" w:rsidP="00170819">
      <w:pPr>
        <w:tabs>
          <w:tab w:val="left" w:pos="851"/>
        </w:tabs>
        <w:ind w:left="851"/>
        <w:rPr>
          <w:sz w:val="24"/>
          <w:szCs w:val="24"/>
          <w:lang w:val="de-DE"/>
        </w:rPr>
      </w:pPr>
      <w:r w:rsidRPr="00170819">
        <w:rPr>
          <w:sz w:val="24"/>
          <w:szCs w:val="24"/>
          <w:lang w:val="de-DE"/>
        </w:rPr>
        <w:t>Natriumhydroxid (E524) til justering af pH</w:t>
      </w:r>
    </w:p>
    <w:p w14:paraId="2A0EC4C3" w14:textId="77777777" w:rsidR="009260DE" w:rsidRPr="00170819" w:rsidRDefault="009260DE" w:rsidP="009260DE">
      <w:pPr>
        <w:tabs>
          <w:tab w:val="left" w:pos="851"/>
        </w:tabs>
        <w:ind w:left="851"/>
        <w:rPr>
          <w:sz w:val="24"/>
          <w:szCs w:val="24"/>
          <w:lang w:val="de-DE"/>
        </w:rPr>
      </w:pPr>
    </w:p>
    <w:p w14:paraId="139F492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D55EF35" w14:textId="77777777" w:rsidR="00170819" w:rsidRPr="00170819" w:rsidRDefault="00170819" w:rsidP="00170819">
      <w:pPr>
        <w:tabs>
          <w:tab w:val="left" w:pos="851"/>
        </w:tabs>
        <w:ind w:left="851"/>
        <w:rPr>
          <w:sz w:val="24"/>
          <w:szCs w:val="24"/>
          <w:lang w:val="de-DE"/>
        </w:rPr>
      </w:pPr>
      <w:bookmarkStart w:id="1" w:name="_Hlk138342137"/>
      <w:r w:rsidRPr="00170819">
        <w:rPr>
          <w:sz w:val="24"/>
          <w:szCs w:val="24"/>
          <w:lang w:val="de-DE"/>
        </w:rPr>
        <w:t>Brug ikke solvenser eller infusionsvæsker indeholdende glucose til rekonstitution eller administration af ertapenem.</w:t>
      </w:r>
    </w:p>
    <w:bookmarkEnd w:id="1"/>
    <w:p w14:paraId="34C68E36" w14:textId="77777777" w:rsidR="00170819" w:rsidRPr="00170819" w:rsidRDefault="00170819" w:rsidP="00170819">
      <w:pPr>
        <w:tabs>
          <w:tab w:val="left" w:pos="851"/>
        </w:tabs>
        <w:ind w:left="851"/>
        <w:rPr>
          <w:sz w:val="24"/>
          <w:szCs w:val="24"/>
          <w:lang w:val="de-DE"/>
        </w:rPr>
      </w:pPr>
    </w:p>
    <w:p w14:paraId="404A6BCF" w14:textId="77777777" w:rsidR="00170819" w:rsidRPr="00170819" w:rsidRDefault="00170819" w:rsidP="00170819">
      <w:pPr>
        <w:tabs>
          <w:tab w:val="left" w:pos="851"/>
        </w:tabs>
        <w:ind w:left="851"/>
        <w:rPr>
          <w:sz w:val="24"/>
          <w:szCs w:val="24"/>
          <w:lang w:val="de-DE"/>
        </w:rPr>
      </w:pPr>
      <w:r w:rsidRPr="00170819">
        <w:rPr>
          <w:sz w:val="24"/>
          <w:szCs w:val="24"/>
          <w:lang w:val="de-DE"/>
        </w:rPr>
        <w:t>Da der ikke foreligger studier af eventuelle uforligeligheder, må dette lægemiddel ikke blandes med andre lægemidler end dem, der er anført under pkt. 6.6.</w:t>
      </w:r>
    </w:p>
    <w:p w14:paraId="3169A02E" w14:textId="77777777" w:rsidR="009260DE" w:rsidRPr="00170819" w:rsidRDefault="009260DE" w:rsidP="009260DE">
      <w:pPr>
        <w:tabs>
          <w:tab w:val="left" w:pos="851"/>
        </w:tabs>
        <w:ind w:left="851"/>
        <w:rPr>
          <w:sz w:val="24"/>
          <w:szCs w:val="24"/>
          <w:lang w:val="de-DE"/>
        </w:rPr>
      </w:pPr>
    </w:p>
    <w:p w14:paraId="3C32E02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6DC4DC0" w14:textId="1E0F9D4B" w:rsidR="00170819" w:rsidRDefault="00170819" w:rsidP="00170819">
      <w:pPr>
        <w:tabs>
          <w:tab w:val="left" w:pos="851"/>
        </w:tabs>
        <w:ind w:left="851"/>
        <w:rPr>
          <w:sz w:val="24"/>
          <w:szCs w:val="24"/>
          <w:lang w:val="de-DE"/>
        </w:rPr>
      </w:pPr>
      <w:r w:rsidRPr="00170819">
        <w:rPr>
          <w:sz w:val="24"/>
          <w:szCs w:val="24"/>
          <w:lang w:val="de-DE"/>
        </w:rPr>
        <w:t>2 år</w:t>
      </w:r>
      <w:r>
        <w:rPr>
          <w:sz w:val="24"/>
          <w:szCs w:val="24"/>
          <w:lang w:val="de-DE"/>
        </w:rPr>
        <w:t>.</w:t>
      </w:r>
    </w:p>
    <w:p w14:paraId="5812051C" w14:textId="77777777" w:rsidR="00170819" w:rsidRPr="00170819" w:rsidRDefault="00170819" w:rsidP="00170819">
      <w:pPr>
        <w:tabs>
          <w:tab w:val="left" w:pos="851"/>
        </w:tabs>
        <w:ind w:left="851"/>
        <w:rPr>
          <w:sz w:val="24"/>
          <w:szCs w:val="24"/>
          <w:lang w:val="de-DE"/>
        </w:rPr>
      </w:pPr>
    </w:p>
    <w:p w14:paraId="4C9F797E" w14:textId="4AD9BB0E" w:rsidR="00170819" w:rsidRPr="00170819" w:rsidRDefault="00170819" w:rsidP="00170819">
      <w:pPr>
        <w:tabs>
          <w:tab w:val="left" w:pos="851"/>
        </w:tabs>
        <w:ind w:left="851"/>
        <w:rPr>
          <w:sz w:val="24"/>
          <w:szCs w:val="24"/>
          <w:u w:val="single"/>
          <w:lang w:val="de-DE"/>
        </w:rPr>
      </w:pPr>
      <w:r w:rsidRPr="00170819">
        <w:rPr>
          <w:sz w:val="24"/>
          <w:szCs w:val="24"/>
          <w:u w:val="single"/>
          <w:lang w:val="de-DE"/>
        </w:rPr>
        <w:t>Efter rekonstitution/</w:t>
      </w:r>
      <w:r>
        <w:rPr>
          <w:sz w:val="24"/>
          <w:szCs w:val="24"/>
          <w:u w:val="single"/>
          <w:lang w:val="de-DE"/>
        </w:rPr>
        <w:t>f</w:t>
      </w:r>
      <w:r w:rsidRPr="00170819">
        <w:rPr>
          <w:sz w:val="24"/>
          <w:szCs w:val="24"/>
          <w:u w:val="single"/>
          <w:lang w:val="de-DE"/>
        </w:rPr>
        <w:t>ortynding</w:t>
      </w:r>
    </w:p>
    <w:p w14:paraId="1D04C033" w14:textId="77777777" w:rsidR="00170819" w:rsidRPr="00170819" w:rsidRDefault="00170819" w:rsidP="00170819">
      <w:pPr>
        <w:tabs>
          <w:tab w:val="left" w:pos="851"/>
        </w:tabs>
        <w:ind w:left="851"/>
        <w:rPr>
          <w:sz w:val="24"/>
          <w:szCs w:val="24"/>
          <w:lang w:val="de-DE"/>
        </w:rPr>
      </w:pPr>
      <w:r w:rsidRPr="00170819">
        <w:rPr>
          <w:sz w:val="24"/>
          <w:szCs w:val="24"/>
          <w:lang w:val="de-DE"/>
        </w:rPr>
        <w:t xml:space="preserve">Fortyndede opløsninger skal bruges straks. Hvis de ikke anvendes straks, er opbevaringstiden brugerens ansvar. Fortyndede opløsninger (ca. 20 mg/ml ertapenem) er fysisk og kemisk stabile i 6 timer ved stuetemperatur (25 °C) eller i 24 timer ved 2 °C-8 °C (i køleskab). Opløsninger skal anvendes inden for 4 timer efter udtagning fra køleskab. </w:t>
      </w:r>
    </w:p>
    <w:p w14:paraId="5A4E2DCE" w14:textId="77777777" w:rsidR="00170819" w:rsidRPr="00170819" w:rsidRDefault="00170819" w:rsidP="00170819">
      <w:pPr>
        <w:tabs>
          <w:tab w:val="left" w:pos="851"/>
        </w:tabs>
        <w:ind w:left="851"/>
        <w:rPr>
          <w:sz w:val="24"/>
          <w:szCs w:val="24"/>
          <w:lang w:val="de-DE"/>
        </w:rPr>
      </w:pPr>
      <w:r w:rsidRPr="00170819">
        <w:rPr>
          <w:sz w:val="24"/>
          <w:szCs w:val="24"/>
          <w:lang w:val="de-DE"/>
        </w:rPr>
        <w:t>Ertapenem "Steriscience" opløsninger må ikke nedfryses.</w:t>
      </w:r>
    </w:p>
    <w:p w14:paraId="000D124A" w14:textId="77777777" w:rsidR="009260DE" w:rsidRPr="00170819" w:rsidRDefault="009260DE" w:rsidP="009260DE">
      <w:pPr>
        <w:tabs>
          <w:tab w:val="left" w:pos="851"/>
        </w:tabs>
        <w:ind w:left="851"/>
        <w:rPr>
          <w:sz w:val="24"/>
          <w:szCs w:val="24"/>
          <w:lang w:val="de-DE"/>
        </w:rPr>
      </w:pPr>
    </w:p>
    <w:p w14:paraId="1083509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A737B95" w14:textId="77777777" w:rsidR="00865C5E" w:rsidRPr="00865C5E" w:rsidRDefault="00865C5E" w:rsidP="00865C5E">
      <w:pPr>
        <w:tabs>
          <w:tab w:val="left" w:pos="851"/>
        </w:tabs>
        <w:ind w:left="851"/>
        <w:rPr>
          <w:sz w:val="24"/>
          <w:szCs w:val="24"/>
          <w:lang w:val="sv-SE"/>
        </w:rPr>
      </w:pPr>
      <w:r w:rsidRPr="00865C5E">
        <w:rPr>
          <w:sz w:val="24"/>
          <w:szCs w:val="24"/>
          <w:lang w:val="sv-SE"/>
        </w:rPr>
        <w:t>Må ikke opbevares ved temperaturer over 25 °C.</w:t>
      </w:r>
    </w:p>
    <w:p w14:paraId="5B58BDDF" w14:textId="77777777" w:rsidR="00865C5E" w:rsidRPr="00865C5E" w:rsidRDefault="00865C5E" w:rsidP="00865C5E">
      <w:pPr>
        <w:tabs>
          <w:tab w:val="left" w:pos="851"/>
        </w:tabs>
        <w:ind w:left="851"/>
        <w:rPr>
          <w:sz w:val="24"/>
          <w:szCs w:val="24"/>
          <w:lang w:val="sv-SE"/>
        </w:rPr>
      </w:pPr>
    </w:p>
    <w:p w14:paraId="7678FD6F" w14:textId="77777777" w:rsidR="00865C5E" w:rsidRPr="00865C5E" w:rsidRDefault="00865C5E" w:rsidP="00865C5E">
      <w:pPr>
        <w:tabs>
          <w:tab w:val="left" w:pos="851"/>
        </w:tabs>
        <w:ind w:left="851"/>
        <w:rPr>
          <w:sz w:val="24"/>
          <w:szCs w:val="24"/>
          <w:lang w:val="sv-SE"/>
        </w:rPr>
      </w:pPr>
      <w:r w:rsidRPr="00865C5E">
        <w:rPr>
          <w:sz w:val="24"/>
          <w:szCs w:val="24"/>
          <w:lang w:val="sv-SE"/>
        </w:rPr>
        <w:t>Opbevaringsforhold efter rekonstitution/fortynding af lægemidlet, se pkt. 6.3.</w:t>
      </w:r>
    </w:p>
    <w:p w14:paraId="751D143A" w14:textId="77777777" w:rsidR="009260DE" w:rsidRPr="00865C5E" w:rsidRDefault="009260DE" w:rsidP="009260DE">
      <w:pPr>
        <w:tabs>
          <w:tab w:val="left" w:pos="851"/>
        </w:tabs>
        <w:ind w:left="851"/>
        <w:rPr>
          <w:sz w:val="24"/>
          <w:szCs w:val="24"/>
          <w:lang w:val="sv-SE"/>
        </w:rPr>
      </w:pPr>
    </w:p>
    <w:p w14:paraId="779DF7B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33BBE2E" w14:textId="746EA3A3" w:rsidR="00865C5E" w:rsidRDefault="00865C5E" w:rsidP="00865C5E">
      <w:pPr>
        <w:tabs>
          <w:tab w:val="left" w:pos="851"/>
        </w:tabs>
        <w:ind w:left="851"/>
        <w:rPr>
          <w:sz w:val="24"/>
          <w:szCs w:val="24"/>
          <w:lang w:val="sv-SE"/>
        </w:rPr>
      </w:pPr>
      <w:r w:rsidRPr="00865C5E">
        <w:rPr>
          <w:sz w:val="24"/>
          <w:szCs w:val="24"/>
          <w:lang w:val="sv-SE"/>
        </w:rPr>
        <w:t>20 ml Type I-glasflaske med grå brombutylgummiprop og blå flip-off-forsegling af aluminium.</w:t>
      </w:r>
    </w:p>
    <w:p w14:paraId="53889D39" w14:textId="77777777" w:rsidR="00865C5E" w:rsidRPr="00865C5E" w:rsidRDefault="00865C5E" w:rsidP="00865C5E">
      <w:pPr>
        <w:tabs>
          <w:tab w:val="left" w:pos="851"/>
        </w:tabs>
        <w:ind w:left="851"/>
        <w:rPr>
          <w:sz w:val="24"/>
          <w:szCs w:val="24"/>
          <w:lang w:val="sv-SE"/>
        </w:rPr>
      </w:pPr>
    </w:p>
    <w:p w14:paraId="15FBAAED" w14:textId="0820F40D" w:rsidR="00865C5E" w:rsidRDefault="00865C5E" w:rsidP="00865C5E">
      <w:pPr>
        <w:tabs>
          <w:tab w:val="left" w:pos="851"/>
        </w:tabs>
        <w:ind w:left="851"/>
        <w:rPr>
          <w:sz w:val="24"/>
          <w:szCs w:val="24"/>
          <w:lang w:val="sv-SE"/>
        </w:rPr>
      </w:pPr>
      <w:r w:rsidRPr="00865C5E">
        <w:rPr>
          <w:sz w:val="24"/>
          <w:szCs w:val="24"/>
          <w:lang w:val="sv-SE"/>
        </w:rPr>
        <w:t xml:space="preserve">Pakningsstørrelser: 1 </w:t>
      </w:r>
      <w:r>
        <w:rPr>
          <w:sz w:val="24"/>
          <w:szCs w:val="24"/>
          <w:lang w:val="sv-SE"/>
        </w:rPr>
        <w:t>og</w:t>
      </w:r>
      <w:r w:rsidRPr="00865C5E">
        <w:rPr>
          <w:sz w:val="24"/>
          <w:szCs w:val="24"/>
          <w:lang w:val="sv-SE"/>
        </w:rPr>
        <w:t xml:space="preserve"> 10 hætteglas.</w:t>
      </w:r>
    </w:p>
    <w:p w14:paraId="733F5D14" w14:textId="77777777" w:rsidR="00865C5E" w:rsidRPr="00865C5E" w:rsidRDefault="00865C5E" w:rsidP="00865C5E">
      <w:pPr>
        <w:tabs>
          <w:tab w:val="left" w:pos="851"/>
        </w:tabs>
        <w:ind w:left="851"/>
        <w:rPr>
          <w:sz w:val="24"/>
          <w:szCs w:val="24"/>
          <w:lang w:val="sv-SE"/>
        </w:rPr>
      </w:pPr>
    </w:p>
    <w:p w14:paraId="72D9131F" w14:textId="77777777" w:rsidR="00865C5E" w:rsidRPr="00865C5E" w:rsidRDefault="00865C5E" w:rsidP="00865C5E">
      <w:pPr>
        <w:tabs>
          <w:tab w:val="left" w:pos="851"/>
        </w:tabs>
        <w:ind w:left="851"/>
        <w:rPr>
          <w:sz w:val="24"/>
          <w:szCs w:val="24"/>
          <w:lang w:val="de-DE"/>
        </w:rPr>
      </w:pPr>
      <w:r w:rsidRPr="00865C5E">
        <w:rPr>
          <w:sz w:val="24"/>
          <w:szCs w:val="24"/>
          <w:lang w:val="de-DE"/>
        </w:rPr>
        <w:t>Ikke alle pakningsstørrelser er nødvendigvis markedsført.</w:t>
      </w:r>
    </w:p>
    <w:p w14:paraId="208CADA9" w14:textId="77777777" w:rsidR="009260DE" w:rsidRPr="00865C5E" w:rsidRDefault="009260DE" w:rsidP="009260DE">
      <w:pPr>
        <w:tabs>
          <w:tab w:val="left" w:pos="851"/>
        </w:tabs>
        <w:ind w:left="851"/>
        <w:rPr>
          <w:sz w:val="24"/>
          <w:szCs w:val="24"/>
          <w:lang w:val="de-DE"/>
        </w:rPr>
      </w:pPr>
    </w:p>
    <w:p w14:paraId="4FEEE9B0"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7939512" w14:textId="77777777" w:rsidR="00865C5E" w:rsidRPr="00865C5E" w:rsidRDefault="00865C5E" w:rsidP="00865C5E">
      <w:pPr>
        <w:tabs>
          <w:tab w:val="left" w:pos="851"/>
        </w:tabs>
        <w:ind w:left="851"/>
        <w:rPr>
          <w:sz w:val="24"/>
          <w:szCs w:val="24"/>
          <w:lang w:val="de-DE"/>
        </w:rPr>
      </w:pPr>
    </w:p>
    <w:p w14:paraId="23CAB65F" w14:textId="67EC4C68"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Brugsvejledning</w:t>
      </w:r>
    </w:p>
    <w:p w14:paraId="32C32464" w14:textId="77777777" w:rsidR="00865C5E" w:rsidRPr="00865C5E" w:rsidRDefault="00865C5E" w:rsidP="00865C5E">
      <w:pPr>
        <w:tabs>
          <w:tab w:val="left" w:pos="851"/>
        </w:tabs>
        <w:ind w:left="851"/>
        <w:rPr>
          <w:iCs/>
          <w:sz w:val="24"/>
          <w:szCs w:val="24"/>
          <w:lang w:val="de-DE"/>
        </w:rPr>
      </w:pPr>
      <w:r w:rsidRPr="00865C5E">
        <w:rPr>
          <w:iCs/>
          <w:sz w:val="24"/>
          <w:szCs w:val="24"/>
          <w:lang w:val="de-DE"/>
        </w:rPr>
        <w:t>Kun til engangsbrug.</w:t>
      </w:r>
    </w:p>
    <w:p w14:paraId="0357EDEB" w14:textId="77777777" w:rsidR="00865C5E" w:rsidRPr="00865C5E" w:rsidRDefault="00865C5E" w:rsidP="00865C5E">
      <w:pPr>
        <w:tabs>
          <w:tab w:val="left" w:pos="851"/>
        </w:tabs>
        <w:ind w:left="851"/>
        <w:rPr>
          <w:i/>
          <w:sz w:val="24"/>
          <w:szCs w:val="24"/>
          <w:lang w:val="de-DE"/>
        </w:rPr>
      </w:pPr>
    </w:p>
    <w:p w14:paraId="5F4EFED3" w14:textId="77777777" w:rsidR="00865C5E" w:rsidRPr="00865C5E" w:rsidRDefault="00865C5E" w:rsidP="00865C5E">
      <w:pPr>
        <w:tabs>
          <w:tab w:val="left" w:pos="851"/>
        </w:tabs>
        <w:ind w:left="851"/>
        <w:rPr>
          <w:iCs/>
          <w:sz w:val="24"/>
          <w:szCs w:val="24"/>
          <w:lang w:val="de-DE"/>
        </w:rPr>
      </w:pPr>
      <w:r w:rsidRPr="00865C5E">
        <w:rPr>
          <w:iCs/>
          <w:sz w:val="24"/>
          <w:szCs w:val="24"/>
          <w:lang w:val="de-DE"/>
        </w:rPr>
        <w:t>Rekonstituerede opløsninger skal fortyndes i natriumchlorid 9 mg/ml (0,9%) opløsning umiddelbart efter klargøring.</w:t>
      </w:r>
    </w:p>
    <w:p w14:paraId="7492D62A" w14:textId="6E8259D4" w:rsidR="00865C5E" w:rsidRDefault="00865C5E">
      <w:pPr>
        <w:rPr>
          <w:i/>
          <w:sz w:val="24"/>
          <w:szCs w:val="24"/>
          <w:lang w:val="de-DE"/>
        </w:rPr>
      </w:pPr>
      <w:r>
        <w:rPr>
          <w:i/>
          <w:sz w:val="24"/>
          <w:szCs w:val="24"/>
          <w:lang w:val="de-DE"/>
        </w:rPr>
        <w:br w:type="page"/>
      </w:r>
    </w:p>
    <w:p w14:paraId="19BCFAC0" w14:textId="77777777" w:rsidR="00865C5E" w:rsidRPr="00865C5E" w:rsidRDefault="00865C5E" w:rsidP="00865C5E">
      <w:pPr>
        <w:tabs>
          <w:tab w:val="left" w:pos="851"/>
        </w:tabs>
        <w:ind w:left="851"/>
        <w:rPr>
          <w:i/>
          <w:sz w:val="24"/>
          <w:szCs w:val="24"/>
          <w:lang w:val="de-DE"/>
        </w:rPr>
      </w:pPr>
    </w:p>
    <w:p w14:paraId="402F1094" w14:textId="6F3C11C3" w:rsidR="00865C5E" w:rsidRPr="00865C5E" w:rsidRDefault="00865C5E" w:rsidP="00865C5E">
      <w:pPr>
        <w:tabs>
          <w:tab w:val="left" w:pos="851"/>
        </w:tabs>
        <w:ind w:left="851"/>
        <w:rPr>
          <w:i/>
          <w:sz w:val="24"/>
          <w:szCs w:val="24"/>
          <w:lang w:val="de-DE"/>
        </w:rPr>
      </w:pPr>
      <w:r w:rsidRPr="00865C5E">
        <w:rPr>
          <w:i/>
          <w:sz w:val="24"/>
          <w:szCs w:val="24"/>
          <w:u w:val="single"/>
          <w:lang w:val="de-DE"/>
        </w:rPr>
        <w:t>Klargøring til intravenøs administration</w:t>
      </w:r>
    </w:p>
    <w:p w14:paraId="689BD967" w14:textId="77777777" w:rsidR="00865C5E" w:rsidRPr="00865C5E" w:rsidRDefault="00865C5E" w:rsidP="00865C5E">
      <w:pPr>
        <w:tabs>
          <w:tab w:val="left" w:pos="851"/>
        </w:tabs>
        <w:ind w:left="851"/>
        <w:rPr>
          <w:b/>
          <w:bCs/>
          <w:iCs/>
          <w:sz w:val="24"/>
          <w:szCs w:val="24"/>
          <w:lang w:val="de-DE"/>
        </w:rPr>
      </w:pPr>
      <w:r w:rsidRPr="00865C5E">
        <w:rPr>
          <w:b/>
          <w:bCs/>
          <w:sz w:val="24"/>
          <w:szCs w:val="24"/>
          <w:lang w:val="de-DE"/>
        </w:rPr>
        <w:t>Ertapenem "Steriscience"</w:t>
      </w:r>
      <w:r w:rsidRPr="00865C5E">
        <w:rPr>
          <w:sz w:val="24"/>
          <w:szCs w:val="24"/>
          <w:lang w:val="de-DE"/>
        </w:rPr>
        <w:t xml:space="preserve"> </w:t>
      </w:r>
      <w:r w:rsidRPr="00865C5E">
        <w:rPr>
          <w:b/>
          <w:bCs/>
          <w:iCs/>
          <w:sz w:val="24"/>
          <w:szCs w:val="24"/>
          <w:lang w:val="de-DE"/>
        </w:rPr>
        <w:t>pulver til koncentrat til infusionsvæske, opløsning skal rekonstitueres og fortyndes inden administration.</w:t>
      </w:r>
    </w:p>
    <w:p w14:paraId="3DF023E1" w14:textId="77777777" w:rsidR="00865C5E" w:rsidRPr="00865C5E" w:rsidRDefault="00865C5E" w:rsidP="00865C5E">
      <w:pPr>
        <w:tabs>
          <w:tab w:val="left" w:pos="851"/>
        </w:tabs>
        <w:ind w:left="851"/>
        <w:rPr>
          <w:i/>
          <w:sz w:val="24"/>
          <w:szCs w:val="24"/>
          <w:lang w:val="de-DE"/>
        </w:rPr>
      </w:pPr>
    </w:p>
    <w:p w14:paraId="409D31F3" w14:textId="77777777"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Voksne og unge (i alderen 13 til 17 år)</w:t>
      </w:r>
    </w:p>
    <w:p w14:paraId="63EEA0A2" w14:textId="77777777" w:rsidR="00865C5E" w:rsidRDefault="00865C5E" w:rsidP="00865C5E">
      <w:pPr>
        <w:tabs>
          <w:tab w:val="left" w:pos="851"/>
        </w:tabs>
        <w:ind w:left="851"/>
        <w:rPr>
          <w:iCs/>
          <w:sz w:val="24"/>
          <w:szCs w:val="24"/>
          <w:u w:val="single"/>
          <w:lang w:val="de-DE"/>
        </w:rPr>
      </w:pPr>
    </w:p>
    <w:p w14:paraId="69920E7E" w14:textId="01EC5E69"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Rekonstitution</w:t>
      </w:r>
    </w:p>
    <w:p w14:paraId="2342E219" w14:textId="77777777" w:rsidR="00865C5E" w:rsidRPr="00865C5E" w:rsidRDefault="00865C5E" w:rsidP="00865C5E">
      <w:pPr>
        <w:tabs>
          <w:tab w:val="left" w:pos="851"/>
        </w:tabs>
        <w:ind w:left="851"/>
        <w:rPr>
          <w:iCs/>
          <w:sz w:val="24"/>
          <w:szCs w:val="24"/>
          <w:lang w:val="de-DE"/>
        </w:rPr>
      </w:pPr>
      <w:r w:rsidRPr="00865C5E">
        <w:rPr>
          <w:iCs/>
          <w:sz w:val="24"/>
          <w:szCs w:val="24"/>
          <w:lang w:val="de-DE"/>
        </w:rPr>
        <w:t>Rekonstituer indholdet fra et hætteglas indeholdende 1 g Ertapenem "Steriscience" med 10 ml vand til injektionsvæske eller natriumchlorid 9 mg/ml (0,9%) opløsning for at opnå en rekonstitueret opløsning på ca. 100 mg/ml. Omryst grundigt for at opløse (se pkt. 6.4).</w:t>
      </w:r>
    </w:p>
    <w:p w14:paraId="7FAE4EA4" w14:textId="77777777" w:rsidR="00865C5E" w:rsidRDefault="00865C5E" w:rsidP="00865C5E">
      <w:pPr>
        <w:tabs>
          <w:tab w:val="left" w:pos="851"/>
        </w:tabs>
        <w:ind w:left="851"/>
        <w:rPr>
          <w:iCs/>
          <w:sz w:val="24"/>
          <w:szCs w:val="24"/>
          <w:u w:val="single"/>
          <w:lang w:val="de-DE"/>
        </w:rPr>
      </w:pPr>
    </w:p>
    <w:p w14:paraId="57E8A941" w14:textId="5495536D"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Fortynding</w:t>
      </w:r>
    </w:p>
    <w:p w14:paraId="13B20A18" w14:textId="77777777" w:rsidR="00865C5E" w:rsidRPr="00865C5E" w:rsidRDefault="00865C5E" w:rsidP="00865C5E">
      <w:pPr>
        <w:tabs>
          <w:tab w:val="left" w:pos="851"/>
        </w:tabs>
        <w:ind w:left="851"/>
        <w:rPr>
          <w:iCs/>
          <w:sz w:val="24"/>
          <w:szCs w:val="24"/>
          <w:lang w:val="de-DE"/>
        </w:rPr>
      </w:pPr>
      <w:r w:rsidRPr="00865C5E">
        <w:rPr>
          <w:iCs/>
          <w:sz w:val="24"/>
          <w:szCs w:val="24"/>
          <w:lang w:val="de-DE"/>
        </w:rPr>
        <w:t>Til en 50 ml infusionspose med fortyndingsvæske: Til en dosis på 1 g: overfør straks indholdet i det rekonstituerede hætteglas til en 50 ml infusionspose med natriumchlorid 9 mg/ml (0,9%) opløsning; eller</w:t>
      </w:r>
    </w:p>
    <w:p w14:paraId="3039E847" w14:textId="77777777" w:rsidR="00865C5E" w:rsidRPr="00865C5E" w:rsidRDefault="00865C5E" w:rsidP="00865C5E">
      <w:pPr>
        <w:tabs>
          <w:tab w:val="left" w:pos="851"/>
        </w:tabs>
        <w:ind w:left="851"/>
        <w:rPr>
          <w:i/>
          <w:sz w:val="24"/>
          <w:szCs w:val="24"/>
          <w:lang w:val="de-DE"/>
        </w:rPr>
      </w:pPr>
    </w:p>
    <w:p w14:paraId="3890B00E" w14:textId="77777777" w:rsidR="00865C5E" w:rsidRPr="00865C5E" w:rsidRDefault="00865C5E" w:rsidP="00865C5E">
      <w:pPr>
        <w:tabs>
          <w:tab w:val="left" w:pos="851"/>
        </w:tabs>
        <w:ind w:left="851"/>
        <w:rPr>
          <w:iCs/>
          <w:sz w:val="24"/>
          <w:szCs w:val="24"/>
          <w:lang w:val="de-DE"/>
        </w:rPr>
      </w:pPr>
      <w:r w:rsidRPr="00865C5E">
        <w:rPr>
          <w:iCs/>
          <w:sz w:val="24"/>
          <w:szCs w:val="24"/>
          <w:lang w:val="de-DE"/>
        </w:rPr>
        <w:t>Til et 50 ml hætteglas med fortyndingsvæske: Til en dosis på 1 g; træk 10 ml op fra et 50 ml hætteglas med natriumchlorid 9 mg/ml (0,9%) opløsning og kassér det. Overfør indholdet fra det rekonstituerede 1 g hætteglas med Ertapenem "Steriscience" til det 50 ml hætteglas med natriumchlorid 9 mg/ml (0,9%) opløsning</w:t>
      </w:r>
    </w:p>
    <w:p w14:paraId="21BECEC5" w14:textId="77777777"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Infusion</w:t>
      </w:r>
    </w:p>
    <w:p w14:paraId="300F328F" w14:textId="77777777" w:rsidR="00865C5E" w:rsidRPr="00865C5E" w:rsidRDefault="00865C5E" w:rsidP="00865C5E">
      <w:pPr>
        <w:tabs>
          <w:tab w:val="left" w:pos="851"/>
        </w:tabs>
        <w:ind w:left="851"/>
        <w:rPr>
          <w:iCs/>
          <w:sz w:val="24"/>
          <w:szCs w:val="24"/>
          <w:lang w:val="de-DE"/>
        </w:rPr>
      </w:pPr>
      <w:r w:rsidRPr="00865C5E">
        <w:rPr>
          <w:iCs/>
          <w:sz w:val="24"/>
          <w:szCs w:val="24"/>
          <w:lang w:val="de-DE"/>
        </w:rPr>
        <w:t>Infunderes over en periode på 30 minutter.</w:t>
      </w:r>
    </w:p>
    <w:p w14:paraId="52136D5E" w14:textId="77777777" w:rsidR="00865C5E" w:rsidRPr="00865C5E" w:rsidRDefault="00865C5E" w:rsidP="00865C5E">
      <w:pPr>
        <w:tabs>
          <w:tab w:val="left" w:pos="851"/>
        </w:tabs>
        <w:ind w:left="851"/>
        <w:rPr>
          <w:i/>
          <w:sz w:val="24"/>
          <w:szCs w:val="24"/>
          <w:lang w:val="de-DE"/>
        </w:rPr>
      </w:pPr>
    </w:p>
    <w:p w14:paraId="4E578BAF" w14:textId="77777777"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Børn (i alderen 3 måneder til 12 år)</w:t>
      </w:r>
    </w:p>
    <w:p w14:paraId="2C7C1655" w14:textId="77777777" w:rsidR="00865C5E" w:rsidRDefault="00865C5E" w:rsidP="00865C5E">
      <w:pPr>
        <w:tabs>
          <w:tab w:val="left" w:pos="851"/>
        </w:tabs>
        <w:ind w:left="851"/>
        <w:rPr>
          <w:iCs/>
          <w:sz w:val="24"/>
          <w:szCs w:val="24"/>
          <w:u w:val="single"/>
          <w:lang w:val="de-DE"/>
        </w:rPr>
      </w:pPr>
    </w:p>
    <w:p w14:paraId="0F969EEE" w14:textId="5D0BE5CF"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Rekonstitution</w:t>
      </w:r>
    </w:p>
    <w:p w14:paraId="205BC896" w14:textId="77777777" w:rsidR="00865C5E" w:rsidRPr="00865C5E" w:rsidRDefault="00865C5E" w:rsidP="00865C5E">
      <w:pPr>
        <w:tabs>
          <w:tab w:val="left" w:pos="851"/>
        </w:tabs>
        <w:ind w:left="851"/>
        <w:rPr>
          <w:iCs/>
          <w:sz w:val="24"/>
          <w:szCs w:val="24"/>
          <w:lang w:val="de-DE"/>
        </w:rPr>
      </w:pPr>
      <w:r w:rsidRPr="00865C5E">
        <w:rPr>
          <w:iCs/>
          <w:sz w:val="24"/>
          <w:szCs w:val="24"/>
          <w:lang w:val="de-DE"/>
        </w:rPr>
        <w:t>Rekonstituer indholdet fra et hætteglas indeholdende 1 g Ertapenem "Steriscience" med 10 ml vand til injektionsvæsker eller natriumchlorid 9 mg/ml (0,9%) opløsning for at opnå en rekonstitueret opløsning på ca. 100 mg/ml. Omryst grundigt for at opløse (se pkt. 6.4).</w:t>
      </w:r>
    </w:p>
    <w:p w14:paraId="33A5458B" w14:textId="77777777" w:rsidR="00865C5E" w:rsidRDefault="00865C5E" w:rsidP="00865C5E">
      <w:pPr>
        <w:tabs>
          <w:tab w:val="left" w:pos="851"/>
        </w:tabs>
        <w:ind w:left="851"/>
        <w:rPr>
          <w:iCs/>
          <w:sz w:val="24"/>
          <w:szCs w:val="24"/>
          <w:u w:val="single"/>
          <w:lang w:val="de-DE"/>
        </w:rPr>
      </w:pPr>
    </w:p>
    <w:p w14:paraId="7C2AD7D6" w14:textId="2F719671"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Fortynding</w:t>
      </w:r>
    </w:p>
    <w:p w14:paraId="12A73989" w14:textId="77777777" w:rsidR="00865C5E" w:rsidRPr="00865C5E" w:rsidRDefault="00865C5E" w:rsidP="00865C5E">
      <w:pPr>
        <w:tabs>
          <w:tab w:val="left" w:pos="851"/>
        </w:tabs>
        <w:ind w:left="851"/>
        <w:rPr>
          <w:iCs/>
          <w:sz w:val="24"/>
          <w:szCs w:val="24"/>
          <w:lang w:val="de-DE"/>
        </w:rPr>
      </w:pPr>
      <w:r w:rsidRPr="00865C5E">
        <w:rPr>
          <w:iCs/>
          <w:sz w:val="24"/>
          <w:szCs w:val="24"/>
          <w:lang w:val="de-DE"/>
        </w:rPr>
        <w:t>Til en infusionspose med fortyndingsvæske: Overfør en mængde svarende til 15 mg/kg kropsvægt (må ikke overstige 1 g/dag) til en infusionspose med natriumchlorid 9 mg/ml (0,9%) opløsning, hvilket giver en endelig koncentration på 20 mg/ml eller mindre; eller</w:t>
      </w:r>
    </w:p>
    <w:p w14:paraId="3456FBEF" w14:textId="77777777" w:rsidR="00865C5E" w:rsidRPr="00865C5E" w:rsidRDefault="00865C5E" w:rsidP="00865C5E">
      <w:pPr>
        <w:tabs>
          <w:tab w:val="left" w:pos="851"/>
        </w:tabs>
        <w:ind w:left="851"/>
        <w:rPr>
          <w:iCs/>
          <w:sz w:val="24"/>
          <w:szCs w:val="24"/>
          <w:lang w:val="de-DE"/>
        </w:rPr>
      </w:pPr>
    </w:p>
    <w:p w14:paraId="080BDE63" w14:textId="77777777" w:rsidR="00865C5E" w:rsidRPr="00865C5E" w:rsidRDefault="00865C5E" w:rsidP="00865C5E">
      <w:pPr>
        <w:tabs>
          <w:tab w:val="left" w:pos="851"/>
        </w:tabs>
        <w:ind w:left="851"/>
        <w:rPr>
          <w:iCs/>
          <w:sz w:val="24"/>
          <w:szCs w:val="24"/>
          <w:lang w:val="de-DE"/>
        </w:rPr>
      </w:pPr>
      <w:r w:rsidRPr="00865C5E">
        <w:rPr>
          <w:iCs/>
          <w:sz w:val="24"/>
          <w:szCs w:val="24"/>
          <w:lang w:val="de-DE"/>
        </w:rPr>
        <w:t>Til et hætteglas med fortyndingsvæske: Overfør en mængde svarende til 15 mg/kg kropsvægt (må ikke overstige 1 g/dag) til et hætteglas med n</w:t>
      </w:r>
      <w:bookmarkStart w:id="2" w:name="_GoBack"/>
      <w:bookmarkEnd w:id="2"/>
      <w:r w:rsidRPr="00865C5E">
        <w:rPr>
          <w:iCs/>
          <w:sz w:val="24"/>
          <w:szCs w:val="24"/>
          <w:lang w:val="de-DE"/>
        </w:rPr>
        <w:t>atriumchlorid 9 mg/ml (0,9%) opløsning, hvilket giver en endelig koncentration på 20 mg/ml eller mindre.</w:t>
      </w:r>
    </w:p>
    <w:p w14:paraId="7F1817DB" w14:textId="77777777" w:rsidR="00865C5E" w:rsidRDefault="00865C5E" w:rsidP="00865C5E">
      <w:pPr>
        <w:tabs>
          <w:tab w:val="left" w:pos="851"/>
        </w:tabs>
        <w:ind w:left="851"/>
        <w:rPr>
          <w:iCs/>
          <w:sz w:val="24"/>
          <w:szCs w:val="24"/>
          <w:u w:val="single"/>
          <w:lang w:val="de-DE"/>
        </w:rPr>
      </w:pPr>
    </w:p>
    <w:p w14:paraId="4A5F3848" w14:textId="6669ACD3" w:rsidR="00865C5E" w:rsidRPr="00865C5E" w:rsidRDefault="00865C5E" w:rsidP="00865C5E">
      <w:pPr>
        <w:tabs>
          <w:tab w:val="left" w:pos="851"/>
        </w:tabs>
        <w:ind w:left="851"/>
        <w:rPr>
          <w:iCs/>
          <w:sz w:val="24"/>
          <w:szCs w:val="24"/>
          <w:u w:val="single"/>
          <w:lang w:val="de-DE"/>
        </w:rPr>
      </w:pPr>
      <w:r w:rsidRPr="00865C5E">
        <w:rPr>
          <w:iCs/>
          <w:sz w:val="24"/>
          <w:szCs w:val="24"/>
          <w:u w:val="single"/>
          <w:lang w:val="de-DE"/>
        </w:rPr>
        <w:t>Infusion</w:t>
      </w:r>
    </w:p>
    <w:p w14:paraId="41FF0476" w14:textId="77777777" w:rsidR="00865C5E" w:rsidRPr="00865C5E" w:rsidRDefault="00865C5E" w:rsidP="00865C5E">
      <w:pPr>
        <w:tabs>
          <w:tab w:val="left" w:pos="851"/>
        </w:tabs>
        <w:ind w:left="851"/>
        <w:rPr>
          <w:iCs/>
          <w:sz w:val="24"/>
          <w:szCs w:val="24"/>
          <w:lang w:val="de-DE"/>
        </w:rPr>
      </w:pPr>
      <w:r w:rsidRPr="00865C5E">
        <w:rPr>
          <w:iCs/>
          <w:sz w:val="24"/>
          <w:szCs w:val="24"/>
          <w:lang w:val="de-DE"/>
        </w:rPr>
        <w:t>Infunderes over en periode på 30 minutter.</w:t>
      </w:r>
    </w:p>
    <w:p w14:paraId="6F5B08B1" w14:textId="77777777" w:rsidR="00865C5E" w:rsidRPr="00865C5E" w:rsidRDefault="00865C5E" w:rsidP="00865C5E">
      <w:pPr>
        <w:tabs>
          <w:tab w:val="left" w:pos="851"/>
        </w:tabs>
        <w:ind w:left="851"/>
        <w:rPr>
          <w:i/>
          <w:sz w:val="24"/>
          <w:szCs w:val="24"/>
          <w:lang w:val="de-DE"/>
        </w:rPr>
      </w:pPr>
    </w:p>
    <w:p w14:paraId="126968BD" w14:textId="77777777" w:rsidR="00865C5E" w:rsidRPr="00865C5E" w:rsidRDefault="00865C5E" w:rsidP="00865C5E">
      <w:pPr>
        <w:tabs>
          <w:tab w:val="left" w:pos="851"/>
        </w:tabs>
        <w:ind w:left="851"/>
        <w:rPr>
          <w:iCs/>
          <w:sz w:val="24"/>
          <w:szCs w:val="24"/>
          <w:lang w:val="de-DE"/>
        </w:rPr>
      </w:pPr>
      <w:r w:rsidRPr="00865C5E">
        <w:rPr>
          <w:iCs/>
          <w:sz w:val="24"/>
          <w:szCs w:val="24"/>
          <w:lang w:val="de-DE"/>
        </w:rPr>
        <w:t>Der er vist forligelighed mellem Ertapenem "Steriscience" og intravenøse solvenser indeholdende heparinnatrium og kaliumchlorid.</w:t>
      </w:r>
    </w:p>
    <w:p w14:paraId="70E3C6A4" w14:textId="77777777" w:rsidR="00865C5E" w:rsidRPr="00865C5E" w:rsidRDefault="00865C5E" w:rsidP="00865C5E">
      <w:pPr>
        <w:tabs>
          <w:tab w:val="left" w:pos="851"/>
        </w:tabs>
        <w:ind w:left="851"/>
        <w:rPr>
          <w:i/>
          <w:sz w:val="24"/>
          <w:szCs w:val="24"/>
          <w:lang w:val="de-DE"/>
        </w:rPr>
      </w:pPr>
    </w:p>
    <w:p w14:paraId="6D487351" w14:textId="77777777" w:rsidR="00865C5E" w:rsidRPr="00865C5E" w:rsidRDefault="00865C5E" w:rsidP="00865C5E">
      <w:pPr>
        <w:tabs>
          <w:tab w:val="left" w:pos="851"/>
        </w:tabs>
        <w:ind w:left="851"/>
        <w:rPr>
          <w:iCs/>
          <w:sz w:val="24"/>
          <w:szCs w:val="24"/>
          <w:lang w:val="de-DE"/>
        </w:rPr>
      </w:pPr>
      <w:r w:rsidRPr="00865C5E">
        <w:rPr>
          <w:iCs/>
          <w:sz w:val="24"/>
          <w:szCs w:val="24"/>
          <w:lang w:val="de-DE"/>
        </w:rPr>
        <w:t>Rekonstituerede opløsninger bør, i det omfang beholderen gør det muligt, efterses for partikler og misfarvning inden administration. Opløsninger af Ertapenem "Steriscience" kan variere fra farveløse til lysegule i udseende. Farvevariationer inden for denne skala påvirker ikke styrken.</w:t>
      </w:r>
    </w:p>
    <w:p w14:paraId="0F7CE071" w14:textId="77777777" w:rsidR="00865C5E" w:rsidRPr="00865C5E" w:rsidRDefault="00865C5E" w:rsidP="00865C5E">
      <w:pPr>
        <w:tabs>
          <w:tab w:val="left" w:pos="851"/>
        </w:tabs>
        <w:ind w:left="851"/>
        <w:rPr>
          <w:iCs/>
          <w:sz w:val="24"/>
          <w:szCs w:val="24"/>
          <w:lang w:val="de-DE"/>
        </w:rPr>
      </w:pPr>
    </w:p>
    <w:p w14:paraId="44BB05D3" w14:textId="77777777" w:rsidR="00865C5E" w:rsidRPr="00865C5E" w:rsidRDefault="00865C5E" w:rsidP="00865C5E">
      <w:pPr>
        <w:tabs>
          <w:tab w:val="left" w:pos="851"/>
        </w:tabs>
        <w:ind w:left="851"/>
        <w:rPr>
          <w:iCs/>
          <w:sz w:val="24"/>
          <w:szCs w:val="24"/>
          <w:lang w:val="de-DE"/>
        </w:rPr>
      </w:pPr>
      <w:r w:rsidRPr="00865C5E">
        <w:rPr>
          <w:iCs/>
          <w:sz w:val="24"/>
          <w:szCs w:val="24"/>
          <w:lang w:val="de-DE"/>
        </w:rPr>
        <w:lastRenderedPageBreak/>
        <w:t>Ikke anvendt lægemiddel samt affald heraf skal bortskaffes i henhold til lokale retningslinjer.</w:t>
      </w:r>
    </w:p>
    <w:p w14:paraId="47859DF0" w14:textId="77777777" w:rsidR="009260DE" w:rsidRPr="00865C5E" w:rsidRDefault="009260DE" w:rsidP="000730CA">
      <w:pPr>
        <w:tabs>
          <w:tab w:val="left" w:pos="851"/>
        </w:tabs>
        <w:ind w:left="851"/>
        <w:rPr>
          <w:sz w:val="24"/>
          <w:szCs w:val="24"/>
          <w:lang w:val="de-DE"/>
        </w:rPr>
      </w:pPr>
    </w:p>
    <w:p w14:paraId="6C08D9F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2A03764" w14:textId="60DE948F" w:rsidR="00865C5E" w:rsidRPr="00865C5E" w:rsidRDefault="00865C5E" w:rsidP="00865C5E">
      <w:pPr>
        <w:tabs>
          <w:tab w:val="left" w:pos="851"/>
        </w:tabs>
        <w:ind w:left="851"/>
        <w:rPr>
          <w:sz w:val="24"/>
          <w:szCs w:val="24"/>
          <w:lang w:val="sv-SE"/>
        </w:rPr>
      </w:pPr>
      <w:bookmarkStart w:id="3" w:name="_Hlk167108933"/>
      <w:r w:rsidRPr="00865C5E">
        <w:rPr>
          <w:sz w:val="24"/>
          <w:szCs w:val="24"/>
          <w:lang w:val="sv-SE"/>
        </w:rPr>
        <w:t>Steriscience B.V.</w:t>
      </w:r>
    </w:p>
    <w:p w14:paraId="6779D4D6" w14:textId="55F621F7" w:rsidR="00865C5E" w:rsidRPr="00865C5E" w:rsidRDefault="00865C5E" w:rsidP="00865C5E">
      <w:pPr>
        <w:tabs>
          <w:tab w:val="left" w:pos="851"/>
        </w:tabs>
        <w:ind w:left="851"/>
        <w:rPr>
          <w:sz w:val="24"/>
          <w:szCs w:val="24"/>
          <w:lang w:val="sv-SE"/>
        </w:rPr>
      </w:pPr>
      <w:r w:rsidRPr="00865C5E">
        <w:rPr>
          <w:sz w:val="24"/>
          <w:szCs w:val="24"/>
          <w:lang w:val="sv-SE"/>
        </w:rPr>
        <w:t>Kingsfordweg 151</w:t>
      </w:r>
    </w:p>
    <w:p w14:paraId="47E709F5" w14:textId="39D8601D" w:rsidR="00865C5E" w:rsidRPr="00865C5E" w:rsidRDefault="00865C5E" w:rsidP="00865C5E">
      <w:pPr>
        <w:tabs>
          <w:tab w:val="left" w:pos="851"/>
        </w:tabs>
        <w:ind w:left="851"/>
        <w:rPr>
          <w:sz w:val="24"/>
          <w:szCs w:val="24"/>
          <w:lang w:val="sv-SE"/>
        </w:rPr>
      </w:pPr>
      <w:r w:rsidRPr="00865C5E">
        <w:rPr>
          <w:sz w:val="24"/>
          <w:szCs w:val="24"/>
          <w:lang w:val="sv-SE"/>
        </w:rPr>
        <w:t>1043GR Amsterdam</w:t>
      </w:r>
    </w:p>
    <w:bookmarkEnd w:id="3"/>
    <w:p w14:paraId="0575CB48" w14:textId="450FDF36" w:rsidR="00865C5E" w:rsidRPr="00865C5E" w:rsidRDefault="00865C5E" w:rsidP="00865C5E">
      <w:pPr>
        <w:tabs>
          <w:tab w:val="left" w:pos="851"/>
        </w:tabs>
        <w:ind w:left="851"/>
        <w:rPr>
          <w:sz w:val="24"/>
          <w:szCs w:val="24"/>
          <w:lang w:val="sv-SE"/>
        </w:rPr>
      </w:pPr>
      <w:r>
        <w:rPr>
          <w:sz w:val="24"/>
          <w:szCs w:val="24"/>
          <w:lang w:val="sv-SE"/>
        </w:rPr>
        <w:t>Holland</w:t>
      </w:r>
    </w:p>
    <w:p w14:paraId="1452FEC9" w14:textId="77777777" w:rsidR="00641C65" w:rsidRPr="00641C65" w:rsidRDefault="00641C65" w:rsidP="009260DE">
      <w:pPr>
        <w:tabs>
          <w:tab w:val="left" w:pos="851"/>
        </w:tabs>
        <w:ind w:left="851"/>
        <w:rPr>
          <w:sz w:val="24"/>
          <w:szCs w:val="24"/>
        </w:rPr>
      </w:pPr>
    </w:p>
    <w:p w14:paraId="4F051A2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1C8CEF7" w14:textId="60A43986" w:rsidR="009260DE" w:rsidRPr="00C84483" w:rsidRDefault="002A53A5" w:rsidP="009260DE">
      <w:pPr>
        <w:tabs>
          <w:tab w:val="left" w:pos="851"/>
        </w:tabs>
        <w:ind w:left="851"/>
        <w:rPr>
          <w:sz w:val="24"/>
          <w:szCs w:val="24"/>
        </w:rPr>
      </w:pPr>
      <w:r>
        <w:rPr>
          <w:sz w:val="24"/>
          <w:szCs w:val="24"/>
        </w:rPr>
        <w:t>68138</w:t>
      </w:r>
    </w:p>
    <w:p w14:paraId="5FB8A52F" w14:textId="77777777" w:rsidR="009260DE" w:rsidRPr="00C84483" w:rsidRDefault="009260DE" w:rsidP="009260DE">
      <w:pPr>
        <w:tabs>
          <w:tab w:val="left" w:pos="851"/>
        </w:tabs>
        <w:ind w:left="851"/>
        <w:jc w:val="both"/>
        <w:rPr>
          <w:sz w:val="24"/>
          <w:szCs w:val="24"/>
        </w:rPr>
      </w:pPr>
    </w:p>
    <w:p w14:paraId="49A5D28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98AE97F" w14:textId="5086A631" w:rsidR="009260DE" w:rsidRPr="00C84483" w:rsidRDefault="00863855" w:rsidP="009260DE">
      <w:pPr>
        <w:tabs>
          <w:tab w:val="left" w:pos="851"/>
        </w:tabs>
        <w:ind w:left="851"/>
        <w:rPr>
          <w:sz w:val="24"/>
          <w:szCs w:val="24"/>
        </w:rPr>
      </w:pPr>
      <w:r>
        <w:rPr>
          <w:sz w:val="24"/>
          <w:szCs w:val="24"/>
        </w:rPr>
        <w:t>12. september 2024</w:t>
      </w:r>
    </w:p>
    <w:p w14:paraId="612CA685" w14:textId="77777777" w:rsidR="009260DE" w:rsidRPr="00C84483" w:rsidRDefault="009260DE" w:rsidP="009260DE">
      <w:pPr>
        <w:tabs>
          <w:tab w:val="left" w:pos="851"/>
        </w:tabs>
        <w:ind w:left="851"/>
        <w:rPr>
          <w:sz w:val="24"/>
          <w:szCs w:val="24"/>
        </w:rPr>
      </w:pPr>
    </w:p>
    <w:p w14:paraId="08FD200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1C33D21" w14:textId="179D8D2F" w:rsidR="009260DE" w:rsidRPr="00C84483" w:rsidRDefault="002A53A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8786A" w14:textId="77777777" w:rsidR="00865C5E" w:rsidRDefault="00865C5E">
      <w:r>
        <w:separator/>
      </w:r>
    </w:p>
  </w:endnote>
  <w:endnote w:type="continuationSeparator" w:id="0">
    <w:p w14:paraId="35E2635B" w14:textId="77777777" w:rsidR="00865C5E" w:rsidRDefault="0086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9528E" w14:textId="77777777" w:rsidR="00865C5E" w:rsidRDefault="00865C5E">
    <w:pPr>
      <w:pStyle w:val="Sidefod"/>
      <w:pBdr>
        <w:bottom w:val="single" w:sz="6" w:space="1" w:color="auto"/>
      </w:pBdr>
    </w:pPr>
  </w:p>
  <w:p w14:paraId="1C40E86E" w14:textId="77777777" w:rsidR="00865C5E" w:rsidRDefault="00865C5E" w:rsidP="00C42586">
    <w:pPr>
      <w:pStyle w:val="Sidefod"/>
      <w:tabs>
        <w:tab w:val="clear" w:pos="4819"/>
        <w:tab w:val="left" w:pos="8505"/>
      </w:tabs>
      <w:rPr>
        <w:i/>
        <w:sz w:val="18"/>
        <w:szCs w:val="18"/>
      </w:rPr>
    </w:pPr>
  </w:p>
  <w:p w14:paraId="01218B72" w14:textId="32FC5B8F" w:rsidR="00865C5E" w:rsidRPr="00B373D7" w:rsidRDefault="00865C5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Ertapenem Steriscience, pulver til koncentrat til infusionsvæske, opløsning 1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D52D0" w14:textId="77777777" w:rsidR="00865C5E" w:rsidRDefault="00865C5E">
      <w:r>
        <w:separator/>
      </w:r>
    </w:p>
  </w:footnote>
  <w:footnote w:type="continuationSeparator" w:id="0">
    <w:p w14:paraId="03250C5A" w14:textId="77777777" w:rsidR="00865C5E" w:rsidRDefault="0086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851668"/>
    <w:multiLevelType w:val="hybridMultilevel"/>
    <w:tmpl w:val="7B247866"/>
    <w:lvl w:ilvl="0" w:tplc="7960CBF4">
      <w:start w:val="1"/>
      <w:numFmt w:val="bullet"/>
      <w:lvlText w:val=""/>
      <w:lvlJc w:val="left"/>
      <w:pPr>
        <w:ind w:left="720" w:hanging="360"/>
      </w:pPr>
      <w:rPr>
        <w:rFonts w:ascii="Symbol" w:hAnsi="Symbol" w:hint="default"/>
        <w:sz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CC36392"/>
    <w:multiLevelType w:val="hybridMultilevel"/>
    <w:tmpl w:val="5E4C0A3A"/>
    <w:lvl w:ilvl="0" w:tplc="7960CBF4">
      <w:start w:val="1"/>
      <w:numFmt w:val="bullet"/>
      <w:lvlText w:val=""/>
      <w:lvlJc w:val="left"/>
      <w:pPr>
        <w:ind w:left="720" w:hanging="360"/>
      </w:pPr>
      <w:rPr>
        <w:rFonts w:ascii="Symbol" w:hAnsi="Symbol" w:hint="default"/>
        <w:sz w:val="16"/>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7B6E3D"/>
    <w:multiLevelType w:val="hybridMultilevel"/>
    <w:tmpl w:val="BD52697A"/>
    <w:lvl w:ilvl="0" w:tplc="7960CBF4">
      <w:start w:val="1"/>
      <w:numFmt w:val="bullet"/>
      <w:lvlText w:val=""/>
      <w:lvlJc w:val="left"/>
      <w:pPr>
        <w:ind w:left="360" w:hanging="360"/>
      </w:pPr>
      <w:rPr>
        <w:rFonts w:ascii="Symbol" w:hAnsi="Symbol" w:hint="default"/>
        <w:sz w:val="16"/>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B3"/>
    <w:rsid w:val="000259B9"/>
    <w:rsid w:val="00041491"/>
    <w:rsid w:val="00050D16"/>
    <w:rsid w:val="000730CA"/>
    <w:rsid w:val="00074F2A"/>
    <w:rsid w:val="000A1CA8"/>
    <w:rsid w:val="000A466B"/>
    <w:rsid w:val="000B058C"/>
    <w:rsid w:val="000D68B0"/>
    <w:rsid w:val="000E4EE6"/>
    <w:rsid w:val="001454E2"/>
    <w:rsid w:val="00170819"/>
    <w:rsid w:val="00206CE8"/>
    <w:rsid w:val="0021526C"/>
    <w:rsid w:val="00283A2B"/>
    <w:rsid w:val="002A53A5"/>
    <w:rsid w:val="002B30AD"/>
    <w:rsid w:val="002C1EC0"/>
    <w:rsid w:val="002C2C01"/>
    <w:rsid w:val="00341535"/>
    <w:rsid w:val="003A29AE"/>
    <w:rsid w:val="003A32D7"/>
    <w:rsid w:val="003B4074"/>
    <w:rsid w:val="003C769A"/>
    <w:rsid w:val="003D3A90"/>
    <w:rsid w:val="003F1838"/>
    <w:rsid w:val="004251C1"/>
    <w:rsid w:val="0045746C"/>
    <w:rsid w:val="0049104B"/>
    <w:rsid w:val="004E3B12"/>
    <w:rsid w:val="00532310"/>
    <w:rsid w:val="00565F0F"/>
    <w:rsid w:val="005872EA"/>
    <w:rsid w:val="00594A86"/>
    <w:rsid w:val="00596D86"/>
    <w:rsid w:val="005B2212"/>
    <w:rsid w:val="00637F5A"/>
    <w:rsid w:val="00641C65"/>
    <w:rsid w:val="006560B1"/>
    <w:rsid w:val="006756DD"/>
    <w:rsid w:val="006A30C3"/>
    <w:rsid w:val="006B3E07"/>
    <w:rsid w:val="0071241E"/>
    <w:rsid w:val="00737275"/>
    <w:rsid w:val="00740EEC"/>
    <w:rsid w:val="0078011A"/>
    <w:rsid w:val="00782AF4"/>
    <w:rsid w:val="00790EE7"/>
    <w:rsid w:val="007944AD"/>
    <w:rsid w:val="007B6649"/>
    <w:rsid w:val="007E2226"/>
    <w:rsid w:val="0082576E"/>
    <w:rsid w:val="008563F5"/>
    <w:rsid w:val="00863855"/>
    <w:rsid w:val="00865C5E"/>
    <w:rsid w:val="0089346F"/>
    <w:rsid w:val="00907F75"/>
    <w:rsid w:val="009260DE"/>
    <w:rsid w:val="0093258A"/>
    <w:rsid w:val="009C7BA3"/>
    <w:rsid w:val="009D1F5A"/>
    <w:rsid w:val="00A10294"/>
    <w:rsid w:val="00B003BF"/>
    <w:rsid w:val="00B373D7"/>
    <w:rsid w:val="00B55271"/>
    <w:rsid w:val="00B662B3"/>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0218"/>
    <w:rsid w:val="00D93992"/>
    <w:rsid w:val="00E108AA"/>
    <w:rsid w:val="00E3749A"/>
    <w:rsid w:val="00E7437F"/>
    <w:rsid w:val="00E865B8"/>
    <w:rsid w:val="00EC0B9B"/>
    <w:rsid w:val="00ED5E9F"/>
    <w:rsid w:val="00F66D4F"/>
    <w:rsid w:val="00F87DF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B0D36"/>
  <w15:chartTrackingRefBased/>
  <w15:docId w15:val="{29173319-9333-4D69-A316-4449D99F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8563F5"/>
    <w:rPr>
      <w:color w:val="0000FF"/>
      <w:u w:val="single"/>
    </w:rPr>
  </w:style>
  <w:style w:type="paragraph" w:styleId="Listeafsnit">
    <w:name w:val="List Paragraph"/>
    <w:basedOn w:val="Normal"/>
    <w:uiPriority w:val="34"/>
    <w:qFormat/>
    <w:rsid w:val="005872EA"/>
    <w:pPr>
      <w:tabs>
        <w:tab w:val="left" w:pos="567"/>
      </w:tabs>
      <w:spacing w:line="260" w:lineRule="exact"/>
      <w:ind w:left="720"/>
      <w:contextualSpacing/>
    </w:pPr>
    <w:rPr>
      <w:sz w:val="22"/>
      <w:lang w:val="en-GB"/>
    </w:rPr>
  </w:style>
  <w:style w:type="paragraph" w:customStyle="1" w:styleId="TableParagraph">
    <w:name w:val="Table Paragraph"/>
    <w:basedOn w:val="Normal"/>
    <w:uiPriority w:val="1"/>
    <w:qFormat/>
    <w:rsid w:val="005872EA"/>
    <w:pPr>
      <w:widowControl w:val="0"/>
      <w:autoSpaceDE w:val="0"/>
      <w:autoSpaceDN w:val="0"/>
      <w:spacing w:before="4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334">
      <w:bodyDiv w:val="1"/>
      <w:marLeft w:val="0"/>
      <w:marRight w:val="0"/>
      <w:marTop w:val="0"/>
      <w:marBottom w:val="0"/>
      <w:divBdr>
        <w:top w:val="none" w:sz="0" w:space="0" w:color="auto"/>
        <w:left w:val="none" w:sz="0" w:space="0" w:color="auto"/>
        <w:bottom w:val="none" w:sz="0" w:space="0" w:color="auto"/>
        <w:right w:val="none" w:sz="0" w:space="0" w:color="auto"/>
      </w:divBdr>
    </w:div>
    <w:div w:id="154810908">
      <w:bodyDiv w:val="1"/>
      <w:marLeft w:val="0"/>
      <w:marRight w:val="0"/>
      <w:marTop w:val="0"/>
      <w:marBottom w:val="0"/>
      <w:divBdr>
        <w:top w:val="none" w:sz="0" w:space="0" w:color="auto"/>
        <w:left w:val="none" w:sz="0" w:space="0" w:color="auto"/>
        <w:bottom w:val="none" w:sz="0" w:space="0" w:color="auto"/>
        <w:right w:val="none" w:sz="0" w:space="0" w:color="auto"/>
      </w:divBdr>
    </w:div>
    <w:div w:id="1560699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143871">
      <w:bodyDiv w:val="1"/>
      <w:marLeft w:val="0"/>
      <w:marRight w:val="0"/>
      <w:marTop w:val="0"/>
      <w:marBottom w:val="0"/>
      <w:divBdr>
        <w:top w:val="none" w:sz="0" w:space="0" w:color="auto"/>
        <w:left w:val="none" w:sz="0" w:space="0" w:color="auto"/>
        <w:bottom w:val="none" w:sz="0" w:space="0" w:color="auto"/>
        <w:right w:val="none" w:sz="0" w:space="0" w:color="auto"/>
      </w:divBdr>
    </w:div>
    <w:div w:id="255402452">
      <w:bodyDiv w:val="1"/>
      <w:marLeft w:val="0"/>
      <w:marRight w:val="0"/>
      <w:marTop w:val="0"/>
      <w:marBottom w:val="0"/>
      <w:divBdr>
        <w:top w:val="none" w:sz="0" w:space="0" w:color="auto"/>
        <w:left w:val="none" w:sz="0" w:space="0" w:color="auto"/>
        <w:bottom w:val="none" w:sz="0" w:space="0" w:color="auto"/>
        <w:right w:val="none" w:sz="0" w:space="0" w:color="auto"/>
      </w:divBdr>
    </w:div>
    <w:div w:id="275723162">
      <w:bodyDiv w:val="1"/>
      <w:marLeft w:val="0"/>
      <w:marRight w:val="0"/>
      <w:marTop w:val="0"/>
      <w:marBottom w:val="0"/>
      <w:divBdr>
        <w:top w:val="none" w:sz="0" w:space="0" w:color="auto"/>
        <w:left w:val="none" w:sz="0" w:space="0" w:color="auto"/>
        <w:bottom w:val="none" w:sz="0" w:space="0" w:color="auto"/>
        <w:right w:val="none" w:sz="0" w:space="0" w:color="auto"/>
      </w:divBdr>
    </w:div>
    <w:div w:id="362437507">
      <w:bodyDiv w:val="1"/>
      <w:marLeft w:val="0"/>
      <w:marRight w:val="0"/>
      <w:marTop w:val="0"/>
      <w:marBottom w:val="0"/>
      <w:divBdr>
        <w:top w:val="none" w:sz="0" w:space="0" w:color="auto"/>
        <w:left w:val="none" w:sz="0" w:space="0" w:color="auto"/>
        <w:bottom w:val="none" w:sz="0" w:space="0" w:color="auto"/>
        <w:right w:val="none" w:sz="0" w:space="0" w:color="auto"/>
      </w:divBdr>
    </w:div>
    <w:div w:id="539977360">
      <w:bodyDiv w:val="1"/>
      <w:marLeft w:val="0"/>
      <w:marRight w:val="0"/>
      <w:marTop w:val="0"/>
      <w:marBottom w:val="0"/>
      <w:divBdr>
        <w:top w:val="none" w:sz="0" w:space="0" w:color="auto"/>
        <w:left w:val="none" w:sz="0" w:space="0" w:color="auto"/>
        <w:bottom w:val="none" w:sz="0" w:space="0" w:color="auto"/>
        <w:right w:val="none" w:sz="0" w:space="0" w:color="auto"/>
      </w:divBdr>
    </w:div>
    <w:div w:id="569997136">
      <w:bodyDiv w:val="1"/>
      <w:marLeft w:val="0"/>
      <w:marRight w:val="0"/>
      <w:marTop w:val="0"/>
      <w:marBottom w:val="0"/>
      <w:divBdr>
        <w:top w:val="none" w:sz="0" w:space="0" w:color="auto"/>
        <w:left w:val="none" w:sz="0" w:space="0" w:color="auto"/>
        <w:bottom w:val="none" w:sz="0" w:space="0" w:color="auto"/>
        <w:right w:val="none" w:sz="0" w:space="0" w:color="auto"/>
      </w:divBdr>
    </w:div>
    <w:div w:id="693917576">
      <w:bodyDiv w:val="1"/>
      <w:marLeft w:val="0"/>
      <w:marRight w:val="0"/>
      <w:marTop w:val="0"/>
      <w:marBottom w:val="0"/>
      <w:divBdr>
        <w:top w:val="none" w:sz="0" w:space="0" w:color="auto"/>
        <w:left w:val="none" w:sz="0" w:space="0" w:color="auto"/>
        <w:bottom w:val="none" w:sz="0" w:space="0" w:color="auto"/>
        <w:right w:val="none" w:sz="0" w:space="0" w:color="auto"/>
      </w:divBdr>
    </w:div>
    <w:div w:id="762918017">
      <w:bodyDiv w:val="1"/>
      <w:marLeft w:val="0"/>
      <w:marRight w:val="0"/>
      <w:marTop w:val="0"/>
      <w:marBottom w:val="0"/>
      <w:divBdr>
        <w:top w:val="none" w:sz="0" w:space="0" w:color="auto"/>
        <w:left w:val="none" w:sz="0" w:space="0" w:color="auto"/>
        <w:bottom w:val="none" w:sz="0" w:space="0" w:color="auto"/>
        <w:right w:val="none" w:sz="0" w:space="0" w:color="auto"/>
      </w:divBdr>
    </w:div>
    <w:div w:id="767851413">
      <w:bodyDiv w:val="1"/>
      <w:marLeft w:val="0"/>
      <w:marRight w:val="0"/>
      <w:marTop w:val="0"/>
      <w:marBottom w:val="0"/>
      <w:divBdr>
        <w:top w:val="none" w:sz="0" w:space="0" w:color="auto"/>
        <w:left w:val="none" w:sz="0" w:space="0" w:color="auto"/>
        <w:bottom w:val="none" w:sz="0" w:space="0" w:color="auto"/>
        <w:right w:val="none" w:sz="0" w:space="0" w:color="auto"/>
      </w:divBdr>
    </w:div>
    <w:div w:id="807162622">
      <w:bodyDiv w:val="1"/>
      <w:marLeft w:val="0"/>
      <w:marRight w:val="0"/>
      <w:marTop w:val="0"/>
      <w:marBottom w:val="0"/>
      <w:divBdr>
        <w:top w:val="none" w:sz="0" w:space="0" w:color="auto"/>
        <w:left w:val="none" w:sz="0" w:space="0" w:color="auto"/>
        <w:bottom w:val="none" w:sz="0" w:space="0" w:color="auto"/>
        <w:right w:val="none" w:sz="0" w:space="0" w:color="auto"/>
      </w:divBdr>
    </w:div>
    <w:div w:id="869151082">
      <w:bodyDiv w:val="1"/>
      <w:marLeft w:val="0"/>
      <w:marRight w:val="0"/>
      <w:marTop w:val="0"/>
      <w:marBottom w:val="0"/>
      <w:divBdr>
        <w:top w:val="none" w:sz="0" w:space="0" w:color="auto"/>
        <w:left w:val="none" w:sz="0" w:space="0" w:color="auto"/>
        <w:bottom w:val="none" w:sz="0" w:space="0" w:color="auto"/>
        <w:right w:val="none" w:sz="0" w:space="0" w:color="auto"/>
      </w:divBdr>
    </w:div>
    <w:div w:id="869224035">
      <w:bodyDiv w:val="1"/>
      <w:marLeft w:val="0"/>
      <w:marRight w:val="0"/>
      <w:marTop w:val="0"/>
      <w:marBottom w:val="0"/>
      <w:divBdr>
        <w:top w:val="none" w:sz="0" w:space="0" w:color="auto"/>
        <w:left w:val="none" w:sz="0" w:space="0" w:color="auto"/>
        <w:bottom w:val="none" w:sz="0" w:space="0" w:color="auto"/>
        <w:right w:val="none" w:sz="0" w:space="0" w:color="auto"/>
      </w:divBdr>
    </w:div>
    <w:div w:id="882135179">
      <w:bodyDiv w:val="1"/>
      <w:marLeft w:val="0"/>
      <w:marRight w:val="0"/>
      <w:marTop w:val="0"/>
      <w:marBottom w:val="0"/>
      <w:divBdr>
        <w:top w:val="none" w:sz="0" w:space="0" w:color="auto"/>
        <w:left w:val="none" w:sz="0" w:space="0" w:color="auto"/>
        <w:bottom w:val="none" w:sz="0" w:space="0" w:color="auto"/>
        <w:right w:val="none" w:sz="0" w:space="0" w:color="auto"/>
      </w:divBdr>
    </w:div>
    <w:div w:id="1023093754">
      <w:bodyDiv w:val="1"/>
      <w:marLeft w:val="0"/>
      <w:marRight w:val="0"/>
      <w:marTop w:val="0"/>
      <w:marBottom w:val="0"/>
      <w:divBdr>
        <w:top w:val="none" w:sz="0" w:space="0" w:color="auto"/>
        <w:left w:val="none" w:sz="0" w:space="0" w:color="auto"/>
        <w:bottom w:val="none" w:sz="0" w:space="0" w:color="auto"/>
        <w:right w:val="none" w:sz="0" w:space="0" w:color="auto"/>
      </w:divBdr>
    </w:div>
    <w:div w:id="1120492566">
      <w:bodyDiv w:val="1"/>
      <w:marLeft w:val="0"/>
      <w:marRight w:val="0"/>
      <w:marTop w:val="0"/>
      <w:marBottom w:val="0"/>
      <w:divBdr>
        <w:top w:val="none" w:sz="0" w:space="0" w:color="auto"/>
        <w:left w:val="none" w:sz="0" w:space="0" w:color="auto"/>
        <w:bottom w:val="none" w:sz="0" w:space="0" w:color="auto"/>
        <w:right w:val="none" w:sz="0" w:space="0" w:color="auto"/>
      </w:divBdr>
    </w:div>
    <w:div w:id="1162769891">
      <w:bodyDiv w:val="1"/>
      <w:marLeft w:val="0"/>
      <w:marRight w:val="0"/>
      <w:marTop w:val="0"/>
      <w:marBottom w:val="0"/>
      <w:divBdr>
        <w:top w:val="none" w:sz="0" w:space="0" w:color="auto"/>
        <w:left w:val="none" w:sz="0" w:space="0" w:color="auto"/>
        <w:bottom w:val="none" w:sz="0" w:space="0" w:color="auto"/>
        <w:right w:val="none" w:sz="0" w:space="0" w:color="auto"/>
      </w:divBdr>
    </w:div>
    <w:div w:id="1200047593">
      <w:bodyDiv w:val="1"/>
      <w:marLeft w:val="0"/>
      <w:marRight w:val="0"/>
      <w:marTop w:val="0"/>
      <w:marBottom w:val="0"/>
      <w:divBdr>
        <w:top w:val="none" w:sz="0" w:space="0" w:color="auto"/>
        <w:left w:val="none" w:sz="0" w:space="0" w:color="auto"/>
        <w:bottom w:val="none" w:sz="0" w:space="0" w:color="auto"/>
        <w:right w:val="none" w:sz="0" w:space="0" w:color="auto"/>
      </w:divBdr>
    </w:div>
    <w:div w:id="1220744193">
      <w:bodyDiv w:val="1"/>
      <w:marLeft w:val="0"/>
      <w:marRight w:val="0"/>
      <w:marTop w:val="0"/>
      <w:marBottom w:val="0"/>
      <w:divBdr>
        <w:top w:val="none" w:sz="0" w:space="0" w:color="auto"/>
        <w:left w:val="none" w:sz="0" w:space="0" w:color="auto"/>
        <w:bottom w:val="none" w:sz="0" w:space="0" w:color="auto"/>
        <w:right w:val="none" w:sz="0" w:space="0" w:color="auto"/>
      </w:divBdr>
    </w:div>
    <w:div w:id="1287277799">
      <w:bodyDiv w:val="1"/>
      <w:marLeft w:val="0"/>
      <w:marRight w:val="0"/>
      <w:marTop w:val="0"/>
      <w:marBottom w:val="0"/>
      <w:divBdr>
        <w:top w:val="none" w:sz="0" w:space="0" w:color="auto"/>
        <w:left w:val="none" w:sz="0" w:space="0" w:color="auto"/>
        <w:bottom w:val="none" w:sz="0" w:space="0" w:color="auto"/>
        <w:right w:val="none" w:sz="0" w:space="0" w:color="auto"/>
      </w:divBdr>
    </w:div>
    <w:div w:id="1294868636">
      <w:bodyDiv w:val="1"/>
      <w:marLeft w:val="0"/>
      <w:marRight w:val="0"/>
      <w:marTop w:val="0"/>
      <w:marBottom w:val="0"/>
      <w:divBdr>
        <w:top w:val="none" w:sz="0" w:space="0" w:color="auto"/>
        <w:left w:val="none" w:sz="0" w:space="0" w:color="auto"/>
        <w:bottom w:val="none" w:sz="0" w:space="0" w:color="auto"/>
        <w:right w:val="none" w:sz="0" w:space="0" w:color="auto"/>
      </w:divBdr>
    </w:div>
    <w:div w:id="1401829531">
      <w:bodyDiv w:val="1"/>
      <w:marLeft w:val="0"/>
      <w:marRight w:val="0"/>
      <w:marTop w:val="0"/>
      <w:marBottom w:val="0"/>
      <w:divBdr>
        <w:top w:val="none" w:sz="0" w:space="0" w:color="auto"/>
        <w:left w:val="none" w:sz="0" w:space="0" w:color="auto"/>
        <w:bottom w:val="none" w:sz="0" w:space="0" w:color="auto"/>
        <w:right w:val="none" w:sz="0" w:space="0" w:color="auto"/>
      </w:divBdr>
    </w:div>
    <w:div w:id="1413814905">
      <w:bodyDiv w:val="1"/>
      <w:marLeft w:val="0"/>
      <w:marRight w:val="0"/>
      <w:marTop w:val="0"/>
      <w:marBottom w:val="0"/>
      <w:divBdr>
        <w:top w:val="none" w:sz="0" w:space="0" w:color="auto"/>
        <w:left w:val="none" w:sz="0" w:space="0" w:color="auto"/>
        <w:bottom w:val="none" w:sz="0" w:space="0" w:color="auto"/>
        <w:right w:val="none" w:sz="0" w:space="0" w:color="auto"/>
      </w:divBdr>
    </w:div>
    <w:div w:id="1414663612">
      <w:bodyDiv w:val="1"/>
      <w:marLeft w:val="0"/>
      <w:marRight w:val="0"/>
      <w:marTop w:val="0"/>
      <w:marBottom w:val="0"/>
      <w:divBdr>
        <w:top w:val="none" w:sz="0" w:space="0" w:color="auto"/>
        <w:left w:val="none" w:sz="0" w:space="0" w:color="auto"/>
        <w:bottom w:val="none" w:sz="0" w:space="0" w:color="auto"/>
        <w:right w:val="none" w:sz="0" w:space="0" w:color="auto"/>
      </w:divBdr>
    </w:div>
    <w:div w:id="1428228581">
      <w:bodyDiv w:val="1"/>
      <w:marLeft w:val="0"/>
      <w:marRight w:val="0"/>
      <w:marTop w:val="0"/>
      <w:marBottom w:val="0"/>
      <w:divBdr>
        <w:top w:val="none" w:sz="0" w:space="0" w:color="auto"/>
        <w:left w:val="none" w:sz="0" w:space="0" w:color="auto"/>
        <w:bottom w:val="none" w:sz="0" w:space="0" w:color="auto"/>
        <w:right w:val="none" w:sz="0" w:space="0" w:color="auto"/>
      </w:divBdr>
    </w:div>
    <w:div w:id="1481266301">
      <w:bodyDiv w:val="1"/>
      <w:marLeft w:val="0"/>
      <w:marRight w:val="0"/>
      <w:marTop w:val="0"/>
      <w:marBottom w:val="0"/>
      <w:divBdr>
        <w:top w:val="none" w:sz="0" w:space="0" w:color="auto"/>
        <w:left w:val="none" w:sz="0" w:space="0" w:color="auto"/>
        <w:bottom w:val="none" w:sz="0" w:space="0" w:color="auto"/>
        <w:right w:val="none" w:sz="0" w:space="0" w:color="auto"/>
      </w:divBdr>
    </w:div>
    <w:div w:id="1509058156">
      <w:bodyDiv w:val="1"/>
      <w:marLeft w:val="0"/>
      <w:marRight w:val="0"/>
      <w:marTop w:val="0"/>
      <w:marBottom w:val="0"/>
      <w:divBdr>
        <w:top w:val="none" w:sz="0" w:space="0" w:color="auto"/>
        <w:left w:val="none" w:sz="0" w:space="0" w:color="auto"/>
        <w:bottom w:val="none" w:sz="0" w:space="0" w:color="auto"/>
        <w:right w:val="none" w:sz="0" w:space="0" w:color="auto"/>
      </w:divBdr>
    </w:div>
    <w:div w:id="1557005615">
      <w:bodyDiv w:val="1"/>
      <w:marLeft w:val="0"/>
      <w:marRight w:val="0"/>
      <w:marTop w:val="0"/>
      <w:marBottom w:val="0"/>
      <w:divBdr>
        <w:top w:val="none" w:sz="0" w:space="0" w:color="auto"/>
        <w:left w:val="none" w:sz="0" w:space="0" w:color="auto"/>
        <w:bottom w:val="none" w:sz="0" w:space="0" w:color="auto"/>
        <w:right w:val="none" w:sz="0" w:space="0" w:color="auto"/>
      </w:divBdr>
    </w:div>
    <w:div w:id="1562904364">
      <w:bodyDiv w:val="1"/>
      <w:marLeft w:val="0"/>
      <w:marRight w:val="0"/>
      <w:marTop w:val="0"/>
      <w:marBottom w:val="0"/>
      <w:divBdr>
        <w:top w:val="none" w:sz="0" w:space="0" w:color="auto"/>
        <w:left w:val="none" w:sz="0" w:space="0" w:color="auto"/>
        <w:bottom w:val="none" w:sz="0" w:space="0" w:color="auto"/>
        <w:right w:val="none" w:sz="0" w:space="0" w:color="auto"/>
      </w:divBdr>
    </w:div>
    <w:div w:id="1640649316">
      <w:bodyDiv w:val="1"/>
      <w:marLeft w:val="0"/>
      <w:marRight w:val="0"/>
      <w:marTop w:val="0"/>
      <w:marBottom w:val="0"/>
      <w:divBdr>
        <w:top w:val="none" w:sz="0" w:space="0" w:color="auto"/>
        <w:left w:val="none" w:sz="0" w:space="0" w:color="auto"/>
        <w:bottom w:val="none" w:sz="0" w:space="0" w:color="auto"/>
        <w:right w:val="none" w:sz="0" w:space="0" w:color="auto"/>
      </w:divBdr>
    </w:div>
    <w:div w:id="1688408176">
      <w:bodyDiv w:val="1"/>
      <w:marLeft w:val="0"/>
      <w:marRight w:val="0"/>
      <w:marTop w:val="0"/>
      <w:marBottom w:val="0"/>
      <w:divBdr>
        <w:top w:val="none" w:sz="0" w:space="0" w:color="auto"/>
        <w:left w:val="none" w:sz="0" w:space="0" w:color="auto"/>
        <w:bottom w:val="none" w:sz="0" w:space="0" w:color="auto"/>
        <w:right w:val="none" w:sz="0" w:space="0" w:color="auto"/>
      </w:divBdr>
    </w:div>
    <w:div w:id="1786577975">
      <w:bodyDiv w:val="1"/>
      <w:marLeft w:val="0"/>
      <w:marRight w:val="0"/>
      <w:marTop w:val="0"/>
      <w:marBottom w:val="0"/>
      <w:divBdr>
        <w:top w:val="none" w:sz="0" w:space="0" w:color="auto"/>
        <w:left w:val="none" w:sz="0" w:space="0" w:color="auto"/>
        <w:bottom w:val="none" w:sz="0" w:space="0" w:color="auto"/>
        <w:right w:val="none" w:sz="0" w:space="0" w:color="auto"/>
      </w:divBdr>
    </w:div>
    <w:div w:id="1838573696">
      <w:bodyDiv w:val="1"/>
      <w:marLeft w:val="0"/>
      <w:marRight w:val="0"/>
      <w:marTop w:val="0"/>
      <w:marBottom w:val="0"/>
      <w:divBdr>
        <w:top w:val="none" w:sz="0" w:space="0" w:color="auto"/>
        <w:left w:val="none" w:sz="0" w:space="0" w:color="auto"/>
        <w:bottom w:val="none" w:sz="0" w:space="0" w:color="auto"/>
        <w:right w:val="none" w:sz="0" w:space="0" w:color="auto"/>
      </w:divBdr>
    </w:div>
    <w:div w:id="1842234759">
      <w:bodyDiv w:val="1"/>
      <w:marLeft w:val="0"/>
      <w:marRight w:val="0"/>
      <w:marTop w:val="0"/>
      <w:marBottom w:val="0"/>
      <w:divBdr>
        <w:top w:val="none" w:sz="0" w:space="0" w:color="auto"/>
        <w:left w:val="none" w:sz="0" w:space="0" w:color="auto"/>
        <w:bottom w:val="none" w:sz="0" w:space="0" w:color="auto"/>
        <w:right w:val="none" w:sz="0" w:space="0" w:color="auto"/>
      </w:divBdr>
    </w:div>
    <w:div w:id="1855993988">
      <w:bodyDiv w:val="1"/>
      <w:marLeft w:val="0"/>
      <w:marRight w:val="0"/>
      <w:marTop w:val="0"/>
      <w:marBottom w:val="0"/>
      <w:divBdr>
        <w:top w:val="none" w:sz="0" w:space="0" w:color="auto"/>
        <w:left w:val="none" w:sz="0" w:space="0" w:color="auto"/>
        <w:bottom w:val="none" w:sz="0" w:space="0" w:color="auto"/>
        <w:right w:val="none" w:sz="0" w:space="0" w:color="auto"/>
      </w:divBdr>
    </w:div>
    <w:div w:id="1899438738">
      <w:bodyDiv w:val="1"/>
      <w:marLeft w:val="0"/>
      <w:marRight w:val="0"/>
      <w:marTop w:val="0"/>
      <w:marBottom w:val="0"/>
      <w:divBdr>
        <w:top w:val="none" w:sz="0" w:space="0" w:color="auto"/>
        <w:left w:val="none" w:sz="0" w:space="0" w:color="auto"/>
        <w:bottom w:val="none" w:sz="0" w:space="0" w:color="auto"/>
        <w:right w:val="none" w:sz="0" w:space="0" w:color="auto"/>
      </w:divBdr>
    </w:div>
    <w:div w:id="1920555590">
      <w:bodyDiv w:val="1"/>
      <w:marLeft w:val="0"/>
      <w:marRight w:val="0"/>
      <w:marTop w:val="0"/>
      <w:marBottom w:val="0"/>
      <w:divBdr>
        <w:top w:val="none" w:sz="0" w:space="0" w:color="auto"/>
        <w:left w:val="none" w:sz="0" w:space="0" w:color="auto"/>
        <w:bottom w:val="none" w:sz="0" w:space="0" w:color="auto"/>
        <w:right w:val="none" w:sz="0" w:space="0" w:color="auto"/>
      </w:divBdr>
    </w:div>
    <w:div w:id="21238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22</TotalTime>
  <Pages>18</Pages>
  <Words>5100</Words>
  <Characters>33064</Characters>
  <Application>Microsoft Office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2022074109 mt</dc:description>
  <cp:lastModifiedBy>Hanne Thy Iversen</cp:lastModifiedBy>
  <cp:revision>12</cp:revision>
  <cp:lastPrinted>2012-08-22T08:53:00Z</cp:lastPrinted>
  <dcterms:created xsi:type="dcterms:W3CDTF">2024-09-11T13:00:00Z</dcterms:created>
  <dcterms:modified xsi:type="dcterms:W3CDTF">2024-09-12T12:18:00Z</dcterms:modified>
</cp:coreProperties>
</file>