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3A518" w14:textId="77777777"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4FD6F3D8" wp14:editId="04559544">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66117491" w14:textId="77777777" w:rsidR="009260DE" w:rsidRPr="00C84483" w:rsidRDefault="009260DE" w:rsidP="009260DE">
      <w:pPr>
        <w:pStyle w:val="Titel"/>
        <w:tabs>
          <w:tab w:val="right" w:pos="9356"/>
        </w:tabs>
        <w:jc w:val="left"/>
        <w:rPr>
          <w:b w:val="0"/>
          <w:szCs w:val="24"/>
          <w:lang w:eastAsia="en-US"/>
        </w:rPr>
      </w:pPr>
    </w:p>
    <w:p w14:paraId="46B1B944" w14:textId="0F368696"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8C1818">
        <w:rPr>
          <w:szCs w:val="24"/>
        </w:rPr>
        <w:t>7. november 2023</w:t>
      </w:r>
    </w:p>
    <w:p w14:paraId="2B1D3055" w14:textId="77777777" w:rsidR="009260DE" w:rsidRPr="00C84483" w:rsidRDefault="009260DE" w:rsidP="009260DE">
      <w:pPr>
        <w:pStyle w:val="Titel"/>
        <w:tabs>
          <w:tab w:val="left" w:pos="8222"/>
        </w:tabs>
        <w:jc w:val="left"/>
        <w:rPr>
          <w:b w:val="0"/>
          <w:szCs w:val="24"/>
        </w:rPr>
      </w:pPr>
    </w:p>
    <w:p w14:paraId="19D4036C" w14:textId="77777777" w:rsidR="009260DE" w:rsidRPr="00C84483" w:rsidRDefault="009260DE" w:rsidP="009260DE">
      <w:pPr>
        <w:pStyle w:val="Titel"/>
        <w:jc w:val="left"/>
        <w:rPr>
          <w:b w:val="0"/>
          <w:szCs w:val="24"/>
        </w:rPr>
      </w:pPr>
    </w:p>
    <w:p w14:paraId="75941834" w14:textId="77777777" w:rsidR="009260DE" w:rsidRPr="00C84483" w:rsidRDefault="009260DE" w:rsidP="009260DE">
      <w:pPr>
        <w:pStyle w:val="Titel"/>
        <w:jc w:val="left"/>
        <w:rPr>
          <w:b w:val="0"/>
          <w:szCs w:val="24"/>
        </w:rPr>
      </w:pPr>
    </w:p>
    <w:p w14:paraId="4D717827" w14:textId="77777777" w:rsidR="009260DE" w:rsidRPr="00C84483" w:rsidRDefault="009260DE" w:rsidP="009260DE">
      <w:pPr>
        <w:jc w:val="center"/>
        <w:rPr>
          <w:b/>
          <w:sz w:val="24"/>
          <w:szCs w:val="24"/>
        </w:rPr>
      </w:pPr>
      <w:r w:rsidRPr="00C84483">
        <w:rPr>
          <w:b/>
          <w:sz w:val="24"/>
          <w:szCs w:val="24"/>
        </w:rPr>
        <w:t>PRODUKTRESUMÉ</w:t>
      </w:r>
    </w:p>
    <w:p w14:paraId="151B545A" w14:textId="77777777" w:rsidR="009260DE" w:rsidRPr="00C84483" w:rsidRDefault="009260DE" w:rsidP="009260DE">
      <w:pPr>
        <w:jc w:val="center"/>
        <w:rPr>
          <w:b/>
          <w:sz w:val="24"/>
          <w:szCs w:val="24"/>
        </w:rPr>
      </w:pPr>
    </w:p>
    <w:p w14:paraId="547FAE8D" w14:textId="77777777" w:rsidR="009260DE" w:rsidRDefault="009260DE" w:rsidP="009260DE">
      <w:pPr>
        <w:jc w:val="center"/>
        <w:rPr>
          <w:b/>
          <w:sz w:val="24"/>
          <w:szCs w:val="24"/>
        </w:rPr>
      </w:pPr>
      <w:r w:rsidRPr="00C84483">
        <w:rPr>
          <w:b/>
          <w:sz w:val="24"/>
          <w:szCs w:val="24"/>
        </w:rPr>
        <w:t>for</w:t>
      </w:r>
    </w:p>
    <w:p w14:paraId="4158375B" w14:textId="77777777" w:rsidR="000B058C" w:rsidRPr="00C84483" w:rsidRDefault="000B058C" w:rsidP="009260DE">
      <w:pPr>
        <w:jc w:val="center"/>
        <w:rPr>
          <w:b/>
          <w:sz w:val="24"/>
          <w:szCs w:val="24"/>
        </w:rPr>
      </w:pPr>
    </w:p>
    <w:p w14:paraId="7050799E" w14:textId="77777777" w:rsidR="009260DE" w:rsidRPr="00922973" w:rsidRDefault="007A0AD8" w:rsidP="009260DE">
      <w:pPr>
        <w:jc w:val="center"/>
        <w:rPr>
          <w:b/>
          <w:sz w:val="24"/>
          <w:szCs w:val="24"/>
        </w:rPr>
      </w:pPr>
      <w:r w:rsidRPr="00922973">
        <w:rPr>
          <w:b/>
          <w:sz w:val="24"/>
          <w:szCs w:val="24"/>
        </w:rPr>
        <w:t xml:space="preserve">Erythromycin "Panpharma", </w:t>
      </w:r>
      <w:r w:rsidR="00922973" w:rsidRPr="00922973">
        <w:rPr>
          <w:b/>
          <w:sz w:val="24"/>
          <w:szCs w:val="24"/>
        </w:rPr>
        <w:t>pulver til infusionsvæske,</w:t>
      </w:r>
      <w:r w:rsidR="00922973">
        <w:rPr>
          <w:b/>
          <w:sz w:val="24"/>
          <w:szCs w:val="24"/>
        </w:rPr>
        <w:t xml:space="preserve"> opløsning 500 mg</w:t>
      </w:r>
    </w:p>
    <w:p w14:paraId="5A56A140" w14:textId="77777777" w:rsidR="009260DE" w:rsidRPr="00922973" w:rsidRDefault="009260DE" w:rsidP="009260DE">
      <w:pPr>
        <w:jc w:val="both"/>
        <w:rPr>
          <w:sz w:val="24"/>
          <w:szCs w:val="24"/>
        </w:rPr>
      </w:pPr>
    </w:p>
    <w:p w14:paraId="48750205" w14:textId="77777777" w:rsidR="009260DE" w:rsidRPr="00922973" w:rsidRDefault="009260DE" w:rsidP="009260DE">
      <w:pPr>
        <w:jc w:val="both"/>
        <w:rPr>
          <w:sz w:val="24"/>
          <w:szCs w:val="24"/>
        </w:rPr>
      </w:pPr>
    </w:p>
    <w:p w14:paraId="4BDB57A0" w14:textId="77777777" w:rsidR="009260DE" w:rsidRPr="008C1818" w:rsidRDefault="009260DE" w:rsidP="009260DE">
      <w:pPr>
        <w:tabs>
          <w:tab w:val="left" w:pos="851"/>
        </w:tabs>
        <w:ind w:left="851" w:hanging="851"/>
        <w:rPr>
          <w:b/>
          <w:sz w:val="24"/>
          <w:szCs w:val="24"/>
        </w:rPr>
      </w:pPr>
      <w:r w:rsidRPr="008C1818">
        <w:rPr>
          <w:b/>
          <w:sz w:val="24"/>
          <w:szCs w:val="24"/>
        </w:rPr>
        <w:t>0.</w:t>
      </w:r>
      <w:r w:rsidRPr="008C1818">
        <w:rPr>
          <w:b/>
          <w:sz w:val="24"/>
          <w:szCs w:val="24"/>
        </w:rPr>
        <w:tab/>
        <w:t>D.SP.NR.</w:t>
      </w:r>
    </w:p>
    <w:p w14:paraId="38BD7ED9" w14:textId="0E3D318A" w:rsidR="009260DE" w:rsidRPr="00C84483" w:rsidRDefault="001B7A60" w:rsidP="009260DE">
      <w:pPr>
        <w:tabs>
          <w:tab w:val="left" w:pos="851"/>
        </w:tabs>
        <w:ind w:left="851"/>
        <w:rPr>
          <w:sz w:val="24"/>
          <w:szCs w:val="24"/>
        </w:rPr>
      </w:pPr>
      <w:r>
        <w:rPr>
          <w:sz w:val="24"/>
          <w:szCs w:val="24"/>
        </w:rPr>
        <w:t>28744</w:t>
      </w:r>
    </w:p>
    <w:p w14:paraId="58B82FFC" w14:textId="77777777" w:rsidR="009260DE" w:rsidRPr="00C84483" w:rsidRDefault="009260DE" w:rsidP="009260DE">
      <w:pPr>
        <w:tabs>
          <w:tab w:val="left" w:pos="851"/>
        </w:tabs>
        <w:ind w:left="851"/>
        <w:rPr>
          <w:sz w:val="24"/>
          <w:szCs w:val="24"/>
        </w:rPr>
      </w:pPr>
    </w:p>
    <w:p w14:paraId="2D15B8A1"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3558C969" w14:textId="7C7462A7" w:rsidR="009260DE" w:rsidRPr="001B7A60" w:rsidRDefault="001B7A60" w:rsidP="009260DE">
      <w:pPr>
        <w:tabs>
          <w:tab w:val="left" w:pos="851"/>
        </w:tabs>
        <w:ind w:left="851"/>
        <w:rPr>
          <w:sz w:val="24"/>
          <w:szCs w:val="24"/>
        </w:rPr>
      </w:pPr>
      <w:r w:rsidRPr="001B7A60">
        <w:rPr>
          <w:sz w:val="24"/>
          <w:szCs w:val="24"/>
        </w:rPr>
        <w:t>Erythromycin "Panpharma"</w:t>
      </w:r>
    </w:p>
    <w:p w14:paraId="2A33A194" w14:textId="77777777" w:rsidR="009260DE" w:rsidRPr="001B7A60" w:rsidRDefault="009260DE" w:rsidP="009260DE">
      <w:pPr>
        <w:tabs>
          <w:tab w:val="left" w:pos="851"/>
        </w:tabs>
        <w:ind w:left="851"/>
        <w:rPr>
          <w:sz w:val="24"/>
          <w:szCs w:val="24"/>
        </w:rPr>
      </w:pPr>
    </w:p>
    <w:p w14:paraId="19CA7BD7"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29491E49" w14:textId="1DDEED97" w:rsidR="001B7A60" w:rsidRPr="001B7A60" w:rsidRDefault="001B7A60" w:rsidP="001B7A60">
      <w:pPr>
        <w:tabs>
          <w:tab w:val="left" w:pos="851"/>
        </w:tabs>
        <w:ind w:left="851"/>
        <w:rPr>
          <w:sz w:val="24"/>
          <w:szCs w:val="24"/>
        </w:rPr>
      </w:pPr>
      <w:r w:rsidRPr="001B7A60">
        <w:rPr>
          <w:sz w:val="24"/>
          <w:szCs w:val="24"/>
        </w:rPr>
        <w:t>Erythromycin 500 mg som erythromycinlactobionat</w:t>
      </w:r>
      <w:r>
        <w:rPr>
          <w:sz w:val="24"/>
          <w:szCs w:val="24"/>
        </w:rPr>
        <w:t>.</w:t>
      </w:r>
    </w:p>
    <w:p w14:paraId="751BA57E" w14:textId="77777777" w:rsidR="001B7A60" w:rsidRPr="001B7A60" w:rsidRDefault="001B7A60" w:rsidP="001B7A60">
      <w:pPr>
        <w:tabs>
          <w:tab w:val="left" w:pos="851"/>
        </w:tabs>
        <w:ind w:left="851"/>
        <w:rPr>
          <w:sz w:val="24"/>
          <w:szCs w:val="24"/>
        </w:rPr>
      </w:pPr>
    </w:p>
    <w:p w14:paraId="40A8BDD9" w14:textId="77777777" w:rsidR="001B7A60" w:rsidRPr="001B7A60" w:rsidRDefault="001B7A60" w:rsidP="001B7A60">
      <w:pPr>
        <w:tabs>
          <w:tab w:val="left" w:pos="851"/>
        </w:tabs>
        <w:ind w:left="851"/>
        <w:rPr>
          <w:sz w:val="24"/>
          <w:szCs w:val="24"/>
        </w:rPr>
      </w:pPr>
      <w:r w:rsidRPr="001B7A60">
        <w:rPr>
          <w:sz w:val="24"/>
          <w:szCs w:val="24"/>
        </w:rPr>
        <w:t>Alle hjælpestoffer er anført under pkt. 6.1.</w:t>
      </w:r>
    </w:p>
    <w:p w14:paraId="2A33B45E" w14:textId="77777777" w:rsidR="009260DE" w:rsidRPr="00C84483" w:rsidRDefault="009260DE" w:rsidP="009260DE">
      <w:pPr>
        <w:tabs>
          <w:tab w:val="left" w:pos="851"/>
        </w:tabs>
        <w:ind w:left="851"/>
        <w:rPr>
          <w:sz w:val="24"/>
          <w:szCs w:val="24"/>
        </w:rPr>
      </w:pPr>
    </w:p>
    <w:p w14:paraId="1C9B42E8"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3C81EAE8" w14:textId="4F74B5DA" w:rsidR="001B7A60" w:rsidRDefault="001B7A60" w:rsidP="001B7A60">
      <w:pPr>
        <w:tabs>
          <w:tab w:val="left" w:pos="851"/>
        </w:tabs>
        <w:ind w:left="851"/>
        <w:rPr>
          <w:sz w:val="24"/>
          <w:szCs w:val="24"/>
        </w:rPr>
      </w:pPr>
      <w:r w:rsidRPr="001B7A60">
        <w:rPr>
          <w:sz w:val="24"/>
          <w:szCs w:val="24"/>
        </w:rPr>
        <w:t>Pulver til infusionsvæske, opløsning</w:t>
      </w:r>
    </w:p>
    <w:p w14:paraId="4B71443C" w14:textId="77777777" w:rsidR="001B7A60" w:rsidRPr="001B7A60" w:rsidRDefault="001B7A60" w:rsidP="001B7A60">
      <w:pPr>
        <w:tabs>
          <w:tab w:val="left" w:pos="851"/>
        </w:tabs>
        <w:ind w:left="851"/>
        <w:rPr>
          <w:sz w:val="24"/>
          <w:szCs w:val="24"/>
        </w:rPr>
      </w:pPr>
    </w:p>
    <w:p w14:paraId="5F1DA07E" w14:textId="7A0FB21A" w:rsidR="001B7A60" w:rsidRPr="001B7A60" w:rsidRDefault="001B7A60" w:rsidP="001B7A60">
      <w:pPr>
        <w:tabs>
          <w:tab w:val="left" w:pos="851"/>
        </w:tabs>
        <w:ind w:left="851"/>
        <w:rPr>
          <w:sz w:val="24"/>
          <w:szCs w:val="24"/>
        </w:rPr>
      </w:pPr>
      <w:r w:rsidRPr="001B7A60">
        <w:rPr>
          <w:sz w:val="24"/>
          <w:szCs w:val="24"/>
        </w:rPr>
        <w:t>Hvidt eller lysegult</w:t>
      </w:r>
      <w:r w:rsidR="00D2445A">
        <w:rPr>
          <w:sz w:val="24"/>
          <w:szCs w:val="24"/>
        </w:rPr>
        <w:t>,</w:t>
      </w:r>
      <w:r w:rsidRPr="001B7A60">
        <w:rPr>
          <w:sz w:val="24"/>
          <w:szCs w:val="24"/>
        </w:rPr>
        <w:t xml:space="preserve"> hygroskopisk pulver.</w:t>
      </w:r>
    </w:p>
    <w:p w14:paraId="5CD7F872" w14:textId="77777777" w:rsidR="009260DE" w:rsidRPr="00C84483" w:rsidRDefault="009260DE" w:rsidP="009260DE">
      <w:pPr>
        <w:tabs>
          <w:tab w:val="left" w:pos="851"/>
        </w:tabs>
        <w:ind w:left="851"/>
        <w:rPr>
          <w:sz w:val="24"/>
          <w:szCs w:val="24"/>
        </w:rPr>
      </w:pPr>
    </w:p>
    <w:p w14:paraId="6463194F" w14:textId="77777777" w:rsidR="009260DE" w:rsidRPr="00C84483" w:rsidRDefault="009260DE" w:rsidP="009260DE">
      <w:pPr>
        <w:tabs>
          <w:tab w:val="left" w:pos="851"/>
        </w:tabs>
        <w:ind w:left="851"/>
        <w:rPr>
          <w:sz w:val="24"/>
          <w:szCs w:val="24"/>
        </w:rPr>
      </w:pPr>
    </w:p>
    <w:p w14:paraId="48CEDB1E"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42B8EB8F" w14:textId="77777777" w:rsidR="009260DE" w:rsidRPr="00C84483" w:rsidRDefault="009260DE" w:rsidP="009260DE">
      <w:pPr>
        <w:tabs>
          <w:tab w:val="left" w:pos="851"/>
        </w:tabs>
        <w:ind w:left="851"/>
        <w:rPr>
          <w:b/>
          <w:sz w:val="24"/>
          <w:szCs w:val="24"/>
        </w:rPr>
      </w:pPr>
    </w:p>
    <w:p w14:paraId="4B31A8BC"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4026EDF2" w14:textId="77777777" w:rsidR="00D2445A" w:rsidRPr="00D2445A" w:rsidRDefault="00D2445A" w:rsidP="00D2445A">
      <w:pPr>
        <w:tabs>
          <w:tab w:val="left" w:pos="851"/>
        </w:tabs>
        <w:ind w:left="851"/>
        <w:rPr>
          <w:sz w:val="24"/>
          <w:szCs w:val="24"/>
        </w:rPr>
      </w:pPr>
      <w:r w:rsidRPr="00D2445A">
        <w:rPr>
          <w:sz w:val="24"/>
          <w:szCs w:val="24"/>
        </w:rPr>
        <w:t xml:space="preserve">Erythromycin "Panpharma" er indiceret til behandling af følgende korrekt diagnosticerede bakterieinfektioner hos voksne og børn forårsaget af erythromycinfølsomme mikroorganismer (se pkt. 5.1), når oral indgivelse ikke er mulig eller utilstrækkelig. </w:t>
      </w:r>
    </w:p>
    <w:p w14:paraId="3083260C" w14:textId="77777777" w:rsidR="00D2445A" w:rsidRPr="00D2445A" w:rsidRDefault="00D2445A" w:rsidP="00D2445A">
      <w:pPr>
        <w:numPr>
          <w:ilvl w:val="0"/>
          <w:numId w:val="6"/>
        </w:numPr>
        <w:tabs>
          <w:tab w:val="left" w:pos="851"/>
        </w:tabs>
        <w:ind w:left="1134" w:hanging="283"/>
        <w:rPr>
          <w:sz w:val="24"/>
          <w:szCs w:val="24"/>
          <w:lang w:val="en-US"/>
        </w:rPr>
      </w:pPr>
      <w:r w:rsidRPr="00D2445A">
        <w:rPr>
          <w:sz w:val="24"/>
          <w:szCs w:val="24"/>
          <w:lang w:val="en-US"/>
        </w:rPr>
        <w:t>Conjunctivitis</w:t>
      </w:r>
    </w:p>
    <w:p w14:paraId="325758A0" w14:textId="77777777" w:rsidR="00D2445A" w:rsidRPr="00D2445A" w:rsidRDefault="00D2445A" w:rsidP="00D2445A">
      <w:pPr>
        <w:numPr>
          <w:ilvl w:val="0"/>
          <w:numId w:val="6"/>
        </w:numPr>
        <w:tabs>
          <w:tab w:val="left" w:pos="851"/>
        </w:tabs>
        <w:ind w:left="1134" w:hanging="283"/>
        <w:rPr>
          <w:sz w:val="24"/>
          <w:szCs w:val="24"/>
          <w:lang w:val="en-US"/>
        </w:rPr>
      </w:pPr>
      <w:r w:rsidRPr="00D2445A">
        <w:rPr>
          <w:sz w:val="24"/>
          <w:szCs w:val="24"/>
          <w:lang w:val="en-US"/>
        </w:rPr>
        <w:t>Pneumoni forårsaget af atypiske bakterier</w:t>
      </w:r>
    </w:p>
    <w:p w14:paraId="5BEFC9CA" w14:textId="77777777" w:rsidR="00D2445A" w:rsidRPr="00D2445A" w:rsidRDefault="00D2445A" w:rsidP="00D2445A">
      <w:pPr>
        <w:numPr>
          <w:ilvl w:val="0"/>
          <w:numId w:val="6"/>
        </w:numPr>
        <w:tabs>
          <w:tab w:val="left" w:pos="851"/>
        </w:tabs>
        <w:ind w:left="1134" w:hanging="283"/>
        <w:rPr>
          <w:sz w:val="24"/>
          <w:szCs w:val="24"/>
          <w:lang w:val="en-US"/>
        </w:rPr>
      </w:pPr>
      <w:r w:rsidRPr="00D2445A">
        <w:rPr>
          <w:sz w:val="24"/>
          <w:szCs w:val="24"/>
          <w:lang w:val="en-US"/>
        </w:rPr>
        <w:t xml:space="preserve">Kighoste </w:t>
      </w:r>
    </w:p>
    <w:p w14:paraId="191D3828" w14:textId="77777777" w:rsidR="00D2445A" w:rsidRPr="00D2445A" w:rsidRDefault="00D2445A" w:rsidP="00D2445A">
      <w:pPr>
        <w:numPr>
          <w:ilvl w:val="0"/>
          <w:numId w:val="6"/>
        </w:numPr>
        <w:tabs>
          <w:tab w:val="left" w:pos="851"/>
        </w:tabs>
        <w:ind w:left="1134" w:hanging="283"/>
        <w:rPr>
          <w:sz w:val="24"/>
          <w:szCs w:val="24"/>
          <w:lang w:val="en-US"/>
        </w:rPr>
      </w:pPr>
      <w:r w:rsidRPr="00D2445A">
        <w:rPr>
          <w:sz w:val="24"/>
          <w:szCs w:val="24"/>
          <w:lang w:val="en-US"/>
        </w:rPr>
        <w:t>Urogenitale infektioner</w:t>
      </w:r>
    </w:p>
    <w:p w14:paraId="11000DFB" w14:textId="77777777" w:rsidR="00D2445A" w:rsidRPr="00D2445A" w:rsidRDefault="00D2445A" w:rsidP="00D2445A">
      <w:pPr>
        <w:numPr>
          <w:ilvl w:val="0"/>
          <w:numId w:val="6"/>
        </w:numPr>
        <w:tabs>
          <w:tab w:val="left" w:pos="851"/>
        </w:tabs>
        <w:ind w:left="1134" w:hanging="283"/>
        <w:rPr>
          <w:sz w:val="24"/>
          <w:szCs w:val="24"/>
          <w:lang w:val="en-US"/>
        </w:rPr>
      </w:pPr>
      <w:r w:rsidRPr="00D2445A">
        <w:rPr>
          <w:sz w:val="24"/>
          <w:szCs w:val="24"/>
          <w:lang w:val="en-US"/>
        </w:rPr>
        <w:t>Svær gastroenteritis</w:t>
      </w:r>
    </w:p>
    <w:p w14:paraId="4A25198B" w14:textId="77777777" w:rsidR="00D2445A" w:rsidRPr="00D2445A" w:rsidRDefault="00D2445A" w:rsidP="00D2445A">
      <w:pPr>
        <w:numPr>
          <w:ilvl w:val="0"/>
          <w:numId w:val="6"/>
        </w:numPr>
        <w:tabs>
          <w:tab w:val="left" w:pos="851"/>
        </w:tabs>
        <w:ind w:left="1134" w:hanging="283"/>
        <w:rPr>
          <w:sz w:val="24"/>
          <w:szCs w:val="24"/>
          <w:lang w:val="en-US"/>
        </w:rPr>
      </w:pPr>
      <w:r w:rsidRPr="00D2445A">
        <w:rPr>
          <w:sz w:val="24"/>
          <w:szCs w:val="24"/>
          <w:lang w:val="en-US"/>
        </w:rPr>
        <w:t>Difteri</w:t>
      </w:r>
    </w:p>
    <w:p w14:paraId="0C51CEA7" w14:textId="77777777" w:rsidR="00D2445A" w:rsidRPr="00D2445A" w:rsidRDefault="00D2445A" w:rsidP="00D2445A">
      <w:pPr>
        <w:numPr>
          <w:ilvl w:val="0"/>
          <w:numId w:val="6"/>
        </w:numPr>
        <w:tabs>
          <w:tab w:val="left" w:pos="851"/>
        </w:tabs>
        <w:ind w:left="1134" w:hanging="283"/>
        <w:rPr>
          <w:sz w:val="24"/>
          <w:szCs w:val="24"/>
          <w:lang w:val="en-US"/>
        </w:rPr>
      </w:pPr>
      <w:r w:rsidRPr="00D2445A">
        <w:rPr>
          <w:sz w:val="24"/>
          <w:szCs w:val="24"/>
          <w:lang w:val="en-US"/>
        </w:rPr>
        <w:t>Lymphogranuloma venereum</w:t>
      </w:r>
    </w:p>
    <w:p w14:paraId="39719863" w14:textId="77777777" w:rsidR="00D2445A" w:rsidRPr="00D2445A" w:rsidRDefault="00D2445A" w:rsidP="00D2445A">
      <w:pPr>
        <w:tabs>
          <w:tab w:val="left" w:pos="851"/>
        </w:tabs>
        <w:ind w:left="851"/>
        <w:rPr>
          <w:sz w:val="24"/>
          <w:szCs w:val="24"/>
        </w:rPr>
      </w:pPr>
    </w:p>
    <w:p w14:paraId="55EFDEE3" w14:textId="77777777" w:rsidR="00D2445A" w:rsidRPr="00D2445A" w:rsidRDefault="00D2445A" w:rsidP="00D2445A">
      <w:pPr>
        <w:tabs>
          <w:tab w:val="left" w:pos="851"/>
        </w:tabs>
        <w:ind w:left="851"/>
        <w:rPr>
          <w:sz w:val="24"/>
          <w:szCs w:val="24"/>
        </w:rPr>
      </w:pPr>
      <w:r w:rsidRPr="00D2445A">
        <w:rPr>
          <w:sz w:val="24"/>
          <w:szCs w:val="24"/>
        </w:rPr>
        <w:t>Erythromycin er også indiceret til behandling af følgende infektioner hos patienter med overfølsomhed over for betalaktamer, eller når betalaktamer ikke er egnede af andre årsager:</w:t>
      </w:r>
    </w:p>
    <w:p w14:paraId="6E468AE5" w14:textId="77777777" w:rsidR="00D2445A" w:rsidRPr="00D2445A" w:rsidRDefault="00D2445A" w:rsidP="00D2445A">
      <w:pPr>
        <w:numPr>
          <w:ilvl w:val="0"/>
          <w:numId w:val="6"/>
        </w:numPr>
        <w:tabs>
          <w:tab w:val="left" w:pos="851"/>
        </w:tabs>
        <w:ind w:left="1134" w:hanging="283"/>
        <w:rPr>
          <w:sz w:val="24"/>
          <w:szCs w:val="24"/>
        </w:rPr>
      </w:pPr>
      <w:r w:rsidRPr="00D2445A">
        <w:rPr>
          <w:sz w:val="24"/>
          <w:szCs w:val="24"/>
        </w:rPr>
        <w:lastRenderedPageBreak/>
        <w:t>Otitis media ved svære tilfælde,</w:t>
      </w:r>
    </w:p>
    <w:p w14:paraId="234B6AA1" w14:textId="77777777" w:rsidR="00D2445A" w:rsidRPr="00D2445A" w:rsidRDefault="00D2445A" w:rsidP="00D2445A">
      <w:pPr>
        <w:numPr>
          <w:ilvl w:val="0"/>
          <w:numId w:val="6"/>
        </w:numPr>
        <w:tabs>
          <w:tab w:val="left" w:pos="851"/>
        </w:tabs>
        <w:ind w:left="1134" w:hanging="283"/>
        <w:rPr>
          <w:sz w:val="24"/>
          <w:szCs w:val="24"/>
        </w:rPr>
      </w:pPr>
      <w:r w:rsidRPr="00D2445A">
        <w:rPr>
          <w:sz w:val="24"/>
          <w:szCs w:val="24"/>
        </w:rPr>
        <w:t>Pneumoni erhvervet uden for sygehuset (se pkt. 4.4),</w:t>
      </w:r>
    </w:p>
    <w:p w14:paraId="1F466AA6" w14:textId="77777777" w:rsidR="00D2445A" w:rsidRPr="00D2445A" w:rsidRDefault="00D2445A" w:rsidP="00D2445A">
      <w:pPr>
        <w:numPr>
          <w:ilvl w:val="0"/>
          <w:numId w:val="6"/>
        </w:numPr>
        <w:tabs>
          <w:tab w:val="left" w:pos="851"/>
        </w:tabs>
        <w:ind w:left="1134" w:hanging="283"/>
        <w:rPr>
          <w:sz w:val="24"/>
          <w:szCs w:val="24"/>
          <w:lang w:val="en-GB"/>
        </w:rPr>
      </w:pPr>
      <w:r w:rsidRPr="00D2445A">
        <w:rPr>
          <w:sz w:val="24"/>
          <w:szCs w:val="24"/>
        </w:rPr>
        <w:t>Hud- og bløddelsinfektioner,</w:t>
      </w:r>
    </w:p>
    <w:p w14:paraId="6B7612B5" w14:textId="77777777" w:rsidR="00D2445A" w:rsidRPr="00D2445A" w:rsidRDefault="00D2445A" w:rsidP="00D2445A">
      <w:pPr>
        <w:numPr>
          <w:ilvl w:val="0"/>
          <w:numId w:val="6"/>
        </w:numPr>
        <w:tabs>
          <w:tab w:val="left" w:pos="851"/>
        </w:tabs>
        <w:ind w:left="1134" w:hanging="283"/>
        <w:rPr>
          <w:sz w:val="24"/>
          <w:szCs w:val="24"/>
        </w:rPr>
      </w:pPr>
      <w:r w:rsidRPr="00D2445A">
        <w:rPr>
          <w:sz w:val="24"/>
          <w:szCs w:val="24"/>
        </w:rPr>
        <w:t>Akut bakteriel eksacerbation af kronisk bronkitis,</w:t>
      </w:r>
    </w:p>
    <w:p w14:paraId="2BB890A2" w14:textId="77777777" w:rsidR="00D2445A" w:rsidRPr="00D2445A" w:rsidRDefault="00D2445A" w:rsidP="00D2445A">
      <w:pPr>
        <w:tabs>
          <w:tab w:val="left" w:pos="851"/>
        </w:tabs>
        <w:ind w:left="851"/>
        <w:rPr>
          <w:sz w:val="24"/>
          <w:szCs w:val="24"/>
        </w:rPr>
      </w:pPr>
    </w:p>
    <w:p w14:paraId="62915976" w14:textId="77777777" w:rsidR="00D2445A" w:rsidRPr="00D2445A" w:rsidRDefault="00D2445A" w:rsidP="00D2445A">
      <w:pPr>
        <w:tabs>
          <w:tab w:val="left" w:pos="851"/>
        </w:tabs>
        <w:ind w:left="851"/>
        <w:rPr>
          <w:sz w:val="24"/>
          <w:szCs w:val="24"/>
        </w:rPr>
      </w:pPr>
      <w:r w:rsidRPr="00D2445A">
        <w:rPr>
          <w:sz w:val="24"/>
          <w:szCs w:val="24"/>
        </w:rPr>
        <w:t>Der skal tages højde for lokale retningslinjer vedrørende korrekt brug af antibiotika.</w:t>
      </w:r>
    </w:p>
    <w:p w14:paraId="1DD064A3" w14:textId="77777777" w:rsidR="009260DE" w:rsidRPr="00C84483" w:rsidRDefault="009260DE" w:rsidP="009260DE">
      <w:pPr>
        <w:tabs>
          <w:tab w:val="left" w:pos="851"/>
        </w:tabs>
        <w:ind w:left="851"/>
        <w:rPr>
          <w:sz w:val="24"/>
          <w:szCs w:val="24"/>
        </w:rPr>
      </w:pPr>
    </w:p>
    <w:p w14:paraId="5EB172D1"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00815657" w14:textId="77777777" w:rsidR="00B50972" w:rsidRPr="00B50972" w:rsidRDefault="00B50972" w:rsidP="00B50972">
      <w:pPr>
        <w:tabs>
          <w:tab w:val="left" w:pos="851"/>
        </w:tabs>
        <w:ind w:left="851"/>
        <w:rPr>
          <w:sz w:val="24"/>
          <w:szCs w:val="24"/>
        </w:rPr>
      </w:pPr>
      <w:r w:rsidRPr="00B50972">
        <w:rPr>
          <w:sz w:val="24"/>
          <w:szCs w:val="24"/>
        </w:rPr>
        <w:t xml:space="preserve">Intravenøs terapi skal erstattes af oral indgivelse på det rette tidspunkt. </w:t>
      </w:r>
    </w:p>
    <w:p w14:paraId="7CD9FC80" w14:textId="77777777" w:rsidR="00B50972" w:rsidRPr="00B50972" w:rsidRDefault="00B50972" w:rsidP="00B50972">
      <w:pPr>
        <w:tabs>
          <w:tab w:val="left" w:pos="851"/>
        </w:tabs>
        <w:ind w:left="851"/>
        <w:rPr>
          <w:sz w:val="24"/>
          <w:szCs w:val="24"/>
          <w:u w:val="single"/>
        </w:rPr>
      </w:pPr>
    </w:p>
    <w:p w14:paraId="51B8C3D8" w14:textId="77777777" w:rsidR="00B50972" w:rsidRPr="00B50972" w:rsidRDefault="00B50972" w:rsidP="00B50972">
      <w:pPr>
        <w:tabs>
          <w:tab w:val="left" w:pos="851"/>
        </w:tabs>
        <w:ind w:left="851"/>
        <w:rPr>
          <w:b/>
          <w:sz w:val="24"/>
          <w:szCs w:val="24"/>
        </w:rPr>
      </w:pPr>
      <w:r w:rsidRPr="00B50972">
        <w:rPr>
          <w:b/>
          <w:sz w:val="24"/>
          <w:szCs w:val="24"/>
        </w:rPr>
        <w:t>Dosering</w:t>
      </w:r>
    </w:p>
    <w:p w14:paraId="383E18E6" w14:textId="77777777" w:rsidR="00B50972" w:rsidRPr="00B50972" w:rsidRDefault="00B50972" w:rsidP="00B50972">
      <w:pPr>
        <w:tabs>
          <w:tab w:val="left" w:pos="851"/>
        </w:tabs>
        <w:ind w:left="851"/>
        <w:rPr>
          <w:sz w:val="24"/>
          <w:szCs w:val="24"/>
        </w:rPr>
      </w:pPr>
    </w:p>
    <w:p w14:paraId="414E0AD1" w14:textId="77777777" w:rsidR="00B50972" w:rsidRPr="00B50972" w:rsidRDefault="00B50972" w:rsidP="00B50972">
      <w:pPr>
        <w:tabs>
          <w:tab w:val="left" w:pos="851"/>
        </w:tabs>
        <w:ind w:left="851"/>
        <w:rPr>
          <w:iCs/>
          <w:sz w:val="24"/>
          <w:szCs w:val="24"/>
          <w:u w:val="single"/>
        </w:rPr>
      </w:pPr>
      <w:r w:rsidRPr="00B50972">
        <w:rPr>
          <w:iCs/>
          <w:sz w:val="24"/>
          <w:szCs w:val="24"/>
          <w:u w:val="single"/>
        </w:rPr>
        <w:t xml:space="preserve">Voksne og børn over 12 år eller børn, der vejer &gt; 40 kg </w:t>
      </w:r>
    </w:p>
    <w:p w14:paraId="6A01D6E7" w14:textId="77777777" w:rsidR="00B50972" w:rsidRPr="00B50972" w:rsidRDefault="00B50972" w:rsidP="00B50972">
      <w:pPr>
        <w:tabs>
          <w:tab w:val="left" w:pos="851"/>
        </w:tabs>
        <w:ind w:left="851"/>
        <w:rPr>
          <w:sz w:val="24"/>
          <w:szCs w:val="24"/>
        </w:rPr>
      </w:pPr>
      <w:r w:rsidRPr="00B50972">
        <w:rPr>
          <w:iCs/>
          <w:sz w:val="24"/>
          <w:szCs w:val="24"/>
        </w:rPr>
        <w:t xml:space="preserve">Den sædvanlige dosis er 1 til 2 g pr. dag svarende til 25 mg/kg/dag i </w:t>
      </w:r>
      <w:r w:rsidRPr="00B50972">
        <w:rPr>
          <w:sz w:val="24"/>
          <w:szCs w:val="24"/>
        </w:rPr>
        <w:t xml:space="preserve">individuelle doser (normalt fordelt på 3-4 doser). </w:t>
      </w:r>
    </w:p>
    <w:p w14:paraId="639E5A18" w14:textId="77777777" w:rsidR="00B50972" w:rsidRPr="00B50972" w:rsidRDefault="00B50972" w:rsidP="00B50972">
      <w:pPr>
        <w:tabs>
          <w:tab w:val="left" w:pos="851"/>
        </w:tabs>
        <w:ind w:left="851"/>
        <w:rPr>
          <w:iCs/>
          <w:sz w:val="24"/>
          <w:szCs w:val="24"/>
        </w:rPr>
      </w:pPr>
    </w:p>
    <w:p w14:paraId="4CF3466D" w14:textId="77777777" w:rsidR="00B50972" w:rsidRPr="00B50972" w:rsidRDefault="00B50972" w:rsidP="00B50972">
      <w:pPr>
        <w:tabs>
          <w:tab w:val="left" w:pos="851"/>
        </w:tabs>
        <w:ind w:left="851"/>
        <w:rPr>
          <w:i/>
          <w:sz w:val="24"/>
          <w:szCs w:val="24"/>
        </w:rPr>
      </w:pPr>
      <w:r w:rsidRPr="00B50972">
        <w:rPr>
          <w:i/>
          <w:sz w:val="24"/>
          <w:szCs w:val="24"/>
        </w:rPr>
        <w:t xml:space="preserve">Svære infektioner </w:t>
      </w:r>
    </w:p>
    <w:p w14:paraId="2BE1992B" w14:textId="77777777" w:rsidR="00B50972" w:rsidRPr="00B50972" w:rsidRDefault="00B50972" w:rsidP="00B50972">
      <w:pPr>
        <w:tabs>
          <w:tab w:val="left" w:pos="851"/>
        </w:tabs>
        <w:ind w:left="851"/>
        <w:rPr>
          <w:sz w:val="24"/>
          <w:szCs w:val="24"/>
        </w:rPr>
      </w:pPr>
      <w:r w:rsidRPr="00B50972">
        <w:rPr>
          <w:sz w:val="24"/>
          <w:szCs w:val="24"/>
        </w:rPr>
        <w:t xml:space="preserve">Ved svære infektioner kan doseringen øges op til </w:t>
      </w:r>
      <w:smartTag w:uri="urn:schemas-microsoft-com:office:smarttags" w:element="metricconverter">
        <w:smartTagPr>
          <w:attr w:name="ProductID" w:val="4 g"/>
        </w:smartTagPr>
        <w:r w:rsidRPr="00B50972">
          <w:rPr>
            <w:sz w:val="24"/>
            <w:szCs w:val="24"/>
          </w:rPr>
          <w:t>4 g</w:t>
        </w:r>
      </w:smartTag>
      <w:r w:rsidRPr="00B50972">
        <w:rPr>
          <w:sz w:val="24"/>
          <w:szCs w:val="24"/>
        </w:rPr>
        <w:t xml:space="preserve"> om dagen, hvilket svarer til 50 mg/kg/dag. </w:t>
      </w:r>
    </w:p>
    <w:p w14:paraId="08BDCABC" w14:textId="77777777" w:rsidR="00B50972" w:rsidRPr="00B50972" w:rsidRDefault="00B50972" w:rsidP="00B50972">
      <w:pPr>
        <w:tabs>
          <w:tab w:val="left" w:pos="851"/>
        </w:tabs>
        <w:ind w:left="851"/>
        <w:rPr>
          <w:sz w:val="24"/>
          <w:szCs w:val="24"/>
        </w:rPr>
      </w:pPr>
      <w:r w:rsidRPr="00B50972">
        <w:rPr>
          <w:sz w:val="24"/>
          <w:szCs w:val="24"/>
        </w:rPr>
        <w:t xml:space="preserve">Den maksimale daglige dosis er </w:t>
      </w:r>
      <w:smartTag w:uri="urn:schemas-microsoft-com:office:smarttags" w:element="metricconverter">
        <w:smartTagPr>
          <w:attr w:name="ProductID" w:val="4 g"/>
        </w:smartTagPr>
        <w:r w:rsidRPr="00B50972">
          <w:rPr>
            <w:sz w:val="24"/>
            <w:szCs w:val="24"/>
          </w:rPr>
          <w:t>4 g</w:t>
        </w:r>
      </w:smartTag>
      <w:r w:rsidRPr="00B50972">
        <w:rPr>
          <w:sz w:val="24"/>
          <w:szCs w:val="24"/>
        </w:rPr>
        <w:t>.</w:t>
      </w:r>
    </w:p>
    <w:p w14:paraId="7417460A" w14:textId="77777777" w:rsidR="00B50972" w:rsidRPr="00B50972" w:rsidRDefault="00B50972" w:rsidP="00B50972">
      <w:pPr>
        <w:tabs>
          <w:tab w:val="left" w:pos="851"/>
        </w:tabs>
        <w:ind w:left="851"/>
        <w:rPr>
          <w:iCs/>
          <w:sz w:val="24"/>
          <w:szCs w:val="24"/>
        </w:rPr>
      </w:pPr>
    </w:p>
    <w:p w14:paraId="3BE6F33B" w14:textId="77777777" w:rsidR="00B50972" w:rsidRPr="00B50972" w:rsidRDefault="00B50972" w:rsidP="00B50972">
      <w:pPr>
        <w:tabs>
          <w:tab w:val="left" w:pos="851"/>
        </w:tabs>
        <w:ind w:left="851"/>
        <w:rPr>
          <w:sz w:val="24"/>
          <w:szCs w:val="24"/>
          <w:u w:val="single"/>
        </w:rPr>
      </w:pPr>
      <w:r w:rsidRPr="00B50972">
        <w:rPr>
          <w:sz w:val="24"/>
          <w:szCs w:val="24"/>
          <w:u w:val="single"/>
        </w:rPr>
        <w:t>Pædiatrisk population</w:t>
      </w:r>
    </w:p>
    <w:p w14:paraId="260DF32E" w14:textId="77777777" w:rsidR="00B50972" w:rsidRPr="00B50972" w:rsidRDefault="00B50972" w:rsidP="00B50972">
      <w:pPr>
        <w:tabs>
          <w:tab w:val="left" w:pos="851"/>
        </w:tabs>
        <w:ind w:left="851"/>
        <w:rPr>
          <w:iCs/>
          <w:sz w:val="24"/>
          <w:szCs w:val="24"/>
        </w:rPr>
      </w:pPr>
    </w:p>
    <w:p w14:paraId="0036EFE6" w14:textId="77777777" w:rsidR="00B50972" w:rsidRPr="00B50972" w:rsidRDefault="00B50972" w:rsidP="00B50972">
      <w:pPr>
        <w:tabs>
          <w:tab w:val="left" w:pos="851"/>
        </w:tabs>
        <w:ind w:left="851"/>
        <w:rPr>
          <w:i/>
          <w:sz w:val="24"/>
          <w:szCs w:val="24"/>
        </w:rPr>
      </w:pPr>
      <w:r w:rsidRPr="00B50972">
        <w:rPr>
          <w:i/>
          <w:sz w:val="24"/>
          <w:szCs w:val="24"/>
        </w:rPr>
        <w:t xml:space="preserve">Børn op til 12 år eller børn, der vejer ≤ 40 kg </w:t>
      </w:r>
    </w:p>
    <w:p w14:paraId="569E0945" w14:textId="77777777" w:rsidR="00B50972" w:rsidRPr="00B50972" w:rsidRDefault="00B50972" w:rsidP="00B50972">
      <w:pPr>
        <w:tabs>
          <w:tab w:val="left" w:pos="851"/>
        </w:tabs>
        <w:ind w:left="851"/>
        <w:rPr>
          <w:sz w:val="24"/>
          <w:szCs w:val="24"/>
        </w:rPr>
      </w:pPr>
      <w:r w:rsidRPr="00B50972">
        <w:rPr>
          <w:sz w:val="24"/>
          <w:szCs w:val="24"/>
        </w:rPr>
        <w:t>1 måned til 12 år: Ved de fleste infektioner er en daglig dosis for spædbørn og børn op til 12 år 15-20 mg erythromycin/kg kropsvægt fordelt på 3-4 doser. Denne dosis kan fordobles afhængig af indikationen.</w:t>
      </w:r>
    </w:p>
    <w:p w14:paraId="07D6772F" w14:textId="77777777" w:rsidR="00B50972" w:rsidRPr="00B50972" w:rsidRDefault="00B50972" w:rsidP="00B50972">
      <w:pPr>
        <w:tabs>
          <w:tab w:val="left" w:pos="851"/>
        </w:tabs>
        <w:ind w:left="851"/>
        <w:rPr>
          <w:sz w:val="24"/>
          <w:szCs w:val="24"/>
        </w:rPr>
      </w:pPr>
    </w:p>
    <w:p w14:paraId="49A70324" w14:textId="77777777" w:rsidR="00B50972" w:rsidRPr="00B50972" w:rsidRDefault="00B50972" w:rsidP="00B50972">
      <w:pPr>
        <w:tabs>
          <w:tab w:val="left" w:pos="851"/>
        </w:tabs>
        <w:ind w:left="851"/>
        <w:rPr>
          <w:i/>
          <w:sz w:val="24"/>
          <w:szCs w:val="24"/>
        </w:rPr>
      </w:pPr>
      <w:r w:rsidRPr="00B50972">
        <w:rPr>
          <w:i/>
          <w:sz w:val="24"/>
          <w:szCs w:val="24"/>
        </w:rPr>
        <w:t>Mature, nyfødte spædbørn (fra fødslen til 1 måned)</w:t>
      </w:r>
    </w:p>
    <w:p w14:paraId="27305758" w14:textId="0C3C5C9B" w:rsidR="00B50972" w:rsidRPr="00B50972" w:rsidRDefault="00B50972" w:rsidP="00B50972">
      <w:pPr>
        <w:tabs>
          <w:tab w:val="left" w:pos="851"/>
        </w:tabs>
        <w:ind w:left="851"/>
        <w:rPr>
          <w:sz w:val="24"/>
          <w:szCs w:val="24"/>
        </w:rPr>
      </w:pPr>
      <w:r w:rsidRPr="00B50972">
        <w:rPr>
          <w:sz w:val="24"/>
          <w:szCs w:val="24"/>
        </w:rPr>
        <w:t>10-15</w:t>
      </w:r>
      <w:r>
        <w:rPr>
          <w:sz w:val="24"/>
          <w:szCs w:val="24"/>
        </w:rPr>
        <w:t xml:space="preserve"> </w:t>
      </w:r>
      <w:r w:rsidRPr="00B50972">
        <w:rPr>
          <w:sz w:val="24"/>
          <w:szCs w:val="24"/>
        </w:rPr>
        <w:t>mg/kg/dag fordelt på 3 doser</w:t>
      </w:r>
      <w:r>
        <w:rPr>
          <w:sz w:val="24"/>
          <w:szCs w:val="24"/>
        </w:rPr>
        <w:t>.</w:t>
      </w:r>
    </w:p>
    <w:p w14:paraId="04938797" w14:textId="77777777" w:rsidR="00B50972" w:rsidRPr="00B50972" w:rsidRDefault="00B50972" w:rsidP="00B50972">
      <w:pPr>
        <w:tabs>
          <w:tab w:val="left" w:pos="851"/>
        </w:tabs>
        <w:ind w:left="851"/>
        <w:rPr>
          <w:sz w:val="24"/>
          <w:szCs w:val="24"/>
        </w:rPr>
      </w:pPr>
    </w:p>
    <w:p w14:paraId="2AC55D4F" w14:textId="77777777" w:rsidR="00B50972" w:rsidRPr="00912462" w:rsidRDefault="00B50972" w:rsidP="00B50972">
      <w:pPr>
        <w:tabs>
          <w:tab w:val="left" w:pos="851"/>
        </w:tabs>
        <w:ind w:left="851"/>
        <w:rPr>
          <w:b/>
          <w:sz w:val="24"/>
          <w:szCs w:val="24"/>
        </w:rPr>
      </w:pPr>
      <w:r w:rsidRPr="00912462">
        <w:rPr>
          <w:b/>
          <w:sz w:val="24"/>
          <w:szCs w:val="24"/>
        </w:rPr>
        <w:t xml:space="preserve">Nedsat nyre-/leverfunktion </w:t>
      </w:r>
    </w:p>
    <w:p w14:paraId="7099750A" w14:textId="77777777" w:rsidR="00B50972" w:rsidRPr="00B50972" w:rsidRDefault="00B50972" w:rsidP="00B50972">
      <w:pPr>
        <w:tabs>
          <w:tab w:val="left" w:pos="851"/>
        </w:tabs>
        <w:ind w:left="851"/>
        <w:rPr>
          <w:b/>
          <w:bCs/>
          <w:sz w:val="24"/>
          <w:szCs w:val="24"/>
        </w:rPr>
      </w:pPr>
    </w:p>
    <w:p w14:paraId="4A2BFC90" w14:textId="3482B2E2" w:rsidR="00B50972" w:rsidRPr="00912462" w:rsidRDefault="00B50972" w:rsidP="00B50972">
      <w:pPr>
        <w:tabs>
          <w:tab w:val="left" w:pos="851"/>
        </w:tabs>
        <w:ind w:left="851"/>
        <w:rPr>
          <w:bCs/>
          <w:sz w:val="24"/>
          <w:szCs w:val="24"/>
          <w:u w:val="single"/>
        </w:rPr>
      </w:pPr>
      <w:r w:rsidRPr="00912462">
        <w:rPr>
          <w:bCs/>
          <w:sz w:val="24"/>
          <w:szCs w:val="24"/>
          <w:u w:val="single"/>
        </w:rPr>
        <w:t>Patienter med nedsat leverfunktion</w:t>
      </w:r>
    </w:p>
    <w:p w14:paraId="14850AF0" w14:textId="77777777" w:rsidR="00B50972" w:rsidRPr="00B50972" w:rsidRDefault="00B50972" w:rsidP="00B50972">
      <w:pPr>
        <w:tabs>
          <w:tab w:val="left" w:pos="851"/>
        </w:tabs>
        <w:ind w:left="851"/>
        <w:rPr>
          <w:sz w:val="24"/>
          <w:szCs w:val="24"/>
        </w:rPr>
      </w:pPr>
      <w:r w:rsidRPr="00B50972">
        <w:rPr>
          <w:sz w:val="24"/>
          <w:szCs w:val="24"/>
        </w:rPr>
        <w:t xml:space="preserve">Ved normal leverfunktion koncentreres erythromycin i leveren og udskilles i galden. Selvom virkningen af nedsat leverfunktion på udskillelsen af erythromycin og dets halveringstid hos sådanne patienter ikke er kendt, bør der udvises forsigtighed ved indgivelse af antibiotika i sådanne tilfælde, især hvis patienter med akut leverinsufficiens får høje doser erythromycin. I så fald vil monitorering af serumniveauer og dosisreduktion være påkrævet. </w:t>
      </w:r>
    </w:p>
    <w:p w14:paraId="4F015EDF" w14:textId="77777777" w:rsidR="00B50972" w:rsidRPr="00B50972" w:rsidRDefault="00B50972" w:rsidP="00B50972">
      <w:pPr>
        <w:tabs>
          <w:tab w:val="left" w:pos="851"/>
        </w:tabs>
        <w:ind w:left="851"/>
        <w:rPr>
          <w:sz w:val="24"/>
          <w:szCs w:val="24"/>
        </w:rPr>
      </w:pPr>
      <w:r w:rsidRPr="00B50972">
        <w:rPr>
          <w:sz w:val="24"/>
          <w:szCs w:val="24"/>
        </w:rPr>
        <w:t xml:space="preserve"> </w:t>
      </w:r>
    </w:p>
    <w:p w14:paraId="02A16802" w14:textId="7038ADC6" w:rsidR="00B50972" w:rsidRPr="00912462" w:rsidRDefault="00B50972" w:rsidP="00B50972">
      <w:pPr>
        <w:tabs>
          <w:tab w:val="left" w:pos="851"/>
        </w:tabs>
        <w:ind w:left="851"/>
        <w:rPr>
          <w:bCs/>
          <w:sz w:val="24"/>
          <w:szCs w:val="24"/>
          <w:u w:val="single"/>
        </w:rPr>
      </w:pPr>
      <w:r w:rsidRPr="00912462">
        <w:rPr>
          <w:bCs/>
          <w:sz w:val="24"/>
          <w:szCs w:val="24"/>
          <w:u w:val="single"/>
        </w:rPr>
        <w:t>Patienter med nedsat nyrefunktion</w:t>
      </w:r>
    </w:p>
    <w:p w14:paraId="051FC3C9" w14:textId="77777777" w:rsidR="00B50972" w:rsidRPr="00B50972" w:rsidRDefault="00B50972" w:rsidP="00B50972">
      <w:pPr>
        <w:tabs>
          <w:tab w:val="left" w:pos="851"/>
        </w:tabs>
        <w:ind w:left="851"/>
        <w:rPr>
          <w:sz w:val="24"/>
          <w:szCs w:val="24"/>
        </w:rPr>
      </w:pPr>
      <w:r w:rsidRPr="00B50972">
        <w:rPr>
          <w:sz w:val="24"/>
          <w:szCs w:val="24"/>
        </w:rPr>
        <w:t xml:space="preserve">Den lave proportion af udskillelse via nyrerne tyder på, at doseringsmodifikation hos patienter med nedsat nyrefunktion (let eller moderat nedsat nyrefunktion med kreatininclearanceniveauer, der er højere end 10 ml/min) måske ikke er nødvendig. </w:t>
      </w:r>
    </w:p>
    <w:p w14:paraId="2EA6AC32" w14:textId="77777777" w:rsidR="00B50972" w:rsidRPr="00B50972" w:rsidRDefault="00B50972" w:rsidP="00B50972">
      <w:pPr>
        <w:tabs>
          <w:tab w:val="left" w:pos="851"/>
        </w:tabs>
        <w:ind w:left="851"/>
        <w:rPr>
          <w:b/>
          <w:bCs/>
          <w:sz w:val="24"/>
          <w:szCs w:val="24"/>
        </w:rPr>
      </w:pPr>
    </w:p>
    <w:p w14:paraId="4B28D125" w14:textId="77777777" w:rsidR="00B50972" w:rsidRPr="00B50972" w:rsidRDefault="00B50972" w:rsidP="00B50972">
      <w:pPr>
        <w:tabs>
          <w:tab w:val="left" w:pos="851"/>
        </w:tabs>
        <w:ind w:left="851"/>
        <w:rPr>
          <w:sz w:val="24"/>
          <w:szCs w:val="24"/>
        </w:rPr>
      </w:pPr>
      <w:r w:rsidRPr="00B50972">
        <w:rPr>
          <w:sz w:val="24"/>
          <w:szCs w:val="24"/>
        </w:rPr>
        <w:t xml:space="preserve">Hos patienter med moderat til svært nedsat nyrefunktion er der imidlertid blevet indberettet om toksicitet, og dosisjustering i disse tilfælde kan være berettiget: </w:t>
      </w:r>
    </w:p>
    <w:p w14:paraId="77EC64F9" w14:textId="77777777" w:rsidR="00B50972" w:rsidRPr="00B50972" w:rsidRDefault="00B50972" w:rsidP="00912462">
      <w:pPr>
        <w:numPr>
          <w:ilvl w:val="0"/>
          <w:numId w:val="7"/>
        </w:numPr>
        <w:tabs>
          <w:tab w:val="left" w:pos="851"/>
        </w:tabs>
        <w:ind w:left="1134" w:hanging="283"/>
        <w:rPr>
          <w:sz w:val="24"/>
          <w:szCs w:val="24"/>
        </w:rPr>
      </w:pPr>
      <w:r w:rsidRPr="00B50972">
        <w:rPr>
          <w:sz w:val="24"/>
          <w:szCs w:val="24"/>
        </w:rPr>
        <w:t xml:space="preserve">Administration af doser på ≥ 4 g/dag kan øge risikoen for udvikling af erythromycin-induceret høretab hos ældre patienter, især dem med nedsat nyre- eller leverfunktion. </w:t>
      </w:r>
    </w:p>
    <w:p w14:paraId="42EA9599" w14:textId="77777777" w:rsidR="00B50972" w:rsidRPr="00B50972" w:rsidRDefault="00B50972" w:rsidP="00912462">
      <w:pPr>
        <w:numPr>
          <w:ilvl w:val="0"/>
          <w:numId w:val="7"/>
        </w:numPr>
        <w:tabs>
          <w:tab w:val="left" w:pos="851"/>
        </w:tabs>
        <w:ind w:left="1134" w:hanging="283"/>
        <w:rPr>
          <w:sz w:val="24"/>
          <w:szCs w:val="24"/>
        </w:rPr>
      </w:pPr>
      <w:r w:rsidRPr="00B50972">
        <w:rPr>
          <w:sz w:val="24"/>
          <w:szCs w:val="24"/>
        </w:rPr>
        <w:t xml:space="preserve">Ved moderat til svært nedsat nyrefunktion (med et niveau af serumkreatinin på 2,0 mg/dl, nyresvigt med anuri) er den maksimale daglige dosis for unge over 14 år og voksne (med en legemsvægt over 50 kg) 2 g erythromycin pr. dag. </w:t>
      </w:r>
    </w:p>
    <w:p w14:paraId="3C79F336" w14:textId="2B88F0AB" w:rsidR="00B50972" w:rsidRPr="00B50972" w:rsidRDefault="00B50972" w:rsidP="00912462">
      <w:pPr>
        <w:numPr>
          <w:ilvl w:val="0"/>
          <w:numId w:val="7"/>
        </w:numPr>
        <w:tabs>
          <w:tab w:val="left" w:pos="851"/>
        </w:tabs>
        <w:ind w:left="1134" w:hanging="283"/>
        <w:rPr>
          <w:sz w:val="24"/>
          <w:szCs w:val="24"/>
        </w:rPr>
      </w:pPr>
      <w:r w:rsidRPr="00B50972">
        <w:rPr>
          <w:sz w:val="24"/>
          <w:szCs w:val="24"/>
        </w:rPr>
        <w:t>Hos patienter med svær nyreinsufficiens (kreatininclearanceniveauer lavere end 10 ml/min) skal erythromycindosis reduceres til mellem 50</w:t>
      </w:r>
      <w:r w:rsidR="00582F3E">
        <w:rPr>
          <w:sz w:val="24"/>
          <w:szCs w:val="24"/>
        </w:rPr>
        <w:t xml:space="preserve"> %</w:t>
      </w:r>
      <w:r w:rsidRPr="00B50972">
        <w:rPr>
          <w:sz w:val="24"/>
          <w:szCs w:val="24"/>
        </w:rPr>
        <w:t xml:space="preserve"> og 75</w:t>
      </w:r>
      <w:r w:rsidR="00582F3E">
        <w:rPr>
          <w:sz w:val="24"/>
          <w:szCs w:val="24"/>
        </w:rPr>
        <w:t xml:space="preserve"> %</w:t>
      </w:r>
      <w:r w:rsidRPr="00B50972">
        <w:rPr>
          <w:sz w:val="24"/>
          <w:szCs w:val="24"/>
        </w:rPr>
        <w:t xml:space="preserve"> af den normale dosis og indgives i overensstemmelse med de sædvanlige behandlingsintervaller. Den maksimale daglige dosis må ikke overstige 2 g. </w:t>
      </w:r>
    </w:p>
    <w:p w14:paraId="2D743649" w14:textId="77777777" w:rsidR="00B50972" w:rsidRPr="00B50972" w:rsidRDefault="00B50972" w:rsidP="00B50972">
      <w:pPr>
        <w:tabs>
          <w:tab w:val="left" w:pos="851"/>
        </w:tabs>
        <w:ind w:left="851"/>
        <w:rPr>
          <w:sz w:val="24"/>
          <w:szCs w:val="24"/>
        </w:rPr>
      </w:pPr>
    </w:p>
    <w:p w14:paraId="5E5355ED" w14:textId="77777777" w:rsidR="00B50972" w:rsidRPr="00B50972" w:rsidRDefault="00B50972" w:rsidP="00B50972">
      <w:pPr>
        <w:tabs>
          <w:tab w:val="left" w:pos="851"/>
        </w:tabs>
        <w:ind w:left="851"/>
        <w:rPr>
          <w:sz w:val="24"/>
          <w:szCs w:val="24"/>
        </w:rPr>
      </w:pPr>
      <w:r w:rsidRPr="00B50972">
        <w:rPr>
          <w:sz w:val="24"/>
          <w:szCs w:val="24"/>
        </w:rPr>
        <w:t xml:space="preserve">Erythromycin fjernes ikke ved hæmodialyse eller peritonealdialyse. Til patienter i regelmæssig dialyse anbefales derfor ikke en ekstra dosis. </w:t>
      </w:r>
    </w:p>
    <w:p w14:paraId="3E1442E9" w14:textId="77777777" w:rsidR="00B50972" w:rsidRPr="00B50972" w:rsidRDefault="00B50972" w:rsidP="00B50972">
      <w:pPr>
        <w:tabs>
          <w:tab w:val="left" w:pos="851"/>
        </w:tabs>
        <w:ind w:left="851"/>
        <w:rPr>
          <w:sz w:val="24"/>
          <w:szCs w:val="24"/>
        </w:rPr>
      </w:pPr>
    </w:p>
    <w:p w14:paraId="2A57A802" w14:textId="77777777" w:rsidR="00B50972" w:rsidRPr="00B50972" w:rsidRDefault="00B50972" w:rsidP="00B50972">
      <w:pPr>
        <w:tabs>
          <w:tab w:val="left" w:pos="851"/>
        </w:tabs>
        <w:ind w:left="851"/>
        <w:rPr>
          <w:sz w:val="24"/>
          <w:szCs w:val="24"/>
          <w:u w:val="single"/>
        </w:rPr>
      </w:pPr>
      <w:r w:rsidRPr="00B50972">
        <w:rPr>
          <w:sz w:val="24"/>
          <w:szCs w:val="24"/>
          <w:u w:val="single"/>
        </w:rPr>
        <w:t xml:space="preserve">Ældre </w:t>
      </w:r>
    </w:p>
    <w:p w14:paraId="7FD51383" w14:textId="77777777" w:rsidR="00B50972" w:rsidRPr="00B50972" w:rsidRDefault="00B50972" w:rsidP="00B50972">
      <w:pPr>
        <w:tabs>
          <w:tab w:val="left" w:pos="851"/>
        </w:tabs>
        <w:ind w:left="851"/>
        <w:rPr>
          <w:sz w:val="24"/>
          <w:szCs w:val="24"/>
        </w:rPr>
      </w:pPr>
      <w:r w:rsidRPr="00B50972">
        <w:rPr>
          <w:sz w:val="24"/>
          <w:szCs w:val="24"/>
        </w:rPr>
        <w:t xml:space="preserve">Anvend voksendosering med forsigtighed. Ældre patienter, og særligt dem med nedsat nyre- eller leverfunktion, kan have en øget risiko for at udvikle erythromycin-induceret høretab, når der indgives erythromycindoser på 4 g/dag eller mere. </w:t>
      </w:r>
    </w:p>
    <w:p w14:paraId="2C5A9109" w14:textId="77777777" w:rsidR="00B50972" w:rsidRPr="00B50972" w:rsidRDefault="00B50972" w:rsidP="00B50972">
      <w:pPr>
        <w:tabs>
          <w:tab w:val="left" w:pos="851"/>
        </w:tabs>
        <w:ind w:left="851"/>
        <w:rPr>
          <w:sz w:val="24"/>
          <w:szCs w:val="24"/>
        </w:rPr>
      </w:pPr>
    </w:p>
    <w:p w14:paraId="297AD745" w14:textId="77777777" w:rsidR="00B50972" w:rsidRPr="00912462" w:rsidRDefault="00B50972" w:rsidP="00B50972">
      <w:pPr>
        <w:tabs>
          <w:tab w:val="left" w:pos="851"/>
        </w:tabs>
        <w:ind w:left="851"/>
        <w:rPr>
          <w:b/>
          <w:sz w:val="24"/>
          <w:szCs w:val="24"/>
        </w:rPr>
      </w:pPr>
      <w:r w:rsidRPr="00912462">
        <w:rPr>
          <w:b/>
          <w:sz w:val="24"/>
          <w:szCs w:val="24"/>
        </w:rPr>
        <w:t>Administration</w:t>
      </w:r>
    </w:p>
    <w:p w14:paraId="68A1331A" w14:textId="77777777" w:rsidR="00B50972" w:rsidRPr="00B50972" w:rsidRDefault="00B50972" w:rsidP="00B50972">
      <w:pPr>
        <w:tabs>
          <w:tab w:val="left" w:pos="851"/>
        </w:tabs>
        <w:ind w:left="851"/>
        <w:rPr>
          <w:sz w:val="24"/>
          <w:szCs w:val="24"/>
        </w:rPr>
      </w:pPr>
    </w:p>
    <w:p w14:paraId="0B325FC3" w14:textId="77777777" w:rsidR="00B50972" w:rsidRPr="00B50972" w:rsidRDefault="00B50972" w:rsidP="00B50972">
      <w:pPr>
        <w:tabs>
          <w:tab w:val="left" w:pos="851"/>
        </w:tabs>
        <w:ind w:left="851"/>
        <w:rPr>
          <w:i/>
          <w:sz w:val="24"/>
          <w:szCs w:val="24"/>
        </w:rPr>
      </w:pPr>
      <w:r w:rsidRPr="00B50972">
        <w:rPr>
          <w:i/>
          <w:sz w:val="24"/>
          <w:szCs w:val="24"/>
        </w:rPr>
        <w:t>Sikkerhedsforanstaltninger, der skal tages før håndtering og administration af lægemidlet</w:t>
      </w:r>
    </w:p>
    <w:p w14:paraId="26908439" w14:textId="77777777" w:rsidR="00B50972" w:rsidRPr="00B50972" w:rsidRDefault="00B50972" w:rsidP="00B50972">
      <w:pPr>
        <w:tabs>
          <w:tab w:val="left" w:pos="851"/>
        </w:tabs>
        <w:ind w:left="851"/>
        <w:rPr>
          <w:sz w:val="24"/>
          <w:szCs w:val="24"/>
        </w:rPr>
      </w:pPr>
      <w:r w:rsidRPr="00B50972">
        <w:rPr>
          <w:sz w:val="24"/>
          <w:szCs w:val="24"/>
        </w:rPr>
        <w:t xml:space="preserve">For vejledning i rekonstitution af lægemidlet før administration, se pkt. 6.6 </w:t>
      </w:r>
    </w:p>
    <w:p w14:paraId="112D4405" w14:textId="77777777" w:rsidR="00B50972" w:rsidRPr="00B50972" w:rsidRDefault="00B50972" w:rsidP="00B50972">
      <w:pPr>
        <w:tabs>
          <w:tab w:val="left" w:pos="851"/>
        </w:tabs>
        <w:ind w:left="851"/>
        <w:rPr>
          <w:sz w:val="24"/>
          <w:szCs w:val="24"/>
        </w:rPr>
      </w:pPr>
    </w:p>
    <w:p w14:paraId="109727F8" w14:textId="77777777" w:rsidR="00B50972" w:rsidRPr="00B50972" w:rsidRDefault="00B50972" w:rsidP="00B50972">
      <w:pPr>
        <w:tabs>
          <w:tab w:val="left" w:pos="851"/>
        </w:tabs>
        <w:ind w:left="851"/>
        <w:rPr>
          <w:sz w:val="24"/>
          <w:szCs w:val="24"/>
        </w:rPr>
      </w:pPr>
      <w:r w:rsidRPr="00B50972">
        <w:rPr>
          <w:sz w:val="24"/>
          <w:szCs w:val="24"/>
        </w:rPr>
        <w:t>Erythromycin kan administreres som kontinuerlig eller intermitterende infusion.</w:t>
      </w:r>
    </w:p>
    <w:p w14:paraId="11E518C2" w14:textId="77777777" w:rsidR="00B50972" w:rsidRPr="00B50972" w:rsidRDefault="00B50972" w:rsidP="00B50972">
      <w:pPr>
        <w:tabs>
          <w:tab w:val="left" w:pos="851"/>
        </w:tabs>
        <w:ind w:left="851"/>
        <w:rPr>
          <w:sz w:val="24"/>
          <w:szCs w:val="24"/>
        </w:rPr>
      </w:pPr>
    </w:p>
    <w:p w14:paraId="1CF37EC7" w14:textId="77777777" w:rsidR="00B50972" w:rsidRPr="00B50972" w:rsidRDefault="00B50972" w:rsidP="00B50972">
      <w:pPr>
        <w:tabs>
          <w:tab w:val="left" w:pos="851"/>
        </w:tabs>
        <w:ind w:left="851"/>
        <w:rPr>
          <w:sz w:val="24"/>
          <w:szCs w:val="24"/>
        </w:rPr>
      </w:pPr>
      <w:r w:rsidRPr="00B50972">
        <w:rPr>
          <w:sz w:val="24"/>
          <w:szCs w:val="24"/>
        </w:rPr>
        <w:t xml:space="preserve">Infusionen skal indgives over 60 minutter, da en hurtig infusion mere sandsynligt kan forårsage irritation samt forlængelse af QT-intervallet, arytmier eller hypotension. En længere infusionsperiode skal anvendes hos patienter med risikofaktorer eller tidligere tegn på arytmier. Der skal anvendes mindst 200 ml diluent til klargøring af intermitterende IV-opløsninger for at minimere venøs irritation. </w:t>
      </w:r>
    </w:p>
    <w:p w14:paraId="445369E4" w14:textId="77777777" w:rsidR="00B50972" w:rsidRPr="00B50972" w:rsidRDefault="00B50972" w:rsidP="00B50972">
      <w:pPr>
        <w:tabs>
          <w:tab w:val="left" w:pos="851"/>
        </w:tabs>
        <w:ind w:left="851"/>
        <w:rPr>
          <w:sz w:val="24"/>
          <w:szCs w:val="24"/>
        </w:rPr>
      </w:pPr>
    </w:p>
    <w:p w14:paraId="4F122240" w14:textId="043266ED" w:rsidR="00B50972" w:rsidRPr="00B50972" w:rsidRDefault="00B50972" w:rsidP="00B50972">
      <w:pPr>
        <w:tabs>
          <w:tab w:val="left" w:pos="851"/>
        </w:tabs>
        <w:ind w:left="851"/>
        <w:rPr>
          <w:sz w:val="24"/>
          <w:szCs w:val="24"/>
        </w:rPr>
      </w:pPr>
      <w:r w:rsidRPr="00B50972">
        <w:rPr>
          <w:sz w:val="24"/>
          <w:szCs w:val="24"/>
        </w:rPr>
        <w:t>Erythromycinkoncentrationen bør ikke overstige 5 mg pr. ml, og en erythromycinkoncentration på 1 mg/ml (0,1</w:t>
      </w:r>
      <w:r w:rsidR="00582F3E">
        <w:rPr>
          <w:sz w:val="24"/>
          <w:szCs w:val="24"/>
        </w:rPr>
        <w:t xml:space="preserve"> %</w:t>
      </w:r>
      <w:r w:rsidRPr="00B50972">
        <w:rPr>
          <w:sz w:val="24"/>
          <w:szCs w:val="24"/>
        </w:rPr>
        <w:t xml:space="preserve"> opløsning) anbefales. </w:t>
      </w:r>
    </w:p>
    <w:p w14:paraId="05B8C39A" w14:textId="77777777" w:rsidR="00B50972" w:rsidRPr="00B50972" w:rsidRDefault="00B50972" w:rsidP="00B50972">
      <w:pPr>
        <w:tabs>
          <w:tab w:val="left" w:pos="851"/>
        </w:tabs>
        <w:ind w:left="851"/>
        <w:rPr>
          <w:sz w:val="24"/>
          <w:szCs w:val="24"/>
        </w:rPr>
      </w:pPr>
    </w:p>
    <w:p w14:paraId="1C348FF6" w14:textId="77777777" w:rsidR="00B50972" w:rsidRPr="00B50972" w:rsidRDefault="00B50972" w:rsidP="00B50972">
      <w:pPr>
        <w:tabs>
          <w:tab w:val="left" w:pos="851"/>
        </w:tabs>
        <w:ind w:left="851"/>
        <w:rPr>
          <w:sz w:val="24"/>
          <w:szCs w:val="24"/>
        </w:rPr>
      </w:pPr>
      <w:r w:rsidRPr="00B50972">
        <w:rPr>
          <w:sz w:val="24"/>
          <w:szCs w:val="24"/>
        </w:rPr>
        <w:t xml:space="preserve">Erythromycin bør kun indgives intravenøst. Intra-arteriel injektion er absolut kontraindiceret. Det kan føre til angiospasme med iskæmi. Intramuskulær administration og IV-bolusinjektion er også kontraindiceret.  </w:t>
      </w:r>
    </w:p>
    <w:p w14:paraId="27839FDE" w14:textId="77777777" w:rsidR="00B50972" w:rsidRPr="00B50972" w:rsidRDefault="00B50972" w:rsidP="00B50972">
      <w:pPr>
        <w:tabs>
          <w:tab w:val="left" w:pos="851"/>
        </w:tabs>
        <w:ind w:left="851"/>
        <w:rPr>
          <w:sz w:val="24"/>
          <w:szCs w:val="24"/>
        </w:rPr>
      </w:pPr>
    </w:p>
    <w:p w14:paraId="7F98D6C5" w14:textId="77777777" w:rsidR="00B50972" w:rsidRPr="00B50972" w:rsidRDefault="00B50972" w:rsidP="00B50972">
      <w:pPr>
        <w:tabs>
          <w:tab w:val="left" w:pos="851"/>
        </w:tabs>
        <w:ind w:left="851"/>
        <w:rPr>
          <w:sz w:val="24"/>
          <w:szCs w:val="24"/>
        </w:rPr>
      </w:pPr>
      <w:r w:rsidRPr="00B50972">
        <w:rPr>
          <w:sz w:val="24"/>
          <w:szCs w:val="24"/>
        </w:rPr>
        <w:t xml:space="preserve">Intravenøs terapi skal erstattes af oral indgivelse efter 2-7 dage. For at opretholde en vellykket behandling skal erythromycin fortsætte i yderligere 2-3 dage efter, at symptomerne er forsvundet. </w:t>
      </w:r>
    </w:p>
    <w:p w14:paraId="727E8194" w14:textId="77777777" w:rsidR="009260DE" w:rsidRPr="00C84483" w:rsidRDefault="009260DE" w:rsidP="009260DE">
      <w:pPr>
        <w:tabs>
          <w:tab w:val="left" w:pos="851"/>
        </w:tabs>
        <w:ind w:left="851"/>
        <w:rPr>
          <w:sz w:val="24"/>
          <w:szCs w:val="24"/>
        </w:rPr>
      </w:pPr>
    </w:p>
    <w:p w14:paraId="7A3DF5FC"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75F06C32" w14:textId="77777777" w:rsidR="00D52E88" w:rsidRPr="00D52E88" w:rsidRDefault="00D52E88" w:rsidP="00D52E88">
      <w:pPr>
        <w:tabs>
          <w:tab w:val="left" w:pos="851"/>
        </w:tabs>
        <w:ind w:left="851"/>
        <w:rPr>
          <w:sz w:val="24"/>
          <w:szCs w:val="24"/>
        </w:rPr>
      </w:pPr>
      <w:r w:rsidRPr="00D52E88">
        <w:rPr>
          <w:sz w:val="24"/>
          <w:szCs w:val="24"/>
        </w:rPr>
        <w:t xml:space="preserve">Patienter med overfølsomhed over for erythromycin eller andre makrolidantibiotika. </w:t>
      </w:r>
    </w:p>
    <w:p w14:paraId="2373BD4A" w14:textId="77777777" w:rsidR="00D52E88" w:rsidRPr="00D52E88" w:rsidRDefault="00D52E88" w:rsidP="00D52E88">
      <w:pPr>
        <w:tabs>
          <w:tab w:val="left" w:pos="851"/>
        </w:tabs>
        <w:ind w:left="851"/>
        <w:rPr>
          <w:sz w:val="24"/>
          <w:szCs w:val="24"/>
        </w:rPr>
      </w:pPr>
      <w:r w:rsidRPr="00D52E88">
        <w:rPr>
          <w:sz w:val="24"/>
          <w:szCs w:val="24"/>
        </w:rPr>
        <w:t>Samtidig behandling med astemizol, terfenadin, disopyramid, cisaprid, pimozid, sekalealkaloider (såsom ergotamin og dihydroergotamin), simvastatin, atorvastatin eller lovastatin.</w:t>
      </w:r>
    </w:p>
    <w:p w14:paraId="2A3194EE" w14:textId="77777777" w:rsidR="00D52E88" w:rsidRPr="00D52E88" w:rsidRDefault="00D52E88" w:rsidP="00D52E88">
      <w:pPr>
        <w:tabs>
          <w:tab w:val="left" w:pos="851"/>
        </w:tabs>
        <w:ind w:left="851"/>
        <w:rPr>
          <w:sz w:val="24"/>
          <w:szCs w:val="24"/>
        </w:rPr>
      </w:pPr>
    </w:p>
    <w:p w14:paraId="4B2B2828" w14:textId="77777777" w:rsidR="00D52E88" w:rsidRPr="00D52E88" w:rsidRDefault="00D52E88" w:rsidP="00D52E88">
      <w:pPr>
        <w:tabs>
          <w:tab w:val="left" w:pos="851"/>
        </w:tabs>
        <w:ind w:left="851"/>
        <w:rPr>
          <w:sz w:val="24"/>
          <w:szCs w:val="24"/>
        </w:rPr>
      </w:pPr>
      <w:r w:rsidRPr="00D52E88">
        <w:rPr>
          <w:sz w:val="24"/>
          <w:szCs w:val="24"/>
        </w:rPr>
        <w:t>Patienter med svært nedsat leverfunktion eller patienter med svær dekompenseret hjertesvigt (NYHA IV).</w:t>
      </w:r>
    </w:p>
    <w:p w14:paraId="51B05B20" w14:textId="77777777" w:rsidR="00D52E88" w:rsidRPr="00D52E88" w:rsidRDefault="00D52E88" w:rsidP="00D52E88">
      <w:pPr>
        <w:tabs>
          <w:tab w:val="left" w:pos="851"/>
        </w:tabs>
        <w:ind w:left="851"/>
        <w:rPr>
          <w:sz w:val="24"/>
          <w:szCs w:val="24"/>
        </w:rPr>
      </w:pPr>
    </w:p>
    <w:p w14:paraId="75A4B73C" w14:textId="77777777" w:rsidR="00D52E88" w:rsidRPr="00D52E88" w:rsidRDefault="00D52E88" w:rsidP="00D52E88">
      <w:pPr>
        <w:tabs>
          <w:tab w:val="left" w:pos="851"/>
        </w:tabs>
        <w:ind w:left="851"/>
        <w:rPr>
          <w:sz w:val="24"/>
          <w:szCs w:val="24"/>
        </w:rPr>
      </w:pPr>
      <w:r w:rsidRPr="00D52E88">
        <w:rPr>
          <w:sz w:val="24"/>
          <w:szCs w:val="24"/>
        </w:rPr>
        <w:t>Erythromycin bør ikke gives til patienter med QT-forlængelse i anamnesen (medfødt eller dokumenteret erhvervet QT-forlængelse) eller ventrikulær hjertearytmi, herunder torsades de pointes (se pkt. 4.4 og 4.5).</w:t>
      </w:r>
    </w:p>
    <w:p w14:paraId="4B16661E" w14:textId="77777777" w:rsidR="00D52E88" w:rsidRPr="00D52E88" w:rsidRDefault="00D52E88" w:rsidP="00D52E88">
      <w:pPr>
        <w:tabs>
          <w:tab w:val="left" w:pos="851"/>
        </w:tabs>
        <w:ind w:left="851"/>
        <w:rPr>
          <w:sz w:val="24"/>
          <w:szCs w:val="24"/>
        </w:rPr>
      </w:pPr>
    </w:p>
    <w:p w14:paraId="35586756" w14:textId="77777777" w:rsidR="00D52E88" w:rsidRPr="00D52E88" w:rsidRDefault="00D52E88" w:rsidP="00D52E88">
      <w:pPr>
        <w:tabs>
          <w:tab w:val="left" w:pos="851"/>
        </w:tabs>
        <w:ind w:left="851"/>
        <w:rPr>
          <w:sz w:val="24"/>
          <w:szCs w:val="24"/>
        </w:rPr>
      </w:pPr>
      <w:r w:rsidRPr="00D52E88">
        <w:rPr>
          <w:sz w:val="24"/>
          <w:szCs w:val="24"/>
        </w:rPr>
        <w:t>Erythromycin bør ikke gives til patienter med elektrolytforstyrrelser (hypokaliæmi, hypomagnesiæmi på grund af risiko for forlængelse af QT-intervallet)</w:t>
      </w:r>
    </w:p>
    <w:p w14:paraId="1B81314D" w14:textId="77777777" w:rsidR="00D52E88" w:rsidRPr="00D52E88" w:rsidRDefault="00D52E88" w:rsidP="00D52E88">
      <w:pPr>
        <w:tabs>
          <w:tab w:val="left" w:pos="851"/>
        </w:tabs>
        <w:ind w:left="851"/>
        <w:rPr>
          <w:sz w:val="24"/>
          <w:szCs w:val="24"/>
        </w:rPr>
      </w:pPr>
    </w:p>
    <w:p w14:paraId="464D0F65" w14:textId="77777777" w:rsidR="00D52E88" w:rsidRPr="00D52E88" w:rsidRDefault="00D52E88" w:rsidP="00D52E88">
      <w:pPr>
        <w:tabs>
          <w:tab w:val="left" w:pos="851"/>
        </w:tabs>
        <w:ind w:left="851"/>
        <w:rPr>
          <w:sz w:val="24"/>
          <w:szCs w:val="24"/>
        </w:rPr>
      </w:pPr>
      <w:r w:rsidRPr="00D52E88">
        <w:rPr>
          <w:sz w:val="24"/>
          <w:szCs w:val="24"/>
        </w:rPr>
        <w:t>Samtidig anvendelse med lægemidler, som ligeledes kan føre til forlængelse af QT-intervallet, såsom anti-arytmika klasse IA og III, visse neuroleptika, tri- og tetracykliske antidepressiva, arsentrioxid, metadon og budipin, visse fluorquinoloner, svampemidlet indeholdende imidazol og malarialægemidler såsom IV pentamidin.</w:t>
      </w:r>
    </w:p>
    <w:p w14:paraId="08AB5028" w14:textId="77777777" w:rsidR="009260DE" w:rsidRPr="00C84483" w:rsidRDefault="009260DE" w:rsidP="009260DE">
      <w:pPr>
        <w:tabs>
          <w:tab w:val="left" w:pos="851"/>
        </w:tabs>
        <w:ind w:left="851"/>
        <w:rPr>
          <w:sz w:val="24"/>
          <w:szCs w:val="24"/>
        </w:rPr>
      </w:pPr>
    </w:p>
    <w:p w14:paraId="2F2EC36F"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2B03F8F1" w14:textId="77777777" w:rsidR="00517A08" w:rsidRPr="00517A08" w:rsidRDefault="00517A08" w:rsidP="00517A08">
      <w:pPr>
        <w:tabs>
          <w:tab w:val="left" w:pos="851"/>
        </w:tabs>
        <w:ind w:left="851"/>
        <w:rPr>
          <w:sz w:val="24"/>
          <w:szCs w:val="24"/>
        </w:rPr>
      </w:pPr>
      <w:r w:rsidRPr="00517A08">
        <w:rPr>
          <w:sz w:val="24"/>
          <w:szCs w:val="24"/>
        </w:rPr>
        <w:t xml:space="preserve">Det anbefales generelt ikke at kombinere erythromycin med: </w:t>
      </w:r>
    </w:p>
    <w:p w14:paraId="7ACE37A1" w14:textId="2080526B" w:rsidR="00517A08" w:rsidRPr="00517A08" w:rsidRDefault="00517A08" w:rsidP="00517A08">
      <w:pPr>
        <w:tabs>
          <w:tab w:val="left" w:pos="851"/>
        </w:tabs>
        <w:ind w:left="851"/>
        <w:rPr>
          <w:sz w:val="24"/>
          <w:szCs w:val="24"/>
        </w:rPr>
      </w:pPr>
      <w:r w:rsidRPr="00517A08">
        <w:rPr>
          <w:sz w:val="24"/>
          <w:szCs w:val="24"/>
        </w:rPr>
        <w:t>Alfuzosin, dopaminerge sekalealkaloider fra rug, buspiron, carbamazepin, cyclosporin, colchicin,</w:t>
      </w:r>
      <w:r>
        <w:rPr>
          <w:sz w:val="24"/>
          <w:szCs w:val="24"/>
        </w:rPr>
        <w:t xml:space="preserve"> </w:t>
      </w:r>
      <w:r w:rsidRPr="00517A08">
        <w:rPr>
          <w:sz w:val="24"/>
          <w:szCs w:val="24"/>
        </w:rPr>
        <w:t>disopyramid, ebastin, halofantrin, lumefantrin, tacrolimus, theophyllin, tolterodin, triazolam.</w:t>
      </w:r>
    </w:p>
    <w:p w14:paraId="54391386" w14:textId="77777777" w:rsidR="00517A08" w:rsidRPr="00517A08" w:rsidRDefault="00517A08" w:rsidP="00517A08">
      <w:pPr>
        <w:tabs>
          <w:tab w:val="left" w:pos="851"/>
        </w:tabs>
        <w:ind w:left="851"/>
        <w:rPr>
          <w:sz w:val="24"/>
          <w:szCs w:val="24"/>
        </w:rPr>
      </w:pPr>
    </w:p>
    <w:p w14:paraId="2CAED538" w14:textId="77777777" w:rsidR="00517A08" w:rsidRPr="00517A08" w:rsidRDefault="00517A08" w:rsidP="00517A08">
      <w:pPr>
        <w:tabs>
          <w:tab w:val="left" w:pos="851"/>
        </w:tabs>
        <w:ind w:left="851"/>
        <w:rPr>
          <w:sz w:val="24"/>
          <w:szCs w:val="24"/>
          <w:u w:val="single"/>
        </w:rPr>
      </w:pPr>
      <w:r w:rsidRPr="00517A08">
        <w:rPr>
          <w:sz w:val="24"/>
          <w:szCs w:val="24"/>
          <w:u w:val="single"/>
        </w:rPr>
        <w:t>Kardiovaskulære hændelser</w:t>
      </w:r>
    </w:p>
    <w:p w14:paraId="4A36A181" w14:textId="77777777" w:rsidR="00517A08" w:rsidRPr="00517A08" w:rsidRDefault="00517A08" w:rsidP="00517A08">
      <w:pPr>
        <w:tabs>
          <w:tab w:val="left" w:pos="851"/>
        </w:tabs>
        <w:ind w:left="851"/>
        <w:rPr>
          <w:sz w:val="24"/>
          <w:szCs w:val="24"/>
        </w:rPr>
      </w:pPr>
      <w:r w:rsidRPr="00517A08">
        <w:rPr>
          <w:sz w:val="24"/>
          <w:szCs w:val="24"/>
        </w:rPr>
        <w:t xml:space="preserve">Forlængelse af QT-intervallet, som afspejler effekten på kardiel repolarisering, der medfører en risiko for at udvikle hjertearytmi og torsades de pointes, er set hos patienter behandlet med makrolider, herunder erythromycin (se pkt. 4.3, 4.5 og 4.8). </w:t>
      </w:r>
    </w:p>
    <w:p w14:paraId="2CDEBBBD" w14:textId="77777777" w:rsidR="00517A08" w:rsidRPr="00517A08" w:rsidRDefault="00517A08" w:rsidP="00517A08">
      <w:pPr>
        <w:tabs>
          <w:tab w:val="left" w:pos="851"/>
        </w:tabs>
        <w:ind w:left="851"/>
        <w:rPr>
          <w:sz w:val="24"/>
          <w:szCs w:val="24"/>
        </w:rPr>
      </w:pPr>
      <w:r w:rsidRPr="00517A08">
        <w:rPr>
          <w:sz w:val="24"/>
          <w:szCs w:val="24"/>
        </w:rPr>
        <w:t>Der er blevet rapporteret om dødsfald.</w:t>
      </w:r>
    </w:p>
    <w:p w14:paraId="77D50E62" w14:textId="77777777" w:rsidR="00517A08" w:rsidRPr="00517A08" w:rsidRDefault="00517A08" w:rsidP="00517A08">
      <w:pPr>
        <w:tabs>
          <w:tab w:val="left" w:pos="851"/>
        </w:tabs>
        <w:ind w:left="851"/>
        <w:rPr>
          <w:sz w:val="24"/>
          <w:szCs w:val="24"/>
        </w:rPr>
      </w:pPr>
      <w:r w:rsidRPr="00517A08">
        <w:rPr>
          <w:sz w:val="24"/>
          <w:szCs w:val="24"/>
        </w:rPr>
        <w:t>Erythromycin bør anvendes med forsigtighed i følgende tilfælde;</w:t>
      </w:r>
    </w:p>
    <w:p w14:paraId="4395C5CE" w14:textId="77777777" w:rsidR="00517A08" w:rsidRPr="00517A08" w:rsidRDefault="00517A08" w:rsidP="00517A08">
      <w:pPr>
        <w:tabs>
          <w:tab w:val="left" w:pos="851"/>
        </w:tabs>
        <w:ind w:left="851"/>
        <w:rPr>
          <w:sz w:val="24"/>
          <w:szCs w:val="24"/>
        </w:rPr>
      </w:pPr>
      <w:r w:rsidRPr="00517A08">
        <w:rPr>
          <w:sz w:val="24"/>
          <w:szCs w:val="24"/>
        </w:rPr>
        <w:t>Patienter med koronararteriesygdom, svær hjerteinsufficiens, ledningsforstyrrelser eller klinisk relevant bradykardi.</w:t>
      </w:r>
    </w:p>
    <w:p w14:paraId="63D24195" w14:textId="77777777" w:rsidR="00517A08" w:rsidRPr="00517A08" w:rsidRDefault="00517A08" w:rsidP="00517A08">
      <w:pPr>
        <w:tabs>
          <w:tab w:val="left" w:pos="851"/>
        </w:tabs>
        <w:ind w:left="851"/>
        <w:rPr>
          <w:sz w:val="24"/>
          <w:szCs w:val="24"/>
        </w:rPr>
      </w:pPr>
      <w:r w:rsidRPr="00517A08">
        <w:rPr>
          <w:sz w:val="24"/>
          <w:szCs w:val="24"/>
        </w:rPr>
        <w:t>Patienter, der samtidig tager andre lægemidler forbundet med QT-forlængelse (se pkt. 4.3 og 4.5).</w:t>
      </w:r>
    </w:p>
    <w:p w14:paraId="142AD17D" w14:textId="77777777" w:rsidR="00517A08" w:rsidRPr="00517A08" w:rsidRDefault="00517A08" w:rsidP="00517A08">
      <w:pPr>
        <w:tabs>
          <w:tab w:val="left" w:pos="851"/>
        </w:tabs>
        <w:ind w:left="851"/>
        <w:rPr>
          <w:sz w:val="24"/>
          <w:szCs w:val="24"/>
        </w:rPr>
      </w:pPr>
      <w:r w:rsidRPr="00517A08">
        <w:rPr>
          <w:sz w:val="24"/>
          <w:szCs w:val="24"/>
        </w:rPr>
        <w:t xml:space="preserve">Ældre patienter kan være mere disponerede for lægemiddelrelaterede virkninger på QT-intervallet (se punkt 4.8). </w:t>
      </w:r>
    </w:p>
    <w:p w14:paraId="49B37284" w14:textId="77777777" w:rsidR="00517A08" w:rsidRPr="00517A08" w:rsidRDefault="00517A08" w:rsidP="00517A08">
      <w:pPr>
        <w:tabs>
          <w:tab w:val="left" w:pos="851"/>
        </w:tabs>
        <w:ind w:left="851"/>
        <w:rPr>
          <w:sz w:val="24"/>
          <w:szCs w:val="24"/>
        </w:rPr>
      </w:pPr>
    </w:p>
    <w:p w14:paraId="043CFE16" w14:textId="77777777" w:rsidR="00517A08" w:rsidRPr="00517A08" w:rsidRDefault="00517A08" w:rsidP="00517A08">
      <w:pPr>
        <w:tabs>
          <w:tab w:val="left" w:pos="851"/>
        </w:tabs>
        <w:ind w:left="851"/>
        <w:rPr>
          <w:sz w:val="24"/>
          <w:szCs w:val="24"/>
        </w:rPr>
      </w:pPr>
      <w:r w:rsidRPr="00517A08">
        <w:rPr>
          <w:sz w:val="24"/>
          <w:szCs w:val="24"/>
        </w:rPr>
        <w:t>Epidemiologiske studier, der undersøgte risikoen for kardiovaskulære bivirkninger med makrolider, har vist varierende resultater. Nogle observationsstudier har identificeret en sjælden kortvarig risiko for arytmi, myokardieinfarkt og kardiovaskulær dødelighed forbundet med makrolider, herunder erythromycin. Overvejelserne af disse fund bør afbalanceres med behandlingsfordelene ved ordination af erythromycin.</w:t>
      </w:r>
    </w:p>
    <w:p w14:paraId="32EC3416" w14:textId="77777777" w:rsidR="00517A08" w:rsidRPr="00517A08" w:rsidRDefault="00517A08" w:rsidP="00517A08">
      <w:pPr>
        <w:tabs>
          <w:tab w:val="left" w:pos="851"/>
        </w:tabs>
        <w:ind w:left="851"/>
        <w:rPr>
          <w:sz w:val="24"/>
          <w:szCs w:val="24"/>
        </w:rPr>
      </w:pPr>
    </w:p>
    <w:p w14:paraId="2A96FC45" w14:textId="77777777" w:rsidR="00517A08" w:rsidRPr="00517A08" w:rsidRDefault="00517A08" w:rsidP="00517A08">
      <w:pPr>
        <w:tabs>
          <w:tab w:val="left" w:pos="851"/>
        </w:tabs>
        <w:ind w:left="851"/>
        <w:rPr>
          <w:sz w:val="24"/>
          <w:szCs w:val="24"/>
        </w:rPr>
      </w:pPr>
      <w:r w:rsidRPr="00517A08">
        <w:rPr>
          <w:sz w:val="24"/>
          <w:szCs w:val="24"/>
        </w:rPr>
        <w:t>Der skal udføres relevante laboratorietests, herunder om nødvendigt elektrolytanalyser, når der er risikofaktorer for elektrolytforstyrrelser, såsom diuretiske og laksative lægemidler, opkastning, diarré, insulinanvendelse i nødsituationer, nyresygdom eller anorektiske tilstande, da elektrolytforstyrrelser fremmer sandsynligheden for arytmier.</w:t>
      </w:r>
    </w:p>
    <w:p w14:paraId="7D58B975" w14:textId="77777777" w:rsidR="00517A08" w:rsidRPr="00517A08" w:rsidRDefault="00517A08" w:rsidP="00517A08">
      <w:pPr>
        <w:tabs>
          <w:tab w:val="left" w:pos="851"/>
        </w:tabs>
        <w:ind w:left="851"/>
        <w:rPr>
          <w:sz w:val="24"/>
          <w:szCs w:val="24"/>
        </w:rPr>
      </w:pPr>
    </w:p>
    <w:p w14:paraId="4FCFA7E7" w14:textId="77777777" w:rsidR="00517A08" w:rsidRPr="00517A08" w:rsidRDefault="00517A08" w:rsidP="00517A08">
      <w:pPr>
        <w:tabs>
          <w:tab w:val="left" w:pos="851"/>
        </w:tabs>
        <w:ind w:left="851"/>
        <w:rPr>
          <w:sz w:val="24"/>
          <w:szCs w:val="24"/>
          <w:u w:val="single"/>
        </w:rPr>
      </w:pPr>
      <w:r w:rsidRPr="00517A08">
        <w:rPr>
          <w:sz w:val="24"/>
          <w:szCs w:val="24"/>
          <w:u w:val="single"/>
        </w:rPr>
        <w:t>Overfølsomhedsreaktioner</w:t>
      </w:r>
    </w:p>
    <w:p w14:paraId="6C69200F" w14:textId="4D9BE7C5" w:rsidR="00517A08" w:rsidRPr="00517A08" w:rsidRDefault="00517A08" w:rsidP="00517A08">
      <w:pPr>
        <w:tabs>
          <w:tab w:val="left" w:pos="851"/>
        </w:tabs>
        <w:ind w:left="851"/>
        <w:rPr>
          <w:sz w:val="24"/>
          <w:szCs w:val="24"/>
        </w:rPr>
      </w:pPr>
      <w:r w:rsidRPr="00517A08">
        <w:rPr>
          <w:sz w:val="24"/>
          <w:szCs w:val="24"/>
        </w:rPr>
        <w:t>Alvorlige, livstruende allergiske reaktioner kan forekomme under behandling med erythromycin, såsom alvorlige hudlidelser som urticaria, erythema exudativum multiforme, Stevens-Johnsons syndrom eller toksisk epidermisk nekrolyse (især hos børn i alle aldre), angioødem eller anafylakse. Superinfektion kan forekomme ved langvarig anvendelse, hvilket kan resultere i overvækst af ikke-følsomme organismer.</w:t>
      </w:r>
    </w:p>
    <w:p w14:paraId="17FFC2CF" w14:textId="71175737" w:rsidR="000C3FFB" w:rsidRDefault="000C3FFB">
      <w:pPr>
        <w:rPr>
          <w:sz w:val="24"/>
          <w:szCs w:val="24"/>
        </w:rPr>
      </w:pPr>
      <w:r>
        <w:rPr>
          <w:sz w:val="24"/>
          <w:szCs w:val="24"/>
        </w:rPr>
        <w:br w:type="page"/>
      </w:r>
    </w:p>
    <w:p w14:paraId="2779D357" w14:textId="77777777" w:rsidR="00517A08" w:rsidRPr="00517A08" w:rsidRDefault="00517A08" w:rsidP="00517A08">
      <w:pPr>
        <w:tabs>
          <w:tab w:val="left" w:pos="851"/>
        </w:tabs>
        <w:ind w:left="851"/>
        <w:rPr>
          <w:sz w:val="24"/>
          <w:szCs w:val="24"/>
        </w:rPr>
      </w:pPr>
    </w:p>
    <w:p w14:paraId="49E12D48" w14:textId="77777777" w:rsidR="00517A08" w:rsidRPr="00517A08" w:rsidRDefault="00517A08" w:rsidP="00517A08">
      <w:pPr>
        <w:tabs>
          <w:tab w:val="left" w:pos="851"/>
        </w:tabs>
        <w:ind w:left="851"/>
        <w:rPr>
          <w:sz w:val="24"/>
          <w:szCs w:val="24"/>
          <w:u w:val="single"/>
        </w:rPr>
      </w:pPr>
      <w:r w:rsidRPr="00517A08">
        <w:rPr>
          <w:sz w:val="24"/>
          <w:szCs w:val="24"/>
          <w:u w:val="single"/>
        </w:rPr>
        <w:t>Patienter behandlet med kortikosteroider eller kortikotropiner</w:t>
      </w:r>
    </w:p>
    <w:p w14:paraId="5E92F1D4" w14:textId="77777777" w:rsidR="00517A08" w:rsidRPr="00517A08" w:rsidRDefault="00517A08" w:rsidP="00517A08">
      <w:pPr>
        <w:tabs>
          <w:tab w:val="left" w:pos="851"/>
        </w:tabs>
        <w:ind w:left="851"/>
        <w:rPr>
          <w:sz w:val="24"/>
          <w:szCs w:val="24"/>
        </w:rPr>
      </w:pPr>
      <w:r w:rsidRPr="00517A08">
        <w:rPr>
          <w:sz w:val="24"/>
          <w:szCs w:val="24"/>
        </w:rPr>
        <w:t>Der skal udvises forsigtighed ved indgivelse af parenterale væsker, især dem, der indeholder natriumioner, hos patienter, der modtager kortikosteroider eller kortikotropiner.</w:t>
      </w:r>
    </w:p>
    <w:p w14:paraId="46544794" w14:textId="77777777" w:rsidR="00517A08" w:rsidRPr="00517A08" w:rsidRDefault="00517A08" w:rsidP="00517A08">
      <w:pPr>
        <w:tabs>
          <w:tab w:val="left" w:pos="851"/>
        </w:tabs>
        <w:ind w:left="851"/>
        <w:rPr>
          <w:sz w:val="24"/>
          <w:szCs w:val="24"/>
        </w:rPr>
      </w:pPr>
    </w:p>
    <w:p w14:paraId="2A4AD262" w14:textId="77777777" w:rsidR="00517A08" w:rsidRPr="00517A08" w:rsidRDefault="00517A08" w:rsidP="00517A08">
      <w:pPr>
        <w:tabs>
          <w:tab w:val="left" w:pos="851"/>
        </w:tabs>
        <w:ind w:left="851"/>
        <w:rPr>
          <w:sz w:val="24"/>
          <w:szCs w:val="24"/>
          <w:u w:val="single"/>
        </w:rPr>
      </w:pPr>
      <w:r w:rsidRPr="00517A08">
        <w:rPr>
          <w:sz w:val="24"/>
          <w:szCs w:val="24"/>
          <w:u w:val="single"/>
        </w:rPr>
        <w:t>Myasthenia gravis</w:t>
      </w:r>
    </w:p>
    <w:p w14:paraId="1375B65F" w14:textId="77777777" w:rsidR="00517A08" w:rsidRPr="00517A08" w:rsidRDefault="00517A08" w:rsidP="00517A08">
      <w:pPr>
        <w:tabs>
          <w:tab w:val="left" w:pos="851"/>
        </w:tabs>
        <w:ind w:left="851"/>
        <w:rPr>
          <w:sz w:val="24"/>
          <w:szCs w:val="24"/>
        </w:rPr>
      </w:pPr>
      <w:r w:rsidRPr="00517A08">
        <w:rPr>
          <w:sz w:val="24"/>
          <w:szCs w:val="24"/>
        </w:rPr>
        <w:t>Det er blevet indberettet, at erythromycin kan forværre symptomerne på myasthenia gravis, hvilket kan resultere i livstruende svækkelse af luftvejsmusklerne. Der skal træffes passende modforanstaltninger ved ethvert tegn på luftvejsgener (se pkt. 4.8)</w:t>
      </w:r>
    </w:p>
    <w:p w14:paraId="25E219E7" w14:textId="77777777" w:rsidR="00517A08" w:rsidRPr="00517A08" w:rsidRDefault="00517A08" w:rsidP="00517A08">
      <w:pPr>
        <w:tabs>
          <w:tab w:val="left" w:pos="851"/>
        </w:tabs>
        <w:ind w:left="851"/>
        <w:rPr>
          <w:sz w:val="24"/>
          <w:szCs w:val="24"/>
        </w:rPr>
      </w:pPr>
    </w:p>
    <w:p w14:paraId="6E088004" w14:textId="77777777" w:rsidR="00517A08" w:rsidRPr="00517A08" w:rsidRDefault="00517A08" w:rsidP="00517A08">
      <w:pPr>
        <w:tabs>
          <w:tab w:val="left" w:pos="851"/>
        </w:tabs>
        <w:ind w:left="851"/>
        <w:rPr>
          <w:sz w:val="24"/>
          <w:szCs w:val="24"/>
          <w:u w:val="single"/>
        </w:rPr>
      </w:pPr>
      <w:r w:rsidRPr="00517A08">
        <w:rPr>
          <w:sz w:val="24"/>
          <w:szCs w:val="24"/>
          <w:u w:val="single"/>
        </w:rPr>
        <w:t>Pneumonia</w:t>
      </w:r>
    </w:p>
    <w:p w14:paraId="57241622" w14:textId="77777777" w:rsidR="00517A08" w:rsidRPr="00517A08" w:rsidRDefault="00517A08" w:rsidP="00517A08">
      <w:pPr>
        <w:tabs>
          <w:tab w:val="left" w:pos="851"/>
        </w:tabs>
        <w:ind w:left="851"/>
        <w:rPr>
          <w:sz w:val="24"/>
          <w:szCs w:val="24"/>
        </w:rPr>
      </w:pPr>
      <w:r w:rsidRPr="00517A08">
        <w:rPr>
          <w:sz w:val="24"/>
          <w:szCs w:val="24"/>
        </w:rPr>
        <w:t xml:space="preserve">Ved pneumoni grundet </w:t>
      </w:r>
      <w:r w:rsidRPr="00517A08">
        <w:rPr>
          <w:i/>
          <w:iCs/>
          <w:sz w:val="24"/>
          <w:szCs w:val="24"/>
        </w:rPr>
        <w:t>Streptococcus pneumoniae</w:t>
      </w:r>
      <w:r w:rsidRPr="00517A08">
        <w:rPr>
          <w:sz w:val="24"/>
          <w:szCs w:val="24"/>
        </w:rPr>
        <w:t xml:space="preserve"> må erythromycin kun anvendes til patienter med overfølsomhed over for betalaktamer, eller når betalaktamer ikke er egnede af andre årsager. Ellers kan erythromycin kun anvendes som primærterapi ved pneumoni forårsaget af atypiske bakterier.</w:t>
      </w:r>
    </w:p>
    <w:p w14:paraId="1E71F9C9" w14:textId="77777777" w:rsidR="00517A08" w:rsidRPr="00517A08" w:rsidRDefault="00517A08" w:rsidP="00517A08">
      <w:pPr>
        <w:tabs>
          <w:tab w:val="left" w:pos="851"/>
        </w:tabs>
        <w:ind w:left="851"/>
        <w:rPr>
          <w:sz w:val="24"/>
          <w:szCs w:val="24"/>
        </w:rPr>
      </w:pPr>
    </w:p>
    <w:p w14:paraId="158848EC" w14:textId="77777777" w:rsidR="00517A08" w:rsidRPr="00517A08" w:rsidRDefault="00517A08" w:rsidP="00517A08">
      <w:pPr>
        <w:tabs>
          <w:tab w:val="left" w:pos="851"/>
        </w:tabs>
        <w:ind w:left="851"/>
        <w:rPr>
          <w:sz w:val="24"/>
          <w:szCs w:val="24"/>
          <w:u w:val="single"/>
        </w:rPr>
      </w:pPr>
      <w:r w:rsidRPr="00517A08">
        <w:rPr>
          <w:sz w:val="24"/>
          <w:szCs w:val="24"/>
          <w:u w:val="single"/>
        </w:rPr>
        <w:t xml:space="preserve">Clostridium difficile-relateret diarré (CDAD)/ Pseudomembranøs colitis </w:t>
      </w:r>
    </w:p>
    <w:p w14:paraId="2862425A" w14:textId="77777777" w:rsidR="00517A08" w:rsidRPr="00517A08" w:rsidRDefault="00517A08" w:rsidP="00517A08">
      <w:pPr>
        <w:tabs>
          <w:tab w:val="left" w:pos="851"/>
        </w:tabs>
        <w:ind w:left="851"/>
        <w:rPr>
          <w:sz w:val="24"/>
          <w:szCs w:val="24"/>
        </w:rPr>
      </w:pPr>
      <w:r w:rsidRPr="00517A08">
        <w:rPr>
          <w:sz w:val="24"/>
          <w:szCs w:val="24"/>
        </w:rPr>
        <w:t xml:space="preserve">Som ved andre bredspektrede antibiotika, er der i sjældne tilfælde rapporteret pseudomembranøs colitis ved behandling med erythromycin med en sværhedsgrad fra mild diarré til livstruende colitis. </w:t>
      </w:r>
    </w:p>
    <w:p w14:paraId="5C984E83" w14:textId="77777777" w:rsidR="00517A08" w:rsidRPr="00517A08" w:rsidRDefault="00517A08" w:rsidP="00517A08">
      <w:pPr>
        <w:tabs>
          <w:tab w:val="left" w:pos="851"/>
        </w:tabs>
        <w:ind w:left="851"/>
        <w:rPr>
          <w:sz w:val="24"/>
          <w:szCs w:val="24"/>
          <w:lang w:val="fr-LU"/>
        </w:rPr>
      </w:pPr>
      <w:r w:rsidRPr="00517A08">
        <w:rPr>
          <w:sz w:val="24"/>
          <w:szCs w:val="24"/>
        </w:rPr>
        <w:t xml:space="preserve">Næsten alle antibiotika inklusive erythromycin er forbundet med </w:t>
      </w:r>
      <w:r w:rsidRPr="00517A08">
        <w:rPr>
          <w:i/>
          <w:iCs/>
          <w:sz w:val="24"/>
          <w:szCs w:val="24"/>
        </w:rPr>
        <w:t>Clostridium difficile</w:t>
      </w:r>
      <w:r w:rsidRPr="00517A08">
        <w:rPr>
          <w:sz w:val="24"/>
          <w:szCs w:val="24"/>
        </w:rPr>
        <w:t xml:space="preserve">-relateret diarré (CDAD). CDAD kan forekomme op til to måneder efter behandling med erythromycin i en sværhedsgrad fra let diarré til letal progressiv colitis. I dette tilfælde bør seponering af behandlingen, afhængigt af indikationen, overvejes, og om nødvendigt skal en passende behandling påbegyndes (f.eks. indgivelse af særlige antibiotika/kemoterapeutiske midler, hvis virkning er blevet klinisk dokumenteret). Lægemidler, der hæmmer peristaltikken, er kontraindiceret i tilfælde af pseudomembranøs colitis. </w:t>
      </w:r>
    </w:p>
    <w:p w14:paraId="5A08CCEF" w14:textId="77777777" w:rsidR="00517A08" w:rsidRPr="00517A08" w:rsidRDefault="00517A08" w:rsidP="00517A08">
      <w:pPr>
        <w:tabs>
          <w:tab w:val="left" w:pos="851"/>
        </w:tabs>
        <w:ind w:left="851"/>
        <w:rPr>
          <w:sz w:val="24"/>
          <w:szCs w:val="24"/>
        </w:rPr>
      </w:pPr>
    </w:p>
    <w:p w14:paraId="1EAAC265" w14:textId="77777777" w:rsidR="00517A08" w:rsidRPr="00517A08" w:rsidRDefault="00517A08" w:rsidP="00517A08">
      <w:pPr>
        <w:tabs>
          <w:tab w:val="left" w:pos="851"/>
        </w:tabs>
        <w:ind w:left="851"/>
        <w:rPr>
          <w:sz w:val="24"/>
          <w:szCs w:val="24"/>
          <w:u w:val="single"/>
        </w:rPr>
      </w:pPr>
      <w:r w:rsidRPr="00517A08">
        <w:rPr>
          <w:sz w:val="24"/>
          <w:szCs w:val="24"/>
          <w:u w:val="single"/>
        </w:rPr>
        <w:t>Pædiatrisk population</w:t>
      </w:r>
    </w:p>
    <w:p w14:paraId="17F060CE" w14:textId="79B92013" w:rsidR="00517A08" w:rsidRPr="00517A08" w:rsidRDefault="00517A08" w:rsidP="00517A08">
      <w:pPr>
        <w:tabs>
          <w:tab w:val="left" w:pos="851"/>
        </w:tabs>
        <w:ind w:left="851"/>
        <w:rPr>
          <w:sz w:val="24"/>
          <w:szCs w:val="24"/>
        </w:rPr>
      </w:pPr>
      <w:r w:rsidRPr="00517A08">
        <w:rPr>
          <w:sz w:val="24"/>
          <w:szCs w:val="24"/>
        </w:rPr>
        <w:t>Der er rapporteret om infantil hypertrofisk pylorusstenose (IHPS) hos spædbørn i forbindelse med behandling med erythromycin. Epidemiologiske studier, inklusive data fra metaanalyser, antyder en 2-3 gange stigning i risikoen for IHPS efter eksponering for erythromycin hos spædbørn. Denne risiko er højest efter eksponering for erythromycin i de første 14 dage af livet. Tilgængelige data antyder en risiko på 2,6</w:t>
      </w:r>
      <w:r w:rsidR="00582F3E">
        <w:rPr>
          <w:sz w:val="24"/>
          <w:szCs w:val="24"/>
        </w:rPr>
        <w:t xml:space="preserve"> %</w:t>
      </w:r>
      <w:r w:rsidRPr="00517A08">
        <w:rPr>
          <w:sz w:val="24"/>
          <w:szCs w:val="24"/>
        </w:rPr>
        <w:t xml:space="preserve"> (95</w:t>
      </w:r>
      <w:r w:rsidR="00582F3E">
        <w:rPr>
          <w:sz w:val="24"/>
          <w:szCs w:val="24"/>
        </w:rPr>
        <w:t xml:space="preserve"> %</w:t>
      </w:r>
      <w:r w:rsidRPr="00517A08">
        <w:rPr>
          <w:sz w:val="24"/>
          <w:szCs w:val="24"/>
        </w:rPr>
        <w:t xml:space="preserve"> CI: 1,5-4,2</w:t>
      </w:r>
      <w:r w:rsidR="00582F3E">
        <w:rPr>
          <w:sz w:val="24"/>
          <w:szCs w:val="24"/>
        </w:rPr>
        <w:t xml:space="preserve"> %</w:t>
      </w:r>
      <w:r w:rsidRPr="00517A08">
        <w:rPr>
          <w:sz w:val="24"/>
          <w:szCs w:val="24"/>
        </w:rPr>
        <w:t>) efter eksponering for erythromycin i denne periode. Risikoen for IHPS i den generelle befolkning er 0,1-0,2</w:t>
      </w:r>
      <w:r w:rsidR="00582F3E">
        <w:rPr>
          <w:sz w:val="24"/>
          <w:szCs w:val="24"/>
        </w:rPr>
        <w:t xml:space="preserve"> %</w:t>
      </w:r>
      <w:r w:rsidRPr="00517A08">
        <w:rPr>
          <w:sz w:val="24"/>
          <w:szCs w:val="24"/>
        </w:rPr>
        <w:t xml:space="preserve">. Eftersom erythromycin kan anvendes til behandling af tilstande hos spædbørn, som er forbundet med signifikant mortalitet eller morbiditet (såsom infektion med fx </w:t>
      </w:r>
      <w:r w:rsidRPr="00517A08">
        <w:rPr>
          <w:i/>
          <w:iCs/>
          <w:sz w:val="24"/>
          <w:szCs w:val="24"/>
        </w:rPr>
        <w:t>Bordetella pertussis</w:t>
      </w:r>
      <w:r w:rsidRPr="00517A08">
        <w:rPr>
          <w:sz w:val="24"/>
          <w:szCs w:val="24"/>
        </w:rPr>
        <w:t xml:space="preserve"> eller </w:t>
      </w:r>
      <w:r w:rsidRPr="00517A08">
        <w:rPr>
          <w:i/>
          <w:iCs/>
          <w:sz w:val="24"/>
          <w:szCs w:val="24"/>
        </w:rPr>
        <w:t>Chlamydia trachomatis</w:t>
      </w:r>
      <w:r w:rsidRPr="00517A08">
        <w:rPr>
          <w:sz w:val="24"/>
          <w:szCs w:val="24"/>
        </w:rPr>
        <w:t xml:space="preserve">), skal fordelene ved erythromycinbehandling overvejes omhyggeligt i forhold til de mulige risici for udviklingen af IHPS. Patienter eller deres plejere skal informeres om at kontakte deres læge, hvis der opstår opkastninger eller irritation ved indtagelse af mad. </w:t>
      </w:r>
    </w:p>
    <w:p w14:paraId="7BBE7694" w14:textId="77777777" w:rsidR="00517A08" w:rsidRPr="00517A08" w:rsidRDefault="00517A08" w:rsidP="00517A08">
      <w:pPr>
        <w:tabs>
          <w:tab w:val="left" w:pos="851"/>
        </w:tabs>
        <w:ind w:left="851"/>
        <w:rPr>
          <w:sz w:val="24"/>
          <w:szCs w:val="24"/>
        </w:rPr>
      </w:pPr>
    </w:p>
    <w:p w14:paraId="54D8115D" w14:textId="77777777" w:rsidR="00517A08" w:rsidRPr="00517A08" w:rsidRDefault="00517A08" w:rsidP="00517A08">
      <w:pPr>
        <w:tabs>
          <w:tab w:val="left" w:pos="851"/>
        </w:tabs>
        <w:ind w:left="851"/>
        <w:rPr>
          <w:sz w:val="24"/>
          <w:szCs w:val="24"/>
        </w:rPr>
      </w:pPr>
      <w:r w:rsidRPr="00517A08">
        <w:rPr>
          <w:sz w:val="24"/>
          <w:szCs w:val="24"/>
        </w:rPr>
        <w:t>Som med andre makrolider er der indberettet sjældne tilfælde af alvorlige allergiske reaktioner, herunder akut generaliseret eksantematøs pustulose (AGEP). Hvis en allergisk reaktion forekommer, skal lægemidlet seponeres, og passende behandling påbegyndes. Læger bør være bevidste om, at de allergiske symptomer kan opstå igen, når den symptomatiske behandling seponeres.</w:t>
      </w:r>
    </w:p>
    <w:p w14:paraId="5F7E365D" w14:textId="195256B8" w:rsidR="00FD04DB" w:rsidRDefault="00FD04DB">
      <w:pPr>
        <w:rPr>
          <w:sz w:val="24"/>
          <w:szCs w:val="24"/>
        </w:rPr>
      </w:pPr>
      <w:r>
        <w:rPr>
          <w:sz w:val="24"/>
          <w:szCs w:val="24"/>
        </w:rPr>
        <w:br w:type="page"/>
      </w:r>
    </w:p>
    <w:p w14:paraId="06D58B11" w14:textId="77777777" w:rsidR="009260DE" w:rsidRPr="00517A08" w:rsidRDefault="009260DE" w:rsidP="00517A08">
      <w:pPr>
        <w:tabs>
          <w:tab w:val="left" w:pos="851"/>
        </w:tabs>
        <w:ind w:left="851"/>
        <w:rPr>
          <w:sz w:val="24"/>
          <w:szCs w:val="24"/>
        </w:rPr>
      </w:pPr>
    </w:p>
    <w:p w14:paraId="07F8897F"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2D6981CB" w14:textId="77777777" w:rsidR="00FD04DB" w:rsidRPr="00FD04DB" w:rsidRDefault="00FD04DB" w:rsidP="00FD04DB">
      <w:pPr>
        <w:tabs>
          <w:tab w:val="left" w:pos="851"/>
        </w:tabs>
        <w:ind w:left="851"/>
        <w:rPr>
          <w:sz w:val="24"/>
          <w:szCs w:val="24"/>
        </w:rPr>
      </w:pPr>
    </w:p>
    <w:p w14:paraId="43A50716" w14:textId="77777777" w:rsidR="00FD04DB" w:rsidRPr="00FD04DB" w:rsidRDefault="00FD04DB" w:rsidP="00FD04DB">
      <w:pPr>
        <w:tabs>
          <w:tab w:val="left" w:pos="851"/>
        </w:tabs>
        <w:ind w:left="851"/>
        <w:rPr>
          <w:bCs/>
          <w:sz w:val="24"/>
          <w:szCs w:val="24"/>
          <w:u w:val="single"/>
        </w:rPr>
      </w:pPr>
      <w:r w:rsidRPr="00FD04DB">
        <w:rPr>
          <w:bCs/>
          <w:sz w:val="24"/>
          <w:szCs w:val="24"/>
          <w:u w:val="single"/>
        </w:rPr>
        <w:t>Virkninger af erythromycin på andre lægemidler</w:t>
      </w:r>
    </w:p>
    <w:p w14:paraId="01FDA4C7" w14:textId="77777777" w:rsidR="00FD04DB" w:rsidRPr="00FD04DB" w:rsidRDefault="00FD04DB" w:rsidP="00FD04DB">
      <w:pPr>
        <w:tabs>
          <w:tab w:val="left" w:pos="851"/>
        </w:tabs>
        <w:ind w:left="851"/>
        <w:rPr>
          <w:sz w:val="24"/>
          <w:szCs w:val="24"/>
        </w:rPr>
      </w:pPr>
      <w:r w:rsidRPr="00FD04DB">
        <w:rPr>
          <w:sz w:val="24"/>
          <w:szCs w:val="24"/>
        </w:rPr>
        <w:t>Erythromycin er en hæmmer af CYP3A4 og transportproteinet P-glycoprotein. Omfanget af hæmning med forskellige CYP3A4-substrater er vanskeligt at forudsige. Erythromycin må derfor ikke anvendes under behandling med CYP3A4 substrater, medmindre substratets plasmakoncentrationer, virkninger eller bivirkninger kan følges nøje. Det kan være nødvendigt at reducere dosis af andre lægemidler, der metaboliseres af CYP3A4, og kombination med erythromycin skal foretages med forsigtighed (f.eks. acenocoumarol, alfentanil, bromocriptin, cilostazol, ciclosporin, hexobarbiton, colchicin, methylprednisolon, midazolam, omeprazol, tacrolimus, valproat, vinblastin, antimykotika såsom fluconazol, ketoconazol og itraconazol). Alternativt bør behandlingen med CYP3A4 substrater seponeres under behandling med erythromycin.</w:t>
      </w:r>
    </w:p>
    <w:p w14:paraId="7AA71E1C" w14:textId="77777777" w:rsidR="00FD04DB" w:rsidRPr="00FD04DB" w:rsidRDefault="00FD04DB" w:rsidP="00FD04DB">
      <w:pPr>
        <w:tabs>
          <w:tab w:val="left" w:pos="851"/>
        </w:tabs>
        <w:ind w:left="851"/>
        <w:rPr>
          <w:sz w:val="24"/>
          <w:szCs w:val="24"/>
        </w:rPr>
      </w:pPr>
    </w:p>
    <w:p w14:paraId="783B24BD" w14:textId="77777777" w:rsidR="00FD04DB" w:rsidRPr="00FD04DB" w:rsidRDefault="00FD04DB" w:rsidP="00FD04DB">
      <w:pPr>
        <w:tabs>
          <w:tab w:val="left" w:pos="851"/>
        </w:tabs>
        <w:ind w:left="851"/>
        <w:rPr>
          <w:i/>
          <w:iCs/>
          <w:sz w:val="24"/>
          <w:szCs w:val="24"/>
        </w:rPr>
      </w:pPr>
      <w:r w:rsidRPr="00FD04DB">
        <w:rPr>
          <w:i/>
          <w:iCs/>
          <w:sz w:val="24"/>
          <w:szCs w:val="24"/>
        </w:rPr>
        <w:t>Lægemidler, der kan forlænge QT-intervallet</w:t>
      </w:r>
    </w:p>
    <w:p w14:paraId="0FFD4E4A" w14:textId="77777777" w:rsidR="00FD04DB" w:rsidRPr="00FD04DB" w:rsidRDefault="00FD04DB" w:rsidP="00FD04DB">
      <w:pPr>
        <w:tabs>
          <w:tab w:val="left" w:pos="851"/>
        </w:tabs>
        <w:ind w:left="851"/>
        <w:rPr>
          <w:sz w:val="24"/>
          <w:szCs w:val="24"/>
        </w:rPr>
      </w:pPr>
      <w:r w:rsidRPr="00FD04DB">
        <w:rPr>
          <w:sz w:val="24"/>
          <w:szCs w:val="24"/>
        </w:rPr>
        <w:t>Erythromycin påvirker metabolismen af terfenadin, astemizol og pimozid ved samtidig indgivelse. Der er blevet indberettet sjældne tilfælde af alvorlige, potentielt fatale kardiovaskulære hændelser såsom hjertestop, torsades de pointes og andre ventrikulære arytmier, og samtidig indgivelse af disse lægemidler er derfor kontraindiceret (se pkt. 4.3).</w:t>
      </w:r>
    </w:p>
    <w:p w14:paraId="03B12874" w14:textId="77777777" w:rsidR="00FD04DB" w:rsidRPr="00FD04DB" w:rsidRDefault="00FD04DB" w:rsidP="00FD04DB">
      <w:pPr>
        <w:tabs>
          <w:tab w:val="left" w:pos="851"/>
        </w:tabs>
        <w:ind w:left="851"/>
        <w:rPr>
          <w:sz w:val="24"/>
          <w:szCs w:val="24"/>
        </w:rPr>
      </w:pPr>
    </w:p>
    <w:p w14:paraId="3E69AD20" w14:textId="77777777" w:rsidR="00FD04DB" w:rsidRPr="00FD04DB" w:rsidRDefault="00FD04DB" w:rsidP="00FD04DB">
      <w:pPr>
        <w:tabs>
          <w:tab w:val="left" w:pos="851"/>
        </w:tabs>
        <w:ind w:left="851"/>
        <w:rPr>
          <w:sz w:val="24"/>
          <w:szCs w:val="24"/>
        </w:rPr>
      </w:pPr>
      <w:r w:rsidRPr="00FD04DB">
        <w:rPr>
          <w:sz w:val="24"/>
          <w:szCs w:val="24"/>
        </w:rPr>
        <w:t>Der er blevet indberettet om forhøjede cisapridniveauer hos patienter, der fik erythromycin og cisaprid samtidig. Dette kan medføre forlængelse af QT-intervallet og hjertearytmier herunder ventri</w:t>
      </w:r>
      <w:r w:rsidRPr="00FD04DB">
        <w:rPr>
          <w:sz w:val="24"/>
          <w:szCs w:val="24"/>
        </w:rPr>
        <w:softHyphen/>
        <w:t>kulær takykardi, ventrikulær fibrillering og torsades de pointes. Lignende virkninger er set ved samtidig indgivelse af disopyramid og erythromycin og kan også forventes hos patienter i behandling med astemizol og pimozid. Samtidig indgivelse af astemizol, cisaprid, disopyramid og pimozid er kontraindiceret (se pkt. 4.3).</w:t>
      </w:r>
    </w:p>
    <w:p w14:paraId="77238D4C" w14:textId="77777777" w:rsidR="00FD04DB" w:rsidRPr="00FD04DB" w:rsidRDefault="00FD04DB" w:rsidP="00FD04DB">
      <w:pPr>
        <w:tabs>
          <w:tab w:val="left" w:pos="851"/>
        </w:tabs>
        <w:ind w:left="851"/>
        <w:rPr>
          <w:sz w:val="24"/>
          <w:szCs w:val="24"/>
        </w:rPr>
      </w:pPr>
    </w:p>
    <w:p w14:paraId="29F0934C" w14:textId="670BC91C" w:rsidR="00FD04DB" w:rsidRPr="00FD04DB" w:rsidRDefault="00FD04DB" w:rsidP="00FD04DB">
      <w:pPr>
        <w:tabs>
          <w:tab w:val="left" w:pos="851"/>
        </w:tabs>
        <w:ind w:left="851"/>
        <w:rPr>
          <w:sz w:val="24"/>
          <w:szCs w:val="24"/>
        </w:rPr>
      </w:pPr>
      <w:r w:rsidRPr="00FD04DB">
        <w:rPr>
          <w:sz w:val="24"/>
          <w:szCs w:val="24"/>
        </w:rPr>
        <w:t>Erythromycin kan hæmme metabolismen af quinidin, hvilket resulterede i en 40</w:t>
      </w:r>
      <w:r w:rsidR="00582F3E">
        <w:rPr>
          <w:sz w:val="24"/>
          <w:szCs w:val="24"/>
        </w:rPr>
        <w:t xml:space="preserve"> %</w:t>
      </w:r>
      <w:r w:rsidRPr="00FD04DB">
        <w:rPr>
          <w:sz w:val="24"/>
          <w:szCs w:val="24"/>
        </w:rPr>
        <w:t xml:space="preserve"> stigning i Cmax hos raske frivillige. Der er indberettet tilfælde med øgede plasmakoncentrationer og torsades de pointes. I tilfælde af samtidig behandling med erythromycin skal quinidins plasmaniveauer kontrolleres.</w:t>
      </w:r>
    </w:p>
    <w:p w14:paraId="0D4F99AA" w14:textId="77777777" w:rsidR="00FD04DB" w:rsidRPr="00FD04DB" w:rsidRDefault="00FD04DB" w:rsidP="00FD04DB">
      <w:pPr>
        <w:tabs>
          <w:tab w:val="left" w:pos="851"/>
        </w:tabs>
        <w:ind w:left="851"/>
        <w:rPr>
          <w:sz w:val="24"/>
          <w:szCs w:val="24"/>
        </w:rPr>
      </w:pPr>
    </w:p>
    <w:p w14:paraId="41C6B413" w14:textId="77777777" w:rsidR="00FD04DB" w:rsidRPr="00FD04DB" w:rsidRDefault="00FD04DB" w:rsidP="00FD04DB">
      <w:pPr>
        <w:tabs>
          <w:tab w:val="left" w:pos="851"/>
        </w:tabs>
        <w:ind w:left="851"/>
        <w:rPr>
          <w:sz w:val="24"/>
          <w:szCs w:val="24"/>
        </w:rPr>
      </w:pPr>
      <w:r w:rsidRPr="00FD04DB">
        <w:rPr>
          <w:sz w:val="24"/>
          <w:szCs w:val="24"/>
        </w:rPr>
        <w:t>Forsigtighed tilrådes ved anvendelse af Erythromycin til patienter, der behandles med andre lægemidler, som kan forlænge QT-intervallet (se pkt. 4.4).</w:t>
      </w:r>
    </w:p>
    <w:p w14:paraId="7EF701E8" w14:textId="77777777" w:rsidR="00FD04DB" w:rsidRPr="00FD04DB" w:rsidRDefault="00FD04DB" w:rsidP="00FD04DB">
      <w:pPr>
        <w:tabs>
          <w:tab w:val="left" w:pos="851"/>
        </w:tabs>
        <w:ind w:left="851"/>
        <w:rPr>
          <w:sz w:val="24"/>
          <w:szCs w:val="24"/>
        </w:rPr>
      </w:pPr>
    </w:p>
    <w:p w14:paraId="65112CA5" w14:textId="77777777" w:rsidR="00FD04DB" w:rsidRPr="00FD04DB" w:rsidRDefault="00FD04DB" w:rsidP="00FD04DB">
      <w:pPr>
        <w:tabs>
          <w:tab w:val="left" w:pos="851"/>
        </w:tabs>
        <w:ind w:left="851"/>
        <w:rPr>
          <w:i/>
          <w:iCs/>
          <w:sz w:val="24"/>
          <w:szCs w:val="24"/>
        </w:rPr>
      </w:pPr>
      <w:r w:rsidRPr="00FD04DB">
        <w:rPr>
          <w:i/>
          <w:iCs/>
          <w:sz w:val="24"/>
          <w:szCs w:val="24"/>
        </w:rPr>
        <w:t>Sildenafil</w:t>
      </w:r>
    </w:p>
    <w:p w14:paraId="5EEAB073" w14:textId="77777777" w:rsidR="00FD04DB" w:rsidRPr="00FD04DB" w:rsidRDefault="00FD04DB" w:rsidP="00FD04DB">
      <w:pPr>
        <w:tabs>
          <w:tab w:val="left" w:pos="851"/>
        </w:tabs>
        <w:ind w:left="851"/>
        <w:rPr>
          <w:sz w:val="24"/>
          <w:szCs w:val="24"/>
        </w:rPr>
      </w:pPr>
      <w:r w:rsidRPr="00FD04DB">
        <w:rPr>
          <w:sz w:val="24"/>
          <w:szCs w:val="24"/>
        </w:rPr>
        <w:t>Data tyder på, at erythromycin hæmmer metabolismen af sildenafil. En startdosis på 25 mg sildenafil skal overvejes.</w:t>
      </w:r>
    </w:p>
    <w:p w14:paraId="6C8004F1" w14:textId="77777777" w:rsidR="00FD04DB" w:rsidRPr="00FD04DB" w:rsidRDefault="00FD04DB" w:rsidP="00FD04DB">
      <w:pPr>
        <w:tabs>
          <w:tab w:val="left" w:pos="851"/>
        </w:tabs>
        <w:ind w:left="851"/>
        <w:rPr>
          <w:sz w:val="24"/>
          <w:szCs w:val="24"/>
        </w:rPr>
      </w:pPr>
    </w:p>
    <w:p w14:paraId="064A713D" w14:textId="77777777" w:rsidR="00FD04DB" w:rsidRPr="00FD04DB" w:rsidRDefault="00FD04DB" w:rsidP="00FD04DB">
      <w:pPr>
        <w:tabs>
          <w:tab w:val="left" w:pos="851"/>
        </w:tabs>
        <w:ind w:left="851"/>
        <w:rPr>
          <w:i/>
          <w:iCs/>
          <w:sz w:val="24"/>
          <w:szCs w:val="24"/>
        </w:rPr>
      </w:pPr>
      <w:r w:rsidRPr="00FD04DB">
        <w:rPr>
          <w:i/>
          <w:iCs/>
          <w:sz w:val="24"/>
          <w:szCs w:val="24"/>
        </w:rPr>
        <w:t>Benzodiazepiner</w:t>
      </w:r>
    </w:p>
    <w:p w14:paraId="70E6E2FC" w14:textId="77777777" w:rsidR="00FD04DB" w:rsidRPr="00FD04DB" w:rsidRDefault="00FD04DB" w:rsidP="00FD04DB">
      <w:pPr>
        <w:tabs>
          <w:tab w:val="left" w:pos="851"/>
        </w:tabs>
        <w:ind w:left="851"/>
        <w:rPr>
          <w:sz w:val="24"/>
          <w:szCs w:val="24"/>
        </w:rPr>
      </w:pPr>
      <w:r w:rsidRPr="00FD04DB">
        <w:rPr>
          <w:sz w:val="24"/>
          <w:szCs w:val="24"/>
        </w:rPr>
        <w:t>Det er blevet indberettet, at erythromycin nedsætter clearance af triazolam, alprazolam, clozapin og beslægtede benzodiazepiner og derved øger disse lægemidlers farmakologiske virkninger. Hos raske frivillige forbehandlet med erythromycin var absorptionen af zopiclon hurtigere, hvilket resulterede i højere plasmakoncentrationer og en mere udtalt hypnotisk virkning sammenlignet med kontroller.</w:t>
      </w:r>
    </w:p>
    <w:p w14:paraId="649ED5BB" w14:textId="77777777" w:rsidR="00FD04DB" w:rsidRPr="00FD04DB" w:rsidRDefault="00FD04DB" w:rsidP="00FD04DB">
      <w:pPr>
        <w:tabs>
          <w:tab w:val="left" w:pos="851"/>
        </w:tabs>
        <w:ind w:left="851"/>
        <w:rPr>
          <w:sz w:val="24"/>
          <w:szCs w:val="24"/>
        </w:rPr>
      </w:pPr>
    </w:p>
    <w:p w14:paraId="3C7A4E43" w14:textId="77777777" w:rsidR="00FD04DB" w:rsidRPr="00FD04DB" w:rsidRDefault="00FD04DB" w:rsidP="00FD04DB">
      <w:pPr>
        <w:tabs>
          <w:tab w:val="left" w:pos="851"/>
        </w:tabs>
        <w:ind w:left="851"/>
        <w:rPr>
          <w:sz w:val="24"/>
          <w:szCs w:val="24"/>
        </w:rPr>
      </w:pPr>
      <w:r w:rsidRPr="00FD04DB">
        <w:rPr>
          <w:i/>
          <w:iCs/>
          <w:sz w:val="24"/>
          <w:szCs w:val="24"/>
        </w:rPr>
        <w:t>Theophyllin</w:t>
      </w:r>
    </w:p>
    <w:p w14:paraId="3B192653" w14:textId="77777777" w:rsidR="00FD04DB" w:rsidRPr="00FD04DB" w:rsidRDefault="00FD04DB" w:rsidP="00FD04DB">
      <w:pPr>
        <w:tabs>
          <w:tab w:val="left" w:pos="851"/>
        </w:tabs>
        <w:ind w:left="851"/>
        <w:rPr>
          <w:sz w:val="24"/>
          <w:szCs w:val="24"/>
        </w:rPr>
      </w:pPr>
      <w:r w:rsidRPr="00FD04DB">
        <w:rPr>
          <w:sz w:val="24"/>
          <w:szCs w:val="24"/>
        </w:rPr>
        <w:t>Samtidig behandling med erythromycin og høje doser theophyllin kan resultere i øgede plasmatheophyllinniveauer og potentiel theophyllintoksicitet, sandsynligvis på grund af hæmning af metabolismen. I tilfælde af samtidig behandling bør theophyllins plasmaniveauer følges for at undgå toksiske plasmaniveauer (dosisreduktion). Erythromycins plasmakoncentrationer kan reduceres, hvis oral erythromycin gives sammen med theophyllin, hvilket muligvis kan resultere i subterapeutiske erythromycinniveauer.</w:t>
      </w:r>
    </w:p>
    <w:p w14:paraId="4EE00AA7" w14:textId="77777777" w:rsidR="00FD04DB" w:rsidRPr="00FD04DB" w:rsidRDefault="00FD04DB" w:rsidP="00FD04DB">
      <w:pPr>
        <w:tabs>
          <w:tab w:val="left" w:pos="851"/>
        </w:tabs>
        <w:ind w:left="851"/>
        <w:rPr>
          <w:sz w:val="24"/>
          <w:szCs w:val="24"/>
        </w:rPr>
      </w:pPr>
    </w:p>
    <w:p w14:paraId="040593F8" w14:textId="77777777" w:rsidR="00FD04DB" w:rsidRPr="00FD04DB" w:rsidRDefault="00FD04DB" w:rsidP="00FD04DB">
      <w:pPr>
        <w:tabs>
          <w:tab w:val="left" w:pos="851"/>
        </w:tabs>
        <w:ind w:left="851"/>
        <w:rPr>
          <w:i/>
          <w:iCs/>
          <w:sz w:val="24"/>
          <w:szCs w:val="24"/>
        </w:rPr>
      </w:pPr>
      <w:r w:rsidRPr="00FD04DB">
        <w:rPr>
          <w:i/>
          <w:iCs/>
          <w:sz w:val="24"/>
          <w:szCs w:val="24"/>
        </w:rPr>
        <w:t>Orale antikoagulantia</w:t>
      </w:r>
    </w:p>
    <w:p w14:paraId="650A48C3" w14:textId="77777777" w:rsidR="00FD04DB" w:rsidRPr="00FD04DB" w:rsidRDefault="00FD04DB" w:rsidP="00FD04DB">
      <w:pPr>
        <w:tabs>
          <w:tab w:val="left" w:pos="851"/>
        </w:tabs>
        <w:ind w:left="851"/>
        <w:rPr>
          <w:sz w:val="24"/>
          <w:szCs w:val="24"/>
        </w:rPr>
      </w:pPr>
      <w:r w:rsidRPr="00FD04DB">
        <w:rPr>
          <w:sz w:val="24"/>
          <w:szCs w:val="24"/>
        </w:rPr>
        <w:t>Der er rapporteret om øgede antikoagulantvirkninger, når erythromycin og orale antikoagulanter (f.eks. warfarin, rivaroxaban) anvendes samtidigt.</w:t>
      </w:r>
    </w:p>
    <w:p w14:paraId="56965F78" w14:textId="77777777" w:rsidR="00FD04DB" w:rsidRPr="00FD04DB" w:rsidRDefault="00FD04DB" w:rsidP="00FD04DB">
      <w:pPr>
        <w:tabs>
          <w:tab w:val="left" w:pos="851"/>
        </w:tabs>
        <w:ind w:left="851"/>
        <w:rPr>
          <w:sz w:val="24"/>
          <w:szCs w:val="24"/>
        </w:rPr>
      </w:pPr>
    </w:p>
    <w:p w14:paraId="61D95762" w14:textId="77777777" w:rsidR="00FD04DB" w:rsidRPr="00FD04DB" w:rsidRDefault="00FD04DB" w:rsidP="00FD04DB">
      <w:pPr>
        <w:tabs>
          <w:tab w:val="left" w:pos="851"/>
        </w:tabs>
        <w:ind w:left="851"/>
        <w:rPr>
          <w:i/>
          <w:iCs/>
          <w:sz w:val="24"/>
          <w:szCs w:val="24"/>
        </w:rPr>
      </w:pPr>
      <w:r w:rsidRPr="00FD04DB">
        <w:rPr>
          <w:i/>
          <w:iCs/>
          <w:sz w:val="24"/>
          <w:szCs w:val="24"/>
        </w:rPr>
        <w:t>Fexofenadin</w:t>
      </w:r>
    </w:p>
    <w:p w14:paraId="69FA2DCE" w14:textId="77777777" w:rsidR="00FD04DB" w:rsidRPr="00FD04DB" w:rsidRDefault="00FD04DB" w:rsidP="00FD04DB">
      <w:pPr>
        <w:tabs>
          <w:tab w:val="left" w:pos="851"/>
        </w:tabs>
        <w:ind w:left="851"/>
        <w:rPr>
          <w:sz w:val="24"/>
          <w:szCs w:val="24"/>
        </w:rPr>
      </w:pPr>
      <w:r w:rsidRPr="00FD04DB">
        <w:rPr>
          <w:sz w:val="24"/>
          <w:szCs w:val="24"/>
        </w:rPr>
        <w:t>Ved samtidig behandling med erythromycin og fexofenadin øges plasmakoncentrationerne af fexofenadin 2-3 gange, sandsynligvis på grund af øget absorption.</w:t>
      </w:r>
    </w:p>
    <w:p w14:paraId="3DBC248F" w14:textId="77777777" w:rsidR="00FD04DB" w:rsidRPr="00FD04DB" w:rsidRDefault="00FD04DB" w:rsidP="00FD04DB">
      <w:pPr>
        <w:tabs>
          <w:tab w:val="left" w:pos="851"/>
        </w:tabs>
        <w:ind w:left="851"/>
        <w:rPr>
          <w:sz w:val="24"/>
          <w:szCs w:val="24"/>
        </w:rPr>
      </w:pPr>
    </w:p>
    <w:p w14:paraId="75D34AED" w14:textId="77777777" w:rsidR="00FD04DB" w:rsidRPr="00FD04DB" w:rsidRDefault="00FD04DB" w:rsidP="00FD04DB">
      <w:pPr>
        <w:tabs>
          <w:tab w:val="left" w:pos="851"/>
        </w:tabs>
        <w:ind w:left="851"/>
        <w:rPr>
          <w:sz w:val="24"/>
          <w:szCs w:val="24"/>
        </w:rPr>
      </w:pPr>
      <w:r w:rsidRPr="00FD04DB">
        <w:rPr>
          <w:i/>
          <w:iCs/>
          <w:sz w:val="24"/>
          <w:szCs w:val="24"/>
        </w:rPr>
        <w:t>Statiner</w:t>
      </w:r>
    </w:p>
    <w:p w14:paraId="45EE6327" w14:textId="77777777" w:rsidR="00FD04DB" w:rsidRPr="00FD04DB" w:rsidRDefault="00FD04DB" w:rsidP="00FD04DB">
      <w:pPr>
        <w:tabs>
          <w:tab w:val="left" w:pos="851"/>
        </w:tabs>
        <w:ind w:left="851"/>
        <w:rPr>
          <w:sz w:val="24"/>
          <w:szCs w:val="24"/>
        </w:rPr>
      </w:pPr>
      <w:r w:rsidRPr="00FD04DB">
        <w:rPr>
          <w:sz w:val="24"/>
          <w:szCs w:val="24"/>
        </w:rPr>
        <w:t>Erythromycin hæmmer metabolismen af flere HMG-CoA-reduktasehæmmere, hvilket resulterer i øgede plasmakoncentrationer for disse lægemidler. Erythromycin øger også plasmakoncentrationerne af simvastatinsyre (5 gange). Sjældne tilfælde af rabdomyolyse, forbundet med forhøjede plasmaniveauer, er blevet rapporteret under samtidig behandling med clarithromycin og lovastatin eller simvastatin. Erythromycin må ikke anvendes samtidig med simvastatin, atorvastatin eller lovastatin. Behandlingen med disse lægemidler skal seponeres under behandling med erythromycin.</w:t>
      </w:r>
    </w:p>
    <w:p w14:paraId="655EAF26" w14:textId="77777777" w:rsidR="00FD04DB" w:rsidRPr="00FD04DB" w:rsidRDefault="00FD04DB" w:rsidP="00FD04DB">
      <w:pPr>
        <w:tabs>
          <w:tab w:val="left" w:pos="851"/>
        </w:tabs>
        <w:ind w:left="851"/>
        <w:rPr>
          <w:sz w:val="24"/>
          <w:szCs w:val="24"/>
        </w:rPr>
      </w:pPr>
    </w:p>
    <w:p w14:paraId="7C7238CA" w14:textId="77777777" w:rsidR="00FD04DB" w:rsidRPr="00FD04DB" w:rsidRDefault="00FD04DB" w:rsidP="00FD04DB">
      <w:pPr>
        <w:tabs>
          <w:tab w:val="left" w:pos="851"/>
        </w:tabs>
        <w:ind w:left="851"/>
        <w:rPr>
          <w:i/>
          <w:iCs/>
          <w:sz w:val="24"/>
          <w:szCs w:val="24"/>
        </w:rPr>
      </w:pPr>
      <w:r w:rsidRPr="00FD04DB">
        <w:rPr>
          <w:i/>
          <w:iCs/>
          <w:sz w:val="24"/>
          <w:szCs w:val="24"/>
        </w:rPr>
        <w:t>Sekalealkaloider (fx ergotamin og dihydroergotamin)</w:t>
      </w:r>
    </w:p>
    <w:p w14:paraId="44F9A47B" w14:textId="77777777" w:rsidR="00FD04DB" w:rsidRPr="00FD04DB" w:rsidRDefault="00FD04DB" w:rsidP="00FD04DB">
      <w:pPr>
        <w:tabs>
          <w:tab w:val="left" w:pos="851"/>
        </w:tabs>
        <w:ind w:left="851"/>
        <w:rPr>
          <w:sz w:val="24"/>
          <w:szCs w:val="24"/>
        </w:rPr>
      </w:pPr>
      <w:r w:rsidRPr="00FD04DB">
        <w:rPr>
          <w:sz w:val="24"/>
          <w:szCs w:val="24"/>
        </w:rPr>
        <w:t>Der er indberettet tilfælde med klinisk ergotisme, karakteriseret ved vasospasme og iskæmi i det centrale nervesystem, ekstremiteter og andet væv, på grund af forhøjede plasmaniveauer af sekalealkaloider under samtidig behandling med makrolidantibiotika. Kombinationen er kontraindiceret (se pkt. 4.3).</w:t>
      </w:r>
    </w:p>
    <w:p w14:paraId="3827C957" w14:textId="77777777" w:rsidR="00FD04DB" w:rsidRPr="00FD04DB" w:rsidRDefault="00FD04DB" w:rsidP="00FD04DB">
      <w:pPr>
        <w:tabs>
          <w:tab w:val="left" w:pos="851"/>
        </w:tabs>
        <w:ind w:left="851"/>
        <w:rPr>
          <w:sz w:val="24"/>
          <w:szCs w:val="24"/>
        </w:rPr>
      </w:pPr>
    </w:p>
    <w:p w14:paraId="6963F375" w14:textId="77777777" w:rsidR="00FD04DB" w:rsidRPr="00FD04DB" w:rsidRDefault="00FD04DB" w:rsidP="00FD04DB">
      <w:pPr>
        <w:tabs>
          <w:tab w:val="left" w:pos="851"/>
        </w:tabs>
        <w:ind w:left="851"/>
        <w:rPr>
          <w:i/>
          <w:iCs/>
          <w:sz w:val="24"/>
          <w:szCs w:val="24"/>
        </w:rPr>
      </w:pPr>
      <w:r w:rsidRPr="00FD04DB">
        <w:rPr>
          <w:i/>
          <w:iCs/>
          <w:sz w:val="24"/>
          <w:szCs w:val="24"/>
        </w:rPr>
        <w:t>Digoxin</w:t>
      </w:r>
    </w:p>
    <w:p w14:paraId="3A7FBC13" w14:textId="77777777" w:rsidR="00FD04DB" w:rsidRPr="00FD04DB" w:rsidRDefault="00FD04DB" w:rsidP="00FD04DB">
      <w:pPr>
        <w:tabs>
          <w:tab w:val="left" w:pos="851"/>
        </w:tabs>
        <w:ind w:left="851"/>
        <w:rPr>
          <w:sz w:val="24"/>
          <w:szCs w:val="24"/>
        </w:rPr>
      </w:pPr>
      <w:r w:rsidRPr="00FD04DB">
        <w:rPr>
          <w:sz w:val="24"/>
          <w:szCs w:val="24"/>
        </w:rPr>
        <w:t>Samtidig behandling med erythromycin og digoxin kan resultere i forhøjede digoxinniveauer i plasma. Kontrol af plasmaniveauer skal overvejes under initiering og seponering af erythromycinbehandling. Dosisjustering kan være nødvendig.</w:t>
      </w:r>
    </w:p>
    <w:p w14:paraId="515F064F" w14:textId="77777777" w:rsidR="00FD04DB" w:rsidRPr="00FD04DB" w:rsidRDefault="00FD04DB" w:rsidP="00FD04DB">
      <w:pPr>
        <w:tabs>
          <w:tab w:val="left" w:pos="851"/>
        </w:tabs>
        <w:ind w:left="851"/>
        <w:rPr>
          <w:sz w:val="24"/>
          <w:szCs w:val="24"/>
        </w:rPr>
      </w:pPr>
    </w:p>
    <w:p w14:paraId="4581E3A2" w14:textId="77777777" w:rsidR="00FD04DB" w:rsidRPr="00FD04DB" w:rsidRDefault="00FD04DB" w:rsidP="00FD04DB">
      <w:pPr>
        <w:tabs>
          <w:tab w:val="left" w:pos="851"/>
        </w:tabs>
        <w:ind w:left="851"/>
        <w:rPr>
          <w:sz w:val="24"/>
          <w:szCs w:val="24"/>
        </w:rPr>
      </w:pPr>
      <w:r w:rsidRPr="00FD04DB">
        <w:rPr>
          <w:sz w:val="24"/>
          <w:szCs w:val="24"/>
        </w:rPr>
        <w:t>Hypotension, bradyarytmi og laktatacidose er observeret hos patienter, der samtidig blev behandlet med calciumkanal-blokkeren verapamil.</w:t>
      </w:r>
    </w:p>
    <w:p w14:paraId="23069D03" w14:textId="77777777" w:rsidR="00FD04DB" w:rsidRPr="00FD04DB" w:rsidRDefault="00FD04DB" w:rsidP="00FD04DB">
      <w:pPr>
        <w:tabs>
          <w:tab w:val="left" w:pos="851"/>
        </w:tabs>
        <w:ind w:left="851"/>
        <w:rPr>
          <w:sz w:val="24"/>
          <w:szCs w:val="24"/>
        </w:rPr>
      </w:pPr>
    </w:p>
    <w:p w14:paraId="4FC249CA" w14:textId="77777777" w:rsidR="00FD04DB" w:rsidRPr="00FD04DB" w:rsidRDefault="00FD04DB" w:rsidP="00FD04DB">
      <w:pPr>
        <w:tabs>
          <w:tab w:val="left" w:pos="851"/>
        </w:tabs>
        <w:ind w:left="851"/>
        <w:rPr>
          <w:sz w:val="24"/>
          <w:szCs w:val="24"/>
          <w:u w:val="single"/>
        </w:rPr>
      </w:pPr>
      <w:r w:rsidRPr="00FD04DB">
        <w:rPr>
          <w:sz w:val="24"/>
          <w:szCs w:val="24"/>
          <w:u w:val="single"/>
        </w:rPr>
        <w:t>Andre lægemidlers indvirkning på farmakokinetikken af erythromycin</w:t>
      </w:r>
    </w:p>
    <w:p w14:paraId="6B95B215" w14:textId="77777777" w:rsidR="00FD04DB" w:rsidRPr="00FD04DB" w:rsidRDefault="00FD04DB" w:rsidP="00FD04DB">
      <w:pPr>
        <w:tabs>
          <w:tab w:val="left" w:pos="851"/>
        </w:tabs>
        <w:ind w:left="851"/>
        <w:rPr>
          <w:sz w:val="24"/>
          <w:szCs w:val="24"/>
        </w:rPr>
      </w:pPr>
      <w:r w:rsidRPr="00FD04DB">
        <w:rPr>
          <w:sz w:val="24"/>
          <w:szCs w:val="24"/>
        </w:rPr>
        <w:t>Erythromycin metaboliseres af CYP3A4. Således kan kraftige hæmmere af dette enzym hæmme metabolismen af erythromycin, hvilket resulterer i forhøjede plasmaniveauer.</w:t>
      </w:r>
    </w:p>
    <w:p w14:paraId="68DDB874" w14:textId="77777777" w:rsidR="00FD04DB" w:rsidRPr="00FD04DB" w:rsidRDefault="00FD04DB" w:rsidP="00FD04DB">
      <w:pPr>
        <w:tabs>
          <w:tab w:val="left" w:pos="851"/>
        </w:tabs>
        <w:ind w:left="851"/>
        <w:rPr>
          <w:sz w:val="24"/>
          <w:szCs w:val="24"/>
        </w:rPr>
      </w:pPr>
    </w:p>
    <w:p w14:paraId="1CFA187A" w14:textId="77777777" w:rsidR="00FD04DB" w:rsidRPr="00FD04DB" w:rsidRDefault="00FD04DB" w:rsidP="00FD04DB">
      <w:pPr>
        <w:tabs>
          <w:tab w:val="left" w:pos="851"/>
        </w:tabs>
        <w:ind w:left="851"/>
        <w:rPr>
          <w:sz w:val="24"/>
          <w:szCs w:val="24"/>
        </w:rPr>
      </w:pPr>
      <w:r w:rsidRPr="00FD04DB">
        <w:rPr>
          <w:sz w:val="24"/>
          <w:szCs w:val="24"/>
        </w:rPr>
        <w:t>Lægemidler, der inducerer CYP3A4 (såsom rifampicin, phenytoin, carbamazepin, phenobarbital, perikon (</w:t>
      </w:r>
      <w:r w:rsidRPr="00FD04DB">
        <w:rPr>
          <w:i/>
          <w:iCs/>
          <w:sz w:val="24"/>
          <w:szCs w:val="24"/>
        </w:rPr>
        <w:t>Hypericum perforatum</w:t>
      </w:r>
      <w:r w:rsidRPr="00FD04DB">
        <w:rPr>
          <w:sz w:val="24"/>
          <w:szCs w:val="24"/>
        </w:rPr>
        <w:t>)) kan mindske erythromycins metabolisme. Dette kan føre til subterapeutiske niveauer af erythromycin og dermed nedsat virkning. Induktionen aftager gradvist i løbet af to uger efter seponering af behandling med CYP3A4-inducere. Erythromycin må ikke anvendes under behandling med CYP3A4-inducere og to uger derefter.</w:t>
      </w:r>
    </w:p>
    <w:p w14:paraId="4189CE19" w14:textId="77777777" w:rsidR="00FD04DB" w:rsidRPr="00FD04DB" w:rsidRDefault="00FD04DB" w:rsidP="00FD04DB">
      <w:pPr>
        <w:tabs>
          <w:tab w:val="left" w:pos="851"/>
        </w:tabs>
        <w:ind w:left="851"/>
        <w:rPr>
          <w:sz w:val="24"/>
          <w:szCs w:val="24"/>
        </w:rPr>
      </w:pPr>
    </w:p>
    <w:p w14:paraId="5EB45D63" w14:textId="77777777" w:rsidR="00FD04DB" w:rsidRPr="00FD04DB" w:rsidRDefault="00FD04DB" w:rsidP="00FD04DB">
      <w:pPr>
        <w:tabs>
          <w:tab w:val="left" w:pos="851"/>
        </w:tabs>
        <w:ind w:left="851"/>
        <w:rPr>
          <w:sz w:val="24"/>
          <w:szCs w:val="24"/>
        </w:rPr>
      </w:pPr>
      <w:r w:rsidRPr="00FD04DB">
        <w:rPr>
          <w:sz w:val="24"/>
          <w:szCs w:val="24"/>
        </w:rPr>
        <w:t>Cimetidin kan hæmme metabolismen af erythromycin, hvilket resulterer i forhøjede plasmaniveauer.</w:t>
      </w:r>
    </w:p>
    <w:p w14:paraId="486F83AB" w14:textId="77777777" w:rsidR="00FD04DB" w:rsidRPr="00FD04DB" w:rsidRDefault="00FD04DB" w:rsidP="00FD04DB">
      <w:pPr>
        <w:tabs>
          <w:tab w:val="left" w:pos="851"/>
        </w:tabs>
        <w:ind w:left="851"/>
        <w:rPr>
          <w:sz w:val="24"/>
          <w:szCs w:val="24"/>
        </w:rPr>
      </w:pPr>
    </w:p>
    <w:p w14:paraId="791B15C1" w14:textId="77777777" w:rsidR="00FD04DB" w:rsidRPr="00FD04DB" w:rsidRDefault="00FD04DB" w:rsidP="00FD04DB">
      <w:pPr>
        <w:tabs>
          <w:tab w:val="left" w:pos="851"/>
        </w:tabs>
        <w:ind w:left="851"/>
        <w:rPr>
          <w:sz w:val="24"/>
          <w:szCs w:val="24"/>
        </w:rPr>
      </w:pPr>
      <w:r w:rsidRPr="00FD04DB">
        <w:rPr>
          <w:sz w:val="24"/>
          <w:szCs w:val="24"/>
        </w:rPr>
        <w:t>Under samtidig behandling med erythromycin og proteasehæmmere er der observeret hæmning af erythromycins metabolisme.</w:t>
      </w:r>
    </w:p>
    <w:p w14:paraId="21120015" w14:textId="77777777" w:rsidR="009260DE" w:rsidRPr="00C84483" w:rsidRDefault="009260DE" w:rsidP="009260DE">
      <w:pPr>
        <w:tabs>
          <w:tab w:val="left" w:pos="851"/>
        </w:tabs>
        <w:ind w:left="851"/>
        <w:rPr>
          <w:sz w:val="24"/>
          <w:szCs w:val="24"/>
        </w:rPr>
      </w:pPr>
    </w:p>
    <w:p w14:paraId="4A99DD60"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4C4277B7" w14:textId="77777777" w:rsidR="00364AF0" w:rsidRPr="00364AF0" w:rsidRDefault="00364AF0" w:rsidP="00364AF0">
      <w:pPr>
        <w:tabs>
          <w:tab w:val="left" w:pos="851"/>
        </w:tabs>
        <w:ind w:left="851"/>
        <w:rPr>
          <w:sz w:val="24"/>
          <w:szCs w:val="24"/>
        </w:rPr>
      </w:pPr>
    </w:p>
    <w:p w14:paraId="2CF79301" w14:textId="77777777" w:rsidR="00364AF0" w:rsidRPr="00364AF0" w:rsidRDefault="00364AF0" w:rsidP="00364AF0">
      <w:pPr>
        <w:tabs>
          <w:tab w:val="left" w:pos="851"/>
        </w:tabs>
        <w:ind w:left="851"/>
        <w:rPr>
          <w:sz w:val="24"/>
          <w:szCs w:val="24"/>
          <w:u w:val="single"/>
        </w:rPr>
      </w:pPr>
      <w:r w:rsidRPr="00364AF0">
        <w:rPr>
          <w:sz w:val="24"/>
          <w:szCs w:val="24"/>
          <w:u w:val="single"/>
        </w:rPr>
        <w:t>Fertilitet</w:t>
      </w:r>
    </w:p>
    <w:p w14:paraId="30CF59F1" w14:textId="77777777" w:rsidR="00364AF0" w:rsidRPr="00364AF0" w:rsidRDefault="00364AF0" w:rsidP="00364AF0">
      <w:pPr>
        <w:tabs>
          <w:tab w:val="left" w:pos="851"/>
        </w:tabs>
        <w:ind w:left="851"/>
        <w:rPr>
          <w:sz w:val="24"/>
          <w:szCs w:val="24"/>
        </w:rPr>
      </w:pPr>
      <w:r w:rsidRPr="00364AF0">
        <w:rPr>
          <w:sz w:val="24"/>
          <w:szCs w:val="24"/>
        </w:rPr>
        <w:t>Der findes ingen data om erythromycins virkning på fertiliteten hos mennesker. Dyreforsøg har vist, at erythromycin ikke har teratogene virkninger.</w:t>
      </w:r>
    </w:p>
    <w:p w14:paraId="1DBA3E75" w14:textId="77777777" w:rsidR="00364AF0" w:rsidRPr="00364AF0" w:rsidRDefault="00364AF0" w:rsidP="00364AF0">
      <w:pPr>
        <w:tabs>
          <w:tab w:val="left" w:pos="851"/>
        </w:tabs>
        <w:ind w:left="851"/>
        <w:rPr>
          <w:sz w:val="24"/>
          <w:szCs w:val="24"/>
          <w:u w:val="single"/>
        </w:rPr>
      </w:pPr>
    </w:p>
    <w:p w14:paraId="0CFAC20F" w14:textId="77777777" w:rsidR="00364AF0" w:rsidRPr="00364AF0" w:rsidRDefault="00364AF0" w:rsidP="00364AF0">
      <w:pPr>
        <w:tabs>
          <w:tab w:val="left" w:pos="851"/>
        </w:tabs>
        <w:ind w:left="851"/>
        <w:rPr>
          <w:sz w:val="24"/>
          <w:szCs w:val="24"/>
          <w:u w:val="single"/>
        </w:rPr>
      </w:pPr>
      <w:r w:rsidRPr="00364AF0">
        <w:rPr>
          <w:sz w:val="24"/>
          <w:szCs w:val="24"/>
          <w:u w:val="single"/>
        </w:rPr>
        <w:t>Graviditet</w:t>
      </w:r>
    </w:p>
    <w:p w14:paraId="0AF36BBB" w14:textId="77777777" w:rsidR="00364AF0" w:rsidRPr="00364AF0" w:rsidRDefault="00364AF0" w:rsidP="00364AF0">
      <w:pPr>
        <w:tabs>
          <w:tab w:val="left" w:pos="851"/>
        </w:tabs>
        <w:ind w:left="851"/>
        <w:rPr>
          <w:sz w:val="24"/>
          <w:szCs w:val="24"/>
        </w:rPr>
      </w:pPr>
      <w:r w:rsidRPr="00364AF0">
        <w:rPr>
          <w:sz w:val="24"/>
          <w:szCs w:val="24"/>
        </w:rPr>
        <w:t>Der foreligger ingen reproduktionstoksikologiske undersøgelser af dyr med erythromycin, men studier med andre makrolider, der ligesom erythromycin er potente hERG-kanalblokkere, har vist embryonale dødsfald og misdannelser (herunder kardiovaskulære defekter og ganespalte). Mekanistiske studier har vist, at stoffer, der blokerer hERG-kanalen, forårsager kardiovaskulære defekter og embryonale dødsfald ved at fremkalde arytmier hos fosteret.</w:t>
      </w:r>
    </w:p>
    <w:p w14:paraId="377893D7" w14:textId="77777777" w:rsidR="00364AF0" w:rsidRPr="00364AF0" w:rsidRDefault="00364AF0" w:rsidP="00364AF0">
      <w:pPr>
        <w:tabs>
          <w:tab w:val="left" w:pos="851"/>
        </w:tabs>
        <w:ind w:left="851"/>
        <w:rPr>
          <w:sz w:val="24"/>
          <w:szCs w:val="24"/>
        </w:rPr>
      </w:pPr>
      <w:r w:rsidRPr="00364AF0">
        <w:rPr>
          <w:sz w:val="24"/>
          <w:szCs w:val="24"/>
        </w:rPr>
        <w:t xml:space="preserve">Der er ingen tilstrækkeligt kontrollerede studier med gravide kvinder. Erythromycin må ikke administreres til gravide kvinder, medmindre fordelene opvejer de potentielle risici. </w:t>
      </w:r>
    </w:p>
    <w:p w14:paraId="27CC6DB5" w14:textId="3CCDFFCD" w:rsidR="00364AF0" w:rsidRPr="00364AF0" w:rsidRDefault="00364AF0" w:rsidP="00364AF0">
      <w:pPr>
        <w:tabs>
          <w:tab w:val="left" w:pos="851"/>
        </w:tabs>
        <w:ind w:left="851"/>
        <w:rPr>
          <w:sz w:val="24"/>
          <w:szCs w:val="24"/>
        </w:rPr>
      </w:pPr>
      <w:r w:rsidRPr="00364AF0">
        <w:rPr>
          <w:sz w:val="24"/>
          <w:szCs w:val="24"/>
        </w:rPr>
        <w:t>I observationsstudier hos mennesker er der rapporteret om kardiovaskulære abnormiteter, når gravide kvinder har indtaget lægemidler indeholdende erythromycin under tidlig graviditet. Erythromycin passerer placenta og forårsager en stigning i fostrets plasmaniveauer, som er ca. 5-20</w:t>
      </w:r>
      <w:r w:rsidR="00582F3E">
        <w:rPr>
          <w:sz w:val="24"/>
          <w:szCs w:val="24"/>
        </w:rPr>
        <w:t xml:space="preserve"> %</w:t>
      </w:r>
      <w:r w:rsidRPr="00364AF0">
        <w:rPr>
          <w:sz w:val="24"/>
          <w:szCs w:val="24"/>
        </w:rPr>
        <w:t xml:space="preserve"> af moderens grænser. De risici, der er forbundet med dette fænomen, er imidlertid endnu ikke klarlagt.</w:t>
      </w:r>
    </w:p>
    <w:p w14:paraId="689980FC" w14:textId="77777777" w:rsidR="00364AF0" w:rsidRPr="00364AF0" w:rsidRDefault="00364AF0" w:rsidP="00364AF0">
      <w:pPr>
        <w:tabs>
          <w:tab w:val="left" w:pos="851"/>
        </w:tabs>
        <w:ind w:left="851"/>
        <w:rPr>
          <w:sz w:val="24"/>
          <w:szCs w:val="24"/>
          <w:u w:val="single"/>
        </w:rPr>
      </w:pPr>
    </w:p>
    <w:p w14:paraId="63F62148" w14:textId="77777777" w:rsidR="00364AF0" w:rsidRPr="00364AF0" w:rsidRDefault="00364AF0" w:rsidP="00364AF0">
      <w:pPr>
        <w:tabs>
          <w:tab w:val="left" w:pos="851"/>
        </w:tabs>
        <w:ind w:left="851"/>
        <w:rPr>
          <w:sz w:val="24"/>
          <w:szCs w:val="24"/>
          <w:u w:val="single"/>
        </w:rPr>
      </w:pPr>
      <w:r w:rsidRPr="00364AF0">
        <w:rPr>
          <w:sz w:val="24"/>
          <w:szCs w:val="24"/>
          <w:u w:val="single"/>
        </w:rPr>
        <w:t>Amning</w:t>
      </w:r>
    </w:p>
    <w:p w14:paraId="7467A9E9" w14:textId="68FE2A5F" w:rsidR="00364AF0" w:rsidRPr="00364AF0" w:rsidRDefault="00364AF0" w:rsidP="00364AF0">
      <w:pPr>
        <w:tabs>
          <w:tab w:val="left" w:pos="851"/>
        </w:tabs>
        <w:ind w:left="851"/>
        <w:rPr>
          <w:iCs/>
          <w:sz w:val="24"/>
          <w:szCs w:val="24"/>
        </w:rPr>
      </w:pPr>
      <w:r w:rsidRPr="00364AF0">
        <w:rPr>
          <w:iCs/>
          <w:sz w:val="24"/>
          <w:szCs w:val="24"/>
        </w:rPr>
        <w:t>Erythromycin anbefales ikke til ammende mødre, medmindre de forventede fordele opvejer de potentielle risici. Hos ammende kvinder udskilles erythromycin i brystmælken i mængder på mellem 0,5 og 6,2 mikrogram/ml. Disse mængder er ikke kendt som værende skadelige. Ca. 50</w:t>
      </w:r>
      <w:r w:rsidR="00582F3E">
        <w:rPr>
          <w:iCs/>
          <w:sz w:val="24"/>
          <w:szCs w:val="24"/>
        </w:rPr>
        <w:t xml:space="preserve"> %</w:t>
      </w:r>
      <w:r w:rsidRPr="00364AF0">
        <w:rPr>
          <w:iCs/>
          <w:sz w:val="24"/>
          <w:szCs w:val="24"/>
        </w:rPr>
        <w:t xml:space="preserve"> af lægemidlet passerer ind i modermælken og kan forårsage gastrointestinale lidelser hos spædbarnet, men kan muligvis også danne pylorusstenose. Desuden er sensitivitet eller infektion med blastomyceter også mulig. Fordele og risici ved anvendelsen under amning skal overvejes nøje.</w:t>
      </w:r>
    </w:p>
    <w:p w14:paraId="0DBB85D8" w14:textId="77777777" w:rsidR="009260DE" w:rsidRPr="00C84483" w:rsidRDefault="009260DE" w:rsidP="00243D9C">
      <w:pPr>
        <w:tabs>
          <w:tab w:val="left" w:pos="851"/>
        </w:tabs>
        <w:ind w:left="851"/>
        <w:rPr>
          <w:sz w:val="24"/>
          <w:szCs w:val="24"/>
        </w:rPr>
      </w:pPr>
    </w:p>
    <w:p w14:paraId="6E0A6CAF"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6BFD2018" w14:textId="3D3CD0F4" w:rsidR="00243D9C" w:rsidRPr="00243D9C" w:rsidRDefault="00243D9C" w:rsidP="00243D9C">
      <w:pPr>
        <w:tabs>
          <w:tab w:val="left" w:pos="851"/>
        </w:tabs>
        <w:ind w:left="851"/>
        <w:rPr>
          <w:sz w:val="24"/>
          <w:szCs w:val="24"/>
        </w:rPr>
      </w:pPr>
      <w:r w:rsidRPr="00243D9C">
        <w:rPr>
          <w:sz w:val="24"/>
          <w:szCs w:val="24"/>
        </w:rPr>
        <w:t>Ikke mærkning</w:t>
      </w:r>
      <w:r>
        <w:rPr>
          <w:sz w:val="24"/>
          <w:szCs w:val="24"/>
        </w:rPr>
        <w:t>.</w:t>
      </w:r>
    </w:p>
    <w:p w14:paraId="68C524D7" w14:textId="77777777" w:rsidR="00243D9C" w:rsidRPr="00243D9C" w:rsidRDefault="00243D9C" w:rsidP="00243D9C">
      <w:pPr>
        <w:tabs>
          <w:tab w:val="left" w:pos="851"/>
        </w:tabs>
        <w:ind w:left="851"/>
        <w:rPr>
          <w:sz w:val="24"/>
          <w:szCs w:val="24"/>
        </w:rPr>
      </w:pPr>
      <w:r w:rsidRPr="00243D9C">
        <w:rPr>
          <w:sz w:val="24"/>
          <w:szCs w:val="24"/>
        </w:rPr>
        <w:t>Forekomsten af bivirkninger ved erythromycin kan påvirke evnen til at føre motorkøretøj og betjene maskiner. Erfaringer indtil dato viser, at erythromycin har en ubetydelig indvirkning på koncentrations- og reaktionsevnen.</w:t>
      </w:r>
    </w:p>
    <w:p w14:paraId="7358ACAA" w14:textId="77777777" w:rsidR="009260DE" w:rsidRPr="00C84483" w:rsidRDefault="009260DE" w:rsidP="009260DE">
      <w:pPr>
        <w:tabs>
          <w:tab w:val="left" w:pos="851"/>
        </w:tabs>
        <w:ind w:left="851"/>
        <w:rPr>
          <w:sz w:val="24"/>
          <w:szCs w:val="24"/>
        </w:rPr>
      </w:pPr>
    </w:p>
    <w:p w14:paraId="2BE4F4B0"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4B555D50" w14:textId="77777777" w:rsidR="00243D9C" w:rsidRPr="004921DB" w:rsidRDefault="00243D9C" w:rsidP="004921DB">
      <w:pPr>
        <w:ind w:left="851"/>
        <w:rPr>
          <w:sz w:val="24"/>
          <w:szCs w:val="24"/>
          <w:lang w:eastAsia="fr-LU"/>
        </w:rPr>
      </w:pPr>
    </w:p>
    <w:p w14:paraId="24E9ADEA" w14:textId="77777777" w:rsidR="00243D9C" w:rsidRPr="004921DB" w:rsidRDefault="00243D9C" w:rsidP="004921DB">
      <w:pPr>
        <w:ind w:left="851"/>
        <w:rPr>
          <w:sz w:val="24"/>
          <w:szCs w:val="24"/>
          <w:u w:val="single"/>
        </w:rPr>
      </w:pPr>
      <w:r w:rsidRPr="004921DB">
        <w:rPr>
          <w:sz w:val="24"/>
          <w:szCs w:val="24"/>
          <w:u w:val="single"/>
        </w:rPr>
        <w:t xml:space="preserve">Oversigt over sikkerhedsprofilen </w:t>
      </w:r>
    </w:p>
    <w:p w14:paraId="33C1BA68" w14:textId="77777777" w:rsidR="00243D9C" w:rsidRPr="004921DB" w:rsidRDefault="00243D9C" w:rsidP="004921DB">
      <w:pPr>
        <w:ind w:left="851"/>
        <w:rPr>
          <w:sz w:val="24"/>
          <w:szCs w:val="24"/>
        </w:rPr>
      </w:pPr>
      <w:r w:rsidRPr="004921DB">
        <w:rPr>
          <w:sz w:val="24"/>
          <w:szCs w:val="24"/>
        </w:rPr>
        <w:t xml:space="preserve">Bivirkningsprofilen, der er vist nedenfor, er baseret på erfaringer efter markedsførelse. De hyppigst indberettede bivirkninger var gastrointestinale lidelser, for det meste af mild karakter i form af anoreksi, opkastningsfornemmelser, opkastninger, mavesmerter, kvalme, flatulens, ubehag, kramper, blød afføring eller diarré. </w:t>
      </w:r>
    </w:p>
    <w:p w14:paraId="2A18FDCD" w14:textId="77777777" w:rsidR="00243D9C" w:rsidRPr="004921DB" w:rsidRDefault="00243D9C" w:rsidP="004921DB">
      <w:pPr>
        <w:ind w:left="851"/>
        <w:rPr>
          <w:sz w:val="24"/>
          <w:szCs w:val="24"/>
        </w:rPr>
      </w:pPr>
    </w:p>
    <w:p w14:paraId="1BCD6908" w14:textId="77777777" w:rsidR="00243D9C" w:rsidRPr="004921DB" w:rsidRDefault="00243D9C" w:rsidP="004921DB">
      <w:pPr>
        <w:ind w:left="851"/>
        <w:rPr>
          <w:sz w:val="24"/>
          <w:szCs w:val="24"/>
          <w:u w:val="single"/>
        </w:rPr>
      </w:pPr>
      <w:r w:rsidRPr="004921DB">
        <w:rPr>
          <w:sz w:val="24"/>
          <w:szCs w:val="24"/>
          <w:u w:val="single"/>
        </w:rPr>
        <w:t xml:space="preserve">Tabel over bivirkninger </w:t>
      </w:r>
    </w:p>
    <w:p w14:paraId="32431D4A" w14:textId="77777777" w:rsidR="00243D9C" w:rsidRPr="004921DB" w:rsidRDefault="00243D9C" w:rsidP="004921DB">
      <w:pPr>
        <w:ind w:left="851"/>
        <w:rPr>
          <w:sz w:val="24"/>
          <w:szCs w:val="24"/>
        </w:rPr>
      </w:pPr>
      <w:r w:rsidRPr="004921DB">
        <w:rPr>
          <w:sz w:val="24"/>
          <w:szCs w:val="24"/>
        </w:rPr>
        <w:t>Bivirkninger fra erfaring efter markedsførelse er angivet i nedenstående tabel efter systemorganklasse og hyppighed. Hyppigheden defineres som følger: Meget almindelig (≥1/10), almindelig (≥1/100, &lt;1/10), ikke almindelig (≥1/1.000, &lt;1/100), sjælden (≥1/10.000, &lt;1/1.000), meget sjælden (&lt;1/10.000), ikke kendt (kan ikke estimeres ud fra forhåndenværende data).</w:t>
      </w:r>
    </w:p>
    <w:p w14:paraId="53C7815D" w14:textId="77777777" w:rsidR="00243D9C" w:rsidRPr="004921DB" w:rsidRDefault="00243D9C" w:rsidP="004921DB">
      <w:pPr>
        <w:ind w:left="851"/>
        <w:rPr>
          <w:sz w:val="24"/>
          <w:szCs w:val="24"/>
        </w:rPr>
      </w:pPr>
    </w:p>
    <w:tbl>
      <w:tblPr>
        <w:tblW w:w="9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9"/>
        <w:gridCol w:w="1416"/>
        <w:gridCol w:w="1407"/>
        <w:gridCol w:w="1554"/>
        <w:gridCol w:w="1416"/>
        <w:gridCol w:w="1986"/>
      </w:tblGrid>
      <w:tr w:rsidR="00243D9C" w14:paraId="200E18E6" w14:textId="77777777" w:rsidTr="00243D9C">
        <w:tc>
          <w:tcPr>
            <w:tcW w:w="1594" w:type="dxa"/>
            <w:tcBorders>
              <w:top w:val="single" w:sz="4" w:space="0" w:color="000000"/>
              <w:left w:val="single" w:sz="4" w:space="0" w:color="000000"/>
              <w:bottom w:val="single" w:sz="4" w:space="0" w:color="000000"/>
              <w:right w:val="single" w:sz="4" w:space="0" w:color="000000"/>
            </w:tcBorders>
            <w:hideMark/>
          </w:tcPr>
          <w:p w14:paraId="27BAB2B0" w14:textId="77777777" w:rsidR="00243D9C" w:rsidRDefault="00243D9C">
            <w:pPr>
              <w:tabs>
                <w:tab w:val="left" w:pos="567"/>
              </w:tabs>
              <w:rPr>
                <w:sz w:val="20"/>
                <w:lang w:val="en-GB"/>
              </w:rPr>
            </w:pPr>
            <w:r>
              <w:rPr>
                <w:b/>
                <w:lang w:val="en-GB"/>
              </w:rPr>
              <w:t>MedDRA-term</w:t>
            </w:r>
          </w:p>
        </w:tc>
        <w:tc>
          <w:tcPr>
            <w:tcW w:w="7880" w:type="dxa"/>
            <w:gridSpan w:val="5"/>
            <w:tcBorders>
              <w:top w:val="single" w:sz="4" w:space="0" w:color="000000"/>
              <w:left w:val="single" w:sz="4" w:space="0" w:color="000000"/>
              <w:bottom w:val="single" w:sz="4" w:space="0" w:color="000000"/>
              <w:right w:val="single" w:sz="4" w:space="0" w:color="000000"/>
            </w:tcBorders>
            <w:hideMark/>
          </w:tcPr>
          <w:p w14:paraId="4065E4FA" w14:textId="77777777" w:rsidR="00243D9C" w:rsidRDefault="00243D9C">
            <w:pPr>
              <w:tabs>
                <w:tab w:val="left" w:pos="567"/>
              </w:tabs>
              <w:jc w:val="center"/>
              <w:rPr>
                <w:lang w:val="en-GB"/>
              </w:rPr>
            </w:pPr>
            <w:r>
              <w:rPr>
                <w:b/>
                <w:lang w:val="en-GB"/>
              </w:rPr>
              <w:t>Hyppighedskategori</w:t>
            </w:r>
          </w:p>
        </w:tc>
      </w:tr>
      <w:tr w:rsidR="00243D9C" w14:paraId="3898998C" w14:textId="77777777" w:rsidTr="00243D9C">
        <w:tc>
          <w:tcPr>
            <w:tcW w:w="1594" w:type="dxa"/>
            <w:tcBorders>
              <w:top w:val="single" w:sz="4" w:space="0" w:color="000000"/>
              <w:left w:val="single" w:sz="4" w:space="0" w:color="000000"/>
              <w:bottom w:val="single" w:sz="4" w:space="0" w:color="000000"/>
              <w:right w:val="single" w:sz="4" w:space="0" w:color="000000"/>
            </w:tcBorders>
          </w:tcPr>
          <w:p w14:paraId="57DDED5F" w14:textId="77777777" w:rsidR="00243D9C" w:rsidRDefault="00243D9C">
            <w:pPr>
              <w:tabs>
                <w:tab w:val="left" w:pos="567"/>
              </w:tabs>
              <w:rPr>
                <w:lang w:val="en-GB"/>
              </w:rPr>
            </w:pPr>
          </w:p>
        </w:tc>
        <w:tc>
          <w:tcPr>
            <w:tcW w:w="1483" w:type="dxa"/>
            <w:tcBorders>
              <w:top w:val="single" w:sz="4" w:space="0" w:color="000000"/>
              <w:left w:val="single" w:sz="4" w:space="0" w:color="000000"/>
              <w:bottom w:val="single" w:sz="4" w:space="0" w:color="000000"/>
              <w:right w:val="single" w:sz="4" w:space="0" w:color="000000"/>
            </w:tcBorders>
            <w:hideMark/>
          </w:tcPr>
          <w:p w14:paraId="77E829BA" w14:textId="77777777" w:rsidR="00243D9C" w:rsidRDefault="00243D9C">
            <w:pPr>
              <w:pStyle w:val="Default"/>
              <w:jc w:val="center"/>
              <w:rPr>
                <w:rFonts w:ascii="Times New Roman" w:hAnsi="Times New Roman" w:cs="Times New Roman"/>
                <w:b/>
                <w:color w:val="auto"/>
                <w:sz w:val="20"/>
                <w:szCs w:val="22"/>
                <w:lang w:val="en-GB"/>
              </w:rPr>
            </w:pPr>
            <w:r>
              <w:rPr>
                <w:rFonts w:ascii="Times New Roman" w:hAnsi="Times New Roman" w:cs="Times New Roman"/>
                <w:b/>
                <w:color w:val="auto"/>
                <w:sz w:val="20"/>
                <w:szCs w:val="22"/>
                <w:lang w:val="en-GB"/>
              </w:rPr>
              <w:t>Almindelig</w:t>
            </w:r>
          </w:p>
        </w:tc>
        <w:tc>
          <w:tcPr>
            <w:tcW w:w="1454" w:type="dxa"/>
            <w:tcBorders>
              <w:top w:val="single" w:sz="4" w:space="0" w:color="000000"/>
              <w:left w:val="single" w:sz="4" w:space="0" w:color="000000"/>
              <w:bottom w:val="single" w:sz="4" w:space="0" w:color="000000"/>
              <w:right w:val="single" w:sz="4" w:space="0" w:color="000000"/>
            </w:tcBorders>
            <w:hideMark/>
          </w:tcPr>
          <w:p w14:paraId="2095CB12" w14:textId="77777777" w:rsidR="00243D9C" w:rsidRDefault="00243D9C">
            <w:pPr>
              <w:pStyle w:val="Default"/>
              <w:jc w:val="center"/>
              <w:rPr>
                <w:rFonts w:ascii="Times New Roman" w:hAnsi="Times New Roman" w:cs="Times New Roman"/>
                <w:b/>
                <w:color w:val="auto"/>
                <w:sz w:val="20"/>
                <w:szCs w:val="22"/>
                <w:lang w:val="en-GB"/>
              </w:rPr>
            </w:pPr>
            <w:r>
              <w:rPr>
                <w:rFonts w:ascii="Times New Roman" w:hAnsi="Times New Roman" w:cs="Times New Roman"/>
                <w:b/>
                <w:color w:val="auto"/>
                <w:sz w:val="20"/>
                <w:szCs w:val="22"/>
                <w:lang w:val="en-GB"/>
              </w:rPr>
              <w:t>Ikke almindelig</w:t>
            </w:r>
          </w:p>
        </w:tc>
        <w:tc>
          <w:tcPr>
            <w:tcW w:w="2106" w:type="dxa"/>
            <w:tcBorders>
              <w:top w:val="single" w:sz="4" w:space="0" w:color="000000"/>
              <w:left w:val="single" w:sz="4" w:space="0" w:color="000000"/>
              <w:bottom w:val="single" w:sz="4" w:space="0" w:color="000000"/>
              <w:right w:val="single" w:sz="4" w:space="0" w:color="000000"/>
            </w:tcBorders>
            <w:hideMark/>
          </w:tcPr>
          <w:p w14:paraId="2D9C26D1" w14:textId="77777777" w:rsidR="00243D9C" w:rsidRDefault="00243D9C">
            <w:pPr>
              <w:pStyle w:val="Default"/>
              <w:jc w:val="center"/>
              <w:rPr>
                <w:rFonts w:ascii="Times New Roman" w:hAnsi="Times New Roman" w:cs="Times New Roman"/>
                <w:b/>
                <w:color w:val="auto"/>
                <w:sz w:val="20"/>
                <w:szCs w:val="22"/>
                <w:lang w:val="en-GB"/>
              </w:rPr>
            </w:pPr>
            <w:r>
              <w:rPr>
                <w:rFonts w:ascii="Times New Roman" w:hAnsi="Times New Roman" w:cs="Times New Roman"/>
                <w:b/>
                <w:color w:val="auto"/>
                <w:sz w:val="20"/>
                <w:szCs w:val="22"/>
                <w:lang w:val="en-GB"/>
              </w:rPr>
              <w:t>Sjælden</w:t>
            </w:r>
          </w:p>
        </w:tc>
        <w:tc>
          <w:tcPr>
            <w:tcW w:w="1388" w:type="dxa"/>
            <w:tcBorders>
              <w:top w:val="single" w:sz="4" w:space="0" w:color="000000"/>
              <w:left w:val="single" w:sz="4" w:space="0" w:color="000000"/>
              <w:bottom w:val="single" w:sz="4" w:space="0" w:color="000000"/>
              <w:right w:val="single" w:sz="4" w:space="0" w:color="000000"/>
            </w:tcBorders>
            <w:hideMark/>
          </w:tcPr>
          <w:p w14:paraId="5A89D905" w14:textId="77777777" w:rsidR="00243D9C" w:rsidRDefault="00243D9C">
            <w:pPr>
              <w:pStyle w:val="Default"/>
              <w:jc w:val="center"/>
              <w:rPr>
                <w:rFonts w:ascii="Times New Roman" w:hAnsi="Times New Roman" w:cs="Times New Roman"/>
                <w:b/>
                <w:color w:val="auto"/>
                <w:sz w:val="20"/>
                <w:szCs w:val="22"/>
                <w:lang w:val="en-GB"/>
              </w:rPr>
            </w:pPr>
            <w:r>
              <w:rPr>
                <w:rFonts w:ascii="Times New Roman" w:hAnsi="Times New Roman" w:cs="Times New Roman"/>
                <w:b/>
                <w:color w:val="auto"/>
                <w:sz w:val="20"/>
                <w:szCs w:val="22"/>
                <w:lang w:val="en-GB"/>
              </w:rPr>
              <w:t>Meget sjælden</w:t>
            </w:r>
          </w:p>
        </w:tc>
        <w:tc>
          <w:tcPr>
            <w:tcW w:w="1449" w:type="dxa"/>
            <w:tcBorders>
              <w:top w:val="single" w:sz="4" w:space="0" w:color="000000"/>
              <w:left w:val="single" w:sz="4" w:space="0" w:color="000000"/>
              <w:bottom w:val="single" w:sz="4" w:space="0" w:color="000000"/>
              <w:right w:val="single" w:sz="4" w:space="0" w:color="000000"/>
            </w:tcBorders>
            <w:hideMark/>
          </w:tcPr>
          <w:p w14:paraId="75577E63" w14:textId="77777777" w:rsidR="00243D9C" w:rsidRDefault="00243D9C">
            <w:pPr>
              <w:pStyle w:val="Default"/>
              <w:jc w:val="center"/>
              <w:rPr>
                <w:rFonts w:ascii="Times New Roman" w:hAnsi="Times New Roman" w:cs="Times New Roman"/>
                <w:b/>
                <w:color w:val="auto"/>
                <w:sz w:val="20"/>
                <w:szCs w:val="22"/>
                <w:lang w:val="en-GB"/>
              </w:rPr>
            </w:pPr>
            <w:r>
              <w:rPr>
                <w:rFonts w:ascii="Times New Roman" w:hAnsi="Times New Roman" w:cs="Times New Roman"/>
                <w:b/>
                <w:color w:val="auto"/>
                <w:sz w:val="20"/>
                <w:szCs w:val="22"/>
                <w:lang w:val="en-GB"/>
              </w:rPr>
              <w:t>Ukendt</w:t>
            </w:r>
          </w:p>
        </w:tc>
      </w:tr>
      <w:tr w:rsidR="00243D9C" w14:paraId="4C047D92" w14:textId="77777777" w:rsidTr="00243D9C">
        <w:tc>
          <w:tcPr>
            <w:tcW w:w="1594" w:type="dxa"/>
            <w:tcBorders>
              <w:top w:val="single" w:sz="4" w:space="0" w:color="000000"/>
              <w:left w:val="single" w:sz="4" w:space="0" w:color="000000"/>
              <w:bottom w:val="single" w:sz="4" w:space="0" w:color="000000"/>
              <w:right w:val="single" w:sz="4" w:space="0" w:color="000000"/>
            </w:tcBorders>
            <w:hideMark/>
          </w:tcPr>
          <w:p w14:paraId="514753D2" w14:textId="77777777" w:rsidR="00243D9C" w:rsidRDefault="00243D9C">
            <w:pPr>
              <w:pStyle w:val="Default"/>
              <w:rPr>
                <w:rFonts w:ascii="Times New Roman" w:hAnsi="Times New Roman" w:cs="Times New Roman"/>
                <w:color w:val="auto"/>
                <w:sz w:val="20"/>
                <w:szCs w:val="22"/>
                <w:lang w:val="en-GB"/>
              </w:rPr>
            </w:pPr>
            <w:r>
              <w:rPr>
                <w:rFonts w:ascii="Times New Roman" w:hAnsi="Times New Roman" w:cs="Times New Roman"/>
                <w:b/>
                <w:bCs/>
                <w:color w:val="auto"/>
                <w:sz w:val="20"/>
                <w:szCs w:val="22"/>
                <w:lang w:val="en-GB"/>
              </w:rPr>
              <w:t>Infektioner og parasitære sygdomme</w:t>
            </w:r>
          </w:p>
        </w:tc>
        <w:tc>
          <w:tcPr>
            <w:tcW w:w="1483" w:type="dxa"/>
            <w:tcBorders>
              <w:top w:val="single" w:sz="4" w:space="0" w:color="000000"/>
              <w:left w:val="single" w:sz="4" w:space="0" w:color="000000"/>
              <w:bottom w:val="single" w:sz="4" w:space="0" w:color="000000"/>
              <w:right w:val="single" w:sz="4" w:space="0" w:color="000000"/>
            </w:tcBorders>
          </w:tcPr>
          <w:p w14:paraId="38676F77" w14:textId="77777777" w:rsidR="00243D9C" w:rsidRDefault="00243D9C">
            <w:pPr>
              <w:pStyle w:val="Default"/>
              <w:rPr>
                <w:rFonts w:ascii="Times New Roman" w:hAnsi="Times New Roman" w:cs="Times New Roman"/>
                <w:color w:val="auto"/>
                <w:sz w:val="20"/>
                <w:szCs w:val="22"/>
                <w:lang w:val="en-GB"/>
              </w:rPr>
            </w:pPr>
          </w:p>
        </w:tc>
        <w:tc>
          <w:tcPr>
            <w:tcW w:w="1454" w:type="dxa"/>
            <w:tcBorders>
              <w:top w:val="single" w:sz="4" w:space="0" w:color="000000"/>
              <w:left w:val="single" w:sz="4" w:space="0" w:color="000000"/>
              <w:bottom w:val="single" w:sz="4" w:space="0" w:color="000000"/>
              <w:right w:val="single" w:sz="4" w:space="0" w:color="000000"/>
            </w:tcBorders>
            <w:hideMark/>
          </w:tcPr>
          <w:p w14:paraId="732BE957" w14:textId="77777777" w:rsidR="00243D9C" w:rsidRPr="00243D9C" w:rsidRDefault="00243D9C">
            <w:pPr>
              <w:pStyle w:val="Default"/>
              <w:rPr>
                <w:rFonts w:ascii="Times New Roman" w:hAnsi="Times New Roman" w:cs="Times New Roman"/>
                <w:color w:val="auto"/>
                <w:sz w:val="20"/>
                <w:szCs w:val="22"/>
              </w:rPr>
            </w:pPr>
            <w:r w:rsidRPr="00243D9C">
              <w:rPr>
                <w:rFonts w:ascii="Times New Roman" w:hAnsi="Times New Roman" w:cs="Times New Roman"/>
                <w:color w:val="auto"/>
                <w:sz w:val="20"/>
                <w:szCs w:val="22"/>
              </w:rPr>
              <w:t>Superinfektioner forårsaget af resistente bakterier eller svampe, fx oral og vaginal candidiasis</w:t>
            </w:r>
          </w:p>
        </w:tc>
        <w:tc>
          <w:tcPr>
            <w:tcW w:w="2106" w:type="dxa"/>
            <w:tcBorders>
              <w:top w:val="single" w:sz="4" w:space="0" w:color="000000"/>
              <w:left w:val="single" w:sz="4" w:space="0" w:color="000000"/>
              <w:bottom w:val="single" w:sz="4" w:space="0" w:color="000000"/>
              <w:right w:val="single" w:sz="4" w:space="0" w:color="000000"/>
            </w:tcBorders>
            <w:hideMark/>
          </w:tcPr>
          <w:p w14:paraId="76A3A8E3" w14:textId="77777777" w:rsidR="00243D9C" w:rsidRDefault="00243D9C">
            <w:pPr>
              <w:pStyle w:val="Default"/>
              <w:rPr>
                <w:rFonts w:ascii="Times New Roman" w:hAnsi="Times New Roman" w:cs="Times New Roman"/>
                <w:color w:val="auto"/>
                <w:sz w:val="20"/>
                <w:szCs w:val="22"/>
                <w:lang w:val="en-GB"/>
              </w:rPr>
            </w:pPr>
            <w:r>
              <w:rPr>
                <w:rFonts w:ascii="Times New Roman" w:hAnsi="Times New Roman"/>
                <w:color w:val="auto"/>
                <w:sz w:val="20"/>
                <w:szCs w:val="22"/>
                <w:lang w:val="en-GB"/>
              </w:rPr>
              <w:t>Pseudomembranøs colitis</w:t>
            </w:r>
          </w:p>
        </w:tc>
        <w:tc>
          <w:tcPr>
            <w:tcW w:w="1388" w:type="dxa"/>
            <w:tcBorders>
              <w:top w:val="single" w:sz="4" w:space="0" w:color="000000"/>
              <w:left w:val="single" w:sz="4" w:space="0" w:color="000000"/>
              <w:bottom w:val="single" w:sz="4" w:space="0" w:color="000000"/>
              <w:right w:val="single" w:sz="4" w:space="0" w:color="000000"/>
            </w:tcBorders>
          </w:tcPr>
          <w:p w14:paraId="7F92F716" w14:textId="77777777" w:rsidR="00243D9C" w:rsidRDefault="00243D9C">
            <w:pPr>
              <w:pStyle w:val="Default"/>
              <w:rPr>
                <w:rFonts w:ascii="Times New Roman" w:hAnsi="Times New Roman" w:cs="Times New Roman"/>
                <w:color w:val="auto"/>
                <w:sz w:val="20"/>
                <w:szCs w:val="22"/>
                <w:lang w:val="en-GB"/>
              </w:rPr>
            </w:pPr>
          </w:p>
        </w:tc>
        <w:tc>
          <w:tcPr>
            <w:tcW w:w="1449" w:type="dxa"/>
            <w:tcBorders>
              <w:top w:val="single" w:sz="4" w:space="0" w:color="000000"/>
              <w:left w:val="single" w:sz="4" w:space="0" w:color="000000"/>
              <w:bottom w:val="single" w:sz="4" w:space="0" w:color="000000"/>
              <w:right w:val="single" w:sz="4" w:space="0" w:color="000000"/>
            </w:tcBorders>
          </w:tcPr>
          <w:p w14:paraId="441DF31D" w14:textId="77777777" w:rsidR="00243D9C" w:rsidRDefault="00243D9C">
            <w:pPr>
              <w:tabs>
                <w:tab w:val="left" w:pos="567"/>
              </w:tabs>
              <w:rPr>
                <w:sz w:val="20"/>
                <w:lang w:val="en-GB"/>
              </w:rPr>
            </w:pPr>
          </w:p>
        </w:tc>
      </w:tr>
      <w:tr w:rsidR="00243D9C" w14:paraId="733095F9" w14:textId="77777777" w:rsidTr="00243D9C">
        <w:tc>
          <w:tcPr>
            <w:tcW w:w="1594" w:type="dxa"/>
            <w:tcBorders>
              <w:top w:val="single" w:sz="4" w:space="0" w:color="000000"/>
              <w:left w:val="single" w:sz="4" w:space="0" w:color="000000"/>
              <w:bottom w:val="single" w:sz="4" w:space="0" w:color="000000"/>
              <w:right w:val="single" w:sz="4" w:space="0" w:color="000000"/>
            </w:tcBorders>
            <w:hideMark/>
          </w:tcPr>
          <w:p w14:paraId="6352224E" w14:textId="77777777" w:rsidR="00243D9C" w:rsidRDefault="00243D9C">
            <w:pPr>
              <w:pStyle w:val="Default"/>
              <w:rPr>
                <w:rFonts w:ascii="Times New Roman" w:hAnsi="Times New Roman" w:cs="Times New Roman"/>
                <w:color w:val="auto"/>
                <w:sz w:val="20"/>
                <w:szCs w:val="22"/>
                <w:lang w:val="en-GB"/>
              </w:rPr>
            </w:pPr>
            <w:r>
              <w:rPr>
                <w:rFonts w:ascii="Times New Roman" w:hAnsi="Times New Roman" w:cs="Times New Roman"/>
                <w:b/>
                <w:bCs/>
                <w:color w:val="auto"/>
                <w:sz w:val="20"/>
                <w:szCs w:val="22"/>
                <w:lang w:val="en-GB"/>
              </w:rPr>
              <w:t xml:space="preserve">Blod og lymfesystem  </w:t>
            </w:r>
          </w:p>
        </w:tc>
        <w:tc>
          <w:tcPr>
            <w:tcW w:w="1483" w:type="dxa"/>
            <w:tcBorders>
              <w:top w:val="single" w:sz="4" w:space="0" w:color="000000"/>
              <w:left w:val="single" w:sz="4" w:space="0" w:color="000000"/>
              <w:bottom w:val="single" w:sz="4" w:space="0" w:color="000000"/>
              <w:right w:val="single" w:sz="4" w:space="0" w:color="000000"/>
            </w:tcBorders>
          </w:tcPr>
          <w:p w14:paraId="60FAE320" w14:textId="77777777" w:rsidR="00243D9C" w:rsidRDefault="00243D9C">
            <w:pPr>
              <w:pStyle w:val="Default"/>
              <w:rPr>
                <w:rFonts w:ascii="Times New Roman" w:hAnsi="Times New Roman" w:cs="Times New Roman"/>
                <w:color w:val="auto"/>
                <w:sz w:val="20"/>
                <w:szCs w:val="22"/>
                <w:lang w:val="en-GB"/>
              </w:rPr>
            </w:pPr>
          </w:p>
        </w:tc>
        <w:tc>
          <w:tcPr>
            <w:tcW w:w="1454" w:type="dxa"/>
            <w:tcBorders>
              <w:top w:val="single" w:sz="4" w:space="0" w:color="000000"/>
              <w:left w:val="single" w:sz="4" w:space="0" w:color="000000"/>
              <w:bottom w:val="single" w:sz="4" w:space="0" w:color="000000"/>
              <w:right w:val="single" w:sz="4" w:space="0" w:color="000000"/>
            </w:tcBorders>
          </w:tcPr>
          <w:p w14:paraId="13E825D5" w14:textId="77777777" w:rsidR="00243D9C" w:rsidRDefault="00243D9C">
            <w:pPr>
              <w:pStyle w:val="Default"/>
              <w:rPr>
                <w:rFonts w:ascii="Times New Roman" w:hAnsi="Times New Roman" w:cs="Times New Roman"/>
                <w:color w:val="auto"/>
                <w:sz w:val="20"/>
                <w:szCs w:val="22"/>
                <w:lang w:val="en-GB"/>
              </w:rPr>
            </w:pPr>
          </w:p>
        </w:tc>
        <w:tc>
          <w:tcPr>
            <w:tcW w:w="2106" w:type="dxa"/>
            <w:tcBorders>
              <w:top w:val="single" w:sz="4" w:space="0" w:color="000000"/>
              <w:left w:val="single" w:sz="4" w:space="0" w:color="000000"/>
              <w:bottom w:val="single" w:sz="4" w:space="0" w:color="000000"/>
              <w:right w:val="single" w:sz="4" w:space="0" w:color="000000"/>
            </w:tcBorders>
          </w:tcPr>
          <w:p w14:paraId="4C0022BC" w14:textId="77777777" w:rsidR="00243D9C" w:rsidRDefault="00243D9C">
            <w:pPr>
              <w:pStyle w:val="Default"/>
              <w:rPr>
                <w:rFonts w:ascii="Times New Roman" w:hAnsi="Times New Roman" w:cs="Times New Roman"/>
                <w:color w:val="auto"/>
                <w:sz w:val="20"/>
                <w:szCs w:val="22"/>
                <w:lang w:val="en-GB"/>
              </w:rPr>
            </w:pPr>
          </w:p>
        </w:tc>
        <w:tc>
          <w:tcPr>
            <w:tcW w:w="1388" w:type="dxa"/>
            <w:tcBorders>
              <w:top w:val="single" w:sz="4" w:space="0" w:color="000000"/>
              <w:left w:val="single" w:sz="4" w:space="0" w:color="000000"/>
              <w:bottom w:val="single" w:sz="4" w:space="0" w:color="000000"/>
              <w:right w:val="single" w:sz="4" w:space="0" w:color="000000"/>
            </w:tcBorders>
          </w:tcPr>
          <w:p w14:paraId="3C4175A4" w14:textId="77777777" w:rsidR="00243D9C" w:rsidRDefault="00243D9C">
            <w:pPr>
              <w:pStyle w:val="Default"/>
              <w:rPr>
                <w:rFonts w:ascii="Times New Roman" w:hAnsi="Times New Roman" w:cs="Times New Roman"/>
                <w:color w:val="auto"/>
                <w:sz w:val="20"/>
                <w:szCs w:val="22"/>
                <w:lang w:val="en-GB"/>
              </w:rPr>
            </w:pPr>
          </w:p>
        </w:tc>
        <w:tc>
          <w:tcPr>
            <w:tcW w:w="1449" w:type="dxa"/>
            <w:tcBorders>
              <w:top w:val="single" w:sz="4" w:space="0" w:color="000000"/>
              <w:left w:val="single" w:sz="4" w:space="0" w:color="000000"/>
              <w:bottom w:val="single" w:sz="4" w:space="0" w:color="000000"/>
              <w:right w:val="single" w:sz="4" w:space="0" w:color="000000"/>
            </w:tcBorders>
            <w:hideMark/>
          </w:tcPr>
          <w:p w14:paraId="364AEB45" w14:textId="77777777" w:rsidR="00243D9C" w:rsidRDefault="00243D9C">
            <w:pPr>
              <w:tabs>
                <w:tab w:val="left" w:pos="567"/>
              </w:tabs>
              <w:rPr>
                <w:sz w:val="20"/>
                <w:lang w:val="en-GB"/>
              </w:rPr>
            </w:pPr>
            <w:r>
              <w:rPr>
                <w:lang w:val="en-GB"/>
              </w:rPr>
              <w:t>Eosinofili</w:t>
            </w:r>
          </w:p>
        </w:tc>
      </w:tr>
      <w:tr w:rsidR="00243D9C" w14:paraId="744EED42" w14:textId="77777777" w:rsidTr="00243D9C">
        <w:tc>
          <w:tcPr>
            <w:tcW w:w="1594" w:type="dxa"/>
            <w:tcBorders>
              <w:top w:val="single" w:sz="4" w:space="0" w:color="000000"/>
              <w:left w:val="single" w:sz="4" w:space="0" w:color="000000"/>
              <w:bottom w:val="single" w:sz="4" w:space="0" w:color="000000"/>
              <w:right w:val="single" w:sz="4" w:space="0" w:color="000000"/>
            </w:tcBorders>
            <w:hideMark/>
          </w:tcPr>
          <w:p w14:paraId="29F65E7B" w14:textId="77777777" w:rsidR="00243D9C" w:rsidRDefault="00243D9C">
            <w:pPr>
              <w:pStyle w:val="Default"/>
              <w:rPr>
                <w:rFonts w:ascii="Times New Roman" w:hAnsi="Times New Roman" w:cs="Times New Roman"/>
                <w:color w:val="auto"/>
                <w:sz w:val="20"/>
                <w:szCs w:val="22"/>
                <w:lang w:val="en-GB"/>
              </w:rPr>
            </w:pPr>
            <w:r>
              <w:rPr>
                <w:rFonts w:ascii="Times New Roman" w:hAnsi="Times New Roman" w:cs="Times New Roman"/>
                <w:b/>
                <w:bCs/>
                <w:color w:val="auto"/>
                <w:sz w:val="20"/>
                <w:szCs w:val="22"/>
                <w:lang w:val="en-GB"/>
              </w:rPr>
              <w:t xml:space="preserve">Immunsystemet </w:t>
            </w:r>
          </w:p>
        </w:tc>
        <w:tc>
          <w:tcPr>
            <w:tcW w:w="1483" w:type="dxa"/>
            <w:tcBorders>
              <w:top w:val="single" w:sz="4" w:space="0" w:color="000000"/>
              <w:left w:val="single" w:sz="4" w:space="0" w:color="000000"/>
              <w:bottom w:val="single" w:sz="4" w:space="0" w:color="000000"/>
              <w:right w:val="single" w:sz="4" w:space="0" w:color="000000"/>
            </w:tcBorders>
          </w:tcPr>
          <w:p w14:paraId="6B93533F" w14:textId="77777777" w:rsidR="00243D9C" w:rsidRDefault="00243D9C">
            <w:pPr>
              <w:pStyle w:val="Default"/>
              <w:rPr>
                <w:rFonts w:ascii="Times New Roman" w:hAnsi="Times New Roman" w:cs="Times New Roman"/>
                <w:color w:val="auto"/>
                <w:sz w:val="20"/>
                <w:szCs w:val="22"/>
                <w:lang w:val="en-GB"/>
              </w:rPr>
            </w:pPr>
          </w:p>
        </w:tc>
        <w:tc>
          <w:tcPr>
            <w:tcW w:w="1454" w:type="dxa"/>
            <w:tcBorders>
              <w:top w:val="single" w:sz="4" w:space="0" w:color="000000"/>
              <w:left w:val="single" w:sz="4" w:space="0" w:color="000000"/>
              <w:bottom w:val="single" w:sz="4" w:space="0" w:color="000000"/>
              <w:right w:val="single" w:sz="4" w:space="0" w:color="000000"/>
            </w:tcBorders>
            <w:hideMark/>
          </w:tcPr>
          <w:p w14:paraId="0DED8B6E" w14:textId="77777777" w:rsidR="00243D9C" w:rsidRDefault="00243D9C">
            <w:pPr>
              <w:pStyle w:val="Default"/>
              <w:rPr>
                <w:rFonts w:ascii="Times New Roman" w:hAnsi="Times New Roman" w:cs="Times New Roman"/>
                <w:color w:val="auto"/>
                <w:sz w:val="20"/>
                <w:szCs w:val="22"/>
                <w:lang w:val="en-GB"/>
              </w:rPr>
            </w:pPr>
            <w:r>
              <w:rPr>
                <w:rFonts w:ascii="Times New Roman" w:hAnsi="Times New Roman" w:cs="Times New Roman"/>
                <w:color w:val="auto"/>
                <w:sz w:val="20"/>
                <w:szCs w:val="22"/>
                <w:lang w:val="en-GB"/>
              </w:rPr>
              <w:t>Allergiske reaktioner</w:t>
            </w:r>
          </w:p>
        </w:tc>
        <w:tc>
          <w:tcPr>
            <w:tcW w:w="2106" w:type="dxa"/>
            <w:tcBorders>
              <w:top w:val="single" w:sz="4" w:space="0" w:color="000000"/>
              <w:left w:val="single" w:sz="4" w:space="0" w:color="000000"/>
              <w:bottom w:val="single" w:sz="4" w:space="0" w:color="000000"/>
              <w:right w:val="single" w:sz="4" w:space="0" w:color="000000"/>
            </w:tcBorders>
            <w:hideMark/>
          </w:tcPr>
          <w:p w14:paraId="6D0AB208" w14:textId="77777777" w:rsidR="00243D9C" w:rsidRPr="00243D9C" w:rsidRDefault="00243D9C">
            <w:pPr>
              <w:pStyle w:val="Default"/>
              <w:rPr>
                <w:color w:val="auto"/>
                <w:sz w:val="20"/>
                <w:szCs w:val="22"/>
              </w:rPr>
            </w:pPr>
            <w:r w:rsidRPr="00243D9C">
              <w:rPr>
                <w:rFonts w:ascii="Times New Roman" w:hAnsi="Times New Roman" w:cs="Times New Roman"/>
                <w:color w:val="auto"/>
                <w:sz w:val="20"/>
                <w:szCs w:val="22"/>
              </w:rPr>
              <w:t>Allergisk ødem/angioødem, anafylaktisk reaktion herunder anafylaktisk chok, anafylaksi</w:t>
            </w:r>
          </w:p>
        </w:tc>
        <w:tc>
          <w:tcPr>
            <w:tcW w:w="1388" w:type="dxa"/>
            <w:tcBorders>
              <w:top w:val="single" w:sz="4" w:space="0" w:color="000000"/>
              <w:left w:val="single" w:sz="4" w:space="0" w:color="000000"/>
              <w:bottom w:val="single" w:sz="4" w:space="0" w:color="000000"/>
              <w:right w:val="single" w:sz="4" w:space="0" w:color="000000"/>
            </w:tcBorders>
          </w:tcPr>
          <w:p w14:paraId="4E5CCA27" w14:textId="77777777" w:rsidR="00243D9C" w:rsidRPr="00243D9C" w:rsidRDefault="00243D9C">
            <w:pPr>
              <w:pStyle w:val="Default"/>
              <w:rPr>
                <w:rFonts w:ascii="Times New Roman" w:hAnsi="Times New Roman" w:cs="Times New Roman"/>
                <w:color w:val="auto"/>
                <w:sz w:val="20"/>
                <w:szCs w:val="22"/>
              </w:rPr>
            </w:pPr>
          </w:p>
        </w:tc>
        <w:tc>
          <w:tcPr>
            <w:tcW w:w="1449" w:type="dxa"/>
            <w:tcBorders>
              <w:top w:val="single" w:sz="4" w:space="0" w:color="000000"/>
              <w:left w:val="single" w:sz="4" w:space="0" w:color="000000"/>
              <w:bottom w:val="single" w:sz="4" w:space="0" w:color="000000"/>
              <w:right w:val="single" w:sz="4" w:space="0" w:color="000000"/>
            </w:tcBorders>
          </w:tcPr>
          <w:p w14:paraId="58C40DB6" w14:textId="77777777" w:rsidR="00243D9C" w:rsidRPr="00243D9C" w:rsidRDefault="00243D9C">
            <w:pPr>
              <w:tabs>
                <w:tab w:val="left" w:pos="567"/>
              </w:tabs>
              <w:rPr>
                <w:sz w:val="20"/>
              </w:rPr>
            </w:pPr>
          </w:p>
        </w:tc>
      </w:tr>
      <w:tr w:rsidR="00243D9C" w14:paraId="3091B1C9" w14:textId="77777777" w:rsidTr="00243D9C">
        <w:tc>
          <w:tcPr>
            <w:tcW w:w="1594" w:type="dxa"/>
            <w:tcBorders>
              <w:top w:val="single" w:sz="4" w:space="0" w:color="000000"/>
              <w:left w:val="single" w:sz="4" w:space="0" w:color="000000"/>
              <w:bottom w:val="single" w:sz="4" w:space="0" w:color="000000"/>
              <w:right w:val="single" w:sz="4" w:space="0" w:color="000000"/>
            </w:tcBorders>
            <w:hideMark/>
          </w:tcPr>
          <w:p w14:paraId="12F0FDA2" w14:textId="77777777" w:rsidR="00243D9C" w:rsidRDefault="00243D9C">
            <w:pPr>
              <w:pStyle w:val="Default"/>
              <w:rPr>
                <w:rFonts w:ascii="Times New Roman" w:hAnsi="Times New Roman" w:cs="Times New Roman"/>
                <w:color w:val="auto"/>
                <w:sz w:val="20"/>
                <w:szCs w:val="22"/>
                <w:lang w:val="en-GB"/>
              </w:rPr>
            </w:pPr>
            <w:r>
              <w:rPr>
                <w:rFonts w:ascii="Times New Roman" w:hAnsi="Times New Roman" w:cs="Times New Roman"/>
                <w:b/>
                <w:bCs/>
                <w:color w:val="auto"/>
                <w:sz w:val="20"/>
                <w:szCs w:val="22"/>
                <w:lang w:val="en-GB"/>
              </w:rPr>
              <w:t xml:space="preserve">Metabolisme og ernæring </w:t>
            </w:r>
          </w:p>
        </w:tc>
        <w:tc>
          <w:tcPr>
            <w:tcW w:w="1483" w:type="dxa"/>
            <w:tcBorders>
              <w:top w:val="single" w:sz="4" w:space="0" w:color="000000"/>
              <w:left w:val="single" w:sz="4" w:space="0" w:color="000000"/>
              <w:bottom w:val="single" w:sz="4" w:space="0" w:color="000000"/>
              <w:right w:val="single" w:sz="4" w:space="0" w:color="000000"/>
            </w:tcBorders>
          </w:tcPr>
          <w:p w14:paraId="423EDEAF" w14:textId="77777777" w:rsidR="00243D9C" w:rsidRDefault="00243D9C">
            <w:pPr>
              <w:pStyle w:val="Default"/>
              <w:rPr>
                <w:rFonts w:ascii="Times New Roman" w:hAnsi="Times New Roman" w:cs="Times New Roman"/>
                <w:color w:val="auto"/>
                <w:sz w:val="20"/>
                <w:szCs w:val="22"/>
                <w:lang w:val="en-GB"/>
              </w:rPr>
            </w:pPr>
          </w:p>
        </w:tc>
        <w:tc>
          <w:tcPr>
            <w:tcW w:w="1454" w:type="dxa"/>
            <w:tcBorders>
              <w:top w:val="single" w:sz="4" w:space="0" w:color="000000"/>
              <w:left w:val="single" w:sz="4" w:space="0" w:color="000000"/>
              <w:bottom w:val="single" w:sz="4" w:space="0" w:color="000000"/>
              <w:right w:val="single" w:sz="4" w:space="0" w:color="000000"/>
            </w:tcBorders>
          </w:tcPr>
          <w:p w14:paraId="00F1A736" w14:textId="77777777" w:rsidR="00243D9C" w:rsidRDefault="00243D9C">
            <w:pPr>
              <w:pStyle w:val="Default"/>
              <w:rPr>
                <w:rFonts w:ascii="Times New Roman" w:hAnsi="Times New Roman" w:cs="Times New Roman"/>
                <w:color w:val="auto"/>
                <w:sz w:val="20"/>
                <w:szCs w:val="22"/>
                <w:lang w:val="en-GB"/>
              </w:rPr>
            </w:pPr>
          </w:p>
        </w:tc>
        <w:tc>
          <w:tcPr>
            <w:tcW w:w="2106" w:type="dxa"/>
            <w:tcBorders>
              <w:top w:val="single" w:sz="4" w:space="0" w:color="000000"/>
              <w:left w:val="single" w:sz="4" w:space="0" w:color="000000"/>
              <w:bottom w:val="single" w:sz="4" w:space="0" w:color="000000"/>
              <w:right w:val="single" w:sz="4" w:space="0" w:color="000000"/>
            </w:tcBorders>
            <w:hideMark/>
          </w:tcPr>
          <w:p w14:paraId="51A8689B" w14:textId="77777777" w:rsidR="00243D9C" w:rsidRDefault="00243D9C">
            <w:pPr>
              <w:pStyle w:val="Default"/>
              <w:rPr>
                <w:rFonts w:ascii="Times New Roman" w:hAnsi="Times New Roman" w:cs="Times New Roman"/>
                <w:color w:val="auto"/>
                <w:sz w:val="20"/>
                <w:szCs w:val="22"/>
                <w:lang w:val="en-GB"/>
              </w:rPr>
            </w:pPr>
            <w:r>
              <w:rPr>
                <w:rFonts w:ascii="Times New Roman" w:hAnsi="Times New Roman" w:cs="Times New Roman"/>
                <w:color w:val="auto"/>
                <w:sz w:val="20"/>
                <w:szCs w:val="22"/>
                <w:lang w:val="en-GB"/>
              </w:rPr>
              <w:t>Anoreksi</w:t>
            </w:r>
          </w:p>
        </w:tc>
        <w:tc>
          <w:tcPr>
            <w:tcW w:w="1388" w:type="dxa"/>
            <w:tcBorders>
              <w:top w:val="single" w:sz="4" w:space="0" w:color="000000"/>
              <w:left w:val="single" w:sz="4" w:space="0" w:color="000000"/>
              <w:bottom w:val="single" w:sz="4" w:space="0" w:color="000000"/>
              <w:right w:val="single" w:sz="4" w:space="0" w:color="000000"/>
            </w:tcBorders>
          </w:tcPr>
          <w:p w14:paraId="44C1DFAC" w14:textId="77777777" w:rsidR="00243D9C" w:rsidRDefault="00243D9C">
            <w:pPr>
              <w:pStyle w:val="Default"/>
              <w:rPr>
                <w:rFonts w:ascii="Times New Roman" w:hAnsi="Times New Roman" w:cs="Times New Roman"/>
                <w:color w:val="auto"/>
                <w:sz w:val="20"/>
                <w:szCs w:val="22"/>
                <w:lang w:val="en-GB"/>
              </w:rPr>
            </w:pPr>
          </w:p>
        </w:tc>
        <w:tc>
          <w:tcPr>
            <w:tcW w:w="1449" w:type="dxa"/>
            <w:tcBorders>
              <w:top w:val="single" w:sz="4" w:space="0" w:color="000000"/>
              <w:left w:val="single" w:sz="4" w:space="0" w:color="000000"/>
              <w:bottom w:val="single" w:sz="4" w:space="0" w:color="000000"/>
              <w:right w:val="single" w:sz="4" w:space="0" w:color="000000"/>
            </w:tcBorders>
          </w:tcPr>
          <w:p w14:paraId="5CAE94DC" w14:textId="77777777" w:rsidR="00243D9C" w:rsidRDefault="00243D9C">
            <w:pPr>
              <w:pStyle w:val="Default"/>
              <w:rPr>
                <w:rFonts w:ascii="Times New Roman" w:hAnsi="Times New Roman" w:cs="Times New Roman"/>
                <w:color w:val="auto"/>
                <w:sz w:val="20"/>
                <w:szCs w:val="22"/>
                <w:lang w:val="en-GB"/>
              </w:rPr>
            </w:pPr>
          </w:p>
        </w:tc>
      </w:tr>
      <w:tr w:rsidR="00243D9C" w14:paraId="76C88E67" w14:textId="77777777" w:rsidTr="00243D9C">
        <w:tc>
          <w:tcPr>
            <w:tcW w:w="1594" w:type="dxa"/>
            <w:tcBorders>
              <w:top w:val="single" w:sz="4" w:space="0" w:color="000000"/>
              <w:left w:val="single" w:sz="4" w:space="0" w:color="000000"/>
              <w:bottom w:val="single" w:sz="4" w:space="0" w:color="000000"/>
              <w:right w:val="single" w:sz="4" w:space="0" w:color="000000"/>
            </w:tcBorders>
            <w:hideMark/>
          </w:tcPr>
          <w:p w14:paraId="605E3B24" w14:textId="77777777" w:rsidR="00243D9C" w:rsidRDefault="00243D9C">
            <w:pPr>
              <w:pStyle w:val="Default"/>
              <w:rPr>
                <w:rFonts w:ascii="Times New Roman" w:hAnsi="Times New Roman" w:cs="Times New Roman"/>
                <w:color w:val="auto"/>
                <w:sz w:val="20"/>
                <w:szCs w:val="22"/>
                <w:lang w:val="en-GB"/>
              </w:rPr>
            </w:pPr>
            <w:r>
              <w:rPr>
                <w:rFonts w:ascii="Times New Roman" w:hAnsi="Times New Roman" w:cs="Times New Roman"/>
                <w:b/>
                <w:bCs/>
                <w:color w:val="auto"/>
                <w:sz w:val="20"/>
                <w:szCs w:val="22"/>
                <w:lang w:val="en-GB"/>
              </w:rPr>
              <w:t>Psykiske forstyrrelser</w:t>
            </w:r>
          </w:p>
        </w:tc>
        <w:tc>
          <w:tcPr>
            <w:tcW w:w="1483" w:type="dxa"/>
            <w:tcBorders>
              <w:top w:val="single" w:sz="4" w:space="0" w:color="000000"/>
              <w:left w:val="single" w:sz="4" w:space="0" w:color="000000"/>
              <w:bottom w:val="single" w:sz="4" w:space="0" w:color="000000"/>
              <w:right w:val="single" w:sz="4" w:space="0" w:color="000000"/>
            </w:tcBorders>
          </w:tcPr>
          <w:p w14:paraId="1A0FCD17" w14:textId="77777777" w:rsidR="00243D9C" w:rsidRDefault="00243D9C">
            <w:pPr>
              <w:pStyle w:val="Default"/>
              <w:rPr>
                <w:rFonts w:ascii="Times New Roman" w:hAnsi="Times New Roman" w:cs="Times New Roman"/>
                <w:color w:val="auto"/>
                <w:sz w:val="20"/>
                <w:szCs w:val="22"/>
                <w:lang w:val="en-GB"/>
              </w:rPr>
            </w:pPr>
          </w:p>
        </w:tc>
        <w:tc>
          <w:tcPr>
            <w:tcW w:w="1454" w:type="dxa"/>
            <w:tcBorders>
              <w:top w:val="single" w:sz="4" w:space="0" w:color="000000"/>
              <w:left w:val="single" w:sz="4" w:space="0" w:color="000000"/>
              <w:bottom w:val="single" w:sz="4" w:space="0" w:color="000000"/>
              <w:right w:val="single" w:sz="4" w:space="0" w:color="000000"/>
            </w:tcBorders>
          </w:tcPr>
          <w:p w14:paraId="6B3BAC3E" w14:textId="77777777" w:rsidR="00243D9C" w:rsidRDefault="00243D9C">
            <w:pPr>
              <w:pStyle w:val="Default"/>
              <w:rPr>
                <w:rFonts w:ascii="Times New Roman" w:hAnsi="Times New Roman" w:cs="Times New Roman"/>
                <w:color w:val="auto"/>
                <w:sz w:val="20"/>
                <w:szCs w:val="22"/>
                <w:lang w:val="en-GB"/>
              </w:rPr>
            </w:pPr>
          </w:p>
        </w:tc>
        <w:tc>
          <w:tcPr>
            <w:tcW w:w="2106" w:type="dxa"/>
            <w:tcBorders>
              <w:top w:val="single" w:sz="4" w:space="0" w:color="000000"/>
              <w:left w:val="single" w:sz="4" w:space="0" w:color="000000"/>
              <w:bottom w:val="single" w:sz="4" w:space="0" w:color="000000"/>
              <w:right w:val="single" w:sz="4" w:space="0" w:color="000000"/>
            </w:tcBorders>
          </w:tcPr>
          <w:p w14:paraId="6B4BABE6" w14:textId="77777777" w:rsidR="00243D9C" w:rsidRDefault="00243D9C">
            <w:pPr>
              <w:pStyle w:val="Default"/>
              <w:rPr>
                <w:rFonts w:ascii="Times New Roman" w:hAnsi="Times New Roman" w:cs="Times New Roman"/>
                <w:color w:val="auto"/>
                <w:sz w:val="20"/>
                <w:szCs w:val="22"/>
                <w:lang w:val="en-GB"/>
              </w:rPr>
            </w:pPr>
          </w:p>
        </w:tc>
        <w:tc>
          <w:tcPr>
            <w:tcW w:w="1388" w:type="dxa"/>
            <w:tcBorders>
              <w:top w:val="single" w:sz="4" w:space="0" w:color="000000"/>
              <w:left w:val="single" w:sz="4" w:space="0" w:color="000000"/>
              <w:bottom w:val="single" w:sz="4" w:space="0" w:color="000000"/>
              <w:right w:val="single" w:sz="4" w:space="0" w:color="000000"/>
            </w:tcBorders>
          </w:tcPr>
          <w:p w14:paraId="510E8D9D" w14:textId="77777777" w:rsidR="00243D9C" w:rsidRDefault="00243D9C">
            <w:pPr>
              <w:pStyle w:val="Default"/>
              <w:rPr>
                <w:rFonts w:ascii="Times New Roman" w:hAnsi="Times New Roman" w:cs="Times New Roman"/>
                <w:color w:val="auto"/>
                <w:sz w:val="20"/>
                <w:szCs w:val="22"/>
                <w:lang w:val="en-GB"/>
              </w:rPr>
            </w:pPr>
          </w:p>
        </w:tc>
        <w:tc>
          <w:tcPr>
            <w:tcW w:w="1449" w:type="dxa"/>
            <w:tcBorders>
              <w:top w:val="single" w:sz="4" w:space="0" w:color="000000"/>
              <w:left w:val="single" w:sz="4" w:space="0" w:color="000000"/>
              <w:bottom w:val="single" w:sz="4" w:space="0" w:color="000000"/>
              <w:right w:val="single" w:sz="4" w:space="0" w:color="000000"/>
            </w:tcBorders>
            <w:hideMark/>
          </w:tcPr>
          <w:p w14:paraId="365BB201" w14:textId="77777777" w:rsidR="00243D9C" w:rsidRDefault="00243D9C">
            <w:pPr>
              <w:pStyle w:val="Default"/>
              <w:rPr>
                <w:rFonts w:ascii="Times New Roman" w:hAnsi="Times New Roman" w:cs="Times New Roman"/>
                <w:color w:val="auto"/>
                <w:sz w:val="20"/>
                <w:szCs w:val="22"/>
                <w:lang w:val="en-GB"/>
              </w:rPr>
            </w:pPr>
            <w:r>
              <w:rPr>
                <w:rFonts w:ascii="Times New Roman" w:hAnsi="Times New Roman" w:cs="Times New Roman"/>
                <w:color w:val="auto"/>
                <w:sz w:val="20"/>
                <w:szCs w:val="22"/>
                <w:lang w:val="en-GB"/>
              </w:rPr>
              <w:t>Hallucinationer</w:t>
            </w:r>
          </w:p>
        </w:tc>
      </w:tr>
      <w:tr w:rsidR="00243D9C" w14:paraId="7A337882" w14:textId="77777777" w:rsidTr="00243D9C">
        <w:tc>
          <w:tcPr>
            <w:tcW w:w="1594" w:type="dxa"/>
            <w:tcBorders>
              <w:top w:val="single" w:sz="4" w:space="0" w:color="000000"/>
              <w:left w:val="single" w:sz="4" w:space="0" w:color="000000"/>
              <w:bottom w:val="single" w:sz="4" w:space="0" w:color="000000"/>
              <w:right w:val="single" w:sz="4" w:space="0" w:color="000000"/>
            </w:tcBorders>
            <w:hideMark/>
          </w:tcPr>
          <w:p w14:paraId="070BEE8C" w14:textId="77777777" w:rsidR="00243D9C" w:rsidRDefault="00243D9C">
            <w:pPr>
              <w:autoSpaceDE w:val="0"/>
              <w:autoSpaceDN w:val="0"/>
              <w:adjustRightInd w:val="0"/>
              <w:rPr>
                <w:sz w:val="20"/>
                <w:lang w:val="en-GB"/>
              </w:rPr>
            </w:pPr>
            <w:r>
              <w:rPr>
                <w:b/>
                <w:bCs/>
                <w:lang w:val="en-GB"/>
              </w:rPr>
              <w:t>Nervesystemet</w:t>
            </w:r>
          </w:p>
        </w:tc>
        <w:tc>
          <w:tcPr>
            <w:tcW w:w="1483" w:type="dxa"/>
            <w:tcBorders>
              <w:top w:val="single" w:sz="4" w:space="0" w:color="000000"/>
              <w:left w:val="single" w:sz="4" w:space="0" w:color="000000"/>
              <w:bottom w:val="single" w:sz="4" w:space="0" w:color="000000"/>
              <w:right w:val="single" w:sz="4" w:space="0" w:color="000000"/>
            </w:tcBorders>
          </w:tcPr>
          <w:p w14:paraId="6FCB1E57" w14:textId="77777777" w:rsidR="00243D9C" w:rsidRDefault="00243D9C">
            <w:pPr>
              <w:pStyle w:val="Default"/>
              <w:rPr>
                <w:rFonts w:ascii="Times New Roman" w:hAnsi="Times New Roman" w:cs="Times New Roman"/>
                <w:color w:val="auto"/>
                <w:sz w:val="20"/>
                <w:szCs w:val="22"/>
                <w:lang w:val="en-GB"/>
              </w:rPr>
            </w:pPr>
          </w:p>
        </w:tc>
        <w:tc>
          <w:tcPr>
            <w:tcW w:w="1454" w:type="dxa"/>
            <w:tcBorders>
              <w:top w:val="single" w:sz="4" w:space="0" w:color="000000"/>
              <w:left w:val="single" w:sz="4" w:space="0" w:color="000000"/>
              <w:bottom w:val="single" w:sz="4" w:space="0" w:color="000000"/>
              <w:right w:val="single" w:sz="4" w:space="0" w:color="000000"/>
            </w:tcBorders>
          </w:tcPr>
          <w:p w14:paraId="5E57D342" w14:textId="77777777" w:rsidR="00243D9C" w:rsidRDefault="00243D9C">
            <w:pPr>
              <w:pStyle w:val="Default"/>
              <w:rPr>
                <w:rFonts w:ascii="Times New Roman" w:hAnsi="Times New Roman" w:cs="Times New Roman"/>
                <w:color w:val="auto"/>
                <w:sz w:val="20"/>
                <w:szCs w:val="22"/>
                <w:lang w:val="en-GB"/>
              </w:rPr>
            </w:pPr>
          </w:p>
        </w:tc>
        <w:tc>
          <w:tcPr>
            <w:tcW w:w="2106" w:type="dxa"/>
            <w:tcBorders>
              <w:top w:val="single" w:sz="4" w:space="0" w:color="000000"/>
              <w:left w:val="single" w:sz="4" w:space="0" w:color="000000"/>
              <w:bottom w:val="single" w:sz="4" w:space="0" w:color="000000"/>
              <w:right w:val="single" w:sz="4" w:space="0" w:color="000000"/>
            </w:tcBorders>
          </w:tcPr>
          <w:p w14:paraId="6A507B4B" w14:textId="77777777" w:rsidR="00243D9C" w:rsidRDefault="00243D9C">
            <w:pPr>
              <w:pStyle w:val="Default"/>
              <w:rPr>
                <w:rFonts w:ascii="Times New Roman" w:hAnsi="Times New Roman" w:cs="Times New Roman"/>
                <w:color w:val="auto"/>
                <w:sz w:val="20"/>
                <w:szCs w:val="22"/>
                <w:lang w:val="en-GB"/>
              </w:rPr>
            </w:pPr>
          </w:p>
        </w:tc>
        <w:tc>
          <w:tcPr>
            <w:tcW w:w="1388" w:type="dxa"/>
            <w:tcBorders>
              <w:top w:val="single" w:sz="4" w:space="0" w:color="000000"/>
              <w:left w:val="single" w:sz="4" w:space="0" w:color="000000"/>
              <w:bottom w:val="single" w:sz="4" w:space="0" w:color="000000"/>
              <w:right w:val="single" w:sz="4" w:space="0" w:color="000000"/>
            </w:tcBorders>
            <w:hideMark/>
          </w:tcPr>
          <w:p w14:paraId="2C96D0CD" w14:textId="77777777" w:rsidR="00243D9C" w:rsidRPr="00243D9C" w:rsidRDefault="00243D9C">
            <w:pPr>
              <w:autoSpaceDE w:val="0"/>
              <w:autoSpaceDN w:val="0"/>
              <w:adjustRightInd w:val="0"/>
              <w:rPr>
                <w:sz w:val="20"/>
              </w:rPr>
            </w:pPr>
            <w:r w:rsidRPr="00243D9C">
              <w:t>Afsløring eller forværring af Myasthenia gravis</w:t>
            </w:r>
          </w:p>
        </w:tc>
        <w:tc>
          <w:tcPr>
            <w:tcW w:w="1449" w:type="dxa"/>
            <w:tcBorders>
              <w:top w:val="single" w:sz="4" w:space="0" w:color="000000"/>
              <w:left w:val="single" w:sz="4" w:space="0" w:color="000000"/>
              <w:bottom w:val="single" w:sz="4" w:space="0" w:color="000000"/>
              <w:right w:val="single" w:sz="4" w:space="0" w:color="000000"/>
            </w:tcBorders>
            <w:hideMark/>
          </w:tcPr>
          <w:p w14:paraId="30D5192C" w14:textId="77777777" w:rsidR="00243D9C" w:rsidRPr="00243D9C" w:rsidRDefault="00243D9C">
            <w:pPr>
              <w:autoSpaceDE w:val="0"/>
              <w:autoSpaceDN w:val="0"/>
              <w:adjustRightInd w:val="0"/>
            </w:pPr>
            <w:r w:rsidRPr="00243D9C">
              <w:t xml:space="preserve">Forbigående lidelser i centralnervesystemet, såsom forvirring, epileptiske anfald, kramper, hallucinationer, hovedpine, søvnløshed og vertigo. </w:t>
            </w:r>
          </w:p>
        </w:tc>
      </w:tr>
      <w:tr w:rsidR="00243D9C" w14:paraId="42F9984F" w14:textId="77777777" w:rsidTr="00243D9C">
        <w:tc>
          <w:tcPr>
            <w:tcW w:w="1594" w:type="dxa"/>
            <w:tcBorders>
              <w:top w:val="single" w:sz="4" w:space="0" w:color="000000"/>
              <w:left w:val="single" w:sz="4" w:space="0" w:color="000000"/>
              <w:bottom w:val="single" w:sz="4" w:space="0" w:color="000000"/>
              <w:right w:val="single" w:sz="4" w:space="0" w:color="000000"/>
            </w:tcBorders>
            <w:hideMark/>
          </w:tcPr>
          <w:p w14:paraId="23A31707" w14:textId="77777777" w:rsidR="00243D9C" w:rsidRDefault="00243D9C">
            <w:pPr>
              <w:autoSpaceDE w:val="0"/>
              <w:autoSpaceDN w:val="0"/>
              <w:adjustRightInd w:val="0"/>
              <w:rPr>
                <w:lang w:val="en-GB"/>
              </w:rPr>
            </w:pPr>
            <w:r>
              <w:rPr>
                <w:b/>
                <w:bCs/>
                <w:lang w:val="en-GB"/>
              </w:rPr>
              <w:t xml:space="preserve">Øjne </w:t>
            </w:r>
          </w:p>
        </w:tc>
        <w:tc>
          <w:tcPr>
            <w:tcW w:w="1483" w:type="dxa"/>
            <w:tcBorders>
              <w:top w:val="single" w:sz="4" w:space="0" w:color="000000"/>
              <w:left w:val="single" w:sz="4" w:space="0" w:color="000000"/>
              <w:bottom w:val="single" w:sz="4" w:space="0" w:color="000000"/>
              <w:right w:val="single" w:sz="4" w:space="0" w:color="000000"/>
            </w:tcBorders>
          </w:tcPr>
          <w:p w14:paraId="42B72E80" w14:textId="77777777" w:rsidR="00243D9C" w:rsidRDefault="00243D9C">
            <w:pPr>
              <w:pStyle w:val="Default"/>
              <w:rPr>
                <w:rFonts w:ascii="Times New Roman" w:hAnsi="Times New Roman" w:cs="Times New Roman"/>
                <w:color w:val="auto"/>
                <w:sz w:val="20"/>
                <w:szCs w:val="22"/>
                <w:lang w:val="en-GB"/>
              </w:rPr>
            </w:pPr>
          </w:p>
        </w:tc>
        <w:tc>
          <w:tcPr>
            <w:tcW w:w="1454" w:type="dxa"/>
            <w:tcBorders>
              <w:top w:val="single" w:sz="4" w:space="0" w:color="000000"/>
              <w:left w:val="single" w:sz="4" w:space="0" w:color="000000"/>
              <w:bottom w:val="single" w:sz="4" w:space="0" w:color="000000"/>
              <w:right w:val="single" w:sz="4" w:space="0" w:color="000000"/>
            </w:tcBorders>
          </w:tcPr>
          <w:p w14:paraId="087FBEDE" w14:textId="77777777" w:rsidR="00243D9C" w:rsidRDefault="00243D9C">
            <w:pPr>
              <w:pStyle w:val="Default"/>
              <w:rPr>
                <w:rFonts w:ascii="Times New Roman" w:hAnsi="Times New Roman" w:cs="Times New Roman"/>
                <w:color w:val="auto"/>
                <w:sz w:val="20"/>
                <w:szCs w:val="22"/>
                <w:lang w:val="en-GB"/>
              </w:rPr>
            </w:pPr>
          </w:p>
        </w:tc>
        <w:tc>
          <w:tcPr>
            <w:tcW w:w="2106" w:type="dxa"/>
            <w:tcBorders>
              <w:top w:val="single" w:sz="4" w:space="0" w:color="000000"/>
              <w:left w:val="single" w:sz="4" w:space="0" w:color="000000"/>
              <w:bottom w:val="single" w:sz="4" w:space="0" w:color="000000"/>
              <w:right w:val="single" w:sz="4" w:space="0" w:color="000000"/>
            </w:tcBorders>
          </w:tcPr>
          <w:p w14:paraId="27CA0060" w14:textId="77777777" w:rsidR="00243D9C" w:rsidRDefault="00243D9C">
            <w:pPr>
              <w:pStyle w:val="Default"/>
              <w:rPr>
                <w:rFonts w:ascii="Times New Roman" w:hAnsi="Times New Roman" w:cs="Times New Roman"/>
                <w:color w:val="auto"/>
                <w:sz w:val="20"/>
                <w:szCs w:val="22"/>
                <w:lang w:val="en-GB"/>
              </w:rPr>
            </w:pPr>
          </w:p>
        </w:tc>
        <w:tc>
          <w:tcPr>
            <w:tcW w:w="1388" w:type="dxa"/>
            <w:tcBorders>
              <w:top w:val="single" w:sz="4" w:space="0" w:color="000000"/>
              <w:left w:val="single" w:sz="4" w:space="0" w:color="000000"/>
              <w:bottom w:val="single" w:sz="4" w:space="0" w:color="000000"/>
              <w:right w:val="single" w:sz="4" w:space="0" w:color="000000"/>
            </w:tcBorders>
          </w:tcPr>
          <w:p w14:paraId="0B7D1F6C" w14:textId="77777777" w:rsidR="00243D9C" w:rsidRDefault="00243D9C">
            <w:pPr>
              <w:pStyle w:val="Default"/>
              <w:rPr>
                <w:rFonts w:ascii="Times New Roman" w:hAnsi="Times New Roman" w:cs="Times New Roman"/>
                <w:color w:val="auto"/>
                <w:sz w:val="20"/>
                <w:szCs w:val="22"/>
                <w:lang w:val="en-GB"/>
              </w:rPr>
            </w:pPr>
          </w:p>
        </w:tc>
        <w:tc>
          <w:tcPr>
            <w:tcW w:w="1449" w:type="dxa"/>
            <w:tcBorders>
              <w:top w:val="single" w:sz="4" w:space="0" w:color="000000"/>
              <w:left w:val="single" w:sz="4" w:space="0" w:color="000000"/>
              <w:bottom w:val="single" w:sz="4" w:space="0" w:color="000000"/>
              <w:right w:val="single" w:sz="4" w:space="0" w:color="000000"/>
            </w:tcBorders>
            <w:hideMark/>
          </w:tcPr>
          <w:p w14:paraId="5A2B1CB8" w14:textId="77777777" w:rsidR="00243D9C" w:rsidRPr="00243D9C" w:rsidRDefault="00243D9C">
            <w:pPr>
              <w:autoSpaceDE w:val="0"/>
              <w:autoSpaceDN w:val="0"/>
              <w:adjustRightInd w:val="0"/>
              <w:rPr>
                <w:sz w:val="20"/>
              </w:rPr>
            </w:pPr>
            <w:r w:rsidRPr="00243D9C">
              <w:t>Visuelle forstyrrelser, herunder diplopi og sløret syn</w:t>
            </w:r>
          </w:p>
        </w:tc>
      </w:tr>
      <w:tr w:rsidR="00243D9C" w14:paraId="45BC3417" w14:textId="77777777" w:rsidTr="00243D9C">
        <w:tc>
          <w:tcPr>
            <w:tcW w:w="1594" w:type="dxa"/>
            <w:tcBorders>
              <w:top w:val="single" w:sz="4" w:space="0" w:color="000000"/>
              <w:left w:val="single" w:sz="4" w:space="0" w:color="000000"/>
              <w:bottom w:val="single" w:sz="4" w:space="0" w:color="000000"/>
              <w:right w:val="single" w:sz="4" w:space="0" w:color="000000"/>
            </w:tcBorders>
            <w:hideMark/>
          </w:tcPr>
          <w:p w14:paraId="7C54E3E4" w14:textId="77777777" w:rsidR="00243D9C" w:rsidRDefault="00243D9C">
            <w:pPr>
              <w:autoSpaceDE w:val="0"/>
              <w:autoSpaceDN w:val="0"/>
              <w:adjustRightInd w:val="0"/>
              <w:rPr>
                <w:lang w:val="en-GB"/>
              </w:rPr>
            </w:pPr>
            <w:r>
              <w:rPr>
                <w:b/>
                <w:bCs/>
                <w:lang w:val="en-GB"/>
              </w:rPr>
              <w:t xml:space="preserve">Øre og labyrint </w:t>
            </w:r>
          </w:p>
        </w:tc>
        <w:tc>
          <w:tcPr>
            <w:tcW w:w="1483" w:type="dxa"/>
            <w:tcBorders>
              <w:top w:val="single" w:sz="4" w:space="0" w:color="000000"/>
              <w:left w:val="single" w:sz="4" w:space="0" w:color="000000"/>
              <w:bottom w:val="single" w:sz="4" w:space="0" w:color="000000"/>
              <w:right w:val="single" w:sz="4" w:space="0" w:color="000000"/>
            </w:tcBorders>
          </w:tcPr>
          <w:p w14:paraId="5FB78FD2" w14:textId="77777777" w:rsidR="00243D9C" w:rsidRDefault="00243D9C">
            <w:pPr>
              <w:pStyle w:val="Default"/>
              <w:rPr>
                <w:rFonts w:ascii="Times New Roman" w:hAnsi="Times New Roman" w:cs="Times New Roman"/>
                <w:color w:val="auto"/>
                <w:sz w:val="20"/>
                <w:szCs w:val="22"/>
                <w:lang w:val="en-GB"/>
              </w:rPr>
            </w:pPr>
          </w:p>
        </w:tc>
        <w:tc>
          <w:tcPr>
            <w:tcW w:w="1454" w:type="dxa"/>
            <w:tcBorders>
              <w:top w:val="single" w:sz="4" w:space="0" w:color="000000"/>
              <w:left w:val="single" w:sz="4" w:space="0" w:color="000000"/>
              <w:bottom w:val="single" w:sz="4" w:space="0" w:color="000000"/>
              <w:right w:val="single" w:sz="4" w:space="0" w:color="000000"/>
            </w:tcBorders>
          </w:tcPr>
          <w:p w14:paraId="20155E02" w14:textId="77777777" w:rsidR="00243D9C" w:rsidRDefault="00243D9C">
            <w:pPr>
              <w:pStyle w:val="Default"/>
              <w:rPr>
                <w:rFonts w:ascii="Times New Roman" w:hAnsi="Times New Roman" w:cs="Times New Roman"/>
                <w:color w:val="auto"/>
                <w:sz w:val="20"/>
                <w:szCs w:val="22"/>
                <w:lang w:val="en-GB"/>
              </w:rPr>
            </w:pPr>
          </w:p>
        </w:tc>
        <w:tc>
          <w:tcPr>
            <w:tcW w:w="2106" w:type="dxa"/>
            <w:tcBorders>
              <w:top w:val="single" w:sz="4" w:space="0" w:color="000000"/>
              <w:left w:val="single" w:sz="4" w:space="0" w:color="000000"/>
              <w:bottom w:val="single" w:sz="4" w:space="0" w:color="000000"/>
              <w:right w:val="single" w:sz="4" w:space="0" w:color="000000"/>
            </w:tcBorders>
          </w:tcPr>
          <w:p w14:paraId="6EC429B9" w14:textId="77777777" w:rsidR="00243D9C" w:rsidRDefault="00243D9C">
            <w:pPr>
              <w:pStyle w:val="Default"/>
              <w:rPr>
                <w:rFonts w:ascii="Times New Roman" w:hAnsi="Times New Roman" w:cs="Times New Roman"/>
                <w:color w:val="auto"/>
                <w:sz w:val="20"/>
                <w:szCs w:val="22"/>
                <w:lang w:val="en-GB"/>
              </w:rPr>
            </w:pPr>
          </w:p>
        </w:tc>
        <w:tc>
          <w:tcPr>
            <w:tcW w:w="1388" w:type="dxa"/>
            <w:tcBorders>
              <w:top w:val="single" w:sz="4" w:space="0" w:color="000000"/>
              <w:left w:val="single" w:sz="4" w:space="0" w:color="000000"/>
              <w:bottom w:val="single" w:sz="4" w:space="0" w:color="000000"/>
              <w:right w:val="single" w:sz="4" w:space="0" w:color="000000"/>
            </w:tcBorders>
            <w:hideMark/>
          </w:tcPr>
          <w:p w14:paraId="7681847B" w14:textId="77777777" w:rsidR="00243D9C" w:rsidRPr="00243D9C" w:rsidRDefault="00243D9C">
            <w:pPr>
              <w:autoSpaceDE w:val="0"/>
              <w:autoSpaceDN w:val="0"/>
              <w:adjustRightInd w:val="0"/>
              <w:rPr>
                <w:sz w:val="20"/>
              </w:rPr>
            </w:pPr>
            <w:r w:rsidRPr="00243D9C">
              <w:t>Tinnitus og hovedsageligt forbigående høretab eller døvhed, primært hos patienter med nedsat nyre- og/eller leverfunktion eller patienter, der behandles med høje doser</w:t>
            </w:r>
          </w:p>
        </w:tc>
        <w:tc>
          <w:tcPr>
            <w:tcW w:w="1449" w:type="dxa"/>
            <w:tcBorders>
              <w:top w:val="single" w:sz="4" w:space="0" w:color="000000"/>
              <w:left w:val="single" w:sz="4" w:space="0" w:color="000000"/>
              <w:bottom w:val="single" w:sz="4" w:space="0" w:color="000000"/>
              <w:right w:val="single" w:sz="4" w:space="0" w:color="000000"/>
            </w:tcBorders>
          </w:tcPr>
          <w:p w14:paraId="61C460A3" w14:textId="77777777" w:rsidR="00243D9C" w:rsidRPr="00243D9C" w:rsidRDefault="00243D9C">
            <w:pPr>
              <w:pStyle w:val="Default"/>
              <w:rPr>
                <w:rFonts w:ascii="Times New Roman" w:hAnsi="Times New Roman" w:cs="Times New Roman"/>
                <w:color w:val="auto"/>
                <w:sz w:val="20"/>
                <w:szCs w:val="22"/>
              </w:rPr>
            </w:pPr>
          </w:p>
        </w:tc>
      </w:tr>
      <w:tr w:rsidR="00243D9C" w14:paraId="67B2710C" w14:textId="77777777" w:rsidTr="00243D9C">
        <w:tc>
          <w:tcPr>
            <w:tcW w:w="1594" w:type="dxa"/>
            <w:tcBorders>
              <w:top w:val="single" w:sz="4" w:space="0" w:color="000000"/>
              <w:left w:val="single" w:sz="4" w:space="0" w:color="000000"/>
              <w:bottom w:val="single" w:sz="4" w:space="0" w:color="000000"/>
              <w:right w:val="single" w:sz="4" w:space="0" w:color="000000"/>
            </w:tcBorders>
            <w:hideMark/>
          </w:tcPr>
          <w:p w14:paraId="60273F41" w14:textId="77777777" w:rsidR="00243D9C" w:rsidRDefault="00243D9C">
            <w:pPr>
              <w:autoSpaceDE w:val="0"/>
              <w:autoSpaceDN w:val="0"/>
              <w:adjustRightInd w:val="0"/>
              <w:rPr>
                <w:sz w:val="20"/>
                <w:lang w:val="en-GB"/>
              </w:rPr>
            </w:pPr>
            <w:r>
              <w:rPr>
                <w:b/>
                <w:bCs/>
                <w:lang w:val="en-GB"/>
              </w:rPr>
              <w:t>Hjerte</w:t>
            </w:r>
          </w:p>
        </w:tc>
        <w:tc>
          <w:tcPr>
            <w:tcW w:w="1483" w:type="dxa"/>
            <w:tcBorders>
              <w:top w:val="single" w:sz="4" w:space="0" w:color="000000"/>
              <w:left w:val="single" w:sz="4" w:space="0" w:color="000000"/>
              <w:bottom w:val="single" w:sz="4" w:space="0" w:color="000000"/>
              <w:right w:val="single" w:sz="4" w:space="0" w:color="000000"/>
            </w:tcBorders>
          </w:tcPr>
          <w:p w14:paraId="5CB285D7" w14:textId="77777777" w:rsidR="00243D9C" w:rsidRDefault="00243D9C">
            <w:pPr>
              <w:pStyle w:val="Default"/>
              <w:rPr>
                <w:rFonts w:ascii="Times New Roman" w:hAnsi="Times New Roman" w:cs="Times New Roman"/>
                <w:color w:val="auto"/>
                <w:sz w:val="20"/>
                <w:szCs w:val="22"/>
                <w:lang w:val="en-GB"/>
              </w:rPr>
            </w:pPr>
          </w:p>
        </w:tc>
        <w:tc>
          <w:tcPr>
            <w:tcW w:w="1454" w:type="dxa"/>
            <w:tcBorders>
              <w:top w:val="single" w:sz="4" w:space="0" w:color="000000"/>
              <w:left w:val="single" w:sz="4" w:space="0" w:color="000000"/>
              <w:bottom w:val="single" w:sz="4" w:space="0" w:color="000000"/>
              <w:right w:val="single" w:sz="4" w:space="0" w:color="000000"/>
            </w:tcBorders>
          </w:tcPr>
          <w:p w14:paraId="47C57228" w14:textId="77777777" w:rsidR="00243D9C" w:rsidRDefault="00243D9C">
            <w:pPr>
              <w:pStyle w:val="Default"/>
              <w:rPr>
                <w:rFonts w:ascii="Times New Roman" w:hAnsi="Times New Roman" w:cs="Times New Roman"/>
                <w:color w:val="auto"/>
                <w:sz w:val="20"/>
                <w:szCs w:val="22"/>
                <w:lang w:val="en-GB"/>
              </w:rPr>
            </w:pPr>
          </w:p>
        </w:tc>
        <w:tc>
          <w:tcPr>
            <w:tcW w:w="2106" w:type="dxa"/>
            <w:tcBorders>
              <w:top w:val="single" w:sz="4" w:space="0" w:color="000000"/>
              <w:left w:val="single" w:sz="4" w:space="0" w:color="000000"/>
              <w:bottom w:val="single" w:sz="4" w:space="0" w:color="000000"/>
              <w:right w:val="single" w:sz="4" w:space="0" w:color="000000"/>
            </w:tcBorders>
          </w:tcPr>
          <w:p w14:paraId="7CB93554" w14:textId="77777777" w:rsidR="00243D9C" w:rsidRDefault="00243D9C">
            <w:pPr>
              <w:pStyle w:val="Default"/>
              <w:rPr>
                <w:rFonts w:ascii="Times New Roman" w:hAnsi="Times New Roman" w:cs="Times New Roman"/>
                <w:color w:val="auto"/>
                <w:sz w:val="20"/>
                <w:szCs w:val="22"/>
                <w:lang w:val="en-GB"/>
              </w:rPr>
            </w:pPr>
          </w:p>
        </w:tc>
        <w:tc>
          <w:tcPr>
            <w:tcW w:w="1388" w:type="dxa"/>
            <w:tcBorders>
              <w:top w:val="single" w:sz="4" w:space="0" w:color="000000"/>
              <w:left w:val="single" w:sz="4" w:space="0" w:color="000000"/>
              <w:bottom w:val="single" w:sz="4" w:space="0" w:color="000000"/>
              <w:right w:val="single" w:sz="4" w:space="0" w:color="000000"/>
            </w:tcBorders>
          </w:tcPr>
          <w:p w14:paraId="683FDEAF" w14:textId="77777777" w:rsidR="00243D9C" w:rsidRDefault="00243D9C">
            <w:pPr>
              <w:pStyle w:val="Default"/>
              <w:rPr>
                <w:rFonts w:ascii="Times New Roman" w:hAnsi="Times New Roman" w:cs="Times New Roman"/>
                <w:color w:val="auto"/>
                <w:sz w:val="20"/>
                <w:szCs w:val="22"/>
                <w:lang w:val="en-GB"/>
              </w:rPr>
            </w:pPr>
          </w:p>
        </w:tc>
        <w:tc>
          <w:tcPr>
            <w:tcW w:w="1449" w:type="dxa"/>
            <w:tcBorders>
              <w:top w:val="single" w:sz="4" w:space="0" w:color="000000"/>
              <w:left w:val="single" w:sz="4" w:space="0" w:color="000000"/>
              <w:bottom w:val="single" w:sz="4" w:space="0" w:color="000000"/>
              <w:right w:val="single" w:sz="4" w:space="0" w:color="000000"/>
            </w:tcBorders>
            <w:hideMark/>
          </w:tcPr>
          <w:p w14:paraId="754ED37C" w14:textId="77777777" w:rsidR="00243D9C" w:rsidRPr="00243D9C" w:rsidRDefault="00243D9C">
            <w:pPr>
              <w:autoSpaceDE w:val="0"/>
              <w:autoSpaceDN w:val="0"/>
              <w:adjustRightInd w:val="0"/>
              <w:rPr>
                <w:sz w:val="20"/>
              </w:rPr>
            </w:pPr>
            <w:r w:rsidRPr="00243D9C">
              <w:t>Palpitation og hjertearytmier, atrioventrikulær blok, forlængelse af QT-intervalforlængelse, ventrikulær ekstra systole, ventrikulær arytmi (torsades des pointes) og ventrikulære takykardier især hos patienter, der allerede har vist et forlænget QT-interval på et EKG eller samtidig anvenderlægemidler, der potentielt kan påvirke arytmier eller QT-intervallet,</w:t>
            </w:r>
          </w:p>
          <w:p w14:paraId="6C143C2C" w14:textId="77777777" w:rsidR="00243D9C" w:rsidRDefault="00243D9C">
            <w:pPr>
              <w:autoSpaceDE w:val="0"/>
              <w:autoSpaceDN w:val="0"/>
              <w:adjustRightInd w:val="0"/>
              <w:rPr>
                <w:lang w:val="en-GB"/>
              </w:rPr>
            </w:pPr>
            <w:r>
              <w:rPr>
                <w:lang w:val="en-GB"/>
              </w:rPr>
              <w:t>hjertestop</w:t>
            </w:r>
          </w:p>
          <w:p w14:paraId="5F555533" w14:textId="77777777" w:rsidR="00243D9C" w:rsidRDefault="00243D9C">
            <w:pPr>
              <w:autoSpaceDE w:val="0"/>
              <w:autoSpaceDN w:val="0"/>
              <w:adjustRightInd w:val="0"/>
              <w:rPr>
                <w:lang w:val="en-GB"/>
              </w:rPr>
            </w:pPr>
            <w:r>
              <w:rPr>
                <w:lang w:val="en-GB"/>
              </w:rPr>
              <w:t>ventrikelflimmer</w:t>
            </w:r>
          </w:p>
        </w:tc>
      </w:tr>
      <w:tr w:rsidR="00243D9C" w14:paraId="56736BF8" w14:textId="77777777" w:rsidTr="00243D9C">
        <w:tc>
          <w:tcPr>
            <w:tcW w:w="1594" w:type="dxa"/>
            <w:tcBorders>
              <w:top w:val="single" w:sz="4" w:space="0" w:color="000000"/>
              <w:left w:val="single" w:sz="4" w:space="0" w:color="000000"/>
              <w:bottom w:val="single" w:sz="4" w:space="0" w:color="000000"/>
              <w:right w:val="single" w:sz="4" w:space="0" w:color="000000"/>
            </w:tcBorders>
            <w:hideMark/>
          </w:tcPr>
          <w:p w14:paraId="43A7CC4D" w14:textId="77777777" w:rsidR="00243D9C" w:rsidRDefault="00243D9C">
            <w:pPr>
              <w:autoSpaceDE w:val="0"/>
              <w:autoSpaceDN w:val="0"/>
              <w:adjustRightInd w:val="0"/>
              <w:rPr>
                <w:lang w:val="en-GB"/>
              </w:rPr>
            </w:pPr>
            <w:r>
              <w:rPr>
                <w:b/>
                <w:bCs/>
                <w:lang w:val="en-GB"/>
              </w:rPr>
              <w:t xml:space="preserve">Vaskulære sygdomme </w:t>
            </w:r>
          </w:p>
        </w:tc>
        <w:tc>
          <w:tcPr>
            <w:tcW w:w="1483" w:type="dxa"/>
            <w:tcBorders>
              <w:top w:val="single" w:sz="4" w:space="0" w:color="000000"/>
              <w:left w:val="single" w:sz="4" w:space="0" w:color="000000"/>
              <w:bottom w:val="single" w:sz="4" w:space="0" w:color="000000"/>
              <w:right w:val="single" w:sz="4" w:space="0" w:color="000000"/>
            </w:tcBorders>
          </w:tcPr>
          <w:p w14:paraId="175571E1" w14:textId="77777777" w:rsidR="00243D9C" w:rsidRDefault="00243D9C">
            <w:pPr>
              <w:pStyle w:val="Default"/>
              <w:rPr>
                <w:rFonts w:ascii="Times New Roman" w:hAnsi="Times New Roman" w:cs="Times New Roman"/>
                <w:color w:val="auto"/>
                <w:sz w:val="20"/>
                <w:szCs w:val="22"/>
                <w:lang w:val="en-GB"/>
              </w:rPr>
            </w:pPr>
          </w:p>
        </w:tc>
        <w:tc>
          <w:tcPr>
            <w:tcW w:w="1454" w:type="dxa"/>
            <w:tcBorders>
              <w:top w:val="single" w:sz="4" w:space="0" w:color="000000"/>
              <w:left w:val="single" w:sz="4" w:space="0" w:color="000000"/>
              <w:bottom w:val="single" w:sz="4" w:space="0" w:color="000000"/>
              <w:right w:val="single" w:sz="4" w:space="0" w:color="000000"/>
            </w:tcBorders>
            <w:hideMark/>
          </w:tcPr>
          <w:p w14:paraId="43FE784A" w14:textId="77777777" w:rsidR="00243D9C" w:rsidRDefault="00243D9C">
            <w:pPr>
              <w:pStyle w:val="Default"/>
              <w:rPr>
                <w:rFonts w:ascii="Times New Roman" w:eastAsia="Times New Roman" w:hAnsi="Times New Roman" w:cs="Times New Roman"/>
                <w:color w:val="auto"/>
                <w:sz w:val="20"/>
                <w:szCs w:val="20"/>
                <w:lang w:val="en-GB" w:eastAsia="fr-LU"/>
              </w:rPr>
            </w:pPr>
            <w:r>
              <w:rPr>
                <w:rFonts w:ascii="Times New Roman" w:eastAsia="Times New Roman" w:hAnsi="Times New Roman" w:cs="Times New Roman"/>
                <w:color w:val="auto"/>
                <w:sz w:val="20"/>
                <w:szCs w:val="20"/>
                <w:lang w:val="en-GB" w:eastAsia="fr-LU"/>
              </w:rPr>
              <w:t>Tromboflebitis</w:t>
            </w:r>
          </w:p>
        </w:tc>
        <w:tc>
          <w:tcPr>
            <w:tcW w:w="2106" w:type="dxa"/>
            <w:tcBorders>
              <w:top w:val="single" w:sz="4" w:space="0" w:color="000000"/>
              <w:left w:val="single" w:sz="4" w:space="0" w:color="000000"/>
              <w:bottom w:val="single" w:sz="4" w:space="0" w:color="000000"/>
              <w:right w:val="single" w:sz="4" w:space="0" w:color="000000"/>
            </w:tcBorders>
          </w:tcPr>
          <w:p w14:paraId="14598787" w14:textId="77777777" w:rsidR="00243D9C" w:rsidRDefault="00243D9C">
            <w:pPr>
              <w:pStyle w:val="Default"/>
              <w:rPr>
                <w:rFonts w:ascii="Times New Roman" w:hAnsi="Times New Roman" w:cs="Times New Roman"/>
                <w:color w:val="auto"/>
                <w:sz w:val="20"/>
                <w:szCs w:val="22"/>
                <w:lang w:val="en-GB"/>
              </w:rPr>
            </w:pPr>
          </w:p>
        </w:tc>
        <w:tc>
          <w:tcPr>
            <w:tcW w:w="1388" w:type="dxa"/>
            <w:tcBorders>
              <w:top w:val="single" w:sz="4" w:space="0" w:color="000000"/>
              <w:left w:val="single" w:sz="4" w:space="0" w:color="000000"/>
              <w:bottom w:val="single" w:sz="4" w:space="0" w:color="000000"/>
              <w:right w:val="single" w:sz="4" w:space="0" w:color="000000"/>
            </w:tcBorders>
          </w:tcPr>
          <w:p w14:paraId="49B0F4F3" w14:textId="77777777" w:rsidR="00243D9C" w:rsidRDefault="00243D9C">
            <w:pPr>
              <w:pStyle w:val="Default"/>
              <w:rPr>
                <w:rFonts w:ascii="Times New Roman" w:hAnsi="Times New Roman" w:cs="Times New Roman"/>
                <w:color w:val="auto"/>
                <w:sz w:val="20"/>
                <w:szCs w:val="22"/>
                <w:lang w:val="en-GB"/>
              </w:rPr>
            </w:pPr>
          </w:p>
        </w:tc>
        <w:tc>
          <w:tcPr>
            <w:tcW w:w="1449" w:type="dxa"/>
            <w:tcBorders>
              <w:top w:val="single" w:sz="4" w:space="0" w:color="000000"/>
              <w:left w:val="single" w:sz="4" w:space="0" w:color="000000"/>
              <w:bottom w:val="single" w:sz="4" w:space="0" w:color="000000"/>
              <w:right w:val="single" w:sz="4" w:space="0" w:color="000000"/>
            </w:tcBorders>
            <w:hideMark/>
          </w:tcPr>
          <w:p w14:paraId="24B1DCE1" w14:textId="77777777" w:rsidR="00243D9C" w:rsidRDefault="00243D9C">
            <w:pPr>
              <w:pStyle w:val="Default"/>
              <w:rPr>
                <w:rFonts w:ascii="Times New Roman" w:hAnsi="Times New Roman" w:cs="Times New Roman"/>
                <w:color w:val="auto"/>
                <w:sz w:val="20"/>
                <w:szCs w:val="22"/>
                <w:lang w:val="en-GB"/>
              </w:rPr>
            </w:pPr>
            <w:r>
              <w:rPr>
                <w:rFonts w:ascii="Times New Roman" w:hAnsi="Times New Roman" w:cs="Times New Roman"/>
                <w:color w:val="auto"/>
                <w:sz w:val="20"/>
                <w:szCs w:val="22"/>
                <w:lang w:val="en-GB"/>
              </w:rPr>
              <w:t xml:space="preserve">Hypotension </w:t>
            </w:r>
          </w:p>
        </w:tc>
      </w:tr>
      <w:tr w:rsidR="00243D9C" w14:paraId="2BC9497D" w14:textId="77777777" w:rsidTr="00243D9C">
        <w:tc>
          <w:tcPr>
            <w:tcW w:w="1594" w:type="dxa"/>
            <w:tcBorders>
              <w:top w:val="single" w:sz="4" w:space="0" w:color="000000"/>
              <w:left w:val="single" w:sz="4" w:space="0" w:color="000000"/>
              <w:bottom w:val="single" w:sz="4" w:space="0" w:color="000000"/>
              <w:right w:val="single" w:sz="4" w:space="0" w:color="000000"/>
            </w:tcBorders>
            <w:hideMark/>
          </w:tcPr>
          <w:p w14:paraId="2501E6D5" w14:textId="77777777" w:rsidR="00243D9C" w:rsidRDefault="00243D9C">
            <w:pPr>
              <w:autoSpaceDE w:val="0"/>
              <w:autoSpaceDN w:val="0"/>
              <w:adjustRightInd w:val="0"/>
              <w:rPr>
                <w:b/>
                <w:bCs/>
                <w:sz w:val="20"/>
                <w:lang w:val="en-GB"/>
              </w:rPr>
            </w:pPr>
            <w:r>
              <w:rPr>
                <w:b/>
                <w:bCs/>
                <w:lang w:val="en-GB"/>
              </w:rPr>
              <w:t>Luftveje, thorax og mediastinum</w:t>
            </w:r>
          </w:p>
        </w:tc>
        <w:tc>
          <w:tcPr>
            <w:tcW w:w="1483" w:type="dxa"/>
            <w:tcBorders>
              <w:top w:val="single" w:sz="4" w:space="0" w:color="000000"/>
              <w:left w:val="single" w:sz="4" w:space="0" w:color="000000"/>
              <w:bottom w:val="single" w:sz="4" w:space="0" w:color="000000"/>
              <w:right w:val="single" w:sz="4" w:space="0" w:color="000000"/>
            </w:tcBorders>
          </w:tcPr>
          <w:p w14:paraId="550135C5" w14:textId="77777777" w:rsidR="00243D9C" w:rsidRDefault="00243D9C">
            <w:pPr>
              <w:pStyle w:val="Default"/>
              <w:rPr>
                <w:rFonts w:ascii="Times New Roman" w:hAnsi="Times New Roman" w:cs="Times New Roman"/>
                <w:color w:val="auto"/>
                <w:sz w:val="20"/>
                <w:szCs w:val="22"/>
                <w:lang w:val="en-GB"/>
              </w:rPr>
            </w:pPr>
          </w:p>
        </w:tc>
        <w:tc>
          <w:tcPr>
            <w:tcW w:w="1454" w:type="dxa"/>
            <w:tcBorders>
              <w:top w:val="single" w:sz="4" w:space="0" w:color="000000"/>
              <w:left w:val="single" w:sz="4" w:space="0" w:color="000000"/>
              <w:bottom w:val="single" w:sz="4" w:space="0" w:color="000000"/>
              <w:right w:val="single" w:sz="4" w:space="0" w:color="000000"/>
            </w:tcBorders>
          </w:tcPr>
          <w:p w14:paraId="2A78AFD8" w14:textId="77777777" w:rsidR="00243D9C" w:rsidRDefault="00243D9C">
            <w:pPr>
              <w:pStyle w:val="Default"/>
              <w:rPr>
                <w:rFonts w:ascii="Times New Roman" w:hAnsi="Times New Roman" w:cs="Times New Roman"/>
                <w:color w:val="auto"/>
                <w:sz w:val="20"/>
                <w:szCs w:val="22"/>
                <w:lang w:val="en-GB"/>
              </w:rPr>
            </w:pPr>
          </w:p>
        </w:tc>
        <w:tc>
          <w:tcPr>
            <w:tcW w:w="2106" w:type="dxa"/>
            <w:tcBorders>
              <w:top w:val="single" w:sz="4" w:space="0" w:color="000000"/>
              <w:left w:val="single" w:sz="4" w:space="0" w:color="000000"/>
              <w:bottom w:val="single" w:sz="4" w:space="0" w:color="000000"/>
              <w:right w:val="single" w:sz="4" w:space="0" w:color="000000"/>
            </w:tcBorders>
          </w:tcPr>
          <w:p w14:paraId="72FEACCF" w14:textId="77777777" w:rsidR="00243D9C" w:rsidRDefault="00243D9C">
            <w:pPr>
              <w:pStyle w:val="Default"/>
              <w:rPr>
                <w:rFonts w:ascii="Times New Roman" w:hAnsi="Times New Roman" w:cs="Times New Roman"/>
                <w:color w:val="auto"/>
                <w:sz w:val="20"/>
                <w:szCs w:val="22"/>
                <w:lang w:val="en-GB"/>
              </w:rPr>
            </w:pPr>
          </w:p>
        </w:tc>
        <w:tc>
          <w:tcPr>
            <w:tcW w:w="1388" w:type="dxa"/>
            <w:tcBorders>
              <w:top w:val="single" w:sz="4" w:space="0" w:color="000000"/>
              <w:left w:val="single" w:sz="4" w:space="0" w:color="000000"/>
              <w:bottom w:val="single" w:sz="4" w:space="0" w:color="000000"/>
              <w:right w:val="single" w:sz="4" w:space="0" w:color="000000"/>
            </w:tcBorders>
          </w:tcPr>
          <w:p w14:paraId="2F387C02" w14:textId="77777777" w:rsidR="00243D9C" w:rsidRDefault="00243D9C">
            <w:pPr>
              <w:pStyle w:val="Default"/>
              <w:rPr>
                <w:rFonts w:ascii="Times New Roman" w:hAnsi="Times New Roman" w:cs="Times New Roman"/>
                <w:color w:val="auto"/>
                <w:sz w:val="20"/>
                <w:szCs w:val="22"/>
                <w:lang w:val="en-GB"/>
              </w:rPr>
            </w:pPr>
          </w:p>
        </w:tc>
        <w:tc>
          <w:tcPr>
            <w:tcW w:w="1449" w:type="dxa"/>
            <w:tcBorders>
              <w:top w:val="single" w:sz="4" w:space="0" w:color="000000"/>
              <w:left w:val="single" w:sz="4" w:space="0" w:color="000000"/>
              <w:bottom w:val="single" w:sz="4" w:space="0" w:color="000000"/>
              <w:right w:val="single" w:sz="4" w:space="0" w:color="000000"/>
            </w:tcBorders>
            <w:hideMark/>
          </w:tcPr>
          <w:p w14:paraId="24FA277A" w14:textId="77777777" w:rsidR="00243D9C" w:rsidRDefault="00243D9C">
            <w:pPr>
              <w:pStyle w:val="Default"/>
              <w:rPr>
                <w:rFonts w:ascii="Times New Roman" w:hAnsi="Times New Roman" w:cs="Times New Roman"/>
                <w:color w:val="auto"/>
                <w:sz w:val="20"/>
                <w:szCs w:val="22"/>
                <w:lang w:val="en-GB"/>
              </w:rPr>
            </w:pPr>
            <w:r>
              <w:rPr>
                <w:rFonts w:ascii="Times New Roman" w:hAnsi="Times New Roman" w:cs="Times New Roman"/>
                <w:color w:val="auto"/>
                <w:sz w:val="20"/>
                <w:szCs w:val="22"/>
                <w:lang w:val="en-GB"/>
              </w:rPr>
              <w:t>Dyspnø (herunder astmatiske tilstande)</w:t>
            </w:r>
          </w:p>
        </w:tc>
      </w:tr>
      <w:tr w:rsidR="00243D9C" w14:paraId="08AA3667" w14:textId="77777777" w:rsidTr="00243D9C">
        <w:tc>
          <w:tcPr>
            <w:tcW w:w="1594" w:type="dxa"/>
            <w:tcBorders>
              <w:top w:val="single" w:sz="4" w:space="0" w:color="000000"/>
              <w:left w:val="single" w:sz="4" w:space="0" w:color="000000"/>
              <w:bottom w:val="single" w:sz="4" w:space="0" w:color="000000"/>
              <w:right w:val="single" w:sz="4" w:space="0" w:color="000000"/>
            </w:tcBorders>
            <w:hideMark/>
          </w:tcPr>
          <w:p w14:paraId="641515E7" w14:textId="77777777" w:rsidR="00243D9C" w:rsidRDefault="00243D9C">
            <w:pPr>
              <w:pStyle w:val="Default"/>
              <w:rPr>
                <w:rFonts w:ascii="Times New Roman" w:hAnsi="Times New Roman" w:cs="Times New Roman"/>
                <w:color w:val="auto"/>
                <w:sz w:val="20"/>
                <w:szCs w:val="22"/>
                <w:lang w:val="en-GB"/>
              </w:rPr>
            </w:pPr>
            <w:r>
              <w:rPr>
                <w:rFonts w:ascii="Times New Roman" w:hAnsi="Times New Roman" w:cs="Times New Roman"/>
                <w:b/>
                <w:bCs/>
                <w:color w:val="auto"/>
                <w:sz w:val="20"/>
                <w:szCs w:val="22"/>
                <w:lang w:val="en-GB"/>
              </w:rPr>
              <w:t xml:space="preserve">Mave-tarm-kanalen </w:t>
            </w:r>
          </w:p>
        </w:tc>
        <w:tc>
          <w:tcPr>
            <w:tcW w:w="1483" w:type="dxa"/>
            <w:tcBorders>
              <w:top w:val="single" w:sz="4" w:space="0" w:color="000000"/>
              <w:left w:val="single" w:sz="4" w:space="0" w:color="000000"/>
              <w:bottom w:val="single" w:sz="4" w:space="0" w:color="000000"/>
              <w:right w:val="single" w:sz="4" w:space="0" w:color="000000"/>
            </w:tcBorders>
            <w:hideMark/>
          </w:tcPr>
          <w:p w14:paraId="17F6226D" w14:textId="77777777" w:rsidR="00243D9C" w:rsidRPr="00243D9C" w:rsidRDefault="00243D9C">
            <w:pPr>
              <w:pStyle w:val="Default"/>
              <w:rPr>
                <w:rFonts w:ascii="Times New Roman" w:hAnsi="Times New Roman" w:cs="Times New Roman"/>
                <w:color w:val="auto"/>
                <w:sz w:val="20"/>
                <w:szCs w:val="22"/>
              </w:rPr>
            </w:pPr>
            <w:r w:rsidRPr="00243D9C">
              <w:rPr>
                <w:rFonts w:ascii="Times New Roman" w:hAnsi="Times New Roman" w:cs="Times New Roman"/>
                <w:color w:val="auto"/>
                <w:sz w:val="20"/>
                <w:szCs w:val="22"/>
              </w:rPr>
              <w:t>Gastrointestinale lidelser, mest milde i form af anoreksi, opkastnings-fornemmelser, opkastninger, mavesmerter, kvalme, flatulens, ubehag, kramper, blød afføring eller diarré.</w:t>
            </w:r>
          </w:p>
        </w:tc>
        <w:tc>
          <w:tcPr>
            <w:tcW w:w="1454" w:type="dxa"/>
            <w:tcBorders>
              <w:top w:val="single" w:sz="4" w:space="0" w:color="000000"/>
              <w:left w:val="single" w:sz="4" w:space="0" w:color="000000"/>
              <w:bottom w:val="single" w:sz="4" w:space="0" w:color="000000"/>
              <w:right w:val="single" w:sz="4" w:space="0" w:color="000000"/>
            </w:tcBorders>
          </w:tcPr>
          <w:p w14:paraId="58936B77" w14:textId="77777777" w:rsidR="00243D9C" w:rsidRPr="00243D9C" w:rsidRDefault="00243D9C">
            <w:pPr>
              <w:pStyle w:val="Default"/>
              <w:rPr>
                <w:rFonts w:ascii="Times New Roman" w:hAnsi="Times New Roman" w:cs="Times New Roman"/>
                <w:color w:val="auto"/>
                <w:sz w:val="20"/>
                <w:szCs w:val="22"/>
              </w:rPr>
            </w:pPr>
          </w:p>
        </w:tc>
        <w:tc>
          <w:tcPr>
            <w:tcW w:w="2106" w:type="dxa"/>
            <w:tcBorders>
              <w:top w:val="single" w:sz="4" w:space="0" w:color="000000"/>
              <w:left w:val="single" w:sz="4" w:space="0" w:color="000000"/>
              <w:bottom w:val="single" w:sz="4" w:space="0" w:color="000000"/>
              <w:right w:val="single" w:sz="4" w:space="0" w:color="000000"/>
            </w:tcBorders>
          </w:tcPr>
          <w:p w14:paraId="2A8E9317" w14:textId="77777777" w:rsidR="00243D9C" w:rsidRDefault="00243D9C">
            <w:pPr>
              <w:pStyle w:val="Default"/>
              <w:rPr>
                <w:rFonts w:ascii="Times New Roman" w:hAnsi="Times New Roman" w:cs="Times New Roman"/>
                <w:color w:val="auto"/>
                <w:sz w:val="20"/>
                <w:szCs w:val="22"/>
                <w:lang w:val="en-GB"/>
              </w:rPr>
            </w:pPr>
            <w:r>
              <w:rPr>
                <w:rFonts w:ascii="Times New Roman" w:hAnsi="Times New Roman" w:cs="Times New Roman"/>
                <w:color w:val="auto"/>
                <w:sz w:val="20"/>
                <w:szCs w:val="22"/>
                <w:lang w:val="en-GB"/>
              </w:rPr>
              <w:t>Infantil hypertrofisk pylorusstenose (IHPS); pankreatitis</w:t>
            </w:r>
          </w:p>
          <w:p w14:paraId="3AADB18C" w14:textId="77777777" w:rsidR="00243D9C" w:rsidRDefault="00243D9C">
            <w:pPr>
              <w:pStyle w:val="Default"/>
              <w:rPr>
                <w:rFonts w:ascii="Times New Roman" w:hAnsi="Times New Roman" w:cs="Times New Roman"/>
                <w:color w:val="auto"/>
                <w:sz w:val="20"/>
                <w:szCs w:val="22"/>
                <w:lang w:val="en-GB"/>
              </w:rPr>
            </w:pPr>
          </w:p>
          <w:p w14:paraId="348119AF" w14:textId="77777777" w:rsidR="00243D9C" w:rsidRDefault="00243D9C">
            <w:pPr>
              <w:pStyle w:val="Default"/>
              <w:rPr>
                <w:rFonts w:ascii="Times New Roman" w:hAnsi="Times New Roman" w:cs="Times New Roman"/>
                <w:color w:val="auto"/>
                <w:sz w:val="20"/>
                <w:szCs w:val="22"/>
                <w:lang w:val="en-GB"/>
              </w:rPr>
            </w:pPr>
          </w:p>
        </w:tc>
        <w:tc>
          <w:tcPr>
            <w:tcW w:w="1388" w:type="dxa"/>
            <w:tcBorders>
              <w:top w:val="single" w:sz="4" w:space="0" w:color="000000"/>
              <w:left w:val="single" w:sz="4" w:space="0" w:color="000000"/>
              <w:bottom w:val="single" w:sz="4" w:space="0" w:color="000000"/>
              <w:right w:val="single" w:sz="4" w:space="0" w:color="000000"/>
            </w:tcBorders>
          </w:tcPr>
          <w:p w14:paraId="57C30F89" w14:textId="77777777" w:rsidR="00243D9C" w:rsidRDefault="00243D9C">
            <w:pPr>
              <w:pStyle w:val="Default"/>
              <w:rPr>
                <w:rFonts w:ascii="Times New Roman" w:hAnsi="Times New Roman" w:cs="Times New Roman"/>
                <w:color w:val="auto"/>
                <w:sz w:val="20"/>
                <w:szCs w:val="22"/>
                <w:lang w:val="en-GB"/>
              </w:rPr>
            </w:pPr>
          </w:p>
        </w:tc>
        <w:tc>
          <w:tcPr>
            <w:tcW w:w="1449" w:type="dxa"/>
            <w:tcBorders>
              <w:top w:val="single" w:sz="4" w:space="0" w:color="000000"/>
              <w:left w:val="single" w:sz="4" w:space="0" w:color="000000"/>
              <w:bottom w:val="single" w:sz="4" w:space="0" w:color="000000"/>
              <w:right w:val="single" w:sz="4" w:space="0" w:color="000000"/>
            </w:tcBorders>
          </w:tcPr>
          <w:p w14:paraId="7137E71D" w14:textId="77777777" w:rsidR="00243D9C" w:rsidRDefault="00243D9C">
            <w:pPr>
              <w:pStyle w:val="Default"/>
              <w:rPr>
                <w:rFonts w:ascii="Times New Roman" w:hAnsi="Times New Roman" w:cs="Times New Roman"/>
                <w:color w:val="auto"/>
                <w:sz w:val="20"/>
                <w:szCs w:val="22"/>
                <w:lang w:val="en-GB"/>
              </w:rPr>
            </w:pPr>
          </w:p>
        </w:tc>
      </w:tr>
      <w:tr w:rsidR="00243D9C" w14:paraId="087D92C1" w14:textId="77777777" w:rsidTr="00243D9C">
        <w:tc>
          <w:tcPr>
            <w:tcW w:w="1594" w:type="dxa"/>
            <w:tcBorders>
              <w:top w:val="single" w:sz="4" w:space="0" w:color="000000"/>
              <w:left w:val="single" w:sz="4" w:space="0" w:color="000000"/>
              <w:bottom w:val="single" w:sz="4" w:space="0" w:color="000000"/>
              <w:right w:val="single" w:sz="4" w:space="0" w:color="000000"/>
            </w:tcBorders>
            <w:hideMark/>
          </w:tcPr>
          <w:p w14:paraId="04F5D26E" w14:textId="77777777" w:rsidR="00243D9C" w:rsidRDefault="00243D9C">
            <w:pPr>
              <w:autoSpaceDE w:val="0"/>
              <w:autoSpaceDN w:val="0"/>
              <w:adjustRightInd w:val="0"/>
              <w:rPr>
                <w:sz w:val="20"/>
                <w:lang w:val="en-GB"/>
              </w:rPr>
            </w:pPr>
            <w:r>
              <w:rPr>
                <w:b/>
                <w:bCs/>
                <w:lang w:val="en-GB"/>
              </w:rPr>
              <w:t xml:space="preserve">Lever og galdeveje </w:t>
            </w:r>
          </w:p>
        </w:tc>
        <w:tc>
          <w:tcPr>
            <w:tcW w:w="1483" w:type="dxa"/>
            <w:tcBorders>
              <w:top w:val="single" w:sz="4" w:space="0" w:color="000000"/>
              <w:left w:val="single" w:sz="4" w:space="0" w:color="000000"/>
              <w:bottom w:val="single" w:sz="4" w:space="0" w:color="000000"/>
              <w:right w:val="single" w:sz="4" w:space="0" w:color="000000"/>
            </w:tcBorders>
          </w:tcPr>
          <w:p w14:paraId="65968499" w14:textId="77777777" w:rsidR="00243D9C" w:rsidRDefault="00243D9C">
            <w:pPr>
              <w:pStyle w:val="Default"/>
              <w:rPr>
                <w:rFonts w:ascii="Times New Roman" w:hAnsi="Times New Roman" w:cs="Times New Roman"/>
                <w:i/>
                <w:color w:val="auto"/>
                <w:sz w:val="20"/>
                <w:szCs w:val="22"/>
                <w:lang w:val="en-GB"/>
              </w:rPr>
            </w:pPr>
          </w:p>
        </w:tc>
        <w:tc>
          <w:tcPr>
            <w:tcW w:w="1454" w:type="dxa"/>
            <w:tcBorders>
              <w:top w:val="single" w:sz="4" w:space="0" w:color="000000"/>
              <w:left w:val="single" w:sz="4" w:space="0" w:color="000000"/>
              <w:bottom w:val="single" w:sz="4" w:space="0" w:color="000000"/>
              <w:right w:val="single" w:sz="4" w:space="0" w:color="000000"/>
            </w:tcBorders>
          </w:tcPr>
          <w:p w14:paraId="5A69DC17" w14:textId="77777777" w:rsidR="00243D9C" w:rsidRDefault="00243D9C">
            <w:pPr>
              <w:pStyle w:val="Default"/>
              <w:rPr>
                <w:rFonts w:ascii="Times New Roman" w:hAnsi="Times New Roman" w:cs="Times New Roman"/>
                <w:color w:val="auto"/>
                <w:sz w:val="20"/>
                <w:szCs w:val="22"/>
                <w:lang w:val="en-GB"/>
              </w:rPr>
            </w:pPr>
          </w:p>
        </w:tc>
        <w:tc>
          <w:tcPr>
            <w:tcW w:w="2106" w:type="dxa"/>
            <w:tcBorders>
              <w:top w:val="single" w:sz="4" w:space="0" w:color="000000"/>
              <w:left w:val="single" w:sz="4" w:space="0" w:color="000000"/>
              <w:bottom w:val="single" w:sz="4" w:space="0" w:color="000000"/>
              <w:right w:val="single" w:sz="4" w:space="0" w:color="000000"/>
            </w:tcBorders>
            <w:hideMark/>
          </w:tcPr>
          <w:p w14:paraId="2A2D3786" w14:textId="77777777" w:rsidR="00243D9C" w:rsidRPr="00243D9C" w:rsidRDefault="00243D9C">
            <w:pPr>
              <w:pStyle w:val="Default"/>
              <w:rPr>
                <w:rFonts w:ascii="Times New Roman" w:hAnsi="Times New Roman" w:cs="Times New Roman"/>
                <w:color w:val="auto"/>
                <w:sz w:val="20"/>
                <w:szCs w:val="22"/>
              </w:rPr>
            </w:pPr>
            <w:r w:rsidRPr="00243D9C">
              <w:rPr>
                <w:rFonts w:ascii="Times New Roman" w:hAnsi="Times New Roman" w:cs="Times New Roman"/>
                <w:color w:val="auto"/>
                <w:sz w:val="20"/>
                <w:szCs w:val="22"/>
              </w:rPr>
              <w:t>Kolestase og kolestatisk gulsot, især ved langvarig behandling (2-3 uger) og især ved allerede eksisterende leverskader og ved gentagne behandlinger samt hos patienter med allergier</w:t>
            </w:r>
          </w:p>
        </w:tc>
        <w:tc>
          <w:tcPr>
            <w:tcW w:w="1388" w:type="dxa"/>
            <w:tcBorders>
              <w:top w:val="single" w:sz="4" w:space="0" w:color="000000"/>
              <w:left w:val="single" w:sz="4" w:space="0" w:color="000000"/>
              <w:bottom w:val="single" w:sz="4" w:space="0" w:color="000000"/>
              <w:right w:val="single" w:sz="4" w:space="0" w:color="000000"/>
            </w:tcBorders>
            <w:hideMark/>
          </w:tcPr>
          <w:p w14:paraId="23B7C900" w14:textId="77777777" w:rsidR="00243D9C" w:rsidRPr="00243D9C" w:rsidRDefault="00243D9C">
            <w:pPr>
              <w:pStyle w:val="Default"/>
              <w:rPr>
                <w:rFonts w:ascii="Times New Roman" w:hAnsi="Times New Roman" w:cs="Times New Roman"/>
                <w:color w:val="auto"/>
                <w:sz w:val="20"/>
                <w:szCs w:val="22"/>
              </w:rPr>
            </w:pPr>
            <w:r w:rsidRPr="00243D9C">
              <w:rPr>
                <w:rFonts w:ascii="Times New Roman" w:hAnsi="Times New Roman" w:cs="Times New Roman"/>
                <w:color w:val="auto"/>
                <w:sz w:val="20"/>
                <w:szCs w:val="22"/>
              </w:rPr>
              <w:t>ksolestatisk hepatitis eller hepatitis-lignende symptomer, hepatomegali, leversvigt, leverdysfunktion</w:t>
            </w:r>
          </w:p>
        </w:tc>
        <w:tc>
          <w:tcPr>
            <w:tcW w:w="1449" w:type="dxa"/>
            <w:tcBorders>
              <w:top w:val="single" w:sz="4" w:space="0" w:color="000000"/>
              <w:left w:val="single" w:sz="4" w:space="0" w:color="000000"/>
              <w:bottom w:val="single" w:sz="4" w:space="0" w:color="000000"/>
              <w:right w:val="single" w:sz="4" w:space="0" w:color="000000"/>
            </w:tcBorders>
          </w:tcPr>
          <w:p w14:paraId="5CA6DD1D" w14:textId="77777777" w:rsidR="00243D9C" w:rsidRPr="00243D9C" w:rsidRDefault="00243D9C">
            <w:pPr>
              <w:pStyle w:val="Default"/>
              <w:rPr>
                <w:rFonts w:ascii="Times New Roman" w:hAnsi="Times New Roman" w:cs="Times New Roman"/>
                <w:color w:val="auto"/>
                <w:sz w:val="20"/>
                <w:szCs w:val="22"/>
              </w:rPr>
            </w:pPr>
          </w:p>
        </w:tc>
      </w:tr>
      <w:tr w:rsidR="00243D9C" w14:paraId="5AA66CB8" w14:textId="77777777" w:rsidTr="00243D9C">
        <w:tc>
          <w:tcPr>
            <w:tcW w:w="1594" w:type="dxa"/>
            <w:tcBorders>
              <w:top w:val="single" w:sz="4" w:space="0" w:color="000000"/>
              <w:left w:val="single" w:sz="4" w:space="0" w:color="000000"/>
              <w:bottom w:val="single" w:sz="4" w:space="0" w:color="000000"/>
              <w:right w:val="single" w:sz="4" w:space="0" w:color="000000"/>
            </w:tcBorders>
          </w:tcPr>
          <w:p w14:paraId="5473BB32" w14:textId="77777777" w:rsidR="00243D9C" w:rsidRDefault="00243D9C">
            <w:pPr>
              <w:autoSpaceDE w:val="0"/>
              <w:autoSpaceDN w:val="0"/>
              <w:adjustRightInd w:val="0"/>
              <w:rPr>
                <w:sz w:val="20"/>
                <w:lang w:val="en-GB"/>
              </w:rPr>
            </w:pPr>
            <w:r>
              <w:rPr>
                <w:b/>
                <w:bCs/>
                <w:lang w:val="en-GB"/>
              </w:rPr>
              <w:t>Hud og subkutane væv</w:t>
            </w:r>
          </w:p>
          <w:p w14:paraId="76E15922" w14:textId="77777777" w:rsidR="00243D9C" w:rsidRDefault="00243D9C">
            <w:pPr>
              <w:pStyle w:val="Default"/>
              <w:rPr>
                <w:rFonts w:ascii="Times New Roman" w:hAnsi="Times New Roman" w:cs="Times New Roman"/>
                <w:color w:val="auto"/>
                <w:sz w:val="20"/>
                <w:szCs w:val="22"/>
                <w:lang w:val="en-GB"/>
              </w:rPr>
            </w:pPr>
          </w:p>
        </w:tc>
        <w:tc>
          <w:tcPr>
            <w:tcW w:w="1483" w:type="dxa"/>
            <w:tcBorders>
              <w:top w:val="single" w:sz="4" w:space="0" w:color="000000"/>
              <w:left w:val="single" w:sz="4" w:space="0" w:color="000000"/>
              <w:bottom w:val="single" w:sz="4" w:space="0" w:color="000000"/>
              <w:right w:val="single" w:sz="4" w:space="0" w:color="000000"/>
            </w:tcBorders>
          </w:tcPr>
          <w:p w14:paraId="3E2563BD" w14:textId="77777777" w:rsidR="00243D9C" w:rsidRDefault="00243D9C">
            <w:pPr>
              <w:pStyle w:val="Default"/>
              <w:rPr>
                <w:rFonts w:ascii="Times New Roman" w:hAnsi="Times New Roman" w:cs="Times New Roman"/>
                <w:color w:val="auto"/>
                <w:sz w:val="20"/>
                <w:szCs w:val="22"/>
                <w:lang w:val="en-GB"/>
              </w:rPr>
            </w:pPr>
          </w:p>
        </w:tc>
        <w:tc>
          <w:tcPr>
            <w:tcW w:w="1454" w:type="dxa"/>
            <w:tcBorders>
              <w:top w:val="single" w:sz="4" w:space="0" w:color="000000"/>
              <w:left w:val="single" w:sz="4" w:space="0" w:color="000000"/>
              <w:bottom w:val="single" w:sz="4" w:space="0" w:color="000000"/>
              <w:right w:val="single" w:sz="4" w:space="0" w:color="000000"/>
            </w:tcBorders>
            <w:hideMark/>
          </w:tcPr>
          <w:p w14:paraId="3B702333" w14:textId="77777777" w:rsidR="00243D9C" w:rsidRPr="00243D9C" w:rsidRDefault="00243D9C">
            <w:pPr>
              <w:pStyle w:val="Default"/>
              <w:rPr>
                <w:rFonts w:ascii="Times New Roman" w:hAnsi="Times New Roman" w:cs="Times New Roman"/>
                <w:color w:val="auto"/>
                <w:sz w:val="20"/>
                <w:szCs w:val="22"/>
              </w:rPr>
            </w:pPr>
            <w:r w:rsidRPr="00243D9C">
              <w:rPr>
                <w:rFonts w:ascii="Times New Roman" w:hAnsi="Times New Roman" w:cs="Times New Roman"/>
                <w:color w:val="auto"/>
                <w:sz w:val="20"/>
                <w:szCs w:val="22"/>
              </w:rPr>
              <w:t>Hyperæmi og urticarial eksanthem, pruritus, hududslæt</w:t>
            </w:r>
          </w:p>
        </w:tc>
        <w:tc>
          <w:tcPr>
            <w:tcW w:w="2106" w:type="dxa"/>
            <w:tcBorders>
              <w:top w:val="single" w:sz="4" w:space="0" w:color="000000"/>
              <w:left w:val="single" w:sz="4" w:space="0" w:color="000000"/>
              <w:bottom w:val="single" w:sz="4" w:space="0" w:color="000000"/>
              <w:right w:val="single" w:sz="4" w:space="0" w:color="000000"/>
            </w:tcBorders>
          </w:tcPr>
          <w:p w14:paraId="580337B0" w14:textId="77777777" w:rsidR="00243D9C" w:rsidRPr="00243D9C" w:rsidRDefault="00243D9C">
            <w:pPr>
              <w:pStyle w:val="Default"/>
              <w:rPr>
                <w:rFonts w:ascii="Times New Roman" w:hAnsi="Times New Roman" w:cs="Times New Roman"/>
                <w:color w:val="auto"/>
                <w:sz w:val="20"/>
                <w:szCs w:val="22"/>
              </w:rPr>
            </w:pPr>
          </w:p>
        </w:tc>
        <w:tc>
          <w:tcPr>
            <w:tcW w:w="1388" w:type="dxa"/>
            <w:tcBorders>
              <w:top w:val="single" w:sz="4" w:space="0" w:color="000000"/>
              <w:left w:val="single" w:sz="4" w:space="0" w:color="000000"/>
              <w:bottom w:val="single" w:sz="4" w:space="0" w:color="000000"/>
              <w:right w:val="single" w:sz="4" w:space="0" w:color="000000"/>
            </w:tcBorders>
            <w:hideMark/>
          </w:tcPr>
          <w:p w14:paraId="0E7C44D1" w14:textId="77777777" w:rsidR="00243D9C" w:rsidRPr="00243D9C" w:rsidRDefault="00243D9C">
            <w:pPr>
              <w:pStyle w:val="Default"/>
              <w:rPr>
                <w:rFonts w:ascii="Times New Roman" w:hAnsi="Times New Roman" w:cs="Times New Roman"/>
                <w:color w:val="auto"/>
                <w:sz w:val="20"/>
                <w:szCs w:val="22"/>
              </w:rPr>
            </w:pPr>
            <w:r w:rsidRPr="00243D9C">
              <w:rPr>
                <w:rFonts w:ascii="Times New Roman" w:hAnsi="Times New Roman" w:cs="Times New Roman"/>
                <w:color w:val="auto"/>
                <w:sz w:val="20"/>
                <w:szCs w:val="22"/>
              </w:rPr>
              <w:t>Erythema exudativum multiforme, Stevens-Johnsons syndrom, toksisk epidermal nekrolyse (Lyells syndrom, især hos børn i alle aldre)</w:t>
            </w:r>
          </w:p>
        </w:tc>
        <w:tc>
          <w:tcPr>
            <w:tcW w:w="1449" w:type="dxa"/>
            <w:tcBorders>
              <w:top w:val="single" w:sz="4" w:space="0" w:color="000000"/>
              <w:left w:val="single" w:sz="4" w:space="0" w:color="000000"/>
              <w:bottom w:val="single" w:sz="4" w:space="0" w:color="000000"/>
              <w:right w:val="single" w:sz="4" w:space="0" w:color="000000"/>
            </w:tcBorders>
            <w:hideMark/>
          </w:tcPr>
          <w:p w14:paraId="5068AC4A" w14:textId="77777777" w:rsidR="00243D9C" w:rsidRPr="00243D9C" w:rsidRDefault="00243D9C">
            <w:pPr>
              <w:pStyle w:val="Default"/>
              <w:rPr>
                <w:rFonts w:ascii="Times New Roman" w:hAnsi="Times New Roman" w:cs="Times New Roman"/>
                <w:color w:val="auto"/>
                <w:sz w:val="20"/>
                <w:szCs w:val="22"/>
              </w:rPr>
            </w:pPr>
            <w:r w:rsidRPr="00243D9C">
              <w:rPr>
                <w:rFonts w:ascii="Times New Roman" w:hAnsi="Times New Roman" w:cs="Times New Roman"/>
                <w:color w:val="auto"/>
                <w:sz w:val="20"/>
                <w:szCs w:val="22"/>
              </w:rPr>
              <w:t>Akut generaliseret eksantematøs pustulose (AGEP)</w:t>
            </w:r>
          </w:p>
        </w:tc>
      </w:tr>
      <w:tr w:rsidR="00243D9C" w14:paraId="0FC23CC6" w14:textId="77777777" w:rsidTr="00243D9C">
        <w:tc>
          <w:tcPr>
            <w:tcW w:w="1594" w:type="dxa"/>
            <w:tcBorders>
              <w:top w:val="single" w:sz="4" w:space="0" w:color="000000"/>
              <w:left w:val="single" w:sz="4" w:space="0" w:color="000000"/>
              <w:bottom w:val="single" w:sz="4" w:space="0" w:color="000000"/>
              <w:right w:val="single" w:sz="4" w:space="0" w:color="000000"/>
            </w:tcBorders>
            <w:hideMark/>
          </w:tcPr>
          <w:p w14:paraId="3DA5C6E1" w14:textId="77777777" w:rsidR="00243D9C" w:rsidRPr="00243D9C" w:rsidRDefault="00243D9C">
            <w:pPr>
              <w:autoSpaceDE w:val="0"/>
              <w:autoSpaceDN w:val="0"/>
              <w:adjustRightInd w:val="0"/>
              <w:rPr>
                <w:sz w:val="20"/>
                <w:szCs w:val="22"/>
              </w:rPr>
            </w:pPr>
            <w:r w:rsidRPr="00243D9C">
              <w:rPr>
                <w:b/>
                <w:bCs/>
              </w:rPr>
              <w:t>Knogler, led, muskler og bindevæv</w:t>
            </w:r>
          </w:p>
        </w:tc>
        <w:tc>
          <w:tcPr>
            <w:tcW w:w="1483" w:type="dxa"/>
            <w:tcBorders>
              <w:top w:val="single" w:sz="4" w:space="0" w:color="000000"/>
              <w:left w:val="single" w:sz="4" w:space="0" w:color="000000"/>
              <w:bottom w:val="single" w:sz="4" w:space="0" w:color="000000"/>
              <w:right w:val="single" w:sz="4" w:space="0" w:color="000000"/>
            </w:tcBorders>
          </w:tcPr>
          <w:p w14:paraId="1BCB7F21" w14:textId="77777777" w:rsidR="00243D9C" w:rsidRPr="00243D9C" w:rsidRDefault="00243D9C">
            <w:pPr>
              <w:pStyle w:val="Default"/>
              <w:rPr>
                <w:rFonts w:ascii="Times New Roman" w:hAnsi="Times New Roman" w:cs="Times New Roman"/>
                <w:color w:val="auto"/>
                <w:sz w:val="20"/>
                <w:szCs w:val="22"/>
              </w:rPr>
            </w:pPr>
          </w:p>
        </w:tc>
        <w:tc>
          <w:tcPr>
            <w:tcW w:w="1454" w:type="dxa"/>
            <w:tcBorders>
              <w:top w:val="single" w:sz="4" w:space="0" w:color="000000"/>
              <w:left w:val="single" w:sz="4" w:space="0" w:color="000000"/>
              <w:bottom w:val="single" w:sz="4" w:space="0" w:color="000000"/>
              <w:right w:val="single" w:sz="4" w:space="0" w:color="000000"/>
            </w:tcBorders>
          </w:tcPr>
          <w:p w14:paraId="68D8E336" w14:textId="77777777" w:rsidR="00243D9C" w:rsidRPr="00243D9C" w:rsidRDefault="00243D9C">
            <w:pPr>
              <w:pStyle w:val="Default"/>
              <w:rPr>
                <w:rFonts w:ascii="Times New Roman" w:hAnsi="Times New Roman" w:cs="Times New Roman"/>
                <w:color w:val="auto"/>
                <w:sz w:val="20"/>
                <w:szCs w:val="22"/>
              </w:rPr>
            </w:pPr>
          </w:p>
        </w:tc>
        <w:tc>
          <w:tcPr>
            <w:tcW w:w="2106" w:type="dxa"/>
            <w:tcBorders>
              <w:top w:val="single" w:sz="4" w:space="0" w:color="000000"/>
              <w:left w:val="single" w:sz="4" w:space="0" w:color="000000"/>
              <w:bottom w:val="single" w:sz="4" w:space="0" w:color="000000"/>
              <w:right w:val="single" w:sz="4" w:space="0" w:color="000000"/>
            </w:tcBorders>
          </w:tcPr>
          <w:p w14:paraId="639180BB" w14:textId="77777777" w:rsidR="00243D9C" w:rsidRDefault="00243D9C">
            <w:pPr>
              <w:pStyle w:val="Default"/>
              <w:rPr>
                <w:rFonts w:ascii="Times New Roman" w:hAnsi="Times New Roman" w:cs="Times New Roman"/>
                <w:color w:val="auto"/>
                <w:sz w:val="20"/>
                <w:szCs w:val="22"/>
                <w:lang w:val="en-GB"/>
              </w:rPr>
            </w:pPr>
            <w:r>
              <w:rPr>
                <w:rFonts w:ascii="Times New Roman" w:hAnsi="Times New Roman" w:cs="Times New Roman"/>
                <w:color w:val="auto"/>
                <w:sz w:val="20"/>
                <w:szCs w:val="22"/>
                <w:lang w:val="en-GB"/>
              </w:rPr>
              <w:t>Hævede led</w:t>
            </w:r>
          </w:p>
          <w:p w14:paraId="60047846" w14:textId="77777777" w:rsidR="00243D9C" w:rsidRDefault="00243D9C">
            <w:pPr>
              <w:pStyle w:val="Default"/>
              <w:rPr>
                <w:rFonts w:ascii="Times New Roman" w:hAnsi="Times New Roman" w:cs="Times New Roman"/>
                <w:color w:val="auto"/>
                <w:sz w:val="20"/>
                <w:szCs w:val="22"/>
                <w:lang w:val="en-GB"/>
              </w:rPr>
            </w:pPr>
          </w:p>
        </w:tc>
        <w:tc>
          <w:tcPr>
            <w:tcW w:w="1388" w:type="dxa"/>
            <w:tcBorders>
              <w:top w:val="single" w:sz="4" w:space="0" w:color="000000"/>
              <w:left w:val="single" w:sz="4" w:space="0" w:color="000000"/>
              <w:bottom w:val="single" w:sz="4" w:space="0" w:color="000000"/>
              <w:right w:val="single" w:sz="4" w:space="0" w:color="000000"/>
            </w:tcBorders>
          </w:tcPr>
          <w:p w14:paraId="2686F650" w14:textId="77777777" w:rsidR="00243D9C" w:rsidRDefault="00243D9C">
            <w:pPr>
              <w:pStyle w:val="Default"/>
              <w:rPr>
                <w:rFonts w:ascii="Times New Roman" w:hAnsi="Times New Roman" w:cs="Times New Roman"/>
                <w:color w:val="auto"/>
                <w:sz w:val="20"/>
                <w:szCs w:val="22"/>
                <w:lang w:val="en-GB"/>
              </w:rPr>
            </w:pPr>
          </w:p>
        </w:tc>
        <w:tc>
          <w:tcPr>
            <w:tcW w:w="1449" w:type="dxa"/>
            <w:tcBorders>
              <w:top w:val="single" w:sz="4" w:space="0" w:color="000000"/>
              <w:left w:val="single" w:sz="4" w:space="0" w:color="000000"/>
              <w:bottom w:val="single" w:sz="4" w:space="0" w:color="000000"/>
              <w:right w:val="single" w:sz="4" w:space="0" w:color="000000"/>
            </w:tcBorders>
          </w:tcPr>
          <w:p w14:paraId="22A42F95" w14:textId="77777777" w:rsidR="00243D9C" w:rsidRDefault="00243D9C">
            <w:pPr>
              <w:pStyle w:val="Default"/>
              <w:rPr>
                <w:rFonts w:ascii="Times New Roman" w:hAnsi="Times New Roman" w:cs="Times New Roman"/>
                <w:color w:val="auto"/>
                <w:sz w:val="20"/>
                <w:szCs w:val="22"/>
                <w:lang w:val="en-GB"/>
              </w:rPr>
            </w:pPr>
          </w:p>
        </w:tc>
      </w:tr>
      <w:tr w:rsidR="00243D9C" w14:paraId="07EC9BB8" w14:textId="77777777" w:rsidTr="00243D9C">
        <w:tc>
          <w:tcPr>
            <w:tcW w:w="1594" w:type="dxa"/>
            <w:tcBorders>
              <w:top w:val="single" w:sz="4" w:space="0" w:color="000000"/>
              <w:left w:val="single" w:sz="4" w:space="0" w:color="000000"/>
              <w:bottom w:val="single" w:sz="4" w:space="0" w:color="000000"/>
              <w:right w:val="single" w:sz="4" w:space="0" w:color="000000"/>
            </w:tcBorders>
            <w:hideMark/>
          </w:tcPr>
          <w:p w14:paraId="29A24302" w14:textId="77777777" w:rsidR="00243D9C" w:rsidRDefault="00243D9C">
            <w:pPr>
              <w:pStyle w:val="Default"/>
              <w:rPr>
                <w:rFonts w:ascii="Times New Roman" w:hAnsi="Times New Roman" w:cs="Times New Roman"/>
                <w:color w:val="auto"/>
                <w:sz w:val="20"/>
                <w:szCs w:val="22"/>
                <w:lang w:val="en-GB"/>
              </w:rPr>
            </w:pPr>
            <w:r>
              <w:rPr>
                <w:rFonts w:ascii="Times New Roman" w:hAnsi="Times New Roman" w:cs="Times New Roman"/>
                <w:b/>
                <w:bCs/>
                <w:color w:val="auto"/>
                <w:sz w:val="20"/>
                <w:szCs w:val="22"/>
                <w:lang w:val="en-GB"/>
              </w:rPr>
              <w:t>Nyrer og urinveje</w:t>
            </w:r>
          </w:p>
        </w:tc>
        <w:tc>
          <w:tcPr>
            <w:tcW w:w="1483" w:type="dxa"/>
            <w:tcBorders>
              <w:top w:val="single" w:sz="4" w:space="0" w:color="000000"/>
              <w:left w:val="single" w:sz="4" w:space="0" w:color="000000"/>
              <w:bottom w:val="single" w:sz="4" w:space="0" w:color="000000"/>
              <w:right w:val="single" w:sz="4" w:space="0" w:color="000000"/>
            </w:tcBorders>
          </w:tcPr>
          <w:p w14:paraId="50F17DB7" w14:textId="77777777" w:rsidR="00243D9C" w:rsidRDefault="00243D9C">
            <w:pPr>
              <w:pStyle w:val="Default"/>
              <w:rPr>
                <w:rFonts w:ascii="Times New Roman" w:hAnsi="Times New Roman" w:cs="Times New Roman"/>
                <w:color w:val="auto"/>
                <w:sz w:val="20"/>
                <w:szCs w:val="22"/>
                <w:lang w:val="en-GB"/>
              </w:rPr>
            </w:pPr>
          </w:p>
        </w:tc>
        <w:tc>
          <w:tcPr>
            <w:tcW w:w="1454" w:type="dxa"/>
            <w:tcBorders>
              <w:top w:val="single" w:sz="4" w:space="0" w:color="000000"/>
              <w:left w:val="single" w:sz="4" w:space="0" w:color="000000"/>
              <w:bottom w:val="single" w:sz="4" w:space="0" w:color="000000"/>
              <w:right w:val="single" w:sz="4" w:space="0" w:color="000000"/>
            </w:tcBorders>
          </w:tcPr>
          <w:p w14:paraId="5B70B516" w14:textId="77777777" w:rsidR="00243D9C" w:rsidRDefault="00243D9C">
            <w:pPr>
              <w:pStyle w:val="Default"/>
              <w:rPr>
                <w:rFonts w:ascii="Times New Roman" w:hAnsi="Times New Roman" w:cs="Times New Roman"/>
                <w:color w:val="auto"/>
                <w:sz w:val="20"/>
                <w:szCs w:val="22"/>
                <w:lang w:val="en-GB"/>
              </w:rPr>
            </w:pPr>
          </w:p>
        </w:tc>
        <w:tc>
          <w:tcPr>
            <w:tcW w:w="2106" w:type="dxa"/>
            <w:tcBorders>
              <w:top w:val="single" w:sz="4" w:space="0" w:color="000000"/>
              <w:left w:val="single" w:sz="4" w:space="0" w:color="000000"/>
              <w:bottom w:val="single" w:sz="4" w:space="0" w:color="000000"/>
              <w:right w:val="single" w:sz="4" w:space="0" w:color="000000"/>
            </w:tcBorders>
          </w:tcPr>
          <w:p w14:paraId="0DE00482" w14:textId="77777777" w:rsidR="00243D9C" w:rsidRDefault="00243D9C">
            <w:pPr>
              <w:pStyle w:val="Default"/>
              <w:rPr>
                <w:rFonts w:ascii="Times New Roman" w:hAnsi="Times New Roman" w:cs="Times New Roman"/>
                <w:color w:val="auto"/>
                <w:sz w:val="20"/>
                <w:szCs w:val="22"/>
                <w:lang w:val="en-GB"/>
              </w:rPr>
            </w:pPr>
          </w:p>
        </w:tc>
        <w:tc>
          <w:tcPr>
            <w:tcW w:w="1388" w:type="dxa"/>
            <w:tcBorders>
              <w:top w:val="single" w:sz="4" w:space="0" w:color="000000"/>
              <w:left w:val="single" w:sz="4" w:space="0" w:color="000000"/>
              <w:bottom w:val="single" w:sz="4" w:space="0" w:color="000000"/>
              <w:right w:val="single" w:sz="4" w:space="0" w:color="000000"/>
            </w:tcBorders>
          </w:tcPr>
          <w:p w14:paraId="661997D6" w14:textId="77777777" w:rsidR="00243D9C" w:rsidRDefault="00243D9C">
            <w:pPr>
              <w:pStyle w:val="Default"/>
              <w:rPr>
                <w:rFonts w:ascii="Times New Roman" w:hAnsi="Times New Roman" w:cs="Times New Roman"/>
                <w:color w:val="auto"/>
                <w:sz w:val="20"/>
                <w:szCs w:val="22"/>
                <w:lang w:val="en-GB"/>
              </w:rPr>
            </w:pPr>
            <w:r>
              <w:rPr>
                <w:rFonts w:ascii="Times New Roman" w:hAnsi="Times New Roman" w:cs="Times New Roman"/>
                <w:color w:val="auto"/>
                <w:sz w:val="20"/>
                <w:szCs w:val="22"/>
                <w:lang w:val="en-GB"/>
              </w:rPr>
              <w:t xml:space="preserve">Interstitiel nefritis </w:t>
            </w:r>
          </w:p>
          <w:p w14:paraId="7EE2D7D0" w14:textId="77777777" w:rsidR="00243D9C" w:rsidRDefault="00243D9C">
            <w:pPr>
              <w:pStyle w:val="Default"/>
              <w:rPr>
                <w:rFonts w:ascii="Times New Roman" w:hAnsi="Times New Roman" w:cs="Times New Roman"/>
                <w:color w:val="auto"/>
                <w:sz w:val="20"/>
                <w:szCs w:val="22"/>
                <w:lang w:val="en-GB"/>
              </w:rPr>
            </w:pPr>
          </w:p>
        </w:tc>
        <w:tc>
          <w:tcPr>
            <w:tcW w:w="1449" w:type="dxa"/>
            <w:tcBorders>
              <w:top w:val="single" w:sz="4" w:space="0" w:color="000000"/>
              <w:left w:val="single" w:sz="4" w:space="0" w:color="000000"/>
              <w:bottom w:val="single" w:sz="4" w:space="0" w:color="000000"/>
              <w:right w:val="single" w:sz="4" w:space="0" w:color="000000"/>
            </w:tcBorders>
          </w:tcPr>
          <w:p w14:paraId="5F7E360E" w14:textId="77777777" w:rsidR="00243D9C" w:rsidRDefault="00243D9C">
            <w:pPr>
              <w:pStyle w:val="Default"/>
              <w:rPr>
                <w:rFonts w:ascii="Times New Roman" w:hAnsi="Times New Roman" w:cs="Times New Roman"/>
                <w:color w:val="auto"/>
                <w:sz w:val="20"/>
                <w:szCs w:val="22"/>
                <w:lang w:val="en-GB"/>
              </w:rPr>
            </w:pPr>
          </w:p>
        </w:tc>
      </w:tr>
      <w:tr w:rsidR="00243D9C" w14:paraId="4DC0245D" w14:textId="77777777" w:rsidTr="00243D9C">
        <w:tc>
          <w:tcPr>
            <w:tcW w:w="1594" w:type="dxa"/>
            <w:tcBorders>
              <w:top w:val="single" w:sz="4" w:space="0" w:color="000000"/>
              <w:left w:val="single" w:sz="4" w:space="0" w:color="000000"/>
              <w:bottom w:val="single" w:sz="4" w:space="0" w:color="000000"/>
              <w:right w:val="single" w:sz="4" w:space="0" w:color="000000"/>
            </w:tcBorders>
            <w:hideMark/>
          </w:tcPr>
          <w:p w14:paraId="1B1E9326" w14:textId="77777777" w:rsidR="00243D9C" w:rsidRPr="00243D9C" w:rsidRDefault="00243D9C">
            <w:pPr>
              <w:pStyle w:val="Default"/>
              <w:rPr>
                <w:rFonts w:ascii="Times New Roman" w:hAnsi="Times New Roman" w:cs="Times New Roman"/>
                <w:color w:val="auto"/>
                <w:sz w:val="20"/>
                <w:szCs w:val="22"/>
              </w:rPr>
            </w:pPr>
            <w:r w:rsidRPr="00243D9C">
              <w:rPr>
                <w:rFonts w:ascii="Times New Roman" w:hAnsi="Times New Roman" w:cs="Times New Roman"/>
                <w:b/>
                <w:bCs/>
                <w:color w:val="auto"/>
                <w:sz w:val="20"/>
                <w:szCs w:val="22"/>
              </w:rPr>
              <w:t>Almene symptomer og reaktioner på administrationsstedet</w:t>
            </w:r>
          </w:p>
        </w:tc>
        <w:tc>
          <w:tcPr>
            <w:tcW w:w="1483" w:type="dxa"/>
            <w:tcBorders>
              <w:top w:val="single" w:sz="4" w:space="0" w:color="000000"/>
              <w:left w:val="single" w:sz="4" w:space="0" w:color="000000"/>
              <w:bottom w:val="single" w:sz="4" w:space="0" w:color="000000"/>
              <w:right w:val="single" w:sz="4" w:space="0" w:color="000000"/>
            </w:tcBorders>
          </w:tcPr>
          <w:p w14:paraId="7EFFE035" w14:textId="77777777" w:rsidR="00243D9C" w:rsidRPr="00243D9C" w:rsidRDefault="00243D9C">
            <w:pPr>
              <w:pStyle w:val="Default"/>
              <w:rPr>
                <w:rFonts w:ascii="Times New Roman" w:hAnsi="Times New Roman" w:cs="Times New Roman"/>
                <w:color w:val="auto"/>
                <w:sz w:val="20"/>
                <w:szCs w:val="22"/>
              </w:rPr>
            </w:pPr>
          </w:p>
        </w:tc>
        <w:tc>
          <w:tcPr>
            <w:tcW w:w="1454" w:type="dxa"/>
            <w:tcBorders>
              <w:top w:val="single" w:sz="4" w:space="0" w:color="000000"/>
              <w:left w:val="single" w:sz="4" w:space="0" w:color="000000"/>
              <w:bottom w:val="single" w:sz="4" w:space="0" w:color="000000"/>
              <w:right w:val="single" w:sz="4" w:space="0" w:color="000000"/>
            </w:tcBorders>
            <w:hideMark/>
          </w:tcPr>
          <w:p w14:paraId="3949556E" w14:textId="77777777" w:rsidR="00243D9C" w:rsidRPr="00243D9C" w:rsidRDefault="00243D9C">
            <w:pPr>
              <w:pStyle w:val="Default"/>
              <w:rPr>
                <w:rFonts w:ascii="Times New Roman" w:hAnsi="Times New Roman" w:cs="Times New Roman"/>
                <w:color w:val="auto"/>
                <w:sz w:val="20"/>
                <w:szCs w:val="22"/>
              </w:rPr>
            </w:pPr>
            <w:r w:rsidRPr="00243D9C">
              <w:rPr>
                <w:rFonts w:ascii="Times New Roman" w:hAnsi="Times New Roman" w:cs="Times New Roman"/>
                <w:color w:val="auto"/>
                <w:sz w:val="20"/>
                <w:szCs w:val="22"/>
              </w:rPr>
              <w:t>Smerte og/eller irritation på injektionssted</w:t>
            </w:r>
          </w:p>
        </w:tc>
        <w:tc>
          <w:tcPr>
            <w:tcW w:w="2106" w:type="dxa"/>
            <w:tcBorders>
              <w:top w:val="single" w:sz="4" w:space="0" w:color="000000"/>
              <w:left w:val="single" w:sz="4" w:space="0" w:color="000000"/>
              <w:bottom w:val="single" w:sz="4" w:space="0" w:color="000000"/>
              <w:right w:val="single" w:sz="4" w:space="0" w:color="000000"/>
            </w:tcBorders>
          </w:tcPr>
          <w:p w14:paraId="4D5F2052" w14:textId="77777777" w:rsidR="00243D9C" w:rsidRDefault="00243D9C">
            <w:pPr>
              <w:pStyle w:val="Default"/>
              <w:rPr>
                <w:rFonts w:ascii="Times New Roman" w:hAnsi="Times New Roman" w:cs="Times New Roman"/>
                <w:color w:val="auto"/>
                <w:sz w:val="20"/>
                <w:szCs w:val="22"/>
                <w:lang w:val="en-GB"/>
              </w:rPr>
            </w:pPr>
            <w:r>
              <w:rPr>
                <w:rFonts w:ascii="Times New Roman" w:hAnsi="Times New Roman" w:cs="Times New Roman"/>
                <w:color w:val="auto"/>
                <w:sz w:val="20"/>
                <w:szCs w:val="22"/>
                <w:lang w:val="en-GB"/>
              </w:rPr>
              <w:t>Lægemiddelfeber</w:t>
            </w:r>
          </w:p>
          <w:p w14:paraId="5567CEF1" w14:textId="77777777" w:rsidR="00243D9C" w:rsidRDefault="00243D9C">
            <w:pPr>
              <w:pStyle w:val="Default"/>
              <w:rPr>
                <w:rFonts w:ascii="Times New Roman" w:hAnsi="Times New Roman" w:cs="Times New Roman"/>
                <w:color w:val="auto"/>
                <w:sz w:val="20"/>
                <w:szCs w:val="22"/>
                <w:lang w:val="en-GB"/>
              </w:rPr>
            </w:pPr>
          </w:p>
        </w:tc>
        <w:tc>
          <w:tcPr>
            <w:tcW w:w="1388" w:type="dxa"/>
            <w:tcBorders>
              <w:top w:val="single" w:sz="4" w:space="0" w:color="000000"/>
              <w:left w:val="single" w:sz="4" w:space="0" w:color="000000"/>
              <w:bottom w:val="single" w:sz="4" w:space="0" w:color="000000"/>
              <w:right w:val="single" w:sz="4" w:space="0" w:color="000000"/>
            </w:tcBorders>
          </w:tcPr>
          <w:p w14:paraId="0A7AD5A3" w14:textId="77777777" w:rsidR="00243D9C" w:rsidRDefault="00243D9C">
            <w:pPr>
              <w:pStyle w:val="Default"/>
              <w:rPr>
                <w:rFonts w:ascii="Times New Roman" w:hAnsi="Times New Roman" w:cs="Times New Roman"/>
                <w:color w:val="auto"/>
                <w:sz w:val="20"/>
                <w:szCs w:val="22"/>
                <w:lang w:val="en-GB"/>
              </w:rPr>
            </w:pPr>
          </w:p>
        </w:tc>
        <w:tc>
          <w:tcPr>
            <w:tcW w:w="1449" w:type="dxa"/>
            <w:tcBorders>
              <w:top w:val="single" w:sz="4" w:space="0" w:color="000000"/>
              <w:left w:val="single" w:sz="4" w:space="0" w:color="000000"/>
              <w:bottom w:val="single" w:sz="4" w:space="0" w:color="000000"/>
              <w:right w:val="single" w:sz="4" w:space="0" w:color="000000"/>
            </w:tcBorders>
            <w:hideMark/>
          </w:tcPr>
          <w:p w14:paraId="256278C7" w14:textId="77777777" w:rsidR="00243D9C" w:rsidRDefault="00243D9C">
            <w:pPr>
              <w:pStyle w:val="Default"/>
              <w:rPr>
                <w:rFonts w:ascii="Times New Roman" w:hAnsi="Times New Roman" w:cs="Times New Roman"/>
                <w:color w:val="auto"/>
                <w:sz w:val="20"/>
                <w:szCs w:val="22"/>
                <w:lang w:val="en-GB"/>
              </w:rPr>
            </w:pPr>
            <w:r>
              <w:rPr>
                <w:rFonts w:ascii="Times New Roman" w:hAnsi="Times New Roman" w:cs="Times New Roman"/>
                <w:color w:val="auto"/>
                <w:sz w:val="20"/>
                <w:szCs w:val="22"/>
                <w:lang w:val="en-GB"/>
              </w:rPr>
              <w:t>Brystsmerter, feber, utilpashed</w:t>
            </w:r>
          </w:p>
        </w:tc>
      </w:tr>
      <w:tr w:rsidR="00243D9C" w14:paraId="40C5DACD" w14:textId="77777777" w:rsidTr="00243D9C">
        <w:tc>
          <w:tcPr>
            <w:tcW w:w="1594" w:type="dxa"/>
            <w:tcBorders>
              <w:top w:val="single" w:sz="4" w:space="0" w:color="000000"/>
              <w:left w:val="single" w:sz="4" w:space="0" w:color="000000"/>
              <w:bottom w:val="single" w:sz="4" w:space="0" w:color="000000"/>
              <w:right w:val="single" w:sz="4" w:space="0" w:color="000000"/>
            </w:tcBorders>
            <w:hideMark/>
          </w:tcPr>
          <w:p w14:paraId="5F3FD4DB" w14:textId="77777777" w:rsidR="00243D9C" w:rsidRDefault="00243D9C">
            <w:pPr>
              <w:pStyle w:val="Default"/>
              <w:rPr>
                <w:rFonts w:ascii="Times New Roman" w:hAnsi="Times New Roman" w:cs="Times New Roman"/>
                <w:color w:val="auto"/>
                <w:sz w:val="20"/>
                <w:szCs w:val="22"/>
                <w:lang w:val="en-GB"/>
              </w:rPr>
            </w:pPr>
            <w:r>
              <w:rPr>
                <w:rFonts w:ascii="Times New Roman" w:hAnsi="Times New Roman" w:cs="Times New Roman"/>
                <w:b/>
                <w:bCs/>
                <w:color w:val="auto"/>
                <w:sz w:val="20"/>
                <w:szCs w:val="22"/>
                <w:lang w:val="en-GB"/>
              </w:rPr>
              <w:t>Undersøgelser</w:t>
            </w:r>
          </w:p>
        </w:tc>
        <w:tc>
          <w:tcPr>
            <w:tcW w:w="1483" w:type="dxa"/>
            <w:tcBorders>
              <w:top w:val="single" w:sz="4" w:space="0" w:color="000000"/>
              <w:left w:val="single" w:sz="4" w:space="0" w:color="000000"/>
              <w:bottom w:val="single" w:sz="4" w:space="0" w:color="000000"/>
              <w:right w:val="single" w:sz="4" w:space="0" w:color="000000"/>
            </w:tcBorders>
          </w:tcPr>
          <w:p w14:paraId="2ED5C3EE" w14:textId="77777777" w:rsidR="00243D9C" w:rsidRDefault="00243D9C">
            <w:pPr>
              <w:pStyle w:val="Default"/>
              <w:rPr>
                <w:rFonts w:ascii="Times New Roman" w:hAnsi="Times New Roman" w:cs="Times New Roman"/>
                <w:color w:val="auto"/>
                <w:sz w:val="20"/>
                <w:szCs w:val="22"/>
                <w:lang w:val="en-GB"/>
              </w:rPr>
            </w:pPr>
          </w:p>
        </w:tc>
        <w:tc>
          <w:tcPr>
            <w:tcW w:w="1454" w:type="dxa"/>
            <w:tcBorders>
              <w:top w:val="single" w:sz="4" w:space="0" w:color="000000"/>
              <w:left w:val="single" w:sz="4" w:space="0" w:color="000000"/>
              <w:bottom w:val="single" w:sz="4" w:space="0" w:color="000000"/>
              <w:right w:val="single" w:sz="4" w:space="0" w:color="000000"/>
            </w:tcBorders>
            <w:hideMark/>
          </w:tcPr>
          <w:p w14:paraId="59CA4A4A" w14:textId="77777777" w:rsidR="00243D9C" w:rsidRPr="00243D9C" w:rsidRDefault="00243D9C">
            <w:pPr>
              <w:pStyle w:val="Default"/>
              <w:rPr>
                <w:rFonts w:ascii="Times New Roman" w:hAnsi="Times New Roman" w:cs="Times New Roman"/>
                <w:color w:val="auto"/>
                <w:sz w:val="20"/>
                <w:szCs w:val="22"/>
              </w:rPr>
            </w:pPr>
            <w:r w:rsidRPr="00243D9C">
              <w:rPr>
                <w:rFonts w:ascii="Times New Roman" w:hAnsi="Times New Roman" w:cs="Times New Roman"/>
                <w:color w:val="auto"/>
                <w:sz w:val="20"/>
                <w:szCs w:val="22"/>
              </w:rPr>
              <w:t xml:space="preserve">Stigning i visse leverenzymer (transaminaser (ALT og ASAT), LDH, alkalisk fosfatase, </w:t>
            </w:r>
            <w:r>
              <w:rPr>
                <w:rFonts w:ascii="Times New Roman" w:hAnsi="Times New Roman" w:cs="Times New Roman"/>
                <w:color w:val="auto"/>
                <w:sz w:val="20"/>
                <w:szCs w:val="22"/>
                <w:lang w:val="en-GB"/>
              </w:rPr>
              <w:t>γ</w:t>
            </w:r>
            <w:r w:rsidRPr="00243D9C">
              <w:rPr>
                <w:rFonts w:ascii="Times New Roman" w:hAnsi="Times New Roman" w:cs="Times New Roman"/>
                <w:color w:val="auto"/>
                <w:sz w:val="20"/>
                <w:szCs w:val="22"/>
              </w:rPr>
              <w:t>-GT og bilirubin</w:t>
            </w:r>
          </w:p>
        </w:tc>
        <w:tc>
          <w:tcPr>
            <w:tcW w:w="2106" w:type="dxa"/>
            <w:tcBorders>
              <w:top w:val="single" w:sz="4" w:space="0" w:color="000000"/>
              <w:left w:val="single" w:sz="4" w:space="0" w:color="000000"/>
              <w:bottom w:val="single" w:sz="4" w:space="0" w:color="000000"/>
              <w:right w:val="single" w:sz="4" w:space="0" w:color="000000"/>
            </w:tcBorders>
          </w:tcPr>
          <w:p w14:paraId="4090E800" w14:textId="77777777" w:rsidR="00243D9C" w:rsidRPr="00243D9C" w:rsidRDefault="00243D9C">
            <w:pPr>
              <w:pStyle w:val="Default"/>
              <w:rPr>
                <w:rFonts w:ascii="Times New Roman" w:hAnsi="Times New Roman" w:cs="Times New Roman"/>
                <w:color w:val="auto"/>
                <w:sz w:val="20"/>
                <w:szCs w:val="22"/>
              </w:rPr>
            </w:pPr>
          </w:p>
        </w:tc>
        <w:tc>
          <w:tcPr>
            <w:tcW w:w="1388" w:type="dxa"/>
            <w:tcBorders>
              <w:top w:val="single" w:sz="4" w:space="0" w:color="000000"/>
              <w:left w:val="single" w:sz="4" w:space="0" w:color="000000"/>
              <w:bottom w:val="single" w:sz="4" w:space="0" w:color="000000"/>
              <w:right w:val="single" w:sz="4" w:space="0" w:color="000000"/>
            </w:tcBorders>
          </w:tcPr>
          <w:p w14:paraId="12213027" w14:textId="77777777" w:rsidR="00243D9C" w:rsidRPr="00243D9C" w:rsidRDefault="00243D9C">
            <w:pPr>
              <w:pStyle w:val="Default"/>
              <w:rPr>
                <w:rFonts w:ascii="Times New Roman" w:hAnsi="Times New Roman" w:cs="Times New Roman"/>
                <w:color w:val="auto"/>
                <w:sz w:val="20"/>
                <w:szCs w:val="22"/>
              </w:rPr>
            </w:pPr>
          </w:p>
        </w:tc>
        <w:tc>
          <w:tcPr>
            <w:tcW w:w="1449" w:type="dxa"/>
            <w:tcBorders>
              <w:top w:val="single" w:sz="4" w:space="0" w:color="000000"/>
              <w:left w:val="single" w:sz="4" w:space="0" w:color="000000"/>
              <w:bottom w:val="single" w:sz="4" w:space="0" w:color="000000"/>
              <w:right w:val="single" w:sz="4" w:space="0" w:color="000000"/>
            </w:tcBorders>
          </w:tcPr>
          <w:p w14:paraId="1E410E14" w14:textId="77777777" w:rsidR="00243D9C" w:rsidRPr="00243D9C" w:rsidRDefault="00243D9C">
            <w:pPr>
              <w:pStyle w:val="Default"/>
              <w:rPr>
                <w:rFonts w:ascii="Times New Roman" w:hAnsi="Times New Roman" w:cs="Times New Roman"/>
                <w:color w:val="auto"/>
                <w:sz w:val="20"/>
                <w:szCs w:val="22"/>
              </w:rPr>
            </w:pPr>
          </w:p>
        </w:tc>
      </w:tr>
    </w:tbl>
    <w:p w14:paraId="0167B388" w14:textId="77777777" w:rsidR="00243D9C" w:rsidRPr="00243D9C" w:rsidRDefault="00243D9C" w:rsidP="00243D9C">
      <w:pPr>
        <w:ind w:left="851"/>
        <w:rPr>
          <w:sz w:val="24"/>
          <w:szCs w:val="24"/>
          <w:lang w:eastAsia="fr-LU"/>
        </w:rPr>
      </w:pPr>
    </w:p>
    <w:p w14:paraId="1650182F" w14:textId="77777777" w:rsidR="00243D9C" w:rsidRPr="00243D9C" w:rsidRDefault="00243D9C" w:rsidP="00243D9C">
      <w:pPr>
        <w:ind w:left="851"/>
        <w:rPr>
          <w:sz w:val="24"/>
          <w:szCs w:val="24"/>
          <w:u w:val="single"/>
        </w:rPr>
      </w:pPr>
      <w:r w:rsidRPr="00243D9C">
        <w:rPr>
          <w:sz w:val="24"/>
          <w:szCs w:val="24"/>
          <w:u w:val="single"/>
        </w:rPr>
        <w:t>Pædiatrisk population</w:t>
      </w:r>
    </w:p>
    <w:p w14:paraId="19BC6F3F" w14:textId="77777777" w:rsidR="00243D9C" w:rsidRPr="00243D9C" w:rsidRDefault="00243D9C" w:rsidP="00243D9C">
      <w:pPr>
        <w:ind w:left="851"/>
        <w:rPr>
          <w:sz w:val="24"/>
          <w:szCs w:val="24"/>
        </w:rPr>
      </w:pPr>
      <w:r w:rsidRPr="00243D9C">
        <w:rPr>
          <w:sz w:val="24"/>
          <w:szCs w:val="24"/>
        </w:rPr>
        <w:t>Opkastninger eller irritabilitet i forbindelse med måltider hos spædbørn. Tilfælde af infantil hypertrofisk pylorusstenose (IHPS) er forekommet hos spædbørn efter behandling med erythromycin.</w:t>
      </w:r>
    </w:p>
    <w:p w14:paraId="6D047680" w14:textId="77777777" w:rsidR="00243D9C" w:rsidRPr="00243D9C" w:rsidRDefault="00243D9C" w:rsidP="00243D9C">
      <w:pPr>
        <w:ind w:left="851"/>
        <w:rPr>
          <w:sz w:val="24"/>
          <w:szCs w:val="24"/>
        </w:rPr>
      </w:pPr>
    </w:p>
    <w:p w14:paraId="5F42EDF1" w14:textId="77777777" w:rsidR="00243D9C" w:rsidRPr="00243D9C" w:rsidRDefault="00243D9C" w:rsidP="00243D9C">
      <w:pPr>
        <w:autoSpaceDE w:val="0"/>
        <w:autoSpaceDN w:val="0"/>
        <w:adjustRightInd w:val="0"/>
        <w:ind w:left="851"/>
        <w:rPr>
          <w:sz w:val="24"/>
          <w:szCs w:val="24"/>
          <w:u w:val="single"/>
        </w:rPr>
      </w:pPr>
      <w:r w:rsidRPr="00243D9C">
        <w:rPr>
          <w:noProof/>
          <w:sz w:val="24"/>
          <w:szCs w:val="24"/>
          <w:u w:val="single"/>
        </w:rPr>
        <w:t>Indberetning af formodede bivirkninger</w:t>
      </w:r>
    </w:p>
    <w:p w14:paraId="25AF2C44" w14:textId="4573E44C" w:rsidR="00243D9C" w:rsidRPr="00243D9C" w:rsidRDefault="00243D9C" w:rsidP="00243D9C">
      <w:pPr>
        <w:tabs>
          <w:tab w:val="left" w:pos="567"/>
        </w:tabs>
        <w:autoSpaceDE w:val="0"/>
        <w:autoSpaceDN w:val="0"/>
        <w:adjustRightInd w:val="0"/>
        <w:ind w:left="851"/>
        <w:rPr>
          <w:noProof/>
          <w:sz w:val="24"/>
          <w:szCs w:val="24"/>
        </w:rPr>
      </w:pPr>
      <w:r w:rsidRPr="00243D9C">
        <w:rPr>
          <w:noProof/>
          <w:sz w:val="24"/>
          <w:szCs w:val="24"/>
        </w:rPr>
        <w:t>Når lægemidlet er godkendt, er indberetning af formodede bivirkninger vigtig.</w:t>
      </w:r>
      <w:r w:rsidRPr="00243D9C">
        <w:rPr>
          <w:sz w:val="24"/>
          <w:szCs w:val="24"/>
        </w:rPr>
        <w:t xml:space="preserve"> </w:t>
      </w:r>
      <w:r w:rsidRPr="00243D9C">
        <w:rPr>
          <w:noProof/>
          <w:sz w:val="24"/>
          <w:szCs w:val="24"/>
        </w:rPr>
        <w:t>Det muliggør løbende overvågning af benefit/risk-forholdet for lægemidlet.</w:t>
      </w:r>
      <w:r w:rsidRPr="00243D9C">
        <w:rPr>
          <w:sz w:val="24"/>
          <w:szCs w:val="24"/>
        </w:rPr>
        <w:t xml:space="preserve"> </w:t>
      </w:r>
      <w:r w:rsidRPr="00243D9C">
        <w:rPr>
          <w:noProof/>
          <w:sz w:val="24"/>
          <w:szCs w:val="24"/>
        </w:rPr>
        <w:t>Sundhedspersoner anmodes om at indberette alle formodede bivirkninger via</w:t>
      </w:r>
      <w:r w:rsidR="00A62B5D">
        <w:rPr>
          <w:noProof/>
          <w:sz w:val="24"/>
          <w:szCs w:val="24"/>
        </w:rPr>
        <w:t>:</w:t>
      </w:r>
    </w:p>
    <w:p w14:paraId="4C41EDE4" w14:textId="77777777" w:rsidR="00243D9C" w:rsidRPr="00243D9C" w:rsidRDefault="00243D9C" w:rsidP="00243D9C">
      <w:pPr>
        <w:tabs>
          <w:tab w:val="left" w:pos="567"/>
        </w:tabs>
        <w:autoSpaceDE w:val="0"/>
        <w:autoSpaceDN w:val="0"/>
        <w:adjustRightInd w:val="0"/>
        <w:ind w:left="851"/>
        <w:rPr>
          <w:noProof/>
          <w:sz w:val="24"/>
          <w:szCs w:val="24"/>
        </w:rPr>
      </w:pPr>
    </w:p>
    <w:p w14:paraId="18501EB8" w14:textId="77777777" w:rsidR="00243D9C" w:rsidRPr="00243D9C" w:rsidRDefault="00243D9C" w:rsidP="00243D9C">
      <w:pPr>
        <w:ind w:left="851"/>
        <w:rPr>
          <w:iCs/>
          <w:color w:val="000000"/>
          <w:sz w:val="24"/>
          <w:szCs w:val="24"/>
          <w:lang w:eastAsia="de-DE"/>
        </w:rPr>
      </w:pPr>
      <w:r w:rsidRPr="00243D9C">
        <w:rPr>
          <w:spacing w:val="-3"/>
          <w:sz w:val="24"/>
          <w:szCs w:val="24"/>
        </w:rPr>
        <w:t>Lægemiddelstyrelsen</w:t>
      </w:r>
      <w:r w:rsidRPr="00243D9C">
        <w:rPr>
          <w:iCs/>
          <w:color w:val="000000"/>
          <w:sz w:val="24"/>
          <w:szCs w:val="24"/>
          <w:lang w:eastAsia="de-DE"/>
        </w:rPr>
        <w:t xml:space="preserve"> </w:t>
      </w:r>
    </w:p>
    <w:p w14:paraId="54B738FB" w14:textId="77777777" w:rsidR="00243D9C" w:rsidRPr="00243D9C" w:rsidRDefault="00243D9C" w:rsidP="00243D9C">
      <w:pPr>
        <w:ind w:left="851"/>
        <w:rPr>
          <w:iCs/>
          <w:color w:val="000000"/>
          <w:sz w:val="24"/>
          <w:szCs w:val="24"/>
          <w:lang w:eastAsia="de-DE"/>
        </w:rPr>
      </w:pPr>
      <w:r w:rsidRPr="00243D9C">
        <w:rPr>
          <w:iCs/>
          <w:color w:val="000000"/>
          <w:sz w:val="24"/>
          <w:szCs w:val="24"/>
          <w:lang w:eastAsia="de-DE"/>
        </w:rPr>
        <w:t>Axel Heides Gade 1</w:t>
      </w:r>
    </w:p>
    <w:p w14:paraId="1411E19C" w14:textId="77777777" w:rsidR="00243D9C" w:rsidRPr="00243D9C" w:rsidRDefault="00243D9C" w:rsidP="00243D9C">
      <w:pPr>
        <w:ind w:left="851"/>
        <w:rPr>
          <w:iCs/>
          <w:color w:val="000000"/>
          <w:sz w:val="24"/>
          <w:szCs w:val="24"/>
          <w:lang w:eastAsia="de-DE"/>
        </w:rPr>
      </w:pPr>
      <w:r w:rsidRPr="00243D9C">
        <w:rPr>
          <w:iCs/>
          <w:color w:val="000000"/>
          <w:sz w:val="24"/>
          <w:szCs w:val="24"/>
          <w:lang w:eastAsia="de-DE"/>
        </w:rPr>
        <w:t>DK-2300 København S</w:t>
      </w:r>
    </w:p>
    <w:p w14:paraId="0D08CAC8" w14:textId="77777777" w:rsidR="00243D9C" w:rsidRPr="00243D9C" w:rsidRDefault="00243D9C" w:rsidP="00243D9C">
      <w:pPr>
        <w:ind w:left="851"/>
        <w:rPr>
          <w:iCs/>
          <w:color w:val="000000"/>
          <w:sz w:val="24"/>
          <w:szCs w:val="24"/>
          <w:lang w:eastAsia="de-DE"/>
        </w:rPr>
      </w:pPr>
      <w:r w:rsidRPr="00243D9C">
        <w:rPr>
          <w:iCs/>
          <w:color w:val="000000"/>
          <w:sz w:val="24"/>
          <w:szCs w:val="24"/>
          <w:lang w:eastAsia="de-DE"/>
        </w:rPr>
        <w:t>Websted: www.meldenbivirkning.dk</w:t>
      </w:r>
    </w:p>
    <w:p w14:paraId="5413009F" w14:textId="75DF14C4" w:rsidR="00BB70C5" w:rsidRDefault="00BB70C5">
      <w:pPr>
        <w:rPr>
          <w:sz w:val="24"/>
          <w:szCs w:val="24"/>
        </w:rPr>
      </w:pPr>
      <w:r>
        <w:rPr>
          <w:sz w:val="24"/>
          <w:szCs w:val="24"/>
        </w:rPr>
        <w:br w:type="page"/>
      </w:r>
    </w:p>
    <w:p w14:paraId="0A2CA7E8" w14:textId="77777777" w:rsidR="009260DE" w:rsidRPr="00243D9C" w:rsidRDefault="009260DE" w:rsidP="00243D9C">
      <w:pPr>
        <w:tabs>
          <w:tab w:val="left" w:pos="851"/>
        </w:tabs>
        <w:ind w:left="851"/>
        <w:rPr>
          <w:sz w:val="24"/>
          <w:szCs w:val="24"/>
        </w:rPr>
      </w:pPr>
    </w:p>
    <w:p w14:paraId="780BB9BC"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4ADAE109" w14:textId="77777777" w:rsidR="003623D5" w:rsidRPr="003623D5" w:rsidRDefault="003623D5" w:rsidP="003623D5">
      <w:pPr>
        <w:tabs>
          <w:tab w:val="left" w:pos="851"/>
        </w:tabs>
        <w:ind w:left="851"/>
        <w:rPr>
          <w:sz w:val="24"/>
          <w:szCs w:val="24"/>
        </w:rPr>
      </w:pPr>
      <w:r w:rsidRPr="003623D5">
        <w:rPr>
          <w:sz w:val="24"/>
          <w:szCs w:val="24"/>
        </w:rPr>
        <w:t>Toksiciteten er lav. Overdosering kan være forbundet med ototoksicitet, høretab, kolestase, ventrikulære arytmier, svær kvalme, opkastning og diarré. Symptomerne er typisk reversible og vil forsvinde, når behandling med erythromycin seponeres. Der er ikke blevet foreslået nogen specifik behandling ud over generelle støttende foranstaltninger. Ved en overdosis skal behandlingen med erythromycin standses midlertidigt eller varigt, afhængig af symptomerne. Erythromycin kan ikke fjernes med peritoneal eller hæmodialyse.</w:t>
      </w:r>
    </w:p>
    <w:p w14:paraId="069F8F14" w14:textId="77777777" w:rsidR="009260DE" w:rsidRPr="00C84483" w:rsidRDefault="009260DE" w:rsidP="009260DE">
      <w:pPr>
        <w:tabs>
          <w:tab w:val="left" w:pos="851"/>
        </w:tabs>
        <w:ind w:left="851"/>
        <w:rPr>
          <w:sz w:val="24"/>
          <w:szCs w:val="24"/>
        </w:rPr>
      </w:pPr>
    </w:p>
    <w:p w14:paraId="3240B088"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76C12912" w14:textId="1CC8F338" w:rsidR="009260DE" w:rsidRPr="00C84483" w:rsidRDefault="003623D5" w:rsidP="009260DE">
      <w:pPr>
        <w:tabs>
          <w:tab w:val="left" w:pos="851"/>
        </w:tabs>
        <w:ind w:left="851"/>
        <w:rPr>
          <w:sz w:val="24"/>
          <w:szCs w:val="24"/>
        </w:rPr>
      </w:pPr>
      <w:r>
        <w:rPr>
          <w:sz w:val="24"/>
          <w:szCs w:val="24"/>
        </w:rPr>
        <w:t>B</w:t>
      </w:r>
    </w:p>
    <w:p w14:paraId="6B51854F" w14:textId="77777777" w:rsidR="009260DE" w:rsidRPr="00C84483" w:rsidRDefault="009260DE" w:rsidP="009260DE">
      <w:pPr>
        <w:tabs>
          <w:tab w:val="left" w:pos="851"/>
        </w:tabs>
        <w:ind w:left="851"/>
        <w:rPr>
          <w:sz w:val="24"/>
          <w:szCs w:val="24"/>
        </w:rPr>
      </w:pPr>
    </w:p>
    <w:p w14:paraId="31740596" w14:textId="77777777" w:rsidR="009260DE" w:rsidRPr="00C84483" w:rsidRDefault="009260DE" w:rsidP="009260DE">
      <w:pPr>
        <w:tabs>
          <w:tab w:val="left" w:pos="851"/>
        </w:tabs>
        <w:ind w:left="851"/>
        <w:rPr>
          <w:sz w:val="24"/>
          <w:szCs w:val="24"/>
        </w:rPr>
      </w:pPr>
    </w:p>
    <w:p w14:paraId="4B0715E5"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69DFDA31" w14:textId="77777777" w:rsidR="009260DE" w:rsidRPr="00C84483" w:rsidRDefault="009260DE" w:rsidP="009260DE">
      <w:pPr>
        <w:tabs>
          <w:tab w:val="left" w:pos="851"/>
        </w:tabs>
        <w:ind w:left="851"/>
        <w:rPr>
          <w:sz w:val="24"/>
          <w:szCs w:val="24"/>
        </w:rPr>
      </w:pPr>
    </w:p>
    <w:p w14:paraId="4BC26823"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5F764781" w14:textId="7DD23198" w:rsidR="003623D5" w:rsidRPr="00BB22E1" w:rsidRDefault="003623D5" w:rsidP="00BB22E1">
      <w:pPr>
        <w:ind w:left="851"/>
        <w:rPr>
          <w:sz w:val="24"/>
          <w:szCs w:val="24"/>
          <w:lang w:eastAsia="fr-LU"/>
        </w:rPr>
      </w:pPr>
      <w:r w:rsidRPr="00BB22E1">
        <w:rPr>
          <w:sz w:val="24"/>
          <w:szCs w:val="24"/>
        </w:rPr>
        <w:t>Farmakoterapeutisk klassifikation: Antibakterielle midler til systemisk brug, makrolider</w:t>
      </w:r>
      <w:r w:rsidR="00BB22E1">
        <w:rPr>
          <w:sz w:val="24"/>
          <w:szCs w:val="24"/>
        </w:rPr>
        <w:t xml:space="preserve">, </w:t>
      </w:r>
      <w:r w:rsidRPr="00BB22E1">
        <w:rPr>
          <w:sz w:val="24"/>
          <w:szCs w:val="24"/>
        </w:rPr>
        <w:t>ATC-kode: J01FA01</w:t>
      </w:r>
      <w:r w:rsidR="00BB22E1">
        <w:rPr>
          <w:sz w:val="24"/>
          <w:szCs w:val="24"/>
        </w:rPr>
        <w:t>.</w:t>
      </w:r>
    </w:p>
    <w:p w14:paraId="57A1FE32" w14:textId="77777777" w:rsidR="003623D5" w:rsidRPr="00BB22E1" w:rsidRDefault="003623D5" w:rsidP="00BB22E1">
      <w:pPr>
        <w:suppressAutoHyphens/>
        <w:ind w:left="851"/>
        <w:rPr>
          <w:sz w:val="24"/>
          <w:szCs w:val="24"/>
        </w:rPr>
      </w:pPr>
      <w:r w:rsidRPr="00BB22E1">
        <w:rPr>
          <w:sz w:val="24"/>
          <w:szCs w:val="24"/>
        </w:rPr>
        <w:t>Erythromycin er et halvsyntetisk makrolid med en 14-leddet lactonring.</w:t>
      </w:r>
    </w:p>
    <w:p w14:paraId="7CA1B84D" w14:textId="77777777" w:rsidR="003623D5" w:rsidRPr="00BB22E1" w:rsidRDefault="003623D5" w:rsidP="00BB22E1">
      <w:pPr>
        <w:suppressAutoHyphens/>
        <w:ind w:left="851"/>
        <w:rPr>
          <w:b/>
          <w:sz w:val="24"/>
          <w:szCs w:val="24"/>
        </w:rPr>
      </w:pPr>
    </w:p>
    <w:p w14:paraId="632850A4" w14:textId="77777777" w:rsidR="003623D5" w:rsidRPr="00BB22E1" w:rsidRDefault="003623D5" w:rsidP="00BB22E1">
      <w:pPr>
        <w:suppressAutoHyphens/>
        <w:ind w:left="851"/>
        <w:rPr>
          <w:sz w:val="24"/>
          <w:szCs w:val="24"/>
          <w:u w:val="single"/>
        </w:rPr>
      </w:pPr>
      <w:r w:rsidRPr="00BB22E1">
        <w:rPr>
          <w:sz w:val="24"/>
          <w:szCs w:val="24"/>
          <w:u w:val="single"/>
        </w:rPr>
        <w:t>Virkningsmekanisme</w:t>
      </w:r>
    </w:p>
    <w:p w14:paraId="1CAA885C" w14:textId="77777777" w:rsidR="003623D5" w:rsidRPr="00BB22E1" w:rsidRDefault="003623D5" w:rsidP="00BB22E1">
      <w:pPr>
        <w:suppressAutoHyphens/>
        <w:ind w:left="851"/>
        <w:rPr>
          <w:color w:val="000000"/>
          <w:sz w:val="24"/>
          <w:szCs w:val="24"/>
        </w:rPr>
      </w:pPr>
      <w:r w:rsidRPr="00BB22E1">
        <w:rPr>
          <w:sz w:val="24"/>
          <w:szCs w:val="24"/>
        </w:rPr>
        <w:t>Erythromycin udøver sin antimikrobielle virkning ved at binde sig til 50 S-delen af modtagelige mikroorganismers ribosomer, og undertrykker proteinsyntese.</w:t>
      </w:r>
    </w:p>
    <w:p w14:paraId="553DF0A9" w14:textId="77777777" w:rsidR="003623D5" w:rsidRPr="00BB22E1" w:rsidRDefault="003623D5" w:rsidP="00BB22E1">
      <w:pPr>
        <w:suppressAutoHyphens/>
        <w:ind w:left="851"/>
        <w:rPr>
          <w:sz w:val="24"/>
          <w:szCs w:val="24"/>
        </w:rPr>
      </w:pPr>
      <w:r w:rsidRPr="00BB22E1">
        <w:rPr>
          <w:sz w:val="24"/>
          <w:szCs w:val="24"/>
        </w:rPr>
        <w:t>Erythromycin binder sig ikke til cytoplasmatiske membraner i værtscellerne. Dette er en mulig forklaring på dets lave toksicitet og sikkerhedsprofil.</w:t>
      </w:r>
    </w:p>
    <w:p w14:paraId="444668EC" w14:textId="77777777" w:rsidR="003623D5" w:rsidRPr="00BB22E1" w:rsidRDefault="003623D5" w:rsidP="00BB22E1">
      <w:pPr>
        <w:suppressAutoHyphens/>
        <w:ind w:left="851"/>
        <w:rPr>
          <w:sz w:val="24"/>
          <w:szCs w:val="24"/>
        </w:rPr>
      </w:pPr>
      <w:r w:rsidRPr="00BB22E1">
        <w:rPr>
          <w:sz w:val="24"/>
          <w:szCs w:val="24"/>
        </w:rPr>
        <w:t>Erythromycin er bakteriostatisk og baktericidt afhængigt af dets koncentration og typen af organisme. Det hæmmer proteinsyntese ved binding til ribosomale underenheder, hæmmer translokation af aminoacyloverførsels-RNA og hæmmer polypeptidsyntese uden at forårsage nogen ændring i nukleinsyrecyklussen.</w:t>
      </w:r>
    </w:p>
    <w:p w14:paraId="5C34044B" w14:textId="77777777" w:rsidR="003623D5" w:rsidRPr="00BB22E1" w:rsidRDefault="003623D5" w:rsidP="00BB22E1">
      <w:pPr>
        <w:suppressAutoHyphens/>
        <w:ind w:left="851"/>
        <w:rPr>
          <w:sz w:val="24"/>
          <w:szCs w:val="24"/>
          <w:u w:val="single"/>
        </w:rPr>
      </w:pPr>
    </w:p>
    <w:p w14:paraId="529593ED" w14:textId="19AECF7F" w:rsidR="003623D5" w:rsidRPr="00B5658C" w:rsidRDefault="003623D5" w:rsidP="00BB22E1">
      <w:pPr>
        <w:ind w:left="851"/>
        <w:rPr>
          <w:i/>
          <w:sz w:val="24"/>
          <w:szCs w:val="24"/>
        </w:rPr>
      </w:pPr>
      <w:r w:rsidRPr="00B5658C">
        <w:rPr>
          <w:i/>
          <w:sz w:val="24"/>
          <w:szCs w:val="24"/>
        </w:rPr>
        <w:t>Resistens</w:t>
      </w:r>
    </w:p>
    <w:p w14:paraId="4F58CD67" w14:textId="77777777" w:rsidR="003623D5" w:rsidRPr="00BB22E1" w:rsidRDefault="003623D5" w:rsidP="00BB22E1">
      <w:pPr>
        <w:ind w:left="851"/>
        <w:rPr>
          <w:sz w:val="24"/>
          <w:szCs w:val="24"/>
        </w:rPr>
      </w:pPr>
      <w:r w:rsidRPr="00BB22E1">
        <w:rPr>
          <w:sz w:val="24"/>
          <w:szCs w:val="24"/>
        </w:rPr>
        <w:t xml:space="preserve">Kendte resistensmekanismer i patogener, der er relevante for indikationerne: </w:t>
      </w:r>
    </w:p>
    <w:p w14:paraId="1CCCCE3F" w14:textId="77777777" w:rsidR="003623D5" w:rsidRPr="00BB22E1" w:rsidRDefault="003623D5" w:rsidP="00B5658C">
      <w:pPr>
        <w:pStyle w:val="Listeafsnit"/>
        <w:numPr>
          <w:ilvl w:val="0"/>
          <w:numId w:val="7"/>
        </w:numPr>
        <w:ind w:left="1134" w:hanging="283"/>
        <w:rPr>
          <w:sz w:val="24"/>
          <w:szCs w:val="24"/>
        </w:rPr>
      </w:pPr>
      <w:r w:rsidRPr="00BB22E1">
        <w:rPr>
          <w:sz w:val="24"/>
          <w:szCs w:val="24"/>
        </w:rPr>
        <w:t>Effluxmekanismer kan føre til makrolidresistens. Resistens over for erythromycin kan skyldes en stigning i antallet af effluxpumper i cytoplasmamembranen, som kun påvirker de 14- og 15-leddede makrolider (såkaldt "M"-fænotype).</w:t>
      </w:r>
    </w:p>
    <w:p w14:paraId="78111AF4" w14:textId="77777777" w:rsidR="003623D5" w:rsidRPr="00BB22E1" w:rsidRDefault="003623D5" w:rsidP="00B5658C">
      <w:pPr>
        <w:pStyle w:val="Listeafsnit"/>
        <w:numPr>
          <w:ilvl w:val="0"/>
          <w:numId w:val="7"/>
        </w:numPr>
        <w:ind w:left="1134" w:hanging="283"/>
        <w:rPr>
          <w:sz w:val="24"/>
          <w:szCs w:val="24"/>
        </w:rPr>
      </w:pPr>
      <w:r w:rsidRPr="00BB22E1">
        <w:rPr>
          <w:sz w:val="24"/>
          <w:szCs w:val="24"/>
        </w:rPr>
        <w:t>Methylering af de ribosomale bindingssteder. Affiniteten til målstedet kan reduceres ved methylering af 23S rRNS, hvilket resulterer i resistens over for makrolider (M), lincosamider (L) og gruppe B-streptograminer (SB) (såkaldt "MLSB"-fænotype).</w:t>
      </w:r>
    </w:p>
    <w:p w14:paraId="4343FB33" w14:textId="77777777" w:rsidR="003623D5" w:rsidRPr="00BB22E1" w:rsidRDefault="003623D5" w:rsidP="00B5658C">
      <w:pPr>
        <w:pStyle w:val="Listeafsnit"/>
        <w:numPr>
          <w:ilvl w:val="0"/>
          <w:numId w:val="7"/>
        </w:numPr>
        <w:ind w:left="1134" w:hanging="283"/>
        <w:rPr>
          <w:sz w:val="24"/>
          <w:szCs w:val="24"/>
        </w:rPr>
      </w:pPr>
      <w:r w:rsidRPr="00BB22E1">
        <w:rPr>
          <w:sz w:val="24"/>
          <w:szCs w:val="24"/>
        </w:rPr>
        <w:t>Den enzymatiske inaktivering af makrolider er kun af mindre klinisk betydning.</w:t>
      </w:r>
    </w:p>
    <w:p w14:paraId="2208B769" w14:textId="77777777" w:rsidR="003623D5" w:rsidRPr="00BB22E1" w:rsidRDefault="003623D5" w:rsidP="00BB22E1">
      <w:pPr>
        <w:ind w:left="851"/>
        <w:rPr>
          <w:sz w:val="24"/>
          <w:szCs w:val="24"/>
        </w:rPr>
      </w:pPr>
    </w:p>
    <w:p w14:paraId="4370EF7E" w14:textId="77777777" w:rsidR="003623D5" w:rsidRPr="00BB22E1" w:rsidRDefault="003623D5" w:rsidP="00BB22E1">
      <w:pPr>
        <w:ind w:left="851"/>
        <w:rPr>
          <w:sz w:val="24"/>
          <w:szCs w:val="24"/>
        </w:rPr>
      </w:pPr>
      <w:r w:rsidRPr="00BB22E1">
        <w:rPr>
          <w:sz w:val="24"/>
          <w:szCs w:val="24"/>
        </w:rPr>
        <w:t>Der eksisterer fuldstændig krydsresistens blandt "M"-fænotyperne af erythromycin med clarithromycin, roxithromycin eller azithromycin. Hos "MLSs" -fænotypen er der yderligere krydsresistens over for clindamycin og streptogramine B. Der er en delvis krydsresistens over for det 16-leddede makrolid, spiramycin.</w:t>
      </w:r>
    </w:p>
    <w:p w14:paraId="5EA07F07" w14:textId="77777777" w:rsidR="003623D5" w:rsidRPr="00BB22E1" w:rsidRDefault="003623D5" w:rsidP="00BB22E1">
      <w:pPr>
        <w:ind w:left="851"/>
        <w:rPr>
          <w:sz w:val="24"/>
          <w:szCs w:val="24"/>
        </w:rPr>
      </w:pPr>
    </w:p>
    <w:p w14:paraId="4E36099B" w14:textId="77777777" w:rsidR="003623D5" w:rsidRPr="00BB22E1" w:rsidRDefault="003623D5" w:rsidP="00BB22E1">
      <w:pPr>
        <w:ind w:left="851"/>
        <w:rPr>
          <w:sz w:val="24"/>
          <w:szCs w:val="24"/>
        </w:rPr>
      </w:pPr>
      <w:r w:rsidRPr="00BB22E1">
        <w:rPr>
          <w:sz w:val="24"/>
          <w:szCs w:val="24"/>
        </w:rPr>
        <w:t>Erythromycin er normalt aktivt mod de fleste stammer af følgende organismer både in vitro og i kliniske infektioner:</w:t>
      </w:r>
    </w:p>
    <w:p w14:paraId="0A1B65E4" w14:textId="77777777" w:rsidR="003623D5" w:rsidRPr="00BB22E1" w:rsidRDefault="003623D5" w:rsidP="00BB22E1">
      <w:pPr>
        <w:ind w:left="851"/>
        <w:rPr>
          <w:sz w:val="24"/>
          <w:szCs w:val="24"/>
        </w:rPr>
      </w:pPr>
    </w:p>
    <w:p w14:paraId="5820827D" w14:textId="4509A74E" w:rsidR="003623D5" w:rsidRPr="00B5658C" w:rsidRDefault="003623D5" w:rsidP="00BB22E1">
      <w:pPr>
        <w:ind w:left="851"/>
        <w:rPr>
          <w:i/>
          <w:sz w:val="24"/>
          <w:szCs w:val="24"/>
        </w:rPr>
      </w:pPr>
      <w:r w:rsidRPr="00B5658C">
        <w:rPr>
          <w:i/>
          <w:sz w:val="24"/>
          <w:szCs w:val="24"/>
        </w:rPr>
        <w:t>Grænseværdier ved følsomhedstestnin</w:t>
      </w:r>
      <w:r w:rsidR="00B5658C">
        <w:rPr>
          <w:i/>
          <w:sz w:val="24"/>
          <w:szCs w:val="24"/>
        </w:rPr>
        <w:t>g</w:t>
      </w:r>
    </w:p>
    <w:p w14:paraId="723AEB1F" w14:textId="77777777" w:rsidR="003623D5" w:rsidRPr="00BB22E1" w:rsidRDefault="003623D5" w:rsidP="00BB22E1">
      <w:pPr>
        <w:ind w:left="851"/>
        <w:rPr>
          <w:sz w:val="24"/>
          <w:szCs w:val="24"/>
        </w:rPr>
      </w:pPr>
      <w:r w:rsidRPr="00BB22E1">
        <w:rPr>
          <w:sz w:val="24"/>
          <w:szCs w:val="24"/>
        </w:rPr>
        <w:t>Testningen af erythromycin foretages ved anvendelse af den sædvanlige fortyndingsserie for erythromycin. Som følge heraf blev minimale hæmmende koncentrationer (MIC) for modtagelige og resistente bakterier identificeret. De anbefalede EUCAST (European Committee on Antimicrobial Susceptibility Testing) grænseværdier for erythromycin er vist nedenfor i tabellen for MIC-testning (mg/L):</w:t>
      </w:r>
    </w:p>
    <w:p w14:paraId="595AEBD0" w14:textId="77777777" w:rsidR="003623D5" w:rsidRPr="00BB22E1" w:rsidRDefault="003623D5" w:rsidP="00BB22E1">
      <w:pPr>
        <w:ind w:left="851"/>
        <w:rPr>
          <w:sz w:val="24"/>
          <w:szCs w:val="24"/>
        </w:rPr>
      </w:pPr>
    </w:p>
    <w:p w14:paraId="1015659B" w14:textId="77777777" w:rsidR="003623D5" w:rsidRDefault="003623D5" w:rsidP="003623D5">
      <w:pPr>
        <w:rPr>
          <w:b/>
          <w:bCs/>
          <w:i/>
          <w:iCs/>
          <w:sz w:val="22"/>
          <w:szCs w:val="22"/>
        </w:rPr>
      </w:pPr>
      <w:r>
        <w:rPr>
          <w:b/>
          <w:bCs/>
          <w:i/>
          <w:iCs/>
          <w:sz w:val="22"/>
          <w:szCs w:val="22"/>
        </w:rPr>
        <w:t>EUCAST kliniske MIC grænseværdier for erythromycin (Version 13.0, gyldig fra 2023-01-01):</w:t>
      </w:r>
    </w:p>
    <w:tbl>
      <w:tblPr>
        <w:tblW w:w="9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9"/>
        <w:gridCol w:w="3259"/>
        <w:gridCol w:w="3259"/>
      </w:tblGrid>
      <w:tr w:rsidR="003623D5" w14:paraId="2F9E2DB1" w14:textId="77777777" w:rsidTr="003623D5">
        <w:tc>
          <w:tcPr>
            <w:tcW w:w="3259" w:type="dxa"/>
            <w:tcBorders>
              <w:top w:val="single" w:sz="4" w:space="0" w:color="000000"/>
              <w:left w:val="single" w:sz="4" w:space="0" w:color="000000"/>
              <w:bottom w:val="single" w:sz="4" w:space="0" w:color="000000"/>
              <w:right w:val="single" w:sz="4" w:space="0" w:color="000000"/>
            </w:tcBorders>
          </w:tcPr>
          <w:p w14:paraId="1FE79306" w14:textId="77777777" w:rsidR="003623D5" w:rsidRPr="003623D5" w:rsidRDefault="003623D5">
            <w:pPr>
              <w:autoSpaceDE w:val="0"/>
              <w:autoSpaceDN w:val="0"/>
              <w:adjustRightInd w:val="0"/>
              <w:jc w:val="center"/>
              <w:rPr>
                <w:b/>
                <w:bCs/>
                <w:sz w:val="20"/>
              </w:rPr>
            </w:pPr>
          </w:p>
        </w:tc>
        <w:tc>
          <w:tcPr>
            <w:tcW w:w="6518" w:type="dxa"/>
            <w:gridSpan w:val="2"/>
            <w:tcBorders>
              <w:top w:val="single" w:sz="4" w:space="0" w:color="000000"/>
              <w:left w:val="single" w:sz="4" w:space="0" w:color="000000"/>
              <w:bottom w:val="single" w:sz="4" w:space="0" w:color="000000"/>
              <w:right w:val="single" w:sz="4" w:space="0" w:color="000000"/>
            </w:tcBorders>
            <w:hideMark/>
          </w:tcPr>
          <w:p w14:paraId="12000B00" w14:textId="77777777" w:rsidR="003623D5" w:rsidRDefault="003623D5">
            <w:pPr>
              <w:autoSpaceDE w:val="0"/>
              <w:autoSpaceDN w:val="0"/>
              <w:adjustRightInd w:val="0"/>
              <w:jc w:val="center"/>
              <w:rPr>
                <w:b/>
                <w:bCs/>
                <w:lang w:val="en-GB"/>
              </w:rPr>
            </w:pPr>
            <w:r>
              <w:rPr>
                <w:b/>
                <w:bCs/>
                <w:lang w:val="en-GB"/>
              </w:rPr>
              <w:t>MIC grænseværdier</w:t>
            </w:r>
          </w:p>
          <w:p w14:paraId="26B2ACDC" w14:textId="77777777" w:rsidR="003623D5" w:rsidRDefault="003623D5">
            <w:pPr>
              <w:autoSpaceDE w:val="0"/>
              <w:autoSpaceDN w:val="0"/>
              <w:adjustRightInd w:val="0"/>
              <w:jc w:val="center"/>
              <w:rPr>
                <w:b/>
                <w:bCs/>
                <w:lang w:val="en-GB"/>
              </w:rPr>
            </w:pPr>
            <w:r>
              <w:rPr>
                <w:b/>
                <w:bCs/>
                <w:lang w:val="en-GB"/>
              </w:rPr>
              <w:t xml:space="preserve"> (mg/L)</w:t>
            </w:r>
          </w:p>
        </w:tc>
      </w:tr>
      <w:tr w:rsidR="003623D5" w14:paraId="7ED32DF7" w14:textId="77777777" w:rsidTr="003623D5">
        <w:tc>
          <w:tcPr>
            <w:tcW w:w="3259" w:type="dxa"/>
            <w:tcBorders>
              <w:top w:val="single" w:sz="4" w:space="0" w:color="000000"/>
              <w:left w:val="single" w:sz="4" w:space="0" w:color="000000"/>
              <w:bottom w:val="single" w:sz="4" w:space="0" w:color="000000"/>
              <w:right w:val="single" w:sz="4" w:space="0" w:color="000000"/>
            </w:tcBorders>
            <w:hideMark/>
          </w:tcPr>
          <w:p w14:paraId="624BBADD" w14:textId="77777777" w:rsidR="003623D5" w:rsidRDefault="003623D5">
            <w:pPr>
              <w:autoSpaceDE w:val="0"/>
              <w:autoSpaceDN w:val="0"/>
              <w:adjustRightInd w:val="0"/>
              <w:jc w:val="center"/>
              <w:rPr>
                <w:b/>
                <w:bCs/>
                <w:lang w:val="en-GB"/>
              </w:rPr>
            </w:pPr>
            <w:r>
              <w:rPr>
                <w:b/>
                <w:bCs/>
                <w:lang w:val="en-GB"/>
              </w:rPr>
              <w:t>Patogen</w:t>
            </w:r>
          </w:p>
        </w:tc>
        <w:tc>
          <w:tcPr>
            <w:tcW w:w="3259" w:type="dxa"/>
            <w:tcBorders>
              <w:top w:val="single" w:sz="4" w:space="0" w:color="000000"/>
              <w:left w:val="single" w:sz="4" w:space="0" w:color="000000"/>
              <w:bottom w:val="single" w:sz="4" w:space="0" w:color="000000"/>
              <w:right w:val="single" w:sz="4" w:space="0" w:color="000000"/>
            </w:tcBorders>
            <w:hideMark/>
          </w:tcPr>
          <w:p w14:paraId="0E4C88C7" w14:textId="77777777" w:rsidR="003623D5" w:rsidRDefault="003623D5">
            <w:pPr>
              <w:autoSpaceDE w:val="0"/>
              <w:autoSpaceDN w:val="0"/>
              <w:adjustRightInd w:val="0"/>
              <w:jc w:val="center"/>
              <w:rPr>
                <w:lang w:val="en-GB"/>
              </w:rPr>
            </w:pPr>
            <w:r>
              <w:rPr>
                <w:b/>
                <w:bCs/>
                <w:lang w:val="en-GB"/>
              </w:rPr>
              <w:t xml:space="preserve">Følsomme </w:t>
            </w:r>
            <w:r>
              <w:rPr>
                <w:lang w:val="en-GB"/>
              </w:rPr>
              <w:t>≤</w:t>
            </w:r>
          </w:p>
        </w:tc>
        <w:tc>
          <w:tcPr>
            <w:tcW w:w="3259" w:type="dxa"/>
            <w:tcBorders>
              <w:top w:val="single" w:sz="4" w:space="0" w:color="000000"/>
              <w:left w:val="single" w:sz="4" w:space="0" w:color="000000"/>
              <w:bottom w:val="single" w:sz="4" w:space="0" w:color="000000"/>
              <w:right w:val="single" w:sz="4" w:space="0" w:color="000000"/>
            </w:tcBorders>
            <w:hideMark/>
          </w:tcPr>
          <w:p w14:paraId="292801A0" w14:textId="77777777" w:rsidR="003623D5" w:rsidRDefault="003623D5">
            <w:pPr>
              <w:autoSpaceDE w:val="0"/>
              <w:autoSpaceDN w:val="0"/>
              <w:adjustRightInd w:val="0"/>
              <w:jc w:val="center"/>
              <w:rPr>
                <w:lang w:val="en-GB"/>
              </w:rPr>
            </w:pPr>
            <w:r>
              <w:rPr>
                <w:b/>
                <w:bCs/>
                <w:lang w:val="en-GB"/>
              </w:rPr>
              <w:t xml:space="preserve">Resistente </w:t>
            </w:r>
            <w:r>
              <w:rPr>
                <w:lang w:val="en-GB"/>
              </w:rPr>
              <w:t>&gt;</w:t>
            </w:r>
          </w:p>
        </w:tc>
      </w:tr>
      <w:tr w:rsidR="003623D5" w14:paraId="393DD686" w14:textId="77777777" w:rsidTr="003623D5">
        <w:tc>
          <w:tcPr>
            <w:tcW w:w="3259" w:type="dxa"/>
            <w:tcBorders>
              <w:top w:val="single" w:sz="4" w:space="0" w:color="000000"/>
              <w:left w:val="single" w:sz="4" w:space="0" w:color="000000"/>
              <w:bottom w:val="single" w:sz="4" w:space="0" w:color="000000"/>
              <w:right w:val="single" w:sz="4" w:space="0" w:color="000000"/>
            </w:tcBorders>
            <w:hideMark/>
          </w:tcPr>
          <w:p w14:paraId="06974A94" w14:textId="77777777" w:rsidR="003623D5" w:rsidRDefault="003623D5">
            <w:pPr>
              <w:autoSpaceDE w:val="0"/>
              <w:autoSpaceDN w:val="0"/>
              <w:adjustRightInd w:val="0"/>
              <w:rPr>
                <w:lang w:val="en-GB"/>
              </w:rPr>
            </w:pPr>
            <w:r>
              <w:rPr>
                <w:i/>
                <w:iCs/>
                <w:lang w:val="en-GB"/>
              </w:rPr>
              <w:t xml:space="preserve">Staphylococcus spp. </w:t>
            </w:r>
          </w:p>
        </w:tc>
        <w:tc>
          <w:tcPr>
            <w:tcW w:w="3259" w:type="dxa"/>
            <w:tcBorders>
              <w:top w:val="single" w:sz="4" w:space="0" w:color="000000"/>
              <w:left w:val="single" w:sz="4" w:space="0" w:color="000000"/>
              <w:bottom w:val="single" w:sz="4" w:space="0" w:color="000000"/>
              <w:right w:val="single" w:sz="4" w:space="0" w:color="000000"/>
            </w:tcBorders>
            <w:hideMark/>
          </w:tcPr>
          <w:p w14:paraId="7514CE54" w14:textId="77777777" w:rsidR="003623D5" w:rsidRDefault="003623D5">
            <w:pPr>
              <w:autoSpaceDE w:val="0"/>
              <w:autoSpaceDN w:val="0"/>
              <w:adjustRightInd w:val="0"/>
              <w:jc w:val="center"/>
              <w:rPr>
                <w:lang w:val="en-GB"/>
              </w:rPr>
            </w:pPr>
            <w:r>
              <w:rPr>
                <w:lang w:val="en-GB"/>
              </w:rPr>
              <w:t>1</w:t>
            </w:r>
            <w:r>
              <w:rPr>
                <w:vertAlign w:val="superscript"/>
                <w:lang w:val="en-GB"/>
              </w:rPr>
              <w:t>1</w:t>
            </w:r>
          </w:p>
        </w:tc>
        <w:tc>
          <w:tcPr>
            <w:tcW w:w="3259" w:type="dxa"/>
            <w:tcBorders>
              <w:top w:val="single" w:sz="4" w:space="0" w:color="000000"/>
              <w:left w:val="single" w:sz="4" w:space="0" w:color="000000"/>
              <w:bottom w:val="single" w:sz="4" w:space="0" w:color="000000"/>
              <w:right w:val="single" w:sz="4" w:space="0" w:color="000000"/>
            </w:tcBorders>
            <w:hideMark/>
          </w:tcPr>
          <w:p w14:paraId="3A3C600E" w14:textId="77777777" w:rsidR="003623D5" w:rsidRDefault="003623D5">
            <w:pPr>
              <w:autoSpaceDE w:val="0"/>
              <w:autoSpaceDN w:val="0"/>
              <w:adjustRightInd w:val="0"/>
              <w:jc w:val="center"/>
              <w:rPr>
                <w:lang w:val="en-GB"/>
              </w:rPr>
            </w:pPr>
            <w:r>
              <w:rPr>
                <w:lang w:val="en-GB"/>
              </w:rPr>
              <w:t>1</w:t>
            </w:r>
            <w:r>
              <w:rPr>
                <w:vertAlign w:val="superscript"/>
                <w:lang w:val="en-GB"/>
              </w:rPr>
              <w:t>1</w:t>
            </w:r>
          </w:p>
        </w:tc>
      </w:tr>
      <w:tr w:rsidR="003623D5" w14:paraId="05F33EE7" w14:textId="77777777" w:rsidTr="003623D5">
        <w:tc>
          <w:tcPr>
            <w:tcW w:w="3259" w:type="dxa"/>
            <w:tcBorders>
              <w:top w:val="single" w:sz="4" w:space="0" w:color="000000"/>
              <w:left w:val="single" w:sz="4" w:space="0" w:color="000000"/>
              <w:bottom w:val="single" w:sz="4" w:space="0" w:color="000000"/>
              <w:right w:val="single" w:sz="4" w:space="0" w:color="000000"/>
            </w:tcBorders>
            <w:hideMark/>
          </w:tcPr>
          <w:p w14:paraId="145B9991" w14:textId="77777777" w:rsidR="003623D5" w:rsidRDefault="003623D5">
            <w:pPr>
              <w:autoSpaceDE w:val="0"/>
              <w:autoSpaceDN w:val="0"/>
              <w:adjustRightInd w:val="0"/>
              <w:rPr>
                <w:lang w:val="en-GB"/>
              </w:rPr>
            </w:pPr>
            <w:r>
              <w:rPr>
                <w:i/>
                <w:iCs/>
                <w:lang w:val="en-GB"/>
              </w:rPr>
              <w:t xml:space="preserve">Streptococcus gruppe A,B,C,G </w:t>
            </w:r>
          </w:p>
        </w:tc>
        <w:tc>
          <w:tcPr>
            <w:tcW w:w="3259" w:type="dxa"/>
            <w:tcBorders>
              <w:top w:val="single" w:sz="4" w:space="0" w:color="000000"/>
              <w:left w:val="single" w:sz="4" w:space="0" w:color="000000"/>
              <w:bottom w:val="single" w:sz="4" w:space="0" w:color="000000"/>
              <w:right w:val="single" w:sz="4" w:space="0" w:color="000000"/>
            </w:tcBorders>
            <w:hideMark/>
          </w:tcPr>
          <w:p w14:paraId="191EFCB6" w14:textId="77777777" w:rsidR="003623D5" w:rsidRDefault="003623D5">
            <w:pPr>
              <w:autoSpaceDE w:val="0"/>
              <w:autoSpaceDN w:val="0"/>
              <w:adjustRightInd w:val="0"/>
              <w:jc w:val="center"/>
              <w:rPr>
                <w:vertAlign w:val="superscript"/>
                <w:lang w:val="en-GB"/>
              </w:rPr>
            </w:pPr>
            <w:r>
              <w:rPr>
                <w:lang w:val="en-GB"/>
              </w:rPr>
              <w:t xml:space="preserve"> 0.25</w:t>
            </w:r>
            <w:r>
              <w:rPr>
                <w:vertAlign w:val="superscript"/>
                <w:lang w:val="en-GB"/>
              </w:rPr>
              <w:t>2</w:t>
            </w:r>
          </w:p>
        </w:tc>
        <w:tc>
          <w:tcPr>
            <w:tcW w:w="3259" w:type="dxa"/>
            <w:tcBorders>
              <w:top w:val="single" w:sz="4" w:space="0" w:color="000000"/>
              <w:left w:val="single" w:sz="4" w:space="0" w:color="000000"/>
              <w:bottom w:val="single" w:sz="4" w:space="0" w:color="000000"/>
              <w:right w:val="single" w:sz="4" w:space="0" w:color="000000"/>
            </w:tcBorders>
            <w:hideMark/>
          </w:tcPr>
          <w:p w14:paraId="54D18BF6" w14:textId="77777777" w:rsidR="003623D5" w:rsidRDefault="003623D5">
            <w:pPr>
              <w:autoSpaceDE w:val="0"/>
              <w:autoSpaceDN w:val="0"/>
              <w:adjustRightInd w:val="0"/>
              <w:jc w:val="center"/>
              <w:rPr>
                <w:vertAlign w:val="superscript"/>
                <w:lang w:val="en-GB"/>
              </w:rPr>
            </w:pPr>
            <w:r>
              <w:rPr>
                <w:lang w:val="en-GB"/>
              </w:rPr>
              <w:t xml:space="preserve"> 0.25</w:t>
            </w:r>
            <w:r>
              <w:rPr>
                <w:vertAlign w:val="superscript"/>
                <w:lang w:val="en-GB"/>
              </w:rPr>
              <w:t>2</w:t>
            </w:r>
          </w:p>
        </w:tc>
      </w:tr>
      <w:tr w:rsidR="003623D5" w14:paraId="30B479C6" w14:textId="77777777" w:rsidTr="003623D5">
        <w:tc>
          <w:tcPr>
            <w:tcW w:w="3259" w:type="dxa"/>
            <w:tcBorders>
              <w:top w:val="single" w:sz="4" w:space="0" w:color="000000"/>
              <w:left w:val="single" w:sz="4" w:space="0" w:color="000000"/>
              <w:bottom w:val="single" w:sz="4" w:space="0" w:color="000000"/>
              <w:right w:val="single" w:sz="4" w:space="0" w:color="000000"/>
            </w:tcBorders>
            <w:hideMark/>
          </w:tcPr>
          <w:p w14:paraId="5FC0D1EC" w14:textId="77777777" w:rsidR="003623D5" w:rsidRDefault="003623D5">
            <w:pPr>
              <w:autoSpaceDE w:val="0"/>
              <w:autoSpaceDN w:val="0"/>
              <w:adjustRightInd w:val="0"/>
              <w:rPr>
                <w:lang w:val="en-GB"/>
              </w:rPr>
            </w:pPr>
            <w:r>
              <w:rPr>
                <w:i/>
                <w:iCs/>
                <w:lang w:val="en-GB"/>
              </w:rPr>
              <w:t xml:space="preserve">Streptococcus pneumoniae </w:t>
            </w:r>
          </w:p>
        </w:tc>
        <w:tc>
          <w:tcPr>
            <w:tcW w:w="3259" w:type="dxa"/>
            <w:tcBorders>
              <w:top w:val="single" w:sz="4" w:space="0" w:color="000000"/>
              <w:left w:val="single" w:sz="4" w:space="0" w:color="000000"/>
              <w:bottom w:val="single" w:sz="4" w:space="0" w:color="000000"/>
              <w:right w:val="single" w:sz="4" w:space="0" w:color="000000"/>
            </w:tcBorders>
            <w:hideMark/>
          </w:tcPr>
          <w:p w14:paraId="034238CF" w14:textId="77777777" w:rsidR="003623D5" w:rsidRDefault="003623D5">
            <w:pPr>
              <w:autoSpaceDE w:val="0"/>
              <w:autoSpaceDN w:val="0"/>
              <w:adjustRightInd w:val="0"/>
              <w:jc w:val="center"/>
              <w:rPr>
                <w:vertAlign w:val="superscript"/>
                <w:lang w:val="en-GB"/>
              </w:rPr>
            </w:pPr>
            <w:r>
              <w:rPr>
                <w:lang w:val="en-GB"/>
              </w:rPr>
              <w:t>0.25</w:t>
            </w:r>
            <w:r>
              <w:rPr>
                <w:vertAlign w:val="superscript"/>
                <w:lang w:val="en-GB"/>
              </w:rPr>
              <w:t>3</w:t>
            </w:r>
          </w:p>
        </w:tc>
        <w:tc>
          <w:tcPr>
            <w:tcW w:w="3259" w:type="dxa"/>
            <w:tcBorders>
              <w:top w:val="single" w:sz="4" w:space="0" w:color="000000"/>
              <w:left w:val="single" w:sz="4" w:space="0" w:color="000000"/>
              <w:bottom w:val="single" w:sz="4" w:space="0" w:color="000000"/>
              <w:right w:val="single" w:sz="4" w:space="0" w:color="000000"/>
            </w:tcBorders>
            <w:hideMark/>
          </w:tcPr>
          <w:p w14:paraId="1E8A0A29" w14:textId="77777777" w:rsidR="003623D5" w:rsidRDefault="003623D5">
            <w:pPr>
              <w:autoSpaceDE w:val="0"/>
              <w:autoSpaceDN w:val="0"/>
              <w:adjustRightInd w:val="0"/>
              <w:jc w:val="center"/>
              <w:rPr>
                <w:vertAlign w:val="superscript"/>
                <w:lang w:val="en-GB"/>
              </w:rPr>
            </w:pPr>
            <w:r>
              <w:rPr>
                <w:lang w:val="en-GB"/>
              </w:rPr>
              <w:t>0.25</w:t>
            </w:r>
            <w:r>
              <w:rPr>
                <w:vertAlign w:val="superscript"/>
                <w:lang w:val="en-GB"/>
              </w:rPr>
              <w:t>3</w:t>
            </w:r>
          </w:p>
        </w:tc>
      </w:tr>
      <w:tr w:rsidR="003623D5" w14:paraId="52376690" w14:textId="77777777" w:rsidTr="003623D5">
        <w:tc>
          <w:tcPr>
            <w:tcW w:w="3259" w:type="dxa"/>
            <w:tcBorders>
              <w:top w:val="single" w:sz="4" w:space="0" w:color="000000"/>
              <w:left w:val="single" w:sz="4" w:space="0" w:color="000000"/>
              <w:bottom w:val="single" w:sz="4" w:space="0" w:color="000000"/>
              <w:right w:val="single" w:sz="4" w:space="0" w:color="000000"/>
            </w:tcBorders>
            <w:hideMark/>
          </w:tcPr>
          <w:p w14:paraId="16B07839" w14:textId="77777777" w:rsidR="003623D5" w:rsidRDefault="003623D5">
            <w:pPr>
              <w:autoSpaceDE w:val="0"/>
              <w:autoSpaceDN w:val="0"/>
              <w:adjustRightInd w:val="0"/>
              <w:rPr>
                <w:lang w:val="en-GB"/>
              </w:rPr>
            </w:pPr>
            <w:r>
              <w:rPr>
                <w:i/>
                <w:iCs/>
                <w:lang w:val="en-GB"/>
              </w:rPr>
              <w:t xml:space="preserve">Haemophilus influenzae </w:t>
            </w:r>
          </w:p>
        </w:tc>
        <w:tc>
          <w:tcPr>
            <w:tcW w:w="3259" w:type="dxa"/>
            <w:tcBorders>
              <w:top w:val="single" w:sz="4" w:space="0" w:color="000000"/>
              <w:left w:val="single" w:sz="4" w:space="0" w:color="000000"/>
              <w:bottom w:val="single" w:sz="4" w:space="0" w:color="000000"/>
              <w:right w:val="single" w:sz="4" w:space="0" w:color="000000"/>
            </w:tcBorders>
            <w:hideMark/>
          </w:tcPr>
          <w:p w14:paraId="0B00EDA4" w14:textId="77777777" w:rsidR="003623D5" w:rsidRDefault="003623D5">
            <w:pPr>
              <w:autoSpaceDE w:val="0"/>
              <w:autoSpaceDN w:val="0"/>
              <w:adjustRightInd w:val="0"/>
              <w:jc w:val="center"/>
              <w:rPr>
                <w:lang w:val="en-GB"/>
              </w:rPr>
            </w:pPr>
            <w:r>
              <w:rPr>
                <w:lang w:val="en-GB"/>
              </w:rPr>
              <w:t>Note</w:t>
            </w:r>
            <w:r>
              <w:rPr>
                <w:vertAlign w:val="superscript"/>
                <w:lang w:val="en-GB"/>
              </w:rPr>
              <w:t>4</w:t>
            </w:r>
          </w:p>
        </w:tc>
        <w:tc>
          <w:tcPr>
            <w:tcW w:w="3259" w:type="dxa"/>
            <w:tcBorders>
              <w:top w:val="single" w:sz="4" w:space="0" w:color="000000"/>
              <w:left w:val="single" w:sz="4" w:space="0" w:color="000000"/>
              <w:bottom w:val="single" w:sz="4" w:space="0" w:color="000000"/>
              <w:right w:val="single" w:sz="4" w:space="0" w:color="000000"/>
            </w:tcBorders>
          </w:tcPr>
          <w:p w14:paraId="3DA95244" w14:textId="77777777" w:rsidR="003623D5" w:rsidRDefault="003623D5">
            <w:pPr>
              <w:autoSpaceDE w:val="0"/>
              <w:autoSpaceDN w:val="0"/>
              <w:adjustRightInd w:val="0"/>
              <w:jc w:val="center"/>
              <w:rPr>
                <w:vertAlign w:val="superscript"/>
                <w:lang w:val="en-GB"/>
              </w:rPr>
            </w:pPr>
            <w:r>
              <w:rPr>
                <w:lang w:val="en-GB"/>
              </w:rPr>
              <w:t>Note</w:t>
            </w:r>
            <w:r>
              <w:rPr>
                <w:vertAlign w:val="superscript"/>
                <w:lang w:val="en-GB"/>
              </w:rPr>
              <w:t>4</w:t>
            </w:r>
          </w:p>
          <w:p w14:paraId="23C5E28E" w14:textId="77777777" w:rsidR="003623D5" w:rsidRDefault="003623D5">
            <w:pPr>
              <w:autoSpaceDE w:val="0"/>
              <w:autoSpaceDN w:val="0"/>
              <w:adjustRightInd w:val="0"/>
              <w:jc w:val="center"/>
              <w:rPr>
                <w:vertAlign w:val="superscript"/>
                <w:lang w:val="en-GB"/>
              </w:rPr>
            </w:pPr>
          </w:p>
          <w:p w14:paraId="799131FB" w14:textId="77777777" w:rsidR="003623D5" w:rsidRDefault="003623D5">
            <w:pPr>
              <w:autoSpaceDE w:val="0"/>
              <w:autoSpaceDN w:val="0"/>
              <w:adjustRightInd w:val="0"/>
              <w:jc w:val="center"/>
              <w:rPr>
                <w:lang w:val="en-GB"/>
              </w:rPr>
            </w:pPr>
          </w:p>
        </w:tc>
      </w:tr>
      <w:tr w:rsidR="003623D5" w14:paraId="7F3516B3" w14:textId="77777777" w:rsidTr="003623D5">
        <w:tc>
          <w:tcPr>
            <w:tcW w:w="3259" w:type="dxa"/>
            <w:tcBorders>
              <w:top w:val="single" w:sz="4" w:space="0" w:color="000000"/>
              <w:left w:val="single" w:sz="4" w:space="0" w:color="000000"/>
              <w:bottom w:val="single" w:sz="4" w:space="0" w:color="000000"/>
              <w:right w:val="single" w:sz="4" w:space="0" w:color="000000"/>
            </w:tcBorders>
            <w:hideMark/>
          </w:tcPr>
          <w:p w14:paraId="3266903C" w14:textId="77777777" w:rsidR="003623D5" w:rsidRDefault="003623D5">
            <w:pPr>
              <w:autoSpaceDE w:val="0"/>
              <w:autoSpaceDN w:val="0"/>
              <w:adjustRightInd w:val="0"/>
              <w:rPr>
                <w:lang w:val="en-GB"/>
              </w:rPr>
            </w:pPr>
            <w:r>
              <w:rPr>
                <w:i/>
                <w:iCs/>
                <w:lang w:val="en-GB"/>
              </w:rPr>
              <w:t xml:space="preserve">Moraxella catarrhalis </w:t>
            </w:r>
          </w:p>
        </w:tc>
        <w:tc>
          <w:tcPr>
            <w:tcW w:w="3259" w:type="dxa"/>
            <w:tcBorders>
              <w:top w:val="single" w:sz="4" w:space="0" w:color="000000"/>
              <w:left w:val="single" w:sz="4" w:space="0" w:color="000000"/>
              <w:bottom w:val="single" w:sz="4" w:space="0" w:color="000000"/>
              <w:right w:val="single" w:sz="4" w:space="0" w:color="000000"/>
            </w:tcBorders>
            <w:hideMark/>
          </w:tcPr>
          <w:p w14:paraId="23B8132F" w14:textId="77777777" w:rsidR="003623D5" w:rsidRDefault="003623D5">
            <w:pPr>
              <w:autoSpaceDE w:val="0"/>
              <w:autoSpaceDN w:val="0"/>
              <w:adjustRightInd w:val="0"/>
              <w:jc w:val="center"/>
              <w:rPr>
                <w:lang w:val="en-GB"/>
              </w:rPr>
            </w:pPr>
            <w:r>
              <w:rPr>
                <w:lang w:val="en-GB"/>
              </w:rPr>
              <w:t>0.25</w:t>
            </w:r>
          </w:p>
        </w:tc>
        <w:tc>
          <w:tcPr>
            <w:tcW w:w="3259" w:type="dxa"/>
            <w:tcBorders>
              <w:top w:val="single" w:sz="4" w:space="0" w:color="000000"/>
              <w:left w:val="single" w:sz="4" w:space="0" w:color="000000"/>
              <w:bottom w:val="single" w:sz="4" w:space="0" w:color="000000"/>
              <w:right w:val="single" w:sz="4" w:space="0" w:color="000000"/>
            </w:tcBorders>
            <w:hideMark/>
          </w:tcPr>
          <w:p w14:paraId="67C4AD31" w14:textId="77777777" w:rsidR="003623D5" w:rsidRDefault="003623D5">
            <w:pPr>
              <w:autoSpaceDE w:val="0"/>
              <w:autoSpaceDN w:val="0"/>
              <w:adjustRightInd w:val="0"/>
              <w:jc w:val="center"/>
              <w:rPr>
                <w:lang w:val="en-GB"/>
              </w:rPr>
            </w:pPr>
            <w:r>
              <w:rPr>
                <w:lang w:val="en-GB"/>
              </w:rPr>
              <w:t>0.25</w:t>
            </w:r>
          </w:p>
        </w:tc>
      </w:tr>
      <w:tr w:rsidR="003623D5" w14:paraId="71D7D6E2" w14:textId="77777777" w:rsidTr="003623D5">
        <w:tc>
          <w:tcPr>
            <w:tcW w:w="3259" w:type="dxa"/>
            <w:tcBorders>
              <w:top w:val="single" w:sz="4" w:space="0" w:color="000000"/>
              <w:left w:val="single" w:sz="4" w:space="0" w:color="000000"/>
              <w:bottom w:val="single" w:sz="4" w:space="0" w:color="000000"/>
              <w:right w:val="single" w:sz="4" w:space="0" w:color="000000"/>
            </w:tcBorders>
            <w:hideMark/>
          </w:tcPr>
          <w:p w14:paraId="32B4D26E" w14:textId="77777777" w:rsidR="003623D5" w:rsidRDefault="003623D5">
            <w:pPr>
              <w:autoSpaceDE w:val="0"/>
              <w:autoSpaceDN w:val="0"/>
              <w:adjustRightInd w:val="0"/>
              <w:rPr>
                <w:i/>
                <w:iCs/>
                <w:lang w:val="en-GB"/>
              </w:rPr>
            </w:pPr>
            <w:r>
              <w:rPr>
                <w:i/>
                <w:iCs/>
                <w:lang w:val="en-GB"/>
              </w:rPr>
              <w:t>Listeria monocytogenes</w:t>
            </w:r>
          </w:p>
        </w:tc>
        <w:tc>
          <w:tcPr>
            <w:tcW w:w="3259" w:type="dxa"/>
            <w:tcBorders>
              <w:top w:val="single" w:sz="4" w:space="0" w:color="000000"/>
              <w:left w:val="single" w:sz="4" w:space="0" w:color="000000"/>
              <w:bottom w:val="single" w:sz="4" w:space="0" w:color="000000"/>
              <w:right w:val="single" w:sz="4" w:space="0" w:color="000000"/>
            </w:tcBorders>
            <w:hideMark/>
          </w:tcPr>
          <w:p w14:paraId="5DF9941C" w14:textId="77777777" w:rsidR="003623D5" w:rsidRDefault="003623D5">
            <w:pPr>
              <w:autoSpaceDE w:val="0"/>
              <w:autoSpaceDN w:val="0"/>
              <w:adjustRightInd w:val="0"/>
              <w:jc w:val="center"/>
              <w:rPr>
                <w:lang w:val="en-GB"/>
              </w:rPr>
            </w:pPr>
            <w:r>
              <w:rPr>
                <w:lang w:val="en-GB"/>
              </w:rPr>
              <w:t>1</w:t>
            </w:r>
          </w:p>
        </w:tc>
        <w:tc>
          <w:tcPr>
            <w:tcW w:w="3259" w:type="dxa"/>
            <w:tcBorders>
              <w:top w:val="single" w:sz="4" w:space="0" w:color="000000"/>
              <w:left w:val="single" w:sz="4" w:space="0" w:color="000000"/>
              <w:bottom w:val="single" w:sz="4" w:space="0" w:color="000000"/>
              <w:right w:val="single" w:sz="4" w:space="0" w:color="000000"/>
            </w:tcBorders>
            <w:hideMark/>
          </w:tcPr>
          <w:p w14:paraId="4AB3E152" w14:textId="77777777" w:rsidR="003623D5" w:rsidRDefault="003623D5">
            <w:pPr>
              <w:autoSpaceDE w:val="0"/>
              <w:autoSpaceDN w:val="0"/>
              <w:adjustRightInd w:val="0"/>
              <w:jc w:val="center"/>
              <w:rPr>
                <w:lang w:val="en-GB"/>
              </w:rPr>
            </w:pPr>
            <w:r>
              <w:rPr>
                <w:lang w:val="en-GB"/>
              </w:rPr>
              <w:t>1</w:t>
            </w:r>
          </w:p>
        </w:tc>
      </w:tr>
      <w:tr w:rsidR="003623D5" w14:paraId="0BE6298F" w14:textId="77777777" w:rsidTr="003623D5">
        <w:tc>
          <w:tcPr>
            <w:tcW w:w="3259" w:type="dxa"/>
            <w:tcBorders>
              <w:top w:val="single" w:sz="4" w:space="0" w:color="000000"/>
              <w:left w:val="single" w:sz="4" w:space="0" w:color="000000"/>
              <w:bottom w:val="single" w:sz="4" w:space="0" w:color="000000"/>
              <w:right w:val="single" w:sz="4" w:space="0" w:color="000000"/>
            </w:tcBorders>
            <w:hideMark/>
          </w:tcPr>
          <w:p w14:paraId="005BA2FA" w14:textId="77777777" w:rsidR="003623D5" w:rsidRDefault="003623D5">
            <w:pPr>
              <w:autoSpaceDE w:val="0"/>
              <w:autoSpaceDN w:val="0"/>
              <w:adjustRightInd w:val="0"/>
              <w:rPr>
                <w:i/>
                <w:iCs/>
                <w:lang w:val="en-GB"/>
              </w:rPr>
            </w:pPr>
            <w:r>
              <w:rPr>
                <w:i/>
                <w:iCs/>
                <w:lang w:val="en-GB"/>
              </w:rPr>
              <w:t xml:space="preserve">Campylobacter jejuni </w:t>
            </w:r>
          </w:p>
        </w:tc>
        <w:tc>
          <w:tcPr>
            <w:tcW w:w="3259" w:type="dxa"/>
            <w:tcBorders>
              <w:top w:val="single" w:sz="4" w:space="0" w:color="000000"/>
              <w:left w:val="single" w:sz="4" w:space="0" w:color="000000"/>
              <w:bottom w:val="single" w:sz="4" w:space="0" w:color="000000"/>
              <w:right w:val="single" w:sz="4" w:space="0" w:color="000000"/>
            </w:tcBorders>
            <w:hideMark/>
          </w:tcPr>
          <w:p w14:paraId="5688027F" w14:textId="77777777" w:rsidR="003623D5" w:rsidRDefault="003623D5">
            <w:pPr>
              <w:tabs>
                <w:tab w:val="left" w:pos="1200"/>
                <w:tab w:val="center" w:pos="1521"/>
              </w:tabs>
              <w:autoSpaceDE w:val="0"/>
              <w:autoSpaceDN w:val="0"/>
              <w:adjustRightInd w:val="0"/>
              <w:jc w:val="center"/>
              <w:rPr>
                <w:vertAlign w:val="superscript"/>
                <w:lang w:val="en-GB"/>
              </w:rPr>
            </w:pPr>
            <w:r>
              <w:rPr>
                <w:lang w:val="en-GB"/>
              </w:rPr>
              <w:t>4</w:t>
            </w:r>
            <w:r>
              <w:rPr>
                <w:vertAlign w:val="superscript"/>
                <w:lang w:val="en-GB"/>
              </w:rPr>
              <w:t>5</w:t>
            </w:r>
          </w:p>
        </w:tc>
        <w:tc>
          <w:tcPr>
            <w:tcW w:w="3259" w:type="dxa"/>
            <w:tcBorders>
              <w:top w:val="single" w:sz="4" w:space="0" w:color="000000"/>
              <w:left w:val="single" w:sz="4" w:space="0" w:color="000000"/>
              <w:bottom w:val="single" w:sz="4" w:space="0" w:color="000000"/>
              <w:right w:val="single" w:sz="4" w:space="0" w:color="000000"/>
            </w:tcBorders>
            <w:vAlign w:val="center"/>
            <w:hideMark/>
          </w:tcPr>
          <w:p w14:paraId="3AD4AC63" w14:textId="77777777" w:rsidR="003623D5" w:rsidRDefault="003623D5">
            <w:pPr>
              <w:autoSpaceDE w:val="0"/>
              <w:autoSpaceDN w:val="0"/>
              <w:adjustRightInd w:val="0"/>
              <w:jc w:val="center"/>
              <w:rPr>
                <w:lang w:val="en-GB"/>
              </w:rPr>
            </w:pPr>
            <w:r>
              <w:rPr>
                <w:lang w:val="en-GB"/>
              </w:rPr>
              <w:t>4</w:t>
            </w:r>
            <w:r>
              <w:rPr>
                <w:vertAlign w:val="superscript"/>
                <w:lang w:val="en-GB"/>
              </w:rPr>
              <w:t>5</w:t>
            </w:r>
          </w:p>
        </w:tc>
      </w:tr>
      <w:tr w:rsidR="003623D5" w14:paraId="5CC4B6CE" w14:textId="77777777" w:rsidTr="003623D5">
        <w:tc>
          <w:tcPr>
            <w:tcW w:w="3259" w:type="dxa"/>
            <w:tcBorders>
              <w:top w:val="single" w:sz="4" w:space="0" w:color="000000"/>
              <w:left w:val="single" w:sz="4" w:space="0" w:color="000000"/>
              <w:bottom w:val="single" w:sz="4" w:space="0" w:color="000000"/>
              <w:right w:val="single" w:sz="4" w:space="0" w:color="000000"/>
            </w:tcBorders>
            <w:hideMark/>
          </w:tcPr>
          <w:p w14:paraId="17D51364" w14:textId="77777777" w:rsidR="003623D5" w:rsidRDefault="003623D5">
            <w:pPr>
              <w:autoSpaceDE w:val="0"/>
              <w:autoSpaceDN w:val="0"/>
              <w:adjustRightInd w:val="0"/>
              <w:rPr>
                <w:i/>
                <w:iCs/>
                <w:lang w:val="en-GB"/>
              </w:rPr>
            </w:pPr>
            <w:r>
              <w:rPr>
                <w:i/>
                <w:iCs/>
                <w:lang w:val="en-GB"/>
              </w:rPr>
              <w:t>Campylobacter coli</w:t>
            </w:r>
          </w:p>
        </w:tc>
        <w:tc>
          <w:tcPr>
            <w:tcW w:w="3259" w:type="dxa"/>
            <w:tcBorders>
              <w:top w:val="single" w:sz="4" w:space="0" w:color="000000"/>
              <w:left w:val="single" w:sz="4" w:space="0" w:color="000000"/>
              <w:bottom w:val="single" w:sz="4" w:space="0" w:color="000000"/>
              <w:right w:val="single" w:sz="4" w:space="0" w:color="000000"/>
            </w:tcBorders>
            <w:hideMark/>
          </w:tcPr>
          <w:p w14:paraId="64559EE5" w14:textId="77777777" w:rsidR="003623D5" w:rsidRDefault="003623D5">
            <w:pPr>
              <w:autoSpaceDE w:val="0"/>
              <w:autoSpaceDN w:val="0"/>
              <w:adjustRightInd w:val="0"/>
              <w:jc w:val="center"/>
              <w:rPr>
                <w:vertAlign w:val="superscript"/>
                <w:lang w:val="en-GB"/>
              </w:rPr>
            </w:pPr>
            <w:r>
              <w:rPr>
                <w:lang w:val="en-GB"/>
              </w:rPr>
              <w:t>8</w:t>
            </w:r>
            <w:r>
              <w:rPr>
                <w:vertAlign w:val="superscript"/>
                <w:lang w:val="en-GB"/>
              </w:rPr>
              <w:t>5</w:t>
            </w:r>
          </w:p>
        </w:tc>
        <w:tc>
          <w:tcPr>
            <w:tcW w:w="3259" w:type="dxa"/>
            <w:tcBorders>
              <w:top w:val="single" w:sz="4" w:space="0" w:color="000000"/>
              <w:left w:val="single" w:sz="4" w:space="0" w:color="000000"/>
              <w:bottom w:val="single" w:sz="4" w:space="0" w:color="000000"/>
              <w:right w:val="single" w:sz="4" w:space="0" w:color="000000"/>
            </w:tcBorders>
            <w:vAlign w:val="center"/>
            <w:hideMark/>
          </w:tcPr>
          <w:p w14:paraId="43BDA08A" w14:textId="77777777" w:rsidR="003623D5" w:rsidRDefault="003623D5">
            <w:pPr>
              <w:autoSpaceDE w:val="0"/>
              <w:autoSpaceDN w:val="0"/>
              <w:adjustRightInd w:val="0"/>
              <w:jc w:val="center"/>
              <w:rPr>
                <w:lang w:val="en-GB"/>
              </w:rPr>
            </w:pPr>
            <w:r>
              <w:rPr>
                <w:lang w:val="en-GB"/>
              </w:rPr>
              <w:t>8</w:t>
            </w:r>
            <w:r>
              <w:rPr>
                <w:vertAlign w:val="superscript"/>
                <w:lang w:val="en-GB"/>
              </w:rPr>
              <w:t>5</w:t>
            </w:r>
          </w:p>
        </w:tc>
      </w:tr>
      <w:tr w:rsidR="003623D5" w14:paraId="707D3E81" w14:textId="77777777" w:rsidTr="003623D5">
        <w:tc>
          <w:tcPr>
            <w:tcW w:w="3259" w:type="dxa"/>
            <w:tcBorders>
              <w:top w:val="single" w:sz="4" w:space="0" w:color="000000"/>
              <w:left w:val="single" w:sz="4" w:space="0" w:color="000000"/>
              <w:bottom w:val="single" w:sz="4" w:space="0" w:color="000000"/>
              <w:right w:val="single" w:sz="4" w:space="0" w:color="000000"/>
            </w:tcBorders>
            <w:hideMark/>
          </w:tcPr>
          <w:p w14:paraId="01A5F387" w14:textId="77777777" w:rsidR="003623D5" w:rsidRPr="003623D5" w:rsidRDefault="003623D5">
            <w:pPr>
              <w:autoSpaceDE w:val="0"/>
              <w:autoSpaceDN w:val="0"/>
              <w:adjustRightInd w:val="0"/>
              <w:rPr>
                <w:i/>
                <w:iCs/>
              </w:rPr>
            </w:pPr>
            <w:r w:rsidRPr="003623D5">
              <w:rPr>
                <w:i/>
                <w:iCs/>
              </w:rPr>
              <w:t>Corynebacterium diphtheriae og C. ulcerans.</w:t>
            </w:r>
          </w:p>
        </w:tc>
        <w:tc>
          <w:tcPr>
            <w:tcW w:w="3259" w:type="dxa"/>
            <w:tcBorders>
              <w:top w:val="single" w:sz="4" w:space="0" w:color="000000"/>
              <w:left w:val="single" w:sz="4" w:space="0" w:color="000000"/>
              <w:bottom w:val="single" w:sz="4" w:space="0" w:color="000000"/>
              <w:right w:val="single" w:sz="4" w:space="0" w:color="000000"/>
            </w:tcBorders>
            <w:hideMark/>
          </w:tcPr>
          <w:p w14:paraId="567C2ABA" w14:textId="77777777" w:rsidR="003623D5" w:rsidRDefault="003623D5">
            <w:pPr>
              <w:autoSpaceDE w:val="0"/>
              <w:autoSpaceDN w:val="0"/>
              <w:adjustRightInd w:val="0"/>
              <w:jc w:val="center"/>
              <w:rPr>
                <w:lang w:val="en-GB"/>
              </w:rPr>
            </w:pPr>
            <w:r>
              <w:rPr>
                <w:lang w:val="en-GB"/>
              </w:rPr>
              <w:t>0.06</w:t>
            </w:r>
          </w:p>
        </w:tc>
        <w:tc>
          <w:tcPr>
            <w:tcW w:w="3259" w:type="dxa"/>
            <w:tcBorders>
              <w:top w:val="single" w:sz="4" w:space="0" w:color="000000"/>
              <w:left w:val="single" w:sz="4" w:space="0" w:color="000000"/>
              <w:bottom w:val="single" w:sz="4" w:space="0" w:color="000000"/>
              <w:right w:val="single" w:sz="4" w:space="0" w:color="000000"/>
            </w:tcBorders>
            <w:hideMark/>
          </w:tcPr>
          <w:p w14:paraId="7480139C" w14:textId="77777777" w:rsidR="003623D5" w:rsidRDefault="003623D5">
            <w:pPr>
              <w:autoSpaceDE w:val="0"/>
              <w:autoSpaceDN w:val="0"/>
              <w:adjustRightInd w:val="0"/>
              <w:jc w:val="center"/>
              <w:rPr>
                <w:lang w:val="en-GB"/>
              </w:rPr>
            </w:pPr>
            <w:r>
              <w:rPr>
                <w:lang w:val="en-GB"/>
              </w:rPr>
              <w:t>0.06</w:t>
            </w:r>
          </w:p>
        </w:tc>
      </w:tr>
      <w:tr w:rsidR="003623D5" w14:paraId="02DCFDC0" w14:textId="77777777" w:rsidTr="003623D5">
        <w:tc>
          <w:tcPr>
            <w:tcW w:w="3259" w:type="dxa"/>
            <w:tcBorders>
              <w:top w:val="single" w:sz="4" w:space="0" w:color="000000"/>
              <w:left w:val="single" w:sz="4" w:space="0" w:color="000000"/>
              <w:bottom w:val="single" w:sz="4" w:space="0" w:color="000000"/>
              <w:right w:val="single" w:sz="4" w:space="0" w:color="000000"/>
            </w:tcBorders>
            <w:hideMark/>
          </w:tcPr>
          <w:p w14:paraId="0FD3DE5E" w14:textId="77777777" w:rsidR="003623D5" w:rsidRDefault="003623D5">
            <w:pPr>
              <w:autoSpaceDE w:val="0"/>
              <w:autoSpaceDN w:val="0"/>
              <w:adjustRightInd w:val="0"/>
              <w:rPr>
                <w:i/>
                <w:iCs/>
                <w:lang w:val="en-GB"/>
              </w:rPr>
            </w:pPr>
            <w:r>
              <w:rPr>
                <w:i/>
                <w:iCs/>
                <w:lang w:val="en-GB"/>
              </w:rPr>
              <w:t>Kingella kingae</w:t>
            </w:r>
          </w:p>
        </w:tc>
        <w:tc>
          <w:tcPr>
            <w:tcW w:w="3259" w:type="dxa"/>
            <w:tcBorders>
              <w:top w:val="single" w:sz="4" w:space="0" w:color="000000"/>
              <w:left w:val="single" w:sz="4" w:space="0" w:color="000000"/>
              <w:bottom w:val="single" w:sz="4" w:space="0" w:color="000000"/>
              <w:right w:val="single" w:sz="4" w:space="0" w:color="000000"/>
            </w:tcBorders>
            <w:hideMark/>
          </w:tcPr>
          <w:p w14:paraId="4E06673B" w14:textId="77777777" w:rsidR="003623D5" w:rsidRDefault="003623D5">
            <w:pPr>
              <w:autoSpaceDE w:val="0"/>
              <w:autoSpaceDN w:val="0"/>
              <w:adjustRightInd w:val="0"/>
              <w:jc w:val="center"/>
              <w:rPr>
                <w:lang w:val="en-GB"/>
              </w:rPr>
            </w:pPr>
            <w:r>
              <w:rPr>
                <w:lang w:val="en-GB"/>
              </w:rPr>
              <w:t>0.5</w:t>
            </w:r>
          </w:p>
        </w:tc>
        <w:tc>
          <w:tcPr>
            <w:tcW w:w="3259" w:type="dxa"/>
            <w:tcBorders>
              <w:top w:val="single" w:sz="4" w:space="0" w:color="000000"/>
              <w:left w:val="single" w:sz="4" w:space="0" w:color="000000"/>
              <w:bottom w:val="single" w:sz="4" w:space="0" w:color="000000"/>
              <w:right w:val="single" w:sz="4" w:space="0" w:color="000000"/>
            </w:tcBorders>
            <w:hideMark/>
          </w:tcPr>
          <w:p w14:paraId="66B32D48" w14:textId="77777777" w:rsidR="003623D5" w:rsidRDefault="003623D5">
            <w:pPr>
              <w:autoSpaceDE w:val="0"/>
              <w:autoSpaceDN w:val="0"/>
              <w:adjustRightInd w:val="0"/>
              <w:jc w:val="center"/>
              <w:rPr>
                <w:lang w:val="en-GB"/>
              </w:rPr>
            </w:pPr>
            <w:r>
              <w:rPr>
                <w:lang w:val="en-GB"/>
              </w:rPr>
              <w:t>0.5</w:t>
            </w:r>
          </w:p>
        </w:tc>
      </w:tr>
      <w:tr w:rsidR="003623D5" w14:paraId="2DA455DF" w14:textId="77777777" w:rsidTr="003623D5">
        <w:tc>
          <w:tcPr>
            <w:tcW w:w="3259" w:type="dxa"/>
            <w:tcBorders>
              <w:top w:val="single" w:sz="4" w:space="0" w:color="000000"/>
              <w:left w:val="single" w:sz="4" w:space="0" w:color="000000"/>
              <w:bottom w:val="single" w:sz="4" w:space="0" w:color="000000"/>
              <w:right w:val="single" w:sz="4" w:space="0" w:color="000000"/>
            </w:tcBorders>
            <w:hideMark/>
          </w:tcPr>
          <w:p w14:paraId="72FF5303" w14:textId="77777777" w:rsidR="003623D5" w:rsidRDefault="003623D5">
            <w:pPr>
              <w:autoSpaceDE w:val="0"/>
              <w:autoSpaceDN w:val="0"/>
              <w:adjustRightInd w:val="0"/>
              <w:rPr>
                <w:i/>
                <w:iCs/>
                <w:lang w:val="en-GB"/>
              </w:rPr>
            </w:pPr>
            <w:r>
              <w:rPr>
                <w:i/>
                <w:iCs/>
                <w:lang w:val="en-GB"/>
              </w:rPr>
              <w:t>Bacillus spp.</w:t>
            </w:r>
          </w:p>
        </w:tc>
        <w:tc>
          <w:tcPr>
            <w:tcW w:w="3259" w:type="dxa"/>
            <w:tcBorders>
              <w:top w:val="single" w:sz="4" w:space="0" w:color="000000"/>
              <w:left w:val="single" w:sz="4" w:space="0" w:color="000000"/>
              <w:bottom w:val="single" w:sz="4" w:space="0" w:color="000000"/>
              <w:right w:val="single" w:sz="4" w:space="0" w:color="000000"/>
            </w:tcBorders>
            <w:hideMark/>
          </w:tcPr>
          <w:p w14:paraId="482096FF" w14:textId="77777777" w:rsidR="003623D5" w:rsidRDefault="003623D5">
            <w:pPr>
              <w:autoSpaceDE w:val="0"/>
              <w:autoSpaceDN w:val="0"/>
              <w:adjustRightInd w:val="0"/>
              <w:jc w:val="center"/>
              <w:rPr>
                <w:lang w:val="en-GB"/>
              </w:rPr>
            </w:pPr>
            <w:r>
              <w:rPr>
                <w:lang w:val="en-GB"/>
              </w:rPr>
              <w:t>0.5</w:t>
            </w:r>
          </w:p>
        </w:tc>
        <w:tc>
          <w:tcPr>
            <w:tcW w:w="3259" w:type="dxa"/>
            <w:tcBorders>
              <w:top w:val="single" w:sz="4" w:space="0" w:color="000000"/>
              <w:left w:val="single" w:sz="4" w:space="0" w:color="000000"/>
              <w:bottom w:val="single" w:sz="4" w:space="0" w:color="000000"/>
              <w:right w:val="single" w:sz="4" w:space="0" w:color="000000"/>
            </w:tcBorders>
            <w:hideMark/>
          </w:tcPr>
          <w:p w14:paraId="254D9D9D" w14:textId="77777777" w:rsidR="003623D5" w:rsidRDefault="003623D5">
            <w:pPr>
              <w:autoSpaceDE w:val="0"/>
              <w:autoSpaceDN w:val="0"/>
              <w:adjustRightInd w:val="0"/>
              <w:jc w:val="center"/>
              <w:rPr>
                <w:lang w:val="en-GB"/>
              </w:rPr>
            </w:pPr>
            <w:r>
              <w:rPr>
                <w:lang w:val="en-GB"/>
              </w:rPr>
              <w:t>0.5</w:t>
            </w:r>
          </w:p>
        </w:tc>
      </w:tr>
    </w:tbl>
    <w:p w14:paraId="147F0A94" w14:textId="77777777" w:rsidR="003623D5" w:rsidRDefault="003623D5" w:rsidP="003623D5">
      <w:pPr>
        <w:rPr>
          <w:sz w:val="22"/>
          <w:szCs w:val="22"/>
          <w:lang w:eastAsia="fr-LU"/>
        </w:rPr>
      </w:pPr>
    </w:p>
    <w:p w14:paraId="68C59CF1" w14:textId="77777777" w:rsidR="003623D5" w:rsidRDefault="003623D5" w:rsidP="003623D5">
      <w:pPr>
        <w:rPr>
          <w:sz w:val="24"/>
          <w:szCs w:val="24"/>
          <w:lang w:val="en-US"/>
        </w:rPr>
      </w:pPr>
      <w:r>
        <w:rPr>
          <w:sz w:val="24"/>
          <w:szCs w:val="24"/>
          <w:lang w:val="en-US"/>
        </w:rPr>
        <w:t xml:space="preserve">EUCAST: European Committee on Antimicrobial Susceptibility Testing. </w:t>
      </w:r>
    </w:p>
    <w:p w14:paraId="0022A6D7" w14:textId="77777777" w:rsidR="003623D5" w:rsidRDefault="003623D5" w:rsidP="003623D5">
      <w:pPr>
        <w:tabs>
          <w:tab w:val="right" w:pos="8931"/>
        </w:tabs>
        <w:rPr>
          <w:sz w:val="24"/>
          <w:szCs w:val="24"/>
        </w:rPr>
      </w:pPr>
      <w:r>
        <w:rPr>
          <w:sz w:val="24"/>
          <w:szCs w:val="24"/>
        </w:rPr>
        <w:t>MIC: Mindste hæmmende koncentration.</w:t>
      </w:r>
    </w:p>
    <w:p w14:paraId="4C673F0D" w14:textId="77777777" w:rsidR="003623D5" w:rsidRDefault="003623D5" w:rsidP="003623D5">
      <w:pPr>
        <w:rPr>
          <w:sz w:val="22"/>
          <w:szCs w:val="22"/>
        </w:rPr>
      </w:pPr>
    </w:p>
    <w:p w14:paraId="2FEAB15D" w14:textId="77777777" w:rsidR="003623D5" w:rsidRDefault="003623D5" w:rsidP="003623D5">
      <w:pPr>
        <w:autoSpaceDE w:val="0"/>
        <w:autoSpaceDN w:val="0"/>
        <w:adjustRightInd w:val="0"/>
        <w:jc w:val="both"/>
        <w:rPr>
          <w:bCs/>
          <w:i/>
          <w:iCs/>
          <w:sz w:val="18"/>
        </w:rPr>
      </w:pPr>
      <w:r>
        <w:rPr>
          <w:bCs/>
          <w:i/>
          <w:iCs/>
          <w:sz w:val="18"/>
          <w:vertAlign w:val="superscript"/>
        </w:rPr>
        <w:t xml:space="preserve">1 </w:t>
      </w:r>
      <w:r>
        <w:rPr>
          <w:bCs/>
          <w:i/>
          <w:iCs/>
          <w:sz w:val="18"/>
        </w:rPr>
        <w:t>Erythromycin kan anvendes til at screene for makrolidresistens hos stafylokokker. Isolater, der kategoriseres som følsomme, kan rapporteres følsomme for azithromycin, clarithromycin og roxithromycin. Isolater, der kategoriseres som resistente, bør testes for følsomhed over for individuelle bakterier eller rapporteres resistente.</w:t>
      </w:r>
    </w:p>
    <w:p w14:paraId="59A30444" w14:textId="77777777" w:rsidR="003623D5" w:rsidRDefault="003623D5" w:rsidP="003623D5">
      <w:pPr>
        <w:autoSpaceDE w:val="0"/>
        <w:autoSpaceDN w:val="0"/>
        <w:adjustRightInd w:val="0"/>
        <w:jc w:val="both"/>
        <w:rPr>
          <w:bCs/>
          <w:i/>
          <w:iCs/>
          <w:sz w:val="18"/>
        </w:rPr>
      </w:pPr>
      <w:r>
        <w:rPr>
          <w:bCs/>
          <w:i/>
          <w:iCs/>
          <w:sz w:val="18"/>
          <w:vertAlign w:val="superscript"/>
        </w:rPr>
        <w:t xml:space="preserve">2 </w:t>
      </w:r>
      <w:r>
        <w:rPr>
          <w:bCs/>
          <w:i/>
          <w:iCs/>
          <w:sz w:val="18"/>
        </w:rPr>
        <w:t xml:space="preserve"> Erythromycin kan anvendes til screening for makrolidresistens i streptokokker gruppe A, B, C og G. Isolater, der kategoriseres som følsomme, kan rapporteres følsomme for azithromycin, clarithromycin og roxithromycin. Isolater, der kategoriseres som resistente, bør testes for følsomhed over for individuelle bakterier eller rapporteres resistente.</w:t>
      </w:r>
    </w:p>
    <w:p w14:paraId="5DE7897B" w14:textId="77777777" w:rsidR="003623D5" w:rsidRDefault="003623D5" w:rsidP="003623D5">
      <w:pPr>
        <w:autoSpaceDE w:val="0"/>
        <w:autoSpaceDN w:val="0"/>
        <w:adjustRightInd w:val="0"/>
        <w:jc w:val="both"/>
        <w:rPr>
          <w:bCs/>
          <w:i/>
          <w:iCs/>
          <w:sz w:val="18"/>
        </w:rPr>
      </w:pPr>
      <w:r>
        <w:rPr>
          <w:bCs/>
          <w:i/>
          <w:iCs/>
          <w:sz w:val="18"/>
          <w:vertAlign w:val="superscript"/>
        </w:rPr>
        <w:t>3</w:t>
      </w:r>
      <w:r>
        <w:rPr>
          <w:bCs/>
          <w:i/>
          <w:iCs/>
          <w:sz w:val="18"/>
        </w:rPr>
        <w:t xml:space="preserve"> Erythromycin kan anvendes til at screene for makrolidresistens i Streptococcus pneumoniae. Isolater, der kategoriseres som følsomme, kan rapporteres følsomme for azithromycin, clarithromycin og roxithromycin. Isolater, der kategoriseres som resistente, bør testes for følsomhed over for individuelle bakterier eller rapporteres resistente.</w:t>
      </w:r>
    </w:p>
    <w:p w14:paraId="1692194A" w14:textId="77777777" w:rsidR="003623D5" w:rsidRDefault="003623D5" w:rsidP="003623D5">
      <w:pPr>
        <w:autoSpaceDE w:val="0"/>
        <w:autoSpaceDN w:val="0"/>
        <w:adjustRightInd w:val="0"/>
        <w:jc w:val="both"/>
        <w:rPr>
          <w:bCs/>
          <w:i/>
          <w:iCs/>
          <w:sz w:val="18"/>
        </w:rPr>
      </w:pPr>
      <w:r>
        <w:rPr>
          <w:bCs/>
          <w:i/>
          <w:iCs/>
          <w:sz w:val="18"/>
          <w:vertAlign w:val="superscript"/>
        </w:rPr>
        <w:t>4</w:t>
      </w:r>
      <w:r>
        <w:rPr>
          <w:bCs/>
          <w:i/>
          <w:iCs/>
          <w:sz w:val="18"/>
        </w:rPr>
        <w:t xml:space="preserve"> Klinisk dokumentation for effekten af makrolider i H. influenzae luftvejsinfektioner er modstridende på grund af høje spontane helbredelsesrater. Hvis der er behov for at teste makrolid mod denne art, bør de epidemiologiske cut-offs (ECOFF'er) anvendes til at påvise stammer med erhvervet resistens. ECOFFs for erythromycin er 16 mg / L.</w:t>
      </w:r>
    </w:p>
    <w:p w14:paraId="7DE0EB0B" w14:textId="77777777" w:rsidR="003623D5" w:rsidRDefault="003623D5" w:rsidP="003623D5">
      <w:pPr>
        <w:autoSpaceDE w:val="0"/>
        <w:autoSpaceDN w:val="0"/>
        <w:adjustRightInd w:val="0"/>
        <w:jc w:val="both"/>
        <w:rPr>
          <w:bCs/>
          <w:i/>
          <w:iCs/>
          <w:sz w:val="18"/>
        </w:rPr>
      </w:pPr>
      <w:r>
        <w:rPr>
          <w:bCs/>
          <w:i/>
          <w:iCs/>
          <w:sz w:val="18"/>
          <w:vertAlign w:val="superscript"/>
        </w:rPr>
        <w:t>5</w:t>
      </w:r>
      <w:r>
        <w:rPr>
          <w:bCs/>
          <w:i/>
          <w:iCs/>
          <w:sz w:val="18"/>
        </w:rPr>
        <w:t xml:space="preserve"> Følsomhed over for azithromycin og clarithromycin kan udledes af erythromycin.</w:t>
      </w:r>
    </w:p>
    <w:p w14:paraId="38A609EB" w14:textId="77777777" w:rsidR="003623D5" w:rsidRPr="00BB22E1" w:rsidRDefault="003623D5" w:rsidP="00BB22E1">
      <w:pPr>
        <w:autoSpaceDE w:val="0"/>
        <w:autoSpaceDN w:val="0"/>
        <w:adjustRightInd w:val="0"/>
        <w:ind w:left="851"/>
        <w:jc w:val="both"/>
        <w:rPr>
          <w:sz w:val="24"/>
          <w:szCs w:val="24"/>
        </w:rPr>
      </w:pPr>
    </w:p>
    <w:p w14:paraId="54D75F33" w14:textId="77777777" w:rsidR="003623D5" w:rsidRPr="00BB22E1" w:rsidRDefault="003623D5" w:rsidP="00BB22E1">
      <w:pPr>
        <w:suppressAutoHyphens/>
        <w:ind w:left="851"/>
        <w:rPr>
          <w:sz w:val="24"/>
          <w:szCs w:val="24"/>
        </w:rPr>
      </w:pPr>
      <w:r w:rsidRPr="00BB22E1">
        <w:rPr>
          <w:sz w:val="24"/>
          <w:szCs w:val="24"/>
        </w:rPr>
        <w:t>Prævalensen af erhvervet resistens kan variere geografisk og tidsmæssigt for udvalgte arter, og lokale oplysninger om resistens er ønskelige, især ved behandling af svære infektioner. Om nødvendigt bør der søges ekspertrådgivning, når den lokale forekomst af resistens er kendt og af en sådan karakter, at der er tvivl om nytten af midlet ved visse infektionstyper.</w:t>
      </w:r>
    </w:p>
    <w:p w14:paraId="656C17C5" w14:textId="77777777" w:rsidR="003623D5" w:rsidRPr="00BB22E1" w:rsidRDefault="003623D5" w:rsidP="00BB22E1">
      <w:pPr>
        <w:ind w:left="851"/>
        <w:rPr>
          <w:sz w:val="24"/>
          <w:szCs w:val="24"/>
        </w:rPr>
      </w:pPr>
    </w:p>
    <w:p w14:paraId="7ED8BE26" w14:textId="1E643CF8" w:rsidR="003623D5" w:rsidRPr="00BB22E1" w:rsidRDefault="003623D5" w:rsidP="00BB22E1">
      <w:pPr>
        <w:suppressAutoHyphens/>
        <w:ind w:left="851"/>
        <w:rPr>
          <w:b/>
          <w:sz w:val="24"/>
          <w:szCs w:val="24"/>
          <w:u w:val="single"/>
        </w:rPr>
      </w:pPr>
      <w:r w:rsidRPr="00BB22E1">
        <w:rPr>
          <w:b/>
          <w:sz w:val="24"/>
          <w:szCs w:val="24"/>
          <w:u w:val="single"/>
        </w:rPr>
        <w:t>Almindeligt følsomme arter</w:t>
      </w:r>
    </w:p>
    <w:p w14:paraId="5C03B2FC" w14:textId="77777777" w:rsidR="003623D5" w:rsidRPr="00BB22E1" w:rsidRDefault="003623D5" w:rsidP="00BB22E1">
      <w:pPr>
        <w:suppressAutoHyphens/>
        <w:ind w:left="851"/>
        <w:rPr>
          <w:b/>
          <w:sz w:val="24"/>
          <w:szCs w:val="24"/>
        </w:rPr>
      </w:pPr>
    </w:p>
    <w:p w14:paraId="14F65F11" w14:textId="77777777" w:rsidR="003623D5" w:rsidRPr="00BB22E1" w:rsidRDefault="003623D5" w:rsidP="00BB22E1">
      <w:pPr>
        <w:suppressAutoHyphens/>
        <w:ind w:left="851"/>
        <w:rPr>
          <w:b/>
          <w:sz w:val="24"/>
          <w:szCs w:val="24"/>
        </w:rPr>
      </w:pPr>
      <w:r w:rsidRPr="00BB22E1">
        <w:rPr>
          <w:b/>
          <w:sz w:val="24"/>
          <w:szCs w:val="24"/>
        </w:rPr>
        <w:t>Gram-positive aerobe bakterier</w:t>
      </w:r>
    </w:p>
    <w:p w14:paraId="4AA9C9C5" w14:textId="77777777" w:rsidR="003623D5" w:rsidRPr="00BB22E1" w:rsidRDefault="003623D5" w:rsidP="00BB22E1">
      <w:pPr>
        <w:autoSpaceDE w:val="0"/>
        <w:autoSpaceDN w:val="0"/>
        <w:adjustRightInd w:val="0"/>
        <w:ind w:left="851"/>
        <w:rPr>
          <w:i/>
          <w:sz w:val="24"/>
          <w:szCs w:val="24"/>
          <w:lang w:val="en-GB"/>
        </w:rPr>
      </w:pPr>
      <w:r w:rsidRPr="00BB22E1">
        <w:rPr>
          <w:i/>
          <w:sz w:val="24"/>
          <w:szCs w:val="24"/>
          <w:lang w:val="en-GB"/>
        </w:rPr>
        <w:t xml:space="preserve">Corynebacterium diphtheriae </w:t>
      </w:r>
    </w:p>
    <w:p w14:paraId="6EAE660D" w14:textId="77777777" w:rsidR="003623D5" w:rsidRPr="00BB22E1" w:rsidRDefault="003623D5" w:rsidP="00BB22E1">
      <w:pPr>
        <w:autoSpaceDE w:val="0"/>
        <w:autoSpaceDN w:val="0"/>
        <w:adjustRightInd w:val="0"/>
        <w:ind w:left="851"/>
        <w:rPr>
          <w:i/>
          <w:sz w:val="24"/>
          <w:szCs w:val="24"/>
          <w:lang w:val="en-GB"/>
        </w:rPr>
      </w:pPr>
      <w:r w:rsidRPr="00BB22E1">
        <w:rPr>
          <w:i/>
          <w:sz w:val="24"/>
          <w:szCs w:val="24"/>
          <w:lang w:val="en-GB"/>
        </w:rPr>
        <w:t xml:space="preserve">Corynebacterium minutissimum </w:t>
      </w:r>
    </w:p>
    <w:p w14:paraId="338DF89C" w14:textId="77777777" w:rsidR="003623D5" w:rsidRPr="00BB22E1" w:rsidRDefault="003623D5" w:rsidP="00BB22E1">
      <w:pPr>
        <w:autoSpaceDE w:val="0"/>
        <w:autoSpaceDN w:val="0"/>
        <w:adjustRightInd w:val="0"/>
        <w:ind w:left="851"/>
        <w:rPr>
          <w:sz w:val="24"/>
          <w:szCs w:val="24"/>
          <w:lang w:val="en-GB"/>
        </w:rPr>
      </w:pPr>
      <w:r w:rsidRPr="00BB22E1">
        <w:rPr>
          <w:i/>
          <w:sz w:val="24"/>
          <w:szCs w:val="24"/>
          <w:lang w:val="en-GB"/>
        </w:rPr>
        <w:t>Streptococcus pyogenes</w:t>
      </w:r>
      <w:r w:rsidRPr="00BB22E1">
        <w:rPr>
          <w:sz w:val="24"/>
          <w:szCs w:val="24"/>
          <w:lang w:val="en-GB"/>
        </w:rPr>
        <w:t xml:space="preserve"> </w:t>
      </w:r>
    </w:p>
    <w:p w14:paraId="6887441F" w14:textId="77777777" w:rsidR="003623D5" w:rsidRPr="00BB22E1" w:rsidRDefault="003623D5" w:rsidP="00BB22E1">
      <w:pPr>
        <w:suppressAutoHyphens/>
        <w:ind w:left="851"/>
        <w:rPr>
          <w:b/>
          <w:sz w:val="24"/>
          <w:szCs w:val="24"/>
          <w:lang w:val="en-US"/>
        </w:rPr>
      </w:pPr>
    </w:p>
    <w:p w14:paraId="284D5618" w14:textId="77777777" w:rsidR="003623D5" w:rsidRPr="00BB22E1" w:rsidRDefault="003623D5" w:rsidP="00BB22E1">
      <w:pPr>
        <w:suppressAutoHyphens/>
        <w:ind w:left="851"/>
        <w:rPr>
          <w:b/>
          <w:sz w:val="24"/>
          <w:szCs w:val="24"/>
          <w:lang w:val="en-US"/>
        </w:rPr>
      </w:pPr>
      <w:r w:rsidRPr="00BB22E1">
        <w:rPr>
          <w:b/>
          <w:sz w:val="24"/>
          <w:szCs w:val="24"/>
          <w:lang w:val="en-US"/>
        </w:rPr>
        <w:t>Gram-negative aerobe bakterier</w:t>
      </w:r>
    </w:p>
    <w:p w14:paraId="39ECA1B9" w14:textId="77777777" w:rsidR="003623D5" w:rsidRPr="00BB22E1" w:rsidRDefault="003623D5" w:rsidP="00BB22E1">
      <w:pPr>
        <w:autoSpaceDE w:val="0"/>
        <w:autoSpaceDN w:val="0"/>
        <w:adjustRightInd w:val="0"/>
        <w:ind w:left="851"/>
        <w:rPr>
          <w:i/>
          <w:sz w:val="24"/>
          <w:szCs w:val="24"/>
          <w:lang w:val="en-GB"/>
        </w:rPr>
      </w:pPr>
      <w:r w:rsidRPr="00BB22E1">
        <w:rPr>
          <w:i/>
          <w:sz w:val="24"/>
          <w:szCs w:val="24"/>
          <w:lang w:val="en-GB"/>
        </w:rPr>
        <w:t xml:space="preserve">Bordetella pertussis </w:t>
      </w:r>
    </w:p>
    <w:p w14:paraId="4605093A" w14:textId="77777777" w:rsidR="003623D5" w:rsidRPr="00BB22E1" w:rsidRDefault="003623D5" w:rsidP="00BB22E1">
      <w:pPr>
        <w:autoSpaceDE w:val="0"/>
        <w:autoSpaceDN w:val="0"/>
        <w:adjustRightInd w:val="0"/>
        <w:ind w:left="851"/>
        <w:rPr>
          <w:i/>
          <w:sz w:val="24"/>
          <w:szCs w:val="24"/>
          <w:lang w:val="en-GB"/>
        </w:rPr>
      </w:pPr>
      <w:r w:rsidRPr="00BB22E1">
        <w:rPr>
          <w:i/>
          <w:sz w:val="24"/>
          <w:szCs w:val="24"/>
          <w:lang w:val="en-GB"/>
        </w:rPr>
        <w:t xml:space="preserve">Campylobacter jejuni </w:t>
      </w:r>
    </w:p>
    <w:p w14:paraId="4A3FD9CD" w14:textId="77777777" w:rsidR="003623D5" w:rsidRPr="00BB22E1" w:rsidRDefault="003623D5" w:rsidP="00BB22E1">
      <w:pPr>
        <w:autoSpaceDE w:val="0"/>
        <w:autoSpaceDN w:val="0"/>
        <w:adjustRightInd w:val="0"/>
        <w:ind w:left="851"/>
        <w:rPr>
          <w:i/>
          <w:sz w:val="24"/>
          <w:szCs w:val="24"/>
          <w:lang w:val="en-GB"/>
        </w:rPr>
      </w:pPr>
      <w:r w:rsidRPr="00BB22E1">
        <w:rPr>
          <w:i/>
          <w:sz w:val="24"/>
          <w:szCs w:val="24"/>
          <w:lang w:val="en-GB"/>
        </w:rPr>
        <w:t xml:space="preserve">Moraxella catarrhalis </w:t>
      </w:r>
    </w:p>
    <w:p w14:paraId="0E935E40" w14:textId="77777777" w:rsidR="003623D5" w:rsidRPr="00BB22E1" w:rsidRDefault="003623D5" w:rsidP="00BB22E1">
      <w:pPr>
        <w:autoSpaceDE w:val="0"/>
        <w:autoSpaceDN w:val="0"/>
        <w:adjustRightInd w:val="0"/>
        <w:ind w:left="851"/>
        <w:rPr>
          <w:i/>
          <w:sz w:val="24"/>
          <w:szCs w:val="24"/>
          <w:lang w:val="en-GB"/>
        </w:rPr>
      </w:pPr>
    </w:p>
    <w:p w14:paraId="46936962" w14:textId="77777777" w:rsidR="003623D5" w:rsidRPr="00BB22E1" w:rsidRDefault="003623D5" w:rsidP="00BB22E1">
      <w:pPr>
        <w:autoSpaceDE w:val="0"/>
        <w:autoSpaceDN w:val="0"/>
        <w:adjustRightInd w:val="0"/>
        <w:ind w:left="851"/>
        <w:rPr>
          <w:b/>
          <w:bCs/>
          <w:iCs/>
          <w:sz w:val="24"/>
          <w:szCs w:val="24"/>
          <w:lang w:val="en-GB"/>
        </w:rPr>
      </w:pPr>
      <w:r w:rsidRPr="00BB22E1">
        <w:rPr>
          <w:b/>
          <w:bCs/>
          <w:iCs/>
          <w:sz w:val="24"/>
          <w:szCs w:val="24"/>
          <w:lang w:val="en-GB"/>
        </w:rPr>
        <w:t>Øvrige bakterier</w:t>
      </w:r>
    </w:p>
    <w:p w14:paraId="203EADEB" w14:textId="77777777" w:rsidR="003623D5" w:rsidRPr="00BB22E1" w:rsidRDefault="003623D5" w:rsidP="00BB22E1">
      <w:pPr>
        <w:autoSpaceDE w:val="0"/>
        <w:autoSpaceDN w:val="0"/>
        <w:adjustRightInd w:val="0"/>
        <w:ind w:left="851"/>
        <w:rPr>
          <w:i/>
          <w:sz w:val="24"/>
          <w:szCs w:val="24"/>
          <w:lang w:val="en-GB"/>
        </w:rPr>
      </w:pPr>
      <w:r w:rsidRPr="00BB22E1">
        <w:rPr>
          <w:i/>
          <w:sz w:val="24"/>
          <w:szCs w:val="24"/>
          <w:lang w:val="en-GB"/>
        </w:rPr>
        <w:t xml:space="preserve">Chlamydia trachomatis </w:t>
      </w:r>
    </w:p>
    <w:p w14:paraId="1FA2D7A1" w14:textId="77777777" w:rsidR="003623D5" w:rsidRPr="00BB22E1" w:rsidRDefault="003623D5" w:rsidP="00BB22E1">
      <w:pPr>
        <w:autoSpaceDE w:val="0"/>
        <w:autoSpaceDN w:val="0"/>
        <w:adjustRightInd w:val="0"/>
        <w:ind w:left="851"/>
        <w:rPr>
          <w:i/>
          <w:sz w:val="24"/>
          <w:szCs w:val="24"/>
          <w:lang w:val="en-GB"/>
        </w:rPr>
      </w:pPr>
      <w:r w:rsidRPr="00BB22E1">
        <w:rPr>
          <w:i/>
          <w:sz w:val="24"/>
          <w:szCs w:val="24"/>
          <w:lang w:val="en-GB"/>
        </w:rPr>
        <w:t xml:space="preserve">Chlamydia pneumoniae </w:t>
      </w:r>
    </w:p>
    <w:p w14:paraId="45370B5D" w14:textId="77777777" w:rsidR="003623D5" w:rsidRPr="00BB22E1" w:rsidRDefault="003623D5" w:rsidP="00BB22E1">
      <w:pPr>
        <w:autoSpaceDE w:val="0"/>
        <w:autoSpaceDN w:val="0"/>
        <w:adjustRightInd w:val="0"/>
        <w:ind w:left="851"/>
        <w:rPr>
          <w:i/>
          <w:sz w:val="24"/>
          <w:szCs w:val="24"/>
          <w:lang w:val="en-GB"/>
        </w:rPr>
      </w:pPr>
      <w:r w:rsidRPr="00BB22E1">
        <w:rPr>
          <w:i/>
          <w:sz w:val="24"/>
          <w:szCs w:val="24"/>
          <w:lang w:val="en-GB"/>
        </w:rPr>
        <w:t>Chlamydia psittaci</w:t>
      </w:r>
    </w:p>
    <w:p w14:paraId="6BBBBA63" w14:textId="77777777" w:rsidR="003623D5" w:rsidRPr="00BB22E1" w:rsidRDefault="003623D5" w:rsidP="00BB22E1">
      <w:pPr>
        <w:autoSpaceDE w:val="0"/>
        <w:autoSpaceDN w:val="0"/>
        <w:adjustRightInd w:val="0"/>
        <w:ind w:left="851"/>
        <w:rPr>
          <w:i/>
          <w:sz w:val="24"/>
          <w:szCs w:val="24"/>
        </w:rPr>
      </w:pPr>
      <w:r w:rsidRPr="00BB22E1">
        <w:rPr>
          <w:i/>
          <w:sz w:val="24"/>
          <w:szCs w:val="24"/>
        </w:rPr>
        <w:t xml:space="preserve">Legionella pneumophila </w:t>
      </w:r>
    </w:p>
    <w:p w14:paraId="1BEA4C5F" w14:textId="77777777" w:rsidR="003623D5" w:rsidRPr="00BB22E1" w:rsidRDefault="003623D5" w:rsidP="00BB22E1">
      <w:pPr>
        <w:autoSpaceDE w:val="0"/>
        <w:autoSpaceDN w:val="0"/>
        <w:adjustRightInd w:val="0"/>
        <w:ind w:left="851"/>
        <w:rPr>
          <w:i/>
          <w:sz w:val="24"/>
          <w:szCs w:val="24"/>
        </w:rPr>
      </w:pPr>
      <w:r w:rsidRPr="00BB22E1">
        <w:rPr>
          <w:i/>
          <w:sz w:val="24"/>
          <w:szCs w:val="24"/>
        </w:rPr>
        <w:t xml:space="preserve">Mycoplasma pneumoniae </w:t>
      </w:r>
    </w:p>
    <w:p w14:paraId="06809B47" w14:textId="77777777" w:rsidR="003623D5" w:rsidRPr="00BB22E1" w:rsidRDefault="003623D5" w:rsidP="00BB22E1">
      <w:pPr>
        <w:suppressAutoHyphens/>
        <w:ind w:left="851"/>
        <w:rPr>
          <w:b/>
          <w:sz w:val="24"/>
          <w:szCs w:val="24"/>
        </w:rPr>
      </w:pPr>
    </w:p>
    <w:p w14:paraId="0ED1A034" w14:textId="0683C393" w:rsidR="003623D5" w:rsidRPr="00BB22E1" w:rsidRDefault="003623D5" w:rsidP="00BB22E1">
      <w:pPr>
        <w:suppressAutoHyphens/>
        <w:ind w:left="851"/>
        <w:rPr>
          <w:b/>
          <w:sz w:val="24"/>
          <w:szCs w:val="24"/>
          <w:u w:val="single"/>
        </w:rPr>
      </w:pPr>
      <w:r w:rsidRPr="00BB22E1">
        <w:rPr>
          <w:b/>
          <w:sz w:val="24"/>
          <w:szCs w:val="24"/>
          <w:u w:val="single"/>
        </w:rPr>
        <w:t>Arter, hvor erhvervet resistens kan være et problem</w:t>
      </w:r>
    </w:p>
    <w:p w14:paraId="1AFBA137" w14:textId="77777777" w:rsidR="003623D5" w:rsidRPr="00BB22E1" w:rsidRDefault="003623D5" w:rsidP="00BB22E1">
      <w:pPr>
        <w:suppressAutoHyphens/>
        <w:ind w:left="851"/>
        <w:rPr>
          <w:b/>
          <w:sz w:val="24"/>
          <w:szCs w:val="24"/>
          <w:u w:val="single"/>
        </w:rPr>
      </w:pPr>
    </w:p>
    <w:p w14:paraId="426488E8" w14:textId="77777777" w:rsidR="003623D5" w:rsidRPr="00BB22E1" w:rsidRDefault="003623D5" w:rsidP="00BB22E1">
      <w:pPr>
        <w:suppressAutoHyphens/>
        <w:ind w:left="851"/>
        <w:rPr>
          <w:b/>
          <w:sz w:val="24"/>
          <w:szCs w:val="24"/>
          <w:lang w:val="en-US"/>
        </w:rPr>
      </w:pPr>
      <w:r w:rsidRPr="00BB22E1">
        <w:rPr>
          <w:b/>
          <w:sz w:val="24"/>
          <w:szCs w:val="24"/>
          <w:lang w:val="en-US"/>
        </w:rPr>
        <w:t>Gram-positive aerobe bakterier</w:t>
      </w:r>
    </w:p>
    <w:p w14:paraId="25E50287" w14:textId="77777777" w:rsidR="003623D5" w:rsidRPr="00BB22E1" w:rsidRDefault="003623D5" w:rsidP="00BB22E1">
      <w:pPr>
        <w:autoSpaceDE w:val="0"/>
        <w:autoSpaceDN w:val="0"/>
        <w:adjustRightInd w:val="0"/>
        <w:ind w:left="851"/>
        <w:rPr>
          <w:i/>
          <w:sz w:val="24"/>
          <w:szCs w:val="24"/>
          <w:lang w:val="en-GB"/>
        </w:rPr>
      </w:pPr>
      <w:r w:rsidRPr="00BB22E1">
        <w:rPr>
          <w:i/>
          <w:iCs/>
          <w:sz w:val="24"/>
          <w:szCs w:val="24"/>
          <w:lang w:val="en-GB"/>
        </w:rPr>
        <w:t xml:space="preserve">Staphylococcus aureus </w:t>
      </w:r>
      <w:r w:rsidRPr="00BB22E1">
        <w:rPr>
          <w:i/>
          <w:sz w:val="24"/>
          <w:szCs w:val="24"/>
          <w:lang w:val="en-GB"/>
        </w:rPr>
        <w:t xml:space="preserve">(Methicillin-susceptible) </w:t>
      </w:r>
    </w:p>
    <w:p w14:paraId="5D9EAB24" w14:textId="77777777" w:rsidR="003623D5" w:rsidRPr="00BB22E1" w:rsidRDefault="003623D5" w:rsidP="00BB22E1">
      <w:pPr>
        <w:autoSpaceDE w:val="0"/>
        <w:autoSpaceDN w:val="0"/>
        <w:adjustRightInd w:val="0"/>
        <w:ind w:left="851"/>
        <w:rPr>
          <w:i/>
          <w:sz w:val="24"/>
          <w:szCs w:val="24"/>
          <w:lang w:val="en-GB"/>
        </w:rPr>
      </w:pPr>
      <w:r w:rsidRPr="00BB22E1">
        <w:rPr>
          <w:i/>
          <w:sz w:val="24"/>
          <w:szCs w:val="24"/>
          <w:lang w:val="en-GB"/>
        </w:rPr>
        <w:t xml:space="preserve">Streptococcus pneumoniae </w:t>
      </w:r>
    </w:p>
    <w:p w14:paraId="2B186377" w14:textId="77777777" w:rsidR="003623D5" w:rsidRPr="00BB22E1" w:rsidRDefault="003623D5" w:rsidP="00BB22E1">
      <w:pPr>
        <w:autoSpaceDE w:val="0"/>
        <w:autoSpaceDN w:val="0"/>
        <w:adjustRightInd w:val="0"/>
        <w:ind w:left="851"/>
        <w:rPr>
          <w:i/>
          <w:sz w:val="24"/>
          <w:szCs w:val="24"/>
          <w:lang w:val="en-GB"/>
        </w:rPr>
      </w:pPr>
    </w:p>
    <w:p w14:paraId="61AC8879" w14:textId="77777777" w:rsidR="003623D5" w:rsidRPr="00BB22E1" w:rsidRDefault="003623D5" w:rsidP="00BB22E1">
      <w:pPr>
        <w:suppressAutoHyphens/>
        <w:ind w:left="851"/>
        <w:rPr>
          <w:b/>
          <w:sz w:val="24"/>
          <w:szCs w:val="24"/>
          <w:lang w:val="en-US"/>
        </w:rPr>
      </w:pPr>
      <w:r w:rsidRPr="00BB22E1">
        <w:rPr>
          <w:b/>
          <w:sz w:val="24"/>
          <w:szCs w:val="24"/>
          <w:lang w:val="en-US"/>
        </w:rPr>
        <w:t>Gram-negative aerobe bakterier</w:t>
      </w:r>
    </w:p>
    <w:p w14:paraId="32FC654C" w14:textId="77777777" w:rsidR="003623D5" w:rsidRPr="00BB22E1" w:rsidRDefault="003623D5" w:rsidP="00BB22E1">
      <w:pPr>
        <w:autoSpaceDE w:val="0"/>
        <w:autoSpaceDN w:val="0"/>
        <w:adjustRightInd w:val="0"/>
        <w:ind w:left="851"/>
        <w:rPr>
          <w:i/>
          <w:sz w:val="24"/>
          <w:szCs w:val="24"/>
          <w:lang w:val="en-GB"/>
        </w:rPr>
      </w:pPr>
      <w:r w:rsidRPr="00BB22E1">
        <w:rPr>
          <w:i/>
          <w:sz w:val="24"/>
          <w:szCs w:val="24"/>
          <w:lang w:val="en-GB"/>
        </w:rPr>
        <w:t xml:space="preserve">Haemophilus influenzae </w:t>
      </w:r>
    </w:p>
    <w:p w14:paraId="17C6D833" w14:textId="77777777" w:rsidR="003623D5" w:rsidRPr="00BB22E1" w:rsidRDefault="003623D5" w:rsidP="00BB22E1">
      <w:pPr>
        <w:autoSpaceDE w:val="0"/>
        <w:autoSpaceDN w:val="0"/>
        <w:adjustRightInd w:val="0"/>
        <w:ind w:left="851"/>
        <w:rPr>
          <w:i/>
          <w:sz w:val="24"/>
          <w:szCs w:val="24"/>
          <w:lang w:val="en-GB"/>
        </w:rPr>
      </w:pPr>
    </w:p>
    <w:p w14:paraId="4260C9DC" w14:textId="77777777" w:rsidR="003623D5" w:rsidRPr="00BB22E1" w:rsidRDefault="003623D5" w:rsidP="00BB22E1">
      <w:pPr>
        <w:autoSpaceDE w:val="0"/>
        <w:autoSpaceDN w:val="0"/>
        <w:adjustRightInd w:val="0"/>
        <w:ind w:left="851"/>
        <w:rPr>
          <w:sz w:val="24"/>
          <w:szCs w:val="24"/>
        </w:rPr>
      </w:pPr>
      <w:r w:rsidRPr="00BB22E1">
        <w:rPr>
          <w:b/>
          <w:bCs/>
          <w:sz w:val="24"/>
          <w:szCs w:val="24"/>
        </w:rPr>
        <w:t xml:space="preserve">Øvrige bakterier </w:t>
      </w:r>
    </w:p>
    <w:p w14:paraId="162CD2A5" w14:textId="77777777" w:rsidR="003623D5" w:rsidRPr="00BB22E1" w:rsidRDefault="003623D5" w:rsidP="00BB22E1">
      <w:pPr>
        <w:autoSpaceDE w:val="0"/>
        <w:autoSpaceDN w:val="0"/>
        <w:adjustRightInd w:val="0"/>
        <w:ind w:left="851"/>
        <w:rPr>
          <w:sz w:val="24"/>
          <w:szCs w:val="24"/>
        </w:rPr>
      </w:pPr>
      <w:r w:rsidRPr="00BB22E1">
        <w:rPr>
          <w:i/>
          <w:sz w:val="24"/>
          <w:szCs w:val="24"/>
        </w:rPr>
        <w:t>Treponema pallidum</w:t>
      </w:r>
    </w:p>
    <w:p w14:paraId="5099AFA0" w14:textId="77777777" w:rsidR="003623D5" w:rsidRPr="00BB22E1" w:rsidRDefault="003623D5" w:rsidP="00BB22E1">
      <w:pPr>
        <w:suppressAutoHyphens/>
        <w:ind w:left="851"/>
        <w:rPr>
          <w:b/>
          <w:sz w:val="24"/>
          <w:szCs w:val="24"/>
        </w:rPr>
      </w:pPr>
    </w:p>
    <w:p w14:paraId="32F362FE" w14:textId="07F28AD7" w:rsidR="003623D5" w:rsidRPr="00BB22E1" w:rsidRDefault="003623D5" w:rsidP="00BB22E1">
      <w:pPr>
        <w:suppressAutoHyphens/>
        <w:ind w:left="851"/>
        <w:rPr>
          <w:b/>
          <w:sz w:val="24"/>
          <w:szCs w:val="24"/>
          <w:u w:val="single"/>
        </w:rPr>
      </w:pPr>
      <w:r w:rsidRPr="00BB22E1">
        <w:rPr>
          <w:b/>
          <w:sz w:val="24"/>
          <w:szCs w:val="24"/>
          <w:u w:val="single"/>
        </w:rPr>
        <w:t>Naturligt resistente arter</w:t>
      </w:r>
    </w:p>
    <w:p w14:paraId="3E298A42" w14:textId="77777777" w:rsidR="003623D5" w:rsidRPr="00BB22E1" w:rsidRDefault="003623D5" w:rsidP="00BB22E1">
      <w:pPr>
        <w:suppressAutoHyphens/>
        <w:ind w:left="851"/>
        <w:rPr>
          <w:b/>
          <w:sz w:val="24"/>
          <w:szCs w:val="24"/>
          <w:lang w:val="en-US"/>
        </w:rPr>
      </w:pPr>
      <w:r w:rsidRPr="00BB22E1">
        <w:rPr>
          <w:b/>
          <w:sz w:val="24"/>
          <w:szCs w:val="24"/>
          <w:lang w:val="en-US"/>
        </w:rPr>
        <w:t>Gram-negative aerobe bakterier</w:t>
      </w:r>
    </w:p>
    <w:p w14:paraId="5AA9D39A" w14:textId="77777777" w:rsidR="003623D5" w:rsidRPr="00BB22E1" w:rsidRDefault="003623D5" w:rsidP="00BB22E1">
      <w:pPr>
        <w:autoSpaceDE w:val="0"/>
        <w:autoSpaceDN w:val="0"/>
        <w:adjustRightInd w:val="0"/>
        <w:ind w:left="851"/>
        <w:rPr>
          <w:i/>
          <w:sz w:val="24"/>
          <w:szCs w:val="24"/>
          <w:lang w:val="en-GB"/>
        </w:rPr>
      </w:pPr>
      <w:r w:rsidRPr="00BB22E1">
        <w:rPr>
          <w:i/>
          <w:sz w:val="24"/>
          <w:szCs w:val="24"/>
          <w:lang w:val="en-GB"/>
        </w:rPr>
        <w:t xml:space="preserve">Escherichia coli </w:t>
      </w:r>
    </w:p>
    <w:p w14:paraId="40279BAE" w14:textId="77777777" w:rsidR="003623D5" w:rsidRPr="00BB22E1" w:rsidRDefault="003623D5" w:rsidP="00BB22E1">
      <w:pPr>
        <w:autoSpaceDE w:val="0"/>
        <w:autoSpaceDN w:val="0"/>
        <w:adjustRightInd w:val="0"/>
        <w:ind w:left="851"/>
        <w:rPr>
          <w:sz w:val="24"/>
          <w:szCs w:val="24"/>
          <w:lang w:val="en-GB"/>
        </w:rPr>
      </w:pPr>
      <w:r w:rsidRPr="00BB22E1">
        <w:rPr>
          <w:i/>
          <w:sz w:val="24"/>
          <w:szCs w:val="24"/>
          <w:lang w:val="en-GB"/>
        </w:rPr>
        <w:t>Klebsiella</w:t>
      </w:r>
      <w:r w:rsidRPr="00BB22E1">
        <w:rPr>
          <w:sz w:val="24"/>
          <w:szCs w:val="24"/>
          <w:lang w:val="en-GB"/>
        </w:rPr>
        <w:t xml:space="preserve"> </w:t>
      </w:r>
      <w:r w:rsidRPr="00BB22E1">
        <w:rPr>
          <w:i/>
          <w:iCs/>
          <w:sz w:val="24"/>
          <w:szCs w:val="24"/>
          <w:lang w:val="en-GB"/>
        </w:rPr>
        <w:t xml:space="preserve">spp. </w:t>
      </w:r>
    </w:p>
    <w:p w14:paraId="4A8C28CB" w14:textId="77777777" w:rsidR="003623D5" w:rsidRPr="00BB22E1" w:rsidRDefault="003623D5" w:rsidP="00BB22E1">
      <w:pPr>
        <w:autoSpaceDE w:val="0"/>
        <w:autoSpaceDN w:val="0"/>
        <w:adjustRightInd w:val="0"/>
        <w:ind w:left="851"/>
        <w:rPr>
          <w:i/>
          <w:sz w:val="24"/>
          <w:szCs w:val="24"/>
          <w:lang w:val="en-GB"/>
        </w:rPr>
      </w:pPr>
      <w:r w:rsidRPr="00BB22E1">
        <w:rPr>
          <w:i/>
          <w:sz w:val="24"/>
          <w:szCs w:val="24"/>
          <w:lang w:val="en-GB"/>
        </w:rPr>
        <w:t xml:space="preserve">Pseudomonas aeruginosa </w:t>
      </w:r>
    </w:p>
    <w:p w14:paraId="7E05D1A1" w14:textId="77777777" w:rsidR="003623D5" w:rsidRPr="00BB22E1" w:rsidRDefault="003623D5" w:rsidP="00BB22E1">
      <w:pPr>
        <w:autoSpaceDE w:val="0"/>
        <w:autoSpaceDN w:val="0"/>
        <w:adjustRightInd w:val="0"/>
        <w:ind w:left="851"/>
        <w:rPr>
          <w:i/>
          <w:sz w:val="24"/>
          <w:szCs w:val="24"/>
          <w:lang w:val="en-GB"/>
        </w:rPr>
      </w:pPr>
    </w:p>
    <w:p w14:paraId="4047FE2E" w14:textId="77777777" w:rsidR="003623D5" w:rsidRPr="00BB22E1" w:rsidRDefault="003623D5" w:rsidP="00BB22E1">
      <w:pPr>
        <w:autoSpaceDE w:val="0"/>
        <w:autoSpaceDN w:val="0"/>
        <w:adjustRightInd w:val="0"/>
        <w:ind w:left="851"/>
        <w:rPr>
          <w:b/>
          <w:bCs/>
          <w:iCs/>
          <w:sz w:val="24"/>
          <w:szCs w:val="24"/>
          <w:lang w:val="en-GB"/>
        </w:rPr>
      </w:pPr>
      <w:r w:rsidRPr="00BB22E1">
        <w:rPr>
          <w:b/>
          <w:bCs/>
          <w:iCs/>
          <w:sz w:val="24"/>
          <w:szCs w:val="24"/>
          <w:lang w:val="en-GB"/>
        </w:rPr>
        <w:t>Gram-positive aerobe bakterier</w:t>
      </w:r>
    </w:p>
    <w:p w14:paraId="24EF0BBF" w14:textId="77777777" w:rsidR="003623D5" w:rsidRPr="00BB22E1" w:rsidRDefault="003623D5" w:rsidP="00BB22E1">
      <w:pPr>
        <w:autoSpaceDE w:val="0"/>
        <w:autoSpaceDN w:val="0"/>
        <w:adjustRightInd w:val="0"/>
        <w:ind w:left="851"/>
        <w:rPr>
          <w:i/>
          <w:sz w:val="24"/>
          <w:szCs w:val="24"/>
          <w:lang w:val="en-GB"/>
        </w:rPr>
      </w:pPr>
      <w:r w:rsidRPr="00BB22E1">
        <w:rPr>
          <w:i/>
          <w:sz w:val="24"/>
          <w:szCs w:val="24"/>
          <w:lang w:val="en-GB"/>
        </w:rPr>
        <w:t>Staphylococcus aureus (Methicillin-resistant)</w:t>
      </w:r>
    </w:p>
    <w:p w14:paraId="38E1AE14" w14:textId="77777777" w:rsidR="009260DE" w:rsidRPr="00BB22E1" w:rsidRDefault="009260DE" w:rsidP="00BB22E1">
      <w:pPr>
        <w:tabs>
          <w:tab w:val="left" w:pos="851"/>
        </w:tabs>
        <w:ind w:left="851"/>
        <w:rPr>
          <w:sz w:val="24"/>
          <w:szCs w:val="24"/>
          <w:lang w:val="en-US"/>
        </w:rPr>
      </w:pPr>
    </w:p>
    <w:p w14:paraId="44E01A0B"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6ABAA97E" w14:textId="77777777" w:rsidR="004F0BA2" w:rsidRPr="004F0BA2" w:rsidRDefault="004F0BA2" w:rsidP="004F0BA2">
      <w:pPr>
        <w:tabs>
          <w:tab w:val="left" w:pos="851"/>
        </w:tabs>
        <w:ind w:left="851"/>
        <w:rPr>
          <w:sz w:val="24"/>
          <w:szCs w:val="24"/>
        </w:rPr>
      </w:pPr>
    </w:p>
    <w:p w14:paraId="331D1A85" w14:textId="10501177" w:rsidR="004F0BA2" w:rsidRPr="004F0BA2" w:rsidRDefault="004F0BA2" w:rsidP="004F0BA2">
      <w:pPr>
        <w:tabs>
          <w:tab w:val="left" w:pos="851"/>
        </w:tabs>
        <w:ind w:left="851"/>
        <w:rPr>
          <w:sz w:val="24"/>
          <w:szCs w:val="24"/>
          <w:u w:val="single"/>
        </w:rPr>
      </w:pPr>
      <w:r w:rsidRPr="004F0BA2">
        <w:rPr>
          <w:sz w:val="24"/>
          <w:szCs w:val="24"/>
          <w:u w:val="single"/>
        </w:rPr>
        <w:t>Fordeling</w:t>
      </w:r>
    </w:p>
    <w:p w14:paraId="7E8F391A" w14:textId="67723C13" w:rsidR="004F0BA2" w:rsidRPr="004F0BA2" w:rsidRDefault="004F0BA2" w:rsidP="004F0BA2">
      <w:pPr>
        <w:tabs>
          <w:tab w:val="left" w:pos="851"/>
        </w:tabs>
        <w:ind w:left="851"/>
        <w:rPr>
          <w:sz w:val="24"/>
          <w:szCs w:val="24"/>
        </w:rPr>
      </w:pPr>
      <w:r w:rsidRPr="004F0BA2">
        <w:rPr>
          <w:sz w:val="24"/>
          <w:szCs w:val="24"/>
        </w:rPr>
        <w:t>Det tilsyneladende fordelingsvolumen af erythromycin er omkring 45</w:t>
      </w:r>
      <w:r w:rsidR="00582F3E">
        <w:rPr>
          <w:sz w:val="24"/>
          <w:szCs w:val="24"/>
        </w:rPr>
        <w:t xml:space="preserve"> %</w:t>
      </w:r>
      <w:r w:rsidRPr="004F0BA2">
        <w:rPr>
          <w:sz w:val="24"/>
          <w:szCs w:val="24"/>
        </w:rPr>
        <w:t xml:space="preserve"> af kropsvægten hos raske forsøgspersoner. Dette store fordelingsvolumen er i overensstemmelse med den omfattende vævspenetration af erythromycin. Erythromycin diffunderer let ind i de fleste kropsvæsker, undtagen cerebrospinalvæsken. I tilfælde af meningeal inflammation er der imidlertid højere koncentrationer.</w:t>
      </w:r>
    </w:p>
    <w:p w14:paraId="578EA403" w14:textId="77777777" w:rsidR="004F0BA2" w:rsidRPr="004F0BA2" w:rsidRDefault="004F0BA2" w:rsidP="004F0BA2">
      <w:pPr>
        <w:tabs>
          <w:tab w:val="left" w:pos="851"/>
        </w:tabs>
        <w:ind w:left="851"/>
        <w:rPr>
          <w:sz w:val="24"/>
          <w:szCs w:val="24"/>
          <w:u w:val="single"/>
        </w:rPr>
      </w:pPr>
    </w:p>
    <w:p w14:paraId="1636F3D0" w14:textId="77777777" w:rsidR="004F0BA2" w:rsidRPr="004F0BA2" w:rsidRDefault="004F0BA2" w:rsidP="004F0BA2">
      <w:pPr>
        <w:tabs>
          <w:tab w:val="left" w:pos="851"/>
        </w:tabs>
        <w:ind w:left="851"/>
        <w:rPr>
          <w:sz w:val="24"/>
          <w:szCs w:val="24"/>
          <w:u w:val="single"/>
        </w:rPr>
      </w:pPr>
      <w:r w:rsidRPr="004F0BA2">
        <w:rPr>
          <w:sz w:val="24"/>
          <w:szCs w:val="24"/>
          <w:u w:val="single"/>
        </w:rPr>
        <w:t>Biotransformation</w:t>
      </w:r>
    </w:p>
    <w:p w14:paraId="55343B8B" w14:textId="77777777" w:rsidR="004F0BA2" w:rsidRPr="004F0BA2" w:rsidRDefault="004F0BA2" w:rsidP="004F0BA2">
      <w:pPr>
        <w:tabs>
          <w:tab w:val="left" w:pos="851"/>
        </w:tabs>
        <w:ind w:left="851"/>
        <w:rPr>
          <w:sz w:val="24"/>
          <w:szCs w:val="24"/>
          <w:u w:val="single"/>
        </w:rPr>
      </w:pPr>
      <w:r w:rsidRPr="004F0BA2">
        <w:rPr>
          <w:sz w:val="24"/>
          <w:szCs w:val="24"/>
        </w:rPr>
        <w:t>I studier med kaninmikrosomer har det vist sig, at erythromycin demethyleres til des-N-methyl erythromycin og formaldehyd.</w:t>
      </w:r>
    </w:p>
    <w:p w14:paraId="4FDD1A30" w14:textId="77777777" w:rsidR="004F0BA2" w:rsidRPr="004F0BA2" w:rsidRDefault="004F0BA2" w:rsidP="004F0BA2">
      <w:pPr>
        <w:tabs>
          <w:tab w:val="left" w:pos="851"/>
        </w:tabs>
        <w:ind w:left="851"/>
        <w:rPr>
          <w:sz w:val="24"/>
          <w:szCs w:val="24"/>
          <w:u w:val="single"/>
        </w:rPr>
      </w:pPr>
    </w:p>
    <w:p w14:paraId="70428358" w14:textId="77777777" w:rsidR="004F0BA2" w:rsidRPr="004F0BA2" w:rsidRDefault="004F0BA2" w:rsidP="004F0BA2">
      <w:pPr>
        <w:tabs>
          <w:tab w:val="left" w:pos="851"/>
        </w:tabs>
        <w:ind w:left="851"/>
        <w:rPr>
          <w:sz w:val="24"/>
          <w:szCs w:val="24"/>
          <w:u w:val="single"/>
        </w:rPr>
      </w:pPr>
      <w:r w:rsidRPr="004F0BA2">
        <w:rPr>
          <w:sz w:val="24"/>
          <w:szCs w:val="24"/>
          <w:u w:val="single"/>
        </w:rPr>
        <w:t>Elimination</w:t>
      </w:r>
    </w:p>
    <w:p w14:paraId="42B5B3FD" w14:textId="77777777" w:rsidR="004F0BA2" w:rsidRPr="004F0BA2" w:rsidRDefault="004F0BA2" w:rsidP="004F0BA2">
      <w:pPr>
        <w:tabs>
          <w:tab w:val="left" w:pos="851"/>
        </w:tabs>
        <w:ind w:left="851"/>
        <w:rPr>
          <w:sz w:val="24"/>
          <w:szCs w:val="24"/>
        </w:rPr>
      </w:pPr>
      <w:r w:rsidRPr="004F0BA2">
        <w:rPr>
          <w:sz w:val="24"/>
          <w:szCs w:val="24"/>
        </w:rPr>
        <w:t xml:space="preserve">Ved normal leverfunktion koncentreres erythromycin i leveren og udskilles i galden; virkningen af nedsat leverfunktion på udskillelsen af erythromycin i leveren kendes ikke. </w:t>
      </w:r>
    </w:p>
    <w:p w14:paraId="4FC6D5D7" w14:textId="616969D0" w:rsidR="004F0BA2" w:rsidRPr="004F0BA2" w:rsidRDefault="004F0BA2" w:rsidP="004F0BA2">
      <w:pPr>
        <w:tabs>
          <w:tab w:val="left" w:pos="851"/>
        </w:tabs>
        <w:ind w:left="851"/>
        <w:rPr>
          <w:sz w:val="24"/>
          <w:szCs w:val="24"/>
        </w:rPr>
      </w:pPr>
      <w:r w:rsidRPr="004F0BA2">
        <w:rPr>
          <w:sz w:val="24"/>
          <w:szCs w:val="24"/>
        </w:rPr>
        <w:t>Fra 12</w:t>
      </w:r>
      <w:r w:rsidR="00582F3E">
        <w:rPr>
          <w:sz w:val="24"/>
          <w:szCs w:val="24"/>
        </w:rPr>
        <w:t xml:space="preserve"> %</w:t>
      </w:r>
      <w:r w:rsidRPr="004F0BA2">
        <w:rPr>
          <w:sz w:val="24"/>
          <w:szCs w:val="24"/>
        </w:rPr>
        <w:t xml:space="preserve"> til 15</w:t>
      </w:r>
      <w:r w:rsidR="00582F3E">
        <w:rPr>
          <w:sz w:val="24"/>
          <w:szCs w:val="24"/>
        </w:rPr>
        <w:t xml:space="preserve"> %</w:t>
      </w:r>
      <w:r w:rsidRPr="004F0BA2">
        <w:rPr>
          <w:sz w:val="24"/>
          <w:szCs w:val="24"/>
        </w:rPr>
        <w:t xml:space="preserve"> af intravenøst indgivet erythromycin udskilles i aktiv form i urinen. </w:t>
      </w:r>
    </w:p>
    <w:p w14:paraId="1A066649" w14:textId="77777777" w:rsidR="004F0BA2" w:rsidRPr="004F0BA2" w:rsidRDefault="004F0BA2" w:rsidP="004F0BA2">
      <w:pPr>
        <w:tabs>
          <w:tab w:val="left" w:pos="851"/>
        </w:tabs>
        <w:ind w:left="851"/>
        <w:rPr>
          <w:sz w:val="24"/>
          <w:szCs w:val="24"/>
        </w:rPr>
      </w:pPr>
      <w:r w:rsidRPr="004F0BA2">
        <w:rPr>
          <w:sz w:val="24"/>
          <w:szCs w:val="24"/>
        </w:rPr>
        <w:t xml:space="preserve">Lægemidlet udskilles også i afføringen. </w:t>
      </w:r>
    </w:p>
    <w:p w14:paraId="028EB572" w14:textId="3E796B9B" w:rsidR="003E1CCE" w:rsidRDefault="003E1CCE">
      <w:pPr>
        <w:rPr>
          <w:sz w:val="24"/>
          <w:szCs w:val="24"/>
          <w:u w:val="single"/>
        </w:rPr>
      </w:pPr>
      <w:r>
        <w:rPr>
          <w:sz w:val="24"/>
          <w:szCs w:val="24"/>
          <w:u w:val="single"/>
        </w:rPr>
        <w:br w:type="page"/>
      </w:r>
    </w:p>
    <w:p w14:paraId="5321F911" w14:textId="77777777" w:rsidR="004F0BA2" w:rsidRPr="004F0BA2" w:rsidRDefault="004F0BA2" w:rsidP="004F0BA2">
      <w:pPr>
        <w:tabs>
          <w:tab w:val="left" w:pos="851"/>
        </w:tabs>
        <w:ind w:left="851"/>
        <w:rPr>
          <w:sz w:val="24"/>
          <w:szCs w:val="24"/>
          <w:u w:val="single"/>
        </w:rPr>
      </w:pPr>
    </w:p>
    <w:p w14:paraId="37D38F5C" w14:textId="77777777" w:rsidR="004F0BA2" w:rsidRPr="004F0BA2" w:rsidRDefault="004F0BA2" w:rsidP="004F0BA2">
      <w:pPr>
        <w:tabs>
          <w:tab w:val="left" w:pos="851"/>
        </w:tabs>
        <w:ind w:left="851"/>
        <w:rPr>
          <w:sz w:val="24"/>
          <w:szCs w:val="24"/>
          <w:u w:val="single"/>
        </w:rPr>
      </w:pPr>
      <w:r w:rsidRPr="004F0BA2">
        <w:rPr>
          <w:sz w:val="24"/>
          <w:szCs w:val="24"/>
          <w:u w:val="single"/>
        </w:rPr>
        <w:t>Farmakokinetiske/farmakodynamiske forhold</w:t>
      </w:r>
    </w:p>
    <w:p w14:paraId="4A2F9810" w14:textId="77777777" w:rsidR="004F0BA2" w:rsidRPr="004F0BA2" w:rsidRDefault="004F0BA2" w:rsidP="004F0BA2">
      <w:pPr>
        <w:tabs>
          <w:tab w:val="left" w:pos="851"/>
        </w:tabs>
        <w:ind w:left="851"/>
        <w:rPr>
          <w:sz w:val="24"/>
          <w:szCs w:val="24"/>
        </w:rPr>
      </w:pPr>
      <w:r w:rsidRPr="004F0BA2">
        <w:rPr>
          <w:sz w:val="24"/>
          <w:szCs w:val="24"/>
        </w:rPr>
        <w:t>Elimineringshalveringstiden i plasma hos patienter med normal nyrefunktion er ca. 2 timer. Ved svært nedsat nyrefunktion kan halveringstiden forlænges til mellem 4 og 7 timer.</w:t>
      </w:r>
    </w:p>
    <w:p w14:paraId="0534BC1D" w14:textId="77777777" w:rsidR="009260DE" w:rsidRPr="00C84483" w:rsidRDefault="009260DE" w:rsidP="009260DE">
      <w:pPr>
        <w:tabs>
          <w:tab w:val="left" w:pos="851"/>
        </w:tabs>
        <w:ind w:left="851"/>
        <w:rPr>
          <w:sz w:val="24"/>
          <w:szCs w:val="24"/>
        </w:rPr>
      </w:pPr>
    </w:p>
    <w:p w14:paraId="53215CBB"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5ACD31A1" w14:textId="77777777" w:rsidR="003E1CCE" w:rsidRPr="003E1CCE" w:rsidRDefault="003E1CCE" w:rsidP="003E1CCE">
      <w:pPr>
        <w:tabs>
          <w:tab w:val="left" w:pos="851"/>
        </w:tabs>
        <w:ind w:left="851"/>
        <w:rPr>
          <w:sz w:val="24"/>
          <w:szCs w:val="24"/>
        </w:rPr>
      </w:pPr>
      <w:r w:rsidRPr="003E1CCE">
        <w:rPr>
          <w:sz w:val="24"/>
          <w:szCs w:val="24"/>
        </w:rPr>
        <w:t>Den akutte og kroniske orale toksicitet af erythromycin er lav.</w:t>
      </w:r>
    </w:p>
    <w:p w14:paraId="0CF5E215" w14:textId="77777777" w:rsidR="003E1CCE" w:rsidRPr="003E1CCE" w:rsidRDefault="003E1CCE" w:rsidP="003E1CCE">
      <w:pPr>
        <w:tabs>
          <w:tab w:val="left" w:pos="851"/>
        </w:tabs>
        <w:ind w:left="851"/>
        <w:rPr>
          <w:sz w:val="24"/>
          <w:szCs w:val="24"/>
        </w:rPr>
      </w:pPr>
      <w:r w:rsidRPr="003E1CCE">
        <w:rPr>
          <w:sz w:val="24"/>
          <w:szCs w:val="24"/>
        </w:rPr>
        <w:t>Der er ikke verificeret tegn på teratogenicitet eller anden reproduktionstoksicitet hos hunrotter, som modtog oral sondeindgivelse af 350 mg/kg/dag (7 gange den humane dosis) af erythromycinbase før eller under parring, drægtighed og fravænning.</w:t>
      </w:r>
    </w:p>
    <w:p w14:paraId="4FEEE504" w14:textId="77777777" w:rsidR="003E1CCE" w:rsidRPr="003E1CCE" w:rsidRDefault="003E1CCE" w:rsidP="003E1CCE">
      <w:pPr>
        <w:tabs>
          <w:tab w:val="left" w:pos="851"/>
        </w:tabs>
        <w:ind w:left="851"/>
        <w:rPr>
          <w:sz w:val="24"/>
          <w:szCs w:val="24"/>
        </w:rPr>
      </w:pPr>
      <w:r w:rsidRPr="003E1CCE">
        <w:rPr>
          <w:sz w:val="24"/>
          <w:szCs w:val="24"/>
        </w:rPr>
        <w:t>Der blev ikke observeret tegn på teratogenicitet eller embryotoksicitet, da der blev indgivet erythromycinbase via oral sonde til gravide hunrotter og mus ved en dosis på 700 mg/kg/dag (14 gange den menneskelige dosis) og til gravide hunkaniner ved en dosis på 125 mg/kg/dag (2,5 gange den humane dosis).</w:t>
      </w:r>
    </w:p>
    <w:p w14:paraId="1AD4BCCC" w14:textId="77777777" w:rsidR="003E1CCE" w:rsidRPr="003E1CCE" w:rsidRDefault="003E1CCE" w:rsidP="003E1CCE">
      <w:pPr>
        <w:tabs>
          <w:tab w:val="left" w:pos="851"/>
        </w:tabs>
        <w:ind w:left="851"/>
        <w:rPr>
          <w:sz w:val="24"/>
          <w:szCs w:val="24"/>
        </w:rPr>
      </w:pPr>
      <w:r w:rsidRPr="003E1CCE">
        <w:rPr>
          <w:sz w:val="24"/>
          <w:szCs w:val="24"/>
        </w:rPr>
        <w:t>Der blev påvist en lille reduktion i fødselsvægten, da hunrotter blev behandlet før parring, under parring, graviditet og diegivning med en høj oral dosis erythromycin base på 700 mg/kg/dag. Vægten på kuldet var sammenlignelig med de kontrollerede kuld på afvænningstidspunktet. Der blev ikke observeret tegn på teratogenicitet eller virkninger på reproduktionen ved denne dosis. Når denne dosis på 700 mg/kg/dag (14 gange den humane dosis) blev indgivet i den sidste fase af drægtighed og diegivning, resulterede den ikke i nogen bivirkninger på kuldets fødselsvægt, vækst eller overlevelse.</w:t>
      </w:r>
    </w:p>
    <w:p w14:paraId="6E5B98A0" w14:textId="77777777" w:rsidR="003E1CCE" w:rsidRPr="003E1CCE" w:rsidRDefault="003E1CCE" w:rsidP="003E1CCE">
      <w:pPr>
        <w:tabs>
          <w:tab w:val="left" w:pos="851"/>
        </w:tabs>
        <w:ind w:left="851"/>
        <w:rPr>
          <w:sz w:val="24"/>
          <w:szCs w:val="24"/>
        </w:rPr>
      </w:pPr>
    </w:p>
    <w:p w14:paraId="4AFB2D02" w14:textId="77777777" w:rsidR="003E1CCE" w:rsidRPr="003E1CCE" w:rsidRDefault="003E1CCE" w:rsidP="003E1CCE">
      <w:pPr>
        <w:tabs>
          <w:tab w:val="left" w:pos="851"/>
        </w:tabs>
        <w:ind w:left="851"/>
        <w:rPr>
          <w:sz w:val="24"/>
          <w:szCs w:val="24"/>
        </w:rPr>
      </w:pPr>
      <w:r w:rsidRPr="003E1CCE">
        <w:rPr>
          <w:sz w:val="24"/>
          <w:szCs w:val="24"/>
        </w:rPr>
        <w:t>Carcinogenicitet, mutagenicitet, ændringer i fertilitet</w:t>
      </w:r>
    </w:p>
    <w:p w14:paraId="20FA7B5F" w14:textId="77777777" w:rsidR="003E1CCE" w:rsidRPr="003E1CCE" w:rsidRDefault="003E1CCE" w:rsidP="003E1CCE">
      <w:pPr>
        <w:tabs>
          <w:tab w:val="left" w:pos="851"/>
        </w:tabs>
        <w:ind w:left="851"/>
        <w:rPr>
          <w:sz w:val="24"/>
          <w:szCs w:val="24"/>
        </w:rPr>
      </w:pPr>
      <w:r w:rsidRPr="003E1CCE">
        <w:rPr>
          <w:sz w:val="24"/>
          <w:szCs w:val="24"/>
        </w:rPr>
        <w:t>Langvarige studier (2 år) med den orale formulering af erythromycinstearat, foretaget med rotter på op til næsten 400 mg/kg/dag og med mus op til næsten 500 mg/kg/dag, viste ingen tegn på tumorigenicitet. De udførte mutagenicitetsstudier viste ikke genotoksisk potentiale, og der sås ingen tydelige virkninger på fertiliteten hos han- eller hunrotter, der fik erythromycin (som base) via oral sonde i doser på 700 mg/kg/dag.</w:t>
      </w:r>
    </w:p>
    <w:p w14:paraId="445BB697" w14:textId="77777777" w:rsidR="003E1CCE" w:rsidRPr="003E1CCE" w:rsidRDefault="003E1CCE" w:rsidP="003E1CCE">
      <w:pPr>
        <w:tabs>
          <w:tab w:val="left" w:pos="851"/>
        </w:tabs>
        <w:ind w:left="851"/>
        <w:rPr>
          <w:sz w:val="24"/>
          <w:szCs w:val="24"/>
        </w:rPr>
      </w:pPr>
    </w:p>
    <w:p w14:paraId="00D70870" w14:textId="77777777" w:rsidR="009260DE" w:rsidRPr="00C84483" w:rsidRDefault="009260DE" w:rsidP="009260DE">
      <w:pPr>
        <w:tabs>
          <w:tab w:val="left" w:pos="851"/>
        </w:tabs>
        <w:ind w:left="851"/>
        <w:rPr>
          <w:sz w:val="24"/>
          <w:szCs w:val="24"/>
        </w:rPr>
      </w:pPr>
    </w:p>
    <w:p w14:paraId="546B5E65"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36111AE4" w14:textId="77777777" w:rsidR="009260DE" w:rsidRPr="00BA09F1" w:rsidRDefault="009260DE" w:rsidP="009260DE">
      <w:pPr>
        <w:tabs>
          <w:tab w:val="left" w:pos="851"/>
        </w:tabs>
        <w:ind w:left="851"/>
        <w:rPr>
          <w:sz w:val="24"/>
          <w:szCs w:val="24"/>
        </w:rPr>
      </w:pPr>
    </w:p>
    <w:p w14:paraId="494165BC"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6CE8AD05" w14:textId="27281176" w:rsidR="009260DE" w:rsidRPr="00C84483" w:rsidRDefault="006D33D5" w:rsidP="009260DE">
      <w:pPr>
        <w:tabs>
          <w:tab w:val="left" w:pos="851"/>
        </w:tabs>
        <w:ind w:left="851"/>
        <w:rPr>
          <w:sz w:val="24"/>
          <w:szCs w:val="24"/>
        </w:rPr>
      </w:pPr>
      <w:r>
        <w:rPr>
          <w:sz w:val="24"/>
          <w:szCs w:val="24"/>
        </w:rPr>
        <w:t>Ingen</w:t>
      </w:r>
    </w:p>
    <w:p w14:paraId="35427CD9" w14:textId="77777777" w:rsidR="009260DE" w:rsidRPr="00C84483" w:rsidRDefault="009260DE" w:rsidP="009260DE">
      <w:pPr>
        <w:tabs>
          <w:tab w:val="left" w:pos="851"/>
        </w:tabs>
        <w:ind w:left="851"/>
        <w:rPr>
          <w:sz w:val="24"/>
          <w:szCs w:val="24"/>
        </w:rPr>
      </w:pPr>
    </w:p>
    <w:p w14:paraId="52BC5730"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5347C936" w14:textId="77777777" w:rsidR="006D33D5" w:rsidRPr="006D33D5" w:rsidRDefault="006D33D5" w:rsidP="006D33D5">
      <w:pPr>
        <w:tabs>
          <w:tab w:val="left" w:pos="851"/>
        </w:tabs>
        <w:ind w:left="851"/>
        <w:rPr>
          <w:sz w:val="24"/>
          <w:szCs w:val="24"/>
        </w:rPr>
      </w:pPr>
      <w:r w:rsidRPr="006D33D5">
        <w:rPr>
          <w:sz w:val="24"/>
          <w:szCs w:val="24"/>
        </w:rPr>
        <w:t>Dette lægemiddel må ikke blandes med andre lægemidler end dem, der er nævnt i pkt. 6.6.</w:t>
      </w:r>
    </w:p>
    <w:p w14:paraId="03FF0E70" w14:textId="77777777" w:rsidR="006D33D5" w:rsidRPr="006D33D5" w:rsidRDefault="006D33D5" w:rsidP="006D33D5">
      <w:pPr>
        <w:tabs>
          <w:tab w:val="left" w:pos="851"/>
        </w:tabs>
        <w:ind w:left="851"/>
        <w:rPr>
          <w:sz w:val="24"/>
          <w:szCs w:val="24"/>
        </w:rPr>
      </w:pPr>
    </w:p>
    <w:p w14:paraId="6AD98ECA" w14:textId="77777777" w:rsidR="006D33D5" w:rsidRPr="006D33D5" w:rsidRDefault="006D33D5" w:rsidP="006D33D5">
      <w:pPr>
        <w:tabs>
          <w:tab w:val="left" w:pos="851"/>
        </w:tabs>
        <w:ind w:left="851"/>
        <w:rPr>
          <w:sz w:val="24"/>
          <w:szCs w:val="24"/>
        </w:rPr>
      </w:pPr>
      <w:r w:rsidRPr="006D33D5">
        <w:rPr>
          <w:sz w:val="24"/>
          <w:szCs w:val="24"/>
        </w:rPr>
        <w:t>Erythromycinlactobionat i opløsning kan ikke blandes, hovedsageligt på grund af pH-skiftene, med β-laktam-antibiotika, aminoglykosider, tetracykliner, chloramphenicol, colistin, aminophyllin, barbiturater, diphenylhydantoin, heparin, phenothiazin, riboflavin (B2-vitamin), B6-vitamin og C-vitamin. Derfor må erythromycin ikke blandes med nævnte lægemidler i en infusionsopløsning.</w:t>
      </w:r>
    </w:p>
    <w:p w14:paraId="3747CCC0" w14:textId="77777777" w:rsidR="006D33D5" w:rsidRPr="006D33D5" w:rsidRDefault="006D33D5" w:rsidP="006D33D5">
      <w:pPr>
        <w:tabs>
          <w:tab w:val="left" w:pos="851"/>
        </w:tabs>
        <w:ind w:left="851"/>
        <w:rPr>
          <w:sz w:val="24"/>
          <w:szCs w:val="24"/>
        </w:rPr>
      </w:pPr>
    </w:p>
    <w:p w14:paraId="5886B4D8" w14:textId="77777777" w:rsidR="006D33D5" w:rsidRPr="006D33D5" w:rsidRDefault="006D33D5" w:rsidP="006D33D5">
      <w:pPr>
        <w:tabs>
          <w:tab w:val="left" w:pos="851"/>
        </w:tabs>
        <w:ind w:left="851"/>
        <w:rPr>
          <w:sz w:val="24"/>
          <w:szCs w:val="24"/>
        </w:rPr>
      </w:pPr>
      <w:r w:rsidRPr="006D33D5">
        <w:rPr>
          <w:sz w:val="24"/>
          <w:szCs w:val="24"/>
        </w:rPr>
        <w:t>Tilsætningen af andre opløsninger, som ændrer området fra pH 6-8, reducerer erythromycinlactobionatets stabilitet..</w:t>
      </w:r>
    </w:p>
    <w:p w14:paraId="42D4AD2B" w14:textId="77777777" w:rsidR="006D33D5" w:rsidRPr="006D33D5" w:rsidRDefault="006D33D5" w:rsidP="006D33D5">
      <w:pPr>
        <w:tabs>
          <w:tab w:val="left" w:pos="851"/>
        </w:tabs>
        <w:ind w:left="851"/>
        <w:rPr>
          <w:sz w:val="24"/>
          <w:szCs w:val="24"/>
        </w:rPr>
      </w:pPr>
    </w:p>
    <w:p w14:paraId="74041745" w14:textId="77777777" w:rsidR="006D33D5" w:rsidRPr="006D33D5" w:rsidRDefault="006D33D5" w:rsidP="006D33D5">
      <w:pPr>
        <w:tabs>
          <w:tab w:val="left" w:pos="851"/>
        </w:tabs>
        <w:ind w:left="851"/>
        <w:rPr>
          <w:sz w:val="24"/>
          <w:szCs w:val="24"/>
        </w:rPr>
      </w:pPr>
      <w:r w:rsidRPr="006D33D5">
        <w:rPr>
          <w:sz w:val="24"/>
          <w:szCs w:val="24"/>
        </w:rPr>
        <w:t>OBS: Natriumchloridopløsninger eller andre opløsninger, der indeholder uorganiske salte, må ikke anvendes til klargøring af stammeopløsningen (se pkt. 6.6 "Særlige forholdsregler ved bortskaffelse og anden håndtering"), da det kan forårsage udfældning.</w:t>
      </w:r>
    </w:p>
    <w:p w14:paraId="5955BE59" w14:textId="77777777" w:rsidR="009260DE" w:rsidRPr="00C84483" w:rsidRDefault="009260DE" w:rsidP="009260DE">
      <w:pPr>
        <w:tabs>
          <w:tab w:val="left" w:pos="851"/>
        </w:tabs>
        <w:ind w:left="851"/>
        <w:rPr>
          <w:sz w:val="24"/>
          <w:szCs w:val="24"/>
        </w:rPr>
      </w:pPr>
    </w:p>
    <w:p w14:paraId="49743C3D"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314AFC32" w14:textId="3D9E05CF" w:rsidR="006D33D5" w:rsidRPr="006D33D5" w:rsidRDefault="006D33D5" w:rsidP="006D33D5">
      <w:pPr>
        <w:tabs>
          <w:tab w:val="left" w:pos="851"/>
        </w:tabs>
        <w:ind w:left="851"/>
        <w:rPr>
          <w:sz w:val="24"/>
          <w:szCs w:val="24"/>
        </w:rPr>
      </w:pPr>
      <w:r w:rsidRPr="006D33D5">
        <w:rPr>
          <w:sz w:val="24"/>
          <w:szCs w:val="24"/>
        </w:rPr>
        <w:t>36 måneder</w:t>
      </w:r>
      <w:r>
        <w:rPr>
          <w:sz w:val="24"/>
          <w:szCs w:val="24"/>
        </w:rPr>
        <w:t>.</w:t>
      </w:r>
    </w:p>
    <w:p w14:paraId="24B9D638" w14:textId="77777777" w:rsidR="006D33D5" w:rsidRPr="006D33D5" w:rsidRDefault="006D33D5" w:rsidP="006D33D5">
      <w:pPr>
        <w:tabs>
          <w:tab w:val="left" w:pos="851"/>
        </w:tabs>
        <w:ind w:left="851"/>
        <w:rPr>
          <w:sz w:val="24"/>
          <w:szCs w:val="24"/>
        </w:rPr>
      </w:pPr>
    </w:p>
    <w:p w14:paraId="41F82B86" w14:textId="77777777" w:rsidR="006D33D5" w:rsidRPr="006D33D5" w:rsidRDefault="006D33D5" w:rsidP="006D33D5">
      <w:pPr>
        <w:tabs>
          <w:tab w:val="left" w:pos="851"/>
        </w:tabs>
        <w:ind w:left="851"/>
        <w:rPr>
          <w:sz w:val="24"/>
          <w:szCs w:val="24"/>
          <w:u w:val="single"/>
        </w:rPr>
      </w:pPr>
      <w:r w:rsidRPr="006D33D5">
        <w:rPr>
          <w:sz w:val="24"/>
          <w:szCs w:val="24"/>
          <w:u w:val="single"/>
        </w:rPr>
        <w:t>For den rekonstituerede opløsning</w:t>
      </w:r>
    </w:p>
    <w:p w14:paraId="085BE3D6" w14:textId="6F019BA5" w:rsidR="006D33D5" w:rsidRPr="006D33D5" w:rsidRDefault="006D33D5" w:rsidP="006D33D5">
      <w:pPr>
        <w:tabs>
          <w:tab w:val="left" w:pos="851"/>
        </w:tabs>
        <w:ind w:left="851"/>
        <w:rPr>
          <w:sz w:val="24"/>
          <w:szCs w:val="24"/>
        </w:rPr>
      </w:pPr>
      <w:r w:rsidRPr="006D33D5">
        <w:rPr>
          <w:sz w:val="24"/>
          <w:szCs w:val="24"/>
        </w:rPr>
        <w:t>Der er påvist kemisk og fysisk stabilitet i 24 timer i køleskab (ved 2-8 °C).</w:t>
      </w:r>
    </w:p>
    <w:p w14:paraId="484032C7" w14:textId="77777777" w:rsidR="006D33D5" w:rsidRPr="006D33D5" w:rsidRDefault="006D33D5" w:rsidP="006D33D5">
      <w:pPr>
        <w:tabs>
          <w:tab w:val="left" w:pos="851"/>
        </w:tabs>
        <w:ind w:left="851"/>
        <w:rPr>
          <w:sz w:val="24"/>
          <w:szCs w:val="24"/>
        </w:rPr>
      </w:pPr>
    </w:p>
    <w:p w14:paraId="1BCD041A" w14:textId="77777777" w:rsidR="006D33D5" w:rsidRPr="006D33D5" w:rsidRDefault="006D33D5" w:rsidP="006D33D5">
      <w:pPr>
        <w:tabs>
          <w:tab w:val="left" w:pos="851"/>
        </w:tabs>
        <w:ind w:left="851"/>
        <w:rPr>
          <w:sz w:val="24"/>
          <w:szCs w:val="24"/>
          <w:u w:val="single"/>
        </w:rPr>
      </w:pPr>
      <w:r w:rsidRPr="006D33D5">
        <w:rPr>
          <w:sz w:val="24"/>
          <w:szCs w:val="24"/>
          <w:u w:val="single"/>
        </w:rPr>
        <w:t>For den fortyndede opløsning</w:t>
      </w:r>
    </w:p>
    <w:p w14:paraId="61E8D24F" w14:textId="2D43C443" w:rsidR="006D33D5" w:rsidRPr="006D33D5" w:rsidRDefault="006D33D5" w:rsidP="006D33D5">
      <w:pPr>
        <w:tabs>
          <w:tab w:val="left" w:pos="851"/>
        </w:tabs>
        <w:ind w:left="851"/>
        <w:rPr>
          <w:sz w:val="24"/>
          <w:szCs w:val="24"/>
        </w:rPr>
      </w:pPr>
      <w:r w:rsidRPr="006D33D5">
        <w:rPr>
          <w:sz w:val="24"/>
          <w:szCs w:val="24"/>
        </w:rPr>
        <w:t>Der er påvist kemisk og fysisk stabilitet i 24 timer i køleskab (ved 2-8 °C).</w:t>
      </w:r>
    </w:p>
    <w:p w14:paraId="3BD90E9F" w14:textId="77777777" w:rsidR="006D33D5" w:rsidRPr="006D33D5" w:rsidRDefault="006D33D5" w:rsidP="006D33D5">
      <w:pPr>
        <w:tabs>
          <w:tab w:val="left" w:pos="851"/>
        </w:tabs>
        <w:ind w:left="851"/>
        <w:rPr>
          <w:sz w:val="24"/>
          <w:szCs w:val="24"/>
        </w:rPr>
      </w:pPr>
    </w:p>
    <w:p w14:paraId="1112AF26" w14:textId="77777777" w:rsidR="006D33D5" w:rsidRPr="006D33D5" w:rsidRDefault="006D33D5" w:rsidP="006D33D5">
      <w:pPr>
        <w:tabs>
          <w:tab w:val="left" w:pos="851"/>
        </w:tabs>
        <w:ind w:left="851"/>
        <w:rPr>
          <w:sz w:val="24"/>
          <w:szCs w:val="24"/>
        </w:rPr>
      </w:pPr>
      <w:r w:rsidRPr="006D33D5">
        <w:rPr>
          <w:sz w:val="24"/>
          <w:szCs w:val="24"/>
        </w:rPr>
        <w:t>Fra et mikrobiologisk synspunkt skal produktet anvendes straks.</w:t>
      </w:r>
    </w:p>
    <w:p w14:paraId="14D5FFED" w14:textId="77777777" w:rsidR="006D33D5" w:rsidRPr="006D33D5" w:rsidRDefault="006D33D5" w:rsidP="006D33D5">
      <w:pPr>
        <w:tabs>
          <w:tab w:val="left" w:pos="851"/>
        </w:tabs>
        <w:ind w:left="851"/>
        <w:rPr>
          <w:sz w:val="24"/>
          <w:szCs w:val="24"/>
        </w:rPr>
      </w:pPr>
      <w:r w:rsidRPr="006D33D5">
        <w:rPr>
          <w:sz w:val="24"/>
          <w:szCs w:val="24"/>
        </w:rPr>
        <w:t>Hvis det ikke anvendes straks, er opbevaringstiden og -betingelserne brugerens ansvar og bør normalt ikke overstige 24 timer i køleskabet, medmindre rekonstitution/fortynding har fundet sted under kontrollerede og validerede aseptiske forhold.</w:t>
      </w:r>
    </w:p>
    <w:p w14:paraId="792D1290" w14:textId="77777777" w:rsidR="009260DE" w:rsidRPr="00C84483" w:rsidRDefault="009260DE" w:rsidP="009260DE">
      <w:pPr>
        <w:tabs>
          <w:tab w:val="left" w:pos="851"/>
        </w:tabs>
        <w:ind w:left="851"/>
        <w:rPr>
          <w:sz w:val="24"/>
          <w:szCs w:val="24"/>
        </w:rPr>
      </w:pPr>
    </w:p>
    <w:p w14:paraId="512E0AE2"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4A9E1F47" w14:textId="152A37E9" w:rsidR="006D33D5" w:rsidRPr="006D33D5" w:rsidRDefault="006D33D5" w:rsidP="006D33D5">
      <w:pPr>
        <w:tabs>
          <w:tab w:val="left" w:pos="851"/>
        </w:tabs>
        <w:ind w:left="851"/>
        <w:rPr>
          <w:sz w:val="24"/>
          <w:szCs w:val="24"/>
        </w:rPr>
      </w:pPr>
      <w:r w:rsidRPr="006D33D5">
        <w:rPr>
          <w:sz w:val="24"/>
          <w:szCs w:val="24"/>
        </w:rPr>
        <w:t>Ingen særlige opbevaringsforhold</w:t>
      </w:r>
      <w:r w:rsidR="00A42C86">
        <w:rPr>
          <w:sz w:val="24"/>
          <w:szCs w:val="24"/>
        </w:rPr>
        <w:t>.</w:t>
      </w:r>
    </w:p>
    <w:p w14:paraId="2F22D5EA" w14:textId="77777777" w:rsidR="006D33D5" w:rsidRPr="006D33D5" w:rsidRDefault="006D33D5" w:rsidP="006D33D5">
      <w:pPr>
        <w:tabs>
          <w:tab w:val="left" w:pos="851"/>
        </w:tabs>
        <w:ind w:left="851"/>
        <w:rPr>
          <w:sz w:val="24"/>
          <w:szCs w:val="24"/>
        </w:rPr>
      </w:pPr>
    </w:p>
    <w:p w14:paraId="667533CB" w14:textId="77777777" w:rsidR="006D33D5" w:rsidRPr="006D33D5" w:rsidRDefault="006D33D5" w:rsidP="006D33D5">
      <w:pPr>
        <w:tabs>
          <w:tab w:val="left" w:pos="851"/>
        </w:tabs>
        <w:ind w:left="851"/>
        <w:rPr>
          <w:sz w:val="24"/>
          <w:szCs w:val="24"/>
        </w:rPr>
      </w:pPr>
      <w:r w:rsidRPr="006D33D5">
        <w:rPr>
          <w:sz w:val="24"/>
          <w:szCs w:val="24"/>
        </w:rPr>
        <w:t xml:space="preserve">For opbevaringsforhold efter rekonstitution af lægemidlet, se pkt. 6.3 og pkt. 6.6. </w:t>
      </w:r>
    </w:p>
    <w:p w14:paraId="1C007709" w14:textId="77777777" w:rsidR="009260DE" w:rsidRPr="00C84483" w:rsidRDefault="009260DE" w:rsidP="009260DE">
      <w:pPr>
        <w:tabs>
          <w:tab w:val="left" w:pos="851"/>
        </w:tabs>
        <w:ind w:left="851"/>
        <w:rPr>
          <w:sz w:val="24"/>
          <w:szCs w:val="24"/>
        </w:rPr>
      </w:pPr>
    </w:p>
    <w:p w14:paraId="58E348F1"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37194BE9" w14:textId="7BBA6866" w:rsidR="00A42C86" w:rsidRPr="00A42C86" w:rsidRDefault="00A42C86" w:rsidP="00A42C86">
      <w:pPr>
        <w:tabs>
          <w:tab w:val="left" w:pos="851"/>
        </w:tabs>
        <w:ind w:left="851"/>
        <w:rPr>
          <w:sz w:val="24"/>
          <w:szCs w:val="24"/>
        </w:rPr>
      </w:pPr>
      <w:r w:rsidRPr="00A42C86">
        <w:rPr>
          <w:sz w:val="24"/>
          <w:szCs w:val="24"/>
        </w:rPr>
        <w:t>Farveløs</w:t>
      </w:r>
      <w:r>
        <w:rPr>
          <w:sz w:val="24"/>
          <w:szCs w:val="24"/>
        </w:rPr>
        <w:t>t</w:t>
      </w:r>
      <w:r w:rsidRPr="00A42C86">
        <w:rPr>
          <w:sz w:val="24"/>
          <w:szCs w:val="24"/>
        </w:rPr>
        <w:t xml:space="preserve"> type III hætteglas af klart glas. </w:t>
      </w:r>
    </w:p>
    <w:p w14:paraId="6081F7DE" w14:textId="77777777" w:rsidR="00A42C86" w:rsidRPr="00A42C86" w:rsidRDefault="00A42C86" w:rsidP="00A42C86">
      <w:pPr>
        <w:tabs>
          <w:tab w:val="left" w:pos="851"/>
        </w:tabs>
        <w:ind w:left="851"/>
        <w:rPr>
          <w:sz w:val="24"/>
          <w:szCs w:val="24"/>
        </w:rPr>
      </w:pPr>
    </w:p>
    <w:p w14:paraId="750EF1C3" w14:textId="4AAC3176" w:rsidR="00A42C86" w:rsidRPr="00A42C86" w:rsidRDefault="00A42C86" w:rsidP="00A42C86">
      <w:pPr>
        <w:tabs>
          <w:tab w:val="left" w:pos="851"/>
        </w:tabs>
        <w:ind w:left="851"/>
        <w:rPr>
          <w:sz w:val="24"/>
          <w:szCs w:val="24"/>
        </w:rPr>
      </w:pPr>
      <w:r w:rsidRPr="00A42C86">
        <w:rPr>
          <w:sz w:val="24"/>
          <w:szCs w:val="24"/>
        </w:rPr>
        <w:t>Pakningsstørrelse</w:t>
      </w:r>
      <w:r>
        <w:rPr>
          <w:sz w:val="24"/>
          <w:szCs w:val="24"/>
        </w:rPr>
        <w:t xml:space="preserve">r: </w:t>
      </w:r>
      <w:r w:rsidRPr="00A42C86">
        <w:rPr>
          <w:sz w:val="24"/>
          <w:szCs w:val="24"/>
        </w:rPr>
        <w:t xml:space="preserve">1, 10 </w:t>
      </w:r>
      <w:r>
        <w:rPr>
          <w:sz w:val="24"/>
          <w:szCs w:val="24"/>
        </w:rPr>
        <w:t>og</w:t>
      </w:r>
      <w:r w:rsidRPr="00A42C86">
        <w:rPr>
          <w:sz w:val="24"/>
          <w:szCs w:val="24"/>
        </w:rPr>
        <w:t xml:space="preserve"> 25 hætteglas.</w:t>
      </w:r>
    </w:p>
    <w:p w14:paraId="7B6F9DBD" w14:textId="77777777" w:rsidR="00A42C86" w:rsidRPr="00A42C86" w:rsidRDefault="00A42C86" w:rsidP="00A42C86">
      <w:pPr>
        <w:tabs>
          <w:tab w:val="left" w:pos="851"/>
        </w:tabs>
        <w:ind w:left="851"/>
        <w:rPr>
          <w:sz w:val="24"/>
          <w:szCs w:val="24"/>
        </w:rPr>
      </w:pPr>
      <w:r w:rsidRPr="00A42C86">
        <w:rPr>
          <w:sz w:val="24"/>
          <w:szCs w:val="24"/>
        </w:rPr>
        <w:t>Ikke alle pakningsstørrelser er nødvendigvis markedsført.</w:t>
      </w:r>
    </w:p>
    <w:p w14:paraId="13278318" w14:textId="77777777" w:rsidR="009260DE" w:rsidRPr="00C84483" w:rsidRDefault="009260DE" w:rsidP="009260DE">
      <w:pPr>
        <w:tabs>
          <w:tab w:val="left" w:pos="851"/>
        </w:tabs>
        <w:ind w:left="851"/>
        <w:rPr>
          <w:sz w:val="24"/>
          <w:szCs w:val="24"/>
        </w:rPr>
      </w:pPr>
    </w:p>
    <w:p w14:paraId="6DDCDD93"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35313337" w14:textId="77777777" w:rsidR="00B85C79" w:rsidRPr="00B85C79" w:rsidRDefault="00B85C79" w:rsidP="00B85C79">
      <w:pPr>
        <w:tabs>
          <w:tab w:val="left" w:pos="851"/>
        </w:tabs>
        <w:ind w:left="851"/>
        <w:rPr>
          <w:sz w:val="24"/>
          <w:szCs w:val="24"/>
        </w:rPr>
      </w:pPr>
      <w:r w:rsidRPr="00B85C79">
        <w:rPr>
          <w:sz w:val="24"/>
          <w:szCs w:val="24"/>
        </w:rPr>
        <w:t>Hvert hætteglas er kun til engangsbrug.</w:t>
      </w:r>
    </w:p>
    <w:p w14:paraId="3B868678" w14:textId="77777777" w:rsidR="00B85C79" w:rsidRPr="00B85C79" w:rsidRDefault="00B85C79" w:rsidP="00B85C79">
      <w:pPr>
        <w:tabs>
          <w:tab w:val="left" w:pos="851"/>
        </w:tabs>
        <w:ind w:left="851"/>
        <w:rPr>
          <w:sz w:val="24"/>
          <w:szCs w:val="24"/>
        </w:rPr>
      </w:pPr>
    </w:p>
    <w:p w14:paraId="32E179FE" w14:textId="77777777" w:rsidR="00B85C79" w:rsidRPr="00B85C79" w:rsidRDefault="00B85C79" w:rsidP="00B85C79">
      <w:pPr>
        <w:tabs>
          <w:tab w:val="left" w:pos="851"/>
        </w:tabs>
        <w:ind w:left="851"/>
        <w:rPr>
          <w:sz w:val="24"/>
          <w:szCs w:val="24"/>
        </w:rPr>
      </w:pPr>
      <w:r w:rsidRPr="00B85C79">
        <w:rPr>
          <w:sz w:val="24"/>
          <w:szCs w:val="24"/>
        </w:rPr>
        <w:t>Erythromycin rekonstitueres og fortyndes derefter yderligere før infusion.</w:t>
      </w:r>
    </w:p>
    <w:p w14:paraId="0F11DB4B" w14:textId="77777777" w:rsidR="00B85C79" w:rsidRPr="00B85C79" w:rsidRDefault="00B85C79" w:rsidP="00B85C79">
      <w:pPr>
        <w:tabs>
          <w:tab w:val="left" w:pos="851"/>
        </w:tabs>
        <w:ind w:left="851"/>
        <w:rPr>
          <w:sz w:val="24"/>
          <w:szCs w:val="24"/>
        </w:rPr>
      </w:pPr>
    </w:p>
    <w:p w14:paraId="3B1693CE" w14:textId="77777777" w:rsidR="00B85C79" w:rsidRPr="00B85C79" w:rsidRDefault="00B85C79" w:rsidP="00B85C79">
      <w:pPr>
        <w:tabs>
          <w:tab w:val="left" w:pos="851"/>
        </w:tabs>
        <w:ind w:left="851"/>
        <w:rPr>
          <w:sz w:val="24"/>
          <w:szCs w:val="24"/>
        </w:rPr>
      </w:pPr>
      <w:r w:rsidRPr="00B85C79">
        <w:rPr>
          <w:sz w:val="24"/>
          <w:szCs w:val="24"/>
          <w:u w:val="single"/>
        </w:rPr>
        <w:t>Klargøring af indgivelsesopløsningen</w:t>
      </w:r>
      <w:r w:rsidRPr="00B85C79">
        <w:rPr>
          <w:sz w:val="24"/>
          <w:szCs w:val="24"/>
        </w:rPr>
        <w:t xml:space="preserve">: </w:t>
      </w:r>
    </w:p>
    <w:p w14:paraId="6C310B38" w14:textId="77777777" w:rsidR="00B85C79" w:rsidRPr="00B85C79" w:rsidRDefault="00B85C79" w:rsidP="00B85C79">
      <w:pPr>
        <w:tabs>
          <w:tab w:val="left" w:pos="851"/>
        </w:tabs>
        <w:ind w:left="851"/>
        <w:rPr>
          <w:sz w:val="24"/>
          <w:szCs w:val="24"/>
          <w:u w:val="single"/>
        </w:rPr>
      </w:pPr>
    </w:p>
    <w:p w14:paraId="308844D4" w14:textId="77777777" w:rsidR="00B85C79" w:rsidRPr="00B85C79" w:rsidRDefault="00B85C79" w:rsidP="00B85C79">
      <w:pPr>
        <w:tabs>
          <w:tab w:val="left" w:pos="851"/>
        </w:tabs>
        <w:ind w:left="851"/>
        <w:rPr>
          <w:sz w:val="24"/>
          <w:szCs w:val="24"/>
        </w:rPr>
      </w:pPr>
      <w:r w:rsidRPr="00B85C79">
        <w:rPr>
          <w:sz w:val="24"/>
          <w:szCs w:val="24"/>
        </w:rPr>
        <w:t xml:space="preserve">Der er to nødvendige trin, rekonstitution </w:t>
      </w:r>
      <w:r w:rsidRPr="00B85C79">
        <w:rPr>
          <w:b/>
          <w:bCs/>
          <w:sz w:val="24"/>
          <w:szCs w:val="24"/>
        </w:rPr>
        <w:t>og</w:t>
      </w:r>
      <w:r w:rsidRPr="00B85C79">
        <w:rPr>
          <w:sz w:val="24"/>
          <w:szCs w:val="24"/>
        </w:rPr>
        <w:t xml:space="preserve"> fortynding.</w:t>
      </w:r>
    </w:p>
    <w:p w14:paraId="76C538A0" w14:textId="2803C463" w:rsidR="00B85C79" w:rsidRPr="00B85C79" w:rsidRDefault="00B85C79" w:rsidP="00B85C79">
      <w:pPr>
        <w:numPr>
          <w:ilvl w:val="0"/>
          <w:numId w:val="8"/>
        </w:numPr>
        <w:tabs>
          <w:tab w:val="left" w:pos="851"/>
        </w:tabs>
        <w:ind w:left="1134" w:hanging="283"/>
        <w:rPr>
          <w:sz w:val="24"/>
          <w:szCs w:val="24"/>
        </w:rPr>
      </w:pPr>
      <w:r w:rsidRPr="00B85C79">
        <w:rPr>
          <w:b/>
          <w:i/>
          <w:sz w:val="24"/>
          <w:szCs w:val="24"/>
        </w:rPr>
        <w:t>Rekonstitution</w:t>
      </w:r>
      <w:r w:rsidRPr="00B85C79">
        <w:rPr>
          <w:sz w:val="24"/>
          <w:szCs w:val="24"/>
        </w:rPr>
        <w:t>: Brug ikke 0,9</w:t>
      </w:r>
      <w:r w:rsidR="00582F3E">
        <w:rPr>
          <w:sz w:val="24"/>
          <w:szCs w:val="24"/>
        </w:rPr>
        <w:t xml:space="preserve"> %</w:t>
      </w:r>
      <w:r w:rsidRPr="00B85C79">
        <w:rPr>
          <w:sz w:val="24"/>
          <w:szCs w:val="24"/>
        </w:rPr>
        <w:t xml:space="preserve"> natriumchloridopløsning på dette trin</w:t>
      </w:r>
    </w:p>
    <w:p w14:paraId="071A5A80" w14:textId="77777777" w:rsidR="00B85C79" w:rsidRPr="00B85C79" w:rsidRDefault="00B85C79" w:rsidP="008E5ABF">
      <w:pPr>
        <w:numPr>
          <w:ilvl w:val="0"/>
          <w:numId w:val="9"/>
        </w:numPr>
        <w:tabs>
          <w:tab w:val="left" w:pos="851"/>
        </w:tabs>
        <w:ind w:hanging="240"/>
        <w:rPr>
          <w:sz w:val="24"/>
          <w:szCs w:val="24"/>
        </w:rPr>
      </w:pPr>
      <w:r w:rsidRPr="00B85C79">
        <w:rPr>
          <w:sz w:val="24"/>
          <w:szCs w:val="24"/>
        </w:rPr>
        <w:t>Ryst forsigtigt hætteglasset inden rekonstitution for at løsne pulverindholdet og sikre, at det bliver korrekt opløst.</w:t>
      </w:r>
    </w:p>
    <w:p w14:paraId="190E8418" w14:textId="77777777" w:rsidR="00B85C79" w:rsidRPr="00B85C79" w:rsidRDefault="00B85C79" w:rsidP="008E5ABF">
      <w:pPr>
        <w:numPr>
          <w:ilvl w:val="0"/>
          <w:numId w:val="9"/>
        </w:numPr>
        <w:tabs>
          <w:tab w:val="left" w:pos="851"/>
        </w:tabs>
        <w:ind w:hanging="240"/>
        <w:rPr>
          <w:sz w:val="24"/>
          <w:szCs w:val="24"/>
        </w:rPr>
      </w:pPr>
      <w:r w:rsidRPr="00B85C79">
        <w:rPr>
          <w:sz w:val="24"/>
          <w:szCs w:val="24"/>
        </w:rPr>
        <w:t>Klargør en initial opløsning svarende til 50 mg/ml erythromycinbase ved at føje 10 ml vand til injektionsvæsker til indholdet i hætteglasset med Erythromycin "Panpharma" 500 mg. Sørg for, at solvensen kommer i kontakt med hele hætteglassets indervæg, når du tilsætter den (for eksempel ved at holde hætteglasset vandret).</w:t>
      </w:r>
    </w:p>
    <w:p w14:paraId="5CEE4AE8" w14:textId="77777777" w:rsidR="00B85C79" w:rsidRPr="00B85C79" w:rsidRDefault="00B85C79" w:rsidP="008E5ABF">
      <w:pPr>
        <w:numPr>
          <w:ilvl w:val="0"/>
          <w:numId w:val="9"/>
        </w:numPr>
        <w:tabs>
          <w:tab w:val="left" w:pos="851"/>
        </w:tabs>
        <w:ind w:hanging="240"/>
        <w:rPr>
          <w:sz w:val="24"/>
          <w:szCs w:val="24"/>
        </w:rPr>
      </w:pPr>
      <w:r w:rsidRPr="00B85C79">
        <w:rPr>
          <w:sz w:val="24"/>
          <w:szCs w:val="24"/>
        </w:rPr>
        <w:t>Omryst hætteglasset grundigt, indtil pulveret er helt opløst. Det kan være svært at opløse pulveret, og det kan tage nogle minutter.</w:t>
      </w:r>
    </w:p>
    <w:p w14:paraId="3CBC9D58" w14:textId="77777777" w:rsidR="00B85C79" w:rsidRPr="00B85C79" w:rsidRDefault="00B85C79" w:rsidP="00B85C79">
      <w:pPr>
        <w:tabs>
          <w:tab w:val="left" w:pos="851"/>
        </w:tabs>
        <w:ind w:left="851"/>
        <w:rPr>
          <w:sz w:val="24"/>
          <w:szCs w:val="24"/>
        </w:rPr>
      </w:pPr>
      <w:r w:rsidRPr="00B85C79">
        <w:rPr>
          <w:sz w:val="24"/>
          <w:szCs w:val="24"/>
        </w:rPr>
        <w:t>Den rekonstituerede opløsning kan opbevares i køleskabet i 24 timer.</w:t>
      </w:r>
    </w:p>
    <w:p w14:paraId="2AED0480" w14:textId="77777777" w:rsidR="00B85C79" w:rsidRPr="00B85C79" w:rsidRDefault="00B85C79" w:rsidP="00B85C79">
      <w:pPr>
        <w:tabs>
          <w:tab w:val="left" w:pos="851"/>
        </w:tabs>
        <w:ind w:left="851"/>
        <w:rPr>
          <w:sz w:val="24"/>
          <w:szCs w:val="24"/>
        </w:rPr>
      </w:pPr>
    </w:p>
    <w:p w14:paraId="61D25992" w14:textId="77777777" w:rsidR="00B85C79" w:rsidRPr="00B85C79" w:rsidRDefault="00B85C79" w:rsidP="00B85C79">
      <w:pPr>
        <w:numPr>
          <w:ilvl w:val="0"/>
          <w:numId w:val="8"/>
        </w:numPr>
        <w:tabs>
          <w:tab w:val="left" w:pos="851"/>
        </w:tabs>
        <w:ind w:left="1134" w:hanging="283"/>
        <w:rPr>
          <w:b/>
          <w:bCs/>
          <w:i/>
          <w:iCs/>
          <w:sz w:val="24"/>
          <w:szCs w:val="24"/>
        </w:rPr>
      </w:pPr>
      <w:r w:rsidRPr="00B85C79">
        <w:rPr>
          <w:b/>
          <w:bCs/>
          <w:i/>
          <w:iCs/>
          <w:sz w:val="24"/>
          <w:szCs w:val="24"/>
        </w:rPr>
        <w:t>Fortynding</w:t>
      </w:r>
    </w:p>
    <w:p w14:paraId="5DC32348" w14:textId="31CE3927" w:rsidR="00B85C79" w:rsidRPr="00B85C79" w:rsidRDefault="00B85C79" w:rsidP="00B85C79">
      <w:pPr>
        <w:tabs>
          <w:tab w:val="left" w:pos="851"/>
        </w:tabs>
        <w:ind w:left="851"/>
        <w:rPr>
          <w:sz w:val="24"/>
          <w:szCs w:val="24"/>
        </w:rPr>
      </w:pPr>
      <w:r w:rsidRPr="00B85C79">
        <w:rPr>
          <w:sz w:val="24"/>
          <w:szCs w:val="24"/>
        </w:rPr>
        <w:t>Der bør kun anvendes 0,9</w:t>
      </w:r>
      <w:r w:rsidR="00582F3E">
        <w:rPr>
          <w:sz w:val="24"/>
          <w:szCs w:val="24"/>
        </w:rPr>
        <w:t xml:space="preserve"> %</w:t>
      </w:r>
      <w:r w:rsidRPr="00B85C79">
        <w:rPr>
          <w:sz w:val="24"/>
          <w:szCs w:val="24"/>
        </w:rPr>
        <w:t xml:space="preserve"> natriumchloridopløsning eller 5</w:t>
      </w:r>
      <w:r w:rsidR="00582F3E">
        <w:rPr>
          <w:sz w:val="24"/>
          <w:szCs w:val="24"/>
        </w:rPr>
        <w:t xml:space="preserve"> %</w:t>
      </w:r>
      <w:r w:rsidRPr="00B85C79">
        <w:rPr>
          <w:sz w:val="24"/>
          <w:szCs w:val="24"/>
        </w:rPr>
        <w:t xml:space="preserve"> glucoseopløsning.</w:t>
      </w:r>
    </w:p>
    <w:p w14:paraId="222D7AEB" w14:textId="77777777" w:rsidR="00B85C79" w:rsidRPr="00B85C79" w:rsidRDefault="00B85C79" w:rsidP="008E5ABF">
      <w:pPr>
        <w:numPr>
          <w:ilvl w:val="0"/>
          <w:numId w:val="7"/>
        </w:numPr>
        <w:tabs>
          <w:tab w:val="left" w:pos="851"/>
        </w:tabs>
        <w:ind w:left="1134" w:hanging="283"/>
        <w:rPr>
          <w:sz w:val="24"/>
          <w:szCs w:val="24"/>
        </w:rPr>
      </w:pPr>
      <w:r w:rsidRPr="00B85C79">
        <w:rPr>
          <w:sz w:val="24"/>
          <w:szCs w:val="24"/>
        </w:rPr>
        <w:t>Intermitterende infusion: Opløsningen klargøres ved at blande indholdet i hætteglasset med rekonstitueret Erythromycin "Panpharma" 500 mg (10 ml) med 100 ml eller 250 ml af en af fortyndingssolvenserne for at opnå en slutkoncentration af den fortyndede opløsning på henholdsvis 5 mg/ml eller 2 mg/ml.</w:t>
      </w:r>
    </w:p>
    <w:p w14:paraId="45D14337" w14:textId="77777777" w:rsidR="00B85C79" w:rsidRPr="00B85C79" w:rsidRDefault="00B85C79" w:rsidP="008E5ABF">
      <w:pPr>
        <w:numPr>
          <w:ilvl w:val="0"/>
          <w:numId w:val="7"/>
        </w:numPr>
        <w:tabs>
          <w:tab w:val="left" w:pos="851"/>
        </w:tabs>
        <w:ind w:left="1134" w:hanging="283"/>
        <w:rPr>
          <w:sz w:val="24"/>
          <w:szCs w:val="24"/>
        </w:rPr>
      </w:pPr>
      <w:r w:rsidRPr="00B85C79">
        <w:rPr>
          <w:sz w:val="24"/>
          <w:szCs w:val="24"/>
        </w:rPr>
        <w:t>Kontinuerlig infusion: Opløsningen klargøres ved at blande indholdet i hætteglasset med rekonstitueret Erythromycin "Panpharma" 500 mg (10 ml) med 250 ml eller 500 ml af en af fortyndingssolvenserne for at opnå en slutkoncentration af den fortyndede opløsning på henholdsvis 2 mg/ml eller 1 mg/ml.</w:t>
      </w:r>
    </w:p>
    <w:p w14:paraId="080C7784" w14:textId="77777777" w:rsidR="00B85C79" w:rsidRPr="00B85C79" w:rsidRDefault="00B85C79" w:rsidP="00B85C79">
      <w:pPr>
        <w:tabs>
          <w:tab w:val="left" w:pos="851"/>
        </w:tabs>
        <w:ind w:left="851"/>
        <w:rPr>
          <w:sz w:val="24"/>
          <w:szCs w:val="24"/>
        </w:rPr>
      </w:pPr>
    </w:p>
    <w:p w14:paraId="6151B0F5" w14:textId="77777777" w:rsidR="00B85C79" w:rsidRPr="00B85C79" w:rsidRDefault="00B85C79" w:rsidP="00B85C79">
      <w:pPr>
        <w:tabs>
          <w:tab w:val="left" w:pos="851"/>
        </w:tabs>
        <w:ind w:left="851"/>
        <w:rPr>
          <w:sz w:val="24"/>
          <w:szCs w:val="24"/>
        </w:rPr>
      </w:pPr>
      <w:r w:rsidRPr="00B85C79">
        <w:rPr>
          <w:sz w:val="24"/>
          <w:szCs w:val="24"/>
        </w:rPr>
        <w:t xml:space="preserve">Den fortyndede opløsning kan opbevares i køleskabet i 24 timer. </w:t>
      </w:r>
    </w:p>
    <w:p w14:paraId="15FE9514" w14:textId="77777777" w:rsidR="00B85C79" w:rsidRPr="00B85C79" w:rsidRDefault="00B85C79" w:rsidP="00B85C79">
      <w:pPr>
        <w:tabs>
          <w:tab w:val="left" w:pos="851"/>
        </w:tabs>
        <w:ind w:left="851"/>
        <w:rPr>
          <w:sz w:val="24"/>
          <w:szCs w:val="24"/>
        </w:rPr>
      </w:pPr>
      <w:r w:rsidRPr="00B85C79">
        <w:rPr>
          <w:sz w:val="24"/>
          <w:szCs w:val="24"/>
        </w:rPr>
        <w:t>Den fortyndede opløsning indgives uden tilsætning af andre substanser overhovedet.</w:t>
      </w:r>
    </w:p>
    <w:p w14:paraId="62A9CD39" w14:textId="77777777" w:rsidR="00B85C79" w:rsidRPr="00B85C79" w:rsidRDefault="00B85C79" w:rsidP="00B85C79">
      <w:pPr>
        <w:tabs>
          <w:tab w:val="left" w:pos="851"/>
        </w:tabs>
        <w:ind w:left="851"/>
        <w:rPr>
          <w:sz w:val="24"/>
          <w:szCs w:val="24"/>
        </w:rPr>
      </w:pPr>
    </w:p>
    <w:p w14:paraId="2732DCF3" w14:textId="77777777" w:rsidR="00B85C79" w:rsidRPr="00B85C79" w:rsidRDefault="00B85C79" w:rsidP="00B85C79">
      <w:pPr>
        <w:tabs>
          <w:tab w:val="left" w:pos="851"/>
        </w:tabs>
        <w:ind w:left="851"/>
        <w:rPr>
          <w:sz w:val="24"/>
          <w:szCs w:val="24"/>
        </w:rPr>
      </w:pPr>
      <w:r w:rsidRPr="00B85C79">
        <w:rPr>
          <w:sz w:val="24"/>
          <w:szCs w:val="24"/>
        </w:rPr>
        <w:t>Hos børn justeres mængden af den første opløsning til fortynding og mængden af infusion med den valgte dosis i henhold til barnets vægt.</w:t>
      </w:r>
    </w:p>
    <w:p w14:paraId="65531690" w14:textId="77777777" w:rsidR="00B85C79" w:rsidRPr="00B85C79" w:rsidRDefault="00B85C79" w:rsidP="00B85C79">
      <w:pPr>
        <w:tabs>
          <w:tab w:val="left" w:pos="851"/>
        </w:tabs>
        <w:ind w:left="851"/>
        <w:rPr>
          <w:sz w:val="24"/>
          <w:szCs w:val="24"/>
        </w:rPr>
      </w:pPr>
    </w:p>
    <w:p w14:paraId="3F958CAC" w14:textId="77777777" w:rsidR="00B85C79" w:rsidRPr="00B85C79" w:rsidRDefault="00B85C79" w:rsidP="00B85C79">
      <w:pPr>
        <w:tabs>
          <w:tab w:val="left" w:pos="851"/>
        </w:tabs>
        <w:ind w:left="851"/>
        <w:rPr>
          <w:sz w:val="24"/>
          <w:szCs w:val="24"/>
        </w:rPr>
      </w:pPr>
      <w:r w:rsidRPr="00B85C79">
        <w:rPr>
          <w:sz w:val="24"/>
          <w:szCs w:val="24"/>
        </w:rPr>
        <w:t>Ikke anvendt lægemiddel samt affald heraf skal bortskaffes i henhold til lokale retningslinjer.</w:t>
      </w:r>
    </w:p>
    <w:p w14:paraId="59ABD368" w14:textId="77777777" w:rsidR="009260DE" w:rsidRPr="00C84483" w:rsidRDefault="009260DE" w:rsidP="000730CA">
      <w:pPr>
        <w:tabs>
          <w:tab w:val="left" w:pos="851"/>
        </w:tabs>
        <w:ind w:left="851"/>
        <w:rPr>
          <w:sz w:val="24"/>
          <w:szCs w:val="24"/>
        </w:rPr>
      </w:pPr>
    </w:p>
    <w:p w14:paraId="2FDA1C3E"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373A3BB4" w14:textId="77777777" w:rsidR="009757A3" w:rsidRPr="008C1818" w:rsidRDefault="009757A3" w:rsidP="009757A3">
      <w:pPr>
        <w:tabs>
          <w:tab w:val="left" w:pos="851"/>
        </w:tabs>
        <w:ind w:left="851"/>
        <w:rPr>
          <w:sz w:val="24"/>
          <w:szCs w:val="24"/>
        </w:rPr>
      </w:pPr>
      <w:r w:rsidRPr="008C1818">
        <w:rPr>
          <w:sz w:val="24"/>
          <w:szCs w:val="24"/>
        </w:rPr>
        <w:t>Panpharma SA</w:t>
      </w:r>
    </w:p>
    <w:p w14:paraId="50112A7A" w14:textId="77777777" w:rsidR="009757A3" w:rsidRPr="008C1818" w:rsidRDefault="009757A3" w:rsidP="009757A3">
      <w:pPr>
        <w:tabs>
          <w:tab w:val="left" w:pos="851"/>
        </w:tabs>
        <w:ind w:left="851"/>
        <w:rPr>
          <w:sz w:val="24"/>
          <w:szCs w:val="24"/>
        </w:rPr>
      </w:pPr>
      <w:r w:rsidRPr="008C1818">
        <w:rPr>
          <w:sz w:val="24"/>
          <w:szCs w:val="24"/>
        </w:rPr>
        <w:t>Z.I. du Clairay</w:t>
      </w:r>
    </w:p>
    <w:p w14:paraId="3D976C1A" w14:textId="77777777" w:rsidR="009757A3" w:rsidRPr="008C1818" w:rsidRDefault="009757A3" w:rsidP="009757A3">
      <w:pPr>
        <w:tabs>
          <w:tab w:val="left" w:pos="851"/>
        </w:tabs>
        <w:ind w:left="851"/>
        <w:rPr>
          <w:sz w:val="24"/>
          <w:szCs w:val="24"/>
        </w:rPr>
      </w:pPr>
      <w:r w:rsidRPr="008C1818">
        <w:rPr>
          <w:sz w:val="24"/>
          <w:szCs w:val="24"/>
        </w:rPr>
        <w:t>35133 Fougeres, Luitre</w:t>
      </w:r>
    </w:p>
    <w:p w14:paraId="751AFCDB" w14:textId="77777777" w:rsidR="009757A3" w:rsidRPr="009757A3" w:rsidRDefault="009757A3" w:rsidP="009757A3">
      <w:pPr>
        <w:tabs>
          <w:tab w:val="left" w:pos="851"/>
        </w:tabs>
        <w:ind w:left="851"/>
        <w:rPr>
          <w:sz w:val="24"/>
          <w:szCs w:val="24"/>
        </w:rPr>
      </w:pPr>
      <w:r w:rsidRPr="009757A3">
        <w:rPr>
          <w:sz w:val="24"/>
          <w:szCs w:val="24"/>
        </w:rPr>
        <w:t>Frankrig</w:t>
      </w:r>
    </w:p>
    <w:p w14:paraId="3505B884" w14:textId="77777777" w:rsidR="009260DE" w:rsidRDefault="009260DE" w:rsidP="009260DE">
      <w:pPr>
        <w:tabs>
          <w:tab w:val="left" w:pos="851"/>
        </w:tabs>
        <w:ind w:left="851"/>
        <w:rPr>
          <w:sz w:val="24"/>
          <w:szCs w:val="24"/>
        </w:rPr>
      </w:pPr>
    </w:p>
    <w:p w14:paraId="0E2FB96F"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57E9A28D" w14:textId="58D66275" w:rsidR="009260DE" w:rsidRPr="00C84483" w:rsidRDefault="00536B46" w:rsidP="009260DE">
      <w:pPr>
        <w:tabs>
          <w:tab w:val="left" w:pos="851"/>
        </w:tabs>
        <w:ind w:left="851"/>
        <w:rPr>
          <w:sz w:val="24"/>
          <w:szCs w:val="24"/>
        </w:rPr>
      </w:pPr>
      <w:r>
        <w:rPr>
          <w:sz w:val="24"/>
          <w:szCs w:val="24"/>
        </w:rPr>
        <w:t>67333</w:t>
      </w:r>
    </w:p>
    <w:p w14:paraId="390DE326" w14:textId="77777777" w:rsidR="009260DE" w:rsidRPr="00C84483" w:rsidRDefault="009260DE" w:rsidP="009260DE">
      <w:pPr>
        <w:tabs>
          <w:tab w:val="left" w:pos="851"/>
        </w:tabs>
        <w:ind w:left="851"/>
        <w:jc w:val="both"/>
        <w:rPr>
          <w:sz w:val="24"/>
          <w:szCs w:val="24"/>
        </w:rPr>
      </w:pPr>
    </w:p>
    <w:p w14:paraId="64D0002B"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1AA369E2" w14:textId="276CDD01" w:rsidR="009260DE" w:rsidRPr="00C84483" w:rsidRDefault="00170E64" w:rsidP="009260DE">
      <w:pPr>
        <w:tabs>
          <w:tab w:val="left" w:pos="851"/>
        </w:tabs>
        <w:ind w:left="851"/>
        <w:rPr>
          <w:sz w:val="24"/>
          <w:szCs w:val="24"/>
        </w:rPr>
      </w:pPr>
      <w:r>
        <w:rPr>
          <w:sz w:val="24"/>
          <w:szCs w:val="24"/>
        </w:rPr>
        <w:t>2. juli 2014 (pulver til infusionsvæske, opløsning 1 g)</w:t>
      </w:r>
    </w:p>
    <w:p w14:paraId="0A21CB09" w14:textId="77777777" w:rsidR="009260DE" w:rsidRPr="00C84483" w:rsidRDefault="009260DE" w:rsidP="009260DE">
      <w:pPr>
        <w:tabs>
          <w:tab w:val="left" w:pos="851"/>
        </w:tabs>
        <w:ind w:left="851"/>
        <w:rPr>
          <w:sz w:val="24"/>
          <w:szCs w:val="24"/>
        </w:rPr>
      </w:pPr>
    </w:p>
    <w:p w14:paraId="4D76DA22"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639B173A" w14:textId="107D9384" w:rsidR="009260DE" w:rsidRPr="00C84483" w:rsidRDefault="00170E64" w:rsidP="009260DE">
      <w:pPr>
        <w:tabs>
          <w:tab w:val="left" w:pos="851"/>
        </w:tabs>
        <w:ind w:left="851"/>
        <w:rPr>
          <w:sz w:val="24"/>
          <w:szCs w:val="24"/>
        </w:rPr>
      </w:pPr>
      <w:r>
        <w:rPr>
          <w:sz w:val="24"/>
          <w:szCs w:val="24"/>
        </w:rPr>
        <w:t>-</w:t>
      </w:r>
      <w:bookmarkStart w:id="0" w:name="_GoBack"/>
      <w:bookmarkEnd w:id="0"/>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29E73" w14:textId="77777777" w:rsidR="003623D5" w:rsidRDefault="003623D5">
      <w:r>
        <w:separator/>
      </w:r>
    </w:p>
  </w:endnote>
  <w:endnote w:type="continuationSeparator" w:id="0">
    <w:p w14:paraId="534F5ADC" w14:textId="77777777" w:rsidR="003623D5" w:rsidRDefault="00362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64228" w14:textId="77777777" w:rsidR="003623D5" w:rsidRDefault="003623D5">
    <w:pPr>
      <w:pStyle w:val="Sidefod"/>
      <w:pBdr>
        <w:bottom w:val="single" w:sz="6" w:space="1" w:color="auto"/>
      </w:pBdr>
    </w:pPr>
  </w:p>
  <w:p w14:paraId="75A4E686" w14:textId="77777777" w:rsidR="003623D5" w:rsidRDefault="003623D5" w:rsidP="00C42586">
    <w:pPr>
      <w:pStyle w:val="Sidefod"/>
      <w:tabs>
        <w:tab w:val="clear" w:pos="4819"/>
        <w:tab w:val="left" w:pos="8505"/>
      </w:tabs>
      <w:rPr>
        <w:i/>
        <w:sz w:val="18"/>
        <w:szCs w:val="18"/>
      </w:rPr>
    </w:pPr>
  </w:p>
  <w:p w14:paraId="522C9565" w14:textId="4BE90B66" w:rsidR="003623D5" w:rsidRPr="00B373D7" w:rsidRDefault="003623D5"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Erythromycin Panpharma, pulver til infusionsvæske, opløsning 500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047FE0" w14:textId="77777777" w:rsidR="003623D5" w:rsidRDefault="003623D5">
      <w:r>
        <w:separator/>
      </w:r>
    </w:p>
  </w:footnote>
  <w:footnote w:type="continuationSeparator" w:id="0">
    <w:p w14:paraId="39395E0A" w14:textId="77777777" w:rsidR="003623D5" w:rsidRDefault="003623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E7444"/>
    <w:multiLevelType w:val="hybridMultilevel"/>
    <w:tmpl w:val="8D38274A"/>
    <w:lvl w:ilvl="0" w:tplc="D5D0110E">
      <w:start w:val="10"/>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6CA68FD"/>
    <w:multiLevelType w:val="hybridMultilevel"/>
    <w:tmpl w:val="167A9CC2"/>
    <w:lvl w:ilvl="0" w:tplc="04060019">
      <w:start w:val="1"/>
      <w:numFmt w:val="lowerLetter"/>
      <w:lvlText w:val="%1."/>
      <w:lvlJc w:val="left"/>
      <w:pPr>
        <w:ind w:left="1374" w:hanging="360"/>
      </w:pPr>
    </w:lvl>
    <w:lvl w:ilvl="1" w:tplc="04060019">
      <w:start w:val="1"/>
      <w:numFmt w:val="lowerLetter"/>
      <w:lvlText w:val="%2."/>
      <w:lvlJc w:val="left"/>
      <w:pPr>
        <w:ind w:left="2094" w:hanging="360"/>
      </w:pPr>
    </w:lvl>
    <w:lvl w:ilvl="2" w:tplc="0406001B">
      <w:start w:val="1"/>
      <w:numFmt w:val="lowerRoman"/>
      <w:lvlText w:val="%3."/>
      <w:lvlJc w:val="right"/>
      <w:pPr>
        <w:ind w:left="2814" w:hanging="180"/>
      </w:pPr>
    </w:lvl>
    <w:lvl w:ilvl="3" w:tplc="0406000F">
      <w:start w:val="1"/>
      <w:numFmt w:val="decimal"/>
      <w:lvlText w:val="%4."/>
      <w:lvlJc w:val="left"/>
      <w:pPr>
        <w:ind w:left="3534" w:hanging="360"/>
      </w:pPr>
    </w:lvl>
    <w:lvl w:ilvl="4" w:tplc="04060019">
      <w:start w:val="1"/>
      <w:numFmt w:val="lowerLetter"/>
      <w:lvlText w:val="%5."/>
      <w:lvlJc w:val="left"/>
      <w:pPr>
        <w:ind w:left="4254" w:hanging="360"/>
      </w:pPr>
    </w:lvl>
    <w:lvl w:ilvl="5" w:tplc="0406001B">
      <w:start w:val="1"/>
      <w:numFmt w:val="lowerRoman"/>
      <w:lvlText w:val="%6."/>
      <w:lvlJc w:val="right"/>
      <w:pPr>
        <w:ind w:left="4974" w:hanging="180"/>
      </w:pPr>
    </w:lvl>
    <w:lvl w:ilvl="6" w:tplc="0406000F">
      <w:start w:val="1"/>
      <w:numFmt w:val="decimal"/>
      <w:lvlText w:val="%7."/>
      <w:lvlJc w:val="left"/>
      <w:pPr>
        <w:ind w:left="5694" w:hanging="360"/>
      </w:pPr>
    </w:lvl>
    <w:lvl w:ilvl="7" w:tplc="04060019">
      <w:start w:val="1"/>
      <w:numFmt w:val="lowerLetter"/>
      <w:lvlText w:val="%8."/>
      <w:lvlJc w:val="left"/>
      <w:pPr>
        <w:ind w:left="6414" w:hanging="360"/>
      </w:pPr>
    </w:lvl>
    <w:lvl w:ilvl="8" w:tplc="0406001B">
      <w:start w:val="1"/>
      <w:numFmt w:val="lowerRoman"/>
      <w:lvlText w:val="%9."/>
      <w:lvlJc w:val="right"/>
      <w:pPr>
        <w:ind w:left="7134" w:hanging="180"/>
      </w:pPr>
    </w:lvl>
  </w:abstractNum>
  <w:abstractNum w:abstractNumId="3" w15:restartNumberingAfterBreak="0">
    <w:nsid w:val="20A1044B"/>
    <w:multiLevelType w:val="hybridMultilevel"/>
    <w:tmpl w:val="E3028070"/>
    <w:lvl w:ilvl="0" w:tplc="2760D914">
      <w:start w:val="4"/>
      <w:numFmt w:val="bullet"/>
      <w:lvlText w:val="-"/>
      <w:lvlJc w:val="left"/>
      <w:pPr>
        <w:ind w:left="1287" w:hanging="360"/>
      </w:pPr>
      <w:rPr>
        <w:rFonts w:ascii="Times New Roman" w:eastAsia="Times New Roman" w:hAnsi="Times New Roman" w:cs="Times New Roman" w:hint="default"/>
      </w:rPr>
    </w:lvl>
    <w:lvl w:ilvl="1" w:tplc="040C0003">
      <w:start w:val="1"/>
      <w:numFmt w:val="bullet"/>
      <w:lvlText w:val="o"/>
      <w:lvlJc w:val="left"/>
      <w:pPr>
        <w:ind w:left="2007" w:hanging="360"/>
      </w:pPr>
      <w:rPr>
        <w:rFonts w:ascii="Courier New" w:hAnsi="Courier New" w:cs="Times New Roman" w:hint="default"/>
      </w:rPr>
    </w:lvl>
    <w:lvl w:ilvl="2" w:tplc="040C0005">
      <w:start w:val="1"/>
      <w:numFmt w:val="bullet"/>
      <w:lvlText w:val=""/>
      <w:lvlJc w:val="left"/>
      <w:pPr>
        <w:ind w:left="2727" w:hanging="360"/>
      </w:pPr>
      <w:rPr>
        <w:rFonts w:ascii="Wingdings" w:hAnsi="Wingdings" w:hint="default"/>
      </w:rPr>
    </w:lvl>
    <w:lvl w:ilvl="3" w:tplc="040C0001">
      <w:start w:val="1"/>
      <w:numFmt w:val="bullet"/>
      <w:lvlText w:val=""/>
      <w:lvlJc w:val="left"/>
      <w:pPr>
        <w:ind w:left="3447" w:hanging="360"/>
      </w:pPr>
      <w:rPr>
        <w:rFonts w:ascii="Symbol" w:hAnsi="Symbol" w:hint="default"/>
      </w:rPr>
    </w:lvl>
    <w:lvl w:ilvl="4" w:tplc="040C0003">
      <w:start w:val="1"/>
      <w:numFmt w:val="bullet"/>
      <w:lvlText w:val="o"/>
      <w:lvlJc w:val="left"/>
      <w:pPr>
        <w:ind w:left="4167" w:hanging="360"/>
      </w:pPr>
      <w:rPr>
        <w:rFonts w:ascii="Courier New" w:hAnsi="Courier New" w:cs="Times New Roman" w:hint="default"/>
      </w:rPr>
    </w:lvl>
    <w:lvl w:ilvl="5" w:tplc="040C0005">
      <w:start w:val="1"/>
      <w:numFmt w:val="bullet"/>
      <w:lvlText w:val=""/>
      <w:lvlJc w:val="left"/>
      <w:pPr>
        <w:ind w:left="4887" w:hanging="360"/>
      </w:pPr>
      <w:rPr>
        <w:rFonts w:ascii="Wingdings" w:hAnsi="Wingdings" w:hint="default"/>
      </w:rPr>
    </w:lvl>
    <w:lvl w:ilvl="6" w:tplc="040C0001">
      <w:start w:val="1"/>
      <w:numFmt w:val="bullet"/>
      <w:lvlText w:val=""/>
      <w:lvlJc w:val="left"/>
      <w:pPr>
        <w:ind w:left="5607" w:hanging="360"/>
      </w:pPr>
      <w:rPr>
        <w:rFonts w:ascii="Symbol" w:hAnsi="Symbol" w:hint="default"/>
      </w:rPr>
    </w:lvl>
    <w:lvl w:ilvl="7" w:tplc="040C0003">
      <w:start w:val="1"/>
      <w:numFmt w:val="bullet"/>
      <w:lvlText w:val="o"/>
      <w:lvlJc w:val="left"/>
      <w:pPr>
        <w:ind w:left="6327" w:hanging="360"/>
      </w:pPr>
      <w:rPr>
        <w:rFonts w:ascii="Courier New" w:hAnsi="Courier New" w:cs="Times New Roman" w:hint="default"/>
      </w:rPr>
    </w:lvl>
    <w:lvl w:ilvl="8" w:tplc="040C0005">
      <w:start w:val="1"/>
      <w:numFmt w:val="bullet"/>
      <w:lvlText w:val=""/>
      <w:lvlJc w:val="left"/>
      <w:pPr>
        <w:ind w:left="7047"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7EC46BC3"/>
    <w:multiLevelType w:val="hybridMultilevel"/>
    <w:tmpl w:val="CF8CA320"/>
    <w:lvl w:ilvl="0" w:tplc="529A37BE">
      <w:start w:val="1"/>
      <w:numFmt w:val="decimal"/>
      <w:lvlText w:val="%1."/>
      <w:lvlJc w:val="left"/>
      <w:pPr>
        <w:ind w:left="720" w:hanging="360"/>
      </w:pPr>
      <w:rPr>
        <w:b/>
        <w:i/>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AD8"/>
    <w:rsid w:val="000259B9"/>
    <w:rsid w:val="00041491"/>
    <w:rsid w:val="00050D16"/>
    <w:rsid w:val="000730CA"/>
    <w:rsid w:val="00074F2A"/>
    <w:rsid w:val="000A1CA8"/>
    <w:rsid w:val="000A466B"/>
    <w:rsid w:val="000B058C"/>
    <w:rsid w:val="000C3FFB"/>
    <w:rsid w:val="000D68B0"/>
    <w:rsid w:val="000E4EE6"/>
    <w:rsid w:val="001454E2"/>
    <w:rsid w:val="00170E64"/>
    <w:rsid w:val="001B7A60"/>
    <w:rsid w:val="00206CE8"/>
    <w:rsid w:val="0021526C"/>
    <w:rsid w:val="00243D9C"/>
    <w:rsid w:val="00283A2B"/>
    <w:rsid w:val="002B30AD"/>
    <w:rsid w:val="002C1EC0"/>
    <w:rsid w:val="002C2C01"/>
    <w:rsid w:val="003623D5"/>
    <w:rsid w:val="00364AF0"/>
    <w:rsid w:val="003A29AE"/>
    <w:rsid w:val="003A32D7"/>
    <w:rsid w:val="003B4074"/>
    <w:rsid w:val="003C50E0"/>
    <w:rsid w:val="003C769A"/>
    <w:rsid w:val="003D3A90"/>
    <w:rsid w:val="003E1CCE"/>
    <w:rsid w:val="003F1838"/>
    <w:rsid w:val="004251C1"/>
    <w:rsid w:val="0045746C"/>
    <w:rsid w:val="0049104B"/>
    <w:rsid w:val="004921DB"/>
    <w:rsid w:val="004E3B12"/>
    <w:rsid w:val="004F0BA2"/>
    <w:rsid w:val="00517A08"/>
    <w:rsid w:val="00532310"/>
    <w:rsid w:val="00536B46"/>
    <w:rsid w:val="00565F0F"/>
    <w:rsid w:val="00582F3E"/>
    <w:rsid w:val="00594A86"/>
    <w:rsid w:val="00596D86"/>
    <w:rsid w:val="00637F5A"/>
    <w:rsid w:val="00641C65"/>
    <w:rsid w:val="006560B1"/>
    <w:rsid w:val="006756DD"/>
    <w:rsid w:val="006D33D5"/>
    <w:rsid w:val="0071241E"/>
    <w:rsid w:val="00737275"/>
    <w:rsid w:val="00740EEC"/>
    <w:rsid w:val="0078011A"/>
    <w:rsid w:val="00782AF4"/>
    <w:rsid w:val="00790EE7"/>
    <w:rsid w:val="007A0AD8"/>
    <w:rsid w:val="007B6649"/>
    <w:rsid w:val="0082576E"/>
    <w:rsid w:val="0089346F"/>
    <w:rsid w:val="00894B9B"/>
    <w:rsid w:val="008C1818"/>
    <w:rsid w:val="008E5ABF"/>
    <w:rsid w:val="00907F75"/>
    <w:rsid w:val="00912462"/>
    <w:rsid w:val="00922973"/>
    <w:rsid w:val="009260DE"/>
    <w:rsid w:val="0093258A"/>
    <w:rsid w:val="009757A3"/>
    <w:rsid w:val="009C7BA3"/>
    <w:rsid w:val="009D1F5A"/>
    <w:rsid w:val="00A10294"/>
    <w:rsid w:val="00A42C86"/>
    <w:rsid w:val="00A62B5D"/>
    <w:rsid w:val="00A73888"/>
    <w:rsid w:val="00B003BF"/>
    <w:rsid w:val="00B373D7"/>
    <w:rsid w:val="00B50972"/>
    <w:rsid w:val="00B55271"/>
    <w:rsid w:val="00B5658C"/>
    <w:rsid w:val="00B85C79"/>
    <w:rsid w:val="00BB22E1"/>
    <w:rsid w:val="00BB70C5"/>
    <w:rsid w:val="00BD7931"/>
    <w:rsid w:val="00BF6243"/>
    <w:rsid w:val="00C36276"/>
    <w:rsid w:val="00C42586"/>
    <w:rsid w:val="00C45F6B"/>
    <w:rsid w:val="00C60CCD"/>
    <w:rsid w:val="00C84483"/>
    <w:rsid w:val="00C95551"/>
    <w:rsid w:val="00CB20D7"/>
    <w:rsid w:val="00D020B0"/>
    <w:rsid w:val="00D11748"/>
    <w:rsid w:val="00D237F6"/>
    <w:rsid w:val="00D2445A"/>
    <w:rsid w:val="00D34D98"/>
    <w:rsid w:val="00D366CF"/>
    <w:rsid w:val="00D52E88"/>
    <w:rsid w:val="00D93992"/>
    <w:rsid w:val="00DC4CA9"/>
    <w:rsid w:val="00E108AA"/>
    <w:rsid w:val="00E3749A"/>
    <w:rsid w:val="00E7437F"/>
    <w:rsid w:val="00E865B8"/>
    <w:rsid w:val="00E95617"/>
    <w:rsid w:val="00EC0B9B"/>
    <w:rsid w:val="00ED5E9F"/>
    <w:rsid w:val="00F66D4F"/>
    <w:rsid w:val="00F72888"/>
    <w:rsid w:val="00FB6D01"/>
    <w:rsid w:val="00FD04D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DE1BDAF"/>
  <w15:chartTrackingRefBased/>
  <w15:docId w15:val="{1508314E-3BB3-4F83-B13F-FA9A43E88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243D9C"/>
    <w:pPr>
      <w:autoSpaceDE w:val="0"/>
      <w:autoSpaceDN w:val="0"/>
      <w:adjustRightInd w:val="0"/>
    </w:pPr>
    <w:rPr>
      <w:rFonts w:ascii="Arial" w:eastAsia="Calibri" w:hAnsi="Arial" w:cs="Arial"/>
      <w:color w:val="000000"/>
      <w:sz w:val="24"/>
      <w:szCs w:val="24"/>
      <w:lang w:eastAsia="en-US"/>
    </w:rPr>
  </w:style>
  <w:style w:type="paragraph" w:styleId="Listeafsnit">
    <w:name w:val="List Paragraph"/>
    <w:basedOn w:val="Normal"/>
    <w:uiPriority w:val="34"/>
    <w:qFormat/>
    <w:rsid w:val="003623D5"/>
    <w:pPr>
      <w:ind w:left="720"/>
      <w:contextualSpacing/>
    </w:pPr>
    <w:rPr>
      <w:sz w:val="20"/>
      <w:lang w:eastAsia="fr-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6871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38046067">
      <w:bodyDiv w:val="1"/>
      <w:marLeft w:val="0"/>
      <w:marRight w:val="0"/>
      <w:marTop w:val="0"/>
      <w:marBottom w:val="0"/>
      <w:divBdr>
        <w:top w:val="none" w:sz="0" w:space="0" w:color="auto"/>
        <w:left w:val="none" w:sz="0" w:space="0" w:color="auto"/>
        <w:bottom w:val="none" w:sz="0" w:space="0" w:color="auto"/>
        <w:right w:val="none" w:sz="0" w:space="0" w:color="auto"/>
      </w:divBdr>
    </w:div>
    <w:div w:id="355232013">
      <w:bodyDiv w:val="1"/>
      <w:marLeft w:val="0"/>
      <w:marRight w:val="0"/>
      <w:marTop w:val="0"/>
      <w:marBottom w:val="0"/>
      <w:divBdr>
        <w:top w:val="none" w:sz="0" w:space="0" w:color="auto"/>
        <w:left w:val="none" w:sz="0" w:space="0" w:color="auto"/>
        <w:bottom w:val="none" w:sz="0" w:space="0" w:color="auto"/>
        <w:right w:val="none" w:sz="0" w:space="0" w:color="auto"/>
      </w:divBdr>
    </w:div>
    <w:div w:id="379787340">
      <w:bodyDiv w:val="1"/>
      <w:marLeft w:val="0"/>
      <w:marRight w:val="0"/>
      <w:marTop w:val="0"/>
      <w:marBottom w:val="0"/>
      <w:divBdr>
        <w:top w:val="none" w:sz="0" w:space="0" w:color="auto"/>
        <w:left w:val="none" w:sz="0" w:space="0" w:color="auto"/>
        <w:bottom w:val="none" w:sz="0" w:space="0" w:color="auto"/>
        <w:right w:val="none" w:sz="0" w:space="0" w:color="auto"/>
      </w:divBdr>
    </w:div>
    <w:div w:id="458962747">
      <w:bodyDiv w:val="1"/>
      <w:marLeft w:val="0"/>
      <w:marRight w:val="0"/>
      <w:marTop w:val="0"/>
      <w:marBottom w:val="0"/>
      <w:divBdr>
        <w:top w:val="none" w:sz="0" w:space="0" w:color="auto"/>
        <w:left w:val="none" w:sz="0" w:space="0" w:color="auto"/>
        <w:bottom w:val="none" w:sz="0" w:space="0" w:color="auto"/>
        <w:right w:val="none" w:sz="0" w:space="0" w:color="auto"/>
      </w:divBdr>
    </w:div>
    <w:div w:id="462508886">
      <w:bodyDiv w:val="1"/>
      <w:marLeft w:val="0"/>
      <w:marRight w:val="0"/>
      <w:marTop w:val="0"/>
      <w:marBottom w:val="0"/>
      <w:divBdr>
        <w:top w:val="none" w:sz="0" w:space="0" w:color="auto"/>
        <w:left w:val="none" w:sz="0" w:space="0" w:color="auto"/>
        <w:bottom w:val="none" w:sz="0" w:space="0" w:color="auto"/>
        <w:right w:val="none" w:sz="0" w:space="0" w:color="auto"/>
      </w:divBdr>
    </w:div>
    <w:div w:id="485898395">
      <w:bodyDiv w:val="1"/>
      <w:marLeft w:val="0"/>
      <w:marRight w:val="0"/>
      <w:marTop w:val="0"/>
      <w:marBottom w:val="0"/>
      <w:divBdr>
        <w:top w:val="none" w:sz="0" w:space="0" w:color="auto"/>
        <w:left w:val="none" w:sz="0" w:space="0" w:color="auto"/>
        <w:bottom w:val="none" w:sz="0" w:space="0" w:color="auto"/>
        <w:right w:val="none" w:sz="0" w:space="0" w:color="auto"/>
      </w:divBdr>
    </w:div>
    <w:div w:id="510533105">
      <w:bodyDiv w:val="1"/>
      <w:marLeft w:val="0"/>
      <w:marRight w:val="0"/>
      <w:marTop w:val="0"/>
      <w:marBottom w:val="0"/>
      <w:divBdr>
        <w:top w:val="none" w:sz="0" w:space="0" w:color="auto"/>
        <w:left w:val="none" w:sz="0" w:space="0" w:color="auto"/>
        <w:bottom w:val="none" w:sz="0" w:space="0" w:color="auto"/>
        <w:right w:val="none" w:sz="0" w:space="0" w:color="auto"/>
      </w:divBdr>
    </w:div>
    <w:div w:id="582566617">
      <w:bodyDiv w:val="1"/>
      <w:marLeft w:val="0"/>
      <w:marRight w:val="0"/>
      <w:marTop w:val="0"/>
      <w:marBottom w:val="0"/>
      <w:divBdr>
        <w:top w:val="none" w:sz="0" w:space="0" w:color="auto"/>
        <w:left w:val="none" w:sz="0" w:space="0" w:color="auto"/>
        <w:bottom w:val="none" w:sz="0" w:space="0" w:color="auto"/>
        <w:right w:val="none" w:sz="0" w:space="0" w:color="auto"/>
      </w:divBdr>
    </w:div>
    <w:div w:id="604264918">
      <w:bodyDiv w:val="1"/>
      <w:marLeft w:val="0"/>
      <w:marRight w:val="0"/>
      <w:marTop w:val="0"/>
      <w:marBottom w:val="0"/>
      <w:divBdr>
        <w:top w:val="none" w:sz="0" w:space="0" w:color="auto"/>
        <w:left w:val="none" w:sz="0" w:space="0" w:color="auto"/>
        <w:bottom w:val="none" w:sz="0" w:space="0" w:color="auto"/>
        <w:right w:val="none" w:sz="0" w:space="0" w:color="auto"/>
      </w:divBdr>
    </w:div>
    <w:div w:id="816528195">
      <w:bodyDiv w:val="1"/>
      <w:marLeft w:val="0"/>
      <w:marRight w:val="0"/>
      <w:marTop w:val="0"/>
      <w:marBottom w:val="0"/>
      <w:divBdr>
        <w:top w:val="none" w:sz="0" w:space="0" w:color="auto"/>
        <w:left w:val="none" w:sz="0" w:space="0" w:color="auto"/>
        <w:bottom w:val="none" w:sz="0" w:space="0" w:color="auto"/>
        <w:right w:val="none" w:sz="0" w:space="0" w:color="auto"/>
      </w:divBdr>
    </w:div>
    <w:div w:id="865603998">
      <w:bodyDiv w:val="1"/>
      <w:marLeft w:val="0"/>
      <w:marRight w:val="0"/>
      <w:marTop w:val="0"/>
      <w:marBottom w:val="0"/>
      <w:divBdr>
        <w:top w:val="none" w:sz="0" w:space="0" w:color="auto"/>
        <w:left w:val="none" w:sz="0" w:space="0" w:color="auto"/>
        <w:bottom w:val="none" w:sz="0" w:space="0" w:color="auto"/>
        <w:right w:val="none" w:sz="0" w:space="0" w:color="auto"/>
      </w:divBdr>
    </w:div>
    <w:div w:id="943609770">
      <w:bodyDiv w:val="1"/>
      <w:marLeft w:val="0"/>
      <w:marRight w:val="0"/>
      <w:marTop w:val="0"/>
      <w:marBottom w:val="0"/>
      <w:divBdr>
        <w:top w:val="none" w:sz="0" w:space="0" w:color="auto"/>
        <w:left w:val="none" w:sz="0" w:space="0" w:color="auto"/>
        <w:bottom w:val="none" w:sz="0" w:space="0" w:color="auto"/>
        <w:right w:val="none" w:sz="0" w:space="0" w:color="auto"/>
      </w:divBdr>
    </w:div>
    <w:div w:id="1031956387">
      <w:bodyDiv w:val="1"/>
      <w:marLeft w:val="0"/>
      <w:marRight w:val="0"/>
      <w:marTop w:val="0"/>
      <w:marBottom w:val="0"/>
      <w:divBdr>
        <w:top w:val="none" w:sz="0" w:space="0" w:color="auto"/>
        <w:left w:val="none" w:sz="0" w:space="0" w:color="auto"/>
        <w:bottom w:val="none" w:sz="0" w:space="0" w:color="auto"/>
        <w:right w:val="none" w:sz="0" w:space="0" w:color="auto"/>
      </w:divBdr>
    </w:div>
    <w:div w:id="1041781726">
      <w:bodyDiv w:val="1"/>
      <w:marLeft w:val="0"/>
      <w:marRight w:val="0"/>
      <w:marTop w:val="0"/>
      <w:marBottom w:val="0"/>
      <w:divBdr>
        <w:top w:val="none" w:sz="0" w:space="0" w:color="auto"/>
        <w:left w:val="none" w:sz="0" w:space="0" w:color="auto"/>
        <w:bottom w:val="none" w:sz="0" w:space="0" w:color="auto"/>
        <w:right w:val="none" w:sz="0" w:space="0" w:color="auto"/>
      </w:divBdr>
    </w:div>
    <w:div w:id="1135559684">
      <w:bodyDiv w:val="1"/>
      <w:marLeft w:val="0"/>
      <w:marRight w:val="0"/>
      <w:marTop w:val="0"/>
      <w:marBottom w:val="0"/>
      <w:divBdr>
        <w:top w:val="none" w:sz="0" w:space="0" w:color="auto"/>
        <w:left w:val="none" w:sz="0" w:space="0" w:color="auto"/>
        <w:bottom w:val="none" w:sz="0" w:space="0" w:color="auto"/>
        <w:right w:val="none" w:sz="0" w:space="0" w:color="auto"/>
      </w:divBdr>
    </w:div>
    <w:div w:id="1144546234">
      <w:bodyDiv w:val="1"/>
      <w:marLeft w:val="0"/>
      <w:marRight w:val="0"/>
      <w:marTop w:val="0"/>
      <w:marBottom w:val="0"/>
      <w:divBdr>
        <w:top w:val="none" w:sz="0" w:space="0" w:color="auto"/>
        <w:left w:val="none" w:sz="0" w:space="0" w:color="auto"/>
        <w:bottom w:val="none" w:sz="0" w:space="0" w:color="auto"/>
        <w:right w:val="none" w:sz="0" w:space="0" w:color="auto"/>
      </w:divBdr>
    </w:div>
    <w:div w:id="1170564722">
      <w:bodyDiv w:val="1"/>
      <w:marLeft w:val="0"/>
      <w:marRight w:val="0"/>
      <w:marTop w:val="0"/>
      <w:marBottom w:val="0"/>
      <w:divBdr>
        <w:top w:val="none" w:sz="0" w:space="0" w:color="auto"/>
        <w:left w:val="none" w:sz="0" w:space="0" w:color="auto"/>
        <w:bottom w:val="none" w:sz="0" w:space="0" w:color="auto"/>
        <w:right w:val="none" w:sz="0" w:space="0" w:color="auto"/>
      </w:divBdr>
    </w:div>
    <w:div w:id="1213081757">
      <w:bodyDiv w:val="1"/>
      <w:marLeft w:val="0"/>
      <w:marRight w:val="0"/>
      <w:marTop w:val="0"/>
      <w:marBottom w:val="0"/>
      <w:divBdr>
        <w:top w:val="none" w:sz="0" w:space="0" w:color="auto"/>
        <w:left w:val="none" w:sz="0" w:space="0" w:color="auto"/>
        <w:bottom w:val="none" w:sz="0" w:space="0" w:color="auto"/>
        <w:right w:val="none" w:sz="0" w:space="0" w:color="auto"/>
      </w:divBdr>
    </w:div>
    <w:div w:id="1236934932">
      <w:bodyDiv w:val="1"/>
      <w:marLeft w:val="0"/>
      <w:marRight w:val="0"/>
      <w:marTop w:val="0"/>
      <w:marBottom w:val="0"/>
      <w:divBdr>
        <w:top w:val="none" w:sz="0" w:space="0" w:color="auto"/>
        <w:left w:val="none" w:sz="0" w:space="0" w:color="auto"/>
        <w:bottom w:val="none" w:sz="0" w:space="0" w:color="auto"/>
        <w:right w:val="none" w:sz="0" w:space="0" w:color="auto"/>
      </w:divBdr>
    </w:div>
    <w:div w:id="1278829873">
      <w:bodyDiv w:val="1"/>
      <w:marLeft w:val="0"/>
      <w:marRight w:val="0"/>
      <w:marTop w:val="0"/>
      <w:marBottom w:val="0"/>
      <w:divBdr>
        <w:top w:val="none" w:sz="0" w:space="0" w:color="auto"/>
        <w:left w:val="none" w:sz="0" w:space="0" w:color="auto"/>
        <w:bottom w:val="none" w:sz="0" w:space="0" w:color="auto"/>
        <w:right w:val="none" w:sz="0" w:space="0" w:color="auto"/>
      </w:divBdr>
    </w:div>
    <w:div w:id="1314412984">
      <w:bodyDiv w:val="1"/>
      <w:marLeft w:val="0"/>
      <w:marRight w:val="0"/>
      <w:marTop w:val="0"/>
      <w:marBottom w:val="0"/>
      <w:divBdr>
        <w:top w:val="none" w:sz="0" w:space="0" w:color="auto"/>
        <w:left w:val="none" w:sz="0" w:space="0" w:color="auto"/>
        <w:bottom w:val="none" w:sz="0" w:space="0" w:color="auto"/>
        <w:right w:val="none" w:sz="0" w:space="0" w:color="auto"/>
      </w:divBdr>
    </w:div>
    <w:div w:id="1424455985">
      <w:bodyDiv w:val="1"/>
      <w:marLeft w:val="0"/>
      <w:marRight w:val="0"/>
      <w:marTop w:val="0"/>
      <w:marBottom w:val="0"/>
      <w:divBdr>
        <w:top w:val="none" w:sz="0" w:space="0" w:color="auto"/>
        <w:left w:val="none" w:sz="0" w:space="0" w:color="auto"/>
        <w:bottom w:val="none" w:sz="0" w:space="0" w:color="auto"/>
        <w:right w:val="none" w:sz="0" w:space="0" w:color="auto"/>
      </w:divBdr>
    </w:div>
    <w:div w:id="1432235919">
      <w:bodyDiv w:val="1"/>
      <w:marLeft w:val="0"/>
      <w:marRight w:val="0"/>
      <w:marTop w:val="0"/>
      <w:marBottom w:val="0"/>
      <w:divBdr>
        <w:top w:val="none" w:sz="0" w:space="0" w:color="auto"/>
        <w:left w:val="none" w:sz="0" w:space="0" w:color="auto"/>
        <w:bottom w:val="none" w:sz="0" w:space="0" w:color="auto"/>
        <w:right w:val="none" w:sz="0" w:space="0" w:color="auto"/>
      </w:divBdr>
    </w:div>
    <w:div w:id="1635064485">
      <w:bodyDiv w:val="1"/>
      <w:marLeft w:val="0"/>
      <w:marRight w:val="0"/>
      <w:marTop w:val="0"/>
      <w:marBottom w:val="0"/>
      <w:divBdr>
        <w:top w:val="none" w:sz="0" w:space="0" w:color="auto"/>
        <w:left w:val="none" w:sz="0" w:space="0" w:color="auto"/>
        <w:bottom w:val="none" w:sz="0" w:space="0" w:color="auto"/>
        <w:right w:val="none" w:sz="0" w:space="0" w:color="auto"/>
      </w:divBdr>
    </w:div>
    <w:div w:id="1640306271">
      <w:bodyDiv w:val="1"/>
      <w:marLeft w:val="0"/>
      <w:marRight w:val="0"/>
      <w:marTop w:val="0"/>
      <w:marBottom w:val="0"/>
      <w:divBdr>
        <w:top w:val="none" w:sz="0" w:space="0" w:color="auto"/>
        <w:left w:val="none" w:sz="0" w:space="0" w:color="auto"/>
        <w:bottom w:val="none" w:sz="0" w:space="0" w:color="auto"/>
        <w:right w:val="none" w:sz="0" w:space="0" w:color="auto"/>
      </w:divBdr>
    </w:div>
    <w:div w:id="1680229213">
      <w:bodyDiv w:val="1"/>
      <w:marLeft w:val="0"/>
      <w:marRight w:val="0"/>
      <w:marTop w:val="0"/>
      <w:marBottom w:val="0"/>
      <w:divBdr>
        <w:top w:val="none" w:sz="0" w:space="0" w:color="auto"/>
        <w:left w:val="none" w:sz="0" w:space="0" w:color="auto"/>
        <w:bottom w:val="none" w:sz="0" w:space="0" w:color="auto"/>
        <w:right w:val="none" w:sz="0" w:space="0" w:color="auto"/>
      </w:divBdr>
    </w:div>
    <w:div w:id="1689521799">
      <w:bodyDiv w:val="1"/>
      <w:marLeft w:val="0"/>
      <w:marRight w:val="0"/>
      <w:marTop w:val="0"/>
      <w:marBottom w:val="0"/>
      <w:divBdr>
        <w:top w:val="none" w:sz="0" w:space="0" w:color="auto"/>
        <w:left w:val="none" w:sz="0" w:space="0" w:color="auto"/>
        <w:bottom w:val="none" w:sz="0" w:space="0" w:color="auto"/>
        <w:right w:val="none" w:sz="0" w:space="0" w:color="auto"/>
      </w:divBdr>
    </w:div>
    <w:div w:id="1720668004">
      <w:bodyDiv w:val="1"/>
      <w:marLeft w:val="0"/>
      <w:marRight w:val="0"/>
      <w:marTop w:val="0"/>
      <w:marBottom w:val="0"/>
      <w:divBdr>
        <w:top w:val="none" w:sz="0" w:space="0" w:color="auto"/>
        <w:left w:val="none" w:sz="0" w:space="0" w:color="auto"/>
        <w:bottom w:val="none" w:sz="0" w:space="0" w:color="auto"/>
        <w:right w:val="none" w:sz="0" w:space="0" w:color="auto"/>
      </w:divBdr>
    </w:div>
    <w:div w:id="1765299619">
      <w:bodyDiv w:val="1"/>
      <w:marLeft w:val="0"/>
      <w:marRight w:val="0"/>
      <w:marTop w:val="0"/>
      <w:marBottom w:val="0"/>
      <w:divBdr>
        <w:top w:val="none" w:sz="0" w:space="0" w:color="auto"/>
        <w:left w:val="none" w:sz="0" w:space="0" w:color="auto"/>
        <w:bottom w:val="none" w:sz="0" w:space="0" w:color="auto"/>
        <w:right w:val="none" w:sz="0" w:space="0" w:color="auto"/>
      </w:divBdr>
    </w:div>
    <w:div w:id="1788700533">
      <w:bodyDiv w:val="1"/>
      <w:marLeft w:val="0"/>
      <w:marRight w:val="0"/>
      <w:marTop w:val="0"/>
      <w:marBottom w:val="0"/>
      <w:divBdr>
        <w:top w:val="none" w:sz="0" w:space="0" w:color="auto"/>
        <w:left w:val="none" w:sz="0" w:space="0" w:color="auto"/>
        <w:bottom w:val="none" w:sz="0" w:space="0" w:color="auto"/>
        <w:right w:val="none" w:sz="0" w:space="0" w:color="auto"/>
      </w:divBdr>
    </w:div>
    <w:div w:id="1809587495">
      <w:bodyDiv w:val="1"/>
      <w:marLeft w:val="0"/>
      <w:marRight w:val="0"/>
      <w:marTop w:val="0"/>
      <w:marBottom w:val="0"/>
      <w:divBdr>
        <w:top w:val="none" w:sz="0" w:space="0" w:color="auto"/>
        <w:left w:val="none" w:sz="0" w:space="0" w:color="auto"/>
        <w:bottom w:val="none" w:sz="0" w:space="0" w:color="auto"/>
        <w:right w:val="none" w:sz="0" w:space="0" w:color="auto"/>
      </w:divBdr>
    </w:div>
    <w:div w:id="1820538889">
      <w:bodyDiv w:val="1"/>
      <w:marLeft w:val="0"/>
      <w:marRight w:val="0"/>
      <w:marTop w:val="0"/>
      <w:marBottom w:val="0"/>
      <w:divBdr>
        <w:top w:val="none" w:sz="0" w:space="0" w:color="auto"/>
        <w:left w:val="none" w:sz="0" w:space="0" w:color="auto"/>
        <w:bottom w:val="none" w:sz="0" w:space="0" w:color="auto"/>
        <w:right w:val="none" w:sz="0" w:space="0" w:color="auto"/>
      </w:divBdr>
    </w:div>
    <w:div w:id="2005476893">
      <w:bodyDiv w:val="1"/>
      <w:marLeft w:val="0"/>
      <w:marRight w:val="0"/>
      <w:marTop w:val="0"/>
      <w:marBottom w:val="0"/>
      <w:divBdr>
        <w:top w:val="none" w:sz="0" w:space="0" w:color="auto"/>
        <w:left w:val="none" w:sz="0" w:space="0" w:color="auto"/>
        <w:bottom w:val="none" w:sz="0" w:space="0" w:color="auto"/>
        <w:right w:val="none" w:sz="0" w:space="0" w:color="auto"/>
      </w:divBdr>
    </w:div>
    <w:div w:id="2041973055">
      <w:bodyDiv w:val="1"/>
      <w:marLeft w:val="0"/>
      <w:marRight w:val="0"/>
      <w:marTop w:val="0"/>
      <w:marBottom w:val="0"/>
      <w:divBdr>
        <w:top w:val="none" w:sz="0" w:space="0" w:color="auto"/>
        <w:left w:val="none" w:sz="0" w:space="0" w:color="auto"/>
        <w:bottom w:val="none" w:sz="0" w:space="0" w:color="auto"/>
        <w:right w:val="none" w:sz="0" w:space="0" w:color="auto"/>
      </w:divBdr>
    </w:div>
    <w:div w:id="2068722863">
      <w:bodyDiv w:val="1"/>
      <w:marLeft w:val="0"/>
      <w:marRight w:val="0"/>
      <w:marTop w:val="0"/>
      <w:marBottom w:val="0"/>
      <w:divBdr>
        <w:top w:val="none" w:sz="0" w:space="0" w:color="auto"/>
        <w:left w:val="none" w:sz="0" w:space="0" w:color="auto"/>
        <w:bottom w:val="none" w:sz="0" w:space="0" w:color="auto"/>
        <w:right w:val="none" w:sz="0" w:space="0" w:color="auto"/>
      </w:divBdr>
    </w:div>
    <w:div w:id="2108427168">
      <w:bodyDiv w:val="1"/>
      <w:marLeft w:val="0"/>
      <w:marRight w:val="0"/>
      <w:marTop w:val="0"/>
      <w:marBottom w:val="0"/>
      <w:divBdr>
        <w:top w:val="none" w:sz="0" w:space="0" w:color="auto"/>
        <w:left w:val="none" w:sz="0" w:space="0" w:color="auto"/>
        <w:bottom w:val="none" w:sz="0" w:space="0" w:color="auto"/>
        <w:right w:val="none" w:sz="0" w:space="0" w:color="auto"/>
      </w:divBdr>
    </w:div>
    <w:div w:id="2116514561">
      <w:bodyDiv w:val="1"/>
      <w:marLeft w:val="0"/>
      <w:marRight w:val="0"/>
      <w:marTop w:val="0"/>
      <w:marBottom w:val="0"/>
      <w:divBdr>
        <w:top w:val="none" w:sz="0" w:space="0" w:color="auto"/>
        <w:left w:val="none" w:sz="0" w:space="0" w:color="auto"/>
        <w:bottom w:val="none" w:sz="0" w:space="0" w:color="auto"/>
        <w:right w:val="none" w:sz="0" w:space="0" w:color="auto"/>
      </w:divBdr>
    </w:div>
    <w:div w:id="213786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156</TotalTime>
  <Pages>17</Pages>
  <Words>4663</Words>
  <Characters>32337</Characters>
  <Application>Microsoft Office Word</Application>
  <DocSecurity>0</DocSecurity>
  <Lines>269</Lines>
  <Paragraphs>73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2022015489 mt</dc:description>
  <cp:lastModifiedBy>Hanne Thy Iversen</cp:lastModifiedBy>
  <cp:revision>14</cp:revision>
  <cp:lastPrinted>2012-08-22T08:53:00Z</cp:lastPrinted>
  <dcterms:created xsi:type="dcterms:W3CDTF">2023-11-06T12:55:00Z</dcterms:created>
  <dcterms:modified xsi:type="dcterms:W3CDTF">2023-11-07T13:23:00Z</dcterms:modified>
</cp:coreProperties>
</file>