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279A5"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1E320D9B" wp14:editId="0140BCF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39F19093" w14:textId="77777777" w:rsidR="009260DE" w:rsidRPr="00C84483" w:rsidRDefault="009260DE" w:rsidP="009260DE">
      <w:pPr>
        <w:pStyle w:val="Titel"/>
        <w:tabs>
          <w:tab w:val="right" w:pos="9356"/>
        </w:tabs>
        <w:jc w:val="left"/>
        <w:rPr>
          <w:b w:val="0"/>
          <w:szCs w:val="24"/>
          <w:lang w:eastAsia="en-US"/>
        </w:rPr>
      </w:pPr>
    </w:p>
    <w:p w14:paraId="034424E2" w14:textId="444CC2BE"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465661">
        <w:rPr>
          <w:szCs w:val="24"/>
        </w:rPr>
        <w:t>11</w:t>
      </w:r>
      <w:r w:rsidR="007D3F9F">
        <w:rPr>
          <w:szCs w:val="24"/>
        </w:rPr>
        <w:t xml:space="preserve">. </w:t>
      </w:r>
      <w:r w:rsidR="00465661">
        <w:rPr>
          <w:szCs w:val="24"/>
        </w:rPr>
        <w:t>november</w:t>
      </w:r>
      <w:r w:rsidR="007D3F9F">
        <w:rPr>
          <w:szCs w:val="24"/>
        </w:rPr>
        <w:t xml:space="preserve"> 2025</w:t>
      </w:r>
    </w:p>
    <w:p w14:paraId="68479E88" w14:textId="73BC1CE6" w:rsidR="009260DE" w:rsidRPr="00C84483" w:rsidRDefault="009260DE" w:rsidP="009260DE">
      <w:pPr>
        <w:pStyle w:val="Titel"/>
        <w:tabs>
          <w:tab w:val="left" w:pos="8222"/>
        </w:tabs>
        <w:jc w:val="left"/>
        <w:rPr>
          <w:b w:val="0"/>
          <w:szCs w:val="24"/>
        </w:rPr>
      </w:pPr>
    </w:p>
    <w:p w14:paraId="1E99BC99" w14:textId="77777777" w:rsidR="009260DE" w:rsidRPr="00C84483" w:rsidRDefault="009260DE" w:rsidP="009260DE">
      <w:pPr>
        <w:pStyle w:val="Titel"/>
        <w:jc w:val="left"/>
        <w:rPr>
          <w:b w:val="0"/>
          <w:szCs w:val="24"/>
        </w:rPr>
      </w:pPr>
    </w:p>
    <w:p w14:paraId="0AE5075C" w14:textId="77777777" w:rsidR="009260DE" w:rsidRPr="00C84483" w:rsidRDefault="009260DE" w:rsidP="009260DE">
      <w:pPr>
        <w:pStyle w:val="Titel"/>
        <w:jc w:val="left"/>
        <w:rPr>
          <w:b w:val="0"/>
          <w:szCs w:val="24"/>
        </w:rPr>
      </w:pPr>
    </w:p>
    <w:p w14:paraId="0F581CBB" w14:textId="77777777" w:rsidR="009260DE" w:rsidRPr="00C84483" w:rsidRDefault="009260DE" w:rsidP="009260DE">
      <w:pPr>
        <w:jc w:val="center"/>
        <w:rPr>
          <w:b/>
          <w:sz w:val="24"/>
          <w:szCs w:val="24"/>
        </w:rPr>
      </w:pPr>
      <w:r w:rsidRPr="00C84483">
        <w:rPr>
          <w:b/>
          <w:sz w:val="24"/>
          <w:szCs w:val="24"/>
        </w:rPr>
        <w:t>PRODUKTRESUMÉ</w:t>
      </w:r>
    </w:p>
    <w:p w14:paraId="4252F046" w14:textId="77777777" w:rsidR="009260DE" w:rsidRPr="00C84483" w:rsidRDefault="009260DE" w:rsidP="009260DE">
      <w:pPr>
        <w:jc w:val="center"/>
        <w:rPr>
          <w:b/>
          <w:sz w:val="24"/>
          <w:szCs w:val="24"/>
        </w:rPr>
      </w:pPr>
    </w:p>
    <w:p w14:paraId="02D88C11" w14:textId="77777777" w:rsidR="009260DE" w:rsidRDefault="009260DE" w:rsidP="009260DE">
      <w:pPr>
        <w:jc w:val="center"/>
        <w:rPr>
          <w:b/>
          <w:sz w:val="24"/>
          <w:szCs w:val="24"/>
        </w:rPr>
      </w:pPr>
      <w:r w:rsidRPr="00C84483">
        <w:rPr>
          <w:b/>
          <w:sz w:val="24"/>
          <w:szCs w:val="24"/>
        </w:rPr>
        <w:t>for</w:t>
      </w:r>
    </w:p>
    <w:p w14:paraId="48822B76" w14:textId="77777777" w:rsidR="000B058C" w:rsidRPr="00C84483" w:rsidRDefault="000B058C" w:rsidP="009260DE">
      <w:pPr>
        <w:jc w:val="center"/>
        <w:rPr>
          <w:b/>
          <w:sz w:val="24"/>
          <w:szCs w:val="24"/>
        </w:rPr>
      </w:pPr>
    </w:p>
    <w:p w14:paraId="44CA2C0E" w14:textId="35074D34" w:rsidR="009260DE" w:rsidRPr="00C84483" w:rsidRDefault="0085489B" w:rsidP="009260DE">
      <w:pPr>
        <w:jc w:val="center"/>
        <w:rPr>
          <w:b/>
          <w:sz w:val="24"/>
          <w:szCs w:val="24"/>
        </w:rPr>
      </w:pPr>
      <w:proofErr w:type="spellStart"/>
      <w:r>
        <w:rPr>
          <w:b/>
          <w:sz w:val="24"/>
          <w:szCs w:val="24"/>
        </w:rPr>
        <w:t>Esomeprazole</w:t>
      </w:r>
      <w:proofErr w:type="spellEnd"/>
      <w:r>
        <w:rPr>
          <w:b/>
          <w:sz w:val="24"/>
          <w:szCs w:val="24"/>
        </w:rPr>
        <w:t xml:space="preserve"> </w:t>
      </w:r>
      <w:r w:rsidR="003B0D92">
        <w:rPr>
          <w:b/>
          <w:sz w:val="24"/>
          <w:szCs w:val="24"/>
        </w:rPr>
        <w:t>"</w:t>
      </w:r>
      <w:r>
        <w:rPr>
          <w:b/>
          <w:sz w:val="24"/>
          <w:szCs w:val="24"/>
        </w:rPr>
        <w:t>Demo S.A.</w:t>
      </w:r>
      <w:r w:rsidR="003B0D92">
        <w:rPr>
          <w:b/>
          <w:sz w:val="24"/>
          <w:szCs w:val="24"/>
        </w:rPr>
        <w:t>"</w:t>
      </w:r>
      <w:r>
        <w:rPr>
          <w:b/>
          <w:sz w:val="24"/>
          <w:szCs w:val="24"/>
        </w:rPr>
        <w:t>, pulver til in</w:t>
      </w:r>
      <w:r w:rsidR="00D8145C">
        <w:rPr>
          <w:b/>
          <w:sz w:val="24"/>
          <w:szCs w:val="24"/>
        </w:rPr>
        <w:t>jektions-</w:t>
      </w:r>
      <w:r>
        <w:rPr>
          <w:b/>
          <w:sz w:val="24"/>
          <w:szCs w:val="24"/>
        </w:rPr>
        <w:t>/in</w:t>
      </w:r>
      <w:r w:rsidR="00D8145C">
        <w:rPr>
          <w:b/>
          <w:sz w:val="24"/>
          <w:szCs w:val="24"/>
        </w:rPr>
        <w:t>fusions</w:t>
      </w:r>
      <w:r>
        <w:rPr>
          <w:b/>
          <w:sz w:val="24"/>
          <w:szCs w:val="24"/>
        </w:rPr>
        <w:t>væske, opløsning</w:t>
      </w:r>
    </w:p>
    <w:p w14:paraId="1B08EBEE" w14:textId="77777777" w:rsidR="009260DE" w:rsidRPr="00C84483" w:rsidRDefault="009260DE" w:rsidP="009260DE">
      <w:pPr>
        <w:jc w:val="both"/>
        <w:rPr>
          <w:sz w:val="24"/>
          <w:szCs w:val="24"/>
        </w:rPr>
      </w:pPr>
    </w:p>
    <w:p w14:paraId="404FD0F1" w14:textId="77777777" w:rsidR="009260DE" w:rsidRPr="00C84483" w:rsidRDefault="009260DE" w:rsidP="009260DE">
      <w:pPr>
        <w:jc w:val="both"/>
        <w:rPr>
          <w:sz w:val="24"/>
          <w:szCs w:val="24"/>
        </w:rPr>
      </w:pPr>
    </w:p>
    <w:p w14:paraId="510F9254"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5D6D861E" w14:textId="77777777" w:rsidR="009260DE" w:rsidRPr="00C84483" w:rsidRDefault="0085489B" w:rsidP="009260DE">
      <w:pPr>
        <w:tabs>
          <w:tab w:val="left" w:pos="851"/>
        </w:tabs>
        <w:ind w:left="851"/>
        <w:rPr>
          <w:sz w:val="24"/>
          <w:szCs w:val="24"/>
        </w:rPr>
      </w:pPr>
      <w:r>
        <w:rPr>
          <w:sz w:val="24"/>
          <w:szCs w:val="24"/>
        </w:rPr>
        <w:t>34121</w:t>
      </w:r>
    </w:p>
    <w:p w14:paraId="4DBF126D" w14:textId="77777777" w:rsidR="009260DE" w:rsidRPr="00C84483" w:rsidRDefault="009260DE" w:rsidP="009260DE">
      <w:pPr>
        <w:tabs>
          <w:tab w:val="left" w:pos="851"/>
        </w:tabs>
        <w:ind w:left="851"/>
        <w:rPr>
          <w:sz w:val="24"/>
          <w:szCs w:val="24"/>
        </w:rPr>
      </w:pPr>
    </w:p>
    <w:p w14:paraId="3632BE28"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3B5E736" w14:textId="10EA6E1C" w:rsidR="009260DE" w:rsidRPr="00C84483" w:rsidRDefault="0085489B" w:rsidP="009260DE">
      <w:pPr>
        <w:tabs>
          <w:tab w:val="left" w:pos="851"/>
        </w:tabs>
        <w:ind w:left="851"/>
        <w:rPr>
          <w:sz w:val="24"/>
          <w:szCs w:val="24"/>
        </w:rPr>
      </w:pPr>
      <w:proofErr w:type="spellStart"/>
      <w:r>
        <w:rPr>
          <w:sz w:val="24"/>
          <w:szCs w:val="24"/>
        </w:rPr>
        <w:t>Esomeprazole</w:t>
      </w:r>
      <w:proofErr w:type="spellEnd"/>
      <w:r>
        <w:rPr>
          <w:sz w:val="24"/>
          <w:szCs w:val="24"/>
        </w:rPr>
        <w:t xml:space="preserve"> </w:t>
      </w:r>
      <w:r w:rsidR="003B0D92">
        <w:rPr>
          <w:sz w:val="24"/>
          <w:szCs w:val="24"/>
        </w:rPr>
        <w:t>"</w:t>
      </w:r>
      <w:r>
        <w:rPr>
          <w:sz w:val="24"/>
          <w:szCs w:val="24"/>
        </w:rPr>
        <w:t>Demo S.A.</w:t>
      </w:r>
      <w:r w:rsidR="003B0D92">
        <w:rPr>
          <w:sz w:val="24"/>
          <w:szCs w:val="24"/>
        </w:rPr>
        <w:t>"</w:t>
      </w:r>
    </w:p>
    <w:p w14:paraId="0473E4ED" w14:textId="77777777" w:rsidR="009260DE" w:rsidRPr="00C84483" w:rsidRDefault="009260DE" w:rsidP="009260DE">
      <w:pPr>
        <w:tabs>
          <w:tab w:val="left" w:pos="851"/>
        </w:tabs>
        <w:ind w:left="851"/>
        <w:rPr>
          <w:sz w:val="24"/>
          <w:szCs w:val="24"/>
        </w:rPr>
      </w:pPr>
    </w:p>
    <w:p w14:paraId="6D22178F"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4FC2156E" w14:textId="77777777" w:rsidR="007A4DC4" w:rsidRPr="007A4DC4" w:rsidRDefault="007A4DC4" w:rsidP="007A4DC4">
      <w:pPr>
        <w:tabs>
          <w:tab w:val="left" w:pos="851"/>
        </w:tabs>
        <w:ind w:left="851"/>
        <w:rPr>
          <w:sz w:val="24"/>
          <w:szCs w:val="24"/>
        </w:rPr>
      </w:pPr>
      <w:r w:rsidRPr="007A4DC4">
        <w:rPr>
          <w:sz w:val="24"/>
          <w:szCs w:val="24"/>
        </w:rPr>
        <w:t xml:space="preserve">Hvert hætteglas indeholder 40 mg </w:t>
      </w:r>
      <w:proofErr w:type="spellStart"/>
      <w:r w:rsidRPr="007A4DC4">
        <w:rPr>
          <w:sz w:val="24"/>
          <w:szCs w:val="24"/>
        </w:rPr>
        <w:t>esomeprazol</w:t>
      </w:r>
      <w:proofErr w:type="spellEnd"/>
      <w:r w:rsidRPr="007A4DC4">
        <w:rPr>
          <w:sz w:val="24"/>
          <w:szCs w:val="24"/>
        </w:rPr>
        <w:t xml:space="preserve"> (som natriumsalt).</w:t>
      </w:r>
    </w:p>
    <w:p w14:paraId="63BD0A0E" w14:textId="77777777" w:rsidR="007A4DC4" w:rsidRPr="007A4DC4" w:rsidRDefault="007A4DC4" w:rsidP="007A4DC4">
      <w:pPr>
        <w:tabs>
          <w:tab w:val="left" w:pos="851"/>
        </w:tabs>
        <w:ind w:left="851"/>
        <w:rPr>
          <w:sz w:val="24"/>
          <w:szCs w:val="24"/>
        </w:rPr>
      </w:pPr>
    </w:p>
    <w:p w14:paraId="1844999A" w14:textId="77777777" w:rsidR="007A4DC4" w:rsidRPr="007A4DC4" w:rsidRDefault="007A4DC4" w:rsidP="007A4DC4">
      <w:pPr>
        <w:tabs>
          <w:tab w:val="left" w:pos="851"/>
        </w:tabs>
        <w:ind w:left="851"/>
        <w:rPr>
          <w:sz w:val="24"/>
          <w:szCs w:val="24"/>
          <w:u w:val="single"/>
        </w:rPr>
      </w:pPr>
      <w:r w:rsidRPr="007A4DC4">
        <w:rPr>
          <w:sz w:val="24"/>
          <w:szCs w:val="24"/>
          <w:u w:val="single"/>
        </w:rPr>
        <w:t>Hjælpestof, som behandleren skal være opmærksom på</w:t>
      </w:r>
    </w:p>
    <w:p w14:paraId="6637B25F" w14:textId="410D29B2" w:rsidR="007A4DC4" w:rsidRPr="007A4DC4" w:rsidRDefault="007A4DC4" w:rsidP="007A4DC4">
      <w:pPr>
        <w:tabs>
          <w:tab w:val="left" w:pos="851"/>
        </w:tabs>
        <w:ind w:left="851"/>
        <w:rPr>
          <w:sz w:val="24"/>
          <w:szCs w:val="24"/>
        </w:rPr>
      </w:pPr>
      <w:r w:rsidRPr="007A4DC4">
        <w:rPr>
          <w:iCs/>
          <w:sz w:val="24"/>
          <w:szCs w:val="24"/>
        </w:rPr>
        <w:t xml:space="preserve">Hvert </w:t>
      </w:r>
      <w:r w:rsidRPr="007A4DC4">
        <w:rPr>
          <w:sz w:val="24"/>
          <w:szCs w:val="24"/>
        </w:rPr>
        <w:t>hætteglas indeholder</w:t>
      </w:r>
      <w:r w:rsidRPr="007A4DC4">
        <w:rPr>
          <w:iCs/>
          <w:sz w:val="24"/>
          <w:szCs w:val="24"/>
        </w:rPr>
        <w:t xml:space="preserve"> &lt;1 mmol natrium</w:t>
      </w:r>
      <w:r w:rsidRPr="007A4DC4">
        <w:rPr>
          <w:sz w:val="24"/>
          <w:szCs w:val="24"/>
        </w:rPr>
        <w:t xml:space="preserve"> (23</w:t>
      </w:r>
      <w:r>
        <w:rPr>
          <w:sz w:val="24"/>
          <w:szCs w:val="24"/>
        </w:rPr>
        <w:t xml:space="preserve"> </w:t>
      </w:r>
      <w:r w:rsidRPr="007A4DC4">
        <w:rPr>
          <w:sz w:val="24"/>
          <w:szCs w:val="24"/>
        </w:rPr>
        <w:t xml:space="preserve">mg) per 40 mg, dvs. hovedsageligt </w:t>
      </w:r>
      <w:r w:rsidR="003B0D92">
        <w:rPr>
          <w:sz w:val="24"/>
          <w:szCs w:val="24"/>
        </w:rPr>
        <w:t>"</w:t>
      </w:r>
      <w:r w:rsidRPr="007A4DC4">
        <w:rPr>
          <w:sz w:val="24"/>
          <w:szCs w:val="24"/>
        </w:rPr>
        <w:t>natrium-frit</w:t>
      </w:r>
      <w:r w:rsidR="003B0D92">
        <w:rPr>
          <w:sz w:val="24"/>
          <w:szCs w:val="24"/>
        </w:rPr>
        <w:t>"</w:t>
      </w:r>
      <w:r w:rsidRPr="007A4DC4">
        <w:rPr>
          <w:sz w:val="24"/>
          <w:szCs w:val="24"/>
        </w:rPr>
        <w:t>.</w:t>
      </w:r>
    </w:p>
    <w:p w14:paraId="01C2C6F3" w14:textId="77777777" w:rsidR="007A4DC4" w:rsidRPr="007A4DC4" w:rsidRDefault="007A4DC4" w:rsidP="007A4DC4">
      <w:pPr>
        <w:tabs>
          <w:tab w:val="left" w:pos="851"/>
        </w:tabs>
        <w:ind w:left="851"/>
        <w:rPr>
          <w:sz w:val="24"/>
          <w:szCs w:val="24"/>
        </w:rPr>
      </w:pPr>
    </w:p>
    <w:p w14:paraId="285702FD" w14:textId="77777777" w:rsidR="007A4DC4" w:rsidRPr="007A4DC4" w:rsidRDefault="007A4DC4" w:rsidP="007A4DC4">
      <w:pPr>
        <w:tabs>
          <w:tab w:val="left" w:pos="851"/>
        </w:tabs>
        <w:ind w:left="851"/>
        <w:rPr>
          <w:sz w:val="24"/>
          <w:szCs w:val="24"/>
        </w:rPr>
      </w:pPr>
      <w:r w:rsidRPr="007A4DC4">
        <w:rPr>
          <w:sz w:val="24"/>
          <w:szCs w:val="24"/>
        </w:rPr>
        <w:t>Alle hjælpestoffer er anført under pkt. 6.1.</w:t>
      </w:r>
    </w:p>
    <w:p w14:paraId="15CA58F3" w14:textId="77777777" w:rsidR="009260DE" w:rsidRPr="00C84483" w:rsidRDefault="009260DE" w:rsidP="009260DE">
      <w:pPr>
        <w:tabs>
          <w:tab w:val="left" w:pos="851"/>
        </w:tabs>
        <w:ind w:left="851"/>
        <w:rPr>
          <w:sz w:val="24"/>
          <w:szCs w:val="24"/>
        </w:rPr>
      </w:pPr>
    </w:p>
    <w:p w14:paraId="0EC32DA9"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78DC4834" w14:textId="49863A6C" w:rsidR="007A4DC4" w:rsidRPr="007A4DC4" w:rsidRDefault="007A4DC4" w:rsidP="007A4DC4">
      <w:pPr>
        <w:tabs>
          <w:tab w:val="left" w:pos="851"/>
        </w:tabs>
        <w:ind w:left="851"/>
        <w:rPr>
          <w:sz w:val="24"/>
          <w:szCs w:val="24"/>
        </w:rPr>
      </w:pPr>
      <w:r w:rsidRPr="007A4DC4">
        <w:rPr>
          <w:sz w:val="24"/>
          <w:szCs w:val="24"/>
        </w:rPr>
        <w:t>Pulver til injektions-/infusionsvæske, opløsning</w:t>
      </w:r>
    </w:p>
    <w:p w14:paraId="35CADD37" w14:textId="77777777" w:rsidR="007A4DC4" w:rsidRPr="007A4DC4" w:rsidRDefault="007A4DC4" w:rsidP="007A4DC4">
      <w:pPr>
        <w:tabs>
          <w:tab w:val="left" w:pos="851"/>
        </w:tabs>
        <w:ind w:left="851"/>
        <w:rPr>
          <w:sz w:val="24"/>
          <w:szCs w:val="24"/>
        </w:rPr>
      </w:pPr>
    </w:p>
    <w:p w14:paraId="4295573B" w14:textId="3D7C11A2" w:rsidR="007A4DC4" w:rsidRPr="007A4DC4" w:rsidRDefault="007A4DC4" w:rsidP="007A4DC4">
      <w:pPr>
        <w:tabs>
          <w:tab w:val="left" w:pos="851"/>
        </w:tabs>
        <w:ind w:left="851"/>
        <w:rPr>
          <w:sz w:val="24"/>
          <w:szCs w:val="24"/>
        </w:rPr>
      </w:pPr>
      <w:r w:rsidRPr="007A4DC4">
        <w:rPr>
          <w:bCs/>
          <w:sz w:val="24"/>
          <w:szCs w:val="24"/>
        </w:rPr>
        <w:t>Hvidt til råhvidt</w:t>
      </w:r>
      <w:r>
        <w:rPr>
          <w:bCs/>
          <w:sz w:val="24"/>
          <w:szCs w:val="24"/>
        </w:rPr>
        <w:t>,</w:t>
      </w:r>
      <w:r w:rsidRPr="007A4DC4">
        <w:rPr>
          <w:bCs/>
          <w:sz w:val="24"/>
          <w:szCs w:val="24"/>
        </w:rPr>
        <w:t xml:space="preserve"> halvfast eller løst pulver.</w:t>
      </w:r>
    </w:p>
    <w:p w14:paraId="5DCD1187" w14:textId="77777777" w:rsidR="009260DE" w:rsidRPr="00C84483" w:rsidRDefault="009260DE" w:rsidP="009260DE">
      <w:pPr>
        <w:tabs>
          <w:tab w:val="left" w:pos="851"/>
        </w:tabs>
        <w:ind w:left="851"/>
        <w:rPr>
          <w:sz w:val="24"/>
          <w:szCs w:val="24"/>
        </w:rPr>
      </w:pPr>
    </w:p>
    <w:p w14:paraId="1F26610E" w14:textId="77777777" w:rsidR="009260DE" w:rsidRPr="00C84483" w:rsidRDefault="009260DE" w:rsidP="009260DE">
      <w:pPr>
        <w:tabs>
          <w:tab w:val="left" w:pos="851"/>
        </w:tabs>
        <w:ind w:left="851"/>
        <w:rPr>
          <w:sz w:val="24"/>
          <w:szCs w:val="24"/>
        </w:rPr>
      </w:pPr>
    </w:p>
    <w:p w14:paraId="1E6616FA"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4D8C33D6" w14:textId="77777777" w:rsidR="009260DE" w:rsidRPr="00C84483" w:rsidRDefault="009260DE" w:rsidP="009260DE">
      <w:pPr>
        <w:tabs>
          <w:tab w:val="left" w:pos="851"/>
        </w:tabs>
        <w:ind w:left="851"/>
        <w:rPr>
          <w:b/>
          <w:sz w:val="24"/>
          <w:szCs w:val="24"/>
        </w:rPr>
      </w:pPr>
    </w:p>
    <w:p w14:paraId="16AD695E"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0FD799EC" w14:textId="77777777" w:rsidR="007A4DC4" w:rsidRPr="007A4DC4" w:rsidRDefault="007A4DC4" w:rsidP="007A4DC4">
      <w:pPr>
        <w:tabs>
          <w:tab w:val="left" w:pos="851"/>
        </w:tabs>
        <w:ind w:left="851"/>
        <w:rPr>
          <w:sz w:val="24"/>
          <w:szCs w:val="24"/>
        </w:rPr>
      </w:pPr>
      <w:proofErr w:type="spellStart"/>
      <w:r w:rsidRPr="007A4DC4">
        <w:rPr>
          <w:sz w:val="24"/>
          <w:szCs w:val="24"/>
        </w:rPr>
        <w:t>Esomeprazole</w:t>
      </w:r>
      <w:proofErr w:type="spellEnd"/>
      <w:r w:rsidRPr="007A4DC4">
        <w:rPr>
          <w:sz w:val="24"/>
          <w:szCs w:val="24"/>
        </w:rPr>
        <w:t xml:space="preserve"> Demo S.A. er indikeret hos voksne til:</w:t>
      </w:r>
    </w:p>
    <w:p w14:paraId="5D389B0B" w14:textId="77777777" w:rsidR="007A4DC4" w:rsidRPr="007A4DC4" w:rsidRDefault="007A4DC4" w:rsidP="007A4DC4">
      <w:pPr>
        <w:numPr>
          <w:ilvl w:val="0"/>
          <w:numId w:val="6"/>
        </w:numPr>
        <w:tabs>
          <w:tab w:val="left" w:pos="851"/>
        </w:tabs>
        <w:ind w:left="1134" w:hanging="283"/>
        <w:rPr>
          <w:sz w:val="24"/>
          <w:szCs w:val="24"/>
        </w:rPr>
      </w:pPr>
      <w:r w:rsidRPr="007A4DC4">
        <w:rPr>
          <w:sz w:val="24"/>
          <w:szCs w:val="24"/>
        </w:rPr>
        <w:t xml:space="preserve">Gastrisk </w:t>
      </w:r>
      <w:proofErr w:type="spellStart"/>
      <w:r w:rsidRPr="007A4DC4">
        <w:rPr>
          <w:sz w:val="24"/>
          <w:szCs w:val="24"/>
        </w:rPr>
        <w:t>antisekretorisk</w:t>
      </w:r>
      <w:proofErr w:type="spellEnd"/>
      <w:r w:rsidRPr="007A4DC4">
        <w:rPr>
          <w:sz w:val="24"/>
          <w:szCs w:val="24"/>
        </w:rPr>
        <w:t xml:space="preserve"> behandling når oral administration ikke er mulig, som f.eks.:</w:t>
      </w:r>
    </w:p>
    <w:p w14:paraId="5FA0EA8F" w14:textId="77777777" w:rsidR="007A4DC4" w:rsidRPr="007A4DC4" w:rsidRDefault="007A4DC4" w:rsidP="007A4DC4">
      <w:pPr>
        <w:numPr>
          <w:ilvl w:val="1"/>
          <w:numId w:val="7"/>
        </w:numPr>
        <w:tabs>
          <w:tab w:val="left" w:pos="851"/>
        </w:tabs>
        <w:ind w:left="1418" w:hanging="284"/>
        <w:rPr>
          <w:sz w:val="24"/>
          <w:szCs w:val="24"/>
        </w:rPr>
      </w:pPr>
      <w:proofErr w:type="spellStart"/>
      <w:r w:rsidRPr="007A4DC4">
        <w:rPr>
          <w:sz w:val="24"/>
          <w:szCs w:val="24"/>
        </w:rPr>
        <w:t>Gastroesofageal</w:t>
      </w:r>
      <w:proofErr w:type="spellEnd"/>
      <w:r w:rsidRPr="007A4DC4">
        <w:rPr>
          <w:sz w:val="24"/>
          <w:szCs w:val="24"/>
        </w:rPr>
        <w:t xml:space="preserve"> </w:t>
      </w:r>
      <w:proofErr w:type="spellStart"/>
      <w:r w:rsidRPr="007A4DC4">
        <w:rPr>
          <w:sz w:val="24"/>
          <w:szCs w:val="24"/>
        </w:rPr>
        <w:t>reflukssygdom</w:t>
      </w:r>
      <w:proofErr w:type="spellEnd"/>
      <w:r w:rsidRPr="007A4DC4">
        <w:rPr>
          <w:sz w:val="24"/>
          <w:szCs w:val="24"/>
        </w:rPr>
        <w:t xml:space="preserve"> (GERD) hos patienter med </w:t>
      </w:r>
      <w:proofErr w:type="spellStart"/>
      <w:r w:rsidRPr="007A4DC4">
        <w:rPr>
          <w:sz w:val="24"/>
          <w:szCs w:val="24"/>
        </w:rPr>
        <w:t>esofagitis</w:t>
      </w:r>
      <w:proofErr w:type="spellEnd"/>
      <w:r w:rsidRPr="007A4DC4">
        <w:rPr>
          <w:sz w:val="24"/>
          <w:szCs w:val="24"/>
        </w:rPr>
        <w:t xml:space="preserve"> og/eller svære </w:t>
      </w:r>
      <w:proofErr w:type="spellStart"/>
      <w:r w:rsidRPr="007A4DC4">
        <w:rPr>
          <w:sz w:val="24"/>
          <w:szCs w:val="24"/>
        </w:rPr>
        <w:t>reflukssymptomer</w:t>
      </w:r>
      <w:proofErr w:type="spellEnd"/>
      <w:r w:rsidRPr="007A4DC4">
        <w:rPr>
          <w:sz w:val="24"/>
          <w:szCs w:val="24"/>
        </w:rPr>
        <w:t>.</w:t>
      </w:r>
    </w:p>
    <w:p w14:paraId="3B534990" w14:textId="77777777" w:rsidR="007A4DC4" w:rsidRPr="007A4DC4" w:rsidRDefault="007A4DC4" w:rsidP="007A4DC4">
      <w:pPr>
        <w:numPr>
          <w:ilvl w:val="1"/>
          <w:numId w:val="7"/>
        </w:numPr>
        <w:tabs>
          <w:tab w:val="left" w:pos="851"/>
        </w:tabs>
        <w:ind w:left="1418" w:hanging="284"/>
        <w:rPr>
          <w:sz w:val="24"/>
          <w:szCs w:val="24"/>
        </w:rPr>
      </w:pPr>
      <w:r w:rsidRPr="007A4DC4">
        <w:rPr>
          <w:sz w:val="24"/>
          <w:szCs w:val="24"/>
        </w:rPr>
        <w:t xml:space="preserve">Heling af ulcus </w:t>
      </w:r>
      <w:proofErr w:type="spellStart"/>
      <w:r w:rsidRPr="007A4DC4">
        <w:rPr>
          <w:sz w:val="24"/>
          <w:szCs w:val="24"/>
        </w:rPr>
        <w:t>ventriculi</w:t>
      </w:r>
      <w:proofErr w:type="spellEnd"/>
      <w:r w:rsidRPr="007A4DC4">
        <w:rPr>
          <w:sz w:val="24"/>
          <w:szCs w:val="24"/>
        </w:rPr>
        <w:t xml:space="preserve"> associeret med NSAID-behandling.</w:t>
      </w:r>
    </w:p>
    <w:p w14:paraId="0539FC72" w14:textId="77777777" w:rsidR="007A4DC4" w:rsidRPr="007A4DC4" w:rsidRDefault="007A4DC4" w:rsidP="007A4DC4">
      <w:pPr>
        <w:numPr>
          <w:ilvl w:val="1"/>
          <w:numId w:val="7"/>
        </w:numPr>
        <w:tabs>
          <w:tab w:val="left" w:pos="851"/>
        </w:tabs>
        <w:ind w:left="1418" w:hanging="284"/>
        <w:rPr>
          <w:sz w:val="24"/>
          <w:szCs w:val="24"/>
        </w:rPr>
      </w:pPr>
      <w:r w:rsidRPr="007A4DC4">
        <w:rPr>
          <w:sz w:val="24"/>
          <w:szCs w:val="24"/>
        </w:rPr>
        <w:t xml:space="preserve">Forebyggelse af ulcus </w:t>
      </w:r>
      <w:proofErr w:type="spellStart"/>
      <w:r w:rsidRPr="007A4DC4">
        <w:rPr>
          <w:sz w:val="24"/>
          <w:szCs w:val="24"/>
        </w:rPr>
        <w:t>ventriculi</w:t>
      </w:r>
      <w:proofErr w:type="spellEnd"/>
      <w:r w:rsidRPr="007A4DC4">
        <w:rPr>
          <w:sz w:val="24"/>
          <w:szCs w:val="24"/>
        </w:rPr>
        <w:t xml:space="preserve"> og ulcus </w:t>
      </w:r>
      <w:proofErr w:type="spellStart"/>
      <w:r w:rsidRPr="007A4DC4">
        <w:rPr>
          <w:sz w:val="24"/>
          <w:szCs w:val="24"/>
        </w:rPr>
        <w:t>doudeni</w:t>
      </w:r>
      <w:proofErr w:type="spellEnd"/>
      <w:r w:rsidRPr="007A4DC4">
        <w:rPr>
          <w:sz w:val="24"/>
          <w:szCs w:val="24"/>
        </w:rPr>
        <w:t xml:space="preserve"> associeret med NSAID-behandling hos risikopatienter.</w:t>
      </w:r>
    </w:p>
    <w:p w14:paraId="1C9660CE" w14:textId="77777777" w:rsidR="007A4DC4" w:rsidRPr="007A4DC4" w:rsidRDefault="007A4DC4" w:rsidP="007A4DC4">
      <w:pPr>
        <w:tabs>
          <w:tab w:val="left" w:pos="851"/>
        </w:tabs>
        <w:ind w:left="851"/>
        <w:rPr>
          <w:sz w:val="24"/>
          <w:szCs w:val="24"/>
        </w:rPr>
      </w:pPr>
    </w:p>
    <w:p w14:paraId="500C8BF0" w14:textId="77777777" w:rsidR="007A4DC4" w:rsidRPr="007A4DC4" w:rsidRDefault="007A4DC4" w:rsidP="007A4DC4">
      <w:pPr>
        <w:numPr>
          <w:ilvl w:val="0"/>
          <w:numId w:val="6"/>
        </w:numPr>
        <w:tabs>
          <w:tab w:val="left" w:pos="851"/>
        </w:tabs>
        <w:ind w:left="1134" w:hanging="283"/>
        <w:rPr>
          <w:sz w:val="24"/>
          <w:szCs w:val="24"/>
        </w:rPr>
      </w:pPr>
      <w:r w:rsidRPr="007A4DC4">
        <w:rPr>
          <w:sz w:val="24"/>
          <w:szCs w:val="24"/>
        </w:rPr>
        <w:t xml:space="preserve">Forebyggelse af gentagne blødninger efter terapeutisk endoskopi for akut blødende ulcus </w:t>
      </w:r>
      <w:proofErr w:type="spellStart"/>
      <w:r w:rsidRPr="007A4DC4">
        <w:rPr>
          <w:sz w:val="24"/>
          <w:szCs w:val="24"/>
        </w:rPr>
        <w:t>ventriculi</w:t>
      </w:r>
      <w:proofErr w:type="spellEnd"/>
      <w:r w:rsidRPr="007A4DC4">
        <w:rPr>
          <w:sz w:val="24"/>
          <w:szCs w:val="24"/>
        </w:rPr>
        <w:t xml:space="preserve"> eller ulcus </w:t>
      </w:r>
      <w:proofErr w:type="spellStart"/>
      <w:r w:rsidRPr="007A4DC4">
        <w:rPr>
          <w:sz w:val="24"/>
          <w:szCs w:val="24"/>
        </w:rPr>
        <w:t>duodeni</w:t>
      </w:r>
      <w:proofErr w:type="spellEnd"/>
      <w:r w:rsidRPr="007A4DC4">
        <w:rPr>
          <w:sz w:val="24"/>
          <w:szCs w:val="24"/>
        </w:rPr>
        <w:t>.</w:t>
      </w:r>
    </w:p>
    <w:p w14:paraId="0C614C82" w14:textId="77777777" w:rsidR="007A4DC4" w:rsidRPr="007A4DC4" w:rsidRDefault="007A4DC4" w:rsidP="007A4DC4">
      <w:pPr>
        <w:tabs>
          <w:tab w:val="left" w:pos="851"/>
        </w:tabs>
        <w:ind w:left="851"/>
        <w:rPr>
          <w:iCs/>
          <w:sz w:val="24"/>
          <w:szCs w:val="24"/>
        </w:rPr>
      </w:pPr>
    </w:p>
    <w:p w14:paraId="0BC0D44C" w14:textId="77777777" w:rsidR="007A4DC4" w:rsidRPr="007A4DC4" w:rsidRDefault="007A4DC4" w:rsidP="007A4DC4">
      <w:pPr>
        <w:tabs>
          <w:tab w:val="left" w:pos="851"/>
        </w:tabs>
        <w:ind w:left="851"/>
        <w:rPr>
          <w:iCs/>
          <w:sz w:val="24"/>
          <w:szCs w:val="24"/>
        </w:rPr>
      </w:pPr>
      <w:proofErr w:type="spellStart"/>
      <w:r w:rsidRPr="007A4DC4">
        <w:rPr>
          <w:sz w:val="24"/>
          <w:szCs w:val="24"/>
        </w:rPr>
        <w:t>Esomeprazole</w:t>
      </w:r>
      <w:proofErr w:type="spellEnd"/>
      <w:r w:rsidRPr="007A4DC4">
        <w:rPr>
          <w:sz w:val="24"/>
          <w:szCs w:val="24"/>
        </w:rPr>
        <w:t xml:space="preserve"> Demo S.A. til injektion og infusion er indikeret hos børn og unge fra 1-18 år til:</w:t>
      </w:r>
    </w:p>
    <w:p w14:paraId="7F9D1C81" w14:textId="508F41BF" w:rsidR="007A4DC4" w:rsidRPr="007A4DC4" w:rsidRDefault="007A4DC4" w:rsidP="007A4DC4">
      <w:pPr>
        <w:numPr>
          <w:ilvl w:val="0"/>
          <w:numId w:val="8"/>
        </w:numPr>
        <w:tabs>
          <w:tab w:val="clear" w:pos="229"/>
          <w:tab w:val="left" w:pos="1134"/>
        </w:tabs>
        <w:ind w:left="1134" w:hanging="283"/>
        <w:rPr>
          <w:sz w:val="24"/>
          <w:szCs w:val="24"/>
        </w:rPr>
      </w:pPr>
      <w:r w:rsidRPr="007A4DC4">
        <w:rPr>
          <w:sz w:val="24"/>
          <w:szCs w:val="24"/>
        </w:rPr>
        <w:t xml:space="preserve">Gastrisk </w:t>
      </w:r>
      <w:proofErr w:type="spellStart"/>
      <w:r w:rsidRPr="007A4DC4">
        <w:rPr>
          <w:sz w:val="24"/>
          <w:szCs w:val="24"/>
        </w:rPr>
        <w:t>antisekretorisk</w:t>
      </w:r>
      <w:proofErr w:type="spellEnd"/>
      <w:r w:rsidRPr="007A4DC4">
        <w:rPr>
          <w:sz w:val="24"/>
          <w:szCs w:val="24"/>
        </w:rPr>
        <w:t xml:space="preserve"> behandling, når oral administration ikke er mulig, som f.eks.:</w:t>
      </w:r>
    </w:p>
    <w:p w14:paraId="495B8A35" w14:textId="77777777" w:rsidR="007A4DC4" w:rsidRPr="007A4DC4" w:rsidRDefault="007A4DC4" w:rsidP="007A4DC4">
      <w:pPr>
        <w:numPr>
          <w:ilvl w:val="1"/>
          <w:numId w:val="9"/>
        </w:numPr>
        <w:tabs>
          <w:tab w:val="left" w:pos="851"/>
        </w:tabs>
        <w:ind w:left="1418" w:hanging="284"/>
        <w:rPr>
          <w:sz w:val="24"/>
          <w:szCs w:val="24"/>
        </w:rPr>
      </w:pPr>
      <w:proofErr w:type="spellStart"/>
      <w:r w:rsidRPr="007A4DC4">
        <w:rPr>
          <w:sz w:val="24"/>
          <w:szCs w:val="24"/>
        </w:rPr>
        <w:t>Gastroesofageal</w:t>
      </w:r>
      <w:proofErr w:type="spellEnd"/>
      <w:r w:rsidRPr="007A4DC4">
        <w:rPr>
          <w:sz w:val="24"/>
          <w:szCs w:val="24"/>
        </w:rPr>
        <w:t xml:space="preserve"> </w:t>
      </w:r>
      <w:proofErr w:type="spellStart"/>
      <w:r w:rsidRPr="007A4DC4">
        <w:rPr>
          <w:sz w:val="24"/>
          <w:szCs w:val="24"/>
        </w:rPr>
        <w:t>reflukssygdom</w:t>
      </w:r>
      <w:proofErr w:type="spellEnd"/>
      <w:r w:rsidRPr="007A4DC4">
        <w:rPr>
          <w:sz w:val="24"/>
          <w:szCs w:val="24"/>
        </w:rPr>
        <w:t xml:space="preserve"> (GERD) hos patienter med </w:t>
      </w:r>
      <w:proofErr w:type="spellStart"/>
      <w:r w:rsidRPr="007A4DC4">
        <w:rPr>
          <w:sz w:val="24"/>
          <w:szCs w:val="24"/>
        </w:rPr>
        <w:t>erosiv</w:t>
      </w:r>
      <w:proofErr w:type="spellEnd"/>
      <w:r w:rsidRPr="007A4DC4">
        <w:rPr>
          <w:sz w:val="24"/>
          <w:szCs w:val="24"/>
        </w:rPr>
        <w:t xml:space="preserve"> </w:t>
      </w:r>
      <w:proofErr w:type="spellStart"/>
      <w:r w:rsidRPr="007A4DC4">
        <w:rPr>
          <w:sz w:val="24"/>
          <w:szCs w:val="24"/>
        </w:rPr>
        <w:t>refluksesofagitis</w:t>
      </w:r>
      <w:proofErr w:type="spellEnd"/>
      <w:r w:rsidRPr="007A4DC4">
        <w:rPr>
          <w:sz w:val="24"/>
          <w:szCs w:val="24"/>
        </w:rPr>
        <w:t xml:space="preserve"> og/eller svære </w:t>
      </w:r>
      <w:proofErr w:type="spellStart"/>
      <w:r w:rsidRPr="007A4DC4">
        <w:rPr>
          <w:sz w:val="24"/>
          <w:szCs w:val="24"/>
        </w:rPr>
        <w:t>reflukssymptomer</w:t>
      </w:r>
      <w:proofErr w:type="spellEnd"/>
      <w:r w:rsidRPr="007A4DC4">
        <w:rPr>
          <w:sz w:val="24"/>
          <w:szCs w:val="24"/>
        </w:rPr>
        <w:t xml:space="preserve">. </w:t>
      </w:r>
    </w:p>
    <w:p w14:paraId="1BF1A450" w14:textId="77777777" w:rsidR="009260DE" w:rsidRPr="00C84483" w:rsidRDefault="009260DE" w:rsidP="009260DE">
      <w:pPr>
        <w:tabs>
          <w:tab w:val="left" w:pos="851"/>
        </w:tabs>
        <w:ind w:left="851"/>
        <w:rPr>
          <w:sz w:val="24"/>
          <w:szCs w:val="24"/>
        </w:rPr>
      </w:pPr>
    </w:p>
    <w:p w14:paraId="20395793"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0CACEBA6" w14:textId="77777777" w:rsidR="007A4DC4" w:rsidRPr="007A4DC4" w:rsidRDefault="007A4DC4" w:rsidP="001B6C98">
      <w:pPr>
        <w:tabs>
          <w:tab w:val="left" w:pos="851"/>
        </w:tabs>
        <w:ind w:left="851"/>
        <w:rPr>
          <w:sz w:val="24"/>
          <w:szCs w:val="24"/>
        </w:rPr>
      </w:pPr>
    </w:p>
    <w:p w14:paraId="60D8EB49" w14:textId="77777777" w:rsidR="007A4DC4" w:rsidRPr="001B6C98" w:rsidRDefault="007A4DC4" w:rsidP="007A4DC4">
      <w:pPr>
        <w:tabs>
          <w:tab w:val="left" w:pos="851"/>
        </w:tabs>
        <w:ind w:left="851"/>
        <w:rPr>
          <w:b/>
          <w:bCs/>
          <w:sz w:val="24"/>
          <w:szCs w:val="24"/>
          <w:u w:val="single"/>
        </w:rPr>
      </w:pPr>
      <w:r w:rsidRPr="001B6C98">
        <w:rPr>
          <w:b/>
          <w:bCs/>
          <w:sz w:val="24"/>
          <w:szCs w:val="24"/>
          <w:u w:val="single"/>
        </w:rPr>
        <w:t>Voksne</w:t>
      </w:r>
    </w:p>
    <w:p w14:paraId="7CC74142" w14:textId="58E8FF26" w:rsidR="007A4DC4" w:rsidRPr="001B6C98" w:rsidRDefault="007A4DC4" w:rsidP="007A4DC4">
      <w:pPr>
        <w:tabs>
          <w:tab w:val="left" w:pos="851"/>
        </w:tabs>
        <w:ind w:left="851"/>
        <w:rPr>
          <w:bCs/>
          <w:sz w:val="24"/>
          <w:szCs w:val="24"/>
        </w:rPr>
      </w:pPr>
    </w:p>
    <w:p w14:paraId="7D91492A" w14:textId="081CAB0F" w:rsidR="001B6C98" w:rsidRPr="001B6C98" w:rsidRDefault="001B6C98" w:rsidP="007A4DC4">
      <w:pPr>
        <w:tabs>
          <w:tab w:val="left" w:pos="851"/>
        </w:tabs>
        <w:ind w:left="851"/>
        <w:rPr>
          <w:b/>
          <w:bCs/>
          <w:sz w:val="24"/>
          <w:szCs w:val="24"/>
        </w:rPr>
      </w:pPr>
      <w:r w:rsidRPr="001B6C98">
        <w:rPr>
          <w:b/>
          <w:bCs/>
          <w:sz w:val="24"/>
          <w:szCs w:val="24"/>
        </w:rPr>
        <w:t>Dosering</w:t>
      </w:r>
    </w:p>
    <w:p w14:paraId="4EDB2255" w14:textId="77777777" w:rsidR="001B6C98" w:rsidRPr="001B6C98" w:rsidRDefault="001B6C98" w:rsidP="007A4DC4">
      <w:pPr>
        <w:tabs>
          <w:tab w:val="left" w:pos="851"/>
        </w:tabs>
        <w:ind w:left="851"/>
        <w:rPr>
          <w:bCs/>
          <w:sz w:val="24"/>
          <w:szCs w:val="24"/>
        </w:rPr>
      </w:pPr>
    </w:p>
    <w:p w14:paraId="031F76D8" w14:textId="77777777" w:rsidR="007A4DC4" w:rsidRPr="007A4DC4" w:rsidRDefault="007A4DC4" w:rsidP="007A4DC4">
      <w:pPr>
        <w:tabs>
          <w:tab w:val="left" w:pos="851"/>
        </w:tabs>
        <w:ind w:left="851"/>
        <w:rPr>
          <w:i/>
          <w:iCs/>
          <w:sz w:val="24"/>
          <w:szCs w:val="24"/>
        </w:rPr>
      </w:pPr>
      <w:r w:rsidRPr="007A4DC4">
        <w:rPr>
          <w:i/>
          <w:iCs/>
          <w:sz w:val="24"/>
          <w:szCs w:val="24"/>
        </w:rPr>
        <w:t xml:space="preserve">Gastrisk </w:t>
      </w:r>
      <w:proofErr w:type="spellStart"/>
      <w:r w:rsidRPr="007A4DC4">
        <w:rPr>
          <w:i/>
          <w:iCs/>
          <w:sz w:val="24"/>
          <w:szCs w:val="24"/>
        </w:rPr>
        <w:t>antisekretorisk</w:t>
      </w:r>
      <w:proofErr w:type="spellEnd"/>
      <w:r w:rsidRPr="007A4DC4">
        <w:rPr>
          <w:i/>
          <w:iCs/>
          <w:sz w:val="24"/>
          <w:szCs w:val="24"/>
        </w:rPr>
        <w:t xml:space="preserve"> behandling, når oral administration ikke er mulig.</w:t>
      </w:r>
    </w:p>
    <w:p w14:paraId="691EE54D" w14:textId="77777777" w:rsidR="007A4DC4" w:rsidRPr="007A4DC4" w:rsidRDefault="007A4DC4" w:rsidP="007A4DC4">
      <w:pPr>
        <w:tabs>
          <w:tab w:val="left" w:pos="851"/>
        </w:tabs>
        <w:ind w:left="851"/>
        <w:rPr>
          <w:sz w:val="24"/>
          <w:szCs w:val="24"/>
        </w:rPr>
      </w:pPr>
      <w:r w:rsidRPr="007A4DC4">
        <w:rPr>
          <w:sz w:val="24"/>
          <w:szCs w:val="24"/>
        </w:rPr>
        <w:t xml:space="preserve">Patienter, som ikke kan indtage behandling oralt kan behandles parenteralt med 20-40 mg en gang daglig. Patienter med </w:t>
      </w:r>
      <w:proofErr w:type="spellStart"/>
      <w:r w:rsidRPr="007A4DC4">
        <w:rPr>
          <w:sz w:val="24"/>
          <w:szCs w:val="24"/>
        </w:rPr>
        <w:t>refluks</w:t>
      </w:r>
      <w:proofErr w:type="spellEnd"/>
      <w:r w:rsidRPr="007A4DC4">
        <w:rPr>
          <w:sz w:val="24"/>
          <w:szCs w:val="24"/>
        </w:rPr>
        <w:t xml:space="preserve"> </w:t>
      </w:r>
      <w:proofErr w:type="spellStart"/>
      <w:r w:rsidRPr="007A4DC4">
        <w:rPr>
          <w:sz w:val="24"/>
          <w:szCs w:val="24"/>
        </w:rPr>
        <w:t>esofagitis</w:t>
      </w:r>
      <w:proofErr w:type="spellEnd"/>
      <w:r w:rsidRPr="007A4DC4">
        <w:rPr>
          <w:sz w:val="24"/>
          <w:szCs w:val="24"/>
        </w:rPr>
        <w:t xml:space="preserve"> bør behandles med 40 mg en gang daglig. Patienter der behandles for symptomatisk </w:t>
      </w:r>
      <w:proofErr w:type="spellStart"/>
      <w:r w:rsidRPr="007A4DC4">
        <w:rPr>
          <w:sz w:val="24"/>
          <w:szCs w:val="24"/>
        </w:rPr>
        <w:t>reflukssygdom</w:t>
      </w:r>
      <w:proofErr w:type="spellEnd"/>
      <w:r w:rsidRPr="007A4DC4">
        <w:rPr>
          <w:sz w:val="24"/>
          <w:szCs w:val="24"/>
        </w:rPr>
        <w:t>, bør behandles med 20 mg en gang daglig.</w:t>
      </w:r>
    </w:p>
    <w:p w14:paraId="614FBAF3" w14:textId="77777777" w:rsidR="007A4DC4" w:rsidRPr="007A4DC4" w:rsidRDefault="007A4DC4" w:rsidP="007A4DC4">
      <w:pPr>
        <w:tabs>
          <w:tab w:val="left" w:pos="851"/>
        </w:tabs>
        <w:ind w:left="851"/>
        <w:rPr>
          <w:sz w:val="24"/>
          <w:szCs w:val="24"/>
        </w:rPr>
      </w:pPr>
    </w:p>
    <w:p w14:paraId="4AC3F669" w14:textId="77777777" w:rsidR="007A4DC4" w:rsidRPr="007A4DC4" w:rsidRDefault="007A4DC4" w:rsidP="007A4DC4">
      <w:pPr>
        <w:tabs>
          <w:tab w:val="left" w:pos="851"/>
        </w:tabs>
        <w:ind w:left="851"/>
        <w:rPr>
          <w:sz w:val="24"/>
          <w:szCs w:val="24"/>
        </w:rPr>
      </w:pPr>
      <w:r w:rsidRPr="007A4DC4">
        <w:rPr>
          <w:sz w:val="24"/>
          <w:szCs w:val="24"/>
        </w:rPr>
        <w:t xml:space="preserve">Til heling af ulcus </w:t>
      </w:r>
      <w:proofErr w:type="spellStart"/>
      <w:r w:rsidRPr="007A4DC4">
        <w:rPr>
          <w:sz w:val="24"/>
          <w:szCs w:val="24"/>
        </w:rPr>
        <w:t>ventriculi</w:t>
      </w:r>
      <w:proofErr w:type="spellEnd"/>
      <w:r w:rsidRPr="007A4DC4">
        <w:rPr>
          <w:sz w:val="24"/>
          <w:szCs w:val="24"/>
        </w:rPr>
        <w:t xml:space="preserve"> associeret med NSAID-behandling er den sædvanlige dosis 20 mg en gang daglig. Til forebyggelse af ulcus </w:t>
      </w:r>
      <w:proofErr w:type="spellStart"/>
      <w:r w:rsidRPr="007A4DC4">
        <w:rPr>
          <w:sz w:val="24"/>
          <w:szCs w:val="24"/>
        </w:rPr>
        <w:t>ventriculi</w:t>
      </w:r>
      <w:proofErr w:type="spellEnd"/>
      <w:r w:rsidRPr="007A4DC4">
        <w:rPr>
          <w:sz w:val="24"/>
          <w:szCs w:val="24"/>
        </w:rPr>
        <w:t xml:space="preserve"> og ulcus </w:t>
      </w:r>
      <w:proofErr w:type="spellStart"/>
      <w:r w:rsidRPr="007A4DC4">
        <w:rPr>
          <w:sz w:val="24"/>
          <w:szCs w:val="24"/>
        </w:rPr>
        <w:t>duodeni</w:t>
      </w:r>
      <w:proofErr w:type="spellEnd"/>
      <w:r w:rsidRPr="007A4DC4">
        <w:rPr>
          <w:sz w:val="24"/>
          <w:szCs w:val="24"/>
        </w:rPr>
        <w:t xml:space="preserve"> associeret med NSAID-behandling, bør risikopatienter behandles med 20 mg en gang daglig.</w:t>
      </w:r>
    </w:p>
    <w:p w14:paraId="5AD0F6D4" w14:textId="77777777" w:rsidR="007A4DC4" w:rsidRPr="007A4DC4" w:rsidRDefault="007A4DC4" w:rsidP="007A4DC4">
      <w:pPr>
        <w:tabs>
          <w:tab w:val="left" w:pos="851"/>
        </w:tabs>
        <w:ind w:left="851"/>
        <w:rPr>
          <w:sz w:val="24"/>
          <w:szCs w:val="24"/>
        </w:rPr>
      </w:pPr>
    </w:p>
    <w:p w14:paraId="1D9A174F" w14:textId="77777777" w:rsidR="007A4DC4" w:rsidRPr="007A4DC4" w:rsidRDefault="007A4DC4" w:rsidP="007A4DC4">
      <w:pPr>
        <w:tabs>
          <w:tab w:val="left" w:pos="851"/>
        </w:tabs>
        <w:ind w:left="851"/>
        <w:rPr>
          <w:sz w:val="24"/>
          <w:szCs w:val="24"/>
        </w:rPr>
      </w:pPr>
      <w:r w:rsidRPr="007A4DC4">
        <w:rPr>
          <w:sz w:val="24"/>
          <w:szCs w:val="24"/>
        </w:rPr>
        <w:t>Normalt anvendes den intravenøse behandling kortvarigt og bør erstattes af oral behandling hurtigst muligt.</w:t>
      </w:r>
    </w:p>
    <w:p w14:paraId="3B7CE194" w14:textId="77777777" w:rsidR="007A4DC4" w:rsidRPr="007A4DC4" w:rsidRDefault="007A4DC4" w:rsidP="007A4DC4">
      <w:pPr>
        <w:tabs>
          <w:tab w:val="left" w:pos="851"/>
        </w:tabs>
        <w:ind w:left="851"/>
        <w:rPr>
          <w:b/>
          <w:bCs/>
          <w:sz w:val="24"/>
          <w:szCs w:val="24"/>
        </w:rPr>
      </w:pPr>
    </w:p>
    <w:p w14:paraId="40E6C73A" w14:textId="77777777" w:rsidR="007A4DC4" w:rsidRPr="007A4DC4" w:rsidRDefault="007A4DC4" w:rsidP="007A4DC4">
      <w:pPr>
        <w:tabs>
          <w:tab w:val="left" w:pos="851"/>
        </w:tabs>
        <w:ind w:left="851"/>
        <w:rPr>
          <w:i/>
          <w:iCs/>
          <w:sz w:val="24"/>
          <w:szCs w:val="24"/>
        </w:rPr>
      </w:pPr>
      <w:r w:rsidRPr="007A4DC4">
        <w:rPr>
          <w:i/>
          <w:iCs/>
          <w:sz w:val="24"/>
          <w:szCs w:val="24"/>
        </w:rPr>
        <w:t xml:space="preserve">Forebyggelse af gentagne blødninger for akut blødende ulcus </w:t>
      </w:r>
      <w:proofErr w:type="spellStart"/>
      <w:r w:rsidRPr="007A4DC4">
        <w:rPr>
          <w:i/>
          <w:iCs/>
          <w:sz w:val="24"/>
          <w:szCs w:val="24"/>
        </w:rPr>
        <w:t>ventriculi</w:t>
      </w:r>
      <w:proofErr w:type="spellEnd"/>
      <w:r w:rsidRPr="007A4DC4">
        <w:rPr>
          <w:i/>
          <w:iCs/>
          <w:sz w:val="24"/>
          <w:szCs w:val="24"/>
        </w:rPr>
        <w:t xml:space="preserve"> eller ulcus </w:t>
      </w:r>
      <w:proofErr w:type="spellStart"/>
      <w:r w:rsidRPr="007A4DC4">
        <w:rPr>
          <w:i/>
          <w:iCs/>
          <w:sz w:val="24"/>
          <w:szCs w:val="24"/>
        </w:rPr>
        <w:t>duodeni</w:t>
      </w:r>
      <w:proofErr w:type="spellEnd"/>
      <w:r w:rsidRPr="007A4DC4">
        <w:rPr>
          <w:i/>
          <w:iCs/>
          <w:sz w:val="24"/>
          <w:szCs w:val="24"/>
        </w:rPr>
        <w:t>.</w:t>
      </w:r>
    </w:p>
    <w:p w14:paraId="7470D3BE" w14:textId="77777777" w:rsidR="007A4DC4" w:rsidRPr="007A4DC4" w:rsidRDefault="007A4DC4" w:rsidP="007A4DC4">
      <w:pPr>
        <w:tabs>
          <w:tab w:val="left" w:pos="851"/>
        </w:tabs>
        <w:ind w:left="851"/>
        <w:rPr>
          <w:sz w:val="24"/>
          <w:szCs w:val="24"/>
        </w:rPr>
      </w:pPr>
      <w:r w:rsidRPr="007A4DC4">
        <w:rPr>
          <w:sz w:val="24"/>
          <w:szCs w:val="24"/>
        </w:rPr>
        <w:t xml:space="preserve">Efter terapeutisk endoskopi for akut blødende ulcus </w:t>
      </w:r>
      <w:proofErr w:type="spellStart"/>
      <w:r w:rsidRPr="007A4DC4">
        <w:rPr>
          <w:sz w:val="24"/>
          <w:szCs w:val="24"/>
        </w:rPr>
        <w:t>ventriculi</w:t>
      </w:r>
      <w:proofErr w:type="spellEnd"/>
      <w:r w:rsidRPr="007A4DC4">
        <w:rPr>
          <w:sz w:val="24"/>
          <w:szCs w:val="24"/>
        </w:rPr>
        <w:t xml:space="preserve"> eller ulcus </w:t>
      </w:r>
      <w:proofErr w:type="spellStart"/>
      <w:r w:rsidRPr="007A4DC4">
        <w:rPr>
          <w:sz w:val="24"/>
          <w:szCs w:val="24"/>
        </w:rPr>
        <w:t>duodeni</w:t>
      </w:r>
      <w:proofErr w:type="spellEnd"/>
      <w:r w:rsidRPr="007A4DC4">
        <w:rPr>
          <w:sz w:val="24"/>
          <w:szCs w:val="24"/>
        </w:rPr>
        <w:t xml:space="preserve">, bør 80 mg gives som en </w:t>
      </w:r>
      <w:proofErr w:type="spellStart"/>
      <w:r w:rsidRPr="007A4DC4">
        <w:rPr>
          <w:sz w:val="24"/>
          <w:szCs w:val="24"/>
        </w:rPr>
        <w:t>bolusinfusion</w:t>
      </w:r>
      <w:proofErr w:type="spellEnd"/>
      <w:r w:rsidRPr="007A4DC4">
        <w:rPr>
          <w:sz w:val="24"/>
          <w:szCs w:val="24"/>
        </w:rPr>
        <w:t xml:space="preserve"> over et tidsrum på 30 minutter, efterfulgt af kontinuerlig intravenøs infusion af 8 mg/time givet i 3 dage (72 timer).</w:t>
      </w:r>
    </w:p>
    <w:p w14:paraId="277821BA" w14:textId="77777777" w:rsidR="007A4DC4" w:rsidRPr="007A4DC4" w:rsidRDefault="007A4DC4" w:rsidP="007A4DC4">
      <w:pPr>
        <w:tabs>
          <w:tab w:val="left" w:pos="851"/>
        </w:tabs>
        <w:ind w:left="851"/>
        <w:rPr>
          <w:sz w:val="24"/>
          <w:szCs w:val="24"/>
        </w:rPr>
      </w:pPr>
    </w:p>
    <w:p w14:paraId="46B2A03B" w14:textId="77777777" w:rsidR="007A4DC4" w:rsidRPr="007A4DC4" w:rsidRDefault="007A4DC4" w:rsidP="007A4DC4">
      <w:pPr>
        <w:tabs>
          <w:tab w:val="left" w:pos="851"/>
        </w:tabs>
        <w:ind w:left="851"/>
        <w:rPr>
          <w:sz w:val="24"/>
          <w:szCs w:val="24"/>
        </w:rPr>
      </w:pPr>
      <w:r w:rsidRPr="007A4DC4">
        <w:rPr>
          <w:sz w:val="24"/>
          <w:szCs w:val="24"/>
        </w:rPr>
        <w:t>Den parenterale behandlingsperiode bør efterfølges af oral syresuppression.</w:t>
      </w:r>
    </w:p>
    <w:p w14:paraId="4DB9D219" w14:textId="77777777" w:rsidR="007A4DC4" w:rsidRPr="007A4DC4" w:rsidRDefault="007A4DC4" w:rsidP="007A4DC4">
      <w:pPr>
        <w:tabs>
          <w:tab w:val="left" w:pos="851"/>
        </w:tabs>
        <w:ind w:left="851"/>
        <w:rPr>
          <w:i/>
          <w:sz w:val="24"/>
          <w:szCs w:val="24"/>
        </w:rPr>
      </w:pPr>
    </w:p>
    <w:p w14:paraId="6CBDDAAD" w14:textId="77777777" w:rsidR="007A4DC4" w:rsidRPr="001B6C98" w:rsidRDefault="007A4DC4" w:rsidP="007A4DC4">
      <w:pPr>
        <w:tabs>
          <w:tab w:val="left" w:pos="851"/>
        </w:tabs>
        <w:ind w:left="851"/>
        <w:rPr>
          <w:b/>
          <w:bCs/>
          <w:sz w:val="24"/>
          <w:szCs w:val="24"/>
        </w:rPr>
      </w:pPr>
      <w:r w:rsidRPr="001B6C98">
        <w:rPr>
          <w:b/>
          <w:bCs/>
          <w:sz w:val="24"/>
          <w:szCs w:val="24"/>
        </w:rPr>
        <w:t>Administration</w:t>
      </w:r>
    </w:p>
    <w:p w14:paraId="6F467432" w14:textId="77777777" w:rsidR="007A4DC4" w:rsidRPr="007A4DC4" w:rsidRDefault="007A4DC4" w:rsidP="007A4DC4">
      <w:pPr>
        <w:tabs>
          <w:tab w:val="left" w:pos="851"/>
        </w:tabs>
        <w:ind w:left="851"/>
        <w:rPr>
          <w:sz w:val="24"/>
          <w:szCs w:val="24"/>
        </w:rPr>
      </w:pPr>
      <w:r w:rsidRPr="007A4DC4">
        <w:rPr>
          <w:sz w:val="24"/>
          <w:szCs w:val="24"/>
        </w:rPr>
        <w:t xml:space="preserve">For instruktioner om </w:t>
      </w:r>
      <w:proofErr w:type="spellStart"/>
      <w:r w:rsidRPr="007A4DC4">
        <w:rPr>
          <w:sz w:val="24"/>
          <w:szCs w:val="24"/>
        </w:rPr>
        <w:t>rekonstitution</w:t>
      </w:r>
      <w:proofErr w:type="spellEnd"/>
      <w:r w:rsidRPr="007A4DC4">
        <w:rPr>
          <w:sz w:val="24"/>
          <w:szCs w:val="24"/>
        </w:rPr>
        <w:t xml:space="preserve"> af lægemidlet før administration, se pkt. 6.6.</w:t>
      </w:r>
    </w:p>
    <w:p w14:paraId="7CE493E7" w14:textId="77777777" w:rsidR="007A4DC4" w:rsidRPr="007A4DC4" w:rsidRDefault="007A4DC4" w:rsidP="007A4DC4">
      <w:pPr>
        <w:tabs>
          <w:tab w:val="left" w:pos="851"/>
        </w:tabs>
        <w:ind w:left="851"/>
        <w:rPr>
          <w:bCs/>
          <w:sz w:val="24"/>
          <w:szCs w:val="24"/>
        </w:rPr>
      </w:pPr>
    </w:p>
    <w:p w14:paraId="680AFAEE" w14:textId="77777777" w:rsidR="007A4DC4" w:rsidRPr="001B6C98" w:rsidRDefault="007A4DC4" w:rsidP="007A4DC4">
      <w:pPr>
        <w:tabs>
          <w:tab w:val="left" w:pos="851"/>
        </w:tabs>
        <w:ind w:left="851"/>
        <w:rPr>
          <w:bCs/>
          <w:sz w:val="24"/>
          <w:szCs w:val="24"/>
          <w:u w:val="single"/>
        </w:rPr>
      </w:pPr>
      <w:r w:rsidRPr="001B6C98">
        <w:rPr>
          <w:bCs/>
          <w:sz w:val="24"/>
          <w:szCs w:val="24"/>
          <w:u w:val="single"/>
        </w:rPr>
        <w:t>Injektion</w:t>
      </w:r>
    </w:p>
    <w:p w14:paraId="554D7EE7" w14:textId="77777777" w:rsidR="007A4DC4" w:rsidRDefault="007A4DC4" w:rsidP="007A4DC4">
      <w:pPr>
        <w:tabs>
          <w:tab w:val="left" w:pos="851"/>
        </w:tabs>
        <w:ind w:left="851"/>
        <w:rPr>
          <w:sz w:val="24"/>
          <w:szCs w:val="24"/>
          <w:u w:val="single"/>
        </w:rPr>
      </w:pPr>
    </w:p>
    <w:p w14:paraId="0849599A" w14:textId="69329A11" w:rsidR="007A4DC4" w:rsidRPr="001B6C98" w:rsidRDefault="007A4DC4" w:rsidP="007A4DC4">
      <w:pPr>
        <w:tabs>
          <w:tab w:val="left" w:pos="851"/>
        </w:tabs>
        <w:ind w:left="851"/>
        <w:rPr>
          <w:i/>
          <w:sz w:val="24"/>
          <w:szCs w:val="24"/>
        </w:rPr>
      </w:pPr>
      <w:r w:rsidRPr="001B6C98">
        <w:rPr>
          <w:i/>
          <w:sz w:val="24"/>
          <w:szCs w:val="24"/>
        </w:rPr>
        <w:t>40 mg dosis</w:t>
      </w:r>
    </w:p>
    <w:p w14:paraId="00FF13F5" w14:textId="77777777" w:rsidR="007A4DC4" w:rsidRPr="007A4DC4" w:rsidRDefault="007A4DC4" w:rsidP="007A4DC4">
      <w:pPr>
        <w:tabs>
          <w:tab w:val="left" w:pos="851"/>
        </w:tabs>
        <w:ind w:left="851"/>
        <w:rPr>
          <w:sz w:val="24"/>
          <w:szCs w:val="24"/>
        </w:rPr>
      </w:pPr>
      <w:r w:rsidRPr="007A4DC4">
        <w:rPr>
          <w:sz w:val="24"/>
          <w:szCs w:val="24"/>
        </w:rPr>
        <w:t>5 ml af den tilberedte opløsning (8 mg/ml) gives som en intravenøs injektion over et tidsrum på mindst 3 minutter.</w:t>
      </w:r>
    </w:p>
    <w:p w14:paraId="54AD5B85" w14:textId="77777777" w:rsidR="007A4DC4" w:rsidRPr="007A4DC4" w:rsidRDefault="007A4DC4" w:rsidP="007A4DC4">
      <w:pPr>
        <w:tabs>
          <w:tab w:val="left" w:pos="851"/>
        </w:tabs>
        <w:ind w:left="851"/>
        <w:rPr>
          <w:sz w:val="24"/>
          <w:szCs w:val="24"/>
        </w:rPr>
      </w:pPr>
    </w:p>
    <w:p w14:paraId="199CDC08" w14:textId="77777777" w:rsidR="007A4DC4" w:rsidRPr="001B6C98" w:rsidRDefault="007A4DC4" w:rsidP="007A4DC4">
      <w:pPr>
        <w:tabs>
          <w:tab w:val="left" w:pos="851"/>
        </w:tabs>
        <w:ind w:left="851"/>
        <w:rPr>
          <w:i/>
          <w:sz w:val="24"/>
          <w:szCs w:val="24"/>
        </w:rPr>
      </w:pPr>
      <w:r w:rsidRPr="001B6C98">
        <w:rPr>
          <w:i/>
          <w:sz w:val="24"/>
          <w:szCs w:val="24"/>
        </w:rPr>
        <w:t>20 mg dosis</w:t>
      </w:r>
    </w:p>
    <w:p w14:paraId="31B1CE43" w14:textId="77777777" w:rsidR="007A4DC4" w:rsidRPr="007A4DC4" w:rsidRDefault="007A4DC4" w:rsidP="007A4DC4">
      <w:pPr>
        <w:tabs>
          <w:tab w:val="left" w:pos="851"/>
        </w:tabs>
        <w:ind w:left="851"/>
        <w:rPr>
          <w:sz w:val="24"/>
          <w:szCs w:val="24"/>
        </w:rPr>
      </w:pPr>
      <w:r w:rsidRPr="007A4DC4">
        <w:rPr>
          <w:sz w:val="24"/>
          <w:szCs w:val="24"/>
        </w:rPr>
        <w:t>2,5 ml eller halvdelen af den tilberedte (8 mg/ml) opløsning gives som en intravenøs injektion over et tidsrum på mindst 3 minutter. Tiloversbleven opløsning kasseres.</w:t>
      </w:r>
    </w:p>
    <w:p w14:paraId="0D42B264" w14:textId="5875ACEA" w:rsidR="007A4DC4" w:rsidRDefault="007A4DC4">
      <w:pPr>
        <w:rPr>
          <w:sz w:val="24"/>
          <w:szCs w:val="24"/>
          <w:u w:val="single"/>
        </w:rPr>
      </w:pPr>
      <w:r>
        <w:rPr>
          <w:sz w:val="24"/>
          <w:szCs w:val="24"/>
          <w:u w:val="single"/>
        </w:rPr>
        <w:br w:type="page"/>
      </w:r>
    </w:p>
    <w:p w14:paraId="35776679" w14:textId="77777777" w:rsidR="007A4DC4" w:rsidRPr="007A4DC4" w:rsidRDefault="007A4DC4" w:rsidP="007A4DC4">
      <w:pPr>
        <w:tabs>
          <w:tab w:val="left" w:pos="851"/>
        </w:tabs>
        <w:ind w:left="851"/>
        <w:rPr>
          <w:sz w:val="24"/>
          <w:szCs w:val="24"/>
          <w:u w:val="single"/>
        </w:rPr>
      </w:pPr>
    </w:p>
    <w:p w14:paraId="52C255D5" w14:textId="77777777" w:rsidR="007A4DC4" w:rsidRPr="001B6C98" w:rsidRDefault="007A4DC4" w:rsidP="007A4DC4">
      <w:pPr>
        <w:tabs>
          <w:tab w:val="left" w:pos="851"/>
        </w:tabs>
        <w:ind w:left="851"/>
        <w:rPr>
          <w:sz w:val="24"/>
          <w:szCs w:val="24"/>
          <w:u w:val="single"/>
        </w:rPr>
      </w:pPr>
      <w:r w:rsidRPr="001B6C98">
        <w:rPr>
          <w:sz w:val="24"/>
          <w:szCs w:val="24"/>
          <w:u w:val="single"/>
        </w:rPr>
        <w:t>Infusion</w:t>
      </w:r>
    </w:p>
    <w:p w14:paraId="39464945" w14:textId="77777777" w:rsidR="007A4DC4" w:rsidRDefault="007A4DC4" w:rsidP="007A4DC4">
      <w:pPr>
        <w:tabs>
          <w:tab w:val="left" w:pos="851"/>
        </w:tabs>
        <w:ind w:left="851"/>
        <w:rPr>
          <w:sz w:val="24"/>
          <w:szCs w:val="24"/>
          <w:u w:val="single"/>
        </w:rPr>
      </w:pPr>
    </w:p>
    <w:p w14:paraId="0463AC5E" w14:textId="190A4002" w:rsidR="007A4DC4" w:rsidRPr="001B6C98" w:rsidRDefault="007A4DC4" w:rsidP="007A4DC4">
      <w:pPr>
        <w:tabs>
          <w:tab w:val="left" w:pos="851"/>
        </w:tabs>
        <w:ind w:left="851"/>
        <w:rPr>
          <w:i/>
          <w:sz w:val="24"/>
          <w:szCs w:val="24"/>
        </w:rPr>
      </w:pPr>
      <w:r w:rsidRPr="001B6C98">
        <w:rPr>
          <w:i/>
          <w:sz w:val="24"/>
          <w:szCs w:val="24"/>
        </w:rPr>
        <w:t>40 mg dosis</w:t>
      </w:r>
    </w:p>
    <w:p w14:paraId="7ED83968" w14:textId="77777777" w:rsidR="007A4DC4" w:rsidRPr="007A4DC4" w:rsidRDefault="007A4DC4" w:rsidP="007A4DC4">
      <w:pPr>
        <w:tabs>
          <w:tab w:val="left" w:pos="851"/>
        </w:tabs>
        <w:ind w:left="851"/>
        <w:rPr>
          <w:sz w:val="24"/>
          <w:szCs w:val="24"/>
        </w:rPr>
      </w:pPr>
      <w:r w:rsidRPr="007A4DC4">
        <w:rPr>
          <w:sz w:val="24"/>
          <w:szCs w:val="24"/>
        </w:rPr>
        <w:t>den tilberedte opløsning gives som en intravenøs infusion over et tidsrum på 10-30 minutter.</w:t>
      </w:r>
    </w:p>
    <w:p w14:paraId="481F51E0" w14:textId="77777777" w:rsidR="007A4DC4" w:rsidRPr="007A4DC4" w:rsidRDefault="007A4DC4" w:rsidP="007A4DC4">
      <w:pPr>
        <w:tabs>
          <w:tab w:val="left" w:pos="851"/>
        </w:tabs>
        <w:ind w:left="851"/>
        <w:rPr>
          <w:sz w:val="24"/>
          <w:szCs w:val="24"/>
          <w:u w:val="single"/>
        </w:rPr>
      </w:pPr>
    </w:p>
    <w:p w14:paraId="7494EB65" w14:textId="77777777" w:rsidR="007A4DC4" w:rsidRPr="001B6C98" w:rsidRDefault="007A4DC4" w:rsidP="007A4DC4">
      <w:pPr>
        <w:tabs>
          <w:tab w:val="left" w:pos="851"/>
        </w:tabs>
        <w:ind w:left="851"/>
        <w:rPr>
          <w:i/>
          <w:sz w:val="24"/>
          <w:szCs w:val="24"/>
        </w:rPr>
      </w:pPr>
      <w:r w:rsidRPr="001B6C98">
        <w:rPr>
          <w:i/>
          <w:sz w:val="24"/>
          <w:szCs w:val="24"/>
        </w:rPr>
        <w:t>20 mg dosis</w:t>
      </w:r>
    </w:p>
    <w:p w14:paraId="1017668C" w14:textId="77777777" w:rsidR="007A4DC4" w:rsidRPr="007A4DC4" w:rsidRDefault="007A4DC4" w:rsidP="007A4DC4">
      <w:pPr>
        <w:tabs>
          <w:tab w:val="left" w:pos="851"/>
        </w:tabs>
        <w:ind w:left="851"/>
        <w:rPr>
          <w:sz w:val="24"/>
          <w:szCs w:val="24"/>
        </w:rPr>
      </w:pPr>
      <w:r w:rsidRPr="007A4DC4">
        <w:rPr>
          <w:sz w:val="24"/>
          <w:szCs w:val="24"/>
        </w:rPr>
        <w:t>Halvdelen af den tilberedte opløsning gives som en intravenøs infusion over et tidsrum på 10-30 minutter. Tiloversbleven opløsning kasseres.</w:t>
      </w:r>
    </w:p>
    <w:p w14:paraId="6CC5CF37" w14:textId="77777777" w:rsidR="007A4DC4" w:rsidRPr="007A4DC4" w:rsidRDefault="007A4DC4" w:rsidP="007A4DC4">
      <w:pPr>
        <w:tabs>
          <w:tab w:val="left" w:pos="851"/>
        </w:tabs>
        <w:ind w:left="851"/>
        <w:rPr>
          <w:sz w:val="24"/>
          <w:szCs w:val="24"/>
        </w:rPr>
      </w:pPr>
    </w:p>
    <w:p w14:paraId="7BAB6052" w14:textId="77777777" w:rsidR="007A4DC4" w:rsidRPr="001B6C98" w:rsidRDefault="007A4DC4" w:rsidP="007A4DC4">
      <w:pPr>
        <w:tabs>
          <w:tab w:val="left" w:pos="851"/>
        </w:tabs>
        <w:ind w:left="851"/>
        <w:rPr>
          <w:i/>
          <w:sz w:val="24"/>
          <w:szCs w:val="24"/>
        </w:rPr>
      </w:pPr>
      <w:r w:rsidRPr="001B6C98">
        <w:rPr>
          <w:i/>
          <w:sz w:val="24"/>
          <w:szCs w:val="24"/>
        </w:rPr>
        <w:t xml:space="preserve">80 mg </w:t>
      </w:r>
      <w:proofErr w:type="spellStart"/>
      <w:r w:rsidRPr="001B6C98">
        <w:rPr>
          <w:i/>
          <w:sz w:val="24"/>
          <w:szCs w:val="24"/>
        </w:rPr>
        <w:t>bolusdosis</w:t>
      </w:r>
      <w:proofErr w:type="spellEnd"/>
    </w:p>
    <w:p w14:paraId="789B26FE" w14:textId="77777777" w:rsidR="007A4DC4" w:rsidRPr="007A4DC4" w:rsidRDefault="007A4DC4" w:rsidP="007A4DC4">
      <w:pPr>
        <w:tabs>
          <w:tab w:val="left" w:pos="851"/>
        </w:tabs>
        <w:ind w:left="851"/>
        <w:rPr>
          <w:sz w:val="24"/>
          <w:szCs w:val="24"/>
        </w:rPr>
      </w:pPr>
      <w:r w:rsidRPr="007A4DC4">
        <w:rPr>
          <w:sz w:val="24"/>
          <w:szCs w:val="24"/>
        </w:rPr>
        <w:t>Den tilberedte opløsning bør gives som en kontinuerlig intravenøs infusion over et tidsrum på 30 minutter.</w:t>
      </w:r>
    </w:p>
    <w:p w14:paraId="7333CC31" w14:textId="77777777" w:rsidR="007A4DC4" w:rsidRPr="007A4DC4" w:rsidRDefault="007A4DC4" w:rsidP="007A4DC4">
      <w:pPr>
        <w:tabs>
          <w:tab w:val="left" w:pos="851"/>
        </w:tabs>
        <w:ind w:left="851"/>
        <w:rPr>
          <w:sz w:val="24"/>
          <w:szCs w:val="24"/>
        </w:rPr>
      </w:pPr>
    </w:p>
    <w:p w14:paraId="252D5FA0" w14:textId="77777777" w:rsidR="007A4DC4" w:rsidRPr="001B6C98" w:rsidRDefault="007A4DC4" w:rsidP="007A4DC4">
      <w:pPr>
        <w:tabs>
          <w:tab w:val="left" w:pos="851"/>
        </w:tabs>
        <w:ind w:left="851"/>
        <w:rPr>
          <w:i/>
          <w:sz w:val="24"/>
          <w:szCs w:val="24"/>
        </w:rPr>
      </w:pPr>
      <w:r w:rsidRPr="001B6C98">
        <w:rPr>
          <w:i/>
          <w:sz w:val="24"/>
          <w:szCs w:val="24"/>
        </w:rPr>
        <w:t>8 mg/time dosis</w:t>
      </w:r>
    </w:p>
    <w:p w14:paraId="58BA3F49" w14:textId="77777777" w:rsidR="007A4DC4" w:rsidRPr="007A4DC4" w:rsidRDefault="007A4DC4" w:rsidP="007A4DC4">
      <w:pPr>
        <w:tabs>
          <w:tab w:val="left" w:pos="851"/>
        </w:tabs>
        <w:ind w:left="851"/>
        <w:rPr>
          <w:i/>
          <w:sz w:val="24"/>
          <w:szCs w:val="24"/>
        </w:rPr>
      </w:pPr>
      <w:r w:rsidRPr="007A4DC4">
        <w:rPr>
          <w:sz w:val="24"/>
          <w:szCs w:val="24"/>
        </w:rPr>
        <w:t>Den tilberedte opløsning bør gives som en kontinuerlig intravenøs infusion over et tidsrum på 71,5 timer (beregnet infusionshastighed på 8 mg/time. Se pkt. 6.3 angående opbevaringstid for den tilberedte opløsning).</w:t>
      </w:r>
    </w:p>
    <w:p w14:paraId="7C1ABC44" w14:textId="77777777" w:rsidR="007A4DC4" w:rsidRPr="007A4DC4" w:rsidRDefault="007A4DC4" w:rsidP="007A4DC4">
      <w:pPr>
        <w:tabs>
          <w:tab w:val="left" w:pos="851"/>
        </w:tabs>
        <w:ind w:left="851"/>
        <w:rPr>
          <w:i/>
          <w:sz w:val="24"/>
          <w:szCs w:val="24"/>
        </w:rPr>
      </w:pPr>
    </w:p>
    <w:p w14:paraId="28B57A5C" w14:textId="77777777" w:rsidR="007A4DC4" w:rsidRPr="007A4DC4" w:rsidRDefault="007A4DC4" w:rsidP="007A4DC4">
      <w:pPr>
        <w:tabs>
          <w:tab w:val="left" w:pos="851"/>
        </w:tabs>
        <w:ind w:left="851"/>
        <w:rPr>
          <w:bCs/>
          <w:sz w:val="24"/>
          <w:szCs w:val="24"/>
          <w:u w:val="single"/>
        </w:rPr>
      </w:pPr>
      <w:r w:rsidRPr="007A4DC4">
        <w:rPr>
          <w:bCs/>
          <w:sz w:val="24"/>
          <w:szCs w:val="24"/>
          <w:u w:val="single"/>
        </w:rPr>
        <w:t>Specielle populationer</w:t>
      </w:r>
    </w:p>
    <w:p w14:paraId="5523E66D" w14:textId="77777777" w:rsidR="007A4DC4" w:rsidRPr="007A4DC4" w:rsidRDefault="007A4DC4" w:rsidP="007A4DC4">
      <w:pPr>
        <w:tabs>
          <w:tab w:val="left" w:pos="851"/>
        </w:tabs>
        <w:ind w:left="851"/>
        <w:rPr>
          <w:b/>
          <w:bCs/>
          <w:i/>
          <w:sz w:val="24"/>
          <w:szCs w:val="24"/>
        </w:rPr>
      </w:pPr>
    </w:p>
    <w:p w14:paraId="5D4BB69E" w14:textId="40A30527" w:rsidR="007A4DC4" w:rsidRPr="007A4DC4" w:rsidRDefault="007A4DC4" w:rsidP="007A4DC4">
      <w:pPr>
        <w:tabs>
          <w:tab w:val="left" w:pos="851"/>
        </w:tabs>
        <w:ind w:left="851"/>
        <w:rPr>
          <w:bCs/>
          <w:i/>
          <w:sz w:val="24"/>
          <w:szCs w:val="24"/>
        </w:rPr>
      </w:pPr>
      <w:r w:rsidRPr="007A4DC4">
        <w:rPr>
          <w:bCs/>
          <w:i/>
          <w:sz w:val="24"/>
          <w:szCs w:val="24"/>
        </w:rPr>
        <w:t>Nedsat nyrefunktion, dosis</w:t>
      </w:r>
    </w:p>
    <w:p w14:paraId="3CA9AF21" w14:textId="77777777" w:rsidR="007A4DC4" w:rsidRPr="007A4DC4" w:rsidRDefault="007A4DC4" w:rsidP="007A4DC4">
      <w:pPr>
        <w:tabs>
          <w:tab w:val="left" w:pos="851"/>
        </w:tabs>
        <w:ind w:left="851"/>
        <w:rPr>
          <w:sz w:val="24"/>
          <w:szCs w:val="24"/>
        </w:rPr>
      </w:pPr>
      <w:r w:rsidRPr="007A4DC4">
        <w:rPr>
          <w:sz w:val="24"/>
          <w:szCs w:val="24"/>
        </w:rPr>
        <w:t>Dosisjustering er ikke nødvendig hos patienter med nedsat nyrefunktion. Grundet begrænset erfaring med patienter med svær nyreinsufficiens bør disse patienter behandles med forsigtighed (se pkt. 5.2).</w:t>
      </w:r>
    </w:p>
    <w:p w14:paraId="54B055C3" w14:textId="77777777" w:rsidR="007A4DC4" w:rsidRPr="007A4DC4" w:rsidRDefault="007A4DC4" w:rsidP="007A4DC4">
      <w:pPr>
        <w:tabs>
          <w:tab w:val="left" w:pos="851"/>
        </w:tabs>
        <w:ind w:left="851"/>
        <w:rPr>
          <w:b/>
          <w:bCs/>
          <w:sz w:val="24"/>
          <w:szCs w:val="24"/>
        </w:rPr>
      </w:pPr>
    </w:p>
    <w:p w14:paraId="0BD6EC57" w14:textId="77777777" w:rsidR="007A4DC4" w:rsidRPr="007A4DC4" w:rsidRDefault="007A4DC4" w:rsidP="007A4DC4">
      <w:pPr>
        <w:tabs>
          <w:tab w:val="left" w:pos="851"/>
        </w:tabs>
        <w:ind w:left="851"/>
        <w:rPr>
          <w:bCs/>
          <w:i/>
          <w:sz w:val="24"/>
          <w:szCs w:val="24"/>
        </w:rPr>
      </w:pPr>
      <w:r w:rsidRPr="007A4DC4">
        <w:rPr>
          <w:bCs/>
          <w:i/>
          <w:sz w:val="24"/>
          <w:szCs w:val="24"/>
        </w:rPr>
        <w:t>Nedsat leverfunktion GERD</w:t>
      </w:r>
    </w:p>
    <w:p w14:paraId="4F35788E" w14:textId="3A06FEFB" w:rsidR="007A4DC4" w:rsidRPr="007A4DC4" w:rsidRDefault="007A4DC4" w:rsidP="007A4DC4">
      <w:pPr>
        <w:tabs>
          <w:tab w:val="left" w:pos="851"/>
        </w:tabs>
        <w:ind w:left="851"/>
        <w:rPr>
          <w:sz w:val="24"/>
          <w:szCs w:val="24"/>
        </w:rPr>
      </w:pPr>
      <w:r w:rsidRPr="007A4DC4">
        <w:rPr>
          <w:sz w:val="24"/>
          <w:szCs w:val="24"/>
        </w:rPr>
        <w:t xml:space="preserve">GERD: Dosisjustering er ikke nødvendig hos patienter med mild til moderat nedsat leverfunktion. Hos patienter med svær leverinsufficiens bør en maksimal daglig dosis på 20 mg </w:t>
      </w:r>
      <w:proofErr w:type="spellStart"/>
      <w:r w:rsidRPr="007A4DC4">
        <w:rPr>
          <w:iCs/>
          <w:sz w:val="24"/>
          <w:szCs w:val="24"/>
        </w:rPr>
        <w:t>Esomeprazol</w:t>
      </w:r>
      <w:proofErr w:type="spellEnd"/>
      <w:r w:rsidRPr="007A4DC4">
        <w:rPr>
          <w:iCs/>
          <w:sz w:val="24"/>
          <w:szCs w:val="24"/>
        </w:rPr>
        <w:t xml:space="preserve"> </w:t>
      </w:r>
      <w:r w:rsidR="008D5EB9">
        <w:rPr>
          <w:iCs/>
          <w:sz w:val="24"/>
          <w:szCs w:val="24"/>
        </w:rPr>
        <w:t xml:space="preserve">"Demo S.A." </w:t>
      </w:r>
      <w:r w:rsidRPr="007A4DC4">
        <w:rPr>
          <w:sz w:val="24"/>
          <w:szCs w:val="24"/>
        </w:rPr>
        <w:t xml:space="preserve"> ikke overskrides (se pkt. 5.2).</w:t>
      </w:r>
    </w:p>
    <w:p w14:paraId="515ECD35" w14:textId="77777777" w:rsidR="007A4DC4" w:rsidRPr="007A4DC4" w:rsidRDefault="007A4DC4" w:rsidP="007A4DC4">
      <w:pPr>
        <w:tabs>
          <w:tab w:val="left" w:pos="851"/>
        </w:tabs>
        <w:ind w:left="851"/>
        <w:rPr>
          <w:sz w:val="24"/>
          <w:szCs w:val="24"/>
        </w:rPr>
      </w:pPr>
    </w:p>
    <w:p w14:paraId="3CF33A21" w14:textId="77777777" w:rsidR="007A4DC4" w:rsidRPr="007A4DC4" w:rsidRDefault="007A4DC4" w:rsidP="007A4DC4">
      <w:pPr>
        <w:tabs>
          <w:tab w:val="left" w:pos="851"/>
        </w:tabs>
        <w:ind w:left="851"/>
        <w:rPr>
          <w:sz w:val="24"/>
          <w:szCs w:val="24"/>
        </w:rPr>
      </w:pPr>
      <w:r w:rsidRPr="007A4DC4">
        <w:rPr>
          <w:sz w:val="24"/>
          <w:szCs w:val="24"/>
        </w:rPr>
        <w:t xml:space="preserve">Blødende ulcus: Dosisjustering er ikke nødvendigt hos patienter med mild til moderat leverinsufficiens. For patienter med svær leverinsufficiens kan en kontinuerlig intravenøs infusion af 4 mg/time over et tidsrum på 71,5 timer være tilstrækkeligt efter en initial </w:t>
      </w:r>
      <w:proofErr w:type="spellStart"/>
      <w:r w:rsidRPr="007A4DC4">
        <w:rPr>
          <w:sz w:val="24"/>
          <w:szCs w:val="24"/>
        </w:rPr>
        <w:t>bolusdosis</w:t>
      </w:r>
      <w:proofErr w:type="spellEnd"/>
      <w:r w:rsidRPr="007A4DC4">
        <w:rPr>
          <w:sz w:val="24"/>
          <w:szCs w:val="24"/>
        </w:rPr>
        <w:t xml:space="preserve"> på 80 mg </w:t>
      </w:r>
      <w:proofErr w:type="spellStart"/>
      <w:r w:rsidRPr="007A4DC4">
        <w:rPr>
          <w:iCs/>
          <w:sz w:val="24"/>
          <w:szCs w:val="24"/>
        </w:rPr>
        <w:t>Esomeprazole</w:t>
      </w:r>
      <w:proofErr w:type="spellEnd"/>
      <w:r w:rsidRPr="007A4DC4">
        <w:rPr>
          <w:iCs/>
          <w:sz w:val="24"/>
          <w:szCs w:val="24"/>
        </w:rPr>
        <w:t xml:space="preserve"> Demo S.A.</w:t>
      </w:r>
      <w:r w:rsidRPr="007A4DC4">
        <w:rPr>
          <w:sz w:val="24"/>
          <w:szCs w:val="24"/>
        </w:rPr>
        <w:t xml:space="preserve"> (se pkt. 5.2).</w:t>
      </w:r>
    </w:p>
    <w:p w14:paraId="5A09CF97" w14:textId="77777777" w:rsidR="007A4DC4" w:rsidRPr="007A4DC4" w:rsidRDefault="007A4DC4" w:rsidP="007A4DC4">
      <w:pPr>
        <w:tabs>
          <w:tab w:val="left" w:pos="851"/>
        </w:tabs>
        <w:ind w:left="851"/>
        <w:rPr>
          <w:sz w:val="24"/>
          <w:szCs w:val="24"/>
        </w:rPr>
      </w:pPr>
    </w:p>
    <w:p w14:paraId="456DB842" w14:textId="77777777" w:rsidR="007A4DC4" w:rsidRPr="007A4DC4" w:rsidRDefault="007A4DC4" w:rsidP="007A4DC4">
      <w:pPr>
        <w:tabs>
          <w:tab w:val="left" w:pos="851"/>
        </w:tabs>
        <w:ind w:left="851"/>
        <w:rPr>
          <w:bCs/>
          <w:i/>
          <w:sz w:val="24"/>
          <w:szCs w:val="24"/>
        </w:rPr>
      </w:pPr>
      <w:r w:rsidRPr="007A4DC4">
        <w:rPr>
          <w:bCs/>
          <w:i/>
          <w:sz w:val="24"/>
          <w:szCs w:val="24"/>
        </w:rPr>
        <w:t>Ældre</w:t>
      </w:r>
    </w:p>
    <w:p w14:paraId="1D42A51A" w14:textId="77777777" w:rsidR="007A4DC4" w:rsidRPr="007A4DC4" w:rsidRDefault="007A4DC4" w:rsidP="007A4DC4">
      <w:pPr>
        <w:tabs>
          <w:tab w:val="left" w:pos="851"/>
        </w:tabs>
        <w:ind w:left="851"/>
        <w:rPr>
          <w:b/>
          <w:bCs/>
          <w:iCs/>
          <w:sz w:val="24"/>
          <w:szCs w:val="24"/>
        </w:rPr>
      </w:pPr>
      <w:r w:rsidRPr="007A4DC4">
        <w:rPr>
          <w:bCs/>
          <w:iCs/>
          <w:sz w:val="24"/>
          <w:szCs w:val="24"/>
        </w:rPr>
        <w:t>Dosisjustering er ikke nødvendig hos ældre.</w:t>
      </w:r>
    </w:p>
    <w:p w14:paraId="20C4AA38" w14:textId="77777777" w:rsidR="007A4DC4" w:rsidRPr="007A4DC4" w:rsidRDefault="007A4DC4" w:rsidP="007A4DC4">
      <w:pPr>
        <w:tabs>
          <w:tab w:val="left" w:pos="851"/>
        </w:tabs>
        <w:ind w:left="851"/>
        <w:rPr>
          <w:bCs/>
          <w:i/>
          <w:sz w:val="24"/>
          <w:szCs w:val="24"/>
        </w:rPr>
      </w:pPr>
    </w:p>
    <w:p w14:paraId="33C2DCAB" w14:textId="4FAC6003" w:rsidR="007A4DC4" w:rsidRPr="001B6C98" w:rsidRDefault="007A4DC4" w:rsidP="007A4DC4">
      <w:pPr>
        <w:tabs>
          <w:tab w:val="left" w:pos="851"/>
        </w:tabs>
        <w:ind w:left="851"/>
        <w:rPr>
          <w:b/>
          <w:bCs/>
          <w:sz w:val="24"/>
          <w:szCs w:val="24"/>
          <w:u w:val="single"/>
        </w:rPr>
      </w:pPr>
      <w:r w:rsidRPr="001B6C98">
        <w:rPr>
          <w:b/>
          <w:bCs/>
          <w:sz w:val="24"/>
          <w:szCs w:val="24"/>
          <w:u w:val="single"/>
        </w:rPr>
        <w:t>Pædiatrisk population</w:t>
      </w:r>
    </w:p>
    <w:p w14:paraId="55985A0C" w14:textId="77777777" w:rsidR="007A4DC4" w:rsidRPr="007A4DC4" w:rsidRDefault="007A4DC4" w:rsidP="007A4DC4">
      <w:pPr>
        <w:tabs>
          <w:tab w:val="left" w:pos="851"/>
        </w:tabs>
        <w:ind w:left="851"/>
        <w:rPr>
          <w:bCs/>
          <w:sz w:val="24"/>
          <w:szCs w:val="24"/>
          <w:u w:val="single"/>
        </w:rPr>
      </w:pPr>
    </w:p>
    <w:p w14:paraId="50C3549A" w14:textId="77777777" w:rsidR="007A4DC4" w:rsidRPr="001B6C98" w:rsidRDefault="007A4DC4" w:rsidP="007A4DC4">
      <w:pPr>
        <w:tabs>
          <w:tab w:val="left" w:pos="851"/>
        </w:tabs>
        <w:ind w:left="851"/>
        <w:rPr>
          <w:b/>
          <w:bCs/>
          <w:sz w:val="24"/>
          <w:szCs w:val="24"/>
        </w:rPr>
      </w:pPr>
      <w:r w:rsidRPr="001B6C98">
        <w:rPr>
          <w:b/>
          <w:bCs/>
          <w:sz w:val="24"/>
          <w:szCs w:val="24"/>
        </w:rPr>
        <w:t>Dosering</w:t>
      </w:r>
    </w:p>
    <w:p w14:paraId="70917467" w14:textId="77777777" w:rsidR="007A4DC4" w:rsidRPr="007A4DC4" w:rsidRDefault="007A4DC4" w:rsidP="007A4DC4">
      <w:pPr>
        <w:tabs>
          <w:tab w:val="left" w:pos="851"/>
        </w:tabs>
        <w:ind w:left="851"/>
        <w:rPr>
          <w:bCs/>
          <w:i/>
          <w:sz w:val="24"/>
          <w:szCs w:val="24"/>
          <w:u w:val="single"/>
        </w:rPr>
      </w:pPr>
    </w:p>
    <w:p w14:paraId="172B992B" w14:textId="041E63F5" w:rsidR="007A4DC4" w:rsidRPr="00264CAE" w:rsidRDefault="007A4DC4" w:rsidP="007A4DC4">
      <w:pPr>
        <w:tabs>
          <w:tab w:val="left" w:pos="851"/>
        </w:tabs>
        <w:ind w:left="851"/>
        <w:rPr>
          <w:bCs/>
          <w:sz w:val="24"/>
          <w:szCs w:val="24"/>
          <w:u w:val="single"/>
        </w:rPr>
      </w:pPr>
      <w:r w:rsidRPr="00264CAE">
        <w:rPr>
          <w:bCs/>
          <w:sz w:val="24"/>
          <w:szCs w:val="24"/>
          <w:u w:val="single"/>
        </w:rPr>
        <w:t>Børn og unge fra 1-18 år</w:t>
      </w:r>
    </w:p>
    <w:p w14:paraId="7E9FC2EF" w14:textId="77777777" w:rsidR="007A4DC4" w:rsidRPr="007A4DC4" w:rsidRDefault="007A4DC4" w:rsidP="007A4DC4">
      <w:pPr>
        <w:tabs>
          <w:tab w:val="left" w:pos="851"/>
        </w:tabs>
        <w:ind w:left="851"/>
        <w:rPr>
          <w:b/>
          <w:sz w:val="24"/>
          <w:szCs w:val="24"/>
        </w:rPr>
      </w:pPr>
    </w:p>
    <w:p w14:paraId="5206537E" w14:textId="77777777" w:rsidR="007A4DC4" w:rsidRPr="007A4DC4" w:rsidRDefault="007A4DC4" w:rsidP="007A4DC4">
      <w:pPr>
        <w:tabs>
          <w:tab w:val="left" w:pos="851"/>
        </w:tabs>
        <w:ind w:left="851"/>
        <w:rPr>
          <w:bCs/>
          <w:i/>
          <w:sz w:val="24"/>
          <w:szCs w:val="24"/>
        </w:rPr>
      </w:pPr>
      <w:r w:rsidRPr="007A4DC4">
        <w:rPr>
          <w:bCs/>
          <w:i/>
          <w:sz w:val="24"/>
          <w:szCs w:val="24"/>
        </w:rPr>
        <w:t xml:space="preserve">Gastrisk </w:t>
      </w:r>
      <w:proofErr w:type="spellStart"/>
      <w:r w:rsidRPr="007A4DC4">
        <w:rPr>
          <w:bCs/>
          <w:i/>
          <w:sz w:val="24"/>
          <w:szCs w:val="24"/>
        </w:rPr>
        <w:t>antisekretorisk</w:t>
      </w:r>
      <w:proofErr w:type="spellEnd"/>
      <w:r w:rsidRPr="007A4DC4">
        <w:rPr>
          <w:bCs/>
          <w:i/>
          <w:sz w:val="24"/>
          <w:szCs w:val="24"/>
        </w:rPr>
        <w:t xml:space="preserve"> behandling når oral administration ikke er mulig.</w:t>
      </w:r>
    </w:p>
    <w:p w14:paraId="2C775E04" w14:textId="22EC395E" w:rsidR="007A4DC4" w:rsidRPr="007A4DC4" w:rsidRDefault="007A4DC4" w:rsidP="007A4DC4">
      <w:pPr>
        <w:tabs>
          <w:tab w:val="left" w:pos="851"/>
        </w:tabs>
        <w:ind w:left="851"/>
        <w:rPr>
          <w:sz w:val="24"/>
          <w:szCs w:val="24"/>
        </w:rPr>
      </w:pPr>
      <w:r w:rsidRPr="007A4DC4">
        <w:rPr>
          <w:sz w:val="24"/>
          <w:szCs w:val="24"/>
        </w:rPr>
        <w:t>Patienter der ikke kan tage oral medicin</w:t>
      </w:r>
      <w:r>
        <w:rPr>
          <w:sz w:val="24"/>
          <w:szCs w:val="24"/>
        </w:rPr>
        <w:t>,</w:t>
      </w:r>
      <w:r w:rsidRPr="007A4DC4">
        <w:rPr>
          <w:sz w:val="24"/>
          <w:szCs w:val="24"/>
        </w:rPr>
        <w:t xml:space="preserve"> kan behandles parenteralt en gang daglig som del af en komplet behandlingsperiode for GERD (se doser i nedenstående tabel).</w:t>
      </w:r>
    </w:p>
    <w:p w14:paraId="7A5E91A5" w14:textId="77777777" w:rsidR="007A4DC4" w:rsidRPr="007A4DC4" w:rsidRDefault="007A4DC4" w:rsidP="007A4DC4">
      <w:pPr>
        <w:tabs>
          <w:tab w:val="left" w:pos="851"/>
        </w:tabs>
        <w:ind w:left="851"/>
        <w:rPr>
          <w:sz w:val="24"/>
          <w:szCs w:val="24"/>
        </w:rPr>
      </w:pPr>
    </w:p>
    <w:p w14:paraId="1906711D" w14:textId="77777777" w:rsidR="007A4DC4" w:rsidRPr="007A4DC4" w:rsidRDefault="007A4DC4" w:rsidP="007A4DC4">
      <w:pPr>
        <w:tabs>
          <w:tab w:val="left" w:pos="851"/>
        </w:tabs>
        <w:ind w:left="851"/>
        <w:rPr>
          <w:sz w:val="24"/>
          <w:szCs w:val="24"/>
        </w:rPr>
      </w:pPr>
      <w:r w:rsidRPr="007A4DC4">
        <w:rPr>
          <w:sz w:val="24"/>
          <w:szCs w:val="24"/>
        </w:rPr>
        <w:lastRenderedPageBreak/>
        <w:t>Normalt bør den intravenøse behandlingsvarighed være kort, og der bør skiftes til oral behandling, så snart dette er muligt.</w:t>
      </w:r>
    </w:p>
    <w:p w14:paraId="272E16EA" w14:textId="77777777" w:rsidR="007A4DC4" w:rsidRPr="007A4DC4" w:rsidRDefault="007A4DC4" w:rsidP="007A4DC4">
      <w:pPr>
        <w:tabs>
          <w:tab w:val="left" w:pos="851"/>
        </w:tabs>
        <w:ind w:left="851"/>
        <w:rPr>
          <w:sz w:val="24"/>
          <w:szCs w:val="24"/>
        </w:rPr>
      </w:pPr>
    </w:p>
    <w:p w14:paraId="2E31DD62" w14:textId="1CED58F1" w:rsidR="007A4DC4" w:rsidRPr="00264CAE" w:rsidRDefault="007A4DC4" w:rsidP="007A4DC4">
      <w:pPr>
        <w:tabs>
          <w:tab w:val="left" w:pos="851"/>
        </w:tabs>
        <w:ind w:left="851"/>
        <w:rPr>
          <w:bCs/>
          <w:sz w:val="24"/>
          <w:szCs w:val="24"/>
          <w:u w:val="single"/>
        </w:rPr>
      </w:pPr>
      <w:r w:rsidRPr="00264CAE">
        <w:rPr>
          <w:bCs/>
          <w:sz w:val="24"/>
          <w:szCs w:val="24"/>
          <w:u w:val="single"/>
        </w:rPr>
        <w:t xml:space="preserve">Anbefalede intravenøse doser af </w:t>
      </w:r>
      <w:proofErr w:type="spellStart"/>
      <w:r w:rsidRPr="00264CAE">
        <w:rPr>
          <w:bCs/>
          <w:sz w:val="24"/>
          <w:szCs w:val="24"/>
          <w:u w:val="single"/>
        </w:rPr>
        <w:t>esomeprazol</w:t>
      </w:r>
      <w:proofErr w:type="spellEnd"/>
    </w:p>
    <w:p w14:paraId="4A06D24A" w14:textId="77777777" w:rsidR="007A4DC4" w:rsidRPr="007A4DC4" w:rsidRDefault="007A4DC4" w:rsidP="007A4DC4">
      <w:pPr>
        <w:tabs>
          <w:tab w:val="left" w:pos="851"/>
        </w:tabs>
        <w:ind w:left="851"/>
        <w:rPr>
          <w:sz w:val="24"/>
          <w:szCs w:val="24"/>
        </w:rPr>
      </w:pPr>
    </w:p>
    <w:tbl>
      <w:tblPr>
        <w:tblW w:w="882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861"/>
        <w:gridCol w:w="3260"/>
      </w:tblGrid>
      <w:tr w:rsidR="007A4DC4" w:rsidRPr="00264CAE" w14:paraId="5FEFFC37" w14:textId="77777777" w:rsidTr="007A4DC4">
        <w:tc>
          <w:tcPr>
            <w:tcW w:w="1701" w:type="dxa"/>
            <w:tcBorders>
              <w:top w:val="single" w:sz="4" w:space="0" w:color="auto"/>
              <w:left w:val="single" w:sz="4" w:space="0" w:color="auto"/>
              <w:bottom w:val="single" w:sz="4" w:space="0" w:color="auto"/>
              <w:right w:val="single" w:sz="4" w:space="0" w:color="auto"/>
            </w:tcBorders>
            <w:hideMark/>
          </w:tcPr>
          <w:p w14:paraId="02BE4AFC" w14:textId="77777777" w:rsidR="007A4DC4" w:rsidRPr="00264CAE" w:rsidRDefault="007A4DC4" w:rsidP="007A4DC4">
            <w:pPr>
              <w:rPr>
                <w:bCs/>
                <w:i/>
                <w:sz w:val="24"/>
                <w:szCs w:val="24"/>
                <w:lang w:val="en-GB"/>
              </w:rPr>
            </w:pPr>
            <w:proofErr w:type="spellStart"/>
            <w:r w:rsidRPr="00264CAE">
              <w:rPr>
                <w:bCs/>
                <w:i/>
                <w:sz w:val="24"/>
                <w:szCs w:val="24"/>
                <w:lang w:val="en-GB"/>
              </w:rPr>
              <w:t>Aldersgruppe</w:t>
            </w:r>
            <w:proofErr w:type="spellEnd"/>
          </w:p>
        </w:tc>
        <w:tc>
          <w:tcPr>
            <w:tcW w:w="3861" w:type="dxa"/>
            <w:tcBorders>
              <w:top w:val="single" w:sz="4" w:space="0" w:color="auto"/>
              <w:left w:val="single" w:sz="4" w:space="0" w:color="auto"/>
              <w:bottom w:val="single" w:sz="4" w:space="0" w:color="auto"/>
              <w:right w:val="single" w:sz="4" w:space="0" w:color="auto"/>
            </w:tcBorders>
            <w:hideMark/>
          </w:tcPr>
          <w:p w14:paraId="594F60D0" w14:textId="77777777" w:rsidR="007A4DC4" w:rsidRPr="00264CAE" w:rsidRDefault="007A4DC4" w:rsidP="007A4DC4">
            <w:pPr>
              <w:ind w:left="64"/>
              <w:rPr>
                <w:bCs/>
                <w:i/>
                <w:sz w:val="24"/>
                <w:szCs w:val="24"/>
                <w:lang w:val="en-GB"/>
              </w:rPr>
            </w:pPr>
            <w:proofErr w:type="spellStart"/>
            <w:r w:rsidRPr="00264CAE">
              <w:rPr>
                <w:bCs/>
                <w:i/>
                <w:sz w:val="24"/>
                <w:szCs w:val="24"/>
                <w:lang w:val="en-GB"/>
              </w:rPr>
              <w:t>Behandling</w:t>
            </w:r>
            <w:proofErr w:type="spellEnd"/>
            <w:r w:rsidRPr="00264CAE">
              <w:rPr>
                <w:bCs/>
                <w:i/>
                <w:sz w:val="24"/>
                <w:szCs w:val="24"/>
                <w:lang w:val="en-GB"/>
              </w:rPr>
              <w:t xml:space="preserve"> </w:t>
            </w:r>
            <w:proofErr w:type="spellStart"/>
            <w:r w:rsidRPr="00264CAE">
              <w:rPr>
                <w:bCs/>
                <w:i/>
                <w:sz w:val="24"/>
                <w:szCs w:val="24"/>
                <w:lang w:val="en-GB"/>
              </w:rPr>
              <w:t>af</w:t>
            </w:r>
            <w:proofErr w:type="spellEnd"/>
            <w:r w:rsidRPr="00264CAE">
              <w:rPr>
                <w:bCs/>
                <w:i/>
                <w:sz w:val="24"/>
                <w:szCs w:val="24"/>
                <w:lang w:val="en-GB"/>
              </w:rPr>
              <w:t xml:space="preserve"> </w:t>
            </w:r>
            <w:proofErr w:type="spellStart"/>
            <w:r w:rsidRPr="00264CAE">
              <w:rPr>
                <w:bCs/>
                <w:i/>
                <w:sz w:val="24"/>
                <w:szCs w:val="24"/>
                <w:lang w:val="en-GB"/>
              </w:rPr>
              <w:t>erosiv</w:t>
            </w:r>
            <w:proofErr w:type="spellEnd"/>
            <w:r w:rsidRPr="00264CAE">
              <w:rPr>
                <w:bCs/>
                <w:i/>
                <w:sz w:val="24"/>
                <w:szCs w:val="24"/>
                <w:lang w:val="en-GB"/>
              </w:rPr>
              <w:t xml:space="preserve"> </w:t>
            </w:r>
            <w:proofErr w:type="spellStart"/>
            <w:r w:rsidRPr="00264CAE">
              <w:rPr>
                <w:bCs/>
                <w:i/>
                <w:sz w:val="24"/>
                <w:szCs w:val="24"/>
                <w:lang w:val="en-GB"/>
              </w:rPr>
              <w:t>refluksesofagitis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541FF67" w14:textId="77777777" w:rsidR="007A4DC4" w:rsidRPr="00264CAE" w:rsidRDefault="007A4DC4" w:rsidP="007A4DC4">
            <w:pPr>
              <w:ind w:left="86"/>
              <w:rPr>
                <w:bCs/>
                <w:i/>
                <w:sz w:val="24"/>
                <w:szCs w:val="24"/>
                <w:lang w:val="en-GB"/>
              </w:rPr>
            </w:pPr>
            <w:proofErr w:type="spellStart"/>
            <w:r w:rsidRPr="00264CAE">
              <w:rPr>
                <w:bCs/>
                <w:i/>
                <w:sz w:val="24"/>
                <w:szCs w:val="24"/>
                <w:lang w:val="en-GB"/>
              </w:rPr>
              <w:t>Symptomatisk</w:t>
            </w:r>
            <w:proofErr w:type="spellEnd"/>
            <w:r w:rsidRPr="00264CAE">
              <w:rPr>
                <w:bCs/>
                <w:i/>
                <w:sz w:val="24"/>
                <w:szCs w:val="24"/>
                <w:lang w:val="en-GB"/>
              </w:rPr>
              <w:t xml:space="preserve"> </w:t>
            </w:r>
            <w:proofErr w:type="spellStart"/>
            <w:r w:rsidRPr="00264CAE">
              <w:rPr>
                <w:bCs/>
                <w:i/>
                <w:sz w:val="24"/>
                <w:szCs w:val="24"/>
                <w:lang w:val="en-GB"/>
              </w:rPr>
              <w:t>behandling</w:t>
            </w:r>
            <w:proofErr w:type="spellEnd"/>
            <w:r w:rsidRPr="00264CAE">
              <w:rPr>
                <w:bCs/>
                <w:i/>
                <w:sz w:val="24"/>
                <w:szCs w:val="24"/>
                <w:lang w:val="en-GB"/>
              </w:rPr>
              <w:t xml:space="preserve"> </w:t>
            </w:r>
            <w:proofErr w:type="spellStart"/>
            <w:r w:rsidRPr="00264CAE">
              <w:rPr>
                <w:bCs/>
                <w:i/>
                <w:sz w:val="24"/>
                <w:szCs w:val="24"/>
                <w:lang w:val="en-GB"/>
              </w:rPr>
              <w:t>af</w:t>
            </w:r>
            <w:proofErr w:type="spellEnd"/>
            <w:r w:rsidRPr="00264CAE">
              <w:rPr>
                <w:bCs/>
                <w:i/>
                <w:sz w:val="24"/>
                <w:szCs w:val="24"/>
                <w:lang w:val="en-GB"/>
              </w:rPr>
              <w:t xml:space="preserve"> GERD</w:t>
            </w:r>
          </w:p>
        </w:tc>
      </w:tr>
      <w:tr w:rsidR="007A4DC4" w:rsidRPr="007A4DC4" w14:paraId="73EBD12D" w14:textId="77777777" w:rsidTr="007A4DC4">
        <w:tc>
          <w:tcPr>
            <w:tcW w:w="1701" w:type="dxa"/>
            <w:tcBorders>
              <w:top w:val="single" w:sz="4" w:space="0" w:color="auto"/>
              <w:left w:val="single" w:sz="4" w:space="0" w:color="auto"/>
              <w:bottom w:val="single" w:sz="4" w:space="0" w:color="auto"/>
              <w:right w:val="single" w:sz="4" w:space="0" w:color="auto"/>
            </w:tcBorders>
            <w:hideMark/>
          </w:tcPr>
          <w:p w14:paraId="14ABB61B" w14:textId="23C9CE6E" w:rsidR="007A4DC4" w:rsidRPr="007A4DC4" w:rsidRDefault="007A4DC4" w:rsidP="007A4DC4">
            <w:pPr>
              <w:rPr>
                <w:sz w:val="24"/>
                <w:szCs w:val="24"/>
                <w:lang w:val="en-GB"/>
              </w:rPr>
            </w:pPr>
            <w:r w:rsidRPr="007A4DC4">
              <w:rPr>
                <w:sz w:val="24"/>
                <w:szCs w:val="24"/>
                <w:lang w:val="en-GB"/>
              </w:rPr>
              <w:t>1</w:t>
            </w:r>
            <w:r>
              <w:rPr>
                <w:sz w:val="24"/>
                <w:szCs w:val="24"/>
                <w:lang w:val="en-GB"/>
              </w:rPr>
              <w:t>-</w:t>
            </w:r>
            <w:r w:rsidRPr="007A4DC4">
              <w:rPr>
                <w:sz w:val="24"/>
                <w:szCs w:val="24"/>
                <w:lang w:val="en-GB"/>
              </w:rPr>
              <w:t xml:space="preserve">11 </w:t>
            </w:r>
            <w:proofErr w:type="spellStart"/>
            <w:r w:rsidRPr="007A4DC4">
              <w:rPr>
                <w:sz w:val="24"/>
                <w:szCs w:val="24"/>
                <w:lang w:val="en-GB"/>
              </w:rPr>
              <w:t>år</w:t>
            </w:r>
            <w:proofErr w:type="spellEnd"/>
          </w:p>
        </w:tc>
        <w:tc>
          <w:tcPr>
            <w:tcW w:w="3861" w:type="dxa"/>
            <w:tcBorders>
              <w:top w:val="single" w:sz="4" w:space="0" w:color="auto"/>
              <w:left w:val="single" w:sz="4" w:space="0" w:color="auto"/>
              <w:bottom w:val="single" w:sz="4" w:space="0" w:color="auto"/>
              <w:right w:val="single" w:sz="4" w:space="0" w:color="auto"/>
            </w:tcBorders>
            <w:hideMark/>
          </w:tcPr>
          <w:p w14:paraId="1A75E168" w14:textId="77777777" w:rsidR="007A4DC4" w:rsidRPr="007A4DC4" w:rsidRDefault="007A4DC4" w:rsidP="007A4DC4">
            <w:pPr>
              <w:ind w:left="64"/>
              <w:rPr>
                <w:sz w:val="24"/>
                <w:szCs w:val="24"/>
              </w:rPr>
            </w:pPr>
            <w:r w:rsidRPr="007A4DC4">
              <w:rPr>
                <w:sz w:val="24"/>
                <w:szCs w:val="24"/>
              </w:rPr>
              <w:t>Vægt &lt; 20 kg: 10 mg en gang daglig</w:t>
            </w:r>
          </w:p>
          <w:p w14:paraId="37552414" w14:textId="77777777" w:rsidR="007A4DC4" w:rsidRPr="007A4DC4" w:rsidRDefault="007A4DC4" w:rsidP="007A4DC4">
            <w:pPr>
              <w:ind w:left="64"/>
              <w:rPr>
                <w:sz w:val="24"/>
                <w:szCs w:val="24"/>
              </w:rPr>
            </w:pPr>
            <w:r w:rsidRPr="007A4DC4">
              <w:rPr>
                <w:sz w:val="24"/>
                <w:szCs w:val="24"/>
              </w:rPr>
              <w:t>Vægt ≥ 20 kg: 10 mg eller 20 mg en gang daglig</w:t>
            </w:r>
          </w:p>
        </w:tc>
        <w:tc>
          <w:tcPr>
            <w:tcW w:w="3260" w:type="dxa"/>
            <w:tcBorders>
              <w:top w:val="single" w:sz="4" w:space="0" w:color="auto"/>
              <w:left w:val="single" w:sz="4" w:space="0" w:color="auto"/>
              <w:bottom w:val="single" w:sz="4" w:space="0" w:color="auto"/>
              <w:right w:val="single" w:sz="4" w:space="0" w:color="auto"/>
            </w:tcBorders>
            <w:hideMark/>
          </w:tcPr>
          <w:p w14:paraId="5855F02D" w14:textId="77777777" w:rsidR="007A4DC4" w:rsidRPr="007A4DC4" w:rsidRDefault="007A4DC4" w:rsidP="007A4DC4">
            <w:pPr>
              <w:ind w:left="86"/>
              <w:rPr>
                <w:sz w:val="24"/>
                <w:szCs w:val="24"/>
                <w:lang w:val="en-GB"/>
              </w:rPr>
            </w:pPr>
            <w:r w:rsidRPr="007A4DC4">
              <w:rPr>
                <w:sz w:val="24"/>
                <w:szCs w:val="24"/>
                <w:lang w:val="en-GB"/>
              </w:rPr>
              <w:t xml:space="preserve">10 mg </w:t>
            </w:r>
            <w:proofErr w:type="spellStart"/>
            <w:r w:rsidRPr="007A4DC4">
              <w:rPr>
                <w:sz w:val="24"/>
                <w:szCs w:val="24"/>
                <w:lang w:val="en-GB"/>
              </w:rPr>
              <w:t>en</w:t>
            </w:r>
            <w:proofErr w:type="spellEnd"/>
            <w:r w:rsidRPr="007A4DC4">
              <w:rPr>
                <w:sz w:val="24"/>
                <w:szCs w:val="24"/>
                <w:lang w:val="en-GB"/>
              </w:rPr>
              <w:t xml:space="preserve"> gang </w:t>
            </w:r>
            <w:proofErr w:type="spellStart"/>
            <w:r w:rsidRPr="007A4DC4">
              <w:rPr>
                <w:sz w:val="24"/>
                <w:szCs w:val="24"/>
                <w:lang w:val="en-GB"/>
              </w:rPr>
              <w:t>daglig</w:t>
            </w:r>
            <w:proofErr w:type="spellEnd"/>
          </w:p>
        </w:tc>
      </w:tr>
      <w:tr w:rsidR="007A4DC4" w:rsidRPr="007A4DC4" w14:paraId="374FD5F2" w14:textId="77777777" w:rsidTr="007A4DC4">
        <w:tc>
          <w:tcPr>
            <w:tcW w:w="1701" w:type="dxa"/>
            <w:tcBorders>
              <w:top w:val="single" w:sz="4" w:space="0" w:color="auto"/>
              <w:left w:val="single" w:sz="4" w:space="0" w:color="auto"/>
              <w:bottom w:val="single" w:sz="4" w:space="0" w:color="auto"/>
              <w:right w:val="single" w:sz="4" w:space="0" w:color="auto"/>
            </w:tcBorders>
            <w:hideMark/>
          </w:tcPr>
          <w:p w14:paraId="38C49B97" w14:textId="10880436" w:rsidR="007A4DC4" w:rsidRPr="007A4DC4" w:rsidRDefault="007A4DC4" w:rsidP="007A4DC4">
            <w:pPr>
              <w:rPr>
                <w:sz w:val="24"/>
                <w:szCs w:val="24"/>
                <w:lang w:val="en-GB"/>
              </w:rPr>
            </w:pPr>
            <w:r w:rsidRPr="007A4DC4">
              <w:rPr>
                <w:sz w:val="24"/>
                <w:szCs w:val="24"/>
                <w:lang w:val="en-GB"/>
              </w:rPr>
              <w:t>12</w:t>
            </w:r>
            <w:r>
              <w:rPr>
                <w:sz w:val="24"/>
                <w:szCs w:val="24"/>
                <w:lang w:val="en-GB"/>
              </w:rPr>
              <w:t>-</w:t>
            </w:r>
            <w:r w:rsidRPr="007A4DC4">
              <w:rPr>
                <w:sz w:val="24"/>
                <w:szCs w:val="24"/>
                <w:lang w:val="en-GB"/>
              </w:rPr>
              <w:t xml:space="preserve">18 </w:t>
            </w:r>
            <w:proofErr w:type="spellStart"/>
            <w:r w:rsidRPr="007A4DC4">
              <w:rPr>
                <w:sz w:val="24"/>
                <w:szCs w:val="24"/>
                <w:lang w:val="en-GB"/>
              </w:rPr>
              <w:t>år</w:t>
            </w:r>
            <w:proofErr w:type="spellEnd"/>
          </w:p>
        </w:tc>
        <w:tc>
          <w:tcPr>
            <w:tcW w:w="3861" w:type="dxa"/>
            <w:tcBorders>
              <w:top w:val="single" w:sz="4" w:space="0" w:color="auto"/>
              <w:left w:val="single" w:sz="4" w:space="0" w:color="auto"/>
              <w:bottom w:val="single" w:sz="4" w:space="0" w:color="auto"/>
              <w:right w:val="single" w:sz="4" w:space="0" w:color="auto"/>
            </w:tcBorders>
            <w:hideMark/>
          </w:tcPr>
          <w:p w14:paraId="6991CD97" w14:textId="77777777" w:rsidR="007A4DC4" w:rsidRPr="007A4DC4" w:rsidRDefault="007A4DC4" w:rsidP="007A4DC4">
            <w:pPr>
              <w:ind w:left="64"/>
              <w:rPr>
                <w:sz w:val="24"/>
                <w:szCs w:val="24"/>
                <w:lang w:val="en-GB"/>
              </w:rPr>
            </w:pPr>
            <w:r w:rsidRPr="007A4DC4">
              <w:rPr>
                <w:sz w:val="24"/>
                <w:szCs w:val="24"/>
                <w:lang w:val="en-GB"/>
              </w:rPr>
              <w:t xml:space="preserve">40 mg </w:t>
            </w:r>
            <w:proofErr w:type="spellStart"/>
            <w:r w:rsidRPr="007A4DC4">
              <w:rPr>
                <w:sz w:val="24"/>
                <w:szCs w:val="24"/>
                <w:lang w:val="en-GB"/>
              </w:rPr>
              <w:t>en</w:t>
            </w:r>
            <w:proofErr w:type="spellEnd"/>
            <w:r w:rsidRPr="007A4DC4">
              <w:rPr>
                <w:sz w:val="24"/>
                <w:szCs w:val="24"/>
                <w:lang w:val="en-GB"/>
              </w:rPr>
              <w:t xml:space="preserve"> gang </w:t>
            </w:r>
            <w:proofErr w:type="spellStart"/>
            <w:r w:rsidRPr="007A4DC4">
              <w:rPr>
                <w:sz w:val="24"/>
                <w:szCs w:val="24"/>
                <w:lang w:val="en-GB"/>
              </w:rPr>
              <w:t>daglig</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988FC9D" w14:textId="77777777" w:rsidR="007A4DC4" w:rsidRPr="007A4DC4" w:rsidRDefault="007A4DC4" w:rsidP="007A4DC4">
            <w:pPr>
              <w:ind w:left="86"/>
              <w:rPr>
                <w:sz w:val="24"/>
                <w:szCs w:val="24"/>
                <w:lang w:val="en-GB"/>
              </w:rPr>
            </w:pPr>
            <w:r w:rsidRPr="007A4DC4">
              <w:rPr>
                <w:sz w:val="24"/>
                <w:szCs w:val="24"/>
                <w:lang w:val="en-GB"/>
              </w:rPr>
              <w:t xml:space="preserve">20 mg </w:t>
            </w:r>
            <w:proofErr w:type="spellStart"/>
            <w:r w:rsidRPr="007A4DC4">
              <w:rPr>
                <w:sz w:val="24"/>
                <w:szCs w:val="24"/>
                <w:lang w:val="en-GB"/>
              </w:rPr>
              <w:t>en</w:t>
            </w:r>
            <w:proofErr w:type="spellEnd"/>
            <w:r w:rsidRPr="007A4DC4">
              <w:rPr>
                <w:sz w:val="24"/>
                <w:szCs w:val="24"/>
                <w:lang w:val="en-GB"/>
              </w:rPr>
              <w:t xml:space="preserve"> gang </w:t>
            </w:r>
            <w:proofErr w:type="spellStart"/>
            <w:r w:rsidRPr="007A4DC4">
              <w:rPr>
                <w:sz w:val="24"/>
                <w:szCs w:val="24"/>
                <w:lang w:val="en-GB"/>
              </w:rPr>
              <w:t>daglig</w:t>
            </w:r>
            <w:proofErr w:type="spellEnd"/>
          </w:p>
        </w:tc>
      </w:tr>
    </w:tbl>
    <w:p w14:paraId="0CCF86A0" w14:textId="77777777" w:rsidR="007A4DC4" w:rsidRPr="007A4DC4" w:rsidRDefault="007A4DC4" w:rsidP="007A4DC4">
      <w:pPr>
        <w:tabs>
          <w:tab w:val="left" w:pos="851"/>
        </w:tabs>
        <w:ind w:left="851"/>
        <w:rPr>
          <w:b/>
          <w:bCs/>
          <w:sz w:val="24"/>
          <w:szCs w:val="24"/>
        </w:rPr>
      </w:pPr>
    </w:p>
    <w:p w14:paraId="106C5636" w14:textId="77777777" w:rsidR="007A4DC4" w:rsidRPr="001B6C98" w:rsidRDefault="007A4DC4" w:rsidP="007A4DC4">
      <w:pPr>
        <w:tabs>
          <w:tab w:val="left" w:pos="851"/>
        </w:tabs>
        <w:ind w:left="851"/>
        <w:rPr>
          <w:b/>
          <w:bCs/>
          <w:sz w:val="24"/>
          <w:szCs w:val="24"/>
        </w:rPr>
      </w:pPr>
      <w:r w:rsidRPr="001B6C98">
        <w:rPr>
          <w:b/>
          <w:bCs/>
          <w:sz w:val="24"/>
          <w:szCs w:val="24"/>
        </w:rPr>
        <w:t>Administration</w:t>
      </w:r>
    </w:p>
    <w:p w14:paraId="10A162AA" w14:textId="77777777" w:rsidR="007A4DC4" w:rsidRPr="007A4DC4" w:rsidRDefault="007A4DC4" w:rsidP="007A4DC4">
      <w:pPr>
        <w:tabs>
          <w:tab w:val="left" w:pos="851"/>
        </w:tabs>
        <w:ind w:left="851"/>
        <w:rPr>
          <w:sz w:val="24"/>
          <w:szCs w:val="24"/>
        </w:rPr>
      </w:pPr>
      <w:r w:rsidRPr="007A4DC4">
        <w:rPr>
          <w:sz w:val="24"/>
          <w:szCs w:val="24"/>
        </w:rPr>
        <w:t xml:space="preserve">For instruktioner om </w:t>
      </w:r>
      <w:proofErr w:type="spellStart"/>
      <w:r w:rsidRPr="007A4DC4">
        <w:rPr>
          <w:sz w:val="24"/>
          <w:szCs w:val="24"/>
        </w:rPr>
        <w:t>rekonstitution</w:t>
      </w:r>
      <w:proofErr w:type="spellEnd"/>
      <w:r w:rsidRPr="007A4DC4">
        <w:rPr>
          <w:sz w:val="24"/>
          <w:szCs w:val="24"/>
        </w:rPr>
        <w:t xml:space="preserve"> af lægemidlet før administration, se pkt. 6.6.</w:t>
      </w:r>
    </w:p>
    <w:p w14:paraId="1A52C703" w14:textId="77777777" w:rsidR="007A4DC4" w:rsidRPr="007A4DC4" w:rsidRDefault="007A4DC4" w:rsidP="007A4DC4">
      <w:pPr>
        <w:tabs>
          <w:tab w:val="left" w:pos="851"/>
        </w:tabs>
        <w:ind w:left="851"/>
        <w:rPr>
          <w:b/>
          <w:bCs/>
          <w:sz w:val="24"/>
          <w:szCs w:val="24"/>
        </w:rPr>
      </w:pPr>
    </w:p>
    <w:p w14:paraId="74A97ADB" w14:textId="77777777" w:rsidR="007A4DC4" w:rsidRPr="001B6C98" w:rsidRDefault="007A4DC4" w:rsidP="007A4DC4">
      <w:pPr>
        <w:tabs>
          <w:tab w:val="left" w:pos="851"/>
        </w:tabs>
        <w:ind w:left="851"/>
        <w:rPr>
          <w:bCs/>
          <w:sz w:val="24"/>
          <w:szCs w:val="24"/>
          <w:u w:val="single"/>
        </w:rPr>
      </w:pPr>
      <w:r w:rsidRPr="001B6C98">
        <w:rPr>
          <w:bCs/>
          <w:sz w:val="24"/>
          <w:szCs w:val="24"/>
          <w:u w:val="single"/>
        </w:rPr>
        <w:t>Injektion</w:t>
      </w:r>
    </w:p>
    <w:p w14:paraId="24DB0950" w14:textId="77777777" w:rsidR="007A4DC4" w:rsidRPr="007A4DC4" w:rsidRDefault="007A4DC4" w:rsidP="007A4DC4">
      <w:pPr>
        <w:tabs>
          <w:tab w:val="left" w:pos="851"/>
        </w:tabs>
        <w:ind w:left="851"/>
        <w:rPr>
          <w:b/>
          <w:bCs/>
          <w:sz w:val="24"/>
          <w:szCs w:val="24"/>
        </w:rPr>
      </w:pPr>
    </w:p>
    <w:p w14:paraId="02010F51" w14:textId="77777777" w:rsidR="007A4DC4" w:rsidRPr="001B6C98" w:rsidRDefault="007A4DC4" w:rsidP="007A4DC4">
      <w:pPr>
        <w:tabs>
          <w:tab w:val="left" w:pos="851"/>
        </w:tabs>
        <w:ind w:left="851"/>
        <w:rPr>
          <w:i/>
          <w:sz w:val="24"/>
          <w:szCs w:val="24"/>
        </w:rPr>
      </w:pPr>
      <w:r w:rsidRPr="001B6C98">
        <w:rPr>
          <w:i/>
          <w:sz w:val="24"/>
          <w:szCs w:val="24"/>
        </w:rPr>
        <w:t>40 mg dosis</w:t>
      </w:r>
    </w:p>
    <w:p w14:paraId="3070829E" w14:textId="6BACCD4D" w:rsidR="007A4DC4" w:rsidRPr="007A4DC4" w:rsidRDefault="007A4DC4" w:rsidP="007A4DC4">
      <w:pPr>
        <w:tabs>
          <w:tab w:val="left" w:pos="851"/>
        </w:tabs>
        <w:ind w:left="851"/>
        <w:rPr>
          <w:sz w:val="24"/>
          <w:szCs w:val="24"/>
        </w:rPr>
      </w:pPr>
      <w:r w:rsidRPr="007A4DC4">
        <w:rPr>
          <w:sz w:val="24"/>
          <w:szCs w:val="24"/>
        </w:rPr>
        <w:t>5 m</w:t>
      </w:r>
      <w:r w:rsidR="001B6C98">
        <w:rPr>
          <w:sz w:val="24"/>
          <w:szCs w:val="24"/>
        </w:rPr>
        <w:t>l</w:t>
      </w:r>
      <w:r w:rsidRPr="007A4DC4">
        <w:rPr>
          <w:sz w:val="24"/>
          <w:szCs w:val="24"/>
        </w:rPr>
        <w:t xml:space="preserve"> af den tilberedte opløsning (8 mg/ml) gives som en intravenøs injektion over et tidsrum på mindst 3 minutter.</w:t>
      </w:r>
    </w:p>
    <w:p w14:paraId="674FB40C" w14:textId="77777777" w:rsidR="007A4DC4" w:rsidRPr="007A4DC4" w:rsidRDefault="007A4DC4" w:rsidP="007A4DC4">
      <w:pPr>
        <w:tabs>
          <w:tab w:val="left" w:pos="851"/>
        </w:tabs>
        <w:ind w:left="851"/>
        <w:rPr>
          <w:sz w:val="24"/>
          <w:szCs w:val="24"/>
        </w:rPr>
      </w:pPr>
    </w:p>
    <w:p w14:paraId="77BB2997" w14:textId="77777777" w:rsidR="007A4DC4" w:rsidRPr="001B6C98" w:rsidRDefault="007A4DC4" w:rsidP="007A4DC4">
      <w:pPr>
        <w:tabs>
          <w:tab w:val="left" w:pos="851"/>
        </w:tabs>
        <w:ind w:left="851"/>
        <w:rPr>
          <w:i/>
          <w:sz w:val="24"/>
          <w:szCs w:val="24"/>
        </w:rPr>
      </w:pPr>
      <w:r w:rsidRPr="001B6C98">
        <w:rPr>
          <w:i/>
          <w:sz w:val="24"/>
          <w:szCs w:val="24"/>
        </w:rPr>
        <w:t>20 mg dosis</w:t>
      </w:r>
    </w:p>
    <w:p w14:paraId="0683862F" w14:textId="552B09A6" w:rsidR="007A4DC4" w:rsidRPr="007A4DC4" w:rsidRDefault="007A4DC4" w:rsidP="007A4DC4">
      <w:pPr>
        <w:tabs>
          <w:tab w:val="left" w:pos="851"/>
        </w:tabs>
        <w:ind w:left="851"/>
        <w:rPr>
          <w:sz w:val="24"/>
          <w:szCs w:val="24"/>
        </w:rPr>
      </w:pPr>
      <w:r w:rsidRPr="007A4DC4">
        <w:rPr>
          <w:sz w:val="24"/>
          <w:szCs w:val="24"/>
        </w:rPr>
        <w:t>2</w:t>
      </w:r>
      <w:r w:rsidR="001B6C98">
        <w:rPr>
          <w:sz w:val="24"/>
          <w:szCs w:val="24"/>
        </w:rPr>
        <w:t>,</w:t>
      </w:r>
      <w:r w:rsidRPr="007A4DC4">
        <w:rPr>
          <w:sz w:val="24"/>
          <w:szCs w:val="24"/>
        </w:rPr>
        <w:t>5 m</w:t>
      </w:r>
      <w:r w:rsidR="001B6C98">
        <w:rPr>
          <w:sz w:val="24"/>
          <w:szCs w:val="24"/>
        </w:rPr>
        <w:t>l</w:t>
      </w:r>
      <w:r w:rsidRPr="007A4DC4">
        <w:rPr>
          <w:sz w:val="24"/>
          <w:szCs w:val="24"/>
        </w:rPr>
        <w:t xml:space="preserve"> eller halvdelen af den tilberedte (8 mg/ml) opløsning gives som en intravenøs injektion over et tidsrum på mindst 3 minutter. Tiloversbleven opløsning skal kasseres.</w:t>
      </w:r>
    </w:p>
    <w:p w14:paraId="7EBF6B6C" w14:textId="77777777" w:rsidR="007A4DC4" w:rsidRPr="007A4DC4" w:rsidRDefault="007A4DC4" w:rsidP="007A4DC4">
      <w:pPr>
        <w:tabs>
          <w:tab w:val="left" w:pos="851"/>
        </w:tabs>
        <w:ind w:left="851"/>
        <w:rPr>
          <w:sz w:val="24"/>
          <w:szCs w:val="24"/>
        </w:rPr>
      </w:pPr>
    </w:p>
    <w:p w14:paraId="108910D6" w14:textId="77777777" w:rsidR="007A4DC4" w:rsidRPr="001B6C98" w:rsidRDefault="007A4DC4" w:rsidP="007A4DC4">
      <w:pPr>
        <w:tabs>
          <w:tab w:val="left" w:pos="851"/>
        </w:tabs>
        <w:ind w:left="851"/>
        <w:rPr>
          <w:i/>
          <w:sz w:val="24"/>
          <w:szCs w:val="24"/>
        </w:rPr>
      </w:pPr>
      <w:r w:rsidRPr="001B6C98">
        <w:rPr>
          <w:i/>
          <w:sz w:val="24"/>
          <w:szCs w:val="24"/>
        </w:rPr>
        <w:t>10 mg dosis</w:t>
      </w:r>
    </w:p>
    <w:p w14:paraId="3F79AF2F" w14:textId="5FC3B52C" w:rsidR="007A4DC4" w:rsidRPr="007A4DC4" w:rsidRDefault="007A4DC4" w:rsidP="007A4DC4">
      <w:pPr>
        <w:tabs>
          <w:tab w:val="left" w:pos="851"/>
        </w:tabs>
        <w:ind w:left="851"/>
        <w:rPr>
          <w:sz w:val="24"/>
          <w:szCs w:val="24"/>
        </w:rPr>
      </w:pPr>
      <w:r w:rsidRPr="007A4DC4">
        <w:rPr>
          <w:sz w:val="24"/>
          <w:szCs w:val="24"/>
        </w:rPr>
        <w:t>1</w:t>
      </w:r>
      <w:r w:rsidR="001B6C98">
        <w:rPr>
          <w:sz w:val="24"/>
          <w:szCs w:val="24"/>
        </w:rPr>
        <w:t>,</w:t>
      </w:r>
      <w:r w:rsidRPr="007A4DC4">
        <w:rPr>
          <w:sz w:val="24"/>
          <w:szCs w:val="24"/>
        </w:rPr>
        <w:t>25 m</w:t>
      </w:r>
      <w:r w:rsidR="001B6C98">
        <w:rPr>
          <w:sz w:val="24"/>
          <w:szCs w:val="24"/>
        </w:rPr>
        <w:t>l</w:t>
      </w:r>
      <w:r w:rsidRPr="007A4DC4">
        <w:rPr>
          <w:sz w:val="24"/>
          <w:szCs w:val="24"/>
        </w:rPr>
        <w:t xml:space="preserve"> af den tilberedte opløsning (8 mg/ml) gives som en intravenøs injektion over et tidsrum på mindst 3 minutter. Tiloversbleven opløsning skal kasseres.</w:t>
      </w:r>
    </w:p>
    <w:p w14:paraId="3A427451" w14:textId="77777777" w:rsidR="007A4DC4" w:rsidRPr="007A4DC4" w:rsidRDefault="007A4DC4" w:rsidP="007A4DC4">
      <w:pPr>
        <w:tabs>
          <w:tab w:val="left" w:pos="851"/>
        </w:tabs>
        <w:ind w:left="851"/>
        <w:rPr>
          <w:b/>
          <w:bCs/>
          <w:sz w:val="24"/>
          <w:szCs w:val="24"/>
        </w:rPr>
      </w:pPr>
    </w:p>
    <w:p w14:paraId="227523E4" w14:textId="77777777" w:rsidR="007A4DC4" w:rsidRPr="001B6C98" w:rsidRDefault="007A4DC4" w:rsidP="007A4DC4">
      <w:pPr>
        <w:tabs>
          <w:tab w:val="left" w:pos="851"/>
        </w:tabs>
        <w:ind w:left="851"/>
        <w:rPr>
          <w:bCs/>
          <w:sz w:val="24"/>
          <w:szCs w:val="24"/>
          <w:u w:val="single"/>
        </w:rPr>
      </w:pPr>
      <w:r w:rsidRPr="001B6C98">
        <w:rPr>
          <w:bCs/>
          <w:sz w:val="24"/>
          <w:szCs w:val="24"/>
          <w:u w:val="single"/>
        </w:rPr>
        <w:t>Infusion</w:t>
      </w:r>
    </w:p>
    <w:p w14:paraId="02EE9ADA" w14:textId="77777777" w:rsidR="007A4DC4" w:rsidRPr="007A4DC4" w:rsidRDefault="007A4DC4" w:rsidP="007A4DC4">
      <w:pPr>
        <w:tabs>
          <w:tab w:val="left" w:pos="851"/>
        </w:tabs>
        <w:ind w:left="851"/>
        <w:rPr>
          <w:sz w:val="24"/>
          <w:szCs w:val="24"/>
        </w:rPr>
      </w:pPr>
    </w:p>
    <w:p w14:paraId="16B75971" w14:textId="77777777" w:rsidR="007A4DC4" w:rsidRPr="001B6C98" w:rsidRDefault="007A4DC4" w:rsidP="007A4DC4">
      <w:pPr>
        <w:tabs>
          <w:tab w:val="left" w:pos="851"/>
        </w:tabs>
        <w:ind w:left="851"/>
        <w:rPr>
          <w:i/>
          <w:sz w:val="24"/>
          <w:szCs w:val="24"/>
        </w:rPr>
      </w:pPr>
      <w:r w:rsidRPr="001B6C98">
        <w:rPr>
          <w:i/>
          <w:sz w:val="24"/>
          <w:szCs w:val="24"/>
        </w:rPr>
        <w:t>40 mg dosis</w:t>
      </w:r>
    </w:p>
    <w:p w14:paraId="74D45C21" w14:textId="77777777" w:rsidR="007A4DC4" w:rsidRPr="007A4DC4" w:rsidRDefault="007A4DC4" w:rsidP="007A4DC4">
      <w:pPr>
        <w:tabs>
          <w:tab w:val="left" w:pos="851"/>
        </w:tabs>
        <w:ind w:left="851"/>
        <w:rPr>
          <w:sz w:val="24"/>
          <w:szCs w:val="24"/>
        </w:rPr>
      </w:pPr>
      <w:r w:rsidRPr="007A4DC4">
        <w:rPr>
          <w:sz w:val="24"/>
          <w:szCs w:val="24"/>
        </w:rPr>
        <w:t>Den tilberedte opløsning gives som en intravenøs infusion over et tidsrum på 10-30 minutter.</w:t>
      </w:r>
    </w:p>
    <w:p w14:paraId="11DF4EFC" w14:textId="77777777" w:rsidR="007A4DC4" w:rsidRPr="007A4DC4" w:rsidRDefault="007A4DC4" w:rsidP="007A4DC4">
      <w:pPr>
        <w:tabs>
          <w:tab w:val="left" w:pos="851"/>
        </w:tabs>
        <w:ind w:left="851"/>
        <w:rPr>
          <w:sz w:val="24"/>
          <w:szCs w:val="24"/>
        </w:rPr>
      </w:pPr>
    </w:p>
    <w:p w14:paraId="3EE5C9BA" w14:textId="77777777" w:rsidR="007A4DC4" w:rsidRPr="001B6C98" w:rsidRDefault="007A4DC4" w:rsidP="007A4DC4">
      <w:pPr>
        <w:tabs>
          <w:tab w:val="left" w:pos="851"/>
        </w:tabs>
        <w:ind w:left="851"/>
        <w:rPr>
          <w:i/>
          <w:sz w:val="24"/>
          <w:szCs w:val="24"/>
        </w:rPr>
      </w:pPr>
      <w:r w:rsidRPr="001B6C98">
        <w:rPr>
          <w:i/>
          <w:sz w:val="24"/>
          <w:szCs w:val="24"/>
        </w:rPr>
        <w:t>20 mg dosis</w:t>
      </w:r>
    </w:p>
    <w:p w14:paraId="01FFC166" w14:textId="77777777" w:rsidR="007A4DC4" w:rsidRPr="007A4DC4" w:rsidRDefault="007A4DC4" w:rsidP="007A4DC4">
      <w:pPr>
        <w:tabs>
          <w:tab w:val="left" w:pos="851"/>
        </w:tabs>
        <w:ind w:left="851"/>
        <w:rPr>
          <w:sz w:val="24"/>
          <w:szCs w:val="24"/>
        </w:rPr>
      </w:pPr>
      <w:r w:rsidRPr="007A4DC4">
        <w:rPr>
          <w:sz w:val="24"/>
          <w:szCs w:val="24"/>
        </w:rPr>
        <w:t>Halvdelen af den tilberedte opløsning gives som en intravenøs infusion over et tidsrum på 10-30 minutter. Tiloversbleven opløsning skal kasseres.</w:t>
      </w:r>
    </w:p>
    <w:p w14:paraId="4BAB23CC" w14:textId="77777777" w:rsidR="007A4DC4" w:rsidRPr="007A4DC4" w:rsidRDefault="007A4DC4" w:rsidP="007A4DC4">
      <w:pPr>
        <w:tabs>
          <w:tab w:val="left" w:pos="851"/>
        </w:tabs>
        <w:ind w:left="851"/>
        <w:rPr>
          <w:sz w:val="24"/>
          <w:szCs w:val="24"/>
        </w:rPr>
      </w:pPr>
    </w:p>
    <w:p w14:paraId="7F89165C" w14:textId="77777777" w:rsidR="007A4DC4" w:rsidRPr="001B6C98" w:rsidRDefault="007A4DC4" w:rsidP="007A4DC4">
      <w:pPr>
        <w:tabs>
          <w:tab w:val="left" w:pos="851"/>
        </w:tabs>
        <w:ind w:left="851"/>
        <w:rPr>
          <w:i/>
          <w:sz w:val="24"/>
          <w:szCs w:val="24"/>
        </w:rPr>
      </w:pPr>
      <w:r w:rsidRPr="001B6C98">
        <w:rPr>
          <w:i/>
          <w:sz w:val="24"/>
          <w:szCs w:val="24"/>
        </w:rPr>
        <w:t>10 mg dosis</w:t>
      </w:r>
    </w:p>
    <w:p w14:paraId="2ED85F69" w14:textId="77777777" w:rsidR="007A4DC4" w:rsidRPr="007A4DC4" w:rsidRDefault="007A4DC4" w:rsidP="007A4DC4">
      <w:pPr>
        <w:tabs>
          <w:tab w:val="left" w:pos="851"/>
        </w:tabs>
        <w:ind w:left="851"/>
        <w:rPr>
          <w:i/>
          <w:sz w:val="24"/>
          <w:szCs w:val="24"/>
        </w:rPr>
      </w:pPr>
      <w:r w:rsidRPr="007A4DC4">
        <w:rPr>
          <w:sz w:val="24"/>
          <w:szCs w:val="24"/>
        </w:rPr>
        <w:t>En fjerdedel af den tilberedte opløsning gives som en intravenøs infusion over et tidsrum på 10-30 minutter. Tiloversbleven opløsning skal kasseres.</w:t>
      </w:r>
    </w:p>
    <w:p w14:paraId="29384F75" w14:textId="77777777" w:rsidR="009260DE" w:rsidRPr="00C84483" w:rsidRDefault="009260DE" w:rsidP="009260DE">
      <w:pPr>
        <w:tabs>
          <w:tab w:val="left" w:pos="851"/>
        </w:tabs>
        <w:ind w:left="851"/>
        <w:rPr>
          <w:sz w:val="24"/>
          <w:szCs w:val="24"/>
        </w:rPr>
      </w:pPr>
    </w:p>
    <w:p w14:paraId="704CF5CC"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0EC2CE9D" w14:textId="77777777" w:rsidR="005C4198" w:rsidRPr="005C4198" w:rsidRDefault="005C4198" w:rsidP="005C4198">
      <w:pPr>
        <w:tabs>
          <w:tab w:val="left" w:pos="851"/>
        </w:tabs>
        <w:ind w:left="851"/>
        <w:rPr>
          <w:sz w:val="24"/>
          <w:szCs w:val="24"/>
        </w:rPr>
      </w:pPr>
      <w:r w:rsidRPr="005C4198">
        <w:rPr>
          <w:sz w:val="24"/>
          <w:szCs w:val="24"/>
        </w:rPr>
        <w:t xml:space="preserve">Overfølsomhed over for det aktive stof, over for de substituerede </w:t>
      </w:r>
      <w:proofErr w:type="spellStart"/>
      <w:r w:rsidRPr="005C4198">
        <w:rPr>
          <w:sz w:val="24"/>
          <w:szCs w:val="24"/>
        </w:rPr>
        <w:t>benzimidazoler</w:t>
      </w:r>
      <w:proofErr w:type="spellEnd"/>
      <w:r w:rsidRPr="005C4198">
        <w:rPr>
          <w:sz w:val="24"/>
          <w:szCs w:val="24"/>
        </w:rPr>
        <w:t xml:space="preserve"> eller over for et eller flere af hjælpestofferne anført i pkt. 6.1.</w:t>
      </w:r>
    </w:p>
    <w:p w14:paraId="627D28F0" w14:textId="77777777" w:rsidR="005C4198" w:rsidRPr="005C4198" w:rsidRDefault="005C4198" w:rsidP="005C4198">
      <w:pPr>
        <w:tabs>
          <w:tab w:val="left" w:pos="851"/>
        </w:tabs>
        <w:ind w:left="851"/>
        <w:rPr>
          <w:sz w:val="24"/>
          <w:szCs w:val="24"/>
        </w:rPr>
      </w:pPr>
    </w:p>
    <w:p w14:paraId="76985919" w14:textId="77777777" w:rsidR="005C4198" w:rsidRPr="005C4198" w:rsidRDefault="005C4198" w:rsidP="005C4198">
      <w:pPr>
        <w:tabs>
          <w:tab w:val="left" w:pos="851"/>
        </w:tabs>
        <w:ind w:left="851"/>
        <w:rPr>
          <w:sz w:val="24"/>
          <w:szCs w:val="24"/>
        </w:rPr>
      </w:pPr>
      <w:proofErr w:type="spellStart"/>
      <w:r w:rsidRPr="005C4198">
        <w:rPr>
          <w:sz w:val="24"/>
          <w:szCs w:val="24"/>
        </w:rPr>
        <w:t>Esomeprazol</w:t>
      </w:r>
      <w:proofErr w:type="spellEnd"/>
      <w:r w:rsidRPr="005C4198">
        <w:rPr>
          <w:sz w:val="24"/>
          <w:szCs w:val="24"/>
        </w:rPr>
        <w:t xml:space="preserve"> bør ikke anvendes samtidigt med </w:t>
      </w:r>
      <w:proofErr w:type="spellStart"/>
      <w:r w:rsidRPr="005C4198">
        <w:rPr>
          <w:sz w:val="24"/>
          <w:szCs w:val="24"/>
        </w:rPr>
        <w:t>nelfinavir</w:t>
      </w:r>
      <w:proofErr w:type="spellEnd"/>
      <w:r w:rsidRPr="005C4198">
        <w:rPr>
          <w:sz w:val="24"/>
          <w:szCs w:val="24"/>
        </w:rPr>
        <w:t xml:space="preserve"> (se pkt. 4.5).</w:t>
      </w:r>
    </w:p>
    <w:p w14:paraId="35F82313" w14:textId="1CE47B1D" w:rsidR="003B0D92" w:rsidRDefault="003B0D92">
      <w:pPr>
        <w:rPr>
          <w:sz w:val="24"/>
          <w:szCs w:val="24"/>
        </w:rPr>
      </w:pPr>
      <w:r>
        <w:rPr>
          <w:sz w:val="24"/>
          <w:szCs w:val="24"/>
        </w:rPr>
        <w:br w:type="page"/>
      </w:r>
    </w:p>
    <w:p w14:paraId="0453D191" w14:textId="77777777" w:rsidR="009260DE" w:rsidRPr="00C84483" w:rsidRDefault="009260DE" w:rsidP="009260DE">
      <w:pPr>
        <w:tabs>
          <w:tab w:val="left" w:pos="851"/>
        </w:tabs>
        <w:ind w:left="851"/>
        <w:rPr>
          <w:sz w:val="24"/>
          <w:szCs w:val="24"/>
        </w:rPr>
      </w:pPr>
    </w:p>
    <w:p w14:paraId="0B6660D4"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706EC1C" w14:textId="36A294BF" w:rsidR="005C4198" w:rsidRPr="005C4198" w:rsidRDefault="005C4198" w:rsidP="005C4198">
      <w:pPr>
        <w:tabs>
          <w:tab w:val="left" w:pos="851"/>
        </w:tabs>
        <w:ind w:left="851"/>
        <w:rPr>
          <w:sz w:val="24"/>
          <w:szCs w:val="24"/>
        </w:rPr>
      </w:pPr>
      <w:r w:rsidRPr="005C4198">
        <w:rPr>
          <w:sz w:val="24"/>
          <w:szCs w:val="24"/>
        </w:rPr>
        <w:t xml:space="preserve">Ved tilstedeværelse af alarmsymptomer (f.eks. signifikant utilsigtet vægttab, gentagne opkastninger, </w:t>
      </w:r>
      <w:proofErr w:type="spellStart"/>
      <w:r w:rsidRPr="005C4198">
        <w:rPr>
          <w:sz w:val="24"/>
          <w:szCs w:val="24"/>
        </w:rPr>
        <w:t>dysfagi</w:t>
      </w:r>
      <w:proofErr w:type="spellEnd"/>
      <w:r w:rsidRPr="005C4198">
        <w:rPr>
          <w:sz w:val="24"/>
          <w:szCs w:val="24"/>
        </w:rPr>
        <w:t xml:space="preserve">, </w:t>
      </w:r>
      <w:proofErr w:type="spellStart"/>
      <w:r w:rsidRPr="005C4198">
        <w:rPr>
          <w:sz w:val="24"/>
          <w:szCs w:val="24"/>
        </w:rPr>
        <w:t>haematemesis</w:t>
      </w:r>
      <w:proofErr w:type="spellEnd"/>
      <w:r w:rsidRPr="005C4198">
        <w:rPr>
          <w:sz w:val="24"/>
          <w:szCs w:val="24"/>
        </w:rPr>
        <w:t xml:space="preserve"> eller </w:t>
      </w:r>
      <w:proofErr w:type="spellStart"/>
      <w:r w:rsidRPr="005C4198">
        <w:rPr>
          <w:sz w:val="24"/>
          <w:szCs w:val="24"/>
        </w:rPr>
        <w:t>melaena</w:t>
      </w:r>
      <w:proofErr w:type="spellEnd"/>
      <w:r w:rsidRPr="005C4198">
        <w:rPr>
          <w:sz w:val="24"/>
          <w:szCs w:val="24"/>
        </w:rPr>
        <w:t xml:space="preserve">), og når der er mistanke om, eller bekræftet ulcus </w:t>
      </w:r>
      <w:proofErr w:type="spellStart"/>
      <w:r w:rsidRPr="005C4198">
        <w:rPr>
          <w:sz w:val="24"/>
          <w:szCs w:val="24"/>
        </w:rPr>
        <w:t>ventriculi</w:t>
      </w:r>
      <w:proofErr w:type="spellEnd"/>
      <w:r w:rsidRPr="005C4198">
        <w:rPr>
          <w:sz w:val="24"/>
          <w:szCs w:val="24"/>
        </w:rPr>
        <w:t xml:space="preserve">, skal muligheden for malign lidelse udelukkes, da behandlingen med </w:t>
      </w:r>
      <w:proofErr w:type="spellStart"/>
      <w:r w:rsidRPr="005C4198">
        <w:rPr>
          <w:sz w:val="24"/>
          <w:szCs w:val="24"/>
        </w:rPr>
        <w:t>Esomeprazol</w:t>
      </w:r>
      <w:proofErr w:type="spellEnd"/>
      <w:r w:rsidRPr="005C4198">
        <w:rPr>
          <w:sz w:val="24"/>
          <w:szCs w:val="24"/>
        </w:rPr>
        <w:t xml:space="preserve"> </w:t>
      </w:r>
      <w:r w:rsidR="003B0D92">
        <w:rPr>
          <w:sz w:val="24"/>
          <w:szCs w:val="24"/>
        </w:rPr>
        <w:t>"</w:t>
      </w:r>
      <w:r w:rsidRPr="005C4198">
        <w:rPr>
          <w:sz w:val="24"/>
          <w:szCs w:val="24"/>
        </w:rPr>
        <w:t>Demo S.A.</w:t>
      </w:r>
      <w:r w:rsidR="003B0D92">
        <w:rPr>
          <w:sz w:val="24"/>
          <w:szCs w:val="24"/>
        </w:rPr>
        <w:t>"</w:t>
      </w:r>
      <w:r w:rsidRPr="005C4198">
        <w:rPr>
          <w:sz w:val="24"/>
          <w:szCs w:val="24"/>
        </w:rPr>
        <w:t xml:space="preserve"> kan lindre symptomerne og derved forsinke diagnosen.</w:t>
      </w:r>
    </w:p>
    <w:p w14:paraId="5F9CF0D8" w14:textId="77777777" w:rsidR="005C4198" w:rsidRPr="005C4198" w:rsidRDefault="005C4198" w:rsidP="005C4198">
      <w:pPr>
        <w:tabs>
          <w:tab w:val="left" w:pos="851"/>
        </w:tabs>
        <w:ind w:left="851"/>
        <w:rPr>
          <w:sz w:val="24"/>
          <w:szCs w:val="24"/>
          <w:u w:val="single"/>
        </w:rPr>
      </w:pPr>
    </w:p>
    <w:p w14:paraId="22D08648" w14:textId="77777777" w:rsidR="005C4198" w:rsidRPr="005C4198" w:rsidRDefault="005C4198" w:rsidP="005C4198">
      <w:pPr>
        <w:tabs>
          <w:tab w:val="left" w:pos="851"/>
        </w:tabs>
        <w:ind w:left="851"/>
        <w:rPr>
          <w:sz w:val="24"/>
          <w:szCs w:val="24"/>
          <w:u w:val="single"/>
        </w:rPr>
      </w:pPr>
      <w:proofErr w:type="spellStart"/>
      <w:r w:rsidRPr="005C4198">
        <w:rPr>
          <w:sz w:val="24"/>
          <w:szCs w:val="24"/>
          <w:u w:val="single"/>
        </w:rPr>
        <w:t>Gastrointestinale</w:t>
      </w:r>
      <w:proofErr w:type="spellEnd"/>
      <w:r w:rsidRPr="005C4198">
        <w:rPr>
          <w:sz w:val="24"/>
          <w:szCs w:val="24"/>
          <w:u w:val="single"/>
        </w:rPr>
        <w:t xml:space="preserve"> infektioner</w:t>
      </w:r>
    </w:p>
    <w:p w14:paraId="34BC3CA4" w14:textId="77777777" w:rsidR="005C4198" w:rsidRPr="005C4198" w:rsidRDefault="005C4198" w:rsidP="005C4198">
      <w:pPr>
        <w:tabs>
          <w:tab w:val="left" w:pos="851"/>
        </w:tabs>
        <w:ind w:left="851"/>
        <w:rPr>
          <w:sz w:val="24"/>
          <w:szCs w:val="24"/>
        </w:rPr>
      </w:pPr>
      <w:r w:rsidRPr="005C4198">
        <w:rPr>
          <w:sz w:val="24"/>
          <w:szCs w:val="24"/>
        </w:rPr>
        <w:t xml:space="preserve">Behandling med </w:t>
      </w:r>
      <w:proofErr w:type="spellStart"/>
      <w:r w:rsidRPr="005C4198">
        <w:rPr>
          <w:sz w:val="24"/>
          <w:szCs w:val="24"/>
        </w:rPr>
        <w:t>protonpumpehæmmere</w:t>
      </w:r>
      <w:proofErr w:type="spellEnd"/>
      <w:r w:rsidRPr="005C4198">
        <w:rPr>
          <w:sz w:val="24"/>
          <w:szCs w:val="24"/>
        </w:rPr>
        <w:t xml:space="preserve"> kan føre til en let forøget risiko for </w:t>
      </w:r>
      <w:proofErr w:type="spellStart"/>
      <w:r w:rsidRPr="005C4198">
        <w:rPr>
          <w:sz w:val="24"/>
          <w:szCs w:val="24"/>
        </w:rPr>
        <w:t>gastrointestinale</w:t>
      </w:r>
      <w:proofErr w:type="spellEnd"/>
      <w:r w:rsidRPr="005C4198">
        <w:rPr>
          <w:sz w:val="24"/>
          <w:szCs w:val="24"/>
        </w:rPr>
        <w:t xml:space="preserve"> infektioner såsom Salmonella og Campylobacter (se pkt. 5.1).</w:t>
      </w:r>
    </w:p>
    <w:p w14:paraId="346F3A2B" w14:textId="77777777" w:rsidR="005C4198" w:rsidRPr="005C4198" w:rsidRDefault="005C4198" w:rsidP="005C4198">
      <w:pPr>
        <w:tabs>
          <w:tab w:val="left" w:pos="851"/>
        </w:tabs>
        <w:ind w:left="851"/>
        <w:rPr>
          <w:sz w:val="24"/>
          <w:szCs w:val="24"/>
        </w:rPr>
      </w:pPr>
    </w:p>
    <w:p w14:paraId="2A174E40" w14:textId="77777777" w:rsidR="005C4198" w:rsidRPr="005C4198" w:rsidRDefault="005C4198" w:rsidP="005C4198">
      <w:pPr>
        <w:tabs>
          <w:tab w:val="left" w:pos="851"/>
        </w:tabs>
        <w:ind w:left="851"/>
        <w:rPr>
          <w:sz w:val="24"/>
          <w:szCs w:val="24"/>
          <w:u w:val="single"/>
        </w:rPr>
      </w:pPr>
      <w:r w:rsidRPr="005C4198">
        <w:rPr>
          <w:sz w:val="24"/>
          <w:szCs w:val="24"/>
          <w:u w:val="single"/>
        </w:rPr>
        <w:t>Absorption af vitamin B12</w:t>
      </w:r>
    </w:p>
    <w:p w14:paraId="5B21C3CA" w14:textId="77777777" w:rsidR="005C4198" w:rsidRPr="005C4198" w:rsidRDefault="005C4198" w:rsidP="005C4198">
      <w:pPr>
        <w:tabs>
          <w:tab w:val="left" w:pos="851"/>
        </w:tabs>
        <w:ind w:left="851"/>
        <w:rPr>
          <w:sz w:val="24"/>
          <w:szCs w:val="24"/>
        </w:rPr>
      </w:pPr>
      <w:proofErr w:type="spellStart"/>
      <w:r w:rsidRPr="005C4198">
        <w:rPr>
          <w:sz w:val="24"/>
          <w:szCs w:val="24"/>
        </w:rPr>
        <w:t>Esomeprazol</w:t>
      </w:r>
      <w:proofErr w:type="spellEnd"/>
      <w:r w:rsidRPr="005C4198">
        <w:rPr>
          <w:sz w:val="24"/>
          <w:szCs w:val="24"/>
        </w:rPr>
        <w:t xml:space="preserve">, kan som alle andre </w:t>
      </w:r>
      <w:proofErr w:type="spellStart"/>
      <w:r w:rsidRPr="005C4198">
        <w:rPr>
          <w:sz w:val="24"/>
          <w:szCs w:val="24"/>
        </w:rPr>
        <w:t>syrehæmmere</w:t>
      </w:r>
      <w:proofErr w:type="spellEnd"/>
      <w:r w:rsidRPr="005C4198">
        <w:rPr>
          <w:sz w:val="24"/>
          <w:szCs w:val="24"/>
        </w:rPr>
        <w:t xml:space="preserve"> reducere absorptionen af B12-vitamin (</w:t>
      </w:r>
      <w:proofErr w:type="spellStart"/>
      <w:r w:rsidRPr="005C4198">
        <w:rPr>
          <w:sz w:val="24"/>
          <w:szCs w:val="24"/>
        </w:rPr>
        <w:t>cyanocobalamin</w:t>
      </w:r>
      <w:proofErr w:type="spellEnd"/>
      <w:r w:rsidRPr="005C4198">
        <w:rPr>
          <w:sz w:val="24"/>
          <w:szCs w:val="24"/>
        </w:rPr>
        <w:t xml:space="preserve">), som følge af </w:t>
      </w:r>
      <w:proofErr w:type="spellStart"/>
      <w:r w:rsidRPr="005C4198">
        <w:rPr>
          <w:sz w:val="24"/>
          <w:szCs w:val="24"/>
        </w:rPr>
        <w:t>hypo</w:t>
      </w:r>
      <w:proofErr w:type="spellEnd"/>
      <w:r w:rsidRPr="005C4198">
        <w:rPr>
          <w:sz w:val="24"/>
          <w:szCs w:val="24"/>
        </w:rPr>
        <w:t xml:space="preserve">- eller </w:t>
      </w:r>
      <w:proofErr w:type="spellStart"/>
      <w:r w:rsidRPr="005C4198">
        <w:rPr>
          <w:sz w:val="24"/>
          <w:szCs w:val="24"/>
        </w:rPr>
        <w:t>achlorhydri</w:t>
      </w:r>
      <w:proofErr w:type="spellEnd"/>
      <w:r w:rsidRPr="005C4198">
        <w:rPr>
          <w:sz w:val="24"/>
          <w:szCs w:val="24"/>
        </w:rPr>
        <w:t>. Der bør tages hensyn til dette, hvis patienten har mangel på dette vitamin i kroppen eller andre risikofaktorer, der kan reducere optagelsen af B12-vitamin i forbindelse med langtidsbehandling.</w:t>
      </w:r>
    </w:p>
    <w:p w14:paraId="396114B8" w14:textId="77777777" w:rsidR="005C4198" w:rsidRPr="005C4198" w:rsidRDefault="005C4198" w:rsidP="005C4198">
      <w:pPr>
        <w:tabs>
          <w:tab w:val="left" w:pos="851"/>
        </w:tabs>
        <w:ind w:left="851"/>
        <w:rPr>
          <w:sz w:val="24"/>
          <w:szCs w:val="24"/>
        </w:rPr>
      </w:pPr>
    </w:p>
    <w:p w14:paraId="5C64A5BE" w14:textId="77777777" w:rsidR="005C4198" w:rsidRPr="005C4198" w:rsidRDefault="005C4198" w:rsidP="005C4198">
      <w:pPr>
        <w:tabs>
          <w:tab w:val="left" w:pos="851"/>
        </w:tabs>
        <w:ind w:left="851"/>
        <w:rPr>
          <w:sz w:val="24"/>
          <w:szCs w:val="24"/>
          <w:u w:val="single"/>
        </w:rPr>
      </w:pPr>
      <w:proofErr w:type="spellStart"/>
      <w:r w:rsidRPr="005C4198">
        <w:rPr>
          <w:sz w:val="24"/>
          <w:szCs w:val="24"/>
          <w:u w:val="single"/>
        </w:rPr>
        <w:t>Hypomagnes</w:t>
      </w:r>
      <w:r w:rsidRPr="005C4198">
        <w:rPr>
          <w:sz w:val="24"/>
          <w:szCs w:val="24"/>
        </w:rPr>
        <w:t>æ</w:t>
      </w:r>
      <w:r w:rsidRPr="005C4198">
        <w:rPr>
          <w:sz w:val="24"/>
          <w:szCs w:val="24"/>
          <w:u w:val="single"/>
        </w:rPr>
        <w:t>mi</w:t>
      </w:r>
      <w:proofErr w:type="spellEnd"/>
    </w:p>
    <w:p w14:paraId="1C374E21" w14:textId="77777777" w:rsidR="005C4198" w:rsidRPr="005C4198" w:rsidRDefault="005C4198" w:rsidP="005C4198">
      <w:pPr>
        <w:tabs>
          <w:tab w:val="left" w:pos="851"/>
        </w:tabs>
        <w:ind w:left="851"/>
        <w:rPr>
          <w:sz w:val="24"/>
          <w:szCs w:val="24"/>
        </w:rPr>
      </w:pPr>
      <w:r w:rsidRPr="005C4198">
        <w:rPr>
          <w:sz w:val="24"/>
          <w:szCs w:val="24"/>
        </w:rPr>
        <w:t xml:space="preserve">Alvorlig </w:t>
      </w:r>
      <w:proofErr w:type="spellStart"/>
      <w:r w:rsidRPr="005C4198">
        <w:rPr>
          <w:sz w:val="24"/>
          <w:szCs w:val="24"/>
        </w:rPr>
        <w:t>hypomagnesiæmi</w:t>
      </w:r>
      <w:proofErr w:type="spellEnd"/>
      <w:r w:rsidRPr="005C4198">
        <w:rPr>
          <w:sz w:val="24"/>
          <w:szCs w:val="24"/>
        </w:rPr>
        <w:t xml:space="preserve"> har være rapporteret hos patienter behandlet med </w:t>
      </w:r>
      <w:proofErr w:type="spellStart"/>
      <w:r w:rsidRPr="005C4198">
        <w:rPr>
          <w:sz w:val="24"/>
          <w:szCs w:val="24"/>
        </w:rPr>
        <w:t>protonpumpehæmmere</w:t>
      </w:r>
      <w:proofErr w:type="spellEnd"/>
      <w:r w:rsidRPr="005C4198">
        <w:rPr>
          <w:sz w:val="24"/>
          <w:szCs w:val="24"/>
        </w:rPr>
        <w:t xml:space="preserve"> (</w:t>
      </w:r>
      <w:proofErr w:type="spellStart"/>
      <w:r w:rsidRPr="005C4198">
        <w:rPr>
          <w:sz w:val="24"/>
          <w:szCs w:val="24"/>
        </w:rPr>
        <w:t>PPI’er</w:t>
      </w:r>
      <w:proofErr w:type="spellEnd"/>
      <w:r w:rsidRPr="005C4198">
        <w:rPr>
          <w:sz w:val="24"/>
          <w:szCs w:val="24"/>
        </w:rPr>
        <w:t xml:space="preserve">), såsom </w:t>
      </w:r>
      <w:proofErr w:type="spellStart"/>
      <w:r w:rsidRPr="005C4198">
        <w:rPr>
          <w:sz w:val="24"/>
          <w:szCs w:val="24"/>
        </w:rPr>
        <w:t>esomeprazol</w:t>
      </w:r>
      <w:proofErr w:type="spellEnd"/>
      <w:r w:rsidRPr="005C4198">
        <w:rPr>
          <w:sz w:val="24"/>
          <w:szCs w:val="24"/>
        </w:rPr>
        <w:t xml:space="preserve">, i mindst tre måneder og i de fleste tilfælde i et år. Alvorlige manifestationer af </w:t>
      </w:r>
      <w:proofErr w:type="spellStart"/>
      <w:r w:rsidRPr="005C4198">
        <w:rPr>
          <w:sz w:val="24"/>
          <w:szCs w:val="24"/>
        </w:rPr>
        <w:t>hypomagnesiæmi</w:t>
      </w:r>
      <w:proofErr w:type="spellEnd"/>
      <w:r w:rsidRPr="005C4198">
        <w:rPr>
          <w:sz w:val="24"/>
          <w:szCs w:val="24"/>
        </w:rPr>
        <w:t xml:space="preserve"> som træthed, tetani, delirium, kramper, svimmelhed og </w:t>
      </w:r>
      <w:proofErr w:type="spellStart"/>
      <w:r w:rsidRPr="005C4198">
        <w:rPr>
          <w:sz w:val="24"/>
          <w:szCs w:val="24"/>
        </w:rPr>
        <w:t>ventrikulær</w:t>
      </w:r>
      <w:proofErr w:type="spellEnd"/>
      <w:r w:rsidRPr="005C4198">
        <w:rPr>
          <w:sz w:val="24"/>
          <w:szCs w:val="24"/>
        </w:rPr>
        <w:t xml:space="preserve"> </w:t>
      </w:r>
      <w:proofErr w:type="spellStart"/>
      <w:r w:rsidRPr="005C4198">
        <w:rPr>
          <w:sz w:val="24"/>
          <w:szCs w:val="24"/>
        </w:rPr>
        <w:t>arytmi</w:t>
      </w:r>
      <w:proofErr w:type="spellEnd"/>
      <w:r w:rsidRPr="005C4198">
        <w:rPr>
          <w:sz w:val="24"/>
          <w:szCs w:val="24"/>
        </w:rPr>
        <w:t xml:space="preserve"> kan forekomme, men kan begynde stille og kan blive overset. Tilstanden forbedres hos de fleste patienter efter magnesium erstatning og </w:t>
      </w:r>
      <w:proofErr w:type="spellStart"/>
      <w:r w:rsidRPr="005C4198">
        <w:rPr>
          <w:sz w:val="24"/>
          <w:szCs w:val="24"/>
        </w:rPr>
        <w:t>seponering</w:t>
      </w:r>
      <w:proofErr w:type="spellEnd"/>
      <w:r w:rsidRPr="005C4198">
        <w:rPr>
          <w:sz w:val="24"/>
          <w:szCs w:val="24"/>
        </w:rPr>
        <w:t xml:space="preserve"> af PPI. </w:t>
      </w:r>
    </w:p>
    <w:p w14:paraId="10BD153E" w14:textId="77777777" w:rsidR="005C4198" w:rsidRPr="005C4198" w:rsidRDefault="005C4198" w:rsidP="005C4198">
      <w:pPr>
        <w:tabs>
          <w:tab w:val="left" w:pos="851"/>
        </w:tabs>
        <w:ind w:left="851"/>
        <w:rPr>
          <w:sz w:val="24"/>
          <w:szCs w:val="24"/>
        </w:rPr>
      </w:pPr>
      <w:r w:rsidRPr="005C4198">
        <w:rPr>
          <w:sz w:val="24"/>
          <w:szCs w:val="24"/>
        </w:rPr>
        <w:t xml:space="preserve">Det bør overvejes at måle serummagnesium før opstart af PPI-behandling og regelmæssigt under behandlingen hos patienter, der forventes at være i langvarig behandling eller tager </w:t>
      </w:r>
      <w:proofErr w:type="spellStart"/>
      <w:r w:rsidRPr="005C4198">
        <w:rPr>
          <w:sz w:val="24"/>
          <w:szCs w:val="24"/>
        </w:rPr>
        <w:t>PPI’er</w:t>
      </w:r>
      <w:proofErr w:type="spellEnd"/>
      <w:r w:rsidRPr="005C4198">
        <w:rPr>
          <w:sz w:val="24"/>
          <w:szCs w:val="24"/>
        </w:rPr>
        <w:t xml:space="preserve"> samtidigt med </w:t>
      </w:r>
      <w:proofErr w:type="spellStart"/>
      <w:r w:rsidRPr="005C4198">
        <w:rPr>
          <w:sz w:val="24"/>
          <w:szCs w:val="24"/>
        </w:rPr>
        <w:t>digoxin</w:t>
      </w:r>
      <w:proofErr w:type="spellEnd"/>
      <w:r w:rsidRPr="005C4198">
        <w:rPr>
          <w:sz w:val="24"/>
          <w:szCs w:val="24"/>
        </w:rPr>
        <w:t xml:space="preserve"> eller andre lægemidler, der kan forårsage </w:t>
      </w:r>
      <w:proofErr w:type="spellStart"/>
      <w:r w:rsidRPr="005C4198">
        <w:rPr>
          <w:sz w:val="24"/>
          <w:szCs w:val="24"/>
        </w:rPr>
        <w:t>hypomagnesiæmi</w:t>
      </w:r>
      <w:proofErr w:type="spellEnd"/>
      <w:r w:rsidRPr="005C4198">
        <w:rPr>
          <w:sz w:val="24"/>
          <w:szCs w:val="24"/>
        </w:rPr>
        <w:t xml:space="preserve"> (fx </w:t>
      </w:r>
      <w:proofErr w:type="spellStart"/>
      <w:r w:rsidRPr="005C4198">
        <w:rPr>
          <w:sz w:val="24"/>
          <w:szCs w:val="24"/>
        </w:rPr>
        <w:t>diuretika</w:t>
      </w:r>
      <w:proofErr w:type="spellEnd"/>
      <w:r w:rsidRPr="005C4198">
        <w:rPr>
          <w:sz w:val="24"/>
          <w:szCs w:val="24"/>
        </w:rPr>
        <w:t>).</w:t>
      </w:r>
    </w:p>
    <w:p w14:paraId="40E4A96A" w14:textId="77777777" w:rsidR="005C4198" w:rsidRPr="005C4198" w:rsidRDefault="005C4198" w:rsidP="005C4198">
      <w:pPr>
        <w:tabs>
          <w:tab w:val="left" w:pos="851"/>
        </w:tabs>
        <w:ind w:left="851"/>
        <w:rPr>
          <w:sz w:val="24"/>
          <w:szCs w:val="24"/>
          <w:u w:val="single"/>
        </w:rPr>
      </w:pPr>
    </w:p>
    <w:p w14:paraId="1F4422B3" w14:textId="77777777" w:rsidR="005C4198" w:rsidRPr="005C4198" w:rsidRDefault="005C4198" w:rsidP="005C4198">
      <w:pPr>
        <w:tabs>
          <w:tab w:val="left" w:pos="851"/>
        </w:tabs>
        <w:ind w:left="851"/>
        <w:rPr>
          <w:sz w:val="24"/>
          <w:szCs w:val="24"/>
          <w:u w:val="single"/>
        </w:rPr>
      </w:pPr>
      <w:r w:rsidRPr="005C4198">
        <w:rPr>
          <w:sz w:val="24"/>
          <w:szCs w:val="24"/>
          <w:u w:val="single"/>
        </w:rPr>
        <w:t>Risiko for frakturer</w:t>
      </w:r>
    </w:p>
    <w:p w14:paraId="13F3E2AE" w14:textId="77777777" w:rsidR="005C4198" w:rsidRPr="005C4198" w:rsidRDefault="005C4198" w:rsidP="005C4198">
      <w:pPr>
        <w:tabs>
          <w:tab w:val="left" w:pos="851"/>
        </w:tabs>
        <w:ind w:left="851"/>
        <w:rPr>
          <w:sz w:val="24"/>
          <w:szCs w:val="24"/>
        </w:rPr>
      </w:pPr>
      <w:proofErr w:type="spellStart"/>
      <w:r w:rsidRPr="005C4198">
        <w:rPr>
          <w:sz w:val="24"/>
          <w:szCs w:val="24"/>
        </w:rPr>
        <w:t>Protonpumpehæmmere</w:t>
      </w:r>
      <w:proofErr w:type="spellEnd"/>
      <w:r w:rsidRPr="005C4198">
        <w:rPr>
          <w:sz w:val="24"/>
          <w:szCs w:val="24"/>
        </w:rPr>
        <w:t xml:space="preserve"> kan øge risikoen for hofte-, håndleds- og rygfrakturer beskedent, hovedsageligt hos ældre eller ved tilstedeværelse af andre kendte risikofaktorer især hvis det bruges i høje doser og over lange behandlingsperioder (&gt; 1 år). Observationsstudier antyder, at </w:t>
      </w:r>
      <w:proofErr w:type="spellStart"/>
      <w:r w:rsidRPr="005C4198">
        <w:rPr>
          <w:sz w:val="24"/>
          <w:szCs w:val="24"/>
        </w:rPr>
        <w:t>protonpumpehæmmere</w:t>
      </w:r>
      <w:proofErr w:type="spellEnd"/>
      <w:r w:rsidRPr="005C4198">
        <w:rPr>
          <w:sz w:val="24"/>
          <w:szCs w:val="24"/>
        </w:rPr>
        <w:t xml:space="preserve"> kan øge den overordnede risiko for fraktur med 10-40 %. Noget af denne øgning kan skyldes andre risikofaktorer. Patienter med risiko for osteoporose bør modtage behandling i henhold til gældende kliniske guidelines og de bør have et tilstrækkeligt indtag af vitamin D og calcium.</w:t>
      </w:r>
    </w:p>
    <w:p w14:paraId="0E4BE2CA" w14:textId="77777777" w:rsidR="005C4198" w:rsidRPr="005C4198" w:rsidRDefault="005C4198" w:rsidP="005C4198">
      <w:pPr>
        <w:tabs>
          <w:tab w:val="left" w:pos="851"/>
        </w:tabs>
        <w:ind w:left="851"/>
        <w:rPr>
          <w:sz w:val="24"/>
          <w:szCs w:val="24"/>
        </w:rPr>
      </w:pPr>
    </w:p>
    <w:p w14:paraId="10480DFE" w14:textId="77777777" w:rsidR="005C4198" w:rsidRPr="005C4198" w:rsidRDefault="005C4198" w:rsidP="005C4198">
      <w:pPr>
        <w:tabs>
          <w:tab w:val="left" w:pos="851"/>
        </w:tabs>
        <w:ind w:left="851"/>
        <w:rPr>
          <w:sz w:val="24"/>
          <w:szCs w:val="24"/>
          <w:u w:val="single"/>
          <w:lang w:val="en-US"/>
        </w:rPr>
      </w:pPr>
      <w:proofErr w:type="spellStart"/>
      <w:r w:rsidRPr="005C4198">
        <w:rPr>
          <w:sz w:val="24"/>
          <w:szCs w:val="24"/>
          <w:u w:val="single"/>
          <w:lang w:val="en-US"/>
        </w:rPr>
        <w:t>Subakut</w:t>
      </w:r>
      <w:proofErr w:type="spellEnd"/>
      <w:r w:rsidRPr="005C4198">
        <w:rPr>
          <w:sz w:val="24"/>
          <w:szCs w:val="24"/>
          <w:u w:val="single"/>
          <w:lang w:val="en-US"/>
        </w:rPr>
        <w:t xml:space="preserve"> </w:t>
      </w:r>
      <w:proofErr w:type="spellStart"/>
      <w:r w:rsidRPr="005C4198">
        <w:rPr>
          <w:sz w:val="24"/>
          <w:szCs w:val="24"/>
          <w:u w:val="single"/>
          <w:lang w:val="en-US"/>
        </w:rPr>
        <w:t>kutan</w:t>
      </w:r>
      <w:proofErr w:type="spellEnd"/>
      <w:r w:rsidRPr="005C4198">
        <w:rPr>
          <w:sz w:val="24"/>
          <w:szCs w:val="24"/>
          <w:u w:val="single"/>
          <w:lang w:val="en-US"/>
        </w:rPr>
        <w:t xml:space="preserve"> lupus erythematosus (SCLE)</w:t>
      </w:r>
    </w:p>
    <w:p w14:paraId="374D7C00" w14:textId="363E3346" w:rsidR="005C4198" w:rsidRPr="005C4198" w:rsidRDefault="005C4198" w:rsidP="005C4198">
      <w:pPr>
        <w:tabs>
          <w:tab w:val="left" w:pos="851"/>
        </w:tabs>
        <w:ind w:left="851"/>
        <w:rPr>
          <w:sz w:val="24"/>
          <w:szCs w:val="24"/>
        </w:rPr>
      </w:pPr>
      <w:proofErr w:type="spellStart"/>
      <w:r w:rsidRPr="005C4198">
        <w:rPr>
          <w:sz w:val="24"/>
          <w:szCs w:val="24"/>
        </w:rPr>
        <w:t>Protonpumpehæmmere</w:t>
      </w:r>
      <w:proofErr w:type="spellEnd"/>
      <w:r w:rsidRPr="005C4198">
        <w:rPr>
          <w:sz w:val="24"/>
          <w:szCs w:val="24"/>
        </w:rPr>
        <w:t xml:space="preserve"> er forbundet med meget sjældne tilfælde af SCLE. Hvis der forekommer læsioner på hudområder, der er eksponeret for sol, og som ledsages af ledsmerter, skal patienten søge lægehjælp omgående, og sundhedspersonalet bør overveje at stoppe behandling med </w:t>
      </w:r>
      <w:proofErr w:type="spellStart"/>
      <w:r w:rsidRPr="005C4198">
        <w:rPr>
          <w:sz w:val="24"/>
          <w:szCs w:val="24"/>
        </w:rPr>
        <w:t>Esomeprazole</w:t>
      </w:r>
      <w:proofErr w:type="spellEnd"/>
      <w:r w:rsidRPr="005C4198">
        <w:rPr>
          <w:sz w:val="24"/>
          <w:szCs w:val="24"/>
        </w:rPr>
        <w:t xml:space="preserve"> </w:t>
      </w:r>
      <w:r w:rsidR="008D5EB9">
        <w:rPr>
          <w:sz w:val="24"/>
          <w:szCs w:val="24"/>
        </w:rPr>
        <w:t>"Demo S.A.</w:t>
      </w:r>
      <w:proofErr w:type="gramStart"/>
      <w:r w:rsidR="008D5EB9">
        <w:rPr>
          <w:sz w:val="24"/>
          <w:szCs w:val="24"/>
        </w:rPr>
        <w:t xml:space="preserve">" </w:t>
      </w:r>
      <w:r w:rsidRPr="005C4198">
        <w:rPr>
          <w:sz w:val="24"/>
          <w:szCs w:val="24"/>
        </w:rPr>
        <w:t>.</w:t>
      </w:r>
      <w:proofErr w:type="gramEnd"/>
      <w:r w:rsidRPr="005C4198">
        <w:rPr>
          <w:sz w:val="24"/>
          <w:szCs w:val="24"/>
        </w:rPr>
        <w:t xml:space="preserve"> Tidligere tilfælde af SCLE i forbindelse med en protonpumpehæmmer kan forøge risikoen for tilfælde af SCLE med andre </w:t>
      </w:r>
      <w:proofErr w:type="spellStart"/>
      <w:r w:rsidRPr="005C4198">
        <w:rPr>
          <w:sz w:val="24"/>
          <w:szCs w:val="24"/>
        </w:rPr>
        <w:t>protonpumpehæmmere</w:t>
      </w:r>
      <w:proofErr w:type="spellEnd"/>
      <w:r w:rsidRPr="005C4198">
        <w:rPr>
          <w:sz w:val="24"/>
          <w:szCs w:val="24"/>
        </w:rPr>
        <w:t>.</w:t>
      </w:r>
    </w:p>
    <w:p w14:paraId="329AE4B7" w14:textId="77777777" w:rsidR="005C4198" w:rsidRPr="005C4198" w:rsidRDefault="005C4198" w:rsidP="005C4198">
      <w:pPr>
        <w:tabs>
          <w:tab w:val="left" w:pos="851"/>
        </w:tabs>
        <w:ind w:left="851"/>
        <w:rPr>
          <w:sz w:val="24"/>
          <w:szCs w:val="24"/>
        </w:rPr>
      </w:pPr>
    </w:p>
    <w:p w14:paraId="7B451CB7" w14:textId="77777777" w:rsidR="005C4198" w:rsidRPr="005C4198" w:rsidRDefault="005C4198" w:rsidP="005C4198">
      <w:pPr>
        <w:tabs>
          <w:tab w:val="left" w:pos="851"/>
        </w:tabs>
        <w:ind w:left="851"/>
        <w:rPr>
          <w:sz w:val="24"/>
          <w:szCs w:val="24"/>
          <w:u w:val="single"/>
        </w:rPr>
      </w:pPr>
      <w:r w:rsidRPr="005C4198">
        <w:rPr>
          <w:sz w:val="24"/>
          <w:szCs w:val="24"/>
          <w:u w:val="single"/>
        </w:rPr>
        <w:t>Kombination med andre lægemidler</w:t>
      </w:r>
    </w:p>
    <w:p w14:paraId="256B8953" w14:textId="77777777" w:rsidR="005C4198" w:rsidRPr="005C4198" w:rsidRDefault="005C4198" w:rsidP="005C4198">
      <w:pPr>
        <w:tabs>
          <w:tab w:val="left" w:pos="851"/>
        </w:tabs>
        <w:ind w:left="851"/>
        <w:rPr>
          <w:sz w:val="24"/>
          <w:szCs w:val="24"/>
        </w:rPr>
      </w:pPr>
      <w:r w:rsidRPr="005C4198">
        <w:rPr>
          <w:sz w:val="24"/>
          <w:szCs w:val="24"/>
        </w:rPr>
        <w:t xml:space="preserve">Samtidig administration af </w:t>
      </w:r>
      <w:proofErr w:type="spellStart"/>
      <w:r w:rsidRPr="005C4198">
        <w:rPr>
          <w:sz w:val="24"/>
          <w:szCs w:val="24"/>
        </w:rPr>
        <w:t>esomeprazol</w:t>
      </w:r>
      <w:proofErr w:type="spellEnd"/>
      <w:r w:rsidRPr="005C4198">
        <w:rPr>
          <w:sz w:val="24"/>
          <w:szCs w:val="24"/>
        </w:rPr>
        <w:t xml:space="preserve"> og </w:t>
      </w:r>
      <w:proofErr w:type="spellStart"/>
      <w:r w:rsidRPr="005C4198">
        <w:rPr>
          <w:sz w:val="24"/>
          <w:szCs w:val="24"/>
        </w:rPr>
        <w:t>atazanavir</w:t>
      </w:r>
      <w:proofErr w:type="spellEnd"/>
      <w:r w:rsidRPr="005C4198">
        <w:rPr>
          <w:sz w:val="24"/>
          <w:szCs w:val="24"/>
        </w:rPr>
        <w:t xml:space="preserve"> anbefales ikke (se afsnit 4.5). Hvis kombinationen af </w:t>
      </w:r>
      <w:proofErr w:type="spellStart"/>
      <w:r w:rsidRPr="005C4198">
        <w:rPr>
          <w:sz w:val="24"/>
          <w:szCs w:val="24"/>
        </w:rPr>
        <w:t>atazanavir</w:t>
      </w:r>
      <w:proofErr w:type="spellEnd"/>
      <w:r w:rsidRPr="005C4198">
        <w:rPr>
          <w:sz w:val="24"/>
          <w:szCs w:val="24"/>
        </w:rPr>
        <w:t xml:space="preserve"> med en protonpumpehæmmer vurderes at være uundgåelig, anbefales tæt klinisk overvågning i kombination med øgning af </w:t>
      </w:r>
      <w:proofErr w:type="spellStart"/>
      <w:r w:rsidRPr="005C4198">
        <w:rPr>
          <w:sz w:val="24"/>
          <w:szCs w:val="24"/>
        </w:rPr>
        <w:t>atazanavir</w:t>
      </w:r>
      <w:proofErr w:type="spellEnd"/>
      <w:r w:rsidRPr="005C4198">
        <w:rPr>
          <w:sz w:val="24"/>
          <w:szCs w:val="24"/>
        </w:rPr>
        <w:t xml:space="preserve"> dosis til 400 mg med 100 mg </w:t>
      </w:r>
      <w:proofErr w:type="spellStart"/>
      <w:r w:rsidRPr="005C4198">
        <w:rPr>
          <w:sz w:val="24"/>
          <w:szCs w:val="24"/>
        </w:rPr>
        <w:t>ritonavir</w:t>
      </w:r>
      <w:proofErr w:type="spellEnd"/>
      <w:r w:rsidRPr="005C4198">
        <w:rPr>
          <w:sz w:val="24"/>
          <w:szCs w:val="24"/>
        </w:rPr>
        <w:t xml:space="preserve">; en dosis på 20 mg </w:t>
      </w:r>
      <w:proofErr w:type="spellStart"/>
      <w:r w:rsidRPr="005C4198">
        <w:rPr>
          <w:sz w:val="24"/>
          <w:szCs w:val="24"/>
        </w:rPr>
        <w:t>esomeprazol</w:t>
      </w:r>
      <w:proofErr w:type="spellEnd"/>
      <w:r w:rsidRPr="005C4198">
        <w:rPr>
          <w:sz w:val="24"/>
          <w:szCs w:val="24"/>
        </w:rPr>
        <w:t xml:space="preserve"> bør ikke overskrides.</w:t>
      </w:r>
    </w:p>
    <w:p w14:paraId="297FFDE9" w14:textId="77777777" w:rsidR="005C4198" w:rsidRPr="005C4198" w:rsidRDefault="005C4198" w:rsidP="005C4198">
      <w:pPr>
        <w:tabs>
          <w:tab w:val="left" w:pos="851"/>
        </w:tabs>
        <w:ind w:left="851"/>
        <w:rPr>
          <w:sz w:val="24"/>
          <w:szCs w:val="24"/>
        </w:rPr>
      </w:pPr>
    </w:p>
    <w:p w14:paraId="2E3C956F" w14:textId="77777777" w:rsidR="005C4198" w:rsidRPr="005C4198" w:rsidRDefault="005C4198" w:rsidP="005C4198">
      <w:pPr>
        <w:tabs>
          <w:tab w:val="left" w:pos="851"/>
        </w:tabs>
        <w:ind w:left="851"/>
        <w:rPr>
          <w:sz w:val="24"/>
          <w:szCs w:val="24"/>
        </w:rPr>
      </w:pPr>
      <w:proofErr w:type="spellStart"/>
      <w:r w:rsidRPr="005C4198">
        <w:rPr>
          <w:sz w:val="24"/>
          <w:szCs w:val="24"/>
        </w:rPr>
        <w:t>Esomeprazol</w:t>
      </w:r>
      <w:proofErr w:type="spellEnd"/>
      <w:r w:rsidRPr="005C4198">
        <w:rPr>
          <w:sz w:val="24"/>
          <w:szCs w:val="24"/>
        </w:rPr>
        <w:t xml:space="preserve"> er en CYP2C19-hæmmer. Når behandlingen med </w:t>
      </w:r>
      <w:proofErr w:type="spellStart"/>
      <w:r w:rsidRPr="005C4198">
        <w:rPr>
          <w:sz w:val="24"/>
          <w:szCs w:val="24"/>
        </w:rPr>
        <w:t>esomeprazol</w:t>
      </w:r>
      <w:proofErr w:type="spellEnd"/>
      <w:r w:rsidRPr="005C4198">
        <w:rPr>
          <w:sz w:val="24"/>
          <w:szCs w:val="24"/>
        </w:rPr>
        <w:t xml:space="preserve"> indledes eller afsluttes, skal muligheden for interaktion med lægemidler, der </w:t>
      </w:r>
      <w:proofErr w:type="spellStart"/>
      <w:r w:rsidRPr="005C4198">
        <w:rPr>
          <w:sz w:val="24"/>
          <w:szCs w:val="24"/>
        </w:rPr>
        <w:t>metaboliseres</w:t>
      </w:r>
      <w:proofErr w:type="spellEnd"/>
      <w:r w:rsidRPr="005C4198">
        <w:rPr>
          <w:sz w:val="24"/>
          <w:szCs w:val="24"/>
        </w:rPr>
        <w:t xml:space="preserve"> via CYP2C19, overvejes. Der er blevet observeret interaktion mellem </w:t>
      </w:r>
      <w:proofErr w:type="spellStart"/>
      <w:r w:rsidRPr="005C4198">
        <w:rPr>
          <w:sz w:val="24"/>
          <w:szCs w:val="24"/>
        </w:rPr>
        <w:t>clopidogrel</w:t>
      </w:r>
      <w:proofErr w:type="spellEnd"/>
      <w:r w:rsidRPr="005C4198">
        <w:rPr>
          <w:sz w:val="24"/>
          <w:szCs w:val="24"/>
        </w:rPr>
        <w:t xml:space="preserve"> og </w:t>
      </w:r>
      <w:proofErr w:type="spellStart"/>
      <w:r w:rsidRPr="005C4198">
        <w:rPr>
          <w:sz w:val="24"/>
          <w:szCs w:val="24"/>
        </w:rPr>
        <w:t>omeprazol</w:t>
      </w:r>
      <w:proofErr w:type="spellEnd"/>
      <w:r w:rsidRPr="005C4198">
        <w:rPr>
          <w:sz w:val="24"/>
          <w:szCs w:val="24"/>
        </w:rPr>
        <w:t xml:space="preserve"> (se pkt. 4.5). Den kliniske relevans af denne interaktion er ukendt. Som en sikkerhedsforanstaltning må samtidig behandling med </w:t>
      </w:r>
      <w:proofErr w:type="spellStart"/>
      <w:r w:rsidRPr="005C4198">
        <w:rPr>
          <w:sz w:val="24"/>
          <w:szCs w:val="24"/>
        </w:rPr>
        <w:t>esomeprazol</w:t>
      </w:r>
      <w:proofErr w:type="spellEnd"/>
      <w:r w:rsidRPr="005C4198">
        <w:rPr>
          <w:sz w:val="24"/>
          <w:szCs w:val="24"/>
        </w:rPr>
        <w:t xml:space="preserve"> og </w:t>
      </w:r>
      <w:proofErr w:type="spellStart"/>
      <w:r w:rsidRPr="005C4198">
        <w:rPr>
          <w:sz w:val="24"/>
          <w:szCs w:val="24"/>
        </w:rPr>
        <w:t>clopidogrel</w:t>
      </w:r>
      <w:proofErr w:type="spellEnd"/>
      <w:r w:rsidRPr="005C4198">
        <w:rPr>
          <w:sz w:val="24"/>
          <w:szCs w:val="24"/>
        </w:rPr>
        <w:t xml:space="preserve"> frarådes.</w:t>
      </w:r>
    </w:p>
    <w:p w14:paraId="653D893B" w14:textId="77777777" w:rsidR="005C4198" w:rsidRPr="005C4198" w:rsidRDefault="005C4198" w:rsidP="005C4198">
      <w:pPr>
        <w:tabs>
          <w:tab w:val="left" w:pos="851"/>
        </w:tabs>
        <w:ind w:left="851"/>
        <w:rPr>
          <w:sz w:val="24"/>
          <w:szCs w:val="24"/>
        </w:rPr>
      </w:pPr>
    </w:p>
    <w:p w14:paraId="6F8CA9A9" w14:textId="77777777" w:rsidR="00465661" w:rsidRPr="00465661" w:rsidRDefault="00465661" w:rsidP="00465661">
      <w:pPr>
        <w:tabs>
          <w:tab w:val="left" w:pos="851"/>
        </w:tabs>
        <w:ind w:left="851"/>
        <w:rPr>
          <w:sz w:val="24"/>
          <w:szCs w:val="24"/>
          <w:u w:val="single"/>
        </w:rPr>
      </w:pPr>
      <w:r w:rsidRPr="00465661">
        <w:rPr>
          <w:sz w:val="24"/>
          <w:szCs w:val="24"/>
          <w:u w:val="single"/>
        </w:rPr>
        <w:t xml:space="preserve">Alvorlige </w:t>
      </w:r>
      <w:proofErr w:type="spellStart"/>
      <w:r w:rsidRPr="00465661">
        <w:rPr>
          <w:sz w:val="24"/>
          <w:szCs w:val="24"/>
          <w:u w:val="single"/>
        </w:rPr>
        <w:t>kutane</w:t>
      </w:r>
      <w:proofErr w:type="spellEnd"/>
      <w:r w:rsidRPr="00465661">
        <w:rPr>
          <w:sz w:val="24"/>
          <w:szCs w:val="24"/>
          <w:u w:val="single"/>
        </w:rPr>
        <w:t xml:space="preserve"> bivirkninger (</w:t>
      </w:r>
      <w:proofErr w:type="spellStart"/>
      <w:r w:rsidRPr="00465661">
        <w:rPr>
          <w:sz w:val="24"/>
          <w:szCs w:val="24"/>
          <w:u w:val="single"/>
        </w:rPr>
        <w:t>SCARs</w:t>
      </w:r>
      <w:proofErr w:type="spellEnd"/>
      <w:r w:rsidRPr="00465661">
        <w:rPr>
          <w:sz w:val="24"/>
          <w:szCs w:val="24"/>
          <w:u w:val="single"/>
        </w:rPr>
        <w:t>)</w:t>
      </w:r>
    </w:p>
    <w:p w14:paraId="0255ABDD" w14:textId="77777777" w:rsidR="00465661" w:rsidRPr="00465661" w:rsidRDefault="00465661" w:rsidP="00465661">
      <w:pPr>
        <w:tabs>
          <w:tab w:val="left" w:pos="851"/>
        </w:tabs>
        <w:ind w:left="851"/>
        <w:rPr>
          <w:sz w:val="24"/>
          <w:szCs w:val="24"/>
        </w:rPr>
      </w:pPr>
      <w:r w:rsidRPr="00465661">
        <w:rPr>
          <w:sz w:val="24"/>
          <w:szCs w:val="24"/>
        </w:rPr>
        <w:t xml:space="preserve">Alvorlige </w:t>
      </w:r>
      <w:proofErr w:type="spellStart"/>
      <w:r w:rsidRPr="00465661">
        <w:rPr>
          <w:sz w:val="24"/>
          <w:szCs w:val="24"/>
        </w:rPr>
        <w:t>kutane</w:t>
      </w:r>
      <w:proofErr w:type="spellEnd"/>
      <w:r w:rsidRPr="00465661">
        <w:rPr>
          <w:sz w:val="24"/>
          <w:szCs w:val="24"/>
        </w:rPr>
        <w:t xml:space="preserve"> bivirkninger (</w:t>
      </w:r>
      <w:proofErr w:type="spellStart"/>
      <w:r w:rsidRPr="00465661">
        <w:rPr>
          <w:sz w:val="24"/>
          <w:szCs w:val="24"/>
        </w:rPr>
        <w:t>SCARs</w:t>
      </w:r>
      <w:proofErr w:type="spellEnd"/>
      <w:r w:rsidRPr="00465661">
        <w:rPr>
          <w:sz w:val="24"/>
          <w:szCs w:val="24"/>
        </w:rPr>
        <w:t xml:space="preserve">) såsom </w:t>
      </w:r>
      <w:proofErr w:type="spellStart"/>
      <w:r w:rsidRPr="00465661">
        <w:rPr>
          <w:sz w:val="24"/>
          <w:szCs w:val="24"/>
        </w:rPr>
        <w:t>erythema</w:t>
      </w:r>
      <w:proofErr w:type="spellEnd"/>
      <w:r w:rsidRPr="00465661">
        <w:rPr>
          <w:sz w:val="24"/>
          <w:szCs w:val="24"/>
        </w:rPr>
        <w:t xml:space="preserve"> multiforme (EM), Stevens-Johnsons syndrom (SJS), toksisk </w:t>
      </w:r>
      <w:proofErr w:type="spellStart"/>
      <w:r w:rsidRPr="00465661">
        <w:rPr>
          <w:sz w:val="24"/>
          <w:szCs w:val="24"/>
        </w:rPr>
        <w:t>epidermal</w:t>
      </w:r>
      <w:proofErr w:type="spellEnd"/>
      <w:r w:rsidRPr="00465661">
        <w:rPr>
          <w:sz w:val="24"/>
          <w:szCs w:val="24"/>
        </w:rPr>
        <w:t xml:space="preserve"> </w:t>
      </w:r>
      <w:proofErr w:type="spellStart"/>
      <w:r w:rsidRPr="00465661">
        <w:rPr>
          <w:sz w:val="24"/>
          <w:szCs w:val="24"/>
        </w:rPr>
        <w:t>nekrolyse</w:t>
      </w:r>
      <w:proofErr w:type="spellEnd"/>
      <w:r w:rsidRPr="00465661">
        <w:rPr>
          <w:sz w:val="24"/>
          <w:szCs w:val="24"/>
        </w:rPr>
        <w:t xml:space="preserve"> (TEN), lægemiddelreaktion med </w:t>
      </w:r>
      <w:proofErr w:type="spellStart"/>
      <w:r w:rsidRPr="00465661">
        <w:rPr>
          <w:sz w:val="24"/>
          <w:szCs w:val="24"/>
        </w:rPr>
        <w:t>eosinofili</w:t>
      </w:r>
      <w:proofErr w:type="spellEnd"/>
      <w:r w:rsidRPr="00465661">
        <w:rPr>
          <w:sz w:val="24"/>
          <w:szCs w:val="24"/>
        </w:rPr>
        <w:t xml:space="preserve"> og systemiske symptomer (DRESS), som kan være livstruende eller dødelige, er i meget sjældne tilfælde rapporteret i forbindelse med behandling med </w:t>
      </w:r>
      <w:proofErr w:type="spellStart"/>
      <w:r w:rsidRPr="00465661">
        <w:rPr>
          <w:sz w:val="24"/>
          <w:szCs w:val="24"/>
        </w:rPr>
        <w:t>esomeprazol</w:t>
      </w:r>
      <w:proofErr w:type="spellEnd"/>
      <w:r w:rsidRPr="00465661">
        <w:rPr>
          <w:sz w:val="24"/>
          <w:szCs w:val="24"/>
        </w:rPr>
        <w:t>.</w:t>
      </w:r>
    </w:p>
    <w:p w14:paraId="191BC7C7" w14:textId="69C59D02" w:rsidR="005C4198" w:rsidRPr="00465661" w:rsidRDefault="00465661" w:rsidP="00465661">
      <w:pPr>
        <w:tabs>
          <w:tab w:val="left" w:pos="851"/>
        </w:tabs>
        <w:ind w:left="851"/>
        <w:rPr>
          <w:sz w:val="24"/>
          <w:szCs w:val="24"/>
        </w:rPr>
      </w:pPr>
      <w:r w:rsidRPr="00465661">
        <w:rPr>
          <w:sz w:val="24"/>
          <w:szCs w:val="24"/>
        </w:rPr>
        <w:t xml:space="preserve">Patienter bør rådgives om tegn og symptomer på den alvorlige hudreaktion EM/SJS/TEN/DRESS og skal straks søge lægehjælp, hvis de observerer tegn eller symptomer herpå. </w:t>
      </w:r>
      <w:proofErr w:type="spellStart"/>
      <w:r w:rsidRPr="00465661">
        <w:rPr>
          <w:sz w:val="24"/>
          <w:szCs w:val="24"/>
        </w:rPr>
        <w:t>Esomeprazol</w:t>
      </w:r>
      <w:proofErr w:type="spellEnd"/>
      <w:r w:rsidRPr="00465661">
        <w:rPr>
          <w:sz w:val="24"/>
          <w:szCs w:val="24"/>
        </w:rPr>
        <w:t xml:space="preserve"> bør straks seponeres ved tegn og symptomer på alvorlige hudreaktioner, og yderligere medicinsk behandling/tæt monitorering skal gives efter behov. Der må ikke foretages re-</w:t>
      </w:r>
      <w:proofErr w:type="spellStart"/>
      <w:r w:rsidRPr="00465661">
        <w:rPr>
          <w:sz w:val="24"/>
          <w:szCs w:val="24"/>
        </w:rPr>
        <w:t>challenge</w:t>
      </w:r>
      <w:proofErr w:type="spellEnd"/>
      <w:r w:rsidRPr="00465661">
        <w:rPr>
          <w:sz w:val="24"/>
          <w:szCs w:val="24"/>
        </w:rPr>
        <w:t xml:space="preserve"> hos patienter med EM/SJS/TEN/DRESS.</w:t>
      </w:r>
    </w:p>
    <w:p w14:paraId="7CB0A216" w14:textId="77777777" w:rsidR="00465661" w:rsidRPr="005C4198" w:rsidRDefault="00465661" w:rsidP="00465661">
      <w:pPr>
        <w:tabs>
          <w:tab w:val="left" w:pos="851"/>
        </w:tabs>
        <w:rPr>
          <w:sz w:val="24"/>
          <w:szCs w:val="24"/>
          <w:u w:val="single"/>
        </w:rPr>
      </w:pPr>
    </w:p>
    <w:p w14:paraId="7C345A4D" w14:textId="77777777" w:rsidR="005C4198" w:rsidRPr="005C4198" w:rsidRDefault="005C4198" w:rsidP="005C4198">
      <w:pPr>
        <w:tabs>
          <w:tab w:val="left" w:pos="851"/>
        </w:tabs>
        <w:ind w:left="851"/>
        <w:rPr>
          <w:sz w:val="24"/>
          <w:szCs w:val="24"/>
          <w:u w:val="single"/>
        </w:rPr>
      </w:pPr>
      <w:r w:rsidRPr="005C4198">
        <w:rPr>
          <w:sz w:val="24"/>
          <w:szCs w:val="24"/>
          <w:u w:val="single"/>
        </w:rPr>
        <w:t>Interferens med laboratorieprøver</w:t>
      </w:r>
    </w:p>
    <w:p w14:paraId="7F79459D" w14:textId="774C8201" w:rsidR="005C4198" w:rsidRPr="005C4198" w:rsidRDefault="005C4198" w:rsidP="005C4198">
      <w:pPr>
        <w:tabs>
          <w:tab w:val="left" w:pos="851"/>
        </w:tabs>
        <w:ind w:left="851"/>
        <w:rPr>
          <w:sz w:val="24"/>
          <w:szCs w:val="24"/>
        </w:rPr>
      </w:pPr>
      <w:r w:rsidRPr="005C4198">
        <w:rPr>
          <w:sz w:val="24"/>
          <w:szCs w:val="24"/>
        </w:rPr>
        <w:t xml:space="preserve">Et forhøjet </w:t>
      </w:r>
      <w:proofErr w:type="spellStart"/>
      <w:r w:rsidRPr="005C4198">
        <w:rPr>
          <w:sz w:val="24"/>
          <w:szCs w:val="24"/>
        </w:rPr>
        <w:t>Chromogranin</w:t>
      </w:r>
      <w:proofErr w:type="spellEnd"/>
      <w:r w:rsidRPr="005C4198">
        <w:rPr>
          <w:sz w:val="24"/>
          <w:szCs w:val="24"/>
        </w:rPr>
        <w:t xml:space="preserve"> A (</w:t>
      </w:r>
      <w:proofErr w:type="spellStart"/>
      <w:r w:rsidRPr="005C4198">
        <w:rPr>
          <w:sz w:val="24"/>
          <w:szCs w:val="24"/>
        </w:rPr>
        <w:t>CgA</w:t>
      </w:r>
      <w:proofErr w:type="spellEnd"/>
      <w:r w:rsidRPr="005C4198">
        <w:rPr>
          <w:sz w:val="24"/>
          <w:szCs w:val="24"/>
        </w:rPr>
        <w:t xml:space="preserve">)-niveau kan påvirke undersøgelser for </w:t>
      </w:r>
      <w:proofErr w:type="spellStart"/>
      <w:r w:rsidRPr="005C4198">
        <w:rPr>
          <w:sz w:val="24"/>
          <w:szCs w:val="24"/>
        </w:rPr>
        <w:t>neuroendokrine</w:t>
      </w:r>
      <w:proofErr w:type="spellEnd"/>
      <w:r w:rsidRPr="005C4198">
        <w:rPr>
          <w:sz w:val="24"/>
          <w:szCs w:val="24"/>
        </w:rPr>
        <w:t xml:space="preserve"> tumorer. For at forebygge denne interferens skal behandling med </w:t>
      </w:r>
      <w:proofErr w:type="spellStart"/>
      <w:r w:rsidRPr="005C4198">
        <w:rPr>
          <w:sz w:val="24"/>
          <w:szCs w:val="24"/>
        </w:rPr>
        <w:t>Esomeprazol</w:t>
      </w:r>
      <w:proofErr w:type="spellEnd"/>
      <w:r w:rsidRPr="005C4198">
        <w:rPr>
          <w:sz w:val="24"/>
          <w:szCs w:val="24"/>
        </w:rPr>
        <w:t xml:space="preserve"> </w:t>
      </w:r>
      <w:r w:rsidR="008D5EB9">
        <w:rPr>
          <w:sz w:val="24"/>
          <w:szCs w:val="24"/>
        </w:rPr>
        <w:t xml:space="preserve">"Demo S.A." </w:t>
      </w:r>
      <w:r w:rsidRPr="005C4198">
        <w:rPr>
          <w:sz w:val="24"/>
          <w:szCs w:val="24"/>
        </w:rPr>
        <w:t xml:space="preserve"> seponeres i mindst 5 dage før </w:t>
      </w:r>
      <w:proofErr w:type="spellStart"/>
      <w:r w:rsidRPr="005C4198">
        <w:rPr>
          <w:sz w:val="24"/>
          <w:szCs w:val="24"/>
        </w:rPr>
        <w:t>CgA</w:t>
      </w:r>
      <w:proofErr w:type="spellEnd"/>
      <w:r w:rsidRPr="005C4198">
        <w:rPr>
          <w:sz w:val="24"/>
          <w:szCs w:val="24"/>
        </w:rPr>
        <w:t xml:space="preserve">-målingerne (se pkt. 5.1). Hvis </w:t>
      </w:r>
      <w:proofErr w:type="spellStart"/>
      <w:r w:rsidRPr="005C4198">
        <w:rPr>
          <w:sz w:val="24"/>
          <w:szCs w:val="24"/>
        </w:rPr>
        <w:t>CgA</w:t>
      </w:r>
      <w:proofErr w:type="spellEnd"/>
      <w:r w:rsidRPr="005C4198">
        <w:rPr>
          <w:sz w:val="24"/>
          <w:szCs w:val="24"/>
        </w:rPr>
        <w:t xml:space="preserve"> og gastrinniveauer ikke er vendt tilbage til referenceområde efter første måling, skal målingerne gentages 14 dage efter ophør af behandling med protonpumpehæmmer.</w:t>
      </w:r>
    </w:p>
    <w:p w14:paraId="6A708BCC" w14:textId="77777777" w:rsidR="005C4198" w:rsidRPr="005C4198" w:rsidRDefault="005C4198" w:rsidP="005C4198">
      <w:pPr>
        <w:tabs>
          <w:tab w:val="left" w:pos="851"/>
        </w:tabs>
        <w:ind w:left="851"/>
        <w:rPr>
          <w:sz w:val="24"/>
          <w:szCs w:val="24"/>
        </w:rPr>
      </w:pPr>
    </w:p>
    <w:p w14:paraId="7AB0035F" w14:textId="1F16D1BB" w:rsidR="005C4198" w:rsidRPr="005C4198" w:rsidRDefault="005C4198" w:rsidP="005C4198">
      <w:pPr>
        <w:tabs>
          <w:tab w:val="left" w:pos="851"/>
        </w:tabs>
        <w:ind w:left="851"/>
        <w:rPr>
          <w:sz w:val="24"/>
          <w:szCs w:val="24"/>
        </w:rPr>
      </w:pPr>
      <w:r w:rsidRPr="005C4198">
        <w:rPr>
          <w:iCs/>
          <w:sz w:val="24"/>
          <w:szCs w:val="24"/>
        </w:rPr>
        <w:t xml:space="preserve">Hvert </w:t>
      </w:r>
      <w:r w:rsidRPr="005C4198">
        <w:rPr>
          <w:sz w:val="24"/>
          <w:szCs w:val="24"/>
        </w:rPr>
        <w:t>hætteglas indeholder</w:t>
      </w:r>
      <w:r w:rsidRPr="005C4198">
        <w:rPr>
          <w:iCs/>
          <w:sz w:val="24"/>
          <w:szCs w:val="24"/>
        </w:rPr>
        <w:t xml:space="preserve"> &lt;1 mmol natrium</w:t>
      </w:r>
      <w:r w:rsidRPr="005C4198">
        <w:rPr>
          <w:sz w:val="24"/>
          <w:szCs w:val="24"/>
        </w:rPr>
        <w:t xml:space="preserve"> (23</w:t>
      </w:r>
      <w:r w:rsidR="003B0D92">
        <w:rPr>
          <w:sz w:val="24"/>
          <w:szCs w:val="24"/>
        </w:rPr>
        <w:t xml:space="preserve"> </w:t>
      </w:r>
      <w:r w:rsidRPr="005C4198">
        <w:rPr>
          <w:sz w:val="24"/>
          <w:szCs w:val="24"/>
        </w:rPr>
        <w:t xml:space="preserve">mg) per 40 mg, dvs. hovedsageligt </w:t>
      </w:r>
      <w:r w:rsidR="003B0D92">
        <w:rPr>
          <w:sz w:val="24"/>
          <w:szCs w:val="24"/>
        </w:rPr>
        <w:t>"</w:t>
      </w:r>
      <w:r w:rsidRPr="005C4198">
        <w:rPr>
          <w:sz w:val="24"/>
          <w:szCs w:val="24"/>
        </w:rPr>
        <w:t>natrium-frit</w:t>
      </w:r>
      <w:r w:rsidR="003B0D92">
        <w:rPr>
          <w:sz w:val="24"/>
          <w:szCs w:val="24"/>
        </w:rPr>
        <w:t>"</w:t>
      </w:r>
      <w:r w:rsidRPr="005C4198">
        <w:rPr>
          <w:sz w:val="24"/>
          <w:szCs w:val="24"/>
        </w:rPr>
        <w:t>.</w:t>
      </w:r>
    </w:p>
    <w:p w14:paraId="3D55A011" w14:textId="77777777" w:rsidR="009260DE" w:rsidRPr="00C84483" w:rsidRDefault="009260DE" w:rsidP="009260DE">
      <w:pPr>
        <w:tabs>
          <w:tab w:val="left" w:pos="851"/>
        </w:tabs>
        <w:ind w:left="851"/>
        <w:rPr>
          <w:sz w:val="24"/>
          <w:szCs w:val="24"/>
        </w:rPr>
      </w:pPr>
    </w:p>
    <w:p w14:paraId="18EA745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0EDAC92" w14:textId="77777777" w:rsidR="00D404A6" w:rsidRPr="00D404A6" w:rsidRDefault="00D404A6" w:rsidP="00D404A6">
      <w:pPr>
        <w:tabs>
          <w:tab w:val="left" w:pos="851"/>
        </w:tabs>
        <w:ind w:left="851"/>
        <w:rPr>
          <w:sz w:val="24"/>
          <w:szCs w:val="24"/>
        </w:rPr>
      </w:pPr>
    </w:p>
    <w:p w14:paraId="29022AD1" w14:textId="77777777" w:rsidR="00D404A6" w:rsidRPr="00D404A6" w:rsidRDefault="00D404A6" w:rsidP="00D404A6">
      <w:pPr>
        <w:tabs>
          <w:tab w:val="left" w:pos="851"/>
        </w:tabs>
        <w:ind w:left="851"/>
        <w:rPr>
          <w:sz w:val="24"/>
          <w:szCs w:val="24"/>
        </w:rPr>
      </w:pPr>
      <w:proofErr w:type="spellStart"/>
      <w:r w:rsidRPr="00D404A6">
        <w:rPr>
          <w:b/>
          <w:sz w:val="24"/>
          <w:szCs w:val="24"/>
        </w:rPr>
        <w:t>Esomeprazols</w:t>
      </w:r>
      <w:proofErr w:type="spellEnd"/>
      <w:r w:rsidRPr="00D404A6">
        <w:rPr>
          <w:b/>
          <w:sz w:val="24"/>
          <w:szCs w:val="24"/>
        </w:rPr>
        <w:t xml:space="preserve"> virkninger på andre lægemidlers farmakokinetik</w:t>
      </w:r>
    </w:p>
    <w:p w14:paraId="53315C3B" w14:textId="77777777" w:rsidR="00D404A6" w:rsidRPr="00D404A6" w:rsidRDefault="00D404A6" w:rsidP="00D404A6">
      <w:pPr>
        <w:tabs>
          <w:tab w:val="left" w:pos="851"/>
        </w:tabs>
        <w:ind w:left="851"/>
        <w:rPr>
          <w:sz w:val="24"/>
          <w:szCs w:val="24"/>
          <w:u w:val="single"/>
        </w:rPr>
      </w:pPr>
    </w:p>
    <w:p w14:paraId="27AC2824" w14:textId="77777777" w:rsidR="00D404A6" w:rsidRPr="00D404A6" w:rsidRDefault="00D404A6" w:rsidP="00D404A6">
      <w:pPr>
        <w:tabs>
          <w:tab w:val="left" w:pos="851"/>
        </w:tabs>
        <w:ind w:left="851"/>
        <w:rPr>
          <w:sz w:val="24"/>
          <w:szCs w:val="24"/>
        </w:rPr>
      </w:pPr>
      <w:proofErr w:type="spellStart"/>
      <w:r w:rsidRPr="00D404A6">
        <w:rPr>
          <w:sz w:val="24"/>
          <w:szCs w:val="24"/>
          <w:u w:val="single"/>
        </w:rPr>
        <w:t>Proteaseinhibitorer</w:t>
      </w:r>
      <w:proofErr w:type="spellEnd"/>
      <w:r w:rsidRPr="00D404A6">
        <w:rPr>
          <w:sz w:val="24"/>
          <w:szCs w:val="24"/>
        </w:rPr>
        <w:t xml:space="preserve"> </w:t>
      </w:r>
    </w:p>
    <w:p w14:paraId="128CA55A" w14:textId="77777777" w:rsidR="00D404A6" w:rsidRPr="00D404A6" w:rsidRDefault="00D404A6" w:rsidP="00D404A6">
      <w:pPr>
        <w:tabs>
          <w:tab w:val="left" w:pos="851"/>
        </w:tabs>
        <w:ind w:left="851"/>
        <w:rPr>
          <w:sz w:val="24"/>
          <w:szCs w:val="24"/>
        </w:rPr>
      </w:pPr>
      <w:r w:rsidRPr="00D404A6">
        <w:rPr>
          <w:sz w:val="24"/>
          <w:szCs w:val="24"/>
        </w:rPr>
        <w:t xml:space="preserve">Der har været rapporteret om interaktion mellem </w:t>
      </w:r>
      <w:proofErr w:type="spellStart"/>
      <w:r w:rsidRPr="00D404A6">
        <w:rPr>
          <w:sz w:val="24"/>
          <w:szCs w:val="24"/>
        </w:rPr>
        <w:t>omeprazol</w:t>
      </w:r>
      <w:proofErr w:type="spellEnd"/>
      <w:r w:rsidRPr="00D404A6">
        <w:rPr>
          <w:sz w:val="24"/>
          <w:szCs w:val="24"/>
        </w:rPr>
        <w:t xml:space="preserve"> og nogle </w:t>
      </w:r>
      <w:proofErr w:type="spellStart"/>
      <w:r w:rsidRPr="00D404A6">
        <w:rPr>
          <w:sz w:val="24"/>
          <w:szCs w:val="24"/>
        </w:rPr>
        <w:t>proteaseinhibitorer</w:t>
      </w:r>
      <w:proofErr w:type="spellEnd"/>
      <w:r w:rsidRPr="00D404A6">
        <w:rPr>
          <w:sz w:val="24"/>
          <w:szCs w:val="24"/>
        </w:rPr>
        <w:t xml:space="preserve">. Den kliniske betydning og mekanismerne bag disse rapporterede interaktioner kendes ikke altid. Øget gastrisk pH under </w:t>
      </w:r>
      <w:proofErr w:type="spellStart"/>
      <w:r w:rsidRPr="00D404A6">
        <w:rPr>
          <w:sz w:val="24"/>
          <w:szCs w:val="24"/>
        </w:rPr>
        <w:t>omeprazolbehandling</w:t>
      </w:r>
      <w:proofErr w:type="spellEnd"/>
      <w:r w:rsidRPr="00D404A6">
        <w:rPr>
          <w:sz w:val="24"/>
          <w:szCs w:val="24"/>
        </w:rPr>
        <w:t xml:space="preserve"> kan ændre absorptionen af </w:t>
      </w:r>
      <w:proofErr w:type="spellStart"/>
      <w:r w:rsidRPr="00D404A6">
        <w:rPr>
          <w:sz w:val="24"/>
          <w:szCs w:val="24"/>
        </w:rPr>
        <w:t>protease</w:t>
      </w:r>
      <w:proofErr w:type="spellEnd"/>
      <w:r w:rsidRPr="00D404A6">
        <w:rPr>
          <w:sz w:val="24"/>
          <w:szCs w:val="24"/>
        </w:rPr>
        <w:t xml:space="preserve"> inhibitorerne. Andre mulige interaktionsmekanismer er via hæmning af CYP 2C19. For </w:t>
      </w:r>
      <w:proofErr w:type="spellStart"/>
      <w:r w:rsidRPr="00D404A6">
        <w:rPr>
          <w:sz w:val="24"/>
          <w:szCs w:val="24"/>
        </w:rPr>
        <w:t>atazanavir</w:t>
      </w:r>
      <w:proofErr w:type="spellEnd"/>
      <w:r w:rsidRPr="00D404A6">
        <w:rPr>
          <w:sz w:val="24"/>
          <w:szCs w:val="24"/>
        </w:rPr>
        <w:t xml:space="preserve"> og </w:t>
      </w:r>
      <w:proofErr w:type="spellStart"/>
      <w:r w:rsidRPr="00D404A6">
        <w:rPr>
          <w:sz w:val="24"/>
          <w:szCs w:val="24"/>
        </w:rPr>
        <w:t>nelfinavir</w:t>
      </w:r>
      <w:proofErr w:type="spellEnd"/>
      <w:r w:rsidRPr="00D404A6">
        <w:rPr>
          <w:sz w:val="24"/>
          <w:szCs w:val="24"/>
        </w:rPr>
        <w:t xml:space="preserve"> har der været rapporteret om nedsatte serumværdier ved samtidig administration med </w:t>
      </w:r>
      <w:proofErr w:type="spellStart"/>
      <w:r w:rsidRPr="00D404A6">
        <w:rPr>
          <w:sz w:val="24"/>
          <w:szCs w:val="24"/>
        </w:rPr>
        <w:t>omeprazol</w:t>
      </w:r>
      <w:proofErr w:type="spellEnd"/>
      <w:r w:rsidRPr="00D404A6">
        <w:rPr>
          <w:sz w:val="24"/>
          <w:szCs w:val="24"/>
        </w:rPr>
        <w:t xml:space="preserve">, hvorfor samtidig administration ikke kan anbefales. Samtidig administration af </w:t>
      </w:r>
      <w:proofErr w:type="spellStart"/>
      <w:r w:rsidRPr="00D404A6">
        <w:rPr>
          <w:sz w:val="24"/>
          <w:szCs w:val="24"/>
        </w:rPr>
        <w:t>omeprazol</w:t>
      </w:r>
      <w:proofErr w:type="spellEnd"/>
      <w:r w:rsidRPr="00D404A6">
        <w:rPr>
          <w:sz w:val="24"/>
          <w:szCs w:val="24"/>
        </w:rPr>
        <w:t xml:space="preserve"> (40 mg én gang dagligt) og </w:t>
      </w:r>
      <w:proofErr w:type="spellStart"/>
      <w:r w:rsidRPr="00D404A6">
        <w:rPr>
          <w:sz w:val="24"/>
          <w:szCs w:val="24"/>
        </w:rPr>
        <w:t>atazanavir</w:t>
      </w:r>
      <w:proofErr w:type="spellEnd"/>
      <w:r w:rsidRPr="00D404A6">
        <w:rPr>
          <w:sz w:val="24"/>
          <w:szCs w:val="24"/>
        </w:rPr>
        <w:t xml:space="preserve"> 300 mg/</w:t>
      </w:r>
      <w:proofErr w:type="spellStart"/>
      <w:r w:rsidRPr="00D404A6">
        <w:rPr>
          <w:sz w:val="24"/>
          <w:szCs w:val="24"/>
        </w:rPr>
        <w:t>ritonavir</w:t>
      </w:r>
      <w:proofErr w:type="spellEnd"/>
      <w:r w:rsidRPr="00D404A6">
        <w:rPr>
          <w:sz w:val="24"/>
          <w:szCs w:val="24"/>
        </w:rPr>
        <w:t xml:space="preserve"> 100 mg i raske frivillige resulterede i en betydelig reduktion i eksponeringen af </w:t>
      </w:r>
      <w:proofErr w:type="spellStart"/>
      <w:r w:rsidRPr="00D404A6">
        <w:rPr>
          <w:sz w:val="24"/>
          <w:szCs w:val="24"/>
        </w:rPr>
        <w:t>atazanavir</w:t>
      </w:r>
      <w:proofErr w:type="spellEnd"/>
      <w:r w:rsidRPr="00D404A6">
        <w:rPr>
          <w:sz w:val="24"/>
          <w:szCs w:val="24"/>
        </w:rPr>
        <w:t xml:space="preserve"> (cirka 75 % fald i AUC, </w:t>
      </w:r>
      <w:proofErr w:type="spellStart"/>
      <w:r w:rsidRPr="00D404A6">
        <w:rPr>
          <w:sz w:val="24"/>
          <w:szCs w:val="24"/>
        </w:rPr>
        <w:t>Cmax</w:t>
      </w:r>
      <w:proofErr w:type="spellEnd"/>
      <w:r w:rsidRPr="00D404A6">
        <w:rPr>
          <w:sz w:val="24"/>
          <w:szCs w:val="24"/>
        </w:rPr>
        <w:t xml:space="preserve"> og </w:t>
      </w:r>
      <w:proofErr w:type="spellStart"/>
      <w:r w:rsidRPr="00D404A6">
        <w:rPr>
          <w:sz w:val="24"/>
          <w:szCs w:val="24"/>
        </w:rPr>
        <w:t>Cmin</w:t>
      </w:r>
      <w:proofErr w:type="spellEnd"/>
      <w:r w:rsidRPr="00D404A6">
        <w:rPr>
          <w:sz w:val="24"/>
          <w:szCs w:val="24"/>
        </w:rPr>
        <w:t xml:space="preserve">). Øgning af </w:t>
      </w:r>
      <w:proofErr w:type="spellStart"/>
      <w:r w:rsidRPr="00D404A6">
        <w:rPr>
          <w:sz w:val="24"/>
          <w:szCs w:val="24"/>
        </w:rPr>
        <w:t>atazanavir</w:t>
      </w:r>
      <w:proofErr w:type="spellEnd"/>
      <w:r w:rsidRPr="00D404A6">
        <w:rPr>
          <w:sz w:val="24"/>
          <w:szCs w:val="24"/>
        </w:rPr>
        <w:t xml:space="preserve"> dosis til 400 mg kompenserede ikke for indvirkningen af </w:t>
      </w:r>
      <w:proofErr w:type="spellStart"/>
      <w:r w:rsidRPr="00D404A6">
        <w:rPr>
          <w:sz w:val="24"/>
          <w:szCs w:val="24"/>
        </w:rPr>
        <w:t>omeprazol</w:t>
      </w:r>
      <w:proofErr w:type="spellEnd"/>
      <w:r w:rsidRPr="00D404A6">
        <w:rPr>
          <w:sz w:val="24"/>
          <w:szCs w:val="24"/>
        </w:rPr>
        <w:t xml:space="preserve"> på </w:t>
      </w:r>
      <w:proofErr w:type="spellStart"/>
      <w:r w:rsidRPr="00D404A6">
        <w:rPr>
          <w:sz w:val="24"/>
          <w:szCs w:val="24"/>
        </w:rPr>
        <w:t>atazanavir</w:t>
      </w:r>
      <w:proofErr w:type="spellEnd"/>
      <w:r w:rsidRPr="00D404A6">
        <w:rPr>
          <w:sz w:val="24"/>
          <w:szCs w:val="24"/>
        </w:rPr>
        <w:t xml:space="preserve"> eksponeringen. Samtidig administration af </w:t>
      </w:r>
      <w:proofErr w:type="spellStart"/>
      <w:r w:rsidRPr="00D404A6">
        <w:rPr>
          <w:sz w:val="24"/>
          <w:szCs w:val="24"/>
        </w:rPr>
        <w:t>omeprazol</w:t>
      </w:r>
      <w:proofErr w:type="spellEnd"/>
      <w:r w:rsidRPr="00D404A6">
        <w:rPr>
          <w:sz w:val="24"/>
          <w:szCs w:val="24"/>
        </w:rPr>
        <w:t xml:space="preserve"> (20 mg </w:t>
      </w:r>
      <w:proofErr w:type="spellStart"/>
      <w:r w:rsidRPr="00D404A6">
        <w:rPr>
          <w:sz w:val="24"/>
          <w:szCs w:val="24"/>
        </w:rPr>
        <w:t>qd</w:t>
      </w:r>
      <w:proofErr w:type="spellEnd"/>
      <w:r w:rsidRPr="00D404A6">
        <w:rPr>
          <w:sz w:val="24"/>
          <w:szCs w:val="24"/>
        </w:rPr>
        <w:t xml:space="preserve">) og </w:t>
      </w:r>
      <w:proofErr w:type="spellStart"/>
      <w:r w:rsidRPr="00D404A6">
        <w:rPr>
          <w:sz w:val="24"/>
          <w:szCs w:val="24"/>
        </w:rPr>
        <w:t>atazanavir</w:t>
      </w:r>
      <w:proofErr w:type="spellEnd"/>
      <w:r w:rsidRPr="00D404A6">
        <w:rPr>
          <w:sz w:val="24"/>
          <w:szCs w:val="24"/>
        </w:rPr>
        <w:t xml:space="preserve"> 400 mg/</w:t>
      </w:r>
      <w:proofErr w:type="spellStart"/>
      <w:r w:rsidRPr="00D404A6">
        <w:rPr>
          <w:sz w:val="24"/>
          <w:szCs w:val="24"/>
        </w:rPr>
        <w:t>ritonavir</w:t>
      </w:r>
      <w:proofErr w:type="spellEnd"/>
      <w:r w:rsidRPr="00D404A6">
        <w:rPr>
          <w:sz w:val="24"/>
          <w:szCs w:val="24"/>
        </w:rPr>
        <w:t xml:space="preserve"> 100 mg til raske frivillige resulterede i et fald i eksponeringen af </w:t>
      </w:r>
      <w:proofErr w:type="spellStart"/>
      <w:r w:rsidRPr="00D404A6">
        <w:rPr>
          <w:sz w:val="24"/>
          <w:szCs w:val="24"/>
        </w:rPr>
        <w:t>atazanavir</w:t>
      </w:r>
      <w:proofErr w:type="spellEnd"/>
      <w:r w:rsidRPr="00D404A6">
        <w:rPr>
          <w:sz w:val="24"/>
          <w:szCs w:val="24"/>
        </w:rPr>
        <w:t xml:space="preserve"> på ca. 30 % sammenlignet med den observerede eksponering med </w:t>
      </w:r>
      <w:proofErr w:type="spellStart"/>
      <w:r w:rsidRPr="00D404A6">
        <w:rPr>
          <w:sz w:val="24"/>
          <w:szCs w:val="24"/>
        </w:rPr>
        <w:t>atazanavir</w:t>
      </w:r>
      <w:proofErr w:type="spellEnd"/>
      <w:r w:rsidRPr="00D404A6">
        <w:rPr>
          <w:sz w:val="24"/>
          <w:szCs w:val="24"/>
        </w:rPr>
        <w:t xml:space="preserve"> 300 mg/</w:t>
      </w:r>
      <w:proofErr w:type="spellStart"/>
      <w:r w:rsidRPr="00D404A6">
        <w:rPr>
          <w:sz w:val="24"/>
          <w:szCs w:val="24"/>
        </w:rPr>
        <w:t>ritonavir</w:t>
      </w:r>
      <w:proofErr w:type="spellEnd"/>
      <w:r w:rsidRPr="00D404A6">
        <w:rPr>
          <w:sz w:val="24"/>
          <w:szCs w:val="24"/>
        </w:rPr>
        <w:t xml:space="preserve"> 100 mg </w:t>
      </w:r>
      <w:proofErr w:type="spellStart"/>
      <w:r w:rsidRPr="00D404A6">
        <w:rPr>
          <w:sz w:val="24"/>
          <w:szCs w:val="24"/>
        </w:rPr>
        <w:t>qd</w:t>
      </w:r>
      <w:proofErr w:type="spellEnd"/>
      <w:r w:rsidRPr="00D404A6">
        <w:rPr>
          <w:sz w:val="24"/>
          <w:szCs w:val="24"/>
        </w:rPr>
        <w:t xml:space="preserve"> uden </w:t>
      </w:r>
      <w:proofErr w:type="spellStart"/>
      <w:r w:rsidRPr="00D404A6">
        <w:rPr>
          <w:sz w:val="24"/>
          <w:szCs w:val="24"/>
        </w:rPr>
        <w:t>omeprazol</w:t>
      </w:r>
      <w:proofErr w:type="spellEnd"/>
      <w:r w:rsidRPr="00D404A6">
        <w:rPr>
          <w:sz w:val="24"/>
          <w:szCs w:val="24"/>
        </w:rPr>
        <w:t xml:space="preserve"> 20 mg </w:t>
      </w:r>
      <w:proofErr w:type="spellStart"/>
      <w:r w:rsidRPr="00D404A6">
        <w:rPr>
          <w:sz w:val="24"/>
          <w:szCs w:val="24"/>
        </w:rPr>
        <w:t>qd</w:t>
      </w:r>
      <w:proofErr w:type="spellEnd"/>
      <w:r w:rsidRPr="00D404A6">
        <w:rPr>
          <w:sz w:val="24"/>
          <w:szCs w:val="24"/>
        </w:rPr>
        <w:t xml:space="preserve">. Samtidig administration af </w:t>
      </w:r>
      <w:proofErr w:type="spellStart"/>
      <w:r w:rsidRPr="00D404A6">
        <w:rPr>
          <w:sz w:val="24"/>
          <w:szCs w:val="24"/>
        </w:rPr>
        <w:t>omeprazol</w:t>
      </w:r>
      <w:proofErr w:type="spellEnd"/>
      <w:r w:rsidRPr="00D404A6">
        <w:rPr>
          <w:sz w:val="24"/>
          <w:szCs w:val="24"/>
        </w:rPr>
        <w:t xml:space="preserve"> (40 mg </w:t>
      </w:r>
      <w:proofErr w:type="spellStart"/>
      <w:r w:rsidRPr="00D404A6">
        <w:rPr>
          <w:sz w:val="24"/>
          <w:szCs w:val="24"/>
        </w:rPr>
        <w:t>qd</w:t>
      </w:r>
      <w:proofErr w:type="spellEnd"/>
      <w:r w:rsidRPr="00D404A6">
        <w:rPr>
          <w:sz w:val="24"/>
          <w:szCs w:val="24"/>
        </w:rPr>
        <w:t xml:space="preserve">) reducerede middel </w:t>
      </w:r>
      <w:proofErr w:type="spellStart"/>
      <w:r w:rsidRPr="00D404A6">
        <w:rPr>
          <w:sz w:val="24"/>
          <w:szCs w:val="24"/>
        </w:rPr>
        <w:t>nelfinavir</w:t>
      </w:r>
      <w:proofErr w:type="spellEnd"/>
      <w:r w:rsidRPr="00D404A6">
        <w:rPr>
          <w:sz w:val="24"/>
          <w:szCs w:val="24"/>
        </w:rPr>
        <w:t xml:space="preserve"> AUC, </w:t>
      </w:r>
      <w:proofErr w:type="spellStart"/>
      <w:r w:rsidRPr="00D404A6">
        <w:rPr>
          <w:sz w:val="24"/>
          <w:szCs w:val="24"/>
        </w:rPr>
        <w:t>Cmax</w:t>
      </w:r>
      <w:proofErr w:type="spellEnd"/>
      <w:r w:rsidRPr="00D404A6">
        <w:rPr>
          <w:sz w:val="24"/>
          <w:szCs w:val="24"/>
        </w:rPr>
        <w:t xml:space="preserve"> og </w:t>
      </w:r>
      <w:proofErr w:type="spellStart"/>
      <w:r w:rsidRPr="00D404A6">
        <w:rPr>
          <w:sz w:val="24"/>
          <w:szCs w:val="24"/>
        </w:rPr>
        <w:t>Cmin</w:t>
      </w:r>
      <w:proofErr w:type="spellEnd"/>
      <w:r w:rsidRPr="00D404A6">
        <w:rPr>
          <w:sz w:val="24"/>
          <w:szCs w:val="24"/>
        </w:rPr>
        <w:t xml:space="preserve"> med 36-39 %, og middel AUC, </w:t>
      </w:r>
      <w:proofErr w:type="spellStart"/>
      <w:r w:rsidRPr="00D404A6">
        <w:rPr>
          <w:sz w:val="24"/>
          <w:szCs w:val="24"/>
        </w:rPr>
        <w:t>Cmax</w:t>
      </w:r>
      <w:proofErr w:type="spellEnd"/>
      <w:r w:rsidRPr="00D404A6">
        <w:rPr>
          <w:sz w:val="24"/>
          <w:szCs w:val="24"/>
        </w:rPr>
        <w:t xml:space="preserve"> og </w:t>
      </w:r>
      <w:proofErr w:type="spellStart"/>
      <w:r w:rsidRPr="00D404A6">
        <w:rPr>
          <w:sz w:val="24"/>
          <w:szCs w:val="24"/>
        </w:rPr>
        <w:t>Cmin</w:t>
      </w:r>
      <w:proofErr w:type="spellEnd"/>
      <w:r w:rsidRPr="00D404A6">
        <w:rPr>
          <w:sz w:val="24"/>
          <w:szCs w:val="24"/>
        </w:rPr>
        <w:t xml:space="preserve"> for den farmakologisk aktive metabolit M8 blev reduceret med 75-92%. På grund af lignende </w:t>
      </w:r>
      <w:proofErr w:type="spellStart"/>
      <w:r w:rsidRPr="00D404A6">
        <w:rPr>
          <w:sz w:val="24"/>
          <w:szCs w:val="24"/>
        </w:rPr>
        <w:t>farmakodynamiske</w:t>
      </w:r>
      <w:proofErr w:type="spellEnd"/>
      <w:r w:rsidRPr="00D404A6">
        <w:rPr>
          <w:sz w:val="24"/>
          <w:szCs w:val="24"/>
        </w:rPr>
        <w:t xml:space="preserve"> effekter og </w:t>
      </w:r>
      <w:proofErr w:type="spellStart"/>
      <w:r w:rsidRPr="00D404A6">
        <w:rPr>
          <w:sz w:val="24"/>
          <w:szCs w:val="24"/>
        </w:rPr>
        <w:t>farmakokinetiske</w:t>
      </w:r>
      <w:proofErr w:type="spellEnd"/>
      <w:r w:rsidRPr="00D404A6">
        <w:rPr>
          <w:sz w:val="24"/>
          <w:szCs w:val="24"/>
        </w:rPr>
        <w:t xml:space="preserve"> egenskaber for </w:t>
      </w:r>
      <w:proofErr w:type="spellStart"/>
      <w:r w:rsidRPr="00D404A6">
        <w:rPr>
          <w:sz w:val="24"/>
          <w:szCs w:val="24"/>
        </w:rPr>
        <w:t>omeprazol</w:t>
      </w:r>
      <w:proofErr w:type="spellEnd"/>
      <w:r w:rsidRPr="00D404A6">
        <w:rPr>
          <w:sz w:val="24"/>
          <w:szCs w:val="24"/>
        </w:rPr>
        <w:t xml:space="preserve"> og </w:t>
      </w:r>
      <w:proofErr w:type="spellStart"/>
      <w:r w:rsidRPr="00D404A6">
        <w:rPr>
          <w:sz w:val="24"/>
          <w:szCs w:val="24"/>
        </w:rPr>
        <w:lastRenderedPageBreak/>
        <w:t>esomeprazol</w:t>
      </w:r>
      <w:proofErr w:type="spellEnd"/>
      <w:r w:rsidRPr="00D404A6">
        <w:rPr>
          <w:sz w:val="24"/>
          <w:szCs w:val="24"/>
        </w:rPr>
        <w:t xml:space="preserve">, kan samtidig administration af </w:t>
      </w:r>
      <w:proofErr w:type="spellStart"/>
      <w:r w:rsidRPr="00D404A6">
        <w:rPr>
          <w:sz w:val="24"/>
          <w:szCs w:val="24"/>
        </w:rPr>
        <w:t>esomeprazol</w:t>
      </w:r>
      <w:proofErr w:type="spellEnd"/>
      <w:r w:rsidRPr="00D404A6">
        <w:rPr>
          <w:sz w:val="24"/>
          <w:szCs w:val="24"/>
        </w:rPr>
        <w:t xml:space="preserve"> og </w:t>
      </w:r>
      <w:proofErr w:type="spellStart"/>
      <w:r w:rsidRPr="00D404A6">
        <w:rPr>
          <w:sz w:val="24"/>
          <w:szCs w:val="24"/>
        </w:rPr>
        <w:t>atazanavir</w:t>
      </w:r>
      <w:proofErr w:type="spellEnd"/>
      <w:r w:rsidRPr="00D404A6">
        <w:rPr>
          <w:sz w:val="24"/>
          <w:szCs w:val="24"/>
        </w:rPr>
        <w:t xml:space="preserve"> ikke anbefales (se pkt. 4.4) og samtidig administration af </w:t>
      </w:r>
      <w:proofErr w:type="spellStart"/>
      <w:r w:rsidRPr="00D404A6">
        <w:rPr>
          <w:sz w:val="24"/>
          <w:szCs w:val="24"/>
        </w:rPr>
        <w:t>esomeprazol</w:t>
      </w:r>
      <w:proofErr w:type="spellEnd"/>
      <w:r w:rsidRPr="00D404A6">
        <w:rPr>
          <w:sz w:val="24"/>
          <w:szCs w:val="24"/>
        </w:rPr>
        <w:t xml:space="preserve"> og </w:t>
      </w:r>
      <w:proofErr w:type="spellStart"/>
      <w:r w:rsidRPr="00D404A6">
        <w:rPr>
          <w:sz w:val="24"/>
          <w:szCs w:val="24"/>
        </w:rPr>
        <w:t>nelfinavir</w:t>
      </w:r>
      <w:proofErr w:type="spellEnd"/>
      <w:r w:rsidRPr="00D404A6">
        <w:rPr>
          <w:sz w:val="24"/>
          <w:szCs w:val="24"/>
        </w:rPr>
        <w:t xml:space="preserve"> er kontraindiceret (se pkt. 4.3).</w:t>
      </w:r>
    </w:p>
    <w:p w14:paraId="38B030FB" w14:textId="77777777" w:rsidR="00D404A6" w:rsidRPr="00D404A6" w:rsidRDefault="00D404A6" w:rsidP="00D404A6">
      <w:pPr>
        <w:tabs>
          <w:tab w:val="left" w:pos="851"/>
        </w:tabs>
        <w:ind w:left="851"/>
        <w:rPr>
          <w:sz w:val="24"/>
          <w:szCs w:val="24"/>
        </w:rPr>
      </w:pPr>
    </w:p>
    <w:p w14:paraId="5A53EB5E" w14:textId="77777777" w:rsidR="00D404A6" w:rsidRPr="00D404A6" w:rsidRDefault="00D404A6" w:rsidP="00D404A6">
      <w:pPr>
        <w:tabs>
          <w:tab w:val="left" w:pos="851"/>
        </w:tabs>
        <w:ind w:left="851"/>
        <w:rPr>
          <w:sz w:val="24"/>
          <w:szCs w:val="24"/>
        </w:rPr>
      </w:pPr>
      <w:r w:rsidRPr="00D404A6">
        <w:rPr>
          <w:sz w:val="24"/>
          <w:szCs w:val="24"/>
        </w:rPr>
        <w:t xml:space="preserve">For </w:t>
      </w:r>
      <w:proofErr w:type="spellStart"/>
      <w:r w:rsidRPr="00D404A6">
        <w:rPr>
          <w:sz w:val="24"/>
          <w:szCs w:val="24"/>
        </w:rPr>
        <w:t>saquinavir</w:t>
      </w:r>
      <w:proofErr w:type="spellEnd"/>
      <w:r w:rsidRPr="00D404A6">
        <w:rPr>
          <w:sz w:val="24"/>
          <w:szCs w:val="24"/>
        </w:rPr>
        <w:t xml:space="preserve"> (med samtidig administration af </w:t>
      </w:r>
      <w:proofErr w:type="spellStart"/>
      <w:r w:rsidRPr="00D404A6">
        <w:rPr>
          <w:sz w:val="24"/>
          <w:szCs w:val="24"/>
        </w:rPr>
        <w:t>ritonavir</w:t>
      </w:r>
      <w:proofErr w:type="spellEnd"/>
      <w:r w:rsidRPr="00D404A6">
        <w:rPr>
          <w:sz w:val="24"/>
          <w:szCs w:val="24"/>
        </w:rPr>
        <w:t xml:space="preserve">) har der været rapporteret om øget serumværdier (80-100 %) under samtidig behandling med </w:t>
      </w:r>
      <w:proofErr w:type="spellStart"/>
      <w:r w:rsidRPr="00D404A6">
        <w:rPr>
          <w:sz w:val="24"/>
          <w:szCs w:val="24"/>
        </w:rPr>
        <w:t>omeprazol</w:t>
      </w:r>
      <w:proofErr w:type="spellEnd"/>
      <w:r w:rsidRPr="00D404A6">
        <w:rPr>
          <w:sz w:val="24"/>
          <w:szCs w:val="24"/>
        </w:rPr>
        <w:t xml:space="preserve"> (40 mg </w:t>
      </w:r>
      <w:proofErr w:type="spellStart"/>
      <w:r w:rsidRPr="00D404A6">
        <w:rPr>
          <w:sz w:val="24"/>
          <w:szCs w:val="24"/>
        </w:rPr>
        <w:t>qd</w:t>
      </w:r>
      <w:proofErr w:type="spellEnd"/>
      <w:r w:rsidRPr="00D404A6">
        <w:rPr>
          <w:sz w:val="24"/>
          <w:szCs w:val="24"/>
        </w:rPr>
        <w:t xml:space="preserve">). Behandling med </w:t>
      </w:r>
      <w:proofErr w:type="spellStart"/>
      <w:r w:rsidRPr="00D404A6">
        <w:rPr>
          <w:sz w:val="24"/>
          <w:szCs w:val="24"/>
        </w:rPr>
        <w:t>omeprazol</w:t>
      </w:r>
      <w:proofErr w:type="spellEnd"/>
      <w:r w:rsidRPr="00D404A6">
        <w:rPr>
          <w:sz w:val="24"/>
          <w:szCs w:val="24"/>
        </w:rPr>
        <w:t xml:space="preserve"> 20 mg </w:t>
      </w:r>
      <w:proofErr w:type="spellStart"/>
      <w:r w:rsidRPr="00D404A6">
        <w:rPr>
          <w:sz w:val="24"/>
          <w:szCs w:val="24"/>
        </w:rPr>
        <w:t>qd</w:t>
      </w:r>
      <w:proofErr w:type="spellEnd"/>
      <w:r w:rsidRPr="00D404A6">
        <w:rPr>
          <w:sz w:val="24"/>
          <w:szCs w:val="24"/>
        </w:rPr>
        <w:t xml:space="preserve"> havde ingen effekt på eksponeringen af </w:t>
      </w:r>
      <w:proofErr w:type="spellStart"/>
      <w:r w:rsidRPr="00D404A6">
        <w:rPr>
          <w:sz w:val="24"/>
          <w:szCs w:val="24"/>
        </w:rPr>
        <w:t>darunavir</w:t>
      </w:r>
      <w:proofErr w:type="spellEnd"/>
      <w:r w:rsidRPr="00D404A6">
        <w:rPr>
          <w:sz w:val="24"/>
          <w:szCs w:val="24"/>
        </w:rPr>
        <w:t xml:space="preserve"> (med samtidig administration af </w:t>
      </w:r>
      <w:proofErr w:type="spellStart"/>
      <w:r w:rsidRPr="00D404A6">
        <w:rPr>
          <w:sz w:val="24"/>
          <w:szCs w:val="24"/>
        </w:rPr>
        <w:t>ritonavir</w:t>
      </w:r>
      <w:proofErr w:type="spellEnd"/>
      <w:r w:rsidRPr="00D404A6">
        <w:rPr>
          <w:sz w:val="24"/>
          <w:szCs w:val="24"/>
        </w:rPr>
        <w:t xml:space="preserve">) og </w:t>
      </w:r>
      <w:proofErr w:type="spellStart"/>
      <w:r w:rsidRPr="00D404A6">
        <w:rPr>
          <w:sz w:val="24"/>
          <w:szCs w:val="24"/>
        </w:rPr>
        <w:t>amprenavir</w:t>
      </w:r>
      <w:proofErr w:type="spellEnd"/>
      <w:r w:rsidRPr="00D404A6">
        <w:rPr>
          <w:sz w:val="24"/>
          <w:szCs w:val="24"/>
        </w:rPr>
        <w:t xml:space="preserve"> (med og uden samtidig administration af </w:t>
      </w:r>
      <w:proofErr w:type="spellStart"/>
      <w:r w:rsidRPr="00D404A6">
        <w:rPr>
          <w:sz w:val="24"/>
          <w:szCs w:val="24"/>
        </w:rPr>
        <w:t>ritonavir</w:t>
      </w:r>
      <w:proofErr w:type="spellEnd"/>
      <w:r w:rsidRPr="00D404A6">
        <w:rPr>
          <w:sz w:val="24"/>
          <w:szCs w:val="24"/>
        </w:rPr>
        <w:t xml:space="preserve">). Behandling med </w:t>
      </w:r>
      <w:proofErr w:type="spellStart"/>
      <w:r w:rsidRPr="00D404A6">
        <w:rPr>
          <w:sz w:val="24"/>
          <w:szCs w:val="24"/>
        </w:rPr>
        <w:t>omeprazol</w:t>
      </w:r>
      <w:proofErr w:type="spellEnd"/>
      <w:r w:rsidRPr="00D404A6">
        <w:rPr>
          <w:sz w:val="24"/>
          <w:szCs w:val="24"/>
        </w:rPr>
        <w:t xml:space="preserve"> 40 mg </w:t>
      </w:r>
      <w:proofErr w:type="spellStart"/>
      <w:r w:rsidRPr="00D404A6">
        <w:rPr>
          <w:sz w:val="24"/>
          <w:szCs w:val="24"/>
        </w:rPr>
        <w:t>qd</w:t>
      </w:r>
      <w:proofErr w:type="spellEnd"/>
      <w:r w:rsidRPr="00D404A6">
        <w:rPr>
          <w:sz w:val="24"/>
          <w:szCs w:val="24"/>
        </w:rPr>
        <w:t xml:space="preserve"> havde ingen effekt på eksponeringen af </w:t>
      </w:r>
      <w:proofErr w:type="spellStart"/>
      <w:r w:rsidRPr="00D404A6">
        <w:rPr>
          <w:sz w:val="24"/>
          <w:szCs w:val="24"/>
        </w:rPr>
        <w:t>lopinavir</w:t>
      </w:r>
      <w:proofErr w:type="spellEnd"/>
      <w:r w:rsidRPr="00D404A6">
        <w:rPr>
          <w:sz w:val="24"/>
          <w:szCs w:val="24"/>
        </w:rPr>
        <w:t xml:space="preserve"> (med samtidig administration af </w:t>
      </w:r>
      <w:proofErr w:type="spellStart"/>
      <w:r w:rsidRPr="00D404A6">
        <w:rPr>
          <w:sz w:val="24"/>
          <w:szCs w:val="24"/>
        </w:rPr>
        <w:t>ritonavir</w:t>
      </w:r>
      <w:proofErr w:type="spellEnd"/>
      <w:r w:rsidRPr="00D404A6">
        <w:rPr>
          <w:sz w:val="24"/>
          <w:szCs w:val="24"/>
        </w:rPr>
        <w:t xml:space="preserve">). </w:t>
      </w:r>
    </w:p>
    <w:p w14:paraId="60795B59" w14:textId="77777777" w:rsidR="00D404A6" w:rsidRPr="00D404A6" w:rsidRDefault="00D404A6" w:rsidP="00D404A6">
      <w:pPr>
        <w:tabs>
          <w:tab w:val="left" w:pos="851"/>
        </w:tabs>
        <w:ind w:left="851"/>
        <w:rPr>
          <w:sz w:val="24"/>
          <w:szCs w:val="24"/>
        </w:rPr>
      </w:pPr>
    </w:p>
    <w:p w14:paraId="2AB25C3F" w14:textId="77777777" w:rsidR="00D404A6" w:rsidRPr="00D404A6" w:rsidRDefault="00D404A6" w:rsidP="00D404A6">
      <w:pPr>
        <w:tabs>
          <w:tab w:val="left" w:pos="851"/>
        </w:tabs>
        <w:ind w:left="851"/>
        <w:rPr>
          <w:sz w:val="24"/>
          <w:szCs w:val="24"/>
          <w:u w:val="single"/>
        </w:rPr>
      </w:pPr>
      <w:proofErr w:type="spellStart"/>
      <w:r w:rsidRPr="00D404A6">
        <w:rPr>
          <w:sz w:val="24"/>
          <w:szCs w:val="24"/>
          <w:u w:val="single"/>
        </w:rPr>
        <w:t>Methotrexat</w:t>
      </w:r>
      <w:proofErr w:type="spellEnd"/>
    </w:p>
    <w:p w14:paraId="17899A7B" w14:textId="77777777" w:rsidR="00D404A6" w:rsidRPr="00D404A6" w:rsidRDefault="00D404A6" w:rsidP="00D404A6">
      <w:pPr>
        <w:tabs>
          <w:tab w:val="left" w:pos="851"/>
        </w:tabs>
        <w:ind w:left="851"/>
        <w:rPr>
          <w:sz w:val="24"/>
          <w:szCs w:val="24"/>
        </w:rPr>
      </w:pPr>
      <w:r w:rsidRPr="00D404A6">
        <w:rPr>
          <w:sz w:val="24"/>
          <w:szCs w:val="24"/>
        </w:rPr>
        <w:t xml:space="preserve">Når </w:t>
      </w:r>
      <w:proofErr w:type="spellStart"/>
      <w:r w:rsidRPr="00D404A6">
        <w:rPr>
          <w:sz w:val="24"/>
          <w:szCs w:val="24"/>
        </w:rPr>
        <w:t>methotrexat</w:t>
      </w:r>
      <w:proofErr w:type="spellEnd"/>
      <w:r w:rsidRPr="00D404A6">
        <w:rPr>
          <w:sz w:val="24"/>
          <w:szCs w:val="24"/>
        </w:rPr>
        <w:t xml:space="preserve"> anvendes sammen med </w:t>
      </w:r>
      <w:proofErr w:type="spellStart"/>
      <w:r w:rsidRPr="00D404A6">
        <w:rPr>
          <w:sz w:val="24"/>
          <w:szCs w:val="24"/>
        </w:rPr>
        <w:t>PPI’ere</w:t>
      </w:r>
      <w:proofErr w:type="spellEnd"/>
      <w:r w:rsidRPr="00D404A6">
        <w:rPr>
          <w:sz w:val="24"/>
          <w:szCs w:val="24"/>
        </w:rPr>
        <w:t xml:space="preserve">, er der blevet rapporteret forhøjede niveauer af </w:t>
      </w:r>
      <w:proofErr w:type="spellStart"/>
      <w:r w:rsidRPr="00D404A6">
        <w:rPr>
          <w:sz w:val="24"/>
          <w:szCs w:val="24"/>
        </w:rPr>
        <w:t>methotrexat</w:t>
      </w:r>
      <w:proofErr w:type="spellEnd"/>
      <w:r w:rsidRPr="00D404A6">
        <w:rPr>
          <w:sz w:val="24"/>
          <w:szCs w:val="24"/>
        </w:rPr>
        <w:t xml:space="preserve"> hos nogle patienter. Ved høje doser </w:t>
      </w:r>
      <w:proofErr w:type="spellStart"/>
      <w:r w:rsidRPr="00D404A6">
        <w:rPr>
          <w:sz w:val="24"/>
          <w:szCs w:val="24"/>
        </w:rPr>
        <w:t>methotrexat</w:t>
      </w:r>
      <w:proofErr w:type="spellEnd"/>
      <w:r w:rsidRPr="00D404A6">
        <w:rPr>
          <w:sz w:val="24"/>
          <w:szCs w:val="24"/>
        </w:rPr>
        <w:t xml:space="preserve"> kan det være nødvendigt at seponere </w:t>
      </w:r>
      <w:proofErr w:type="spellStart"/>
      <w:r w:rsidRPr="00D404A6">
        <w:rPr>
          <w:sz w:val="24"/>
          <w:szCs w:val="24"/>
        </w:rPr>
        <w:t>esomeprazol</w:t>
      </w:r>
      <w:proofErr w:type="spellEnd"/>
      <w:r w:rsidRPr="00D404A6">
        <w:rPr>
          <w:sz w:val="24"/>
          <w:szCs w:val="24"/>
        </w:rPr>
        <w:t xml:space="preserve"> midlertidigt.</w:t>
      </w:r>
    </w:p>
    <w:p w14:paraId="14F82000" w14:textId="77777777" w:rsidR="00D404A6" w:rsidRPr="00D404A6" w:rsidRDefault="00D404A6" w:rsidP="00D404A6">
      <w:pPr>
        <w:tabs>
          <w:tab w:val="left" w:pos="851"/>
        </w:tabs>
        <w:ind w:left="851"/>
        <w:rPr>
          <w:sz w:val="24"/>
          <w:szCs w:val="24"/>
        </w:rPr>
      </w:pPr>
    </w:p>
    <w:p w14:paraId="0DF06623" w14:textId="77777777" w:rsidR="00D404A6" w:rsidRPr="00D404A6" w:rsidRDefault="00D404A6" w:rsidP="00D404A6">
      <w:pPr>
        <w:tabs>
          <w:tab w:val="left" w:pos="851"/>
        </w:tabs>
        <w:ind w:left="851"/>
        <w:rPr>
          <w:sz w:val="24"/>
          <w:szCs w:val="24"/>
        </w:rPr>
      </w:pPr>
      <w:proofErr w:type="spellStart"/>
      <w:r w:rsidRPr="00D404A6">
        <w:rPr>
          <w:sz w:val="24"/>
          <w:szCs w:val="24"/>
          <w:u w:val="single"/>
        </w:rPr>
        <w:t>Tacrolimus</w:t>
      </w:r>
      <w:proofErr w:type="spellEnd"/>
    </w:p>
    <w:p w14:paraId="5A8B00CA" w14:textId="77777777" w:rsidR="00D404A6" w:rsidRPr="00D404A6" w:rsidRDefault="00D404A6" w:rsidP="00D404A6">
      <w:pPr>
        <w:tabs>
          <w:tab w:val="left" w:pos="851"/>
        </w:tabs>
        <w:ind w:left="851"/>
        <w:rPr>
          <w:sz w:val="24"/>
          <w:szCs w:val="24"/>
        </w:rPr>
      </w:pPr>
      <w:r w:rsidRPr="00D404A6">
        <w:rPr>
          <w:sz w:val="24"/>
          <w:szCs w:val="24"/>
        </w:rPr>
        <w:t xml:space="preserve">Der er blevet rapporteret en øget serumkoncentration af </w:t>
      </w:r>
      <w:proofErr w:type="spellStart"/>
      <w:r w:rsidRPr="00D404A6">
        <w:rPr>
          <w:sz w:val="24"/>
          <w:szCs w:val="24"/>
        </w:rPr>
        <w:t>tacrolimus</w:t>
      </w:r>
      <w:proofErr w:type="spellEnd"/>
      <w:r w:rsidRPr="00D404A6">
        <w:rPr>
          <w:sz w:val="24"/>
          <w:szCs w:val="24"/>
        </w:rPr>
        <w:t xml:space="preserve"> når </w:t>
      </w:r>
      <w:proofErr w:type="spellStart"/>
      <w:r w:rsidRPr="00D404A6">
        <w:rPr>
          <w:sz w:val="24"/>
          <w:szCs w:val="24"/>
        </w:rPr>
        <w:t>tacrolimus</w:t>
      </w:r>
      <w:proofErr w:type="spellEnd"/>
      <w:r w:rsidRPr="00D404A6">
        <w:rPr>
          <w:sz w:val="24"/>
          <w:szCs w:val="24"/>
        </w:rPr>
        <w:t xml:space="preserve"> anvendes sammen med </w:t>
      </w:r>
      <w:proofErr w:type="spellStart"/>
      <w:r w:rsidRPr="00D404A6">
        <w:rPr>
          <w:sz w:val="24"/>
          <w:szCs w:val="24"/>
        </w:rPr>
        <w:t>esomeprazol</w:t>
      </w:r>
      <w:proofErr w:type="spellEnd"/>
      <w:r w:rsidRPr="00D404A6">
        <w:rPr>
          <w:sz w:val="24"/>
          <w:szCs w:val="24"/>
        </w:rPr>
        <w:t xml:space="preserve">. Der bør foretages skærpet overvågning af </w:t>
      </w:r>
      <w:proofErr w:type="spellStart"/>
      <w:r w:rsidRPr="00D404A6">
        <w:rPr>
          <w:sz w:val="24"/>
          <w:szCs w:val="24"/>
        </w:rPr>
        <w:t>tacrolimuskoncentrationerne</w:t>
      </w:r>
      <w:proofErr w:type="spellEnd"/>
      <w:r w:rsidRPr="00D404A6">
        <w:rPr>
          <w:sz w:val="24"/>
          <w:szCs w:val="24"/>
        </w:rPr>
        <w:t xml:space="preserve"> samt nyrefunktionen (</w:t>
      </w:r>
      <w:proofErr w:type="spellStart"/>
      <w:r w:rsidRPr="00D404A6">
        <w:rPr>
          <w:sz w:val="24"/>
          <w:szCs w:val="24"/>
        </w:rPr>
        <w:t>kreatininclearance</w:t>
      </w:r>
      <w:proofErr w:type="spellEnd"/>
      <w:r w:rsidRPr="00D404A6">
        <w:rPr>
          <w:sz w:val="24"/>
          <w:szCs w:val="24"/>
        </w:rPr>
        <w:t xml:space="preserve">), og dosering af </w:t>
      </w:r>
      <w:proofErr w:type="spellStart"/>
      <w:r w:rsidRPr="00D404A6">
        <w:rPr>
          <w:sz w:val="24"/>
          <w:szCs w:val="24"/>
        </w:rPr>
        <w:t>tacrolimus</w:t>
      </w:r>
      <w:proofErr w:type="spellEnd"/>
      <w:r w:rsidRPr="00D404A6">
        <w:rPr>
          <w:sz w:val="24"/>
          <w:szCs w:val="24"/>
        </w:rPr>
        <w:t xml:space="preserve"> skal justeres om nødvendigt.</w:t>
      </w:r>
    </w:p>
    <w:p w14:paraId="21AA2871" w14:textId="77777777" w:rsidR="00D404A6" w:rsidRPr="00D404A6" w:rsidRDefault="00D404A6" w:rsidP="00D404A6">
      <w:pPr>
        <w:tabs>
          <w:tab w:val="left" w:pos="851"/>
        </w:tabs>
        <w:ind w:left="851"/>
        <w:rPr>
          <w:sz w:val="24"/>
          <w:szCs w:val="24"/>
        </w:rPr>
      </w:pPr>
    </w:p>
    <w:p w14:paraId="17DE2F79" w14:textId="77777777" w:rsidR="00D404A6" w:rsidRPr="00D404A6" w:rsidRDefault="00D404A6" w:rsidP="00D404A6">
      <w:pPr>
        <w:tabs>
          <w:tab w:val="left" w:pos="851"/>
        </w:tabs>
        <w:ind w:left="851"/>
        <w:rPr>
          <w:sz w:val="24"/>
          <w:szCs w:val="24"/>
          <w:u w:val="single"/>
        </w:rPr>
      </w:pPr>
      <w:r w:rsidRPr="00D404A6">
        <w:rPr>
          <w:sz w:val="24"/>
          <w:szCs w:val="24"/>
          <w:u w:val="single"/>
        </w:rPr>
        <w:t>Lægemidler med pH-afhængig absorption</w:t>
      </w:r>
    </w:p>
    <w:p w14:paraId="41D0062E" w14:textId="77777777" w:rsidR="00D404A6" w:rsidRPr="00D404A6" w:rsidRDefault="00D404A6" w:rsidP="00D404A6">
      <w:pPr>
        <w:tabs>
          <w:tab w:val="left" w:pos="851"/>
        </w:tabs>
        <w:ind w:left="851"/>
        <w:rPr>
          <w:sz w:val="24"/>
          <w:szCs w:val="24"/>
        </w:rPr>
      </w:pPr>
      <w:r w:rsidRPr="00D404A6">
        <w:rPr>
          <w:sz w:val="24"/>
          <w:szCs w:val="24"/>
        </w:rPr>
        <w:t xml:space="preserve">Den syrehæmmende virkning fra </w:t>
      </w:r>
      <w:proofErr w:type="spellStart"/>
      <w:r w:rsidRPr="00D404A6">
        <w:rPr>
          <w:sz w:val="24"/>
          <w:szCs w:val="24"/>
        </w:rPr>
        <w:t>ezomeprazol</w:t>
      </w:r>
      <w:proofErr w:type="spellEnd"/>
      <w:r w:rsidRPr="00D404A6">
        <w:rPr>
          <w:sz w:val="24"/>
          <w:szCs w:val="24"/>
        </w:rPr>
        <w:t xml:space="preserve"> og andre </w:t>
      </w:r>
      <w:proofErr w:type="spellStart"/>
      <w:r w:rsidRPr="00D404A6">
        <w:rPr>
          <w:sz w:val="24"/>
          <w:szCs w:val="24"/>
        </w:rPr>
        <w:t>PPI’er</w:t>
      </w:r>
      <w:proofErr w:type="spellEnd"/>
      <w:r w:rsidRPr="00D404A6">
        <w:rPr>
          <w:sz w:val="24"/>
          <w:szCs w:val="24"/>
        </w:rPr>
        <w:t xml:space="preserve"> kan muligvis mindske og øge absorptionen af lægemidler med pH-afhængig absorption. Ligesom for andre lægemidler, der nedsætter surhedsgraden i ventriklen, kan absorptionen af lægemidler som </w:t>
      </w:r>
      <w:proofErr w:type="spellStart"/>
      <w:r w:rsidRPr="00D404A6">
        <w:rPr>
          <w:sz w:val="24"/>
          <w:szCs w:val="24"/>
        </w:rPr>
        <w:t>ketoconazol</w:t>
      </w:r>
      <w:proofErr w:type="spellEnd"/>
      <w:r w:rsidRPr="00D404A6">
        <w:rPr>
          <w:sz w:val="24"/>
          <w:szCs w:val="24"/>
        </w:rPr>
        <w:t xml:space="preserve">, </w:t>
      </w:r>
      <w:proofErr w:type="spellStart"/>
      <w:r w:rsidRPr="00D404A6">
        <w:rPr>
          <w:sz w:val="24"/>
          <w:szCs w:val="24"/>
        </w:rPr>
        <w:t>itraconazol</w:t>
      </w:r>
      <w:proofErr w:type="spellEnd"/>
      <w:r w:rsidRPr="00D404A6">
        <w:rPr>
          <w:sz w:val="24"/>
          <w:szCs w:val="24"/>
        </w:rPr>
        <w:t xml:space="preserve"> og </w:t>
      </w:r>
      <w:proofErr w:type="spellStart"/>
      <w:r w:rsidRPr="00D404A6">
        <w:rPr>
          <w:sz w:val="24"/>
          <w:szCs w:val="24"/>
        </w:rPr>
        <w:t>erlotinib</w:t>
      </w:r>
      <w:proofErr w:type="spellEnd"/>
      <w:r w:rsidRPr="00D404A6">
        <w:rPr>
          <w:sz w:val="24"/>
          <w:szCs w:val="24"/>
        </w:rPr>
        <w:t xml:space="preserve"> mindskes, og absorptionen af </w:t>
      </w:r>
      <w:proofErr w:type="spellStart"/>
      <w:r w:rsidRPr="00D404A6">
        <w:rPr>
          <w:sz w:val="24"/>
          <w:szCs w:val="24"/>
        </w:rPr>
        <w:t>digoxin</w:t>
      </w:r>
      <w:proofErr w:type="spellEnd"/>
      <w:r w:rsidRPr="00D404A6">
        <w:rPr>
          <w:sz w:val="24"/>
          <w:szCs w:val="24"/>
        </w:rPr>
        <w:t xml:space="preserve"> øges under behandlingen med </w:t>
      </w:r>
      <w:proofErr w:type="spellStart"/>
      <w:r w:rsidRPr="00D404A6">
        <w:rPr>
          <w:sz w:val="24"/>
          <w:szCs w:val="24"/>
        </w:rPr>
        <w:t>esomeprazol</w:t>
      </w:r>
      <w:proofErr w:type="spellEnd"/>
      <w:r w:rsidRPr="00D404A6">
        <w:rPr>
          <w:sz w:val="24"/>
          <w:szCs w:val="24"/>
        </w:rPr>
        <w:t xml:space="preserve">. Samtidig behandling med </w:t>
      </w:r>
      <w:proofErr w:type="spellStart"/>
      <w:r w:rsidRPr="00D404A6">
        <w:rPr>
          <w:sz w:val="24"/>
          <w:szCs w:val="24"/>
        </w:rPr>
        <w:t>omeprazol</w:t>
      </w:r>
      <w:proofErr w:type="spellEnd"/>
      <w:r w:rsidRPr="00D404A6">
        <w:rPr>
          <w:sz w:val="24"/>
          <w:szCs w:val="24"/>
        </w:rPr>
        <w:t xml:space="preserve"> (20 mg dagligt) og </w:t>
      </w:r>
      <w:proofErr w:type="spellStart"/>
      <w:r w:rsidRPr="00D404A6">
        <w:rPr>
          <w:sz w:val="24"/>
          <w:szCs w:val="24"/>
        </w:rPr>
        <w:t>digoxin</w:t>
      </w:r>
      <w:proofErr w:type="spellEnd"/>
      <w:r w:rsidRPr="00D404A6">
        <w:rPr>
          <w:sz w:val="24"/>
          <w:szCs w:val="24"/>
        </w:rPr>
        <w:t xml:space="preserve"> hos raske forsøgspersoner øgede </w:t>
      </w:r>
      <w:proofErr w:type="spellStart"/>
      <w:r w:rsidRPr="00D404A6">
        <w:rPr>
          <w:sz w:val="24"/>
          <w:szCs w:val="24"/>
        </w:rPr>
        <w:t>digoxins</w:t>
      </w:r>
      <w:proofErr w:type="spellEnd"/>
      <w:r w:rsidRPr="00D404A6">
        <w:rPr>
          <w:sz w:val="24"/>
          <w:szCs w:val="24"/>
        </w:rPr>
        <w:t xml:space="preserve"> biotilgængelighed med 10 % (op til 30 % hos to ud af ti forsøgspersoner). </w:t>
      </w:r>
      <w:proofErr w:type="spellStart"/>
      <w:r w:rsidRPr="00D404A6">
        <w:rPr>
          <w:sz w:val="24"/>
          <w:szCs w:val="24"/>
        </w:rPr>
        <w:t>Digoxintoksicitet</w:t>
      </w:r>
      <w:proofErr w:type="spellEnd"/>
      <w:r w:rsidRPr="00D404A6">
        <w:rPr>
          <w:sz w:val="24"/>
          <w:szCs w:val="24"/>
        </w:rPr>
        <w:t xml:space="preserve"> er sjældent blevet rapporteret. Der skal dog udvises forsigtighed, når </w:t>
      </w:r>
      <w:proofErr w:type="spellStart"/>
      <w:r w:rsidRPr="00D404A6">
        <w:rPr>
          <w:sz w:val="24"/>
          <w:szCs w:val="24"/>
        </w:rPr>
        <w:t>esomeprazol</w:t>
      </w:r>
      <w:proofErr w:type="spellEnd"/>
      <w:r w:rsidRPr="00D404A6">
        <w:rPr>
          <w:sz w:val="24"/>
          <w:szCs w:val="24"/>
        </w:rPr>
        <w:t xml:space="preserve"> gives i høje doser til ældre patienter. Terapeutisk lægemiddelmonitorering af </w:t>
      </w:r>
      <w:proofErr w:type="spellStart"/>
      <w:r w:rsidRPr="00D404A6">
        <w:rPr>
          <w:sz w:val="24"/>
          <w:szCs w:val="24"/>
        </w:rPr>
        <w:t>digoxin</w:t>
      </w:r>
      <w:proofErr w:type="spellEnd"/>
      <w:r w:rsidRPr="00D404A6">
        <w:rPr>
          <w:sz w:val="24"/>
          <w:szCs w:val="24"/>
        </w:rPr>
        <w:t xml:space="preserve"> skal derefter skærpes.</w:t>
      </w:r>
    </w:p>
    <w:p w14:paraId="6489E8A7" w14:textId="77777777" w:rsidR="00D404A6" w:rsidRPr="00D404A6" w:rsidRDefault="00D404A6" w:rsidP="00D404A6">
      <w:pPr>
        <w:tabs>
          <w:tab w:val="left" w:pos="851"/>
        </w:tabs>
        <w:ind w:left="851"/>
        <w:rPr>
          <w:sz w:val="24"/>
          <w:szCs w:val="24"/>
        </w:rPr>
      </w:pPr>
      <w:r w:rsidRPr="00D404A6">
        <w:rPr>
          <w:sz w:val="24"/>
          <w:szCs w:val="24"/>
        </w:rPr>
        <w:tab/>
      </w:r>
    </w:p>
    <w:p w14:paraId="19AF359F" w14:textId="77777777" w:rsidR="00D404A6" w:rsidRPr="00D404A6" w:rsidRDefault="00D404A6" w:rsidP="00D404A6">
      <w:pPr>
        <w:tabs>
          <w:tab w:val="left" w:pos="851"/>
        </w:tabs>
        <w:ind w:left="851"/>
        <w:rPr>
          <w:sz w:val="24"/>
          <w:szCs w:val="24"/>
          <w:u w:val="single"/>
        </w:rPr>
      </w:pPr>
      <w:r w:rsidRPr="00D404A6">
        <w:rPr>
          <w:sz w:val="24"/>
          <w:szCs w:val="24"/>
          <w:u w:val="single"/>
        </w:rPr>
        <w:t xml:space="preserve">Lægemidler der </w:t>
      </w:r>
      <w:proofErr w:type="spellStart"/>
      <w:r w:rsidRPr="00D404A6">
        <w:rPr>
          <w:sz w:val="24"/>
          <w:szCs w:val="24"/>
          <w:u w:val="single"/>
        </w:rPr>
        <w:t>metaboliseres</w:t>
      </w:r>
      <w:proofErr w:type="spellEnd"/>
      <w:r w:rsidRPr="00D404A6">
        <w:rPr>
          <w:sz w:val="24"/>
          <w:szCs w:val="24"/>
          <w:u w:val="single"/>
        </w:rPr>
        <w:t xml:space="preserve"> via CYP2C19</w:t>
      </w:r>
    </w:p>
    <w:p w14:paraId="71A8DE43" w14:textId="77777777" w:rsidR="00D404A6" w:rsidRPr="00D404A6" w:rsidRDefault="00D404A6" w:rsidP="00D404A6">
      <w:pPr>
        <w:tabs>
          <w:tab w:val="left" w:pos="851"/>
        </w:tabs>
        <w:ind w:left="851"/>
        <w:rPr>
          <w:sz w:val="24"/>
          <w:szCs w:val="24"/>
        </w:rPr>
      </w:pPr>
      <w:proofErr w:type="spellStart"/>
      <w:r w:rsidRPr="00D404A6">
        <w:rPr>
          <w:sz w:val="24"/>
          <w:szCs w:val="24"/>
        </w:rPr>
        <w:t>Esomeprazol</w:t>
      </w:r>
      <w:proofErr w:type="spellEnd"/>
      <w:r w:rsidRPr="00D404A6">
        <w:rPr>
          <w:sz w:val="24"/>
          <w:szCs w:val="24"/>
        </w:rPr>
        <w:t xml:space="preserve"> hæmmer CYP2C19, det vigtigste enzym i </w:t>
      </w:r>
      <w:proofErr w:type="spellStart"/>
      <w:r w:rsidRPr="00D404A6">
        <w:rPr>
          <w:sz w:val="24"/>
          <w:szCs w:val="24"/>
        </w:rPr>
        <w:t>metaboliseringen</w:t>
      </w:r>
      <w:proofErr w:type="spellEnd"/>
      <w:r w:rsidRPr="00D404A6">
        <w:rPr>
          <w:sz w:val="24"/>
          <w:szCs w:val="24"/>
        </w:rPr>
        <w:t xml:space="preserve"> af </w:t>
      </w:r>
      <w:proofErr w:type="spellStart"/>
      <w:r w:rsidRPr="00D404A6">
        <w:rPr>
          <w:sz w:val="24"/>
          <w:szCs w:val="24"/>
        </w:rPr>
        <w:t>esomeprazol</w:t>
      </w:r>
      <w:proofErr w:type="spellEnd"/>
      <w:r w:rsidRPr="00D404A6">
        <w:rPr>
          <w:sz w:val="24"/>
          <w:szCs w:val="24"/>
        </w:rPr>
        <w:t xml:space="preserve">. </w:t>
      </w:r>
    </w:p>
    <w:p w14:paraId="7663B7CF" w14:textId="77777777" w:rsidR="00D404A6" w:rsidRPr="00D404A6" w:rsidRDefault="00D404A6" w:rsidP="00D404A6">
      <w:pPr>
        <w:tabs>
          <w:tab w:val="left" w:pos="851"/>
        </w:tabs>
        <w:ind w:left="851"/>
        <w:rPr>
          <w:sz w:val="24"/>
          <w:szCs w:val="24"/>
        </w:rPr>
      </w:pPr>
      <w:r w:rsidRPr="00D404A6">
        <w:rPr>
          <w:sz w:val="24"/>
          <w:szCs w:val="24"/>
        </w:rPr>
        <w:t xml:space="preserve">Når </w:t>
      </w:r>
      <w:proofErr w:type="spellStart"/>
      <w:r w:rsidRPr="00D404A6">
        <w:rPr>
          <w:sz w:val="24"/>
          <w:szCs w:val="24"/>
        </w:rPr>
        <w:t>esomeprazol</w:t>
      </w:r>
      <w:proofErr w:type="spellEnd"/>
      <w:r w:rsidRPr="00D404A6">
        <w:rPr>
          <w:sz w:val="24"/>
          <w:szCs w:val="24"/>
        </w:rPr>
        <w:t xml:space="preserve"> kombineres med lægemidler, som </w:t>
      </w:r>
      <w:proofErr w:type="spellStart"/>
      <w:r w:rsidRPr="00D404A6">
        <w:rPr>
          <w:sz w:val="24"/>
          <w:szCs w:val="24"/>
        </w:rPr>
        <w:t>metaboliseres</w:t>
      </w:r>
      <w:proofErr w:type="spellEnd"/>
      <w:r w:rsidRPr="00D404A6">
        <w:rPr>
          <w:sz w:val="24"/>
          <w:szCs w:val="24"/>
        </w:rPr>
        <w:t xml:space="preserve"> af CYP2C19, f.eks. </w:t>
      </w:r>
      <w:proofErr w:type="spellStart"/>
      <w:r w:rsidRPr="00D404A6">
        <w:rPr>
          <w:sz w:val="24"/>
          <w:szCs w:val="24"/>
        </w:rPr>
        <w:t>diazepam</w:t>
      </w:r>
      <w:proofErr w:type="spellEnd"/>
      <w:r w:rsidRPr="00D404A6">
        <w:rPr>
          <w:sz w:val="24"/>
          <w:szCs w:val="24"/>
        </w:rPr>
        <w:t xml:space="preserve">, </w:t>
      </w:r>
      <w:proofErr w:type="spellStart"/>
      <w:r w:rsidRPr="00D404A6">
        <w:rPr>
          <w:sz w:val="24"/>
          <w:szCs w:val="24"/>
        </w:rPr>
        <w:t>citalopram</w:t>
      </w:r>
      <w:proofErr w:type="spellEnd"/>
      <w:r w:rsidRPr="00D404A6">
        <w:rPr>
          <w:sz w:val="24"/>
          <w:szCs w:val="24"/>
        </w:rPr>
        <w:t xml:space="preserve">, </w:t>
      </w:r>
      <w:proofErr w:type="spellStart"/>
      <w:r w:rsidRPr="00D404A6">
        <w:rPr>
          <w:sz w:val="24"/>
          <w:szCs w:val="24"/>
        </w:rPr>
        <w:t>imipramin</w:t>
      </w:r>
      <w:proofErr w:type="spellEnd"/>
      <w:r w:rsidRPr="00D404A6">
        <w:rPr>
          <w:sz w:val="24"/>
          <w:szCs w:val="24"/>
        </w:rPr>
        <w:t xml:space="preserve">, </w:t>
      </w:r>
      <w:proofErr w:type="spellStart"/>
      <w:r w:rsidRPr="00D404A6">
        <w:rPr>
          <w:sz w:val="24"/>
          <w:szCs w:val="24"/>
        </w:rPr>
        <w:t>clomipramin</w:t>
      </w:r>
      <w:proofErr w:type="spellEnd"/>
      <w:r w:rsidRPr="00D404A6">
        <w:rPr>
          <w:sz w:val="24"/>
          <w:szCs w:val="24"/>
        </w:rPr>
        <w:t xml:space="preserve">, </w:t>
      </w:r>
      <w:proofErr w:type="spellStart"/>
      <w:r w:rsidRPr="00D404A6">
        <w:rPr>
          <w:sz w:val="24"/>
          <w:szCs w:val="24"/>
        </w:rPr>
        <w:t>phenytoin</w:t>
      </w:r>
      <w:proofErr w:type="spellEnd"/>
      <w:r w:rsidRPr="00D404A6">
        <w:rPr>
          <w:sz w:val="24"/>
          <w:szCs w:val="24"/>
        </w:rPr>
        <w:t xml:space="preserve"> etc., kan plasmakoncentrationen af disse lægemidler øges, og det kan være nødvendigt med en dosisreduktion. Der er ikke udført in </w:t>
      </w:r>
      <w:proofErr w:type="spellStart"/>
      <w:r w:rsidRPr="00D404A6">
        <w:rPr>
          <w:sz w:val="24"/>
          <w:szCs w:val="24"/>
        </w:rPr>
        <w:t>vivo</w:t>
      </w:r>
      <w:proofErr w:type="spellEnd"/>
      <w:r w:rsidRPr="00D404A6">
        <w:rPr>
          <w:sz w:val="24"/>
          <w:szCs w:val="24"/>
        </w:rPr>
        <w:t xml:space="preserve"> interaktionsforsøg med højdosis intravenøs behandling (80 mg + 8 mg/time). Effekten af </w:t>
      </w:r>
      <w:proofErr w:type="spellStart"/>
      <w:r w:rsidRPr="00D404A6">
        <w:rPr>
          <w:sz w:val="24"/>
          <w:szCs w:val="24"/>
        </w:rPr>
        <w:t>esomeprazol</w:t>
      </w:r>
      <w:proofErr w:type="spellEnd"/>
      <w:r w:rsidRPr="00D404A6">
        <w:rPr>
          <w:sz w:val="24"/>
          <w:szCs w:val="24"/>
        </w:rPr>
        <w:t xml:space="preserve"> på lægemidler, der </w:t>
      </w:r>
      <w:proofErr w:type="spellStart"/>
      <w:r w:rsidRPr="00D404A6">
        <w:rPr>
          <w:sz w:val="24"/>
          <w:szCs w:val="24"/>
        </w:rPr>
        <w:t>metaboliseres</w:t>
      </w:r>
      <w:proofErr w:type="spellEnd"/>
      <w:r w:rsidRPr="00D404A6">
        <w:rPr>
          <w:sz w:val="24"/>
          <w:szCs w:val="24"/>
        </w:rPr>
        <w:t xml:space="preserve"> af CYP2C19, kan være mere udtalt ved denne behandling, og patienter bør overvåges nøje med hensyn til bivirkninger i de 3 dage, den intravenøse behandling.</w:t>
      </w:r>
    </w:p>
    <w:p w14:paraId="6A8F699F" w14:textId="77777777" w:rsidR="00D404A6" w:rsidRPr="00D404A6" w:rsidRDefault="00D404A6" w:rsidP="00D404A6">
      <w:pPr>
        <w:tabs>
          <w:tab w:val="left" w:pos="851"/>
        </w:tabs>
        <w:ind w:left="851"/>
        <w:rPr>
          <w:sz w:val="24"/>
          <w:szCs w:val="24"/>
        </w:rPr>
      </w:pPr>
    </w:p>
    <w:p w14:paraId="1AD3E87B" w14:textId="77777777" w:rsidR="00D404A6" w:rsidRPr="00D404A6" w:rsidRDefault="00D404A6" w:rsidP="00D404A6">
      <w:pPr>
        <w:tabs>
          <w:tab w:val="left" w:pos="851"/>
        </w:tabs>
        <w:ind w:left="851"/>
        <w:rPr>
          <w:sz w:val="24"/>
          <w:szCs w:val="24"/>
          <w:u w:val="single"/>
        </w:rPr>
      </w:pPr>
      <w:proofErr w:type="spellStart"/>
      <w:r w:rsidRPr="00D404A6">
        <w:rPr>
          <w:sz w:val="24"/>
          <w:szCs w:val="24"/>
          <w:u w:val="single"/>
        </w:rPr>
        <w:t>Diazepam</w:t>
      </w:r>
      <w:proofErr w:type="spellEnd"/>
    </w:p>
    <w:p w14:paraId="4E8A89DA" w14:textId="77777777" w:rsidR="00D404A6" w:rsidRPr="00D404A6" w:rsidRDefault="00D404A6" w:rsidP="00D404A6">
      <w:pPr>
        <w:tabs>
          <w:tab w:val="left" w:pos="851"/>
        </w:tabs>
        <w:ind w:left="851"/>
        <w:rPr>
          <w:sz w:val="24"/>
          <w:szCs w:val="24"/>
        </w:rPr>
      </w:pPr>
      <w:r w:rsidRPr="00D404A6">
        <w:rPr>
          <w:sz w:val="24"/>
          <w:szCs w:val="24"/>
        </w:rPr>
        <w:t xml:space="preserve">Samtidig oral administration af 30 mg </w:t>
      </w:r>
      <w:proofErr w:type="spellStart"/>
      <w:r w:rsidRPr="00D404A6">
        <w:rPr>
          <w:sz w:val="24"/>
          <w:szCs w:val="24"/>
        </w:rPr>
        <w:t>esomeprazol</w:t>
      </w:r>
      <w:proofErr w:type="spellEnd"/>
      <w:r w:rsidRPr="00D404A6">
        <w:rPr>
          <w:sz w:val="24"/>
          <w:szCs w:val="24"/>
        </w:rPr>
        <w:t xml:space="preserve"> medførte et fald på 45 % i </w:t>
      </w:r>
      <w:proofErr w:type="spellStart"/>
      <w:r w:rsidRPr="00D404A6">
        <w:rPr>
          <w:sz w:val="24"/>
          <w:szCs w:val="24"/>
        </w:rPr>
        <w:t>clearance</w:t>
      </w:r>
      <w:proofErr w:type="spellEnd"/>
      <w:r w:rsidRPr="00D404A6">
        <w:rPr>
          <w:sz w:val="24"/>
          <w:szCs w:val="24"/>
        </w:rPr>
        <w:t xml:space="preserve"> af CYP2C19 substratet </w:t>
      </w:r>
      <w:proofErr w:type="spellStart"/>
      <w:r w:rsidRPr="00D404A6">
        <w:rPr>
          <w:sz w:val="24"/>
          <w:szCs w:val="24"/>
        </w:rPr>
        <w:t>diazepam</w:t>
      </w:r>
      <w:proofErr w:type="spellEnd"/>
      <w:r w:rsidRPr="00D404A6">
        <w:rPr>
          <w:sz w:val="24"/>
          <w:szCs w:val="24"/>
        </w:rPr>
        <w:t xml:space="preserve">. </w:t>
      </w:r>
    </w:p>
    <w:p w14:paraId="33D761DD" w14:textId="77777777" w:rsidR="00D404A6" w:rsidRPr="00D404A6" w:rsidRDefault="00D404A6" w:rsidP="00D404A6">
      <w:pPr>
        <w:tabs>
          <w:tab w:val="left" w:pos="851"/>
        </w:tabs>
        <w:ind w:left="851"/>
        <w:rPr>
          <w:sz w:val="24"/>
          <w:szCs w:val="24"/>
        </w:rPr>
      </w:pPr>
    </w:p>
    <w:p w14:paraId="68D223D0" w14:textId="77777777" w:rsidR="00D404A6" w:rsidRPr="00D404A6" w:rsidRDefault="00D404A6" w:rsidP="00D404A6">
      <w:pPr>
        <w:tabs>
          <w:tab w:val="left" w:pos="851"/>
        </w:tabs>
        <w:ind w:left="851"/>
        <w:rPr>
          <w:sz w:val="24"/>
          <w:szCs w:val="24"/>
          <w:u w:val="single"/>
        </w:rPr>
      </w:pPr>
      <w:proofErr w:type="spellStart"/>
      <w:r w:rsidRPr="00D404A6">
        <w:rPr>
          <w:sz w:val="24"/>
          <w:szCs w:val="24"/>
          <w:u w:val="single"/>
        </w:rPr>
        <w:t>Phenytoin</w:t>
      </w:r>
      <w:proofErr w:type="spellEnd"/>
    </w:p>
    <w:p w14:paraId="60B4DC2B" w14:textId="77777777" w:rsidR="00D404A6" w:rsidRPr="00D404A6" w:rsidRDefault="00D404A6" w:rsidP="00D404A6">
      <w:pPr>
        <w:tabs>
          <w:tab w:val="left" w:pos="851"/>
        </w:tabs>
        <w:ind w:left="851"/>
        <w:rPr>
          <w:sz w:val="24"/>
          <w:szCs w:val="24"/>
        </w:rPr>
      </w:pPr>
      <w:r w:rsidRPr="00D404A6">
        <w:rPr>
          <w:sz w:val="24"/>
          <w:szCs w:val="24"/>
        </w:rPr>
        <w:t xml:space="preserve">Samtidig oral administration af 40 mg </w:t>
      </w:r>
      <w:proofErr w:type="spellStart"/>
      <w:r w:rsidRPr="00D404A6">
        <w:rPr>
          <w:sz w:val="24"/>
          <w:szCs w:val="24"/>
        </w:rPr>
        <w:t>esomeprazol</w:t>
      </w:r>
      <w:proofErr w:type="spellEnd"/>
      <w:r w:rsidRPr="00D404A6">
        <w:rPr>
          <w:sz w:val="24"/>
          <w:szCs w:val="24"/>
        </w:rPr>
        <w:t xml:space="preserve"> og </w:t>
      </w:r>
      <w:proofErr w:type="spellStart"/>
      <w:r w:rsidRPr="00D404A6">
        <w:rPr>
          <w:sz w:val="24"/>
          <w:szCs w:val="24"/>
        </w:rPr>
        <w:t>phenytoin</w:t>
      </w:r>
      <w:proofErr w:type="spellEnd"/>
      <w:r w:rsidRPr="00D404A6">
        <w:rPr>
          <w:sz w:val="24"/>
          <w:szCs w:val="24"/>
        </w:rPr>
        <w:t xml:space="preserve"> medførte en stigning på 13 % i det nedre plasmaniveau af </w:t>
      </w:r>
      <w:proofErr w:type="spellStart"/>
      <w:r w:rsidRPr="00D404A6">
        <w:rPr>
          <w:sz w:val="24"/>
          <w:szCs w:val="24"/>
        </w:rPr>
        <w:t>phenytoin</w:t>
      </w:r>
      <w:proofErr w:type="spellEnd"/>
      <w:r w:rsidRPr="00D404A6">
        <w:rPr>
          <w:sz w:val="24"/>
          <w:szCs w:val="24"/>
        </w:rPr>
        <w:t xml:space="preserve"> hos epilepsipatienter. Det anbefales at </w:t>
      </w:r>
      <w:r w:rsidRPr="00D404A6">
        <w:rPr>
          <w:sz w:val="24"/>
          <w:szCs w:val="24"/>
        </w:rPr>
        <w:lastRenderedPageBreak/>
        <w:t xml:space="preserve">monitorere plasmakoncentrationerne af </w:t>
      </w:r>
      <w:proofErr w:type="spellStart"/>
      <w:r w:rsidRPr="00D404A6">
        <w:rPr>
          <w:sz w:val="24"/>
          <w:szCs w:val="24"/>
        </w:rPr>
        <w:t>phenytoin</w:t>
      </w:r>
      <w:proofErr w:type="spellEnd"/>
      <w:r w:rsidRPr="00D404A6">
        <w:rPr>
          <w:sz w:val="24"/>
          <w:szCs w:val="24"/>
        </w:rPr>
        <w:t xml:space="preserve">, når behandling med </w:t>
      </w:r>
      <w:proofErr w:type="spellStart"/>
      <w:r w:rsidRPr="00D404A6">
        <w:rPr>
          <w:sz w:val="24"/>
          <w:szCs w:val="24"/>
        </w:rPr>
        <w:t>esomeprazol</w:t>
      </w:r>
      <w:proofErr w:type="spellEnd"/>
      <w:r w:rsidRPr="00D404A6">
        <w:rPr>
          <w:sz w:val="24"/>
          <w:szCs w:val="24"/>
        </w:rPr>
        <w:t xml:space="preserve"> påbegyndes eller afsluttes. </w:t>
      </w:r>
    </w:p>
    <w:p w14:paraId="156F5642" w14:textId="77777777" w:rsidR="00D404A6" w:rsidRPr="00D404A6" w:rsidRDefault="00D404A6" w:rsidP="00D404A6">
      <w:pPr>
        <w:tabs>
          <w:tab w:val="left" w:pos="851"/>
        </w:tabs>
        <w:ind w:left="851"/>
        <w:rPr>
          <w:sz w:val="24"/>
          <w:szCs w:val="24"/>
        </w:rPr>
      </w:pPr>
    </w:p>
    <w:p w14:paraId="6B4CE662" w14:textId="77777777" w:rsidR="00D404A6" w:rsidRPr="00D404A6" w:rsidRDefault="00D404A6" w:rsidP="00D404A6">
      <w:pPr>
        <w:tabs>
          <w:tab w:val="left" w:pos="851"/>
        </w:tabs>
        <w:ind w:left="851"/>
        <w:rPr>
          <w:sz w:val="24"/>
          <w:szCs w:val="24"/>
          <w:u w:val="single"/>
        </w:rPr>
      </w:pPr>
      <w:proofErr w:type="spellStart"/>
      <w:r w:rsidRPr="00D404A6">
        <w:rPr>
          <w:sz w:val="24"/>
          <w:szCs w:val="24"/>
          <w:u w:val="single"/>
        </w:rPr>
        <w:t>Voriconazol</w:t>
      </w:r>
      <w:proofErr w:type="spellEnd"/>
    </w:p>
    <w:p w14:paraId="002F3797" w14:textId="77777777" w:rsidR="00D404A6" w:rsidRPr="00D404A6" w:rsidRDefault="00D404A6" w:rsidP="00D404A6">
      <w:pPr>
        <w:tabs>
          <w:tab w:val="left" w:pos="851"/>
        </w:tabs>
        <w:ind w:left="851"/>
        <w:rPr>
          <w:sz w:val="24"/>
          <w:szCs w:val="24"/>
        </w:rPr>
      </w:pPr>
      <w:proofErr w:type="spellStart"/>
      <w:r w:rsidRPr="00D404A6">
        <w:rPr>
          <w:sz w:val="24"/>
          <w:szCs w:val="24"/>
        </w:rPr>
        <w:t>Omeprazol</w:t>
      </w:r>
      <w:proofErr w:type="spellEnd"/>
      <w:r w:rsidRPr="00D404A6">
        <w:rPr>
          <w:sz w:val="24"/>
          <w:szCs w:val="24"/>
        </w:rPr>
        <w:t xml:space="preserve"> (40 mg en gang daglig) øger </w:t>
      </w:r>
      <w:proofErr w:type="spellStart"/>
      <w:r w:rsidRPr="00D404A6">
        <w:rPr>
          <w:sz w:val="24"/>
          <w:szCs w:val="24"/>
        </w:rPr>
        <w:t>voriconazol</w:t>
      </w:r>
      <w:proofErr w:type="spellEnd"/>
      <w:r w:rsidRPr="00D404A6">
        <w:rPr>
          <w:sz w:val="24"/>
          <w:szCs w:val="24"/>
        </w:rPr>
        <w:t xml:space="preserve"> (et CYP2C19 substrat) </w:t>
      </w:r>
      <w:proofErr w:type="spellStart"/>
      <w:r w:rsidRPr="00D404A6">
        <w:rPr>
          <w:sz w:val="24"/>
          <w:szCs w:val="24"/>
        </w:rPr>
        <w:t>Cmax</w:t>
      </w:r>
      <w:proofErr w:type="spellEnd"/>
      <w:r w:rsidRPr="00D404A6">
        <w:rPr>
          <w:sz w:val="24"/>
          <w:szCs w:val="24"/>
        </w:rPr>
        <w:t xml:space="preserve"> og </w:t>
      </w:r>
      <w:proofErr w:type="spellStart"/>
      <w:r w:rsidRPr="00D404A6">
        <w:rPr>
          <w:sz w:val="24"/>
          <w:szCs w:val="24"/>
        </w:rPr>
        <w:t>AUCτ</w:t>
      </w:r>
      <w:proofErr w:type="spellEnd"/>
      <w:r w:rsidRPr="00D404A6">
        <w:rPr>
          <w:sz w:val="24"/>
          <w:szCs w:val="24"/>
        </w:rPr>
        <w:t xml:space="preserve"> med henholdsvis 15 % og 41 %.</w:t>
      </w:r>
    </w:p>
    <w:p w14:paraId="2E74443E" w14:textId="77777777" w:rsidR="00D404A6" w:rsidRPr="00D404A6" w:rsidRDefault="00D404A6" w:rsidP="00D404A6">
      <w:pPr>
        <w:tabs>
          <w:tab w:val="left" w:pos="851"/>
        </w:tabs>
        <w:ind w:left="851"/>
        <w:rPr>
          <w:sz w:val="24"/>
          <w:szCs w:val="24"/>
        </w:rPr>
      </w:pPr>
    </w:p>
    <w:p w14:paraId="3D6AD4B1" w14:textId="77777777" w:rsidR="00D404A6" w:rsidRPr="00D404A6" w:rsidRDefault="00D404A6" w:rsidP="00D404A6">
      <w:pPr>
        <w:tabs>
          <w:tab w:val="left" w:pos="851"/>
        </w:tabs>
        <w:ind w:left="851"/>
        <w:rPr>
          <w:sz w:val="24"/>
          <w:szCs w:val="24"/>
          <w:u w:val="single"/>
        </w:rPr>
      </w:pPr>
      <w:proofErr w:type="spellStart"/>
      <w:r w:rsidRPr="00D404A6">
        <w:rPr>
          <w:sz w:val="24"/>
          <w:szCs w:val="24"/>
          <w:u w:val="single"/>
        </w:rPr>
        <w:t>Cilostazol</w:t>
      </w:r>
      <w:proofErr w:type="spellEnd"/>
    </w:p>
    <w:p w14:paraId="466E6E2E" w14:textId="77777777" w:rsidR="00D404A6" w:rsidRPr="00D404A6" w:rsidRDefault="00D404A6" w:rsidP="00D404A6">
      <w:pPr>
        <w:tabs>
          <w:tab w:val="left" w:pos="851"/>
        </w:tabs>
        <w:ind w:left="851"/>
        <w:rPr>
          <w:sz w:val="24"/>
          <w:szCs w:val="24"/>
        </w:rPr>
      </w:pPr>
      <w:proofErr w:type="spellStart"/>
      <w:r w:rsidRPr="00D404A6">
        <w:rPr>
          <w:sz w:val="24"/>
          <w:szCs w:val="24"/>
        </w:rPr>
        <w:t>Omeprazol</w:t>
      </w:r>
      <w:proofErr w:type="spellEnd"/>
      <w:r w:rsidRPr="00D404A6">
        <w:rPr>
          <w:sz w:val="24"/>
          <w:szCs w:val="24"/>
        </w:rPr>
        <w:t xml:space="preserve"> og ligeledes </w:t>
      </w:r>
      <w:proofErr w:type="spellStart"/>
      <w:r w:rsidRPr="00D404A6">
        <w:rPr>
          <w:sz w:val="24"/>
          <w:szCs w:val="24"/>
        </w:rPr>
        <w:t>esomeprazol</w:t>
      </w:r>
      <w:proofErr w:type="spellEnd"/>
      <w:r w:rsidRPr="00D404A6">
        <w:rPr>
          <w:sz w:val="24"/>
          <w:szCs w:val="24"/>
        </w:rPr>
        <w:t xml:space="preserve"> er begge inhibitorer af CYP2C19 enzymsystemet. </w:t>
      </w:r>
      <w:proofErr w:type="spellStart"/>
      <w:r w:rsidRPr="00D404A6">
        <w:rPr>
          <w:sz w:val="24"/>
          <w:szCs w:val="24"/>
        </w:rPr>
        <w:t>Omeprazol</w:t>
      </w:r>
      <w:proofErr w:type="spellEnd"/>
      <w:r w:rsidRPr="00D404A6">
        <w:rPr>
          <w:sz w:val="24"/>
          <w:szCs w:val="24"/>
        </w:rPr>
        <w:t xml:space="preserve"> givet i 40 mg dosis, givet til raske frivillige, viste i et crossover-studie øget </w:t>
      </w:r>
      <w:proofErr w:type="spellStart"/>
      <w:r w:rsidRPr="00D404A6">
        <w:rPr>
          <w:sz w:val="24"/>
          <w:szCs w:val="24"/>
        </w:rPr>
        <w:t>Cmax</w:t>
      </w:r>
      <w:proofErr w:type="spellEnd"/>
      <w:r w:rsidRPr="00D404A6">
        <w:rPr>
          <w:sz w:val="24"/>
          <w:szCs w:val="24"/>
        </w:rPr>
        <w:t xml:space="preserve"> og AUC for </w:t>
      </w:r>
      <w:proofErr w:type="spellStart"/>
      <w:r w:rsidRPr="00D404A6">
        <w:rPr>
          <w:sz w:val="24"/>
          <w:szCs w:val="24"/>
        </w:rPr>
        <w:t>cilostazol</w:t>
      </w:r>
      <w:proofErr w:type="spellEnd"/>
      <w:r w:rsidRPr="00D404A6">
        <w:rPr>
          <w:sz w:val="24"/>
          <w:szCs w:val="24"/>
        </w:rPr>
        <w:t xml:space="preserve"> på hhv. 18% og 26% og øgning af den aktive metabolit med hhv. 29% og 69%</w:t>
      </w:r>
    </w:p>
    <w:p w14:paraId="1585B96C" w14:textId="77777777" w:rsidR="00D404A6" w:rsidRPr="00D404A6" w:rsidRDefault="00D404A6" w:rsidP="00D404A6">
      <w:pPr>
        <w:tabs>
          <w:tab w:val="left" w:pos="851"/>
        </w:tabs>
        <w:ind w:left="851"/>
        <w:rPr>
          <w:sz w:val="24"/>
          <w:szCs w:val="24"/>
        </w:rPr>
      </w:pPr>
    </w:p>
    <w:p w14:paraId="46272E7D" w14:textId="77777777" w:rsidR="00D404A6" w:rsidRPr="00D404A6" w:rsidRDefault="00D404A6" w:rsidP="00D404A6">
      <w:pPr>
        <w:tabs>
          <w:tab w:val="left" w:pos="851"/>
        </w:tabs>
        <w:ind w:left="851"/>
        <w:rPr>
          <w:sz w:val="24"/>
          <w:szCs w:val="24"/>
          <w:u w:val="single"/>
        </w:rPr>
      </w:pPr>
      <w:proofErr w:type="spellStart"/>
      <w:r w:rsidRPr="00D404A6">
        <w:rPr>
          <w:sz w:val="24"/>
          <w:szCs w:val="24"/>
          <w:u w:val="single"/>
        </w:rPr>
        <w:t>Cisaprid</w:t>
      </w:r>
      <w:proofErr w:type="spellEnd"/>
    </w:p>
    <w:p w14:paraId="682F4B79" w14:textId="77777777" w:rsidR="00D404A6" w:rsidRPr="00D404A6" w:rsidRDefault="00D404A6" w:rsidP="00D404A6">
      <w:pPr>
        <w:tabs>
          <w:tab w:val="left" w:pos="851"/>
        </w:tabs>
        <w:ind w:left="851"/>
        <w:rPr>
          <w:sz w:val="24"/>
          <w:szCs w:val="24"/>
        </w:rPr>
      </w:pPr>
      <w:r w:rsidRPr="00D404A6">
        <w:rPr>
          <w:sz w:val="24"/>
          <w:szCs w:val="24"/>
        </w:rPr>
        <w:t xml:space="preserve">Hos raske frivillige medførte samtidig oral administration af 40 mg </w:t>
      </w:r>
      <w:proofErr w:type="spellStart"/>
      <w:r w:rsidRPr="00D404A6">
        <w:rPr>
          <w:sz w:val="24"/>
          <w:szCs w:val="24"/>
        </w:rPr>
        <w:t>esomeprazol</w:t>
      </w:r>
      <w:proofErr w:type="spellEnd"/>
      <w:r w:rsidRPr="00D404A6">
        <w:rPr>
          <w:sz w:val="24"/>
          <w:szCs w:val="24"/>
        </w:rPr>
        <w:t xml:space="preserve"> og </w:t>
      </w:r>
      <w:proofErr w:type="spellStart"/>
      <w:r w:rsidRPr="00D404A6">
        <w:rPr>
          <w:sz w:val="24"/>
          <w:szCs w:val="24"/>
        </w:rPr>
        <w:t>cisaprid</w:t>
      </w:r>
      <w:proofErr w:type="spellEnd"/>
      <w:r w:rsidRPr="00D404A6">
        <w:rPr>
          <w:sz w:val="24"/>
          <w:szCs w:val="24"/>
        </w:rPr>
        <w:t xml:space="preserve"> en stigning på 32 % i arealet under plasma-koncentrations-tidskurven (AUC) og en forlængelse af eliminationshalveringstiden (t½) på 31 %, men der sås ingen signifikant stigning i </w:t>
      </w:r>
      <w:proofErr w:type="spellStart"/>
      <w:r w:rsidRPr="00D404A6">
        <w:rPr>
          <w:sz w:val="24"/>
          <w:szCs w:val="24"/>
        </w:rPr>
        <w:t>cisaprids</w:t>
      </w:r>
      <w:proofErr w:type="spellEnd"/>
      <w:r w:rsidRPr="00D404A6">
        <w:rPr>
          <w:sz w:val="24"/>
          <w:szCs w:val="24"/>
        </w:rPr>
        <w:t xml:space="preserve"> peak plasma-niveau. Det let forlængede </w:t>
      </w:r>
      <w:proofErr w:type="spellStart"/>
      <w:r w:rsidRPr="00D404A6">
        <w:rPr>
          <w:sz w:val="24"/>
          <w:szCs w:val="24"/>
        </w:rPr>
        <w:t>QTc</w:t>
      </w:r>
      <w:proofErr w:type="spellEnd"/>
      <w:r w:rsidRPr="00D404A6">
        <w:rPr>
          <w:sz w:val="24"/>
          <w:szCs w:val="24"/>
        </w:rPr>
        <w:t xml:space="preserve"> interval, som blev observeret efter administration af </w:t>
      </w:r>
      <w:proofErr w:type="spellStart"/>
      <w:r w:rsidRPr="00D404A6">
        <w:rPr>
          <w:sz w:val="24"/>
          <w:szCs w:val="24"/>
        </w:rPr>
        <w:t>cisaprid</w:t>
      </w:r>
      <w:proofErr w:type="spellEnd"/>
      <w:r w:rsidRPr="00D404A6">
        <w:rPr>
          <w:sz w:val="24"/>
          <w:szCs w:val="24"/>
        </w:rPr>
        <w:t xml:space="preserve"> alene, var ikke yderligere forlænget, når </w:t>
      </w:r>
      <w:proofErr w:type="spellStart"/>
      <w:r w:rsidRPr="00D404A6">
        <w:rPr>
          <w:sz w:val="24"/>
          <w:szCs w:val="24"/>
        </w:rPr>
        <w:t>cisaprid</w:t>
      </w:r>
      <w:proofErr w:type="spellEnd"/>
      <w:r w:rsidRPr="00D404A6">
        <w:rPr>
          <w:sz w:val="24"/>
          <w:szCs w:val="24"/>
        </w:rPr>
        <w:t xml:space="preserve"> blev givet i kombination med </w:t>
      </w:r>
      <w:proofErr w:type="spellStart"/>
      <w:r w:rsidRPr="00D404A6">
        <w:rPr>
          <w:sz w:val="24"/>
          <w:szCs w:val="24"/>
        </w:rPr>
        <w:t>esomeprazol</w:t>
      </w:r>
      <w:proofErr w:type="spellEnd"/>
      <w:r w:rsidRPr="00D404A6">
        <w:rPr>
          <w:sz w:val="24"/>
          <w:szCs w:val="24"/>
        </w:rPr>
        <w:t>.</w:t>
      </w:r>
    </w:p>
    <w:p w14:paraId="796F4788" w14:textId="77777777" w:rsidR="00D404A6" w:rsidRPr="00D404A6" w:rsidRDefault="00D404A6" w:rsidP="00D404A6">
      <w:pPr>
        <w:tabs>
          <w:tab w:val="left" w:pos="851"/>
        </w:tabs>
        <w:ind w:left="851"/>
        <w:rPr>
          <w:sz w:val="24"/>
          <w:szCs w:val="24"/>
        </w:rPr>
      </w:pPr>
    </w:p>
    <w:p w14:paraId="3D181FCC" w14:textId="77777777" w:rsidR="00D404A6" w:rsidRPr="00D404A6" w:rsidRDefault="00D404A6" w:rsidP="00D404A6">
      <w:pPr>
        <w:tabs>
          <w:tab w:val="left" w:pos="851"/>
        </w:tabs>
        <w:ind w:left="851"/>
        <w:rPr>
          <w:sz w:val="24"/>
          <w:szCs w:val="24"/>
          <w:u w:val="single"/>
        </w:rPr>
      </w:pPr>
      <w:proofErr w:type="spellStart"/>
      <w:r w:rsidRPr="00D404A6">
        <w:rPr>
          <w:sz w:val="24"/>
          <w:szCs w:val="24"/>
          <w:u w:val="single"/>
        </w:rPr>
        <w:t>Warfarin</w:t>
      </w:r>
      <w:proofErr w:type="spellEnd"/>
    </w:p>
    <w:p w14:paraId="6188A475" w14:textId="77777777" w:rsidR="00D404A6" w:rsidRPr="00D404A6" w:rsidRDefault="00D404A6" w:rsidP="00D404A6">
      <w:pPr>
        <w:tabs>
          <w:tab w:val="left" w:pos="851"/>
        </w:tabs>
        <w:ind w:left="851"/>
        <w:rPr>
          <w:sz w:val="24"/>
          <w:szCs w:val="24"/>
        </w:rPr>
      </w:pPr>
      <w:r w:rsidRPr="00D404A6">
        <w:rPr>
          <w:sz w:val="24"/>
          <w:szCs w:val="24"/>
        </w:rPr>
        <w:t xml:space="preserve">I et klinisk studie viste samtidig oral administration af 40 mg </w:t>
      </w:r>
      <w:proofErr w:type="spellStart"/>
      <w:r w:rsidRPr="00D404A6">
        <w:rPr>
          <w:sz w:val="24"/>
          <w:szCs w:val="24"/>
        </w:rPr>
        <w:t>esomeprazol</w:t>
      </w:r>
      <w:proofErr w:type="spellEnd"/>
      <w:r w:rsidRPr="00D404A6">
        <w:rPr>
          <w:sz w:val="24"/>
          <w:szCs w:val="24"/>
        </w:rPr>
        <w:t xml:space="preserve"> til patienter i </w:t>
      </w:r>
      <w:proofErr w:type="spellStart"/>
      <w:r w:rsidRPr="00D404A6">
        <w:rPr>
          <w:sz w:val="24"/>
          <w:szCs w:val="24"/>
        </w:rPr>
        <w:t>warfarinbehandling</w:t>
      </w:r>
      <w:proofErr w:type="spellEnd"/>
      <w:r w:rsidRPr="00D404A6">
        <w:rPr>
          <w:sz w:val="24"/>
          <w:szCs w:val="24"/>
        </w:rPr>
        <w:t xml:space="preserve">, at koagulationstiden lå indenfor det accepterede tidsinterval. Få isolerede postmarketing rapporter har dog vist en klinisk signifikant øget INR ved samtidig behandling. Monitorering anbefales ved initiering og afslutning af samtidig </w:t>
      </w:r>
      <w:proofErr w:type="spellStart"/>
      <w:r w:rsidRPr="00D404A6">
        <w:rPr>
          <w:sz w:val="24"/>
          <w:szCs w:val="24"/>
        </w:rPr>
        <w:t>esomeprazolbehandling</w:t>
      </w:r>
      <w:proofErr w:type="spellEnd"/>
      <w:r w:rsidRPr="00D404A6">
        <w:rPr>
          <w:sz w:val="24"/>
          <w:szCs w:val="24"/>
        </w:rPr>
        <w:t xml:space="preserve"> under behandling med </w:t>
      </w:r>
      <w:proofErr w:type="spellStart"/>
      <w:r w:rsidRPr="00D404A6">
        <w:rPr>
          <w:sz w:val="24"/>
          <w:szCs w:val="24"/>
        </w:rPr>
        <w:t>warfarin</w:t>
      </w:r>
      <w:proofErr w:type="spellEnd"/>
      <w:r w:rsidRPr="00D404A6">
        <w:rPr>
          <w:sz w:val="24"/>
          <w:szCs w:val="24"/>
        </w:rPr>
        <w:t xml:space="preserve"> eller andre </w:t>
      </w:r>
      <w:proofErr w:type="spellStart"/>
      <w:r w:rsidRPr="00D404A6">
        <w:rPr>
          <w:sz w:val="24"/>
          <w:szCs w:val="24"/>
        </w:rPr>
        <w:t>coumarin</w:t>
      </w:r>
      <w:proofErr w:type="spellEnd"/>
      <w:r w:rsidRPr="00D404A6">
        <w:rPr>
          <w:sz w:val="24"/>
          <w:szCs w:val="24"/>
        </w:rPr>
        <w:t xml:space="preserve"> derivater.</w:t>
      </w:r>
    </w:p>
    <w:p w14:paraId="521A040E" w14:textId="77777777" w:rsidR="00D404A6" w:rsidRPr="00D404A6" w:rsidRDefault="00D404A6" w:rsidP="00D404A6">
      <w:pPr>
        <w:tabs>
          <w:tab w:val="left" w:pos="851"/>
        </w:tabs>
        <w:ind w:left="851"/>
        <w:rPr>
          <w:sz w:val="24"/>
          <w:szCs w:val="24"/>
        </w:rPr>
      </w:pPr>
    </w:p>
    <w:p w14:paraId="4B1A67F9" w14:textId="77777777" w:rsidR="00D404A6" w:rsidRPr="00D404A6" w:rsidRDefault="00D404A6" w:rsidP="00D404A6">
      <w:pPr>
        <w:tabs>
          <w:tab w:val="left" w:pos="851"/>
        </w:tabs>
        <w:ind w:left="851"/>
        <w:rPr>
          <w:sz w:val="24"/>
          <w:szCs w:val="24"/>
          <w:u w:val="single"/>
        </w:rPr>
      </w:pPr>
      <w:proofErr w:type="spellStart"/>
      <w:r w:rsidRPr="00D404A6">
        <w:rPr>
          <w:sz w:val="24"/>
          <w:szCs w:val="24"/>
          <w:u w:val="single"/>
        </w:rPr>
        <w:t>Clopidogrel</w:t>
      </w:r>
      <w:proofErr w:type="spellEnd"/>
    </w:p>
    <w:p w14:paraId="4F13A1F5" w14:textId="77777777" w:rsidR="00D404A6" w:rsidRPr="00D404A6" w:rsidRDefault="00D404A6" w:rsidP="00D404A6">
      <w:pPr>
        <w:tabs>
          <w:tab w:val="left" w:pos="851"/>
        </w:tabs>
        <w:ind w:left="851"/>
        <w:rPr>
          <w:sz w:val="24"/>
          <w:szCs w:val="24"/>
        </w:rPr>
      </w:pPr>
      <w:r w:rsidRPr="00D404A6">
        <w:rPr>
          <w:sz w:val="24"/>
          <w:szCs w:val="24"/>
        </w:rPr>
        <w:t xml:space="preserve">Resultater fra undersøgelser af raske forsøgspersoner har vist en </w:t>
      </w:r>
      <w:proofErr w:type="spellStart"/>
      <w:r w:rsidRPr="00D404A6">
        <w:rPr>
          <w:sz w:val="24"/>
          <w:szCs w:val="24"/>
        </w:rPr>
        <w:t>farmakokinetisk</w:t>
      </w:r>
      <w:proofErr w:type="spellEnd"/>
      <w:r w:rsidRPr="00D404A6">
        <w:rPr>
          <w:sz w:val="24"/>
          <w:szCs w:val="24"/>
        </w:rPr>
        <w:t>/</w:t>
      </w:r>
      <w:proofErr w:type="spellStart"/>
      <w:r w:rsidRPr="00D404A6">
        <w:rPr>
          <w:sz w:val="24"/>
          <w:szCs w:val="24"/>
        </w:rPr>
        <w:t>farmakodynamisk</w:t>
      </w:r>
      <w:proofErr w:type="spellEnd"/>
      <w:r w:rsidRPr="00D404A6">
        <w:rPr>
          <w:sz w:val="24"/>
          <w:szCs w:val="24"/>
        </w:rPr>
        <w:t xml:space="preserve"> interaktion mellem </w:t>
      </w:r>
      <w:proofErr w:type="spellStart"/>
      <w:r w:rsidRPr="00D404A6">
        <w:rPr>
          <w:sz w:val="24"/>
          <w:szCs w:val="24"/>
        </w:rPr>
        <w:t>clopidogrel</w:t>
      </w:r>
      <w:proofErr w:type="spellEnd"/>
      <w:r w:rsidRPr="00D404A6">
        <w:rPr>
          <w:sz w:val="24"/>
          <w:szCs w:val="24"/>
        </w:rPr>
        <w:t xml:space="preserve"> (300 mg initialdosis/75 mg daglig vedligeholdelsesdosis) og </w:t>
      </w:r>
      <w:proofErr w:type="spellStart"/>
      <w:r w:rsidRPr="00D404A6">
        <w:rPr>
          <w:sz w:val="24"/>
          <w:szCs w:val="24"/>
        </w:rPr>
        <w:t>esomeprazol</w:t>
      </w:r>
      <w:proofErr w:type="spellEnd"/>
      <w:r w:rsidRPr="00D404A6">
        <w:rPr>
          <w:sz w:val="24"/>
          <w:szCs w:val="24"/>
        </w:rPr>
        <w:t xml:space="preserve"> (40 mg daglig, oral anvendelse), som resulterer i en nedsat eksponering på gennemsnitligt 40% af den aktive metabolit af </w:t>
      </w:r>
      <w:proofErr w:type="spellStart"/>
      <w:r w:rsidRPr="00D404A6">
        <w:rPr>
          <w:sz w:val="24"/>
          <w:szCs w:val="24"/>
        </w:rPr>
        <w:t>clopidogrel</w:t>
      </w:r>
      <w:proofErr w:type="spellEnd"/>
      <w:r w:rsidRPr="00D404A6">
        <w:rPr>
          <w:sz w:val="24"/>
          <w:szCs w:val="24"/>
        </w:rPr>
        <w:t xml:space="preserve"> samt reducerer af den maksimale hæmning af (ADP-induceret) </w:t>
      </w:r>
      <w:proofErr w:type="spellStart"/>
      <w:r w:rsidRPr="00D404A6">
        <w:rPr>
          <w:sz w:val="24"/>
          <w:szCs w:val="24"/>
        </w:rPr>
        <w:t>trombocytaggregation</w:t>
      </w:r>
      <w:proofErr w:type="spellEnd"/>
      <w:r w:rsidRPr="00D404A6">
        <w:rPr>
          <w:sz w:val="24"/>
          <w:szCs w:val="24"/>
        </w:rPr>
        <w:t xml:space="preserve"> med gennemsnitligt 14%.</w:t>
      </w:r>
    </w:p>
    <w:p w14:paraId="3F39206D" w14:textId="77777777" w:rsidR="00D404A6" w:rsidRPr="00D404A6" w:rsidRDefault="00D404A6" w:rsidP="00D404A6">
      <w:pPr>
        <w:tabs>
          <w:tab w:val="left" w:pos="851"/>
        </w:tabs>
        <w:ind w:left="851"/>
        <w:rPr>
          <w:sz w:val="24"/>
          <w:szCs w:val="24"/>
        </w:rPr>
      </w:pPr>
    </w:p>
    <w:p w14:paraId="0D9DC912" w14:textId="77777777" w:rsidR="00D404A6" w:rsidRPr="00D404A6" w:rsidRDefault="00D404A6" w:rsidP="00D404A6">
      <w:pPr>
        <w:tabs>
          <w:tab w:val="left" w:pos="851"/>
        </w:tabs>
        <w:ind w:left="851"/>
        <w:rPr>
          <w:sz w:val="24"/>
          <w:szCs w:val="24"/>
        </w:rPr>
      </w:pPr>
      <w:r w:rsidRPr="00D404A6">
        <w:rPr>
          <w:sz w:val="24"/>
          <w:szCs w:val="24"/>
        </w:rPr>
        <w:t xml:space="preserve">Når </w:t>
      </w:r>
      <w:proofErr w:type="spellStart"/>
      <w:r w:rsidRPr="00D404A6">
        <w:rPr>
          <w:sz w:val="24"/>
          <w:szCs w:val="24"/>
        </w:rPr>
        <w:t>clopidogrel</w:t>
      </w:r>
      <w:proofErr w:type="spellEnd"/>
      <w:r w:rsidRPr="00D404A6">
        <w:rPr>
          <w:sz w:val="24"/>
          <w:szCs w:val="24"/>
        </w:rPr>
        <w:t xml:space="preserve"> gives sammen med en fast kombination af </w:t>
      </w:r>
      <w:proofErr w:type="spellStart"/>
      <w:r w:rsidRPr="00D404A6">
        <w:rPr>
          <w:sz w:val="24"/>
          <w:szCs w:val="24"/>
        </w:rPr>
        <w:t>esomeprazol</w:t>
      </w:r>
      <w:proofErr w:type="spellEnd"/>
      <w:r w:rsidRPr="00D404A6">
        <w:rPr>
          <w:sz w:val="24"/>
          <w:szCs w:val="24"/>
        </w:rPr>
        <w:t xml:space="preserve"> 20 mg + ASA 81 mg dosis sammenlignet med </w:t>
      </w:r>
      <w:proofErr w:type="spellStart"/>
      <w:r w:rsidRPr="00D404A6">
        <w:rPr>
          <w:sz w:val="24"/>
          <w:szCs w:val="24"/>
        </w:rPr>
        <w:t>clopidogrel</w:t>
      </w:r>
      <w:proofErr w:type="spellEnd"/>
      <w:r w:rsidRPr="00D404A6">
        <w:rPr>
          <w:sz w:val="24"/>
          <w:szCs w:val="24"/>
        </w:rPr>
        <w:t xml:space="preserve"> alene, i et studie med raske forsøgspersoner observeredes der en reduceret eksponering på næsten 40% af den aktive metabolit af </w:t>
      </w:r>
      <w:proofErr w:type="spellStart"/>
      <w:r w:rsidRPr="00D404A6">
        <w:rPr>
          <w:sz w:val="24"/>
          <w:szCs w:val="24"/>
        </w:rPr>
        <w:t>clopidogrel</w:t>
      </w:r>
      <w:proofErr w:type="spellEnd"/>
      <w:r w:rsidRPr="00D404A6">
        <w:rPr>
          <w:sz w:val="24"/>
          <w:szCs w:val="24"/>
        </w:rPr>
        <w:t xml:space="preserve">. Men den maksimale hæmning af (ADP-induceret) </w:t>
      </w:r>
      <w:proofErr w:type="spellStart"/>
      <w:r w:rsidRPr="00D404A6">
        <w:rPr>
          <w:sz w:val="24"/>
          <w:szCs w:val="24"/>
        </w:rPr>
        <w:t>trombocytaggregation</w:t>
      </w:r>
      <w:proofErr w:type="spellEnd"/>
      <w:r w:rsidRPr="00D404A6">
        <w:rPr>
          <w:sz w:val="24"/>
          <w:szCs w:val="24"/>
        </w:rPr>
        <w:t xml:space="preserve"> i disse individer, var den samme i </w:t>
      </w:r>
      <w:proofErr w:type="spellStart"/>
      <w:r w:rsidRPr="00D404A6">
        <w:rPr>
          <w:sz w:val="24"/>
          <w:szCs w:val="24"/>
        </w:rPr>
        <w:t>clopidogrelgruppen</w:t>
      </w:r>
      <w:proofErr w:type="spellEnd"/>
      <w:r w:rsidRPr="00D404A6">
        <w:rPr>
          <w:sz w:val="24"/>
          <w:szCs w:val="24"/>
        </w:rPr>
        <w:t xml:space="preserve"> og </w:t>
      </w:r>
      <w:proofErr w:type="spellStart"/>
      <w:r w:rsidRPr="00D404A6">
        <w:rPr>
          <w:sz w:val="24"/>
          <w:szCs w:val="24"/>
        </w:rPr>
        <w:t>clopidogrel</w:t>
      </w:r>
      <w:proofErr w:type="spellEnd"/>
      <w:r w:rsidRPr="00D404A6">
        <w:rPr>
          <w:sz w:val="24"/>
          <w:szCs w:val="24"/>
        </w:rPr>
        <w:t xml:space="preserve"> + den kombinerede (</w:t>
      </w:r>
      <w:proofErr w:type="spellStart"/>
      <w:r w:rsidRPr="00D404A6">
        <w:rPr>
          <w:sz w:val="24"/>
          <w:szCs w:val="24"/>
        </w:rPr>
        <w:t>esomeprazol</w:t>
      </w:r>
      <w:proofErr w:type="spellEnd"/>
      <w:r w:rsidRPr="00D404A6">
        <w:rPr>
          <w:sz w:val="24"/>
          <w:szCs w:val="24"/>
        </w:rPr>
        <w:t xml:space="preserve"> + ASA) produktgruppe.</w:t>
      </w:r>
    </w:p>
    <w:p w14:paraId="79377859" w14:textId="77777777" w:rsidR="00D404A6" w:rsidRPr="00D404A6" w:rsidRDefault="00D404A6" w:rsidP="00D404A6">
      <w:pPr>
        <w:tabs>
          <w:tab w:val="left" w:pos="851"/>
        </w:tabs>
        <w:ind w:left="851"/>
        <w:rPr>
          <w:sz w:val="24"/>
          <w:szCs w:val="24"/>
        </w:rPr>
      </w:pPr>
    </w:p>
    <w:p w14:paraId="6010F31A" w14:textId="77777777" w:rsidR="00D404A6" w:rsidRPr="00D404A6" w:rsidRDefault="00D404A6" w:rsidP="00D404A6">
      <w:pPr>
        <w:tabs>
          <w:tab w:val="left" w:pos="851"/>
        </w:tabs>
        <w:ind w:left="851"/>
        <w:rPr>
          <w:sz w:val="24"/>
          <w:szCs w:val="24"/>
        </w:rPr>
      </w:pPr>
      <w:r w:rsidRPr="00D404A6">
        <w:rPr>
          <w:sz w:val="24"/>
          <w:szCs w:val="24"/>
        </w:rPr>
        <w:t xml:space="preserve">Inkonsistente data om de kliniske implikationer af en PK/PD-interaktion af </w:t>
      </w:r>
      <w:proofErr w:type="spellStart"/>
      <w:r w:rsidRPr="00D404A6">
        <w:rPr>
          <w:sz w:val="24"/>
          <w:szCs w:val="24"/>
        </w:rPr>
        <w:t>esomeprazol</w:t>
      </w:r>
      <w:proofErr w:type="spellEnd"/>
      <w:r w:rsidRPr="00D404A6">
        <w:rPr>
          <w:sz w:val="24"/>
          <w:szCs w:val="24"/>
        </w:rPr>
        <w:t xml:space="preserve"> i form af større </w:t>
      </w:r>
      <w:proofErr w:type="spellStart"/>
      <w:r w:rsidRPr="00D404A6">
        <w:rPr>
          <w:sz w:val="24"/>
          <w:szCs w:val="24"/>
        </w:rPr>
        <w:t>kardiovaskulære</w:t>
      </w:r>
      <w:proofErr w:type="spellEnd"/>
      <w:r w:rsidRPr="00D404A6">
        <w:rPr>
          <w:sz w:val="24"/>
          <w:szCs w:val="24"/>
        </w:rPr>
        <w:t xml:space="preserve"> hændelser fra både observationsstudier og kliniske studier er blevet rapporteret. Som en forholdsregel frarådes samtidig anvendelse af </w:t>
      </w:r>
      <w:proofErr w:type="spellStart"/>
      <w:r w:rsidRPr="00D404A6">
        <w:rPr>
          <w:sz w:val="24"/>
          <w:szCs w:val="24"/>
        </w:rPr>
        <w:t>clopidogrel</w:t>
      </w:r>
      <w:proofErr w:type="spellEnd"/>
      <w:r w:rsidRPr="00D404A6">
        <w:rPr>
          <w:sz w:val="24"/>
          <w:szCs w:val="24"/>
        </w:rPr>
        <w:t>.</w:t>
      </w:r>
    </w:p>
    <w:p w14:paraId="054B278E" w14:textId="1AA5D400" w:rsidR="00D404A6" w:rsidRDefault="00D404A6">
      <w:pPr>
        <w:rPr>
          <w:sz w:val="24"/>
          <w:szCs w:val="24"/>
        </w:rPr>
      </w:pPr>
      <w:r>
        <w:rPr>
          <w:sz w:val="24"/>
          <w:szCs w:val="24"/>
        </w:rPr>
        <w:br w:type="page"/>
      </w:r>
    </w:p>
    <w:p w14:paraId="66C2CB08" w14:textId="77777777" w:rsidR="00D404A6" w:rsidRPr="00D404A6" w:rsidRDefault="00D404A6" w:rsidP="00D404A6">
      <w:pPr>
        <w:tabs>
          <w:tab w:val="left" w:pos="851"/>
        </w:tabs>
        <w:ind w:left="851"/>
        <w:rPr>
          <w:sz w:val="24"/>
          <w:szCs w:val="24"/>
        </w:rPr>
      </w:pPr>
    </w:p>
    <w:p w14:paraId="2F3936C6" w14:textId="77777777" w:rsidR="00D404A6" w:rsidRPr="00D404A6" w:rsidRDefault="00D404A6" w:rsidP="00D404A6">
      <w:pPr>
        <w:tabs>
          <w:tab w:val="left" w:pos="851"/>
        </w:tabs>
        <w:ind w:left="851"/>
        <w:rPr>
          <w:sz w:val="24"/>
          <w:szCs w:val="24"/>
          <w:u w:val="single"/>
        </w:rPr>
      </w:pPr>
      <w:r w:rsidRPr="00D404A6">
        <w:rPr>
          <w:sz w:val="24"/>
          <w:szCs w:val="24"/>
          <w:u w:val="single"/>
        </w:rPr>
        <w:t>Undersøgte lægemidler uden klinisk relevante interaktioner</w:t>
      </w:r>
    </w:p>
    <w:p w14:paraId="40F708A5" w14:textId="77777777" w:rsidR="00D404A6" w:rsidRPr="00D404A6" w:rsidRDefault="00D404A6" w:rsidP="00D404A6">
      <w:pPr>
        <w:tabs>
          <w:tab w:val="left" w:pos="851"/>
        </w:tabs>
        <w:ind w:left="851"/>
        <w:rPr>
          <w:sz w:val="24"/>
          <w:szCs w:val="24"/>
        </w:rPr>
      </w:pPr>
    </w:p>
    <w:p w14:paraId="60137D0D" w14:textId="77777777" w:rsidR="00D404A6" w:rsidRPr="00D404A6" w:rsidRDefault="00D404A6" w:rsidP="00D404A6">
      <w:pPr>
        <w:tabs>
          <w:tab w:val="left" w:pos="851"/>
        </w:tabs>
        <w:ind w:left="851"/>
        <w:rPr>
          <w:i/>
          <w:iCs/>
          <w:sz w:val="24"/>
          <w:szCs w:val="24"/>
          <w:u w:val="single"/>
        </w:rPr>
      </w:pPr>
      <w:proofErr w:type="spellStart"/>
      <w:r w:rsidRPr="00D404A6">
        <w:rPr>
          <w:i/>
          <w:iCs/>
          <w:sz w:val="24"/>
          <w:szCs w:val="24"/>
          <w:u w:val="single"/>
        </w:rPr>
        <w:t>Amoxicillin</w:t>
      </w:r>
      <w:proofErr w:type="spellEnd"/>
      <w:r w:rsidRPr="00D404A6">
        <w:rPr>
          <w:i/>
          <w:iCs/>
          <w:sz w:val="24"/>
          <w:szCs w:val="24"/>
          <w:u w:val="single"/>
        </w:rPr>
        <w:t xml:space="preserve"> eller </w:t>
      </w:r>
      <w:proofErr w:type="spellStart"/>
      <w:r w:rsidRPr="00D404A6">
        <w:rPr>
          <w:i/>
          <w:iCs/>
          <w:sz w:val="24"/>
          <w:szCs w:val="24"/>
          <w:u w:val="single"/>
        </w:rPr>
        <w:t>quinidin</w:t>
      </w:r>
      <w:proofErr w:type="spellEnd"/>
    </w:p>
    <w:p w14:paraId="66B15721" w14:textId="77777777" w:rsidR="00D404A6" w:rsidRPr="00D404A6" w:rsidRDefault="00D404A6" w:rsidP="00D404A6">
      <w:pPr>
        <w:tabs>
          <w:tab w:val="left" w:pos="851"/>
        </w:tabs>
        <w:ind w:left="851"/>
        <w:rPr>
          <w:sz w:val="24"/>
          <w:szCs w:val="24"/>
        </w:rPr>
      </w:pPr>
      <w:proofErr w:type="spellStart"/>
      <w:r w:rsidRPr="00D404A6">
        <w:rPr>
          <w:sz w:val="24"/>
          <w:szCs w:val="24"/>
        </w:rPr>
        <w:t>Esomeprazol</w:t>
      </w:r>
      <w:proofErr w:type="spellEnd"/>
      <w:r w:rsidRPr="00D404A6">
        <w:rPr>
          <w:sz w:val="24"/>
          <w:szCs w:val="24"/>
        </w:rPr>
        <w:t xml:space="preserve"> har ikke vist nogen klinisk relevant virkning på farmakokinetikken af </w:t>
      </w:r>
      <w:proofErr w:type="spellStart"/>
      <w:r w:rsidRPr="00D404A6">
        <w:rPr>
          <w:sz w:val="24"/>
          <w:szCs w:val="24"/>
        </w:rPr>
        <w:t>amoxicillin</w:t>
      </w:r>
      <w:proofErr w:type="spellEnd"/>
      <w:r w:rsidRPr="00D404A6">
        <w:rPr>
          <w:sz w:val="24"/>
          <w:szCs w:val="24"/>
        </w:rPr>
        <w:t xml:space="preserve"> eller </w:t>
      </w:r>
      <w:proofErr w:type="spellStart"/>
      <w:r w:rsidRPr="00D404A6">
        <w:rPr>
          <w:sz w:val="24"/>
          <w:szCs w:val="24"/>
        </w:rPr>
        <w:t>quinidin</w:t>
      </w:r>
      <w:proofErr w:type="spellEnd"/>
      <w:r w:rsidRPr="00D404A6">
        <w:rPr>
          <w:sz w:val="24"/>
          <w:szCs w:val="24"/>
        </w:rPr>
        <w:t>.</w:t>
      </w:r>
    </w:p>
    <w:p w14:paraId="3C686D0C" w14:textId="77777777" w:rsidR="00D404A6" w:rsidRPr="00D404A6" w:rsidRDefault="00D404A6" w:rsidP="00D404A6">
      <w:pPr>
        <w:tabs>
          <w:tab w:val="left" w:pos="851"/>
        </w:tabs>
        <w:ind w:left="851"/>
        <w:rPr>
          <w:sz w:val="24"/>
          <w:szCs w:val="24"/>
        </w:rPr>
      </w:pPr>
    </w:p>
    <w:p w14:paraId="0D2C39F5" w14:textId="77777777" w:rsidR="00D404A6" w:rsidRPr="00D404A6" w:rsidRDefault="00D404A6" w:rsidP="00D404A6">
      <w:pPr>
        <w:tabs>
          <w:tab w:val="left" w:pos="851"/>
        </w:tabs>
        <w:ind w:left="851"/>
        <w:rPr>
          <w:i/>
          <w:iCs/>
          <w:sz w:val="24"/>
          <w:szCs w:val="24"/>
          <w:u w:val="single"/>
        </w:rPr>
      </w:pPr>
      <w:proofErr w:type="spellStart"/>
      <w:r w:rsidRPr="00D404A6">
        <w:rPr>
          <w:i/>
          <w:iCs/>
          <w:sz w:val="24"/>
          <w:szCs w:val="24"/>
          <w:u w:val="single"/>
        </w:rPr>
        <w:t>Naproxen</w:t>
      </w:r>
      <w:proofErr w:type="spellEnd"/>
      <w:r w:rsidRPr="00D404A6">
        <w:rPr>
          <w:i/>
          <w:iCs/>
          <w:sz w:val="24"/>
          <w:szCs w:val="24"/>
          <w:u w:val="single"/>
        </w:rPr>
        <w:t xml:space="preserve"> eller </w:t>
      </w:r>
      <w:proofErr w:type="spellStart"/>
      <w:r w:rsidRPr="00D404A6">
        <w:rPr>
          <w:i/>
          <w:iCs/>
          <w:sz w:val="24"/>
          <w:szCs w:val="24"/>
          <w:u w:val="single"/>
        </w:rPr>
        <w:t>rofecoxib</w:t>
      </w:r>
      <w:proofErr w:type="spellEnd"/>
    </w:p>
    <w:p w14:paraId="74B82240" w14:textId="77777777" w:rsidR="00D404A6" w:rsidRPr="00D404A6" w:rsidRDefault="00D404A6" w:rsidP="00D404A6">
      <w:pPr>
        <w:tabs>
          <w:tab w:val="left" w:pos="851"/>
        </w:tabs>
        <w:ind w:left="851"/>
        <w:rPr>
          <w:sz w:val="24"/>
          <w:szCs w:val="24"/>
        </w:rPr>
      </w:pPr>
      <w:r w:rsidRPr="00D404A6">
        <w:rPr>
          <w:sz w:val="24"/>
          <w:szCs w:val="24"/>
        </w:rPr>
        <w:t xml:space="preserve">Undersøgelser som evaluerer samtidig administration af </w:t>
      </w:r>
      <w:proofErr w:type="spellStart"/>
      <w:r w:rsidRPr="00D404A6">
        <w:rPr>
          <w:sz w:val="24"/>
          <w:szCs w:val="24"/>
        </w:rPr>
        <w:t>esomeprazol</w:t>
      </w:r>
      <w:proofErr w:type="spellEnd"/>
      <w:r w:rsidRPr="00D404A6">
        <w:rPr>
          <w:sz w:val="24"/>
          <w:szCs w:val="24"/>
        </w:rPr>
        <w:t xml:space="preserve"> og enten </w:t>
      </w:r>
      <w:proofErr w:type="spellStart"/>
      <w:r w:rsidRPr="00D404A6">
        <w:rPr>
          <w:sz w:val="24"/>
          <w:szCs w:val="24"/>
        </w:rPr>
        <w:t>naproxen</w:t>
      </w:r>
      <w:proofErr w:type="spellEnd"/>
      <w:r w:rsidRPr="00D404A6">
        <w:rPr>
          <w:sz w:val="24"/>
          <w:szCs w:val="24"/>
        </w:rPr>
        <w:t xml:space="preserve"> eller </w:t>
      </w:r>
      <w:proofErr w:type="spellStart"/>
      <w:r w:rsidRPr="00D404A6">
        <w:rPr>
          <w:sz w:val="24"/>
          <w:szCs w:val="24"/>
        </w:rPr>
        <w:t>rofecoxib</w:t>
      </w:r>
      <w:proofErr w:type="spellEnd"/>
      <w:r w:rsidRPr="00D404A6">
        <w:rPr>
          <w:sz w:val="24"/>
          <w:szCs w:val="24"/>
        </w:rPr>
        <w:t xml:space="preserve">, viste ingen klinisk relevante </w:t>
      </w:r>
      <w:proofErr w:type="spellStart"/>
      <w:r w:rsidRPr="00D404A6">
        <w:rPr>
          <w:sz w:val="24"/>
          <w:szCs w:val="24"/>
        </w:rPr>
        <w:t>farmakokinetiske</w:t>
      </w:r>
      <w:proofErr w:type="spellEnd"/>
      <w:r w:rsidRPr="00D404A6">
        <w:rPr>
          <w:sz w:val="24"/>
          <w:szCs w:val="24"/>
        </w:rPr>
        <w:t xml:space="preserve"> interaktioner under kortvarige studier.</w:t>
      </w:r>
    </w:p>
    <w:p w14:paraId="5706DE92" w14:textId="77777777" w:rsidR="00D404A6" w:rsidRPr="00D404A6" w:rsidRDefault="00D404A6" w:rsidP="00D404A6">
      <w:pPr>
        <w:tabs>
          <w:tab w:val="left" w:pos="851"/>
        </w:tabs>
        <w:ind w:left="851"/>
        <w:rPr>
          <w:sz w:val="24"/>
          <w:szCs w:val="24"/>
        </w:rPr>
      </w:pPr>
    </w:p>
    <w:p w14:paraId="3D95617A" w14:textId="77777777" w:rsidR="00D404A6" w:rsidRPr="00D404A6" w:rsidRDefault="00D404A6" w:rsidP="00D404A6">
      <w:pPr>
        <w:tabs>
          <w:tab w:val="left" w:pos="851"/>
        </w:tabs>
        <w:ind w:left="851"/>
        <w:rPr>
          <w:b/>
          <w:sz w:val="24"/>
          <w:szCs w:val="24"/>
        </w:rPr>
      </w:pPr>
      <w:r w:rsidRPr="00D404A6">
        <w:rPr>
          <w:b/>
          <w:sz w:val="24"/>
          <w:szCs w:val="24"/>
        </w:rPr>
        <w:t xml:space="preserve">Andre lægemidlers virkninger på </w:t>
      </w:r>
      <w:proofErr w:type="spellStart"/>
      <w:r w:rsidRPr="00D404A6">
        <w:rPr>
          <w:b/>
          <w:sz w:val="24"/>
          <w:szCs w:val="24"/>
        </w:rPr>
        <w:t>esomeprazols</w:t>
      </w:r>
      <w:proofErr w:type="spellEnd"/>
      <w:r w:rsidRPr="00D404A6">
        <w:rPr>
          <w:b/>
          <w:sz w:val="24"/>
          <w:szCs w:val="24"/>
        </w:rPr>
        <w:t xml:space="preserve"> farmakokinetik</w:t>
      </w:r>
    </w:p>
    <w:p w14:paraId="79FBA31F" w14:textId="77777777" w:rsidR="00D404A6" w:rsidRDefault="00D404A6" w:rsidP="00D404A6">
      <w:pPr>
        <w:tabs>
          <w:tab w:val="left" w:pos="851"/>
        </w:tabs>
        <w:ind w:left="851"/>
        <w:rPr>
          <w:i/>
          <w:iCs/>
          <w:sz w:val="24"/>
          <w:szCs w:val="24"/>
        </w:rPr>
      </w:pPr>
    </w:p>
    <w:p w14:paraId="26C96861" w14:textId="59F3D33D" w:rsidR="00D404A6" w:rsidRPr="00D404A6" w:rsidRDefault="00D404A6" w:rsidP="00D404A6">
      <w:pPr>
        <w:tabs>
          <w:tab w:val="left" w:pos="851"/>
        </w:tabs>
        <w:ind w:left="851"/>
        <w:rPr>
          <w:i/>
          <w:iCs/>
          <w:sz w:val="24"/>
          <w:szCs w:val="24"/>
        </w:rPr>
      </w:pPr>
      <w:r w:rsidRPr="00D404A6">
        <w:rPr>
          <w:i/>
          <w:iCs/>
          <w:sz w:val="24"/>
          <w:szCs w:val="24"/>
        </w:rPr>
        <w:t>Lægemidler, der hæmmer CYP2C19 og / eller CYP3A4</w:t>
      </w:r>
    </w:p>
    <w:p w14:paraId="17B609A9" w14:textId="77777777" w:rsidR="00D404A6" w:rsidRPr="00D404A6" w:rsidRDefault="00D404A6" w:rsidP="00D404A6">
      <w:pPr>
        <w:tabs>
          <w:tab w:val="left" w:pos="851"/>
        </w:tabs>
        <w:ind w:left="851"/>
        <w:rPr>
          <w:sz w:val="24"/>
          <w:szCs w:val="24"/>
        </w:rPr>
      </w:pPr>
      <w:proofErr w:type="spellStart"/>
      <w:r w:rsidRPr="00D404A6">
        <w:rPr>
          <w:sz w:val="24"/>
          <w:szCs w:val="24"/>
        </w:rPr>
        <w:t>Esomeprazol</w:t>
      </w:r>
      <w:proofErr w:type="spellEnd"/>
      <w:r w:rsidRPr="00D404A6">
        <w:rPr>
          <w:sz w:val="24"/>
          <w:szCs w:val="24"/>
        </w:rPr>
        <w:t xml:space="preserve"> </w:t>
      </w:r>
      <w:proofErr w:type="spellStart"/>
      <w:r w:rsidRPr="00D404A6">
        <w:rPr>
          <w:sz w:val="24"/>
          <w:szCs w:val="24"/>
        </w:rPr>
        <w:t>metaboliseres</w:t>
      </w:r>
      <w:proofErr w:type="spellEnd"/>
      <w:r w:rsidRPr="00D404A6">
        <w:rPr>
          <w:sz w:val="24"/>
          <w:szCs w:val="24"/>
        </w:rPr>
        <w:t xml:space="preserve"> af CYP2C19 og CYP3A4. Samtidig oral administration af </w:t>
      </w:r>
      <w:proofErr w:type="spellStart"/>
      <w:r w:rsidRPr="00D404A6">
        <w:rPr>
          <w:sz w:val="24"/>
          <w:szCs w:val="24"/>
        </w:rPr>
        <w:t>esomeprazol</w:t>
      </w:r>
      <w:proofErr w:type="spellEnd"/>
      <w:r w:rsidRPr="00D404A6">
        <w:rPr>
          <w:sz w:val="24"/>
          <w:szCs w:val="24"/>
        </w:rPr>
        <w:t xml:space="preserve"> og en CYP3A4 hæmmer (</w:t>
      </w:r>
      <w:proofErr w:type="spellStart"/>
      <w:r w:rsidRPr="00D404A6">
        <w:rPr>
          <w:sz w:val="24"/>
          <w:szCs w:val="24"/>
        </w:rPr>
        <w:t>clarithromycin</w:t>
      </w:r>
      <w:proofErr w:type="spellEnd"/>
      <w:r w:rsidRPr="00D404A6">
        <w:rPr>
          <w:sz w:val="24"/>
          <w:szCs w:val="24"/>
        </w:rPr>
        <w:t xml:space="preserve"> 500 mg 2 gange dagligt), resulterede i en fordobling af eksponeringen for </w:t>
      </w:r>
      <w:proofErr w:type="spellStart"/>
      <w:r w:rsidRPr="00D404A6">
        <w:rPr>
          <w:sz w:val="24"/>
          <w:szCs w:val="24"/>
        </w:rPr>
        <w:t>esomeprazol</w:t>
      </w:r>
      <w:proofErr w:type="spellEnd"/>
      <w:r w:rsidRPr="00D404A6">
        <w:rPr>
          <w:sz w:val="24"/>
          <w:szCs w:val="24"/>
        </w:rPr>
        <w:t xml:space="preserve"> (AUC). Samtidig administration af </w:t>
      </w:r>
      <w:proofErr w:type="spellStart"/>
      <w:r w:rsidRPr="00D404A6">
        <w:rPr>
          <w:sz w:val="24"/>
          <w:szCs w:val="24"/>
        </w:rPr>
        <w:t>esomeprazol</w:t>
      </w:r>
      <w:proofErr w:type="spellEnd"/>
      <w:r w:rsidRPr="00D404A6">
        <w:rPr>
          <w:sz w:val="24"/>
          <w:szCs w:val="24"/>
        </w:rPr>
        <w:t xml:space="preserve"> og en kombineret inhibitor af CYP2C19 og CYP3A4 kan resultere i mere end en fordobling af </w:t>
      </w:r>
      <w:proofErr w:type="spellStart"/>
      <w:r w:rsidRPr="00D404A6">
        <w:rPr>
          <w:sz w:val="24"/>
          <w:szCs w:val="24"/>
        </w:rPr>
        <w:t>esomeprazol</w:t>
      </w:r>
      <w:proofErr w:type="spellEnd"/>
      <w:r w:rsidRPr="00D404A6">
        <w:rPr>
          <w:sz w:val="24"/>
          <w:szCs w:val="24"/>
        </w:rPr>
        <w:t xml:space="preserve"> eksponeringen. CYP2C19 og CYP3A4 inhibitoren </w:t>
      </w:r>
      <w:proofErr w:type="spellStart"/>
      <w:r w:rsidRPr="00D404A6">
        <w:rPr>
          <w:sz w:val="24"/>
          <w:szCs w:val="24"/>
        </w:rPr>
        <w:t>voriconazol</w:t>
      </w:r>
      <w:proofErr w:type="spellEnd"/>
      <w:r w:rsidRPr="00D404A6">
        <w:rPr>
          <w:sz w:val="24"/>
          <w:szCs w:val="24"/>
        </w:rPr>
        <w:t xml:space="preserve"> øgede </w:t>
      </w:r>
      <w:proofErr w:type="spellStart"/>
      <w:r w:rsidRPr="00D404A6">
        <w:rPr>
          <w:sz w:val="24"/>
          <w:szCs w:val="24"/>
        </w:rPr>
        <w:t>omeprazol</w:t>
      </w:r>
      <w:proofErr w:type="spellEnd"/>
      <w:r w:rsidRPr="00D404A6">
        <w:rPr>
          <w:sz w:val="24"/>
          <w:szCs w:val="24"/>
        </w:rPr>
        <w:t xml:space="preserve"> </w:t>
      </w:r>
      <w:proofErr w:type="spellStart"/>
      <w:r w:rsidRPr="00D404A6">
        <w:rPr>
          <w:sz w:val="24"/>
          <w:szCs w:val="24"/>
        </w:rPr>
        <w:t>AUCτ</w:t>
      </w:r>
      <w:proofErr w:type="spellEnd"/>
      <w:r w:rsidRPr="00D404A6">
        <w:rPr>
          <w:sz w:val="24"/>
          <w:szCs w:val="24"/>
        </w:rPr>
        <w:t xml:space="preserve"> med 280 %. En dosistilpasning af </w:t>
      </w:r>
      <w:proofErr w:type="spellStart"/>
      <w:r w:rsidRPr="00D404A6">
        <w:rPr>
          <w:sz w:val="24"/>
          <w:szCs w:val="24"/>
        </w:rPr>
        <w:t>esomeprazol</w:t>
      </w:r>
      <w:proofErr w:type="spellEnd"/>
      <w:r w:rsidRPr="00D404A6">
        <w:rPr>
          <w:sz w:val="24"/>
          <w:szCs w:val="24"/>
        </w:rPr>
        <w:t xml:space="preserve"> er normalt ikke nødvendig i nogle af disse situationer. Dog bør dosistilpasning overvejes hos patienter med alvorlig nyresvækkelse, og hvis langvarig behandling er indiceret.</w:t>
      </w:r>
    </w:p>
    <w:p w14:paraId="3D9D699E" w14:textId="77777777" w:rsidR="00D404A6" w:rsidRPr="00D404A6" w:rsidRDefault="00D404A6" w:rsidP="00D404A6">
      <w:pPr>
        <w:tabs>
          <w:tab w:val="left" w:pos="851"/>
        </w:tabs>
        <w:ind w:left="851"/>
        <w:rPr>
          <w:sz w:val="24"/>
          <w:szCs w:val="24"/>
        </w:rPr>
      </w:pPr>
    </w:p>
    <w:p w14:paraId="5AE9A857" w14:textId="77777777" w:rsidR="00D404A6" w:rsidRPr="00D404A6" w:rsidRDefault="00D404A6" w:rsidP="00D404A6">
      <w:pPr>
        <w:tabs>
          <w:tab w:val="left" w:pos="851"/>
        </w:tabs>
        <w:ind w:left="851"/>
        <w:rPr>
          <w:i/>
          <w:iCs/>
          <w:sz w:val="24"/>
          <w:szCs w:val="24"/>
        </w:rPr>
      </w:pPr>
      <w:r w:rsidRPr="00D404A6">
        <w:rPr>
          <w:i/>
          <w:iCs/>
          <w:sz w:val="24"/>
          <w:szCs w:val="24"/>
        </w:rPr>
        <w:t>Lægemidler, der inducerer CYP2C19 og / eller CYP3A4</w:t>
      </w:r>
    </w:p>
    <w:p w14:paraId="50EBF88E" w14:textId="77777777" w:rsidR="00D404A6" w:rsidRPr="00D404A6" w:rsidRDefault="00D404A6" w:rsidP="00D404A6">
      <w:pPr>
        <w:tabs>
          <w:tab w:val="left" w:pos="851"/>
        </w:tabs>
        <w:ind w:left="851"/>
        <w:rPr>
          <w:sz w:val="24"/>
          <w:szCs w:val="24"/>
        </w:rPr>
      </w:pPr>
      <w:r w:rsidRPr="00D404A6">
        <w:rPr>
          <w:sz w:val="24"/>
          <w:szCs w:val="24"/>
        </w:rPr>
        <w:t xml:space="preserve">Lægemidler, der vides at inducere CYP2C19 eller CYP3A4 eller begge (såsom </w:t>
      </w:r>
      <w:proofErr w:type="spellStart"/>
      <w:r w:rsidRPr="00D404A6">
        <w:rPr>
          <w:sz w:val="24"/>
          <w:szCs w:val="24"/>
        </w:rPr>
        <w:t>rifampicin</w:t>
      </w:r>
      <w:proofErr w:type="spellEnd"/>
      <w:r w:rsidRPr="00D404A6">
        <w:rPr>
          <w:sz w:val="24"/>
          <w:szCs w:val="24"/>
        </w:rPr>
        <w:t xml:space="preserve"> og perikum), kan medføre lavere serumniveauer af </w:t>
      </w:r>
      <w:proofErr w:type="spellStart"/>
      <w:r w:rsidRPr="00D404A6">
        <w:rPr>
          <w:sz w:val="24"/>
          <w:szCs w:val="24"/>
        </w:rPr>
        <w:t>esomeprazol</w:t>
      </w:r>
      <w:proofErr w:type="spellEnd"/>
      <w:r w:rsidRPr="00D404A6">
        <w:rPr>
          <w:sz w:val="24"/>
          <w:szCs w:val="24"/>
        </w:rPr>
        <w:t xml:space="preserve"> ved at øge </w:t>
      </w:r>
      <w:proofErr w:type="spellStart"/>
      <w:r w:rsidRPr="00D404A6">
        <w:rPr>
          <w:sz w:val="24"/>
          <w:szCs w:val="24"/>
        </w:rPr>
        <w:t>metaboliseringen</w:t>
      </w:r>
      <w:proofErr w:type="spellEnd"/>
      <w:r w:rsidRPr="00D404A6">
        <w:rPr>
          <w:sz w:val="24"/>
          <w:szCs w:val="24"/>
        </w:rPr>
        <w:t xml:space="preserve"> af </w:t>
      </w:r>
      <w:proofErr w:type="spellStart"/>
      <w:r w:rsidRPr="00D404A6">
        <w:rPr>
          <w:sz w:val="24"/>
          <w:szCs w:val="24"/>
        </w:rPr>
        <w:t>esomeprazol</w:t>
      </w:r>
      <w:proofErr w:type="spellEnd"/>
      <w:r w:rsidRPr="00D404A6">
        <w:rPr>
          <w:sz w:val="24"/>
          <w:szCs w:val="24"/>
        </w:rPr>
        <w:t>.</w:t>
      </w:r>
    </w:p>
    <w:p w14:paraId="07AB4F75" w14:textId="77777777" w:rsidR="00D404A6" w:rsidRPr="00D404A6" w:rsidRDefault="00D404A6" w:rsidP="00D404A6">
      <w:pPr>
        <w:tabs>
          <w:tab w:val="left" w:pos="851"/>
        </w:tabs>
        <w:ind w:left="851"/>
        <w:rPr>
          <w:i/>
          <w:sz w:val="24"/>
          <w:szCs w:val="24"/>
        </w:rPr>
      </w:pPr>
    </w:p>
    <w:p w14:paraId="5213F63F" w14:textId="77777777" w:rsidR="00D404A6" w:rsidRPr="00D404A6" w:rsidRDefault="00D404A6" w:rsidP="00D404A6">
      <w:pPr>
        <w:tabs>
          <w:tab w:val="left" w:pos="851"/>
        </w:tabs>
        <w:ind w:left="851"/>
        <w:rPr>
          <w:sz w:val="24"/>
          <w:szCs w:val="24"/>
          <w:u w:val="single"/>
        </w:rPr>
      </w:pPr>
      <w:r w:rsidRPr="00D404A6">
        <w:rPr>
          <w:sz w:val="24"/>
          <w:szCs w:val="24"/>
          <w:u w:val="single"/>
        </w:rPr>
        <w:t>Pædiatrisk population</w:t>
      </w:r>
    </w:p>
    <w:p w14:paraId="7BDD9E57" w14:textId="77777777" w:rsidR="00D404A6" w:rsidRPr="00D404A6" w:rsidRDefault="00D404A6" w:rsidP="00D404A6">
      <w:pPr>
        <w:tabs>
          <w:tab w:val="left" w:pos="851"/>
        </w:tabs>
        <w:ind w:left="851"/>
        <w:rPr>
          <w:sz w:val="24"/>
          <w:szCs w:val="24"/>
        </w:rPr>
      </w:pPr>
      <w:r w:rsidRPr="00D404A6">
        <w:rPr>
          <w:sz w:val="24"/>
          <w:szCs w:val="24"/>
        </w:rPr>
        <w:t>Interaktionsstudier er kun udført hos voksne.</w:t>
      </w:r>
    </w:p>
    <w:p w14:paraId="72FB1BD1" w14:textId="77777777" w:rsidR="009260DE" w:rsidRPr="00C84483" w:rsidRDefault="009260DE" w:rsidP="009260DE">
      <w:pPr>
        <w:tabs>
          <w:tab w:val="left" w:pos="851"/>
        </w:tabs>
        <w:ind w:left="851"/>
        <w:rPr>
          <w:sz w:val="24"/>
          <w:szCs w:val="24"/>
        </w:rPr>
      </w:pPr>
    </w:p>
    <w:p w14:paraId="266709E7"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376566C5" w14:textId="77777777" w:rsidR="008D5EB9" w:rsidRDefault="008D5EB9" w:rsidP="008D5EB9">
      <w:pPr>
        <w:tabs>
          <w:tab w:val="left" w:pos="851"/>
        </w:tabs>
        <w:ind w:left="851"/>
        <w:rPr>
          <w:sz w:val="24"/>
          <w:szCs w:val="24"/>
          <w:u w:val="single"/>
        </w:rPr>
      </w:pPr>
    </w:p>
    <w:p w14:paraId="20C9DC0D" w14:textId="4AF1C027" w:rsidR="008D5EB9" w:rsidRPr="008D5EB9" w:rsidRDefault="008D5EB9" w:rsidP="008D5EB9">
      <w:pPr>
        <w:tabs>
          <w:tab w:val="left" w:pos="851"/>
        </w:tabs>
        <w:ind w:left="851"/>
        <w:rPr>
          <w:sz w:val="24"/>
          <w:szCs w:val="24"/>
          <w:u w:val="single"/>
        </w:rPr>
      </w:pPr>
      <w:r w:rsidRPr="008D5EB9">
        <w:rPr>
          <w:sz w:val="24"/>
          <w:szCs w:val="24"/>
          <w:u w:val="single"/>
        </w:rPr>
        <w:t>Graviditet</w:t>
      </w:r>
    </w:p>
    <w:p w14:paraId="7B0BAC45" w14:textId="48245BCC" w:rsidR="008D5EB9" w:rsidRPr="008D5EB9" w:rsidRDefault="008D5EB9" w:rsidP="008D5EB9">
      <w:pPr>
        <w:tabs>
          <w:tab w:val="left" w:pos="851"/>
        </w:tabs>
        <w:ind w:left="851"/>
        <w:rPr>
          <w:sz w:val="24"/>
          <w:szCs w:val="24"/>
        </w:rPr>
      </w:pPr>
      <w:r w:rsidRPr="008D5EB9">
        <w:rPr>
          <w:sz w:val="24"/>
          <w:szCs w:val="24"/>
        </w:rPr>
        <w:t xml:space="preserve">Kliniske data for anvendelsen af </w:t>
      </w:r>
      <w:proofErr w:type="spellStart"/>
      <w:r w:rsidRPr="008D5EB9">
        <w:rPr>
          <w:sz w:val="24"/>
          <w:szCs w:val="24"/>
        </w:rPr>
        <w:t>esomeprazol</w:t>
      </w:r>
      <w:proofErr w:type="spellEnd"/>
      <w:r w:rsidRPr="008D5EB9">
        <w:rPr>
          <w:sz w:val="24"/>
          <w:szCs w:val="24"/>
        </w:rPr>
        <w:t xml:space="preserve"> til gravide er utilstrækkelige. Med den </w:t>
      </w:r>
      <w:proofErr w:type="spellStart"/>
      <w:r w:rsidRPr="008D5EB9">
        <w:rPr>
          <w:sz w:val="24"/>
          <w:szCs w:val="24"/>
        </w:rPr>
        <w:t>racemiske</w:t>
      </w:r>
      <w:proofErr w:type="spellEnd"/>
      <w:r w:rsidRPr="008D5EB9">
        <w:rPr>
          <w:sz w:val="24"/>
          <w:szCs w:val="24"/>
        </w:rPr>
        <w:t xml:space="preserve"> blanding, (</w:t>
      </w:r>
      <w:proofErr w:type="spellStart"/>
      <w:r w:rsidRPr="008D5EB9">
        <w:rPr>
          <w:sz w:val="24"/>
          <w:szCs w:val="24"/>
        </w:rPr>
        <w:t>omeprazol</w:t>
      </w:r>
      <w:proofErr w:type="spellEnd"/>
      <w:r w:rsidRPr="008D5EB9">
        <w:rPr>
          <w:sz w:val="24"/>
          <w:szCs w:val="24"/>
        </w:rPr>
        <w:t xml:space="preserve">) indikerer data på et større antal eksponerede graviditeter fra epidemiologiske studier ingen misdannelser eller </w:t>
      </w:r>
      <w:proofErr w:type="spellStart"/>
      <w:r w:rsidRPr="008D5EB9">
        <w:rPr>
          <w:sz w:val="24"/>
          <w:szCs w:val="24"/>
        </w:rPr>
        <w:t>føtotoksisk</w:t>
      </w:r>
      <w:proofErr w:type="spellEnd"/>
      <w:r w:rsidRPr="008D5EB9">
        <w:rPr>
          <w:sz w:val="24"/>
          <w:szCs w:val="24"/>
        </w:rPr>
        <w:t xml:space="preserve"> effekt. Dyreforsøg indikerer hverken direkte eller indirekte skadelige virkninger hvad angår embryo/foster udviklingen. Dyreforsøg med den </w:t>
      </w:r>
      <w:proofErr w:type="spellStart"/>
      <w:r w:rsidRPr="008D5EB9">
        <w:rPr>
          <w:sz w:val="24"/>
          <w:szCs w:val="24"/>
        </w:rPr>
        <w:t>racemiske</w:t>
      </w:r>
      <w:proofErr w:type="spellEnd"/>
      <w:r w:rsidRPr="008D5EB9">
        <w:rPr>
          <w:sz w:val="24"/>
          <w:szCs w:val="24"/>
        </w:rPr>
        <w:t xml:space="preserve"> blanding indikerer hverken direkte eller indirekte skadelige virkninger hvad angår graviditet, fødsel eller </w:t>
      </w:r>
      <w:proofErr w:type="spellStart"/>
      <w:r w:rsidRPr="008D5EB9">
        <w:rPr>
          <w:sz w:val="24"/>
          <w:szCs w:val="24"/>
        </w:rPr>
        <w:t>postnatal</w:t>
      </w:r>
      <w:proofErr w:type="spellEnd"/>
      <w:r w:rsidRPr="008D5EB9">
        <w:rPr>
          <w:sz w:val="24"/>
          <w:szCs w:val="24"/>
        </w:rPr>
        <w:t xml:space="preserve"> udvikling. Forsigtighed bør udvises ved ordination af </w:t>
      </w:r>
      <w:proofErr w:type="spellStart"/>
      <w:r w:rsidRPr="008D5EB9">
        <w:rPr>
          <w:sz w:val="24"/>
          <w:szCs w:val="24"/>
        </w:rPr>
        <w:t>Esomeprazol</w:t>
      </w:r>
      <w:proofErr w:type="spellEnd"/>
      <w:r w:rsidRPr="008D5EB9">
        <w:rPr>
          <w:sz w:val="24"/>
          <w:szCs w:val="24"/>
        </w:rPr>
        <w:t xml:space="preserve"> "Demo S.A." under graviditet.</w:t>
      </w:r>
    </w:p>
    <w:p w14:paraId="09DCD333" w14:textId="77777777" w:rsidR="008D5EB9" w:rsidRPr="008D5EB9" w:rsidRDefault="008D5EB9" w:rsidP="008D5EB9">
      <w:pPr>
        <w:tabs>
          <w:tab w:val="left" w:pos="851"/>
        </w:tabs>
        <w:ind w:left="851"/>
        <w:rPr>
          <w:sz w:val="24"/>
          <w:szCs w:val="24"/>
        </w:rPr>
      </w:pPr>
      <w:r w:rsidRPr="008D5EB9">
        <w:rPr>
          <w:sz w:val="24"/>
          <w:szCs w:val="24"/>
        </w:rPr>
        <w:t xml:space="preserve">En moderat mængde data om gravide kvinder (mellem 300-1000 graviditeter) viser ingen misdannelser eller </w:t>
      </w:r>
      <w:proofErr w:type="spellStart"/>
      <w:r w:rsidRPr="008D5EB9">
        <w:rPr>
          <w:sz w:val="24"/>
          <w:szCs w:val="24"/>
        </w:rPr>
        <w:t>føtal</w:t>
      </w:r>
      <w:proofErr w:type="spellEnd"/>
      <w:r w:rsidRPr="008D5EB9">
        <w:rPr>
          <w:sz w:val="24"/>
          <w:szCs w:val="24"/>
        </w:rPr>
        <w:t xml:space="preserve">/neonatal toksicitet af </w:t>
      </w:r>
      <w:proofErr w:type="spellStart"/>
      <w:r w:rsidRPr="008D5EB9">
        <w:rPr>
          <w:sz w:val="24"/>
          <w:szCs w:val="24"/>
        </w:rPr>
        <w:t>esomeprazol</w:t>
      </w:r>
      <w:proofErr w:type="spellEnd"/>
      <w:r w:rsidRPr="008D5EB9">
        <w:rPr>
          <w:sz w:val="24"/>
          <w:szCs w:val="24"/>
        </w:rPr>
        <w:t>.</w:t>
      </w:r>
    </w:p>
    <w:p w14:paraId="779EF004" w14:textId="77777777" w:rsidR="008D5EB9" w:rsidRPr="008D5EB9" w:rsidRDefault="008D5EB9" w:rsidP="008D5EB9">
      <w:pPr>
        <w:tabs>
          <w:tab w:val="left" w:pos="851"/>
        </w:tabs>
        <w:ind w:left="851"/>
        <w:rPr>
          <w:sz w:val="24"/>
          <w:szCs w:val="24"/>
        </w:rPr>
      </w:pPr>
      <w:r w:rsidRPr="008D5EB9">
        <w:rPr>
          <w:sz w:val="24"/>
          <w:szCs w:val="24"/>
        </w:rPr>
        <w:t>Dyreforsøg viser ikke direkte eller indirekte skadelige virkninger med hensyn til reproduktionstoksicitet (se pkt. 5.3).</w:t>
      </w:r>
    </w:p>
    <w:p w14:paraId="276AB4E7" w14:textId="77777777" w:rsidR="008D5EB9" w:rsidRPr="008D5EB9" w:rsidRDefault="008D5EB9" w:rsidP="008D5EB9">
      <w:pPr>
        <w:tabs>
          <w:tab w:val="left" w:pos="851"/>
        </w:tabs>
        <w:ind w:left="851"/>
        <w:rPr>
          <w:sz w:val="24"/>
          <w:szCs w:val="24"/>
          <w:u w:val="single"/>
        </w:rPr>
      </w:pPr>
    </w:p>
    <w:p w14:paraId="43AAC7AD" w14:textId="77777777" w:rsidR="008D5EB9" w:rsidRPr="008D5EB9" w:rsidRDefault="008D5EB9" w:rsidP="008D5EB9">
      <w:pPr>
        <w:tabs>
          <w:tab w:val="left" w:pos="851"/>
        </w:tabs>
        <w:ind w:left="851"/>
        <w:rPr>
          <w:sz w:val="24"/>
          <w:szCs w:val="24"/>
          <w:u w:val="single"/>
        </w:rPr>
      </w:pPr>
      <w:r w:rsidRPr="008D5EB9">
        <w:rPr>
          <w:sz w:val="24"/>
          <w:szCs w:val="24"/>
          <w:u w:val="single"/>
        </w:rPr>
        <w:t>Amning</w:t>
      </w:r>
    </w:p>
    <w:p w14:paraId="09BB15D0" w14:textId="77777777" w:rsidR="008D5EB9" w:rsidRPr="008D5EB9" w:rsidRDefault="008D5EB9" w:rsidP="008D5EB9">
      <w:pPr>
        <w:tabs>
          <w:tab w:val="left" w:pos="851"/>
        </w:tabs>
        <w:ind w:left="851"/>
        <w:rPr>
          <w:sz w:val="24"/>
          <w:szCs w:val="24"/>
        </w:rPr>
      </w:pPr>
      <w:r w:rsidRPr="008D5EB9">
        <w:rPr>
          <w:sz w:val="24"/>
          <w:szCs w:val="24"/>
        </w:rPr>
        <w:t xml:space="preserve">Det vides ikke, om </w:t>
      </w:r>
      <w:proofErr w:type="spellStart"/>
      <w:r w:rsidRPr="008D5EB9">
        <w:rPr>
          <w:sz w:val="24"/>
          <w:szCs w:val="24"/>
        </w:rPr>
        <w:t>esomeprazol</w:t>
      </w:r>
      <w:proofErr w:type="spellEnd"/>
      <w:r w:rsidRPr="008D5EB9">
        <w:rPr>
          <w:sz w:val="24"/>
          <w:szCs w:val="24"/>
        </w:rPr>
        <w:t xml:space="preserve"> udskilles i modermælk. Data for virkningen af </w:t>
      </w:r>
      <w:proofErr w:type="spellStart"/>
      <w:r w:rsidRPr="008D5EB9">
        <w:rPr>
          <w:sz w:val="24"/>
          <w:szCs w:val="24"/>
        </w:rPr>
        <w:t>esomeprazol</w:t>
      </w:r>
      <w:proofErr w:type="spellEnd"/>
      <w:r w:rsidRPr="008D5EB9">
        <w:rPr>
          <w:sz w:val="24"/>
          <w:szCs w:val="24"/>
        </w:rPr>
        <w:t xml:space="preserve"> hos nyfødte/spædbørn er utilstrækkelige. </w:t>
      </w:r>
      <w:proofErr w:type="spellStart"/>
      <w:r w:rsidRPr="008D5EB9">
        <w:rPr>
          <w:sz w:val="24"/>
          <w:szCs w:val="24"/>
        </w:rPr>
        <w:t>Esomeprazol</w:t>
      </w:r>
      <w:proofErr w:type="spellEnd"/>
      <w:r w:rsidRPr="008D5EB9">
        <w:rPr>
          <w:sz w:val="24"/>
          <w:szCs w:val="24"/>
        </w:rPr>
        <w:t xml:space="preserve"> må ikke anvendes under amning.</w:t>
      </w:r>
    </w:p>
    <w:p w14:paraId="6940777F" w14:textId="77777777" w:rsidR="008D5EB9" w:rsidRPr="008D5EB9" w:rsidRDefault="008D5EB9" w:rsidP="008D5EB9">
      <w:pPr>
        <w:tabs>
          <w:tab w:val="left" w:pos="851"/>
        </w:tabs>
        <w:ind w:left="851"/>
        <w:rPr>
          <w:sz w:val="24"/>
          <w:szCs w:val="24"/>
          <w:u w:val="single"/>
        </w:rPr>
      </w:pPr>
    </w:p>
    <w:p w14:paraId="6935200C" w14:textId="77777777" w:rsidR="008D5EB9" w:rsidRPr="008D5EB9" w:rsidRDefault="008D5EB9" w:rsidP="008D5EB9">
      <w:pPr>
        <w:tabs>
          <w:tab w:val="left" w:pos="851"/>
        </w:tabs>
        <w:ind w:left="851"/>
        <w:rPr>
          <w:sz w:val="24"/>
          <w:szCs w:val="24"/>
          <w:u w:val="single"/>
        </w:rPr>
      </w:pPr>
      <w:r w:rsidRPr="008D5EB9">
        <w:rPr>
          <w:sz w:val="24"/>
          <w:szCs w:val="24"/>
          <w:u w:val="single"/>
        </w:rPr>
        <w:t>Fertilitet</w:t>
      </w:r>
    </w:p>
    <w:p w14:paraId="361B4F31" w14:textId="77777777" w:rsidR="008D5EB9" w:rsidRPr="008D5EB9" w:rsidRDefault="008D5EB9" w:rsidP="008D5EB9">
      <w:pPr>
        <w:tabs>
          <w:tab w:val="left" w:pos="851"/>
        </w:tabs>
        <w:ind w:left="851"/>
        <w:rPr>
          <w:sz w:val="24"/>
          <w:szCs w:val="24"/>
        </w:rPr>
      </w:pPr>
      <w:r w:rsidRPr="008D5EB9">
        <w:rPr>
          <w:sz w:val="24"/>
          <w:szCs w:val="24"/>
        </w:rPr>
        <w:t xml:space="preserve">Dyreforsøg med det </w:t>
      </w:r>
      <w:proofErr w:type="spellStart"/>
      <w:r w:rsidRPr="008D5EB9">
        <w:rPr>
          <w:sz w:val="24"/>
          <w:szCs w:val="24"/>
        </w:rPr>
        <w:t>racemiske</w:t>
      </w:r>
      <w:proofErr w:type="spellEnd"/>
      <w:r w:rsidRPr="008D5EB9">
        <w:rPr>
          <w:sz w:val="24"/>
          <w:szCs w:val="24"/>
        </w:rPr>
        <w:t xml:space="preserve"> blanding, </w:t>
      </w:r>
      <w:proofErr w:type="spellStart"/>
      <w:r w:rsidRPr="008D5EB9">
        <w:rPr>
          <w:sz w:val="24"/>
          <w:szCs w:val="24"/>
        </w:rPr>
        <w:t>omeprazol</w:t>
      </w:r>
      <w:proofErr w:type="spellEnd"/>
      <w:r w:rsidRPr="008D5EB9">
        <w:rPr>
          <w:sz w:val="24"/>
          <w:szCs w:val="24"/>
        </w:rPr>
        <w:t>, givet ved oral indgivelse, tyder ikke på virkninger med hensyn til fertilitet.</w:t>
      </w:r>
    </w:p>
    <w:p w14:paraId="73A0928C" w14:textId="77777777" w:rsidR="009260DE" w:rsidRPr="00C84483" w:rsidRDefault="009260DE" w:rsidP="009260DE">
      <w:pPr>
        <w:tabs>
          <w:tab w:val="left" w:pos="851"/>
        </w:tabs>
        <w:ind w:left="851"/>
        <w:rPr>
          <w:sz w:val="24"/>
          <w:szCs w:val="24"/>
        </w:rPr>
      </w:pPr>
    </w:p>
    <w:p w14:paraId="7222F446"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2462A4E0" w14:textId="77777777" w:rsidR="008D5EB9" w:rsidRPr="008D5EB9" w:rsidRDefault="008D5EB9" w:rsidP="008D5EB9">
      <w:pPr>
        <w:tabs>
          <w:tab w:val="left" w:pos="851"/>
        </w:tabs>
        <w:ind w:left="851"/>
        <w:rPr>
          <w:sz w:val="24"/>
          <w:szCs w:val="24"/>
        </w:rPr>
      </w:pPr>
      <w:r w:rsidRPr="008D5EB9">
        <w:rPr>
          <w:sz w:val="24"/>
          <w:szCs w:val="24"/>
        </w:rPr>
        <w:t>Ikke mærkning.</w:t>
      </w:r>
    </w:p>
    <w:p w14:paraId="775BDD91" w14:textId="77777777" w:rsidR="008D5EB9" w:rsidRPr="008D5EB9" w:rsidRDefault="008D5EB9" w:rsidP="008D5EB9">
      <w:pPr>
        <w:tabs>
          <w:tab w:val="left" w:pos="851"/>
        </w:tabs>
        <w:ind w:left="851"/>
        <w:rPr>
          <w:sz w:val="24"/>
          <w:szCs w:val="24"/>
        </w:rPr>
      </w:pPr>
      <w:proofErr w:type="spellStart"/>
      <w:r w:rsidRPr="008D5EB9">
        <w:rPr>
          <w:sz w:val="24"/>
          <w:szCs w:val="24"/>
        </w:rPr>
        <w:t>Esomeprazol</w:t>
      </w:r>
      <w:proofErr w:type="spellEnd"/>
      <w:r w:rsidRPr="008D5EB9">
        <w:rPr>
          <w:sz w:val="24"/>
          <w:szCs w:val="24"/>
        </w:rPr>
        <w:t xml:space="preserve"> påvirker i mindre grad evnen til at føre motorkøretøj eller betjene maskiner. Bivirkninger såsom svimmelhed (ikke almindelig) og synsforstyrrelser (ikke almindelig) er rapporteret (se pkt. 4.8). Hvis de forekommer, må patienterne ikke føre motorkøretøj eller betjene maskiner.</w:t>
      </w:r>
    </w:p>
    <w:p w14:paraId="67668EDF" w14:textId="77777777" w:rsidR="009260DE" w:rsidRPr="00C84483" w:rsidRDefault="009260DE" w:rsidP="009260DE">
      <w:pPr>
        <w:tabs>
          <w:tab w:val="left" w:pos="851"/>
        </w:tabs>
        <w:ind w:left="851"/>
        <w:rPr>
          <w:sz w:val="24"/>
          <w:szCs w:val="24"/>
        </w:rPr>
      </w:pPr>
    </w:p>
    <w:p w14:paraId="6483F141"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43CE9517" w14:textId="77777777" w:rsidR="008D5EB9" w:rsidRPr="008D5EB9" w:rsidRDefault="008D5EB9" w:rsidP="008D5EB9">
      <w:pPr>
        <w:tabs>
          <w:tab w:val="left" w:pos="851"/>
        </w:tabs>
        <w:ind w:left="851"/>
        <w:rPr>
          <w:sz w:val="24"/>
          <w:szCs w:val="24"/>
          <w:u w:val="single"/>
        </w:rPr>
      </w:pPr>
    </w:p>
    <w:p w14:paraId="673A7C7A" w14:textId="77777777" w:rsidR="008D5EB9" w:rsidRPr="008D5EB9" w:rsidRDefault="008D5EB9" w:rsidP="008D5EB9">
      <w:pPr>
        <w:tabs>
          <w:tab w:val="left" w:pos="851"/>
        </w:tabs>
        <w:ind w:left="851"/>
        <w:rPr>
          <w:sz w:val="24"/>
          <w:szCs w:val="24"/>
          <w:u w:val="single"/>
        </w:rPr>
      </w:pPr>
      <w:r w:rsidRPr="008D5EB9">
        <w:rPr>
          <w:sz w:val="24"/>
          <w:szCs w:val="24"/>
          <w:u w:val="single"/>
        </w:rPr>
        <w:t>Resumé af sikkerhedsprofilen</w:t>
      </w:r>
    </w:p>
    <w:p w14:paraId="49C64E74" w14:textId="77777777" w:rsidR="008D5EB9" w:rsidRPr="008D5EB9" w:rsidRDefault="008D5EB9" w:rsidP="008D5EB9">
      <w:pPr>
        <w:tabs>
          <w:tab w:val="left" w:pos="851"/>
        </w:tabs>
        <w:ind w:left="851"/>
        <w:rPr>
          <w:sz w:val="24"/>
          <w:szCs w:val="24"/>
        </w:rPr>
      </w:pPr>
      <w:r w:rsidRPr="008D5EB9">
        <w:rPr>
          <w:sz w:val="24"/>
          <w:szCs w:val="24"/>
        </w:rPr>
        <w:t>Hovedpine, mavesmerter, diarré og kvalme er blandt de mest almindeligt indberettede bivirkninger i kliniske forsøg (og også ved brug efter markedsføring). Derudover er sikkerhedsprofilen ens for forskellige formuleringer, behandlingsindikationer, aldersgrupper og patientgrupper. Der er ikke identificeret nogen dosisrelaterede bivirkninger.</w:t>
      </w:r>
    </w:p>
    <w:p w14:paraId="57BC94D3" w14:textId="77777777" w:rsidR="008D5EB9" w:rsidRPr="008D5EB9" w:rsidRDefault="008D5EB9" w:rsidP="008D5EB9">
      <w:pPr>
        <w:tabs>
          <w:tab w:val="left" w:pos="851"/>
        </w:tabs>
        <w:ind w:left="851"/>
        <w:rPr>
          <w:sz w:val="24"/>
          <w:szCs w:val="24"/>
        </w:rPr>
      </w:pPr>
    </w:p>
    <w:p w14:paraId="78A656F0" w14:textId="77777777" w:rsidR="008D5EB9" w:rsidRPr="008D5EB9" w:rsidRDefault="008D5EB9" w:rsidP="008D5EB9">
      <w:pPr>
        <w:tabs>
          <w:tab w:val="left" w:pos="851"/>
        </w:tabs>
        <w:ind w:left="851"/>
        <w:rPr>
          <w:sz w:val="24"/>
          <w:szCs w:val="24"/>
          <w:u w:val="single"/>
        </w:rPr>
      </w:pPr>
      <w:r w:rsidRPr="008D5EB9">
        <w:rPr>
          <w:sz w:val="24"/>
          <w:szCs w:val="24"/>
          <w:u w:val="single"/>
        </w:rPr>
        <w:t>Tabel over bivirkninger</w:t>
      </w:r>
    </w:p>
    <w:p w14:paraId="206231CC" w14:textId="77777777" w:rsidR="008D5EB9" w:rsidRPr="008D5EB9" w:rsidRDefault="008D5EB9" w:rsidP="008D5EB9">
      <w:pPr>
        <w:tabs>
          <w:tab w:val="left" w:pos="851"/>
        </w:tabs>
        <w:ind w:left="851"/>
        <w:rPr>
          <w:sz w:val="24"/>
          <w:szCs w:val="24"/>
        </w:rPr>
      </w:pPr>
      <w:r w:rsidRPr="008D5EB9">
        <w:rPr>
          <w:sz w:val="24"/>
          <w:szCs w:val="24"/>
        </w:rPr>
        <w:t xml:space="preserve">Følgende bivirkninger er påvist eller er anset som mulige i </w:t>
      </w:r>
      <w:proofErr w:type="spellStart"/>
      <w:r w:rsidRPr="008D5EB9">
        <w:rPr>
          <w:sz w:val="24"/>
          <w:szCs w:val="24"/>
        </w:rPr>
        <w:t>esomeprazols</w:t>
      </w:r>
      <w:proofErr w:type="spellEnd"/>
      <w:r w:rsidRPr="008D5EB9">
        <w:rPr>
          <w:sz w:val="24"/>
          <w:szCs w:val="24"/>
        </w:rPr>
        <w:t xml:space="preserve"> kliniske forsøgsprogram efter enten oral eller intravenøs administration samt i forbindelse med post-marketing erfaringer med oral administration. </w:t>
      </w:r>
    </w:p>
    <w:p w14:paraId="721D1548" w14:textId="77777777" w:rsidR="008D5EB9" w:rsidRPr="008D5EB9" w:rsidRDefault="008D5EB9" w:rsidP="008D5EB9">
      <w:pPr>
        <w:tabs>
          <w:tab w:val="left" w:pos="851"/>
        </w:tabs>
        <w:ind w:left="851"/>
        <w:rPr>
          <w:sz w:val="24"/>
          <w:szCs w:val="24"/>
        </w:rPr>
      </w:pPr>
      <w:r w:rsidRPr="008D5EB9">
        <w:rPr>
          <w:sz w:val="24"/>
          <w:szCs w:val="24"/>
        </w:rPr>
        <w:t>Bivirkningerne er opstillet efter hyppighed meget almindelig &gt;1/10; almindelig &gt;1/100 til &lt;1/10; ikke almindelig &gt;1/1,000 til &lt;1/100; sjælden &gt;1/10,000 til &lt;1/1,000; meget sjælden &lt;1/10,000; ikke kendt (kan ikke estimeres ud fra forhåndenværende data).</w:t>
      </w:r>
    </w:p>
    <w:p w14:paraId="60C65182" w14:textId="77777777" w:rsidR="008D5EB9" w:rsidRPr="008D5EB9" w:rsidRDefault="008D5EB9" w:rsidP="008D5EB9">
      <w:pPr>
        <w:tabs>
          <w:tab w:val="left" w:pos="851"/>
        </w:tabs>
        <w:ind w:left="851"/>
        <w:rPr>
          <w:sz w:val="24"/>
          <w:szCs w:val="24"/>
        </w:rPr>
      </w:pPr>
    </w:p>
    <w:tbl>
      <w:tblPr>
        <w:tblW w:w="90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42"/>
        <w:gridCol w:w="1440"/>
        <w:gridCol w:w="4393"/>
      </w:tblGrid>
      <w:tr w:rsidR="00A76D23" w14:paraId="22A0A0DC" w14:textId="77777777" w:rsidTr="00A76D23">
        <w:trPr>
          <w:tblHeader/>
        </w:trPr>
        <w:tc>
          <w:tcPr>
            <w:tcW w:w="3240" w:type="dxa"/>
            <w:tcBorders>
              <w:top w:val="single" w:sz="4" w:space="0" w:color="auto"/>
              <w:left w:val="single" w:sz="4" w:space="0" w:color="auto"/>
              <w:bottom w:val="single" w:sz="4" w:space="0" w:color="auto"/>
              <w:right w:val="single" w:sz="4" w:space="0" w:color="auto"/>
            </w:tcBorders>
            <w:hideMark/>
          </w:tcPr>
          <w:p w14:paraId="160782DA" w14:textId="77777777" w:rsidR="00A76D23" w:rsidRDefault="00A76D23">
            <w:pPr>
              <w:rPr>
                <w:b/>
                <w:bCs/>
                <w:sz w:val="22"/>
                <w:szCs w:val="22"/>
                <w:lang w:val="en-GB" w:eastAsia="sv-SE"/>
              </w:rPr>
            </w:pPr>
            <w:proofErr w:type="spellStart"/>
            <w:r>
              <w:rPr>
                <w:b/>
                <w:bCs/>
                <w:szCs w:val="22"/>
                <w:lang w:val="en-GB" w:eastAsia="sv-SE"/>
              </w:rPr>
              <w:t>Organklasse</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3933B213" w14:textId="77777777" w:rsidR="00A76D23" w:rsidRDefault="00A76D23">
            <w:pPr>
              <w:rPr>
                <w:b/>
                <w:bCs/>
                <w:szCs w:val="22"/>
                <w:lang w:val="en-GB" w:eastAsia="sv-SE"/>
              </w:rPr>
            </w:pPr>
            <w:proofErr w:type="spellStart"/>
            <w:r>
              <w:rPr>
                <w:b/>
                <w:bCs/>
                <w:szCs w:val="22"/>
                <w:lang w:val="en-GB" w:eastAsia="sv-SE"/>
              </w:rPr>
              <w:t>Frekvans</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0F434451" w14:textId="77777777" w:rsidR="00A76D23" w:rsidRDefault="00A76D23">
            <w:pPr>
              <w:rPr>
                <w:b/>
                <w:bCs/>
                <w:szCs w:val="22"/>
                <w:lang w:val="en-GB" w:eastAsia="sv-SE"/>
              </w:rPr>
            </w:pPr>
            <w:proofErr w:type="spellStart"/>
            <w:r>
              <w:rPr>
                <w:b/>
                <w:bCs/>
                <w:szCs w:val="22"/>
                <w:lang w:val="en-GB" w:eastAsia="sv-SE"/>
              </w:rPr>
              <w:t>Bivirkning</w:t>
            </w:r>
            <w:proofErr w:type="spellEnd"/>
          </w:p>
        </w:tc>
      </w:tr>
      <w:tr w:rsidR="00A76D23" w14:paraId="0BBF2568" w14:textId="77777777" w:rsidTr="00A76D23">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0747CBB3" w14:textId="77777777" w:rsidR="00A76D23" w:rsidRDefault="00A76D23">
            <w:pPr>
              <w:rPr>
                <w:szCs w:val="22"/>
                <w:lang w:val="en-GB" w:eastAsia="sv-SE"/>
              </w:rPr>
            </w:pPr>
            <w:proofErr w:type="spellStart"/>
            <w:r>
              <w:rPr>
                <w:szCs w:val="22"/>
                <w:lang w:val="en-GB" w:eastAsia="sv-SE"/>
              </w:rPr>
              <w:t>Blod</w:t>
            </w:r>
            <w:proofErr w:type="spellEnd"/>
            <w:r>
              <w:rPr>
                <w:szCs w:val="22"/>
                <w:lang w:val="en-GB" w:eastAsia="sv-SE"/>
              </w:rPr>
              <w:t xml:space="preserve"> </w:t>
            </w:r>
            <w:proofErr w:type="spellStart"/>
            <w:r>
              <w:rPr>
                <w:szCs w:val="22"/>
                <w:lang w:val="en-GB" w:eastAsia="sv-SE"/>
              </w:rPr>
              <w:t>og</w:t>
            </w:r>
            <w:proofErr w:type="spellEnd"/>
            <w:r>
              <w:rPr>
                <w:szCs w:val="22"/>
                <w:lang w:val="en-GB" w:eastAsia="sv-SE"/>
              </w:rPr>
              <w:t xml:space="preserve"> </w:t>
            </w:r>
            <w:proofErr w:type="spellStart"/>
            <w:r>
              <w:rPr>
                <w:szCs w:val="22"/>
                <w:lang w:val="en-GB" w:eastAsia="sv-SE"/>
              </w:rPr>
              <w:t>lymfesystem</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85E5935" w14:textId="77777777" w:rsidR="00A76D23" w:rsidRDefault="00A76D23">
            <w:pPr>
              <w:rPr>
                <w:szCs w:val="22"/>
                <w:lang w:val="en-GB" w:eastAsia="sv-SE"/>
              </w:rPr>
            </w:pP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06913587" w14:textId="77777777" w:rsidR="00A76D23" w:rsidRDefault="00A76D23">
            <w:pPr>
              <w:rPr>
                <w:szCs w:val="22"/>
                <w:lang w:val="en-GB" w:eastAsia="sv-SE"/>
              </w:rPr>
            </w:pPr>
            <w:proofErr w:type="spellStart"/>
            <w:r>
              <w:rPr>
                <w:szCs w:val="22"/>
                <w:lang w:val="en-GB" w:eastAsia="sv-SE"/>
              </w:rPr>
              <w:t>Leukopeni</w:t>
            </w:r>
            <w:proofErr w:type="spellEnd"/>
            <w:r>
              <w:rPr>
                <w:szCs w:val="22"/>
                <w:lang w:val="en-GB" w:eastAsia="sv-SE"/>
              </w:rPr>
              <w:t xml:space="preserve">, </w:t>
            </w:r>
            <w:proofErr w:type="spellStart"/>
            <w:r>
              <w:rPr>
                <w:szCs w:val="22"/>
                <w:lang w:val="en-GB" w:eastAsia="sv-SE"/>
              </w:rPr>
              <w:t>thrombocytopeni</w:t>
            </w:r>
            <w:proofErr w:type="spellEnd"/>
          </w:p>
        </w:tc>
      </w:tr>
      <w:tr w:rsidR="00A76D23" w14:paraId="4FD70A77"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3F0AC473"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1B1F3610" w14:textId="77777777" w:rsidR="00A76D23" w:rsidRDefault="00A76D23">
            <w:pPr>
              <w:rPr>
                <w:szCs w:val="22"/>
                <w:lang w:val="en-GB" w:eastAsia="sv-SE"/>
              </w:rPr>
            </w:pPr>
            <w:proofErr w:type="spellStart"/>
            <w:r>
              <w:rPr>
                <w:szCs w:val="22"/>
                <w:lang w:val="en-GB" w:eastAsia="sv-SE"/>
              </w:rPr>
              <w:t>Meget</w:t>
            </w:r>
            <w:proofErr w:type="spellEnd"/>
            <w:r>
              <w:rPr>
                <w:szCs w:val="22"/>
                <w:lang w:val="en-GB" w:eastAsia="sv-SE"/>
              </w:rPr>
              <w:t xml:space="preserve"> </w:t>
            </w: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1769C5D4" w14:textId="77777777" w:rsidR="00A76D23" w:rsidRDefault="00A76D23">
            <w:pPr>
              <w:rPr>
                <w:szCs w:val="22"/>
                <w:lang w:val="en-GB" w:eastAsia="sv-SE"/>
              </w:rPr>
            </w:pPr>
            <w:proofErr w:type="spellStart"/>
            <w:r>
              <w:rPr>
                <w:szCs w:val="22"/>
                <w:lang w:val="en-GB" w:eastAsia="sv-SE"/>
              </w:rPr>
              <w:t>Agranulocytose</w:t>
            </w:r>
            <w:proofErr w:type="spellEnd"/>
            <w:r>
              <w:rPr>
                <w:szCs w:val="22"/>
                <w:lang w:val="en-GB" w:eastAsia="sv-SE"/>
              </w:rPr>
              <w:t xml:space="preserve">, </w:t>
            </w:r>
            <w:proofErr w:type="spellStart"/>
            <w:r>
              <w:rPr>
                <w:szCs w:val="22"/>
                <w:lang w:val="en-GB" w:eastAsia="sv-SE"/>
              </w:rPr>
              <w:t>pancytopeni</w:t>
            </w:r>
            <w:proofErr w:type="spellEnd"/>
          </w:p>
        </w:tc>
      </w:tr>
      <w:tr w:rsidR="00A76D23" w14:paraId="689FB06F" w14:textId="77777777" w:rsidTr="00A76D23">
        <w:trPr>
          <w:cantSplit/>
        </w:trPr>
        <w:tc>
          <w:tcPr>
            <w:tcW w:w="3240" w:type="dxa"/>
            <w:tcBorders>
              <w:top w:val="single" w:sz="4" w:space="0" w:color="auto"/>
              <w:left w:val="single" w:sz="4" w:space="0" w:color="auto"/>
              <w:bottom w:val="single" w:sz="4" w:space="0" w:color="auto"/>
              <w:right w:val="single" w:sz="4" w:space="0" w:color="auto"/>
            </w:tcBorders>
            <w:hideMark/>
          </w:tcPr>
          <w:p w14:paraId="07B956C5" w14:textId="77777777" w:rsidR="00A76D23" w:rsidRDefault="00A76D23">
            <w:pPr>
              <w:rPr>
                <w:szCs w:val="22"/>
                <w:lang w:val="en-GB" w:eastAsia="sv-SE"/>
              </w:rPr>
            </w:pPr>
            <w:proofErr w:type="spellStart"/>
            <w:r>
              <w:rPr>
                <w:szCs w:val="22"/>
                <w:lang w:val="en-GB" w:eastAsia="sv-SE"/>
              </w:rPr>
              <w:t>Immunsystemet</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C426761" w14:textId="77777777" w:rsidR="00A76D23" w:rsidRDefault="00A76D23">
            <w:pPr>
              <w:rPr>
                <w:szCs w:val="22"/>
                <w:lang w:val="en-GB" w:eastAsia="sv-SE"/>
              </w:rPr>
            </w:pP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4A84EDB2" w14:textId="77777777" w:rsidR="00A76D23" w:rsidRPr="00A76D23" w:rsidRDefault="00A76D23">
            <w:pPr>
              <w:rPr>
                <w:szCs w:val="22"/>
                <w:lang w:eastAsia="sv-SE"/>
              </w:rPr>
            </w:pPr>
            <w:r w:rsidRPr="00A76D23">
              <w:rPr>
                <w:szCs w:val="22"/>
                <w:lang w:eastAsia="sv-SE"/>
              </w:rPr>
              <w:t xml:space="preserve">Hypersensitivitetsreaktioner, f.eks. feber, </w:t>
            </w:r>
            <w:proofErr w:type="spellStart"/>
            <w:r w:rsidRPr="00A76D23">
              <w:rPr>
                <w:szCs w:val="22"/>
                <w:lang w:eastAsia="sv-SE"/>
              </w:rPr>
              <w:t>angioødem</w:t>
            </w:r>
            <w:proofErr w:type="spellEnd"/>
            <w:r w:rsidRPr="00A76D23">
              <w:rPr>
                <w:szCs w:val="22"/>
                <w:lang w:eastAsia="sv-SE"/>
              </w:rPr>
              <w:t xml:space="preserve"> og </w:t>
            </w:r>
            <w:proofErr w:type="spellStart"/>
            <w:r w:rsidRPr="00A76D23">
              <w:rPr>
                <w:szCs w:val="22"/>
                <w:lang w:eastAsia="sv-SE"/>
              </w:rPr>
              <w:t>anafylaktisk</w:t>
            </w:r>
            <w:proofErr w:type="spellEnd"/>
            <w:r w:rsidRPr="00A76D23">
              <w:rPr>
                <w:szCs w:val="22"/>
                <w:lang w:eastAsia="sv-SE"/>
              </w:rPr>
              <w:t xml:space="preserve"> reaktion/</w:t>
            </w:r>
            <w:proofErr w:type="spellStart"/>
            <w:r w:rsidRPr="00A76D23">
              <w:rPr>
                <w:szCs w:val="22"/>
                <w:lang w:eastAsia="sv-SE"/>
              </w:rPr>
              <w:t>shock</w:t>
            </w:r>
            <w:proofErr w:type="spellEnd"/>
          </w:p>
        </w:tc>
      </w:tr>
      <w:tr w:rsidR="00A76D23" w14:paraId="66708F68" w14:textId="77777777" w:rsidTr="00A76D23">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51408C4F" w14:textId="77777777" w:rsidR="00A76D23" w:rsidRDefault="00A76D23">
            <w:pPr>
              <w:rPr>
                <w:szCs w:val="22"/>
                <w:lang w:val="en-GB" w:eastAsia="sv-SE"/>
              </w:rPr>
            </w:pPr>
            <w:proofErr w:type="spellStart"/>
            <w:r>
              <w:rPr>
                <w:szCs w:val="22"/>
                <w:lang w:val="en-GB" w:eastAsia="sv-SE"/>
              </w:rPr>
              <w:t>Metabolisme</w:t>
            </w:r>
            <w:proofErr w:type="spellEnd"/>
            <w:r>
              <w:rPr>
                <w:szCs w:val="22"/>
                <w:lang w:val="en-GB" w:eastAsia="sv-SE"/>
              </w:rPr>
              <w:t xml:space="preserve"> </w:t>
            </w:r>
            <w:proofErr w:type="spellStart"/>
            <w:r>
              <w:rPr>
                <w:sz w:val="24"/>
                <w:szCs w:val="24"/>
                <w:lang w:val="en-GB"/>
              </w:rPr>
              <w:t>og</w:t>
            </w:r>
            <w:proofErr w:type="spellEnd"/>
            <w:r>
              <w:rPr>
                <w:sz w:val="24"/>
                <w:szCs w:val="24"/>
                <w:lang w:val="en-GB"/>
              </w:rPr>
              <w:t xml:space="preserve"> </w:t>
            </w:r>
            <w:proofErr w:type="spellStart"/>
            <w:r>
              <w:rPr>
                <w:sz w:val="24"/>
                <w:szCs w:val="24"/>
                <w:lang w:val="en-GB"/>
              </w:rPr>
              <w:t>ernæring</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34538173" w14:textId="77777777" w:rsidR="00A76D23" w:rsidRDefault="00A76D23">
            <w:pPr>
              <w:rPr>
                <w:szCs w:val="22"/>
                <w:lang w:val="en-GB" w:eastAsia="sv-SE"/>
              </w:rPr>
            </w:pPr>
            <w:proofErr w:type="spellStart"/>
            <w:r>
              <w:rPr>
                <w:szCs w:val="22"/>
                <w:lang w:val="en-GB" w:eastAsia="sv-SE"/>
              </w:rPr>
              <w:t>Ikke</w:t>
            </w:r>
            <w:proofErr w:type="spellEnd"/>
            <w:r>
              <w:rPr>
                <w:szCs w:val="22"/>
                <w:lang w:val="en-GB" w:eastAsia="sv-SE"/>
              </w:rPr>
              <w:t xml:space="preserve"> </w:t>
            </w:r>
            <w:proofErr w:type="spellStart"/>
            <w:r>
              <w:rPr>
                <w:szCs w:val="22"/>
                <w:lang w:val="en-GB" w:eastAsia="sv-SE"/>
              </w:rPr>
              <w:t>almindelig</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0299EEF3" w14:textId="77777777" w:rsidR="00A76D23" w:rsidRDefault="00A76D23">
            <w:pPr>
              <w:rPr>
                <w:szCs w:val="22"/>
                <w:lang w:val="en-GB" w:eastAsia="sv-SE"/>
              </w:rPr>
            </w:pPr>
            <w:proofErr w:type="spellStart"/>
            <w:r>
              <w:rPr>
                <w:szCs w:val="22"/>
                <w:lang w:val="en-GB" w:eastAsia="sv-SE"/>
              </w:rPr>
              <w:t>Perifere</w:t>
            </w:r>
            <w:proofErr w:type="spellEnd"/>
            <w:r>
              <w:rPr>
                <w:szCs w:val="22"/>
                <w:lang w:val="en-GB" w:eastAsia="sv-SE"/>
              </w:rPr>
              <w:t xml:space="preserve"> </w:t>
            </w:r>
            <w:proofErr w:type="spellStart"/>
            <w:r>
              <w:rPr>
                <w:szCs w:val="22"/>
                <w:lang w:val="en-GB" w:eastAsia="sv-SE"/>
              </w:rPr>
              <w:t>ødemer</w:t>
            </w:r>
            <w:proofErr w:type="spellEnd"/>
          </w:p>
        </w:tc>
      </w:tr>
      <w:tr w:rsidR="00A76D23" w14:paraId="3C4FC74C"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073A6C4B"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675925C0" w14:textId="77777777" w:rsidR="00A76D23" w:rsidRDefault="00A76D23">
            <w:pPr>
              <w:rPr>
                <w:szCs w:val="22"/>
                <w:lang w:val="en-GB" w:eastAsia="sv-SE"/>
              </w:rPr>
            </w:pP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620A32E8" w14:textId="77777777" w:rsidR="00A76D23" w:rsidRDefault="00A76D23">
            <w:pPr>
              <w:rPr>
                <w:szCs w:val="22"/>
                <w:lang w:val="en-GB" w:eastAsia="sv-SE"/>
              </w:rPr>
            </w:pPr>
            <w:proofErr w:type="spellStart"/>
            <w:r>
              <w:rPr>
                <w:szCs w:val="22"/>
                <w:lang w:val="en-GB" w:eastAsia="sv-SE"/>
              </w:rPr>
              <w:t>Hyponatriæmi</w:t>
            </w:r>
            <w:proofErr w:type="spellEnd"/>
          </w:p>
        </w:tc>
      </w:tr>
      <w:tr w:rsidR="00A76D23" w14:paraId="11DC1DBC"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5B9D805B"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4452036B" w14:textId="77777777" w:rsidR="00A76D23" w:rsidRDefault="00A76D23">
            <w:pPr>
              <w:rPr>
                <w:szCs w:val="22"/>
                <w:lang w:val="en-GB" w:eastAsia="sv-SE"/>
              </w:rPr>
            </w:pPr>
            <w:proofErr w:type="spellStart"/>
            <w:r>
              <w:rPr>
                <w:szCs w:val="22"/>
                <w:lang w:val="en-GB" w:eastAsia="sv-SE"/>
              </w:rPr>
              <w:t>Ikke</w:t>
            </w:r>
            <w:proofErr w:type="spellEnd"/>
            <w:r>
              <w:rPr>
                <w:szCs w:val="22"/>
                <w:lang w:val="en-GB" w:eastAsia="sv-SE"/>
              </w:rPr>
              <w:t xml:space="preserve"> </w:t>
            </w:r>
            <w:proofErr w:type="spellStart"/>
            <w:r>
              <w:rPr>
                <w:szCs w:val="22"/>
                <w:lang w:val="en-GB" w:eastAsia="sv-SE"/>
              </w:rPr>
              <w:t>kendt</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1959E9FA" w14:textId="77777777" w:rsidR="00A76D23" w:rsidRPr="00A76D23" w:rsidRDefault="00A76D23">
            <w:pPr>
              <w:rPr>
                <w:szCs w:val="22"/>
                <w:lang w:eastAsia="sv-SE"/>
              </w:rPr>
            </w:pPr>
            <w:proofErr w:type="spellStart"/>
            <w:r w:rsidRPr="00A76D23">
              <w:rPr>
                <w:szCs w:val="22"/>
                <w:lang w:eastAsia="sv-SE"/>
              </w:rPr>
              <w:t>Hypomagnesæmi</w:t>
            </w:r>
            <w:proofErr w:type="spellEnd"/>
            <w:r w:rsidRPr="00A76D23">
              <w:rPr>
                <w:szCs w:val="22"/>
                <w:lang w:eastAsia="sv-SE"/>
              </w:rPr>
              <w:t xml:space="preserve"> (se pkt. 4.4)</w:t>
            </w:r>
          </w:p>
          <w:p w14:paraId="2971E7F3" w14:textId="77777777" w:rsidR="00A76D23" w:rsidRPr="00A76D23" w:rsidRDefault="00A76D23">
            <w:pPr>
              <w:rPr>
                <w:b/>
                <w:color w:val="FF0000"/>
                <w:szCs w:val="22"/>
                <w:lang w:eastAsia="sv-SE"/>
              </w:rPr>
            </w:pPr>
            <w:r w:rsidRPr="00A76D23">
              <w:rPr>
                <w:szCs w:val="22"/>
                <w:lang w:eastAsia="sv-SE"/>
              </w:rPr>
              <w:t xml:space="preserve">Alvorlig </w:t>
            </w:r>
            <w:proofErr w:type="spellStart"/>
            <w:r w:rsidRPr="00A76D23">
              <w:rPr>
                <w:szCs w:val="22"/>
                <w:lang w:eastAsia="sv-SE"/>
              </w:rPr>
              <w:t>hypomagnesæmi</w:t>
            </w:r>
            <w:proofErr w:type="spellEnd"/>
            <w:r w:rsidRPr="00A76D23">
              <w:rPr>
                <w:szCs w:val="22"/>
                <w:lang w:eastAsia="sv-SE"/>
              </w:rPr>
              <w:t xml:space="preserve"> kan korrelere med </w:t>
            </w:r>
            <w:proofErr w:type="spellStart"/>
            <w:r w:rsidRPr="00A76D23">
              <w:rPr>
                <w:szCs w:val="22"/>
                <w:lang w:eastAsia="sv-SE"/>
              </w:rPr>
              <w:t>hypocalcæmi</w:t>
            </w:r>
            <w:proofErr w:type="spellEnd"/>
            <w:r w:rsidRPr="00A76D23">
              <w:rPr>
                <w:szCs w:val="22"/>
                <w:lang w:eastAsia="sv-SE"/>
              </w:rPr>
              <w:t xml:space="preserve">. </w:t>
            </w:r>
            <w:proofErr w:type="spellStart"/>
            <w:r w:rsidRPr="00A76D23">
              <w:rPr>
                <w:szCs w:val="22"/>
                <w:lang w:eastAsia="sv-SE"/>
              </w:rPr>
              <w:t>Hypomagnesæmi</w:t>
            </w:r>
            <w:proofErr w:type="spellEnd"/>
            <w:r w:rsidRPr="00A76D23">
              <w:rPr>
                <w:szCs w:val="22"/>
                <w:lang w:eastAsia="sv-SE"/>
              </w:rPr>
              <w:t xml:space="preserve"> kan korrelere med </w:t>
            </w:r>
            <w:proofErr w:type="spellStart"/>
            <w:r w:rsidRPr="00A76D23">
              <w:rPr>
                <w:szCs w:val="22"/>
                <w:lang w:eastAsia="sv-SE"/>
              </w:rPr>
              <w:t>hypokalaemia</w:t>
            </w:r>
            <w:proofErr w:type="spellEnd"/>
            <w:r w:rsidRPr="00A76D23">
              <w:rPr>
                <w:szCs w:val="22"/>
                <w:lang w:eastAsia="sv-SE"/>
              </w:rPr>
              <w:t>.</w:t>
            </w:r>
          </w:p>
        </w:tc>
      </w:tr>
      <w:tr w:rsidR="00A76D23" w14:paraId="0D08AA96" w14:textId="77777777" w:rsidTr="00A76D23">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446D8193" w14:textId="77777777" w:rsidR="00A76D23" w:rsidRDefault="00A76D23">
            <w:pPr>
              <w:rPr>
                <w:szCs w:val="22"/>
                <w:lang w:val="en-GB" w:eastAsia="sv-SE"/>
              </w:rPr>
            </w:pPr>
            <w:proofErr w:type="spellStart"/>
            <w:r>
              <w:rPr>
                <w:szCs w:val="22"/>
                <w:lang w:val="en-GB" w:eastAsia="sv-SE"/>
              </w:rPr>
              <w:t>Psykiatrisk</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3810BACC" w14:textId="77777777" w:rsidR="00A76D23" w:rsidRDefault="00A76D23">
            <w:pPr>
              <w:rPr>
                <w:szCs w:val="22"/>
                <w:lang w:val="en-GB" w:eastAsia="sv-SE"/>
              </w:rPr>
            </w:pPr>
            <w:proofErr w:type="spellStart"/>
            <w:r>
              <w:rPr>
                <w:szCs w:val="22"/>
                <w:lang w:val="en-GB" w:eastAsia="sv-SE"/>
              </w:rPr>
              <w:t>Ikke</w:t>
            </w:r>
            <w:proofErr w:type="spellEnd"/>
            <w:r>
              <w:rPr>
                <w:szCs w:val="22"/>
                <w:lang w:val="en-GB" w:eastAsia="sv-SE"/>
              </w:rPr>
              <w:t xml:space="preserve"> </w:t>
            </w:r>
            <w:proofErr w:type="spellStart"/>
            <w:r>
              <w:rPr>
                <w:szCs w:val="22"/>
                <w:lang w:val="en-GB" w:eastAsia="sv-SE"/>
              </w:rPr>
              <w:t>almindelig</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74DAE824" w14:textId="77777777" w:rsidR="00A76D23" w:rsidRDefault="00A76D23">
            <w:pPr>
              <w:rPr>
                <w:szCs w:val="22"/>
                <w:lang w:val="en-GB" w:eastAsia="sv-SE"/>
              </w:rPr>
            </w:pPr>
            <w:proofErr w:type="spellStart"/>
            <w:r>
              <w:rPr>
                <w:szCs w:val="22"/>
                <w:lang w:val="en-GB" w:eastAsia="sv-SE"/>
              </w:rPr>
              <w:t>Insomni</w:t>
            </w:r>
            <w:proofErr w:type="spellEnd"/>
          </w:p>
        </w:tc>
      </w:tr>
      <w:tr w:rsidR="00A76D23" w14:paraId="63CFC565"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2084F990"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2866BE37" w14:textId="77777777" w:rsidR="00A76D23" w:rsidRDefault="00A76D23">
            <w:pPr>
              <w:rPr>
                <w:szCs w:val="22"/>
                <w:lang w:val="en-GB" w:eastAsia="sv-SE"/>
              </w:rPr>
            </w:pP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089C009A" w14:textId="77777777" w:rsidR="00A76D23" w:rsidRDefault="00A76D23">
            <w:pPr>
              <w:rPr>
                <w:szCs w:val="22"/>
                <w:lang w:val="en-GB" w:eastAsia="sv-SE"/>
              </w:rPr>
            </w:pPr>
            <w:r>
              <w:rPr>
                <w:szCs w:val="22"/>
                <w:lang w:val="en-GB" w:eastAsia="sv-SE"/>
              </w:rPr>
              <w:t xml:space="preserve">Agitation, </w:t>
            </w:r>
            <w:proofErr w:type="spellStart"/>
            <w:r>
              <w:rPr>
                <w:szCs w:val="22"/>
                <w:lang w:val="en-GB" w:eastAsia="sv-SE"/>
              </w:rPr>
              <w:t>konfusion</w:t>
            </w:r>
            <w:proofErr w:type="spellEnd"/>
            <w:r>
              <w:rPr>
                <w:szCs w:val="22"/>
                <w:lang w:val="en-GB" w:eastAsia="sv-SE"/>
              </w:rPr>
              <w:t>, depression</w:t>
            </w:r>
          </w:p>
        </w:tc>
      </w:tr>
      <w:tr w:rsidR="00A76D23" w14:paraId="46BBDAE8"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34D4AF66"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5E59B19F" w14:textId="77777777" w:rsidR="00A76D23" w:rsidRDefault="00A76D23">
            <w:pPr>
              <w:rPr>
                <w:szCs w:val="22"/>
                <w:lang w:val="en-GB" w:eastAsia="sv-SE"/>
              </w:rPr>
            </w:pPr>
            <w:proofErr w:type="spellStart"/>
            <w:r>
              <w:rPr>
                <w:szCs w:val="22"/>
                <w:lang w:val="en-GB" w:eastAsia="sv-SE"/>
              </w:rPr>
              <w:t>Meget</w:t>
            </w:r>
            <w:proofErr w:type="spellEnd"/>
            <w:r>
              <w:rPr>
                <w:szCs w:val="22"/>
                <w:lang w:val="en-GB" w:eastAsia="sv-SE"/>
              </w:rPr>
              <w:t xml:space="preserve"> </w:t>
            </w: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32000B3C" w14:textId="77777777" w:rsidR="00A76D23" w:rsidRDefault="00A76D23">
            <w:pPr>
              <w:rPr>
                <w:szCs w:val="22"/>
                <w:lang w:val="en-GB" w:eastAsia="sv-SE"/>
              </w:rPr>
            </w:pPr>
            <w:r>
              <w:rPr>
                <w:szCs w:val="22"/>
                <w:lang w:val="en-GB" w:eastAsia="sv-SE"/>
              </w:rPr>
              <w:t xml:space="preserve">Aggression, </w:t>
            </w:r>
            <w:proofErr w:type="spellStart"/>
            <w:r>
              <w:rPr>
                <w:szCs w:val="22"/>
                <w:lang w:val="en-GB" w:eastAsia="sv-SE"/>
              </w:rPr>
              <w:t>hallucinationer</w:t>
            </w:r>
            <w:proofErr w:type="spellEnd"/>
          </w:p>
        </w:tc>
      </w:tr>
      <w:tr w:rsidR="00A76D23" w14:paraId="5ABA12E1" w14:textId="77777777" w:rsidTr="00A76D23">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2FC9D584" w14:textId="77777777" w:rsidR="00A76D23" w:rsidRDefault="00A76D23">
            <w:pPr>
              <w:rPr>
                <w:szCs w:val="22"/>
                <w:lang w:val="en-GB" w:eastAsia="sv-SE"/>
              </w:rPr>
            </w:pPr>
            <w:proofErr w:type="spellStart"/>
            <w:r>
              <w:rPr>
                <w:szCs w:val="22"/>
                <w:lang w:val="en-GB" w:eastAsia="sv-SE"/>
              </w:rPr>
              <w:t>Nervesystemet</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D10FD9F" w14:textId="77777777" w:rsidR="00A76D23" w:rsidRDefault="00A76D23">
            <w:pPr>
              <w:rPr>
                <w:szCs w:val="22"/>
                <w:lang w:val="en-GB" w:eastAsia="sv-SE"/>
              </w:rPr>
            </w:pPr>
            <w:proofErr w:type="spellStart"/>
            <w:r>
              <w:rPr>
                <w:szCs w:val="22"/>
                <w:lang w:val="en-GB" w:eastAsia="sv-SE"/>
              </w:rPr>
              <w:t>Almindelig</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3FDEA057" w14:textId="77777777" w:rsidR="00A76D23" w:rsidRDefault="00A76D23">
            <w:pPr>
              <w:rPr>
                <w:szCs w:val="22"/>
                <w:lang w:val="en-GB" w:eastAsia="sv-SE"/>
              </w:rPr>
            </w:pPr>
            <w:proofErr w:type="spellStart"/>
            <w:r>
              <w:rPr>
                <w:szCs w:val="22"/>
                <w:lang w:val="en-GB" w:eastAsia="sv-SE"/>
              </w:rPr>
              <w:t>Hovedpine</w:t>
            </w:r>
            <w:proofErr w:type="spellEnd"/>
          </w:p>
        </w:tc>
      </w:tr>
      <w:tr w:rsidR="00A76D23" w14:paraId="36414AEF"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2F732372"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6F23A0DB" w14:textId="77777777" w:rsidR="00A76D23" w:rsidRDefault="00A76D23">
            <w:pPr>
              <w:rPr>
                <w:szCs w:val="22"/>
                <w:lang w:val="en-GB" w:eastAsia="sv-SE"/>
              </w:rPr>
            </w:pPr>
            <w:proofErr w:type="spellStart"/>
            <w:r>
              <w:rPr>
                <w:szCs w:val="22"/>
                <w:lang w:val="en-GB" w:eastAsia="sv-SE"/>
              </w:rPr>
              <w:t>Ikke</w:t>
            </w:r>
            <w:proofErr w:type="spellEnd"/>
            <w:r>
              <w:rPr>
                <w:szCs w:val="22"/>
                <w:lang w:val="en-GB" w:eastAsia="sv-SE"/>
              </w:rPr>
              <w:t xml:space="preserve"> </w:t>
            </w:r>
            <w:proofErr w:type="spellStart"/>
            <w:r>
              <w:rPr>
                <w:szCs w:val="22"/>
                <w:lang w:val="en-GB" w:eastAsia="sv-SE"/>
              </w:rPr>
              <w:t>almindelig</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44DEE699" w14:textId="77777777" w:rsidR="00A76D23" w:rsidRDefault="00A76D23">
            <w:pPr>
              <w:rPr>
                <w:szCs w:val="22"/>
                <w:lang w:val="en-GB" w:eastAsia="sv-SE"/>
              </w:rPr>
            </w:pPr>
            <w:proofErr w:type="spellStart"/>
            <w:r>
              <w:rPr>
                <w:szCs w:val="22"/>
                <w:lang w:val="en-GB" w:eastAsia="sv-SE"/>
              </w:rPr>
              <w:t>Svimmelhed</w:t>
            </w:r>
            <w:proofErr w:type="spellEnd"/>
            <w:r>
              <w:rPr>
                <w:szCs w:val="22"/>
                <w:lang w:val="en-GB" w:eastAsia="sv-SE"/>
              </w:rPr>
              <w:t xml:space="preserve">, </w:t>
            </w:r>
            <w:proofErr w:type="spellStart"/>
            <w:r>
              <w:rPr>
                <w:szCs w:val="22"/>
                <w:lang w:val="en-GB" w:eastAsia="sv-SE"/>
              </w:rPr>
              <w:t>paræstesier</w:t>
            </w:r>
            <w:proofErr w:type="spellEnd"/>
            <w:r>
              <w:rPr>
                <w:szCs w:val="22"/>
                <w:lang w:val="en-GB" w:eastAsia="sv-SE"/>
              </w:rPr>
              <w:t xml:space="preserve">, </w:t>
            </w:r>
            <w:proofErr w:type="spellStart"/>
            <w:r>
              <w:rPr>
                <w:szCs w:val="22"/>
                <w:lang w:val="en-GB" w:eastAsia="sv-SE"/>
              </w:rPr>
              <w:t>somnolens</w:t>
            </w:r>
            <w:proofErr w:type="spellEnd"/>
          </w:p>
        </w:tc>
      </w:tr>
      <w:tr w:rsidR="00A76D23" w14:paraId="1893CF37"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01E47404"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344371FB" w14:textId="77777777" w:rsidR="00A76D23" w:rsidRDefault="00A76D23">
            <w:pPr>
              <w:rPr>
                <w:szCs w:val="22"/>
                <w:lang w:val="en-GB" w:eastAsia="sv-SE"/>
              </w:rPr>
            </w:pP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1A786A54" w14:textId="77777777" w:rsidR="00A76D23" w:rsidRDefault="00A76D23">
            <w:pPr>
              <w:rPr>
                <w:szCs w:val="22"/>
                <w:lang w:val="en-GB" w:eastAsia="sv-SE"/>
              </w:rPr>
            </w:pPr>
            <w:proofErr w:type="spellStart"/>
            <w:r>
              <w:rPr>
                <w:szCs w:val="22"/>
                <w:lang w:val="en-GB" w:eastAsia="sv-SE"/>
              </w:rPr>
              <w:t>Smagsforstyrrelser</w:t>
            </w:r>
            <w:proofErr w:type="spellEnd"/>
          </w:p>
        </w:tc>
      </w:tr>
      <w:tr w:rsidR="00A76D23" w14:paraId="13D53803" w14:textId="77777777" w:rsidTr="00A76D23">
        <w:trPr>
          <w:cantSplit/>
        </w:trPr>
        <w:tc>
          <w:tcPr>
            <w:tcW w:w="3240" w:type="dxa"/>
            <w:tcBorders>
              <w:top w:val="single" w:sz="4" w:space="0" w:color="auto"/>
              <w:left w:val="single" w:sz="4" w:space="0" w:color="auto"/>
              <w:bottom w:val="single" w:sz="4" w:space="0" w:color="auto"/>
              <w:right w:val="single" w:sz="4" w:space="0" w:color="auto"/>
            </w:tcBorders>
            <w:hideMark/>
          </w:tcPr>
          <w:p w14:paraId="79813B62" w14:textId="77777777" w:rsidR="00A76D23" w:rsidRDefault="00A76D23">
            <w:pPr>
              <w:rPr>
                <w:szCs w:val="22"/>
                <w:lang w:val="en-GB" w:eastAsia="sv-SE"/>
              </w:rPr>
            </w:pPr>
            <w:proofErr w:type="spellStart"/>
            <w:r>
              <w:rPr>
                <w:szCs w:val="22"/>
                <w:lang w:val="en-GB" w:eastAsia="sv-SE"/>
              </w:rPr>
              <w:lastRenderedPageBreak/>
              <w:t>Øjne</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DD00699" w14:textId="77777777" w:rsidR="00A76D23" w:rsidRDefault="00A76D23">
            <w:pPr>
              <w:rPr>
                <w:szCs w:val="22"/>
                <w:lang w:val="en-GB" w:eastAsia="sv-SE"/>
              </w:rPr>
            </w:pPr>
            <w:proofErr w:type="spellStart"/>
            <w:r>
              <w:rPr>
                <w:szCs w:val="22"/>
                <w:lang w:val="en-GB" w:eastAsia="sv-SE"/>
              </w:rPr>
              <w:t>Ikke</w:t>
            </w:r>
            <w:proofErr w:type="spellEnd"/>
            <w:r>
              <w:rPr>
                <w:szCs w:val="22"/>
                <w:lang w:val="en-GB" w:eastAsia="sv-SE"/>
              </w:rPr>
              <w:t xml:space="preserve"> </w:t>
            </w:r>
            <w:proofErr w:type="spellStart"/>
            <w:r>
              <w:rPr>
                <w:szCs w:val="22"/>
                <w:lang w:val="en-GB" w:eastAsia="sv-SE"/>
              </w:rPr>
              <w:t>almindelig</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609A2047" w14:textId="77777777" w:rsidR="00A76D23" w:rsidRDefault="00A76D23">
            <w:pPr>
              <w:rPr>
                <w:szCs w:val="22"/>
                <w:lang w:val="en-GB" w:eastAsia="sv-SE"/>
              </w:rPr>
            </w:pPr>
            <w:proofErr w:type="spellStart"/>
            <w:r>
              <w:rPr>
                <w:szCs w:val="22"/>
                <w:lang w:val="en-GB" w:eastAsia="sv-SE"/>
              </w:rPr>
              <w:t>Uklart</w:t>
            </w:r>
            <w:proofErr w:type="spellEnd"/>
            <w:r>
              <w:rPr>
                <w:szCs w:val="22"/>
                <w:lang w:val="en-GB" w:eastAsia="sv-SE"/>
              </w:rPr>
              <w:t xml:space="preserve"> </w:t>
            </w:r>
            <w:proofErr w:type="spellStart"/>
            <w:r>
              <w:rPr>
                <w:szCs w:val="22"/>
                <w:lang w:val="en-GB" w:eastAsia="sv-SE"/>
              </w:rPr>
              <w:t>syn</w:t>
            </w:r>
            <w:proofErr w:type="spellEnd"/>
          </w:p>
        </w:tc>
      </w:tr>
      <w:tr w:rsidR="00A76D23" w14:paraId="62A8AFB6" w14:textId="77777777" w:rsidTr="00A76D23">
        <w:trPr>
          <w:cantSplit/>
        </w:trPr>
        <w:tc>
          <w:tcPr>
            <w:tcW w:w="3240" w:type="dxa"/>
            <w:tcBorders>
              <w:top w:val="single" w:sz="4" w:space="0" w:color="auto"/>
              <w:left w:val="single" w:sz="4" w:space="0" w:color="auto"/>
              <w:bottom w:val="single" w:sz="4" w:space="0" w:color="auto"/>
              <w:right w:val="single" w:sz="4" w:space="0" w:color="auto"/>
            </w:tcBorders>
            <w:hideMark/>
          </w:tcPr>
          <w:p w14:paraId="75D273FF" w14:textId="77777777" w:rsidR="00A76D23" w:rsidRDefault="00A76D23">
            <w:pPr>
              <w:rPr>
                <w:szCs w:val="22"/>
                <w:lang w:val="en-GB" w:eastAsia="sv-SE"/>
              </w:rPr>
            </w:pPr>
            <w:proofErr w:type="spellStart"/>
            <w:r>
              <w:rPr>
                <w:sz w:val="24"/>
                <w:szCs w:val="24"/>
                <w:lang w:val="en-GB"/>
              </w:rPr>
              <w:t>Øre</w:t>
            </w:r>
            <w:proofErr w:type="spellEnd"/>
            <w:r>
              <w:rPr>
                <w:sz w:val="24"/>
                <w:szCs w:val="24"/>
                <w:lang w:val="en-GB"/>
              </w:rPr>
              <w:t xml:space="preserve"> </w:t>
            </w:r>
            <w:proofErr w:type="spellStart"/>
            <w:r>
              <w:rPr>
                <w:sz w:val="24"/>
                <w:szCs w:val="24"/>
                <w:lang w:val="en-GB"/>
              </w:rPr>
              <w:t>og</w:t>
            </w:r>
            <w:proofErr w:type="spellEnd"/>
            <w:r>
              <w:rPr>
                <w:sz w:val="24"/>
                <w:szCs w:val="24"/>
                <w:lang w:val="en-GB"/>
              </w:rPr>
              <w:t xml:space="preserve"> </w:t>
            </w:r>
            <w:proofErr w:type="spellStart"/>
            <w:r>
              <w:rPr>
                <w:sz w:val="24"/>
                <w:szCs w:val="24"/>
                <w:lang w:val="en-GB"/>
              </w:rPr>
              <w:t>labyrint</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25B90496" w14:textId="77777777" w:rsidR="00A76D23" w:rsidRDefault="00A76D23">
            <w:pPr>
              <w:rPr>
                <w:szCs w:val="22"/>
                <w:lang w:val="en-GB" w:eastAsia="sv-SE"/>
              </w:rPr>
            </w:pPr>
            <w:proofErr w:type="spellStart"/>
            <w:r>
              <w:rPr>
                <w:szCs w:val="22"/>
                <w:lang w:val="en-GB" w:eastAsia="sv-SE"/>
              </w:rPr>
              <w:t>Ikke</w:t>
            </w:r>
            <w:proofErr w:type="spellEnd"/>
            <w:r>
              <w:rPr>
                <w:szCs w:val="22"/>
                <w:lang w:val="en-GB" w:eastAsia="sv-SE"/>
              </w:rPr>
              <w:t xml:space="preserve"> </w:t>
            </w:r>
            <w:proofErr w:type="spellStart"/>
            <w:r>
              <w:rPr>
                <w:szCs w:val="22"/>
                <w:lang w:val="en-GB" w:eastAsia="sv-SE"/>
              </w:rPr>
              <w:t>almindelig</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45F1A736" w14:textId="77777777" w:rsidR="00A76D23" w:rsidRDefault="00A76D23">
            <w:pPr>
              <w:rPr>
                <w:szCs w:val="22"/>
                <w:lang w:val="en-GB" w:eastAsia="sv-SE"/>
              </w:rPr>
            </w:pPr>
            <w:r>
              <w:rPr>
                <w:szCs w:val="22"/>
                <w:lang w:val="en-GB" w:eastAsia="sv-SE"/>
              </w:rPr>
              <w:t>Vertigo</w:t>
            </w:r>
          </w:p>
        </w:tc>
      </w:tr>
      <w:tr w:rsidR="00A76D23" w14:paraId="6B8D12CA" w14:textId="77777777" w:rsidTr="00A76D23">
        <w:trPr>
          <w:cantSplit/>
        </w:trPr>
        <w:tc>
          <w:tcPr>
            <w:tcW w:w="3240" w:type="dxa"/>
            <w:tcBorders>
              <w:top w:val="single" w:sz="4" w:space="0" w:color="auto"/>
              <w:left w:val="single" w:sz="4" w:space="0" w:color="auto"/>
              <w:bottom w:val="single" w:sz="4" w:space="0" w:color="auto"/>
              <w:right w:val="single" w:sz="4" w:space="0" w:color="auto"/>
            </w:tcBorders>
            <w:hideMark/>
          </w:tcPr>
          <w:p w14:paraId="7C69C4F0" w14:textId="77777777" w:rsidR="00A76D23" w:rsidRDefault="00A76D23">
            <w:pPr>
              <w:rPr>
                <w:szCs w:val="22"/>
                <w:lang w:val="en-GB" w:eastAsia="sv-SE"/>
              </w:rPr>
            </w:pPr>
            <w:proofErr w:type="spellStart"/>
            <w:r>
              <w:rPr>
                <w:szCs w:val="22"/>
                <w:lang w:val="en-GB" w:eastAsia="sv-SE"/>
              </w:rPr>
              <w:t>Luftveje</w:t>
            </w:r>
            <w:proofErr w:type="spellEnd"/>
            <w:r>
              <w:rPr>
                <w:szCs w:val="22"/>
                <w:lang w:val="en-GB" w:eastAsia="sv-SE"/>
              </w:rPr>
              <w:t xml:space="preserve">, thorax </w:t>
            </w:r>
            <w:proofErr w:type="spellStart"/>
            <w:r>
              <w:rPr>
                <w:szCs w:val="22"/>
                <w:lang w:val="en-GB" w:eastAsia="sv-SE"/>
              </w:rPr>
              <w:t>og</w:t>
            </w:r>
            <w:proofErr w:type="spellEnd"/>
            <w:r>
              <w:rPr>
                <w:szCs w:val="22"/>
                <w:lang w:val="en-GB" w:eastAsia="sv-SE"/>
              </w:rPr>
              <w:t xml:space="preserve"> mediastinum</w:t>
            </w:r>
          </w:p>
        </w:tc>
        <w:tc>
          <w:tcPr>
            <w:tcW w:w="1440" w:type="dxa"/>
            <w:tcBorders>
              <w:top w:val="single" w:sz="4" w:space="0" w:color="auto"/>
              <w:left w:val="single" w:sz="4" w:space="0" w:color="auto"/>
              <w:bottom w:val="single" w:sz="4" w:space="0" w:color="auto"/>
              <w:right w:val="single" w:sz="4" w:space="0" w:color="auto"/>
            </w:tcBorders>
            <w:hideMark/>
          </w:tcPr>
          <w:p w14:paraId="00B513A4" w14:textId="77777777" w:rsidR="00A76D23" w:rsidRDefault="00A76D23">
            <w:pPr>
              <w:rPr>
                <w:szCs w:val="22"/>
                <w:lang w:val="en-GB" w:eastAsia="sv-SE"/>
              </w:rPr>
            </w:pP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3DBF3626" w14:textId="77777777" w:rsidR="00A76D23" w:rsidRDefault="00A76D23">
            <w:pPr>
              <w:rPr>
                <w:szCs w:val="22"/>
                <w:lang w:val="en-GB" w:eastAsia="sv-SE"/>
              </w:rPr>
            </w:pPr>
            <w:proofErr w:type="spellStart"/>
            <w:r>
              <w:rPr>
                <w:szCs w:val="22"/>
                <w:lang w:val="en-GB" w:eastAsia="sv-SE"/>
              </w:rPr>
              <w:t>Bronkospasmer</w:t>
            </w:r>
            <w:proofErr w:type="spellEnd"/>
          </w:p>
        </w:tc>
      </w:tr>
      <w:tr w:rsidR="00A76D23" w14:paraId="28FCDCAB" w14:textId="77777777" w:rsidTr="00A76D23">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1E16C386" w14:textId="77777777" w:rsidR="00A76D23" w:rsidRDefault="00A76D23">
            <w:pPr>
              <w:rPr>
                <w:szCs w:val="22"/>
                <w:lang w:val="en-GB" w:eastAsia="sv-SE"/>
              </w:rPr>
            </w:pPr>
            <w:proofErr w:type="spellStart"/>
            <w:r>
              <w:rPr>
                <w:szCs w:val="22"/>
                <w:lang w:val="en-GB" w:eastAsia="sv-SE"/>
              </w:rPr>
              <w:t>Mave-tarmkanalen</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A57B422" w14:textId="77777777" w:rsidR="00A76D23" w:rsidRDefault="00A76D23">
            <w:pPr>
              <w:rPr>
                <w:szCs w:val="22"/>
                <w:lang w:val="en-GB" w:eastAsia="sv-SE"/>
              </w:rPr>
            </w:pPr>
            <w:proofErr w:type="spellStart"/>
            <w:r>
              <w:rPr>
                <w:szCs w:val="22"/>
                <w:lang w:val="en-GB" w:eastAsia="sv-SE"/>
              </w:rPr>
              <w:t>Almindelig</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41A66EFE" w14:textId="77777777" w:rsidR="00A76D23" w:rsidRPr="00A76D23" w:rsidRDefault="00A76D23">
            <w:pPr>
              <w:rPr>
                <w:szCs w:val="22"/>
                <w:lang w:eastAsia="sv-SE"/>
              </w:rPr>
            </w:pPr>
            <w:proofErr w:type="spellStart"/>
            <w:r w:rsidRPr="00A76D23">
              <w:rPr>
                <w:szCs w:val="22"/>
                <w:lang w:eastAsia="sv-SE"/>
              </w:rPr>
              <w:t>Abdominale</w:t>
            </w:r>
            <w:proofErr w:type="spellEnd"/>
            <w:r w:rsidRPr="00A76D23">
              <w:rPr>
                <w:szCs w:val="22"/>
                <w:lang w:eastAsia="sv-SE"/>
              </w:rPr>
              <w:t xml:space="preserve"> smerter, forstoppelse, diarré, </w:t>
            </w:r>
            <w:proofErr w:type="spellStart"/>
            <w:r w:rsidRPr="00A76D23">
              <w:rPr>
                <w:szCs w:val="22"/>
                <w:lang w:eastAsia="sv-SE"/>
              </w:rPr>
              <w:t>flatulens</w:t>
            </w:r>
            <w:proofErr w:type="spellEnd"/>
            <w:r w:rsidRPr="00A76D23">
              <w:rPr>
                <w:szCs w:val="22"/>
                <w:lang w:eastAsia="sv-SE"/>
              </w:rPr>
              <w:t>, kvalme/opkastning, benigne gastriske polypper</w:t>
            </w:r>
          </w:p>
        </w:tc>
      </w:tr>
      <w:tr w:rsidR="00A76D23" w14:paraId="6E2C3E66"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07AA5029" w14:textId="77777777" w:rsidR="00A76D23" w:rsidRPr="00A76D23" w:rsidRDefault="00A76D23">
            <w:pPr>
              <w:rPr>
                <w:sz w:val="22"/>
                <w:szCs w:val="22"/>
                <w:lang w:eastAsia="sv-SE"/>
              </w:rPr>
            </w:pPr>
          </w:p>
        </w:tc>
        <w:tc>
          <w:tcPr>
            <w:tcW w:w="1440" w:type="dxa"/>
            <w:tcBorders>
              <w:top w:val="single" w:sz="4" w:space="0" w:color="auto"/>
              <w:left w:val="single" w:sz="4" w:space="0" w:color="auto"/>
              <w:bottom w:val="single" w:sz="4" w:space="0" w:color="auto"/>
              <w:right w:val="single" w:sz="4" w:space="0" w:color="auto"/>
            </w:tcBorders>
            <w:hideMark/>
          </w:tcPr>
          <w:p w14:paraId="2BD1E5AD" w14:textId="77777777" w:rsidR="00A76D23" w:rsidRDefault="00A76D23">
            <w:pPr>
              <w:rPr>
                <w:szCs w:val="22"/>
                <w:lang w:val="en-GB" w:eastAsia="sv-SE"/>
              </w:rPr>
            </w:pPr>
            <w:proofErr w:type="spellStart"/>
            <w:r>
              <w:rPr>
                <w:szCs w:val="22"/>
                <w:lang w:val="en-GB" w:eastAsia="sv-SE"/>
              </w:rPr>
              <w:t>Ikke</w:t>
            </w:r>
            <w:proofErr w:type="spellEnd"/>
            <w:r>
              <w:rPr>
                <w:szCs w:val="22"/>
                <w:lang w:val="en-GB" w:eastAsia="sv-SE"/>
              </w:rPr>
              <w:t xml:space="preserve"> </w:t>
            </w:r>
            <w:proofErr w:type="spellStart"/>
            <w:r>
              <w:rPr>
                <w:szCs w:val="22"/>
                <w:lang w:val="en-GB" w:eastAsia="sv-SE"/>
              </w:rPr>
              <w:t>almindelig</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2E64DAD7" w14:textId="77777777" w:rsidR="00A76D23" w:rsidRDefault="00A76D23">
            <w:pPr>
              <w:rPr>
                <w:szCs w:val="22"/>
                <w:lang w:val="en-GB" w:eastAsia="sv-SE"/>
              </w:rPr>
            </w:pPr>
            <w:proofErr w:type="spellStart"/>
            <w:r>
              <w:rPr>
                <w:szCs w:val="22"/>
                <w:lang w:val="en-GB" w:eastAsia="sv-SE"/>
              </w:rPr>
              <w:t>Mundtørhed</w:t>
            </w:r>
            <w:proofErr w:type="spellEnd"/>
          </w:p>
        </w:tc>
      </w:tr>
      <w:tr w:rsidR="00A76D23" w14:paraId="1E8FE3F7"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3262B628"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0FF2F3FA" w14:textId="77777777" w:rsidR="00A76D23" w:rsidRDefault="00A76D23">
            <w:pPr>
              <w:rPr>
                <w:szCs w:val="22"/>
                <w:lang w:val="en-GB" w:eastAsia="sv-SE"/>
              </w:rPr>
            </w:pP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76867052" w14:textId="77777777" w:rsidR="00A76D23" w:rsidRDefault="00A76D23">
            <w:pPr>
              <w:rPr>
                <w:szCs w:val="22"/>
                <w:lang w:val="en-GB" w:eastAsia="sv-SE"/>
              </w:rPr>
            </w:pPr>
            <w:r>
              <w:rPr>
                <w:szCs w:val="22"/>
                <w:lang w:val="en-GB" w:eastAsia="sv-SE"/>
              </w:rPr>
              <w:t>Stomatitis, gastrointestinal candidiasis</w:t>
            </w:r>
          </w:p>
        </w:tc>
      </w:tr>
      <w:tr w:rsidR="00A76D23" w14:paraId="76C992DB"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11293D0C"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76179F51" w14:textId="77777777" w:rsidR="00A76D23" w:rsidRDefault="00A76D23">
            <w:pPr>
              <w:rPr>
                <w:szCs w:val="22"/>
                <w:lang w:val="en-GB" w:eastAsia="sv-SE"/>
              </w:rPr>
            </w:pPr>
            <w:proofErr w:type="spellStart"/>
            <w:r>
              <w:rPr>
                <w:szCs w:val="22"/>
                <w:lang w:val="en-GB" w:eastAsia="sv-SE"/>
              </w:rPr>
              <w:t>Ikke</w:t>
            </w:r>
            <w:proofErr w:type="spellEnd"/>
            <w:r>
              <w:rPr>
                <w:szCs w:val="22"/>
                <w:lang w:val="en-GB" w:eastAsia="sv-SE"/>
              </w:rPr>
              <w:t xml:space="preserve"> </w:t>
            </w:r>
            <w:proofErr w:type="spellStart"/>
            <w:r>
              <w:rPr>
                <w:szCs w:val="22"/>
                <w:lang w:val="en-GB" w:eastAsia="sv-SE"/>
              </w:rPr>
              <w:t>kendt</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0347DBD8" w14:textId="77777777" w:rsidR="00A76D23" w:rsidRDefault="00A76D23">
            <w:pPr>
              <w:rPr>
                <w:szCs w:val="22"/>
                <w:lang w:val="en-GB" w:eastAsia="sv-SE"/>
              </w:rPr>
            </w:pPr>
            <w:proofErr w:type="spellStart"/>
            <w:r>
              <w:rPr>
                <w:szCs w:val="22"/>
                <w:lang w:val="en-GB" w:eastAsia="sv-SE"/>
              </w:rPr>
              <w:t>Mikroskopisk</w:t>
            </w:r>
            <w:proofErr w:type="spellEnd"/>
            <w:r>
              <w:rPr>
                <w:szCs w:val="22"/>
                <w:lang w:val="en-GB" w:eastAsia="sv-SE"/>
              </w:rPr>
              <w:t xml:space="preserve"> </w:t>
            </w:r>
            <w:proofErr w:type="spellStart"/>
            <w:r>
              <w:rPr>
                <w:szCs w:val="22"/>
                <w:lang w:val="en-GB" w:eastAsia="sv-SE"/>
              </w:rPr>
              <w:t>kolit</w:t>
            </w:r>
            <w:proofErr w:type="spellEnd"/>
          </w:p>
        </w:tc>
      </w:tr>
      <w:tr w:rsidR="00A76D23" w14:paraId="508B4F38" w14:textId="77777777" w:rsidTr="00A76D23">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2E13CDE7" w14:textId="77777777" w:rsidR="00A76D23" w:rsidRDefault="00A76D23">
            <w:pPr>
              <w:rPr>
                <w:szCs w:val="22"/>
                <w:lang w:val="en-GB" w:eastAsia="sv-SE"/>
              </w:rPr>
            </w:pPr>
            <w:r>
              <w:rPr>
                <w:szCs w:val="22"/>
                <w:lang w:val="en-GB" w:eastAsia="sv-SE"/>
              </w:rPr>
              <w:t xml:space="preserve">Lever </w:t>
            </w:r>
            <w:proofErr w:type="spellStart"/>
            <w:r>
              <w:rPr>
                <w:szCs w:val="22"/>
                <w:lang w:val="en-GB" w:eastAsia="sv-SE"/>
              </w:rPr>
              <w:t>og</w:t>
            </w:r>
            <w:proofErr w:type="spellEnd"/>
            <w:r>
              <w:rPr>
                <w:szCs w:val="22"/>
                <w:lang w:val="en-GB" w:eastAsia="sv-SE"/>
              </w:rPr>
              <w:t xml:space="preserve"> </w:t>
            </w:r>
            <w:proofErr w:type="spellStart"/>
            <w:r>
              <w:rPr>
                <w:szCs w:val="22"/>
                <w:lang w:val="en-GB" w:eastAsia="sv-SE"/>
              </w:rPr>
              <w:t>galdeveje</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48CEE884" w14:textId="77777777" w:rsidR="00A76D23" w:rsidRDefault="00A76D23">
            <w:pPr>
              <w:rPr>
                <w:szCs w:val="22"/>
                <w:lang w:val="en-GB" w:eastAsia="sv-SE"/>
              </w:rPr>
            </w:pPr>
            <w:proofErr w:type="spellStart"/>
            <w:r>
              <w:rPr>
                <w:szCs w:val="22"/>
                <w:lang w:val="en-GB" w:eastAsia="sv-SE"/>
              </w:rPr>
              <w:t>Ikke</w:t>
            </w:r>
            <w:proofErr w:type="spellEnd"/>
            <w:r>
              <w:rPr>
                <w:szCs w:val="22"/>
                <w:lang w:val="en-GB" w:eastAsia="sv-SE"/>
              </w:rPr>
              <w:t xml:space="preserve"> </w:t>
            </w:r>
            <w:proofErr w:type="spellStart"/>
            <w:r>
              <w:rPr>
                <w:szCs w:val="22"/>
                <w:lang w:val="en-GB" w:eastAsia="sv-SE"/>
              </w:rPr>
              <w:t>almindelig</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44BAE260" w14:textId="77777777" w:rsidR="00A76D23" w:rsidRDefault="00A76D23">
            <w:pPr>
              <w:rPr>
                <w:szCs w:val="22"/>
                <w:lang w:val="en-GB" w:eastAsia="sv-SE"/>
              </w:rPr>
            </w:pPr>
            <w:proofErr w:type="spellStart"/>
            <w:r>
              <w:rPr>
                <w:szCs w:val="22"/>
                <w:lang w:val="en-GB" w:eastAsia="sv-SE"/>
              </w:rPr>
              <w:t>Forhøjede</w:t>
            </w:r>
            <w:proofErr w:type="spellEnd"/>
            <w:r>
              <w:rPr>
                <w:szCs w:val="22"/>
                <w:lang w:val="en-GB" w:eastAsia="sv-SE"/>
              </w:rPr>
              <w:t xml:space="preserve"> </w:t>
            </w:r>
            <w:proofErr w:type="spellStart"/>
            <w:r>
              <w:rPr>
                <w:szCs w:val="22"/>
                <w:lang w:val="en-GB" w:eastAsia="sv-SE"/>
              </w:rPr>
              <w:t>leverenzymer</w:t>
            </w:r>
            <w:proofErr w:type="spellEnd"/>
          </w:p>
        </w:tc>
      </w:tr>
      <w:tr w:rsidR="00A76D23" w14:paraId="35859A34"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0B6B0917"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2448607E" w14:textId="77777777" w:rsidR="00A76D23" w:rsidRDefault="00A76D23">
            <w:pPr>
              <w:rPr>
                <w:szCs w:val="22"/>
                <w:lang w:val="en-GB" w:eastAsia="sv-SE"/>
              </w:rPr>
            </w:pP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07AA90E7" w14:textId="77777777" w:rsidR="00A76D23" w:rsidRPr="00A76D23" w:rsidRDefault="00A76D23">
            <w:pPr>
              <w:rPr>
                <w:szCs w:val="22"/>
                <w:lang w:eastAsia="sv-SE"/>
              </w:rPr>
            </w:pPr>
            <w:r w:rsidRPr="00A76D23">
              <w:rPr>
                <w:szCs w:val="22"/>
                <w:lang w:eastAsia="sv-SE"/>
              </w:rPr>
              <w:t>Hepatitis med eller uden gulsot</w:t>
            </w:r>
          </w:p>
        </w:tc>
      </w:tr>
      <w:tr w:rsidR="00A76D23" w14:paraId="712BF1BB"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61797DC7" w14:textId="77777777" w:rsidR="00A76D23" w:rsidRPr="00A76D23" w:rsidRDefault="00A76D23">
            <w:pPr>
              <w:rPr>
                <w:sz w:val="22"/>
                <w:szCs w:val="22"/>
                <w:lang w:eastAsia="sv-SE"/>
              </w:rPr>
            </w:pPr>
          </w:p>
        </w:tc>
        <w:tc>
          <w:tcPr>
            <w:tcW w:w="1440" w:type="dxa"/>
            <w:tcBorders>
              <w:top w:val="single" w:sz="4" w:space="0" w:color="auto"/>
              <w:left w:val="single" w:sz="4" w:space="0" w:color="auto"/>
              <w:bottom w:val="single" w:sz="4" w:space="0" w:color="auto"/>
              <w:right w:val="single" w:sz="4" w:space="0" w:color="auto"/>
            </w:tcBorders>
            <w:hideMark/>
          </w:tcPr>
          <w:p w14:paraId="0CDB20AD" w14:textId="77777777" w:rsidR="00A76D23" w:rsidRDefault="00A76D23">
            <w:pPr>
              <w:rPr>
                <w:szCs w:val="22"/>
                <w:lang w:val="en-GB" w:eastAsia="sv-SE"/>
              </w:rPr>
            </w:pPr>
            <w:proofErr w:type="spellStart"/>
            <w:r>
              <w:rPr>
                <w:szCs w:val="22"/>
                <w:lang w:val="en-GB" w:eastAsia="sv-SE"/>
              </w:rPr>
              <w:t>Meget</w:t>
            </w:r>
            <w:proofErr w:type="spellEnd"/>
            <w:r>
              <w:rPr>
                <w:szCs w:val="22"/>
                <w:lang w:val="en-GB" w:eastAsia="sv-SE"/>
              </w:rPr>
              <w:t xml:space="preserve"> </w:t>
            </w: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4D81371B" w14:textId="77777777" w:rsidR="00A76D23" w:rsidRPr="00A76D23" w:rsidRDefault="00A76D23">
            <w:pPr>
              <w:rPr>
                <w:szCs w:val="22"/>
                <w:lang w:eastAsia="sv-SE"/>
              </w:rPr>
            </w:pPr>
            <w:r w:rsidRPr="00A76D23">
              <w:rPr>
                <w:szCs w:val="22"/>
                <w:lang w:eastAsia="sv-SE"/>
              </w:rPr>
              <w:t xml:space="preserve">Leversvigt, </w:t>
            </w:r>
            <w:proofErr w:type="spellStart"/>
            <w:r w:rsidRPr="00A76D23">
              <w:rPr>
                <w:szCs w:val="22"/>
                <w:lang w:eastAsia="sv-SE"/>
              </w:rPr>
              <w:t>Encephalopati</w:t>
            </w:r>
            <w:proofErr w:type="spellEnd"/>
            <w:r w:rsidRPr="00A76D23">
              <w:rPr>
                <w:szCs w:val="22"/>
                <w:lang w:eastAsia="sv-SE"/>
              </w:rPr>
              <w:t xml:space="preserve"> hos patienter med forud eksisterende alvorlig leversygdom</w:t>
            </w:r>
          </w:p>
        </w:tc>
      </w:tr>
      <w:tr w:rsidR="00A76D23" w14:paraId="68162422" w14:textId="77777777" w:rsidTr="00A76D23">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3DE5747E" w14:textId="77777777" w:rsidR="00A76D23" w:rsidRDefault="00A76D23">
            <w:pPr>
              <w:rPr>
                <w:szCs w:val="22"/>
                <w:lang w:val="en-GB" w:eastAsia="sv-SE"/>
              </w:rPr>
            </w:pPr>
            <w:r>
              <w:rPr>
                <w:szCs w:val="22"/>
                <w:lang w:val="en-GB" w:eastAsia="sv-SE"/>
              </w:rPr>
              <w:t xml:space="preserve">Hud </w:t>
            </w:r>
            <w:proofErr w:type="spellStart"/>
            <w:r>
              <w:rPr>
                <w:szCs w:val="22"/>
                <w:lang w:val="en-GB" w:eastAsia="sv-SE"/>
              </w:rPr>
              <w:t>og</w:t>
            </w:r>
            <w:proofErr w:type="spellEnd"/>
            <w:r>
              <w:rPr>
                <w:szCs w:val="22"/>
                <w:lang w:val="en-GB" w:eastAsia="sv-SE"/>
              </w:rPr>
              <w:t xml:space="preserve"> </w:t>
            </w:r>
            <w:proofErr w:type="spellStart"/>
            <w:r>
              <w:rPr>
                <w:szCs w:val="22"/>
                <w:lang w:val="en-GB" w:eastAsia="sv-SE"/>
              </w:rPr>
              <w:t>subkutane</w:t>
            </w:r>
            <w:proofErr w:type="spellEnd"/>
            <w:r>
              <w:rPr>
                <w:szCs w:val="22"/>
                <w:lang w:val="en-GB" w:eastAsia="sv-SE"/>
              </w:rPr>
              <w:t xml:space="preserve"> </w:t>
            </w:r>
            <w:proofErr w:type="spellStart"/>
            <w:r>
              <w:rPr>
                <w:szCs w:val="22"/>
                <w:lang w:val="en-GB" w:eastAsia="sv-SE"/>
              </w:rPr>
              <w:t>væv</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26B2CC6F" w14:textId="77777777" w:rsidR="00A76D23" w:rsidRDefault="00A76D23">
            <w:pPr>
              <w:rPr>
                <w:szCs w:val="22"/>
                <w:lang w:val="en-GB" w:eastAsia="sv-SE"/>
              </w:rPr>
            </w:pPr>
            <w:proofErr w:type="spellStart"/>
            <w:r>
              <w:rPr>
                <w:szCs w:val="22"/>
                <w:lang w:val="en-GB" w:eastAsia="sv-SE"/>
              </w:rPr>
              <w:t>Almindelig</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34597CD1" w14:textId="77777777" w:rsidR="00A76D23" w:rsidRDefault="00A76D23">
            <w:pPr>
              <w:rPr>
                <w:szCs w:val="22"/>
                <w:vertAlign w:val="superscript"/>
                <w:lang w:val="en-GB" w:eastAsia="sv-SE"/>
              </w:rPr>
            </w:pPr>
            <w:proofErr w:type="spellStart"/>
            <w:r>
              <w:rPr>
                <w:szCs w:val="22"/>
                <w:lang w:val="en-GB" w:eastAsia="sv-SE"/>
              </w:rPr>
              <w:t>Reaktioner</w:t>
            </w:r>
            <w:proofErr w:type="spellEnd"/>
            <w:r>
              <w:rPr>
                <w:szCs w:val="22"/>
                <w:lang w:val="en-GB" w:eastAsia="sv-SE"/>
              </w:rPr>
              <w:t xml:space="preserve"> </w:t>
            </w:r>
            <w:proofErr w:type="spellStart"/>
            <w:r>
              <w:rPr>
                <w:szCs w:val="22"/>
                <w:lang w:val="en-GB" w:eastAsia="sv-SE"/>
              </w:rPr>
              <w:t>på</w:t>
            </w:r>
            <w:proofErr w:type="spellEnd"/>
            <w:r>
              <w:rPr>
                <w:szCs w:val="22"/>
                <w:lang w:val="en-GB" w:eastAsia="sv-SE"/>
              </w:rPr>
              <w:t xml:space="preserve"> </w:t>
            </w:r>
            <w:proofErr w:type="spellStart"/>
            <w:r>
              <w:rPr>
                <w:szCs w:val="22"/>
                <w:lang w:val="en-GB" w:eastAsia="sv-SE"/>
              </w:rPr>
              <w:t>administrationsstedet</w:t>
            </w:r>
            <w:proofErr w:type="spellEnd"/>
            <w:r>
              <w:rPr>
                <w:szCs w:val="22"/>
                <w:lang w:val="en-GB" w:eastAsia="sv-SE"/>
              </w:rPr>
              <w:t xml:space="preserve"> </w:t>
            </w:r>
            <w:r>
              <w:rPr>
                <w:szCs w:val="22"/>
                <w:lang w:val="en-GB" w:eastAsia="sv-SE"/>
              </w:rPr>
              <w:sym w:font="Times New Roman" w:char="F02A"/>
            </w:r>
          </w:p>
        </w:tc>
      </w:tr>
      <w:tr w:rsidR="00A76D23" w14:paraId="7CCB4708"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34750DC2"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099DAA6A" w14:textId="77777777" w:rsidR="00A76D23" w:rsidRDefault="00A76D23">
            <w:pPr>
              <w:rPr>
                <w:szCs w:val="22"/>
                <w:lang w:val="en-GB" w:eastAsia="sv-SE"/>
              </w:rPr>
            </w:pPr>
            <w:proofErr w:type="spellStart"/>
            <w:r>
              <w:rPr>
                <w:szCs w:val="22"/>
                <w:lang w:val="en-GB" w:eastAsia="sv-SE"/>
              </w:rPr>
              <w:t>Ikke</w:t>
            </w:r>
            <w:proofErr w:type="spellEnd"/>
            <w:r>
              <w:rPr>
                <w:szCs w:val="22"/>
                <w:lang w:val="en-GB" w:eastAsia="sv-SE"/>
              </w:rPr>
              <w:t xml:space="preserve"> </w:t>
            </w:r>
            <w:proofErr w:type="spellStart"/>
            <w:r>
              <w:rPr>
                <w:szCs w:val="22"/>
                <w:lang w:val="en-GB" w:eastAsia="sv-SE"/>
              </w:rPr>
              <w:t>almindelig</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009F5D4F" w14:textId="77777777" w:rsidR="00A76D23" w:rsidRDefault="00A76D23">
            <w:pPr>
              <w:rPr>
                <w:szCs w:val="22"/>
                <w:lang w:val="en-GB" w:eastAsia="sv-SE"/>
              </w:rPr>
            </w:pPr>
            <w:r>
              <w:rPr>
                <w:szCs w:val="22"/>
                <w:lang w:val="en-GB" w:eastAsia="sv-SE"/>
              </w:rPr>
              <w:t xml:space="preserve">Dermatitis, pruritis, urticaria, </w:t>
            </w:r>
            <w:proofErr w:type="spellStart"/>
            <w:r>
              <w:rPr>
                <w:szCs w:val="22"/>
                <w:lang w:val="en-GB" w:eastAsia="sv-SE"/>
              </w:rPr>
              <w:t>udslæt</w:t>
            </w:r>
            <w:proofErr w:type="spellEnd"/>
          </w:p>
        </w:tc>
      </w:tr>
      <w:tr w:rsidR="00A76D23" w14:paraId="297DBAD3"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1D710BF9"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14E51D76" w14:textId="77777777" w:rsidR="00A76D23" w:rsidRDefault="00A76D23">
            <w:pPr>
              <w:rPr>
                <w:szCs w:val="22"/>
                <w:lang w:val="en-GB" w:eastAsia="sv-SE"/>
              </w:rPr>
            </w:pP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34A7EEB7" w14:textId="77777777" w:rsidR="00A76D23" w:rsidRDefault="00A76D23">
            <w:pPr>
              <w:rPr>
                <w:szCs w:val="22"/>
                <w:lang w:val="en-GB" w:eastAsia="sv-SE"/>
              </w:rPr>
            </w:pPr>
            <w:r>
              <w:rPr>
                <w:szCs w:val="22"/>
                <w:lang w:val="en-GB" w:eastAsia="sv-SE"/>
              </w:rPr>
              <w:t xml:space="preserve">Alopecia, </w:t>
            </w:r>
            <w:proofErr w:type="spellStart"/>
            <w:r>
              <w:rPr>
                <w:szCs w:val="22"/>
                <w:lang w:val="en-GB" w:eastAsia="sv-SE"/>
              </w:rPr>
              <w:t>fotosensitivitet</w:t>
            </w:r>
            <w:proofErr w:type="spellEnd"/>
          </w:p>
        </w:tc>
      </w:tr>
      <w:tr w:rsidR="00A76D23" w14:paraId="756F3843"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5774EA0C"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3B43AD72" w14:textId="77777777" w:rsidR="00A76D23" w:rsidRDefault="00A76D23">
            <w:pPr>
              <w:rPr>
                <w:szCs w:val="22"/>
                <w:lang w:val="en-GB" w:eastAsia="sv-SE"/>
              </w:rPr>
            </w:pPr>
            <w:proofErr w:type="spellStart"/>
            <w:r>
              <w:rPr>
                <w:szCs w:val="22"/>
                <w:lang w:val="en-GB" w:eastAsia="sv-SE"/>
              </w:rPr>
              <w:t>Meget</w:t>
            </w:r>
            <w:proofErr w:type="spellEnd"/>
            <w:r>
              <w:rPr>
                <w:szCs w:val="22"/>
                <w:lang w:val="en-GB" w:eastAsia="sv-SE"/>
              </w:rPr>
              <w:t xml:space="preserve"> </w:t>
            </w: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2E61B526" w14:textId="68965AF2" w:rsidR="00A76D23" w:rsidRPr="00A76D23" w:rsidRDefault="00465661">
            <w:pPr>
              <w:rPr>
                <w:szCs w:val="22"/>
                <w:lang w:eastAsia="sv-SE"/>
              </w:rPr>
            </w:pPr>
            <w:proofErr w:type="spellStart"/>
            <w:r w:rsidRPr="00824CAD">
              <w:rPr>
                <w:szCs w:val="22"/>
                <w:lang w:eastAsia="sv-SE"/>
              </w:rPr>
              <w:t>Erythema</w:t>
            </w:r>
            <w:proofErr w:type="spellEnd"/>
            <w:r w:rsidRPr="00824CAD">
              <w:rPr>
                <w:szCs w:val="22"/>
                <w:lang w:eastAsia="sv-SE"/>
              </w:rPr>
              <w:t xml:space="preserve"> multiforme, Stevens-Johnson syndrom, toksisk </w:t>
            </w:r>
            <w:proofErr w:type="spellStart"/>
            <w:r w:rsidRPr="00824CAD">
              <w:rPr>
                <w:szCs w:val="22"/>
                <w:lang w:eastAsia="sv-SE"/>
              </w:rPr>
              <w:t>epidermal</w:t>
            </w:r>
            <w:proofErr w:type="spellEnd"/>
            <w:r w:rsidRPr="00824CAD">
              <w:rPr>
                <w:szCs w:val="22"/>
                <w:lang w:eastAsia="sv-SE"/>
              </w:rPr>
              <w:t xml:space="preserve"> </w:t>
            </w:r>
            <w:proofErr w:type="spellStart"/>
            <w:r w:rsidRPr="00824CAD">
              <w:rPr>
                <w:szCs w:val="22"/>
                <w:lang w:eastAsia="sv-SE"/>
              </w:rPr>
              <w:t>nekrolyse</w:t>
            </w:r>
            <w:proofErr w:type="spellEnd"/>
            <w:r w:rsidRPr="00824CAD">
              <w:rPr>
                <w:szCs w:val="22"/>
                <w:lang w:eastAsia="sv-SE"/>
              </w:rPr>
              <w:t xml:space="preserve"> (TEN</w:t>
            </w:r>
            <w:r w:rsidRPr="00465661">
              <w:rPr>
                <w:rStyle w:val="2"/>
                <w:u w:val="none"/>
                <w:lang w:val="da-DK"/>
              </w:rPr>
              <w:t xml:space="preserve">), </w:t>
            </w:r>
            <w:r>
              <w:rPr>
                <w:color w:val="000000"/>
                <w:szCs w:val="22"/>
                <w:lang w:eastAsia="el-GR"/>
              </w:rPr>
              <w:t>L</w:t>
            </w:r>
            <w:r w:rsidRPr="00824CAD">
              <w:rPr>
                <w:color w:val="000000"/>
                <w:szCs w:val="22"/>
                <w:lang w:eastAsia="el-GR"/>
              </w:rPr>
              <w:t xml:space="preserve">ægemiddelreaktion med </w:t>
            </w:r>
            <w:proofErr w:type="spellStart"/>
            <w:r w:rsidRPr="00824CAD">
              <w:rPr>
                <w:color w:val="000000"/>
                <w:szCs w:val="22"/>
                <w:lang w:eastAsia="el-GR"/>
              </w:rPr>
              <w:t>eosinofili</w:t>
            </w:r>
            <w:proofErr w:type="spellEnd"/>
            <w:r w:rsidRPr="00824CAD">
              <w:rPr>
                <w:color w:val="000000"/>
                <w:szCs w:val="22"/>
                <w:lang w:eastAsia="el-GR"/>
              </w:rPr>
              <w:t xml:space="preserve"> og systemiske symptomer (DRESS)</w:t>
            </w:r>
          </w:p>
        </w:tc>
      </w:tr>
      <w:tr w:rsidR="00A76D23" w14:paraId="78D043F7"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46CE4ACA" w14:textId="77777777" w:rsidR="00A76D23" w:rsidRPr="00A76D23" w:rsidRDefault="00A76D23">
            <w:pPr>
              <w:rPr>
                <w:sz w:val="22"/>
                <w:szCs w:val="22"/>
                <w:lang w:eastAsia="sv-SE"/>
              </w:rPr>
            </w:pPr>
          </w:p>
        </w:tc>
        <w:tc>
          <w:tcPr>
            <w:tcW w:w="1440" w:type="dxa"/>
            <w:tcBorders>
              <w:top w:val="single" w:sz="4" w:space="0" w:color="auto"/>
              <w:left w:val="single" w:sz="4" w:space="0" w:color="auto"/>
              <w:bottom w:val="single" w:sz="4" w:space="0" w:color="auto"/>
              <w:right w:val="single" w:sz="4" w:space="0" w:color="auto"/>
            </w:tcBorders>
            <w:hideMark/>
          </w:tcPr>
          <w:p w14:paraId="73180950" w14:textId="77777777" w:rsidR="00A76D23" w:rsidRDefault="00A76D23">
            <w:pPr>
              <w:rPr>
                <w:szCs w:val="22"/>
                <w:lang w:val="en-GB" w:eastAsia="sv-SE"/>
              </w:rPr>
            </w:pPr>
            <w:proofErr w:type="spellStart"/>
            <w:r>
              <w:rPr>
                <w:szCs w:val="22"/>
                <w:lang w:val="en-GB" w:eastAsia="sv-SE"/>
              </w:rPr>
              <w:t>Ikke</w:t>
            </w:r>
            <w:proofErr w:type="spellEnd"/>
            <w:r>
              <w:rPr>
                <w:szCs w:val="22"/>
                <w:lang w:val="en-GB" w:eastAsia="sv-SE"/>
              </w:rPr>
              <w:t xml:space="preserve"> </w:t>
            </w:r>
            <w:proofErr w:type="spellStart"/>
            <w:r>
              <w:rPr>
                <w:szCs w:val="22"/>
                <w:lang w:val="en-GB" w:eastAsia="sv-SE"/>
              </w:rPr>
              <w:t>kendt</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7C2A2B69" w14:textId="77777777" w:rsidR="00A76D23" w:rsidRDefault="00A76D23">
            <w:pPr>
              <w:rPr>
                <w:szCs w:val="22"/>
                <w:lang w:val="sv-SE" w:eastAsia="sv-SE"/>
              </w:rPr>
            </w:pPr>
            <w:r>
              <w:rPr>
                <w:szCs w:val="22"/>
                <w:lang w:val="sv-SE" w:eastAsia="sv-SE"/>
              </w:rPr>
              <w:t xml:space="preserve">Subakut </w:t>
            </w:r>
            <w:proofErr w:type="spellStart"/>
            <w:r>
              <w:rPr>
                <w:szCs w:val="22"/>
                <w:lang w:val="sv-SE" w:eastAsia="sv-SE"/>
              </w:rPr>
              <w:t>kutan</w:t>
            </w:r>
            <w:proofErr w:type="spellEnd"/>
            <w:r>
              <w:rPr>
                <w:szCs w:val="22"/>
                <w:lang w:val="sv-SE" w:eastAsia="sv-SE"/>
              </w:rPr>
              <w:t xml:space="preserve"> lupus </w:t>
            </w:r>
            <w:proofErr w:type="spellStart"/>
            <w:r>
              <w:rPr>
                <w:szCs w:val="22"/>
                <w:lang w:val="sv-SE" w:eastAsia="sv-SE"/>
              </w:rPr>
              <w:t>erythematosus</w:t>
            </w:r>
            <w:proofErr w:type="spellEnd"/>
            <w:r>
              <w:rPr>
                <w:szCs w:val="22"/>
                <w:lang w:val="sv-SE" w:eastAsia="sv-SE"/>
              </w:rPr>
              <w:t xml:space="preserve"> (se pkt. 4.4)</w:t>
            </w:r>
          </w:p>
        </w:tc>
      </w:tr>
      <w:tr w:rsidR="00A76D23" w14:paraId="645BF053" w14:textId="77777777" w:rsidTr="00A76D23">
        <w:trPr>
          <w:cantSplit/>
        </w:trPr>
        <w:tc>
          <w:tcPr>
            <w:tcW w:w="3240" w:type="dxa"/>
            <w:vMerge w:val="restart"/>
            <w:tcBorders>
              <w:top w:val="single" w:sz="4" w:space="0" w:color="auto"/>
              <w:left w:val="single" w:sz="4" w:space="0" w:color="auto"/>
              <w:bottom w:val="single" w:sz="4" w:space="0" w:color="auto"/>
              <w:right w:val="single" w:sz="4" w:space="0" w:color="auto"/>
            </w:tcBorders>
            <w:hideMark/>
          </w:tcPr>
          <w:p w14:paraId="68CC5F6D" w14:textId="77777777" w:rsidR="00A76D23" w:rsidRPr="00A76D23" w:rsidRDefault="00A76D23">
            <w:pPr>
              <w:rPr>
                <w:szCs w:val="22"/>
                <w:lang w:eastAsia="sv-SE"/>
              </w:rPr>
            </w:pPr>
            <w:r w:rsidRPr="00A76D23">
              <w:rPr>
                <w:szCs w:val="22"/>
                <w:lang w:eastAsia="sv-SE"/>
              </w:rPr>
              <w:t>Knogler, led, muskler og bindevæv</w:t>
            </w:r>
          </w:p>
        </w:tc>
        <w:tc>
          <w:tcPr>
            <w:tcW w:w="1440" w:type="dxa"/>
            <w:tcBorders>
              <w:top w:val="single" w:sz="4" w:space="0" w:color="auto"/>
              <w:left w:val="single" w:sz="4" w:space="0" w:color="auto"/>
              <w:bottom w:val="single" w:sz="4" w:space="0" w:color="auto"/>
              <w:right w:val="single" w:sz="4" w:space="0" w:color="auto"/>
            </w:tcBorders>
            <w:hideMark/>
          </w:tcPr>
          <w:p w14:paraId="0375CCD1" w14:textId="77777777" w:rsidR="00A76D23" w:rsidRDefault="00A76D23">
            <w:pPr>
              <w:rPr>
                <w:szCs w:val="22"/>
                <w:lang w:val="en-GB" w:eastAsia="sv-SE"/>
              </w:rPr>
            </w:pPr>
            <w:proofErr w:type="spellStart"/>
            <w:r>
              <w:rPr>
                <w:szCs w:val="22"/>
                <w:lang w:val="en-GB" w:eastAsia="sv-SE"/>
              </w:rPr>
              <w:t>Ikke</w:t>
            </w:r>
            <w:proofErr w:type="spellEnd"/>
            <w:r>
              <w:rPr>
                <w:szCs w:val="22"/>
                <w:lang w:val="en-GB" w:eastAsia="sv-SE"/>
              </w:rPr>
              <w:t xml:space="preserve"> </w:t>
            </w:r>
            <w:proofErr w:type="spellStart"/>
            <w:r>
              <w:rPr>
                <w:szCs w:val="22"/>
                <w:lang w:val="en-GB" w:eastAsia="sv-SE"/>
              </w:rPr>
              <w:t>almindelig</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593F16D6" w14:textId="77777777" w:rsidR="00A76D23" w:rsidRPr="00A76D23" w:rsidRDefault="00A76D23">
            <w:pPr>
              <w:rPr>
                <w:szCs w:val="22"/>
                <w:lang w:eastAsia="sv-SE"/>
              </w:rPr>
            </w:pPr>
            <w:r w:rsidRPr="00A76D23">
              <w:rPr>
                <w:szCs w:val="22"/>
                <w:lang w:eastAsia="sv-SE"/>
              </w:rPr>
              <w:t>Fraktur på hofte, håndled eller rygrad (se pkt. 4.4)</w:t>
            </w:r>
          </w:p>
        </w:tc>
      </w:tr>
      <w:tr w:rsidR="00A76D23" w14:paraId="5404ABB3"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361F7F2A" w14:textId="77777777" w:rsidR="00A76D23" w:rsidRPr="00A76D23" w:rsidRDefault="00A76D23">
            <w:pPr>
              <w:rPr>
                <w:sz w:val="22"/>
                <w:szCs w:val="22"/>
                <w:lang w:eastAsia="sv-SE"/>
              </w:rPr>
            </w:pPr>
          </w:p>
        </w:tc>
        <w:tc>
          <w:tcPr>
            <w:tcW w:w="1440" w:type="dxa"/>
            <w:tcBorders>
              <w:top w:val="single" w:sz="4" w:space="0" w:color="auto"/>
              <w:left w:val="single" w:sz="4" w:space="0" w:color="auto"/>
              <w:bottom w:val="single" w:sz="4" w:space="0" w:color="auto"/>
              <w:right w:val="single" w:sz="4" w:space="0" w:color="auto"/>
            </w:tcBorders>
            <w:hideMark/>
          </w:tcPr>
          <w:p w14:paraId="715E2E05" w14:textId="77777777" w:rsidR="00A76D23" w:rsidRDefault="00A76D23">
            <w:pPr>
              <w:rPr>
                <w:szCs w:val="22"/>
                <w:lang w:val="en-GB" w:eastAsia="sv-SE"/>
              </w:rPr>
            </w:pP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451865C2" w14:textId="77777777" w:rsidR="00A76D23" w:rsidRDefault="00A76D23">
            <w:pPr>
              <w:rPr>
                <w:szCs w:val="22"/>
                <w:lang w:val="en-GB" w:eastAsia="sv-SE"/>
              </w:rPr>
            </w:pPr>
            <w:proofErr w:type="spellStart"/>
            <w:r>
              <w:rPr>
                <w:szCs w:val="22"/>
                <w:lang w:val="en-GB" w:eastAsia="sv-SE"/>
              </w:rPr>
              <w:t>Artralgi</w:t>
            </w:r>
            <w:proofErr w:type="spellEnd"/>
            <w:r>
              <w:rPr>
                <w:szCs w:val="22"/>
                <w:lang w:val="en-GB" w:eastAsia="sv-SE"/>
              </w:rPr>
              <w:t xml:space="preserve">, </w:t>
            </w:r>
            <w:proofErr w:type="spellStart"/>
            <w:r>
              <w:rPr>
                <w:szCs w:val="22"/>
                <w:lang w:val="en-GB" w:eastAsia="sv-SE"/>
              </w:rPr>
              <w:t>myalgi</w:t>
            </w:r>
            <w:proofErr w:type="spellEnd"/>
          </w:p>
        </w:tc>
      </w:tr>
      <w:tr w:rsidR="00A76D23" w14:paraId="76A5DBAC" w14:textId="77777777" w:rsidTr="00A76D23">
        <w:trPr>
          <w:cantSplit/>
        </w:trPr>
        <w:tc>
          <w:tcPr>
            <w:tcW w:w="3240" w:type="dxa"/>
            <w:vMerge/>
            <w:tcBorders>
              <w:top w:val="single" w:sz="4" w:space="0" w:color="auto"/>
              <w:left w:val="single" w:sz="4" w:space="0" w:color="auto"/>
              <w:bottom w:val="single" w:sz="4" w:space="0" w:color="auto"/>
              <w:right w:val="single" w:sz="4" w:space="0" w:color="auto"/>
            </w:tcBorders>
            <w:vAlign w:val="center"/>
            <w:hideMark/>
          </w:tcPr>
          <w:p w14:paraId="523BE544" w14:textId="77777777" w:rsidR="00A76D23" w:rsidRDefault="00A76D23">
            <w:pPr>
              <w:rPr>
                <w:sz w:val="22"/>
                <w:szCs w:val="22"/>
                <w:lang w:val="en-GB" w:eastAsia="sv-SE"/>
              </w:rPr>
            </w:pPr>
          </w:p>
        </w:tc>
        <w:tc>
          <w:tcPr>
            <w:tcW w:w="1440" w:type="dxa"/>
            <w:tcBorders>
              <w:top w:val="single" w:sz="4" w:space="0" w:color="auto"/>
              <w:left w:val="single" w:sz="4" w:space="0" w:color="auto"/>
              <w:bottom w:val="single" w:sz="4" w:space="0" w:color="auto"/>
              <w:right w:val="single" w:sz="4" w:space="0" w:color="auto"/>
            </w:tcBorders>
            <w:hideMark/>
          </w:tcPr>
          <w:p w14:paraId="5ED7497A" w14:textId="77777777" w:rsidR="00A76D23" w:rsidRDefault="00A76D23">
            <w:pPr>
              <w:rPr>
                <w:szCs w:val="22"/>
                <w:lang w:val="en-GB" w:eastAsia="sv-SE"/>
              </w:rPr>
            </w:pPr>
            <w:proofErr w:type="spellStart"/>
            <w:r>
              <w:rPr>
                <w:szCs w:val="22"/>
                <w:lang w:val="en-GB" w:eastAsia="sv-SE"/>
              </w:rPr>
              <w:t>Meget</w:t>
            </w:r>
            <w:proofErr w:type="spellEnd"/>
            <w:r>
              <w:rPr>
                <w:szCs w:val="22"/>
                <w:lang w:val="en-GB" w:eastAsia="sv-SE"/>
              </w:rPr>
              <w:t xml:space="preserve"> </w:t>
            </w: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042ABD1E" w14:textId="77777777" w:rsidR="00A76D23" w:rsidRDefault="00A76D23">
            <w:pPr>
              <w:rPr>
                <w:szCs w:val="22"/>
                <w:lang w:val="en-GB" w:eastAsia="sv-SE"/>
              </w:rPr>
            </w:pPr>
            <w:proofErr w:type="spellStart"/>
            <w:r>
              <w:rPr>
                <w:szCs w:val="22"/>
                <w:lang w:val="en-GB" w:eastAsia="sv-SE"/>
              </w:rPr>
              <w:t>Muskelsvaghed</w:t>
            </w:r>
            <w:proofErr w:type="spellEnd"/>
          </w:p>
        </w:tc>
      </w:tr>
      <w:tr w:rsidR="00A76D23" w14:paraId="4C103954" w14:textId="77777777" w:rsidTr="00A76D23">
        <w:tc>
          <w:tcPr>
            <w:tcW w:w="3240" w:type="dxa"/>
            <w:tcBorders>
              <w:top w:val="single" w:sz="4" w:space="0" w:color="auto"/>
              <w:left w:val="single" w:sz="4" w:space="0" w:color="auto"/>
              <w:bottom w:val="single" w:sz="4" w:space="0" w:color="auto"/>
              <w:right w:val="single" w:sz="4" w:space="0" w:color="auto"/>
            </w:tcBorders>
            <w:hideMark/>
          </w:tcPr>
          <w:p w14:paraId="53E94307" w14:textId="77777777" w:rsidR="00A76D23" w:rsidRDefault="00A76D23">
            <w:pPr>
              <w:rPr>
                <w:szCs w:val="22"/>
                <w:lang w:val="en-GB" w:eastAsia="sv-SE"/>
              </w:rPr>
            </w:pPr>
            <w:proofErr w:type="spellStart"/>
            <w:r>
              <w:rPr>
                <w:szCs w:val="22"/>
                <w:lang w:val="en-GB" w:eastAsia="sv-SE"/>
              </w:rPr>
              <w:t>Nyrer</w:t>
            </w:r>
            <w:proofErr w:type="spellEnd"/>
            <w:r>
              <w:rPr>
                <w:szCs w:val="22"/>
                <w:lang w:val="en-GB" w:eastAsia="sv-SE"/>
              </w:rPr>
              <w:t xml:space="preserve"> </w:t>
            </w:r>
            <w:proofErr w:type="spellStart"/>
            <w:r>
              <w:rPr>
                <w:szCs w:val="22"/>
                <w:lang w:val="en-GB" w:eastAsia="sv-SE"/>
              </w:rPr>
              <w:t>og</w:t>
            </w:r>
            <w:proofErr w:type="spellEnd"/>
            <w:r>
              <w:rPr>
                <w:szCs w:val="22"/>
                <w:lang w:val="en-GB" w:eastAsia="sv-SE"/>
              </w:rPr>
              <w:t xml:space="preserve"> </w:t>
            </w:r>
            <w:proofErr w:type="spellStart"/>
            <w:r>
              <w:rPr>
                <w:szCs w:val="22"/>
                <w:lang w:val="en-GB" w:eastAsia="sv-SE"/>
              </w:rPr>
              <w:t>urinveje</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36BD52F6" w14:textId="77777777" w:rsidR="00A76D23" w:rsidRDefault="00A76D23">
            <w:pPr>
              <w:rPr>
                <w:szCs w:val="22"/>
                <w:lang w:val="en-GB" w:eastAsia="sv-SE"/>
              </w:rPr>
            </w:pPr>
            <w:proofErr w:type="spellStart"/>
            <w:r>
              <w:rPr>
                <w:szCs w:val="22"/>
                <w:lang w:val="en-GB" w:eastAsia="sv-SE"/>
              </w:rPr>
              <w:t>Meget</w:t>
            </w:r>
            <w:proofErr w:type="spellEnd"/>
            <w:r>
              <w:rPr>
                <w:szCs w:val="22"/>
                <w:lang w:val="en-GB" w:eastAsia="sv-SE"/>
              </w:rPr>
              <w:t xml:space="preserve"> </w:t>
            </w: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18248508" w14:textId="77777777" w:rsidR="00A76D23" w:rsidRPr="00A76D23" w:rsidRDefault="00A76D23">
            <w:pPr>
              <w:rPr>
                <w:szCs w:val="22"/>
                <w:lang w:eastAsia="sv-SE"/>
              </w:rPr>
            </w:pPr>
            <w:proofErr w:type="spellStart"/>
            <w:r w:rsidRPr="00A76D23">
              <w:rPr>
                <w:szCs w:val="22"/>
                <w:lang w:eastAsia="sv-SE"/>
              </w:rPr>
              <w:t>Interstitiel</w:t>
            </w:r>
            <w:proofErr w:type="spellEnd"/>
            <w:r w:rsidRPr="00A76D23">
              <w:rPr>
                <w:szCs w:val="22"/>
                <w:lang w:eastAsia="sv-SE"/>
              </w:rPr>
              <w:t xml:space="preserve"> </w:t>
            </w:r>
            <w:proofErr w:type="spellStart"/>
            <w:r w:rsidRPr="00A76D23">
              <w:rPr>
                <w:szCs w:val="22"/>
                <w:lang w:eastAsia="sv-SE"/>
              </w:rPr>
              <w:t>nephritis</w:t>
            </w:r>
            <w:proofErr w:type="spellEnd"/>
            <w:r w:rsidRPr="00A76D23">
              <w:rPr>
                <w:szCs w:val="22"/>
                <w:lang w:eastAsia="sv-SE"/>
              </w:rPr>
              <w:t>; i nogle patienter er samtidig nyresvigt rapporteret</w:t>
            </w:r>
          </w:p>
        </w:tc>
      </w:tr>
      <w:tr w:rsidR="00A76D23" w14:paraId="396FD373" w14:textId="77777777" w:rsidTr="00A76D23">
        <w:tc>
          <w:tcPr>
            <w:tcW w:w="3240" w:type="dxa"/>
            <w:tcBorders>
              <w:top w:val="single" w:sz="4" w:space="0" w:color="auto"/>
              <w:left w:val="single" w:sz="4" w:space="0" w:color="auto"/>
              <w:bottom w:val="single" w:sz="4" w:space="0" w:color="auto"/>
              <w:right w:val="single" w:sz="4" w:space="0" w:color="auto"/>
            </w:tcBorders>
            <w:hideMark/>
          </w:tcPr>
          <w:p w14:paraId="257438EA" w14:textId="77777777" w:rsidR="00A76D23" w:rsidRPr="00A76D23" w:rsidRDefault="00A76D23">
            <w:pPr>
              <w:rPr>
                <w:szCs w:val="22"/>
                <w:lang w:eastAsia="sv-SE"/>
              </w:rPr>
            </w:pPr>
            <w:r w:rsidRPr="00A76D23">
              <w:rPr>
                <w:szCs w:val="22"/>
                <w:lang w:eastAsia="sv-SE"/>
              </w:rPr>
              <w:t>Det reproduktive system og mammae</w:t>
            </w:r>
          </w:p>
        </w:tc>
        <w:tc>
          <w:tcPr>
            <w:tcW w:w="1440" w:type="dxa"/>
            <w:tcBorders>
              <w:top w:val="single" w:sz="4" w:space="0" w:color="auto"/>
              <w:left w:val="single" w:sz="4" w:space="0" w:color="auto"/>
              <w:bottom w:val="single" w:sz="4" w:space="0" w:color="auto"/>
              <w:right w:val="single" w:sz="4" w:space="0" w:color="auto"/>
            </w:tcBorders>
            <w:hideMark/>
          </w:tcPr>
          <w:p w14:paraId="76B823F9" w14:textId="77777777" w:rsidR="00A76D23" w:rsidRDefault="00A76D23">
            <w:pPr>
              <w:rPr>
                <w:szCs w:val="22"/>
                <w:lang w:val="en-GB" w:eastAsia="sv-SE"/>
              </w:rPr>
            </w:pPr>
            <w:proofErr w:type="spellStart"/>
            <w:r>
              <w:rPr>
                <w:szCs w:val="22"/>
                <w:lang w:val="en-GB" w:eastAsia="sv-SE"/>
              </w:rPr>
              <w:t>Meget</w:t>
            </w:r>
            <w:proofErr w:type="spellEnd"/>
            <w:r>
              <w:rPr>
                <w:szCs w:val="22"/>
                <w:lang w:val="en-GB" w:eastAsia="sv-SE"/>
              </w:rPr>
              <w:t xml:space="preserve"> </w:t>
            </w: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114905CA" w14:textId="77777777" w:rsidR="00A76D23" w:rsidRDefault="00A76D23">
            <w:pPr>
              <w:rPr>
                <w:szCs w:val="22"/>
                <w:lang w:val="en-GB" w:eastAsia="sv-SE"/>
              </w:rPr>
            </w:pPr>
            <w:proofErr w:type="spellStart"/>
            <w:r>
              <w:rPr>
                <w:szCs w:val="22"/>
                <w:lang w:val="en-GB" w:eastAsia="sv-SE"/>
              </w:rPr>
              <w:t>Gynækomasti</w:t>
            </w:r>
            <w:proofErr w:type="spellEnd"/>
          </w:p>
        </w:tc>
      </w:tr>
      <w:tr w:rsidR="00A76D23" w14:paraId="18BB4E8B" w14:textId="77777777" w:rsidTr="00A76D23">
        <w:tc>
          <w:tcPr>
            <w:tcW w:w="3240" w:type="dxa"/>
            <w:tcBorders>
              <w:top w:val="single" w:sz="4" w:space="0" w:color="auto"/>
              <w:left w:val="single" w:sz="4" w:space="0" w:color="auto"/>
              <w:bottom w:val="single" w:sz="4" w:space="0" w:color="auto"/>
              <w:right w:val="single" w:sz="4" w:space="0" w:color="auto"/>
            </w:tcBorders>
            <w:hideMark/>
          </w:tcPr>
          <w:p w14:paraId="120FBE0B" w14:textId="77777777" w:rsidR="00A76D23" w:rsidRPr="00A76D23" w:rsidRDefault="00A76D23">
            <w:pPr>
              <w:rPr>
                <w:szCs w:val="22"/>
                <w:lang w:eastAsia="sv-SE"/>
              </w:rPr>
            </w:pPr>
            <w:r w:rsidRPr="00A76D23">
              <w:rPr>
                <w:szCs w:val="22"/>
                <w:lang w:eastAsia="sv-SE"/>
              </w:rPr>
              <w:t>Almene symptomer og reaktioner på administrationsstedet</w:t>
            </w:r>
          </w:p>
        </w:tc>
        <w:tc>
          <w:tcPr>
            <w:tcW w:w="1440" w:type="dxa"/>
            <w:tcBorders>
              <w:top w:val="single" w:sz="4" w:space="0" w:color="auto"/>
              <w:left w:val="single" w:sz="4" w:space="0" w:color="auto"/>
              <w:bottom w:val="single" w:sz="4" w:space="0" w:color="auto"/>
              <w:right w:val="single" w:sz="4" w:space="0" w:color="auto"/>
            </w:tcBorders>
            <w:hideMark/>
          </w:tcPr>
          <w:p w14:paraId="00FA689E" w14:textId="77777777" w:rsidR="00A76D23" w:rsidRDefault="00A76D23">
            <w:pPr>
              <w:rPr>
                <w:szCs w:val="22"/>
                <w:lang w:val="en-GB" w:eastAsia="sv-SE"/>
              </w:rPr>
            </w:pPr>
            <w:proofErr w:type="spellStart"/>
            <w:r>
              <w:rPr>
                <w:szCs w:val="22"/>
                <w:lang w:val="en-GB" w:eastAsia="sv-SE"/>
              </w:rPr>
              <w:t>Sjælden</w:t>
            </w:r>
            <w:proofErr w:type="spellEnd"/>
          </w:p>
        </w:tc>
        <w:tc>
          <w:tcPr>
            <w:tcW w:w="4392" w:type="dxa"/>
            <w:tcBorders>
              <w:top w:val="single" w:sz="4" w:space="0" w:color="auto"/>
              <w:left w:val="single" w:sz="4" w:space="0" w:color="auto"/>
              <w:bottom w:val="single" w:sz="4" w:space="0" w:color="auto"/>
              <w:right w:val="single" w:sz="4" w:space="0" w:color="auto"/>
            </w:tcBorders>
            <w:hideMark/>
          </w:tcPr>
          <w:p w14:paraId="218C26DA" w14:textId="77777777" w:rsidR="00A76D23" w:rsidRDefault="00A76D23">
            <w:pPr>
              <w:rPr>
                <w:szCs w:val="22"/>
                <w:lang w:val="en-GB" w:eastAsia="sv-SE"/>
              </w:rPr>
            </w:pPr>
            <w:proofErr w:type="spellStart"/>
            <w:r>
              <w:rPr>
                <w:szCs w:val="22"/>
                <w:lang w:val="en-GB" w:eastAsia="sv-SE"/>
              </w:rPr>
              <w:t>Utilpashed</w:t>
            </w:r>
            <w:proofErr w:type="spellEnd"/>
            <w:r>
              <w:rPr>
                <w:szCs w:val="22"/>
                <w:lang w:val="en-GB" w:eastAsia="sv-SE"/>
              </w:rPr>
              <w:t xml:space="preserve">, </w:t>
            </w:r>
            <w:proofErr w:type="spellStart"/>
            <w:r>
              <w:rPr>
                <w:szCs w:val="22"/>
                <w:lang w:val="en-GB" w:eastAsia="sv-SE"/>
              </w:rPr>
              <w:t>øget</w:t>
            </w:r>
            <w:proofErr w:type="spellEnd"/>
            <w:r>
              <w:rPr>
                <w:szCs w:val="22"/>
                <w:lang w:val="en-GB" w:eastAsia="sv-SE"/>
              </w:rPr>
              <w:t xml:space="preserve"> </w:t>
            </w:r>
            <w:proofErr w:type="spellStart"/>
            <w:r>
              <w:rPr>
                <w:szCs w:val="22"/>
                <w:lang w:val="en-GB" w:eastAsia="sv-SE"/>
              </w:rPr>
              <w:t>svedtendens</w:t>
            </w:r>
            <w:proofErr w:type="spellEnd"/>
          </w:p>
        </w:tc>
      </w:tr>
    </w:tbl>
    <w:p w14:paraId="4347EA97" w14:textId="77777777" w:rsidR="008D5EB9" w:rsidRPr="00A76D23" w:rsidRDefault="008D5EB9" w:rsidP="00A76D23">
      <w:pPr>
        <w:ind w:left="284"/>
        <w:rPr>
          <w:sz w:val="20"/>
        </w:rPr>
      </w:pPr>
      <w:r w:rsidRPr="00A76D23">
        <w:rPr>
          <w:sz w:val="20"/>
        </w:rPr>
        <w:t xml:space="preserve">* Reaktioner på administrationsstedet er hovedsageligt blevet observeret i et forsøg med </w:t>
      </w:r>
      <w:proofErr w:type="spellStart"/>
      <w:r w:rsidRPr="00A76D23">
        <w:rPr>
          <w:sz w:val="20"/>
        </w:rPr>
        <w:t>høj-dosis</w:t>
      </w:r>
      <w:proofErr w:type="spellEnd"/>
      <w:r w:rsidRPr="00A76D23">
        <w:rPr>
          <w:sz w:val="20"/>
        </w:rPr>
        <w:t xml:space="preserve"> eksponering over 3 dage (72). Se pkt. 5.3.</w:t>
      </w:r>
    </w:p>
    <w:p w14:paraId="38FF7BA6" w14:textId="77777777" w:rsidR="008D5EB9" w:rsidRPr="008D5EB9" w:rsidRDefault="008D5EB9" w:rsidP="008D5EB9">
      <w:pPr>
        <w:tabs>
          <w:tab w:val="left" w:pos="851"/>
        </w:tabs>
        <w:ind w:left="851"/>
        <w:rPr>
          <w:sz w:val="24"/>
          <w:szCs w:val="24"/>
        </w:rPr>
      </w:pPr>
    </w:p>
    <w:p w14:paraId="3C376326" w14:textId="77777777" w:rsidR="008D5EB9" w:rsidRPr="008D5EB9" w:rsidRDefault="008D5EB9" w:rsidP="008D5EB9">
      <w:pPr>
        <w:tabs>
          <w:tab w:val="left" w:pos="851"/>
        </w:tabs>
        <w:ind w:left="851"/>
        <w:rPr>
          <w:sz w:val="24"/>
          <w:szCs w:val="24"/>
        </w:rPr>
      </w:pPr>
      <w:r w:rsidRPr="008D5EB9">
        <w:rPr>
          <w:sz w:val="24"/>
          <w:szCs w:val="24"/>
        </w:rPr>
        <w:t xml:space="preserve">Hos kritisk syge patienter, der har fået </w:t>
      </w:r>
      <w:proofErr w:type="spellStart"/>
      <w:r w:rsidRPr="008D5EB9">
        <w:rPr>
          <w:sz w:val="24"/>
          <w:szCs w:val="24"/>
        </w:rPr>
        <w:t>omeprazol</w:t>
      </w:r>
      <w:proofErr w:type="spellEnd"/>
      <w:r w:rsidRPr="008D5EB9">
        <w:rPr>
          <w:sz w:val="24"/>
          <w:szCs w:val="24"/>
        </w:rPr>
        <w:t xml:space="preserve"> (</w:t>
      </w:r>
      <w:proofErr w:type="spellStart"/>
      <w:r w:rsidRPr="008D5EB9">
        <w:rPr>
          <w:sz w:val="24"/>
          <w:szCs w:val="24"/>
        </w:rPr>
        <w:t>racematet</w:t>
      </w:r>
      <w:proofErr w:type="spellEnd"/>
      <w:r w:rsidRPr="008D5EB9">
        <w:rPr>
          <w:sz w:val="24"/>
          <w:szCs w:val="24"/>
        </w:rPr>
        <w:t>) som intravenøs injektion, specielt i store mængder, er der i sjældne tilfælde rapporteret om irreversibelt svigtende syn, men der foreligger ingen kausal sammenhæng.</w:t>
      </w:r>
    </w:p>
    <w:p w14:paraId="33E38C76" w14:textId="77777777" w:rsidR="008D5EB9" w:rsidRPr="008D5EB9" w:rsidRDefault="008D5EB9" w:rsidP="008D5EB9">
      <w:pPr>
        <w:tabs>
          <w:tab w:val="left" w:pos="851"/>
        </w:tabs>
        <w:ind w:left="851"/>
        <w:rPr>
          <w:sz w:val="24"/>
          <w:szCs w:val="24"/>
        </w:rPr>
      </w:pPr>
    </w:p>
    <w:p w14:paraId="3B9054AC" w14:textId="77777777" w:rsidR="008D5EB9" w:rsidRPr="008D5EB9" w:rsidRDefault="008D5EB9" w:rsidP="008D5EB9">
      <w:pPr>
        <w:tabs>
          <w:tab w:val="left" w:pos="851"/>
        </w:tabs>
        <w:ind w:left="851"/>
        <w:rPr>
          <w:sz w:val="24"/>
          <w:szCs w:val="24"/>
          <w:u w:val="single"/>
        </w:rPr>
      </w:pPr>
      <w:r w:rsidRPr="008D5EB9">
        <w:rPr>
          <w:sz w:val="24"/>
          <w:szCs w:val="24"/>
          <w:u w:val="single"/>
        </w:rPr>
        <w:t>Pædiatrisk population</w:t>
      </w:r>
    </w:p>
    <w:p w14:paraId="2B0D211A" w14:textId="77777777" w:rsidR="008D5EB9" w:rsidRPr="008D5EB9" w:rsidRDefault="008D5EB9" w:rsidP="008D5EB9">
      <w:pPr>
        <w:tabs>
          <w:tab w:val="left" w:pos="851"/>
        </w:tabs>
        <w:ind w:left="851"/>
        <w:rPr>
          <w:sz w:val="24"/>
          <w:szCs w:val="24"/>
          <w:u w:val="single"/>
        </w:rPr>
      </w:pPr>
      <w:r w:rsidRPr="008D5EB9">
        <w:rPr>
          <w:sz w:val="24"/>
          <w:szCs w:val="24"/>
        </w:rPr>
        <w:t xml:space="preserve">Der blev udført et randomiseret, åbent, multinationalt forsøg for at evaluere farmakokinetikken af gentagne intravenøse doser af </w:t>
      </w:r>
      <w:proofErr w:type="spellStart"/>
      <w:r w:rsidRPr="008D5EB9">
        <w:rPr>
          <w:sz w:val="24"/>
          <w:szCs w:val="24"/>
        </w:rPr>
        <w:t>esomeprazol</w:t>
      </w:r>
      <w:proofErr w:type="spellEnd"/>
      <w:r w:rsidRPr="008D5EB9">
        <w:rPr>
          <w:sz w:val="24"/>
          <w:szCs w:val="24"/>
        </w:rPr>
        <w:t xml:space="preserve"> en gang daglig over 4 dage hos pædiatriske patienter fra 0 til 18 år (se pkt. 5.2). Sikkerhedsevalueringen </w:t>
      </w:r>
      <w:r w:rsidRPr="008D5EB9">
        <w:rPr>
          <w:sz w:val="24"/>
          <w:szCs w:val="24"/>
        </w:rPr>
        <w:lastRenderedPageBreak/>
        <w:t xml:space="preserve">omfattede i alt 57 patienter (8 børn i aldersgruppen 1-5 år). Sikkerhedsresultaterne svarer til </w:t>
      </w:r>
      <w:proofErr w:type="spellStart"/>
      <w:r w:rsidRPr="008D5EB9">
        <w:rPr>
          <w:sz w:val="24"/>
          <w:szCs w:val="24"/>
        </w:rPr>
        <w:t>esomaprazols</w:t>
      </w:r>
      <w:proofErr w:type="spellEnd"/>
      <w:r w:rsidRPr="008D5EB9">
        <w:rPr>
          <w:sz w:val="24"/>
          <w:szCs w:val="24"/>
        </w:rPr>
        <w:t xml:space="preserve"> kendte sikkerhedsprofil, og ingen nye sikkerhedssignaler blev identificeret.</w:t>
      </w:r>
    </w:p>
    <w:p w14:paraId="31BBBB63" w14:textId="77777777" w:rsidR="008D5EB9" w:rsidRPr="008D5EB9" w:rsidRDefault="008D5EB9" w:rsidP="008D5EB9">
      <w:pPr>
        <w:tabs>
          <w:tab w:val="left" w:pos="851"/>
        </w:tabs>
        <w:ind w:left="851"/>
        <w:rPr>
          <w:i/>
          <w:sz w:val="24"/>
          <w:szCs w:val="24"/>
        </w:rPr>
      </w:pPr>
    </w:p>
    <w:p w14:paraId="0A108FBF" w14:textId="77777777" w:rsidR="008D5EB9" w:rsidRPr="008D5EB9" w:rsidRDefault="008D5EB9" w:rsidP="008D5EB9">
      <w:pPr>
        <w:tabs>
          <w:tab w:val="left" w:pos="851"/>
        </w:tabs>
        <w:ind w:left="851"/>
        <w:rPr>
          <w:sz w:val="24"/>
          <w:szCs w:val="24"/>
          <w:u w:val="single"/>
        </w:rPr>
      </w:pPr>
      <w:r w:rsidRPr="008D5EB9">
        <w:rPr>
          <w:sz w:val="24"/>
          <w:szCs w:val="24"/>
          <w:u w:val="single"/>
        </w:rPr>
        <w:t>Indberetning af formodede bivirkninger</w:t>
      </w:r>
    </w:p>
    <w:p w14:paraId="38675081" w14:textId="77777777" w:rsidR="008D5EB9" w:rsidRPr="008D5EB9" w:rsidRDefault="008D5EB9" w:rsidP="008D5EB9">
      <w:pPr>
        <w:tabs>
          <w:tab w:val="left" w:pos="851"/>
        </w:tabs>
        <w:ind w:left="851"/>
        <w:rPr>
          <w:sz w:val="24"/>
          <w:szCs w:val="24"/>
        </w:rPr>
      </w:pPr>
      <w:r w:rsidRPr="008D5EB9">
        <w:rPr>
          <w:sz w:val="24"/>
          <w:szCs w:val="24"/>
        </w:rPr>
        <w:t>Når lægemidlet er godkendt, er indberetning af formodede bivirkninger vigtig. Det muliggør løbende overvågning af benefit/</w:t>
      </w:r>
      <w:proofErr w:type="spellStart"/>
      <w:r w:rsidRPr="008D5EB9">
        <w:rPr>
          <w:sz w:val="24"/>
          <w:szCs w:val="24"/>
        </w:rPr>
        <w:t>risk</w:t>
      </w:r>
      <w:proofErr w:type="spellEnd"/>
      <w:r w:rsidRPr="008D5EB9">
        <w:rPr>
          <w:sz w:val="24"/>
          <w:szCs w:val="24"/>
        </w:rPr>
        <w:t>-forholdet for lægemidlet. Sundhedspersoner anmodes om at indberette alle formodede bivirkninger via </w:t>
      </w:r>
    </w:p>
    <w:p w14:paraId="6E882E97" w14:textId="77777777" w:rsidR="008D5EB9" w:rsidRPr="008D5EB9" w:rsidRDefault="008D5EB9" w:rsidP="008D5EB9">
      <w:pPr>
        <w:tabs>
          <w:tab w:val="left" w:pos="851"/>
        </w:tabs>
        <w:ind w:left="851"/>
        <w:rPr>
          <w:sz w:val="24"/>
          <w:szCs w:val="24"/>
        </w:rPr>
      </w:pPr>
      <w:r w:rsidRPr="008D5EB9">
        <w:rPr>
          <w:sz w:val="24"/>
          <w:szCs w:val="24"/>
        </w:rPr>
        <w:br/>
        <w:t>Lægemiddelstyrelsen </w:t>
      </w:r>
    </w:p>
    <w:p w14:paraId="79704CDD" w14:textId="77777777" w:rsidR="008D5EB9" w:rsidRPr="008D5EB9" w:rsidRDefault="008D5EB9" w:rsidP="008D5EB9">
      <w:pPr>
        <w:tabs>
          <w:tab w:val="left" w:pos="851"/>
        </w:tabs>
        <w:ind w:left="851"/>
        <w:rPr>
          <w:sz w:val="24"/>
          <w:szCs w:val="24"/>
        </w:rPr>
      </w:pPr>
      <w:r w:rsidRPr="008D5EB9">
        <w:rPr>
          <w:sz w:val="24"/>
          <w:szCs w:val="24"/>
        </w:rPr>
        <w:t>Axel Heides Gade 1 </w:t>
      </w:r>
    </w:p>
    <w:p w14:paraId="6441BDC8" w14:textId="77777777" w:rsidR="008D5EB9" w:rsidRPr="008D5EB9" w:rsidRDefault="008D5EB9" w:rsidP="008D5EB9">
      <w:pPr>
        <w:tabs>
          <w:tab w:val="left" w:pos="851"/>
        </w:tabs>
        <w:ind w:left="851"/>
        <w:rPr>
          <w:sz w:val="24"/>
          <w:szCs w:val="24"/>
        </w:rPr>
      </w:pPr>
      <w:r w:rsidRPr="008D5EB9">
        <w:rPr>
          <w:sz w:val="24"/>
          <w:szCs w:val="24"/>
        </w:rPr>
        <w:t>DK-2300 København S </w:t>
      </w:r>
    </w:p>
    <w:p w14:paraId="491A9977" w14:textId="2E587A49" w:rsidR="008D5EB9" w:rsidRPr="008D5EB9" w:rsidRDefault="008D5EB9" w:rsidP="008D5EB9">
      <w:pPr>
        <w:tabs>
          <w:tab w:val="left" w:pos="851"/>
        </w:tabs>
        <w:ind w:left="851"/>
        <w:rPr>
          <w:sz w:val="24"/>
          <w:szCs w:val="24"/>
        </w:rPr>
      </w:pPr>
      <w:r w:rsidRPr="008D5EB9">
        <w:rPr>
          <w:sz w:val="24"/>
          <w:szCs w:val="24"/>
        </w:rPr>
        <w:t>Websted:www.meldenbivirkning.d</w:t>
      </w:r>
      <w:r w:rsidR="00465661">
        <w:rPr>
          <w:sz w:val="24"/>
          <w:szCs w:val="24"/>
        </w:rPr>
        <w:t xml:space="preserve">k </w:t>
      </w:r>
      <w:r w:rsidRPr="008D5EB9">
        <w:rPr>
          <w:sz w:val="24"/>
          <w:szCs w:val="24"/>
        </w:rPr>
        <w:t> </w:t>
      </w:r>
    </w:p>
    <w:p w14:paraId="70D20158" w14:textId="77777777" w:rsidR="009260DE" w:rsidRPr="00A10294" w:rsidRDefault="009260DE" w:rsidP="00A10294">
      <w:pPr>
        <w:tabs>
          <w:tab w:val="left" w:pos="851"/>
        </w:tabs>
        <w:ind w:left="851"/>
        <w:rPr>
          <w:sz w:val="24"/>
          <w:szCs w:val="24"/>
        </w:rPr>
      </w:pPr>
    </w:p>
    <w:p w14:paraId="438A7E7C"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0FF18988" w14:textId="77777777" w:rsidR="001443AA" w:rsidRPr="001443AA" w:rsidRDefault="001443AA" w:rsidP="001443AA">
      <w:pPr>
        <w:tabs>
          <w:tab w:val="left" w:pos="851"/>
        </w:tabs>
        <w:ind w:left="851"/>
        <w:rPr>
          <w:sz w:val="24"/>
          <w:szCs w:val="24"/>
        </w:rPr>
      </w:pPr>
      <w:r w:rsidRPr="001443AA">
        <w:rPr>
          <w:sz w:val="24"/>
          <w:szCs w:val="24"/>
        </w:rPr>
        <w:t xml:space="preserve">Der er til dato meget begrænset erfaring med tilsigtet overdosering. I forbindelse med en oral dosis på 280 mg blev der beskrevet </w:t>
      </w:r>
      <w:proofErr w:type="spellStart"/>
      <w:r w:rsidRPr="001443AA">
        <w:rPr>
          <w:sz w:val="24"/>
          <w:szCs w:val="24"/>
        </w:rPr>
        <w:t>gastrointestinale</w:t>
      </w:r>
      <w:proofErr w:type="spellEnd"/>
      <w:r w:rsidRPr="001443AA">
        <w:rPr>
          <w:sz w:val="24"/>
          <w:szCs w:val="24"/>
        </w:rPr>
        <w:t xml:space="preserve"> symptomer og svaghed.</w:t>
      </w:r>
    </w:p>
    <w:p w14:paraId="4035E220" w14:textId="77777777" w:rsidR="001443AA" w:rsidRPr="001443AA" w:rsidRDefault="001443AA" w:rsidP="001443AA">
      <w:pPr>
        <w:tabs>
          <w:tab w:val="left" w:pos="851"/>
        </w:tabs>
        <w:ind w:left="851"/>
        <w:rPr>
          <w:sz w:val="24"/>
          <w:szCs w:val="24"/>
        </w:rPr>
      </w:pPr>
      <w:r w:rsidRPr="001443AA">
        <w:rPr>
          <w:sz w:val="24"/>
          <w:szCs w:val="24"/>
        </w:rPr>
        <w:t xml:space="preserve">Ved indtagelse af enkelte orale doser på 80 mg og intravenøse doser på 308 mg </w:t>
      </w:r>
      <w:proofErr w:type="spellStart"/>
      <w:r w:rsidRPr="001443AA">
        <w:rPr>
          <w:sz w:val="24"/>
          <w:szCs w:val="24"/>
        </w:rPr>
        <w:t>esomeprazol</w:t>
      </w:r>
      <w:proofErr w:type="spellEnd"/>
      <w:r w:rsidRPr="001443AA">
        <w:rPr>
          <w:sz w:val="24"/>
          <w:szCs w:val="24"/>
        </w:rPr>
        <w:t xml:space="preserve"> over et tidsrum på 24 timer sås ingen bivirkninger. Der kendes ingen specifik </w:t>
      </w:r>
      <w:proofErr w:type="spellStart"/>
      <w:r w:rsidRPr="001443AA">
        <w:rPr>
          <w:sz w:val="24"/>
          <w:szCs w:val="24"/>
        </w:rPr>
        <w:t>antidot</w:t>
      </w:r>
      <w:proofErr w:type="spellEnd"/>
      <w:r w:rsidRPr="001443AA">
        <w:rPr>
          <w:sz w:val="24"/>
          <w:szCs w:val="24"/>
        </w:rPr>
        <w:t xml:space="preserve">. </w:t>
      </w:r>
      <w:proofErr w:type="spellStart"/>
      <w:r w:rsidRPr="001443AA">
        <w:rPr>
          <w:sz w:val="24"/>
          <w:szCs w:val="24"/>
        </w:rPr>
        <w:t>Esomeprazol</w:t>
      </w:r>
      <w:proofErr w:type="spellEnd"/>
      <w:r w:rsidRPr="001443AA">
        <w:rPr>
          <w:sz w:val="24"/>
          <w:szCs w:val="24"/>
        </w:rPr>
        <w:t xml:space="preserve"> er stærkt plasmaprotein-bundet, hvilket vanskeliggør dialyse. Som ved ethvert tilfælde af overdosering bør behandlingen være symptomatisk og almindelige foranstaltninger bør følges.</w:t>
      </w:r>
    </w:p>
    <w:p w14:paraId="69C4ADB8" w14:textId="77777777" w:rsidR="009260DE" w:rsidRPr="00C84483" w:rsidRDefault="009260DE" w:rsidP="009260DE">
      <w:pPr>
        <w:tabs>
          <w:tab w:val="left" w:pos="851"/>
        </w:tabs>
        <w:ind w:left="851"/>
        <w:rPr>
          <w:sz w:val="24"/>
          <w:szCs w:val="24"/>
        </w:rPr>
      </w:pPr>
    </w:p>
    <w:p w14:paraId="39495F9C"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4EE5AF80" w14:textId="5F0BCCD4" w:rsidR="009260DE" w:rsidRPr="00C84483" w:rsidRDefault="001443AA" w:rsidP="009260DE">
      <w:pPr>
        <w:tabs>
          <w:tab w:val="left" w:pos="851"/>
        </w:tabs>
        <w:ind w:left="851"/>
        <w:rPr>
          <w:sz w:val="24"/>
          <w:szCs w:val="24"/>
        </w:rPr>
      </w:pPr>
      <w:r>
        <w:rPr>
          <w:sz w:val="24"/>
          <w:szCs w:val="24"/>
        </w:rPr>
        <w:t>B</w:t>
      </w:r>
    </w:p>
    <w:p w14:paraId="5C8A9472" w14:textId="77777777" w:rsidR="009260DE" w:rsidRPr="00C84483" w:rsidRDefault="009260DE" w:rsidP="009260DE">
      <w:pPr>
        <w:tabs>
          <w:tab w:val="left" w:pos="851"/>
        </w:tabs>
        <w:ind w:left="851"/>
        <w:rPr>
          <w:sz w:val="24"/>
          <w:szCs w:val="24"/>
        </w:rPr>
      </w:pPr>
    </w:p>
    <w:p w14:paraId="4B6DB62D" w14:textId="77777777" w:rsidR="009260DE" w:rsidRPr="00C84483" w:rsidRDefault="009260DE" w:rsidP="009260DE">
      <w:pPr>
        <w:tabs>
          <w:tab w:val="left" w:pos="851"/>
        </w:tabs>
        <w:ind w:left="851"/>
        <w:rPr>
          <w:sz w:val="24"/>
          <w:szCs w:val="24"/>
        </w:rPr>
      </w:pPr>
    </w:p>
    <w:p w14:paraId="4AF2B13E"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5B8669A5" w14:textId="77777777" w:rsidR="009260DE" w:rsidRPr="00C84483" w:rsidRDefault="009260DE" w:rsidP="009260DE">
      <w:pPr>
        <w:tabs>
          <w:tab w:val="left" w:pos="851"/>
        </w:tabs>
        <w:ind w:left="851"/>
        <w:rPr>
          <w:sz w:val="24"/>
          <w:szCs w:val="24"/>
        </w:rPr>
      </w:pPr>
    </w:p>
    <w:p w14:paraId="4E8FBBC7"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4DDFD146" w14:textId="102E6AC5" w:rsidR="00E800D0" w:rsidRPr="00E800D0" w:rsidRDefault="00E800D0" w:rsidP="00E800D0">
      <w:pPr>
        <w:tabs>
          <w:tab w:val="left" w:pos="851"/>
        </w:tabs>
        <w:ind w:left="851"/>
        <w:rPr>
          <w:sz w:val="24"/>
          <w:szCs w:val="24"/>
        </w:rPr>
      </w:pPr>
      <w:proofErr w:type="spellStart"/>
      <w:r>
        <w:rPr>
          <w:sz w:val="24"/>
          <w:szCs w:val="24"/>
        </w:rPr>
        <w:t>Farmakoterapeutisk</w:t>
      </w:r>
      <w:proofErr w:type="spellEnd"/>
      <w:r>
        <w:rPr>
          <w:sz w:val="24"/>
          <w:szCs w:val="24"/>
        </w:rPr>
        <w:t xml:space="preserve"> klassifikation: </w:t>
      </w:r>
      <w:r w:rsidRPr="00E800D0">
        <w:rPr>
          <w:sz w:val="24"/>
          <w:szCs w:val="24"/>
        </w:rPr>
        <w:t>Protonpumpehæmmer</w:t>
      </w:r>
      <w:r>
        <w:rPr>
          <w:sz w:val="24"/>
          <w:szCs w:val="24"/>
        </w:rPr>
        <w:t xml:space="preserve">, </w:t>
      </w:r>
      <w:r w:rsidRPr="00E800D0">
        <w:rPr>
          <w:sz w:val="24"/>
          <w:szCs w:val="24"/>
        </w:rPr>
        <w:t>ATC-kode: A02BC05.</w:t>
      </w:r>
    </w:p>
    <w:p w14:paraId="1E6C54D5" w14:textId="77777777" w:rsidR="00E800D0" w:rsidRPr="00E800D0" w:rsidRDefault="00E800D0" w:rsidP="00E800D0">
      <w:pPr>
        <w:tabs>
          <w:tab w:val="left" w:pos="851"/>
        </w:tabs>
        <w:ind w:left="851"/>
        <w:rPr>
          <w:sz w:val="24"/>
          <w:szCs w:val="24"/>
        </w:rPr>
      </w:pPr>
    </w:p>
    <w:p w14:paraId="228181E3" w14:textId="77777777" w:rsidR="00E800D0" w:rsidRPr="00E800D0" w:rsidRDefault="00E800D0" w:rsidP="00E800D0">
      <w:pPr>
        <w:tabs>
          <w:tab w:val="left" w:pos="851"/>
        </w:tabs>
        <w:ind w:left="851"/>
        <w:rPr>
          <w:sz w:val="24"/>
          <w:szCs w:val="24"/>
        </w:rPr>
      </w:pPr>
      <w:proofErr w:type="spellStart"/>
      <w:r w:rsidRPr="00E800D0">
        <w:rPr>
          <w:sz w:val="24"/>
          <w:szCs w:val="24"/>
        </w:rPr>
        <w:t>Esomeprazol</w:t>
      </w:r>
      <w:proofErr w:type="spellEnd"/>
      <w:r w:rsidRPr="00E800D0">
        <w:rPr>
          <w:sz w:val="24"/>
          <w:szCs w:val="24"/>
        </w:rPr>
        <w:t xml:space="preserve"> er S-isomeren af </w:t>
      </w:r>
      <w:proofErr w:type="spellStart"/>
      <w:r w:rsidRPr="00E800D0">
        <w:rPr>
          <w:sz w:val="24"/>
          <w:szCs w:val="24"/>
        </w:rPr>
        <w:t>omeprazol</w:t>
      </w:r>
      <w:proofErr w:type="spellEnd"/>
      <w:r w:rsidRPr="00E800D0">
        <w:rPr>
          <w:sz w:val="24"/>
          <w:szCs w:val="24"/>
        </w:rPr>
        <w:t xml:space="preserve"> og reducerer sekretionen af mavesyre ved en selektiv virkningsmekanisme, idet ventriklens syrepumpe hæmmes specifikt i </w:t>
      </w:r>
      <w:proofErr w:type="spellStart"/>
      <w:r w:rsidRPr="00E800D0">
        <w:rPr>
          <w:sz w:val="24"/>
          <w:szCs w:val="24"/>
        </w:rPr>
        <w:t>parietalcellerne</w:t>
      </w:r>
      <w:proofErr w:type="spellEnd"/>
      <w:r w:rsidRPr="00E800D0">
        <w:rPr>
          <w:sz w:val="24"/>
          <w:szCs w:val="24"/>
        </w:rPr>
        <w:t>. R- og S-</w:t>
      </w:r>
      <w:proofErr w:type="spellStart"/>
      <w:r w:rsidRPr="00E800D0">
        <w:rPr>
          <w:sz w:val="24"/>
          <w:szCs w:val="24"/>
        </w:rPr>
        <w:t>isomerne</w:t>
      </w:r>
      <w:proofErr w:type="spellEnd"/>
      <w:r w:rsidRPr="00E800D0">
        <w:rPr>
          <w:sz w:val="24"/>
          <w:szCs w:val="24"/>
        </w:rPr>
        <w:t xml:space="preserve"> af </w:t>
      </w:r>
      <w:proofErr w:type="spellStart"/>
      <w:r w:rsidRPr="00E800D0">
        <w:rPr>
          <w:sz w:val="24"/>
          <w:szCs w:val="24"/>
        </w:rPr>
        <w:t>omeprazol</w:t>
      </w:r>
      <w:proofErr w:type="spellEnd"/>
      <w:r w:rsidRPr="00E800D0">
        <w:rPr>
          <w:sz w:val="24"/>
          <w:szCs w:val="24"/>
        </w:rPr>
        <w:t xml:space="preserve"> har tilsvarende </w:t>
      </w:r>
      <w:proofErr w:type="spellStart"/>
      <w:r w:rsidRPr="00E800D0">
        <w:rPr>
          <w:sz w:val="24"/>
          <w:szCs w:val="24"/>
        </w:rPr>
        <w:t>farmakodynamisk</w:t>
      </w:r>
      <w:proofErr w:type="spellEnd"/>
      <w:r w:rsidRPr="00E800D0">
        <w:rPr>
          <w:sz w:val="24"/>
          <w:szCs w:val="24"/>
        </w:rPr>
        <w:t xml:space="preserve"> aktivitet.</w:t>
      </w:r>
    </w:p>
    <w:p w14:paraId="5D60B5C2" w14:textId="77777777" w:rsidR="00E800D0" w:rsidRPr="00E800D0" w:rsidRDefault="00E800D0" w:rsidP="00E800D0">
      <w:pPr>
        <w:tabs>
          <w:tab w:val="left" w:pos="851"/>
        </w:tabs>
        <w:ind w:left="851"/>
        <w:rPr>
          <w:sz w:val="24"/>
          <w:szCs w:val="24"/>
        </w:rPr>
      </w:pPr>
    </w:p>
    <w:p w14:paraId="6229BA93" w14:textId="77777777" w:rsidR="00E800D0" w:rsidRPr="00E800D0" w:rsidRDefault="00E800D0" w:rsidP="00E800D0">
      <w:pPr>
        <w:tabs>
          <w:tab w:val="left" w:pos="851"/>
        </w:tabs>
        <w:ind w:left="851"/>
        <w:rPr>
          <w:bCs/>
          <w:sz w:val="24"/>
          <w:szCs w:val="24"/>
          <w:u w:val="single"/>
        </w:rPr>
      </w:pPr>
      <w:r w:rsidRPr="00E800D0">
        <w:rPr>
          <w:bCs/>
          <w:sz w:val="24"/>
          <w:szCs w:val="24"/>
          <w:u w:val="single"/>
        </w:rPr>
        <w:t>Virkningsmekanisme</w:t>
      </w:r>
    </w:p>
    <w:p w14:paraId="75E79734" w14:textId="77777777" w:rsidR="00E800D0" w:rsidRPr="00E800D0" w:rsidRDefault="00E800D0" w:rsidP="00E800D0">
      <w:pPr>
        <w:tabs>
          <w:tab w:val="left" w:pos="851"/>
        </w:tabs>
        <w:ind w:left="851"/>
        <w:rPr>
          <w:sz w:val="24"/>
          <w:szCs w:val="24"/>
        </w:rPr>
      </w:pPr>
      <w:proofErr w:type="spellStart"/>
      <w:r w:rsidRPr="00E800D0">
        <w:rPr>
          <w:sz w:val="24"/>
          <w:szCs w:val="24"/>
        </w:rPr>
        <w:t>Esomeprazol</w:t>
      </w:r>
      <w:proofErr w:type="spellEnd"/>
      <w:r w:rsidRPr="00E800D0">
        <w:rPr>
          <w:sz w:val="24"/>
          <w:szCs w:val="24"/>
        </w:rPr>
        <w:t xml:space="preserve"> er en svag base, der koncentreres og omdannes til den aktive form i det stærkt sure miljø i de </w:t>
      </w:r>
      <w:proofErr w:type="spellStart"/>
      <w:r w:rsidRPr="00E800D0">
        <w:rPr>
          <w:sz w:val="24"/>
          <w:szCs w:val="24"/>
        </w:rPr>
        <w:t>sekretoriske</w:t>
      </w:r>
      <w:proofErr w:type="spellEnd"/>
      <w:r w:rsidRPr="00E800D0">
        <w:rPr>
          <w:sz w:val="24"/>
          <w:szCs w:val="24"/>
        </w:rPr>
        <w:t xml:space="preserve"> </w:t>
      </w:r>
      <w:proofErr w:type="spellStart"/>
      <w:r w:rsidRPr="00E800D0">
        <w:rPr>
          <w:sz w:val="24"/>
          <w:szCs w:val="24"/>
        </w:rPr>
        <w:t>canaliculi</w:t>
      </w:r>
      <w:proofErr w:type="spellEnd"/>
      <w:r w:rsidRPr="00E800D0">
        <w:rPr>
          <w:sz w:val="24"/>
          <w:szCs w:val="24"/>
        </w:rPr>
        <w:t xml:space="preserve"> i </w:t>
      </w:r>
      <w:proofErr w:type="spellStart"/>
      <w:r w:rsidRPr="00E800D0">
        <w:rPr>
          <w:sz w:val="24"/>
          <w:szCs w:val="24"/>
        </w:rPr>
        <w:t>parietalcellen</w:t>
      </w:r>
      <w:proofErr w:type="spellEnd"/>
      <w:r w:rsidRPr="00E800D0">
        <w:rPr>
          <w:sz w:val="24"/>
          <w:szCs w:val="24"/>
        </w:rPr>
        <w:t>, hvor det hæmmer enzymet H+K+-</w:t>
      </w:r>
      <w:proofErr w:type="spellStart"/>
      <w:r w:rsidRPr="00E800D0">
        <w:rPr>
          <w:sz w:val="24"/>
          <w:szCs w:val="24"/>
        </w:rPr>
        <w:t>ATPase</w:t>
      </w:r>
      <w:proofErr w:type="spellEnd"/>
      <w:r w:rsidRPr="00E800D0">
        <w:rPr>
          <w:sz w:val="24"/>
          <w:szCs w:val="24"/>
        </w:rPr>
        <w:t>, syrepumpen, hvilket hæmmer både basal og stimuleret syresekretion.</w:t>
      </w:r>
    </w:p>
    <w:p w14:paraId="50A0A51E" w14:textId="77777777" w:rsidR="00E800D0" w:rsidRPr="00E800D0" w:rsidRDefault="00E800D0" w:rsidP="00E800D0">
      <w:pPr>
        <w:tabs>
          <w:tab w:val="left" w:pos="851"/>
        </w:tabs>
        <w:ind w:left="851"/>
        <w:rPr>
          <w:sz w:val="24"/>
          <w:szCs w:val="24"/>
        </w:rPr>
      </w:pPr>
    </w:p>
    <w:p w14:paraId="3DEB5A39" w14:textId="77777777" w:rsidR="00E800D0" w:rsidRPr="00E800D0" w:rsidRDefault="00E800D0" w:rsidP="00E800D0">
      <w:pPr>
        <w:tabs>
          <w:tab w:val="left" w:pos="851"/>
        </w:tabs>
        <w:ind w:left="851"/>
        <w:rPr>
          <w:bCs/>
          <w:sz w:val="24"/>
          <w:szCs w:val="24"/>
          <w:u w:val="single"/>
        </w:rPr>
      </w:pPr>
      <w:proofErr w:type="spellStart"/>
      <w:r w:rsidRPr="00E800D0">
        <w:rPr>
          <w:bCs/>
          <w:sz w:val="24"/>
          <w:szCs w:val="24"/>
          <w:u w:val="single"/>
        </w:rPr>
        <w:t>Farmakodynamisk</w:t>
      </w:r>
      <w:proofErr w:type="spellEnd"/>
      <w:r w:rsidRPr="00E800D0">
        <w:rPr>
          <w:bCs/>
          <w:sz w:val="24"/>
          <w:szCs w:val="24"/>
          <w:u w:val="single"/>
        </w:rPr>
        <w:t xml:space="preserve"> virkning</w:t>
      </w:r>
    </w:p>
    <w:p w14:paraId="08F10CE2" w14:textId="77777777" w:rsidR="00E800D0" w:rsidRPr="00E800D0" w:rsidRDefault="00E800D0" w:rsidP="00E800D0">
      <w:pPr>
        <w:tabs>
          <w:tab w:val="left" w:pos="851"/>
        </w:tabs>
        <w:ind w:left="851"/>
        <w:rPr>
          <w:sz w:val="24"/>
          <w:szCs w:val="24"/>
        </w:rPr>
      </w:pPr>
      <w:r w:rsidRPr="00E800D0">
        <w:rPr>
          <w:sz w:val="24"/>
          <w:szCs w:val="24"/>
        </w:rPr>
        <w:t xml:space="preserve">Efter fem dages oral dosering med 20 mg og 40 mg </w:t>
      </w:r>
      <w:proofErr w:type="spellStart"/>
      <w:r w:rsidRPr="00E800D0">
        <w:rPr>
          <w:sz w:val="24"/>
          <w:szCs w:val="24"/>
        </w:rPr>
        <w:t>esomeprazol</w:t>
      </w:r>
      <w:proofErr w:type="spellEnd"/>
      <w:r w:rsidRPr="00E800D0">
        <w:rPr>
          <w:sz w:val="24"/>
          <w:szCs w:val="24"/>
        </w:rPr>
        <w:t xml:space="preserve"> hos patienter med symptomatisk </w:t>
      </w:r>
      <w:proofErr w:type="spellStart"/>
      <w:r w:rsidRPr="00E800D0">
        <w:rPr>
          <w:sz w:val="24"/>
          <w:szCs w:val="24"/>
        </w:rPr>
        <w:t>reflukssygdom</w:t>
      </w:r>
      <w:proofErr w:type="spellEnd"/>
      <w:r w:rsidRPr="00E800D0">
        <w:rPr>
          <w:sz w:val="24"/>
          <w:szCs w:val="24"/>
        </w:rPr>
        <w:t xml:space="preserve"> (GERD), var mavesækkens pH gennemsnitligt på &gt;4 i henholdsvis 13 og 17 timer, over en periode på 24 timer Effekten er tilsvarende, uafhængigt af om </w:t>
      </w:r>
      <w:proofErr w:type="spellStart"/>
      <w:r w:rsidRPr="00E800D0">
        <w:rPr>
          <w:sz w:val="24"/>
          <w:szCs w:val="24"/>
        </w:rPr>
        <w:t>esomeprazol</w:t>
      </w:r>
      <w:proofErr w:type="spellEnd"/>
      <w:r w:rsidRPr="00E800D0">
        <w:rPr>
          <w:sz w:val="24"/>
          <w:szCs w:val="24"/>
        </w:rPr>
        <w:t xml:space="preserve"> administreres oralt eller intravenøst.</w:t>
      </w:r>
    </w:p>
    <w:p w14:paraId="2287FB37" w14:textId="77777777" w:rsidR="00E800D0" w:rsidRPr="00E800D0" w:rsidRDefault="00E800D0" w:rsidP="00E800D0">
      <w:pPr>
        <w:tabs>
          <w:tab w:val="left" w:pos="851"/>
        </w:tabs>
        <w:ind w:left="851"/>
        <w:rPr>
          <w:sz w:val="24"/>
          <w:szCs w:val="24"/>
        </w:rPr>
      </w:pPr>
    </w:p>
    <w:p w14:paraId="55BD40E6" w14:textId="77777777" w:rsidR="00E800D0" w:rsidRPr="00E800D0" w:rsidRDefault="00E800D0" w:rsidP="00E800D0">
      <w:pPr>
        <w:tabs>
          <w:tab w:val="left" w:pos="851"/>
        </w:tabs>
        <w:ind w:left="851"/>
        <w:rPr>
          <w:sz w:val="24"/>
          <w:szCs w:val="24"/>
        </w:rPr>
      </w:pPr>
      <w:r w:rsidRPr="00E800D0">
        <w:rPr>
          <w:sz w:val="24"/>
          <w:szCs w:val="24"/>
        </w:rPr>
        <w:t xml:space="preserve">Ved anvendelse af AUC som surrogatparameter for plasmakoncentrationen, blev der vist en sammenhæng mellem syresekretionshæmning og eksponering efter oral administration af </w:t>
      </w:r>
      <w:proofErr w:type="spellStart"/>
      <w:r w:rsidRPr="00E800D0">
        <w:rPr>
          <w:sz w:val="24"/>
          <w:szCs w:val="24"/>
        </w:rPr>
        <w:t>esomeprazol</w:t>
      </w:r>
      <w:proofErr w:type="spellEnd"/>
      <w:r w:rsidRPr="00E800D0">
        <w:rPr>
          <w:sz w:val="24"/>
          <w:szCs w:val="24"/>
        </w:rPr>
        <w:t>.</w:t>
      </w:r>
    </w:p>
    <w:p w14:paraId="586FA22D" w14:textId="77777777" w:rsidR="00E800D0" w:rsidRPr="00E800D0" w:rsidRDefault="00E800D0" w:rsidP="00E800D0">
      <w:pPr>
        <w:tabs>
          <w:tab w:val="left" w:pos="851"/>
        </w:tabs>
        <w:ind w:left="851"/>
        <w:rPr>
          <w:sz w:val="24"/>
          <w:szCs w:val="24"/>
        </w:rPr>
      </w:pPr>
    </w:p>
    <w:p w14:paraId="4DAD8465" w14:textId="77777777" w:rsidR="00E800D0" w:rsidRPr="00E800D0" w:rsidRDefault="00E800D0" w:rsidP="00E800D0">
      <w:pPr>
        <w:tabs>
          <w:tab w:val="left" w:pos="851"/>
        </w:tabs>
        <w:ind w:left="851"/>
        <w:rPr>
          <w:sz w:val="24"/>
          <w:szCs w:val="24"/>
        </w:rPr>
      </w:pPr>
      <w:r w:rsidRPr="00E800D0">
        <w:rPr>
          <w:sz w:val="24"/>
          <w:szCs w:val="24"/>
        </w:rPr>
        <w:t xml:space="preserve">Ved intravenøs administration til raske personer af 80 mg </w:t>
      </w:r>
      <w:proofErr w:type="spellStart"/>
      <w:r w:rsidRPr="00E800D0">
        <w:rPr>
          <w:sz w:val="24"/>
          <w:szCs w:val="24"/>
        </w:rPr>
        <w:t>esomeprazol</w:t>
      </w:r>
      <w:proofErr w:type="spellEnd"/>
      <w:r w:rsidRPr="00E800D0">
        <w:rPr>
          <w:sz w:val="24"/>
          <w:szCs w:val="24"/>
        </w:rPr>
        <w:t xml:space="preserve"> som en </w:t>
      </w:r>
      <w:proofErr w:type="spellStart"/>
      <w:r w:rsidRPr="00E800D0">
        <w:rPr>
          <w:sz w:val="24"/>
          <w:szCs w:val="24"/>
        </w:rPr>
        <w:t>bolusinfusion</w:t>
      </w:r>
      <w:proofErr w:type="spellEnd"/>
      <w:r w:rsidRPr="00E800D0">
        <w:rPr>
          <w:sz w:val="24"/>
          <w:szCs w:val="24"/>
        </w:rPr>
        <w:t xml:space="preserve"> over et tidsrum på 30 minutter efterfulgt af en kontinuerlig intravenøs infusion af 8 mg/time i 23,5 timer, blev gastrisk pH opretholdt over pH 4 og pH opretholdt over 6 i en gennemsnitlig periode på henholdsvis 21 timer og 11-13 timer målt i et tidsrum på 24 timer.</w:t>
      </w:r>
    </w:p>
    <w:p w14:paraId="14BCEDB0" w14:textId="77777777" w:rsidR="00E800D0" w:rsidRPr="00E800D0" w:rsidRDefault="00E800D0" w:rsidP="00E800D0">
      <w:pPr>
        <w:tabs>
          <w:tab w:val="left" w:pos="851"/>
        </w:tabs>
        <w:ind w:left="851"/>
        <w:rPr>
          <w:sz w:val="24"/>
          <w:szCs w:val="24"/>
        </w:rPr>
      </w:pPr>
    </w:p>
    <w:p w14:paraId="2EF727FE" w14:textId="77777777" w:rsidR="00E800D0" w:rsidRPr="00E800D0" w:rsidRDefault="00E800D0" w:rsidP="00E800D0">
      <w:pPr>
        <w:tabs>
          <w:tab w:val="left" w:pos="851"/>
        </w:tabs>
        <w:ind w:left="851"/>
        <w:rPr>
          <w:sz w:val="24"/>
          <w:szCs w:val="24"/>
        </w:rPr>
      </w:pPr>
      <w:r w:rsidRPr="00E800D0">
        <w:rPr>
          <w:sz w:val="24"/>
          <w:szCs w:val="24"/>
        </w:rPr>
        <w:t xml:space="preserve">Heling af </w:t>
      </w:r>
      <w:proofErr w:type="spellStart"/>
      <w:r w:rsidRPr="00E800D0">
        <w:rPr>
          <w:sz w:val="24"/>
          <w:szCs w:val="24"/>
        </w:rPr>
        <w:t>refluksesofagitis</w:t>
      </w:r>
      <w:proofErr w:type="spellEnd"/>
      <w:r w:rsidRPr="00E800D0">
        <w:rPr>
          <w:sz w:val="24"/>
          <w:szCs w:val="24"/>
        </w:rPr>
        <w:t xml:space="preserve"> med 40 mg </w:t>
      </w:r>
      <w:proofErr w:type="spellStart"/>
      <w:r w:rsidRPr="00E800D0">
        <w:rPr>
          <w:sz w:val="24"/>
          <w:szCs w:val="24"/>
        </w:rPr>
        <w:t>esomeprazol</w:t>
      </w:r>
      <w:proofErr w:type="spellEnd"/>
      <w:r w:rsidRPr="00E800D0">
        <w:rPr>
          <w:sz w:val="24"/>
          <w:szCs w:val="24"/>
        </w:rPr>
        <w:t xml:space="preserve"> ses hos ca. 78 % af patienterne efter fire uger, og hos 93 % efter 8 uger ved oral behandling.</w:t>
      </w:r>
    </w:p>
    <w:p w14:paraId="5AC617CF" w14:textId="77777777" w:rsidR="00E800D0" w:rsidRPr="00E800D0" w:rsidRDefault="00E800D0" w:rsidP="00E800D0">
      <w:pPr>
        <w:tabs>
          <w:tab w:val="left" w:pos="851"/>
        </w:tabs>
        <w:ind w:left="851"/>
        <w:rPr>
          <w:sz w:val="24"/>
          <w:szCs w:val="24"/>
        </w:rPr>
      </w:pPr>
    </w:p>
    <w:p w14:paraId="7C8C468C" w14:textId="77777777" w:rsidR="00E800D0" w:rsidRPr="00E800D0" w:rsidRDefault="00E800D0" w:rsidP="00E800D0">
      <w:pPr>
        <w:tabs>
          <w:tab w:val="left" w:pos="851"/>
        </w:tabs>
        <w:ind w:left="851"/>
        <w:rPr>
          <w:sz w:val="24"/>
          <w:szCs w:val="24"/>
        </w:rPr>
      </w:pPr>
      <w:r w:rsidRPr="00E800D0">
        <w:rPr>
          <w:sz w:val="24"/>
          <w:szCs w:val="24"/>
        </w:rPr>
        <w:t xml:space="preserve">I et randomiseret, dobbelt blindet, placebo-kontrolleret klinisk forsøg blev patienter med </w:t>
      </w:r>
      <w:proofErr w:type="spellStart"/>
      <w:r w:rsidRPr="00E800D0">
        <w:rPr>
          <w:sz w:val="24"/>
          <w:szCs w:val="24"/>
        </w:rPr>
        <w:t>endoskopisk</w:t>
      </w:r>
      <w:proofErr w:type="spellEnd"/>
      <w:r w:rsidRPr="00E800D0">
        <w:rPr>
          <w:sz w:val="24"/>
          <w:szCs w:val="24"/>
        </w:rPr>
        <w:t xml:space="preserve"> verificeret blødende </w:t>
      </w:r>
      <w:proofErr w:type="spellStart"/>
      <w:r w:rsidRPr="00E800D0">
        <w:rPr>
          <w:sz w:val="24"/>
          <w:szCs w:val="24"/>
        </w:rPr>
        <w:t>peptisk</w:t>
      </w:r>
      <w:proofErr w:type="spellEnd"/>
      <w:r w:rsidRPr="00E800D0">
        <w:rPr>
          <w:sz w:val="24"/>
          <w:szCs w:val="24"/>
        </w:rPr>
        <w:t xml:space="preserve"> ulcus karakteriseret som Forrest Ia, Ib </w:t>
      </w:r>
      <w:proofErr w:type="spellStart"/>
      <w:r w:rsidRPr="00E800D0">
        <w:rPr>
          <w:sz w:val="24"/>
          <w:szCs w:val="24"/>
        </w:rPr>
        <w:t>IIa</w:t>
      </w:r>
      <w:proofErr w:type="spellEnd"/>
      <w:r w:rsidRPr="00E800D0">
        <w:rPr>
          <w:sz w:val="24"/>
          <w:szCs w:val="24"/>
        </w:rPr>
        <w:t xml:space="preserve"> eller </w:t>
      </w:r>
      <w:proofErr w:type="spellStart"/>
      <w:r w:rsidRPr="00E800D0">
        <w:rPr>
          <w:sz w:val="24"/>
          <w:szCs w:val="24"/>
        </w:rPr>
        <w:t>IIb</w:t>
      </w:r>
      <w:proofErr w:type="spellEnd"/>
      <w:r w:rsidRPr="00E800D0">
        <w:rPr>
          <w:sz w:val="24"/>
          <w:szCs w:val="24"/>
        </w:rPr>
        <w:t xml:space="preserve"> (</w:t>
      </w:r>
      <w:proofErr w:type="spellStart"/>
      <w:r w:rsidRPr="00E800D0">
        <w:rPr>
          <w:sz w:val="24"/>
          <w:szCs w:val="24"/>
        </w:rPr>
        <w:t>henholdvis</w:t>
      </w:r>
      <w:proofErr w:type="spellEnd"/>
      <w:r w:rsidRPr="00E800D0">
        <w:rPr>
          <w:sz w:val="24"/>
          <w:szCs w:val="24"/>
        </w:rPr>
        <w:t xml:space="preserve"> 9 %, 43 %, 38 % og 10 %) randomiseret til at få </w:t>
      </w:r>
      <w:proofErr w:type="spellStart"/>
      <w:r w:rsidRPr="00E800D0">
        <w:rPr>
          <w:sz w:val="24"/>
          <w:szCs w:val="24"/>
        </w:rPr>
        <w:t>Esomeprazol</w:t>
      </w:r>
      <w:proofErr w:type="spellEnd"/>
      <w:r w:rsidRPr="00E800D0">
        <w:rPr>
          <w:sz w:val="24"/>
          <w:szCs w:val="24"/>
        </w:rPr>
        <w:t xml:space="preserve"> "</w:t>
      </w:r>
      <w:proofErr w:type="spellStart"/>
      <w:r w:rsidRPr="00E800D0">
        <w:rPr>
          <w:sz w:val="24"/>
          <w:szCs w:val="24"/>
        </w:rPr>
        <w:t>Stada</w:t>
      </w:r>
      <w:proofErr w:type="spellEnd"/>
      <w:r w:rsidRPr="00E800D0">
        <w:rPr>
          <w:sz w:val="24"/>
          <w:szCs w:val="24"/>
        </w:rPr>
        <w:t xml:space="preserve">" opløsning til infusion (n=375) eller placebo (n=389). Efter </w:t>
      </w:r>
      <w:proofErr w:type="spellStart"/>
      <w:r w:rsidRPr="00E800D0">
        <w:rPr>
          <w:sz w:val="24"/>
          <w:szCs w:val="24"/>
        </w:rPr>
        <w:t>endoskopisk</w:t>
      </w:r>
      <w:proofErr w:type="spellEnd"/>
      <w:r w:rsidRPr="00E800D0">
        <w:rPr>
          <w:sz w:val="24"/>
          <w:szCs w:val="24"/>
        </w:rPr>
        <w:t xml:space="preserve"> </w:t>
      </w:r>
      <w:proofErr w:type="spellStart"/>
      <w:r w:rsidRPr="00E800D0">
        <w:rPr>
          <w:sz w:val="24"/>
          <w:szCs w:val="24"/>
        </w:rPr>
        <w:t>hæmostase</w:t>
      </w:r>
      <w:proofErr w:type="spellEnd"/>
      <w:r w:rsidRPr="00E800D0">
        <w:rPr>
          <w:sz w:val="24"/>
          <w:szCs w:val="24"/>
        </w:rPr>
        <w:t xml:space="preserve"> fik patienterne enten 80 mg </w:t>
      </w:r>
      <w:proofErr w:type="spellStart"/>
      <w:r w:rsidRPr="00E800D0">
        <w:rPr>
          <w:sz w:val="24"/>
          <w:szCs w:val="24"/>
        </w:rPr>
        <w:t>esomeprazol</w:t>
      </w:r>
      <w:proofErr w:type="spellEnd"/>
      <w:r w:rsidRPr="00E800D0">
        <w:rPr>
          <w:sz w:val="24"/>
          <w:szCs w:val="24"/>
        </w:rPr>
        <w:t xml:space="preserve"> som intravenøs infusion over et tidsrum på 30 minutter efterfulgt af en kontinuerlig infusion af 8 mg/time eller placebo i 72 timer. Efter den første periode på 72 timer fik alle patienter 40 mg </w:t>
      </w:r>
      <w:proofErr w:type="spellStart"/>
      <w:r w:rsidRPr="00E800D0">
        <w:rPr>
          <w:sz w:val="24"/>
          <w:szCs w:val="24"/>
        </w:rPr>
        <w:t>Esomeprazol</w:t>
      </w:r>
      <w:proofErr w:type="spellEnd"/>
      <w:r w:rsidRPr="00E800D0">
        <w:rPr>
          <w:sz w:val="24"/>
          <w:szCs w:val="24"/>
        </w:rPr>
        <w:t xml:space="preserve"> "</w:t>
      </w:r>
      <w:proofErr w:type="spellStart"/>
      <w:r w:rsidRPr="00E800D0">
        <w:rPr>
          <w:sz w:val="24"/>
          <w:szCs w:val="24"/>
        </w:rPr>
        <w:t>Stada</w:t>
      </w:r>
      <w:proofErr w:type="spellEnd"/>
      <w:r w:rsidRPr="00E800D0">
        <w:rPr>
          <w:sz w:val="24"/>
          <w:szCs w:val="24"/>
        </w:rPr>
        <w:t xml:space="preserve">" oralt i 27 dage som syresuppression. Forekomsten af gentagne blødninger indenfor 3 dage var 5,9 % i gruppen behandlet med </w:t>
      </w:r>
      <w:proofErr w:type="spellStart"/>
      <w:r w:rsidRPr="00E800D0">
        <w:rPr>
          <w:sz w:val="24"/>
          <w:szCs w:val="24"/>
        </w:rPr>
        <w:t>Esomeprazol</w:t>
      </w:r>
      <w:proofErr w:type="spellEnd"/>
      <w:r w:rsidRPr="00E800D0">
        <w:rPr>
          <w:sz w:val="24"/>
          <w:szCs w:val="24"/>
        </w:rPr>
        <w:t xml:space="preserve"> "</w:t>
      </w:r>
      <w:proofErr w:type="spellStart"/>
      <w:r w:rsidRPr="00E800D0">
        <w:rPr>
          <w:sz w:val="24"/>
          <w:szCs w:val="24"/>
        </w:rPr>
        <w:t>Stada</w:t>
      </w:r>
      <w:proofErr w:type="spellEnd"/>
      <w:r w:rsidRPr="00E800D0">
        <w:rPr>
          <w:sz w:val="24"/>
          <w:szCs w:val="24"/>
        </w:rPr>
        <w:t xml:space="preserve">" sammenlignet med 10,3 % i gruppen behandlet med placebo. 30 dage efter behandlingen var forekomsten af gentagne blødninger i gruppen behandlet med </w:t>
      </w:r>
      <w:proofErr w:type="spellStart"/>
      <w:r w:rsidRPr="00E800D0">
        <w:rPr>
          <w:sz w:val="24"/>
          <w:szCs w:val="24"/>
        </w:rPr>
        <w:t>Esomeprazol</w:t>
      </w:r>
      <w:proofErr w:type="spellEnd"/>
      <w:r w:rsidRPr="00E800D0">
        <w:rPr>
          <w:sz w:val="24"/>
          <w:szCs w:val="24"/>
        </w:rPr>
        <w:t xml:space="preserve"> "</w:t>
      </w:r>
      <w:proofErr w:type="spellStart"/>
      <w:r w:rsidRPr="00E800D0">
        <w:rPr>
          <w:sz w:val="24"/>
          <w:szCs w:val="24"/>
        </w:rPr>
        <w:t>Stada</w:t>
      </w:r>
      <w:proofErr w:type="spellEnd"/>
      <w:r w:rsidRPr="00E800D0">
        <w:rPr>
          <w:sz w:val="24"/>
          <w:szCs w:val="24"/>
        </w:rPr>
        <w:t>" versus gruppen behandlet med placebo 7,7 % vs. 13,6 %.</w:t>
      </w:r>
    </w:p>
    <w:p w14:paraId="2C7B6DB5" w14:textId="77777777" w:rsidR="00E800D0" w:rsidRPr="00E800D0" w:rsidRDefault="00E800D0" w:rsidP="00E800D0">
      <w:pPr>
        <w:tabs>
          <w:tab w:val="left" w:pos="851"/>
        </w:tabs>
        <w:ind w:left="851"/>
        <w:rPr>
          <w:sz w:val="24"/>
          <w:szCs w:val="24"/>
        </w:rPr>
      </w:pPr>
    </w:p>
    <w:p w14:paraId="162C948B" w14:textId="77777777" w:rsidR="00E800D0" w:rsidRPr="00E800D0" w:rsidRDefault="00E800D0" w:rsidP="00E800D0">
      <w:pPr>
        <w:tabs>
          <w:tab w:val="left" w:pos="851"/>
        </w:tabs>
        <w:ind w:left="851"/>
        <w:rPr>
          <w:sz w:val="24"/>
          <w:szCs w:val="24"/>
        </w:rPr>
      </w:pPr>
      <w:r w:rsidRPr="00E800D0">
        <w:rPr>
          <w:sz w:val="24"/>
          <w:szCs w:val="24"/>
        </w:rPr>
        <w:t xml:space="preserve">Ved behandling med </w:t>
      </w:r>
      <w:proofErr w:type="spellStart"/>
      <w:r w:rsidRPr="00E800D0">
        <w:rPr>
          <w:sz w:val="24"/>
          <w:szCs w:val="24"/>
        </w:rPr>
        <w:t>antisekretoriske</w:t>
      </w:r>
      <w:proofErr w:type="spellEnd"/>
      <w:r w:rsidRPr="00E800D0">
        <w:rPr>
          <w:sz w:val="24"/>
          <w:szCs w:val="24"/>
        </w:rPr>
        <w:t xml:space="preserve"> lægemidler øges </w:t>
      </w:r>
      <w:proofErr w:type="spellStart"/>
      <w:r w:rsidRPr="00E800D0">
        <w:rPr>
          <w:sz w:val="24"/>
          <w:szCs w:val="24"/>
        </w:rPr>
        <w:t>serumgastrin</w:t>
      </w:r>
      <w:proofErr w:type="spellEnd"/>
      <w:r w:rsidRPr="00E800D0">
        <w:rPr>
          <w:sz w:val="24"/>
          <w:szCs w:val="24"/>
        </w:rPr>
        <w:t xml:space="preserve"> som følge af den nedsatte syresekretion. Også </w:t>
      </w:r>
      <w:proofErr w:type="spellStart"/>
      <w:r w:rsidRPr="00E800D0">
        <w:rPr>
          <w:sz w:val="24"/>
          <w:szCs w:val="24"/>
        </w:rPr>
        <w:t>CgA</w:t>
      </w:r>
      <w:proofErr w:type="spellEnd"/>
      <w:r w:rsidRPr="00E800D0">
        <w:rPr>
          <w:sz w:val="24"/>
          <w:szCs w:val="24"/>
        </w:rPr>
        <w:t xml:space="preserve"> øges på grund af nedsat </w:t>
      </w:r>
      <w:proofErr w:type="spellStart"/>
      <w:r w:rsidRPr="00E800D0">
        <w:rPr>
          <w:sz w:val="24"/>
          <w:szCs w:val="24"/>
        </w:rPr>
        <w:t>ventrikelaciditet</w:t>
      </w:r>
      <w:proofErr w:type="spellEnd"/>
      <w:r w:rsidRPr="00E800D0">
        <w:rPr>
          <w:sz w:val="24"/>
          <w:szCs w:val="24"/>
        </w:rPr>
        <w:t xml:space="preserve">. Det øgede </w:t>
      </w:r>
      <w:proofErr w:type="spellStart"/>
      <w:r w:rsidRPr="00E800D0">
        <w:rPr>
          <w:sz w:val="24"/>
          <w:szCs w:val="24"/>
        </w:rPr>
        <w:t>CgA</w:t>
      </w:r>
      <w:proofErr w:type="spellEnd"/>
      <w:r w:rsidRPr="00E800D0">
        <w:rPr>
          <w:sz w:val="24"/>
          <w:szCs w:val="24"/>
        </w:rPr>
        <w:t xml:space="preserve">-niveau kan påvirke undersøgelser for </w:t>
      </w:r>
      <w:proofErr w:type="spellStart"/>
      <w:r w:rsidRPr="00E800D0">
        <w:rPr>
          <w:sz w:val="24"/>
          <w:szCs w:val="24"/>
        </w:rPr>
        <w:t>neuroendokrine</w:t>
      </w:r>
      <w:proofErr w:type="spellEnd"/>
      <w:r w:rsidRPr="00E800D0">
        <w:rPr>
          <w:sz w:val="24"/>
          <w:szCs w:val="24"/>
        </w:rPr>
        <w:t xml:space="preserve"> tumorer. Rapporter fra litteraturen indikerer, at behandling med </w:t>
      </w:r>
      <w:proofErr w:type="spellStart"/>
      <w:r w:rsidRPr="00E800D0">
        <w:rPr>
          <w:sz w:val="24"/>
          <w:szCs w:val="24"/>
        </w:rPr>
        <w:t>protonpumpehæmmere</w:t>
      </w:r>
      <w:proofErr w:type="spellEnd"/>
      <w:r w:rsidRPr="00E800D0">
        <w:rPr>
          <w:sz w:val="24"/>
          <w:szCs w:val="24"/>
        </w:rPr>
        <w:t xml:space="preserve"> skal stoppe 5 dage – 2 uger inden </w:t>
      </w:r>
      <w:proofErr w:type="spellStart"/>
      <w:r w:rsidRPr="00E800D0">
        <w:rPr>
          <w:sz w:val="24"/>
          <w:szCs w:val="24"/>
        </w:rPr>
        <w:t>CgA</w:t>
      </w:r>
      <w:proofErr w:type="spellEnd"/>
      <w:r w:rsidRPr="00E800D0">
        <w:rPr>
          <w:sz w:val="24"/>
          <w:szCs w:val="24"/>
        </w:rPr>
        <w:t>-målinger. Dette er for at give CGA-niveauer, der kan være forhøjet efter protonpumpebehandling, mulighed for at vende tilbage til referenceområdet.</w:t>
      </w:r>
    </w:p>
    <w:p w14:paraId="474B5F87" w14:textId="77777777" w:rsidR="00E800D0" w:rsidRPr="00E800D0" w:rsidRDefault="00E800D0" w:rsidP="00E800D0">
      <w:pPr>
        <w:tabs>
          <w:tab w:val="left" w:pos="851"/>
        </w:tabs>
        <w:ind w:left="851"/>
        <w:rPr>
          <w:sz w:val="24"/>
          <w:szCs w:val="24"/>
        </w:rPr>
      </w:pPr>
    </w:p>
    <w:p w14:paraId="319C9F60" w14:textId="77777777" w:rsidR="00E800D0" w:rsidRPr="00E800D0" w:rsidRDefault="00E800D0" w:rsidP="00E800D0">
      <w:pPr>
        <w:tabs>
          <w:tab w:val="left" w:pos="851"/>
        </w:tabs>
        <w:ind w:left="851"/>
        <w:rPr>
          <w:sz w:val="24"/>
          <w:szCs w:val="24"/>
        </w:rPr>
      </w:pPr>
      <w:r w:rsidRPr="00E800D0">
        <w:rPr>
          <w:sz w:val="24"/>
          <w:szCs w:val="24"/>
        </w:rPr>
        <w:t xml:space="preserve">Hos både børn og voksne er der under langtidsbehandling med </w:t>
      </w:r>
      <w:proofErr w:type="spellStart"/>
      <w:r w:rsidRPr="00E800D0">
        <w:rPr>
          <w:sz w:val="24"/>
          <w:szCs w:val="24"/>
        </w:rPr>
        <w:t>esomeprazol</w:t>
      </w:r>
      <w:proofErr w:type="spellEnd"/>
      <w:r w:rsidRPr="00E800D0">
        <w:rPr>
          <w:sz w:val="24"/>
          <w:szCs w:val="24"/>
        </w:rPr>
        <w:t xml:space="preserve"> set et øget antal </w:t>
      </w:r>
      <w:proofErr w:type="gramStart"/>
      <w:r w:rsidRPr="00E800D0">
        <w:rPr>
          <w:sz w:val="24"/>
          <w:szCs w:val="24"/>
        </w:rPr>
        <w:t>ECL celler</w:t>
      </w:r>
      <w:proofErr w:type="gramEnd"/>
      <w:r w:rsidRPr="00E800D0">
        <w:rPr>
          <w:sz w:val="24"/>
          <w:szCs w:val="24"/>
        </w:rPr>
        <w:t xml:space="preserve">, hvilket muligvis er relateret til det forhøjede </w:t>
      </w:r>
      <w:proofErr w:type="spellStart"/>
      <w:r w:rsidRPr="00E800D0">
        <w:rPr>
          <w:sz w:val="24"/>
          <w:szCs w:val="24"/>
        </w:rPr>
        <w:t>serumgastrin</w:t>
      </w:r>
      <w:proofErr w:type="spellEnd"/>
      <w:r w:rsidRPr="00E800D0">
        <w:rPr>
          <w:sz w:val="24"/>
          <w:szCs w:val="24"/>
        </w:rPr>
        <w:t>. Disse resultater menes ikke at være klinisk signifikante</w:t>
      </w:r>
    </w:p>
    <w:p w14:paraId="609AFDD7" w14:textId="77777777" w:rsidR="00E800D0" w:rsidRPr="00E800D0" w:rsidRDefault="00E800D0" w:rsidP="00E800D0">
      <w:pPr>
        <w:tabs>
          <w:tab w:val="left" w:pos="851"/>
        </w:tabs>
        <w:ind w:left="851"/>
        <w:rPr>
          <w:sz w:val="24"/>
          <w:szCs w:val="24"/>
        </w:rPr>
      </w:pPr>
    </w:p>
    <w:p w14:paraId="35090463" w14:textId="77777777" w:rsidR="00E800D0" w:rsidRPr="00E800D0" w:rsidRDefault="00E800D0" w:rsidP="00E800D0">
      <w:pPr>
        <w:tabs>
          <w:tab w:val="left" w:pos="851"/>
        </w:tabs>
        <w:ind w:left="851"/>
        <w:rPr>
          <w:sz w:val="24"/>
          <w:szCs w:val="24"/>
        </w:rPr>
      </w:pPr>
      <w:r w:rsidRPr="00E800D0">
        <w:rPr>
          <w:sz w:val="24"/>
          <w:szCs w:val="24"/>
        </w:rPr>
        <w:t xml:space="preserve">Efter langtidsbehandling med </w:t>
      </w:r>
      <w:proofErr w:type="spellStart"/>
      <w:r w:rsidRPr="00E800D0">
        <w:rPr>
          <w:sz w:val="24"/>
          <w:szCs w:val="24"/>
        </w:rPr>
        <w:t>antisekretoriske</w:t>
      </w:r>
      <w:proofErr w:type="spellEnd"/>
      <w:r w:rsidRPr="00E800D0">
        <w:rPr>
          <w:sz w:val="24"/>
          <w:szCs w:val="24"/>
        </w:rPr>
        <w:t xml:space="preserve"> lægemidler er der rapporteret en øget tendens til gastrisk </w:t>
      </w:r>
      <w:proofErr w:type="spellStart"/>
      <w:r w:rsidRPr="00E800D0">
        <w:rPr>
          <w:sz w:val="24"/>
          <w:szCs w:val="24"/>
        </w:rPr>
        <w:t>glandulære</w:t>
      </w:r>
      <w:proofErr w:type="spellEnd"/>
      <w:r w:rsidRPr="00E800D0">
        <w:rPr>
          <w:sz w:val="24"/>
          <w:szCs w:val="24"/>
        </w:rPr>
        <w:t xml:space="preserve"> cyster. Disse forandringer, som er en fysiologisk konsekvens af en udtalt nedsættelse af syresekretionen, er godartede og ser ud til at være reversible.</w:t>
      </w:r>
    </w:p>
    <w:p w14:paraId="35FA174B" w14:textId="77777777" w:rsidR="00E800D0" w:rsidRPr="00E800D0" w:rsidRDefault="00E800D0" w:rsidP="00E800D0">
      <w:pPr>
        <w:tabs>
          <w:tab w:val="left" w:pos="851"/>
        </w:tabs>
        <w:ind w:left="851"/>
        <w:rPr>
          <w:sz w:val="24"/>
          <w:szCs w:val="24"/>
        </w:rPr>
      </w:pPr>
    </w:p>
    <w:p w14:paraId="565C5D1B" w14:textId="77777777" w:rsidR="00E800D0" w:rsidRPr="00E800D0" w:rsidRDefault="00E800D0" w:rsidP="00E800D0">
      <w:pPr>
        <w:tabs>
          <w:tab w:val="left" w:pos="851"/>
        </w:tabs>
        <w:ind w:left="851"/>
        <w:rPr>
          <w:sz w:val="24"/>
          <w:szCs w:val="24"/>
        </w:rPr>
      </w:pPr>
      <w:r w:rsidRPr="00E800D0">
        <w:rPr>
          <w:sz w:val="24"/>
          <w:szCs w:val="24"/>
        </w:rPr>
        <w:t xml:space="preserve">Nedsat gastrisk surhedsgrad generelt, og som følge af </w:t>
      </w:r>
      <w:proofErr w:type="spellStart"/>
      <w:r w:rsidRPr="00E800D0">
        <w:rPr>
          <w:sz w:val="24"/>
          <w:szCs w:val="24"/>
        </w:rPr>
        <w:t>protonpumpehæmmere</w:t>
      </w:r>
      <w:proofErr w:type="spellEnd"/>
      <w:r w:rsidRPr="00E800D0">
        <w:rPr>
          <w:sz w:val="24"/>
          <w:szCs w:val="24"/>
        </w:rPr>
        <w:t xml:space="preserve">, forårsager et øget antal af de normalt forekommende bakterier i mavetarmkanalen. Behandling med </w:t>
      </w:r>
      <w:proofErr w:type="spellStart"/>
      <w:r w:rsidRPr="00E800D0">
        <w:rPr>
          <w:sz w:val="24"/>
          <w:szCs w:val="24"/>
        </w:rPr>
        <w:t>protonpumpehæmmere</w:t>
      </w:r>
      <w:proofErr w:type="spellEnd"/>
      <w:r w:rsidRPr="00E800D0">
        <w:rPr>
          <w:sz w:val="24"/>
          <w:szCs w:val="24"/>
        </w:rPr>
        <w:t xml:space="preserve"> kan derfor forårsage en let forøget risiko for </w:t>
      </w:r>
      <w:proofErr w:type="spellStart"/>
      <w:r w:rsidRPr="00E800D0">
        <w:rPr>
          <w:sz w:val="24"/>
          <w:szCs w:val="24"/>
        </w:rPr>
        <w:t>gastrointestinale</w:t>
      </w:r>
      <w:proofErr w:type="spellEnd"/>
      <w:r w:rsidRPr="00E800D0">
        <w:rPr>
          <w:sz w:val="24"/>
          <w:szCs w:val="24"/>
        </w:rPr>
        <w:t xml:space="preserve"> infektioner såsom Salmonella og Campylobacter og hos indlagte patienter, muligvis også </w:t>
      </w:r>
      <w:proofErr w:type="spellStart"/>
      <w:r w:rsidRPr="00E800D0">
        <w:rPr>
          <w:sz w:val="24"/>
          <w:szCs w:val="24"/>
        </w:rPr>
        <w:t>Clostridium</w:t>
      </w:r>
      <w:proofErr w:type="spellEnd"/>
      <w:r w:rsidRPr="00E800D0">
        <w:rPr>
          <w:sz w:val="24"/>
          <w:szCs w:val="24"/>
        </w:rPr>
        <w:t xml:space="preserve"> difficile.</w:t>
      </w:r>
    </w:p>
    <w:p w14:paraId="306CABE0" w14:textId="77777777" w:rsidR="00E800D0" w:rsidRPr="00E800D0" w:rsidRDefault="00E800D0" w:rsidP="00E800D0">
      <w:pPr>
        <w:tabs>
          <w:tab w:val="left" w:pos="851"/>
        </w:tabs>
        <w:ind w:left="851"/>
        <w:rPr>
          <w:sz w:val="24"/>
          <w:szCs w:val="24"/>
        </w:rPr>
      </w:pPr>
    </w:p>
    <w:p w14:paraId="540A8CC3" w14:textId="77777777" w:rsidR="00E800D0" w:rsidRPr="00E800D0" w:rsidRDefault="00E800D0" w:rsidP="00E800D0">
      <w:pPr>
        <w:tabs>
          <w:tab w:val="left" w:pos="851"/>
        </w:tabs>
        <w:ind w:left="851"/>
        <w:rPr>
          <w:sz w:val="24"/>
          <w:szCs w:val="24"/>
          <w:u w:val="single"/>
        </w:rPr>
      </w:pPr>
      <w:r w:rsidRPr="00E800D0">
        <w:rPr>
          <w:sz w:val="24"/>
          <w:szCs w:val="24"/>
          <w:u w:val="single"/>
        </w:rPr>
        <w:t>Pædiatrisk population</w:t>
      </w:r>
    </w:p>
    <w:p w14:paraId="33C6ED42" w14:textId="77777777" w:rsidR="00E800D0" w:rsidRPr="00E800D0" w:rsidRDefault="00E800D0" w:rsidP="00E800D0">
      <w:pPr>
        <w:tabs>
          <w:tab w:val="left" w:pos="851"/>
        </w:tabs>
        <w:ind w:left="851"/>
        <w:rPr>
          <w:sz w:val="24"/>
          <w:szCs w:val="24"/>
        </w:rPr>
      </w:pPr>
      <w:r w:rsidRPr="00E800D0">
        <w:rPr>
          <w:sz w:val="24"/>
          <w:szCs w:val="24"/>
        </w:rPr>
        <w:t xml:space="preserve">I et placebo-kontrolleret forsøg (98 patienter fra 1-11 måneder) blev effekten og sikkerheden hos patienter med tegn og symptomer på GERD evalueret. Der blev givet 1 mg/kg </w:t>
      </w:r>
      <w:proofErr w:type="spellStart"/>
      <w:r w:rsidRPr="00E800D0">
        <w:rPr>
          <w:sz w:val="24"/>
          <w:szCs w:val="24"/>
        </w:rPr>
        <w:t>esomeprazol</w:t>
      </w:r>
      <w:proofErr w:type="spellEnd"/>
      <w:r w:rsidRPr="00E800D0">
        <w:rPr>
          <w:sz w:val="24"/>
          <w:szCs w:val="24"/>
        </w:rPr>
        <w:t xml:space="preserve"> oralt en gang daglig i 2 uger (åben fase), og 80 patienter blev inkluderet i yderligere 4 uger (dobbeltblindet, behandlings-</w:t>
      </w:r>
      <w:proofErr w:type="spellStart"/>
      <w:r w:rsidRPr="00E800D0">
        <w:rPr>
          <w:sz w:val="24"/>
          <w:szCs w:val="24"/>
        </w:rPr>
        <w:t>seponeringsfase</w:t>
      </w:r>
      <w:proofErr w:type="spellEnd"/>
      <w:r w:rsidRPr="00E800D0">
        <w:rPr>
          <w:sz w:val="24"/>
          <w:szCs w:val="24"/>
        </w:rPr>
        <w:t xml:space="preserve">). Der var ingen </w:t>
      </w:r>
      <w:r w:rsidRPr="00E800D0">
        <w:rPr>
          <w:sz w:val="24"/>
          <w:szCs w:val="24"/>
        </w:rPr>
        <w:lastRenderedPageBreak/>
        <w:t xml:space="preserve">signifikant forskel mellem </w:t>
      </w:r>
      <w:proofErr w:type="spellStart"/>
      <w:r w:rsidRPr="00E800D0">
        <w:rPr>
          <w:sz w:val="24"/>
          <w:szCs w:val="24"/>
        </w:rPr>
        <w:t>esomeprazol</w:t>
      </w:r>
      <w:proofErr w:type="spellEnd"/>
      <w:r w:rsidRPr="00E800D0">
        <w:rPr>
          <w:sz w:val="24"/>
          <w:szCs w:val="24"/>
        </w:rPr>
        <w:t xml:space="preserve"> og placebo, hvad angik det primære endepunkt, tidspunkt til </w:t>
      </w:r>
      <w:proofErr w:type="spellStart"/>
      <w:r w:rsidRPr="00E800D0">
        <w:rPr>
          <w:sz w:val="24"/>
          <w:szCs w:val="24"/>
        </w:rPr>
        <w:t>seponering</w:t>
      </w:r>
      <w:proofErr w:type="spellEnd"/>
      <w:r w:rsidRPr="00E800D0">
        <w:rPr>
          <w:sz w:val="24"/>
          <w:szCs w:val="24"/>
        </w:rPr>
        <w:t xml:space="preserve"> på grund af forværring af symptomer.</w:t>
      </w:r>
    </w:p>
    <w:p w14:paraId="7188BD56" w14:textId="77777777" w:rsidR="00E800D0" w:rsidRPr="00E800D0" w:rsidRDefault="00E800D0" w:rsidP="00E800D0">
      <w:pPr>
        <w:tabs>
          <w:tab w:val="left" w:pos="851"/>
        </w:tabs>
        <w:ind w:left="851"/>
        <w:rPr>
          <w:bCs/>
          <w:sz w:val="24"/>
          <w:szCs w:val="24"/>
        </w:rPr>
      </w:pPr>
    </w:p>
    <w:p w14:paraId="25D48D92" w14:textId="77777777" w:rsidR="00E800D0" w:rsidRPr="00E800D0" w:rsidRDefault="00E800D0" w:rsidP="00E800D0">
      <w:pPr>
        <w:tabs>
          <w:tab w:val="left" w:pos="851"/>
        </w:tabs>
        <w:ind w:left="851"/>
        <w:rPr>
          <w:bCs/>
          <w:sz w:val="24"/>
          <w:szCs w:val="24"/>
        </w:rPr>
      </w:pPr>
      <w:r w:rsidRPr="00E800D0">
        <w:rPr>
          <w:bCs/>
          <w:sz w:val="24"/>
          <w:szCs w:val="24"/>
        </w:rPr>
        <w:t xml:space="preserve">I et placebo-kontrolleret forsøg (52 patienter på &lt; 1 måned) blev effekten og sikkerheden hos patienter med GERD-symptomer evalueret. Der blev givet 0,5 mg/kg </w:t>
      </w:r>
      <w:proofErr w:type="spellStart"/>
      <w:r w:rsidRPr="00E800D0">
        <w:rPr>
          <w:bCs/>
          <w:sz w:val="24"/>
          <w:szCs w:val="24"/>
        </w:rPr>
        <w:t>esomeprazol</w:t>
      </w:r>
      <w:proofErr w:type="spellEnd"/>
      <w:r w:rsidRPr="00E800D0">
        <w:rPr>
          <w:bCs/>
          <w:sz w:val="24"/>
          <w:szCs w:val="24"/>
        </w:rPr>
        <w:t xml:space="preserve"> en gang daglig oralt i mindst 10 dage. Der var ingen signifikant forskel mellem </w:t>
      </w:r>
      <w:proofErr w:type="spellStart"/>
      <w:r w:rsidRPr="00E800D0">
        <w:rPr>
          <w:bCs/>
          <w:sz w:val="24"/>
          <w:szCs w:val="24"/>
        </w:rPr>
        <w:t>esomeprazol</w:t>
      </w:r>
      <w:proofErr w:type="spellEnd"/>
      <w:r w:rsidRPr="00E800D0">
        <w:rPr>
          <w:bCs/>
          <w:sz w:val="24"/>
          <w:szCs w:val="24"/>
        </w:rPr>
        <w:t xml:space="preserve"> og placebo i det primære endepunkt, ændring fra baseline i antallet af recidiver af GERD-symptomer.</w:t>
      </w:r>
    </w:p>
    <w:p w14:paraId="6647E14B" w14:textId="77777777" w:rsidR="00E800D0" w:rsidRPr="00E800D0" w:rsidRDefault="00E800D0" w:rsidP="00E800D0">
      <w:pPr>
        <w:tabs>
          <w:tab w:val="left" w:pos="851"/>
        </w:tabs>
        <w:ind w:left="851"/>
        <w:rPr>
          <w:bCs/>
          <w:sz w:val="24"/>
          <w:szCs w:val="24"/>
        </w:rPr>
      </w:pPr>
    </w:p>
    <w:p w14:paraId="6E9AF07B" w14:textId="77777777" w:rsidR="00E800D0" w:rsidRPr="00E800D0" w:rsidRDefault="00E800D0" w:rsidP="00E800D0">
      <w:pPr>
        <w:tabs>
          <w:tab w:val="left" w:pos="851"/>
        </w:tabs>
        <w:ind w:left="851"/>
        <w:rPr>
          <w:bCs/>
          <w:sz w:val="24"/>
          <w:szCs w:val="24"/>
        </w:rPr>
      </w:pPr>
      <w:r w:rsidRPr="00E800D0">
        <w:rPr>
          <w:bCs/>
          <w:sz w:val="24"/>
          <w:szCs w:val="24"/>
        </w:rPr>
        <w:t xml:space="preserve">Resultater fra de pædiatriske forsøg viser endvidere, at 0,5 mg/kg og 1,0 mg/kg </w:t>
      </w:r>
      <w:proofErr w:type="spellStart"/>
      <w:r w:rsidRPr="00E800D0">
        <w:rPr>
          <w:bCs/>
          <w:sz w:val="24"/>
          <w:szCs w:val="24"/>
        </w:rPr>
        <w:t>esomeprazol</w:t>
      </w:r>
      <w:proofErr w:type="spellEnd"/>
      <w:r w:rsidRPr="00E800D0">
        <w:rPr>
          <w:bCs/>
          <w:sz w:val="24"/>
          <w:szCs w:val="24"/>
        </w:rPr>
        <w:t xml:space="preserve"> hos hhv. &lt; 1 måned og 1 til 11 måneder gamle børn reducerede den gennemsnitlige procent af tid med </w:t>
      </w:r>
      <w:proofErr w:type="spellStart"/>
      <w:r w:rsidRPr="00E800D0">
        <w:rPr>
          <w:bCs/>
          <w:sz w:val="24"/>
          <w:szCs w:val="24"/>
        </w:rPr>
        <w:t>intraoesofageal</w:t>
      </w:r>
      <w:proofErr w:type="spellEnd"/>
      <w:r w:rsidRPr="00E800D0">
        <w:rPr>
          <w:bCs/>
          <w:sz w:val="24"/>
          <w:szCs w:val="24"/>
        </w:rPr>
        <w:t xml:space="preserve"> pH &lt; 4. Sikkerhedsprofilen synes at være den samme som hos voksne.</w:t>
      </w:r>
    </w:p>
    <w:p w14:paraId="490890A6" w14:textId="77777777" w:rsidR="00E800D0" w:rsidRPr="00E800D0" w:rsidRDefault="00E800D0" w:rsidP="00E800D0">
      <w:pPr>
        <w:tabs>
          <w:tab w:val="left" w:pos="851"/>
        </w:tabs>
        <w:ind w:left="851"/>
        <w:rPr>
          <w:bCs/>
          <w:sz w:val="24"/>
          <w:szCs w:val="24"/>
          <w:u w:val="single"/>
        </w:rPr>
      </w:pPr>
    </w:p>
    <w:p w14:paraId="68A214C8" w14:textId="77777777" w:rsidR="00E800D0" w:rsidRPr="00E800D0" w:rsidRDefault="00E800D0" w:rsidP="00E800D0">
      <w:pPr>
        <w:tabs>
          <w:tab w:val="left" w:pos="851"/>
        </w:tabs>
        <w:ind w:left="851"/>
        <w:rPr>
          <w:bCs/>
          <w:sz w:val="24"/>
          <w:szCs w:val="24"/>
        </w:rPr>
      </w:pPr>
      <w:r w:rsidRPr="00E800D0">
        <w:rPr>
          <w:bCs/>
          <w:sz w:val="24"/>
          <w:szCs w:val="24"/>
        </w:rPr>
        <w:t>I et studie med pædiatriske GERD-patienter (i alderen 1 til 17 år), der fik langtidsbehandling med PPI, udviklede 61 % af børnene en mindre grad af ECL-</w:t>
      </w:r>
      <w:proofErr w:type="spellStart"/>
      <w:r w:rsidRPr="00E800D0">
        <w:rPr>
          <w:bCs/>
          <w:sz w:val="24"/>
          <w:szCs w:val="24"/>
        </w:rPr>
        <w:t>cellehyperplasi</w:t>
      </w:r>
      <w:proofErr w:type="spellEnd"/>
      <w:r w:rsidRPr="00E800D0">
        <w:rPr>
          <w:bCs/>
          <w:sz w:val="24"/>
          <w:szCs w:val="24"/>
        </w:rPr>
        <w:t xml:space="preserve"> uden klinisk signifikans og uden at udvikle atrofisk gastrit eller </w:t>
      </w:r>
      <w:proofErr w:type="spellStart"/>
      <w:r w:rsidRPr="00E800D0">
        <w:rPr>
          <w:bCs/>
          <w:sz w:val="24"/>
          <w:szCs w:val="24"/>
        </w:rPr>
        <w:t>carcinoide</w:t>
      </w:r>
      <w:proofErr w:type="spellEnd"/>
      <w:r w:rsidRPr="00E800D0">
        <w:rPr>
          <w:bCs/>
          <w:sz w:val="24"/>
          <w:szCs w:val="24"/>
        </w:rPr>
        <w:t xml:space="preserve"> tumorer.</w:t>
      </w:r>
    </w:p>
    <w:p w14:paraId="2050D589" w14:textId="77777777" w:rsidR="009260DE" w:rsidRPr="00C84483" w:rsidRDefault="009260DE" w:rsidP="009260DE">
      <w:pPr>
        <w:tabs>
          <w:tab w:val="left" w:pos="851"/>
        </w:tabs>
        <w:ind w:left="851"/>
        <w:rPr>
          <w:sz w:val="24"/>
          <w:szCs w:val="24"/>
        </w:rPr>
      </w:pPr>
    </w:p>
    <w:p w14:paraId="581C9FB1"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1F357A53" w14:textId="77777777" w:rsidR="00E800D0" w:rsidRDefault="00E800D0" w:rsidP="00E800D0">
      <w:pPr>
        <w:ind w:left="851"/>
        <w:rPr>
          <w:b/>
          <w:bCs/>
          <w:sz w:val="24"/>
          <w:szCs w:val="24"/>
        </w:rPr>
      </w:pPr>
    </w:p>
    <w:p w14:paraId="0E1E6E1E" w14:textId="4BF8B49B" w:rsidR="00E800D0" w:rsidRPr="00E800D0" w:rsidRDefault="00E800D0" w:rsidP="00E800D0">
      <w:pPr>
        <w:ind w:left="851"/>
        <w:rPr>
          <w:bCs/>
          <w:sz w:val="24"/>
          <w:szCs w:val="24"/>
          <w:u w:val="single"/>
        </w:rPr>
      </w:pPr>
      <w:r w:rsidRPr="00E800D0">
        <w:rPr>
          <w:bCs/>
          <w:sz w:val="24"/>
          <w:szCs w:val="24"/>
          <w:u w:val="single"/>
        </w:rPr>
        <w:t>Fordeling</w:t>
      </w:r>
    </w:p>
    <w:p w14:paraId="40731CB0" w14:textId="77777777" w:rsidR="00E800D0" w:rsidRPr="00E800D0" w:rsidRDefault="00E800D0" w:rsidP="00E800D0">
      <w:pPr>
        <w:ind w:left="851"/>
        <w:rPr>
          <w:sz w:val="24"/>
          <w:szCs w:val="24"/>
        </w:rPr>
      </w:pPr>
      <w:r w:rsidRPr="00E800D0">
        <w:rPr>
          <w:sz w:val="24"/>
          <w:szCs w:val="24"/>
        </w:rPr>
        <w:t xml:space="preserve">Det tilsyneladende fordelingsrum </w:t>
      </w:r>
      <w:proofErr w:type="spellStart"/>
      <w:r w:rsidRPr="00E800D0">
        <w:rPr>
          <w:sz w:val="24"/>
          <w:szCs w:val="24"/>
        </w:rPr>
        <w:t>Vdapp</w:t>
      </w:r>
      <w:proofErr w:type="spellEnd"/>
      <w:r w:rsidRPr="00E800D0">
        <w:rPr>
          <w:sz w:val="24"/>
          <w:szCs w:val="24"/>
        </w:rPr>
        <w:t xml:space="preserve"> ved </w:t>
      </w:r>
      <w:proofErr w:type="spellStart"/>
      <w:r w:rsidRPr="00E800D0">
        <w:rPr>
          <w:sz w:val="24"/>
          <w:szCs w:val="24"/>
        </w:rPr>
        <w:t>steady</w:t>
      </w:r>
      <w:proofErr w:type="spellEnd"/>
      <w:r w:rsidRPr="00E800D0">
        <w:rPr>
          <w:sz w:val="24"/>
          <w:szCs w:val="24"/>
        </w:rPr>
        <w:t xml:space="preserve"> </w:t>
      </w:r>
      <w:proofErr w:type="spellStart"/>
      <w:r w:rsidRPr="00E800D0">
        <w:rPr>
          <w:sz w:val="24"/>
          <w:szCs w:val="24"/>
        </w:rPr>
        <w:t>state</w:t>
      </w:r>
      <w:proofErr w:type="spellEnd"/>
      <w:r w:rsidRPr="00E800D0">
        <w:rPr>
          <w:sz w:val="24"/>
          <w:szCs w:val="24"/>
        </w:rPr>
        <w:t xml:space="preserve"> hos raske forsøgspersoner er ca. 0,22 l/kg legemsvægt. Plasmaproteinbindingen af </w:t>
      </w:r>
      <w:proofErr w:type="spellStart"/>
      <w:r w:rsidRPr="00E800D0">
        <w:rPr>
          <w:sz w:val="24"/>
          <w:szCs w:val="24"/>
        </w:rPr>
        <w:t>esomeprazol</w:t>
      </w:r>
      <w:proofErr w:type="spellEnd"/>
      <w:r w:rsidRPr="00E800D0">
        <w:rPr>
          <w:sz w:val="24"/>
          <w:szCs w:val="24"/>
        </w:rPr>
        <w:t xml:space="preserve"> er 97 %.</w:t>
      </w:r>
    </w:p>
    <w:p w14:paraId="1B2050B9" w14:textId="77777777" w:rsidR="00E800D0" w:rsidRPr="00E800D0" w:rsidRDefault="00E800D0" w:rsidP="00E800D0">
      <w:pPr>
        <w:ind w:left="851"/>
        <w:rPr>
          <w:sz w:val="24"/>
          <w:szCs w:val="24"/>
          <w:u w:val="single"/>
        </w:rPr>
      </w:pPr>
    </w:p>
    <w:p w14:paraId="41C5994E" w14:textId="77777777" w:rsidR="00E800D0" w:rsidRPr="00E800D0" w:rsidRDefault="00E800D0" w:rsidP="00E800D0">
      <w:pPr>
        <w:ind w:left="851"/>
        <w:rPr>
          <w:bCs/>
          <w:sz w:val="24"/>
          <w:szCs w:val="24"/>
          <w:u w:val="single"/>
        </w:rPr>
      </w:pPr>
      <w:r w:rsidRPr="00E800D0">
        <w:rPr>
          <w:bCs/>
          <w:sz w:val="24"/>
          <w:szCs w:val="24"/>
          <w:u w:val="single"/>
        </w:rPr>
        <w:t>Biotransformation</w:t>
      </w:r>
    </w:p>
    <w:p w14:paraId="549725D8" w14:textId="77777777" w:rsidR="00E800D0" w:rsidRPr="00E800D0" w:rsidRDefault="00E800D0" w:rsidP="00E800D0">
      <w:pPr>
        <w:ind w:left="851"/>
        <w:rPr>
          <w:sz w:val="24"/>
          <w:szCs w:val="24"/>
        </w:rPr>
      </w:pPr>
      <w:proofErr w:type="spellStart"/>
      <w:r w:rsidRPr="00E800D0">
        <w:rPr>
          <w:sz w:val="24"/>
          <w:szCs w:val="24"/>
        </w:rPr>
        <w:t>Esomeprazol</w:t>
      </w:r>
      <w:proofErr w:type="spellEnd"/>
      <w:r w:rsidRPr="00E800D0">
        <w:rPr>
          <w:sz w:val="24"/>
          <w:szCs w:val="24"/>
        </w:rPr>
        <w:t xml:space="preserve"> bliver </w:t>
      </w:r>
      <w:proofErr w:type="spellStart"/>
      <w:r w:rsidRPr="00E800D0">
        <w:rPr>
          <w:sz w:val="24"/>
          <w:szCs w:val="24"/>
        </w:rPr>
        <w:t>metaboliseret</w:t>
      </w:r>
      <w:proofErr w:type="spellEnd"/>
      <w:r w:rsidRPr="00E800D0">
        <w:rPr>
          <w:sz w:val="24"/>
          <w:szCs w:val="24"/>
        </w:rPr>
        <w:t xml:space="preserve"> fuldstændigt af </w:t>
      </w:r>
      <w:proofErr w:type="spellStart"/>
      <w:r w:rsidRPr="00E800D0">
        <w:rPr>
          <w:sz w:val="24"/>
          <w:szCs w:val="24"/>
        </w:rPr>
        <w:t>cytochrom</w:t>
      </w:r>
      <w:proofErr w:type="spellEnd"/>
      <w:r w:rsidRPr="00E800D0">
        <w:rPr>
          <w:sz w:val="24"/>
          <w:szCs w:val="24"/>
        </w:rPr>
        <w:t xml:space="preserve"> P450 systemet (CYP). </w:t>
      </w:r>
    </w:p>
    <w:p w14:paraId="4593A782" w14:textId="77777777" w:rsidR="00E800D0" w:rsidRPr="00E800D0" w:rsidRDefault="00E800D0" w:rsidP="00E800D0">
      <w:pPr>
        <w:ind w:left="851"/>
        <w:rPr>
          <w:sz w:val="24"/>
          <w:szCs w:val="24"/>
        </w:rPr>
      </w:pPr>
      <w:r w:rsidRPr="00E800D0">
        <w:rPr>
          <w:sz w:val="24"/>
          <w:szCs w:val="24"/>
        </w:rPr>
        <w:t xml:space="preserve">Størstedelen af </w:t>
      </w:r>
      <w:proofErr w:type="spellStart"/>
      <w:r w:rsidRPr="00E800D0">
        <w:rPr>
          <w:sz w:val="24"/>
          <w:szCs w:val="24"/>
        </w:rPr>
        <w:t>esomeprazols</w:t>
      </w:r>
      <w:proofErr w:type="spellEnd"/>
      <w:r w:rsidRPr="00E800D0">
        <w:rPr>
          <w:sz w:val="24"/>
          <w:szCs w:val="24"/>
        </w:rPr>
        <w:t xml:space="preserve"> </w:t>
      </w:r>
      <w:proofErr w:type="spellStart"/>
      <w:r w:rsidRPr="00E800D0">
        <w:rPr>
          <w:sz w:val="24"/>
          <w:szCs w:val="24"/>
        </w:rPr>
        <w:t>metabolisering</w:t>
      </w:r>
      <w:proofErr w:type="spellEnd"/>
      <w:r w:rsidRPr="00E800D0">
        <w:rPr>
          <w:sz w:val="24"/>
          <w:szCs w:val="24"/>
        </w:rPr>
        <w:t xml:space="preserve"> er afhængig af det polymorfe CYP2C19, der er ansvarlig for dannelsen af </w:t>
      </w:r>
      <w:proofErr w:type="spellStart"/>
      <w:r w:rsidRPr="00E800D0">
        <w:rPr>
          <w:sz w:val="24"/>
          <w:szCs w:val="24"/>
        </w:rPr>
        <w:t>esomeprazols</w:t>
      </w:r>
      <w:proofErr w:type="spellEnd"/>
      <w:r w:rsidRPr="00E800D0">
        <w:rPr>
          <w:sz w:val="24"/>
          <w:szCs w:val="24"/>
        </w:rPr>
        <w:t xml:space="preserve"> </w:t>
      </w:r>
      <w:proofErr w:type="spellStart"/>
      <w:r w:rsidRPr="00E800D0">
        <w:rPr>
          <w:sz w:val="24"/>
          <w:szCs w:val="24"/>
        </w:rPr>
        <w:t>hydroxy</w:t>
      </w:r>
      <w:proofErr w:type="spellEnd"/>
      <w:r w:rsidRPr="00E800D0">
        <w:rPr>
          <w:sz w:val="24"/>
          <w:szCs w:val="24"/>
        </w:rPr>
        <w:t xml:space="preserve">- og </w:t>
      </w:r>
      <w:proofErr w:type="spellStart"/>
      <w:r w:rsidRPr="00E800D0">
        <w:rPr>
          <w:sz w:val="24"/>
          <w:szCs w:val="24"/>
        </w:rPr>
        <w:t>desmethylmetabolitter</w:t>
      </w:r>
      <w:proofErr w:type="spellEnd"/>
      <w:r w:rsidRPr="00E800D0">
        <w:rPr>
          <w:sz w:val="24"/>
          <w:szCs w:val="24"/>
        </w:rPr>
        <w:t xml:space="preserve">. Den resterende del er afhængig af en anden specifik </w:t>
      </w:r>
      <w:proofErr w:type="spellStart"/>
      <w:r w:rsidRPr="00E800D0">
        <w:rPr>
          <w:sz w:val="24"/>
          <w:szCs w:val="24"/>
        </w:rPr>
        <w:t>isoform</w:t>
      </w:r>
      <w:proofErr w:type="spellEnd"/>
      <w:r w:rsidRPr="00E800D0">
        <w:rPr>
          <w:sz w:val="24"/>
          <w:szCs w:val="24"/>
        </w:rPr>
        <w:t xml:space="preserve">, CYP3A4, som er ansvarlig for dannelsen af </w:t>
      </w:r>
      <w:proofErr w:type="spellStart"/>
      <w:r w:rsidRPr="00E800D0">
        <w:rPr>
          <w:sz w:val="24"/>
          <w:szCs w:val="24"/>
        </w:rPr>
        <w:t>esomeprazolsulfon</w:t>
      </w:r>
      <w:proofErr w:type="spellEnd"/>
      <w:r w:rsidRPr="00E800D0">
        <w:rPr>
          <w:sz w:val="24"/>
          <w:szCs w:val="24"/>
        </w:rPr>
        <w:t>, der er den primære metabolit i plasma.</w:t>
      </w:r>
    </w:p>
    <w:p w14:paraId="4C8E1079" w14:textId="77777777" w:rsidR="00E800D0" w:rsidRPr="00E800D0" w:rsidRDefault="00E800D0" w:rsidP="00E800D0">
      <w:pPr>
        <w:ind w:left="851"/>
        <w:rPr>
          <w:sz w:val="24"/>
          <w:szCs w:val="24"/>
          <w:u w:val="single"/>
        </w:rPr>
      </w:pPr>
    </w:p>
    <w:p w14:paraId="011AE188" w14:textId="77777777" w:rsidR="00E800D0" w:rsidRPr="00E800D0" w:rsidRDefault="00E800D0" w:rsidP="00E800D0">
      <w:pPr>
        <w:ind w:left="851"/>
        <w:rPr>
          <w:sz w:val="24"/>
          <w:szCs w:val="24"/>
          <w:u w:val="single"/>
        </w:rPr>
      </w:pPr>
      <w:r w:rsidRPr="00E800D0">
        <w:rPr>
          <w:sz w:val="24"/>
          <w:szCs w:val="24"/>
          <w:u w:val="single"/>
        </w:rPr>
        <w:t xml:space="preserve">Elimination </w:t>
      </w:r>
    </w:p>
    <w:p w14:paraId="7F4ABD46" w14:textId="77777777" w:rsidR="00E800D0" w:rsidRPr="00E800D0" w:rsidRDefault="00E800D0" w:rsidP="00E800D0">
      <w:pPr>
        <w:ind w:left="851"/>
        <w:rPr>
          <w:sz w:val="24"/>
          <w:szCs w:val="24"/>
        </w:rPr>
      </w:pPr>
      <w:r w:rsidRPr="00E800D0">
        <w:rPr>
          <w:sz w:val="24"/>
          <w:szCs w:val="24"/>
        </w:rPr>
        <w:t xml:space="preserve">Nedenstående parametre afspejler hovedsagelig farmakokinetikken hos individer med </w:t>
      </w:r>
    </w:p>
    <w:p w14:paraId="714C2056" w14:textId="77777777" w:rsidR="00E800D0" w:rsidRPr="00E800D0" w:rsidRDefault="00E800D0" w:rsidP="00E800D0">
      <w:pPr>
        <w:ind w:left="851"/>
        <w:rPr>
          <w:sz w:val="24"/>
          <w:szCs w:val="24"/>
        </w:rPr>
      </w:pPr>
      <w:r w:rsidRPr="00E800D0">
        <w:rPr>
          <w:sz w:val="24"/>
          <w:szCs w:val="24"/>
        </w:rPr>
        <w:t>et funktionelt CYP2C19 enzym, "</w:t>
      </w:r>
      <w:proofErr w:type="spellStart"/>
      <w:r w:rsidRPr="00E800D0">
        <w:rPr>
          <w:sz w:val="24"/>
          <w:szCs w:val="24"/>
        </w:rPr>
        <w:t>extensive</w:t>
      </w:r>
      <w:proofErr w:type="spellEnd"/>
      <w:r w:rsidRPr="00E800D0">
        <w:rPr>
          <w:sz w:val="24"/>
          <w:szCs w:val="24"/>
        </w:rPr>
        <w:t xml:space="preserve"> </w:t>
      </w:r>
      <w:proofErr w:type="spellStart"/>
      <w:r w:rsidRPr="00E800D0">
        <w:rPr>
          <w:sz w:val="24"/>
          <w:szCs w:val="24"/>
        </w:rPr>
        <w:t>metabolizers</w:t>
      </w:r>
      <w:proofErr w:type="spellEnd"/>
      <w:r w:rsidRPr="00E800D0">
        <w:rPr>
          <w:sz w:val="24"/>
          <w:szCs w:val="24"/>
        </w:rPr>
        <w:t>".</w:t>
      </w:r>
    </w:p>
    <w:p w14:paraId="10817D01" w14:textId="77777777" w:rsidR="00E800D0" w:rsidRPr="00E800D0" w:rsidRDefault="00E800D0" w:rsidP="00E800D0">
      <w:pPr>
        <w:ind w:left="851"/>
        <w:rPr>
          <w:sz w:val="24"/>
          <w:szCs w:val="24"/>
        </w:rPr>
      </w:pPr>
    </w:p>
    <w:p w14:paraId="52A54948" w14:textId="77777777" w:rsidR="00E800D0" w:rsidRPr="00E800D0" w:rsidRDefault="00E800D0" w:rsidP="00E800D0">
      <w:pPr>
        <w:ind w:left="851"/>
        <w:rPr>
          <w:sz w:val="24"/>
          <w:szCs w:val="24"/>
        </w:rPr>
      </w:pPr>
      <w:r w:rsidRPr="00E800D0">
        <w:rPr>
          <w:sz w:val="24"/>
          <w:szCs w:val="24"/>
        </w:rPr>
        <w:t xml:space="preserve">Den totale </w:t>
      </w:r>
      <w:proofErr w:type="spellStart"/>
      <w:r w:rsidRPr="00E800D0">
        <w:rPr>
          <w:sz w:val="24"/>
          <w:szCs w:val="24"/>
        </w:rPr>
        <w:t>plasmaclearance</w:t>
      </w:r>
      <w:proofErr w:type="spellEnd"/>
      <w:r w:rsidRPr="00E800D0">
        <w:rPr>
          <w:sz w:val="24"/>
          <w:szCs w:val="24"/>
        </w:rPr>
        <w:t xml:space="preserve"> er ca. 17 l/time efter enkeltdosis og ca. 9 l/time efter gentagen dosering. Plasmahalveringstiden er ca. 1,3 timer efter gentagen dosering en gang dagligt.</w:t>
      </w:r>
    </w:p>
    <w:p w14:paraId="29F938A8" w14:textId="77777777" w:rsidR="00E800D0" w:rsidRPr="00E800D0" w:rsidRDefault="00E800D0" w:rsidP="00E800D0">
      <w:pPr>
        <w:ind w:left="851"/>
        <w:rPr>
          <w:sz w:val="24"/>
          <w:szCs w:val="24"/>
        </w:rPr>
      </w:pPr>
      <w:proofErr w:type="spellStart"/>
      <w:r w:rsidRPr="00E800D0">
        <w:rPr>
          <w:sz w:val="24"/>
          <w:szCs w:val="24"/>
        </w:rPr>
        <w:t>Esomeprazol</w:t>
      </w:r>
      <w:proofErr w:type="spellEnd"/>
      <w:r w:rsidRPr="00E800D0">
        <w:rPr>
          <w:sz w:val="24"/>
          <w:szCs w:val="24"/>
        </w:rPr>
        <w:t xml:space="preserve"> elimineres fuldstændigt fra plasma mellem doserne uden tendens til akkumulering ved administration en gang daglig.</w:t>
      </w:r>
    </w:p>
    <w:p w14:paraId="58FF5547" w14:textId="77777777" w:rsidR="00E800D0" w:rsidRPr="00E800D0" w:rsidRDefault="00E800D0" w:rsidP="00E800D0">
      <w:pPr>
        <w:ind w:left="851"/>
        <w:rPr>
          <w:sz w:val="24"/>
          <w:szCs w:val="24"/>
        </w:rPr>
      </w:pPr>
    </w:p>
    <w:p w14:paraId="5677733C" w14:textId="77777777" w:rsidR="00E800D0" w:rsidRPr="00E800D0" w:rsidRDefault="00E800D0" w:rsidP="00E800D0">
      <w:pPr>
        <w:ind w:left="851"/>
        <w:rPr>
          <w:sz w:val="24"/>
          <w:szCs w:val="24"/>
        </w:rPr>
      </w:pPr>
      <w:proofErr w:type="spellStart"/>
      <w:r w:rsidRPr="00E800D0">
        <w:rPr>
          <w:sz w:val="24"/>
          <w:szCs w:val="24"/>
        </w:rPr>
        <w:t>Esomeprazols</w:t>
      </w:r>
      <w:proofErr w:type="spellEnd"/>
      <w:r w:rsidRPr="00E800D0">
        <w:rPr>
          <w:sz w:val="24"/>
          <w:szCs w:val="24"/>
        </w:rPr>
        <w:t xml:space="preserve"> hovedmetabolitter har ingen effekt på den gastriske syresekretion. Næsten 80 % af en oral dosis af </w:t>
      </w:r>
      <w:proofErr w:type="spellStart"/>
      <w:r w:rsidRPr="00E800D0">
        <w:rPr>
          <w:sz w:val="24"/>
          <w:szCs w:val="24"/>
        </w:rPr>
        <w:t>esomeprazol</w:t>
      </w:r>
      <w:proofErr w:type="spellEnd"/>
      <w:r w:rsidRPr="00E800D0">
        <w:rPr>
          <w:sz w:val="24"/>
          <w:szCs w:val="24"/>
        </w:rPr>
        <w:t xml:space="preserve"> udskilles som metabolitter i urinen, den resterende del i fæces. Mindre end 1 % af modersubstansen findes i urin.</w:t>
      </w:r>
    </w:p>
    <w:p w14:paraId="3F8CBAF6" w14:textId="77777777" w:rsidR="00E800D0" w:rsidRPr="00E800D0" w:rsidRDefault="00E800D0" w:rsidP="00E800D0">
      <w:pPr>
        <w:ind w:left="851"/>
        <w:rPr>
          <w:sz w:val="24"/>
          <w:szCs w:val="24"/>
        </w:rPr>
      </w:pPr>
    </w:p>
    <w:p w14:paraId="14ED3401" w14:textId="77777777" w:rsidR="00E800D0" w:rsidRPr="00E800D0" w:rsidRDefault="00E800D0" w:rsidP="00E800D0">
      <w:pPr>
        <w:ind w:left="851"/>
        <w:rPr>
          <w:sz w:val="24"/>
          <w:szCs w:val="24"/>
          <w:u w:val="single"/>
        </w:rPr>
      </w:pPr>
      <w:proofErr w:type="spellStart"/>
      <w:r w:rsidRPr="00E800D0">
        <w:rPr>
          <w:sz w:val="24"/>
          <w:szCs w:val="24"/>
          <w:u w:val="single"/>
        </w:rPr>
        <w:t>Liniaritet</w:t>
      </w:r>
      <w:proofErr w:type="spellEnd"/>
      <w:r w:rsidRPr="00E800D0">
        <w:rPr>
          <w:sz w:val="24"/>
          <w:szCs w:val="24"/>
          <w:u w:val="single"/>
        </w:rPr>
        <w:t>/non-linearitet</w:t>
      </w:r>
    </w:p>
    <w:p w14:paraId="6AF0CC86" w14:textId="77777777" w:rsidR="00E800D0" w:rsidRPr="00E800D0" w:rsidRDefault="00E800D0" w:rsidP="00E800D0">
      <w:pPr>
        <w:ind w:left="851"/>
        <w:rPr>
          <w:sz w:val="24"/>
          <w:szCs w:val="24"/>
        </w:rPr>
      </w:pPr>
      <w:r w:rsidRPr="00E800D0">
        <w:rPr>
          <w:sz w:val="24"/>
          <w:szCs w:val="24"/>
        </w:rPr>
        <w:t xml:space="preserve">Den totale mængde (AUC) øges ved gentagen administration af </w:t>
      </w:r>
      <w:proofErr w:type="spellStart"/>
      <w:r w:rsidRPr="00E800D0">
        <w:rPr>
          <w:sz w:val="24"/>
          <w:szCs w:val="24"/>
        </w:rPr>
        <w:t>esomeprazol</w:t>
      </w:r>
      <w:proofErr w:type="spellEnd"/>
      <w:r w:rsidRPr="00E800D0">
        <w:rPr>
          <w:sz w:val="24"/>
          <w:szCs w:val="24"/>
        </w:rPr>
        <w:t xml:space="preserve">. Denne øgning er dosisafhængig og resulterer i en ikke-lineær </w:t>
      </w:r>
      <w:proofErr w:type="gramStart"/>
      <w:r w:rsidRPr="00E800D0">
        <w:rPr>
          <w:sz w:val="24"/>
          <w:szCs w:val="24"/>
        </w:rPr>
        <w:t>dosis-AUC sammenhæng</w:t>
      </w:r>
      <w:proofErr w:type="gramEnd"/>
      <w:r w:rsidRPr="00E800D0">
        <w:rPr>
          <w:sz w:val="24"/>
          <w:szCs w:val="24"/>
        </w:rPr>
        <w:t xml:space="preserve"> efter gentagen administration. Denne tids- og dosisafhængighed skyldes et fald i </w:t>
      </w:r>
      <w:proofErr w:type="spellStart"/>
      <w:r w:rsidRPr="00E800D0">
        <w:rPr>
          <w:sz w:val="24"/>
          <w:szCs w:val="24"/>
        </w:rPr>
        <w:t>first</w:t>
      </w:r>
      <w:proofErr w:type="spellEnd"/>
      <w:r w:rsidRPr="00E800D0">
        <w:rPr>
          <w:sz w:val="24"/>
          <w:szCs w:val="24"/>
        </w:rPr>
        <w:t xml:space="preserve"> </w:t>
      </w:r>
      <w:proofErr w:type="spellStart"/>
      <w:r w:rsidRPr="00E800D0">
        <w:rPr>
          <w:sz w:val="24"/>
          <w:szCs w:val="24"/>
        </w:rPr>
        <w:t>pass</w:t>
      </w:r>
      <w:proofErr w:type="spellEnd"/>
      <w:r w:rsidRPr="00E800D0">
        <w:rPr>
          <w:sz w:val="24"/>
          <w:szCs w:val="24"/>
        </w:rPr>
        <w:t xml:space="preserve"> metabolismen og systemisk </w:t>
      </w:r>
      <w:proofErr w:type="spellStart"/>
      <w:r w:rsidRPr="00E800D0">
        <w:rPr>
          <w:sz w:val="24"/>
          <w:szCs w:val="24"/>
        </w:rPr>
        <w:t>clearance</w:t>
      </w:r>
      <w:proofErr w:type="spellEnd"/>
      <w:r w:rsidRPr="00E800D0">
        <w:rPr>
          <w:sz w:val="24"/>
          <w:szCs w:val="24"/>
        </w:rPr>
        <w:t xml:space="preserve">, som sandsynligvis skyldes en hæmning af CYP2C19 enzymet af </w:t>
      </w:r>
      <w:proofErr w:type="spellStart"/>
      <w:r w:rsidRPr="00E800D0">
        <w:rPr>
          <w:sz w:val="24"/>
          <w:szCs w:val="24"/>
        </w:rPr>
        <w:t>esomeprazols</w:t>
      </w:r>
      <w:proofErr w:type="spellEnd"/>
      <w:r w:rsidRPr="00E800D0">
        <w:rPr>
          <w:sz w:val="24"/>
          <w:szCs w:val="24"/>
        </w:rPr>
        <w:t xml:space="preserve"> og/eller dets </w:t>
      </w:r>
      <w:proofErr w:type="spellStart"/>
      <w:r w:rsidRPr="00E800D0">
        <w:rPr>
          <w:sz w:val="24"/>
          <w:szCs w:val="24"/>
        </w:rPr>
        <w:t>sulfonmetabolit</w:t>
      </w:r>
      <w:proofErr w:type="spellEnd"/>
      <w:r w:rsidRPr="00E800D0">
        <w:rPr>
          <w:sz w:val="24"/>
          <w:szCs w:val="24"/>
        </w:rPr>
        <w:t xml:space="preserve">. </w:t>
      </w:r>
    </w:p>
    <w:p w14:paraId="32E3196E" w14:textId="77777777" w:rsidR="00E800D0" w:rsidRPr="00E800D0" w:rsidRDefault="00E800D0" w:rsidP="00E800D0">
      <w:pPr>
        <w:ind w:left="851"/>
        <w:rPr>
          <w:sz w:val="24"/>
          <w:szCs w:val="24"/>
        </w:rPr>
      </w:pPr>
    </w:p>
    <w:p w14:paraId="4D536867" w14:textId="77777777" w:rsidR="00E800D0" w:rsidRPr="00E800D0" w:rsidRDefault="00E800D0" w:rsidP="00E800D0">
      <w:pPr>
        <w:ind w:left="851"/>
        <w:rPr>
          <w:sz w:val="24"/>
          <w:szCs w:val="24"/>
        </w:rPr>
      </w:pPr>
      <w:r w:rsidRPr="00E800D0">
        <w:rPr>
          <w:sz w:val="24"/>
          <w:szCs w:val="24"/>
        </w:rPr>
        <w:t>Efter gentagen dosering af 40 mg, administreret som intravenøs injektion, er den maksimale gennemsnitskoncentration ca. 13.6 mikromol/l. Den maksimale gennemsnits-koncentration efter tilsvarende oral dosering er ca. 4.6 mikromol/l. En mindre stigning (på ca. 30 %) kan ses i den totale mængde efter intravenøs administration i forhold til oral administration. Der er en dosis-</w:t>
      </w:r>
      <w:proofErr w:type="spellStart"/>
      <w:r w:rsidRPr="00E800D0">
        <w:rPr>
          <w:sz w:val="24"/>
          <w:szCs w:val="24"/>
        </w:rPr>
        <w:t>liniær</w:t>
      </w:r>
      <w:proofErr w:type="spellEnd"/>
      <w:r w:rsidRPr="00E800D0">
        <w:rPr>
          <w:sz w:val="24"/>
          <w:szCs w:val="24"/>
        </w:rPr>
        <w:t xml:space="preserve"> øgning i total eksponering efter intravenøs administration af </w:t>
      </w:r>
      <w:proofErr w:type="spellStart"/>
      <w:r w:rsidRPr="00E800D0">
        <w:rPr>
          <w:sz w:val="24"/>
          <w:szCs w:val="24"/>
        </w:rPr>
        <w:t>esomeprazol</w:t>
      </w:r>
      <w:proofErr w:type="spellEnd"/>
      <w:r w:rsidRPr="00E800D0">
        <w:rPr>
          <w:sz w:val="24"/>
          <w:szCs w:val="24"/>
        </w:rPr>
        <w:t xml:space="preserve"> som en infusion over et tidsrum på 30 minutter (40 mg, 80 mg eller 120 mg) efterfulgt af en kontinuerlig infusion (4 mg/time eller 8 mg/time) over et tidsrum på 23,5 timer.</w:t>
      </w:r>
    </w:p>
    <w:p w14:paraId="13D91049" w14:textId="77777777" w:rsidR="00E800D0" w:rsidRPr="00E800D0" w:rsidRDefault="00E800D0" w:rsidP="00E800D0">
      <w:pPr>
        <w:ind w:left="851"/>
        <w:rPr>
          <w:sz w:val="24"/>
          <w:szCs w:val="24"/>
        </w:rPr>
      </w:pPr>
    </w:p>
    <w:p w14:paraId="09528455" w14:textId="77777777" w:rsidR="00E800D0" w:rsidRPr="00E800D0" w:rsidRDefault="00E800D0" w:rsidP="00E800D0">
      <w:pPr>
        <w:ind w:left="851"/>
        <w:rPr>
          <w:sz w:val="24"/>
          <w:szCs w:val="24"/>
          <w:u w:val="single"/>
        </w:rPr>
      </w:pPr>
      <w:r w:rsidRPr="00E800D0">
        <w:rPr>
          <w:sz w:val="24"/>
          <w:szCs w:val="24"/>
          <w:u w:val="single"/>
        </w:rPr>
        <w:t>Særlige patientgrupper</w:t>
      </w:r>
    </w:p>
    <w:p w14:paraId="3DAB731E" w14:textId="77777777" w:rsidR="00E800D0" w:rsidRPr="00E800D0" w:rsidRDefault="00E800D0" w:rsidP="00E800D0">
      <w:pPr>
        <w:ind w:left="851"/>
        <w:rPr>
          <w:sz w:val="24"/>
          <w:szCs w:val="24"/>
        </w:rPr>
      </w:pPr>
      <w:r w:rsidRPr="00E800D0">
        <w:rPr>
          <w:sz w:val="24"/>
          <w:szCs w:val="24"/>
        </w:rPr>
        <w:tab/>
      </w:r>
    </w:p>
    <w:p w14:paraId="756C0F40" w14:textId="77777777" w:rsidR="00E800D0" w:rsidRPr="00E800D0" w:rsidRDefault="00E800D0" w:rsidP="00E800D0">
      <w:pPr>
        <w:ind w:left="851"/>
        <w:rPr>
          <w:i/>
          <w:iCs/>
          <w:sz w:val="24"/>
          <w:szCs w:val="24"/>
        </w:rPr>
      </w:pPr>
      <w:r w:rsidRPr="00E800D0">
        <w:rPr>
          <w:i/>
          <w:iCs/>
          <w:sz w:val="24"/>
          <w:szCs w:val="24"/>
        </w:rPr>
        <w:t>Patienter med nedsat metabolisme</w:t>
      </w:r>
    </w:p>
    <w:p w14:paraId="4D9203C8" w14:textId="77777777" w:rsidR="00E800D0" w:rsidRPr="00E800D0" w:rsidRDefault="00E800D0" w:rsidP="00E800D0">
      <w:pPr>
        <w:ind w:left="851"/>
        <w:rPr>
          <w:sz w:val="24"/>
          <w:szCs w:val="24"/>
        </w:rPr>
      </w:pPr>
      <w:r w:rsidRPr="00E800D0">
        <w:rPr>
          <w:sz w:val="24"/>
          <w:szCs w:val="24"/>
        </w:rPr>
        <w:t xml:space="preserve">Ca. 2,9±1,5 % af befolkningen mangler et funktionelt CYP2C19 enzym; disse kaldes </w:t>
      </w:r>
    </w:p>
    <w:p w14:paraId="75A80178" w14:textId="77777777" w:rsidR="00E800D0" w:rsidRPr="00E800D0" w:rsidRDefault="00E800D0" w:rsidP="00E800D0">
      <w:pPr>
        <w:ind w:left="851"/>
        <w:rPr>
          <w:sz w:val="24"/>
          <w:szCs w:val="24"/>
        </w:rPr>
      </w:pPr>
      <w:r w:rsidRPr="00E800D0">
        <w:rPr>
          <w:sz w:val="24"/>
          <w:szCs w:val="24"/>
        </w:rPr>
        <w:t>"</w:t>
      </w:r>
      <w:proofErr w:type="spellStart"/>
      <w:r w:rsidRPr="00E800D0">
        <w:rPr>
          <w:sz w:val="24"/>
          <w:szCs w:val="24"/>
        </w:rPr>
        <w:t>poor</w:t>
      </w:r>
      <w:proofErr w:type="spellEnd"/>
      <w:r w:rsidRPr="00E800D0">
        <w:rPr>
          <w:sz w:val="24"/>
          <w:szCs w:val="24"/>
        </w:rPr>
        <w:t xml:space="preserve"> </w:t>
      </w:r>
      <w:proofErr w:type="spellStart"/>
      <w:r w:rsidRPr="00E800D0">
        <w:rPr>
          <w:sz w:val="24"/>
          <w:szCs w:val="24"/>
        </w:rPr>
        <w:t>metabolizers</w:t>
      </w:r>
      <w:proofErr w:type="spellEnd"/>
      <w:r w:rsidRPr="00E800D0">
        <w:rPr>
          <w:sz w:val="24"/>
          <w:szCs w:val="24"/>
        </w:rPr>
        <w:t xml:space="preserve">". Sandsynligvis er </w:t>
      </w:r>
      <w:proofErr w:type="spellStart"/>
      <w:r w:rsidRPr="00E800D0">
        <w:rPr>
          <w:sz w:val="24"/>
          <w:szCs w:val="24"/>
        </w:rPr>
        <w:t>esomeprazols</w:t>
      </w:r>
      <w:proofErr w:type="spellEnd"/>
      <w:r w:rsidRPr="00E800D0">
        <w:rPr>
          <w:sz w:val="24"/>
          <w:szCs w:val="24"/>
        </w:rPr>
        <w:t xml:space="preserve"> </w:t>
      </w:r>
      <w:proofErr w:type="spellStart"/>
      <w:r w:rsidRPr="00E800D0">
        <w:rPr>
          <w:sz w:val="24"/>
          <w:szCs w:val="24"/>
        </w:rPr>
        <w:t>metabolisering</w:t>
      </w:r>
      <w:proofErr w:type="spellEnd"/>
      <w:r w:rsidRPr="00E800D0">
        <w:rPr>
          <w:sz w:val="24"/>
          <w:szCs w:val="24"/>
        </w:rPr>
        <w:t xml:space="preserve"> hos disse personer hovedsageligt katalyseret af CYP3A4. Efter gentagen administration af 40 mg </w:t>
      </w:r>
      <w:proofErr w:type="spellStart"/>
      <w:r w:rsidRPr="00E800D0">
        <w:rPr>
          <w:sz w:val="24"/>
          <w:szCs w:val="24"/>
        </w:rPr>
        <w:t>esomeprazol</w:t>
      </w:r>
      <w:proofErr w:type="spellEnd"/>
      <w:r w:rsidRPr="00E800D0">
        <w:rPr>
          <w:sz w:val="24"/>
          <w:szCs w:val="24"/>
        </w:rPr>
        <w:t xml:space="preserve"> var middelarealet under </w:t>
      </w:r>
      <w:proofErr w:type="spellStart"/>
      <w:r w:rsidRPr="00E800D0">
        <w:rPr>
          <w:sz w:val="24"/>
          <w:szCs w:val="24"/>
        </w:rPr>
        <w:t>plasmakoncentrationtidskurven</w:t>
      </w:r>
      <w:proofErr w:type="spellEnd"/>
      <w:r w:rsidRPr="00E800D0">
        <w:rPr>
          <w:sz w:val="24"/>
          <w:szCs w:val="24"/>
        </w:rPr>
        <w:t xml:space="preserve"> ca. 100 % højere i "</w:t>
      </w:r>
      <w:proofErr w:type="spellStart"/>
      <w:r w:rsidRPr="00E800D0">
        <w:rPr>
          <w:sz w:val="24"/>
          <w:szCs w:val="24"/>
        </w:rPr>
        <w:t>poor</w:t>
      </w:r>
      <w:proofErr w:type="spellEnd"/>
      <w:r w:rsidRPr="00E800D0">
        <w:rPr>
          <w:sz w:val="24"/>
          <w:szCs w:val="24"/>
        </w:rPr>
        <w:t xml:space="preserve"> </w:t>
      </w:r>
      <w:proofErr w:type="spellStart"/>
      <w:r w:rsidRPr="00E800D0">
        <w:rPr>
          <w:sz w:val="24"/>
          <w:szCs w:val="24"/>
        </w:rPr>
        <w:t>metabolizers</w:t>
      </w:r>
      <w:proofErr w:type="spellEnd"/>
      <w:r w:rsidRPr="00E800D0">
        <w:rPr>
          <w:sz w:val="24"/>
          <w:szCs w:val="24"/>
        </w:rPr>
        <w:t>" end i individer med et funktionelt CYP2C19 enzym ("</w:t>
      </w:r>
      <w:proofErr w:type="spellStart"/>
      <w:r w:rsidRPr="00E800D0">
        <w:rPr>
          <w:sz w:val="24"/>
          <w:szCs w:val="24"/>
        </w:rPr>
        <w:t>extensive</w:t>
      </w:r>
      <w:proofErr w:type="spellEnd"/>
      <w:r w:rsidRPr="00E800D0">
        <w:rPr>
          <w:sz w:val="24"/>
          <w:szCs w:val="24"/>
        </w:rPr>
        <w:t xml:space="preserve"> </w:t>
      </w:r>
      <w:proofErr w:type="spellStart"/>
      <w:r w:rsidRPr="00E800D0">
        <w:rPr>
          <w:sz w:val="24"/>
          <w:szCs w:val="24"/>
        </w:rPr>
        <w:t>metabolizers</w:t>
      </w:r>
      <w:proofErr w:type="spellEnd"/>
      <w:r w:rsidRPr="00E800D0">
        <w:rPr>
          <w:sz w:val="24"/>
          <w:szCs w:val="24"/>
        </w:rPr>
        <w:t xml:space="preserve">"). Middel peak plasmakoncentrationerne var øget med ca. 60 %.  Lignende forskelle er set med intravenøs administration af </w:t>
      </w:r>
      <w:proofErr w:type="spellStart"/>
      <w:r w:rsidRPr="00E800D0">
        <w:rPr>
          <w:sz w:val="24"/>
          <w:szCs w:val="24"/>
        </w:rPr>
        <w:t>esomeprazol</w:t>
      </w:r>
      <w:proofErr w:type="spellEnd"/>
      <w:r w:rsidRPr="00E800D0">
        <w:rPr>
          <w:sz w:val="24"/>
          <w:szCs w:val="24"/>
        </w:rPr>
        <w:t xml:space="preserve">. Dette har ingen indvirkning på </w:t>
      </w:r>
      <w:proofErr w:type="spellStart"/>
      <w:r w:rsidRPr="00E800D0">
        <w:rPr>
          <w:sz w:val="24"/>
          <w:szCs w:val="24"/>
        </w:rPr>
        <w:t>esomeprazols</w:t>
      </w:r>
      <w:proofErr w:type="spellEnd"/>
      <w:r w:rsidRPr="00E800D0">
        <w:rPr>
          <w:sz w:val="24"/>
          <w:szCs w:val="24"/>
        </w:rPr>
        <w:t xml:space="preserve"> dosering.  </w:t>
      </w:r>
    </w:p>
    <w:p w14:paraId="494D556D" w14:textId="77777777" w:rsidR="00E800D0" w:rsidRPr="00E800D0" w:rsidRDefault="00E800D0" w:rsidP="00E800D0">
      <w:pPr>
        <w:ind w:left="851"/>
        <w:rPr>
          <w:sz w:val="24"/>
          <w:szCs w:val="24"/>
        </w:rPr>
      </w:pPr>
      <w:r w:rsidRPr="00E800D0">
        <w:rPr>
          <w:sz w:val="24"/>
          <w:szCs w:val="24"/>
        </w:rPr>
        <w:tab/>
      </w:r>
    </w:p>
    <w:p w14:paraId="36D301C0" w14:textId="77777777" w:rsidR="00E800D0" w:rsidRPr="00E800D0" w:rsidRDefault="00E800D0" w:rsidP="00E800D0">
      <w:pPr>
        <w:ind w:left="851"/>
        <w:rPr>
          <w:i/>
          <w:iCs/>
          <w:sz w:val="24"/>
          <w:szCs w:val="24"/>
        </w:rPr>
      </w:pPr>
      <w:r w:rsidRPr="00E800D0">
        <w:rPr>
          <w:i/>
          <w:iCs/>
          <w:sz w:val="24"/>
          <w:szCs w:val="24"/>
        </w:rPr>
        <w:t>Køn</w:t>
      </w:r>
    </w:p>
    <w:p w14:paraId="57F703B5" w14:textId="77777777" w:rsidR="00E800D0" w:rsidRPr="00E800D0" w:rsidRDefault="00E800D0" w:rsidP="00E800D0">
      <w:pPr>
        <w:ind w:left="851"/>
        <w:rPr>
          <w:sz w:val="24"/>
          <w:szCs w:val="24"/>
        </w:rPr>
      </w:pPr>
      <w:r w:rsidRPr="00E800D0">
        <w:rPr>
          <w:sz w:val="24"/>
          <w:szCs w:val="24"/>
        </w:rPr>
        <w:t xml:space="preserve">Efter enkeltdosering af 40 mg </w:t>
      </w:r>
      <w:proofErr w:type="spellStart"/>
      <w:r w:rsidRPr="00E800D0">
        <w:rPr>
          <w:sz w:val="24"/>
          <w:szCs w:val="24"/>
        </w:rPr>
        <w:t>esomeprazol</w:t>
      </w:r>
      <w:proofErr w:type="spellEnd"/>
      <w:r w:rsidRPr="00E800D0">
        <w:rPr>
          <w:sz w:val="24"/>
          <w:szCs w:val="24"/>
        </w:rPr>
        <w:t xml:space="preserve"> er middelarealet under plasmakoncentrations-tidskurven ca. 30 % højere hos kvinder end hos mænd. Der ses ingen kønsrelaterede forskelle efter gentagen dosering en gang daglig. Lignende forskelle er observeret med intravenøs administration af </w:t>
      </w:r>
      <w:proofErr w:type="spellStart"/>
      <w:r w:rsidRPr="00E800D0">
        <w:rPr>
          <w:sz w:val="24"/>
          <w:szCs w:val="24"/>
        </w:rPr>
        <w:t>esomeprazol</w:t>
      </w:r>
      <w:proofErr w:type="spellEnd"/>
      <w:r w:rsidRPr="00E800D0">
        <w:rPr>
          <w:sz w:val="24"/>
          <w:szCs w:val="24"/>
        </w:rPr>
        <w:t xml:space="preserve">. Disse resultater har ingen indvirkning på doseringen af </w:t>
      </w:r>
      <w:proofErr w:type="spellStart"/>
      <w:r w:rsidRPr="00E800D0">
        <w:rPr>
          <w:sz w:val="24"/>
          <w:szCs w:val="24"/>
        </w:rPr>
        <w:t>esomeprazol</w:t>
      </w:r>
      <w:proofErr w:type="spellEnd"/>
      <w:r w:rsidRPr="00E800D0">
        <w:rPr>
          <w:sz w:val="24"/>
          <w:szCs w:val="24"/>
        </w:rPr>
        <w:t>.</w:t>
      </w:r>
    </w:p>
    <w:p w14:paraId="3A56123E" w14:textId="77777777" w:rsidR="00E800D0" w:rsidRPr="00E800D0" w:rsidRDefault="00E800D0" w:rsidP="00E800D0">
      <w:pPr>
        <w:ind w:left="851"/>
        <w:rPr>
          <w:sz w:val="24"/>
          <w:szCs w:val="24"/>
        </w:rPr>
      </w:pPr>
    </w:p>
    <w:p w14:paraId="1306A60C" w14:textId="77777777" w:rsidR="00E800D0" w:rsidRPr="00E800D0" w:rsidRDefault="00E800D0" w:rsidP="00E800D0">
      <w:pPr>
        <w:ind w:left="851"/>
        <w:rPr>
          <w:i/>
          <w:iCs/>
          <w:sz w:val="24"/>
          <w:szCs w:val="24"/>
        </w:rPr>
      </w:pPr>
      <w:r w:rsidRPr="00E800D0">
        <w:rPr>
          <w:i/>
          <w:iCs/>
          <w:sz w:val="24"/>
          <w:szCs w:val="24"/>
        </w:rPr>
        <w:t>Nedsat leverfunktion</w:t>
      </w:r>
    </w:p>
    <w:p w14:paraId="011CE5D1" w14:textId="77777777" w:rsidR="00E800D0" w:rsidRPr="00E800D0" w:rsidRDefault="00E800D0" w:rsidP="00E800D0">
      <w:pPr>
        <w:ind w:left="851"/>
        <w:rPr>
          <w:sz w:val="24"/>
          <w:szCs w:val="24"/>
        </w:rPr>
      </w:pPr>
      <w:r w:rsidRPr="00E800D0">
        <w:rPr>
          <w:sz w:val="24"/>
          <w:szCs w:val="24"/>
        </w:rPr>
        <w:t xml:space="preserve">Hos patienter med mild til moderat leverinsufficiens kan </w:t>
      </w:r>
      <w:proofErr w:type="spellStart"/>
      <w:r w:rsidRPr="00E800D0">
        <w:rPr>
          <w:sz w:val="24"/>
          <w:szCs w:val="24"/>
        </w:rPr>
        <w:t>esomeprazols</w:t>
      </w:r>
      <w:proofErr w:type="spellEnd"/>
      <w:r w:rsidRPr="00E800D0">
        <w:rPr>
          <w:sz w:val="24"/>
          <w:szCs w:val="24"/>
        </w:rPr>
        <w:t xml:space="preserve"> metabolisme være nedsat. </w:t>
      </w:r>
      <w:proofErr w:type="spellStart"/>
      <w:r w:rsidRPr="00E800D0">
        <w:rPr>
          <w:sz w:val="24"/>
          <w:szCs w:val="24"/>
        </w:rPr>
        <w:t>Metaboliseringen</w:t>
      </w:r>
      <w:proofErr w:type="spellEnd"/>
      <w:r w:rsidRPr="00E800D0">
        <w:rPr>
          <w:sz w:val="24"/>
          <w:szCs w:val="24"/>
        </w:rPr>
        <w:t xml:space="preserve"> nedsættes hos patienter med alvorlig </w:t>
      </w:r>
      <w:proofErr w:type="spellStart"/>
      <w:r w:rsidRPr="00E800D0">
        <w:rPr>
          <w:sz w:val="24"/>
          <w:szCs w:val="24"/>
        </w:rPr>
        <w:t>leverinsufficens</w:t>
      </w:r>
      <w:proofErr w:type="spellEnd"/>
      <w:r w:rsidRPr="00E800D0">
        <w:rPr>
          <w:sz w:val="24"/>
          <w:szCs w:val="24"/>
        </w:rPr>
        <w:t xml:space="preserve">. Dette resulterer i en fordobling af arealet under plasmakoncentrationstidskurven for </w:t>
      </w:r>
      <w:proofErr w:type="spellStart"/>
      <w:r w:rsidRPr="00E800D0">
        <w:rPr>
          <w:sz w:val="24"/>
          <w:szCs w:val="24"/>
        </w:rPr>
        <w:t>esomeprazol</w:t>
      </w:r>
      <w:proofErr w:type="spellEnd"/>
      <w:r w:rsidRPr="00E800D0">
        <w:rPr>
          <w:sz w:val="24"/>
          <w:szCs w:val="24"/>
        </w:rPr>
        <w:t xml:space="preserve">. Hos GERD patienter med svær insufficiens bør en dosis på maksimalt 20 mg derfor ikke overskrides. For patienter med blødende ulcus samt svær leverinsufficiens, kan en </w:t>
      </w:r>
      <w:proofErr w:type="spellStart"/>
      <w:r w:rsidRPr="00E800D0">
        <w:rPr>
          <w:sz w:val="24"/>
          <w:szCs w:val="24"/>
        </w:rPr>
        <w:t>maximum</w:t>
      </w:r>
      <w:proofErr w:type="spellEnd"/>
      <w:r w:rsidRPr="00E800D0">
        <w:rPr>
          <w:sz w:val="24"/>
          <w:szCs w:val="24"/>
        </w:rPr>
        <w:t xml:space="preserve"> kontinuerlig intravenøs infusion af 4 mg/time i 71,5 timer være tilstrækkeligt, efter en initial </w:t>
      </w:r>
      <w:proofErr w:type="spellStart"/>
      <w:r w:rsidRPr="00E800D0">
        <w:rPr>
          <w:sz w:val="24"/>
          <w:szCs w:val="24"/>
        </w:rPr>
        <w:t>bolusdosis</w:t>
      </w:r>
      <w:proofErr w:type="spellEnd"/>
      <w:r w:rsidRPr="00E800D0">
        <w:rPr>
          <w:sz w:val="24"/>
          <w:szCs w:val="24"/>
        </w:rPr>
        <w:t xml:space="preserve"> på 80 mg. </w:t>
      </w:r>
      <w:proofErr w:type="spellStart"/>
      <w:r w:rsidRPr="00E800D0">
        <w:rPr>
          <w:sz w:val="24"/>
          <w:szCs w:val="24"/>
        </w:rPr>
        <w:t>Esomeprazol</w:t>
      </w:r>
      <w:proofErr w:type="spellEnd"/>
      <w:r w:rsidRPr="00E800D0">
        <w:rPr>
          <w:sz w:val="24"/>
          <w:szCs w:val="24"/>
        </w:rPr>
        <w:t xml:space="preserve"> eller dets hovedmetabolitter viser ingen tendens til akkumulation ved dosering en gang dagligt.</w:t>
      </w:r>
    </w:p>
    <w:p w14:paraId="4CA93308" w14:textId="77777777" w:rsidR="00E800D0" w:rsidRPr="00E800D0" w:rsidRDefault="00E800D0" w:rsidP="00E800D0">
      <w:pPr>
        <w:ind w:left="851"/>
        <w:rPr>
          <w:sz w:val="24"/>
          <w:szCs w:val="24"/>
        </w:rPr>
      </w:pPr>
    </w:p>
    <w:p w14:paraId="121784EA" w14:textId="77777777" w:rsidR="00E800D0" w:rsidRPr="00E800D0" w:rsidRDefault="00E800D0" w:rsidP="00E800D0">
      <w:pPr>
        <w:ind w:left="851"/>
        <w:rPr>
          <w:i/>
          <w:iCs/>
          <w:sz w:val="24"/>
          <w:szCs w:val="24"/>
        </w:rPr>
      </w:pPr>
      <w:r w:rsidRPr="00E800D0">
        <w:rPr>
          <w:i/>
          <w:iCs/>
          <w:sz w:val="24"/>
          <w:szCs w:val="24"/>
        </w:rPr>
        <w:t>Nedsat nyrefunktion</w:t>
      </w:r>
    </w:p>
    <w:p w14:paraId="2B52BD21" w14:textId="77777777" w:rsidR="00E800D0" w:rsidRPr="00E800D0" w:rsidRDefault="00E800D0" w:rsidP="00E800D0">
      <w:pPr>
        <w:ind w:left="851"/>
        <w:rPr>
          <w:sz w:val="24"/>
          <w:szCs w:val="24"/>
        </w:rPr>
      </w:pPr>
      <w:r w:rsidRPr="00E800D0">
        <w:rPr>
          <w:sz w:val="24"/>
          <w:szCs w:val="24"/>
        </w:rPr>
        <w:t>Der er ikke udført studier hos personer med nedsat nyrefunktion.</w:t>
      </w:r>
    </w:p>
    <w:p w14:paraId="202E76B4" w14:textId="77777777" w:rsidR="00E800D0" w:rsidRPr="00E800D0" w:rsidRDefault="00E800D0" w:rsidP="00E800D0">
      <w:pPr>
        <w:ind w:left="851"/>
        <w:rPr>
          <w:sz w:val="24"/>
          <w:szCs w:val="24"/>
        </w:rPr>
      </w:pPr>
      <w:r w:rsidRPr="00E800D0">
        <w:rPr>
          <w:sz w:val="24"/>
          <w:szCs w:val="24"/>
        </w:rPr>
        <w:t xml:space="preserve">Da </w:t>
      </w:r>
      <w:proofErr w:type="spellStart"/>
      <w:r w:rsidRPr="00E800D0">
        <w:rPr>
          <w:sz w:val="24"/>
          <w:szCs w:val="24"/>
        </w:rPr>
        <w:t>esomeprazols</w:t>
      </w:r>
      <w:proofErr w:type="spellEnd"/>
      <w:r w:rsidRPr="00E800D0">
        <w:rPr>
          <w:sz w:val="24"/>
          <w:szCs w:val="24"/>
        </w:rPr>
        <w:t xml:space="preserve"> metabolitter, men ikke modersubstansen udskilles gennem nyrerne, forventes det ikke, at </w:t>
      </w:r>
      <w:proofErr w:type="spellStart"/>
      <w:r w:rsidRPr="00E800D0">
        <w:rPr>
          <w:sz w:val="24"/>
          <w:szCs w:val="24"/>
        </w:rPr>
        <w:t>metaboliseringen</w:t>
      </w:r>
      <w:proofErr w:type="spellEnd"/>
      <w:r w:rsidRPr="00E800D0">
        <w:rPr>
          <w:sz w:val="24"/>
          <w:szCs w:val="24"/>
        </w:rPr>
        <w:t xml:space="preserve"> forandres hos patienter med nedsat nyrefunktion.</w:t>
      </w:r>
    </w:p>
    <w:p w14:paraId="318C9775" w14:textId="77777777" w:rsidR="00E800D0" w:rsidRPr="00E800D0" w:rsidRDefault="00E800D0" w:rsidP="00E800D0">
      <w:pPr>
        <w:ind w:left="851"/>
        <w:rPr>
          <w:sz w:val="24"/>
          <w:szCs w:val="24"/>
        </w:rPr>
      </w:pPr>
    </w:p>
    <w:p w14:paraId="799B2297" w14:textId="77777777" w:rsidR="00E800D0" w:rsidRPr="00E800D0" w:rsidRDefault="00E800D0" w:rsidP="00E800D0">
      <w:pPr>
        <w:ind w:left="851"/>
        <w:rPr>
          <w:i/>
          <w:iCs/>
          <w:sz w:val="24"/>
          <w:szCs w:val="24"/>
        </w:rPr>
      </w:pPr>
      <w:r w:rsidRPr="00E800D0">
        <w:rPr>
          <w:i/>
          <w:iCs/>
          <w:sz w:val="24"/>
          <w:szCs w:val="24"/>
        </w:rPr>
        <w:t>Ældre</w:t>
      </w:r>
    </w:p>
    <w:p w14:paraId="4F8AF8CF" w14:textId="77777777" w:rsidR="00E800D0" w:rsidRPr="00E800D0" w:rsidRDefault="00E800D0" w:rsidP="00E800D0">
      <w:pPr>
        <w:ind w:left="851"/>
        <w:rPr>
          <w:sz w:val="24"/>
          <w:szCs w:val="24"/>
        </w:rPr>
      </w:pPr>
      <w:r w:rsidRPr="00E800D0">
        <w:rPr>
          <w:sz w:val="24"/>
          <w:szCs w:val="24"/>
        </w:rPr>
        <w:t xml:space="preserve">Metabolismen af </w:t>
      </w:r>
      <w:proofErr w:type="spellStart"/>
      <w:r w:rsidRPr="00E800D0">
        <w:rPr>
          <w:sz w:val="24"/>
          <w:szCs w:val="24"/>
        </w:rPr>
        <w:t>esomeprazol</w:t>
      </w:r>
      <w:proofErr w:type="spellEnd"/>
      <w:r w:rsidRPr="00E800D0">
        <w:rPr>
          <w:sz w:val="24"/>
          <w:szCs w:val="24"/>
        </w:rPr>
        <w:t xml:space="preserve"> ændres ikke væsentligt hos ældre personer (71-80 år).</w:t>
      </w:r>
    </w:p>
    <w:p w14:paraId="21780414" w14:textId="77777777" w:rsidR="00E800D0" w:rsidRPr="00E800D0" w:rsidRDefault="00E800D0" w:rsidP="00E800D0">
      <w:pPr>
        <w:ind w:left="851"/>
        <w:rPr>
          <w:sz w:val="24"/>
          <w:szCs w:val="24"/>
        </w:rPr>
      </w:pPr>
    </w:p>
    <w:p w14:paraId="144135CE" w14:textId="77777777" w:rsidR="00E800D0" w:rsidRPr="00E800D0" w:rsidRDefault="00E800D0" w:rsidP="00E800D0">
      <w:pPr>
        <w:ind w:left="851"/>
        <w:rPr>
          <w:bCs/>
          <w:i/>
          <w:iCs/>
          <w:sz w:val="24"/>
          <w:szCs w:val="24"/>
        </w:rPr>
      </w:pPr>
      <w:r w:rsidRPr="00E800D0">
        <w:rPr>
          <w:bCs/>
          <w:i/>
          <w:iCs/>
          <w:sz w:val="24"/>
          <w:szCs w:val="24"/>
        </w:rPr>
        <w:t>Pædiatrisk population</w:t>
      </w:r>
    </w:p>
    <w:p w14:paraId="24B9DEB4" w14:textId="77777777" w:rsidR="00E800D0" w:rsidRPr="00E800D0" w:rsidRDefault="00E800D0" w:rsidP="00E800D0">
      <w:pPr>
        <w:ind w:left="851"/>
        <w:rPr>
          <w:sz w:val="24"/>
          <w:szCs w:val="24"/>
        </w:rPr>
      </w:pPr>
      <w:r w:rsidRPr="00E800D0">
        <w:rPr>
          <w:sz w:val="24"/>
          <w:szCs w:val="24"/>
        </w:rPr>
        <w:t xml:space="preserve">I et randomiseret, åbent, multinationalt forsøg med gentagne doser blev </w:t>
      </w:r>
      <w:proofErr w:type="spellStart"/>
      <w:r w:rsidRPr="00E800D0">
        <w:rPr>
          <w:sz w:val="24"/>
          <w:szCs w:val="24"/>
        </w:rPr>
        <w:t>esomeprazol</w:t>
      </w:r>
      <w:proofErr w:type="spellEnd"/>
      <w:r w:rsidRPr="00E800D0">
        <w:rPr>
          <w:sz w:val="24"/>
          <w:szCs w:val="24"/>
        </w:rPr>
        <w:t xml:space="preserve"> givet som en 3-minutters injektion en gang daglig over 4 dage. Forsøget omfattede i alt 59 </w:t>
      </w:r>
      <w:r w:rsidRPr="00E800D0">
        <w:rPr>
          <w:sz w:val="24"/>
          <w:szCs w:val="24"/>
        </w:rPr>
        <w:lastRenderedPageBreak/>
        <w:t xml:space="preserve">pædiatriske patienter fra 0 til 18 år, hvoraf 50 patienter (7 børn i alderen 1 til 5 år) gennemførte forsøget og blev evalueret for </w:t>
      </w:r>
      <w:proofErr w:type="spellStart"/>
      <w:r w:rsidRPr="00E800D0">
        <w:rPr>
          <w:sz w:val="24"/>
          <w:szCs w:val="24"/>
        </w:rPr>
        <w:t>esomeprazols</w:t>
      </w:r>
      <w:proofErr w:type="spellEnd"/>
      <w:r w:rsidRPr="00E800D0">
        <w:rPr>
          <w:sz w:val="24"/>
          <w:szCs w:val="24"/>
        </w:rPr>
        <w:t xml:space="preserve"> </w:t>
      </w:r>
      <w:proofErr w:type="spellStart"/>
      <w:r w:rsidRPr="00E800D0">
        <w:rPr>
          <w:sz w:val="24"/>
          <w:szCs w:val="24"/>
        </w:rPr>
        <w:t>farmokokinetik</w:t>
      </w:r>
      <w:proofErr w:type="spellEnd"/>
      <w:r w:rsidRPr="00E800D0">
        <w:rPr>
          <w:sz w:val="24"/>
          <w:szCs w:val="24"/>
        </w:rPr>
        <w:t xml:space="preserve">.  </w:t>
      </w:r>
    </w:p>
    <w:p w14:paraId="09A16215" w14:textId="77777777" w:rsidR="00E800D0" w:rsidRPr="00E800D0" w:rsidRDefault="00E800D0" w:rsidP="00E800D0">
      <w:pPr>
        <w:ind w:left="851"/>
        <w:rPr>
          <w:sz w:val="24"/>
          <w:szCs w:val="24"/>
        </w:rPr>
      </w:pPr>
    </w:p>
    <w:p w14:paraId="0F3C6612" w14:textId="77777777" w:rsidR="00E800D0" w:rsidRPr="00E800D0" w:rsidRDefault="00E800D0" w:rsidP="00E800D0">
      <w:pPr>
        <w:ind w:left="851"/>
        <w:rPr>
          <w:sz w:val="24"/>
          <w:szCs w:val="24"/>
        </w:rPr>
      </w:pPr>
      <w:r w:rsidRPr="00E800D0">
        <w:rPr>
          <w:sz w:val="24"/>
          <w:szCs w:val="24"/>
        </w:rPr>
        <w:t xml:space="preserve">Tabellen nedenfor beskriver den systemiske eksponering over for </w:t>
      </w:r>
      <w:proofErr w:type="spellStart"/>
      <w:r w:rsidRPr="00E800D0">
        <w:rPr>
          <w:sz w:val="24"/>
          <w:szCs w:val="24"/>
        </w:rPr>
        <w:t>esomeprazol</w:t>
      </w:r>
      <w:proofErr w:type="spellEnd"/>
      <w:r w:rsidRPr="00E800D0">
        <w:rPr>
          <w:sz w:val="24"/>
          <w:szCs w:val="24"/>
        </w:rPr>
        <w:t xml:space="preserve"> efter den intravenøse administration, der blev givet som en 3-minutters injektion til pædiatriske patienter og raske voksne forsøgspersoner. Værdierne i tabellen er geometriske gennemsnit (område). Dosen på 20 mg til voksne blev givet som en 30-minutters infusion. C</w:t>
      </w:r>
      <w:r w:rsidRPr="00E800D0">
        <w:rPr>
          <w:sz w:val="24"/>
          <w:szCs w:val="24"/>
          <w:vertAlign w:val="subscript"/>
        </w:rPr>
        <w:t xml:space="preserve">ss, max </w:t>
      </w:r>
      <w:r w:rsidRPr="00E800D0">
        <w:rPr>
          <w:sz w:val="24"/>
          <w:szCs w:val="24"/>
        </w:rPr>
        <w:t>blev målt 5 minutter efter dosering i alle pædiatriske grupper og 7 minutter efter dosering hos voksne på 40 mg-dosen og efter standsning af infusionen hos voksne på 20 mg-dosen.</w:t>
      </w:r>
    </w:p>
    <w:p w14:paraId="618EE319" w14:textId="77777777" w:rsidR="00E800D0" w:rsidRDefault="00E800D0" w:rsidP="00E800D0">
      <w:pPr>
        <w:ind w:left="851" w:hanging="851"/>
        <w:rPr>
          <w:sz w:val="24"/>
          <w:szCs w:val="24"/>
        </w:rPr>
      </w:pPr>
    </w:p>
    <w:tbl>
      <w:tblPr>
        <w:tblW w:w="9716" w:type="dxa"/>
        <w:tblInd w:w="-10" w:type="dxa"/>
        <w:tblCellMar>
          <w:left w:w="0" w:type="dxa"/>
          <w:right w:w="0" w:type="dxa"/>
        </w:tblCellMar>
        <w:tblLook w:val="04A0" w:firstRow="1" w:lastRow="0" w:firstColumn="1" w:lastColumn="0" w:noHBand="0" w:noVBand="1"/>
      </w:tblPr>
      <w:tblGrid>
        <w:gridCol w:w="2268"/>
        <w:gridCol w:w="2552"/>
        <w:gridCol w:w="2410"/>
        <w:gridCol w:w="2486"/>
      </w:tblGrid>
      <w:tr w:rsidR="00E800D0" w14:paraId="1D436B01" w14:textId="77777777" w:rsidTr="00E800D0">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AB0FD9" w14:textId="77777777" w:rsidR="00E800D0" w:rsidRDefault="00E800D0">
            <w:pPr>
              <w:ind w:left="97"/>
              <w:rPr>
                <w:b/>
                <w:bCs/>
                <w:sz w:val="22"/>
                <w:szCs w:val="22"/>
                <w:lang w:val="en-GB"/>
              </w:rPr>
            </w:pPr>
            <w:proofErr w:type="spellStart"/>
            <w:r>
              <w:rPr>
                <w:b/>
                <w:bCs/>
                <w:szCs w:val="22"/>
                <w:lang w:val="en-GB"/>
              </w:rPr>
              <w:t>Aldersgruppe</w:t>
            </w:r>
            <w:proofErr w:type="spellEnd"/>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A8BC289" w14:textId="77777777" w:rsidR="00E800D0" w:rsidRDefault="00E800D0">
            <w:pPr>
              <w:ind w:left="97"/>
              <w:rPr>
                <w:b/>
                <w:bCs/>
                <w:szCs w:val="22"/>
                <w:lang w:val="en-GB"/>
              </w:rPr>
            </w:pPr>
            <w:proofErr w:type="spellStart"/>
            <w:r>
              <w:rPr>
                <w:b/>
                <w:bCs/>
                <w:szCs w:val="22"/>
                <w:lang w:val="en-GB"/>
              </w:rPr>
              <w:t>Dosisgruppe</w:t>
            </w:r>
            <w:proofErr w:type="spellEnd"/>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EB2DF48" w14:textId="77777777" w:rsidR="00E800D0" w:rsidRDefault="00E800D0">
            <w:pPr>
              <w:ind w:left="97"/>
              <w:rPr>
                <w:b/>
                <w:bCs/>
                <w:szCs w:val="22"/>
                <w:lang w:val="en-GB"/>
              </w:rPr>
            </w:pPr>
            <w:r>
              <w:rPr>
                <w:b/>
                <w:bCs/>
                <w:szCs w:val="22"/>
                <w:lang w:val="en-GB"/>
              </w:rPr>
              <w:t>AUC (µmol*t/l)</w:t>
            </w:r>
          </w:p>
        </w:tc>
        <w:tc>
          <w:tcPr>
            <w:tcW w:w="24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F2C9B01" w14:textId="77777777" w:rsidR="00E800D0" w:rsidRDefault="00E800D0">
            <w:pPr>
              <w:ind w:left="97"/>
              <w:rPr>
                <w:b/>
                <w:bCs/>
                <w:szCs w:val="22"/>
                <w:lang w:val="en-GB"/>
              </w:rPr>
            </w:pPr>
            <w:proofErr w:type="spellStart"/>
            <w:proofErr w:type="gramStart"/>
            <w:r>
              <w:rPr>
                <w:b/>
                <w:bCs/>
                <w:szCs w:val="22"/>
                <w:lang w:val="en-GB"/>
              </w:rPr>
              <w:t>C</w:t>
            </w:r>
            <w:r>
              <w:rPr>
                <w:b/>
                <w:bCs/>
                <w:szCs w:val="22"/>
                <w:vertAlign w:val="subscript"/>
                <w:lang w:val="en-GB"/>
              </w:rPr>
              <w:t>ss,max</w:t>
            </w:r>
            <w:proofErr w:type="spellEnd"/>
            <w:proofErr w:type="gramEnd"/>
            <w:r>
              <w:rPr>
                <w:b/>
                <w:bCs/>
                <w:szCs w:val="22"/>
                <w:lang w:val="en-GB"/>
              </w:rPr>
              <w:t xml:space="preserve"> (µmol/l)</w:t>
            </w:r>
          </w:p>
        </w:tc>
      </w:tr>
      <w:tr w:rsidR="00E800D0" w14:paraId="65A5FD0B" w14:textId="77777777" w:rsidTr="00E800D0">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6CBFBC" w14:textId="77777777" w:rsidR="00E800D0" w:rsidRDefault="00E800D0">
            <w:pPr>
              <w:ind w:left="97"/>
              <w:rPr>
                <w:szCs w:val="22"/>
                <w:lang w:val="en-GB"/>
              </w:rPr>
            </w:pPr>
            <w:r>
              <w:rPr>
                <w:szCs w:val="22"/>
                <w:lang w:val="en-GB"/>
              </w:rPr>
              <w:t>0-1 </w:t>
            </w:r>
            <w:proofErr w:type="spellStart"/>
            <w:r>
              <w:rPr>
                <w:szCs w:val="22"/>
                <w:lang w:val="en-GB"/>
              </w:rPr>
              <w:t>måned</w:t>
            </w:r>
            <w:proofErr w:type="spellEnd"/>
            <w:r>
              <w:rPr>
                <w:szCs w:val="22"/>
                <w:lang w:val="en-GB"/>
              </w:rPr>
              <w:t>*</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6D0455E0" w14:textId="77777777" w:rsidR="00E800D0" w:rsidRDefault="00E800D0">
            <w:pPr>
              <w:ind w:left="97"/>
              <w:rPr>
                <w:szCs w:val="22"/>
                <w:lang w:val="en-GB"/>
              </w:rPr>
            </w:pPr>
            <w:r>
              <w:rPr>
                <w:szCs w:val="22"/>
                <w:lang w:val="en-GB"/>
              </w:rPr>
              <w:t>0,5 mg/kg (n=6)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A5F769F" w14:textId="77777777" w:rsidR="00E800D0" w:rsidRDefault="00E800D0">
            <w:pPr>
              <w:ind w:left="97"/>
              <w:rPr>
                <w:szCs w:val="22"/>
                <w:lang w:val="en-GB"/>
              </w:rPr>
            </w:pPr>
            <w:r>
              <w:rPr>
                <w:szCs w:val="22"/>
                <w:lang w:val="en-GB"/>
              </w:rPr>
              <w:t>7,5 (4,5-20,5)</w:t>
            </w:r>
          </w:p>
        </w:tc>
        <w:tc>
          <w:tcPr>
            <w:tcW w:w="2486" w:type="dxa"/>
            <w:tcBorders>
              <w:top w:val="nil"/>
              <w:left w:val="nil"/>
              <w:bottom w:val="single" w:sz="8" w:space="0" w:color="000000"/>
              <w:right w:val="single" w:sz="8" w:space="0" w:color="000000"/>
            </w:tcBorders>
            <w:tcMar>
              <w:top w:w="0" w:type="dxa"/>
              <w:left w:w="108" w:type="dxa"/>
              <w:bottom w:w="0" w:type="dxa"/>
              <w:right w:w="108" w:type="dxa"/>
            </w:tcMar>
            <w:hideMark/>
          </w:tcPr>
          <w:p w14:paraId="1B56A288" w14:textId="77777777" w:rsidR="00E800D0" w:rsidRDefault="00E800D0">
            <w:pPr>
              <w:ind w:left="97"/>
              <w:rPr>
                <w:szCs w:val="22"/>
                <w:lang w:val="en-GB"/>
              </w:rPr>
            </w:pPr>
            <w:r>
              <w:rPr>
                <w:szCs w:val="22"/>
                <w:lang w:val="en-GB"/>
              </w:rPr>
              <w:t>3,7 (2,7-5,8)</w:t>
            </w:r>
          </w:p>
        </w:tc>
      </w:tr>
      <w:tr w:rsidR="00E800D0" w14:paraId="0683798D" w14:textId="77777777" w:rsidTr="00E800D0">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E96D55" w14:textId="77777777" w:rsidR="00E800D0" w:rsidRDefault="00E800D0">
            <w:pPr>
              <w:ind w:left="97"/>
              <w:rPr>
                <w:szCs w:val="22"/>
                <w:lang w:val="en-GB"/>
              </w:rPr>
            </w:pPr>
            <w:r>
              <w:rPr>
                <w:szCs w:val="22"/>
                <w:lang w:val="en-GB"/>
              </w:rPr>
              <w:t>1-11 </w:t>
            </w:r>
            <w:proofErr w:type="spellStart"/>
            <w:r>
              <w:rPr>
                <w:szCs w:val="22"/>
                <w:lang w:val="en-GB"/>
              </w:rPr>
              <w:t>måneder</w:t>
            </w:r>
            <w:proofErr w:type="spellEnd"/>
            <w:r>
              <w:rPr>
                <w:szCs w:val="22"/>
                <w:lang w:val="en-GB"/>
              </w:rPr>
              <w:t>*</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351423A8" w14:textId="77777777" w:rsidR="00E800D0" w:rsidRDefault="00E800D0">
            <w:pPr>
              <w:ind w:left="97"/>
              <w:rPr>
                <w:szCs w:val="22"/>
                <w:lang w:val="en-GB"/>
              </w:rPr>
            </w:pPr>
            <w:r>
              <w:rPr>
                <w:szCs w:val="22"/>
                <w:lang w:val="en-GB"/>
              </w:rPr>
              <w:t>1,0 mg/kg (n=6)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60A8AC56" w14:textId="77777777" w:rsidR="00E800D0" w:rsidRDefault="00E800D0">
            <w:pPr>
              <w:ind w:left="97"/>
              <w:rPr>
                <w:szCs w:val="22"/>
                <w:lang w:val="en-GB"/>
              </w:rPr>
            </w:pPr>
            <w:r>
              <w:rPr>
                <w:szCs w:val="22"/>
                <w:lang w:val="en-GB"/>
              </w:rPr>
              <w:t>10,5 (4,5-22,2)</w:t>
            </w:r>
          </w:p>
        </w:tc>
        <w:tc>
          <w:tcPr>
            <w:tcW w:w="2486" w:type="dxa"/>
            <w:tcBorders>
              <w:top w:val="nil"/>
              <w:left w:val="nil"/>
              <w:bottom w:val="single" w:sz="8" w:space="0" w:color="000000"/>
              <w:right w:val="single" w:sz="8" w:space="0" w:color="000000"/>
            </w:tcBorders>
            <w:tcMar>
              <w:top w:w="0" w:type="dxa"/>
              <w:left w:w="108" w:type="dxa"/>
              <w:bottom w:w="0" w:type="dxa"/>
              <w:right w:w="108" w:type="dxa"/>
            </w:tcMar>
            <w:hideMark/>
          </w:tcPr>
          <w:p w14:paraId="41E843F2" w14:textId="77777777" w:rsidR="00E800D0" w:rsidRDefault="00E800D0">
            <w:pPr>
              <w:ind w:left="97"/>
              <w:rPr>
                <w:szCs w:val="22"/>
                <w:lang w:val="en-GB"/>
              </w:rPr>
            </w:pPr>
            <w:r>
              <w:rPr>
                <w:szCs w:val="22"/>
                <w:lang w:val="en-GB"/>
              </w:rPr>
              <w:t>8,7 (4,5-14,0)</w:t>
            </w:r>
          </w:p>
        </w:tc>
      </w:tr>
      <w:tr w:rsidR="00E800D0" w14:paraId="52D4CB74" w14:textId="77777777" w:rsidTr="00E800D0">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DAD981" w14:textId="77777777" w:rsidR="00E800D0" w:rsidRDefault="00E800D0">
            <w:pPr>
              <w:ind w:left="97"/>
              <w:rPr>
                <w:szCs w:val="22"/>
                <w:lang w:val="en-GB"/>
              </w:rPr>
            </w:pPr>
            <w:r>
              <w:rPr>
                <w:szCs w:val="22"/>
                <w:lang w:val="en-GB"/>
              </w:rPr>
              <w:t>1-5 </w:t>
            </w:r>
            <w:proofErr w:type="spellStart"/>
            <w:r>
              <w:rPr>
                <w:szCs w:val="22"/>
                <w:lang w:val="en-GB"/>
              </w:rPr>
              <w:t>år</w:t>
            </w:r>
            <w:proofErr w:type="spellEnd"/>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72D72E69" w14:textId="77777777" w:rsidR="00E800D0" w:rsidRDefault="00E800D0">
            <w:pPr>
              <w:ind w:left="97"/>
              <w:rPr>
                <w:szCs w:val="22"/>
                <w:lang w:val="en-GB"/>
              </w:rPr>
            </w:pPr>
            <w:r>
              <w:rPr>
                <w:szCs w:val="22"/>
                <w:lang w:val="en-GB"/>
              </w:rPr>
              <w:t>10 mg (n=7)</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441C586C" w14:textId="77777777" w:rsidR="00E800D0" w:rsidRDefault="00E800D0">
            <w:pPr>
              <w:ind w:left="97"/>
              <w:rPr>
                <w:szCs w:val="22"/>
                <w:lang w:val="en-GB"/>
              </w:rPr>
            </w:pPr>
            <w:r>
              <w:rPr>
                <w:szCs w:val="22"/>
                <w:lang w:val="en-GB"/>
              </w:rPr>
              <w:t>7,9 (2,9-16,6)</w:t>
            </w:r>
          </w:p>
        </w:tc>
        <w:tc>
          <w:tcPr>
            <w:tcW w:w="2486" w:type="dxa"/>
            <w:tcBorders>
              <w:top w:val="nil"/>
              <w:left w:val="nil"/>
              <w:bottom w:val="single" w:sz="8" w:space="0" w:color="000000"/>
              <w:right w:val="single" w:sz="8" w:space="0" w:color="000000"/>
            </w:tcBorders>
            <w:tcMar>
              <w:top w:w="0" w:type="dxa"/>
              <w:left w:w="108" w:type="dxa"/>
              <w:bottom w:w="0" w:type="dxa"/>
              <w:right w:w="108" w:type="dxa"/>
            </w:tcMar>
            <w:hideMark/>
          </w:tcPr>
          <w:p w14:paraId="0E78FED4" w14:textId="77777777" w:rsidR="00E800D0" w:rsidRDefault="00E800D0">
            <w:pPr>
              <w:ind w:left="97"/>
              <w:rPr>
                <w:szCs w:val="22"/>
                <w:lang w:val="en-GB"/>
              </w:rPr>
            </w:pPr>
            <w:r>
              <w:rPr>
                <w:szCs w:val="22"/>
                <w:lang w:val="en-GB"/>
              </w:rPr>
              <w:t>9,4 (4,4-17,2)</w:t>
            </w:r>
          </w:p>
        </w:tc>
      </w:tr>
      <w:tr w:rsidR="00E800D0" w14:paraId="2CF40E78" w14:textId="77777777" w:rsidTr="00E800D0">
        <w:trPr>
          <w:cantSplit/>
        </w:trPr>
        <w:tc>
          <w:tcPr>
            <w:tcW w:w="22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8E0312" w14:textId="77777777" w:rsidR="00E800D0" w:rsidRDefault="00E800D0">
            <w:pPr>
              <w:ind w:left="97"/>
              <w:rPr>
                <w:szCs w:val="22"/>
                <w:lang w:val="en-GB"/>
              </w:rPr>
            </w:pPr>
            <w:r>
              <w:rPr>
                <w:szCs w:val="22"/>
                <w:lang w:val="en-GB"/>
              </w:rPr>
              <w:t>6-11 </w:t>
            </w:r>
            <w:proofErr w:type="spellStart"/>
            <w:r>
              <w:rPr>
                <w:szCs w:val="22"/>
                <w:lang w:val="en-GB"/>
              </w:rPr>
              <w:t>år</w:t>
            </w:r>
            <w:proofErr w:type="spellEnd"/>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0B18B2E4" w14:textId="77777777" w:rsidR="00E800D0" w:rsidRDefault="00E800D0">
            <w:pPr>
              <w:ind w:left="97"/>
              <w:rPr>
                <w:szCs w:val="22"/>
                <w:lang w:val="en-GB"/>
              </w:rPr>
            </w:pPr>
            <w:r>
              <w:rPr>
                <w:szCs w:val="22"/>
                <w:lang w:val="en-GB"/>
              </w:rPr>
              <w:t>10 mg (n=8)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4D939724" w14:textId="77777777" w:rsidR="00E800D0" w:rsidRDefault="00E800D0">
            <w:pPr>
              <w:ind w:left="97"/>
              <w:rPr>
                <w:szCs w:val="22"/>
                <w:lang w:val="en-GB"/>
              </w:rPr>
            </w:pPr>
            <w:r>
              <w:rPr>
                <w:szCs w:val="22"/>
                <w:lang w:val="en-GB"/>
              </w:rPr>
              <w:t>6,9 (3,5-10,9)</w:t>
            </w:r>
          </w:p>
        </w:tc>
        <w:tc>
          <w:tcPr>
            <w:tcW w:w="2486" w:type="dxa"/>
            <w:tcBorders>
              <w:top w:val="nil"/>
              <w:left w:val="nil"/>
              <w:bottom w:val="single" w:sz="8" w:space="0" w:color="000000"/>
              <w:right w:val="single" w:sz="8" w:space="0" w:color="000000"/>
            </w:tcBorders>
            <w:tcMar>
              <w:top w:w="0" w:type="dxa"/>
              <w:left w:w="108" w:type="dxa"/>
              <w:bottom w:w="0" w:type="dxa"/>
              <w:right w:w="108" w:type="dxa"/>
            </w:tcMar>
            <w:hideMark/>
          </w:tcPr>
          <w:p w14:paraId="321A1067" w14:textId="77777777" w:rsidR="00E800D0" w:rsidRDefault="00E800D0">
            <w:pPr>
              <w:ind w:left="97"/>
              <w:rPr>
                <w:szCs w:val="22"/>
                <w:lang w:val="en-GB"/>
              </w:rPr>
            </w:pPr>
            <w:r>
              <w:rPr>
                <w:szCs w:val="22"/>
                <w:lang w:val="en-GB"/>
              </w:rPr>
              <w:t>5,6 (3,1-13,2)</w:t>
            </w:r>
          </w:p>
        </w:tc>
      </w:tr>
      <w:tr w:rsidR="00E800D0" w14:paraId="3DE123FD" w14:textId="77777777" w:rsidTr="00E800D0">
        <w:trPr>
          <w:cantSplit/>
        </w:trPr>
        <w:tc>
          <w:tcPr>
            <w:tcW w:w="0" w:type="auto"/>
            <w:vMerge/>
            <w:tcBorders>
              <w:top w:val="nil"/>
              <w:left w:val="single" w:sz="8" w:space="0" w:color="000000"/>
              <w:bottom w:val="single" w:sz="8" w:space="0" w:color="000000"/>
              <w:right w:val="single" w:sz="8" w:space="0" w:color="000000"/>
            </w:tcBorders>
            <w:vAlign w:val="center"/>
            <w:hideMark/>
          </w:tcPr>
          <w:p w14:paraId="29DBDD46" w14:textId="77777777" w:rsidR="00E800D0" w:rsidRDefault="00E800D0">
            <w:pPr>
              <w:rPr>
                <w:sz w:val="22"/>
                <w:szCs w:val="22"/>
                <w:lang w:val="en-GB"/>
              </w:rPr>
            </w:pP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72C48B70" w14:textId="77777777" w:rsidR="00E800D0" w:rsidRDefault="00E800D0">
            <w:pPr>
              <w:ind w:left="97"/>
              <w:rPr>
                <w:szCs w:val="22"/>
                <w:lang w:val="en-GB"/>
              </w:rPr>
            </w:pPr>
            <w:r>
              <w:rPr>
                <w:szCs w:val="22"/>
                <w:lang w:val="en-GB"/>
              </w:rPr>
              <w:t>20 mg (n=8)</w:t>
            </w:r>
          </w:p>
          <w:p w14:paraId="79262CB0" w14:textId="77777777" w:rsidR="00E800D0" w:rsidRDefault="00E800D0">
            <w:pPr>
              <w:ind w:left="97"/>
              <w:rPr>
                <w:szCs w:val="22"/>
                <w:lang w:val="en-GB"/>
              </w:rPr>
            </w:pPr>
            <w:r>
              <w:rPr>
                <w:szCs w:val="22"/>
                <w:lang w:val="en-GB"/>
              </w:rPr>
              <w:t>20 mg (n=</w:t>
            </w:r>
            <w:proofErr w:type="gramStart"/>
            <w:r>
              <w:rPr>
                <w:szCs w:val="22"/>
                <w:lang w:val="en-GB"/>
              </w:rPr>
              <w:t>6)*</w:t>
            </w:r>
            <w:proofErr w:type="gramEnd"/>
            <w:r>
              <w:rPr>
                <w:szCs w:val="22"/>
                <w:lang w:val="en-GB"/>
              </w:rPr>
              <w:t>*</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488D5672" w14:textId="77777777" w:rsidR="00E800D0" w:rsidRDefault="00E800D0">
            <w:pPr>
              <w:ind w:left="97"/>
              <w:rPr>
                <w:szCs w:val="22"/>
                <w:lang w:val="en-GB"/>
              </w:rPr>
            </w:pPr>
            <w:r>
              <w:rPr>
                <w:szCs w:val="22"/>
                <w:lang w:val="en-GB"/>
              </w:rPr>
              <w:t>14,4 (7,2-42,3)</w:t>
            </w:r>
          </w:p>
          <w:p w14:paraId="713A2CA7" w14:textId="77777777" w:rsidR="00E800D0" w:rsidRDefault="00E800D0">
            <w:pPr>
              <w:ind w:left="97"/>
              <w:rPr>
                <w:szCs w:val="22"/>
                <w:lang w:val="en-GB"/>
              </w:rPr>
            </w:pPr>
            <w:r>
              <w:rPr>
                <w:szCs w:val="22"/>
                <w:lang w:val="en-GB"/>
              </w:rPr>
              <w:t>10,1 (7,2-13,7)</w:t>
            </w:r>
          </w:p>
        </w:tc>
        <w:tc>
          <w:tcPr>
            <w:tcW w:w="2486" w:type="dxa"/>
            <w:tcBorders>
              <w:top w:val="nil"/>
              <w:left w:val="nil"/>
              <w:bottom w:val="single" w:sz="8" w:space="0" w:color="000000"/>
              <w:right w:val="single" w:sz="8" w:space="0" w:color="000000"/>
            </w:tcBorders>
            <w:tcMar>
              <w:top w:w="0" w:type="dxa"/>
              <w:left w:w="108" w:type="dxa"/>
              <w:bottom w:w="0" w:type="dxa"/>
              <w:right w:w="108" w:type="dxa"/>
            </w:tcMar>
            <w:hideMark/>
          </w:tcPr>
          <w:p w14:paraId="5FCFE951" w14:textId="77777777" w:rsidR="00E800D0" w:rsidRDefault="00E800D0">
            <w:pPr>
              <w:ind w:left="97"/>
              <w:rPr>
                <w:szCs w:val="22"/>
                <w:lang w:val="en-GB"/>
              </w:rPr>
            </w:pPr>
            <w:r>
              <w:rPr>
                <w:szCs w:val="22"/>
                <w:lang w:val="en-GB"/>
              </w:rPr>
              <w:t>8,8 (3,4-29,4)</w:t>
            </w:r>
          </w:p>
          <w:p w14:paraId="4636C2EF" w14:textId="77777777" w:rsidR="00E800D0" w:rsidRDefault="00E800D0">
            <w:pPr>
              <w:ind w:left="97"/>
              <w:rPr>
                <w:szCs w:val="22"/>
                <w:lang w:val="en-GB"/>
              </w:rPr>
            </w:pPr>
            <w:r>
              <w:rPr>
                <w:szCs w:val="22"/>
                <w:lang w:val="en-GB"/>
              </w:rPr>
              <w:t>8,1 (3,4-29,4)</w:t>
            </w:r>
          </w:p>
        </w:tc>
      </w:tr>
      <w:tr w:rsidR="00E800D0" w14:paraId="0968F031" w14:textId="77777777" w:rsidTr="00E800D0">
        <w:trPr>
          <w:cantSplit/>
        </w:trPr>
        <w:tc>
          <w:tcPr>
            <w:tcW w:w="22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2E8099" w14:textId="77777777" w:rsidR="00E800D0" w:rsidRDefault="00E800D0">
            <w:pPr>
              <w:ind w:left="97"/>
              <w:rPr>
                <w:szCs w:val="22"/>
                <w:lang w:val="en-GB"/>
              </w:rPr>
            </w:pPr>
            <w:r>
              <w:rPr>
                <w:szCs w:val="22"/>
                <w:lang w:val="en-GB"/>
              </w:rPr>
              <w:t>12-17 </w:t>
            </w:r>
            <w:proofErr w:type="spellStart"/>
            <w:r>
              <w:rPr>
                <w:szCs w:val="22"/>
                <w:lang w:val="en-GB"/>
              </w:rPr>
              <w:t>år</w:t>
            </w:r>
            <w:proofErr w:type="spellEnd"/>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70081F55" w14:textId="77777777" w:rsidR="00E800D0" w:rsidRDefault="00E800D0">
            <w:pPr>
              <w:ind w:left="97"/>
              <w:rPr>
                <w:szCs w:val="22"/>
                <w:lang w:val="en-GB"/>
              </w:rPr>
            </w:pPr>
            <w:r>
              <w:rPr>
                <w:szCs w:val="22"/>
                <w:lang w:val="en-GB"/>
              </w:rPr>
              <w:t>20 mg (n=6)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02A6F11A" w14:textId="77777777" w:rsidR="00E800D0" w:rsidRDefault="00E800D0">
            <w:pPr>
              <w:ind w:left="97"/>
              <w:rPr>
                <w:szCs w:val="22"/>
                <w:lang w:val="en-GB"/>
              </w:rPr>
            </w:pPr>
            <w:r>
              <w:rPr>
                <w:szCs w:val="22"/>
                <w:lang w:val="en-GB"/>
              </w:rPr>
              <w:t>8,1 (4,7-15,9)</w:t>
            </w:r>
          </w:p>
        </w:tc>
        <w:tc>
          <w:tcPr>
            <w:tcW w:w="2486" w:type="dxa"/>
            <w:tcBorders>
              <w:top w:val="nil"/>
              <w:left w:val="nil"/>
              <w:bottom w:val="single" w:sz="8" w:space="0" w:color="000000"/>
              <w:right w:val="single" w:sz="8" w:space="0" w:color="000000"/>
            </w:tcBorders>
            <w:tcMar>
              <w:top w:w="0" w:type="dxa"/>
              <w:left w:w="108" w:type="dxa"/>
              <w:bottom w:w="0" w:type="dxa"/>
              <w:right w:w="108" w:type="dxa"/>
            </w:tcMar>
            <w:hideMark/>
          </w:tcPr>
          <w:p w14:paraId="597C1CC7" w14:textId="77777777" w:rsidR="00E800D0" w:rsidRDefault="00E800D0">
            <w:pPr>
              <w:ind w:left="97"/>
              <w:rPr>
                <w:szCs w:val="22"/>
                <w:lang w:val="en-GB"/>
              </w:rPr>
            </w:pPr>
            <w:r>
              <w:rPr>
                <w:szCs w:val="22"/>
                <w:lang w:val="en-GB"/>
              </w:rPr>
              <w:t>7,1 (4,8-9,0)</w:t>
            </w:r>
          </w:p>
        </w:tc>
      </w:tr>
      <w:tr w:rsidR="00E800D0" w14:paraId="565D2FBB" w14:textId="77777777" w:rsidTr="00E800D0">
        <w:trPr>
          <w:cantSplit/>
        </w:trPr>
        <w:tc>
          <w:tcPr>
            <w:tcW w:w="0" w:type="auto"/>
            <w:vMerge/>
            <w:tcBorders>
              <w:top w:val="nil"/>
              <w:left w:val="single" w:sz="8" w:space="0" w:color="000000"/>
              <w:bottom w:val="single" w:sz="8" w:space="0" w:color="000000"/>
              <w:right w:val="single" w:sz="8" w:space="0" w:color="000000"/>
            </w:tcBorders>
            <w:vAlign w:val="center"/>
            <w:hideMark/>
          </w:tcPr>
          <w:p w14:paraId="19D32F84" w14:textId="77777777" w:rsidR="00E800D0" w:rsidRDefault="00E800D0">
            <w:pPr>
              <w:rPr>
                <w:sz w:val="22"/>
                <w:szCs w:val="22"/>
                <w:lang w:val="en-GB"/>
              </w:rPr>
            </w:pP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55D298C5" w14:textId="77777777" w:rsidR="00E800D0" w:rsidRDefault="00E800D0">
            <w:pPr>
              <w:ind w:left="97"/>
              <w:rPr>
                <w:szCs w:val="22"/>
                <w:lang w:val="en-GB"/>
              </w:rPr>
            </w:pPr>
            <w:r>
              <w:rPr>
                <w:szCs w:val="22"/>
                <w:lang w:val="en-GB"/>
              </w:rPr>
              <w:t>40 mg (n=8)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0B3B91CA" w14:textId="77777777" w:rsidR="00E800D0" w:rsidRDefault="00E800D0">
            <w:pPr>
              <w:ind w:left="97"/>
              <w:rPr>
                <w:szCs w:val="22"/>
                <w:lang w:val="en-GB"/>
              </w:rPr>
            </w:pPr>
            <w:r>
              <w:rPr>
                <w:szCs w:val="22"/>
                <w:lang w:val="en-GB"/>
              </w:rPr>
              <w:t>17,6 (13,1-19,8)</w:t>
            </w:r>
          </w:p>
        </w:tc>
        <w:tc>
          <w:tcPr>
            <w:tcW w:w="2486" w:type="dxa"/>
            <w:tcBorders>
              <w:top w:val="nil"/>
              <w:left w:val="nil"/>
              <w:bottom w:val="single" w:sz="8" w:space="0" w:color="000000"/>
              <w:right w:val="single" w:sz="8" w:space="0" w:color="000000"/>
            </w:tcBorders>
            <w:tcMar>
              <w:top w:w="0" w:type="dxa"/>
              <w:left w:w="108" w:type="dxa"/>
              <w:bottom w:w="0" w:type="dxa"/>
              <w:right w:w="108" w:type="dxa"/>
            </w:tcMar>
            <w:hideMark/>
          </w:tcPr>
          <w:p w14:paraId="0754AC28" w14:textId="77777777" w:rsidR="00E800D0" w:rsidRDefault="00E800D0">
            <w:pPr>
              <w:ind w:left="97"/>
              <w:rPr>
                <w:szCs w:val="22"/>
                <w:lang w:val="en-GB"/>
              </w:rPr>
            </w:pPr>
            <w:r>
              <w:rPr>
                <w:szCs w:val="22"/>
                <w:lang w:val="en-GB"/>
              </w:rPr>
              <w:t>10,5 (7,8-14,2)</w:t>
            </w:r>
          </w:p>
        </w:tc>
      </w:tr>
      <w:tr w:rsidR="00E800D0" w14:paraId="07F507B5" w14:textId="77777777" w:rsidTr="00E800D0">
        <w:trPr>
          <w:cantSplit/>
        </w:trPr>
        <w:tc>
          <w:tcPr>
            <w:tcW w:w="22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FCF16C" w14:textId="77777777" w:rsidR="00E800D0" w:rsidRDefault="00E800D0">
            <w:pPr>
              <w:ind w:left="97"/>
              <w:rPr>
                <w:szCs w:val="22"/>
                <w:lang w:val="en-GB"/>
              </w:rPr>
            </w:pPr>
            <w:proofErr w:type="spellStart"/>
            <w:r>
              <w:rPr>
                <w:szCs w:val="22"/>
                <w:lang w:val="en-GB"/>
              </w:rPr>
              <w:t>Voksne</w:t>
            </w:r>
            <w:proofErr w:type="spellEnd"/>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35C6A9EE" w14:textId="77777777" w:rsidR="00E800D0" w:rsidRDefault="00E800D0">
            <w:pPr>
              <w:ind w:left="97"/>
              <w:rPr>
                <w:szCs w:val="22"/>
                <w:lang w:val="en-GB"/>
              </w:rPr>
            </w:pPr>
            <w:r>
              <w:rPr>
                <w:szCs w:val="22"/>
                <w:lang w:val="en-GB"/>
              </w:rPr>
              <w:t>20 mg (n=22)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2171E64E" w14:textId="77777777" w:rsidR="00E800D0" w:rsidRDefault="00E800D0">
            <w:pPr>
              <w:ind w:left="97"/>
              <w:rPr>
                <w:szCs w:val="22"/>
                <w:lang w:val="en-GB"/>
              </w:rPr>
            </w:pPr>
            <w:r>
              <w:rPr>
                <w:szCs w:val="22"/>
                <w:lang w:val="en-GB"/>
              </w:rPr>
              <w:t>5,1 (1,5-11,8)</w:t>
            </w:r>
          </w:p>
        </w:tc>
        <w:tc>
          <w:tcPr>
            <w:tcW w:w="2486" w:type="dxa"/>
            <w:tcBorders>
              <w:top w:val="nil"/>
              <w:left w:val="nil"/>
              <w:bottom w:val="single" w:sz="8" w:space="0" w:color="000000"/>
              <w:right w:val="single" w:sz="8" w:space="0" w:color="000000"/>
            </w:tcBorders>
            <w:tcMar>
              <w:top w:w="0" w:type="dxa"/>
              <w:left w:w="108" w:type="dxa"/>
              <w:bottom w:w="0" w:type="dxa"/>
              <w:right w:w="108" w:type="dxa"/>
            </w:tcMar>
            <w:hideMark/>
          </w:tcPr>
          <w:p w14:paraId="299D05D2" w14:textId="77777777" w:rsidR="00E800D0" w:rsidRDefault="00E800D0">
            <w:pPr>
              <w:ind w:left="97"/>
              <w:rPr>
                <w:szCs w:val="22"/>
                <w:lang w:val="en-GB"/>
              </w:rPr>
            </w:pPr>
            <w:r>
              <w:rPr>
                <w:szCs w:val="22"/>
                <w:lang w:val="en-GB"/>
              </w:rPr>
              <w:t>3,9 (1,5-6,7)</w:t>
            </w:r>
          </w:p>
        </w:tc>
      </w:tr>
      <w:tr w:rsidR="00E800D0" w14:paraId="00540ECD" w14:textId="77777777" w:rsidTr="00E800D0">
        <w:trPr>
          <w:cantSplit/>
        </w:trPr>
        <w:tc>
          <w:tcPr>
            <w:tcW w:w="0" w:type="auto"/>
            <w:vMerge/>
            <w:tcBorders>
              <w:top w:val="nil"/>
              <w:left w:val="single" w:sz="8" w:space="0" w:color="000000"/>
              <w:bottom w:val="single" w:sz="8" w:space="0" w:color="000000"/>
              <w:right w:val="single" w:sz="8" w:space="0" w:color="000000"/>
            </w:tcBorders>
            <w:vAlign w:val="center"/>
            <w:hideMark/>
          </w:tcPr>
          <w:p w14:paraId="5E3569FE" w14:textId="77777777" w:rsidR="00E800D0" w:rsidRDefault="00E800D0">
            <w:pPr>
              <w:rPr>
                <w:sz w:val="22"/>
                <w:szCs w:val="22"/>
                <w:lang w:val="en-GB"/>
              </w:rPr>
            </w:pP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42301ACD" w14:textId="77777777" w:rsidR="00E800D0" w:rsidRDefault="00E800D0">
            <w:pPr>
              <w:ind w:left="97"/>
              <w:rPr>
                <w:szCs w:val="22"/>
                <w:lang w:val="en-GB"/>
              </w:rPr>
            </w:pPr>
            <w:r>
              <w:rPr>
                <w:szCs w:val="22"/>
                <w:lang w:val="en-GB"/>
              </w:rPr>
              <w:t>40 mg (n=41)</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4A810908" w14:textId="77777777" w:rsidR="00E800D0" w:rsidRDefault="00E800D0">
            <w:pPr>
              <w:ind w:left="97"/>
              <w:rPr>
                <w:szCs w:val="22"/>
                <w:lang w:val="en-GB"/>
              </w:rPr>
            </w:pPr>
            <w:r>
              <w:rPr>
                <w:szCs w:val="22"/>
                <w:lang w:val="en-GB"/>
              </w:rPr>
              <w:t>12,6 (4,8-21,7)</w:t>
            </w:r>
          </w:p>
        </w:tc>
        <w:tc>
          <w:tcPr>
            <w:tcW w:w="2486" w:type="dxa"/>
            <w:tcBorders>
              <w:top w:val="nil"/>
              <w:left w:val="nil"/>
              <w:bottom w:val="single" w:sz="8" w:space="0" w:color="000000"/>
              <w:right w:val="single" w:sz="8" w:space="0" w:color="000000"/>
            </w:tcBorders>
            <w:tcMar>
              <w:top w:w="0" w:type="dxa"/>
              <w:left w:w="108" w:type="dxa"/>
              <w:bottom w:w="0" w:type="dxa"/>
              <w:right w:w="108" w:type="dxa"/>
            </w:tcMar>
            <w:hideMark/>
          </w:tcPr>
          <w:p w14:paraId="53445A96" w14:textId="77777777" w:rsidR="00E800D0" w:rsidRDefault="00E800D0">
            <w:pPr>
              <w:ind w:left="97"/>
              <w:rPr>
                <w:szCs w:val="22"/>
                <w:lang w:val="en-GB"/>
              </w:rPr>
            </w:pPr>
            <w:r>
              <w:rPr>
                <w:szCs w:val="22"/>
                <w:lang w:val="en-GB"/>
              </w:rPr>
              <w:t>8,5 (5,4-17,9)</w:t>
            </w:r>
          </w:p>
        </w:tc>
      </w:tr>
    </w:tbl>
    <w:p w14:paraId="33C88DF0" w14:textId="11CF8909" w:rsidR="00E800D0" w:rsidRPr="00E800D0" w:rsidRDefault="00E800D0" w:rsidP="00E800D0">
      <w:pPr>
        <w:ind w:left="284" w:hanging="284"/>
        <w:rPr>
          <w:sz w:val="20"/>
        </w:rPr>
      </w:pPr>
      <w:r w:rsidRPr="00E800D0">
        <w:rPr>
          <w:sz w:val="20"/>
        </w:rPr>
        <w:t>*</w:t>
      </w:r>
      <w:r>
        <w:rPr>
          <w:sz w:val="20"/>
        </w:rPr>
        <w:tab/>
      </w:r>
      <w:r w:rsidRPr="00E800D0">
        <w:rPr>
          <w:sz w:val="20"/>
        </w:rPr>
        <w:t xml:space="preserve">En patient i aldersgruppen fra 0 op til 1 måned blev defineret som en patient med en korrigeret alder på ≥32 hele uger og &lt; 44 hele uger, hvor den korrigerede alder var summen af </w:t>
      </w:r>
      <w:proofErr w:type="spellStart"/>
      <w:r w:rsidRPr="00E800D0">
        <w:rPr>
          <w:sz w:val="20"/>
        </w:rPr>
        <w:t>gestationsalderen</w:t>
      </w:r>
      <w:proofErr w:type="spellEnd"/>
      <w:r w:rsidRPr="00E800D0">
        <w:rPr>
          <w:sz w:val="20"/>
        </w:rPr>
        <w:t xml:space="preserve"> og alderen efter fødslen i hele uger.  En patient i aldersgruppen fra 1 til 11 måneder havde en korrigeret alder på ≥44 hele uger.</w:t>
      </w:r>
    </w:p>
    <w:p w14:paraId="2FFA0443" w14:textId="7045DC81" w:rsidR="00E800D0" w:rsidRPr="00E800D0" w:rsidRDefault="00E800D0" w:rsidP="00E800D0">
      <w:pPr>
        <w:ind w:left="284" w:hanging="284"/>
        <w:rPr>
          <w:sz w:val="20"/>
        </w:rPr>
      </w:pPr>
      <w:r w:rsidRPr="00E800D0">
        <w:rPr>
          <w:sz w:val="20"/>
        </w:rPr>
        <w:t>**</w:t>
      </w:r>
      <w:r>
        <w:rPr>
          <w:sz w:val="20"/>
        </w:rPr>
        <w:tab/>
      </w:r>
      <w:r w:rsidRPr="00E800D0">
        <w:rPr>
          <w:sz w:val="20"/>
        </w:rPr>
        <w:t>To patienter blev ekskluderet. 1 var efter al sandsynlighed en CYP2C19 "</w:t>
      </w:r>
      <w:proofErr w:type="spellStart"/>
      <w:r w:rsidRPr="00E800D0">
        <w:rPr>
          <w:sz w:val="20"/>
        </w:rPr>
        <w:t>poor</w:t>
      </w:r>
      <w:proofErr w:type="spellEnd"/>
      <w:r w:rsidRPr="00E800D0">
        <w:rPr>
          <w:sz w:val="20"/>
        </w:rPr>
        <w:t xml:space="preserve"> </w:t>
      </w:r>
      <w:proofErr w:type="spellStart"/>
      <w:r w:rsidRPr="00E800D0">
        <w:rPr>
          <w:sz w:val="20"/>
        </w:rPr>
        <w:t>metabolizer</w:t>
      </w:r>
      <w:proofErr w:type="spellEnd"/>
      <w:r w:rsidRPr="00E800D0">
        <w:rPr>
          <w:sz w:val="20"/>
        </w:rPr>
        <w:t>", og 1 var i samtidig behandling med en CYP3A4-inhibitor.</w:t>
      </w:r>
    </w:p>
    <w:p w14:paraId="25823890" w14:textId="77777777" w:rsidR="00E800D0" w:rsidRPr="00E800D0" w:rsidRDefault="00E800D0" w:rsidP="00E800D0">
      <w:pPr>
        <w:tabs>
          <w:tab w:val="left" w:pos="851"/>
        </w:tabs>
        <w:ind w:left="851"/>
        <w:rPr>
          <w:sz w:val="24"/>
          <w:szCs w:val="24"/>
        </w:rPr>
      </w:pPr>
    </w:p>
    <w:p w14:paraId="0FC0A4F6" w14:textId="77777777" w:rsidR="00E800D0" w:rsidRPr="00E800D0" w:rsidRDefault="00E800D0" w:rsidP="00E800D0">
      <w:pPr>
        <w:tabs>
          <w:tab w:val="left" w:pos="851"/>
        </w:tabs>
        <w:ind w:left="851"/>
        <w:rPr>
          <w:sz w:val="24"/>
          <w:szCs w:val="24"/>
        </w:rPr>
      </w:pPr>
      <w:r w:rsidRPr="00E800D0">
        <w:rPr>
          <w:sz w:val="24"/>
          <w:szCs w:val="24"/>
        </w:rPr>
        <w:t xml:space="preserve">Modelbaserede prædiktioner indikerer, at </w:t>
      </w:r>
      <w:proofErr w:type="spellStart"/>
      <w:proofErr w:type="gramStart"/>
      <w:r w:rsidRPr="00E800D0">
        <w:rPr>
          <w:b/>
          <w:i/>
          <w:sz w:val="24"/>
          <w:szCs w:val="24"/>
        </w:rPr>
        <w:t>C</w:t>
      </w:r>
      <w:r w:rsidRPr="00E800D0">
        <w:rPr>
          <w:b/>
          <w:i/>
          <w:sz w:val="24"/>
          <w:szCs w:val="24"/>
          <w:vertAlign w:val="subscript"/>
        </w:rPr>
        <w:t>ss,max</w:t>
      </w:r>
      <w:proofErr w:type="spellEnd"/>
      <w:proofErr w:type="gramEnd"/>
      <w:r w:rsidRPr="00E800D0">
        <w:rPr>
          <w:b/>
          <w:i/>
          <w:sz w:val="24"/>
          <w:szCs w:val="24"/>
          <w:vertAlign w:val="subscript"/>
        </w:rPr>
        <w:t xml:space="preserve"> </w:t>
      </w:r>
      <w:r w:rsidRPr="00E800D0">
        <w:rPr>
          <w:sz w:val="24"/>
          <w:szCs w:val="24"/>
        </w:rPr>
        <w:t xml:space="preserve"> efter intravenøs administration af </w:t>
      </w:r>
      <w:proofErr w:type="spellStart"/>
      <w:r w:rsidRPr="00E800D0">
        <w:rPr>
          <w:sz w:val="24"/>
          <w:szCs w:val="24"/>
        </w:rPr>
        <w:t>esomeprazol</w:t>
      </w:r>
      <w:proofErr w:type="spellEnd"/>
      <w:r w:rsidRPr="00E800D0">
        <w:rPr>
          <w:sz w:val="24"/>
          <w:szCs w:val="24"/>
        </w:rPr>
        <w:t xml:space="preserve"> som 10-minutters, 20-minutters og 30-minutters infusion i gennemsnit vil blive reduceret fra hhv. 37 % til 49 %, 54 % til 66 % og 61 % til 72 % over alle alders- og dosisgrupper sammenlignet med, når dosen administreres som en 3-minutters injektion.</w:t>
      </w:r>
    </w:p>
    <w:p w14:paraId="424DC44F" w14:textId="77777777" w:rsidR="009260DE" w:rsidRPr="00E800D0" w:rsidRDefault="009260DE" w:rsidP="00E800D0">
      <w:pPr>
        <w:tabs>
          <w:tab w:val="left" w:pos="851"/>
        </w:tabs>
        <w:ind w:left="851"/>
        <w:rPr>
          <w:sz w:val="24"/>
          <w:szCs w:val="24"/>
        </w:rPr>
      </w:pPr>
    </w:p>
    <w:p w14:paraId="3C70EA29"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1890B97B" w14:textId="77777777" w:rsidR="004B0981" w:rsidRPr="004B0981" w:rsidRDefault="004B0981" w:rsidP="004B0981">
      <w:pPr>
        <w:tabs>
          <w:tab w:val="left" w:pos="851"/>
        </w:tabs>
        <w:ind w:left="851"/>
        <w:rPr>
          <w:sz w:val="24"/>
          <w:szCs w:val="24"/>
        </w:rPr>
      </w:pPr>
      <w:r w:rsidRPr="004B0981">
        <w:rPr>
          <w:sz w:val="24"/>
          <w:szCs w:val="24"/>
        </w:rPr>
        <w:t xml:space="preserve">Non-kliniske data viser ingen speciel risiko for mennesker vurderet ud fra konventionelle studier af sikkerhedsfarmakologi, toksicitet efter gentagne doser, genotoksicitet, </w:t>
      </w:r>
      <w:proofErr w:type="spellStart"/>
      <w:r w:rsidRPr="004B0981">
        <w:rPr>
          <w:sz w:val="24"/>
          <w:szCs w:val="24"/>
        </w:rPr>
        <w:t>karcinogenicitet</w:t>
      </w:r>
      <w:proofErr w:type="spellEnd"/>
      <w:r w:rsidRPr="004B0981">
        <w:rPr>
          <w:sz w:val="24"/>
          <w:szCs w:val="24"/>
        </w:rPr>
        <w:t xml:space="preserve"> samt reproduktions- og udviklingstoksicitet. Følgende bivirkninger er ikke set i kliniske forsøg, men i dyreforsøg efter eksponering for koncentrationer, der svarer til eksponering i kliniske forsøg, og anses for at være relevante for den kliniske anvendelse:</w:t>
      </w:r>
    </w:p>
    <w:p w14:paraId="03284F85" w14:textId="77777777" w:rsidR="004B0981" w:rsidRPr="004B0981" w:rsidRDefault="004B0981" w:rsidP="004B0981">
      <w:pPr>
        <w:tabs>
          <w:tab w:val="left" w:pos="851"/>
        </w:tabs>
        <w:ind w:left="851"/>
        <w:rPr>
          <w:sz w:val="24"/>
          <w:szCs w:val="24"/>
        </w:rPr>
      </w:pPr>
      <w:proofErr w:type="spellStart"/>
      <w:r w:rsidRPr="004B0981">
        <w:rPr>
          <w:sz w:val="24"/>
          <w:szCs w:val="24"/>
        </w:rPr>
        <w:t>Karcinogenicitetsstudier</w:t>
      </w:r>
      <w:proofErr w:type="spellEnd"/>
      <w:r w:rsidRPr="004B0981">
        <w:rPr>
          <w:sz w:val="24"/>
          <w:szCs w:val="24"/>
        </w:rPr>
        <w:t xml:space="preserve"> med rotter med den </w:t>
      </w:r>
      <w:proofErr w:type="spellStart"/>
      <w:r w:rsidRPr="004B0981">
        <w:rPr>
          <w:sz w:val="24"/>
          <w:szCs w:val="24"/>
        </w:rPr>
        <w:t>racemiske</w:t>
      </w:r>
      <w:proofErr w:type="spellEnd"/>
      <w:r w:rsidRPr="004B0981">
        <w:rPr>
          <w:sz w:val="24"/>
          <w:szCs w:val="24"/>
        </w:rPr>
        <w:t xml:space="preserve"> blanding har vist gastrisk ECL-</w:t>
      </w:r>
      <w:proofErr w:type="spellStart"/>
      <w:r w:rsidRPr="004B0981">
        <w:rPr>
          <w:sz w:val="24"/>
          <w:szCs w:val="24"/>
        </w:rPr>
        <w:t>cellehyperplasi</w:t>
      </w:r>
      <w:proofErr w:type="spellEnd"/>
      <w:r w:rsidRPr="004B0981">
        <w:rPr>
          <w:sz w:val="24"/>
          <w:szCs w:val="24"/>
        </w:rPr>
        <w:t xml:space="preserve"> og </w:t>
      </w:r>
      <w:proofErr w:type="spellStart"/>
      <w:r w:rsidRPr="004B0981">
        <w:rPr>
          <w:sz w:val="24"/>
          <w:szCs w:val="24"/>
        </w:rPr>
        <w:t>carcinoider</w:t>
      </w:r>
      <w:proofErr w:type="spellEnd"/>
      <w:r w:rsidRPr="004B0981">
        <w:rPr>
          <w:sz w:val="24"/>
          <w:szCs w:val="24"/>
        </w:rPr>
        <w:t xml:space="preserve">. Disse gastriske virkninger hos rotter er resultatet af vedvarende, udtalt </w:t>
      </w:r>
      <w:proofErr w:type="spellStart"/>
      <w:r w:rsidRPr="004B0981">
        <w:rPr>
          <w:sz w:val="24"/>
          <w:szCs w:val="24"/>
        </w:rPr>
        <w:t>hypergastinæmi</w:t>
      </w:r>
      <w:proofErr w:type="spellEnd"/>
      <w:r w:rsidRPr="004B0981">
        <w:rPr>
          <w:sz w:val="24"/>
          <w:szCs w:val="24"/>
        </w:rPr>
        <w:t xml:space="preserve"> som følge af nedsat mavesyreproduktion og er observeret efter langvarig behandling af rotter med </w:t>
      </w:r>
      <w:proofErr w:type="spellStart"/>
      <w:r w:rsidRPr="004B0981">
        <w:rPr>
          <w:sz w:val="24"/>
          <w:szCs w:val="24"/>
        </w:rPr>
        <w:t>mavesyresekretionshæmmere</w:t>
      </w:r>
      <w:proofErr w:type="spellEnd"/>
      <w:r w:rsidRPr="004B0981">
        <w:rPr>
          <w:sz w:val="24"/>
          <w:szCs w:val="24"/>
        </w:rPr>
        <w:t>. I det non-</w:t>
      </w:r>
      <w:proofErr w:type="spellStart"/>
      <w:r w:rsidRPr="004B0981">
        <w:rPr>
          <w:sz w:val="24"/>
          <w:szCs w:val="24"/>
        </w:rPr>
        <w:t>klinske</w:t>
      </w:r>
      <w:proofErr w:type="spellEnd"/>
      <w:r w:rsidRPr="004B0981">
        <w:rPr>
          <w:sz w:val="24"/>
          <w:szCs w:val="24"/>
        </w:rPr>
        <w:t xml:space="preserve"> program for </w:t>
      </w:r>
      <w:proofErr w:type="spellStart"/>
      <w:r w:rsidRPr="004B0981">
        <w:rPr>
          <w:sz w:val="24"/>
          <w:szCs w:val="24"/>
        </w:rPr>
        <w:t>esomeprazol</w:t>
      </w:r>
      <w:proofErr w:type="spellEnd"/>
      <w:r w:rsidRPr="004B0981">
        <w:rPr>
          <w:sz w:val="24"/>
          <w:szCs w:val="24"/>
        </w:rPr>
        <w:t xml:space="preserve"> intravenøs formulering var der ingen tegn på </w:t>
      </w:r>
      <w:proofErr w:type="spellStart"/>
      <w:r w:rsidRPr="004B0981">
        <w:rPr>
          <w:sz w:val="24"/>
          <w:szCs w:val="24"/>
        </w:rPr>
        <w:t>vaso</w:t>
      </w:r>
      <w:proofErr w:type="spellEnd"/>
      <w:r w:rsidRPr="004B0981">
        <w:rPr>
          <w:sz w:val="24"/>
          <w:szCs w:val="24"/>
        </w:rPr>
        <w:t>-irritation, men der blev observeret en mindre inflammatorisk reaktion af vævet på injektionsstedet efter subkutan (</w:t>
      </w:r>
      <w:proofErr w:type="spellStart"/>
      <w:r w:rsidRPr="004B0981">
        <w:rPr>
          <w:sz w:val="24"/>
          <w:szCs w:val="24"/>
        </w:rPr>
        <w:t>paravenøs</w:t>
      </w:r>
      <w:proofErr w:type="spellEnd"/>
      <w:r w:rsidRPr="004B0981">
        <w:rPr>
          <w:sz w:val="24"/>
          <w:szCs w:val="24"/>
        </w:rPr>
        <w:t>) injektion (se pkt. 4.8).</w:t>
      </w:r>
    </w:p>
    <w:p w14:paraId="26C8E507" w14:textId="77777777" w:rsidR="009260DE" w:rsidRPr="00C84483" w:rsidRDefault="009260DE" w:rsidP="009260DE">
      <w:pPr>
        <w:tabs>
          <w:tab w:val="left" w:pos="851"/>
        </w:tabs>
        <w:ind w:left="851"/>
        <w:rPr>
          <w:sz w:val="24"/>
          <w:szCs w:val="24"/>
        </w:rPr>
      </w:pPr>
    </w:p>
    <w:p w14:paraId="04070182" w14:textId="77777777" w:rsidR="009260DE" w:rsidRPr="00C84483" w:rsidRDefault="009260DE" w:rsidP="009260DE">
      <w:pPr>
        <w:tabs>
          <w:tab w:val="left" w:pos="851"/>
        </w:tabs>
        <w:ind w:left="851"/>
        <w:rPr>
          <w:sz w:val="24"/>
          <w:szCs w:val="24"/>
        </w:rPr>
      </w:pPr>
    </w:p>
    <w:p w14:paraId="1BD1820A"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4F767ABF" w14:textId="77777777" w:rsidR="009260DE" w:rsidRPr="00BA09F1" w:rsidRDefault="009260DE" w:rsidP="009260DE">
      <w:pPr>
        <w:tabs>
          <w:tab w:val="left" w:pos="851"/>
        </w:tabs>
        <w:ind w:left="851"/>
        <w:rPr>
          <w:sz w:val="24"/>
          <w:szCs w:val="24"/>
        </w:rPr>
      </w:pPr>
    </w:p>
    <w:p w14:paraId="0F4FC54F"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434C0475" w14:textId="77777777" w:rsidR="004B0981" w:rsidRPr="004B0981" w:rsidRDefault="004B0981" w:rsidP="004B0981">
      <w:pPr>
        <w:tabs>
          <w:tab w:val="left" w:pos="851"/>
        </w:tabs>
        <w:ind w:left="851"/>
        <w:rPr>
          <w:sz w:val="24"/>
          <w:szCs w:val="24"/>
        </w:rPr>
      </w:pPr>
      <w:proofErr w:type="spellStart"/>
      <w:r w:rsidRPr="004B0981">
        <w:rPr>
          <w:sz w:val="24"/>
          <w:szCs w:val="24"/>
        </w:rPr>
        <w:t>Dinatriumedetat</w:t>
      </w:r>
      <w:proofErr w:type="spellEnd"/>
    </w:p>
    <w:p w14:paraId="5653DBD0" w14:textId="77777777" w:rsidR="004B0981" w:rsidRPr="004B0981" w:rsidRDefault="004B0981" w:rsidP="004B0981">
      <w:pPr>
        <w:tabs>
          <w:tab w:val="left" w:pos="851"/>
        </w:tabs>
        <w:ind w:left="851"/>
        <w:rPr>
          <w:sz w:val="24"/>
          <w:szCs w:val="24"/>
        </w:rPr>
      </w:pPr>
      <w:r w:rsidRPr="004B0981">
        <w:rPr>
          <w:sz w:val="24"/>
          <w:szCs w:val="24"/>
        </w:rPr>
        <w:t>Natriumhydroxid (til justering af pH)</w:t>
      </w:r>
    </w:p>
    <w:p w14:paraId="7F10420C" w14:textId="40900A1F" w:rsidR="004B0981" w:rsidRDefault="004B0981">
      <w:pPr>
        <w:rPr>
          <w:sz w:val="24"/>
          <w:szCs w:val="24"/>
        </w:rPr>
      </w:pPr>
      <w:r>
        <w:rPr>
          <w:sz w:val="24"/>
          <w:szCs w:val="24"/>
        </w:rPr>
        <w:lastRenderedPageBreak/>
        <w:br w:type="page"/>
      </w:r>
    </w:p>
    <w:p w14:paraId="70E11E7A" w14:textId="77777777" w:rsidR="009260DE" w:rsidRPr="00C84483" w:rsidRDefault="009260DE" w:rsidP="009260DE">
      <w:pPr>
        <w:tabs>
          <w:tab w:val="left" w:pos="851"/>
        </w:tabs>
        <w:ind w:left="851"/>
        <w:rPr>
          <w:sz w:val="24"/>
          <w:szCs w:val="24"/>
        </w:rPr>
      </w:pPr>
    </w:p>
    <w:p w14:paraId="2DC2C3B8"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3B39DF40" w14:textId="77777777" w:rsidR="004B0981" w:rsidRPr="004B0981" w:rsidRDefault="004B0981" w:rsidP="004B0981">
      <w:pPr>
        <w:tabs>
          <w:tab w:val="left" w:pos="851"/>
        </w:tabs>
        <w:ind w:left="851"/>
        <w:rPr>
          <w:sz w:val="24"/>
          <w:szCs w:val="24"/>
        </w:rPr>
      </w:pPr>
      <w:r w:rsidRPr="004B0981">
        <w:rPr>
          <w:sz w:val="24"/>
          <w:szCs w:val="24"/>
        </w:rPr>
        <w:t>Dette lægemiddel bør ikke blandes sammen med andre præparater på nær dem, som er angivet under pkt. 6.6.</w:t>
      </w:r>
    </w:p>
    <w:p w14:paraId="2AC98464" w14:textId="77777777" w:rsidR="009260DE" w:rsidRPr="00C84483" w:rsidRDefault="009260DE" w:rsidP="009260DE">
      <w:pPr>
        <w:tabs>
          <w:tab w:val="left" w:pos="851"/>
        </w:tabs>
        <w:ind w:left="851"/>
        <w:rPr>
          <w:sz w:val="24"/>
          <w:szCs w:val="24"/>
        </w:rPr>
      </w:pPr>
    </w:p>
    <w:p w14:paraId="0FE8B125"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22FAA0FD" w14:textId="5F890711" w:rsidR="004B0981" w:rsidRDefault="004B0981" w:rsidP="004B0981">
      <w:pPr>
        <w:tabs>
          <w:tab w:val="left" w:pos="851"/>
        </w:tabs>
        <w:ind w:left="851"/>
        <w:rPr>
          <w:sz w:val="24"/>
          <w:szCs w:val="24"/>
        </w:rPr>
      </w:pPr>
      <w:r w:rsidRPr="004B0981">
        <w:rPr>
          <w:sz w:val="24"/>
          <w:szCs w:val="24"/>
        </w:rPr>
        <w:t>24 måneder.</w:t>
      </w:r>
    </w:p>
    <w:p w14:paraId="26E0F284" w14:textId="1EC4758A" w:rsidR="004B0981" w:rsidRDefault="004B0981" w:rsidP="004B0981">
      <w:pPr>
        <w:tabs>
          <w:tab w:val="left" w:pos="851"/>
        </w:tabs>
        <w:ind w:left="851"/>
        <w:rPr>
          <w:sz w:val="24"/>
          <w:szCs w:val="24"/>
        </w:rPr>
      </w:pPr>
    </w:p>
    <w:p w14:paraId="09113DFA" w14:textId="77777777" w:rsidR="004B0981" w:rsidRPr="004B0981" w:rsidRDefault="004B0981" w:rsidP="004B0981">
      <w:pPr>
        <w:tabs>
          <w:tab w:val="left" w:pos="851"/>
        </w:tabs>
        <w:ind w:left="851"/>
        <w:rPr>
          <w:bCs/>
          <w:sz w:val="24"/>
          <w:szCs w:val="24"/>
          <w:u w:val="single"/>
        </w:rPr>
      </w:pPr>
      <w:r w:rsidRPr="004B0981">
        <w:rPr>
          <w:bCs/>
          <w:sz w:val="24"/>
          <w:szCs w:val="24"/>
          <w:u w:val="single"/>
        </w:rPr>
        <w:t>Opbevaringstid for den brugsfærdige opløsning</w:t>
      </w:r>
    </w:p>
    <w:p w14:paraId="1B11492F" w14:textId="77777777" w:rsidR="004B0981" w:rsidRDefault="004B0981" w:rsidP="004B0981">
      <w:pPr>
        <w:tabs>
          <w:tab w:val="left" w:pos="851"/>
        </w:tabs>
        <w:ind w:left="851"/>
        <w:rPr>
          <w:sz w:val="24"/>
          <w:szCs w:val="24"/>
        </w:rPr>
      </w:pPr>
      <w:r w:rsidRPr="004B0981">
        <w:rPr>
          <w:sz w:val="24"/>
          <w:szCs w:val="24"/>
        </w:rPr>
        <w:t>Kemisk og fysisk stabilitet af den brugsfærdige opløsning er påvist i op til 12 timer ved</w:t>
      </w:r>
    </w:p>
    <w:p w14:paraId="7583449B" w14:textId="5D7D016A" w:rsidR="004B0981" w:rsidRPr="004B0981" w:rsidRDefault="004B0981" w:rsidP="004B0981">
      <w:pPr>
        <w:tabs>
          <w:tab w:val="left" w:pos="851"/>
        </w:tabs>
        <w:ind w:left="851"/>
        <w:rPr>
          <w:sz w:val="24"/>
          <w:szCs w:val="24"/>
        </w:rPr>
      </w:pPr>
      <w:r w:rsidRPr="004B0981">
        <w:rPr>
          <w:sz w:val="24"/>
          <w:szCs w:val="24"/>
        </w:rPr>
        <w:t>30 ± 2</w:t>
      </w:r>
      <w:r>
        <w:rPr>
          <w:sz w:val="24"/>
          <w:szCs w:val="24"/>
        </w:rPr>
        <w:t xml:space="preserve"> </w:t>
      </w:r>
      <w:r w:rsidRPr="004B0981">
        <w:rPr>
          <w:sz w:val="24"/>
          <w:szCs w:val="24"/>
        </w:rPr>
        <w:t>°C. Ud fra et mikrobiologisk synspunkt bør produktet anvendes omgående.</w:t>
      </w:r>
    </w:p>
    <w:p w14:paraId="7E13E027" w14:textId="77777777" w:rsidR="009260DE" w:rsidRPr="00C84483" w:rsidRDefault="009260DE" w:rsidP="009260DE">
      <w:pPr>
        <w:tabs>
          <w:tab w:val="left" w:pos="851"/>
        </w:tabs>
        <w:ind w:left="851"/>
        <w:rPr>
          <w:sz w:val="24"/>
          <w:szCs w:val="24"/>
        </w:rPr>
      </w:pPr>
    </w:p>
    <w:p w14:paraId="5B8B22CA"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6E5316B" w14:textId="77777777" w:rsidR="00384985" w:rsidRDefault="00384985" w:rsidP="00384985">
      <w:pPr>
        <w:tabs>
          <w:tab w:val="left" w:pos="851"/>
        </w:tabs>
        <w:ind w:left="851"/>
        <w:rPr>
          <w:sz w:val="24"/>
          <w:szCs w:val="24"/>
        </w:rPr>
      </w:pPr>
      <w:r w:rsidRPr="00384985">
        <w:rPr>
          <w:sz w:val="24"/>
          <w:szCs w:val="24"/>
        </w:rPr>
        <w:t>Opbevares i originalemballagen for at beskytte mod lys.</w:t>
      </w:r>
    </w:p>
    <w:p w14:paraId="264294E5" w14:textId="2C69A9C2" w:rsidR="00384985" w:rsidRDefault="00384985" w:rsidP="00384985">
      <w:pPr>
        <w:tabs>
          <w:tab w:val="left" w:pos="851"/>
        </w:tabs>
        <w:ind w:left="851"/>
        <w:rPr>
          <w:sz w:val="24"/>
          <w:szCs w:val="24"/>
        </w:rPr>
      </w:pPr>
      <w:r w:rsidRPr="00384985">
        <w:rPr>
          <w:sz w:val="24"/>
          <w:szCs w:val="24"/>
        </w:rPr>
        <w:t>Hætteglasset kan dog opbevares udenfor æsken, ved normal indendørsbelysning i op til 24 timer.</w:t>
      </w:r>
    </w:p>
    <w:p w14:paraId="6CA22FE5" w14:textId="77777777" w:rsidR="00384985" w:rsidRPr="00384985" w:rsidRDefault="00384985" w:rsidP="00384985">
      <w:pPr>
        <w:tabs>
          <w:tab w:val="left" w:pos="851"/>
        </w:tabs>
        <w:ind w:left="851"/>
        <w:rPr>
          <w:sz w:val="24"/>
          <w:szCs w:val="24"/>
        </w:rPr>
      </w:pPr>
    </w:p>
    <w:p w14:paraId="6356E357" w14:textId="61A5B04F" w:rsidR="00384985" w:rsidRPr="00384985" w:rsidRDefault="00384985" w:rsidP="00384985">
      <w:pPr>
        <w:tabs>
          <w:tab w:val="left" w:pos="851"/>
        </w:tabs>
        <w:ind w:left="851"/>
        <w:rPr>
          <w:sz w:val="24"/>
          <w:szCs w:val="24"/>
        </w:rPr>
      </w:pPr>
      <w:r w:rsidRPr="00384985">
        <w:rPr>
          <w:sz w:val="24"/>
          <w:szCs w:val="24"/>
        </w:rPr>
        <w:t>Må ikke opbevares over 30</w:t>
      </w:r>
      <w:r>
        <w:rPr>
          <w:sz w:val="24"/>
          <w:szCs w:val="24"/>
        </w:rPr>
        <w:t xml:space="preserve"> </w:t>
      </w:r>
      <w:r w:rsidRPr="00384985">
        <w:rPr>
          <w:sz w:val="24"/>
          <w:szCs w:val="24"/>
        </w:rPr>
        <w:t>º C.</w:t>
      </w:r>
    </w:p>
    <w:p w14:paraId="175C6BC1" w14:textId="77777777" w:rsidR="00384985" w:rsidRPr="00384985" w:rsidRDefault="00384985" w:rsidP="00384985">
      <w:pPr>
        <w:tabs>
          <w:tab w:val="left" w:pos="851"/>
        </w:tabs>
        <w:ind w:left="851"/>
        <w:rPr>
          <w:sz w:val="24"/>
          <w:szCs w:val="24"/>
        </w:rPr>
      </w:pPr>
    </w:p>
    <w:p w14:paraId="4F9E9B36" w14:textId="77777777" w:rsidR="00384985" w:rsidRPr="00384985" w:rsidRDefault="00384985" w:rsidP="00384985">
      <w:pPr>
        <w:tabs>
          <w:tab w:val="left" w:pos="851"/>
        </w:tabs>
        <w:ind w:left="851"/>
        <w:rPr>
          <w:sz w:val="24"/>
          <w:szCs w:val="24"/>
        </w:rPr>
      </w:pPr>
      <w:r w:rsidRPr="00384985">
        <w:rPr>
          <w:sz w:val="24"/>
          <w:szCs w:val="24"/>
        </w:rPr>
        <w:t xml:space="preserve">For opbevaringsbetingelser efter </w:t>
      </w:r>
      <w:proofErr w:type="spellStart"/>
      <w:r w:rsidRPr="00384985">
        <w:rPr>
          <w:sz w:val="24"/>
          <w:szCs w:val="24"/>
        </w:rPr>
        <w:t>rekonstitution</w:t>
      </w:r>
      <w:proofErr w:type="spellEnd"/>
      <w:r w:rsidRPr="00384985">
        <w:rPr>
          <w:sz w:val="24"/>
          <w:szCs w:val="24"/>
        </w:rPr>
        <w:t xml:space="preserve"> af lægemidlet, se pkt. 6.3.</w:t>
      </w:r>
    </w:p>
    <w:p w14:paraId="596EB1D2" w14:textId="77777777" w:rsidR="009260DE" w:rsidRPr="00C84483" w:rsidRDefault="009260DE" w:rsidP="009260DE">
      <w:pPr>
        <w:tabs>
          <w:tab w:val="left" w:pos="851"/>
        </w:tabs>
        <w:ind w:left="851"/>
        <w:rPr>
          <w:sz w:val="24"/>
          <w:szCs w:val="24"/>
        </w:rPr>
      </w:pPr>
    </w:p>
    <w:p w14:paraId="06A8BCF4"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F7405E4" w14:textId="6DD9A83B" w:rsidR="00384985" w:rsidRPr="00384985" w:rsidRDefault="00384985" w:rsidP="00384985">
      <w:pPr>
        <w:tabs>
          <w:tab w:val="left" w:pos="851"/>
        </w:tabs>
        <w:ind w:left="851"/>
        <w:rPr>
          <w:sz w:val="24"/>
          <w:szCs w:val="24"/>
        </w:rPr>
      </w:pPr>
      <w:r w:rsidRPr="00384985">
        <w:rPr>
          <w:sz w:val="24"/>
          <w:szCs w:val="24"/>
        </w:rPr>
        <w:t>Hætteglas af farveløst glas type I.</w:t>
      </w:r>
    </w:p>
    <w:p w14:paraId="5112FF54" w14:textId="77777777" w:rsidR="00384985" w:rsidRPr="00384985" w:rsidRDefault="00384985" w:rsidP="00384985">
      <w:pPr>
        <w:tabs>
          <w:tab w:val="left" w:pos="851"/>
        </w:tabs>
        <w:ind w:left="851"/>
        <w:rPr>
          <w:sz w:val="24"/>
          <w:szCs w:val="24"/>
        </w:rPr>
      </w:pPr>
      <w:r w:rsidRPr="00384985">
        <w:rPr>
          <w:sz w:val="24"/>
          <w:szCs w:val="24"/>
        </w:rPr>
        <w:t xml:space="preserve">Gummiproppen er lavet af </w:t>
      </w:r>
      <w:proofErr w:type="spellStart"/>
      <w:r w:rsidRPr="00384985">
        <w:rPr>
          <w:sz w:val="24"/>
          <w:szCs w:val="24"/>
        </w:rPr>
        <w:t>bromobutyl</w:t>
      </w:r>
      <w:proofErr w:type="spellEnd"/>
      <w:r w:rsidRPr="00384985">
        <w:rPr>
          <w:sz w:val="24"/>
          <w:szCs w:val="24"/>
        </w:rPr>
        <w:t xml:space="preserve"> gummi.</w:t>
      </w:r>
    </w:p>
    <w:p w14:paraId="60DA0AF6" w14:textId="15BE65A5" w:rsidR="00384985" w:rsidRPr="00384985" w:rsidRDefault="00384985" w:rsidP="00384985">
      <w:pPr>
        <w:tabs>
          <w:tab w:val="left" w:pos="851"/>
        </w:tabs>
        <w:ind w:left="851"/>
        <w:rPr>
          <w:sz w:val="24"/>
          <w:szCs w:val="24"/>
        </w:rPr>
      </w:pPr>
      <w:r w:rsidRPr="00384985">
        <w:rPr>
          <w:sz w:val="24"/>
          <w:szCs w:val="24"/>
        </w:rPr>
        <w:t>Kapslen er lavet af aluminium med en plast</w:t>
      </w:r>
      <w:r>
        <w:rPr>
          <w:sz w:val="24"/>
          <w:szCs w:val="24"/>
        </w:rPr>
        <w:t>f</w:t>
      </w:r>
      <w:r w:rsidRPr="00384985">
        <w:rPr>
          <w:sz w:val="24"/>
          <w:szCs w:val="24"/>
        </w:rPr>
        <w:t>orsegling til afrivning.</w:t>
      </w:r>
    </w:p>
    <w:p w14:paraId="27E36A37" w14:textId="77777777" w:rsidR="00384985" w:rsidRPr="00384985" w:rsidRDefault="00384985" w:rsidP="00384985">
      <w:pPr>
        <w:tabs>
          <w:tab w:val="left" w:pos="851"/>
        </w:tabs>
        <w:ind w:left="851"/>
        <w:rPr>
          <w:sz w:val="24"/>
          <w:szCs w:val="24"/>
        </w:rPr>
      </w:pPr>
    </w:p>
    <w:p w14:paraId="5A6E9A91" w14:textId="77777777" w:rsidR="00384985" w:rsidRPr="00384985" w:rsidRDefault="00384985" w:rsidP="00384985">
      <w:pPr>
        <w:tabs>
          <w:tab w:val="left" w:pos="851"/>
        </w:tabs>
        <w:ind w:left="851"/>
        <w:rPr>
          <w:sz w:val="24"/>
          <w:szCs w:val="24"/>
        </w:rPr>
      </w:pPr>
      <w:r w:rsidRPr="00384985">
        <w:rPr>
          <w:sz w:val="24"/>
          <w:szCs w:val="24"/>
        </w:rPr>
        <w:t>Pakningsstørrelser: 1, 5, 10, 20 hætteglas.</w:t>
      </w:r>
    </w:p>
    <w:p w14:paraId="602C9DAA" w14:textId="77777777" w:rsidR="00384985" w:rsidRPr="00384985" w:rsidRDefault="00384985" w:rsidP="00384985">
      <w:pPr>
        <w:tabs>
          <w:tab w:val="left" w:pos="851"/>
        </w:tabs>
        <w:ind w:left="851"/>
        <w:rPr>
          <w:sz w:val="24"/>
          <w:szCs w:val="24"/>
        </w:rPr>
      </w:pPr>
    </w:p>
    <w:p w14:paraId="2AA97FAA" w14:textId="77777777" w:rsidR="00384985" w:rsidRPr="00384985" w:rsidRDefault="00384985" w:rsidP="00384985">
      <w:pPr>
        <w:tabs>
          <w:tab w:val="left" w:pos="851"/>
        </w:tabs>
        <w:ind w:left="851"/>
        <w:rPr>
          <w:sz w:val="24"/>
          <w:szCs w:val="24"/>
        </w:rPr>
      </w:pPr>
      <w:r w:rsidRPr="00384985">
        <w:rPr>
          <w:sz w:val="24"/>
          <w:szCs w:val="24"/>
        </w:rPr>
        <w:t>Ikke alle pakningsstørrelser er nødvendigvis markedsført.</w:t>
      </w:r>
    </w:p>
    <w:p w14:paraId="5DCC7B44" w14:textId="77777777" w:rsidR="009260DE" w:rsidRPr="00C84483" w:rsidRDefault="009260DE" w:rsidP="009260DE">
      <w:pPr>
        <w:tabs>
          <w:tab w:val="left" w:pos="851"/>
        </w:tabs>
        <w:ind w:left="851"/>
        <w:rPr>
          <w:sz w:val="24"/>
          <w:szCs w:val="24"/>
        </w:rPr>
      </w:pPr>
    </w:p>
    <w:p w14:paraId="08A1CFF3"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750D3D12" w14:textId="77777777" w:rsidR="00384985" w:rsidRPr="00384985" w:rsidRDefault="00384985" w:rsidP="00384985">
      <w:pPr>
        <w:tabs>
          <w:tab w:val="left" w:pos="851"/>
        </w:tabs>
        <w:ind w:left="851"/>
        <w:rPr>
          <w:sz w:val="24"/>
          <w:szCs w:val="24"/>
        </w:rPr>
      </w:pPr>
      <w:r w:rsidRPr="00384985">
        <w:rPr>
          <w:sz w:val="24"/>
          <w:szCs w:val="24"/>
        </w:rPr>
        <w:t xml:space="preserve">Den </w:t>
      </w:r>
      <w:proofErr w:type="spellStart"/>
      <w:r w:rsidRPr="00384985">
        <w:rPr>
          <w:sz w:val="24"/>
          <w:szCs w:val="24"/>
        </w:rPr>
        <w:t>rekonstituerede</w:t>
      </w:r>
      <w:proofErr w:type="spellEnd"/>
      <w:r w:rsidRPr="00384985">
        <w:rPr>
          <w:sz w:val="24"/>
          <w:szCs w:val="24"/>
        </w:rPr>
        <w:t xml:space="preserve"> opløsning bør undersøges visuelt for partikler og misfarvning før administration. Der bør kun anvendes klar opløsning. Kun til engangsbrug.</w:t>
      </w:r>
    </w:p>
    <w:p w14:paraId="17ECD646" w14:textId="77777777" w:rsidR="00384985" w:rsidRPr="00384985" w:rsidRDefault="00384985" w:rsidP="00384985">
      <w:pPr>
        <w:tabs>
          <w:tab w:val="left" w:pos="851"/>
        </w:tabs>
        <w:ind w:left="851"/>
        <w:rPr>
          <w:sz w:val="24"/>
          <w:szCs w:val="24"/>
          <w:u w:val="single"/>
        </w:rPr>
      </w:pPr>
    </w:p>
    <w:p w14:paraId="73E50348" w14:textId="77777777" w:rsidR="00384985" w:rsidRPr="00384985" w:rsidRDefault="00384985" w:rsidP="00384985">
      <w:pPr>
        <w:tabs>
          <w:tab w:val="left" w:pos="851"/>
        </w:tabs>
        <w:ind w:left="851"/>
        <w:rPr>
          <w:sz w:val="24"/>
          <w:szCs w:val="24"/>
        </w:rPr>
      </w:pPr>
      <w:r w:rsidRPr="00384985">
        <w:rPr>
          <w:sz w:val="24"/>
          <w:szCs w:val="24"/>
        </w:rPr>
        <w:t>Ikke anvendt lægemiddel samt affald heraf skal bortskaffes i henhold til lokale retningslinjer.</w:t>
      </w:r>
    </w:p>
    <w:p w14:paraId="33BBE8C7" w14:textId="77777777" w:rsidR="00384985" w:rsidRPr="00384985" w:rsidRDefault="00384985" w:rsidP="00384985">
      <w:pPr>
        <w:tabs>
          <w:tab w:val="left" w:pos="851"/>
        </w:tabs>
        <w:ind w:left="851"/>
        <w:rPr>
          <w:sz w:val="24"/>
          <w:szCs w:val="24"/>
        </w:rPr>
      </w:pPr>
    </w:p>
    <w:p w14:paraId="4ADDEB71" w14:textId="77777777" w:rsidR="00384985" w:rsidRPr="00384985" w:rsidRDefault="00384985" w:rsidP="00384985">
      <w:pPr>
        <w:tabs>
          <w:tab w:val="left" w:pos="851"/>
        </w:tabs>
        <w:ind w:left="851"/>
        <w:rPr>
          <w:sz w:val="24"/>
          <w:szCs w:val="24"/>
          <w:u w:val="single"/>
        </w:rPr>
      </w:pPr>
      <w:r w:rsidRPr="00384985">
        <w:rPr>
          <w:sz w:val="24"/>
          <w:szCs w:val="24"/>
          <w:u w:val="single"/>
        </w:rPr>
        <w:t>Injektion 40 mg</w:t>
      </w:r>
    </w:p>
    <w:p w14:paraId="3E9E1D07" w14:textId="77777777" w:rsidR="00384985" w:rsidRPr="00384985" w:rsidRDefault="00384985" w:rsidP="00384985">
      <w:pPr>
        <w:tabs>
          <w:tab w:val="left" w:pos="851"/>
        </w:tabs>
        <w:ind w:left="851"/>
        <w:rPr>
          <w:sz w:val="24"/>
          <w:szCs w:val="24"/>
        </w:rPr>
      </w:pPr>
      <w:r w:rsidRPr="00384985">
        <w:rPr>
          <w:sz w:val="24"/>
          <w:szCs w:val="24"/>
        </w:rPr>
        <w:t xml:space="preserve">En opløsning til injektion (8 mg/ml) tilberedes ved at tilsætte 5 ml 0,9 % natriumklorid til intravenøs anvendelse til hætteglasset med </w:t>
      </w:r>
      <w:proofErr w:type="spellStart"/>
      <w:r w:rsidRPr="00384985">
        <w:rPr>
          <w:sz w:val="24"/>
          <w:szCs w:val="24"/>
        </w:rPr>
        <w:t>esomeprazol</w:t>
      </w:r>
      <w:proofErr w:type="spellEnd"/>
      <w:r w:rsidRPr="00384985">
        <w:rPr>
          <w:sz w:val="24"/>
          <w:szCs w:val="24"/>
        </w:rPr>
        <w:t xml:space="preserve"> 40 mg. </w:t>
      </w:r>
    </w:p>
    <w:p w14:paraId="04AF38BF" w14:textId="77777777" w:rsidR="00384985" w:rsidRPr="00384985" w:rsidRDefault="00384985" w:rsidP="00384985">
      <w:pPr>
        <w:tabs>
          <w:tab w:val="left" w:pos="851"/>
        </w:tabs>
        <w:ind w:left="851"/>
        <w:rPr>
          <w:sz w:val="24"/>
          <w:szCs w:val="24"/>
        </w:rPr>
      </w:pPr>
      <w:r w:rsidRPr="00384985">
        <w:rPr>
          <w:sz w:val="24"/>
          <w:szCs w:val="24"/>
        </w:rPr>
        <w:t>Den brugsfærdige opløsning til injektion er klar og farveløs eller meget svagt gullig.</w:t>
      </w:r>
    </w:p>
    <w:p w14:paraId="5120B5A7" w14:textId="77777777" w:rsidR="00384985" w:rsidRPr="00384985" w:rsidRDefault="00384985" w:rsidP="00384985">
      <w:pPr>
        <w:tabs>
          <w:tab w:val="left" w:pos="851"/>
        </w:tabs>
        <w:ind w:left="851"/>
        <w:rPr>
          <w:sz w:val="24"/>
          <w:szCs w:val="24"/>
        </w:rPr>
      </w:pPr>
      <w:r w:rsidRPr="00384985">
        <w:rPr>
          <w:sz w:val="24"/>
          <w:szCs w:val="24"/>
        </w:rPr>
        <w:tab/>
      </w:r>
    </w:p>
    <w:p w14:paraId="6EE59F55" w14:textId="77777777" w:rsidR="00384985" w:rsidRPr="000F5DFA" w:rsidRDefault="00384985" w:rsidP="00384985">
      <w:pPr>
        <w:tabs>
          <w:tab w:val="left" w:pos="851"/>
        </w:tabs>
        <w:ind w:left="851"/>
        <w:rPr>
          <w:sz w:val="24"/>
          <w:szCs w:val="24"/>
          <w:u w:val="single"/>
        </w:rPr>
      </w:pPr>
      <w:r w:rsidRPr="000F5DFA">
        <w:rPr>
          <w:sz w:val="24"/>
          <w:szCs w:val="24"/>
          <w:u w:val="single"/>
        </w:rPr>
        <w:t>Infusion 40 mg</w:t>
      </w:r>
    </w:p>
    <w:p w14:paraId="7C615730" w14:textId="77777777" w:rsidR="00384985" w:rsidRPr="00384985" w:rsidRDefault="00384985" w:rsidP="00384985">
      <w:pPr>
        <w:tabs>
          <w:tab w:val="left" w:pos="851"/>
        </w:tabs>
        <w:ind w:left="851"/>
        <w:rPr>
          <w:sz w:val="24"/>
          <w:szCs w:val="24"/>
        </w:rPr>
      </w:pPr>
      <w:r w:rsidRPr="00384985">
        <w:rPr>
          <w:sz w:val="24"/>
          <w:szCs w:val="24"/>
        </w:rPr>
        <w:t xml:space="preserve">En opløsning til infusion tilberedes ved at opløse indholdet af et hætteglas med </w:t>
      </w:r>
      <w:proofErr w:type="spellStart"/>
      <w:r w:rsidRPr="00384985">
        <w:rPr>
          <w:sz w:val="24"/>
          <w:szCs w:val="24"/>
        </w:rPr>
        <w:t>esomeprazol</w:t>
      </w:r>
      <w:proofErr w:type="spellEnd"/>
      <w:r w:rsidRPr="00384985">
        <w:rPr>
          <w:sz w:val="24"/>
          <w:szCs w:val="24"/>
        </w:rPr>
        <w:t xml:space="preserve"> 40 mg i op til 100 ml 0,9 % natriumklorid til intravenøs brug.</w:t>
      </w:r>
    </w:p>
    <w:p w14:paraId="3D5ABD34" w14:textId="77777777" w:rsidR="00384985" w:rsidRPr="00384985" w:rsidRDefault="00384985" w:rsidP="00384985">
      <w:pPr>
        <w:tabs>
          <w:tab w:val="left" w:pos="851"/>
        </w:tabs>
        <w:ind w:left="851"/>
        <w:rPr>
          <w:sz w:val="24"/>
          <w:szCs w:val="24"/>
        </w:rPr>
      </w:pPr>
    </w:p>
    <w:p w14:paraId="5D195BF7" w14:textId="77777777" w:rsidR="00384985" w:rsidRPr="00384985" w:rsidRDefault="00384985" w:rsidP="00384985">
      <w:pPr>
        <w:tabs>
          <w:tab w:val="left" w:pos="851"/>
        </w:tabs>
        <w:ind w:left="851"/>
        <w:rPr>
          <w:sz w:val="24"/>
          <w:szCs w:val="24"/>
          <w:u w:val="single"/>
        </w:rPr>
      </w:pPr>
      <w:r w:rsidRPr="00384985">
        <w:rPr>
          <w:sz w:val="24"/>
          <w:szCs w:val="24"/>
          <w:u w:val="single"/>
        </w:rPr>
        <w:t>Infusion 80 mg</w:t>
      </w:r>
    </w:p>
    <w:p w14:paraId="1ADD3AED" w14:textId="77777777" w:rsidR="00384985" w:rsidRPr="00384985" w:rsidRDefault="00384985" w:rsidP="00384985">
      <w:pPr>
        <w:tabs>
          <w:tab w:val="left" w:pos="851"/>
        </w:tabs>
        <w:ind w:left="851"/>
        <w:rPr>
          <w:sz w:val="24"/>
          <w:szCs w:val="24"/>
        </w:rPr>
      </w:pPr>
      <w:r w:rsidRPr="00384985">
        <w:rPr>
          <w:sz w:val="24"/>
          <w:szCs w:val="24"/>
        </w:rPr>
        <w:t xml:space="preserve">En opløsning til infusion tilberedes ved at opløse indholdet af to hætteglas med </w:t>
      </w:r>
      <w:proofErr w:type="spellStart"/>
      <w:r w:rsidRPr="00384985">
        <w:rPr>
          <w:sz w:val="24"/>
          <w:szCs w:val="24"/>
        </w:rPr>
        <w:t>esomeprazol</w:t>
      </w:r>
      <w:proofErr w:type="spellEnd"/>
      <w:r w:rsidRPr="00384985">
        <w:rPr>
          <w:sz w:val="24"/>
          <w:szCs w:val="24"/>
        </w:rPr>
        <w:t xml:space="preserve"> 40 mg i op til 100 ml 0,9 % natriumklorid til intravenøs brug.</w:t>
      </w:r>
    </w:p>
    <w:p w14:paraId="5882D979" w14:textId="77777777" w:rsidR="00384985" w:rsidRPr="00384985" w:rsidRDefault="00384985" w:rsidP="00384985">
      <w:pPr>
        <w:tabs>
          <w:tab w:val="left" w:pos="851"/>
        </w:tabs>
        <w:ind w:left="851"/>
        <w:rPr>
          <w:sz w:val="24"/>
          <w:szCs w:val="24"/>
        </w:rPr>
      </w:pPr>
      <w:r w:rsidRPr="00384985">
        <w:rPr>
          <w:sz w:val="24"/>
          <w:szCs w:val="24"/>
        </w:rPr>
        <w:t>Den brugsfærdige opløsning til infusion er klar og farveløs eller meget svagt gullig.</w:t>
      </w:r>
    </w:p>
    <w:p w14:paraId="74BD8751" w14:textId="77777777" w:rsidR="009260DE" w:rsidRPr="00C84483" w:rsidRDefault="009260DE" w:rsidP="000730CA">
      <w:pPr>
        <w:tabs>
          <w:tab w:val="left" w:pos="851"/>
        </w:tabs>
        <w:ind w:left="851"/>
        <w:rPr>
          <w:sz w:val="24"/>
          <w:szCs w:val="24"/>
        </w:rPr>
      </w:pPr>
    </w:p>
    <w:p w14:paraId="25FD1FF2" w14:textId="77777777" w:rsidR="009260DE" w:rsidRPr="00C84483" w:rsidRDefault="009260DE" w:rsidP="009260DE">
      <w:pPr>
        <w:tabs>
          <w:tab w:val="left" w:pos="851"/>
        </w:tabs>
        <w:ind w:left="851" w:hanging="851"/>
        <w:rPr>
          <w:b/>
          <w:sz w:val="24"/>
          <w:szCs w:val="24"/>
        </w:rPr>
      </w:pPr>
      <w:r w:rsidRPr="00C84483">
        <w:rPr>
          <w:b/>
          <w:sz w:val="24"/>
          <w:szCs w:val="24"/>
        </w:rPr>
        <w:lastRenderedPageBreak/>
        <w:t>7.</w:t>
      </w:r>
      <w:r w:rsidRPr="00C84483">
        <w:rPr>
          <w:b/>
          <w:sz w:val="24"/>
          <w:szCs w:val="24"/>
        </w:rPr>
        <w:tab/>
        <w:t>INDEHAVER AF MARKEDSFØRINGSTILLADELSEN</w:t>
      </w:r>
    </w:p>
    <w:p w14:paraId="1B9A388D" w14:textId="045AAD74" w:rsidR="000F5DFA" w:rsidRPr="007D3F9F" w:rsidRDefault="000F5DFA" w:rsidP="000F5DFA">
      <w:pPr>
        <w:tabs>
          <w:tab w:val="left" w:pos="851"/>
        </w:tabs>
        <w:ind w:left="851"/>
        <w:rPr>
          <w:sz w:val="24"/>
          <w:szCs w:val="24"/>
        </w:rPr>
      </w:pPr>
      <w:r w:rsidRPr="007D3F9F">
        <w:rPr>
          <w:sz w:val="24"/>
          <w:szCs w:val="24"/>
        </w:rPr>
        <w:t xml:space="preserve">DEMO S.A. </w:t>
      </w:r>
      <w:proofErr w:type="spellStart"/>
      <w:r w:rsidRPr="007D3F9F">
        <w:rPr>
          <w:sz w:val="24"/>
          <w:szCs w:val="24"/>
        </w:rPr>
        <w:t>Pharmaceut</w:t>
      </w:r>
      <w:r w:rsidR="001B26AF" w:rsidRPr="007D3F9F">
        <w:rPr>
          <w:sz w:val="24"/>
          <w:szCs w:val="24"/>
        </w:rPr>
        <w:t>i</w:t>
      </w:r>
      <w:r w:rsidRPr="007D3F9F">
        <w:rPr>
          <w:sz w:val="24"/>
          <w:szCs w:val="24"/>
        </w:rPr>
        <w:t>cal</w:t>
      </w:r>
      <w:proofErr w:type="spellEnd"/>
      <w:r w:rsidRPr="007D3F9F">
        <w:rPr>
          <w:sz w:val="24"/>
          <w:szCs w:val="24"/>
        </w:rPr>
        <w:t xml:space="preserve"> Industri</w:t>
      </w:r>
    </w:p>
    <w:p w14:paraId="06782E47" w14:textId="63BCEB72" w:rsidR="000F5DFA" w:rsidRPr="000F5DFA" w:rsidRDefault="000F5DFA" w:rsidP="000F5DFA">
      <w:pPr>
        <w:tabs>
          <w:tab w:val="left" w:pos="851"/>
        </w:tabs>
        <w:ind w:left="851"/>
        <w:rPr>
          <w:sz w:val="24"/>
          <w:szCs w:val="24"/>
          <w:lang w:val="en-US"/>
        </w:rPr>
      </w:pPr>
      <w:r w:rsidRPr="000F5DFA">
        <w:rPr>
          <w:sz w:val="24"/>
          <w:szCs w:val="24"/>
          <w:lang w:val="en-US"/>
        </w:rPr>
        <w:t>21st Km National Road Athens</w:t>
      </w:r>
      <w:r w:rsidR="00045B8D">
        <w:rPr>
          <w:sz w:val="24"/>
          <w:szCs w:val="24"/>
          <w:lang w:val="en-US"/>
        </w:rPr>
        <w:t>-</w:t>
      </w:r>
      <w:r w:rsidRPr="000F5DFA">
        <w:rPr>
          <w:sz w:val="24"/>
          <w:szCs w:val="24"/>
          <w:lang w:val="en-US"/>
        </w:rPr>
        <w:t>Lamia</w:t>
      </w:r>
    </w:p>
    <w:p w14:paraId="4B93FDFC" w14:textId="5C024E08" w:rsidR="000F5DFA" w:rsidRPr="000F5DFA" w:rsidRDefault="000F5DFA" w:rsidP="000F5DFA">
      <w:pPr>
        <w:tabs>
          <w:tab w:val="left" w:pos="851"/>
        </w:tabs>
        <w:ind w:left="851"/>
        <w:rPr>
          <w:sz w:val="24"/>
          <w:szCs w:val="24"/>
          <w:lang w:val="sv-SE"/>
        </w:rPr>
      </w:pPr>
      <w:proofErr w:type="gramStart"/>
      <w:r w:rsidRPr="000F5DFA">
        <w:rPr>
          <w:sz w:val="24"/>
          <w:szCs w:val="24"/>
          <w:lang w:val="sv-SE"/>
        </w:rPr>
        <w:t>14568</w:t>
      </w:r>
      <w:proofErr w:type="gramEnd"/>
      <w:r w:rsidRPr="000F5DFA">
        <w:rPr>
          <w:sz w:val="24"/>
          <w:szCs w:val="24"/>
          <w:lang w:val="sv-SE"/>
        </w:rPr>
        <w:t xml:space="preserve"> </w:t>
      </w:r>
      <w:proofErr w:type="spellStart"/>
      <w:r w:rsidRPr="000F5DFA">
        <w:rPr>
          <w:sz w:val="24"/>
          <w:szCs w:val="24"/>
          <w:lang w:val="sv-SE"/>
        </w:rPr>
        <w:t>Krioneri</w:t>
      </w:r>
      <w:proofErr w:type="spellEnd"/>
      <w:r w:rsidRPr="000F5DFA">
        <w:rPr>
          <w:sz w:val="24"/>
          <w:szCs w:val="24"/>
          <w:lang w:val="sv-SE"/>
        </w:rPr>
        <w:t xml:space="preserve">, </w:t>
      </w:r>
      <w:proofErr w:type="spellStart"/>
      <w:r w:rsidRPr="000F5DFA">
        <w:rPr>
          <w:sz w:val="24"/>
          <w:szCs w:val="24"/>
          <w:lang w:val="sv-SE"/>
        </w:rPr>
        <w:t>Attiki</w:t>
      </w:r>
      <w:proofErr w:type="spellEnd"/>
    </w:p>
    <w:p w14:paraId="07837C20" w14:textId="77777777" w:rsidR="000F5DFA" w:rsidRPr="000F5DFA" w:rsidRDefault="000F5DFA" w:rsidP="000F5DFA">
      <w:pPr>
        <w:tabs>
          <w:tab w:val="left" w:pos="851"/>
        </w:tabs>
        <w:ind w:left="851"/>
        <w:rPr>
          <w:sz w:val="24"/>
          <w:szCs w:val="24"/>
          <w:lang w:val="de-AT"/>
        </w:rPr>
      </w:pPr>
      <w:proofErr w:type="spellStart"/>
      <w:r w:rsidRPr="000F5DFA">
        <w:rPr>
          <w:sz w:val="24"/>
          <w:szCs w:val="24"/>
          <w:lang w:val="de-AT"/>
        </w:rPr>
        <w:t>Grækenland</w:t>
      </w:r>
      <w:proofErr w:type="spellEnd"/>
    </w:p>
    <w:p w14:paraId="1643D396" w14:textId="77777777" w:rsidR="009260DE" w:rsidRDefault="009260DE" w:rsidP="009260DE">
      <w:pPr>
        <w:tabs>
          <w:tab w:val="left" w:pos="851"/>
        </w:tabs>
        <w:ind w:left="851"/>
        <w:rPr>
          <w:sz w:val="24"/>
          <w:szCs w:val="24"/>
        </w:rPr>
      </w:pPr>
    </w:p>
    <w:p w14:paraId="4318EF0B" w14:textId="77777777" w:rsidR="00641C65" w:rsidRDefault="00641C65" w:rsidP="009260DE">
      <w:pPr>
        <w:tabs>
          <w:tab w:val="left" w:pos="851"/>
        </w:tabs>
        <w:ind w:left="851"/>
        <w:rPr>
          <w:sz w:val="24"/>
          <w:szCs w:val="24"/>
        </w:rPr>
      </w:pPr>
      <w:r>
        <w:rPr>
          <w:b/>
          <w:sz w:val="24"/>
          <w:szCs w:val="24"/>
        </w:rPr>
        <w:t>Repræsentant</w:t>
      </w:r>
    </w:p>
    <w:p w14:paraId="486437D9" w14:textId="77777777" w:rsidR="000F5DFA" w:rsidRPr="000F5DFA" w:rsidRDefault="000F5DFA" w:rsidP="000F5DFA">
      <w:pPr>
        <w:tabs>
          <w:tab w:val="left" w:pos="851"/>
        </w:tabs>
        <w:ind w:left="851"/>
        <w:rPr>
          <w:sz w:val="24"/>
          <w:szCs w:val="24"/>
          <w:lang w:val="sv-SE"/>
        </w:rPr>
      </w:pPr>
      <w:r w:rsidRPr="000F5DFA">
        <w:rPr>
          <w:sz w:val="24"/>
          <w:szCs w:val="24"/>
          <w:lang w:val="sv-SE"/>
        </w:rPr>
        <w:t>FrostPharma AB</w:t>
      </w:r>
    </w:p>
    <w:p w14:paraId="47BF5925" w14:textId="77777777" w:rsidR="000F5DFA" w:rsidRPr="000F5DFA" w:rsidRDefault="000F5DFA" w:rsidP="000F5DFA">
      <w:pPr>
        <w:tabs>
          <w:tab w:val="left" w:pos="851"/>
        </w:tabs>
        <w:ind w:left="851"/>
        <w:rPr>
          <w:sz w:val="24"/>
          <w:szCs w:val="24"/>
          <w:lang w:val="sv-SE"/>
        </w:rPr>
      </w:pPr>
      <w:r w:rsidRPr="000F5DFA">
        <w:rPr>
          <w:sz w:val="24"/>
          <w:szCs w:val="24"/>
          <w:lang w:val="sv-SE"/>
        </w:rPr>
        <w:t>Berga Backe 2</w:t>
      </w:r>
    </w:p>
    <w:p w14:paraId="12CBCE11" w14:textId="77777777" w:rsidR="000F5DFA" w:rsidRPr="000F5DFA" w:rsidRDefault="000F5DFA" w:rsidP="000F5DFA">
      <w:pPr>
        <w:tabs>
          <w:tab w:val="left" w:pos="851"/>
        </w:tabs>
        <w:ind w:left="851"/>
        <w:rPr>
          <w:sz w:val="24"/>
          <w:szCs w:val="24"/>
        </w:rPr>
      </w:pPr>
      <w:r w:rsidRPr="000F5DFA">
        <w:rPr>
          <w:sz w:val="24"/>
          <w:szCs w:val="24"/>
        </w:rPr>
        <w:t xml:space="preserve">182 53 </w:t>
      </w:r>
      <w:proofErr w:type="spellStart"/>
      <w:r w:rsidRPr="000F5DFA">
        <w:rPr>
          <w:sz w:val="24"/>
          <w:szCs w:val="24"/>
        </w:rPr>
        <w:t>Danderyd</w:t>
      </w:r>
      <w:proofErr w:type="spellEnd"/>
    </w:p>
    <w:p w14:paraId="2FAD0BB0" w14:textId="77777777" w:rsidR="000F5DFA" w:rsidRPr="000F5DFA" w:rsidRDefault="000F5DFA" w:rsidP="000F5DFA">
      <w:pPr>
        <w:tabs>
          <w:tab w:val="left" w:pos="851"/>
        </w:tabs>
        <w:ind w:left="851"/>
        <w:rPr>
          <w:sz w:val="24"/>
          <w:szCs w:val="24"/>
        </w:rPr>
      </w:pPr>
      <w:r w:rsidRPr="000F5DFA">
        <w:rPr>
          <w:sz w:val="24"/>
          <w:szCs w:val="24"/>
        </w:rPr>
        <w:t>Sverige</w:t>
      </w:r>
    </w:p>
    <w:p w14:paraId="7E4ECD8A" w14:textId="77777777" w:rsidR="00641C65" w:rsidRPr="00641C65" w:rsidRDefault="00641C65" w:rsidP="009260DE">
      <w:pPr>
        <w:tabs>
          <w:tab w:val="left" w:pos="851"/>
        </w:tabs>
        <w:ind w:left="851"/>
        <w:rPr>
          <w:sz w:val="24"/>
          <w:szCs w:val="24"/>
        </w:rPr>
      </w:pPr>
    </w:p>
    <w:p w14:paraId="30302B02"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2EEB994" w14:textId="2C16D0B3" w:rsidR="009260DE" w:rsidRPr="00C84483" w:rsidRDefault="000F5DFA" w:rsidP="009260DE">
      <w:pPr>
        <w:tabs>
          <w:tab w:val="left" w:pos="851"/>
        </w:tabs>
        <w:ind w:left="851"/>
        <w:rPr>
          <w:sz w:val="24"/>
          <w:szCs w:val="24"/>
        </w:rPr>
      </w:pPr>
      <w:r>
        <w:rPr>
          <w:sz w:val="24"/>
          <w:szCs w:val="24"/>
        </w:rPr>
        <w:t>72174</w:t>
      </w:r>
    </w:p>
    <w:p w14:paraId="5B52320A" w14:textId="77777777" w:rsidR="009260DE" w:rsidRPr="00C84483" w:rsidRDefault="009260DE" w:rsidP="009260DE">
      <w:pPr>
        <w:tabs>
          <w:tab w:val="left" w:pos="851"/>
        </w:tabs>
        <w:ind w:left="851"/>
        <w:jc w:val="both"/>
        <w:rPr>
          <w:sz w:val="24"/>
          <w:szCs w:val="24"/>
        </w:rPr>
      </w:pPr>
    </w:p>
    <w:p w14:paraId="7B568A36"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42013EFD" w14:textId="205C6433" w:rsidR="009260DE" w:rsidRPr="00C84483" w:rsidRDefault="007D3F9F" w:rsidP="009260DE">
      <w:pPr>
        <w:tabs>
          <w:tab w:val="left" w:pos="851"/>
        </w:tabs>
        <w:ind w:left="851"/>
        <w:rPr>
          <w:sz w:val="24"/>
          <w:szCs w:val="24"/>
        </w:rPr>
      </w:pPr>
      <w:r>
        <w:rPr>
          <w:sz w:val="24"/>
          <w:szCs w:val="24"/>
        </w:rPr>
        <w:t>22. oktober 2025</w:t>
      </w:r>
    </w:p>
    <w:p w14:paraId="44DA560A" w14:textId="77777777" w:rsidR="009260DE" w:rsidRPr="00C84483" w:rsidRDefault="009260DE" w:rsidP="009260DE">
      <w:pPr>
        <w:tabs>
          <w:tab w:val="left" w:pos="851"/>
        </w:tabs>
        <w:ind w:left="851"/>
        <w:rPr>
          <w:sz w:val="24"/>
          <w:szCs w:val="24"/>
        </w:rPr>
      </w:pPr>
    </w:p>
    <w:p w14:paraId="07238737"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9070AB0" w14:textId="14561B26" w:rsidR="009260DE" w:rsidRPr="00C84483" w:rsidRDefault="00465661" w:rsidP="009260DE">
      <w:pPr>
        <w:tabs>
          <w:tab w:val="left" w:pos="851"/>
        </w:tabs>
        <w:ind w:left="851"/>
        <w:rPr>
          <w:sz w:val="24"/>
          <w:szCs w:val="24"/>
        </w:rPr>
      </w:pPr>
      <w:r>
        <w:rPr>
          <w:sz w:val="24"/>
          <w:szCs w:val="24"/>
        </w:rPr>
        <w:t>11. november 2025</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F181B" w14:textId="77777777" w:rsidR="00384985" w:rsidRDefault="00384985">
      <w:r>
        <w:separator/>
      </w:r>
    </w:p>
  </w:endnote>
  <w:endnote w:type="continuationSeparator" w:id="0">
    <w:p w14:paraId="5F51758B" w14:textId="77777777" w:rsidR="00384985" w:rsidRDefault="0038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285C" w14:textId="77777777" w:rsidR="00384985" w:rsidRDefault="00384985">
    <w:pPr>
      <w:pStyle w:val="Sidefod"/>
      <w:pBdr>
        <w:bottom w:val="single" w:sz="6" w:space="1" w:color="auto"/>
      </w:pBdr>
    </w:pPr>
  </w:p>
  <w:p w14:paraId="4B4222B8" w14:textId="77777777" w:rsidR="00384985" w:rsidRDefault="00384985" w:rsidP="00C42586">
    <w:pPr>
      <w:pStyle w:val="Sidefod"/>
      <w:tabs>
        <w:tab w:val="clear" w:pos="4819"/>
        <w:tab w:val="left" w:pos="8505"/>
      </w:tabs>
      <w:rPr>
        <w:i/>
        <w:sz w:val="18"/>
        <w:szCs w:val="18"/>
      </w:rPr>
    </w:pPr>
  </w:p>
  <w:p w14:paraId="433AC9C1" w14:textId="210CAB43" w:rsidR="00384985" w:rsidRPr="00B373D7" w:rsidRDefault="00384985"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D8145C">
      <w:rPr>
        <w:i/>
        <w:noProof/>
        <w:sz w:val="18"/>
        <w:szCs w:val="18"/>
      </w:rPr>
      <w:t>Esomeprazole Demo S.A., pulver til injektions--infusionsvæske, opløsning 40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97ED1" w14:textId="77777777" w:rsidR="00384985" w:rsidRDefault="00384985">
      <w:r>
        <w:separator/>
      </w:r>
    </w:p>
  </w:footnote>
  <w:footnote w:type="continuationSeparator" w:id="0">
    <w:p w14:paraId="47A00EDF" w14:textId="77777777" w:rsidR="00384985" w:rsidRDefault="00384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72BD"/>
    <w:multiLevelType w:val="hybridMultilevel"/>
    <w:tmpl w:val="3A761306"/>
    <w:lvl w:ilvl="0" w:tplc="FFFFFFFF">
      <w:start w:val="1"/>
      <w:numFmt w:val="bullet"/>
      <w:lvlText w:val=""/>
      <w:lvlJc w:val="left"/>
      <w:pPr>
        <w:tabs>
          <w:tab w:val="num" w:pos="229"/>
        </w:tabs>
        <w:ind w:left="229" w:hanging="360"/>
      </w:pPr>
      <w:rPr>
        <w:rFonts w:ascii="Symbol" w:hAnsi="Symbol" w:cs="Times New Roman" w:hint="default"/>
      </w:rPr>
    </w:lvl>
    <w:lvl w:ilvl="1" w:tplc="041D0001">
      <w:start w:val="1"/>
      <w:numFmt w:val="bullet"/>
      <w:lvlText w:val=""/>
      <w:lvlJc w:val="left"/>
      <w:pPr>
        <w:ind w:left="1080" w:hanging="360"/>
      </w:pPr>
      <w:rPr>
        <w:rFonts w:ascii="Symbol" w:hAnsi="Symbol" w:hint="default"/>
      </w:rPr>
    </w:lvl>
    <w:lvl w:ilvl="2" w:tplc="FFFFFFFF">
      <w:start w:val="1"/>
      <w:numFmt w:val="bullet"/>
      <w:lvlText w:val=""/>
      <w:lvlJc w:val="left"/>
      <w:pPr>
        <w:tabs>
          <w:tab w:val="num" w:pos="1669"/>
        </w:tabs>
        <w:ind w:left="1669" w:hanging="360"/>
      </w:pPr>
      <w:rPr>
        <w:rFonts w:ascii="Wingdings" w:hAnsi="Wingdings" w:cs="Times New Roman" w:hint="default"/>
      </w:rPr>
    </w:lvl>
    <w:lvl w:ilvl="3" w:tplc="FFFFFFFF">
      <w:start w:val="1"/>
      <w:numFmt w:val="bullet"/>
      <w:lvlText w:val=""/>
      <w:lvlJc w:val="left"/>
      <w:pPr>
        <w:tabs>
          <w:tab w:val="num" w:pos="2389"/>
        </w:tabs>
        <w:ind w:left="2389" w:hanging="360"/>
      </w:pPr>
      <w:rPr>
        <w:rFonts w:ascii="Symbol" w:hAnsi="Symbol" w:cs="Times New Roman" w:hint="default"/>
      </w:rPr>
    </w:lvl>
    <w:lvl w:ilvl="4" w:tplc="FFFFFFFF">
      <w:start w:val="1"/>
      <w:numFmt w:val="bullet"/>
      <w:lvlText w:val="o"/>
      <w:lvlJc w:val="left"/>
      <w:pPr>
        <w:tabs>
          <w:tab w:val="num" w:pos="3109"/>
        </w:tabs>
        <w:ind w:left="3109" w:hanging="360"/>
      </w:pPr>
      <w:rPr>
        <w:rFonts w:ascii="Courier New" w:hAnsi="Courier New" w:cs="Courier New" w:hint="default"/>
      </w:rPr>
    </w:lvl>
    <w:lvl w:ilvl="5" w:tplc="FFFFFFFF">
      <w:start w:val="1"/>
      <w:numFmt w:val="bullet"/>
      <w:lvlText w:val=""/>
      <w:lvlJc w:val="left"/>
      <w:pPr>
        <w:tabs>
          <w:tab w:val="num" w:pos="3829"/>
        </w:tabs>
        <w:ind w:left="3829" w:hanging="360"/>
      </w:pPr>
      <w:rPr>
        <w:rFonts w:ascii="Wingdings" w:hAnsi="Wingdings" w:cs="Times New Roman" w:hint="default"/>
      </w:rPr>
    </w:lvl>
    <w:lvl w:ilvl="6" w:tplc="FFFFFFFF">
      <w:start w:val="1"/>
      <w:numFmt w:val="bullet"/>
      <w:lvlText w:val=""/>
      <w:lvlJc w:val="left"/>
      <w:pPr>
        <w:tabs>
          <w:tab w:val="num" w:pos="4549"/>
        </w:tabs>
        <w:ind w:left="4549" w:hanging="360"/>
      </w:pPr>
      <w:rPr>
        <w:rFonts w:ascii="Symbol" w:hAnsi="Symbol" w:cs="Times New Roman" w:hint="default"/>
      </w:rPr>
    </w:lvl>
    <w:lvl w:ilvl="7" w:tplc="FFFFFFFF">
      <w:start w:val="1"/>
      <w:numFmt w:val="bullet"/>
      <w:lvlText w:val="o"/>
      <w:lvlJc w:val="left"/>
      <w:pPr>
        <w:tabs>
          <w:tab w:val="num" w:pos="5269"/>
        </w:tabs>
        <w:ind w:left="5269" w:hanging="360"/>
      </w:pPr>
      <w:rPr>
        <w:rFonts w:ascii="Courier New" w:hAnsi="Courier New" w:cs="Courier New" w:hint="default"/>
      </w:rPr>
    </w:lvl>
    <w:lvl w:ilvl="8" w:tplc="FFFFFFFF">
      <w:start w:val="1"/>
      <w:numFmt w:val="bullet"/>
      <w:lvlText w:val=""/>
      <w:lvlJc w:val="left"/>
      <w:pPr>
        <w:tabs>
          <w:tab w:val="num" w:pos="5989"/>
        </w:tabs>
        <w:ind w:left="5989" w:hanging="360"/>
      </w:pPr>
      <w:rPr>
        <w:rFonts w:ascii="Wingdings" w:hAnsi="Wingdings" w:cs="Times New Roman" w:hint="default"/>
      </w:rPr>
    </w:lvl>
  </w:abstractNum>
  <w:abstractNum w:abstractNumId="1" w15:restartNumberingAfterBreak="0">
    <w:nsid w:val="13F1353D"/>
    <w:multiLevelType w:val="hybridMultilevel"/>
    <w:tmpl w:val="47447684"/>
    <w:lvl w:ilvl="0" w:tplc="04090001">
      <w:start w:val="1"/>
      <w:numFmt w:val="bullet"/>
      <w:lvlText w:val=""/>
      <w:lvlJc w:val="left"/>
      <w:pPr>
        <w:tabs>
          <w:tab w:val="num" w:pos="229"/>
        </w:tabs>
        <w:ind w:left="229" w:hanging="360"/>
      </w:pPr>
      <w:rPr>
        <w:rFonts w:ascii="Symbol" w:hAnsi="Symbol" w:cs="Times New Roman" w:hint="default"/>
      </w:rPr>
    </w:lvl>
    <w:lvl w:ilvl="1" w:tplc="04090003">
      <w:start w:val="1"/>
      <w:numFmt w:val="bullet"/>
      <w:lvlText w:val="o"/>
      <w:lvlJc w:val="left"/>
      <w:pPr>
        <w:tabs>
          <w:tab w:val="num" w:pos="949"/>
        </w:tabs>
        <w:ind w:left="949" w:hanging="360"/>
      </w:pPr>
      <w:rPr>
        <w:rFonts w:ascii="Courier New" w:hAnsi="Courier New" w:cs="Courier New" w:hint="default"/>
      </w:rPr>
    </w:lvl>
    <w:lvl w:ilvl="2" w:tplc="04090005">
      <w:start w:val="1"/>
      <w:numFmt w:val="bullet"/>
      <w:lvlText w:val=""/>
      <w:lvlJc w:val="left"/>
      <w:pPr>
        <w:tabs>
          <w:tab w:val="num" w:pos="1669"/>
        </w:tabs>
        <w:ind w:left="1669" w:hanging="360"/>
      </w:pPr>
      <w:rPr>
        <w:rFonts w:ascii="Wingdings" w:hAnsi="Wingdings" w:cs="Times New Roman" w:hint="default"/>
      </w:rPr>
    </w:lvl>
    <w:lvl w:ilvl="3" w:tplc="04090001">
      <w:start w:val="1"/>
      <w:numFmt w:val="bullet"/>
      <w:lvlText w:val=""/>
      <w:lvlJc w:val="left"/>
      <w:pPr>
        <w:tabs>
          <w:tab w:val="num" w:pos="2389"/>
        </w:tabs>
        <w:ind w:left="2389" w:hanging="360"/>
      </w:pPr>
      <w:rPr>
        <w:rFonts w:ascii="Symbol" w:hAnsi="Symbol" w:cs="Times New Roman" w:hint="default"/>
      </w:rPr>
    </w:lvl>
    <w:lvl w:ilvl="4" w:tplc="04090003">
      <w:start w:val="1"/>
      <w:numFmt w:val="bullet"/>
      <w:lvlText w:val="o"/>
      <w:lvlJc w:val="left"/>
      <w:pPr>
        <w:tabs>
          <w:tab w:val="num" w:pos="3109"/>
        </w:tabs>
        <w:ind w:left="3109" w:hanging="360"/>
      </w:pPr>
      <w:rPr>
        <w:rFonts w:ascii="Courier New" w:hAnsi="Courier New" w:cs="Courier New" w:hint="default"/>
      </w:rPr>
    </w:lvl>
    <w:lvl w:ilvl="5" w:tplc="04090005">
      <w:start w:val="1"/>
      <w:numFmt w:val="bullet"/>
      <w:lvlText w:val=""/>
      <w:lvlJc w:val="left"/>
      <w:pPr>
        <w:tabs>
          <w:tab w:val="num" w:pos="3829"/>
        </w:tabs>
        <w:ind w:left="3829" w:hanging="360"/>
      </w:pPr>
      <w:rPr>
        <w:rFonts w:ascii="Wingdings" w:hAnsi="Wingdings" w:cs="Times New Roman" w:hint="default"/>
      </w:rPr>
    </w:lvl>
    <w:lvl w:ilvl="6" w:tplc="04090001">
      <w:start w:val="1"/>
      <w:numFmt w:val="bullet"/>
      <w:lvlText w:val=""/>
      <w:lvlJc w:val="left"/>
      <w:pPr>
        <w:tabs>
          <w:tab w:val="num" w:pos="4549"/>
        </w:tabs>
        <w:ind w:left="4549" w:hanging="360"/>
      </w:pPr>
      <w:rPr>
        <w:rFonts w:ascii="Symbol" w:hAnsi="Symbol" w:cs="Times New Roman" w:hint="default"/>
      </w:rPr>
    </w:lvl>
    <w:lvl w:ilvl="7" w:tplc="04090003">
      <w:start w:val="1"/>
      <w:numFmt w:val="bullet"/>
      <w:lvlText w:val="o"/>
      <w:lvlJc w:val="left"/>
      <w:pPr>
        <w:tabs>
          <w:tab w:val="num" w:pos="5269"/>
        </w:tabs>
        <w:ind w:left="5269" w:hanging="360"/>
      </w:pPr>
      <w:rPr>
        <w:rFonts w:ascii="Courier New" w:hAnsi="Courier New" w:cs="Courier New" w:hint="default"/>
      </w:rPr>
    </w:lvl>
    <w:lvl w:ilvl="8" w:tplc="04090005">
      <w:start w:val="1"/>
      <w:numFmt w:val="bullet"/>
      <w:lvlText w:val=""/>
      <w:lvlJc w:val="left"/>
      <w:pPr>
        <w:tabs>
          <w:tab w:val="num" w:pos="5989"/>
        </w:tabs>
        <w:ind w:left="5989" w:hanging="360"/>
      </w:pPr>
      <w:rPr>
        <w:rFonts w:ascii="Wingdings" w:hAnsi="Wingdings" w:cs="Times New Roman"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1BB3C31"/>
    <w:multiLevelType w:val="hybridMultilevel"/>
    <w:tmpl w:val="84B213BA"/>
    <w:lvl w:ilvl="0" w:tplc="20000001">
      <w:start w:val="1"/>
      <w:numFmt w:val="bullet"/>
      <w:lvlText w:val=""/>
      <w:lvlJc w:val="left"/>
      <w:pPr>
        <w:ind w:left="360" w:hanging="360"/>
      </w:pPr>
      <w:rPr>
        <w:rFonts w:ascii="Symbol" w:hAnsi="Symbol" w:hint="default"/>
      </w:rPr>
    </w:lvl>
    <w:lvl w:ilvl="1" w:tplc="0D8AB5DE">
      <w:numFmt w:val="bullet"/>
      <w:lvlText w:val="-"/>
      <w:lvlJc w:val="left"/>
      <w:pPr>
        <w:ind w:left="1080" w:hanging="360"/>
      </w:pPr>
      <w:rPr>
        <w:rFonts w:ascii="Times New Roman" w:eastAsia="Times New Roman" w:hAnsi="Times New Roman" w:cs="Times New Roman"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B6947BB"/>
    <w:multiLevelType w:val="hybridMultilevel"/>
    <w:tmpl w:val="4F90DC78"/>
    <w:lvl w:ilvl="0" w:tplc="FFFFFFFF">
      <w:start w:val="1"/>
      <w:numFmt w:val="bullet"/>
      <w:lvlText w:val=""/>
      <w:lvlJc w:val="left"/>
      <w:pPr>
        <w:ind w:left="36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9B"/>
    <w:rsid w:val="000259B9"/>
    <w:rsid w:val="00041491"/>
    <w:rsid w:val="00045B8D"/>
    <w:rsid w:val="00050D16"/>
    <w:rsid w:val="000730CA"/>
    <w:rsid w:val="00074F2A"/>
    <w:rsid w:val="000A1CA8"/>
    <w:rsid w:val="000A466B"/>
    <w:rsid w:val="000B058C"/>
    <w:rsid w:val="000D68B0"/>
    <w:rsid w:val="000E4EE6"/>
    <w:rsid w:val="000F5DFA"/>
    <w:rsid w:val="001443AA"/>
    <w:rsid w:val="001454E2"/>
    <w:rsid w:val="001B26AF"/>
    <w:rsid w:val="001B66B9"/>
    <w:rsid w:val="001B6C98"/>
    <w:rsid w:val="00206CE8"/>
    <w:rsid w:val="0021526C"/>
    <w:rsid w:val="00264CAE"/>
    <w:rsid w:val="00283A2B"/>
    <w:rsid w:val="002B30AD"/>
    <w:rsid w:val="002C1EC0"/>
    <w:rsid w:val="002C2C01"/>
    <w:rsid w:val="00384985"/>
    <w:rsid w:val="003A29AE"/>
    <w:rsid w:val="003A32D7"/>
    <w:rsid w:val="003B0D92"/>
    <w:rsid w:val="003B4074"/>
    <w:rsid w:val="003C769A"/>
    <w:rsid w:val="003D3A90"/>
    <w:rsid w:val="003F1838"/>
    <w:rsid w:val="004251C1"/>
    <w:rsid w:val="0045746C"/>
    <w:rsid w:val="00465661"/>
    <w:rsid w:val="0049104B"/>
    <w:rsid w:val="004B0981"/>
    <w:rsid w:val="004E3B12"/>
    <w:rsid w:val="00532310"/>
    <w:rsid w:val="00565F0F"/>
    <w:rsid w:val="00594A86"/>
    <w:rsid w:val="00596D86"/>
    <w:rsid w:val="005C4198"/>
    <w:rsid w:val="005F495A"/>
    <w:rsid w:val="00637F5A"/>
    <w:rsid w:val="00641C65"/>
    <w:rsid w:val="006560B1"/>
    <w:rsid w:val="006756DD"/>
    <w:rsid w:val="0071241E"/>
    <w:rsid w:val="00737275"/>
    <w:rsid w:val="00740EEC"/>
    <w:rsid w:val="0078011A"/>
    <w:rsid w:val="00782AF4"/>
    <w:rsid w:val="00790EE7"/>
    <w:rsid w:val="007A4DC4"/>
    <w:rsid w:val="007B6649"/>
    <w:rsid w:val="007D3F9F"/>
    <w:rsid w:val="0082576E"/>
    <w:rsid w:val="0085489B"/>
    <w:rsid w:val="0089346F"/>
    <w:rsid w:val="008D5EB9"/>
    <w:rsid w:val="00907F75"/>
    <w:rsid w:val="009260DE"/>
    <w:rsid w:val="0093258A"/>
    <w:rsid w:val="009C7BA3"/>
    <w:rsid w:val="009D1F5A"/>
    <w:rsid w:val="00A10294"/>
    <w:rsid w:val="00A76D23"/>
    <w:rsid w:val="00B003BF"/>
    <w:rsid w:val="00B373D7"/>
    <w:rsid w:val="00B55271"/>
    <w:rsid w:val="00BD7931"/>
    <w:rsid w:val="00BF6243"/>
    <w:rsid w:val="00C36276"/>
    <w:rsid w:val="00C42586"/>
    <w:rsid w:val="00C45F6B"/>
    <w:rsid w:val="00C60CCD"/>
    <w:rsid w:val="00C84483"/>
    <w:rsid w:val="00C95551"/>
    <w:rsid w:val="00CB20D7"/>
    <w:rsid w:val="00D020B0"/>
    <w:rsid w:val="00D043C8"/>
    <w:rsid w:val="00D11748"/>
    <w:rsid w:val="00D237F6"/>
    <w:rsid w:val="00D34D98"/>
    <w:rsid w:val="00D366CF"/>
    <w:rsid w:val="00D404A6"/>
    <w:rsid w:val="00D8145C"/>
    <w:rsid w:val="00D93992"/>
    <w:rsid w:val="00E108AA"/>
    <w:rsid w:val="00E3749A"/>
    <w:rsid w:val="00E7437F"/>
    <w:rsid w:val="00E800D0"/>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D2E31"/>
  <w15:chartTrackingRefBased/>
  <w15:docId w15:val="{786C8C27-3C0D-48A1-A5AD-8C7B47E4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8D5EB9"/>
    <w:rPr>
      <w:color w:val="0563C1" w:themeColor="hyperlink"/>
      <w:u w:val="single"/>
    </w:rPr>
  </w:style>
  <w:style w:type="character" w:styleId="Ulstomtale">
    <w:name w:val="Unresolved Mention"/>
    <w:basedOn w:val="Standardskrifttypeiafsnit"/>
    <w:uiPriority w:val="99"/>
    <w:semiHidden/>
    <w:unhideWhenUsed/>
    <w:rsid w:val="008D5EB9"/>
    <w:rPr>
      <w:color w:val="605E5C"/>
      <w:shd w:val="clear" w:color="auto" w:fill="E1DFDD"/>
    </w:rPr>
  </w:style>
  <w:style w:type="character" w:customStyle="1" w:styleId="2">
    <w:name w:val="Σώμα κειμένου (2)"/>
    <w:rsid w:val="00A76D23"/>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69656">
      <w:bodyDiv w:val="1"/>
      <w:marLeft w:val="0"/>
      <w:marRight w:val="0"/>
      <w:marTop w:val="0"/>
      <w:marBottom w:val="0"/>
      <w:divBdr>
        <w:top w:val="none" w:sz="0" w:space="0" w:color="auto"/>
        <w:left w:val="none" w:sz="0" w:space="0" w:color="auto"/>
        <w:bottom w:val="none" w:sz="0" w:space="0" w:color="auto"/>
        <w:right w:val="none" w:sz="0" w:space="0" w:color="auto"/>
      </w:divBdr>
    </w:div>
    <w:div w:id="15618875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16227764">
      <w:bodyDiv w:val="1"/>
      <w:marLeft w:val="0"/>
      <w:marRight w:val="0"/>
      <w:marTop w:val="0"/>
      <w:marBottom w:val="0"/>
      <w:divBdr>
        <w:top w:val="none" w:sz="0" w:space="0" w:color="auto"/>
        <w:left w:val="none" w:sz="0" w:space="0" w:color="auto"/>
        <w:bottom w:val="none" w:sz="0" w:space="0" w:color="auto"/>
        <w:right w:val="none" w:sz="0" w:space="0" w:color="auto"/>
      </w:divBdr>
    </w:div>
    <w:div w:id="326595629">
      <w:bodyDiv w:val="1"/>
      <w:marLeft w:val="0"/>
      <w:marRight w:val="0"/>
      <w:marTop w:val="0"/>
      <w:marBottom w:val="0"/>
      <w:divBdr>
        <w:top w:val="none" w:sz="0" w:space="0" w:color="auto"/>
        <w:left w:val="none" w:sz="0" w:space="0" w:color="auto"/>
        <w:bottom w:val="none" w:sz="0" w:space="0" w:color="auto"/>
        <w:right w:val="none" w:sz="0" w:space="0" w:color="auto"/>
      </w:divBdr>
    </w:div>
    <w:div w:id="400837809">
      <w:bodyDiv w:val="1"/>
      <w:marLeft w:val="0"/>
      <w:marRight w:val="0"/>
      <w:marTop w:val="0"/>
      <w:marBottom w:val="0"/>
      <w:divBdr>
        <w:top w:val="none" w:sz="0" w:space="0" w:color="auto"/>
        <w:left w:val="none" w:sz="0" w:space="0" w:color="auto"/>
        <w:bottom w:val="none" w:sz="0" w:space="0" w:color="auto"/>
        <w:right w:val="none" w:sz="0" w:space="0" w:color="auto"/>
      </w:divBdr>
    </w:div>
    <w:div w:id="403644832">
      <w:bodyDiv w:val="1"/>
      <w:marLeft w:val="0"/>
      <w:marRight w:val="0"/>
      <w:marTop w:val="0"/>
      <w:marBottom w:val="0"/>
      <w:divBdr>
        <w:top w:val="none" w:sz="0" w:space="0" w:color="auto"/>
        <w:left w:val="none" w:sz="0" w:space="0" w:color="auto"/>
        <w:bottom w:val="none" w:sz="0" w:space="0" w:color="auto"/>
        <w:right w:val="none" w:sz="0" w:space="0" w:color="auto"/>
      </w:divBdr>
    </w:div>
    <w:div w:id="413479880">
      <w:bodyDiv w:val="1"/>
      <w:marLeft w:val="0"/>
      <w:marRight w:val="0"/>
      <w:marTop w:val="0"/>
      <w:marBottom w:val="0"/>
      <w:divBdr>
        <w:top w:val="none" w:sz="0" w:space="0" w:color="auto"/>
        <w:left w:val="none" w:sz="0" w:space="0" w:color="auto"/>
        <w:bottom w:val="none" w:sz="0" w:space="0" w:color="auto"/>
        <w:right w:val="none" w:sz="0" w:space="0" w:color="auto"/>
      </w:divBdr>
    </w:div>
    <w:div w:id="455954680">
      <w:bodyDiv w:val="1"/>
      <w:marLeft w:val="0"/>
      <w:marRight w:val="0"/>
      <w:marTop w:val="0"/>
      <w:marBottom w:val="0"/>
      <w:divBdr>
        <w:top w:val="none" w:sz="0" w:space="0" w:color="auto"/>
        <w:left w:val="none" w:sz="0" w:space="0" w:color="auto"/>
        <w:bottom w:val="none" w:sz="0" w:space="0" w:color="auto"/>
        <w:right w:val="none" w:sz="0" w:space="0" w:color="auto"/>
      </w:divBdr>
    </w:div>
    <w:div w:id="485629087">
      <w:bodyDiv w:val="1"/>
      <w:marLeft w:val="0"/>
      <w:marRight w:val="0"/>
      <w:marTop w:val="0"/>
      <w:marBottom w:val="0"/>
      <w:divBdr>
        <w:top w:val="none" w:sz="0" w:space="0" w:color="auto"/>
        <w:left w:val="none" w:sz="0" w:space="0" w:color="auto"/>
        <w:bottom w:val="none" w:sz="0" w:space="0" w:color="auto"/>
        <w:right w:val="none" w:sz="0" w:space="0" w:color="auto"/>
      </w:divBdr>
    </w:div>
    <w:div w:id="506335471">
      <w:bodyDiv w:val="1"/>
      <w:marLeft w:val="0"/>
      <w:marRight w:val="0"/>
      <w:marTop w:val="0"/>
      <w:marBottom w:val="0"/>
      <w:divBdr>
        <w:top w:val="none" w:sz="0" w:space="0" w:color="auto"/>
        <w:left w:val="none" w:sz="0" w:space="0" w:color="auto"/>
        <w:bottom w:val="none" w:sz="0" w:space="0" w:color="auto"/>
        <w:right w:val="none" w:sz="0" w:space="0" w:color="auto"/>
      </w:divBdr>
    </w:div>
    <w:div w:id="511576352">
      <w:bodyDiv w:val="1"/>
      <w:marLeft w:val="0"/>
      <w:marRight w:val="0"/>
      <w:marTop w:val="0"/>
      <w:marBottom w:val="0"/>
      <w:divBdr>
        <w:top w:val="none" w:sz="0" w:space="0" w:color="auto"/>
        <w:left w:val="none" w:sz="0" w:space="0" w:color="auto"/>
        <w:bottom w:val="none" w:sz="0" w:space="0" w:color="auto"/>
        <w:right w:val="none" w:sz="0" w:space="0" w:color="auto"/>
      </w:divBdr>
    </w:div>
    <w:div w:id="633830890">
      <w:bodyDiv w:val="1"/>
      <w:marLeft w:val="0"/>
      <w:marRight w:val="0"/>
      <w:marTop w:val="0"/>
      <w:marBottom w:val="0"/>
      <w:divBdr>
        <w:top w:val="none" w:sz="0" w:space="0" w:color="auto"/>
        <w:left w:val="none" w:sz="0" w:space="0" w:color="auto"/>
        <w:bottom w:val="none" w:sz="0" w:space="0" w:color="auto"/>
        <w:right w:val="none" w:sz="0" w:space="0" w:color="auto"/>
      </w:divBdr>
    </w:div>
    <w:div w:id="699866260">
      <w:bodyDiv w:val="1"/>
      <w:marLeft w:val="0"/>
      <w:marRight w:val="0"/>
      <w:marTop w:val="0"/>
      <w:marBottom w:val="0"/>
      <w:divBdr>
        <w:top w:val="none" w:sz="0" w:space="0" w:color="auto"/>
        <w:left w:val="none" w:sz="0" w:space="0" w:color="auto"/>
        <w:bottom w:val="none" w:sz="0" w:space="0" w:color="auto"/>
        <w:right w:val="none" w:sz="0" w:space="0" w:color="auto"/>
      </w:divBdr>
    </w:div>
    <w:div w:id="713427257">
      <w:bodyDiv w:val="1"/>
      <w:marLeft w:val="0"/>
      <w:marRight w:val="0"/>
      <w:marTop w:val="0"/>
      <w:marBottom w:val="0"/>
      <w:divBdr>
        <w:top w:val="none" w:sz="0" w:space="0" w:color="auto"/>
        <w:left w:val="none" w:sz="0" w:space="0" w:color="auto"/>
        <w:bottom w:val="none" w:sz="0" w:space="0" w:color="auto"/>
        <w:right w:val="none" w:sz="0" w:space="0" w:color="auto"/>
      </w:divBdr>
    </w:div>
    <w:div w:id="856237588">
      <w:bodyDiv w:val="1"/>
      <w:marLeft w:val="0"/>
      <w:marRight w:val="0"/>
      <w:marTop w:val="0"/>
      <w:marBottom w:val="0"/>
      <w:divBdr>
        <w:top w:val="none" w:sz="0" w:space="0" w:color="auto"/>
        <w:left w:val="none" w:sz="0" w:space="0" w:color="auto"/>
        <w:bottom w:val="none" w:sz="0" w:space="0" w:color="auto"/>
        <w:right w:val="none" w:sz="0" w:space="0" w:color="auto"/>
      </w:divBdr>
    </w:div>
    <w:div w:id="872689490">
      <w:bodyDiv w:val="1"/>
      <w:marLeft w:val="0"/>
      <w:marRight w:val="0"/>
      <w:marTop w:val="0"/>
      <w:marBottom w:val="0"/>
      <w:divBdr>
        <w:top w:val="none" w:sz="0" w:space="0" w:color="auto"/>
        <w:left w:val="none" w:sz="0" w:space="0" w:color="auto"/>
        <w:bottom w:val="none" w:sz="0" w:space="0" w:color="auto"/>
        <w:right w:val="none" w:sz="0" w:space="0" w:color="auto"/>
      </w:divBdr>
    </w:div>
    <w:div w:id="896938610">
      <w:bodyDiv w:val="1"/>
      <w:marLeft w:val="0"/>
      <w:marRight w:val="0"/>
      <w:marTop w:val="0"/>
      <w:marBottom w:val="0"/>
      <w:divBdr>
        <w:top w:val="none" w:sz="0" w:space="0" w:color="auto"/>
        <w:left w:val="none" w:sz="0" w:space="0" w:color="auto"/>
        <w:bottom w:val="none" w:sz="0" w:space="0" w:color="auto"/>
        <w:right w:val="none" w:sz="0" w:space="0" w:color="auto"/>
      </w:divBdr>
    </w:div>
    <w:div w:id="933246035">
      <w:bodyDiv w:val="1"/>
      <w:marLeft w:val="0"/>
      <w:marRight w:val="0"/>
      <w:marTop w:val="0"/>
      <w:marBottom w:val="0"/>
      <w:divBdr>
        <w:top w:val="none" w:sz="0" w:space="0" w:color="auto"/>
        <w:left w:val="none" w:sz="0" w:space="0" w:color="auto"/>
        <w:bottom w:val="none" w:sz="0" w:space="0" w:color="auto"/>
        <w:right w:val="none" w:sz="0" w:space="0" w:color="auto"/>
      </w:divBdr>
    </w:div>
    <w:div w:id="935210627">
      <w:bodyDiv w:val="1"/>
      <w:marLeft w:val="0"/>
      <w:marRight w:val="0"/>
      <w:marTop w:val="0"/>
      <w:marBottom w:val="0"/>
      <w:divBdr>
        <w:top w:val="none" w:sz="0" w:space="0" w:color="auto"/>
        <w:left w:val="none" w:sz="0" w:space="0" w:color="auto"/>
        <w:bottom w:val="none" w:sz="0" w:space="0" w:color="auto"/>
        <w:right w:val="none" w:sz="0" w:space="0" w:color="auto"/>
      </w:divBdr>
    </w:div>
    <w:div w:id="955137149">
      <w:bodyDiv w:val="1"/>
      <w:marLeft w:val="0"/>
      <w:marRight w:val="0"/>
      <w:marTop w:val="0"/>
      <w:marBottom w:val="0"/>
      <w:divBdr>
        <w:top w:val="none" w:sz="0" w:space="0" w:color="auto"/>
        <w:left w:val="none" w:sz="0" w:space="0" w:color="auto"/>
        <w:bottom w:val="none" w:sz="0" w:space="0" w:color="auto"/>
        <w:right w:val="none" w:sz="0" w:space="0" w:color="auto"/>
      </w:divBdr>
    </w:div>
    <w:div w:id="983195408">
      <w:bodyDiv w:val="1"/>
      <w:marLeft w:val="0"/>
      <w:marRight w:val="0"/>
      <w:marTop w:val="0"/>
      <w:marBottom w:val="0"/>
      <w:divBdr>
        <w:top w:val="none" w:sz="0" w:space="0" w:color="auto"/>
        <w:left w:val="none" w:sz="0" w:space="0" w:color="auto"/>
        <w:bottom w:val="none" w:sz="0" w:space="0" w:color="auto"/>
        <w:right w:val="none" w:sz="0" w:space="0" w:color="auto"/>
      </w:divBdr>
    </w:div>
    <w:div w:id="1304852120">
      <w:bodyDiv w:val="1"/>
      <w:marLeft w:val="0"/>
      <w:marRight w:val="0"/>
      <w:marTop w:val="0"/>
      <w:marBottom w:val="0"/>
      <w:divBdr>
        <w:top w:val="none" w:sz="0" w:space="0" w:color="auto"/>
        <w:left w:val="none" w:sz="0" w:space="0" w:color="auto"/>
        <w:bottom w:val="none" w:sz="0" w:space="0" w:color="auto"/>
        <w:right w:val="none" w:sz="0" w:space="0" w:color="auto"/>
      </w:divBdr>
    </w:div>
    <w:div w:id="1306397655">
      <w:bodyDiv w:val="1"/>
      <w:marLeft w:val="0"/>
      <w:marRight w:val="0"/>
      <w:marTop w:val="0"/>
      <w:marBottom w:val="0"/>
      <w:divBdr>
        <w:top w:val="none" w:sz="0" w:space="0" w:color="auto"/>
        <w:left w:val="none" w:sz="0" w:space="0" w:color="auto"/>
        <w:bottom w:val="none" w:sz="0" w:space="0" w:color="auto"/>
        <w:right w:val="none" w:sz="0" w:space="0" w:color="auto"/>
      </w:divBdr>
    </w:div>
    <w:div w:id="1320422097">
      <w:bodyDiv w:val="1"/>
      <w:marLeft w:val="0"/>
      <w:marRight w:val="0"/>
      <w:marTop w:val="0"/>
      <w:marBottom w:val="0"/>
      <w:divBdr>
        <w:top w:val="none" w:sz="0" w:space="0" w:color="auto"/>
        <w:left w:val="none" w:sz="0" w:space="0" w:color="auto"/>
        <w:bottom w:val="none" w:sz="0" w:space="0" w:color="auto"/>
        <w:right w:val="none" w:sz="0" w:space="0" w:color="auto"/>
      </w:divBdr>
    </w:div>
    <w:div w:id="1444035617">
      <w:bodyDiv w:val="1"/>
      <w:marLeft w:val="0"/>
      <w:marRight w:val="0"/>
      <w:marTop w:val="0"/>
      <w:marBottom w:val="0"/>
      <w:divBdr>
        <w:top w:val="none" w:sz="0" w:space="0" w:color="auto"/>
        <w:left w:val="none" w:sz="0" w:space="0" w:color="auto"/>
        <w:bottom w:val="none" w:sz="0" w:space="0" w:color="auto"/>
        <w:right w:val="none" w:sz="0" w:space="0" w:color="auto"/>
      </w:divBdr>
    </w:div>
    <w:div w:id="1471053305">
      <w:bodyDiv w:val="1"/>
      <w:marLeft w:val="0"/>
      <w:marRight w:val="0"/>
      <w:marTop w:val="0"/>
      <w:marBottom w:val="0"/>
      <w:divBdr>
        <w:top w:val="none" w:sz="0" w:space="0" w:color="auto"/>
        <w:left w:val="none" w:sz="0" w:space="0" w:color="auto"/>
        <w:bottom w:val="none" w:sz="0" w:space="0" w:color="auto"/>
        <w:right w:val="none" w:sz="0" w:space="0" w:color="auto"/>
      </w:divBdr>
    </w:div>
    <w:div w:id="1476683193">
      <w:bodyDiv w:val="1"/>
      <w:marLeft w:val="0"/>
      <w:marRight w:val="0"/>
      <w:marTop w:val="0"/>
      <w:marBottom w:val="0"/>
      <w:divBdr>
        <w:top w:val="none" w:sz="0" w:space="0" w:color="auto"/>
        <w:left w:val="none" w:sz="0" w:space="0" w:color="auto"/>
        <w:bottom w:val="none" w:sz="0" w:space="0" w:color="auto"/>
        <w:right w:val="none" w:sz="0" w:space="0" w:color="auto"/>
      </w:divBdr>
    </w:div>
    <w:div w:id="1553419747">
      <w:bodyDiv w:val="1"/>
      <w:marLeft w:val="0"/>
      <w:marRight w:val="0"/>
      <w:marTop w:val="0"/>
      <w:marBottom w:val="0"/>
      <w:divBdr>
        <w:top w:val="none" w:sz="0" w:space="0" w:color="auto"/>
        <w:left w:val="none" w:sz="0" w:space="0" w:color="auto"/>
        <w:bottom w:val="none" w:sz="0" w:space="0" w:color="auto"/>
        <w:right w:val="none" w:sz="0" w:space="0" w:color="auto"/>
      </w:divBdr>
    </w:div>
    <w:div w:id="1555849275">
      <w:bodyDiv w:val="1"/>
      <w:marLeft w:val="0"/>
      <w:marRight w:val="0"/>
      <w:marTop w:val="0"/>
      <w:marBottom w:val="0"/>
      <w:divBdr>
        <w:top w:val="none" w:sz="0" w:space="0" w:color="auto"/>
        <w:left w:val="none" w:sz="0" w:space="0" w:color="auto"/>
        <w:bottom w:val="none" w:sz="0" w:space="0" w:color="auto"/>
        <w:right w:val="none" w:sz="0" w:space="0" w:color="auto"/>
      </w:divBdr>
    </w:div>
    <w:div w:id="1600212446">
      <w:bodyDiv w:val="1"/>
      <w:marLeft w:val="0"/>
      <w:marRight w:val="0"/>
      <w:marTop w:val="0"/>
      <w:marBottom w:val="0"/>
      <w:divBdr>
        <w:top w:val="none" w:sz="0" w:space="0" w:color="auto"/>
        <w:left w:val="none" w:sz="0" w:space="0" w:color="auto"/>
        <w:bottom w:val="none" w:sz="0" w:space="0" w:color="auto"/>
        <w:right w:val="none" w:sz="0" w:space="0" w:color="auto"/>
      </w:divBdr>
    </w:div>
    <w:div w:id="1600676686">
      <w:bodyDiv w:val="1"/>
      <w:marLeft w:val="0"/>
      <w:marRight w:val="0"/>
      <w:marTop w:val="0"/>
      <w:marBottom w:val="0"/>
      <w:divBdr>
        <w:top w:val="none" w:sz="0" w:space="0" w:color="auto"/>
        <w:left w:val="none" w:sz="0" w:space="0" w:color="auto"/>
        <w:bottom w:val="none" w:sz="0" w:space="0" w:color="auto"/>
        <w:right w:val="none" w:sz="0" w:space="0" w:color="auto"/>
      </w:divBdr>
    </w:div>
    <w:div w:id="1641300757">
      <w:bodyDiv w:val="1"/>
      <w:marLeft w:val="0"/>
      <w:marRight w:val="0"/>
      <w:marTop w:val="0"/>
      <w:marBottom w:val="0"/>
      <w:divBdr>
        <w:top w:val="none" w:sz="0" w:space="0" w:color="auto"/>
        <w:left w:val="none" w:sz="0" w:space="0" w:color="auto"/>
        <w:bottom w:val="none" w:sz="0" w:space="0" w:color="auto"/>
        <w:right w:val="none" w:sz="0" w:space="0" w:color="auto"/>
      </w:divBdr>
    </w:div>
    <w:div w:id="1705210580">
      <w:bodyDiv w:val="1"/>
      <w:marLeft w:val="0"/>
      <w:marRight w:val="0"/>
      <w:marTop w:val="0"/>
      <w:marBottom w:val="0"/>
      <w:divBdr>
        <w:top w:val="none" w:sz="0" w:space="0" w:color="auto"/>
        <w:left w:val="none" w:sz="0" w:space="0" w:color="auto"/>
        <w:bottom w:val="none" w:sz="0" w:space="0" w:color="auto"/>
        <w:right w:val="none" w:sz="0" w:space="0" w:color="auto"/>
      </w:divBdr>
    </w:div>
    <w:div w:id="1754742453">
      <w:bodyDiv w:val="1"/>
      <w:marLeft w:val="0"/>
      <w:marRight w:val="0"/>
      <w:marTop w:val="0"/>
      <w:marBottom w:val="0"/>
      <w:divBdr>
        <w:top w:val="none" w:sz="0" w:space="0" w:color="auto"/>
        <w:left w:val="none" w:sz="0" w:space="0" w:color="auto"/>
        <w:bottom w:val="none" w:sz="0" w:space="0" w:color="auto"/>
        <w:right w:val="none" w:sz="0" w:space="0" w:color="auto"/>
      </w:divBdr>
    </w:div>
    <w:div w:id="1816681542">
      <w:bodyDiv w:val="1"/>
      <w:marLeft w:val="0"/>
      <w:marRight w:val="0"/>
      <w:marTop w:val="0"/>
      <w:marBottom w:val="0"/>
      <w:divBdr>
        <w:top w:val="none" w:sz="0" w:space="0" w:color="auto"/>
        <w:left w:val="none" w:sz="0" w:space="0" w:color="auto"/>
        <w:bottom w:val="none" w:sz="0" w:space="0" w:color="auto"/>
        <w:right w:val="none" w:sz="0" w:space="0" w:color="auto"/>
      </w:divBdr>
    </w:div>
    <w:div w:id="1844859148">
      <w:bodyDiv w:val="1"/>
      <w:marLeft w:val="0"/>
      <w:marRight w:val="0"/>
      <w:marTop w:val="0"/>
      <w:marBottom w:val="0"/>
      <w:divBdr>
        <w:top w:val="none" w:sz="0" w:space="0" w:color="auto"/>
        <w:left w:val="none" w:sz="0" w:space="0" w:color="auto"/>
        <w:bottom w:val="none" w:sz="0" w:space="0" w:color="auto"/>
        <w:right w:val="none" w:sz="0" w:space="0" w:color="auto"/>
      </w:divBdr>
    </w:div>
    <w:div w:id="1857382924">
      <w:bodyDiv w:val="1"/>
      <w:marLeft w:val="0"/>
      <w:marRight w:val="0"/>
      <w:marTop w:val="0"/>
      <w:marBottom w:val="0"/>
      <w:divBdr>
        <w:top w:val="none" w:sz="0" w:space="0" w:color="auto"/>
        <w:left w:val="none" w:sz="0" w:space="0" w:color="auto"/>
        <w:bottom w:val="none" w:sz="0" w:space="0" w:color="auto"/>
        <w:right w:val="none" w:sz="0" w:space="0" w:color="auto"/>
      </w:divBdr>
    </w:div>
    <w:div w:id="1868130875">
      <w:bodyDiv w:val="1"/>
      <w:marLeft w:val="0"/>
      <w:marRight w:val="0"/>
      <w:marTop w:val="0"/>
      <w:marBottom w:val="0"/>
      <w:divBdr>
        <w:top w:val="none" w:sz="0" w:space="0" w:color="auto"/>
        <w:left w:val="none" w:sz="0" w:space="0" w:color="auto"/>
        <w:bottom w:val="none" w:sz="0" w:space="0" w:color="auto"/>
        <w:right w:val="none" w:sz="0" w:space="0" w:color="auto"/>
      </w:divBdr>
    </w:div>
    <w:div w:id="1872843137">
      <w:bodyDiv w:val="1"/>
      <w:marLeft w:val="0"/>
      <w:marRight w:val="0"/>
      <w:marTop w:val="0"/>
      <w:marBottom w:val="0"/>
      <w:divBdr>
        <w:top w:val="none" w:sz="0" w:space="0" w:color="auto"/>
        <w:left w:val="none" w:sz="0" w:space="0" w:color="auto"/>
        <w:bottom w:val="none" w:sz="0" w:space="0" w:color="auto"/>
        <w:right w:val="none" w:sz="0" w:space="0" w:color="auto"/>
      </w:divBdr>
    </w:div>
    <w:div w:id="1878545745">
      <w:bodyDiv w:val="1"/>
      <w:marLeft w:val="0"/>
      <w:marRight w:val="0"/>
      <w:marTop w:val="0"/>
      <w:marBottom w:val="0"/>
      <w:divBdr>
        <w:top w:val="none" w:sz="0" w:space="0" w:color="auto"/>
        <w:left w:val="none" w:sz="0" w:space="0" w:color="auto"/>
        <w:bottom w:val="none" w:sz="0" w:space="0" w:color="auto"/>
        <w:right w:val="none" w:sz="0" w:space="0" w:color="auto"/>
      </w:divBdr>
    </w:div>
    <w:div w:id="1894384664">
      <w:bodyDiv w:val="1"/>
      <w:marLeft w:val="0"/>
      <w:marRight w:val="0"/>
      <w:marTop w:val="0"/>
      <w:marBottom w:val="0"/>
      <w:divBdr>
        <w:top w:val="none" w:sz="0" w:space="0" w:color="auto"/>
        <w:left w:val="none" w:sz="0" w:space="0" w:color="auto"/>
        <w:bottom w:val="none" w:sz="0" w:space="0" w:color="auto"/>
        <w:right w:val="none" w:sz="0" w:space="0" w:color="auto"/>
      </w:divBdr>
    </w:div>
    <w:div w:id="1968655333">
      <w:bodyDiv w:val="1"/>
      <w:marLeft w:val="0"/>
      <w:marRight w:val="0"/>
      <w:marTop w:val="0"/>
      <w:marBottom w:val="0"/>
      <w:divBdr>
        <w:top w:val="none" w:sz="0" w:space="0" w:color="auto"/>
        <w:left w:val="none" w:sz="0" w:space="0" w:color="auto"/>
        <w:bottom w:val="none" w:sz="0" w:space="0" w:color="auto"/>
        <w:right w:val="none" w:sz="0" w:space="0" w:color="auto"/>
      </w:divBdr>
    </w:div>
    <w:div w:id="1984499304">
      <w:bodyDiv w:val="1"/>
      <w:marLeft w:val="0"/>
      <w:marRight w:val="0"/>
      <w:marTop w:val="0"/>
      <w:marBottom w:val="0"/>
      <w:divBdr>
        <w:top w:val="none" w:sz="0" w:space="0" w:color="auto"/>
        <w:left w:val="none" w:sz="0" w:space="0" w:color="auto"/>
        <w:bottom w:val="none" w:sz="0" w:space="0" w:color="auto"/>
        <w:right w:val="none" w:sz="0" w:space="0" w:color="auto"/>
      </w:divBdr>
    </w:div>
    <w:div w:id="1988505967">
      <w:bodyDiv w:val="1"/>
      <w:marLeft w:val="0"/>
      <w:marRight w:val="0"/>
      <w:marTop w:val="0"/>
      <w:marBottom w:val="0"/>
      <w:divBdr>
        <w:top w:val="none" w:sz="0" w:space="0" w:color="auto"/>
        <w:left w:val="none" w:sz="0" w:space="0" w:color="auto"/>
        <w:bottom w:val="none" w:sz="0" w:space="0" w:color="auto"/>
        <w:right w:val="none" w:sz="0" w:space="0" w:color="auto"/>
      </w:divBdr>
    </w:div>
    <w:div w:id="2007004864">
      <w:bodyDiv w:val="1"/>
      <w:marLeft w:val="0"/>
      <w:marRight w:val="0"/>
      <w:marTop w:val="0"/>
      <w:marBottom w:val="0"/>
      <w:divBdr>
        <w:top w:val="none" w:sz="0" w:space="0" w:color="auto"/>
        <w:left w:val="none" w:sz="0" w:space="0" w:color="auto"/>
        <w:bottom w:val="none" w:sz="0" w:space="0" w:color="auto"/>
        <w:right w:val="none" w:sz="0" w:space="0" w:color="auto"/>
      </w:divBdr>
    </w:div>
    <w:div w:id="2037383931">
      <w:bodyDiv w:val="1"/>
      <w:marLeft w:val="0"/>
      <w:marRight w:val="0"/>
      <w:marTop w:val="0"/>
      <w:marBottom w:val="0"/>
      <w:divBdr>
        <w:top w:val="none" w:sz="0" w:space="0" w:color="auto"/>
        <w:left w:val="none" w:sz="0" w:space="0" w:color="auto"/>
        <w:bottom w:val="none" w:sz="0" w:space="0" w:color="auto"/>
        <w:right w:val="none" w:sz="0" w:space="0" w:color="auto"/>
      </w:divBdr>
    </w:div>
    <w:div w:id="210469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5</TotalTime>
  <Pages>18</Pages>
  <Words>5751</Words>
  <Characters>36401</Characters>
  <Application>Microsoft Office Word</Application>
  <DocSecurity>0</DocSecurity>
  <Lines>303</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2025082751_x000d_
SPC opdat. pkt. 4.4, 4.8</dc:description>
  <cp:lastModifiedBy>Marianne Ott Jensen</cp:lastModifiedBy>
  <cp:revision>3</cp:revision>
  <cp:lastPrinted>2012-08-22T08:53:00Z</cp:lastPrinted>
  <dcterms:created xsi:type="dcterms:W3CDTF">2025-11-07T11:51:00Z</dcterms:created>
  <dcterms:modified xsi:type="dcterms:W3CDTF">2025-11-07T11:57:00Z</dcterms:modified>
</cp:coreProperties>
</file>