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40E92" w14:textId="77777777" w:rsidR="004A3BF4" w:rsidRPr="00775BF2" w:rsidRDefault="00056601" w:rsidP="004A3BF4">
      <w:pPr>
        <w:rPr>
          <w:sz w:val="24"/>
          <w:szCs w:val="24"/>
          <w:lang w:val="en-GB"/>
        </w:rPr>
      </w:pPr>
      <w:bookmarkStart w:id="0" w:name="_GoBack"/>
      <w:bookmarkEnd w:id="0"/>
      <w:r w:rsidRPr="00775BF2">
        <w:rPr>
          <w:noProof/>
          <w:sz w:val="24"/>
          <w:szCs w:val="24"/>
          <w:lang w:val="en-GB"/>
        </w:rPr>
        <w:drawing>
          <wp:inline distT="0" distB="0" distL="0" distR="0" wp14:anchorId="59264DD3" wp14:editId="2D84721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5EFFDD5" w14:textId="77777777" w:rsidR="006B3847" w:rsidRPr="00775BF2" w:rsidRDefault="006B3847" w:rsidP="006B3847">
      <w:pPr>
        <w:rPr>
          <w:sz w:val="24"/>
          <w:szCs w:val="24"/>
          <w:lang w:val="en-GB"/>
        </w:rPr>
      </w:pPr>
    </w:p>
    <w:p w14:paraId="42E9CBE4" w14:textId="287CB441" w:rsidR="006B3847" w:rsidRPr="00462D86" w:rsidRDefault="006B3847" w:rsidP="006B3847">
      <w:pPr>
        <w:tabs>
          <w:tab w:val="right" w:pos="9356"/>
        </w:tabs>
        <w:rPr>
          <w:b/>
          <w:sz w:val="24"/>
          <w:szCs w:val="24"/>
          <w:lang w:val="en-US"/>
        </w:rPr>
      </w:pPr>
      <w:r w:rsidRPr="00775BF2">
        <w:rPr>
          <w:b/>
          <w:sz w:val="24"/>
          <w:szCs w:val="24"/>
          <w:lang w:val="en-GB"/>
        </w:rPr>
        <w:tab/>
      </w:r>
      <w:r w:rsidR="00462D86" w:rsidRPr="00462D86">
        <w:rPr>
          <w:b/>
          <w:sz w:val="24"/>
          <w:szCs w:val="24"/>
          <w:lang w:val="en-US"/>
        </w:rPr>
        <w:t>28 N</w:t>
      </w:r>
      <w:r w:rsidR="00462D86">
        <w:rPr>
          <w:b/>
          <w:sz w:val="24"/>
          <w:szCs w:val="24"/>
          <w:lang w:val="en-US"/>
        </w:rPr>
        <w:t>ovember 2024</w:t>
      </w:r>
    </w:p>
    <w:p w14:paraId="1E3FB8CE" w14:textId="77777777" w:rsidR="006B3847" w:rsidRPr="00462D86" w:rsidRDefault="006B3847" w:rsidP="006B3847">
      <w:pPr>
        <w:rPr>
          <w:sz w:val="24"/>
          <w:szCs w:val="24"/>
          <w:lang w:val="en-US"/>
        </w:rPr>
      </w:pPr>
    </w:p>
    <w:p w14:paraId="070D72FE" w14:textId="481E3A2A" w:rsidR="007C5D2A" w:rsidRPr="00462D86" w:rsidRDefault="007C5D2A" w:rsidP="007C5D2A">
      <w:pPr>
        <w:rPr>
          <w:sz w:val="24"/>
          <w:szCs w:val="24"/>
          <w:lang w:val="en-US"/>
        </w:rPr>
      </w:pPr>
    </w:p>
    <w:p w14:paraId="4AAA42C9" w14:textId="77777777" w:rsidR="00462D86" w:rsidRPr="00462D86" w:rsidRDefault="00462D86" w:rsidP="007C5D2A">
      <w:pPr>
        <w:rPr>
          <w:sz w:val="24"/>
          <w:szCs w:val="24"/>
          <w:lang w:val="en-US"/>
        </w:rPr>
      </w:pPr>
    </w:p>
    <w:p w14:paraId="2A01388A" w14:textId="77777777" w:rsidR="007C5D2A" w:rsidRPr="00775BF2" w:rsidRDefault="007C5D2A" w:rsidP="007C5D2A">
      <w:pPr>
        <w:jc w:val="center"/>
        <w:rPr>
          <w:b/>
          <w:sz w:val="24"/>
          <w:szCs w:val="24"/>
          <w:lang w:val="en-GB"/>
        </w:rPr>
      </w:pPr>
      <w:bookmarkStart w:id="1" w:name="_Hlk49158549"/>
      <w:r w:rsidRPr="00775BF2">
        <w:rPr>
          <w:b/>
          <w:sz w:val="24"/>
          <w:szCs w:val="24"/>
          <w:lang w:val="en-GB"/>
        </w:rPr>
        <w:t>SUMMARY OF PRODUCT CHARACTERISTICS</w:t>
      </w:r>
    </w:p>
    <w:bookmarkEnd w:id="1"/>
    <w:p w14:paraId="0BE2DDCD" w14:textId="77777777" w:rsidR="007C5D2A" w:rsidRPr="00775BF2" w:rsidRDefault="007C5D2A" w:rsidP="007C5D2A">
      <w:pPr>
        <w:jc w:val="center"/>
        <w:rPr>
          <w:sz w:val="24"/>
          <w:szCs w:val="24"/>
          <w:lang w:val="en-GB"/>
        </w:rPr>
      </w:pPr>
    </w:p>
    <w:p w14:paraId="1963C8E2" w14:textId="77777777" w:rsidR="007C5D2A" w:rsidRPr="00775BF2" w:rsidRDefault="007C5D2A" w:rsidP="007C5D2A">
      <w:pPr>
        <w:jc w:val="center"/>
        <w:rPr>
          <w:b/>
          <w:sz w:val="24"/>
          <w:szCs w:val="24"/>
          <w:lang w:val="en-GB"/>
        </w:rPr>
      </w:pPr>
      <w:r w:rsidRPr="00775BF2">
        <w:rPr>
          <w:b/>
          <w:sz w:val="24"/>
          <w:szCs w:val="24"/>
          <w:lang w:val="en-GB"/>
        </w:rPr>
        <w:t>for</w:t>
      </w:r>
    </w:p>
    <w:p w14:paraId="241E3D8D" w14:textId="77777777" w:rsidR="007C5D2A" w:rsidRPr="00775BF2" w:rsidRDefault="007C5D2A" w:rsidP="007C5D2A">
      <w:pPr>
        <w:jc w:val="center"/>
        <w:rPr>
          <w:sz w:val="24"/>
          <w:szCs w:val="24"/>
          <w:lang w:val="en-GB"/>
        </w:rPr>
      </w:pPr>
    </w:p>
    <w:p w14:paraId="372C0D96" w14:textId="4C9C41C7" w:rsidR="007C5D2A" w:rsidRPr="00775BF2" w:rsidRDefault="00A73AC7" w:rsidP="007C5D2A">
      <w:pPr>
        <w:jc w:val="center"/>
        <w:rPr>
          <w:b/>
          <w:sz w:val="24"/>
          <w:szCs w:val="24"/>
          <w:lang w:val="en-GB"/>
        </w:rPr>
      </w:pPr>
      <w:proofErr w:type="spellStart"/>
      <w:r>
        <w:rPr>
          <w:b/>
          <w:sz w:val="24"/>
          <w:szCs w:val="24"/>
          <w:lang w:val="en-GB"/>
        </w:rPr>
        <w:t>Esoref</w:t>
      </w:r>
      <w:proofErr w:type="spellEnd"/>
      <w:r w:rsidR="00D70C65" w:rsidRPr="00775BF2">
        <w:rPr>
          <w:b/>
          <w:sz w:val="24"/>
          <w:szCs w:val="24"/>
          <w:lang w:val="en-GB"/>
        </w:rPr>
        <w:t xml:space="preserve">, </w:t>
      </w:r>
      <w:r w:rsidR="00603E2B" w:rsidRPr="00775BF2">
        <w:rPr>
          <w:b/>
          <w:sz w:val="24"/>
          <w:szCs w:val="24"/>
          <w:lang w:val="en-GB"/>
        </w:rPr>
        <w:t>gastro-resistant tablets</w:t>
      </w:r>
    </w:p>
    <w:p w14:paraId="3011F249" w14:textId="77777777" w:rsidR="007C5D2A" w:rsidRPr="00775BF2" w:rsidRDefault="007C5D2A" w:rsidP="007C5D2A">
      <w:pPr>
        <w:jc w:val="both"/>
        <w:rPr>
          <w:sz w:val="24"/>
          <w:szCs w:val="24"/>
          <w:lang w:val="en-GB"/>
        </w:rPr>
      </w:pPr>
    </w:p>
    <w:p w14:paraId="3B88963D" w14:textId="77777777" w:rsidR="0042292D" w:rsidRPr="00775BF2" w:rsidRDefault="0042292D" w:rsidP="007C5D2A">
      <w:pPr>
        <w:jc w:val="both"/>
        <w:rPr>
          <w:sz w:val="24"/>
          <w:szCs w:val="24"/>
          <w:lang w:val="en-GB"/>
        </w:rPr>
      </w:pPr>
    </w:p>
    <w:p w14:paraId="01F87316" w14:textId="77777777" w:rsidR="008F2F8C" w:rsidRPr="00775BF2" w:rsidRDefault="008F2F8C" w:rsidP="008F2F8C">
      <w:pPr>
        <w:tabs>
          <w:tab w:val="left" w:pos="8222"/>
        </w:tabs>
        <w:ind w:left="851" w:hanging="851"/>
        <w:rPr>
          <w:b/>
          <w:sz w:val="24"/>
          <w:szCs w:val="24"/>
          <w:lang w:val="en-GB"/>
        </w:rPr>
      </w:pPr>
      <w:r w:rsidRPr="00775BF2">
        <w:rPr>
          <w:b/>
          <w:sz w:val="24"/>
          <w:szCs w:val="24"/>
          <w:lang w:val="en-GB"/>
        </w:rPr>
        <w:t>0.</w:t>
      </w:r>
      <w:r w:rsidRPr="00775BF2">
        <w:rPr>
          <w:b/>
          <w:sz w:val="24"/>
          <w:szCs w:val="24"/>
          <w:lang w:val="en-GB"/>
        </w:rPr>
        <w:tab/>
      </w:r>
      <w:proofErr w:type="gramStart"/>
      <w:r w:rsidRPr="00775BF2">
        <w:rPr>
          <w:b/>
          <w:sz w:val="24"/>
          <w:szCs w:val="24"/>
          <w:lang w:val="en-GB"/>
        </w:rPr>
        <w:t>D.SP.NO</w:t>
      </w:r>
      <w:proofErr w:type="gramEnd"/>
      <w:r w:rsidRPr="00775BF2">
        <w:rPr>
          <w:b/>
          <w:sz w:val="24"/>
          <w:szCs w:val="24"/>
          <w:lang w:val="en-GB"/>
        </w:rPr>
        <w:t>.</w:t>
      </w:r>
    </w:p>
    <w:p w14:paraId="3363CD10" w14:textId="734E66F5" w:rsidR="008F2F8C" w:rsidRPr="00775BF2" w:rsidRDefault="008D4EC8" w:rsidP="008F2F8C">
      <w:pPr>
        <w:tabs>
          <w:tab w:val="left" w:pos="8222"/>
        </w:tabs>
        <w:ind w:left="851"/>
        <w:rPr>
          <w:sz w:val="24"/>
          <w:szCs w:val="24"/>
          <w:lang w:val="en-GB"/>
        </w:rPr>
      </w:pPr>
      <w:r w:rsidRPr="00775BF2">
        <w:rPr>
          <w:sz w:val="24"/>
          <w:szCs w:val="24"/>
          <w:lang w:val="en-GB"/>
        </w:rPr>
        <w:t>32</w:t>
      </w:r>
      <w:r w:rsidR="00A73AC7">
        <w:rPr>
          <w:sz w:val="24"/>
          <w:szCs w:val="24"/>
          <w:lang w:val="en-GB"/>
        </w:rPr>
        <w:t>523</w:t>
      </w:r>
    </w:p>
    <w:p w14:paraId="16BEAFE4" w14:textId="77777777" w:rsidR="007C5D2A" w:rsidRPr="00775BF2" w:rsidRDefault="007C5D2A" w:rsidP="007C5D2A">
      <w:pPr>
        <w:tabs>
          <w:tab w:val="left" w:pos="851"/>
        </w:tabs>
        <w:jc w:val="both"/>
        <w:rPr>
          <w:sz w:val="24"/>
          <w:szCs w:val="24"/>
          <w:lang w:val="en-GB"/>
        </w:rPr>
      </w:pPr>
    </w:p>
    <w:p w14:paraId="2C6E767A" w14:textId="77777777" w:rsidR="007C5D2A" w:rsidRPr="00775BF2" w:rsidRDefault="009925C9" w:rsidP="007C5D2A">
      <w:pPr>
        <w:tabs>
          <w:tab w:val="left" w:pos="851"/>
        </w:tabs>
        <w:ind w:left="851" w:hanging="851"/>
        <w:rPr>
          <w:sz w:val="24"/>
          <w:szCs w:val="24"/>
          <w:lang w:val="en-GB"/>
        </w:rPr>
      </w:pPr>
      <w:r w:rsidRPr="00775BF2">
        <w:rPr>
          <w:b/>
          <w:sz w:val="24"/>
          <w:szCs w:val="24"/>
          <w:lang w:val="en-GB"/>
        </w:rPr>
        <w:t>1.</w:t>
      </w:r>
      <w:r w:rsidR="007C5D2A" w:rsidRPr="00775BF2">
        <w:rPr>
          <w:b/>
          <w:sz w:val="24"/>
          <w:szCs w:val="24"/>
          <w:lang w:val="en-GB"/>
        </w:rPr>
        <w:tab/>
        <w:t>NAME OF THE MEDICINAL PRODUCT</w:t>
      </w:r>
    </w:p>
    <w:p w14:paraId="24C3E616" w14:textId="50C0AF48" w:rsidR="007C5D2A" w:rsidRPr="00775BF2" w:rsidRDefault="00A73AC7" w:rsidP="004A3BF4">
      <w:pPr>
        <w:tabs>
          <w:tab w:val="left" w:pos="851"/>
        </w:tabs>
        <w:ind w:left="851"/>
        <w:rPr>
          <w:sz w:val="24"/>
          <w:szCs w:val="24"/>
          <w:lang w:val="en-GB"/>
        </w:rPr>
      </w:pPr>
      <w:proofErr w:type="spellStart"/>
      <w:r>
        <w:rPr>
          <w:sz w:val="24"/>
          <w:szCs w:val="24"/>
          <w:lang w:val="en-GB"/>
        </w:rPr>
        <w:t>Esoref</w:t>
      </w:r>
      <w:proofErr w:type="spellEnd"/>
    </w:p>
    <w:p w14:paraId="0A5EA393" w14:textId="77777777" w:rsidR="007C5D2A" w:rsidRPr="00775BF2" w:rsidRDefault="007C5D2A" w:rsidP="004A3BF4">
      <w:pPr>
        <w:tabs>
          <w:tab w:val="left" w:pos="851"/>
        </w:tabs>
        <w:ind w:left="851"/>
        <w:rPr>
          <w:sz w:val="24"/>
          <w:szCs w:val="24"/>
          <w:lang w:val="en-GB"/>
        </w:rPr>
      </w:pPr>
    </w:p>
    <w:p w14:paraId="6BB6001D" w14:textId="77777777" w:rsidR="007C5D2A" w:rsidRPr="00775BF2" w:rsidRDefault="009925C9" w:rsidP="007C5D2A">
      <w:pPr>
        <w:ind w:left="851" w:hanging="851"/>
        <w:rPr>
          <w:b/>
          <w:sz w:val="24"/>
          <w:szCs w:val="24"/>
          <w:lang w:val="en-GB"/>
        </w:rPr>
      </w:pPr>
      <w:r w:rsidRPr="00775BF2">
        <w:rPr>
          <w:b/>
          <w:sz w:val="24"/>
          <w:szCs w:val="24"/>
          <w:lang w:val="en-GB"/>
        </w:rPr>
        <w:t>2.</w:t>
      </w:r>
      <w:r w:rsidR="007C5D2A" w:rsidRPr="00775BF2">
        <w:rPr>
          <w:b/>
          <w:sz w:val="24"/>
          <w:szCs w:val="24"/>
          <w:lang w:val="en-GB"/>
        </w:rPr>
        <w:tab/>
        <w:t>QUALITATIVE AND QUANTITATIVE COMPOSITION</w:t>
      </w:r>
    </w:p>
    <w:p w14:paraId="064F794F" w14:textId="77777777" w:rsidR="008D4EC8" w:rsidRPr="00775BF2" w:rsidRDefault="008D4EC8" w:rsidP="00C12F31">
      <w:pPr>
        <w:ind w:left="851"/>
        <w:contextualSpacing/>
        <w:rPr>
          <w:sz w:val="24"/>
          <w:szCs w:val="24"/>
          <w:lang w:val="en-GB"/>
        </w:rPr>
      </w:pPr>
      <w:r w:rsidRPr="00775BF2">
        <w:rPr>
          <w:sz w:val="24"/>
          <w:szCs w:val="24"/>
          <w:lang w:val="en-GB"/>
        </w:rPr>
        <w:t>One gastro</w:t>
      </w:r>
      <w:r w:rsidRPr="00775BF2">
        <w:rPr>
          <w:sz w:val="24"/>
          <w:szCs w:val="24"/>
          <w:lang w:val="en-GB"/>
        </w:rPr>
        <w:noBreakHyphen/>
        <w:t>resistant tablet contains 20 mg of esomeprazole (corresponding to 21.75 mg esomeprazole magnesium dihydrate).</w:t>
      </w:r>
    </w:p>
    <w:p w14:paraId="31ED9129" w14:textId="77777777" w:rsidR="008D4EC8" w:rsidRPr="00775BF2" w:rsidRDefault="008D4EC8" w:rsidP="00C12F31">
      <w:pPr>
        <w:ind w:left="851"/>
        <w:contextualSpacing/>
        <w:rPr>
          <w:sz w:val="24"/>
          <w:szCs w:val="24"/>
          <w:lang w:val="en-GB"/>
        </w:rPr>
      </w:pPr>
    </w:p>
    <w:p w14:paraId="01E693FC" w14:textId="77777777" w:rsidR="008D4EC8" w:rsidRPr="00775BF2" w:rsidRDefault="008D4EC8" w:rsidP="00C12F31">
      <w:pPr>
        <w:ind w:left="851"/>
        <w:contextualSpacing/>
        <w:rPr>
          <w:sz w:val="24"/>
          <w:szCs w:val="24"/>
          <w:u w:val="single"/>
          <w:lang w:val="en-GB"/>
        </w:rPr>
      </w:pPr>
      <w:r w:rsidRPr="00775BF2">
        <w:rPr>
          <w:sz w:val="24"/>
          <w:szCs w:val="24"/>
          <w:u w:val="single"/>
          <w:lang w:val="en-GB"/>
        </w:rPr>
        <w:t>Excipient with known effect:</w:t>
      </w:r>
    </w:p>
    <w:p w14:paraId="05C7E5F8" w14:textId="77777777" w:rsidR="008D4EC8" w:rsidRPr="00775BF2" w:rsidRDefault="008D4EC8" w:rsidP="00C12F31">
      <w:pPr>
        <w:ind w:left="851"/>
        <w:contextualSpacing/>
        <w:rPr>
          <w:sz w:val="24"/>
          <w:szCs w:val="24"/>
          <w:lang w:val="en-GB"/>
        </w:rPr>
      </w:pPr>
      <w:r w:rsidRPr="00775BF2">
        <w:rPr>
          <w:sz w:val="24"/>
          <w:szCs w:val="24"/>
          <w:lang w:val="en-GB"/>
        </w:rPr>
        <w:t>Each tablet contains no more than 5.65 mg of sucrose.</w:t>
      </w:r>
    </w:p>
    <w:p w14:paraId="60CE1025" w14:textId="77777777" w:rsidR="008D4EC8" w:rsidRPr="00775BF2" w:rsidRDefault="008D4EC8" w:rsidP="00C12F31">
      <w:pPr>
        <w:ind w:left="851"/>
        <w:contextualSpacing/>
        <w:rPr>
          <w:sz w:val="24"/>
          <w:szCs w:val="24"/>
          <w:lang w:val="en-GB"/>
        </w:rPr>
      </w:pPr>
    </w:p>
    <w:p w14:paraId="5C4E3CFD" w14:textId="77777777" w:rsidR="008D4EC8" w:rsidRPr="00775BF2" w:rsidRDefault="008D4EC8" w:rsidP="00C12F31">
      <w:pPr>
        <w:ind w:left="851"/>
        <w:contextualSpacing/>
        <w:rPr>
          <w:sz w:val="24"/>
          <w:szCs w:val="24"/>
          <w:lang w:val="en-GB"/>
        </w:rPr>
      </w:pPr>
      <w:r w:rsidRPr="00775BF2">
        <w:rPr>
          <w:sz w:val="24"/>
          <w:szCs w:val="24"/>
          <w:lang w:val="en-GB"/>
        </w:rPr>
        <w:t>One gastro</w:t>
      </w:r>
      <w:r w:rsidRPr="00775BF2">
        <w:rPr>
          <w:sz w:val="24"/>
          <w:szCs w:val="24"/>
          <w:lang w:val="en-GB"/>
        </w:rPr>
        <w:noBreakHyphen/>
        <w:t>resistant tablet contains 40 mg of esomeprazole (corresponding to 43.5 mg esomeprazole magnesium dihydrate).</w:t>
      </w:r>
    </w:p>
    <w:p w14:paraId="4086937F" w14:textId="77777777" w:rsidR="008D4EC8" w:rsidRPr="00775BF2" w:rsidRDefault="008D4EC8" w:rsidP="00C12F31">
      <w:pPr>
        <w:ind w:left="851"/>
        <w:contextualSpacing/>
        <w:rPr>
          <w:sz w:val="24"/>
          <w:szCs w:val="24"/>
          <w:lang w:val="en-GB"/>
        </w:rPr>
      </w:pPr>
    </w:p>
    <w:p w14:paraId="05D543F6" w14:textId="77777777" w:rsidR="008D4EC8" w:rsidRPr="00775BF2" w:rsidRDefault="008D4EC8" w:rsidP="00C12F31">
      <w:pPr>
        <w:ind w:left="851"/>
        <w:contextualSpacing/>
        <w:rPr>
          <w:sz w:val="24"/>
          <w:szCs w:val="24"/>
          <w:lang w:val="en-GB"/>
        </w:rPr>
      </w:pPr>
      <w:r w:rsidRPr="00775BF2">
        <w:rPr>
          <w:sz w:val="24"/>
          <w:szCs w:val="24"/>
          <w:u w:val="single"/>
          <w:lang w:val="en-GB"/>
        </w:rPr>
        <w:t>Excipient with known effect:</w:t>
      </w:r>
    </w:p>
    <w:p w14:paraId="619CD928" w14:textId="77777777" w:rsidR="008D4EC8" w:rsidRPr="00775BF2" w:rsidRDefault="008D4EC8" w:rsidP="00C12F31">
      <w:pPr>
        <w:ind w:left="851"/>
        <w:contextualSpacing/>
        <w:rPr>
          <w:sz w:val="24"/>
          <w:szCs w:val="24"/>
          <w:lang w:val="en-GB"/>
        </w:rPr>
      </w:pPr>
      <w:r w:rsidRPr="00775BF2">
        <w:rPr>
          <w:sz w:val="24"/>
          <w:szCs w:val="24"/>
          <w:lang w:val="en-GB"/>
        </w:rPr>
        <w:t>Each tablet contains no more than 11.3 mg of sucrose.</w:t>
      </w:r>
    </w:p>
    <w:p w14:paraId="5943B47D" w14:textId="77777777" w:rsidR="008D4EC8" w:rsidRPr="00775BF2" w:rsidRDefault="008D4EC8" w:rsidP="00C12F31">
      <w:pPr>
        <w:ind w:left="851"/>
        <w:contextualSpacing/>
        <w:rPr>
          <w:sz w:val="24"/>
          <w:szCs w:val="24"/>
          <w:lang w:val="en-GB"/>
        </w:rPr>
      </w:pPr>
    </w:p>
    <w:p w14:paraId="156FFAE7" w14:textId="77777777" w:rsidR="008D4EC8" w:rsidRPr="00775BF2" w:rsidRDefault="008D4EC8" w:rsidP="00C12F31">
      <w:pPr>
        <w:ind w:left="851"/>
        <w:contextualSpacing/>
        <w:rPr>
          <w:sz w:val="24"/>
          <w:szCs w:val="24"/>
          <w:lang w:val="en-GB"/>
        </w:rPr>
      </w:pPr>
      <w:r w:rsidRPr="00775BF2">
        <w:rPr>
          <w:sz w:val="24"/>
          <w:szCs w:val="24"/>
          <w:lang w:val="en-GB"/>
        </w:rPr>
        <w:t>For the full list of excipients, see section 6.1.</w:t>
      </w:r>
    </w:p>
    <w:p w14:paraId="6F642AC2" w14:textId="77777777" w:rsidR="007C5D2A" w:rsidRPr="00775BF2" w:rsidRDefault="007C5D2A" w:rsidP="004A3BF4">
      <w:pPr>
        <w:tabs>
          <w:tab w:val="left" w:pos="851"/>
        </w:tabs>
        <w:ind w:left="851"/>
        <w:rPr>
          <w:sz w:val="24"/>
          <w:szCs w:val="24"/>
          <w:lang w:val="en-GB"/>
        </w:rPr>
      </w:pPr>
    </w:p>
    <w:p w14:paraId="70C94385"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3.</w:t>
      </w:r>
      <w:r w:rsidRPr="00775BF2">
        <w:rPr>
          <w:b/>
          <w:sz w:val="24"/>
          <w:szCs w:val="24"/>
          <w:lang w:val="en-GB"/>
        </w:rPr>
        <w:tab/>
        <w:t>PHARMACEUTICAL FORM</w:t>
      </w:r>
    </w:p>
    <w:p w14:paraId="489307E0" w14:textId="3F7D833D" w:rsidR="008D4EC8" w:rsidRPr="00775BF2" w:rsidRDefault="008D4EC8" w:rsidP="00C12F31">
      <w:pPr>
        <w:ind w:left="851"/>
        <w:contextualSpacing/>
        <w:rPr>
          <w:sz w:val="24"/>
          <w:szCs w:val="24"/>
          <w:lang w:val="en-GB"/>
        </w:rPr>
      </w:pPr>
      <w:r w:rsidRPr="00775BF2">
        <w:rPr>
          <w:sz w:val="24"/>
          <w:szCs w:val="24"/>
          <w:lang w:val="en-GB"/>
        </w:rPr>
        <w:t>Gastro</w:t>
      </w:r>
      <w:r w:rsidRPr="00775BF2">
        <w:rPr>
          <w:sz w:val="24"/>
          <w:szCs w:val="24"/>
          <w:lang w:val="en-GB"/>
        </w:rPr>
        <w:noBreakHyphen/>
        <w:t>resistant tablet</w:t>
      </w:r>
      <w:r w:rsidR="002D7924">
        <w:rPr>
          <w:sz w:val="24"/>
          <w:szCs w:val="24"/>
          <w:lang w:val="en-GB"/>
        </w:rPr>
        <w:t>s</w:t>
      </w:r>
    </w:p>
    <w:p w14:paraId="4BA1E5A8" w14:textId="77777777" w:rsidR="008D4EC8" w:rsidRPr="00775BF2" w:rsidRDefault="008D4EC8" w:rsidP="00C12F31">
      <w:pPr>
        <w:ind w:left="851"/>
        <w:contextualSpacing/>
        <w:rPr>
          <w:sz w:val="24"/>
          <w:szCs w:val="24"/>
          <w:lang w:val="en-GB"/>
        </w:rPr>
      </w:pPr>
    </w:p>
    <w:p w14:paraId="1CF42A3C" w14:textId="4E900B59" w:rsidR="008D4EC8" w:rsidRPr="00775BF2" w:rsidRDefault="008D4EC8" w:rsidP="00C12F31">
      <w:pPr>
        <w:ind w:left="851"/>
        <w:contextualSpacing/>
        <w:rPr>
          <w:sz w:val="24"/>
          <w:szCs w:val="24"/>
          <w:lang w:val="en-GB"/>
        </w:rPr>
      </w:pPr>
      <w:r w:rsidRPr="00775BF2">
        <w:rPr>
          <w:sz w:val="24"/>
          <w:szCs w:val="24"/>
          <w:lang w:val="en-GB"/>
        </w:rPr>
        <w:t>20 mg: A light pink, elliptically shaped, biconvex film</w:t>
      </w:r>
      <w:r w:rsidRPr="00775BF2">
        <w:rPr>
          <w:sz w:val="24"/>
          <w:szCs w:val="24"/>
          <w:lang w:val="en-GB"/>
        </w:rPr>
        <w:noBreakHyphen/>
        <w:t>coated tablet, 6.55 </w:t>
      </w:r>
      <w:r w:rsidR="00396429">
        <w:rPr>
          <w:sz w:val="24"/>
          <w:szCs w:val="24"/>
          <w:lang w:val="en-GB"/>
        </w:rPr>
        <w:t>×</w:t>
      </w:r>
      <w:r w:rsidRPr="00775BF2">
        <w:rPr>
          <w:sz w:val="24"/>
          <w:szCs w:val="24"/>
          <w:lang w:val="en-GB"/>
        </w:rPr>
        <w:t xml:space="preserve"> 13.6 mm.</w:t>
      </w:r>
    </w:p>
    <w:p w14:paraId="5E050F38" w14:textId="13251A34" w:rsidR="008D4EC8" w:rsidRPr="00775BF2" w:rsidRDefault="008D4EC8" w:rsidP="00C12F31">
      <w:pPr>
        <w:tabs>
          <w:tab w:val="left" w:pos="567"/>
        </w:tabs>
        <w:ind w:left="851"/>
        <w:contextualSpacing/>
        <w:rPr>
          <w:sz w:val="24"/>
          <w:szCs w:val="24"/>
          <w:lang w:val="en-GB"/>
        </w:rPr>
      </w:pPr>
      <w:r w:rsidRPr="00775BF2">
        <w:rPr>
          <w:sz w:val="24"/>
          <w:szCs w:val="24"/>
          <w:lang w:val="en-GB"/>
        </w:rPr>
        <w:t>40 mg: A pink, elliptically shaped, biconvex film</w:t>
      </w:r>
      <w:r w:rsidRPr="00775BF2">
        <w:rPr>
          <w:sz w:val="24"/>
          <w:szCs w:val="24"/>
          <w:lang w:val="en-GB"/>
        </w:rPr>
        <w:noBreakHyphen/>
        <w:t>coated tablet, 8.2 </w:t>
      </w:r>
      <w:r w:rsidR="00396429">
        <w:rPr>
          <w:sz w:val="24"/>
          <w:szCs w:val="24"/>
          <w:lang w:val="en-GB"/>
        </w:rPr>
        <w:t>×</w:t>
      </w:r>
      <w:r w:rsidRPr="00775BF2">
        <w:rPr>
          <w:sz w:val="24"/>
          <w:szCs w:val="24"/>
          <w:lang w:val="en-GB"/>
        </w:rPr>
        <w:t xml:space="preserve"> 17 mm.</w:t>
      </w:r>
    </w:p>
    <w:p w14:paraId="76478658" w14:textId="77777777" w:rsidR="007C5D2A" w:rsidRPr="00775BF2" w:rsidRDefault="007C5D2A" w:rsidP="004A3BF4">
      <w:pPr>
        <w:tabs>
          <w:tab w:val="left" w:pos="851"/>
        </w:tabs>
        <w:ind w:left="851"/>
        <w:rPr>
          <w:sz w:val="24"/>
          <w:szCs w:val="24"/>
          <w:lang w:val="en-GB"/>
        </w:rPr>
      </w:pPr>
    </w:p>
    <w:p w14:paraId="7503FE0D" w14:textId="73006904" w:rsidR="00462D86" w:rsidRDefault="00462D86">
      <w:pPr>
        <w:rPr>
          <w:sz w:val="24"/>
          <w:szCs w:val="24"/>
          <w:lang w:val="en-GB"/>
        </w:rPr>
      </w:pPr>
      <w:r>
        <w:rPr>
          <w:sz w:val="24"/>
          <w:szCs w:val="24"/>
          <w:lang w:val="en-GB"/>
        </w:rPr>
        <w:br w:type="page"/>
      </w:r>
    </w:p>
    <w:p w14:paraId="71C9C433" w14:textId="77777777" w:rsidR="007C5D2A" w:rsidRPr="00775BF2" w:rsidRDefault="007C5D2A" w:rsidP="004A3BF4">
      <w:pPr>
        <w:tabs>
          <w:tab w:val="left" w:pos="851"/>
        </w:tabs>
        <w:ind w:left="851"/>
        <w:rPr>
          <w:sz w:val="24"/>
          <w:szCs w:val="24"/>
          <w:lang w:val="en-GB"/>
        </w:rPr>
      </w:pPr>
    </w:p>
    <w:p w14:paraId="7985B57E" w14:textId="77777777" w:rsidR="007C5D2A" w:rsidRPr="00775BF2" w:rsidRDefault="007C5D2A" w:rsidP="007C5D2A">
      <w:pPr>
        <w:ind w:left="851" w:hanging="851"/>
        <w:rPr>
          <w:b/>
          <w:sz w:val="24"/>
          <w:szCs w:val="24"/>
          <w:lang w:val="en-GB"/>
        </w:rPr>
      </w:pPr>
      <w:r w:rsidRPr="00775BF2">
        <w:rPr>
          <w:b/>
          <w:sz w:val="24"/>
          <w:szCs w:val="24"/>
          <w:lang w:val="en-GB"/>
        </w:rPr>
        <w:t>4.</w:t>
      </w:r>
      <w:r w:rsidRPr="00775BF2">
        <w:rPr>
          <w:b/>
          <w:sz w:val="24"/>
          <w:szCs w:val="24"/>
          <w:lang w:val="en-GB"/>
        </w:rPr>
        <w:tab/>
        <w:t>CLINICAL PARTICULARS</w:t>
      </w:r>
    </w:p>
    <w:p w14:paraId="19909138" w14:textId="77777777" w:rsidR="007C5D2A" w:rsidRPr="00775BF2" w:rsidRDefault="007C5D2A" w:rsidP="004A3BF4">
      <w:pPr>
        <w:tabs>
          <w:tab w:val="left" w:pos="851"/>
        </w:tabs>
        <w:ind w:left="851"/>
        <w:rPr>
          <w:sz w:val="24"/>
          <w:szCs w:val="24"/>
          <w:lang w:val="en-GB"/>
        </w:rPr>
      </w:pPr>
    </w:p>
    <w:p w14:paraId="5A1FE14A" w14:textId="77777777" w:rsidR="007C5D2A" w:rsidRPr="00775BF2" w:rsidRDefault="007C5D2A" w:rsidP="007C5D2A">
      <w:pPr>
        <w:ind w:left="851" w:hanging="851"/>
        <w:rPr>
          <w:b/>
          <w:sz w:val="24"/>
          <w:szCs w:val="24"/>
          <w:u w:val="single"/>
          <w:lang w:val="en-GB"/>
        </w:rPr>
      </w:pPr>
      <w:r w:rsidRPr="00775BF2">
        <w:rPr>
          <w:b/>
          <w:sz w:val="24"/>
          <w:szCs w:val="24"/>
          <w:lang w:val="en-GB"/>
        </w:rPr>
        <w:t>4.1</w:t>
      </w:r>
      <w:r w:rsidRPr="00775BF2">
        <w:rPr>
          <w:b/>
          <w:sz w:val="24"/>
          <w:szCs w:val="24"/>
          <w:lang w:val="en-GB"/>
        </w:rPr>
        <w:tab/>
        <w:t>Therapeutic indications</w:t>
      </w:r>
    </w:p>
    <w:p w14:paraId="453055AB" w14:textId="77777777" w:rsidR="006270C4" w:rsidRPr="006270C4" w:rsidRDefault="006270C4" w:rsidP="00C12F31">
      <w:pPr>
        <w:ind w:left="851"/>
        <w:contextualSpacing/>
        <w:rPr>
          <w:sz w:val="24"/>
          <w:szCs w:val="24"/>
          <w:lang w:val="en-GB"/>
        </w:rPr>
      </w:pPr>
    </w:p>
    <w:p w14:paraId="67F0230E" w14:textId="2FA298DC" w:rsidR="008D4EC8" w:rsidRPr="006270C4" w:rsidRDefault="00A73AC7" w:rsidP="00C12F31">
      <w:pPr>
        <w:ind w:left="851"/>
        <w:contextualSpacing/>
        <w:rPr>
          <w:sz w:val="24"/>
          <w:szCs w:val="24"/>
          <w:u w:val="single"/>
          <w:lang w:val="en-GB"/>
        </w:rPr>
      </w:pPr>
      <w:proofErr w:type="spellStart"/>
      <w:r>
        <w:rPr>
          <w:sz w:val="24"/>
          <w:szCs w:val="24"/>
          <w:u w:val="single"/>
          <w:lang w:val="en-GB"/>
        </w:rPr>
        <w:t>Esoref</w:t>
      </w:r>
      <w:proofErr w:type="spellEnd"/>
      <w:r w:rsidR="008D4EC8" w:rsidRPr="006270C4">
        <w:rPr>
          <w:sz w:val="24"/>
          <w:szCs w:val="24"/>
          <w:u w:val="single"/>
          <w:lang w:val="en-GB"/>
        </w:rPr>
        <w:t xml:space="preserve"> tablets are indicated in adults for:</w:t>
      </w:r>
    </w:p>
    <w:p w14:paraId="027DC222" w14:textId="77777777" w:rsidR="008D4EC8" w:rsidRPr="00775BF2" w:rsidRDefault="008D4EC8" w:rsidP="00C12F31">
      <w:pPr>
        <w:ind w:left="851"/>
        <w:contextualSpacing/>
        <w:rPr>
          <w:sz w:val="24"/>
          <w:szCs w:val="24"/>
          <w:lang w:val="en-GB"/>
        </w:rPr>
      </w:pPr>
    </w:p>
    <w:p w14:paraId="2D8D3100" w14:textId="77777777" w:rsidR="008D4EC8" w:rsidRPr="00775BF2" w:rsidRDefault="008D4EC8" w:rsidP="00C12F31">
      <w:pPr>
        <w:ind w:left="851"/>
        <w:contextualSpacing/>
        <w:rPr>
          <w:sz w:val="24"/>
          <w:szCs w:val="24"/>
          <w:lang w:val="en-GB"/>
        </w:rPr>
      </w:pPr>
      <w:r w:rsidRPr="00775BF2">
        <w:rPr>
          <w:sz w:val="24"/>
          <w:szCs w:val="24"/>
          <w:lang w:val="en-GB"/>
        </w:rPr>
        <w:t>Gastro-oesophageal Reflux Disease (GORD)</w:t>
      </w:r>
    </w:p>
    <w:p w14:paraId="1C9D8BA5" w14:textId="0A319310" w:rsidR="008D4EC8" w:rsidRPr="00775BF2" w:rsidRDefault="008D4EC8" w:rsidP="00C12F31">
      <w:pPr>
        <w:pStyle w:val="Listeafsnit"/>
        <w:numPr>
          <w:ilvl w:val="0"/>
          <w:numId w:val="7"/>
        </w:numPr>
        <w:ind w:left="1276" w:hanging="425"/>
        <w:rPr>
          <w:sz w:val="24"/>
          <w:szCs w:val="24"/>
          <w:lang w:val="en-GB"/>
        </w:rPr>
      </w:pPr>
      <w:r w:rsidRPr="00775BF2">
        <w:rPr>
          <w:sz w:val="24"/>
          <w:szCs w:val="24"/>
          <w:lang w:val="en-GB"/>
        </w:rPr>
        <w:t>treatment of erosive reflux oesophagitis</w:t>
      </w:r>
    </w:p>
    <w:p w14:paraId="6302FDB9" w14:textId="2A58C9FC" w:rsidR="008D4EC8" w:rsidRPr="00775BF2" w:rsidRDefault="008D4EC8" w:rsidP="00C12F31">
      <w:pPr>
        <w:pStyle w:val="Listeafsnit"/>
        <w:numPr>
          <w:ilvl w:val="0"/>
          <w:numId w:val="7"/>
        </w:numPr>
        <w:ind w:left="1276" w:hanging="425"/>
        <w:rPr>
          <w:sz w:val="24"/>
          <w:szCs w:val="24"/>
          <w:lang w:val="en-GB"/>
        </w:rPr>
      </w:pPr>
      <w:r w:rsidRPr="00775BF2">
        <w:rPr>
          <w:sz w:val="24"/>
          <w:szCs w:val="24"/>
          <w:lang w:val="en-GB"/>
        </w:rPr>
        <w:t>long</w:t>
      </w:r>
      <w:r w:rsidRPr="00775BF2">
        <w:rPr>
          <w:sz w:val="24"/>
          <w:szCs w:val="24"/>
          <w:lang w:val="en-GB"/>
        </w:rPr>
        <w:noBreakHyphen/>
        <w:t>term management of patients with healed oesophagitis to prevent relapse</w:t>
      </w:r>
    </w:p>
    <w:p w14:paraId="04CC98AC" w14:textId="51ECE5B9" w:rsidR="008D4EC8" w:rsidRPr="00775BF2" w:rsidRDefault="008D4EC8" w:rsidP="00C12F31">
      <w:pPr>
        <w:pStyle w:val="Listeafsnit"/>
        <w:numPr>
          <w:ilvl w:val="0"/>
          <w:numId w:val="7"/>
        </w:numPr>
        <w:ind w:left="1276" w:hanging="425"/>
        <w:rPr>
          <w:sz w:val="24"/>
          <w:szCs w:val="24"/>
          <w:lang w:val="en-GB"/>
        </w:rPr>
      </w:pPr>
      <w:r w:rsidRPr="00775BF2">
        <w:rPr>
          <w:sz w:val="24"/>
          <w:szCs w:val="24"/>
          <w:lang w:val="en-GB"/>
        </w:rPr>
        <w:t>symptomatic treatment of gastro-oesophageal reflux disease (GORD)</w:t>
      </w:r>
    </w:p>
    <w:p w14:paraId="3809B8A1" w14:textId="77777777" w:rsidR="008D4EC8" w:rsidRPr="00775BF2" w:rsidRDefault="008D4EC8" w:rsidP="00C12F31">
      <w:pPr>
        <w:ind w:left="851"/>
        <w:contextualSpacing/>
        <w:rPr>
          <w:sz w:val="24"/>
          <w:szCs w:val="24"/>
          <w:lang w:val="en-GB"/>
        </w:rPr>
      </w:pPr>
    </w:p>
    <w:p w14:paraId="67FCD087" w14:textId="77777777" w:rsidR="008D4EC8" w:rsidRPr="00775BF2" w:rsidRDefault="008D4EC8" w:rsidP="00C12F31">
      <w:pPr>
        <w:ind w:left="851"/>
        <w:contextualSpacing/>
        <w:rPr>
          <w:i/>
          <w:iCs/>
          <w:sz w:val="24"/>
          <w:szCs w:val="24"/>
          <w:lang w:val="en-GB"/>
        </w:rPr>
      </w:pPr>
      <w:r w:rsidRPr="00775BF2">
        <w:rPr>
          <w:sz w:val="24"/>
          <w:szCs w:val="24"/>
          <w:lang w:val="en-GB"/>
        </w:rPr>
        <w:t xml:space="preserve">In combination with appropriate antibacterial therapeutic regimens for the eradication of </w:t>
      </w:r>
      <w:r w:rsidRPr="00775BF2">
        <w:rPr>
          <w:i/>
          <w:iCs/>
          <w:sz w:val="24"/>
          <w:szCs w:val="24"/>
          <w:lang w:val="en-GB"/>
        </w:rPr>
        <w:t>Helicobacter</w:t>
      </w:r>
    </w:p>
    <w:p w14:paraId="68D8B54A" w14:textId="77777777" w:rsidR="008D4EC8" w:rsidRPr="00775BF2" w:rsidRDefault="008D4EC8" w:rsidP="00FF79E8">
      <w:pPr>
        <w:pStyle w:val="Listeafsnit"/>
        <w:numPr>
          <w:ilvl w:val="0"/>
          <w:numId w:val="9"/>
        </w:numPr>
        <w:ind w:left="1276" w:hanging="425"/>
        <w:rPr>
          <w:sz w:val="24"/>
          <w:szCs w:val="24"/>
          <w:lang w:val="en-GB"/>
        </w:rPr>
      </w:pPr>
      <w:r w:rsidRPr="00775BF2">
        <w:rPr>
          <w:i/>
          <w:iCs/>
          <w:sz w:val="24"/>
          <w:szCs w:val="24"/>
          <w:lang w:val="en-GB"/>
        </w:rPr>
        <w:t xml:space="preserve">pylori </w:t>
      </w:r>
      <w:r w:rsidRPr="00775BF2">
        <w:rPr>
          <w:sz w:val="24"/>
          <w:szCs w:val="24"/>
          <w:lang w:val="en-GB"/>
        </w:rPr>
        <w:t>and</w:t>
      </w:r>
    </w:p>
    <w:p w14:paraId="5CAFC773" w14:textId="035877B7" w:rsidR="008D4EC8" w:rsidRPr="00775BF2" w:rsidRDefault="008D4EC8" w:rsidP="00FF79E8">
      <w:pPr>
        <w:pStyle w:val="Listeafsnit"/>
        <w:numPr>
          <w:ilvl w:val="0"/>
          <w:numId w:val="9"/>
        </w:numPr>
        <w:tabs>
          <w:tab w:val="left" w:pos="567"/>
        </w:tabs>
        <w:ind w:left="1276" w:hanging="425"/>
        <w:rPr>
          <w:sz w:val="24"/>
          <w:szCs w:val="24"/>
          <w:lang w:val="en-GB"/>
        </w:rPr>
      </w:pPr>
      <w:r w:rsidRPr="00775BF2">
        <w:rPr>
          <w:sz w:val="24"/>
          <w:szCs w:val="24"/>
          <w:lang w:val="en-GB"/>
        </w:rPr>
        <w:t xml:space="preserve">healing of </w:t>
      </w:r>
      <w:r w:rsidRPr="00775BF2">
        <w:rPr>
          <w:i/>
          <w:iCs/>
          <w:sz w:val="24"/>
          <w:szCs w:val="24"/>
          <w:lang w:val="en-GB"/>
        </w:rPr>
        <w:t xml:space="preserve">Helicobacter pylori </w:t>
      </w:r>
      <w:r w:rsidRPr="00775BF2">
        <w:rPr>
          <w:sz w:val="24"/>
          <w:szCs w:val="24"/>
          <w:lang w:val="en-GB"/>
        </w:rPr>
        <w:t>associated duodenal ulcer and</w:t>
      </w:r>
    </w:p>
    <w:p w14:paraId="5E83725F" w14:textId="17A8E4F7" w:rsidR="008D4EC8" w:rsidRPr="00775BF2" w:rsidRDefault="008D4EC8" w:rsidP="00FF79E8">
      <w:pPr>
        <w:pStyle w:val="Listeafsnit"/>
        <w:numPr>
          <w:ilvl w:val="0"/>
          <w:numId w:val="9"/>
        </w:numPr>
        <w:tabs>
          <w:tab w:val="left" w:pos="567"/>
        </w:tabs>
        <w:ind w:left="1276" w:hanging="425"/>
        <w:rPr>
          <w:sz w:val="24"/>
          <w:szCs w:val="24"/>
          <w:lang w:val="en-GB"/>
        </w:rPr>
      </w:pPr>
      <w:r w:rsidRPr="00775BF2">
        <w:rPr>
          <w:sz w:val="24"/>
          <w:szCs w:val="24"/>
          <w:lang w:val="en-GB"/>
        </w:rPr>
        <w:t xml:space="preserve">prevention of relapse of peptic ulcers in patients with </w:t>
      </w:r>
      <w:r w:rsidRPr="00775BF2">
        <w:rPr>
          <w:i/>
          <w:iCs/>
          <w:sz w:val="24"/>
          <w:szCs w:val="24"/>
          <w:lang w:val="en-GB"/>
        </w:rPr>
        <w:t xml:space="preserve">Helicobacter pylori </w:t>
      </w:r>
      <w:r w:rsidRPr="00775BF2">
        <w:rPr>
          <w:sz w:val="24"/>
          <w:szCs w:val="24"/>
          <w:lang w:val="en-GB"/>
        </w:rPr>
        <w:t>associated ulcers</w:t>
      </w:r>
    </w:p>
    <w:p w14:paraId="73C7A06B" w14:textId="77777777" w:rsidR="008D4EC8" w:rsidRPr="00775BF2" w:rsidRDefault="008D4EC8" w:rsidP="00C12F31">
      <w:pPr>
        <w:tabs>
          <w:tab w:val="left" w:pos="567"/>
        </w:tabs>
        <w:ind w:left="851"/>
        <w:contextualSpacing/>
        <w:rPr>
          <w:sz w:val="24"/>
          <w:szCs w:val="24"/>
          <w:lang w:val="en-GB"/>
        </w:rPr>
      </w:pPr>
    </w:p>
    <w:p w14:paraId="4C621704" w14:textId="77777777" w:rsidR="008D4EC8" w:rsidRPr="00775BF2" w:rsidRDefault="008D4EC8" w:rsidP="00C12F31">
      <w:pPr>
        <w:ind w:left="851"/>
        <w:contextualSpacing/>
        <w:rPr>
          <w:sz w:val="24"/>
          <w:szCs w:val="24"/>
          <w:lang w:val="en-GB"/>
        </w:rPr>
      </w:pPr>
      <w:r w:rsidRPr="00775BF2">
        <w:rPr>
          <w:sz w:val="24"/>
          <w:szCs w:val="24"/>
          <w:lang w:val="en-GB"/>
        </w:rPr>
        <w:t>Patients requiring continued NSAID therapy</w:t>
      </w:r>
    </w:p>
    <w:p w14:paraId="6A19CEE4" w14:textId="77777777" w:rsidR="008D4EC8" w:rsidRPr="00775BF2" w:rsidRDefault="008D4EC8" w:rsidP="00FF79E8">
      <w:pPr>
        <w:pStyle w:val="Listeafsnit"/>
        <w:numPr>
          <w:ilvl w:val="0"/>
          <w:numId w:val="10"/>
        </w:numPr>
        <w:ind w:left="1276" w:hanging="425"/>
        <w:rPr>
          <w:sz w:val="24"/>
          <w:szCs w:val="24"/>
          <w:lang w:val="en-GB"/>
        </w:rPr>
      </w:pPr>
      <w:r w:rsidRPr="00775BF2">
        <w:rPr>
          <w:sz w:val="24"/>
          <w:szCs w:val="24"/>
          <w:lang w:val="en-GB"/>
        </w:rPr>
        <w:t>Healing of gastric ulcers associated with NSAID therapy.</w:t>
      </w:r>
    </w:p>
    <w:p w14:paraId="7B22E3E1" w14:textId="77777777" w:rsidR="008D4EC8" w:rsidRPr="00775BF2" w:rsidRDefault="008D4EC8" w:rsidP="00FF79E8">
      <w:pPr>
        <w:pStyle w:val="Listeafsnit"/>
        <w:numPr>
          <w:ilvl w:val="0"/>
          <w:numId w:val="10"/>
        </w:numPr>
        <w:ind w:left="1276" w:hanging="425"/>
        <w:rPr>
          <w:sz w:val="24"/>
          <w:szCs w:val="24"/>
          <w:lang w:val="en-GB"/>
        </w:rPr>
      </w:pPr>
      <w:r w:rsidRPr="00775BF2">
        <w:rPr>
          <w:sz w:val="24"/>
          <w:szCs w:val="24"/>
          <w:lang w:val="en-GB"/>
        </w:rPr>
        <w:t>Prevention of gastric and duodenal ulcers associated with NSAID therapy, in patients at risk.</w:t>
      </w:r>
    </w:p>
    <w:p w14:paraId="048D33E4" w14:textId="77777777" w:rsidR="008D4EC8" w:rsidRPr="00775BF2" w:rsidRDefault="008D4EC8" w:rsidP="00C12F31">
      <w:pPr>
        <w:ind w:left="851"/>
        <w:contextualSpacing/>
        <w:rPr>
          <w:sz w:val="24"/>
          <w:szCs w:val="24"/>
          <w:u w:val="single"/>
          <w:lang w:val="en-GB"/>
        </w:rPr>
      </w:pPr>
    </w:p>
    <w:p w14:paraId="380C5CC3" w14:textId="77777777" w:rsidR="008D4EC8" w:rsidRPr="00775BF2" w:rsidRDefault="008D4EC8" w:rsidP="00C12F31">
      <w:pPr>
        <w:ind w:left="851"/>
        <w:contextualSpacing/>
        <w:rPr>
          <w:sz w:val="24"/>
          <w:szCs w:val="24"/>
          <w:u w:val="single"/>
          <w:lang w:val="en-GB"/>
        </w:rPr>
      </w:pPr>
      <w:r w:rsidRPr="00775BF2">
        <w:rPr>
          <w:sz w:val="24"/>
          <w:szCs w:val="24"/>
          <w:u w:val="single"/>
          <w:lang w:val="en-GB"/>
        </w:rPr>
        <w:t xml:space="preserve">Prolonged treatment after </w:t>
      </w:r>
      <w:proofErr w:type="spellStart"/>
      <w:r w:rsidRPr="00775BF2">
        <w:rPr>
          <w:sz w:val="24"/>
          <w:szCs w:val="24"/>
          <w:u w:val="single"/>
          <w:lang w:val="en-GB"/>
        </w:rPr>
        <w:t>i.v.</w:t>
      </w:r>
      <w:proofErr w:type="spellEnd"/>
      <w:r w:rsidRPr="00775BF2">
        <w:rPr>
          <w:sz w:val="24"/>
          <w:szCs w:val="24"/>
          <w:u w:val="single"/>
          <w:lang w:val="en-GB"/>
        </w:rPr>
        <w:t xml:space="preserve"> induced prevention of rebleeding of peptic ulcers.</w:t>
      </w:r>
    </w:p>
    <w:p w14:paraId="4D4F81C0" w14:textId="77777777" w:rsidR="008D4EC8" w:rsidRPr="00775BF2" w:rsidRDefault="008D4EC8" w:rsidP="00C12F31">
      <w:pPr>
        <w:ind w:left="851"/>
        <w:contextualSpacing/>
        <w:rPr>
          <w:sz w:val="24"/>
          <w:szCs w:val="24"/>
          <w:u w:val="single"/>
          <w:lang w:val="en-GB"/>
        </w:rPr>
      </w:pPr>
    </w:p>
    <w:p w14:paraId="7E318594" w14:textId="77777777" w:rsidR="008D4EC8" w:rsidRPr="00775BF2" w:rsidRDefault="008D4EC8" w:rsidP="00C12F31">
      <w:pPr>
        <w:ind w:left="851"/>
        <w:contextualSpacing/>
        <w:rPr>
          <w:sz w:val="24"/>
          <w:szCs w:val="24"/>
          <w:lang w:val="en-GB"/>
        </w:rPr>
      </w:pPr>
      <w:r w:rsidRPr="00775BF2">
        <w:rPr>
          <w:sz w:val="24"/>
          <w:szCs w:val="24"/>
          <w:lang w:val="en-GB"/>
        </w:rPr>
        <w:t>Treatment of Zollinger Ellison Syndrome</w:t>
      </w:r>
    </w:p>
    <w:p w14:paraId="0C557D77" w14:textId="77777777" w:rsidR="008D4EC8" w:rsidRPr="00775BF2" w:rsidRDefault="008D4EC8" w:rsidP="00C12F31">
      <w:pPr>
        <w:ind w:left="851"/>
        <w:contextualSpacing/>
        <w:rPr>
          <w:sz w:val="24"/>
          <w:szCs w:val="24"/>
          <w:lang w:val="en-GB"/>
        </w:rPr>
      </w:pPr>
    </w:p>
    <w:p w14:paraId="46BAFA9F" w14:textId="1FA81BAC" w:rsidR="008D4EC8" w:rsidRPr="00775BF2" w:rsidRDefault="00A73AC7" w:rsidP="00C12F31">
      <w:pPr>
        <w:ind w:left="851"/>
        <w:contextualSpacing/>
        <w:rPr>
          <w:sz w:val="24"/>
          <w:szCs w:val="24"/>
          <w:lang w:val="en-GB"/>
        </w:rPr>
      </w:pPr>
      <w:proofErr w:type="spellStart"/>
      <w:r>
        <w:rPr>
          <w:sz w:val="24"/>
          <w:szCs w:val="24"/>
          <w:u w:val="single"/>
          <w:lang w:val="en-GB"/>
        </w:rPr>
        <w:t>Esoref</w:t>
      </w:r>
      <w:proofErr w:type="spellEnd"/>
      <w:r w:rsidR="008D4EC8" w:rsidRPr="006270C4">
        <w:rPr>
          <w:sz w:val="24"/>
          <w:szCs w:val="24"/>
          <w:u w:val="single"/>
          <w:lang w:val="en-GB"/>
        </w:rPr>
        <w:t xml:space="preserve"> tablets are indicated in </w:t>
      </w:r>
      <w:r w:rsidR="008D4EC8" w:rsidRPr="006270C4">
        <w:rPr>
          <w:iCs/>
          <w:sz w:val="24"/>
          <w:szCs w:val="24"/>
          <w:u w:val="single"/>
          <w:lang w:val="en-GB"/>
        </w:rPr>
        <w:t>adolescents from the age of 12 years for</w:t>
      </w:r>
      <w:r w:rsidR="008D4EC8" w:rsidRPr="00775BF2">
        <w:rPr>
          <w:iCs/>
          <w:sz w:val="24"/>
          <w:szCs w:val="24"/>
          <w:lang w:val="en-GB"/>
        </w:rPr>
        <w:t xml:space="preserve">: </w:t>
      </w:r>
      <w:r w:rsidR="008D4EC8" w:rsidRPr="00775BF2">
        <w:rPr>
          <w:sz w:val="24"/>
          <w:szCs w:val="24"/>
          <w:lang w:val="en-GB"/>
        </w:rPr>
        <w:t>Gastro-oesophageal Reflux Disease (GORD)</w:t>
      </w:r>
    </w:p>
    <w:p w14:paraId="0E2D8F0A" w14:textId="3E13000F" w:rsidR="008D4EC8" w:rsidRPr="00775BF2" w:rsidRDefault="008D4EC8" w:rsidP="00FF79E8">
      <w:pPr>
        <w:pStyle w:val="Listeafsnit"/>
        <w:numPr>
          <w:ilvl w:val="0"/>
          <w:numId w:val="11"/>
        </w:numPr>
        <w:ind w:left="1276" w:hanging="283"/>
        <w:rPr>
          <w:sz w:val="24"/>
          <w:szCs w:val="24"/>
          <w:lang w:val="en-GB"/>
        </w:rPr>
      </w:pPr>
      <w:r w:rsidRPr="00775BF2">
        <w:rPr>
          <w:sz w:val="24"/>
          <w:szCs w:val="24"/>
          <w:lang w:val="en-GB"/>
        </w:rPr>
        <w:t>treatment of erosive reflux oesophagitis</w:t>
      </w:r>
    </w:p>
    <w:p w14:paraId="04D52DFB" w14:textId="19D3D68B" w:rsidR="008D4EC8" w:rsidRPr="00775BF2" w:rsidRDefault="008D4EC8" w:rsidP="00FF79E8">
      <w:pPr>
        <w:pStyle w:val="Listeafsnit"/>
        <w:numPr>
          <w:ilvl w:val="0"/>
          <w:numId w:val="11"/>
        </w:numPr>
        <w:ind w:left="1276" w:hanging="283"/>
        <w:rPr>
          <w:sz w:val="24"/>
          <w:szCs w:val="24"/>
          <w:lang w:val="en-GB"/>
        </w:rPr>
      </w:pPr>
      <w:r w:rsidRPr="00775BF2">
        <w:rPr>
          <w:sz w:val="24"/>
          <w:szCs w:val="24"/>
          <w:lang w:val="en-GB"/>
        </w:rPr>
        <w:t>long</w:t>
      </w:r>
      <w:r w:rsidRPr="00775BF2">
        <w:rPr>
          <w:sz w:val="24"/>
          <w:szCs w:val="24"/>
          <w:lang w:val="en-GB"/>
        </w:rPr>
        <w:noBreakHyphen/>
        <w:t>term management of patients with healed oesophagitis to prevent relapse</w:t>
      </w:r>
    </w:p>
    <w:p w14:paraId="0151A445" w14:textId="00BB3CF6" w:rsidR="008D4EC8" w:rsidRPr="00775BF2" w:rsidRDefault="008D4EC8" w:rsidP="00FF79E8">
      <w:pPr>
        <w:pStyle w:val="Listeafsnit"/>
        <w:numPr>
          <w:ilvl w:val="0"/>
          <w:numId w:val="11"/>
        </w:numPr>
        <w:ind w:left="1276" w:hanging="283"/>
        <w:rPr>
          <w:sz w:val="24"/>
          <w:szCs w:val="24"/>
          <w:lang w:val="en-GB"/>
        </w:rPr>
      </w:pPr>
      <w:r w:rsidRPr="00775BF2">
        <w:rPr>
          <w:sz w:val="24"/>
          <w:szCs w:val="24"/>
          <w:lang w:val="en-GB"/>
        </w:rPr>
        <w:t>symptomatic treatment of gastro-oesophageal reflux disease (GORD)</w:t>
      </w:r>
    </w:p>
    <w:p w14:paraId="34179361" w14:textId="77777777" w:rsidR="008D4EC8" w:rsidRPr="00775BF2" w:rsidRDefault="008D4EC8" w:rsidP="00C12F31">
      <w:pPr>
        <w:tabs>
          <w:tab w:val="left" w:pos="567"/>
        </w:tabs>
        <w:ind w:left="851"/>
        <w:contextualSpacing/>
        <w:rPr>
          <w:sz w:val="24"/>
          <w:szCs w:val="24"/>
          <w:lang w:val="en-GB"/>
        </w:rPr>
      </w:pPr>
    </w:p>
    <w:p w14:paraId="30484E36" w14:textId="6636C6CC" w:rsidR="007C5D2A" w:rsidRDefault="008D4EC8" w:rsidP="00CC7F36">
      <w:pPr>
        <w:tabs>
          <w:tab w:val="left" w:pos="567"/>
        </w:tabs>
        <w:ind w:left="851"/>
        <w:contextualSpacing/>
        <w:rPr>
          <w:i/>
          <w:sz w:val="24"/>
          <w:szCs w:val="24"/>
          <w:lang w:val="en-GB"/>
        </w:rPr>
      </w:pPr>
      <w:r w:rsidRPr="00775BF2">
        <w:rPr>
          <w:sz w:val="24"/>
          <w:szCs w:val="24"/>
          <w:lang w:val="en-GB"/>
        </w:rPr>
        <w:t xml:space="preserve">In combination with antibiotics in treatment of duodenal ulcer caused by </w:t>
      </w:r>
      <w:r w:rsidRPr="00775BF2">
        <w:rPr>
          <w:i/>
          <w:sz w:val="24"/>
          <w:szCs w:val="24"/>
          <w:lang w:val="en-GB"/>
        </w:rPr>
        <w:t>Helicobacter pylori</w:t>
      </w:r>
      <w:r w:rsidR="00CC7F36">
        <w:rPr>
          <w:i/>
          <w:sz w:val="24"/>
          <w:szCs w:val="24"/>
          <w:lang w:val="en-GB"/>
        </w:rPr>
        <w:t>.</w:t>
      </w:r>
    </w:p>
    <w:p w14:paraId="5E757C0A" w14:textId="77777777" w:rsidR="00CC7F36" w:rsidRPr="00775BF2" w:rsidRDefault="00CC7F36" w:rsidP="00CC7F36">
      <w:pPr>
        <w:tabs>
          <w:tab w:val="left" w:pos="567"/>
        </w:tabs>
        <w:ind w:left="851"/>
        <w:contextualSpacing/>
        <w:rPr>
          <w:sz w:val="24"/>
          <w:szCs w:val="24"/>
          <w:lang w:val="en-GB"/>
        </w:rPr>
      </w:pPr>
    </w:p>
    <w:p w14:paraId="60ED30C0" w14:textId="77777777" w:rsidR="007C5D2A" w:rsidRPr="00775BF2" w:rsidRDefault="009925C9" w:rsidP="007C5D2A">
      <w:pPr>
        <w:tabs>
          <w:tab w:val="left" w:pos="851"/>
        </w:tabs>
        <w:ind w:left="851" w:hanging="851"/>
        <w:rPr>
          <w:sz w:val="24"/>
          <w:szCs w:val="24"/>
          <w:lang w:val="en-GB"/>
        </w:rPr>
      </w:pPr>
      <w:r w:rsidRPr="00775BF2">
        <w:rPr>
          <w:b/>
          <w:sz w:val="24"/>
          <w:szCs w:val="24"/>
          <w:lang w:val="en-GB"/>
        </w:rPr>
        <w:t>4.2</w:t>
      </w:r>
      <w:r w:rsidR="007C5D2A" w:rsidRPr="00775BF2">
        <w:rPr>
          <w:b/>
          <w:sz w:val="24"/>
          <w:szCs w:val="24"/>
          <w:lang w:val="en-GB"/>
        </w:rPr>
        <w:tab/>
        <w:t>Posology and method of administration</w:t>
      </w:r>
    </w:p>
    <w:p w14:paraId="7DD3C7EA" w14:textId="77777777" w:rsidR="00CC7F36" w:rsidRDefault="00CC7F36" w:rsidP="00FF79E8">
      <w:pPr>
        <w:ind w:left="851"/>
        <w:contextualSpacing/>
        <w:rPr>
          <w:sz w:val="24"/>
          <w:szCs w:val="24"/>
          <w:u w:val="single"/>
          <w:lang w:val="en-GB"/>
        </w:rPr>
      </w:pPr>
    </w:p>
    <w:p w14:paraId="428E4EB5" w14:textId="5C24761B" w:rsidR="008D4EC8" w:rsidRPr="00775BF2" w:rsidRDefault="008D4EC8" w:rsidP="00FF79E8">
      <w:pPr>
        <w:ind w:left="851"/>
        <w:contextualSpacing/>
        <w:rPr>
          <w:sz w:val="24"/>
          <w:szCs w:val="24"/>
          <w:lang w:val="en-GB"/>
        </w:rPr>
      </w:pPr>
      <w:r w:rsidRPr="00775BF2">
        <w:rPr>
          <w:sz w:val="24"/>
          <w:szCs w:val="24"/>
          <w:u w:val="single"/>
          <w:lang w:val="en-GB"/>
        </w:rPr>
        <w:t>Posology</w:t>
      </w:r>
    </w:p>
    <w:p w14:paraId="686E4999" w14:textId="77777777" w:rsidR="008D4EC8" w:rsidRPr="00775BF2" w:rsidRDefault="008D4EC8" w:rsidP="00FF79E8">
      <w:pPr>
        <w:tabs>
          <w:tab w:val="left" w:pos="567"/>
        </w:tabs>
        <w:ind w:left="851"/>
        <w:contextualSpacing/>
        <w:rPr>
          <w:bCs/>
          <w:sz w:val="24"/>
          <w:szCs w:val="24"/>
          <w:lang w:val="en-GB"/>
        </w:rPr>
      </w:pPr>
    </w:p>
    <w:p w14:paraId="6A0A563C" w14:textId="77777777" w:rsidR="008D4EC8" w:rsidRPr="00775BF2" w:rsidRDefault="008D4EC8" w:rsidP="00FF79E8">
      <w:pPr>
        <w:tabs>
          <w:tab w:val="left" w:pos="567"/>
        </w:tabs>
        <w:ind w:left="851"/>
        <w:contextualSpacing/>
        <w:rPr>
          <w:bCs/>
          <w:sz w:val="24"/>
          <w:szCs w:val="24"/>
          <w:u w:val="single"/>
          <w:lang w:val="en-GB"/>
        </w:rPr>
      </w:pPr>
      <w:r w:rsidRPr="00775BF2">
        <w:rPr>
          <w:i/>
          <w:sz w:val="24"/>
          <w:szCs w:val="24"/>
          <w:u w:val="single"/>
          <w:lang w:val="en-GB"/>
        </w:rPr>
        <w:t>Adults</w:t>
      </w:r>
    </w:p>
    <w:p w14:paraId="299B2BF7" w14:textId="77777777" w:rsidR="008D4EC8" w:rsidRPr="00775BF2" w:rsidRDefault="008D4EC8" w:rsidP="00FF79E8">
      <w:pPr>
        <w:tabs>
          <w:tab w:val="left" w:pos="567"/>
        </w:tabs>
        <w:ind w:left="851"/>
        <w:contextualSpacing/>
        <w:rPr>
          <w:bCs/>
          <w:sz w:val="24"/>
          <w:szCs w:val="24"/>
          <w:lang w:val="en-GB"/>
        </w:rPr>
      </w:pPr>
    </w:p>
    <w:p w14:paraId="40F27959" w14:textId="77777777" w:rsidR="008D4EC8" w:rsidRPr="00775BF2" w:rsidRDefault="008D4EC8" w:rsidP="00FF79E8">
      <w:pPr>
        <w:ind w:left="851"/>
        <w:contextualSpacing/>
        <w:rPr>
          <w:i/>
          <w:sz w:val="24"/>
          <w:szCs w:val="24"/>
          <w:lang w:val="en-GB"/>
        </w:rPr>
      </w:pPr>
      <w:r w:rsidRPr="00775BF2">
        <w:rPr>
          <w:i/>
          <w:sz w:val="24"/>
          <w:szCs w:val="24"/>
          <w:lang w:val="en-GB"/>
        </w:rPr>
        <w:t>Gastro-oesophageal Reflux Disease (GORD)</w:t>
      </w:r>
    </w:p>
    <w:p w14:paraId="31262446" w14:textId="5F09E2D1" w:rsidR="008D4EC8" w:rsidRPr="00775BF2" w:rsidRDefault="008D4EC8" w:rsidP="00FF79E8">
      <w:pPr>
        <w:pStyle w:val="Listeafsnit"/>
        <w:numPr>
          <w:ilvl w:val="0"/>
          <w:numId w:val="12"/>
        </w:numPr>
        <w:ind w:left="1276" w:hanging="425"/>
        <w:rPr>
          <w:sz w:val="24"/>
          <w:szCs w:val="24"/>
          <w:lang w:val="en-GB"/>
        </w:rPr>
      </w:pPr>
      <w:r w:rsidRPr="00775BF2">
        <w:rPr>
          <w:sz w:val="24"/>
          <w:szCs w:val="24"/>
          <w:u w:val="single"/>
          <w:lang w:val="en-GB"/>
        </w:rPr>
        <w:t>treatment of erosive reflux oesophagitis</w:t>
      </w:r>
    </w:p>
    <w:p w14:paraId="1F4A5C36" w14:textId="77777777" w:rsidR="008D4EC8" w:rsidRPr="00775BF2" w:rsidRDefault="008D4EC8" w:rsidP="00FF79E8">
      <w:pPr>
        <w:pStyle w:val="Listeafsnit"/>
        <w:ind w:left="1276"/>
        <w:rPr>
          <w:sz w:val="24"/>
          <w:szCs w:val="24"/>
          <w:lang w:val="en-GB"/>
        </w:rPr>
      </w:pPr>
      <w:r w:rsidRPr="00775BF2">
        <w:rPr>
          <w:sz w:val="24"/>
          <w:szCs w:val="24"/>
          <w:lang w:val="en-GB"/>
        </w:rPr>
        <w:t>40 mg once daily for 4 weeks.</w:t>
      </w:r>
    </w:p>
    <w:p w14:paraId="02C041BD" w14:textId="77777777" w:rsidR="008D4EC8" w:rsidRPr="00775BF2" w:rsidRDefault="008D4EC8" w:rsidP="00FF79E8">
      <w:pPr>
        <w:pStyle w:val="Listeafsnit"/>
        <w:ind w:left="1276"/>
        <w:rPr>
          <w:sz w:val="24"/>
          <w:szCs w:val="24"/>
          <w:lang w:val="en-GB"/>
        </w:rPr>
      </w:pPr>
      <w:r w:rsidRPr="00775BF2">
        <w:rPr>
          <w:sz w:val="24"/>
          <w:szCs w:val="24"/>
          <w:lang w:val="en-GB"/>
        </w:rPr>
        <w:t>An additional 4 weeks treatment is recommended for patients in whom oesophagitis has not healed or who have persistent symptoms.</w:t>
      </w:r>
    </w:p>
    <w:p w14:paraId="24A69307" w14:textId="77777777" w:rsidR="008D4EC8" w:rsidRPr="00775BF2" w:rsidRDefault="008D4EC8" w:rsidP="00FF79E8">
      <w:pPr>
        <w:ind w:left="1276" w:hanging="425"/>
        <w:contextualSpacing/>
        <w:rPr>
          <w:sz w:val="24"/>
          <w:szCs w:val="24"/>
          <w:lang w:val="en-GB"/>
        </w:rPr>
      </w:pPr>
    </w:p>
    <w:p w14:paraId="25634332" w14:textId="74093444" w:rsidR="008D4EC8" w:rsidRPr="00775BF2" w:rsidRDefault="008D4EC8" w:rsidP="00FF79E8">
      <w:pPr>
        <w:pStyle w:val="Listeafsnit"/>
        <w:numPr>
          <w:ilvl w:val="0"/>
          <w:numId w:val="12"/>
        </w:numPr>
        <w:ind w:left="1276" w:hanging="425"/>
        <w:rPr>
          <w:sz w:val="24"/>
          <w:szCs w:val="24"/>
          <w:u w:val="single"/>
          <w:lang w:val="en-GB"/>
        </w:rPr>
      </w:pPr>
      <w:r w:rsidRPr="00775BF2">
        <w:rPr>
          <w:sz w:val="24"/>
          <w:szCs w:val="24"/>
          <w:u w:val="single"/>
          <w:lang w:val="en-GB"/>
        </w:rPr>
        <w:t>long</w:t>
      </w:r>
      <w:r w:rsidRPr="00775BF2">
        <w:rPr>
          <w:sz w:val="24"/>
          <w:szCs w:val="24"/>
          <w:u w:val="single"/>
          <w:lang w:val="en-GB"/>
        </w:rPr>
        <w:noBreakHyphen/>
        <w:t>term management of patients with healed oesophagitis to prevent relapse</w:t>
      </w:r>
    </w:p>
    <w:p w14:paraId="6C15A2DD" w14:textId="77777777" w:rsidR="008D4EC8" w:rsidRPr="00775BF2" w:rsidRDefault="008D4EC8" w:rsidP="00FF79E8">
      <w:pPr>
        <w:pStyle w:val="Listeafsnit"/>
        <w:ind w:left="1276"/>
        <w:rPr>
          <w:sz w:val="24"/>
          <w:szCs w:val="24"/>
          <w:u w:val="single"/>
          <w:lang w:val="en-GB"/>
        </w:rPr>
      </w:pPr>
      <w:r w:rsidRPr="00775BF2">
        <w:rPr>
          <w:sz w:val="24"/>
          <w:szCs w:val="24"/>
          <w:lang w:val="en-GB"/>
        </w:rPr>
        <w:t>20 mg once daily.</w:t>
      </w:r>
    </w:p>
    <w:p w14:paraId="1515DFFD" w14:textId="77777777" w:rsidR="008D4EC8" w:rsidRPr="00775BF2" w:rsidRDefault="008D4EC8" w:rsidP="00FF79E8">
      <w:pPr>
        <w:ind w:left="1276" w:hanging="425"/>
        <w:contextualSpacing/>
        <w:rPr>
          <w:sz w:val="24"/>
          <w:szCs w:val="24"/>
          <w:lang w:val="en-GB"/>
        </w:rPr>
      </w:pPr>
    </w:p>
    <w:p w14:paraId="033EAF60" w14:textId="4E52FD86" w:rsidR="008D4EC8" w:rsidRPr="00775BF2" w:rsidRDefault="008D4EC8" w:rsidP="00FF79E8">
      <w:pPr>
        <w:pStyle w:val="Listeafsnit"/>
        <w:numPr>
          <w:ilvl w:val="0"/>
          <w:numId w:val="12"/>
        </w:numPr>
        <w:ind w:left="1276" w:hanging="425"/>
        <w:rPr>
          <w:sz w:val="24"/>
          <w:szCs w:val="24"/>
          <w:u w:val="single"/>
          <w:lang w:val="en-GB"/>
        </w:rPr>
      </w:pPr>
      <w:r w:rsidRPr="00775BF2">
        <w:rPr>
          <w:sz w:val="24"/>
          <w:szCs w:val="24"/>
          <w:u w:val="single"/>
          <w:lang w:val="en-GB"/>
        </w:rPr>
        <w:t>symptomatic treatment of gastro-oesophageal reflux disease (GORD)</w:t>
      </w:r>
    </w:p>
    <w:p w14:paraId="16DAADC6" w14:textId="77777777" w:rsidR="008D4EC8" w:rsidRPr="00775BF2" w:rsidRDefault="008D4EC8" w:rsidP="00FF79E8">
      <w:pPr>
        <w:pStyle w:val="Listeafsnit"/>
        <w:ind w:left="1276"/>
        <w:rPr>
          <w:sz w:val="24"/>
          <w:szCs w:val="24"/>
          <w:lang w:val="en-GB"/>
        </w:rPr>
      </w:pPr>
      <w:r w:rsidRPr="00775BF2">
        <w:rPr>
          <w:sz w:val="24"/>
          <w:szCs w:val="24"/>
          <w:lang w:val="en-GB"/>
        </w:rPr>
        <w:t xml:space="preserve">20 mg once daily in patients without oesophagitis. If symptom control has not been achieved after 4 weeks, the patient should be further investigated. Once symptoms have resolved, subsequent symptom control can be achieved using 20 mg once daily. An </w:t>
      </w:r>
      <w:proofErr w:type="gramStart"/>
      <w:r w:rsidRPr="00775BF2">
        <w:rPr>
          <w:sz w:val="24"/>
          <w:szCs w:val="24"/>
          <w:lang w:val="en-GB"/>
        </w:rPr>
        <w:t>on demand</w:t>
      </w:r>
      <w:proofErr w:type="gramEnd"/>
      <w:r w:rsidRPr="00775BF2">
        <w:rPr>
          <w:sz w:val="24"/>
          <w:szCs w:val="24"/>
          <w:lang w:val="en-GB"/>
        </w:rPr>
        <w:t xml:space="preserve"> regimen taking 20 mg once daily, when needed, can be used. In NSAID treated patients at risk of developing gastric and duodenal ulcers, subsequent symptom control using an </w:t>
      </w:r>
      <w:proofErr w:type="gramStart"/>
      <w:r w:rsidRPr="00775BF2">
        <w:rPr>
          <w:sz w:val="24"/>
          <w:szCs w:val="24"/>
          <w:lang w:val="en-GB"/>
        </w:rPr>
        <w:t>on demand</w:t>
      </w:r>
      <w:proofErr w:type="gramEnd"/>
      <w:r w:rsidRPr="00775BF2">
        <w:rPr>
          <w:sz w:val="24"/>
          <w:szCs w:val="24"/>
          <w:lang w:val="en-GB"/>
        </w:rPr>
        <w:t xml:space="preserve"> regimen is not recommended.</w:t>
      </w:r>
    </w:p>
    <w:p w14:paraId="5E494BBD" w14:textId="77777777" w:rsidR="008D4EC8" w:rsidRPr="00775BF2" w:rsidRDefault="008D4EC8" w:rsidP="008D4EC8">
      <w:pPr>
        <w:tabs>
          <w:tab w:val="left" w:pos="567"/>
        </w:tabs>
        <w:contextualSpacing/>
        <w:rPr>
          <w:bCs/>
          <w:sz w:val="24"/>
          <w:szCs w:val="24"/>
          <w:lang w:val="en-GB"/>
        </w:rPr>
      </w:pPr>
    </w:p>
    <w:p w14:paraId="3CEB7517" w14:textId="77777777" w:rsidR="008D4EC8" w:rsidRPr="00775BF2" w:rsidRDefault="008D4EC8" w:rsidP="00FF79E8">
      <w:pPr>
        <w:ind w:left="851"/>
        <w:contextualSpacing/>
        <w:rPr>
          <w:i/>
          <w:sz w:val="24"/>
          <w:szCs w:val="24"/>
          <w:lang w:val="en-GB"/>
        </w:rPr>
      </w:pPr>
      <w:r w:rsidRPr="00775BF2">
        <w:rPr>
          <w:i/>
          <w:sz w:val="24"/>
          <w:szCs w:val="24"/>
          <w:lang w:val="en-GB"/>
        </w:rPr>
        <w:t>In combination with appropriate antibacterial therapeutic regimens for the eradication of</w:t>
      </w:r>
    </w:p>
    <w:p w14:paraId="2FF7CE9F" w14:textId="77777777" w:rsidR="008D4EC8" w:rsidRPr="00775BF2" w:rsidRDefault="008D4EC8" w:rsidP="00FF79E8">
      <w:pPr>
        <w:ind w:left="851"/>
        <w:contextualSpacing/>
        <w:rPr>
          <w:i/>
          <w:sz w:val="24"/>
          <w:szCs w:val="24"/>
          <w:lang w:val="en-GB"/>
        </w:rPr>
      </w:pPr>
      <w:r w:rsidRPr="00775BF2">
        <w:rPr>
          <w:i/>
          <w:sz w:val="24"/>
          <w:szCs w:val="24"/>
          <w:lang w:val="en-GB"/>
        </w:rPr>
        <w:t>Helicobacter pylori and</w:t>
      </w:r>
    </w:p>
    <w:p w14:paraId="50BE6661" w14:textId="0AD78C05" w:rsidR="008D4EC8" w:rsidRPr="00775BF2" w:rsidRDefault="008D4EC8" w:rsidP="00FF79E8">
      <w:pPr>
        <w:pStyle w:val="Listeafsnit"/>
        <w:numPr>
          <w:ilvl w:val="0"/>
          <w:numId w:val="13"/>
        </w:numPr>
        <w:ind w:left="1276" w:hanging="425"/>
        <w:rPr>
          <w:sz w:val="24"/>
          <w:szCs w:val="24"/>
          <w:u w:val="single"/>
          <w:lang w:val="en-GB"/>
        </w:rPr>
      </w:pPr>
      <w:r w:rsidRPr="00775BF2">
        <w:rPr>
          <w:sz w:val="24"/>
          <w:szCs w:val="24"/>
          <w:u w:val="single"/>
          <w:lang w:val="en-GB"/>
        </w:rPr>
        <w:t xml:space="preserve">healing of </w:t>
      </w:r>
      <w:r w:rsidRPr="00775BF2">
        <w:rPr>
          <w:i/>
          <w:iCs/>
          <w:sz w:val="24"/>
          <w:szCs w:val="24"/>
          <w:u w:val="single"/>
          <w:lang w:val="en-GB"/>
        </w:rPr>
        <w:t xml:space="preserve">Helicobacter pylori </w:t>
      </w:r>
      <w:r w:rsidRPr="00775BF2">
        <w:rPr>
          <w:sz w:val="24"/>
          <w:szCs w:val="24"/>
          <w:u w:val="single"/>
          <w:lang w:val="en-GB"/>
        </w:rPr>
        <w:t>associated duodenal ulcer and</w:t>
      </w:r>
    </w:p>
    <w:p w14:paraId="336A6F0E" w14:textId="38BA6BFA" w:rsidR="008D4EC8" w:rsidRPr="00775BF2" w:rsidRDefault="008D4EC8" w:rsidP="00FF79E8">
      <w:pPr>
        <w:pStyle w:val="Listeafsnit"/>
        <w:numPr>
          <w:ilvl w:val="0"/>
          <w:numId w:val="13"/>
        </w:numPr>
        <w:ind w:left="1276" w:hanging="425"/>
        <w:rPr>
          <w:sz w:val="24"/>
          <w:szCs w:val="24"/>
          <w:lang w:val="en-GB"/>
        </w:rPr>
      </w:pPr>
      <w:r w:rsidRPr="00775BF2">
        <w:rPr>
          <w:sz w:val="24"/>
          <w:szCs w:val="24"/>
          <w:u w:val="single"/>
          <w:lang w:val="en-GB"/>
        </w:rPr>
        <w:t xml:space="preserve">prevention of relapse of peptic ulcers in patients with </w:t>
      </w:r>
      <w:r w:rsidRPr="00775BF2">
        <w:rPr>
          <w:i/>
          <w:iCs/>
          <w:sz w:val="24"/>
          <w:szCs w:val="24"/>
          <w:u w:val="single"/>
          <w:lang w:val="en-GB"/>
        </w:rPr>
        <w:t xml:space="preserve">Helicobacter pylori </w:t>
      </w:r>
      <w:r w:rsidRPr="00775BF2">
        <w:rPr>
          <w:sz w:val="24"/>
          <w:szCs w:val="24"/>
          <w:u w:val="single"/>
          <w:lang w:val="en-GB"/>
        </w:rPr>
        <w:t>associated ulcers</w:t>
      </w:r>
      <w:r w:rsidRPr="00775BF2">
        <w:rPr>
          <w:sz w:val="24"/>
          <w:szCs w:val="24"/>
          <w:lang w:val="en-GB"/>
        </w:rPr>
        <w:t>.</w:t>
      </w:r>
    </w:p>
    <w:p w14:paraId="1533416F" w14:textId="4A8C5159" w:rsidR="008D4EC8" w:rsidRPr="00775BF2" w:rsidRDefault="008D4EC8" w:rsidP="00FF79E8">
      <w:pPr>
        <w:pStyle w:val="Listeafsnit"/>
        <w:numPr>
          <w:ilvl w:val="0"/>
          <w:numId w:val="13"/>
        </w:numPr>
        <w:ind w:left="1276" w:hanging="425"/>
        <w:rPr>
          <w:sz w:val="24"/>
          <w:szCs w:val="24"/>
          <w:lang w:val="en-GB"/>
        </w:rPr>
      </w:pPr>
      <w:r w:rsidRPr="00775BF2">
        <w:rPr>
          <w:sz w:val="24"/>
          <w:szCs w:val="24"/>
          <w:lang w:val="en-GB"/>
        </w:rPr>
        <w:t xml:space="preserve">20 mg </w:t>
      </w:r>
      <w:proofErr w:type="spellStart"/>
      <w:r w:rsidR="00A73AC7">
        <w:rPr>
          <w:sz w:val="24"/>
          <w:szCs w:val="24"/>
          <w:lang w:val="en-GB"/>
        </w:rPr>
        <w:t>Esoref</w:t>
      </w:r>
      <w:proofErr w:type="spellEnd"/>
      <w:r w:rsidRPr="00775BF2">
        <w:rPr>
          <w:sz w:val="24"/>
          <w:szCs w:val="24"/>
          <w:lang w:val="en-GB"/>
        </w:rPr>
        <w:t xml:space="preserve"> with 1 g amoxicillin and 500 mg clarithromycin, all twice daily for 7 days.</w:t>
      </w:r>
    </w:p>
    <w:p w14:paraId="6A61EE87" w14:textId="77777777" w:rsidR="008D4EC8" w:rsidRPr="00775BF2" w:rsidRDefault="008D4EC8" w:rsidP="008D4EC8">
      <w:pPr>
        <w:tabs>
          <w:tab w:val="left" w:pos="567"/>
        </w:tabs>
        <w:contextualSpacing/>
        <w:rPr>
          <w:bCs/>
          <w:sz w:val="24"/>
          <w:szCs w:val="24"/>
          <w:lang w:val="en-GB"/>
        </w:rPr>
      </w:pPr>
    </w:p>
    <w:p w14:paraId="4A089B84" w14:textId="77777777" w:rsidR="008D4EC8" w:rsidRPr="00775BF2" w:rsidRDefault="008D4EC8" w:rsidP="00FF79E8">
      <w:pPr>
        <w:ind w:left="851"/>
        <w:contextualSpacing/>
        <w:rPr>
          <w:i/>
          <w:sz w:val="24"/>
          <w:szCs w:val="24"/>
          <w:lang w:val="en-GB"/>
        </w:rPr>
      </w:pPr>
      <w:r w:rsidRPr="00775BF2">
        <w:rPr>
          <w:i/>
          <w:sz w:val="24"/>
          <w:szCs w:val="24"/>
          <w:lang w:val="en-GB"/>
        </w:rPr>
        <w:t>Patients requiring continued NSAID therapy</w:t>
      </w:r>
    </w:p>
    <w:p w14:paraId="4742F510" w14:textId="77777777" w:rsidR="008D4EC8" w:rsidRPr="00775BF2" w:rsidRDefault="008D4EC8" w:rsidP="00FF79E8">
      <w:pPr>
        <w:numPr>
          <w:ilvl w:val="0"/>
          <w:numId w:val="5"/>
        </w:numPr>
        <w:ind w:left="1276" w:hanging="425"/>
        <w:contextualSpacing/>
        <w:rPr>
          <w:sz w:val="24"/>
          <w:szCs w:val="24"/>
          <w:lang w:val="en-GB"/>
        </w:rPr>
      </w:pPr>
      <w:r w:rsidRPr="00775BF2">
        <w:rPr>
          <w:sz w:val="24"/>
          <w:szCs w:val="24"/>
          <w:lang w:val="en-GB"/>
        </w:rPr>
        <w:t>healing of gastric ulcers associated with NSAID therapy:</w:t>
      </w:r>
    </w:p>
    <w:p w14:paraId="6EC0460B" w14:textId="77777777" w:rsidR="008D4EC8" w:rsidRPr="00775BF2" w:rsidRDefault="008D4EC8" w:rsidP="00FF79E8">
      <w:pPr>
        <w:ind w:left="1276"/>
        <w:contextualSpacing/>
        <w:rPr>
          <w:sz w:val="24"/>
          <w:szCs w:val="24"/>
          <w:lang w:val="en-GB"/>
        </w:rPr>
      </w:pPr>
      <w:r w:rsidRPr="00775BF2">
        <w:rPr>
          <w:sz w:val="24"/>
          <w:szCs w:val="24"/>
          <w:lang w:val="en-GB"/>
        </w:rPr>
        <w:t>The usual dose is 20 mg once daily. The treatment duration is 4</w:t>
      </w:r>
      <w:r w:rsidRPr="00775BF2">
        <w:rPr>
          <w:sz w:val="24"/>
          <w:szCs w:val="24"/>
          <w:lang w:val="en-GB"/>
        </w:rPr>
        <w:noBreakHyphen/>
        <w:t>8 weeks.</w:t>
      </w:r>
    </w:p>
    <w:p w14:paraId="614C0F07" w14:textId="77777777" w:rsidR="008D4EC8" w:rsidRPr="00775BF2" w:rsidRDefault="008D4EC8" w:rsidP="00FF79E8">
      <w:pPr>
        <w:ind w:left="1276" w:hanging="425"/>
        <w:contextualSpacing/>
        <w:rPr>
          <w:sz w:val="24"/>
          <w:szCs w:val="24"/>
          <w:lang w:val="en-GB"/>
        </w:rPr>
      </w:pPr>
    </w:p>
    <w:p w14:paraId="3DE96346" w14:textId="77777777" w:rsidR="008D4EC8" w:rsidRPr="00775BF2" w:rsidRDefault="008D4EC8" w:rsidP="00FF79E8">
      <w:pPr>
        <w:numPr>
          <w:ilvl w:val="0"/>
          <w:numId w:val="5"/>
        </w:numPr>
        <w:ind w:left="1276" w:hanging="425"/>
        <w:contextualSpacing/>
        <w:rPr>
          <w:sz w:val="24"/>
          <w:szCs w:val="24"/>
          <w:lang w:val="en-GB"/>
        </w:rPr>
      </w:pPr>
      <w:r w:rsidRPr="00775BF2">
        <w:rPr>
          <w:sz w:val="24"/>
          <w:szCs w:val="24"/>
          <w:u w:val="single"/>
          <w:lang w:val="en-GB"/>
        </w:rPr>
        <w:t>prevention of gastric and duodenal ulcers associated with NSAID therapy in patients at risk:</w:t>
      </w:r>
      <w:r w:rsidRPr="00775BF2">
        <w:rPr>
          <w:sz w:val="24"/>
          <w:szCs w:val="24"/>
          <w:lang w:val="en-GB"/>
        </w:rPr>
        <w:t xml:space="preserve"> 20 mg esomeprazole once daily.</w:t>
      </w:r>
    </w:p>
    <w:p w14:paraId="3D924534" w14:textId="77777777" w:rsidR="008D4EC8" w:rsidRPr="00775BF2" w:rsidRDefault="008D4EC8" w:rsidP="008D4EC8">
      <w:pPr>
        <w:tabs>
          <w:tab w:val="left" w:pos="567"/>
        </w:tabs>
        <w:contextualSpacing/>
        <w:rPr>
          <w:bCs/>
          <w:sz w:val="24"/>
          <w:szCs w:val="24"/>
          <w:lang w:val="en-GB"/>
        </w:rPr>
      </w:pPr>
    </w:p>
    <w:p w14:paraId="2F75AE63" w14:textId="77777777" w:rsidR="008D4EC8" w:rsidRPr="00775BF2" w:rsidRDefault="008D4EC8" w:rsidP="00FF79E8">
      <w:pPr>
        <w:ind w:left="851"/>
        <w:contextualSpacing/>
        <w:rPr>
          <w:i/>
          <w:sz w:val="24"/>
          <w:szCs w:val="24"/>
          <w:lang w:val="en-GB"/>
        </w:rPr>
      </w:pPr>
      <w:r w:rsidRPr="00775BF2">
        <w:rPr>
          <w:i/>
          <w:sz w:val="24"/>
          <w:szCs w:val="24"/>
          <w:lang w:val="en-GB"/>
        </w:rPr>
        <w:t xml:space="preserve">Prolonged treatment after </w:t>
      </w:r>
      <w:proofErr w:type="spellStart"/>
      <w:r w:rsidRPr="00775BF2">
        <w:rPr>
          <w:i/>
          <w:sz w:val="24"/>
          <w:szCs w:val="24"/>
          <w:lang w:val="en-GB"/>
        </w:rPr>
        <w:t>i.v.</w:t>
      </w:r>
      <w:proofErr w:type="spellEnd"/>
      <w:r w:rsidRPr="00775BF2">
        <w:rPr>
          <w:i/>
          <w:sz w:val="24"/>
          <w:szCs w:val="24"/>
          <w:lang w:val="en-GB"/>
        </w:rPr>
        <w:t xml:space="preserve"> induced prevention of rebleeding of peptic ulcers.</w:t>
      </w:r>
    </w:p>
    <w:p w14:paraId="50AFE547" w14:textId="77777777" w:rsidR="008D4EC8" w:rsidRPr="00775BF2" w:rsidRDefault="008D4EC8" w:rsidP="00FF79E8">
      <w:pPr>
        <w:ind w:left="851"/>
        <w:contextualSpacing/>
        <w:rPr>
          <w:sz w:val="24"/>
          <w:szCs w:val="24"/>
          <w:lang w:val="en-GB"/>
        </w:rPr>
      </w:pPr>
      <w:r w:rsidRPr="00775BF2">
        <w:rPr>
          <w:sz w:val="24"/>
          <w:szCs w:val="24"/>
          <w:lang w:val="en-GB"/>
        </w:rPr>
        <w:t xml:space="preserve">40 mg once daily for 4 weeks after </w:t>
      </w:r>
      <w:proofErr w:type="spellStart"/>
      <w:r w:rsidRPr="00775BF2">
        <w:rPr>
          <w:sz w:val="24"/>
          <w:szCs w:val="24"/>
          <w:lang w:val="en-GB"/>
        </w:rPr>
        <w:t>i.v.</w:t>
      </w:r>
      <w:proofErr w:type="spellEnd"/>
      <w:r w:rsidRPr="00775BF2">
        <w:rPr>
          <w:sz w:val="24"/>
          <w:szCs w:val="24"/>
          <w:lang w:val="en-GB"/>
        </w:rPr>
        <w:t xml:space="preserve"> induced prevention of rebleeding of peptic ulcers.</w:t>
      </w:r>
    </w:p>
    <w:p w14:paraId="06FBC26B" w14:textId="77777777" w:rsidR="008D4EC8" w:rsidRPr="00775BF2" w:rsidRDefault="008D4EC8" w:rsidP="00FF79E8">
      <w:pPr>
        <w:ind w:left="851"/>
        <w:contextualSpacing/>
        <w:rPr>
          <w:sz w:val="24"/>
          <w:szCs w:val="24"/>
          <w:lang w:val="en-GB"/>
        </w:rPr>
      </w:pPr>
    </w:p>
    <w:p w14:paraId="035E2C63" w14:textId="77777777" w:rsidR="008D4EC8" w:rsidRPr="00775BF2" w:rsidRDefault="008D4EC8" w:rsidP="00FF79E8">
      <w:pPr>
        <w:ind w:left="851"/>
        <w:contextualSpacing/>
        <w:rPr>
          <w:i/>
          <w:sz w:val="24"/>
          <w:szCs w:val="24"/>
          <w:lang w:val="en-GB"/>
        </w:rPr>
      </w:pPr>
      <w:r w:rsidRPr="00775BF2">
        <w:rPr>
          <w:i/>
          <w:sz w:val="24"/>
          <w:szCs w:val="24"/>
          <w:lang w:val="en-GB"/>
        </w:rPr>
        <w:t>Treatment of Zollinger Ellison Syndrome</w:t>
      </w:r>
    </w:p>
    <w:p w14:paraId="4ED97734" w14:textId="6730A153" w:rsidR="008D4EC8" w:rsidRPr="00775BF2" w:rsidRDefault="008D4EC8" w:rsidP="00FF79E8">
      <w:pPr>
        <w:ind w:left="851"/>
        <w:contextualSpacing/>
        <w:rPr>
          <w:sz w:val="24"/>
          <w:szCs w:val="24"/>
          <w:lang w:val="en-GB"/>
        </w:rPr>
      </w:pPr>
      <w:r w:rsidRPr="00775BF2">
        <w:rPr>
          <w:sz w:val="24"/>
          <w:szCs w:val="24"/>
          <w:lang w:val="en-GB"/>
        </w:rPr>
        <w:t xml:space="preserve">The recommended initial dosage is </w:t>
      </w:r>
      <w:proofErr w:type="spellStart"/>
      <w:r w:rsidR="00A73AC7">
        <w:rPr>
          <w:sz w:val="24"/>
          <w:szCs w:val="24"/>
          <w:lang w:val="en-GB"/>
        </w:rPr>
        <w:t>Esoref</w:t>
      </w:r>
      <w:proofErr w:type="spellEnd"/>
      <w:r w:rsidRPr="00775BF2">
        <w:rPr>
          <w:sz w:val="24"/>
          <w:szCs w:val="24"/>
          <w:lang w:val="en-GB"/>
        </w:rPr>
        <w:t xml:space="preserve"> 40 mg twice daily. The dosage should then be individually adjusted and treatment continued as long as clinically indicated. Based on the clinical data available, the majority of patients can be controlled on doses between 80 to 160 mg esomeprazole daily. With doses above 80 mg daily, the dose should be divided and given twice daily.</w:t>
      </w:r>
    </w:p>
    <w:p w14:paraId="07BEEA4C" w14:textId="77777777" w:rsidR="008D4EC8" w:rsidRPr="00775BF2" w:rsidRDefault="008D4EC8" w:rsidP="00FF79E8">
      <w:pPr>
        <w:ind w:left="851"/>
        <w:contextualSpacing/>
        <w:rPr>
          <w:iCs/>
          <w:sz w:val="24"/>
          <w:szCs w:val="24"/>
          <w:u w:val="single"/>
          <w:lang w:val="en-GB"/>
        </w:rPr>
      </w:pPr>
    </w:p>
    <w:p w14:paraId="422F285F" w14:textId="77777777" w:rsidR="008D4EC8" w:rsidRPr="00775BF2" w:rsidRDefault="008D4EC8" w:rsidP="00FF79E8">
      <w:pPr>
        <w:ind w:left="851"/>
        <w:contextualSpacing/>
        <w:rPr>
          <w:iCs/>
          <w:sz w:val="24"/>
          <w:szCs w:val="24"/>
          <w:u w:val="single"/>
          <w:lang w:val="en-GB"/>
        </w:rPr>
      </w:pPr>
      <w:r w:rsidRPr="00775BF2">
        <w:rPr>
          <w:iCs/>
          <w:sz w:val="24"/>
          <w:szCs w:val="24"/>
          <w:u w:val="single"/>
          <w:lang w:val="en-GB"/>
        </w:rPr>
        <w:t>Special Population</w:t>
      </w:r>
    </w:p>
    <w:p w14:paraId="262C9849" w14:textId="77777777" w:rsidR="008D4EC8" w:rsidRPr="00775BF2" w:rsidRDefault="008D4EC8" w:rsidP="00FF79E8">
      <w:pPr>
        <w:ind w:left="851"/>
        <w:contextualSpacing/>
        <w:rPr>
          <w:i/>
          <w:sz w:val="24"/>
          <w:szCs w:val="24"/>
          <w:lang w:val="en-GB"/>
        </w:rPr>
      </w:pPr>
    </w:p>
    <w:p w14:paraId="17DADED8" w14:textId="77777777" w:rsidR="008D4EC8" w:rsidRPr="00775BF2" w:rsidRDefault="008D4EC8" w:rsidP="00FF79E8">
      <w:pPr>
        <w:ind w:left="851"/>
        <w:contextualSpacing/>
        <w:rPr>
          <w:i/>
          <w:sz w:val="24"/>
          <w:szCs w:val="24"/>
          <w:lang w:val="en-GB"/>
        </w:rPr>
      </w:pPr>
      <w:r w:rsidRPr="00775BF2">
        <w:rPr>
          <w:i/>
          <w:sz w:val="24"/>
          <w:szCs w:val="24"/>
          <w:lang w:val="en-GB"/>
        </w:rPr>
        <w:t>Renal Impairment</w:t>
      </w:r>
    </w:p>
    <w:p w14:paraId="42A3D265" w14:textId="77777777" w:rsidR="008D4EC8" w:rsidRPr="00775BF2" w:rsidRDefault="008D4EC8" w:rsidP="00FF79E8">
      <w:pPr>
        <w:ind w:left="851"/>
        <w:contextualSpacing/>
        <w:rPr>
          <w:sz w:val="24"/>
          <w:szCs w:val="24"/>
          <w:lang w:val="en-GB"/>
        </w:rPr>
      </w:pPr>
      <w:r w:rsidRPr="00775BF2">
        <w:rPr>
          <w:sz w:val="24"/>
          <w:szCs w:val="24"/>
          <w:lang w:val="en-GB"/>
        </w:rPr>
        <w:t>Dose adjustment is not required in patients with impaired renal function. Due to limited experience in patients with severe renal insufficiency, such patients should be treated with caution (see section 5.2).</w:t>
      </w:r>
    </w:p>
    <w:p w14:paraId="21CB42F0" w14:textId="77777777" w:rsidR="008D4EC8" w:rsidRPr="00775BF2" w:rsidRDefault="008D4EC8" w:rsidP="00FF79E8">
      <w:pPr>
        <w:ind w:left="851"/>
        <w:contextualSpacing/>
        <w:rPr>
          <w:sz w:val="24"/>
          <w:szCs w:val="24"/>
          <w:lang w:val="en-GB"/>
        </w:rPr>
      </w:pPr>
    </w:p>
    <w:p w14:paraId="0DD3A74A" w14:textId="77777777" w:rsidR="008D4EC8" w:rsidRPr="00775BF2" w:rsidRDefault="008D4EC8" w:rsidP="00FF79E8">
      <w:pPr>
        <w:ind w:left="851"/>
        <w:contextualSpacing/>
        <w:rPr>
          <w:i/>
          <w:sz w:val="24"/>
          <w:szCs w:val="24"/>
          <w:lang w:val="en-GB"/>
        </w:rPr>
      </w:pPr>
      <w:r w:rsidRPr="00775BF2">
        <w:rPr>
          <w:i/>
          <w:sz w:val="24"/>
          <w:szCs w:val="24"/>
          <w:lang w:val="en-GB"/>
        </w:rPr>
        <w:t>Hepatic Impairment</w:t>
      </w:r>
    </w:p>
    <w:p w14:paraId="0BC57AE8" w14:textId="42ADA8A1" w:rsidR="008D4EC8" w:rsidRPr="00775BF2" w:rsidRDefault="008D4EC8" w:rsidP="00FF79E8">
      <w:pPr>
        <w:ind w:left="851"/>
        <w:contextualSpacing/>
        <w:rPr>
          <w:sz w:val="24"/>
          <w:szCs w:val="24"/>
          <w:lang w:val="en-GB"/>
        </w:rPr>
      </w:pPr>
      <w:r w:rsidRPr="00775BF2">
        <w:rPr>
          <w:sz w:val="24"/>
          <w:szCs w:val="24"/>
          <w:lang w:val="en-GB"/>
        </w:rPr>
        <w:t xml:space="preserve">Dose adjustment is not required in patients with mild to moderate liver impairment. For patients with severe liver impairment, a maximum dose of 20 mg </w:t>
      </w:r>
      <w:proofErr w:type="spellStart"/>
      <w:r w:rsidR="00A73AC7">
        <w:rPr>
          <w:sz w:val="24"/>
          <w:szCs w:val="24"/>
          <w:lang w:val="en-GB"/>
        </w:rPr>
        <w:t>Esoref</w:t>
      </w:r>
      <w:proofErr w:type="spellEnd"/>
      <w:r w:rsidRPr="00775BF2">
        <w:rPr>
          <w:sz w:val="24"/>
          <w:szCs w:val="24"/>
          <w:lang w:val="en-GB"/>
        </w:rPr>
        <w:t xml:space="preserve"> should not be exceeded (see section 5.2).</w:t>
      </w:r>
    </w:p>
    <w:p w14:paraId="3208D286" w14:textId="77777777" w:rsidR="008D4EC8" w:rsidRPr="00775BF2" w:rsidRDefault="008D4EC8" w:rsidP="00FF79E8">
      <w:pPr>
        <w:ind w:left="851"/>
        <w:contextualSpacing/>
        <w:rPr>
          <w:sz w:val="24"/>
          <w:szCs w:val="24"/>
          <w:lang w:val="en-GB"/>
        </w:rPr>
      </w:pPr>
    </w:p>
    <w:p w14:paraId="17813A05" w14:textId="77777777" w:rsidR="008D4EC8" w:rsidRPr="00775BF2" w:rsidRDefault="008D4EC8" w:rsidP="00FF79E8">
      <w:pPr>
        <w:ind w:left="851"/>
        <w:contextualSpacing/>
        <w:rPr>
          <w:i/>
          <w:sz w:val="24"/>
          <w:szCs w:val="24"/>
          <w:lang w:val="en-GB"/>
        </w:rPr>
      </w:pPr>
      <w:r w:rsidRPr="00775BF2">
        <w:rPr>
          <w:i/>
          <w:sz w:val="24"/>
          <w:szCs w:val="24"/>
          <w:lang w:val="en-GB"/>
        </w:rPr>
        <w:t>Elderly</w:t>
      </w:r>
    </w:p>
    <w:p w14:paraId="539B9567" w14:textId="77777777" w:rsidR="008D4EC8" w:rsidRPr="00775BF2" w:rsidRDefault="008D4EC8" w:rsidP="00FF79E8">
      <w:pPr>
        <w:ind w:left="851"/>
        <w:contextualSpacing/>
        <w:rPr>
          <w:sz w:val="24"/>
          <w:szCs w:val="24"/>
          <w:lang w:val="en-GB"/>
        </w:rPr>
      </w:pPr>
      <w:r w:rsidRPr="00775BF2">
        <w:rPr>
          <w:sz w:val="24"/>
          <w:szCs w:val="24"/>
          <w:lang w:val="en-GB"/>
        </w:rPr>
        <w:t>Dose adjustment is not required in the elderly.</w:t>
      </w:r>
    </w:p>
    <w:p w14:paraId="12BF641E" w14:textId="3536237F" w:rsidR="002D7924" w:rsidRDefault="002D7924">
      <w:pPr>
        <w:rPr>
          <w:bCs/>
          <w:sz w:val="24"/>
          <w:szCs w:val="24"/>
          <w:lang w:val="en-GB"/>
        </w:rPr>
      </w:pPr>
      <w:r>
        <w:rPr>
          <w:bCs/>
          <w:sz w:val="24"/>
          <w:szCs w:val="24"/>
          <w:lang w:val="en-GB"/>
        </w:rPr>
        <w:br w:type="page"/>
      </w:r>
    </w:p>
    <w:p w14:paraId="78FC92D4" w14:textId="77777777" w:rsidR="008D4EC8" w:rsidRPr="00775BF2" w:rsidRDefault="008D4EC8" w:rsidP="00FF79E8">
      <w:pPr>
        <w:tabs>
          <w:tab w:val="left" w:pos="567"/>
        </w:tabs>
        <w:ind w:left="851"/>
        <w:contextualSpacing/>
        <w:rPr>
          <w:bCs/>
          <w:sz w:val="24"/>
          <w:szCs w:val="24"/>
          <w:lang w:val="en-GB"/>
        </w:rPr>
      </w:pPr>
    </w:p>
    <w:p w14:paraId="53708241" w14:textId="77777777" w:rsidR="008D4EC8" w:rsidRPr="00775BF2" w:rsidRDefault="008D4EC8" w:rsidP="00FF79E8">
      <w:pPr>
        <w:ind w:left="851"/>
        <w:contextualSpacing/>
        <w:rPr>
          <w:i/>
          <w:sz w:val="24"/>
          <w:szCs w:val="24"/>
          <w:lang w:val="en-GB"/>
        </w:rPr>
      </w:pPr>
      <w:r w:rsidRPr="00775BF2">
        <w:rPr>
          <w:i/>
          <w:sz w:val="24"/>
          <w:szCs w:val="24"/>
          <w:lang w:val="en-GB"/>
        </w:rPr>
        <w:t>Paediatric population</w:t>
      </w:r>
    </w:p>
    <w:p w14:paraId="1E41C9AA" w14:textId="77777777" w:rsidR="008D4EC8" w:rsidRPr="00775BF2" w:rsidRDefault="008D4EC8" w:rsidP="00FF79E8">
      <w:pPr>
        <w:tabs>
          <w:tab w:val="left" w:pos="567"/>
        </w:tabs>
        <w:ind w:left="851"/>
        <w:contextualSpacing/>
        <w:rPr>
          <w:bCs/>
          <w:sz w:val="24"/>
          <w:szCs w:val="24"/>
          <w:lang w:val="en-GB"/>
        </w:rPr>
      </w:pPr>
    </w:p>
    <w:p w14:paraId="5CE22E43" w14:textId="77777777" w:rsidR="008D4EC8" w:rsidRPr="00775BF2" w:rsidRDefault="008D4EC8" w:rsidP="00FF79E8">
      <w:pPr>
        <w:tabs>
          <w:tab w:val="left" w:pos="567"/>
        </w:tabs>
        <w:ind w:left="851"/>
        <w:contextualSpacing/>
        <w:rPr>
          <w:bCs/>
          <w:sz w:val="24"/>
          <w:szCs w:val="24"/>
          <w:u w:val="single"/>
          <w:lang w:val="en-GB"/>
        </w:rPr>
      </w:pPr>
      <w:r w:rsidRPr="00775BF2">
        <w:rPr>
          <w:i/>
          <w:sz w:val="24"/>
          <w:szCs w:val="24"/>
          <w:u w:val="single"/>
          <w:lang w:val="en-GB"/>
        </w:rPr>
        <w:t>Adolescents from the age of 12 years</w:t>
      </w:r>
    </w:p>
    <w:p w14:paraId="6C15A052" w14:textId="77777777" w:rsidR="008D4EC8" w:rsidRPr="00775BF2" w:rsidRDefault="008D4EC8" w:rsidP="00FF79E8">
      <w:pPr>
        <w:tabs>
          <w:tab w:val="left" w:pos="567"/>
        </w:tabs>
        <w:ind w:left="851"/>
        <w:contextualSpacing/>
        <w:rPr>
          <w:bCs/>
          <w:sz w:val="24"/>
          <w:szCs w:val="24"/>
          <w:lang w:val="en-GB"/>
        </w:rPr>
      </w:pPr>
    </w:p>
    <w:p w14:paraId="14B45DC8" w14:textId="77777777" w:rsidR="008D4EC8" w:rsidRPr="00775BF2" w:rsidRDefault="008D4EC8" w:rsidP="00FF79E8">
      <w:pPr>
        <w:ind w:left="851"/>
        <w:contextualSpacing/>
        <w:rPr>
          <w:i/>
          <w:sz w:val="24"/>
          <w:szCs w:val="24"/>
          <w:lang w:val="en-GB"/>
        </w:rPr>
      </w:pPr>
      <w:r w:rsidRPr="00775BF2">
        <w:rPr>
          <w:i/>
          <w:sz w:val="24"/>
          <w:szCs w:val="24"/>
          <w:lang w:val="en-GB"/>
        </w:rPr>
        <w:t>Gastro-oesophageal Reflux Disease (GORD)</w:t>
      </w:r>
    </w:p>
    <w:p w14:paraId="667E7C06" w14:textId="77777777" w:rsidR="008D4EC8" w:rsidRPr="00775BF2" w:rsidRDefault="008D4EC8" w:rsidP="00FF79E8">
      <w:pPr>
        <w:ind w:left="1276" w:hanging="425"/>
        <w:contextualSpacing/>
        <w:rPr>
          <w:sz w:val="24"/>
          <w:szCs w:val="24"/>
          <w:lang w:val="en-GB"/>
        </w:rPr>
      </w:pPr>
      <w:r w:rsidRPr="00775BF2">
        <w:rPr>
          <w:sz w:val="24"/>
          <w:szCs w:val="24"/>
          <w:lang w:val="en-GB"/>
        </w:rPr>
        <w:t>-</w:t>
      </w:r>
      <w:r w:rsidRPr="00775BF2">
        <w:rPr>
          <w:sz w:val="24"/>
          <w:szCs w:val="24"/>
          <w:lang w:val="en-GB"/>
        </w:rPr>
        <w:tab/>
      </w:r>
      <w:r w:rsidRPr="00775BF2">
        <w:rPr>
          <w:sz w:val="24"/>
          <w:szCs w:val="24"/>
          <w:u w:val="single"/>
          <w:lang w:val="en-GB"/>
        </w:rPr>
        <w:t>treatment of erosive reflux oesophagitis</w:t>
      </w:r>
    </w:p>
    <w:p w14:paraId="1D68DF21" w14:textId="77777777" w:rsidR="008D4EC8" w:rsidRPr="00775BF2" w:rsidRDefault="008D4EC8" w:rsidP="00FF79E8">
      <w:pPr>
        <w:ind w:left="1276"/>
        <w:contextualSpacing/>
        <w:rPr>
          <w:sz w:val="24"/>
          <w:szCs w:val="24"/>
          <w:lang w:val="en-GB"/>
        </w:rPr>
      </w:pPr>
      <w:r w:rsidRPr="00775BF2">
        <w:rPr>
          <w:sz w:val="24"/>
          <w:szCs w:val="24"/>
          <w:lang w:val="en-GB"/>
        </w:rPr>
        <w:t>40 mg once daily for 4 weeks.</w:t>
      </w:r>
    </w:p>
    <w:p w14:paraId="5B44AC82" w14:textId="77777777" w:rsidR="008D4EC8" w:rsidRPr="00775BF2" w:rsidRDefault="008D4EC8" w:rsidP="00FF79E8">
      <w:pPr>
        <w:ind w:left="1276"/>
        <w:contextualSpacing/>
        <w:rPr>
          <w:sz w:val="24"/>
          <w:szCs w:val="24"/>
          <w:lang w:val="en-GB"/>
        </w:rPr>
      </w:pPr>
      <w:r w:rsidRPr="00775BF2">
        <w:rPr>
          <w:sz w:val="24"/>
          <w:szCs w:val="24"/>
          <w:lang w:val="en-GB"/>
        </w:rPr>
        <w:t>An additional 4 weeks treatment is recommended for patients in whom oesophagitis has not healed or who have persistent symptoms.</w:t>
      </w:r>
    </w:p>
    <w:p w14:paraId="749AE7EA" w14:textId="77777777" w:rsidR="008D4EC8" w:rsidRPr="00775BF2" w:rsidRDefault="008D4EC8" w:rsidP="00FF79E8">
      <w:pPr>
        <w:ind w:left="1276" w:hanging="425"/>
        <w:contextualSpacing/>
        <w:rPr>
          <w:sz w:val="24"/>
          <w:szCs w:val="24"/>
          <w:lang w:val="en-GB"/>
        </w:rPr>
      </w:pPr>
    </w:p>
    <w:p w14:paraId="75C00366" w14:textId="77777777" w:rsidR="008D4EC8" w:rsidRPr="00775BF2" w:rsidRDefault="008D4EC8" w:rsidP="00FF79E8">
      <w:pPr>
        <w:ind w:left="1276" w:hanging="425"/>
        <w:contextualSpacing/>
        <w:rPr>
          <w:sz w:val="24"/>
          <w:szCs w:val="24"/>
          <w:u w:val="single"/>
          <w:lang w:val="en-GB"/>
        </w:rPr>
      </w:pPr>
      <w:r w:rsidRPr="00775BF2">
        <w:rPr>
          <w:sz w:val="24"/>
          <w:szCs w:val="24"/>
          <w:lang w:val="en-GB"/>
        </w:rPr>
        <w:t>-</w:t>
      </w:r>
      <w:r w:rsidRPr="00775BF2">
        <w:rPr>
          <w:sz w:val="24"/>
          <w:szCs w:val="24"/>
          <w:lang w:val="en-GB"/>
        </w:rPr>
        <w:tab/>
      </w:r>
      <w:r w:rsidRPr="00775BF2">
        <w:rPr>
          <w:sz w:val="24"/>
          <w:szCs w:val="24"/>
          <w:u w:val="single"/>
          <w:lang w:val="en-GB"/>
        </w:rPr>
        <w:t>long</w:t>
      </w:r>
      <w:r w:rsidRPr="00775BF2">
        <w:rPr>
          <w:sz w:val="24"/>
          <w:szCs w:val="24"/>
          <w:u w:val="single"/>
          <w:lang w:val="en-GB"/>
        </w:rPr>
        <w:noBreakHyphen/>
        <w:t>term management of patients with healed oesophagitis to prevent relapse</w:t>
      </w:r>
    </w:p>
    <w:p w14:paraId="624F68F2" w14:textId="77777777" w:rsidR="008D4EC8" w:rsidRPr="00775BF2" w:rsidRDefault="008D4EC8" w:rsidP="00FF79E8">
      <w:pPr>
        <w:ind w:left="1276"/>
        <w:contextualSpacing/>
        <w:rPr>
          <w:sz w:val="24"/>
          <w:szCs w:val="24"/>
          <w:u w:val="single"/>
          <w:lang w:val="en-GB"/>
        </w:rPr>
      </w:pPr>
      <w:r w:rsidRPr="00775BF2">
        <w:rPr>
          <w:sz w:val="24"/>
          <w:szCs w:val="24"/>
          <w:lang w:val="en-GB"/>
        </w:rPr>
        <w:t>20 mg once daily.</w:t>
      </w:r>
    </w:p>
    <w:p w14:paraId="1B7A06B9" w14:textId="77777777" w:rsidR="008D4EC8" w:rsidRPr="00775BF2" w:rsidRDefault="008D4EC8" w:rsidP="00FF79E8">
      <w:pPr>
        <w:ind w:left="1276" w:hanging="425"/>
        <w:contextualSpacing/>
        <w:rPr>
          <w:sz w:val="24"/>
          <w:szCs w:val="24"/>
          <w:lang w:val="en-GB"/>
        </w:rPr>
      </w:pPr>
    </w:p>
    <w:p w14:paraId="3360B5E2" w14:textId="77777777" w:rsidR="008D4EC8" w:rsidRPr="00775BF2" w:rsidRDefault="008D4EC8" w:rsidP="00FF79E8">
      <w:pPr>
        <w:ind w:left="1276" w:hanging="425"/>
        <w:contextualSpacing/>
        <w:rPr>
          <w:sz w:val="24"/>
          <w:szCs w:val="24"/>
          <w:u w:val="single"/>
          <w:lang w:val="en-GB"/>
        </w:rPr>
      </w:pPr>
      <w:r w:rsidRPr="00775BF2">
        <w:rPr>
          <w:sz w:val="24"/>
          <w:szCs w:val="24"/>
          <w:lang w:val="en-GB"/>
        </w:rPr>
        <w:t>-</w:t>
      </w:r>
      <w:r w:rsidRPr="00775BF2">
        <w:rPr>
          <w:sz w:val="24"/>
          <w:szCs w:val="24"/>
          <w:lang w:val="en-GB"/>
        </w:rPr>
        <w:tab/>
      </w:r>
      <w:r w:rsidRPr="00775BF2">
        <w:rPr>
          <w:sz w:val="24"/>
          <w:szCs w:val="24"/>
          <w:u w:val="single"/>
          <w:lang w:val="en-GB"/>
        </w:rPr>
        <w:t>symptomatic treatment of gastro-oesophageal reflux disease (GORD)</w:t>
      </w:r>
    </w:p>
    <w:p w14:paraId="202E6E4E" w14:textId="77777777" w:rsidR="008D4EC8" w:rsidRPr="00775BF2" w:rsidRDefault="008D4EC8" w:rsidP="00FF79E8">
      <w:pPr>
        <w:ind w:left="1276"/>
        <w:contextualSpacing/>
        <w:rPr>
          <w:bCs/>
          <w:sz w:val="24"/>
          <w:szCs w:val="24"/>
          <w:lang w:val="en-GB"/>
        </w:rPr>
      </w:pPr>
      <w:r w:rsidRPr="00775BF2">
        <w:rPr>
          <w:sz w:val="24"/>
          <w:szCs w:val="24"/>
          <w:lang w:val="en-GB"/>
        </w:rPr>
        <w:t>20 mg once daily in patients without oesophagitis. If symptom control has not been achieved after 4 weeks, the patient should be further investigated. Once symptoms have resolved, subsequent symptom control can be achieved using 20 mg once daily.</w:t>
      </w:r>
    </w:p>
    <w:p w14:paraId="304A5997" w14:textId="77777777" w:rsidR="008D4EC8" w:rsidRPr="00775BF2" w:rsidRDefault="008D4EC8" w:rsidP="008D4EC8">
      <w:pPr>
        <w:tabs>
          <w:tab w:val="left" w:pos="567"/>
        </w:tabs>
        <w:contextualSpacing/>
        <w:rPr>
          <w:bCs/>
          <w:sz w:val="24"/>
          <w:szCs w:val="24"/>
          <w:lang w:val="en-GB"/>
        </w:rPr>
      </w:pPr>
    </w:p>
    <w:p w14:paraId="2F5BB2A0" w14:textId="77777777" w:rsidR="008D4EC8" w:rsidRPr="00775BF2" w:rsidRDefault="008D4EC8" w:rsidP="00FF79E8">
      <w:pPr>
        <w:ind w:left="851"/>
        <w:contextualSpacing/>
        <w:rPr>
          <w:i/>
          <w:iCs/>
          <w:sz w:val="24"/>
          <w:szCs w:val="24"/>
          <w:lang w:val="en-GB"/>
        </w:rPr>
      </w:pPr>
      <w:r w:rsidRPr="00775BF2">
        <w:rPr>
          <w:i/>
          <w:iCs/>
          <w:sz w:val="24"/>
          <w:szCs w:val="24"/>
          <w:lang w:val="en-GB"/>
        </w:rPr>
        <w:t>Treatment of duodenal ulcer caused by Helicobacter pylori</w:t>
      </w:r>
    </w:p>
    <w:p w14:paraId="6BE06383" w14:textId="77777777" w:rsidR="008D4EC8" w:rsidRPr="00775BF2" w:rsidRDefault="008D4EC8" w:rsidP="00FF79E8">
      <w:pPr>
        <w:ind w:left="851"/>
        <w:contextualSpacing/>
        <w:rPr>
          <w:sz w:val="24"/>
          <w:szCs w:val="24"/>
          <w:lang w:val="en-GB"/>
        </w:rPr>
      </w:pPr>
      <w:r w:rsidRPr="00775BF2">
        <w:rPr>
          <w:sz w:val="24"/>
          <w:szCs w:val="24"/>
          <w:lang w:val="en-GB"/>
        </w:rPr>
        <w:t>When selecting appropriate combination therapy, consideration should be given to official national, regional and local guidance regarding bacterial resistance, duration of treatment (most commonly 7 days but sometimes up to 14 days), and appropriate use of antibacterial agents. The treatment should be supervised by a specialist.</w:t>
      </w:r>
    </w:p>
    <w:p w14:paraId="1A568C0F" w14:textId="77777777" w:rsidR="008D4EC8" w:rsidRPr="00775BF2" w:rsidRDefault="008D4EC8" w:rsidP="00FF79E8">
      <w:pPr>
        <w:ind w:left="851"/>
        <w:contextualSpacing/>
        <w:rPr>
          <w:sz w:val="24"/>
          <w:szCs w:val="24"/>
          <w:lang w:val="en-GB"/>
        </w:rPr>
      </w:pPr>
    </w:p>
    <w:p w14:paraId="0547CB7B" w14:textId="77777777" w:rsidR="008D4EC8" w:rsidRPr="00775BF2" w:rsidRDefault="008D4EC8" w:rsidP="00FF79E8">
      <w:pPr>
        <w:ind w:left="851"/>
        <w:contextualSpacing/>
        <w:rPr>
          <w:sz w:val="24"/>
          <w:szCs w:val="24"/>
          <w:lang w:val="en-GB"/>
        </w:rPr>
      </w:pPr>
      <w:r w:rsidRPr="00775BF2">
        <w:rPr>
          <w:sz w:val="24"/>
          <w:szCs w:val="24"/>
          <w:lang w:val="en-GB"/>
        </w:rPr>
        <w:t>The posology recommendation is:</w:t>
      </w:r>
    </w:p>
    <w:p w14:paraId="2E55F1B8" w14:textId="77777777" w:rsidR="008D4EC8" w:rsidRPr="00775BF2" w:rsidRDefault="008D4EC8" w:rsidP="008D4EC8">
      <w:pPr>
        <w:contextualSpacing/>
        <w:rPr>
          <w:sz w:val="24"/>
          <w:szCs w:val="24"/>
          <w:lang w:val="en-GB"/>
        </w:rPr>
      </w:pPr>
    </w:p>
    <w:tbl>
      <w:tblPr>
        <w:tblW w:w="8647" w:type="dxa"/>
        <w:tblInd w:w="84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6"/>
        <w:gridCol w:w="7371"/>
      </w:tblGrid>
      <w:tr w:rsidR="008D4EC8" w:rsidRPr="00775BF2" w14:paraId="2F6EE637" w14:textId="77777777" w:rsidTr="00FF79E8">
        <w:tc>
          <w:tcPr>
            <w:tcW w:w="1276" w:type="dxa"/>
            <w:tcBorders>
              <w:top w:val="single" w:sz="4" w:space="0" w:color="auto"/>
              <w:left w:val="single" w:sz="4" w:space="0" w:color="auto"/>
              <w:bottom w:val="single" w:sz="4" w:space="0" w:color="auto"/>
              <w:right w:val="single" w:sz="4" w:space="0" w:color="auto"/>
            </w:tcBorders>
            <w:hideMark/>
          </w:tcPr>
          <w:p w14:paraId="3226F6FD" w14:textId="77777777" w:rsidR="008D4EC8" w:rsidRPr="00775BF2" w:rsidRDefault="008D4EC8">
            <w:pPr>
              <w:rPr>
                <w:sz w:val="24"/>
                <w:szCs w:val="24"/>
                <w:lang w:val="en-GB"/>
              </w:rPr>
            </w:pPr>
            <w:r w:rsidRPr="00775BF2">
              <w:rPr>
                <w:sz w:val="24"/>
                <w:szCs w:val="24"/>
                <w:lang w:val="en-GB"/>
              </w:rPr>
              <w:t>Weight</w:t>
            </w:r>
          </w:p>
        </w:tc>
        <w:tc>
          <w:tcPr>
            <w:tcW w:w="7371" w:type="dxa"/>
            <w:tcBorders>
              <w:top w:val="single" w:sz="4" w:space="0" w:color="auto"/>
              <w:left w:val="single" w:sz="4" w:space="0" w:color="auto"/>
              <w:bottom w:val="single" w:sz="4" w:space="0" w:color="auto"/>
              <w:right w:val="single" w:sz="4" w:space="0" w:color="auto"/>
            </w:tcBorders>
            <w:hideMark/>
          </w:tcPr>
          <w:p w14:paraId="1BDE04E8" w14:textId="77777777" w:rsidR="008D4EC8" w:rsidRPr="00775BF2" w:rsidRDefault="008D4EC8">
            <w:pPr>
              <w:rPr>
                <w:sz w:val="24"/>
                <w:szCs w:val="24"/>
                <w:lang w:val="en-GB"/>
              </w:rPr>
            </w:pPr>
            <w:r w:rsidRPr="00775BF2">
              <w:rPr>
                <w:sz w:val="24"/>
                <w:szCs w:val="24"/>
                <w:lang w:val="en-GB"/>
              </w:rPr>
              <w:t>Posology</w:t>
            </w:r>
          </w:p>
        </w:tc>
      </w:tr>
      <w:tr w:rsidR="008D4EC8" w:rsidRPr="00462D86" w14:paraId="605E3762" w14:textId="77777777" w:rsidTr="00FF79E8">
        <w:tc>
          <w:tcPr>
            <w:tcW w:w="1276" w:type="dxa"/>
            <w:tcBorders>
              <w:top w:val="single" w:sz="4" w:space="0" w:color="auto"/>
              <w:left w:val="single" w:sz="4" w:space="0" w:color="auto"/>
              <w:bottom w:val="single" w:sz="4" w:space="0" w:color="auto"/>
              <w:right w:val="single" w:sz="4" w:space="0" w:color="auto"/>
            </w:tcBorders>
            <w:vAlign w:val="center"/>
            <w:hideMark/>
          </w:tcPr>
          <w:p w14:paraId="4C828CB8" w14:textId="77777777" w:rsidR="008D4EC8" w:rsidRPr="00775BF2" w:rsidRDefault="008D4EC8">
            <w:pPr>
              <w:rPr>
                <w:sz w:val="24"/>
                <w:szCs w:val="24"/>
                <w:lang w:val="en-GB"/>
              </w:rPr>
            </w:pPr>
            <w:r w:rsidRPr="00775BF2">
              <w:rPr>
                <w:sz w:val="24"/>
                <w:szCs w:val="24"/>
                <w:lang w:val="en-GB"/>
              </w:rPr>
              <w:t xml:space="preserve">30 </w:t>
            </w:r>
            <w:r w:rsidRPr="00775BF2">
              <w:rPr>
                <w:sz w:val="24"/>
                <w:szCs w:val="24"/>
                <w:lang w:val="en-GB"/>
              </w:rPr>
              <w:noBreakHyphen/>
              <w:t> 40 kg</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75D4649" w14:textId="5DEDCC33" w:rsidR="008D4EC8" w:rsidRPr="00775BF2" w:rsidRDefault="008D4EC8">
            <w:pPr>
              <w:rPr>
                <w:sz w:val="24"/>
                <w:szCs w:val="24"/>
                <w:lang w:val="en-GB"/>
              </w:rPr>
            </w:pPr>
            <w:r w:rsidRPr="00775BF2">
              <w:rPr>
                <w:sz w:val="24"/>
                <w:szCs w:val="24"/>
                <w:lang w:val="en-GB"/>
              </w:rPr>
              <w:t xml:space="preserve">Combination with two antibiotics: </w:t>
            </w:r>
            <w:proofErr w:type="spellStart"/>
            <w:r w:rsidR="00A73AC7">
              <w:rPr>
                <w:sz w:val="24"/>
                <w:szCs w:val="24"/>
                <w:lang w:val="en-GB"/>
              </w:rPr>
              <w:t>Esoref</w:t>
            </w:r>
            <w:proofErr w:type="spellEnd"/>
            <w:r w:rsidRPr="00775BF2">
              <w:rPr>
                <w:sz w:val="24"/>
                <w:szCs w:val="24"/>
                <w:lang w:val="en-GB"/>
              </w:rPr>
              <w:t xml:space="preserve"> 20 mg, amoxicillin 750 mg and clarithromycin 7.5 mg/kg body weight are all administered together twice daily for one week.</w:t>
            </w:r>
          </w:p>
        </w:tc>
      </w:tr>
      <w:tr w:rsidR="008D4EC8" w:rsidRPr="00462D86" w14:paraId="6D0022C2" w14:textId="77777777" w:rsidTr="00FF79E8">
        <w:tc>
          <w:tcPr>
            <w:tcW w:w="1276" w:type="dxa"/>
            <w:tcBorders>
              <w:top w:val="single" w:sz="4" w:space="0" w:color="auto"/>
              <w:left w:val="single" w:sz="4" w:space="0" w:color="auto"/>
              <w:bottom w:val="single" w:sz="4" w:space="0" w:color="auto"/>
              <w:right w:val="single" w:sz="4" w:space="0" w:color="auto"/>
            </w:tcBorders>
            <w:vAlign w:val="center"/>
            <w:hideMark/>
          </w:tcPr>
          <w:p w14:paraId="197F94C7" w14:textId="77777777" w:rsidR="008D4EC8" w:rsidRPr="00775BF2" w:rsidRDefault="008D4EC8">
            <w:pPr>
              <w:rPr>
                <w:sz w:val="24"/>
                <w:szCs w:val="24"/>
                <w:lang w:val="en-GB"/>
              </w:rPr>
            </w:pPr>
            <w:r w:rsidRPr="00775BF2">
              <w:rPr>
                <w:sz w:val="24"/>
                <w:szCs w:val="24"/>
                <w:lang w:val="en-GB"/>
              </w:rPr>
              <w:t>&gt; 40 kg</w:t>
            </w:r>
          </w:p>
        </w:tc>
        <w:tc>
          <w:tcPr>
            <w:tcW w:w="7371" w:type="dxa"/>
            <w:tcBorders>
              <w:top w:val="single" w:sz="4" w:space="0" w:color="auto"/>
              <w:left w:val="single" w:sz="4" w:space="0" w:color="auto"/>
              <w:bottom w:val="single" w:sz="4" w:space="0" w:color="auto"/>
              <w:right w:val="single" w:sz="4" w:space="0" w:color="auto"/>
            </w:tcBorders>
            <w:vAlign w:val="center"/>
            <w:hideMark/>
          </w:tcPr>
          <w:p w14:paraId="4E7B5887" w14:textId="03BF29B7" w:rsidR="008D4EC8" w:rsidRPr="00775BF2" w:rsidRDefault="008D4EC8">
            <w:pPr>
              <w:rPr>
                <w:sz w:val="24"/>
                <w:szCs w:val="24"/>
                <w:lang w:val="en-GB"/>
              </w:rPr>
            </w:pPr>
            <w:r w:rsidRPr="00775BF2">
              <w:rPr>
                <w:sz w:val="24"/>
                <w:szCs w:val="24"/>
                <w:lang w:val="en-GB"/>
              </w:rPr>
              <w:t xml:space="preserve">Combination with two antibiotics: </w:t>
            </w:r>
            <w:proofErr w:type="spellStart"/>
            <w:r w:rsidR="00A73AC7">
              <w:rPr>
                <w:sz w:val="24"/>
                <w:szCs w:val="24"/>
                <w:lang w:val="en-GB"/>
              </w:rPr>
              <w:t>Esoref</w:t>
            </w:r>
            <w:proofErr w:type="spellEnd"/>
            <w:r w:rsidRPr="00775BF2">
              <w:rPr>
                <w:sz w:val="24"/>
                <w:szCs w:val="24"/>
                <w:lang w:val="en-GB"/>
              </w:rPr>
              <w:t xml:space="preserve"> 20 mg, amoxicillin 1 g and clarithromycin 500 mg are all administered together twice daily for one week.</w:t>
            </w:r>
          </w:p>
        </w:tc>
      </w:tr>
    </w:tbl>
    <w:p w14:paraId="43504C8B" w14:textId="77777777" w:rsidR="008D4EC8" w:rsidRPr="00775BF2" w:rsidRDefault="008D4EC8" w:rsidP="008D4EC8">
      <w:pPr>
        <w:tabs>
          <w:tab w:val="left" w:pos="567"/>
        </w:tabs>
        <w:contextualSpacing/>
        <w:rPr>
          <w:bCs/>
          <w:i/>
          <w:iCs/>
          <w:sz w:val="24"/>
          <w:szCs w:val="24"/>
          <w:lang w:val="en-GB"/>
        </w:rPr>
      </w:pPr>
    </w:p>
    <w:p w14:paraId="7A9546F6" w14:textId="77777777" w:rsidR="008D4EC8" w:rsidRPr="00775BF2" w:rsidRDefault="008D4EC8" w:rsidP="00FF79E8">
      <w:pPr>
        <w:ind w:left="851"/>
        <w:contextualSpacing/>
        <w:rPr>
          <w:bCs/>
          <w:i/>
          <w:iCs/>
          <w:sz w:val="24"/>
          <w:szCs w:val="24"/>
          <w:lang w:val="en-GB"/>
        </w:rPr>
      </w:pPr>
      <w:r w:rsidRPr="00775BF2">
        <w:rPr>
          <w:bCs/>
          <w:i/>
          <w:iCs/>
          <w:sz w:val="24"/>
          <w:szCs w:val="24"/>
          <w:lang w:val="en-GB"/>
        </w:rPr>
        <w:t>Children below the age of 12 years</w:t>
      </w:r>
    </w:p>
    <w:p w14:paraId="4BD03CBC" w14:textId="16E33ADE" w:rsidR="008D4EC8" w:rsidRPr="00775BF2" w:rsidRDefault="008D4EC8" w:rsidP="00FF79E8">
      <w:pPr>
        <w:ind w:left="851"/>
        <w:contextualSpacing/>
        <w:rPr>
          <w:bCs/>
          <w:sz w:val="24"/>
          <w:szCs w:val="24"/>
          <w:lang w:val="en-GB"/>
        </w:rPr>
      </w:pPr>
      <w:r w:rsidRPr="00775BF2">
        <w:rPr>
          <w:bCs/>
          <w:sz w:val="24"/>
          <w:szCs w:val="24"/>
          <w:lang w:val="en-GB"/>
        </w:rPr>
        <w:t xml:space="preserve">For posology in patients aged 1 to 11 reference is made to the </w:t>
      </w:r>
      <w:proofErr w:type="spellStart"/>
      <w:r w:rsidR="00A73AC7">
        <w:rPr>
          <w:sz w:val="24"/>
          <w:szCs w:val="24"/>
          <w:lang w:val="en-GB"/>
        </w:rPr>
        <w:t>Esoref</w:t>
      </w:r>
      <w:proofErr w:type="spellEnd"/>
      <w:r w:rsidRPr="00775BF2">
        <w:rPr>
          <w:bCs/>
          <w:sz w:val="24"/>
          <w:szCs w:val="24"/>
          <w:lang w:val="en-GB"/>
        </w:rPr>
        <w:t xml:space="preserve"> sachet SmPC.</w:t>
      </w:r>
    </w:p>
    <w:p w14:paraId="0EB6CB65" w14:textId="77777777" w:rsidR="008D4EC8" w:rsidRPr="00775BF2" w:rsidRDefault="008D4EC8" w:rsidP="00FF79E8">
      <w:pPr>
        <w:ind w:left="851"/>
        <w:contextualSpacing/>
        <w:rPr>
          <w:bCs/>
          <w:sz w:val="24"/>
          <w:szCs w:val="24"/>
          <w:lang w:val="en-GB"/>
        </w:rPr>
      </w:pPr>
    </w:p>
    <w:p w14:paraId="15A5A607" w14:textId="77777777" w:rsidR="008D4EC8" w:rsidRPr="00775BF2" w:rsidRDefault="008D4EC8" w:rsidP="00FF79E8">
      <w:pPr>
        <w:ind w:left="851"/>
        <w:contextualSpacing/>
        <w:rPr>
          <w:sz w:val="24"/>
          <w:szCs w:val="24"/>
          <w:lang w:val="en-GB"/>
        </w:rPr>
      </w:pPr>
      <w:r w:rsidRPr="00775BF2">
        <w:rPr>
          <w:sz w:val="24"/>
          <w:szCs w:val="24"/>
          <w:u w:val="single"/>
          <w:lang w:val="en-GB"/>
        </w:rPr>
        <w:t>Method of administration</w:t>
      </w:r>
    </w:p>
    <w:p w14:paraId="0EDF2733" w14:textId="77777777" w:rsidR="008D4EC8" w:rsidRPr="00775BF2" w:rsidRDefault="008D4EC8" w:rsidP="00FF79E8">
      <w:pPr>
        <w:ind w:left="851"/>
        <w:contextualSpacing/>
        <w:rPr>
          <w:sz w:val="24"/>
          <w:szCs w:val="24"/>
          <w:lang w:val="en-GB"/>
        </w:rPr>
      </w:pPr>
      <w:r w:rsidRPr="00775BF2">
        <w:rPr>
          <w:sz w:val="24"/>
          <w:szCs w:val="24"/>
          <w:lang w:val="en-GB"/>
        </w:rPr>
        <w:t>The tablets should be swallowed whole with liquid. The tablets should not be chewed or crushed.</w:t>
      </w:r>
    </w:p>
    <w:p w14:paraId="21EF7C09" w14:textId="77777777" w:rsidR="008D4EC8" w:rsidRPr="00775BF2" w:rsidRDefault="008D4EC8" w:rsidP="00FF79E8">
      <w:pPr>
        <w:ind w:left="851"/>
        <w:contextualSpacing/>
        <w:rPr>
          <w:sz w:val="24"/>
          <w:szCs w:val="24"/>
          <w:lang w:val="en-GB"/>
        </w:rPr>
      </w:pPr>
      <w:r w:rsidRPr="00775BF2">
        <w:rPr>
          <w:sz w:val="24"/>
          <w:szCs w:val="24"/>
          <w:lang w:val="en-GB"/>
        </w:rPr>
        <w:t>For patients who have difficulty in swallowing, the tablets can also be dispersed in half a glass of non</w:t>
      </w:r>
      <w:r w:rsidRPr="00775BF2">
        <w:rPr>
          <w:sz w:val="24"/>
          <w:szCs w:val="24"/>
          <w:lang w:val="en-GB"/>
        </w:rPr>
        <w:noBreakHyphen/>
        <w:t>carbonated water. No other liquids should be used as the enteric coating may be dissolved. Stir until the tablets disintegrate and drink the liquid with the pellets immediately or within 30 minutes. Rinse the glass with half a glass of water and drink. The pellets must not be chewed or crushed.</w:t>
      </w:r>
    </w:p>
    <w:p w14:paraId="7B763B0F" w14:textId="77777777" w:rsidR="008D4EC8" w:rsidRPr="00775BF2" w:rsidRDefault="008D4EC8" w:rsidP="00FF79E8">
      <w:pPr>
        <w:ind w:left="851"/>
        <w:contextualSpacing/>
        <w:rPr>
          <w:sz w:val="24"/>
          <w:szCs w:val="24"/>
          <w:lang w:val="en-GB"/>
        </w:rPr>
      </w:pPr>
    </w:p>
    <w:p w14:paraId="01C4ADD5" w14:textId="77777777" w:rsidR="008D4EC8" w:rsidRPr="00775BF2" w:rsidRDefault="008D4EC8" w:rsidP="00FF79E8">
      <w:pPr>
        <w:ind w:left="851"/>
        <w:contextualSpacing/>
        <w:rPr>
          <w:sz w:val="24"/>
          <w:szCs w:val="24"/>
          <w:lang w:val="en-GB"/>
        </w:rPr>
      </w:pPr>
      <w:r w:rsidRPr="00775BF2">
        <w:rPr>
          <w:sz w:val="24"/>
          <w:szCs w:val="24"/>
          <w:lang w:val="en-GB"/>
        </w:rPr>
        <w:t>For patients who cannot swallow, the tablets can be dispersed in non</w:t>
      </w:r>
      <w:r w:rsidRPr="00775BF2">
        <w:rPr>
          <w:sz w:val="24"/>
          <w:szCs w:val="24"/>
          <w:lang w:val="en-GB"/>
        </w:rPr>
        <w:noBreakHyphen/>
        <w:t>carbonated water and administered through a gastric tube. It is important that the appropriateness of the selected syringe and tube is carefully tested. For preparation and administration instructions see section 6.6.</w:t>
      </w:r>
    </w:p>
    <w:p w14:paraId="31D6B3DE" w14:textId="77777777" w:rsidR="007C5D2A" w:rsidRPr="00775BF2" w:rsidRDefault="007C5D2A" w:rsidP="00A85D26">
      <w:pPr>
        <w:tabs>
          <w:tab w:val="left" w:pos="851"/>
        </w:tabs>
        <w:ind w:left="851"/>
        <w:rPr>
          <w:sz w:val="24"/>
          <w:szCs w:val="24"/>
          <w:lang w:val="en-GB"/>
        </w:rPr>
      </w:pPr>
    </w:p>
    <w:p w14:paraId="14BF1B73"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4.3</w:t>
      </w:r>
      <w:r w:rsidRPr="00775BF2">
        <w:rPr>
          <w:b/>
          <w:sz w:val="24"/>
          <w:szCs w:val="24"/>
          <w:lang w:val="en-GB"/>
        </w:rPr>
        <w:tab/>
        <w:t>Contraindications</w:t>
      </w:r>
    </w:p>
    <w:p w14:paraId="7BE6C295" w14:textId="77777777" w:rsidR="008D4EC8" w:rsidRPr="00775BF2" w:rsidRDefault="008D4EC8" w:rsidP="00FF79E8">
      <w:pPr>
        <w:ind w:left="851"/>
        <w:contextualSpacing/>
        <w:rPr>
          <w:sz w:val="24"/>
          <w:szCs w:val="24"/>
          <w:lang w:val="en-GB"/>
        </w:rPr>
      </w:pPr>
      <w:r w:rsidRPr="00775BF2">
        <w:rPr>
          <w:sz w:val="24"/>
          <w:szCs w:val="24"/>
          <w:lang w:val="en-GB"/>
        </w:rPr>
        <w:t>Hypersensitivity to the active substance, to substituted benzimidazoles or to any of the excipients listed in section 6.1.</w:t>
      </w:r>
    </w:p>
    <w:p w14:paraId="5EC3BA06" w14:textId="77777777" w:rsidR="008D4EC8" w:rsidRPr="00775BF2" w:rsidRDefault="008D4EC8" w:rsidP="00FF79E8">
      <w:pPr>
        <w:ind w:left="851"/>
        <w:contextualSpacing/>
        <w:rPr>
          <w:sz w:val="24"/>
          <w:szCs w:val="24"/>
          <w:lang w:val="en-GB"/>
        </w:rPr>
      </w:pPr>
    </w:p>
    <w:p w14:paraId="15C4679A" w14:textId="77777777" w:rsidR="008D4EC8" w:rsidRPr="00775BF2" w:rsidRDefault="008D4EC8" w:rsidP="00FF79E8">
      <w:pPr>
        <w:ind w:left="851"/>
        <w:contextualSpacing/>
        <w:rPr>
          <w:sz w:val="24"/>
          <w:szCs w:val="24"/>
          <w:lang w:val="en-GB"/>
        </w:rPr>
      </w:pPr>
      <w:r w:rsidRPr="00775BF2">
        <w:rPr>
          <w:sz w:val="24"/>
          <w:szCs w:val="24"/>
          <w:lang w:val="en-GB"/>
        </w:rPr>
        <w:t>Esomeprazole should not be used concomitantly with nelfinavir (see section 4.5).</w:t>
      </w:r>
    </w:p>
    <w:p w14:paraId="6EFDD7AB" w14:textId="77777777" w:rsidR="007C5D2A" w:rsidRPr="00775BF2" w:rsidRDefault="007C5D2A" w:rsidP="003E0341">
      <w:pPr>
        <w:tabs>
          <w:tab w:val="left" w:pos="851"/>
        </w:tabs>
        <w:ind w:left="851"/>
        <w:rPr>
          <w:sz w:val="24"/>
          <w:szCs w:val="24"/>
          <w:lang w:val="en-GB"/>
        </w:rPr>
      </w:pPr>
    </w:p>
    <w:p w14:paraId="1B47A3E0" w14:textId="77777777" w:rsidR="007C5D2A" w:rsidRPr="00775BF2" w:rsidRDefault="007C5D2A" w:rsidP="007C5D2A">
      <w:pPr>
        <w:tabs>
          <w:tab w:val="left" w:pos="851"/>
        </w:tabs>
        <w:rPr>
          <w:b/>
          <w:sz w:val="24"/>
          <w:szCs w:val="24"/>
          <w:lang w:val="en-GB"/>
        </w:rPr>
      </w:pPr>
      <w:r w:rsidRPr="00775BF2">
        <w:rPr>
          <w:b/>
          <w:sz w:val="24"/>
          <w:szCs w:val="24"/>
          <w:lang w:val="en-GB"/>
        </w:rPr>
        <w:t>4.4</w:t>
      </w:r>
      <w:r w:rsidRPr="00775BF2">
        <w:rPr>
          <w:b/>
          <w:sz w:val="24"/>
          <w:szCs w:val="24"/>
          <w:lang w:val="en-GB"/>
        </w:rPr>
        <w:tab/>
        <w:t>Special warnings and precautions for use</w:t>
      </w:r>
    </w:p>
    <w:p w14:paraId="098A7D21" w14:textId="50981F39" w:rsidR="008D4EC8" w:rsidRPr="00775BF2" w:rsidRDefault="008D4EC8" w:rsidP="00FF79E8">
      <w:pPr>
        <w:ind w:left="851"/>
        <w:rPr>
          <w:sz w:val="24"/>
          <w:szCs w:val="24"/>
          <w:lang w:val="en-GB"/>
        </w:rPr>
      </w:pPr>
      <w:r w:rsidRPr="00775BF2">
        <w:rPr>
          <w:sz w:val="24"/>
          <w:szCs w:val="24"/>
          <w:lang w:val="en-GB"/>
        </w:rPr>
        <w:t xml:space="preserve">In the presence of any alarm symptom (e.g. significant unintentional weight loss, recurrent vomiting, dysphagia, haematemesis or melaena) and when gastric ulcer is suspected or present, malignancy should be excluded, as treatment with </w:t>
      </w:r>
      <w:proofErr w:type="spellStart"/>
      <w:r w:rsidR="00A73AC7">
        <w:rPr>
          <w:sz w:val="24"/>
          <w:szCs w:val="24"/>
          <w:lang w:val="en-GB"/>
        </w:rPr>
        <w:t>Esoref</w:t>
      </w:r>
      <w:proofErr w:type="spellEnd"/>
      <w:r w:rsidRPr="00775BF2">
        <w:rPr>
          <w:sz w:val="24"/>
          <w:szCs w:val="24"/>
          <w:lang w:val="en-GB"/>
        </w:rPr>
        <w:t xml:space="preserve"> may alleviate symptoms and delay diagnosis.</w:t>
      </w:r>
    </w:p>
    <w:p w14:paraId="20EF1B94" w14:textId="77777777" w:rsidR="008D4EC8" w:rsidRPr="00775BF2" w:rsidRDefault="008D4EC8" w:rsidP="00FF79E8">
      <w:pPr>
        <w:ind w:left="851"/>
        <w:rPr>
          <w:sz w:val="24"/>
          <w:szCs w:val="24"/>
          <w:lang w:val="en-GB"/>
        </w:rPr>
      </w:pPr>
    </w:p>
    <w:p w14:paraId="1001C646" w14:textId="77777777" w:rsidR="008D4EC8" w:rsidRPr="00775BF2" w:rsidRDefault="008D4EC8" w:rsidP="00FF79E8">
      <w:pPr>
        <w:ind w:left="851"/>
        <w:rPr>
          <w:sz w:val="24"/>
          <w:szCs w:val="24"/>
          <w:u w:val="single"/>
          <w:lang w:val="en-GB"/>
        </w:rPr>
      </w:pPr>
      <w:r w:rsidRPr="00775BF2">
        <w:rPr>
          <w:sz w:val="24"/>
          <w:szCs w:val="24"/>
          <w:u w:val="single"/>
          <w:lang w:val="en-GB"/>
        </w:rPr>
        <w:t>Long term use</w:t>
      </w:r>
    </w:p>
    <w:p w14:paraId="2F20262D" w14:textId="77777777" w:rsidR="008D4EC8" w:rsidRPr="00775BF2" w:rsidRDefault="008D4EC8" w:rsidP="00FF79E8">
      <w:pPr>
        <w:ind w:left="851"/>
        <w:rPr>
          <w:sz w:val="24"/>
          <w:szCs w:val="24"/>
          <w:lang w:val="en-GB"/>
        </w:rPr>
      </w:pPr>
      <w:r w:rsidRPr="00775BF2">
        <w:rPr>
          <w:sz w:val="24"/>
          <w:szCs w:val="24"/>
          <w:lang w:val="en-GB"/>
        </w:rPr>
        <w:t>Patients on long</w:t>
      </w:r>
      <w:r w:rsidRPr="00775BF2">
        <w:rPr>
          <w:sz w:val="24"/>
          <w:szCs w:val="24"/>
          <w:lang w:val="en-GB"/>
        </w:rPr>
        <w:noBreakHyphen/>
        <w:t>term treatment (particularly those treated for more than a year) should be kept under regular surveillance.</w:t>
      </w:r>
    </w:p>
    <w:p w14:paraId="7F654F68" w14:textId="77777777" w:rsidR="008D4EC8" w:rsidRPr="00775BF2" w:rsidRDefault="008D4EC8" w:rsidP="00FF79E8">
      <w:pPr>
        <w:ind w:left="851"/>
        <w:rPr>
          <w:sz w:val="24"/>
          <w:szCs w:val="24"/>
          <w:lang w:val="en-GB"/>
        </w:rPr>
      </w:pPr>
    </w:p>
    <w:p w14:paraId="6CA4386C" w14:textId="77777777" w:rsidR="008D4EC8" w:rsidRPr="00775BF2" w:rsidRDefault="008D4EC8" w:rsidP="00FF79E8">
      <w:pPr>
        <w:ind w:left="851"/>
        <w:rPr>
          <w:sz w:val="24"/>
          <w:szCs w:val="24"/>
          <w:u w:val="single"/>
          <w:lang w:val="en-GB"/>
        </w:rPr>
      </w:pPr>
      <w:r w:rsidRPr="00775BF2">
        <w:rPr>
          <w:sz w:val="24"/>
          <w:szCs w:val="24"/>
          <w:u w:val="single"/>
          <w:lang w:val="en-GB"/>
        </w:rPr>
        <w:t>On demand treatment</w:t>
      </w:r>
    </w:p>
    <w:p w14:paraId="731579F2" w14:textId="77777777" w:rsidR="008D4EC8" w:rsidRPr="00775BF2" w:rsidRDefault="008D4EC8" w:rsidP="00FF79E8">
      <w:pPr>
        <w:ind w:left="851"/>
        <w:rPr>
          <w:sz w:val="24"/>
          <w:szCs w:val="24"/>
          <w:lang w:val="en-GB"/>
        </w:rPr>
      </w:pPr>
      <w:r w:rsidRPr="00775BF2">
        <w:rPr>
          <w:sz w:val="24"/>
          <w:szCs w:val="24"/>
          <w:lang w:val="en-GB"/>
        </w:rPr>
        <w:t>Patients on on</w:t>
      </w:r>
      <w:r w:rsidRPr="00775BF2">
        <w:rPr>
          <w:sz w:val="24"/>
          <w:szCs w:val="24"/>
          <w:lang w:val="en-GB"/>
        </w:rPr>
        <w:noBreakHyphen/>
        <w:t xml:space="preserve">demand treatment should be instructed to contact their physician if their symptoms change in character. </w:t>
      </w:r>
    </w:p>
    <w:p w14:paraId="19F43CB7" w14:textId="77777777" w:rsidR="008D4EC8" w:rsidRPr="00775BF2" w:rsidRDefault="008D4EC8" w:rsidP="00FF79E8">
      <w:pPr>
        <w:ind w:left="851"/>
        <w:rPr>
          <w:sz w:val="24"/>
          <w:szCs w:val="24"/>
          <w:lang w:val="en-GB"/>
        </w:rPr>
      </w:pPr>
    </w:p>
    <w:p w14:paraId="49C9FF70" w14:textId="77777777" w:rsidR="008D4EC8" w:rsidRPr="00775BF2" w:rsidRDefault="008D4EC8" w:rsidP="00FF79E8">
      <w:pPr>
        <w:ind w:left="851"/>
        <w:rPr>
          <w:sz w:val="24"/>
          <w:szCs w:val="24"/>
          <w:u w:val="single"/>
          <w:lang w:val="en-GB"/>
        </w:rPr>
      </w:pPr>
      <w:r w:rsidRPr="00775BF2">
        <w:rPr>
          <w:i/>
          <w:iCs/>
          <w:sz w:val="24"/>
          <w:szCs w:val="24"/>
          <w:u w:val="single"/>
          <w:lang w:val="en-GB"/>
        </w:rPr>
        <w:t>Helicobacter pylori</w:t>
      </w:r>
      <w:r w:rsidRPr="00775BF2">
        <w:rPr>
          <w:sz w:val="24"/>
          <w:szCs w:val="24"/>
          <w:u w:val="single"/>
          <w:lang w:val="en-GB"/>
        </w:rPr>
        <w:t xml:space="preserve"> eradication</w:t>
      </w:r>
    </w:p>
    <w:p w14:paraId="6559460D" w14:textId="77777777" w:rsidR="008D4EC8" w:rsidRPr="00775BF2" w:rsidRDefault="008D4EC8" w:rsidP="00FF79E8">
      <w:pPr>
        <w:ind w:left="851"/>
        <w:rPr>
          <w:sz w:val="24"/>
          <w:szCs w:val="24"/>
          <w:lang w:val="en-GB"/>
        </w:rPr>
      </w:pPr>
      <w:r w:rsidRPr="00775BF2">
        <w:rPr>
          <w:sz w:val="24"/>
          <w:szCs w:val="24"/>
          <w:lang w:val="en-GB"/>
        </w:rPr>
        <w:t xml:space="preserve">When prescribing esomeprazole for eradication of </w:t>
      </w:r>
      <w:r w:rsidRPr="00775BF2">
        <w:rPr>
          <w:i/>
          <w:iCs/>
          <w:sz w:val="24"/>
          <w:szCs w:val="24"/>
          <w:lang w:val="en-GB"/>
        </w:rPr>
        <w:t xml:space="preserve">Helicobacter pylori </w:t>
      </w:r>
      <w:r w:rsidRPr="00775BF2">
        <w:rPr>
          <w:sz w:val="24"/>
          <w:szCs w:val="24"/>
          <w:lang w:val="en-GB"/>
        </w:rPr>
        <w:t xml:space="preserve">possible drug interactions for all components in the triple therapy should be considered. Clarithromycin is a potent inhibitor of CYP3A4 and hence contraindications and interactions for clarithromycin should be considered when the triple therapy is used in patients concurrently taking other drugs metabolised via CYP3A4 such as </w:t>
      </w:r>
      <w:proofErr w:type="spellStart"/>
      <w:r w:rsidRPr="00775BF2">
        <w:rPr>
          <w:sz w:val="24"/>
          <w:szCs w:val="24"/>
          <w:lang w:val="en-GB"/>
        </w:rPr>
        <w:t>cisapride</w:t>
      </w:r>
      <w:proofErr w:type="spellEnd"/>
      <w:r w:rsidRPr="00775BF2">
        <w:rPr>
          <w:sz w:val="24"/>
          <w:szCs w:val="24"/>
          <w:lang w:val="en-GB"/>
        </w:rPr>
        <w:t>.</w:t>
      </w:r>
    </w:p>
    <w:p w14:paraId="2CE13CD0" w14:textId="77777777" w:rsidR="008D4EC8" w:rsidRPr="00775BF2" w:rsidRDefault="008D4EC8" w:rsidP="00FF79E8">
      <w:pPr>
        <w:ind w:left="851"/>
        <w:rPr>
          <w:sz w:val="24"/>
          <w:szCs w:val="24"/>
          <w:lang w:val="en-GB"/>
        </w:rPr>
      </w:pPr>
    </w:p>
    <w:p w14:paraId="57E6B41A" w14:textId="77777777" w:rsidR="008D4EC8" w:rsidRPr="00775BF2" w:rsidRDefault="008D4EC8" w:rsidP="00FF79E8">
      <w:pPr>
        <w:ind w:left="851"/>
        <w:rPr>
          <w:sz w:val="24"/>
          <w:szCs w:val="24"/>
          <w:u w:val="single"/>
          <w:lang w:val="en-GB"/>
        </w:rPr>
      </w:pPr>
      <w:r w:rsidRPr="00775BF2">
        <w:rPr>
          <w:sz w:val="24"/>
          <w:szCs w:val="24"/>
          <w:u w:val="single"/>
          <w:lang w:val="en-GB"/>
        </w:rPr>
        <w:t>Gastrointestinal infections</w:t>
      </w:r>
    </w:p>
    <w:p w14:paraId="489840A8" w14:textId="77777777" w:rsidR="008D4EC8" w:rsidRPr="00775BF2" w:rsidRDefault="008D4EC8" w:rsidP="00FF79E8">
      <w:pPr>
        <w:ind w:left="851"/>
        <w:rPr>
          <w:sz w:val="24"/>
          <w:szCs w:val="24"/>
          <w:lang w:val="en-GB"/>
        </w:rPr>
      </w:pPr>
      <w:r w:rsidRPr="00775BF2">
        <w:rPr>
          <w:sz w:val="24"/>
          <w:szCs w:val="24"/>
          <w:lang w:val="en-GB"/>
        </w:rPr>
        <w:t>Treatment with proton pump inhibitors may lead to slightly increased risk of gastrointestinal infections such as Salmonella and Campylobacter (see section 5.1).</w:t>
      </w:r>
    </w:p>
    <w:p w14:paraId="13F54680" w14:textId="77777777" w:rsidR="008D4EC8" w:rsidRPr="00775BF2" w:rsidRDefault="008D4EC8" w:rsidP="00FF79E8">
      <w:pPr>
        <w:ind w:left="851"/>
        <w:rPr>
          <w:sz w:val="24"/>
          <w:szCs w:val="24"/>
          <w:lang w:val="en-GB"/>
        </w:rPr>
      </w:pPr>
    </w:p>
    <w:p w14:paraId="439E4B55" w14:textId="77777777" w:rsidR="008D4EC8" w:rsidRPr="00775BF2" w:rsidRDefault="008D4EC8" w:rsidP="00FF79E8">
      <w:pPr>
        <w:ind w:left="851"/>
        <w:rPr>
          <w:sz w:val="24"/>
          <w:szCs w:val="24"/>
          <w:u w:val="single"/>
          <w:lang w:val="en-GB"/>
        </w:rPr>
      </w:pPr>
      <w:r w:rsidRPr="00775BF2">
        <w:rPr>
          <w:sz w:val="24"/>
          <w:szCs w:val="24"/>
          <w:u w:val="single"/>
          <w:lang w:val="en-GB"/>
        </w:rPr>
        <w:t>Absorption of vitamin B12</w:t>
      </w:r>
    </w:p>
    <w:p w14:paraId="2ABCC383" w14:textId="77777777" w:rsidR="008D4EC8" w:rsidRPr="00775BF2" w:rsidRDefault="008D4EC8" w:rsidP="00FF79E8">
      <w:pPr>
        <w:ind w:left="851"/>
        <w:rPr>
          <w:sz w:val="24"/>
          <w:szCs w:val="24"/>
          <w:lang w:val="en-GB"/>
        </w:rPr>
      </w:pPr>
      <w:r w:rsidRPr="00775BF2">
        <w:rPr>
          <w:sz w:val="24"/>
          <w:szCs w:val="24"/>
          <w:lang w:val="en-US"/>
        </w:rPr>
        <w:t>Esomeprazole, as all acid-blocking medicines, may reduce the absorption of vitamin B12 (cyanocobalamin) due to hypo- or achlorhydria. This should be considered in patients with reduced body stores or risk factors for reduced vitamin B12 absorption on long-term therapy.</w:t>
      </w:r>
    </w:p>
    <w:p w14:paraId="26A544F2" w14:textId="77777777" w:rsidR="008D4EC8" w:rsidRPr="00775BF2" w:rsidRDefault="008D4EC8" w:rsidP="00FF79E8">
      <w:pPr>
        <w:ind w:left="851"/>
        <w:rPr>
          <w:sz w:val="24"/>
          <w:szCs w:val="24"/>
          <w:lang w:val="en-GB"/>
        </w:rPr>
      </w:pPr>
    </w:p>
    <w:p w14:paraId="2D52AEEA" w14:textId="77777777" w:rsidR="008D4EC8" w:rsidRPr="00775BF2" w:rsidRDefault="008D4EC8" w:rsidP="00FF79E8">
      <w:pPr>
        <w:ind w:left="851"/>
        <w:rPr>
          <w:sz w:val="24"/>
          <w:szCs w:val="24"/>
          <w:u w:val="single"/>
          <w:lang w:val="en-GB"/>
        </w:rPr>
      </w:pPr>
      <w:r w:rsidRPr="00775BF2">
        <w:rPr>
          <w:sz w:val="24"/>
          <w:szCs w:val="24"/>
          <w:u w:val="single"/>
          <w:lang w:val="en-GB"/>
        </w:rPr>
        <w:t>Hypomagnesaemia</w:t>
      </w:r>
    </w:p>
    <w:p w14:paraId="580D06EC" w14:textId="77777777" w:rsidR="008D4EC8" w:rsidRPr="00775BF2" w:rsidRDefault="008D4EC8" w:rsidP="00FF79E8">
      <w:pPr>
        <w:ind w:left="851"/>
        <w:rPr>
          <w:sz w:val="24"/>
          <w:szCs w:val="24"/>
          <w:lang w:val="en-GB"/>
        </w:rPr>
      </w:pPr>
      <w:r w:rsidRPr="00775BF2">
        <w:rPr>
          <w:sz w:val="24"/>
          <w:szCs w:val="24"/>
          <w:lang w:val="en-GB"/>
        </w:rPr>
        <w:t xml:space="preserve">Severe hypomagnesaemia has been reported in patients treated with proton pump inhibitors (PPIs) like esomeprazole for at least three months, and in most cases for a year. Serious manifestations of hypomagnesaemia such as fatigue, tetany, delirium, convulsions, dizziness and ventricular arrhythmia can occur but they may begin insidiously and be overlooked. In most affected patients, hypomagnesaemia improved after magnesium replacement and discontinuation of the PPI. </w:t>
      </w:r>
    </w:p>
    <w:p w14:paraId="06CF6341" w14:textId="77777777" w:rsidR="008D4EC8" w:rsidRPr="00775BF2" w:rsidRDefault="008D4EC8" w:rsidP="00FF79E8">
      <w:pPr>
        <w:ind w:left="851"/>
        <w:rPr>
          <w:sz w:val="24"/>
          <w:szCs w:val="24"/>
          <w:lang w:val="en-GB"/>
        </w:rPr>
      </w:pPr>
      <w:r w:rsidRPr="00775BF2">
        <w:rPr>
          <w:sz w:val="24"/>
          <w:szCs w:val="24"/>
          <w:lang w:val="en-GB"/>
        </w:rPr>
        <w:t>For patients expected to be on prolonged treatment or who take PPIs with digoxin or drugs that may cause hypomagnesaemia (e.g., diuretics), health care professionals should consider measuring magnesium levels before starting PPI treatment and periodically during treatment.</w:t>
      </w:r>
    </w:p>
    <w:p w14:paraId="5D1F6E15" w14:textId="0C99CB1A" w:rsidR="002D7924" w:rsidRDefault="002D7924">
      <w:pPr>
        <w:rPr>
          <w:sz w:val="24"/>
          <w:szCs w:val="24"/>
          <w:lang w:val="en-GB"/>
        </w:rPr>
      </w:pPr>
      <w:r>
        <w:rPr>
          <w:sz w:val="24"/>
          <w:szCs w:val="24"/>
          <w:lang w:val="en-GB"/>
        </w:rPr>
        <w:br w:type="page"/>
      </w:r>
    </w:p>
    <w:p w14:paraId="03115022" w14:textId="77777777" w:rsidR="008D4EC8" w:rsidRPr="00775BF2" w:rsidRDefault="008D4EC8" w:rsidP="00FF79E8">
      <w:pPr>
        <w:ind w:left="851"/>
        <w:rPr>
          <w:sz w:val="24"/>
          <w:szCs w:val="24"/>
          <w:lang w:val="en-GB"/>
        </w:rPr>
      </w:pPr>
    </w:p>
    <w:p w14:paraId="19CF01AF" w14:textId="77777777" w:rsidR="008D4EC8" w:rsidRPr="00775BF2" w:rsidRDefault="008D4EC8" w:rsidP="00FF79E8">
      <w:pPr>
        <w:ind w:left="851"/>
        <w:rPr>
          <w:sz w:val="24"/>
          <w:szCs w:val="24"/>
          <w:u w:val="single"/>
          <w:lang w:val="is-IS"/>
        </w:rPr>
      </w:pPr>
      <w:r w:rsidRPr="00775BF2">
        <w:rPr>
          <w:sz w:val="24"/>
          <w:szCs w:val="24"/>
          <w:u w:val="single"/>
          <w:lang w:val="en-US"/>
        </w:rPr>
        <w:t>Risk of fracture</w:t>
      </w:r>
    </w:p>
    <w:p w14:paraId="35805930" w14:textId="52EE72B0" w:rsidR="008D4EC8" w:rsidRPr="00775BF2" w:rsidRDefault="008D4EC8" w:rsidP="00FF79E8">
      <w:pPr>
        <w:ind w:left="851"/>
        <w:rPr>
          <w:sz w:val="24"/>
          <w:szCs w:val="24"/>
          <w:lang w:val="en-US"/>
        </w:rPr>
      </w:pPr>
      <w:r w:rsidRPr="00775BF2">
        <w:rPr>
          <w:sz w:val="24"/>
          <w:szCs w:val="24"/>
          <w:lang w:val="en-US"/>
        </w:rPr>
        <w:t xml:space="preserve">Proton pump inhibitors, especially if used in high doses and over long durations (&gt;1 year), may modestly increase the risk of hip, wrist and spine fracture, predominantly in the elderly or in presence of other </w:t>
      </w:r>
      <w:proofErr w:type="spellStart"/>
      <w:r w:rsidRPr="00775BF2">
        <w:rPr>
          <w:sz w:val="24"/>
          <w:szCs w:val="24"/>
          <w:lang w:val="en-US"/>
        </w:rPr>
        <w:t>recognised</w:t>
      </w:r>
      <w:proofErr w:type="spellEnd"/>
      <w:r w:rsidRPr="00775BF2">
        <w:rPr>
          <w:sz w:val="24"/>
          <w:szCs w:val="24"/>
          <w:lang w:val="en-US"/>
        </w:rPr>
        <w:t xml:space="preserve"> risk factors. Observational studies suggest that proton pump inhibitors may increase the overall risk of fracture by 10</w:t>
      </w:r>
      <w:r w:rsidR="00273109">
        <w:rPr>
          <w:sz w:val="24"/>
          <w:szCs w:val="24"/>
          <w:lang w:val="en-US"/>
        </w:rPr>
        <w:t>-</w:t>
      </w:r>
      <w:r w:rsidRPr="00775BF2">
        <w:rPr>
          <w:sz w:val="24"/>
          <w:szCs w:val="24"/>
          <w:lang w:val="en-US"/>
        </w:rPr>
        <w:t>40</w:t>
      </w:r>
      <w:r w:rsidR="00935FF9">
        <w:rPr>
          <w:sz w:val="24"/>
          <w:szCs w:val="24"/>
          <w:lang w:val="en-US"/>
        </w:rPr>
        <w:t xml:space="preserve"> %</w:t>
      </w:r>
      <w:r w:rsidRPr="00775BF2">
        <w:rPr>
          <w:sz w:val="24"/>
          <w:szCs w:val="24"/>
          <w:lang w:val="en-US"/>
        </w:rPr>
        <w:t>. Some of this increase may be due to other risk factors. Patients at risk of osteoporosis should receive care according to current clinical guidelines and they should have an adequate intake of vitamin D and calcium.</w:t>
      </w:r>
    </w:p>
    <w:p w14:paraId="134432B9" w14:textId="77777777" w:rsidR="008D4EC8" w:rsidRPr="00775BF2" w:rsidRDefault="008D4EC8" w:rsidP="00FF79E8">
      <w:pPr>
        <w:ind w:left="851"/>
        <w:rPr>
          <w:sz w:val="24"/>
          <w:szCs w:val="24"/>
          <w:lang w:val="en-US"/>
        </w:rPr>
      </w:pPr>
    </w:p>
    <w:p w14:paraId="127CD7FF" w14:textId="77777777" w:rsidR="008D4EC8" w:rsidRPr="00775BF2" w:rsidRDefault="008D4EC8" w:rsidP="00FF79E8">
      <w:pPr>
        <w:ind w:left="851"/>
        <w:rPr>
          <w:sz w:val="24"/>
          <w:szCs w:val="24"/>
          <w:u w:val="single"/>
          <w:lang w:val="en-GB"/>
        </w:rPr>
      </w:pPr>
      <w:r w:rsidRPr="00775BF2">
        <w:rPr>
          <w:sz w:val="24"/>
          <w:szCs w:val="24"/>
          <w:u w:val="single"/>
          <w:lang w:val="en-GB"/>
        </w:rPr>
        <w:t>Subacute cutaneous lupus erythematosus (SCLE)</w:t>
      </w:r>
    </w:p>
    <w:p w14:paraId="2A2EB5F1" w14:textId="22B7D520" w:rsidR="008D4EC8" w:rsidRPr="00775BF2" w:rsidRDefault="008D4EC8" w:rsidP="00FF79E8">
      <w:pPr>
        <w:ind w:left="851"/>
        <w:rPr>
          <w:sz w:val="24"/>
          <w:szCs w:val="24"/>
          <w:lang w:val="en-GB"/>
        </w:rPr>
      </w:pPr>
      <w:r w:rsidRPr="00775BF2">
        <w:rPr>
          <w:sz w:val="24"/>
          <w:szCs w:val="24"/>
          <w:lang w:val="en-GB"/>
        </w:rPr>
        <w:t>Proton pump inhibitors are associated with very infrequent cases of SCLE. If lesions occur, especially</w:t>
      </w:r>
      <w:r w:rsidR="00CC7F36">
        <w:rPr>
          <w:sz w:val="24"/>
          <w:szCs w:val="24"/>
          <w:lang w:val="en-GB"/>
        </w:rPr>
        <w:t xml:space="preserve"> </w:t>
      </w:r>
      <w:r w:rsidRPr="00775BF2">
        <w:rPr>
          <w:sz w:val="24"/>
          <w:szCs w:val="24"/>
          <w:lang w:val="en-GB"/>
        </w:rPr>
        <w:t>in sun-exposed areas of the skin, and if accompanied by arthralgia, the patient should seek medical</w:t>
      </w:r>
      <w:r w:rsidR="00CC7F36">
        <w:rPr>
          <w:sz w:val="24"/>
          <w:szCs w:val="24"/>
          <w:lang w:val="en-GB"/>
        </w:rPr>
        <w:t xml:space="preserve"> </w:t>
      </w:r>
      <w:r w:rsidRPr="00775BF2">
        <w:rPr>
          <w:sz w:val="24"/>
          <w:szCs w:val="24"/>
          <w:lang w:val="en-GB"/>
        </w:rPr>
        <w:t xml:space="preserve">help promptly and the health care professional should consider stopping </w:t>
      </w:r>
      <w:proofErr w:type="spellStart"/>
      <w:r w:rsidR="00A73AC7">
        <w:rPr>
          <w:sz w:val="24"/>
          <w:szCs w:val="24"/>
          <w:lang w:val="en-GB"/>
        </w:rPr>
        <w:t>Esoref</w:t>
      </w:r>
      <w:proofErr w:type="spellEnd"/>
      <w:r w:rsidRPr="00775BF2">
        <w:rPr>
          <w:sz w:val="24"/>
          <w:szCs w:val="24"/>
          <w:lang w:val="en-GB"/>
        </w:rPr>
        <w:t>. SCLE after previous</w:t>
      </w:r>
      <w:r w:rsidR="00CC7F36">
        <w:rPr>
          <w:sz w:val="24"/>
          <w:szCs w:val="24"/>
          <w:lang w:val="en-GB"/>
        </w:rPr>
        <w:t xml:space="preserve"> </w:t>
      </w:r>
      <w:r w:rsidRPr="00775BF2">
        <w:rPr>
          <w:sz w:val="24"/>
          <w:szCs w:val="24"/>
          <w:lang w:val="en-GB"/>
        </w:rPr>
        <w:t>treatment with a proton pump inhibitor may increase the risk of SCLE with other proton pump</w:t>
      </w:r>
      <w:r w:rsidR="002D7924">
        <w:rPr>
          <w:sz w:val="24"/>
          <w:szCs w:val="24"/>
          <w:lang w:val="en-GB"/>
        </w:rPr>
        <w:t xml:space="preserve"> </w:t>
      </w:r>
      <w:r w:rsidRPr="00775BF2">
        <w:rPr>
          <w:sz w:val="24"/>
          <w:szCs w:val="24"/>
          <w:lang w:val="en-GB"/>
        </w:rPr>
        <w:t>inhibitors.</w:t>
      </w:r>
    </w:p>
    <w:p w14:paraId="5D06A1C3" w14:textId="77777777" w:rsidR="008D4EC8" w:rsidRPr="00775BF2" w:rsidRDefault="008D4EC8" w:rsidP="00FF79E8">
      <w:pPr>
        <w:ind w:left="851"/>
        <w:rPr>
          <w:sz w:val="24"/>
          <w:szCs w:val="24"/>
          <w:lang w:val="en-GB"/>
        </w:rPr>
      </w:pPr>
    </w:p>
    <w:p w14:paraId="62788D0E" w14:textId="77777777" w:rsidR="008D4EC8" w:rsidRPr="00775BF2" w:rsidRDefault="008D4EC8" w:rsidP="00FF79E8">
      <w:pPr>
        <w:ind w:left="851"/>
        <w:rPr>
          <w:sz w:val="24"/>
          <w:szCs w:val="24"/>
          <w:u w:val="single"/>
          <w:lang w:val="en-GB"/>
        </w:rPr>
      </w:pPr>
      <w:r w:rsidRPr="00775BF2">
        <w:rPr>
          <w:sz w:val="24"/>
          <w:szCs w:val="24"/>
          <w:u w:val="single"/>
          <w:lang w:val="en-GB"/>
        </w:rPr>
        <w:t>Combination with other medicinal products</w:t>
      </w:r>
    </w:p>
    <w:p w14:paraId="45C83C69" w14:textId="77777777" w:rsidR="008D4EC8" w:rsidRPr="00775BF2" w:rsidRDefault="008D4EC8" w:rsidP="00FF79E8">
      <w:pPr>
        <w:ind w:left="851"/>
        <w:rPr>
          <w:sz w:val="24"/>
          <w:szCs w:val="24"/>
          <w:lang w:val="en-GB"/>
        </w:rPr>
      </w:pPr>
      <w:r w:rsidRPr="00775BF2">
        <w:rPr>
          <w:sz w:val="24"/>
          <w:szCs w:val="24"/>
          <w:lang w:val="en-GB"/>
        </w:rPr>
        <w:t>Co</w:t>
      </w:r>
      <w:r w:rsidRPr="00775BF2">
        <w:rPr>
          <w:sz w:val="24"/>
          <w:szCs w:val="24"/>
          <w:lang w:val="en-GB"/>
        </w:rPr>
        <w:noBreakHyphen/>
        <w:t>administration of esomeprazole with atazanavir is not recommended (see section 4.5). If the combination of atazanavir with a proton pump inhibitor is judged unavoidable, close clinical monitoring is recommended in combination with an increase in the dose of atazanavir to 400 mg with 100 mg of ritonavir; esomeprazole 20 mg should not be exceeded.</w:t>
      </w:r>
    </w:p>
    <w:p w14:paraId="2DC25852" w14:textId="77777777" w:rsidR="008D4EC8" w:rsidRPr="00775BF2" w:rsidRDefault="008D4EC8" w:rsidP="00FF79E8">
      <w:pPr>
        <w:ind w:left="851"/>
        <w:rPr>
          <w:sz w:val="24"/>
          <w:szCs w:val="24"/>
          <w:lang w:val="en-GB"/>
        </w:rPr>
      </w:pPr>
    </w:p>
    <w:p w14:paraId="13C302E8" w14:textId="77777777" w:rsidR="008D4EC8" w:rsidRPr="00775BF2" w:rsidRDefault="008D4EC8" w:rsidP="00FF79E8">
      <w:pPr>
        <w:ind w:left="851"/>
        <w:rPr>
          <w:sz w:val="24"/>
          <w:szCs w:val="24"/>
          <w:lang w:val="en-GB"/>
        </w:rPr>
      </w:pPr>
      <w:r w:rsidRPr="00775BF2">
        <w:rPr>
          <w:sz w:val="24"/>
          <w:szCs w:val="24"/>
          <w:lang w:val="en-GB"/>
        </w:rPr>
        <w:t>Esomeprazole is a CYP2C19 inhibitor. When starting or ending treatment with esomeprazole, the potential for interactions with drugs metabolised through CYP2C19 should be considered. An interaction is observed between clopidogrel and esomeprazole (see section 4.5). The clinical relevance of this interaction is uncertain. As a precaution, concomitant use of esomeprazole and clopidogrel should be discouraged.</w:t>
      </w:r>
    </w:p>
    <w:p w14:paraId="3B532BD7" w14:textId="77777777" w:rsidR="008D4EC8" w:rsidRPr="00775BF2" w:rsidRDefault="008D4EC8" w:rsidP="00FF79E8">
      <w:pPr>
        <w:ind w:left="851"/>
        <w:rPr>
          <w:sz w:val="24"/>
          <w:szCs w:val="24"/>
          <w:lang w:val="is-IS"/>
        </w:rPr>
      </w:pPr>
    </w:p>
    <w:p w14:paraId="14060460" w14:textId="4610830B" w:rsidR="008D4EC8" w:rsidRDefault="008D4EC8" w:rsidP="00FF79E8">
      <w:pPr>
        <w:ind w:left="851"/>
        <w:rPr>
          <w:sz w:val="24"/>
          <w:szCs w:val="24"/>
          <w:lang w:val="en-GB"/>
        </w:rPr>
      </w:pPr>
      <w:r w:rsidRPr="00775BF2">
        <w:rPr>
          <w:sz w:val="24"/>
          <w:szCs w:val="24"/>
          <w:lang w:val="en-GB"/>
        </w:rPr>
        <w:t>When prescribing esomeprazole for on demand therapy, the implications for interactions with other</w:t>
      </w:r>
      <w:r w:rsidR="00F003D9">
        <w:rPr>
          <w:sz w:val="24"/>
          <w:szCs w:val="24"/>
          <w:lang w:val="en-GB"/>
        </w:rPr>
        <w:t xml:space="preserve"> </w:t>
      </w:r>
      <w:r w:rsidRPr="00775BF2">
        <w:rPr>
          <w:sz w:val="24"/>
          <w:szCs w:val="24"/>
          <w:lang w:val="en-GB"/>
        </w:rPr>
        <w:t>pharmaceuticals, due to fluctuating plasma concentrations of esomeprazole should be considered. See</w:t>
      </w:r>
      <w:r w:rsidR="00F003D9">
        <w:rPr>
          <w:sz w:val="24"/>
          <w:szCs w:val="24"/>
          <w:lang w:val="en-GB"/>
        </w:rPr>
        <w:t xml:space="preserve"> </w:t>
      </w:r>
      <w:r w:rsidRPr="00775BF2">
        <w:rPr>
          <w:sz w:val="24"/>
          <w:szCs w:val="24"/>
          <w:lang w:val="en-GB"/>
        </w:rPr>
        <w:t>section 4.5.</w:t>
      </w:r>
    </w:p>
    <w:p w14:paraId="02800F0C" w14:textId="05CDEEDE" w:rsidR="00462D86" w:rsidRDefault="00462D86" w:rsidP="00FF79E8">
      <w:pPr>
        <w:ind w:left="851"/>
        <w:rPr>
          <w:rFonts w:eastAsia="Calibri"/>
          <w:sz w:val="24"/>
          <w:szCs w:val="24"/>
          <w:lang w:val="en-GB"/>
        </w:rPr>
      </w:pPr>
    </w:p>
    <w:p w14:paraId="6C58CF39" w14:textId="77777777" w:rsidR="00462D86" w:rsidRPr="00462D86" w:rsidRDefault="00462D86" w:rsidP="00462D86">
      <w:pPr>
        <w:ind w:left="851"/>
        <w:rPr>
          <w:sz w:val="24"/>
          <w:szCs w:val="24"/>
          <w:u w:val="single"/>
          <w:lang w:val="en-GB"/>
        </w:rPr>
      </w:pPr>
      <w:r w:rsidRPr="00462D86">
        <w:rPr>
          <w:sz w:val="24"/>
          <w:szCs w:val="24"/>
          <w:u w:val="single"/>
          <w:lang w:val="en-GB"/>
        </w:rPr>
        <w:t>Serious Cutaneous Adverse Reactions (SCARs)</w:t>
      </w:r>
    </w:p>
    <w:p w14:paraId="2612A8C8" w14:textId="2FF4A003" w:rsidR="00462D86" w:rsidRDefault="00462D86" w:rsidP="00462D86">
      <w:pPr>
        <w:ind w:left="851"/>
        <w:rPr>
          <w:sz w:val="24"/>
          <w:szCs w:val="24"/>
          <w:lang w:val="en-GB"/>
        </w:rPr>
      </w:pPr>
      <w:r>
        <w:rPr>
          <w:sz w:val="24"/>
          <w:szCs w:val="24"/>
          <w:lang w:val="en-GB"/>
        </w:rPr>
        <w:t>Serious cutaneous adverse reactions (SCARs) such as erythema multiforme (EM), Stevens-Johnson syndrome (SJS), toxic epidermal necrolysis (TEN), and drug reaction with eosinophilia and systemic symptoms (DRESS), which can be life-threatening, have been reported very rarely in connection with esomeprazole treatment.</w:t>
      </w:r>
    </w:p>
    <w:p w14:paraId="34E1C9DD" w14:textId="77777777" w:rsidR="00462D86" w:rsidRDefault="00462D86" w:rsidP="00462D86">
      <w:pPr>
        <w:ind w:left="851"/>
        <w:rPr>
          <w:sz w:val="24"/>
          <w:szCs w:val="24"/>
          <w:lang w:val="en-GB"/>
        </w:rPr>
      </w:pPr>
    </w:p>
    <w:p w14:paraId="5509E885" w14:textId="77777777" w:rsidR="00462D86" w:rsidRDefault="00462D86" w:rsidP="00462D86">
      <w:pPr>
        <w:ind w:left="851"/>
        <w:rPr>
          <w:sz w:val="24"/>
          <w:szCs w:val="24"/>
          <w:lang w:val="en-GB"/>
        </w:rPr>
      </w:pPr>
      <w:r>
        <w:rPr>
          <w:sz w:val="24"/>
          <w:szCs w:val="24"/>
          <w:lang w:val="en-GB"/>
        </w:rPr>
        <w:t>Patients should be informed of the signs and symptoms of the serious skin reactions EM/SJS/TEN/DRESS and should seek immediate medical attention if they observe any signs or symptoms of these.</w:t>
      </w:r>
    </w:p>
    <w:p w14:paraId="782A09DC" w14:textId="77777777" w:rsidR="00462D86" w:rsidRDefault="00462D86" w:rsidP="00462D86">
      <w:pPr>
        <w:ind w:left="851"/>
        <w:rPr>
          <w:sz w:val="24"/>
          <w:szCs w:val="24"/>
          <w:lang w:val="en-GB"/>
        </w:rPr>
      </w:pPr>
    </w:p>
    <w:p w14:paraId="7FC92B10" w14:textId="77777777" w:rsidR="00462D86" w:rsidRDefault="00462D86" w:rsidP="00462D86">
      <w:pPr>
        <w:ind w:left="851"/>
        <w:rPr>
          <w:sz w:val="24"/>
          <w:szCs w:val="24"/>
          <w:lang w:val="en-GB"/>
        </w:rPr>
      </w:pPr>
      <w:r>
        <w:rPr>
          <w:sz w:val="24"/>
          <w:szCs w:val="24"/>
          <w:lang w:val="en-GB"/>
        </w:rPr>
        <w:t xml:space="preserve">Esomeprazole should be discontinued immediately at signs and symptoms of severe skin reactions and further medical treatment/close monitoring should be </w:t>
      </w:r>
      <w:r>
        <w:rPr>
          <w:lang w:val="en-US"/>
        </w:rPr>
        <w:t>provided</w:t>
      </w:r>
      <w:r>
        <w:rPr>
          <w:sz w:val="24"/>
          <w:szCs w:val="24"/>
          <w:lang w:val="en-GB"/>
        </w:rPr>
        <w:t>as necessary.</w:t>
      </w:r>
    </w:p>
    <w:p w14:paraId="6386059D" w14:textId="77777777" w:rsidR="00462D86" w:rsidRDefault="00462D86" w:rsidP="00462D86">
      <w:pPr>
        <w:ind w:left="851"/>
        <w:rPr>
          <w:sz w:val="24"/>
          <w:szCs w:val="24"/>
          <w:lang w:val="en-GB"/>
        </w:rPr>
      </w:pPr>
    </w:p>
    <w:p w14:paraId="27923B2B" w14:textId="77777777" w:rsidR="00462D86" w:rsidRDefault="00462D86" w:rsidP="00462D86">
      <w:pPr>
        <w:ind w:left="851"/>
        <w:rPr>
          <w:sz w:val="24"/>
          <w:szCs w:val="24"/>
          <w:lang w:val="en-GB"/>
        </w:rPr>
      </w:pPr>
      <w:r>
        <w:rPr>
          <w:sz w:val="24"/>
          <w:szCs w:val="24"/>
          <w:lang w:val="en-GB"/>
        </w:rPr>
        <w:t>Retreatment should not be performed in patients with EM/SJS/TEN/DRESS</w:t>
      </w:r>
    </w:p>
    <w:p w14:paraId="45E29165" w14:textId="77777777" w:rsidR="008D4EC8" w:rsidRPr="00775BF2" w:rsidRDefault="008D4EC8" w:rsidP="00FF79E8">
      <w:pPr>
        <w:ind w:left="851"/>
        <w:rPr>
          <w:rFonts w:eastAsia="Calibri"/>
          <w:sz w:val="24"/>
          <w:szCs w:val="24"/>
          <w:lang w:val="en-GB"/>
        </w:rPr>
      </w:pPr>
    </w:p>
    <w:p w14:paraId="1FF0A436" w14:textId="77777777" w:rsidR="008D4EC8" w:rsidRPr="00775BF2" w:rsidRDefault="008D4EC8" w:rsidP="00FF79E8">
      <w:pPr>
        <w:ind w:left="851"/>
        <w:rPr>
          <w:sz w:val="24"/>
          <w:szCs w:val="24"/>
          <w:u w:val="single"/>
          <w:lang w:val="en-GB"/>
        </w:rPr>
      </w:pPr>
      <w:r w:rsidRPr="00775BF2">
        <w:rPr>
          <w:sz w:val="24"/>
          <w:szCs w:val="24"/>
          <w:u w:val="single"/>
          <w:lang w:val="en-GB"/>
        </w:rPr>
        <w:t>Sucrose</w:t>
      </w:r>
    </w:p>
    <w:p w14:paraId="6DD88142" w14:textId="77777777" w:rsidR="008D4EC8" w:rsidRPr="00775BF2" w:rsidRDefault="008D4EC8" w:rsidP="00FF79E8">
      <w:pPr>
        <w:ind w:left="851"/>
        <w:rPr>
          <w:sz w:val="24"/>
          <w:szCs w:val="24"/>
          <w:lang w:val="en-GB"/>
        </w:rPr>
      </w:pPr>
      <w:r w:rsidRPr="00775BF2">
        <w:rPr>
          <w:sz w:val="24"/>
          <w:szCs w:val="24"/>
          <w:lang w:val="en-GB"/>
        </w:rPr>
        <w:t>This medicinal product contains sucrose. Patients with rare hereditary problems of fructose</w:t>
      </w:r>
    </w:p>
    <w:p w14:paraId="2B408D03" w14:textId="05925BFE" w:rsidR="008D4EC8" w:rsidRPr="00775BF2" w:rsidRDefault="008D4EC8" w:rsidP="00FF79E8">
      <w:pPr>
        <w:ind w:left="851"/>
        <w:rPr>
          <w:sz w:val="24"/>
          <w:szCs w:val="24"/>
          <w:lang w:val="en-GB"/>
        </w:rPr>
      </w:pPr>
      <w:r w:rsidRPr="00775BF2">
        <w:rPr>
          <w:sz w:val="24"/>
          <w:szCs w:val="24"/>
          <w:lang w:val="en-GB"/>
        </w:rPr>
        <w:t>intolerance, glucose-galactose malabsorption or sucrase-</w:t>
      </w:r>
      <w:proofErr w:type="spellStart"/>
      <w:r w:rsidRPr="00775BF2">
        <w:rPr>
          <w:sz w:val="24"/>
          <w:szCs w:val="24"/>
          <w:lang w:val="en-GB"/>
        </w:rPr>
        <w:t>isomaltase</w:t>
      </w:r>
      <w:proofErr w:type="spellEnd"/>
      <w:r w:rsidRPr="00775BF2">
        <w:rPr>
          <w:sz w:val="24"/>
          <w:szCs w:val="24"/>
          <w:lang w:val="en-GB"/>
        </w:rPr>
        <w:t xml:space="preserve"> insufficiency should not take this</w:t>
      </w:r>
      <w:r w:rsidR="00F003D9">
        <w:rPr>
          <w:sz w:val="24"/>
          <w:szCs w:val="24"/>
          <w:lang w:val="en-GB"/>
        </w:rPr>
        <w:t xml:space="preserve"> </w:t>
      </w:r>
      <w:r w:rsidRPr="00775BF2">
        <w:rPr>
          <w:sz w:val="24"/>
          <w:szCs w:val="24"/>
          <w:lang w:val="en-GB"/>
        </w:rPr>
        <w:t>medicine.</w:t>
      </w:r>
    </w:p>
    <w:p w14:paraId="666E7345" w14:textId="77777777" w:rsidR="008D4EC8" w:rsidRPr="00775BF2" w:rsidRDefault="008D4EC8" w:rsidP="00FF79E8">
      <w:pPr>
        <w:ind w:left="851"/>
        <w:rPr>
          <w:sz w:val="24"/>
          <w:szCs w:val="24"/>
          <w:lang w:val="en-GB"/>
        </w:rPr>
      </w:pPr>
    </w:p>
    <w:p w14:paraId="36490D56" w14:textId="77777777" w:rsidR="008D4EC8" w:rsidRPr="00775BF2" w:rsidRDefault="008D4EC8" w:rsidP="00FF79E8">
      <w:pPr>
        <w:ind w:left="851"/>
        <w:rPr>
          <w:sz w:val="24"/>
          <w:szCs w:val="24"/>
          <w:u w:val="single"/>
          <w:lang w:val="en-GB"/>
        </w:rPr>
      </w:pPr>
      <w:r w:rsidRPr="00775BF2">
        <w:rPr>
          <w:sz w:val="24"/>
          <w:szCs w:val="24"/>
          <w:u w:val="single"/>
          <w:lang w:val="en-GB"/>
        </w:rPr>
        <w:t>Sodium</w:t>
      </w:r>
    </w:p>
    <w:p w14:paraId="2B916BF8" w14:textId="77777777" w:rsidR="008D4EC8" w:rsidRPr="00775BF2" w:rsidRDefault="008D4EC8" w:rsidP="00FF79E8">
      <w:pPr>
        <w:ind w:left="851"/>
        <w:rPr>
          <w:sz w:val="24"/>
          <w:szCs w:val="24"/>
          <w:lang w:val="en-GB"/>
        </w:rPr>
      </w:pPr>
      <w:r w:rsidRPr="00775BF2">
        <w:rPr>
          <w:sz w:val="24"/>
          <w:szCs w:val="24"/>
          <w:lang w:val="en-GB"/>
        </w:rPr>
        <w:t>This medicine contains less than 1 mmol sodium (23 mg) per tablet, that is to say essentially ‘sodium-free’.</w:t>
      </w:r>
    </w:p>
    <w:p w14:paraId="04E7C6C3" w14:textId="77777777" w:rsidR="008D4EC8" w:rsidRPr="00775BF2" w:rsidRDefault="008D4EC8" w:rsidP="00FF79E8">
      <w:pPr>
        <w:ind w:left="851"/>
        <w:rPr>
          <w:sz w:val="24"/>
          <w:szCs w:val="24"/>
          <w:lang w:val="en-GB"/>
        </w:rPr>
      </w:pPr>
    </w:p>
    <w:p w14:paraId="4AC0ED1F" w14:textId="77777777" w:rsidR="008D4EC8" w:rsidRPr="00775BF2" w:rsidRDefault="008D4EC8" w:rsidP="00FF79E8">
      <w:pPr>
        <w:ind w:left="851"/>
        <w:rPr>
          <w:iCs/>
          <w:sz w:val="24"/>
          <w:szCs w:val="24"/>
          <w:u w:val="single"/>
          <w:lang w:val="is-IS"/>
        </w:rPr>
      </w:pPr>
      <w:r w:rsidRPr="00775BF2">
        <w:rPr>
          <w:iCs/>
          <w:sz w:val="24"/>
          <w:szCs w:val="24"/>
          <w:u w:val="single"/>
          <w:lang w:val="en-US"/>
        </w:rPr>
        <w:t>Interference with laboratory tests</w:t>
      </w:r>
    </w:p>
    <w:p w14:paraId="6F166A13" w14:textId="44FD8A04" w:rsidR="008D4EC8" w:rsidRPr="00775BF2" w:rsidRDefault="008D4EC8" w:rsidP="00FF79E8">
      <w:pPr>
        <w:ind w:left="851"/>
        <w:rPr>
          <w:sz w:val="24"/>
          <w:szCs w:val="24"/>
          <w:lang w:val="en-US"/>
        </w:rPr>
      </w:pPr>
      <w:r w:rsidRPr="00775BF2">
        <w:rPr>
          <w:sz w:val="24"/>
          <w:szCs w:val="24"/>
          <w:lang w:val="en-US"/>
        </w:rPr>
        <w:t>Increased Chromogranin A (</w:t>
      </w:r>
      <w:proofErr w:type="spellStart"/>
      <w:r w:rsidRPr="00775BF2">
        <w:rPr>
          <w:sz w:val="24"/>
          <w:szCs w:val="24"/>
          <w:lang w:val="en-US"/>
        </w:rPr>
        <w:t>CgA</w:t>
      </w:r>
      <w:proofErr w:type="spellEnd"/>
      <w:r w:rsidRPr="00775BF2">
        <w:rPr>
          <w:sz w:val="24"/>
          <w:szCs w:val="24"/>
          <w:lang w:val="en-US"/>
        </w:rPr>
        <w:t xml:space="preserve">) level may interfere with investigations for neuroendocrine tumours. To avoid this interference, esomeprazole treatment should be stopped for at least five days before </w:t>
      </w:r>
      <w:proofErr w:type="spellStart"/>
      <w:r w:rsidRPr="00775BF2">
        <w:rPr>
          <w:sz w:val="24"/>
          <w:szCs w:val="24"/>
          <w:lang w:val="en-US"/>
        </w:rPr>
        <w:t>CgA</w:t>
      </w:r>
      <w:proofErr w:type="spellEnd"/>
      <w:r w:rsidRPr="00775BF2">
        <w:rPr>
          <w:sz w:val="24"/>
          <w:szCs w:val="24"/>
          <w:lang w:val="en-US"/>
        </w:rPr>
        <w:t xml:space="preserve"> measurements (see section 5.1). If </w:t>
      </w:r>
      <w:proofErr w:type="spellStart"/>
      <w:r w:rsidRPr="00775BF2">
        <w:rPr>
          <w:sz w:val="24"/>
          <w:szCs w:val="24"/>
          <w:lang w:val="en-US"/>
        </w:rPr>
        <w:t>CgA</w:t>
      </w:r>
      <w:proofErr w:type="spellEnd"/>
      <w:r w:rsidRPr="00775BF2">
        <w:rPr>
          <w:sz w:val="24"/>
          <w:szCs w:val="24"/>
          <w:lang w:val="en-US"/>
        </w:rPr>
        <w:t xml:space="preserve"> and gastrin levels have not returned to reference range after</w:t>
      </w:r>
      <w:r w:rsidR="00F003D9">
        <w:rPr>
          <w:sz w:val="24"/>
          <w:szCs w:val="24"/>
          <w:lang w:val="en-US"/>
        </w:rPr>
        <w:t xml:space="preserve"> </w:t>
      </w:r>
      <w:r w:rsidRPr="00775BF2">
        <w:rPr>
          <w:sz w:val="24"/>
          <w:szCs w:val="24"/>
          <w:lang w:val="en-US"/>
        </w:rPr>
        <w:t>initial measurement, measurements should be repeated 14 days after cessation of proton pump</w:t>
      </w:r>
      <w:r w:rsidR="00F003D9">
        <w:rPr>
          <w:sz w:val="24"/>
          <w:szCs w:val="24"/>
          <w:lang w:val="en-US"/>
        </w:rPr>
        <w:t xml:space="preserve"> </w:t>
      </w:r>
      <w:r w:rsidRPr="00F003D9">
        <w:rPr>
          <w:sz w:val="24"/>
          <w:szCs w:val="24"/>
          <w:lang w:val="en-US"/>
        </w:rPr>
        <w:t>inhibitor treatment.</w:t>
      </w:r>
    </w:p>
    <w:p w14:paraId="744C5885" w14:textId="77777777" w:rsidR="007C5D2A" w:rsidRPr="00775BF2" w:rsidRDefault="007C5D2A" w:rsidP="003E0341">
      <w:pPr>
        <w:tabs>
          <w:tab w:val="left" w:pos="851"/>
        </w:tabs>
        <w:ind w:left="851"/>
        <w:rPr>
          <w:sz w:val="24"/>
          <w:szCs w:val="24"/>
          <w:lang w:val="en-GB"/>
        </w:rPr>
      </w:pPr>
    </w:p>
    <w:p w14:paraId="56BF1314" w14:textId="77777777" w:rsidR="007C5D2A" w:rsidRPr="00775BF2" w:rsidRDefault="007C5D2A" w:rsidP="007C5D2A">
      <w:pPr>
        <w:ind w:left="851" w:hanging="851"/>
        <w:rPr>
          <w:b/>
          <w:sz w:val="24"/>
          <w:szCs w:val="24"/>
          <w:lang w:val="en-GB"/>
        </w:rPr>
      </w:pPr>
      <w:r w:rsidRPr="00775BF2">
        <w:rPr>
          <w:b/>
          <w:sz w:val="24"/>
          <w:szCs w:val="24"/>
          <w:lang w:val="en-GB"/>
        </w:rPr>
        <w:t>4.5</w:t>
      </w:r>
      <w:r w:rsidRPr="00775BF2">
        <w:rPr>
          <w:b/>
          <w:sz w:val="24"/>
          <w:szCs w:val="24"/>
          <w:lang w:val="en-GB"/>
        </w:rPr>
        <w:tab/>
        <w:t>Interaction with other medicinal products and other forms of interaction</w:t>
      </w:r>
    </w:p>
    <w:p w14:paraId="1AD9DE89" w14:textId="77777777" w:rsidR="000F21D9" w:rsidRDefault="000F21D9" w:rsidP="00FF79E8">
      <w:pPr>
        <w:ind w:left="851"/>
        <w:rPr>
          <w:sz w:val="24"/>
          <w:szCs w:val="24"/>
          <w:lang w:val="en-GB"/>
        </w:rPr>
      </w:pPr>
    </w:p>
    <w:p w14:paraId="69AACE92" w14:textId="44E185E1" w:rsidR="008D4EC8" w:rsidRPr="000F21D9" w:rsidRDefault="008D4EC8" w:rsidP="00FF79E8">
      <w:pPr>
        <w:ind w:left="851"/>
        <w:rPr>
          <w:sz w:val="24"/>
          <w:szCs w:val="24"/>
          <w:u w:val="single"/>
          <w:lang w:val="en-GB"/>
        </w:rPr>
      </w:pPr>
      <w:r w:rsidRPr="000F21D9">
        <w:rPr>
          <w:sz w:val="24"/>
          <w:szCs w:val="24"/>
          <w:u w:val="single"/>
          <w:lang w:val="en-GB"/>
        </w:rPr>
        <w:t>Effects of esomeprazole on the pharmacokinetics of other drugs</w:t>
      </w:r>
    </w:p>
    <w:p w14:paraId="58C395BF" w14:textId="77777777" w:rsidR="008D4EC8" w:rsidRPr="00775BF2" w:rsidRDefault="008D4EC8" w:rsidP="00FF79E8">
      <w:pPr>
        <w:ind w:left="851"/>
        <w:rPr>
          <w:sz w:val="24"/>
          <w:szCs w:val="24"/>
          <w:lang w:val="en-GB"/>
        </w:rPr>
      </w:pPr>
    </w:p>
    <w:p w14:paraId="6254B101" w14:textId="77777777" w:rsidR="008D4EC8" w:rsidRPr="000F21D9" w:rsidRDefault="008D4EC8" w:rsidP="00FF79E8">
      <w:pPr>
        <w:ind w:left="851"/>
        <w:rPr>
          <w:i/>
          <w:iCs/>
          <w:sz w:val="24"/>
          <w:szCs w:val="24"/>
          <w:u w:val="single"/>
          <w:lang w:val="en-GB"/>
        </w:rPr>
      </w:pPr>
      <w:r w:rsidRPr="000F21D9">
        <w:rPr>
          <w:i/>
          <w:iCs/>
          <w:sz w:val="24"/>
          <w:szCs w:val="24"/>
          <w:u w:val="single"/>
          <w:lang w:val="en-GB"/>
        </w:rPr>
        <w:t>Protease inhibitors</w:t>
      </w:r>
    </w:p>
    <w:p w14:paraId="66174D6D" w14:textId="77777777" w:rsidR="008D4EC8" w:rsidRPr="00775BF2" w:rsidRDefault="008D4EC8" w:rsidP="00FF79E8">
      <w:pPr>
        <w:ind w:left="851"/>
        <w:rPr>
          <w:sz w:val="24"/>
          <w:szCs w:val="24"/>
          <w:lang w:val="en-GB"/>
        </w:rPr>
      </w:pPr>
      <w:r w:rsidRPr="00775BF2">
        <w:rPr>
          <w:sz w:val="24"/>
          <w:szCs w:val="24"/>
          <w:lang w:val="en-GB"/>
        </w:rPr>
        <w:t>Omeprazole has been reported to interact with some protease inhibitors. The clinical importance and the mechanisms behind these reported interactions are not always known. Increased gastric pH during omeprazole treatment may change the absorption of the protease inhibitors. Other possible interaction mechanisms are via inhibition of CYP 2C19.</w:t>
      </w:r>
    </w:p>
    <w:p w14:paraId="2702352D" w14:textId="77777777" w:rsidR="008D4EC8" w:rsidRPr="00775BF2" w:rsidRDefault="008D4EC8" w:rsidP="00FF79E8">
      <w:pPr>
        <w:ind w:left="851"/>
        <w:rPr>
          <w:sz w:val="24"/>
          <w:szCs w:val="24"/>
          <w:lang w:val="en-GB"/>
        </w:rPr>
      </w:pPr>
    </w:p>
    <w:p w14:paraId="042B66DE" w14:textId="5B06A9AB" w:rsidR="008D4EC8" w:rsidRPr="00775BF2" w:rsidRDefault="008D4EC8" w:rsidP="00FF79E8">
      <w:pPr>
        <w:ind w:left="851"/>
        <w:rPr>
          <w:sz w:val="24"/>
          <w:szCs w:val="24"/>
          <w:lang w:val="en-GB"/>
        </w:rPr>
      </w:pPr>
      <w:r w:rsidRPr="00775BF2">
        <w:rPr>
          <w:sz w:val="24"/>
          <w:szCs w:val="24"/>
          <w:lang w:val="en-GB"/>
        </w:rPr>
        <w:t>For atazanavir and nelfinavir, decreased serum levels have been reported when given together with omeprazole and concomitant administration is not recommended. Co</w:t>
      </w:r>
      <w:r w:rsidRPr="00775BF2">
        <w:rPr>
          <w:sz w:val="24"/>
          <w:szCs w:val="24"/>
          <w:lang w:val="en-GB"/>
        </w:rPr>
        <w:noBreakHyphen/>
        <w:t>administration of omeprazole (40 mg once daily) with atazanavir 300 mg/ritonavir 100 mg to healthy volunteers resulted in a substantial reduction in atazanavir exposure (approximately 75</w:t>
      </w:r>
      <w:r w:rsidR="00935FF9">
        <w:rPr>
          <w:sz w:val="24"/>
          <w:szCs w:val="24"/>
          <w:lang w:val="en-GB"/>
        </w:rPr>
        <w:t xml:space="preserve"> %</w:t>
      </w:r>
      <w:r w:rsidRPr="00775BF2">
        <w:rPr>
          <w:sz w:val="24"/>
          <w:szCs w:val="24"/>
          <w:lang w:val="en-GB"/>
        </w:rPr>
        <w:t xml:space="preserve"> decrease in AUC, </w:t>
      </w:r>
      <w:proofErr w:type="spellStart"/>
      <w:r w:rsidRPr="00775BF2">
        <w:rPr>
          <w:sz w:val="24"/>
          <w:szCs w:val="24"/>
          <w:lang w:val="en-GB"/>
        </w:rPr>
        <w:t>C</w:t>
      </w:r>
      <w:r w:rsidRPr="00775BF2">
        <w:rPr>
          <w:sz w:val="24"/>
          <w:szCs w:val="24"/>
          <w:vertAlign w:val="subscript"/>
          <w:lang w:val="en-GB"/>
        </w:rPr>
        <w:t>max</w:t>
      </w:r>
      <w:proofErr w:type="spellEnd"/>
      <w:r w:rsidRPr="00775BF2">
        <w:rPr>
          <w:sz w:val="24"/>
          <w:szCs w:val="24"/>
          <w:lang w:val="en-GB"/>
        </w:rPr>
        <w:t xml:space="preserve"> and </w:t>
      </w:r>
      <w:proofErr w:type="spellStart"/>
      <w:r w:rsidRPr="00775BF2">
        <w:rPr>
          <w:sz w:val="24"/>
          <w:szCs w:val="24"/>
          <w:lang w:val="en-GB"/>
        </w:rPr>
        <w:t>C</w:t>
      </w:r>
      <w:r w:rsidRPr="00775BF2">
        <w:rPr>
          <w:sz w:val="24"/>
          <w:szCs w:val="24"/>
          <w:vertAlign w:val="subscript"/>
          <w:lang w:val="en-GB"/>
        </w:rPr>
        <w:t>min</w:t>
      </w:r>
      <w:proofErr w:type="spellEnd"/>
      <w:r w:rsidRPr="00775BF2">
        <w:rPr>
          <w:sz w:val="24"/>
          <w:szCs w:val="24"/>
          <w:lang w:val="en-GB"/>
        </w:rPr>
        <w:t>). Increasing the atazanavir dose to 400 mg did not compensate for the impact of omeprazole on atazanavir exposure. The co</w:t>
      </w:r>
      <w:r w:rsidRPr="00775BF2">
        <w:rPr>
          <w:sz w:val="24"/>
          <w:szCs w:val="24"/>
          <w:lang w:val="en-GB"/>
        </w:rPr>
        <w:noBreakHyphen/>
        <w:t>administration of omeprazole (20 mg </w:t>
      </w:r>
      <w:proofErr w:type="spellStart"/>
      <w:r w:rsidRPr="00775BF2">
        <w:rPr>
          <w:sz w:val="24"/>
          <w:szCs w:val="24"/>
          <w:lang w:val="en-GB"/>
        </w:rPr>
        <w:t>qd</w:t>
      </w:r>
      <w:proofErr w:type="spellEnd"/>
      <w:r w:rsidRPr="00775BF2">
        <w:rPr>
          <w:sz w:val="24"/>
          <w:szCs w:val="24"/>
          <w:lang w:val="en-GB"/>
        </w:rPr>
        <w:t>) with atazanavir 400 mg/ritonavir 100 mg to healthy volunteers resulted in a decrease of approximately 30</w:t>
      </w:r>
      <w:r w:rsidR="00935FF9">
        <w:rPr>
          <w:sz w:val="24"/>
          <w:szCs w:val="24"/>
          <w:lang w:val="en-GB"/>
        </w:rPr>
        <w:t xml:space="preserve"> %</w:t>
      </w:r>
      <w:r w:rsidRPr="00775BF2">
        <w:rPr>
          <w:sz w:val="24"/>
          <w:szCs w:val="24"/>
          <w:lang w:val="en-GB"/>
        </w:rPr>
        <w:t xml:space="preserve"> in the atazanavir exposure as compared with the exposure observed with atazanavir 300 mg/ritonavir 100 mg </w:t>
      </w:r>
      <w:proofErr w:type="spellStart"/>
      <w:r w:rsidRPr="00775BF2">
        <w:rPr>
          <w:sz w:val="24"/>
          <w:szCs w:val="24"/>
          <w:lang w:val="en-GB"/>
        </w:rPr>
        <w:t>qd</w:t>
      </w:r>
      <w:proofErr w:type="spellEnd"/>
      <w:r w:rsidRPr="00775BF2">
        <w:rPr>
          <w:sz w:val="24"/>
          <w:szCs w:val="24"/>
          <w:lang w:val="en-GB"/>
        </w:rPr>
        <w:t xml:space="preserve"> without omeprazole 20 mg </w:t>
      </w:r>
      <w:proofErr w:type="spellStart"/>
      <w:r w:rsidRPr="00775BF2">
        <w:rPr>
          <w:sz w:val="24"/>
          <w:szCs w:val="24"/>
          <w:lang w:val="en-GB"/>
        </w:rPr>
        <w:t>qd</w:t>
      </w:r>
      <w:proofErr w:type="spellEnd"/>
      <w:r w:rsidRPr="00775BF2">
        <w:rPr>
          <w:sz w:val="24"/>
          <w:szCs w:val="24"/>
          <w:lang w:val="en-GB"/>
        </w:rPr>
        <w:t>. Co</w:t>
      </w:r>
      <w:r w:rsidRPr="00775BF2">
        <w:rPr>
          <w:sz w:val="24"/>
          <w:szCs w:val="24"/>
          <w:lang w:val="en-GB"/>
        </w:rPr>
        <w:noBreakHyphen/>
        <w:t>administration of omeprazole (40 mg </w:t>
      </w:r>
      <w:proofErr w:type="spellStart"/>
      <w:r w:rsidRPr="00775BF2">
        <w:rPr>
          <w:sz w:val="24"/>
          <w:szCs w:val="24"/>
          <w:lang w:val="en-GB"/>
        </w:rPr>
        <w:t>qd</w:t>
      </w:r>
      <w:proofErr w:type="spellEnd"/>
      <w:r w:rsidRPr="00775BF2">
        <w:rPr>
          <w:sz w:val="24"/>
          <w:szCs w:val="24"/>
          <w:lang w:val="en-GB"/>
        </w:rPr>
        <w:t xml:space="preserve">) reduced mean nelfinavir AUC, </w:t>
      </w:r>
      <w:proofErr w:type="spellStart"/>
      <w:r w:rsidRPr="00775BF2">
        <w:rPr>
          <w:sz w:val="24"/>
          <w:szCs w:val="24"/>
          <w:lang w:val="en-GB"/>
        </w:rPr>
        <w:t>C</w:t>
      </w:r>
      <w:r w:rsidRPr="00775BF2">
        <w:rPr>
          <w:sz w:val="24"/>
          <w:szCs w:val="24"/>
          <w:vertAlign w:val="subscript"/>
          <w:lang w:val="en-GB"/>
        </w:rPr>
        <w:t>max</w:t>
      </w:r>
      <w:proofErr w:type="spellEnd"/>
      <w:r w:rsidRPr="00775BF2">
        <w:rPr>
          <w:sz w:val="24"/>
          <w:szCs w:val="24"/>
          <w:lang w:val="en-GB"/>
        </w:rPr>
        <w:t xml:space="preserve"> and </w:t>
      </w:r>
      <w:proofErr w:type="spellStart"/>
      <w:r w:rsidRPr="00775BF2">
        <w:rPr>
          <w:sz w:val="24"/>
          <w:szCs w:val="24"/>
          <w:lang w:val="en-GB"/>
        </w:rPr>
        <w:t>C</w:t>
      </w:r>
      <w:r w:rsidRPr="00775BF2">
        <w:rPr>
          <w:sz w:val="24"/>
          <w:szCs w:val="24"/>
          <w:vertAlign w:val="subscript"/>
          <w:lang w:val="en-GB"/>
        </w:rPr>
        <w:t>min</w:t>
      </w:r>
      <w:proofErr w:type="spellEnd"/>
      <w:r w:rsidRPr="00775BF2">
        <w:rPr>
          <w:sz w:val="24"/>
          <w:szCs w:val="24"/>
          <w:lang w:val="en-GB"/>
        </w:rPr>
        <w:t xml:space="preserve"> by 36</w:t>
      </w:r>
      <w:r w:rsidRPr="00775BF2">
        <w:rPr>
          <w:sz w:val="24"/>
          <w:szCs w:val="24"/>
          <w:lang w:val="en-GB"/>
        </w:rPr>
        <w:noBreakHyphen/>
        <w:t>39</w:t>
      </w:r>
      <w:r w:rsidR="00935FF9">
        <w:rPr>
          <w:sz w:val="24"/>
          <w:szCs w:val="24"/>
          <w:lang w:val="en-GB"/>
        </w:rPr>
        <w:t xml:space="preserve"> %</w:t>
      </w:r>
      <w:r w:rsidRPr="00775BF2">
        <w:rPr>
          <w:sz w:val="24"/>
          <w:szCs w:val="24"/>
          <w:lang w:val="en-GB"/>
        </w:rPr>
        <w:t xml:space="preserve"> and mean AUC, </w:t>
      </w:r>
      <w:proofErr w:type="spellStart"/>
      <w:r w:rsidRPr="00775BF2">
        <w:rPr>
          <w:sz w:val="24"/>
          <w:szCs w:val="24"/>
          <w:lang w:val="en-GB"/>
        </w:rPr>
        <w:t>C</w:t>
      </w:r>
      <w:r w:rsidRPr="00775BF2">
        <w:rPr>
          <w:sz w:val="24"/>
          <w:szCs w:val="24"/>
          <w:vertAlign w:val="subscript"/>
          <w:lang w:val="en-GB"/>
        </w:rPr>
        <w:t>max</w:t>
      </w:r>
      <w:proofErr w:type="spellEnd"/>
      <w:r w:rsidRPr="00775BF2">
        <w:rPr>
          <w:sz w:val="24"/>
          <w:szCs w:val="24"/>
          <w:lang w:val="en-GB"/>
        </w:rPr>
        <w:t xml:space="preserve"> and </w:t>
      </w:r>
      <w:proofErr w:type="spellStart"/>
      <w:r w:rsidRPr="00775BF2">
        <w:rPr>
          <w:sz w:val="24"/>
          <w:szCs w:val="24"/>
          <w:lang w:val="en-GB"/>
        </w:rPr>
        <w:t>C</w:t>
      </w:r>
      <w:r w:rsidRPr="00775BF2">
        <w:rPr>
          <w:sz w:val="24"/>
          <w:szCs w:val="24"/>
          <w:vertAlign w:val="subscript"/>
          <w:lang w:val="en-GB"/>
        </w:rPr>
        <w:t>min</w:t>
      </w:r>
      <w:proofErr w:type="spellEnd"/>
      <w:r w:rsidRPr="00775BF2">
        <w:rPr>
          <w:sz w:val="24"/>
          <w:szCs w:val="24"/>
          <w:lang w:val="en-GB"/>
        </w:rPr>
        <w:t xml:space="preserve"> for the pharmacologically active metabolite M8 was reduced by 75</w:t>
      </w:r>
      <w:r w:rsidRPr="00775BF2">
        <w:rPr>
          <w:sz w:val="24"/>
          <w:szCs w:val="24"/>
          <w:lang w:val="en-GB"/>
        </w:rPr>
        <w:noBreakHyphen/>
        <w:t>92</w:t>
      </w:r>
      <w:r w:rsidR="00935FF9">
        <w:rPr>
          <w:sz w:val="24"/>
          <w:szCs w:val="24"/>
          <w:lang w:val="en-GB"/>
        </w:rPr>
        <w:t xml:space="preserve"> %</w:t>
      </w:r>
      <w:r w:rsidRPr="00775BF2">
        <w:rPr>
          <w:sz w:val="24"/>
          <w:szCs w:val="24"/>
          <w:lang w:val="en-GB"/>
        </w:rPr>
        <w:t>. Due to the similar pharmacodynamic effects and</w:t>
      </w:r>
      <w:r w:rsidR="00F003D9">
        <w:rPr>
          <w:sz w:val="24"/>
          <w:szCs w:val="24"/>
          <w:lang w:val="en-GB"/>
        </w:rPr>
        <w:t xml:space="preserve"> </w:t>
      </w:r>
      <w:r w:rsidRPr="00775BF2">
        <w:rPr>
          <w:sz w:val="24"/>
          <w:szCs w:val="24"/>
          <w:lang w:val="en-GB"/>
        </w:rPr>
        <w:t>pharmacokinetic properties of omeprazole and esomeprazole, concomitant administration with</w:t>
      </w:r>
      <w:r w:rsidR="00F003D9">
        <w:rPr>
          <w:sz w:val="24"/>
          <w:szCs w:val="24"/>
          <w:lang w:val="en-GB"/>
        </w:rPr>
        <w:t xml:space="preserve"> </w:t>
      </w:r>
      <w:r w:rsidRPr="00775BF2">
        <w:rPr>
          <w:sz w:val="24"/>
          <w:szCs w:val="24"/>
          <w:lang w:val="en-GB"/>
        </w:rPr>
        <w:t>esomeprazole and atazanavir is not recommended (see section 4.4) and concomitant administration</w:t>
      </w:r>
      <w:r w:rsidR="00F003D9">
        <w:rPr>
          <w:sz w:val="24"/>
          <w:szCs w:val="24"/>
          <w:lang w:val="en-GB"/>
        </w:rPr>
        <w:t xml:space="preserve"> </w:t>
      </w:r>
      <w:r w:rsidRPr="00775BF2">
        <w:rPr>
          <w:sz w:val="24"/>
          <w:szCs w:val="24"/>
          <w:lang w:val="en-GB"/>
        </w:rPr>
        <w:t>with esomeprazole and nelfinavir is contraindicated (see section 4.3).</w:t>
      </w:r>
    </w:p>
    <w:p w14:paraId="101612CA" w14:textId="77777777" w:rsidR="008D4EC8" w:rsidRPr="00775BF2" w:rsidRDefault="008D4EC8" w:rsidP="00FF79E8">
      <w:pPr>
        <w:ind w:left="851"/>
        <w:rPr>
          <w:sz w:val="24"/>
          <w:szCs w:val="24"/>
          <w:lang w:val="en-GB"/>
        </w:rPr>
      </w:pPr>
    </w:p>
    <w:p w14:paraId="39DB9571" w14:textId="235033BA" w:rsidR="008D4EC8" w:rsidRPr="00775BF2" w:rsidRDefault="008D4EC8" w:rsidP="00FF79E8">
      <w:pPr>
        <w:ind w:left="851"/>
        <w:rPr>
          <w:sz w:val="24"/>
          <w:szCs w:val="24"/>
          <w:lang w:val="en-GB"/>
        </w:rPr>
      </w:pPr>
      <w:r w:rsidRPr="00775BF2">
        <w:rPr>
          <w:sz w:val="24"/>
          <w:szCs w:val="24"/>
          <w:lang w:val="en-GB"/>
        </w:rPr>
        <w:t>For saquinavir (with concomitant ritonavir), increased serum levels (80</w:t>
      </w:r>
      <w:r w:rsidRPr="00775BF2">
        <w:rPr>
          <w:sz w:val="24"/>
          <w:szCs w:val="24"/>
          <w:lang w:val="en-GB"/>
        </w:rPr>
        <w:noBreakHyphen/>
        <w:t>100</w:t>
      </w:r>
      <w:r w:rsidR="00935FF9">
        <w:rPr>
          <w:sz w:val="24"/>
          <w:szCs w:val="24"/>
          <w:lang w:val="en-GB"/>
        </w:rPr>
        <w:t xml:space="preserve"> %</w:t>
      </w:r>
      <w:r w:rsidRPr="00775BF2">
        <w:rPr>
          <w:sz w:val="24"/>
          <w:szCs w:val="24"/>
          <w:lang w:val="en-GB"/>
        </w:rPr>
        <w:t xml:space="preserve">) have been reported during concomitant omeprazole treatment (40 mg </w:t>
      </w:r>
      <w:proofErr w:type="spellStart"/>
      <w:r w:rsidRPr="00775BF2">
        <w:rPr>
          <w:sz w:val="24"/>
          <w:szCs w:val="24"/>
          <w:lang w:val="en-GB"/>
        </w:rPr>
        <w:t>qd</w:t>
      </w:r>
      <w:proofErr w:type="spellEnd"/>
      <w:r w:rsidRPr="00775BF2">
        <w:rPr>
          <w:sz w:val="24"/>
          <w:szCs w:val="24"/>
          <w:lang w:val="en-GB"/>
        </w:rPr>
        <w:t>). Treatment with omeprazole 20 mg </w:t>
      </w:r>
      <w:proofErr w:type="spellStart"/>
      <w:r w:rsidRPr="00775BF2">
        <w:rPr>
          <w:sz w:val="24"/>
          <w:szCs w:val="24"/>
          <w:lang w:val="en-GB"/>
        </w:rPr>
        <w:t>qd</w:t>
      </w:r>
      <w:proofErr w:type="spellEnd"/>
      <w:r w:rsidRPr="00775BF2">
        <w:rPr>
          <w:sz w:val="24"/>
          <w:szCs w:val="24"/>
          <w:lang w:val="en-GB"/>
        </w:rPr>
        <w:t xml:space="preserve"> had no effect on the exposure of darunavir (with concomitant ritonavir) and amprenavir (with concomitant ritonavir). Treatment with esomeprazole 20 mg </w:t>
      </w:r>
      <w:proofErr w:type="spellStart"/>
      <w:r w:rsidRPr="00775BF2">
        <w:rPr>
          <w:sz w:val="24"/>
          <w:szCs w:val="24"/>
          <w:lang w:val="en-GB"/>
        </w:rPr>
        <w:t>qd</w:t>
      </w:r>
      <w:proofErr w:type="spellEnd"/>
      <w:r w:rsidRPr="00775BF2">
        <w:rPr>
          <w:sz w:val="24"/>
          <w:szCs w:val="24"/>
          <w:lang w:val="en-GB"/>
        </w:rPr>
        <w:t xml:space="preserve"> had no effect on the exposure of amprenavir (with and without concomitant ritonavir). Treatment with omeprazole 40 mg </w:t>
      </w:r>
      <w:proofErr w:type="spellStart"/>
      <w:r w:rsidRPr="00775BF2">
        <w:rPr>
          <w:sz w:val="24"/>
          <w:szCs w:val="24"/>
          <w:lang w:val="en-GB"/>
        </w:rPr>
        <w:t>qd</w:t>
      </w:r>
      <w:proofErr w:type="spellEnd"/>
      <w:r w:rsidRPr="00775BF2">
        <w:rPr>
          <w:sz w:val="24"/>
          <w:szCs w:val="24"/>
          <w:lang w:val="en-GB"/>
        </w:rPr>
        <w:t xml:space="preserve"> had no effect on the exposure of lopinavir (with concomitant ritonavir). </w:t>
      </w:r>
    </w:p>
    <w:p w14:paraId="3800E386" w14:textId="2ACCD42A" w:rsidR="00462D86" w:rsidRDefault="00462D86">
      <w:pPr>
        <w:rPr>
          <w:sz w:val="24"/>
          <w:szCs w:val="24"/>
          <w:lang w:val="en-GB"/>
        </w:rPr>
      </w:pPr>
      <w:r>
        <w:rPr>
          <w:sz w:val="24"/>
          <w:szCs w:val="24"/>
          <w:lang w:val="en-GB"/>
        </w:rPr>
        <w:br w:type="page"/>
      </w:r>
    </w:p>
    <w:p w14:paraId="0EF429A0" w14:textId="77777777" w:rsidR="008D4EC8" w:rsidRPr="00775BF2" w:rsidRDefault="008D4EC8" w:rsidP="00FF79E8">
      <w:pPr>
        <w:ind w:left="851"/>
        <w:rPr>
          <w:sz w:val="24"/>
          <w:szCs w:val="24"/>
          <w:lang w:val="en-GB"/>
        </w:rPr>
      </w:pPr>
    </w:p>
    <w:p w14:paraId="15254C7F" w14:textId="77777777" w:rsidR="008D4EC8" w:rsidRPr="000F21D9" w:rsidRDefault="008D4EC8" w:rsidP="00FF79E8">
      <w:pPr>
        <w:ind w:left="851"/>
        <w:rPr>
          <w:i/>
          <w:iCs/>
          <w:sz w:val="24"/>
          <w:szCs w:val="24"/>
          <w:u w:val="single"/>
          <w:lang w:val="en-GB"/>
        </w:rPr>
      </w:pPr>
      <w:r w:rsidRPr="000F21D9">
        <w:rPr>
          <w:i/>
          <w:iCs/>
          <w:sz w:val="24"/>
          <w:szCs w:val="24"/>
          <w:u w:val="single"/>
          <w:lang w:val="en-GB"/>
        </w:rPr>
        <w:t>Methotrexate</w:t>
      </w:r>
    </w:p>
    <w:p w14:paraId="52F45C2F" w14:textId="77777777" w:rsidR="008D4EC8" w:rsidRPr="00775BF2" w:rsidRDefault="008D4EC8" w:rsidP="00FF79E8">
      <w:pPr>
        <w:ind w:left="851"/>
        <w:rPr>
          <w:sz w:val="24"/>
          <w:szCs w:val="24"/>
          <w:lang w:val="en-GB"/>
        </w:rPr>
      </w:pPr>
      <w:r w:rsidRPr="00775BF2">
        <w:rPr>
          <w:sz w:val="24"/>
          <w:szCs w:val="24"/>
          <w:lang w:val="en-GB"/>
        </w:rPr>
        <w:t>When given together with PPIs, methotrexate levels have been reported to increase in some patients. In high</w:t>
      </w:r>
      <w:r w:rsidRPr="00775BF2">
        <w:rPr>
          <w:sz w:val="24"/>
          <w:szCs w:val="24"/>
          <w:lang w:val="en-GB"/>
        </w:rPr>
        <w:noBreakHyphen/>
        <w:t>dose methotrexate administration a temporary withdrawal of esomeprazole may need to be considered.</w:t>
      </w:r>
    </w:p>
    <w:p w14:paraId="03814BD2" w14:textId="77777777" w:rsidR="008D4EC8" w:rsidRPr="00775BF2" w:rsidRDefault="008D4EC8" w:rsidP="00FF79E8">
      <w:pPr>
        <w:ind w:left="851"/>
        <w:rPr>
          <w:sz w:val="24"/>
          <w:szCs w:val="24"/>
          <w:lang w:val="en-GB"/>
        </w:rPr>
      </w:pPr>
    </w:p>
    <w:p w14:paraId="12467B7A" w14:textId="77777777" w:rsidR="008D4EC8" w:rsidRPr="000F21D9" w:rsidRDefault="008D4EC8" w:rsidP="00FF79E8">
      <w:pPr>
        <w:ind w:left="851"/>
        <w:rPr>
          <w:i/>
          <w:iCs/>
          <w:sz w:val="24"/>
          <w:szCs w:val="24"/>
          <w:u w:val="single"/>
          <w:lang w:val="en-GB"/>
        </w:rPr>
      </w:pPr>
      <w:r w:rsidRPr="000F21D9">
        <w:rPr>
          <w:i/>
          <w:iCs/>
          <w:sz w:val="24"/>
          <w:szCs w:val="24"/>
          <w:u w:val="single"/>
          <w:lang w:val="en-GB"/>
        </w:rPr>
        <w:t>Tacrolimus</w:t>
      </w:r>
    </w:p>
    <w:p w14:paraId="37835262" w14:textId="5A84C552" w:rsidR="008D4EC8" w:rsidRPr="00775BF2" w:rsidRDefault="008D4EC8" w:rsidP="00FF79E8">
      <w:pPr>
        <w:ind w:left="851"/>
        <w:rPr>
          <w:sz w:val="24"/>
          <w:szCs w:val="24"/>
          <w:lang w:val="en-GB"/>
        </w:rPr>
      </w:pPr>
      <w:r w:rsidRPr="00775BF2">
        <w:rPr>
          <w:sz w:val="24"/>
          <w:szCs w:val="24"/>
          <w:lang w:val="en-GB"/>
        </w:rPr>
        <w:t>Concomitant administration of esomeprazole has been reported to increase the serum levels of tacrolimus. A reinforced monitoring of tacrolimus concentrations as well as renal function (creatinine</w:t>
      </w:r>
      <w:r w:rsidR="00F003D9">
        <w:rPr>
          <w:sz w:val="24"/>
          <w:szCs w:val="24"/>
          <w:lang w:val="en-GB"/>
        </w:rPr>
        <w:t xml:space="preserve"> </w:t>
      </w:r>
      <w:r w:rsidRPr="00775BF2">
        <w:rPr>
          <w:sz w:val="24"/>
          <w:szCs w:val="24"/>
          <w:lang w:val="en-GB"/>
        </w:rPr>
        <w:t>clearance) should be performed, and dosage of tacrolimus adjusted if needed.</w:t>
      </w:r>
    </w:p>
    <w:p w14:paraId="43FC4EA5" w14:textId="77777777" w:rsidR="008D4EC8" w:rsidRPr="00775BF2" w:rsidRDefault="008D4EC8" w:rsidP="00FF79E8">
      <w:pPr>
        <w:ind w:left="851"/>
        <w:rPr>
          <w:i/>
          <w:iCs/>
          <w:sz w:val="24"/>
          <w:szCs w:val="24"/>
          <w:lang w:val="en-GB"/>
        </w:rPr>
      </w:pPr>
    </w:p>
    <w:p w14:paraId="4161F000" w14:textId="77777777" w:rsidR="008D4EC8" w:rsidRPr="000F21D9" w:rsidRDefault="008D4EC8" w:rsidP="00FF79E8">
      <w:pPr>
        <w:ind w:left="851"/>
        <w:rPr>
          <w:i/>
          <w:iCs/>
          <w:sz w:val="24"/>
          <w:szCs w:val="24"/>
          <w:u w:val="single"/>
          <w:lang w:val="en-GB"/>
        </w:rPr>
      </w:pPr>
      <w:r w:rsidRPr="000F21D9">
        <w:rPr>
          <w:i/>
          <w:iCs/>
          <w:sz w:val="24"/>
          <w:szCs w:val="24"/>
          <w:u w:val="single"/>
          <w:lang w:val="en-GB"/>
        </w:rPr>
        <w:t>Medicinal products with pH dependent absorption</w:t>
      </w:r>
    </w:p>
    <w:p w14:paraId="65410498" w14:textId="222D9717" w:rsidR="008D4EC8" w:rsidRPr="00775BF2" w:rsidRDefault="008D4EC8" w:rsidP="00FF79E8">
      <w:pPr>
        <w:ind w:left="851"/>
        <w:rPr>
          <w:sz w:val="24"/>
          <w:szCs w:val="24"/>
          <w:lang w:val="en-GB"/>
        </w:rPr>
      </w:pPr>
      <w:r w:rsidRPr="00775BF2">
        <w:rPr>
          <w:sz w:val="24"/>
          <w:szCs w:val="24"/>
          <w:lang w:val="en-GB"/>
        </w:rPr>
        <w:t xml:space="preserve">Gastric acid suppression during treatment with esomeprazole and other PPIs might decrease or increase the absorption of medicinal products with a gastric pH dependent absorption. As with other medicinal products that decrease intragastric acidity, the absorption of medicinal products such as ketoconazole, itraconazole and erlotinib can decrease </w:t>
      </w:r>
      <w:r w:rsidRPr="00775BF2">
        <w:rPr>
          <w:sz w:val="24"/>
          <w:szCs w:val="24"/>
          <w:lang w:val="en-US"/>
        </w:rPr>
        <w:t>and the absorption of digoxin can increase during treatment with esomeprazole. Concomitant treatment with omeprazole (20 mg daily) and digoxin in healthy subjects increased the bioavailability of digoxin by 10</w:t>
      </w:r>
      <w:r w:rsidR="00935FF9">
        <w:rPr>
          <w:sz w:val="24"/>
          <w:szCs w:val="24"/>
          <w:lang w:val="en-US"/>
        </w:rPr>
        <w:t xml:space="preserve"> %</w:t>
      </w:r>
      <w:r w:rsidRPr="00775BF2">
        <w:rPr>
          <w:sz w:val="24"/>
          <w:szCs w:val="24"/>
          <w:lang w:val="en-US"/>
        </w:rPr>
        <w:t xml:space="preserve"> (up to 30</w:t>
      </w:r>
      <w:r w:rsidR="00935FF9">
        <w:rPr>
          <w:sz w:val="24"/>
          <w:szCs w:val="24"/>
          <w:lang w:val="en-US"/>
        </w:rPr>
        <w:t xml:space="preserve"> %</w:t>
      </w:r>
      <w:r w:rsidRPr="00775BF2">
        <w:rPr>
          <w:sz w:val="24"/>
          <w:szCs w:val="24"/>
          <w:lang w:val="en-US"/>
        </w:rPr>
        <w:t xml:space="preserve"> in two out of ten subjects). Digoxin toxicity has been rarely reported. However, caution should be exercised when esomeprazole is given at high doses in elderly patients. Therapeutic drug monitoring of digoxin should then be reinforced.</w:t>
      </w:r>
    </w:p>
    <w:p w14:paraId="0A5A17D5" w14:textId="77777777" w:rsidR="008D4EC8" w:rsidRPr="00775BF2" w:rsidRDefault="008D4EC8" w:rsidP="00FF79E8">
      <w:pPr>
        <w:ind w:left="851"/>
        <w:rPr>
          <w:sz w:val="24"/>
          <w:szCs w:val="24"/>
          <w:lang w:val="en-GB"/>
        </w:rPr>
      </w:pPr>
    </w:p>
    <w:p w14:paraId="3D510D56" w14:textId="77777777" w:rsidR="008D4EC8" w:rsidRPr="000F21D9" w:rsidRDefault="008D4EC8" w:rsidP="00FF79E8">
      <w:pPr>
        <w:ind w:left="851"/>
        <w:rPr>
          <w:i/>
          <w:iCs/>
          <w:sz w:val="24"/>
          <w:szCs w:val="24"/>
          <w:u w:val="single"/>
          <w:lang w:val="en-GB"/>
        </w:rPr>
      </w:pPr>
      <w:r w:rsidRPr="000F21D9">
        <w:rPr>
          <w:i/>
          <w:iCs/>
          <w:sz w:val="24"/>
          <w:szCs w:val="24"/>
          <w:u w:val="single"/>
          <w:lang w:val="en-GB"/>
        </w:rPr>
        <w:t>Medicinal products metabolised by CYP2C19</w:t>
      </w:r>
    </w:p>
    <w:p w14:paraId="6979769A" w14:textId="77777777" w:rsidR="008D4EC8" w:rsidRPr="00775BF2" w:rsidRDefault="008D4EC8" w:rsidP="00FF79E8">
      <w:pPr>
        <w:ind w:left="851"/>
        <w:rPr>
          <w:sz w:val="24"/>
          <w:szCs w:val="24"/>
          <w:lang w:val="en-GB"/>
        </w:rPr>
      </w:pPr>
      <w:r w:rsidRPr="00775BF2">
        <w:rPr>
          <w:sz w:val="24"/>
          <w:szCs w:val="24"/>
          <w:lang w:val="en-GB"/>
        </w:rPr>
        <w:t xml:space="preserve">Esomeprazole inhibits CYP2C19, the major esomeprazole metabolising enzyme. Thus, when esomeprazole is combined with drugs metabolised by CYP2C19, such as diazepam, citalopram, imipramine, clomipramine, phenytoin etc., the plasma concentrations of these drugs may be increased and a dose reduction could be needed. This should be considered especially when prescribing esomeprazole for on demand therapy. </w:t>
      </w:r>
    </w:p>
    <w:p w14:paraId="73C7F465" w14:textId="77777777" w:rsidR="008D4EC8" w:rsidRPr="00775BF2" w:rsidRDefault="008D4EC8" w:rsidP="00FF79E8">
      <w:pPr>
        <w:ind w:left="851"/>
        <w:rPr>
          <w:sz w:val="24"/>
          <w:szCs w:val="24"/>
          <w:lang w:val="en-GB"/>
        </w:rPr>
      </w:pPr>
    </w:p>
    <w:p w14:paraId="58F7A998" w14:textId="77777777" w:rsidR="008D4EC8" w:rsidRPr="000F21D9" w:rsidRDefault="008D4EC8" w:rsidP="00FF79E8">
      <w:pPr>
        <w:ind w:left="851"/>
        <w:rPr>
          <w:i/>
          <w:iCs/>
          <w:sz w:val="24"/>
          <w:szCs w:val="24"/>
          <w:u w:val="single"/>
          <w:lang w:val="en-GB"/>
        </w:rPr>
      </w:pPr>
      <w:r w:rsidRPr="000F21D9">
        <w:rPr>
          <w:i/>
          <w:iCs/>
          <w:sz w:val="24"/>
          <w:szCs w:val="24"/>
          <w:u w:val="single"/>
          <w:lang w:val="en-GB"/>
        </w:rPr>
        <w:t>Diazepam</w:t>
      </w:r>
    </w:p>
    <w:p w14:paraId="3032236E" w14:textId="7F94BD1B" w:rsidR="008D4EC8" w:rsidRPr="00775BF2" w:rsidRDefault="008D4EC8" w:rsidP="00FF79E8">
      <w:pPr>
        <w:ind w:left="851"/>
        <w:rPr>
          <w:sz w:val="24"/>
          <w:szCs w:val="24"/>
          <w:lang w:val="en-GB"/>
        </w:rPr>
      </w:pPr>
      <w:r w:rsidRPr="00775BF2">
        <w:rPr>
          <w:sz w:val="24"/>
          <w:szCs w:val="24"/>
          <w:lang w:val="en-GB"/>
        </w:rPr>
        <w:t>Concomitant administration of 30 mg esomeprazole resulted in a 45</w:t>
      </w:r>
      <w:r w:rsidR="00935FF9">
        <w:rPr>
          <w:sz w:val="24"/>
          <w:szCs w:val="24"/>
          <w:lang w:val="en-GB"/>
        </w:rPr>
        <w:t xml:space="preserve"> %</w:t>
      </w:r>
      <w:r w:rsidRPr="00775BF2">
        <w:rPr>
          <w:sz w:val="24"/>
          <w:szCs w:val="24"/>
          <w:lang w:val="en-GB"/>
        </w:rPr>
        <w:t xml:space="preserve"> decrease in clearance of the CYP2C19 substrate diazepam. </w:t>
      </w:r>
    </w:p>
    <w:p w14:paraId="0E860C6E" w14:textId="77777777" w:rsidR="008D4EC8" w:rsidRPr="00775BF2" w:rsidRDefault="008D4EC8" w:rsidP="00FF79E8">
      <w:pPr>
        <w:ind w:left="851"/>
        <w:rPr>
          <w:sz w:val="24"/>
          <w:szCs w:val="24"/>
          <w:lang w:val="en-GB"/>
        </w:rPr>
      </w:pPr>
    </w:p>
    <w:p w14:paraId="479786CA" w14:textId="77777777" w:rsidR="008D4EC8" w:rsidRPr="000F21D9" w:rsidRDefault="008D4EC8" w:rsidP="00FF79E8">
      <w:pPr>
        <w:ind w:left="851"/>
        <w:rPr>
          <w:i/>
          <w:iCs/>
          <w:sz w:val="24"/>
          <w:szCs w:val="24"/>
          <w:u w:val="single"/>
          <w:lang w:val="en-GB"/>
        </w:rPr>
      </w:pPr>
      <w:r w:rsidRPr="000F21D9">
        <w:rPr>
          <w:i/>
          <w:iCs/>
          <w:sz w:val="24"/>
          <w:szCs w:val="24"/>
          <w:u w:val="single"/>
          <w:lang w:val="en-GB"/>
        </w:rPr>
        <w:t>Phenytoin</w:t>
      </w:r>
    </w:p>
    <w:p w14:paraId="01E70838" w14:textId="733609D7" w:rsidR="008D4EC8" w:rsidRPr="00775BF2" w:rsidRDefault="008D4EC8" w:rsidP="00FF79E8">
      <w:pPr>
        <w:ind w:left="851"/>
        <w:rPr>
          <w:i/>
          <w:iCs/>
          <w:sz w:val="24"/>
          <w:szCs w:val="24"/>
          <w:lang w:val="en-GB"/>
        </w:rPr>
      </w:pPr>
      <w:r w:rsidRPr="00775BF2">
        <w:rPr>
          <w:sz w:val="24"/>
          <w:szCs w:val="24"/>
          <w:lang w:val="en-GB"/>
        </w:rPr>
        <w:t>Concomitant administration of 40 mg esomeprazole resulted in a 13</w:t>
      </w:r>
      <w:r w:rsidR="00935FF9">
        <w:rPr>
          <w:sz w:val="24"/>
          <w:szCs w:val="24"/>
          <w:lang w:val="en-GB"/>
        </w:rPr>
        <w:t xml:space="preserve"> %</w:t>
      </w:r>
      <w:r w:rsidRPr="00775BF2">
        <w:rPr>
          <w:sz w:val="24"/>
          <w:szCs w:val="24"/>
          <w:lang w:val="en-GB"/>
        </w:rPr>
        <w:t xml:space="preserve"> increase in trough plasma levels of phenytoin in epileptic patients. It is recommended to monitor the plasma concentrations of phenytoin when treatment with esomeprazole is introduced or withdrawn. </w:t>
      </w:r>
    </w:p>
    <w:p w14:paraId="17330C69" w14:textId="77777777" w:rsidR="008D4EC8" w:rsidRPr="00775BF2" w:rsidRDefault="008D4EC8" w:rsidP="00FF79E8">
      <w:pPr>
        <w:ind w:left="851"/>
        <w:rPr>
          <w:i/>
          <w:iCs/>
          <w:sz w:val="24"/>
          <w:szCs w:val="24"/>
          <w:lang w:val="en-GB"/>
        </w:rPr>
      </w:pPr>
    </w:p>
    <w:p w14:paraId="1C6FD73D" w14:textId="77777777" w:rsidR="008D4EC8" w:rsidRPr="000F21D9" w:rsidRDefault="008D4EC8" w:rsidP="00FF79E8">
      <w:pPr>
        <w:ind w:left="851"/>
        <w:rPr>
          <w:i/>
          <w:iCs/>
          <w:sz w:val="24"/>
          <w:szCs w:val="24"/>
          <w:u w:val="single"/>
          <w:lang w:val="en-GB"/>
        </w:rPr>
      </w:pPr>
      <w:r w:rsidRPr="000F21D9">
        <w:rPr>
          <w:i/>
          <w:iCs/>
          <w:sz w:val="24"/>
          <w:szCs w:val="24"/>
          <w:u w:val="single"/>
          <w:lang w:val="en-GB"/>
        </w:rPr>
        <w:t>Voriconazole</w:t>
      </w:r>
    </w:p>
    <w:p w14:paraId="09A10765" w14:textId="53338589" w:rsidR="008D4EC8" w:rsidRPr="00775BF2" w:rsidRDefault="008D4EC8" w:rsidP="00FF79E8">
      <w:pPr>
        <w:ind w:left="851"/>
        <w:rPr>
          <w:sz w:val="24"/>
          <w:szCs w:val="24"/>
          <w:lang w:val="en-GB"/>
        </w:rPr>
      </w:pPr>
      <w:r w:rsidRPr="00775BF2">
        <w:rPr>
          <w:sz w:val="24"/>
          <w:szCs w:val="24"/>
          <w:lang w:val="en-GB"/>
        </w:rPr>
        <w:t xml:space="preserve">Omeprazole (40 mg once daily) increased voriconazole (a CYP2C19 substrate) </w:t>
      </w:r>
      <w:proofErr w:type="spellStart"/>
      <w:r w:rsidRPr="00775BF2">
        <w:rPr>
          <w:sz w:val="24"/>
          <w:szCs w:val="24"/>
          <w:lang w:val="en-GB"/>
        </w:rPr>
        <w:t>C</w:t>
      </w:r>
      <w:r w:rsidRPr="00775BF2">
        <w:rPr>
          <w:sz w:val="24"/>
          <w:szCs w:val="24"/>
          <w:vertAlign w:val="subscript"/>
          <w:lang w:val="en-GB"/>
        </w:rPr>
        <w:t>max</w:t>
      </w:r>
      <w:proofErr w:type="spellEnd"/>
      <w:r w:rsidRPr="00775BF2">
        <w:rPr>
          <w:sz w:val="24"/>
          <w:szCs w:val="24"/>
          <w:lang w:val="en-GB"/>
        </w:rPr>
        <w:t xml:space="preserve"> and </w:t>
      </w:r>
      <w:proofErr w:type="spellStart"/>
      <w:r w:rsidRPr="00775BF2">
        <w:rPr>
          <w:sz w:val="24"/>
          <w:szCs w:val="24"/>
          <w:lang w:val="en-GB"/>
        </w:rPr>
        <w:t>AUC</w:t>
      </w:r>
      <w:r w:rsidRPr="00775BF2">
        <w:rPr>
          <w:sz w:val="24"/>
          <w:szCs w:val="24"/>
          <w:vertAlign w:val="subscript"/>
          <w:lang w:val="en-GB"/>
        </w:rPr>
        <w:t>τ</w:t>
      </w:r>
      <w:proofErr w:type="spellEnd"/>
      <w:r w:rsidRPr="00775BF2">
        <w:rPr>
          <w:sz w:val="24"/>
          <w:szCs w:val="24"/>
          <w:lang w:val="en-GB"/>
        </w:rPr>
        <w:t xml:space="preserve"> by 15</w:t>
      </w:r>
      <w:r w:rsidR="00935FF9">
        <w:rPr>
          <w:sz w:val="24"/>
          <w:szCs w:val="24"/>
          <w:lang w:val="en-GB"/>
        </w:rPr>
        <w:t xml:space="preserve"> %</w:t>
      </w:r>
      <w:r w:rsidRPr="00775BF2">
        <w:rPr>
          <w:sz w:val="24"/>
          <w:szCs w:val="24"/>
          <w:lang w:val="en-GB"/>
        </w:rPr>
        <w:t xml:space="preserve"> and 41</w:t>
      </w:r>
      <w:r w:rsidR="00935FF9">
        <w:rPr>
          <w:sz w:val="24"/>
          <w:szCs w:val="24"/>
          <w:lang w:val="en-GB"/>
        </w:rPr>
        <w:t xml:space="preserve"> %</w:t>
      </w:r>
      <w:r w:rsidRPr="00775BF2">
        <w:rPr>
          <w:sz w:val="24"/>
          <w:szCs w:val="24"/>
          <w:lang w:val="en-GB"/>
        </w:rPr>
        <w:t>, respectively.</w:t>
      </w:r>
    </w:p>
    <w:p w14:paraId="01A56511" w14:textId="77777777" w:rsidR="008D4EC8" w:rsidRPr="00775BF2" w:rsidRDefault="008D4EC8" w:rsidP="00FF79E8">
      <w:pPr>
        <w:ind w:left="851"/>
        <w:rPr>
          <w:sz w:val="24"/>
          <w:szCs w:val="24"/>
          <w:lang w:val="en-GB"/>
        </w:rPr>
      </w:pPr>
    </w:p>
    <w:p w14:paraId="4122F991" w14:textId="77777777" w:rsidR="008D4EC8" w:rsidRPr="000F21D9" w:rsidRDefault="008D4EC8" w:rsidP="00FF79E8">
      <w:pPr>
        <w:ind w:left="851"/>
        <w:rPr>
          <w:i/>
          <w:iCs/>
          <w:sz w:val="24"/>
          <w:szCs w:val="24"/>
          <w:u w:val="single"/>
          <w:lang w:val="en-GB"/>
        </w:rPr>
      </w:pPr>
      <w:r w:rsidRPr="000F21D9">
        <w:rPr>
          <w:i/>
          <w:iCs/>
          <w:sz w:val="24"/>
          <w:szCs w:val="24"/>
          <w:u w:val="single"/>
          <w:lang w:val="en-GB"/>
        </w:rPr>
        <w:t>Cilostazol</w:t>
      </w:r>
    </w:p>
    <w:p w14:paraId="75CD18F3" w14:textId="070D0E32" w:rsidR="008D4EC8" w:rsidRPr="00775BF2" w:rsidRDefault="008D4EC8" w:rsidP="00FF79E8">
      <w:pPr>
        <w:ind w:left="851"/>
        <w:rPr>
          <w:sz w:val="24"/>
          <w:szCs w:val="24"/>
          <w:lang w:val="en-GB"/>
        </w:rPr>
      </w:pPr>
      <w:r w:rsidRPr="00775BF2">
        <w:rPr>
          <w:sz w:val="24"/>
          <w:szCs w:val="24"/>
          <w:lang w:val="en-GB"/>
        </w:rPr>
        <w:t>Omeprazole as well as esomeprazole act as inhibitors of CYP2C19. Omeprazole, given in doses of 40 mg to healthy subjects in a cross</w:t>
      </w:r>
      <w:r w:rsidRPr="00775BF2">
        <w:rPr>
          <w:sz w:val="24"/>
          <w:szCs w:val="24"/>
          <w:lang w:val="en-GB"/>
        </w:rPr>
        <w:noBreakHyphen/>
        <w:t xml:space="preserve">over study, increased </w:t>
      </w:r>
      <w:proofErr w:type="spellStart"/>
      <w:r w:rsidRPr="00775BF2">
        <w:rPr>
          <w:sz w:val="24"/>
          <w:szCs w:val="24"/>
          <w:lang w:val="en-GB"/>
        </w:rPr>
        <w:t>C</w:t>
      </w:r>
      <w:r w:rsidRPr="00775BF2">
        <w:rPr>
          <w:sz w:val="24"/>
          <w:szCs w:val="24"/>
          <w:vertAlign w:val="subscript"/>
          <w:lang w:val="en-GB"/>
        </w:rPr>
        <w:t>max</w:t>
      </w:r>
      <w:proofErr w:type="spellEnd"/>
      <w:r w:rsidRPr="00775BF2">
        <w:rPr>
          <w:sz w:val="24"/>
          <w:szCs w:val="24"/>
          <w:lang w:val="en-GB"/>
        </w:rPr>
        <w:t xml:space="preserve"> and AUC for cilostazol by 18</w:t>
      </w:r>
      <w:r w:rsidR="00935FF9">
        <w:rPr>
          <w:sz w:val="24"/>
          <w:szCs w:val="24"/>
          <w:lang w:val="en-GB"/>
        </w:rPr>
        <w:t xml:space="preserve"> %</w:t>
      </w:r>
      <w:r w:rsidRPr="00775BF2">
        <w:rPr>
          <w:sz w:val="24"/>
          <w:szCs w:val="24"/>
          <w:lang w:val="en-GB"/>
        </w:rPr>
        <w:t xml:space="preserve"> and 26</w:t>
      </w:r>
      <w:r w:rsidR="00935FF9">
        <w:rPr>
          <w:sz w:val="24"/>
          <w:szCs w:val="24"/>
          <w:lang w:val="en-GB"/>
        </w:rPr>
        <w:t xml:space="preserve"> %</w:t>
      </w:r>
      <w:r w:rsidRPr="00775BF2">
        <w:rPr>
          <w:sz w:val="24"/>
          <w:szCs w:val="24"/>
          <w:lang w:val="en-GB"/>
        </w:rPr>
        <w:t xml:space="preserve"> respectively, and one of its active metabolites by 29</w:t>
      </w:r>
      <w:r w:rsidR="00935FF9">
        <w:rPr>
          <w:sz w:val="24"/>
          <w:szCs w:val="24"/>
          <w:lang w:val="en-GB"/>
        </w:rPr>
        <w:t xml:space="preserve"> %</w:t>
      </w:r>
      <w:r w:rsidRPr="00775BF2">
        <w:rPr>
          <w:sz w:val="24"/>
          <w:szCs w:val="24"/>
          <w:lang w:val="en-GB"/>
        </w:rPr>
        <w:t xml:space="preserve"> and 69</w:t>
      </w:r>
      <w:r w:rsidR="00250B32">
        <w:rPr>
          <w:sz w:val="24"/>
          <w:szCs w:val="24"/>
          <w:lang w:val="en-GB"/>
        </w:rPr>
        <w:t> </w:t>
      </w:r>
      <w:r w:rsidR="00935FF9">
        <w:rPr>
          <w:sz w:val="24"/>
          <w:szCs w:val="24"/>
          <w:lang w:val="en-GB"/>
        </w:rPr>
        <w:t>%</w:t>
      </w:r>
      <w:r w:rsidRPr="00775BF2">
        <w:rPr>
          <w:sz w:val="24"/>
          <w:szCs w:val="24"/>
          <w:lang w:val="en-GB"/>
        </w:rPr>
        <w:t xml:space="preserve"> respectively.</w:t>
      </w:r>
    </w:p>
    <w:p w14:paraId="58430F72" w14:textId="77777777" w:rsidR="008D4EC8" w:rsidRPr="00775BF2" w:rsidRDefault="008D4EC8" w:rsidP="00FF79E8">
      <w:pPr>
        <w:ind w:left="851"/>
        <w:rPr>
          <w:sz w:val="24"/>
          <w:szCs w:val="24"/>
          <w:lang w:val="en-GB"/>
        </w:rPr>
      </w:pPr>
    </w:p>
    <w:p w14:paraId="1FB47B48" w14:textId="77777777" w:rsidR="008D4EC8" w:rsidRPr="000F21D9" w:rsidRDefault="008D4EC8" w:rsidP="00FF79E8">
      <w:pPr>
        <w:ind w:left="851"/>
        <w:rPr>
          <w:i/>
          <w:iCs/>
          <w:sz w:val="24"/>
          <w:szCs w:val="24"/>
          <w:u w:val="single"/>
          <w:lang w:val="en-GB"/>
        </w:rPr>
      </w:pPr>
      <w:proofErr w:type="spellStart"/>
      <w:r w:rsidRPr="000F21D9">
        <w:rPr>
          <w:i/>
          <w:iCs/>
          <w:sz w:val="24"/>
          <w:szCs w:val="24"/>
          <w:u w:val="single"/>
          <w:lang w:val="en-GB"/>
        </w:rPr>
        <w:t>Cisapride</w:t>
      </w:r>
      <w:proofErr w:type="spellEnd"/>
    </w:p>
    <w:p w14:paraId="69EA3E17" w14:textId="30DEC4E4" w:rsidR="008D4EC8" w:rsidRPr="00775BF2" w:rsidRDefault="008D4EC8" w:rsidP="00FF79E8">
      <w:pPr>
        <w:ind w:left="851"/>
        <w:rPr>
          <w:sz w:val="24"/>
          <w:szCs w:val="24"/>
          <w:lang w:val="en-GB"/>
        </w:rPr>
      </w:pPr>
      <w:r w:rsidRPr="00775BF2">
        <w:rPr>
          <w:sz w:val="24"/>
          <w:szCs w:val="24"/>
          <w:lang w:val="en-GB"/>
        </w:rPr>
        <w:t>In healthy volunteers, concomitant administration of 40 mg esomeprazole resulted in a 32</w:t>
      </w:r>
      <w:r w:rsidR="00250B32">
        <w:rPr>
          <w:sz w:val="24"/>
          <w:szCs w:val="24"/>
          <w:lang w:val="en-GB"/>
        </w:rPr>
        <w:t> </w:t>
      </w:r>
      <w:r w:rsidR="00935FF9">
        <w:rPr>
          <w:sz w:val="24"/>
          <w:szCs w:val="24"/>
          <w:lang w:val="en-GB"/>
        </w:rPr>
        <w:t>%</w:t>
      </w:r>
      <w:r w:rsidRPr="00775BF2">
        <w:rPr>
          <w:sz w:val="24"/>
          <w:szCs w:val="24"/>
          <w:lang w:val="en-GB"/>
        </w:rPr>
        <w:t xml:space="preserve"> increase in area under the plasma concentration</w:t>
      </w:r>
      <w:r w:rsidRPr="00775BF2">
        <w:rPr>
          <w:sz w:val="24"/>
          <w:szCs w:val="24"/>
          <w:lang w:val="en-GB"/>
        </w:rPr>
        <w:noBreakHyphen/>
        <w:t>time curve (AUC) and a 31</w:t>
      </w:r>
      <w:r w:rsidR="00935FF9">
        <w:rPr>
          <w:sz w:val="24"/>
          <w:szCs w:val="24"/>
          <w:lang w:val="en-GB"/>
        </w:rPr>
        <w:t xml:space="preserve"> %</w:t>
      </w:r>
      <w:r w:rsidRPr="00775BF2">
        <w:rPr>
          <w:sz w:val="24"/>
          <w:szCs w:val="24"/>
          <w:lang w:val="en-GB"/>
        </w:rPr>
        <w:t xml:space="preserve"> prolongation of elimination half-life (t</w:t>
      </w:r>
      <w:r w:rsidRPr="00775BF2">
        <w:rPr>
          <w:sz w:val="24"/>
          <w:szCs w:val="24"/>
          <w:vertAlign w:val="subscript"/>
          <w:lang w:val="en-GB"/>
        </w:rPr>
        <w:t>1/2</w:t>
      </w:r>
      <w:r w:rsidRPr="00775BF2">
        <w:rPr>
          <w:sz w:val="24"/>
          <w:szCs w:val="24"/>
          <w:lang w:val="en-GB"/>
        </w:rPr>
        <w:t xml:space="preserve">) but no significant increase in peak plasma levels of </w:t>
      </w:r>
      <w:proofErr w:type="spellStart"/>
      <w:r w:rsidRPr="00775BF2">
        <w:rPr>
          <w:sz w:val="24"/>
          <w:szCs w:val="24"/>
          <w:lang w:val="en-GB"/>
        </w:rPr>
        <w:t>cisapride</w:t>
      </w:r>
      <w:proofErr w:type="spellEnd"/>
      <w:r w:rsidRPr="00775BF2">
        <w:rPr>
          <w:sz w:val="24"/>
          <w:szCs w:val="24"/>
          <w:lang w:val="en-GB"/>
        </w:rPr>
        <w:t xml:space="preserve">. The slightly prolonged QTc interval observed after administration of </w:t>
      </w:r>
      <w:proofErr w:type="spellStart"/>
      <w:r w:rsidRPr="00775BF2">
        <w:rPr>
          <w:sz w:val="24"/>
          <w:szCs w:val="24"/>
          <w:lang w:val="en-GB"/>
        </w:rPr>
        <w:t>cisapride</w:t>
      </w:r>
      <w:proofErr w:type="spellEnd"/>
      <w:r w:rsidRPr="00775BF2">
        <w:rPr>
          <w:sz w:val="24"/>
          <w:szCs w:val="24"/>
          <w:lang w:val="en-GB"/>
        </w:rPr>
        <w:t xml:space="preserve"> alone, was not further prolonged when </w:t>
      </w:r>
      <w:proofErr w:type="spellStart"/>
      <w:r w:rsidRPr="00775BF2">
        <w:rPr>
          <w:sz w:val="24"/>
          <w:szCs w:val="24"/>
          <w:lang w:val="en-GB"/>
        </w:rPr>
        <w:t>cisapride</w:t>
      </w:r>
      <w:proofErr w:type="spellEnd"/>
      <w:r w:rsidRPr="00775BF2">
        <w:rPr>
          <w:sz w:val="24"/>
          <w:szCs w:val="24"/>
          <w:lang w:val="en-GB"/>
        </w:rPr>
        <w:t xml:space="preserve"> was given in combination with esomeprazole (see also section 4.4).</w:t>
      </w:r>
    </w:p>
    <w:p w14:paraId="5A5CD664" w14:textId="77777777" w:rsidR="008D4EC8" w:rsidRPr="00775BF2" w:rsidRDefault="008D4EC8" w:rsidP="00FF79E8">
      <w:pPr>
        <w:ind w:left="851"/>
        <w:rPr>
          <w:sz w:val="24"/>
          <w:szCs w:val="24"/>
          <w:lang w:val="en-GB"/>
        </w:rPr>
      </w:pPr>
    </w:p>
    <w:p w14:paraId="36999298" w14:textId="77777777" w:rsidR="008D4EC8" w:rsidRPr="000F21D9" w:rsidRDefault="008D4EC8" w:rsidP="00FF79E8">
      <w:pPr>
        <w:ind w:left="851"/>
        <w:rPr>
          <w:i/>
          <w:iCs/>
          <w:sz w:val="24"/>
          <w:szCs w:val="24"/>
          <w:u w:val="single"/>
          <w:lang w:val="en-GB"/>
        </w:rPr>
      </w:pPr>
      <w:r w:rsidRPr="000F21D9">
        <w:rPr>
          <w:i/>
          <w:iCs/>
          <w:sz w:val="24"/>
          <w:szCs w:val="24"/>
          <w:u w:val="single"/>
          <w:lang w:val="en-GB"/>
        </w:rPr>
        <w:t>Warfarin</w:t>
      </w:r>
    </w:p>
    <w:p w14:paraId="3C99AA02" w14:textId="77777777" w:rsidR="008D4EC8" w:rsidRPr="00775BF2" w:rsidRDefault="008D4EC8" w:rsidP="00FF79E8">
      <w:pPr>
        <w:ind w:left="851"/>
        <w:rPr>
          <w:sz w:val="24"/>
          <w:szCs w:val="24"/>
          <w:lang w:val="en-GB"/>
        </w:rPr>
      </w:pPr>
      <w:r w:rsidRPr="00775BF2">
        <w:rPr>
          <w:sz w:val="24"/>
          <w:szCs w:val="24"/>
          <w:lang w:val="en-GB"/>
        </w:rPr>
        <w:t>Concomitant administration of 40 mg esomeprazole to warfarin</w:t>
      </w:r>
      <w:r w:rsidRPr="00775BF2">
        <w:rPr>
          <w:sz w:val="24"/>
          <w:szCs w:val="24"/>
          <w:lang w:val="en-GB"/>
        </w:rPr>
        <w:noBreakHyphen/>
        <w:t>treated patients in a clinical trial showed that coagulation times were within the accepted range. However, post</w:t>
      </w:r>
      <w:r w:rsidRPr="00775BF2">
        <w:rPr>
          <w:sz w:val="24"/>
          <w:szCs w:val="24"/>
          <w:lang w:val="en-GB"/>
        </w:rPr>
        <w:noBreakHyphen/>
        <w:t xml:space="preserve">marketing, a few isolated cases of elevated INR of clinical significance have been reported during concomitant treatment. Monitoring is recommended when initiating and ending concomitant esomeprazole treatment during treatment with warfarin or other </w:t>
      </w:r>
      <w:proofErr w:type="spellStart"/>
      <w:r w:rsidRPr="00775BF2">
        <w:rPr>
          <w:sz w:val="24"/>
          <w:szCs w:val="24"/>
          <w:lang w:val="en-GB"/>
        </w:rPr>
        <w:t>coumarine</w:t>
      </w:r>
      <w:proofErr w:type="spellEnd"/>
      <w:r w:rsidRPr="00775BF2">
        <w:rPr>
          <w:sz w:val="24"/>
          <w:szCs w:val="24"/>
          <w:lang w:val="en-GB"/>
        </w:rPr>
        <w:t xml:space="preserve"> derivatives.</w:t>
      </w:r>
    </w:p>
    <w:p w14:paraId="6E1BF1EE" w14:textId="77777777" w:rsidR="008D4EC8" w:rsidRPr="00775BF2" w:rsidRDefault="008D4EC8" w:rsidP="00FF79E8">
      <w:pPr>
        <w:ind w:left="851"/>
        <w:rPr>
          <w:sz w:val="24"/>
          <w:szCs w:val="24"/>
          <w:lang w:val="en-GB"/>
        </w:rPr>
      </w:pPr>
    </w:p>
    <w:p w14:paraId="411D242F" w14:textId="77777777" w:rsidR="008D4EC8" w:rsidRPr="000F21D9" w:rsidRDefault="008D4EC8" w:rsidP="00FF79E8">
      <w:pPr>
        <w:ind w:left="851"/>
        <w:rPr>
          <w:i/>
          <w:iCs/>
          <w:sz w:val="24"/>
          <w:szCs w:val="24"/>
          <w:u w:val="single"/>
          <w:lang w:val="en-GB"/>
        </w:rPr>
      </w:pPr>
      <w:r w:rsidRPr="000F21D9">
        <w:rPr>
          <w:i/>
          <w:iCs/>
          <w:sz w:val="24"/>
          <w:szCs w:val="24"/>
          <w:u w:val="single"/>
          <w:lang w:val="en-GB"/>
        </w:rPr>
        <w:t>Clopidogrel</w:t>
      </w:r>
    </w:p>
    <w:p w14:paraId="1601E822" w14:textId="4C987626" w:rsidR="008D4EC8" w:rsidRPr="00775BF2" w:rsidRDefault="008D4EC8" w:rsidP="00FF79E8">
      <w:pPr>
        <w:ind w:left="851"/>
        <w:rPr>
          <w:sz w:val="24"/>
          <w:szCs w:val="24"/>
          <w:lang w:val="en-GB"/>
        </w:rPr>
      </w:pPr>
      <w:r w:rsidRPr="00775BF2">
        <w:rPr>
          <w:sz w:val="24"/>
          <w:szCs w:val="24"/>
          <w:lang w:val="en-GB"/>
        </w:rPr>
        <w:t>Results from studies in healthy subjects have shown a pharmacokinetic (PK)/ pharmacodynamic (PD) interaction between clopidogrel (300 mg loading dose/75 mg daily maintenance dose) and esomeprazole (40 mg p.o.</w:t>
      </w:r>
      <w:r w:rsidR="00F003D9">
        <w:rPr>
          <w:sz w:val="24"/>
          <w:szCs w:val="24"/>
          <w:lang w:val="en-GB"/>
        </w:rPr>
        <w:t xml:space="preserve"> </w:t>
      </w:r>
      <w:r w:rsidRPr="00775BF2">
        <w:rPr>
          <w:sz w:val="24"/>
          <w:szCs w:val="24"/>
          <w:lang w:val="en-GB"/>
        </w:rPr>
        <w:t>daily) resulting in decreased exposure to the active metabolite of clopidogrel by an average of 40</w:t>
      </w:r>
      <w:r w:rsidR="00935FF9">
        <w:rPr>
          <w:sz w:val="24"/>
          <w:szCs w:val="24"/>
          <w:lang w:val="en-GB"/>
        </w:rPr>
        <w:t xml:space="preserve"> %</w:t>
      </w:r>
      <w:r w:rsidRPr="00775BF2">
        <w:rPr>
          <w:sz w:val="24"/>
          <w:szCs w:val="24"/>
          <w:lang w:val="en-GB"/>
        </w:rPr>
        <w:t xml:space="preserve"> and resulting in decreased maximum inhibition of (ADP induced) platelet aggregation by an average of 14</w:t>
      </w:r>
      <w:r w:rsidR="00935FF9">
        <w:rPr>
          <w:sz w:val="24"/>
          <w:szCs w:val="24"/>
          <w:lang w:val="en-GB"/>
        </w:rPr>
        <w:t xml:space="preserve"> %</w:t>
      </w:r>
      <w:r w:rsidRPr="00775BF2">
        <w:rPr>
          <w:sz w:val="24"/>
          <w:szCs w:val="24"/>
          <w:lang w:val="en-GB"/>
        </w:rPr>
        <w:t>.</w:t>
      </w:r>
    </w:p>
    <w:p w14:paraId="623317A6" w14:textId="77777777" w:rsidR="008D4EC8" w:rsidRPr="00775BF2" w:rsidRDefault="008D4EC8" w:rsidP="00FF79E8">
      <w:pPr>
        <w:ind w:left="851"/>
        <w:rPr>
          <w:sz w:val="24"/>
          <w:szCs w:val="24"/>
          <w:lang w:val="en-GB"/>
        </w:rPr>
      </w:pPr>
    </w:p>
    <w:p w14:paraId="5D1F1717" w14:textId="6E39F1E7" w:rsidR="008D4EC8" w:rsidRPr="00775BF2" w:rsidRDefault="008D4EC8" w:rsidP="00FF79E8">
      <w:pPr>
        <w:ind w:left="851"/>
        <w:rPr>
          <w:sz w:val="24"/>
          <w:szCs w:val="24"/>
          <w:lang w:val="en-GB"/>
        </w:rPr>
      </w:pPr>
      <w:r w:rsidRPr="00775BF2">
        <w:rPr>
          <w:sz w:val="24"/>
          <w:szCs w:val="24"/>
          <w:lang w:val="en-GB"/>
        </w:rPr>
        <w:t>When clopidogrel was given together with a fixed dose combination of esomeprazole 20 mg + ASA 81 mg compared to clopidogrel alone in a study in healthy subjects there was a decreased exposure by almost 40</w:t>
      </w:r>
      <w:r w:rsidR="00935FF9">
        <w:rPr>
          <w:sz w:val="24"/>
          <w:szCs w:val="24"/>
          <w:lang w:val="en-GB"/>
        </w:rPr>
        <w:t xml:space="preserve"> %</w:t>
      </w:r>
      <w:r w:rsidRPr="00775BF2">
        <w:rPr>
          <w:sz w:val="24"/>
          <w:szCs w:val="24"/>
          <w:lang w:val="en-GB"/>
        </w:rPr>
        <w:t xml:space="preserve"> of the active metabolite of clopidogrel. However, the maximum levels of inhibition of (ADP induced) platelet aggregation in these subjects were the same in the clopidogrel and the clopidogrel + the combined (esomeprazole + ASA) product groups.</w:t>
      </w:r>
    </w:p>
    <w:p w14:paraId="0CC5BAC1" w14:textId="77777777" w:rsidR="008D4EC8" w:rsidRPr="00775BF2" w:rsidRDefault="008D4EC8" w:rsidP="00FF79E8">
      <w:pPr>
        <w:ind w:left="851"/>
        <w:rPr>
          <w:sz w:val="24"/>
          <w:szCs w:val="24"/>
          <w:lang w:val="en-GB"/>
        </w:rPr>
      </w:pPr>
    </w:p>
    <w:p w14:paraId="189A3916" w14:textId="77777777" w:rsidR="008D4EC8" w:rsidRPr="00775BF2" w:rsidRDefault="008D4EC8" w:rsidP="00FF79E8">
      <w:pPr>
        <w:ind w:left="851"/>
        <w:rPr>
          <w:sz w:val="24"/>
          <w:szCs w:val="24"/>
          <w:lang w:val="en-GB"/>
        </w:rPr>
      </w:pPr>
      <w:r w:rsidRPr="00775BF2">
        <w:rPr>
          <w:sz w:val="24"/>
          <w:szCs w:val="24"/>
          <w:lang w:val="en-GB"/>
        </w:rPr>
        <w:t>Inconsistent data on the clinical implications of a PK/PD interaction of esomeprazole in terms of major cardiovascular events have been reported from both observational and clinical studies. As a precaution concomitant use of clopidogrel should be discouraged.</w:t>
      </w:r>
    </w:p>
    <w:p w14:paraId="6F8CB298" w14:textId="77777777" w:rsidR="008D4EC8" w:rsidRPr="00775BF2" w:rsidRDefault="008D4EC8" w:rsidP="00FF79E8">
      <w:pPr>
        <w:ind w:left="851"/>
        <w:rPr>
          <w:sz w:val="24"/>
          <w:szCs w:val="24"/>
          <w:lang w:val="en-GB"/>
        </w:rPr>
      </w:pPr>
    </w:p>
    <w:p w14:paraId="03AC5481" w14:textId="77777777" w:rsidR="008D4EC8" w:rsidRPr="001A3AC6" w:rsidRDefault="008D4EC8" w:rsidP="00FF79E8">
      <w:pPr>
        <w:ind w:left="851"/>
        <w:rPr>
          <w:i/>
          <w:iCs/>
          <w:sz w:val="24"/>
          <w:szCs w:val="24"/>
          <w:u w:val="single"/>
          <w:lang w:val="en-GB"/>
        </w:rPr>
      </w:pPr>
      <w:r w:rsidRPr="001A3AC6">
        <w:rPr>
          <w:i/>
          <w:iCs/>
          <w:sz w:val="24"/>
          <w:szCs w:val="24"/>
          <w:u w:val="single"/>
          <w:lang w:val="en-GB"/>
        </w:rPr>
        <w:t>Investigated medicinal products with no clinically relevant interaction</w:t>
      </w:r>
    </w:p>
    <w:p w14:paraId="05327FE8" w14:textId="77777777" w:rsidR="008D4EC8" w:rsidRPr="00775BF2" w:rsidRDefault="008D4EC8" w:rsidP="00FF79E8">
      <w:pPr>
        <w:ind w:left="851"/>
        <w:rPr>
          <w:i/>
          <w:iCs/>
          <w:sz w:val="24"/>
          <w:szCs w:val="24"/>
          <w:lang w:val="en-GB"/>
        </w:rPr>
      </w:pPr>
      <w:r w:rsidRPr="00775BF2">
        <w:rPr>
          <w:i/>
          <w:iCs/>
          <w:sz w:val="24"/>
          <w:szCs w:val="24"/>
          <w:lang w:val="en-GB"/>
        </w:rPr>
        <w:t>Amoxicillin and quinidine</w:t>
      </w:r>
    </w:p>
    <w:p w14:paraId="7D618CBE" w14:textId="77777777" w:rsidR="008D4EC8" w:rsidRPr="00775BF2" w:rsidRDefault="008D4EC8" w:rsidP="00FF79E8">
      <w:pPr>
        <w:ind w:left="851"/>
        <w:rPr>
          <w:sz w:val="24"/>
          <w:szCs w:val="24"/>
          <w:lang w:val="en-GB"/>
        </w:rPr>
      </w:pPr>
      <w:r w:rsidRPr="00775BF2">
        <w:rPr>
          <w:sz w:val="24"/>
          <w:szCs w:val="24"/>
          <w:lang w:val="en-GB"/>
        </w:rPr>
        <w:t>Esomeprazole has been shown to have no clinically relevant effects on the pharmacokinetics of amoxicillin, quinidine.</w:t>
      </w:r>
    </w:p>
    <w:p w14:paraId="22614E56" w14:textId="77777777" w:rsidR="008D4EC8" w:rsidRPr="00775BF2" w:rsidRDefault="008D4EC8" w:rsidP="00FF79E8">
      <w:pPr>
        <w:ind w:left="851"/>
        <w:rPr>
          <w:sz w:val="24"/>
          <w:szCs w:val="24"/>
          <w:lang w:val="en-GB"/>
        </w:rPr>
      </w:pPr>
    </w:p>
    <w:p w14:paraId="0A06EFB8" w14:textId="77777777" w:rsidR="008D4EC8" w:rsidRPr="001A3AC6" w:rsidRDefault="008D4EC8" w:rsidP="00FF79E8">
      <w:pPr>
        <w:ind w:left="851"/>
        <w:rPr>
          <w:i/>
          <w:iCs/>
          <w:sz w:val="24"/>
          <w:szCs w:val="24"/>
          <w:u w:val="single"/>
          <w:lang w:val="en-GB"/>
        </w:rPr>
      </w:pPr>
      <w:r w:rsidRPr="001A3AC6">
        <w:rPr>
          <w:i/>
          <w:iCs/>
          <w:sz w:val="24"/>
          <w:szCs w:val="24"/>
          <w:u w:val="single"/>
          <w:lang w:val="en-GB"/>
        </w:rPr>
        <w:t xml:space="preserve">Naproxen or </w:t>
      </w:r>
      <w:proofErr w:type="spellStart"/>
      <w:r w:rsidRPr="001A3AC6">
        <w:rPr>
          <w:i/>
          <w:iCs/>
          <w:sz w:val="24"/>
          <w:szCs w:val="24"/>
          <w:u w:val="single"/>
          <w:lang w:val="en-GB"/>
        </w:rPr>
        <w:t>rofecoxib</w:t>
      </w:r>
      <w:proofErr w:type="spellEnd"/>
    </w:p>
    <w:p w14:paraId="47271B58" w14:textId="77777777" w:rsidR="008D4EC8" w:rsidRPr="00775BF2" w:rsidRDefault="008D4EC8" w:rsidP="00FF79E8">
      <w:pPr>
        <w:ind w:left="851"/>
        <w:rPr>
          <w:sz w:val="24"/>
          <w:szCs w:val="24"/>
          <w:lang w:val="en-GB"/>
        </w:rPr>
      </w:pPr>
      <w:r w:rsidRPr="00775BF2">
        <w:rPr>
          <w:sz w:val="24"/>
          <w:szCs w:val="24"/>
          <w:lang w:val="en-GB"/>
        </w:rPr>
        <w:t xml:space="preserve">Studies evaluating concomitant administration of esomeprazole and either naproxen or </w:t>
      </w:r>
      <w:proofErr w:type="spellStart"/>
      <w:r w:rsidRPr="00775BF2">
        <w:rPr>
          <w:sz w:val="24"/>
          <w:szCs w:val="24"/>
          <w:lang w:val="en-GB"/>
        </w:rPr>
        <w:t>rofecoxib</w:t>
      </w:r>
      <w:proofErr w:type="spellEnd"/>
      <w:r w:rsidRPr="00775BF2">
        <w:rPr>
          <w:sz w:val="24"/>
          <w:szCs w:val="24"/>
          <w:lang w:val="en-GB"/>
        </w:rPr>
        <w:t xml:space="preserve"> did not identify any clinically relevant pharmacokinetic interactions during short</w:t>
      </w:r>
      <w:r w:rsidRPr="00775BF2">
        <w:rPr>
          <w:sz w:val="24"/>
          <w:szCs w:val="24"/>
          <w:lang w:val="en-GB"/>
        </w:rPr>
        <w:noBreakHyphen/>
        <w:t>term studies.</w:t>
      </w:r>
    </w:p>
    <w:p w14:paraId="30D4234E" w14:textId="77777777" w:rsidR="008D4EC8" w:rsidRPr="00775BF2" w:rsidRDefault="008D4EC8" w:rsidP="00FF79E8">
      <w:pPr>
        <w:ind w:left="851"/>
        <w:rPr>
          <w:sz w:val="24"/>
          <w:szCs w:val="24"/>
          <w:lang w:val="en-GB"/>
        </w:rPr>
      </w:pPr>
    </w:p>
    <w:p w14:paraId="555B3FAD" w14:textId="77777777" w:rsidR="008D4EC8" w:rsidRPr="001A3AC6" w:rsidRDefault="008D4EC8" w:rsidP="00FF79E8">
      <w:pPr>
        <w:ind w:left="851"/>
        <w:rPr>
          <w:sz w:val="24"/>
          <w:szCs w:val="24"/>
          <w:u w:val="single"/>
          <w:lang w:val="en-GB"/>
        </w:rPr>
      </w:pPr>
      <w:r w:rsidRPr="001A3AC6">
        <w:rPr>
          <w:sz w:val="24"/>
          <w:szCs w:val="24"/>
          <w:u w:val="single"/>
          <w:lang w:val="en-GB"/>
        </w:rPr>
        <w:t>Effects of other medicinal products on the pharmacokinetics of esomeprazole</w:t>
      </w:r>
    </w:p>
    <w:p w14:paraId="28A6AF9C" w14:textId="77777777" w:rsidR="008D4EC8" w:rsidRPr="00775BF2" w:rsidRDefault="008D4EC8" w:rsidP="00FF79E8">
      <w:pPr>
        <w:ind w:left="851"/>
        <w:rPr>
          <w:sz w:val="24"/>
          <w:szCs w:val="24"/>
          <w:lang w:val="en-GB"/>
        </w:rPr>
      </w:pPr>
    </w:p>
    <w:p w14:paraId="1DABAC65" w14:textId="77777777" w:rsidR="008D4EC8" w:rsidRPr="001A3AC6" w:rsidRDefault="008D4EC8" w:rsidP="00FF79E8">
      <w:pPr>
        <w:ind w:left="851"/>
        <w:rPr>
          <w:i/>
          <w:iCs/>
          <w:sz w:val="24"/>
          <w:szCs w:val="24"/>
          <w:u w:val="single"/>
          <w:lang w:val="en-GB"/>
        </w:rPr>
      </w:pPr>
      <w:r w:rsidRPr="001A3AC6">
        <w:rPr>
          <w:i/>
          <w:iCs/>
          <w:sz w:val="24"/>
          <w:szCs w:val="24"/>
          <w:u w:val="single"/>
          <w:lang w:val="en-GB"/>
        </w:rPr>
        <w:t>Medicinal products which inhibit CYP2C19 and/or CYP3A4</w:t>
      </w:r>
    </w:p>
    <w:p w14:paraId="5E01656C" w14:textId="77777777" w:rsidR="008D4EC8" w:rsidRPr="00775BF2" w:rsidRDefault="008D4EC8" w:rsidP="00FF79E8">
      <w:pPr>
        <w:ind w:left="851"/>
        <w:rPr>
          <w:sz w:val="24"/>
          <w:szCs w:val="24"/>
          <w:lang w:val="en-GB"/>
        </w:rPr>
      </w:pPr>
      <w:r w:rsidRPr="00775BF2">
        <w:rPr>
          <w:sz w:val="24"/>
          <w:szCs w:val="24"/>
          <w:lang w:val="en-GB"/>
        </w:rPr>
        <w:t>Esomeprazole is metabolised by CYP2C19 and CYP3A4. Concomitant administration of esomeprazole and a CYP3A4 inhibitor, clarithromycin (500 mg b.i.d.), resulted in a doubling of the exposure (AUC) to esomeprazole. Concomitant administration of esomeprazole and a combined inhibitor of CYP2C19 and CYP3A4 may result in more than doubling of the esomeprazole exposure.</w:t>
      </w:r>
    </w:p>
    <w:p w14:paraId="769CCC0E" w14:textId="2E9911DF" w:rsidR="008D4EC8" w:rsidRPr="00775BF2" w:rsidRDefault="008D4EC8" w:rsidP="00FF79E8">
      <w:pPr>
        <w:ind w:left="851"/>
        <w:rPr>
          <w:sz w:val="24"/>
          <w:szCs w:val="24"/>
          <w:lang w:val="en-GB"/>
        </w:rPr>
      </w:pPr>
      <w:r w:rsidRPr="00775BF2">
        <w:rPr>
          <w:sz w:val="24"/>
          <w:szCs w:val="24"/>
          <w:lang w:val="en-GB"/>
        </w:rPr>
        <w:t xml:space="preserve">The CYP2C19 and CYP3A4 inhibitor voriconazole increased omeprazole </w:t>
      </w:r>
      <w:proofErr w:type="spellStart"/>
      <w:r w:rsidRPr="00775BF2">
        <w:rPr>
          <w:sz w:val="24"/>
          <w:szCs w:val="24"/>
          <w:lang w:val="en-GB"/>
        </w:rPr>
        <w:t>AUC</w:t>
      </w:r>
      <w:r w:rsidRPr="00775BF2">
        <w:rPr>
          <w:sz w:val="24"/>
          <w:szCs w:val="24"/>
          <w:vertAlign w:val="subscript"/>
          <w:lang w:val="en-GB"/>
        </w:rPr>
        <w:t>τ</w:t>
      </w:r>
      <w:proofErr w:type="spellEnd"/>
      <w:r w:rsidRPr="00775BF2">
        <w:rPr>
          <w:sz w:val="24"/>
          <w:szCs w:val="24"/>
          <w:lang w:val="en-GB"/>
        </w:rPr>
        <w:t xml:space="preserve"> by 280</w:t>
      </w:r>
      <w:r w:rsidR="00935FF9">
        <w:rPr>
          <w:sz w:val="24"/>
          <w:szCs w:val="24"/>
          <w:lang w:val="en-GB"/>
        </w:rPr>
        <w:t xml:space="preserve"> %</w:t>
      </w:r>
      <w:r w:rsidRPr="00775BF2">
        <w:rPr>
          <w:sz w:val="24"/>
          <w:szCs w:val="24"/>
          <w:lang w:val="en-GB"/>
        </w:rPr>
        <w:t>. A dose adjustment of esomeprazole is not regularly required in either of these situations. However, dose adjustment should be considered in patients with severe hepatic impairment and if long</w:t>
      </w:r>
      <w:r w:rsidRPr="00775BF2">
        <w:rPr>
          <w:sz w:val="24"/>
          <w:szCs w:val="24"/>
          <w:lang w:val="en-GB"/>
        </w:rPr>
        <w:noBreakHyphen/>
        <w:t>term treatment is indicated.</w:t>
      </w:r>
    </w:p>
    <w:p w14:paraId="784D1D88" w14:textId="77777777" w:rsidR="008D4EC8" w:rsidRPr="00775BF2" w:rsidRDefault="008D4EC8" w:rsidP="00FF79E8">
      <w:pPr>
        <w:ind w:left="851"/>
        <w:rPr>
          <w:sz w:val="24"/>
          <w:szCs w:val="24"/>
          <w:lang w:val="en-GB"/>
        </w:rPr>
      </w:pPr>
    </w:p>
    <w:p w14:paraId="4172F2B3" w14:textId="77777777" w:rsidR="008D4EC8" w:rsidRPr="001A3AC6" w:rsidRDefault="008D4EC8" w:rsidP="00FF79E8">
      <w:pPr>
        <w:ind w:left="851"/>
        <w:rPr>
          <w:i/>
          <w:iCs/>
          <w:sz w:val="24"/>
          <w:szCs w:val="24"/>
          <w:u w:val="single"/>
          <w:lang w:val="en-GB"/>
        </w:rPr>
      </w:pPr>
      <w:r w:rsidRPr="001A3AC6">
        <w:rPr>
          <w:i/>
          <w:iCs/>
          <w:sz w:val="24"/>
          <w:szCs w:val="24"/>
          <w:u w:val="single"/>
          <w:lang w:val="en-GB"/>
        </w:rPr>
        <w:t>Medicinal products which induce CYP2C19 and/or CYP3A4</w:t>
      </w:r>
    </w:p>
    <w:p w14:paraId="71D5A673" w14:textId="77777777" w:rsidR="008D4EC8" w:rsidRPr="00775BF2" w:rsidRDefault="008D4EC8" w:rsidP="00FF79E8">
      <w:pPr>
        <w:ind w:left="851"/>
        <w:rPr>
          <w:sz w:val="24"/>
          <w:szCs w:val="24"/>
          <w:lang w:val="en-US"/>
        </w:rPr>
      </w:pPr>
      <w:r w:rsidRPr="00775BF2">
        <w:rPr>
          <w:sz w:val="24"/>
          <w:szCs w:val="24"/>
          <w:lang w:val="en-US"/>
        </w:rPr>
        <w:t>Drugs known to induce CYP2C19 or CYP3A4 or both (such as rifampicin and St John’s wort) may lead to decreased esomeprazole serum levels by increasing the esomeprazole metabolism.</w:t>
      </w:r>
    </w:p>
    <w:p w14:paraId="2C5F796C" w14:textId="77777777" w:rsidR="008D4EC8" w:rsidRPr="00775BF2" w:rsidRDefault="008D4EC8" w:rsidP="00FF79E8">
      <w:pPr>
        <w:ind w:left="851"/>
        <w:rPr>
          <w:sz w:val="24"/>
          <w:szCs w:val="24"/>
          <w:lang w:val="en-US"/>
        </w:rPr>
      </w:pPr>
    </w:p>
    <w:p w14:paraId="65C1F096" w14:textId="77777777" w:rsidR="008D4EC8" w:rsidRPr="001A3AC6" w:rsidRDefault="008D4EC8" w:rsidP="00FF79E8">
      <w:pPr>
        <w:ind w:left="851"/>
        <w:rPr>
          <w:i/>
          <w:iCs/>
          <w:sz w:val="24"/>
          <w:szCs w:val="24"/>
          <w:u w:val="single"/>
          <w:lang w:val="en-US"/>
        </w:rPr>
      </w:pPr>
      <w:r w:rsidRPr="001A3AC6">
        <w:rPr>
          <w:i/>
          <w:iCs/>
          <w:sz w:val="24"/>
          <w:szCs w:val="24"/>
          <w:u w:val="single"/>
          <w:lang w:val="en-US"/>
        </w:rPr>
        <w:t>Paediatric population</w:t>
      </w:r>
    </w:p>
    <w:p w14:paraId="5C3787DA" w14:textId="77777777" w:rsidR="008D4EC8" w:rsidRPr="00775BF2" w:rsidRDefault="008D4EC8" w:rsidP="00FF79E8">
      <w:pPr>
        <w:ind w:left="851"/>
        <w:rPr>
          <w:sz w:val="24"/>
          <w:szCs w:val="24"/>
          <w:lang w:val="en-US"/>
        </w:rPr>
      </w:pPr>
      <w:r w:rsidRPr="00775BF2">
        <w:rPr>
          <w:sz w:val="24"/>
          <w:szCs w:val="24"/>
          <w:lang w:val="en-US"/>
        </w:rPr>
        <w:t>Interaction studies have only been performed in adults.</w:t>
      </w:r>
    </w:p>
    <w:p w14:paraId="2E4E99DD" w14:textId="77777777" w:rsidR="007C5D2A" w:rsidRPr="00775BF2" w:rsidRDefault="007C5D2A" w:rsidP="003E0341">
      <w:pPr>
        <w:tabs>
          <w:tab w:val="left" w:pos="851"/>
        </w:tabs>
        <w:ind w:left="851"/>
        <w:rPr>
          <w:sz w:val="24"/>
          <w:szCs w:val="24"/>
          <w:lang w:val="en-GB"/>
        </w:rPr>
      </w:pPr>
    </w:p>
    <w:p w14:paraId="32D05244"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4.6</w:t>
      </w:r>
      <w:r w:rsidRPr="00775BF2">
        <w:rPr>
          <w:b/>
          <w:sz w:val="24"/>
          <w:szCs w:val="24"/>
          <w:lang w:val="en-GB"/>
        </w:rPr>
        <w:tab/>
      </w:r>
      <w:r w:rsidR="004860D3" w:rsidRPr="00775BF2">
        <w:rPr>
          <w:b/>
          <w:sz w:val="24"/>
          <w:szCs w:val="24"/>
          <w:lang w:val="en-GB"/>
        </w:rPr>
        <w:t>Fertility, p</w:t>
      </w:r>
      <w:r w:rsidRPr="00775BF2">
        <w:rPr>
          <w:b/>
          <w:sz w:val="24"/>
          <w:szCs w:val="24"/>
          <w:lang w:val="en-GB"/>
        </w:rPr>
        <w:t>regnancy and lactation</w:t>
      </w:r>
    </w:p>
    <w:p w14:paraId="64309FF8" w14:textId="77777777" w:rsidR="001A3AC6" w:rsidRDefault="001A3AC6" w:rsidP="00FF79E8">
      <w:pPr>
        <w:ind w:left="851"/>
        <w:contextualSpacing/>
        <w:rPr>
          <w:sz w:val="24"/>
          <w:szCs w:val="24"/>
          <w:u w:val="single"/>
          <w:lang w:val="en-GB"/>
        </w:rPr>
      </w:pPr>
    </w:p>
    <w:p w14:paraId="04142D39" w14:textId="7631810C" w:rsidR="008D4EC8" w:rsidRPr="00775BF2" w:rsidRDefault="008D4EC8" w:rsidP="00FF79E8">
      <w:pPr>
        <w:ind w:left="851"/>
        <w:contextualSpacing/>
        <w:rPr>
          <w:sz w:val="24"/>
          <w:szCs w:val="24"/>
          <w:u w:val="single"/>
          <w:lang w:val="en-GB"/>
        </w:rPr>
      </w:pPr>
      <w:r w:rsidRPr="00775BF2">
        <w:rPr>
          <w:sz w:val="24"/>
          <w:szCs w:val="24"/>
          <w:u w:val="single"/>
          <w:lang w:val="en-GB"/>
        </w:rPr>
        <w:t>Pregnancy</w:t>
      </w:r>
    </w:p>
    <w:p w14:paraId="1517A02D" w14:textId="77777777" w:rsidR="008D4EC8" w:rsidRPr="00775BF2" w:rsidRDefault="008D4EC8" w:rsidP="00FF79E8">
      <w:pPr>
        <w:ind w:left="851"/>
        <w:contextualSpacing/>
        <w:rPr>
          <w:sz w:val="24"/>
          <w:szCs w:val="24"/>
          <w:lang w:val="en-GB"/>
        </w:rPr>
      </w:pPr>
      <w:r w:rsidRPr="00775BF2">
        <w:rPr>
          <w:sz w:val="24"/>
          <w:szCs w:val="24"/>
          <w:lang w:val="en-GB"/>
        </w:rPr>
        <w:t xml:space="preserve">For esomeprazole clinical data on exposed pregnancies are insufficient. With the racemic mixture, omeprazole, data on a larger number of exposed pregnancies from epidemiological studies indicate no </w:t>
      </w:r>
      <w:proofErr w:type="spellStart"/>
      <w:r w:rsidRPr="00775BF2">
        <w:rPr>
          <w:sz w:val="24"/>
          <w:szCs w:val="24"/>
          <w:lang w:val="en-GB"/>
        </w:rPr>
        <w:t>malformative</w:t>
      </w:r>
      <w:proofErr w:type="spellEnd"/>
      <w:r w:rsidRPr="00775BF2">
        <w:rPr>
          <w:sz w:val="24"/>
          <w:szCs w:val="24"/>
          <w:lang w:val="en-GB"/>
        </w:rPr>
        <w:t xml:space="preserve"> nor </w:t>
      </w:r>
      <w:proofErr w:type="spellStart"/>
      <w:r w:rsidRPr="00775BF2">
        <w:rPr>
          <w:sz w:val="24"/>
          <w:szCs w:val="24"/>
          <w:lang w:val="en-GB"/>
        </w:rPr>
        <w:t>foetotoxic</w:t>
      </w:r>
      <w:proofErr w:type="spellEnd"/>
      <w:r w:rsidRPr="00775BF2">
        <w:rPr>
          <w:sz w:val="24"/>
          <w:szCs w:val="24"/>
          <w:lang w:val="en-GB"/>
        </w:rPr>
        <w:t xml:space="preserve"> effect. Animal studies with esomeprazole do not indicate direct or indirect harmful effects with respect to embryonal/</w:t>
      </w:r>
      <w:proofErr w:type="spellStart"/>
      <w:r w:rsidRPr="00775BF2">
        <w:rPr>
          <w:sz w:val="24"/>
          <w:szCs w:val="24"/>
          <w:lang w:val="en-GB"/>
        </w:rPr>
        <w:t>fetal</w:t>
      </w:r>
      <w:proofErr w:type="spellEnd"/>
      <w:r w:rsidRPr="00775BF2">
        <w:rPr>
          <w:sz w:val="24"/>
          <w:szCs w:val="24"/>
          <w:lang w:val="en-GB"/>
        </w:rPr>
        <w:t xml:space="preserve"> development. Animal studies with the racemic mixture do not indicate direct or indirect harmful effects with respect to pregnancy, parturition or postnatal development. Caution should be exercised when prescribing to pregnant women.</w:t>
      </w:r>
    </w:p>
    <w:p w14:paraId="4668A83A" w14:textId="77777777" w:rsidR="008D4EC8" w:rsidRPr="00775BF2" w:rsidRDefault="008D4EC8" w:rsidP="00FF79E8">
      <w:pPr>
        <w:ind w:left="851"/>
        <w:contextualSpacing/>
        <w:rPr>
          <w:sz w:val="24"/>
          <w:szCs w:val="24"/>
          <w:lang w:val="en-GB"/>
        </w:rPr>
      </w:pPr>
    </w:p>
    <w:p w14:paraId="380A96A8" w14:textId="6AE5BDD2" w:rsidR="008D4EC8" w:rsidRPr="00775BF2" w:rsidRDefault="008D4EC8" w:rsidP="00FF79E8">
      <w:pPr>
        <w:ind w:left="851"/>
        <w:contextualSpacing/>
        <w:rPr>
          <w:sz w:val="24"/>
          <w:szCs w:val="24"/>
          <w:lang w:val="en-GB"/>
        </w:rPr>
      </w:pPr>
      <w:r w:rsidRPr="00775BF2">
        <w:rPr>
          <w:sz w:val="24"/>
          <w:szCs w:val="24"/>
          <w:lang w:val="en-GB"/>
        </w:rPr>
        <w:t xml:space="preserve">A moderate amount of data on pregnant women (between 300-1000 pregnancy outcomes) indicates no </w:t>
      </w:r>
      <w:proofErr w:type="spellStart"/>
      <w:r w:rsidRPr="00775BF2">
        <w:rPr>
          <w:sz w:val="24"/>
          <w:szCs w:val="24"/>
          <w:lang w:val="en-GB"/>
        </w:rPr>
        <w:t>malformative</w:t>
      </w:r>
      <w:proofErr w:type="spellEnd"/>
      <w:r w:rsidRPr="00775BF2">
        <w:rPr>
          <w:sz w:val="24"/>
          <w:szCs w:val="24"/>
          <w:lang w:val="en-GB"/>
        </w:rPr>
        <w:t xml:space="preserve"> or </w:t>
      </w:r>
      <w:proofErr w:type="spellStart"/>
      <w:r w:rsidRPr="00775BF2">
        <w:rPr>
          <w:sz w:val="24"/>
          <w:szCs w:val="24"/>
          <w:lang w:val="en-GB"/>
        </w:rPr>
        <w:t>foeto</w:t>
      </w:r>
      <w:proofErr w:type="spellEnd"/>
      <w:r w:rsidRPr="00775BF2">
        <w:rPr>
          <w:sz w:val="24"/>
          <w:szCs w:val="24"/>
          <w:lang w:val="en-GB"/>
        </w:rPr>
        <w:t>/neonatal toxicity of esomeprazole.</w:t>
      </w:r>
    </w:p>
    <w:p w14:paraId="09427FDB" w14:textId="77777777" w:rsidR="008D4EC8" w:rsidRPr="00775BF2" w:rsidRDefault="008D4EC8" w:rsidP="00FF79E8">
      <w:pPr>
        <w:ind w:left="851"/>
        <w:contextualSpacing/>
        <w:rPr>
          <w:sz w:val="24"/>
          <w:szCs w:val="24"/>
          <w:lang w:val="en-GB"/>
        </w:rPr>
      </w:pPr>
    </w:p>
    <w:p w14:paraId="581ACC4A" w14:textId="20AB9FD6" w:rsidR="008D4EC8" w:rsidRPr="00775BF2" w:rsidRDefault="008D4EC8" w:rsidP="00FF79E8">
      <w:pPr>
        <w:ind w:left="851"/>
        <w:contextualSpacing/>
        <w:rPr>
          <w:sz w:val="24"/>
          <w:szCs w:val="24"/>
          <w:lang w:val="en-GB"/>
        </w:rPr>
      </w:pPr>
      <w:r w:rsidRPr="00775BF2">
        <w:rPr>
          <w:sz w:val="24"/>
          <w:szCs w:val="24"/>
          <w:lang w:val="en-GB"/>
        </w:rPr>
        <w:t>Animal studies do not indicate direct or indirect harmful effects with respect to reproductive toxicity</w:t>
      </w:r>
      <w:r w:rsidR="00F003D9">
        <w:rPr>
          <w:sz w:val="24"/>
          <w:szCs w:val="24"/>
          <w:lang w:val="en-GB"/>
        </w:rPr>
        <w:t xml:space="preserve"> </w:t>
      </w:r>
      <w:r w:rsidRPr="00775BF2">
        <w:rPr>
          <w:sz w:val="24"/>
          <w:szCs w:val="24"/>
          <w:lang w:val="en-GB"/>
        </w:rPr>
        <w:t>(see section 5.3).</w:t>
      </w:r>
    </w:p>
    <w:p w14:paraId="171C0E60" w14:textId="77777777" w:rsidR="008D4EC8" w:rsidRPr="00775BF2" w:rsidRDefault="008D4EC8" w:rsidP="00FF79E8">
      <w:pPr>
        <w:ind w:left="851"/>
        <w:contextualSpacing/>
        <w:rPr>
          <w:sz w:val="24"/>
          <w:szCs w:val="24"/>
          <w:lang w:val="en-GB"/>
        </w:rPr>
      </w:pPr>
    </w:p>
    <w:p w14:paraId="2A602409" w14:textId="77777777" w:rsidR="008D4EC8" w:rsidRPr="00775BF2" w:rsidRDefault="008D4EC8" w:rsidP="00FF79E8">
      <w:pPr>
        <w:ind w:left="851"/>
        <w:contextualSpacing/>
        <w:rPr>
          <w:sz w:val="24"/>
          <w:szCs w:val="24"/>
          <w:u w:val="single"/>
          <w:lang w:val="en-GB"/>
        </w:rPr>
      </w:pPr>
      <w:r w:rsidRPr="00775BF2">
        <w:rPr>
          <w:sz w:val="24"/>
          <w:szCs w:val="24"/>
          <w:u w:val="single"/>
          <w:lang w:val="en-GB"/>
        </w:rPr>
        <w:t>Breastfeeding</w:t>
      </w:r>
    </w:p>
    <w:p w14:paraId="24CBA2DA" w14:textId="352144A9" w:rsidR="008D4EC8" w:rsidRPr="00775BF2" w:rsidRDefault="008D4EC8" w:rsidP="00FF79E8">
      <w:pPr>
        <w:ind w:left="851"/>
        <w:contextualSpacing/>
        <w:rPr>
          <w:sz w:val="24"/>
          <w:szCs w:val="24"/>
          <w:lang w:val="en-GB"/>
        </w:rPr>
      </w:pPr>
      <w:r w:rsidRPr="00775BF2">
        <w:rPr>
          <w:sz w:val="24"/>
          <w:szCs w:val="24"/>
          <w:lang w:val="en-GB"/>
        </w:rPr>
        <w:t>It is not known whether esomeprazole is excreted in human breast milk. There is insufficient</w:t>
      </w:r>
      <w:r w:rsidR="00F003D9">
        <w:rPr>
          <w:sz w:val="24"/>
          <w:szCs w:val="24"/>
          <w:lang w:val="en-GB"/>
        </w:rPr>
        <w:t xml:space="preserve"> </w:t>
      </w:r>
      <w:r w:rsidRPr="00775BF2">
        <w:rPr>
          <w:sz w:val="24"/>
          <w:szCs w:val="24"/>
          <w:lang w:val="en-GB"/>
        </w:rPr>
        <w:t xml:space="preserve">information on the effects of esomeprazole in </w:t>
      </w:r>
      <w:proofErr w:type="spellStart"/>
      <w:r w:rsidRPr="00775BF2">
        <w:rPr>
          <w:sz w:val="24"/>
          <w:szCs w:val="24"/>
          <w:lang w:val="en-GB"/>
        </w:rPr>
        <w:t>newborns</w:t>
      </w:r>
      <w:proofErr w:type="spellEnd"/>
      <w:r w:rsidRPr="00775BF2">
        <w:rPr>
          <w:sz w:val="24"/>
          <w:szCs w:val="24"/>
          <w:lang w:val="en-GB"/>
        </w:rPr>
        <w:t>/infants. Esomeprazole should not be used</w:t>
      </w:r>
      <w:r w:rsidR="00F003D9">
        <w:rPr>
          <w:sz w:val="24"/>
          <w:szCs w:val="24"/>
          <w:lang w:val="en-GB"/>
        </w:rPr>
        <w:t xml:space="preserve"> </w:t>
      </w:r>
      <w:r w:rsidRPr="00775BF2">
        <w:rPr>
          <w:sz w:val="24"/>
          <w:szCs w:val="24"/>
          <w:lang w:val="en-GB"/>
        </w:rPr>
        <w:t>during breastfeeding.</w:t>
      </w:r>
    </w:p>
    <w:p w14:paraId="33335838" w14:textId="77777777" w:rsidR="008D4EC8" w:rsidRPr="00775BF2" w:rsidRDefault="008D4EC8" w:rsidP="00FF79E8">
      <w:pPr>
        <w:ind w:left="851"/>
        <w:contextualSpacing/>
        <w:rPr>
          <w:sz w:val="24"/>
          <w:szCs w:val="24"/>
          <w:lang w:val="en-GB"/>
        </w:rPr>
      </w:pPr>
    </w:p>
    <w:p w14:paraId="53CC19B6" w14:textId="77777777" w:rsidR="008D4EC8" w:rsidRPr="00775BF2" w:rsidRDefault="008D4EC8" w:rsidP="00FF79E8">
      <w:pPr>
        <w:ind w:left="851"/>
        <w:contextualSpacing/>
        <w:rPr>
          <w:sz w:val="24"/>
          <w:szCs w:val="24"/>
          <w:u w:val="single"/>
          <w:lang w:val="en-GB"/>
        </w:rPr>
      </w:pPr>
      <w:r w:rsidRPr="00775BF2">
        <w:rPr>
          <w:sz w:val="24"/>
          <w:szCs w:val="24"/>
          <w:u w:val="single"/>
          <w:lang w:val="en-GB"/>
        </w:rPr>
        <w:t>Fertility</w:t>
      </w:r>
    </w:p>
    <w:p w14:paraId="0CB79C54" w14:textId="20BBBD19" w:rsidR="008D4EC8" w:rsidRPr="00775BF2" w:rsidRDefault="008D4EC8" w:rsidP="00FF79E8">
      <w:pPr>
        <w:ind w:left="851"/>
        <w:contextualSpacing/>
        <w:rPr>
          <w:sz w:val="24"/>
          <w:szCs w:val="24"/>
          <w:lang w:val="en-GB"/>
        </w:rPr>
      </w:pPr>
      <w:r w:rsidRPr="00775BF2">
        <w:rPr>
          <w:sz w:val="24"/>
          <w:szCs w:val="24"/>
          <w:lang w:val="en-GB"/>
        </w:rPr>
        <w:t>Animal studies with the racemic mixture omeprazole, given by oral administration do not indicate</w:t>
      </w:r>
      <w:r w:rsidR="00F003D9">
        <w:rPr>
          <w:sz w:val="24"/>
          <w:szCs w:val="24"/>
          <w:lang w:val="en-GB"/>
        </w:rPr>
        <w:t xml:space="preserve"> </w:t>
      </w:r>
      <w:r w:rsidRPr="00775BF2">
        <w:rPr>
          <w:sz w:val="24"/>
          <w:szCs w:val="24"/>
          <w:lang w:val="en-GB"/>
        </w:rPr>
        <w:t>effects with respect to fertility.</w:t>
      </w:r>
    </w:p>
    <w:p w14:paraId="3C9E1B1C" w14:textId="77777777" w:rsidR="007C5D2A" w:rsidRPr="00775BF2" w:rsidRDefault="007C5D2A" w:rsidP="003E0341">
      <w:pPr>
        <w:tabs>
          <w:tab w:val="left" w:pos="851"/>
        </w:tabs>
        <w:ind w:left="851"/>
        <w:rPr>
          <w:sz w:val="24"/>
          <w:szCs w:val="24"/>
          <w:lang w:val="en-GB"/>
        </w:rPr>
      </w:pPr>
    </w:p>
    <w:p w14:paraId="1882DD69"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4.7</w:t>
      </w:r>
      <w:r w:rsidRPr="00775BF2">
        <w:rPr>
          <w:b/>
          <w:sz w:val="24"/>
          <w:szCs w:val="24"/>
          <w:lang w:val="en-GB"/>
        </w:rPr>
        <w:tab/>
        <w:t>Effects on ability to drive and use machines</w:t>
      </w:r>
    </w:p>
    <w:p w14:paraId="5840B415" w14:textId="77777777" w:rsidR="001A3AC6" w:rsidRDefault="001A3AC6" w:rsidP="00FF79E8">
      <w:pPr>
        <w:ind w:left="851"/>
        <w:contextualSpacing/>
        <w:rPr>
          <w:sz w:val="24"/>
          <w:szCs w:val="24"/>
          <w:lang w:val="en-GB"/>
        </w:rPr>
      </w:pPr>
      <w:r>
        <w:rPr>
          <w:sz w:val="24"/>
          <w:szCs w:val="24"/>
          <w:lang w:val="en-GB"/>
        </w:rPr>
        <w:t>No traffic warning.</w:t>
      </w:r>
    </w:p>
    <w:p w14:paraId="6A739834" w14:textId="1A4806FC" w:rsidR="008D4EC8" w:rsidRPr="00775BF2" w:rsidRDefault="008D4EC8" w:rsidP="00FF79E8">
      <w:pPr>
        <w:ind w:left="851"/>
        <w:contextualSpacing/>
        <w:rPr>
          <w:sz w:val="24"/>
          <w:szCs w:val="24"/>
          <w:lang w:val="en-GB"/>
        </w:rPr>
      </w:pPr>
      <w:r w:rsidRPr="00775BF2">
        <w:rPr>
          <w:sz w:val="24"/>
          <w:szCs w:val="24"/>
          <w:lang w:val="en-GB"/>
        </w:rPr>
        <w:t>Esomeprazole has minor influence on the ability to drive and use machines. Adverse reactions such as</w:t>
      </w:r>
      <w:r w:rsidR="001A3AC6">
        <w:rPr>
          <w:sz w:val="24"/>
          <w:szCs w:val="24"/>
          <w:lang w:val="en-GB"/>
        </w:rPr>
        <w:t xml:space="preserve"> </w:t>
      </w:r>
      <w:r w:rsidRPr="00775BF2">
        <w:rPr>
          <w:sz w:val="24"/>
          <w:szCs w:val="24"/>
          <w:lang w:val="en-GB"/>
        </w:rPr>
        <w:t>dizziness (uncommon) and blurred vision (rare) has been reported (see section 4.8). If affected patients</w:t>
      </w:r>
      <w:r w:rsidR="001A3AC6">
        <w:rPr>
          <w:sz w:val="24"/>
          <w:szCs w:val="24"/>
          <w:lang w:val="en-GB"/>
        </w:rPr>
        <w:t xml:space="preserve"> </w:t>
      </w:r>
      <w:r w:rsidRPr="00775BF2">
        <w:rPr>
          <w:sz w:val="24"/>
          <w:szCs w:val="24"/>
          <w:lang w:val="en-GB"/>
        </w:rPr>
        <w:t>should not drive or use machines.</w:t>
      </w:r>
    </w:p>
    <w:p w14:paraId="6F4DF5BA" w14:textId="00742BBE" w:rsidR="00462D86" w:rsidRDefault="00462D86">
      <w:pPr>
        <w:rPr>
          <w:sz w:val="24"/>
          <w:szCs w:val="24"/>
          <w:lang w:val="en-GB"/>
        </w:rPr>
      </w:pPr>
      <w:r>
        <w:rPr>
          <w:sz w:val="24"/>
          <w:szCs w:val="24"/>
          <w:lang w:val="en-GB"/>
        </w:rPr>
        <w:br w:type="page"/>
      </w:r>
    </w:p>
    <w:p w14:paraId="03BEC283" w14:textId="77777777" w:rsidR="007C5D2A" w:rsidRPr="00775BF2" w:rsidRDefault="007C5D2A" w:rsidP="003E0341">
      <w:pPr>
        <w:tabs>
          <w:tab w:val="left" w:pos="851"/>
        </w:tabs>
        <w:ind w:left="851"/>
        <w:rPr>
          <w:sz w:val="24"/>
          <w:szCs w:val="24"/>
          <w:lang w:val="en-GB"/>
        </w:rPr>
      </w:pPr>
    </w:p>
    <w:p w14:paraId="1CD8E13A"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4.8</w:t>
      </w:r>
      <w:r w:rsidRPr="00775BF2">
        <w:rPr>
          <w:b/>
          <w:sz w:val="24"/>
          <w:szCs w:val="24"/>
          <w:lang w:val="en-GB"/>
        </w:rPr>
        <w:tab/>
        <w:t>Undesirable effects</w:t>
      </w:r>
    </w:p>
    <w:p w14:paraId="3425B588" w14:textId="77777777" w:rsidR="00F003D9" w:rsidRDefault="00F003D9" w:rsidP="00FF79E8">
      <w:pPr>
        <w:ind w:left="851"/>
        <w:contextualSpacing/>
        <w:rPr>
          <w:sz w:val="24"/>
          <w:szCs w:val="24"/>
          <w:u w:val="single"/>
          <w:lang w:val="en-GB"/>
        </w:rPr>
      </w:pPr>
    </w:p>
    <w:p w14:paraId="607FDF0B" w14:textId="5D522A18" w:rsidR="008D4EC8" w:rsidRPr="00775BF2" w:rsidRDefault="008D4EC8" w:rsidP="00FF79E8">
      <w:pPr>
        <w:ind w:left="851"/>
        <w:contextualSpacing/>
        <w:rPr>
          <w:sz w:val="24"/>
          <w:szCs w:val="24"/>
          <w:u w:val="single"/>
          <w:lang w:val="en-GB"/>
        </w:rPr>
      </w:pPr>
      <w:r w:rsidRPr="00775BF2">
        <w:rPr>
          <w:sz w:val="24"/>
          <w:szCs w:val="24"/>
          <w:u w:val="single"/>
          <w:lang w:val="en-GB"/>
        </w:rPr>
        <w:t>Summary of the safety profile</w:t>
      </w:r>
    </w:p>
    <w:p w14:paraId="6EE028F5" w14:textId="764D303D" w:rsidR="008D4EC8" w:rsidRPr="00775BF2" w:rsidRDefault="008D4EC8" w:rsidP="00FF79E8">
      <w:pPr>
        <w:ind w:left="851"/>
        <w:contextualSpacing/>
        <w:rPr>
          <w:sz w:val="24"/>
          <w:szCs w:val="24"/>
          <w:lang w:val="en-GB"/>
        </w:rPr>
      </w:pPr>
      <w:r w:rsidRPr="00775BF2">
        <w:rPr>
          <w:sz w:val="24"/>
          <w:szCs w:val="24"/>
          <w:lang w:val="en-GB"/>
        </w:rPr>
        <w:t>Headache, abdominal pain, diarrhoea and nausea are among those adverse reactions that have been</w:t>
      </w:r>
      <w:r w:rsidR="00F003D9">
        <w:rPr>
          <w:sz w:val="24"/>
          <w:szCs w:val="24"/>
          <w:lang w:val="en-GB"/>
        </w:rPr>
        <w:t xml:space="preserve"> </w:t>
      </w:r>
      <w:r w:rsidRPr="00775BF2">
        <w:rPr>
          <w:sz w:val="24"/>
          <w:szCs w:val="24"/>
          <w:lang w:val="en-GB"/>
        </w:rPr>
        <w:t>most commonly reported in clinical trials (and also from post-marketing use). In addition, the safety</w:t>
      </w:r>
      <w:r w:rsidR="00F003D9">
        <w:rPr>
          <w:sz w:val="24"/>
          <w:szCs w:val="24"/>
          <w:lang w:val="en-GB"/>
        </w:rPr>
        <w:t xml:space="preserve"> </w:t>
      </w:r>
      <w:r w:rsidRPr="00775BF2">
        <w:rPr>
          <w:sz w:val="24"/>
          <w:szCs w:val="24"/>
          <w:lang w:val="en-GB"/>
        </w:rPr>
        <w:t>profile is similar for different formulations, treatment indications, age groups and patient populations.</w:t>
      </w:r>
    </w:p>
    <w:p w14:paraId="28904115" w14:textId="77777777" w:rsidR="008D4EC8" w:rsidRPr="00775BF2" w:rsidRDefault="008D4EC8" w:rsidP="00FF79E8">
      <w:pPr>
        <w:ind w:left="851"/>
        <w:contextualSpacing/>
        <w:rPr>
          <w:sz w:val="24"/>
          <w:szCs w:val="24"/>
          <w:lang w:val="en-GB"/>
        </w:rPr>
      </w:pPr>
      <w:r w:rsidRPr="00775BF2">
        <w:rPr>
          <w:sz w:val="24"/>
          <w:szCs w:val="24"/>
          <w:lang w:val="en-GB"/>
        </w:rPr>
        <w:t>No dose-related adverse reactions have been identified.</w:t>
      </w:r>
    </w:p>
    <w:p w14:paraId="411D82B1" w14:textId="77777777" w:rsidR="008D4EC8" w:rsidRPr="00775BF2" w:rsidRDefault="008D4EC8" w:rsidP="00FF79E8">
      <w:pPr>
        <w:ind w:left="851"/>
        <w:contextualSpacing/>
        <w:rPr>
          <w:sz w:val="24"/>
          <w:szCs w:val="24"/>
          <w:lang w:val="en-GB"/>
        </w:rPr>
      </w:pPr>
    </w:p>
    <w:p w14:paraId="242BA5C1" w14:textId="77777777" w:rsidR="008D4EC8" w:rsidRPr="00775BF2" w:rsidRDefault="008D4EC8" w:rsidP="00FF79E8">
      <w:pPr>
        <w:ind w:left="851"/>
        <w:contextualSpacing/>
        <w:rPr>
          <w:sz w:val="24"/>
          <w:szCs w:val="24"/>
          <w:u w:val="single"/>
          <w:lang w:val="en-GB"/>
        </w:rPr>
      </w:pPr>
      <w:r w:rsidRPr="00775BF2">
        <w:rPr>
          <w:sz w:val="24"/>
          <w:szCs w:val="24"/>
          <w:u w:val="single"/>
          <w:lang w:val="en-GB"/>
        </w:rPr>
        <w:t>Tabulated list of adverse reactions</w:t>
      </w:r>
    </w:p>
    <w:p w14:paraId="3982B4B5" w14:textId="77777777" w:rsidR="008D4EC8" w:rsidRPr="00775BF2" w:rsidRDefault="008D4EC8" w:rsidP="00FF79E8">
      <w:pPr>
        <w:ind w:left="851"/>
        <w:contextualSpacing/>
        <w:rPr>
          <w:sz w:val="24"/>
          <w:szCs w:val="24"/>
          <w:lang w:val="en-GB"/>
        </w:rPr>
      </w:pPr>
      <w:r w:rsidRPr="00775BF2">
        <w:rPr>
          <w:sz w:val="24"/>
          <w:szCs w:val="24"/>
          <w:lang w:val="en-GB"/>
        </w:rPr>
        <w:t>The following adverse drug reactions have been identified or suspected in the clinical trials programme for esomeprazole and post</w:t>
      </w:r>
      <w:r w:rsidRPr="00775BF2">
        <w:rPr>
          <w:sz w:val="24"/>
          <w:szCs w:val="24"/>
          <w:lang w:val="en-GB"/>
        </w:rPr>
        <w:noBreakHyphen/>
        <w:t>marketing. None was found to be dose</w:t>
      </w:r>
      <w:r w:rsidRPr="00775BF2">
        <w:rPr>
          <w:sz w:val="24"/>
          <w:szCs w:val="24"/>
          <w:lang w:val="en-GB"/>
        </w:rPr>
        <w:noBreakHyphen/>
        <w:t xml:space="preserve">related. The reactions are classified according to frequency (very common ≥1/10; common ≥1/100 to &lt;1/10; uncommon ≥1/1,000 to &lt;1/100; rare ≥1/10,000 to &lt;1/1,000; very rare &lt;1/10,000; </w:t>
      </w:r>
      <w:r w:rsidRPr="00775BF2">
        <w:rPr>
          <w:sz w:val="24"/>
          <w:szCs w:val="24"/>
          <w:lang w:val="en-US"/>
        </w:rPr>
        <w:t>not known (cannot be estimated from the available data</w:t>
      </w:r>
      <w:r w:rsidRPr="00775BF2">
        <w:rPr>
          <w:sz w:val="24"/>
          <w:szCs w:val="24"/>
        </w:rPr>
        <w:fldChar w:fldCharType="begin"/>
      </w:r>
      <w:r w:rsidRPr="00775BF2">
        <w:rPr>
          <w:sz w:val="24"/>
          <w:szCs w:val="24"/>
          <w:lang w:val="en-US"/>
        </w:rPr>
        <w:instrText xml:space="preserve">  </w:instrText>
      </w:r>
      <w:r w:rsidRPr="00775BF2">
        <w:rPr>
          <w:sz w:val="24"/>
          <w:szCs w:val="24"/>
        </w:rPr>
        <w:fldChar w:fldCharType="end"/>
      </w:r>
      <w:r w:rsidRPr="00775BF2">
        <w:rPr>
          <w:sz w:val="24"/>
          <w:szCs w:val="24"/>
          <w:lang w:val="en-US"/>
        </w:rPr>
        <w:t>)</w:t>
      </w:r>
      <w:r w:rsidRPr="00775BF2">
        <w:rPr>
          <w:sz w:val="24"/>
          <w:szCs w:val="24"/>
          <w:lang w:val="en-GB"/>
        </w:rPr>
        <w:t>).</w:t>
      </w:r>
    </w:p>
    <w:p w14:paraId="538E20D8" w14:textId="77777777" w:rsidR="008D4EC8" w:rsidRPr="00775BF2" w:rsidRDefault="008D4EC8" w:rsidP="00FF79E8">
      <w:pPr>
        <w:ind w:left="851"/>
        <w:contextualSpacing/>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1645"/>
        <w:gridCol w:w="4774"/>
      </w:tblGrid>
      <w:tr w:rsidR="008D4EC8" w:rsidRPr="00775BF2" w14:paraId="6B96ADC6" w14:textId="77777777" w:rsidTr="00FF79E8">
        <w:trPr>
          <w:trHeight w:val="337"/>
        </w:trPr>
        <w:tc>
          <w:tcPr>
            <w:tcW w:w="1666" w:type="pct"/>
            <w:tcBorders>
              <w:top w:val="single" w:sz="4" w:space="0" w:color="auto"/>
              <w:left w:val="single" w:sz="4" w:space="0" w:color="auto"/>
              <w:bottom w:val="single" w:sz="4" w:space="0" w:color="auto"/>
              <w:right w:val="single" w:sz="4" w:space="0" w:color="auto"/>
            </w:tcBorders>
            <w:hideMark/>
          </w:tcPr>
          <w:p w14:paraId="5653EDBB" w14:textId="77777777" w:rsidR="008D4EC8" w:rsidRPr="00775BF2" w:rsidRDefault="008D4EC8">
            <w:pPr>
              <w:contextualSpacing/>
              <w:rPr>
                <w:sz w:val="24"/>
                <w:szCs w:val="24"/>
                <w:lang w:val="en-GB"/>
              </w:rPr>
            </w:pPr>
            <w:r w:rsidRPr="00775BF2">
              <w:rPr>
                <w:sz w:val="24"/>
                <w:szCs w:val="24"/>
                <w:lang w:val="en-GB"/>
              </w:rPr>
              <w:t>System Organ Class</w:t>
            </w:r>
          </w:p>
        </w:tc>
        <w:tc>
          <w:tcPr>
            <w:tcW w:w="854" w:type="pct"/>
            <w:tcBorders>
              <w:top w:val="single" w:sz="4" w:space="0" w:color="auto"/>
              <w:left w:val="single" w:sz="4" w:space="0" w:color="auto"/>
              <w:bottom w:val="single" w:sz="4" w:space="0" w:color="auto"/>
              <w:right w:val="single" w:sz="4" w:space="0" w:color="auto"/>
            </w:tcBorders>
            <w:hideMark/>
          </w:tcPr>
          <w:p w14:paraId="6CD40848" w14:textId="77777777" w:rsidR="008D4EC8" w:rsidRPr="00775BF2" w:rsidRDefault="008D4EC8">
            <w:pPr>
              <w:contextualSpacing/>
              <w:rPr>
                <w:sz w:val="24"/>
                <w:szCs w:val="24"/>
                <w:lang w:val="en-GB"/>
              </w:rPr>
            </w:pPr>
            <w:r w:rsidRPr="00775BF2">
              <w:rPr>
                <w:sz w:val="24"/>
                <w:szCs w:val="24"/>
                <w:lang w:val="en-GB"/>
              </w:rPr>
              <w:t>Frequency</w:t>
            </w:r>
          </w:p>
        </w:tc>
        <w:tc>
          <w:tcPr>
            <w:tcW w:w="2479" w:type="pct"/>
            <w:tcBorders>
              <w:top w:val="single" w:sz="4" w:space="0" w:color="auto"/>
              <w:left w:val="single" w:sz="4" w:space="0" w:color="auto"/>
              <w:bottom w:val="single" w:sz="4" w:space="0" w:color="auto"/>
              <w:right w:val="single" w:sz="4" w:space="0" w:color="auto"/>
            </w:tcBorders>
            <w:hideMark/>
          </w:tcPr>
          <w:p w14:paraId="1D4E9AD5" w14:textId="77777777" w:rsidR="008D4EC8" w:rsidRPr="00775BF2" w:rsidRDefault="008D4EC8">
            <w:pPr>
              <w:contextualSpacing/>
              <w:rPr>
                <w:sz w:val="24"/>
                <w:szCs w:val="24"/>
                <w:lang w:val="en-GB"/>
              </w:rPr>
            </w:pPr>
            <w:r w:rsidRPr="00775BF2">
              <w:rPr>
                <w:sz w:val="24"/>
                <w:szCs w:val="24"/>
                <w:lang w:val="en-GB"/>
              </w:rPr>
              <w:t>Undesirable Effect</w:t>
            </w:r>
          </w:p>
        </w:tc>
      </w:tr>
      <w:tr w:rsidR="008D4EC8" w:rsidRPr="00775BF2" w14:paraId="19ED6AED" w14:textId="77777777" w:rsidTr="00FF79E8">
        <w:trPr>
          <w:trHeight w:val="337"/>
        </w:trPr>
        <w:tc>
          <w:tcPr>
            <w:tcW w:w="1666" w:type="pct"/>
            <w:vMerge w:val="restart"/>
            <w:tcBorders>
              <w:top w:val="single" w:sz="4" w:space="0" w:color="auto"/>
              <w:left w:val="single" w:sz="4" w:space="0" w:color="auto"/>
              <w:bottom w:val="single" w:sz="4" w:space="0" w:color="auto"/>
              <w:right w:val="single" w:sz="4" w:space="0" w:color="auto"/>
            </w:tcBorders>
            <w:hideMark/>
          </w:tcPr>
          <w:p w14:paraId="0E958150" w14:textId="77777777" w:rsidR="008D4EC8" w:rsidRPr="00775BF2" w:rsidRDefault="008D4EC8">
            <w:pPr>
              <w:contextualSpacing/>
              <w:rPr>
                <w:sz w:val="24"/>
                <w:szCs w:val="24"/>
                <w:lang w:val="en-GB"/>
              </w:rPr>
            </w:pPr>
            <w:r w:rsidRPr="00775BF2">
              <w:rPr>
                <w:sz w:val="24"/>
                <w:szCs w:val="24"/>
                <w:lang w:val="en-GB"/>
              </w:rPr>
              <w:t>Blood and lymphatic system disorders</w:t>
            </w:r>
          </w:p>
        </w:tc>
        <w:tc>
          <w:tcPr>
            <w:tcW w:w="854" w:type="pct"/>
            <w:tcBorders>
              <w:top w:val="single" w:sz="4" w:space="0" w:color="auto"/>
              <w:left w:val="single" w:sz="4" w:space="0" w:color="auto"/>
              <w:bottom w:val="single" w:sz="4" w:space="0" w:color="auto"/>
              <w:right w:val="single" w:sz="4" w:space="0" w:color="auto"/>
            </w:tcBorders>
            <w:hideMark/>
          </w:tcPr>
          <w:p w14:paraId="188EA19F"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32DB1625" w14:textId="77777777" w:rsidR="008D4EC8" w:rsidRPr="00775BF2" w:rsidRDefault="008D4EC8">
            <w:pPr>
              <w:contextualSpacing/>
              <w:rPr>
                <w:sz w:val="24"/>
                <w:szCs w:val="24"/>
                <w:lang w:val="en-GB"/>
              </w:rPr>
            </w:pPr>
            <w:r w:rsidRPr="00775BF2">
              <w:rPr>
                <w:sz w:val="24"/>
                <w:szCs w:val="24"/>
                <w:lang w:val="en-GB"/>
              </w:rPr>
              <w:t>Leukopenia, thrombocytopenia</w:t>
            </w:r>
          </w:p>
        </w:tc>
      </w:tr>
      <w:tr w:rsidR="008D4EC8" w:rsidRPr="00775BF2" w14:paraId="3F2A241E" w14:textId="77777777" w:rsidTr="00FF79E8">
        <w:trPr>
          <w:trHeight w:val="430"/>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442BC5A3"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5E49D940"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522060B0" w14:textId="77777777" w:rsidR="008D4EC8" w:rsidRPr="00775BF2" w:rsidRDefault="008D4EC8">
            <w:pPr>
              <w:contextualSpacing/>
              <w:rPr>
                <w:sz w:val="24"/>
                <w:szCs w:val="24"/>
                <w:lang w:val="en-GB"/>
              </w:rPr>
            </w:pPr>
            <w:r w:rsidRPr="00775BF2">
              <w:rPr>
                <w:sz w:val="24"/>
                <w:szCs w:val="24"/>
                <w:lang w:val="en-GB"/>
              </w:rPr>
              <w:t>Agranulocytosis, pancytopenia</w:t>
            </w:r>
          </w:p>
        </w:tc>
      </w:tr>
      <w:tr w:rsidR="008D4EC8" w:rsidRPr="00462D86" w14:paraId="79268415" w14:textId="77777777" w:rsidTr="00FF79E8">
        <w:trPr>
          <w:trHeight w:val="819"/>
        </w:trPr>
        <w:tc>
          <w:tcPr>
            <w:tcW w:w="1666" w:type="pct"/>
            <w:tcBorders>
              <w:top w:val="single" w:sz="4" w:space="0" w:color="auto"/>
              <w:left w:val="single" w:sz="4" w:space="0" w:color="auto"/>
              <w:bottom w:val="single" w:sz="4" w:space="0" w:color="auto"/>
              <w:right w:val="single" w:sz="4" w:space="0" w:color="auto"/>
            </w:tcBorders>
            <w:hideMark/>
          </w:tcPr>
          <w:p w14:paraId="4EB8671E" w14:textId="77777777" w:rsidR="008D4EC8" w:rsidRPr="00775BF2" w:rsidRDefault="008D4EC8">
            <w:pPr>
              <w:contextualSpacing/>
              <w:rPr>
                <w:sz w:val="24"/>
                <w:szCs w:val="24"/>
                <w:lang w:val="en-GB"/>
              </w:rPr>
            </w:pPr>
            <w:r w:rsidRPr="00775BF2">
              <w:rPr>
                <w:sz w:val="24"/>
                <w:szCs w:val="24"/>
                <w:lang w:val="en-GB"/>
              </w:rPr>
              <w:t>Immune system disorders</w:t>
            </w:r>
          </w:p>
        </w:tc>
        <w:tc>
          <w:tcPr>
            <w:tcW w:w="854" w:type="pct"/>
            <w:tcBorders>
              <w:top w:val="single" w:sz="4" w:space="0" w:color="auto"/>
              <w:left w:val="single" w:sz="4" w:space="0" w:color="auto"/>
              <w:bottom w:val="single" w:sz="4" w:space="0" w:color="auto"/>
              <w:right w:val="single" w:sz="4" w:space="0" w:color="auto"/>
            </w:tcBorders>
            <w:hideMark/>
          </w:tcPr>
          <w:p w14:paraId="1358CA09"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504B7078" w14:textId="77777777" w:rsidR="008D4EC8" w:rsidRPr="00775BF2" w:rsidRDefault="008D4EC8">
            <w:pPr>
              <w:contextualSpacing/>
              <w:rPr>
                <w:sz w:val="24"/>
                <w:szCs w:val="24"/>
                <w:lang w:val="en-GB"/>
              </w:rPr>
            </w:pPr>
            <w:r w:rsidRPr="00775BF2">
              <w:rPr>
                <w:sz w:val="24"/>
                <w:szCs w:val="24"/>
                <w:lang w:val="en-GB"/>
              </w:rPr>
              <w:t>Hypersensitivity reactions e.g. fever, angioedema and anaphylactic reaction/shock</w:t>
            </w:r>
          </w:p>
        </w:tc>
      </w:tr>
      <w:tr w:rsidR="008D4EC8" w:rsidRPr="00775BF2" w14:paraId="5E87C2AD"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55A60753" w14:textId="77777777" w:rsidR="008D4EC8" w:rsidRPr="00775BF2" w:rsidRDefault="008D4EC8">
            <w:pPr>
              <w:contextualSpacing/>
              <w:rPr>
                <w:sz w:val="24"/>
                <w:szCs w:val="24"/>
                <w:lang w:val="en-GB"/>
              </w:rPr>
            </w:pPr>
            <w:r w:rsidRPr="00775BF2">
              <w:rPr>
                <w:sz w:val="24"/>
                <w:szCs w:val="24"/>
                <w:lang w:val="en-GB"/>
              </w:rPr>
              <w:t>Metabolism and nutrition disorders</w:t>
            </w:r>
          </w:p>
        </w:tc>
        <w:tc>
          <w:tcPr>
            <w:tcW w:w="854" w:type="pct"/>
            <w:tcBorders>
              <w:top w:val="single" w:sz="4" w:space="0" w:color="auto"/>
              <w:left w:val="single" w:sz="4" w:space="0" w:color="auto"/>
              <w:bottom w:val="single" w:sz="4" w:space="0" w:color="auto"/>
              <w:right w:val="single" w:sz="4" w:space="0" w:color="auto"/>
            </w:tcBorders>
            <w:hideMark/>
          </w:tcPr>
          <w:p w14:paraId="5D73D1FE"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3F4BEB1E" w14:textId="77777777" w:rsidR="008D4EC8" w:rsidRPr="00775BF2" w:rsidRDefault="008D4EC8">
            <w:pPr>
              <w:contextualSpacing/>
              <w:rPr>
                <w:sz w:val="24"/>
                <w:szCs w:val="24"/>
                <w:lang w:val="en-GB"/>
              </w:rPr>
            </w:pPr>
            <w:r w:rsidRPr="00775BF2">
              <w:rPr>
                <w:sz w:val="24"/>
                <w:szCs w:val="24"/>
                <w:lang w:val="en-GB"/>
              </w:rPr>
              <w:t>Peripheral oedema</w:t>
            </w:r>
          </w:p>
        </w:tc>
      </w:tr>
      <w:tr w:rsidR="008D4EC8" w:rsidRPr="00775BF2" w14:paraId="3DE92F06" w14:textId="77777777" w:rsidTr="00FF79E8">
        <w:trPr>
          <w:trHeight w:val="386"/>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19444C74"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6C35BD4E"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64AC37E5" w14:textId="77777777" w:rsidR="008D4EC8" w:rsidRPr="00775BF2" w:rsidRDefault="008D4EC8">
            <w:pPr>
              <w:contextualSpacing/>
              <w:rPr>
                <w:sz w:val="24"/>
                <w:szCs w:val="24"/>
                <w:lang w:val="en-GB"/>
              </w:rPr>
            </w:pPr>
            <w:r w:rsidRPr="00775BF2">
              <w:rPr>
                <w:sz w:val="24"/>
                <w:szCs w:val="24"/>
                <w:lang w:val="en-GB"/>
              </w:rPr>
              <w:t>Hyponatraemia</w:t>
            </w:r>
          </w:p>
        </w:tc>
      </w:tr>
      <w:tr w:rsidR="008D4EC8" w:rsidRPr="00775BF2" w14:paraId="1A5E8783" w14:textId="77777777" w:rsidTr="00FF79E8">
        <w:trPr>
          <w:trHeight w:val="386"/>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35BDC30F"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4BF0F409" w14:textId="77777777" w:rsidR="008D4EC8" w:rsidRPr="00775BF2" w:rsidRDefault="008D4EC8">
            <w:pPr>
              <w:contextualSpacing/>
              <w:rPr>
                <w:sz w:val="24"/>
                <w:szCs w:val="24"/>
                <w:lang w:val="en-GB"/>
              </w:rPr>
            </w:pPr>
            <w:r w:rsidRPr="00775BF2">
              <w:rPr>
                <w:sz w:val="24"/>
                <w:szCs w:val="24"/>
                <w:lang w:val="en-GB"/>
              </w:rPr>
              <w:t>Not known</w:t>
            </w:r>
          </w:p>
        </w:tc>
        <w:tc>
          <w:tcPr>
            <w:tcW w:w="2479" w:type="pct"/>
            <w:tcBorders>
              <w:top w:val="single" w:sz="4" w:space="0" w:color="auto"/>
              <w:left w:val="single" w:sz="4" w:space="0" w:color="auto"/>
              <w:bottom w:val="single" w:sz="4" w:space="0" w:color="auto"/>
              <w:right w:val="single" w:sz="4" w:space="0" w:color="auto"/>
            </w:tcBorders>
            <w:hideMark/>
          </w:tcPr>
          <w:p w14:paraId="75CED216" w14:textId="77777777" w:rsidR="008D4EC8" w:rsidRPr="00775BF2" w:rsidRDefault="008D4EC8">
            <w:pPr>
              <w:rPr>
                <w:sz w:val="24"/>
                <w:szCs w:val="24"/>
                <w:lang w:val="is-IS"/>
              </w:rPr>
            </w:pPr>
            <w:r w:rsidRPr="00775BF2">
              <w:rPr>
                <w:sz w:val="24"/>
                <w:szCs w:val="24"/>
                <w:lang w:val="en-GB"/>
              </w:rPr>
              <w:t xml:space="preserve">Hypomagnesaemia (see section 4.4); </w:t>
            </w:r>
            <w:r w:rsidRPr="00775BF2">
              <w:rPr>
                <w:sz w:val="24"/>
                <w:szCs w:val="24"/>
                <w:lang w:val="en-US"/>
              </w:rPr>
              <w:t xml:space="preserve">severe hypomagnesaemia can correlate with </w:t>
            </w:r>
            <w:proofErr w:type="spellStart"/>
            <w:r w:rsidRPr="00775BF2">
              <w:rPr>
                <w:sz w:val="24"/>
                <w:szCs w:val="24"/>
                <w:lang w:val="en-US"/>
              </w:rPr>
              <w:t>hypocalcaemia</w:t>
            </w:r>
            <w:proofErr w:type="spellEnd"/>
            <w:r w:rsidRPr="00775BF2">
              <w:rPr>
                <w:sz w:val="24"/>
                <w:szCs w:val="24"/>
                <w:lang w:val="en-US"/>
              </w:rPr>
              <w:t xml:space="preserve">. </w:t>
            </w:r>
            <w:proofErr w:type="spellStart"/>
            <w:r w:rsidRPr="00775BF2">
              <w:rPr>
                <w:iCs/>
                <w:sz w:val="24"/>
                <w:szCs w:val="24"/>
              </w:rPr>
              <w:t>Hypomagnesaemia</w:t>
            </w:r>
            <w:proofErr w:type="spellEnd"/>
            <w:r w:rsidRPr="00775BF2">
              <w:rPr>
                <w:iCs/>
                <w:sz w:val="24"/>
                <w:szCs w:val="24"/>
              </w:rPr>
              <w:t xml:space="preserve"> </w:t>
            </w:r>
            <w:proofErr w:type="spellStart"/>
            <w:r w:rsidRPr="00775BF2">
              <w:rPr>
                <w:iCs/>
                <w:sz w:val="24"/>
                <w:szCs w:val="24"/>
              </w:rPr>
              <w:t>may</w:t>
            </w:r>
            <w:proofErr w:type="spellEnd"/>
            <w:r w:rsidRPr="00775BF2">
              <w:rPr>
                <w:iCs/>
                <w:sz w:val="24"/>
                <w:szCs w:val="24"/>
              </w:rPr>
              <w:t xml:space="preserve"> </w:t>
            </w:r>
            <w:proofErr w:type="spellStart"/>
            <w:r w:rsidRPr="00775BF2">
              <w:rPr>
                <w:iCs/>
                <w:sz w:val="24"/>
                <w:szCs w:val="24"/>
              </w:rPr>
              <w:t>also</w:t>
            </w:r>
            <w:proofErr w:type="spellEnd"/>
            <w:r w:rsidRPr="00775BF2">
              <w:rPr>
                <w:iCs/>
                <w:sz w:val="24"/>
                <w:szCs w:val="24"/>
              </w:rPr>
              <w:t xml:space="preserve"> </w:t>
            </w:r>
            <w:proofErr w:type="spellStart"/>
            <w:r w:rsidRPr="00775BF2">
              <w:rPr>
                <w:iCs/>
                <w:sz w:val="24"/>
                <w:szCs w:val="24"/>
              </w:rPr>
              <w:t>be</w:t>
            </w:r>
            <w:proofErr w:type="spellEnd"/>
            <w:r w:rsidRPr="00775BF2">
              <w:rPr>
                <w:iCs/>
                <w:sz w:val="24"/>
                <w:szCs w:val="24"/>
              </w:rPr>
              <w:t xml:space="preserve"> </w:t>
            </w:r>
            <w:proofErr w:type="spellStart"/>
            <w:r w:rsidRPr="00775BF2">
              <w:rPr>
                <w:iCs/>
                <w:sz w:val="24"/>
                <w:szCs w:val="24"/>
              </w:rPr>
              <w:t>associated</w:t>
            </w:r>
            <w:proofErr w:type="spellEnd"/>
            <w:r w:rsidRPr="00775BF2">
              <w:rPr>
                <w:iCs/>
                <w:sz w:val="24"/>
                <w:szCs w:val="24"/>
              </w:rPr>
              <w:t xml:space="preserve"> with </w:t>
            </w:r>
            <w:proofErr w:type="spellStart"/>
            <w:r w:rsidRPr="00775BF2">
              <w:rPr>
                <w:iCs/>
                <w:sz w:val="24"/>
                <w:szCs w:val="24"/>
              </w:rPr>
              <w:t>hypokalaemia</w:t>
            </w:r>
            <w:proofErr w:type="spellEnd"/>
            <w:r w:rsidRPr="00775BF2">
              <w:rPr>
                <w:iCs/>
                <w:sz w:val="24"/>
                <w:szCs w:val="24"/>
              </w:rPr>
              <w:t>.</w:t>
            </w:r>
          </w:p>
        </w:tc>
      </w:tr>
      <w:tr w:rsidR="008D4EC8" w:rsidRPr="00775BF2" w14:paraId="35627779"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37816742" w14:textId="77777777" w:rsidR="008D4EC8" w:rsidRPr="00775BF2" w:rsidRDefault="008D4EC8">
            <w:pPr>
              <w:contextualSpacing/>
              <w:rPr>
                <w:sz w:val="24"/>
                <w:szCs w:val="24"/>
                <w:lang w:val="en-GB"/>
              </w:rPr>
            </w:pPr>
            <w:r w:rsidRPr="00775BF2">
              <w:rPr>
                <w:sz w:val="24"/>
                <w:szCs w:val="24"/>
                <w:lang w:val="en-GB"/>
              </w:rPr>
              <w:t>Psychiatric disorders</w:t>
            </w:r>
          </w:p>
        </w:tc>
        <w:tc>
          <w:tcPr>
            <w:tcW w:w="854" w:type="pct"/>
            <w:tcBorders>
              <w:top w:val="single" w:sz="4" w:space="0" w:color="auto"/>
              <w:left w:val="single" w:sz="4" w:space="0" w:color="auto"/>
              <w:bottom w:val="single" w:sz="4" w:space="0" w:color="auto"/>
              <w:right w:val="single" w:sz="4" w:space="0" w:color="auto"/>
            </w:tcBorders>
            <w:hideMark/>
          </w:tcPr>
          <w:p w14:paraId="7A63316E"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4A6C3CBA" w14:textId="77777777" w:rsidR="008D4EC8" w:rsidRPr="00775BF2" w:rsidRDefault="008D4EC8">
            <w:pPr>
              <w:contextualSpacing/>
              <w:rPr>
                <w:sz w:val="24"/>
                <w:szCs w:val="24"/>
                <w:lang w:val="en-GB"/>
              </w:rPr>
            </w:pPr>
            <w:r w:rsidRPr="00775BF2">
              <w:rPr>
                <w:sz w:val="24"/>
                <w:szCs w:val="24"/>
                <w:lang w:val="en-GB"/>
              </w:rPr>
              <w:t>Insomnia</w:t>
            </w:r>
          </w:p>
        </w:tc>
      </w:tr>
      <w:tr w:rsidR="008D4EC8" w:rsidRPr="00775BF2" w14:paraId="4233FDF0" w14:textId="77777777" w:rsidTr="00FF79E8">
        <w:trPr>
          <w:trHeight w:val="314"/>
        </w:trPr>
        <w:tc>
          <w:tcPr>
            <w:tcW w:w="1666" w:type="pct"/>
            <w:vMerge/>
            <w:tcBorders>
              <w:top w:val="single" w:sz="4" w:space="0" w:color="auto"/>
              <w:left w:val="single" w:sz="4" w:space="0" w:color="auto"/>
              <w:bottom w:val="single" w:sz="4" w:space="0" w:color="auto"/>
              <w:right w:val="single" w:sz="4" w:space="0" w:color="auto"/>
            </w:tcBorders>
            <w:vAlign w:val="center"/>
            <w:hideMark/>
          </w:tcPr>
          <w:p w14:paraId="1D8E36E0"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73DBE1A6"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556C98EF" w14:textId="77777777" w:rsidR="008D4EC8" w:rsidRPr="00775BF2" w:rsidRDefault="008D4EC8">
            <w:pPr>
              <w:contextualSpacing/>
              <w:rPr>
                <w:sz w:val="24"/>
                <w:szCs w:val="24"/>
                <w:lang w:val="en-GB"/>
              </w:rPr>
            </w:pPr>
            <w:r w:rsidRPr="00775BF2">
              <w:rPr>
                <w:sz w:val="24"/>
                <w:szCs w:val="24"/>
                <w:lang w:val="en-GB"/>
              </w:rPr>
              <w:t>Agitation, confusion, depression</w:t>
            </w:r>
          </w:p>
        </w:tc>
      </w:tr>
      <w:tr w:rsidR="008D4EC8" w:rsidRPr="00775BF2" w14:paraId="13D4FBCE"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5FA1B65A"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59DD968D"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24E582BB" w14:textId="77777777" w:rsidR="008D4EC8" w:rsidRPr="00775BF2" w:rsidRDefault="008D4EC8">
            <w:pPr>
              <w:contextualSpacing/>
              <w:rPr>
                <w:sz w:val="24"/>
                <w:szCs w:val="24"/>
                <w:lang w:val="en-GB"/>
              </w:rPr>
            </w:pPr>
            <w:r w:rsidRPr="00775BF2">
              <w:rPr>
                <w:sz w:val="24"/>
                <w:szCs w:val="24"/>
                <w:lang w:val="en-GB"/>
              </w:rPr>
              <w:t>Aggression, hallucinations</w:t>
            </w:r>
          </w:p>
        </w:tc>
      </w:tr>
      <w:tr w:rsidR="008D4EC8" w:rsidRPr="00775BF2" w14:paraId="5F1F5F9E"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6CCCC654" w14:textId="77777777" w:rsidR="008D4EC8" w:rsidRPr="00775BF2" w:rsidRDefault="008D4EC8">
            <w:pPr>
              <w:contextualSpacing/>
              <w:rPr>
                <w:sz w:val="24"/>
                <w:szCs w:val="24"/>
                <w:lang w:val="en-GB"/>
              </w:rPr>
            </w:pPr>
            <w:r w:rsidRPr="00775BF2">
              <w:rPr>
                <w:sz w:val="24"/>
                <w:szCs w:val="24"/>
                <w:lang w:val="en-GB"/>
              </w:rPr>
              <w:t>Nervous system disorder</w:t>
            </w:r>
          </w:p>
        </w:tc>
        <w:tc>
          <w:tcPr>
            <w:tcW w:w="854" w:type="pct"/>
            <w:tcBorders>
              <w:top w:val="single" w:sz="4" w:space="0" w:color="auto"/>
              <w:left w:val="single" w:sz="4" w:space="0" w:color="auto"/>
              <w:bottom w:val="single" w:sz="4" w:space="0" w:color="auto"/>
              <w:right w:val="single" w:sz="4" w:space="0" w:color="auto"/>
            </w:tcBorders>
            <w:hideMark/>
          </w:tcPr>
          <w:p w14:paraId="06E18313" w14:textId="77777777" w:rsidR="008D4EC8" w:rsidRPr="00775BF2" w:rsidRDefault="008D4EC8">
            <w:pPr>
              <w:contextualSpacing/>
              <w:rPr>
                <w:sz w:val="24"/>
                <w:szCs w:val="24"/>
                <w:lang w:val="en-GB"/>
              </w:rPr>
            </w:pPr>
            <w:r w:rsidRPr="00775BF2">
              <w:rPr>
                <w:sz w:val="24"/>
                <w:szCs w:val="24"/>
                <w:lang w:val="en-GB"/>
              </w:rPr>
              <w:t>Common</w:t>
            </w:r>
          </w:p>
        </w:tc>
        <w:tc>
          <w:tcPr>
            <w:tcW w:w="2479" w:type="pct"/>
            <w:tcBorders>
              <w:top w:val="single" w:sz="4" w:space="0" w:color="auto"/>
              <w:left w:val="single" w:sz="4" w:space="0" w:color="auto"/>
              <w:bottom w:val="single" w:sz="4" w:space="0" w:color="auto"/>
              <w:right w:val="single" w:sz="4" w:space="0" w:color="auto"/>
            </w:tcBorders>
            <w:hideMark/>
          </w:tcPr>
          <w:p w14:paraId="146E1B70" w14:textId="77777777" w:rsidR="008D4EC8" w:rsidRPr="00775BF2" w:rsidRDefault="008D4EC8">
            <w:pPr>
              <w:contextualSpacing/>
              <w:rPr>
                <w:sz w:val="24"/>
                <w:szCs w:val="24"/>
                <w:lang w:val="en-GB"/>
              </w:rPr>
            </w:pPr>
            <w:r w:rsidRPr="00775BF2">
              <w:rPr>
                <w:sz w:val="24"/>
                <w:szCs w:val="24"/>
                <w:lang w:val="en-GB"/>
              </w:rPr>
              <w:t>Headache</w:t>
            </w:r>
          </w:p>
        </w:tc>
      </w:tr>
      <w:tr w:rsidR="008D4EC8" w:rsidRPr="00775BF2" w14:paraId="5BE43DB9"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51A4189F"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1F517F01"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14820AC7" w14:textId="77777777" w:rsidR="008D4EC8" w:rsidRPr="00775BF2" w:rsidRDefault="008D4EC8">
            <w:pPr>
              <w:contextualSpacing/>
              <w:rPr>
                <w:sz w:val="24"/>
                <w:szCs w:val="24"/>
                <w:lang w:val="en-GB"/>
              </w:rPr>
            </w:pPr>
            <w:r w:rsidRPr="00775BF2">
              <w:rPr>
                <w:sz w:val="24"/>
                <w:szCs w:val="24"/>
                <w:lang w:val="en-GB"/>
              </w:rPr>
              <w:t>Dizziness, paraesthesia, somnolence</w:t>
            </w:r>
          </w:p>
        </w:tc>
      </w:tr>
      <w:tr w:rsidR="008D4EC8" w:rsidRPr="00775BF2" w14:paraId="5ACF88A5"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5E20BC58"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28E66984"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2A6AB5DC" w14:textId="77777777" w:rsidR="008D4EC8" w:rsidRPr="00775BF2" w:rsidRDefault="008D4EC8">
            <w:pPr>
              <w:contextualSpacing/>
              <w:rPr>
                <w:sz w:val="24"/>
                <w:szCs w:val="24"/>
                <w:lang w:val="en-GB"/>
              </w:rPr>
            </w:pPr>
            <w:r w:rsidRPr="00775BF2">
              <w:rPr>
                <w:sz w:val="24"/>
                <w:szCs w:val="24"/>
                <w:lang w:val="en-GB"/>
              </w:rPr>
              <w:t>Taste disturbance</w:t>
            </w:r>
          </w:p>
        </w:tc>
      </w:tr>
      <w:tr w:rsidR="008D4EC8" w:rsidRPr="00775BF2" w14:paraId="4AE60215"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66BA05F8" w14:textId="77777777" w:rsidR="008D4EC8" w:rsidRPr="00775BF2" w:rsidRDefault="008D4EC8">
            <w:pPr>
              <w:contextualSpacing/>
              <w:rPr>
                <w:sz w:val="24"/>
                <w:szCs w:val="24"/>
                <w:lang w:val="en-GB"/>
              </w:rPr>
            </w:pPr>
            <w:r w:rsidRPr="00775BF2">
              <w:rPr>
                <w:sz w:val="24"/>
                <w:szCs w:val="24"/>
                <w:lang w:val="en-GB"/>
              </w:rPr>
              <w:t>Eye disorders</w:t>
            </w:r>
          </w:p>
        </w:tc>
        <w:tc>
          <w:tcPr>
            <w:tcW w:w="854" w:type="pct"/>
            <w:tcBorders>
              <w:top w:val="single" w:sz="4" w:space="0" w:color="auto"/>
              <w:left w:val="single" w:sz="4" w:space="0" w:color="auto"/>
              <w:bottom w:val="single" w:sz="4" w:space="0" w:color="auto"/>
              <w:right w:val="single" w:sz="4" w:space="0" w:color="auto"/>
            </w:tcBorders>
            <w:hideMark/>
          </w:tcPr>
          <w:p w14:paraId="0983E7BE"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245E260A" w14:textId="77777777" w:rsidR="008D4EC8" w:rsidRPr="00775BF2" w:rsidRDefault="008D4EC8">
            <w:pPr>
              <w:contextualSpacing/>
              <w:rPr>
                <w:sz w:val="24"/>
                <w:szCs w:val="24"/>
                <w:lang w:val="en-GB"/>
              </w:rPr>
            </w:pPr>
            <w:r w:rsidRPr="00775BF2">
              <w:rPr>
                <w:sz w:val="24"/>
                <w:szCs w:val="24"/>
                <w:lang w:val="en-GB"/>
              </w:rPr>
              <w:t>Blurred vision</w:t>
            </w:r>
          </w:p>
        </w:tc>
      </w:tr>
      <w:tr w:rsidR="008D4EC8" w:rsidRPr="00775BF2" w14:paraId="783E2A2B"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74EABF29" w14:textId="77777777" w:rsidR="008D4EC8" w:rsidRPr="00775BF2" w:rsidRDefault="008D4EC8">
            <w:pPr>
              <w:contextualSpacing/>
              <w:rPr>
                <w:sz w:val="24"/>
                <w:szCs w:val="24"/>
                <w:lang w:val="en-GB"/>
              </w:rPr>
            </w:pPr>
            <w:r w:rsidRPr="00775BF2">
              <w:rPr>
                <w:sz w:val="24"/>
                <w:szCs w:val="24"/>
                <w:lang w:val="en-GB"/>
              </w:rPr>
              <w:t>Ear and labyrinth disorders</w:t>
            </w:r>
          </w:p>
        </w:tc>
        <w:tc>
          <w:tcPr>
            <w:tcW w:w="854" w:type="pct"/>
            <w:tcBorders>
              <w:top w:val="single" w:sz="4" w:space="0" w:color="auto"/>
              <w:left w:val="single" w:sz="4" w:space="0" w:color="auto"/>
              <w:bottom w:val="single" w:sz="4" w:space="0" w:color="auto"/>
              <w:right w:val="single" w:sz="4" w:space="0" w:color="auto"/>
            </w:tcBorders>
            <w:hideMark/>
          </w:tcPr>
          <w:p w14:paraId="6CB4786F"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627D33EE" w14:textId="77777777" w:rsidR="008D4EC8" w:rsidRPr="00775BF2" w:rsidRDefault="008D4EC8">
            <w:pPr>
              <w:contextualSpacing/>
              <w:rPr>
                <w:sz w:val="24"/>
                <w:szCs w:val="24"/>
                <w:lang w:val="en-GB"/>
              </w:rPr>
            </w:pPr>
            <w:r w:rsidRPr="00775BF2">
              <w:rPr>
                <w:sz w:val="24"/>
                <w:szCs w:val="24"/>
                <w:lang w:val="en-GB"/>
              </w:rPr>
              <w:t>Vertigo</w:t>
            </w:r>
          </w:p>
        </w:tc>
      </w:tr>
      <w:tr w:rsidR="008D4EC8" w:rsidRPr="00775BF2" w14:paraId="110EF386"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03E4A55E" w14:textId="77777777" w:rsidR="008D4EC8" w:rsidRPr="00775BF2" w:rsidRDefault="008D4EC8">
            <w:pPr>
              <w:contextualSpacing/>
              <w:rPr>
                <w:sz w:val="24"/>
                <w:szCs w:val="24"/>
                <w:lang w:val="en-GB"/>
              </w:rPr>
            </w:pPr>
            <w:r w:rsidRPr="00775BF2">
              <w:rPr>
                <w:sz w:val="24"/>
                <w:szCs w:val="24"/>
                <w:lang w:val="en-GB"/>
              </w:rPr>
              <w:t>Respiratory, thoracic and mediastinal disorders</w:t>
            </w:r>
          </w:p>
        </w:tc>
        <w:tc>
          <w:tcPr>
            <w:tcW w:w="854" w:type="pct"/>
            <w:tcBorders>
              <w:top w:val="single" w:sz="4" w:space="0" w:color="auto"/>
              <w:left w:val="single" w:sz="4" w:space="0" w:color="auto"/>
              <w:bottom w:val="single" w:sz="4" w:space="0" w:color="auto"/>
              <w:right w:val="single" w:sz="4" w:space="0" w:color="auto"/>
            </w:tcBorders>
            <w:hideMark/>
          </w:tcPr>
          <w:p w14:paraId="75A8B06E"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63856F62" w14:textId="77777777" w:rsidR="008D4EC8" w:rsidRPr="00775BF2" w:rsidRDefault="008D4EC8">
            <w:pPr>
              <w:contextualSpacing/>
              <w:rPr>
                <w:sz w:val="24"/>
                <w:szCs w:val="24"/>
                <w:lang w:val="en-GB"/>
              </w:rPr>
            </w:pPr>
            <w:r w:rsidRPr="00775BF2">
              <w:rPr>
                <w:sz w:val="24"/>
                <w:szCs w:val="24"/>
                <w:lang w:val="en-GB"/>
              </w:rPr>
              <w:t>Bronchospasm</w:t>
            </w:r>
          </w:p>
        </w:tc>
      </w:tr>
      <w:tr w:rsidR="008D4EC8" w:rsidRPr="00462D86" w14:paraId="604ADB9A"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05A104E5" w14:textId="77777777" w:rsidR="008D4EC8" w:rsidRPr="00F003D9" w:rsidRDefault="008D4EC8" w:rsidP="00F003D9">
            <w:pPr>
              <w:rPr>
                <w:sz w:val="24"/>
                <w:szCs w:val="24"/>
                <w:lang w:val="en-GB"/>
              </w:rPr>
            </w:pPr>
            <w:r w:rsidRPr="00F003D9">
              <w:rPr>
                <w:sz w:val="24"/>
                <w:szCs w:val="24"/>
                <w:lang w:val="en-GB"/>
              </w:rPr>
              <w:t>Gastrointestinal disorders</w:t>
            </w:r>
          </w:p>
        </w:tc>
        <w:tc>
          <w:tcPr>
            <w:tcW w:w="854" w:type="pct"/>
            <w:tcBorders>
              <w:top w:val="single" w:sz="4" w:space="0" w:color="auto"/>
              <w:left w:val="single" w:sz="4" w:space="0" w:color="auto"/>
              <w:bottom w:val="single" w:sz="4" w:space="0" w:color="auto"/>
              <w:right w:val="single" w:sz="4" w:space="0" w:color="auto"/>
            </w:tcBorders>
            <w:hideMark/>
          </w:tcPr>
          <w:p w14:paraId="0D4574ED" w14:textId="77777777" w:rsidR="008D4EC8" w:rsidRPr="00F003D9" w:rsidRDefault="008D4EC8" w:rsidP="00F003D9">
            <w:pPr>
              <w:rPr>
                <w:sz w:val="24"/>
                <w:szCs w:val="24"/>
                <w:lang w:val="en-GB"/>
              </w:rPr>
            </w:pPr>
            <w:r w:rsidRPr="00F003D9">
              <w:rPr>
                <w:sz w:val="24"/>
                <w:szCs w:val="24"/>
                <w:lang w:val="en-GB"/>
              </w:rPr>
              <w:t>Common</w:t>
            </w:r>
          </w:p>
        </w:tc>
        <w:tc>
          <w:tcPr>
            <w:tcW w:w="2479" w:type="pct"/>
            <w:tcBorders>
              <w:top w:val="single" w:sz="4" w:space="0" w:color="auto"/>
              <w:left w:val="single" w:sz="4" w:space="0" w:color="auto"/>
              <w:bottom w:val="single" w:sz="4" w:space="0" w:color="auto"/>
              <w:right w:val="single" w:sz="4" w:space="0" w:color="auto"/>
            </w:tcBorders>
            <w:hideMark/>
          </w:tcPr>
          <w:p w14:paraId="3CA35042" w14:textId="77777777" w:rsidR="008D4EC8" w:rsidRPr="00F003D9" w:rsidRDefault="008D4EC8" w:rsidP="00F003D9">
            <w:pPr>
              <w:rPr>
                <w:sz w:val="24"/>
                <w:szCs w:val="24"/>
                <w:lang w:val="en-GB"/>
              </w:rPr>
            </w:pPr>
            <w:r w:rsidRPr="00F003D9">
              <w:rPr>
                <w:sz w:val="24"/>
                <w:szCs w:val="24"/>
                <w:lang w:val="en-GB"/>
              </w:rPr>
              <w:t>Abdominal pain, constipation, diarrhoea, flatulence, nausea/vomiting, fundic gland polyps (benign)</w:t>
            </w:r>
          </w:p>
        </w:tc>
      </w:tr>
      <w:tr w:rsidR="008D4EC8" w:rsidRPr="00775BF2" w14:paraId="54703939"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32D784CE"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110E8EDB" w14:textId="77777777" w:rsidR="008D4EC8" w:rsidRPr="00775BF2" w:rsidRDefault="008D4EC8">
            <w:pPr>
              <w:keepNext/>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768B2DFD" w14:textId="77777777" w:rsidR="008D4EC8" w:rsidRPr="00775BF2" w:rsidRDefault="008D4EC8">
            <w:pPr>
              <w:keepNext/>
              <w:contextualSpacing/>
              <w:rPr>
                <w:sz w:val="24"/>
                <w:szCs w:val="24"/>
                <w:lang w:val="en-GB"/>
              </w:rPr>
            </w:pPr>
            <w:r w:rsidRPr="00775BF2">
              <w:rPr>
                <w:sz w:val="24"/>
                <w:szCs w:val="24"/>
                <w:lang w:val="en-GB"/>
              </w:rPr>
              <w:t>Dry mouth</w:t>
            </w:r>
          </w:p>
        </w:tc>
      </w:tr>
      <w:tr w:rsidR="008D4EC8" w:rsidRPr="00775BF2" w14:paraId="7D7EC79B"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7050125A"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4ADCEDF2" w14:textId="77777777" w:rsidR="008D4EC8" w:rsidRPr="00775BF2" w:rsidRDefault="008D4EC8">
            <w:pPr>
              <w:keepNext/>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18A14272" w14:textId="77777777" w:rsidR="008D4EC8" w:rsidRPr="00775BF2" w:rsidRDefault="008D4EC8">
            <w:pPr>
              <w:keepNext/>
              <w:contextualSpacing/>
              <w:rPr>
                <w:sz w:val="24"/>
                <w:szCs w:val="24"/>
                <w:lang w:val="en-GB"/>
              </w:rPr>
            </w:pPr>
            <w:r w:rsidRPr="00775BF2">
              <w:rPr>
                <w:sz w:val="24"/>
                <w:szCs w:val="24"/>
                <w:lang w:val="en-GB"/>
              </w:rPr>
              <w:t>Stomatitis, gastrointestinal candidiasis</w:t>
            </w:r>
          </w:p>
        </w:tc>
      </w:tr>
      <w:tr w:rsidR="008D4EC8" w:rsidRPr="00775BF2" w14:paraId="539690FA"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03BC8E5B"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73ADF513" w14:textId="77777777" w:rsidR="008D4EC8" w:rsidRPr="00775BF2" w:rsidRDefault="008D4EC8">
            <w:pPr>
              <w:keepNext/>
              <w:contextualSpacing/>
              <w:rPr>
                <w:sz w:val="24"/>
                <w:szCs w:val="24"/>
                <w:lang w:val="en-GB"/>
              </w:rPr>
            </w:pPr>
            <w:r w:rsidRPr="00775BF2">
              <w:rPr>
                <w:sz w:val="24"/>
                <w:szCs w:val="24"/>
                <w:lang w:val="en-GB"/>
              </w:rPr>
              <w:t>Not known</w:t>
            </w:r>
          </w:p>
        </w:tc>
        <w:tc>
          <w:tcPr>
            <w:tcW w:w="2479" w:type="pct"/>
            <w:tcBorders>
              <w:top w:val="single" w:sz="4" w:space="0" w:color="auto"/>
              <w:left w:val="single" w:sz="4" w:space="0" w:color="auto"/>
              <w:bottom w:val="single" w:sz="4" w:space="0" w:color="auto"/>
              <w:right w:val="single" w:sz="4" w:space="0" w:color="auto"/>
            </w:tcBorders>
            <w:hideMark/>
          </w:tcPr>
          <w:p w14:paraId="739FC6B2" w14:textId="77777777" w:rsidR="008D4EC8" w:rsidRPr="00775BF2" w:rsidRDefault="008D4EC8">
            <w:pPr>
              <w:keepNext/>
              <w:contextualSpacing/>
              <w:rPr>
                <w:sz w:val="24"/>
                <w:szCs w:val="24"/>
                <w:lang w:val="en-GB"/>
              </w:rPr>
            </w:pPr>
            <w:r w:rsidRPr="00775BF2">
              <w:rPr>
                <w:sz w:val="24"/>
                <w:szCs w:val="24"/>
                <w:lang w:val="en-US"/>
              </w:rPr>
              <w:t>Microscopic colitis</w:t>
            </w:r>
          </w:p>
        </w:tc>
      </w:tr>
      <w:tr w:rsidR="008D4EC8" w:rsidRPr="00775BF2" w14:paraId="29B55370"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52449977" w14:textId="77777777" w:rsidR="008D4EC8" w:rsidRPr="00775BF2" w:rsidRDefault="008D4EC8">
            <w:pPr>
              <w:contextualSpacing/>
              <w:rPr>
                <w:sz w:val="24"/>
                <w:szCs w:val="24"/>
                <w:lang w:val="en-GB"/>
              </w:rPr>
            </w:pPr>
            <w:r w:rsidRPr="00775BF2">
              <w:rPr>
                <w:sz w:val="24"/>
                <w:szCs w:val="24"/>
                <w:lang w:val="en-GB"/>
              </w:rPr>
              <w:t>Hepatobiliary disorders</w:t>
            </w:r>
          </w:p>
        </w:tc>
        <w:tc>
          <w:tcPr>
            <w:tcW w:w="854" w:type="pct"/>
            <w:tcBorders>
              <w:top w:val="single" w:sz="4" w:space="0" w:color="auto"/>
              <w:left w:val="single" w:sz="4" w:space="0" w:color="auto"/>
              <w:bottom w:val="single" w:sz="4" w:space="0" w:color="auto"/>
              <w:right w:val="single" w:sz="4" w:space="0" w:color="auto"/>
            </w:tcBorders>
            <w:hideMark/>
          </w:tcPr>
          <w:p w14:paraId="2CC0517C"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6902C10F" w14:textId="77777777" w:rsidR="008D4EC8" w:rsidRPr="00775BF2" w:rsidRDefault="008D4EC8">
            <w:pPr>
              <w:contextualSpacing/>
              <w:rPr>
                <w:sz w:val="24"/>
                <w:szCs w:val="24"/>
                <w:lang w:val="en-GB"/>
              </w:rPr>
            </w:pPr>
            <w:r w:rsidRPr="00775BF2">
              <w:rPr>
                <w:sz w:val="24"/>
                <w:szCs w:val="24"/>
                <w:lang w:val="en-GB"/>
              </w:rPr>
              <w:t>Increased liver enzymes</w:t>
            </w:r>
          </w:p>
        </w:tc>
      </w:tr>
      <w:tr w:rsidR="008D4EC8" w:rsidRPr="00462D86" w14:paraId="06C4A9A8"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2C4EB440"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6265B671"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7314F9EB" w14:textId="77777777" w:rsidR="008D4EC8" w:rsidRPr="00775BF2" w:rsidRDefault="008D4EC8">
            <w:pPr>
              <w:contextualSpacing/>
              <w:rPr>
                <w:sz w:val="24"/>
                <w:szCs w:val="24"/>
                <w:lang w:val="en-GB"/>
              </w:rPr>
            </w:pPr>
            <w:r w:rsidRPr="00775BF2">
              <w:rPr>
                <w:sz w:val="24"/>
                <w:szCs w:val="24"/>
                <w:lang w:val="en-GB"/>
              </w:rPr>
              <w:t>Hepatitis with or without jaundice</w:t>
            </w:r>
          </w:p>
        </w:tc>
      </w:tr>
      <w:tr w:rsidR="008D4EC8" w:rsidRPr="00462D86" w14:paraId="69B38851"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41AD3A1E"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2D9B718F"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3F603A90" w14:textId="77777777" w:rsidR="008D4EC8" w:rsidRPr="00775BF2" w:rsidRDefault="008D4EC8">
            <w:pPr>
              <w:contextualSpacing/>
              <w:rPr>
                <w:sz w:val="24"/>
                <w:szCs w:val="24"/>
                <w:lang w:val="en-GB"/>
              </w:rPr>
            </w:pPr>
            <w:r w:rsidRPr="00775BF2">
              <w:rPr>
                <w:sz w:val="24"/>
                <w:szCs w:val="24"/>
                <w:lang w:val="en-GB"/>
              </w:rPr>
              <w:t>Hepatic failure, encephalopathy in patients with pre</w:t>
            </w:r>
            <w:r w:rsidRPr="00775BF2">
              <w:rPr>
                <w:sz w:val="24"/>
                <w:szCs w:val="24"/>
                <w:lang w:val="en-GB"/>
              </w:rPr>
              <w:noBreakHyphen/>
              <w:t>existing liver disease</w:t>
            </w:r>
          </w:p>
        </w:tc>
      </w:tr>
      <w:tr w:rsidR="008D4EC8" w:rsidRPr="00775BF2" w14:paraId="374B52C2"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27817BBF" w14:textId="77777777" w:rsidR="008D4EC8" w:rsidRPr="00775BF2" w:rsidRDefault="008D4EC8">
            <w:pPr>
              <w:contextualSpacing/>
              <w:rPr>
                <w:sz w:val="24"/>
                <w:szCs w:val="24"/>
                <w:lang w:val="en-GB"/>
              </w:rPr>
            </w:pPr>
            <w:r w:rsidRPr="00775BF2">
              <w:rPr>
                <w:sz w:val="24"/>
                <w:szCs w:val="24"/>
                <w:lang w:val="en-GB"/>
              </w:rPr>
              <w:t>Skin and subcutaneous tissue disorders</w:t>
            </w:r>
          </w:p>
        </w:tc>
        <w:tc>
          <w:tcPr>
            <w:tcW w:w="854" w:type="pct"/>
            <w:tcBorders>
              <w:top w:val="single" w:sz="4" w:space="0" w:color="auto"/>
              <w:left w:val="single" w:sz="4" w:space="0" w:color="auto"/>
              <w:bottom w:val="single" w:sz="4" w:space="0" w:color="auto"/>
              <w:right w:val="single" w:sz="4" w:space="0" w:color="auto"/>
            </w:tcBorders>
            <w:hideMark/>
          </w:tcPr>
          <w:p w14:paraId="2D750C94"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7E705A76" w14:textId="77777777" w:rsidR="008D4EC8" w:rsidRPr="00775BF2" w:rsidRDefault="008D4EC8">
            <w:pPr>
              <w:contextualSpacing/>
              <w:rPr>
                <w:sz w:val="24"/>
                <w:szCs w:val="24"/>
                <w:lang w:val="en-GB"/>
              </w:rPr>
            </w:pPr>
            <w:r w:rsidRPr="00775BF2">
              <w:rPr>
                <w:sz w:val="24"/>
                <w:szCs w:val="24"/>
                <w:lang w:val="en-GB"/>
              </w:rPr>
              <w:t>Dermatitis, pruritus, rash, urticaria</w:t>
            </w:r>
          </w:p>
        </w:tc>
      </w:tr>
      <w:tr w:rsidR="008D4EC8" w:rsidRPr="00775BF2" w14:paraId="022C1CEB"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5FB2B9E9"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66930CE3"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32625A39" w14:textId="77777777" w:rsidR="008D4EC8" w:rsidRPr="00775BF2" w:rsidRDefault="008D4EC8">
            <w:pPr>
              <w:contextualSpacing/>
              <w:rPr>
                <w:sz w:val="24"/>
                <w:szCs w:val="24"/>
                <w:lang w:val="en-GB"/>
              </w:rPr>
            </w:pPr>
            <w:r w:rsidRPr="00775BF2">
              <w:rPr>
                <w:sz w:val="24"/>
                <w:szCs w:val="24"/>
                <w:lang w:val="en-GB"/>
              </w:rPr>
              <w:t>Alopecia, photosensitivity</w:t>
            </w:r>
          </w:p>
        </w:tc>
      </w:tr>
      <w:tr w:rsidR="008D4EC8" w:rsidRPr="00462D86" w14:paraId="11C1E588"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715E1F89"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42ECC581"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1934BA01" w14:textId="76FC4CE1" w:rsidR="00462D86" w:rsidRDefault="008D4EC8" w:rsidP="00462D86">
            <w:pPr>
              <w:rPr>
                <w:sz w:val="24"/>
                <w:szCs w:val="24"/>
                <w:lang w:val="en-GB"/>
              </w:rPr>
            </w:pPr>
            <w:r w:rsidRPr="00775BF2">
              <w:rPr>
                <w:sz w:val="24"/>
                <w:szCs w:val="24"/>
                <w:lang w:val="en-GB"/>
              </w:rPr>
              <w:t>Erythema multiforme, Stevens</w:t>
            </w:r>
            <w:r w:rsidRPr="00775BF2">
              <w:rPr>
                <w:sz w:val="24"/>
                <w:szCs w:val="24"/>
                <w:lang w:val="en-GB"/>
              </w:rPr>
              <w:noBreakHyphen/>
              <w:t>Johnson syndrome, toxic epidermal necrolysis (TEN)</w:t>
            </w:r>
            <w:r w:rsidR="00462D86">
              <w:rPr>
                <w:sz w:val="24"/>
                <w:szCs w:val="24"/>
                <w:lang w:val="en-GB"/>
              </w:rPr>
              <w:t>,</w:t>
            </w:r>
          </w:p>
          <w:p w14:paraId="1061C4A7" w14:textId="16D07CA0" w:rsidR="008D4EC8" w:rsidRPr="00775BF2" w:rsidRDefault="00462D86" w:rsidP="00462D86">
            <w:pPr>
              <w:contextualSpacing/>
              <w:rPr>
                <w:sz w:val="24"/>
                <w:szCs w:val="24"/>
                <w:lang w:val="en-GB"/>
              </w:rPr>
            </w:pPr>
            <w:r>
              <w:rPr>
                <w:sz w:val="24"/>
                <w:szCs w:val="24"/>
                <w:lang w:val="en-GB"/>
              </w:rPr>
              <w:t>drug reaction with eosinophilia and systemic symptoms (DRESS)</w:t>
            </w:r>
          </w:p>
        </w:tc>
      </w:tr>
      <w:tr w:rsidR="008D4EC8" w:rsidRPr="00462D86" w14:paraId="7B57DE78"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568F41FC"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50E3477F" w14:textId="77777777" w:rsidR="008D4EC8" w:rsidRPr="00775BF2" w:rsidRDefault="008D4EC8">
            <w:pPr>
              <w:contextualSpacing/>
              <w:rPr>
                <w:sz w:val="24"/>
                <w:szCs w:val="24"/>
                <w:lang w:val="en-GB"/>
              </w:rPr>
            </w:pPr>
            <w:r w:rsidRPr="00775BF2">
              <w:rPr>
                <w:sz w:val="24"/>
                <w:szCs w:val="24"/>
                <w:lang w:val="en-GB"/>
              </w:rPr>
              <w:t>Not known</w:t>
            </w:r>
          </w:p>
        </w:tc>
        <w:tc>
          <w:tcPr>
            <w:tcW w:w="2479" w:type="pct"/>
            <w:tcBorders>
              <w:top w:val="single" w:sz="4" w:space="0" w:color="auto"/>
              <w:left w:val="single" w:sz="4" w:space="0" w:color="auto"/>
              <w:bottom w:val="single" w:sz="4" w:space="0" w:color="auto"/>
              <w:right w:val="single" w:sz="4" w:space="0" w:color="auto"/>
            </w:tcBorders>
            <w:hideMark/>
          </w:tcPr>
          <w:p w14:paraId="3A3AC301" w14:textId="77777777" w:rsidR="008D4EC8" w:rsidRPr="00775BF2" w:rsidRDefault="008D4EC8">
            <w:pPr>
              <w:contextualSpacing/>
              <w:rPr>
                <w:sz w:val="24"/>
                <w:szCs w:val="24"/>
                <w:lang w:val="en-GB"/>
              </w:rPr>
            </w:pPr>
            <w:r w:rsidRPr="00775BF2">
              <w:rPr>
                <w:sz w:val="24"/>
                <w:szCs w:val="24"/>
                <w:lang w:val="en-GB"/>
              </w:rPr>
              <w:t>Subacute cutaneous lupus erythematosus (see section 4.4)</w:t>
            </w:r>
          </w:p>
        </w:tc>
      </w:tr>
      <w:tr w:rsidR="008D4EC8" w:rsidRPr="00462D86" w14:paraId="7C5BD0B4" w14:textId="77777777" w:rsidTr="00FF79E8">
        <w:tc>
          <w:tcPr>
            <w:tcW w:w="1666" w:type="pct"/>
            <w:vMerge w:val="restart"/>
            <w:tcBorders>
              <w:top w:val="single" w:sz="4" w:space="0" w:color="auto"/>
              <w:left w:val="single" w:sz="4" w:space="0" w:color="auto"/>
              <w:bottom w:val="single" w:sz="4" w:space="0" w:color="auto"/>
              <w:right w:val="single" w:sz="4" w:space="0" w:color="auto"/>
            </w:tcBorders>
            <w:hideMark/>
          </w:tcPr>
          <w:p w14:paraId="74FE8B04" w14:textId="77777777" w:rsidR="008D4EC8" w:rsidRPr="00775BF2" w:rsidRDefault="008D4EC8">
            <w:pPr>
              <w:contextualSpacing/>
              <w:rPr>
                <w:sz w:val="24"/>
                <w:szCs w:val="24"/>
                <w:lang w:val="en-GB"/>
              </w:rPr>
            </w:pPr>
            <w:r w:rsidRPr="00775BF2">
              <w:rPr>
                <w:sz w:val="24"/>
                <w:szCs w:val="24"/>
                <w:lang w:val="en-GB"/>
              </w:rPr>
              <w:t>Musculoskeletal and connective tissue disorders</w:t>
            </w:r>
          </w:p>
        </w:tc>
        <w:tc>
          <w:tcPr>
            <w:tcW w:w="854" w:type="pct"/>
            <w:tcBorders>
              <w:top w:val="single" w:sz="4" w:space="0" w:color="auto"/>
              <w:left w:val="single" w:sz="4" w:space="0" w:color="auto"/>
              <w:bottom w:val="single" w:sz="4" w:space="0" w:color="auto"/>
              <w:right w:val="single" w:sz="4" w:space="0" w:color="auto"/>
            </w:tcBorders>
            <w:hideMark/>
          </w:tcPr>
          <w:p w14:paraId="6428082B" w14:textId="77777777" w:rsidR="008D4EC8" w:rsidRPr="00775BF2" w:rsidRDefault="008D4EC8">
            <w:pPr>
              <w:contextualSpacing/>
              <w:rPr>
                <w:sz w:val="24"/>
                <w:szCs w:val="24"/>
                <w:lang w:val="en-GB"/>
              </w:rPr>
            </w:pPr>
            <w:r w:rsidRPr="00775BF2">
              <w:rPr>
                <w:sz w:val="24"/>
                <w:szCs w:val="24"/>
                <w:lang w:val="en-GB"/>
              </w:rPr>
              <w:t>Uncommon</w:t>
            </w:r>
          </w:p>
        </w:tc>
        <w:tc>
          <w:tcPr>
            <w:tcW w:w="2479" w:type="pct"/>
            <w:tcBorders>
              <w:top w:val="single" w:sz="4" w:space="0" w:color="auto"/>
              <w:left w:val="single" w:sz="4" w:space="0" w:color="auto"/>
              <w:bottom w:val="single" w:sz="4" w:space="0" w:color="auto"/>
              <w:right w:val="single" w:sz="4" w:space="0" w:color="auto"/>
            </w:tcBorders>
            <w:hideMark/>
          </w:tcPr>
          <w:p w14:paraId="6ECE533A" w14:textId="77777777" w:rsidR="008D4EC8" w:rsidRPr="00775BF2" w:rsidRDefault="008D4EC8">
            <w:pPr>
              <w:contextualSpacing/>
              <w:rPr>
                <w:sz w:val="24"/>
                <w:szCs w:val="24"/>
                <w:lang w:val="en-GB"/>
              </w:rPr>
            </w:pPr>
            <w:r w:rsidRPr="00775BF2">
              <w:rPr>
                <w:sz w:val="24"/>
                <w:szCs w:val="24"/>
                <w:lang w:val="en-US"/>
              </w:rPr>
              <w:t>Fracture of the hip, wrist or spine (see section 4.4)</w:t>
            </w:r>
          </w:p>
        </w:tc>
      </w:tr>
      <w:tr w:rsidR="008D4EC8" w:rsidRPr="00775BF2" w14:paraId="2E7E1BE0"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69627450"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011502B3"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1E153424" w14:textId="77777777" w:rsidR="008D4EC8" w:rsidRPr="00775BF2" w:rsidRDefault="008D4EC8">
            <w:pPr>
              <w:contextualSpacing/>
              <w:rPr>
                <w:sz w:val="24"/>
                <w:szCs w:val="24"/>
                <w:lang w:val="en-GB"/>
              </w:rPr>
            </w:pPr>
            <w:r w:rsidRPr="00775BF2">
              <w:rPr>
                <w:sz w:val="24"/>
                <w:szCs w:val="24"/>
                <w:lang w:val="en-GB"/>
              </w:rPr>
              <w:t>Arthralgia, myalgia</w:t>
            </w:r>
          </w:p>
        </w:tc>
      </w:tr>
      <w:tr w:rsidR="008D4EC8" w:rsidRPr="00775BF2" w14:paraId="7B6FCFED" w14:textId="77777777" w:rsidTr="00FF79E8">
        <w:tc>
          <w:tcPr>
            <w:tcW w:w="1666" w:type="pct"/>
            <w:vMerge/>
            <w:tcBorders>
              <w:top w:val="single" w:sz="4" w:space="0" w:color="auto"/>
              <w:left w:val="single" w:sz="4" w:space="0" w:color="auto"/>
              <w:bottom w:val="single" w:sz="4" w:space="0" w:color="auto"/>
              <w:right w:val="single" w:sz="4" w:space="0" w:color="auto"/>
            </w:tcBorders>
            <w:vAlign w:val="center"/>
            <w:hideMark/>
          </w:tcPr>
          <w:p w14:paraId="37003AB4" w14:textId="77777777" w:rsidR="008D4EC8" w:rsidRPr="00775BF2" w:rsidRDefault="008D4EC8">
            <w:pPr>
              <w:rPr>
                <w:sz w:val="24"/>
                <w:szCs w:val="24"/>
                <w:lang w:val="en-GB" w:eastAsia="en-US"/>
              </w:rPr>
            </w:pPr>
          </w:p>
        </w:tc>
        <w:tc>
          <w:tcPr>
            <w:tcW w:w="854" w:type="pct"/>
            <w:tcBorders>
              <w:top w:val="single" w:sz="4" w:space="0" w:color="auto"/>
              <w:left w:val="single" w:sz="4" w:space="0" w:color="auto"/>
              <w:bottom w:val="single" w:sz="4" w:space="0" w:color="auto"/>
              <w:right w:val="single" w:sz="4" w:space="0" w:color="auto"/>
            </w:tcBorders>
            <w:hideMark/>
          </w:tcPr>
          <w:p w14:paraId="1ED8D0D0"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7ECF8D61" w14:textId="77777777" w:rsidR="008D4EC8" w:rsidRPr="00775BF2" w:rsidRDefault="008D4EC8">
            <w:pPr>
              <w:contextualSpacing/>
              <w:rPr>
                <w:sz w:val="24"/>
                <w:szCs w:val="24"/>
                <w:lang w:val="en-GB"/>
              </w:rPr>
            </w:pPr>
            <w:r w:rsidRPr="00775BF2">
              <w:rPr>
                <w:sz w:val="24"/>
                <w:szCs w:val="24"/>
                <w:lang w:val="en-GB"/>
              </w:rPr>
              <w:t>Muscular weakness</w:t>
            </w:r>
          </w:p>
        </w:tc>
      </w:tr>
      <w:tr w:rsidR="008D4EC8" w:rsidRPr="00462D86" w14:paraId="1717AC78"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0B88A386" w14:textId="77777777" w:rsidR="008D4EC8" w:rsidRPr="00775BF2" w:rsidRDefault="008D4EC8">
            <w:pPr>
              <w:contextualSpacing/>
              <w:rPr>
                <w:sz w:val="24"/>
                <w:szCs w:val="24"/>
                <w:lang w:val="en-GB"/>
              </w:rPr>
            </w:pPr>
            <w:r w:rsidRPr="00775BF2">
              <w:rPr>
                <w:sz w:val="24"/>
                <w:szCs w:val="24"/>
                <w:lang w:val="en-GB"/>
              </w:rPr>
              <w:t>Renal and urinary disorders</w:t>
            </w:r>
          </w:p>
        </w:tc>
        <w:tc>
          <w:tcPr>
            <w:tcW w:w="854" w:type="pct"/>
            <w:tcBorders>
              <w:top w:val="single" w:sz="4" w:space="0" w:color="auto"/>
              <w:left w:val="single" w:sz="4" w:space="0" w:color="auto"/>
              <w:bottom w:val="single" w:sz="4" w:space="0" w:color="auto"/>
              <w:right w:val="single" w:sz="4" w:space="0" w:color="auto"/>
            </w:tcBorders>
            <w:hideMark/>
          </w:tcPr>
          <w:p w14:paraId="13F5F8DD"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5E58FE11" w14:textId="77777777" w:rsidR="008D4EC8" w:rsidRPr="00775BF2" w:rsidRDefault="008D4EC8">
            <w:pPr>
              <w:contextualSpacing/>
              <w:rPr>
                <w:sz w:val="24"/>
                <w:szCs w:val="24"/>
                <w:lang w:val="en-GB"/>
              </w:rPr>
            </w:pPr>
            <w:r w:rsidRPr="00775BF2">
              <w:rPr>
                <w:sz w:val="24"/>
                <w:szCs w:val="24"/>
                <w:lang w:val="en-GB"/>
              </w:rPr>
              <w:t xml:space="preserve">Interstitial nephritis; in some </w:t>
            </w:r>
            <w:proofErr w:type="gramStart"/>
            <w:r w:rsidRPr="00775BF2">
              <w:rPr>
                <w:sz w:val="24"/>
                <w:szCs w:val="24"/>
                <w:lang w:val="en-GB"/>
              </w:rPr>
              <w:t>patients</w:t>
            </w:r>
            <w:proofErr w:type="gramEnd"/>
            <w:r w:rsidRPr="00775BF2">
              <w:rPr>
                <w:sz w:val="24"/>
                <w:szCs w:val="24"/>
                <w:lang w:val="en-GB"/>
              </w:rPr>
              <w:t xml:space="preserve"> renal failure has been reported concomitantly</w:t>
            </w:r>
          </w:p>
        </w:tc>
      </w:tr>
      <w:tr w:rsidR="008D4EC8" w:rsidRPr="00775BF2" w14:paraId="0B227D42"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0240265A" w14:textId="77777777" w:rsidR="008D4EC8" w:rsidRPr="00775BF2" w:rsidRDefault="008D4EC8">
            <w:pPr>
              <w:contextualSpacing/>
              <w:rPr>
                <w:sz w:val="24"/>
                <w:szCs w:val="24"/>
                <w:lang w:val="en-GB"/>
              </w:rPr>
            </w:pPr>
            <w:r w:rsidRPr="00775BF2">
              <w:rPr>
                <w:sz w:val="24"/>
                <w:szCs w:val="24"/>
                <w:lang w:val="en-GB"/>
              </w:rPr>
              <w:t>Reproductive system and breast disorders</w:t>
            </w:r>
          </w:p>
        </w:tc>
        <w:tc>
          <w:tcPr>
            <w:tcW w:w="854" w:type="pct"/>
            <w:tcBorders>
              <w:top w:val="single" w:sz="4" w:space="0" w:color="auto"/>
              <w:left w:val="single" w:sz="4" w:space="0" w:color="auto"/>
              <w:bottom w:val="single" w:sz="4" w:space="0" w:color="auto"/>
              <w:right w:val="single" w:sz="4" w:space="0" w:color="auto"/>
            </w:tcBorders>
            <w:hideMark/>
          </w:tcPr>
          <w:p w14:paraId="720C0B5B" w14:textId="77777777" w:rsidR="008D4EC8" w:rsidRPr="00775BF2" w:rsidRDefault="008D4EC8">
            <w:pPr>
              <w:contextualSpacing/>
              <w:rPr>
                <w:sz w:val="24"/>
                <w:szCs w:val="24"/>
                <w:lang w:val="en-GB"/>
              </w:rPr>
            </w:pPr>
            <w:r w:rsidRPr="00775BF2">
              <w:rPr>
                <w:sz w:val="24"/>
                <w:szCs w:val="24"/>
                <w:lang w:val="en-GB"/>
              </w:rPr>
              <w:t>Very rare</w:t>
            </w:r>
          </w:p>
        </w:tc>
        <w:tc>
          <w:tcPr>
            <w:tcW w:w="2479" w:type="pct"/>
            <w:tcBorders>
              <w:top w:val="single" w:sz="4" w:space="0" w:color="auto"/>
              <w:left w:val="single" w:sz="4" w:space="0" w:color="auto"/>
              <w:bottom w:val="single" w:sz="4" w:space="0" w:color="auto"/>
              <w:right w:val="single" w:sz="4" w:space="0" w:color="auto"/>
            </w:tcBorders>
            <w:hideMark/>
          </w:tcPr>
          <w:p w14:paraId="531C98E5" w14:textId="77777777" w:rsidR="008D4EC8" w:rsidRPr="00775BF2" w:rsidRDefault="008D4EC8">
            <w:pPr>
              <w:contextualSpacing/>
              <w:rPr>
                <w:sz w:val="24"/>
                <w:szCs w:val="24"/>
                <w:lang w:val="en-GB"/>
              </w:rPr>
            </w:pPr>
            <w:r w:rsidRPr="00775BF2">
              <w:rPr>
                <w:sz w:val="24"/>
                <w:szCs w:val="24"/>
                <w:lang w:val="en-GB"/>
              </w:rPr>
              <w:t>Gynaecomastia</w:t>
            </w:r>
          </w:p>
        </w:tc>
      </w:tr>
      <w:tr w:rsidR="008D4EC8" w:rsidRPr="00775BF2" w14:paraId="4225D361" w14:textId="77777777" w:rsidTr="00FF79E8">
        <w:tc>
          <w:tcPr>
            <w:tcW w:w="1666" w:type="pct"/>
            <w:tcBorders>
              <w:top w:val="single" w:sz="4" w:space="0" w:color="auto"/>
              <w:left w:val="single" w:sz="4" w:space="0" w:color="auto"/>
              <w:bottom w:val="single" w:sz="4" w:space="0" w:color="auto"/>
              <w:right w:val="single" w:sz="4" w:space="0" w:color="auto"/>
            </w:tcBorders>
            <w:hideMark/>
          </w:tcPr>
          <w:p w14:paraId="452C0E50" w14:textId="77777777" w:rsidR="008D4EC8" w:rsidRPr="00775BF2" w:rsidRDefault="008D4EC8">
            <w:pPr>
              <w:contextualSpacing/>
              <w:rPr>
                <w:sz w:val="24"/>
                <w:szCs w:val="24"/>
                <w:lang w:val="en-GB"/>
              </w:rPr>
            </w:pPr>
            <w:r w:rsidRPr="00775BF2">
              <w:rPr>
                <w:sz w:val="24"/>
                <w:szCs w:val="24"/>
                <w:lang w:val="en-GB"/>
              </w:rPr>
              <w:t>General disorders and administration site conditions</w:t>
            </w:r>
          </w:p>
        </w:tc>
        <w:tc>
          <w:tcPr>
            <w:tcW w:w="854" w:type="pct"/>
            <w:tcBorders>
              <w:top w:val="single" w:sz="4" w:space="0" w:color="auto"/>
              <w:left w:val="single" w:sz="4" w:space="0" w:color="auto"/>
              <w:bottom w:val="single" w:sz="4" w:space="0" w:color="auto"/>
              <w:right w:val="single" w:sz="4" w:space="0" w:color="auto"/>
            </w:tcBorders>
            <w:hideMark/>
          </w:tcPr>
          <w:p w14:paraId="462DFBE3" w14:textId="77777777" w:rsidR="008D4EC8" w:rsidRPr="00775BF2" w:rsidRDefault="008D4EC8">
            <w:pPr>
              <w:contextualSpacing/>
              <w:rPr>
                <w:sz w:val="24"/>
                <w:szCs w:val="24"/>
                <w:lang w:val="en-GB"/>
              </w:rPr>
            </w:pPr>
            <w:r w:rsidRPr="00775BF2">
              <w:rPr>
                <w:sz w:val="24"/>
                <w:szCs w:val="24"/>
                <w:lang w:val="en-GB"/>
              </w:rPr>
              <w:t>Rare</w:t>
            </w:r>
          </w:p>
        </w:tc>
        <w:tc>
          <w:tcPr>
            <w:tcW w:w="2479" w:type="pct"/>
            <w:tcBorders>
              <w:top w:val="single" w:sz="4" w:space="0" w:color="auto"/>
              <w:left w:val="single" w:sz="4" w:space="0" w:color="auto"/>
              <w:bottom w:val="single" w:sz="4" w:space="0" w:color="auto"/>
              <w:right w:val="single" w:sz="4" w:space="0" w:color="auto"/>
            </w:tcBorders>
            <w:hideMark/>
          </w:tcPr>
          <w:p w14:paraId="6D2511B9" w14:textId="77777777" w:rsidR="008D4EC8" w:rsidRPr="00775BF2" w:rsidRDefault="008D4EC8">
            <w:pPr>
              <w:contextualSpacing/>
              <w:rPr>
                <w:sz w:val="24"/>
                <w:szCs w:val="24"/>
                <w:lang w:val="en-GB"/>
              </w:rPr>
            </w:pPr>
            <w:r w:rsidRPr="00775BF2">
              <w:rPr>
                <w:sz w:val="24"/>
                <w:szCs w:val="24"/>
                <w:lang w:val="en-GB"/>
              </w:rPr>
              <w:t>Malaise, increased sweating</w:t>
            </w:r>
          </w:p>
        </w:tc>
      </w:tr>
    </w:tbl>
    <w:p w14:paraId="402AFCBE" w14:textId="77777777" w:rsidR="008D4EC8" w:rsidRPr="00775BF2" w:rsidRDefault="008D4EC8" w:rsidP="008D4EC8">
      <w:pPr>
        <w:contextualSpacing/>
        <w:rPr>
          <w:sz w:val="24"/>
          <w:szCs w:val="24"/>
          <w:lang w:val="en-GB" w:eastAsia="en-US"/>
        </w:rPr>
      </w:pPr>
    </w:p>
    <w:p w14:paraId="291C6222" w14:textId="77777777" w:rsidR="00B50A32" w:rsidRPr="00775BF2" w:rsidRDefault="00B50A32" w:rsidP="00B50A32">
      <w:pPr>
        <w:ind w:left="851"/>
        <w:rPr>
          <w:sz w:val="24"/>
          <w:szCs w:val="24"/>
          <w:u w:val="single"/>
          <w:lang w:val="en-GB"/>
        </w:rPr>
      </w:pPr>
      <w:r w:rsidRPr="00775BF2">
        <w:rPr>
          <w:sz w:val="24"/>
          <w:szCs w:val="24"/>
          <w:u w:val="single"/>
          <w:lang w:val="en-GB"/>
        </w:rPr>
        <w:t>Reporting of suspected adverse reactions</w:t>
      </w:r>
    </w:p>
    <w:p w14:paraId="40ED8A2B" w14:textId="77777777" w:rsidR="00B50A32" w:rsidRPr="00775BF2" w:rsidRDefault="00B50A32" w:rsidP="00B50A32">
      <w:pPr>
        <w:ind w:left="851"/>
        <w:rPr>
          <w:sz w:val="24"/>
          <w:szCs w:val="24"/>
          <w:lang w:val="en-GB"/>
        </w:rPr>
      </w:pPr>
      <w:r w:rsidRPr="00775BF2">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3DA68F6" w14:textId="77777777" w:rsidR="00B50A32" w:rsidRPr="00775BF2" w:rsidRDefault="00B50A32" w:rsidP="00B50A32">
      <w:pPr>
        <w:ind w:left="851"/>
        <w:rPr>
          <w:sz w:val="24"/>
          <w:szCs w:val="24"/>
          <w:lang w:val="en-GB"/>
        </w:rPr>
      </w:pPr>
    </w:p>
    <w:p w14:paraId="1CF9A14D" w14:textId="77777777" w:rsidR="00B50A32" w:rsidRPr="00775BF2" w:rsidRDefault="00B50A32" w:rsidP="00B50A32">
      <w:pPr>
        <w:ind w:left="851"/>
        <w:rPr>
          <w:sz w:val="24"/>
          <w:szCs w:val="24"/>
        </w:rPr>
      </w:pPr>
      <w:r w:rsidRPr="00775BF2">
        <w:rPr>
          <w:sz w:val="24"/>
          <w:szCs w:val="24"/>
        </w:rPr>
        <w:t>Lægemiddelstyrelsen</w:t>
      </w:r>
    </w:p>
    <w:p w14:paraId="2FADCB3C" w14:textId="77777777" w:rsidR="00B50A32" w:rsidRPr="00775BF2" w:rsidRDefault="00B50A32" w:rsidP="00B50A32">
      <w:pPr>
        <w:ind w:left="851"/>
        <w:rPr>
          <w:sz w:val="24"/>
          <w:szCs w:val="24"/>
        </w:rPr>
      </w:pPr>
      <w:r w:rsidRPr="00775BF2">
        <w:rPr>
          <w:sz w:val="24"/>
          <w:szCs w:val="24"/>
        </w:rPr>
        <w:t>Axel Heides Gade 1</w:t>
      </w:r>
    </w:p>
    <w:p w14:paraId="395A827B" w14:textId="77777777" w:rsidR="00B50A32" w:rsidRPr="00775BF2" w:rsidRDefault="00B50A32" w:rsidP="00B50A32">
      <w:pPr>
        <w:ind w:left="851"/>
        <w:rPr>
          <w:sz w:val="24"/>
          <w:szCs w:val="24"/>
        </w:rPr>
      </w:pPr>
      <w:r w:rsidRPr="00775BF2">
        <w:rPr>
          <w:sz w:val="24"/>
          <w:szCs w:val="24"/>
        </w:rPr>
        <w:t>DK-2300 København S</w:t>
      </w:r>
    </w:p>
    <w:p w14:paraId="604C7FAC" w14:textId="77777777" w:rsidR="00B50A32" w:rsidRPr="00775BF2" w:rsidRDefault="00B50A32" w:rsidP="00B50A32">
      <w:pPr>
        <w:ind w:left="851"/>
        <w:rPr>
          <w:sz w:val="24"/>
          <w:szCs w:val="24"/>
          <w:lang w:val="en-US"/>
        </w:rPr>
      </w:pPr>
      <w:r w:rsidRPr="00775BF2">
        <w:rPr>
          <w:sz w:val="24"/>
          <w:szCs w:val="24"/>
          <w:lang w:val="en-US"/>
        </w:rPr>
        <w:t>Website: www.meldenbivirkning.dk</w:t>
      </w:r>
    </w:p>
    <w:p w14:paraId="4172918D" w14:textId="77777777" w:rsidR="007C5D2A" w:rsidRPr="00775BF2" w:rsidRDefault="007C5D2A" w:rsidP="007A4CC6">
      <w:pPr>
        <w:tabs>
          <w:tab w:val="left" w:pos="851"/>
        </w:tabs>
        <w:ind w:left="851"/>
        <w:rPr>
          <w:sz w:val="24"/>
          <w:szCs w:val="24"/>
          <w:lang w:val="en-GB"/>
        </w:rPr>
      </w:pPr>
    </w:p>
    <w:p w14:paraId="63469A93"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4.9</w:t>
      </w:r>
      <w:r w:rsidRPr="00775BF2">
        <w:rPr>
          <w:b/>
          <w:sz w:val="24"/>
          <w:szCs w:val="24"/>
          <w:lang w:val="en-GB"/>
        </w:rPr>
        <w:tab/>
        <w:t>Overdose</w:t>
      </w:r>
    </w:p>
    <w:p w14:paraId="26A4D6C4" w14:textId="0CA47CA5" w:rsidR="007C5D2A" w:rsidRPr="00775BF2" w:rsidRDefault="008D4EC8" w:rsidP="00F003D9">
      <w:pPr>
        <w:ind w:left="851"/>
        <w:contextualSpacing/>
        <w:rPr>
          <w:sz w:val="24"/>
          <w:szCs w:val="24"/>
          <w:lang w:val="en-GB"/>
        </w:rPr>
      </w:pPr>
      <w:r w:rsidRPr="00775BF2">
        <w:rPr>
          <w:sz w:val="24"/>
          <w:szCs w:val="24"/>
          <w:lang w:val="en-GB"/>
        </w:rPr>
        <w:t>There is very limited experience to date with deliberate overdose. The symptoms described in connection with 280 mg were gastrointestinal symptoms and weakness. Single doses of 80 mg esomeprazole were uneventful. No specific antidote is known. Esomeprazole is extensively plasma protein bound and is therefore not readily dialyzable. As in any case of overdose, treatment should be symptomatic and general supportive measures should be utilised.</w:t>
      </w:r>
    </w:p>
    <w:p w14:paraId="1CCFDD1F" w14:textId="77777777" w:rsidR="007C5D2A" w:rsidRPr="00775BF2" w:rsidRDefault="007C5D2A" w:rsidP="003E0341">
      <w:pPr>
        <w:tabs>
          <w:tab w:val="left" w:pos="851"/>
        </w:tabs>
        <w:ind w:left="851"/>
        <w:rPr>
          <w:sz w:val="24"/>
          <w:szCs w:val="24"/>
          <w:lang w:val="en-GB"/>
        </w:rPr>
      </w:pPr>
    </w:p>
    <w:p w14:paraId="6D629F6A" w14:textId="77777777" w:rsidR="008F2F8C" w:rsidRPr="00775BF2" w:rsidRDefault="0042292D" w:rsidP="0042292D">
      <w:pPr>
        <w:tabs>
          <w:tab w:val="left" w:pos="851"/>
        </w:tabs>
        <w:rPr>
          <w:b/>
          <w:sz w:val="24"/>
          <w:szCs w:val="24"/>
          <w:lang w:val="en-GB"/>
        </w:rPr>
      </w:pPr>
      <w:r w:rsidRPr="00775BF2">
        <w:rPr>
          <w:b/>
          <w:sz w:val="24"/>
          <w:szCs w:val="24"/>
          <w:lang w:val="en-GB"/>
        </w:rPr>
        <w:t>4.10</w:t>
      </w:r>
      <w:r w:rsidRPr="00775BF2">
        <w:rPr>
          <w:b/>
          <w:sz w:val="24"/>
          <w:szCs w:val="24"/>
          <w:lang w:val="en-GB"/>
        </w:rPr>
        <w:tab/>
        <w:t>Legal status</w:t>
      </w:r>
    </w:p>
    <w:p w14:paraId="7B8A8556" w14:textId="3C5F5655" w:rsidR="00AD2E36" w:rsidRPr="00775BF2" w:rsidRDefault="00B50A32" w:rsidP="00AD2E36">
      <w:pPr>
        <w:tabs>
          <w:tab w:val="left" w:pos="851"/>
        </w:tabs>
        <w:ind w:left="851"/>
        <w:rPr>
          <w:sz w:val="24"/>
          <w:szCs w:val="24"/>
          <w:lang w:val="en-GB"/>
        </w:rPr>
      </w:pPr>
      <w:r w:rsidRPr="00775BF2">
        <w:rPr>
          <w:sz w:val="24"/>
          <w:szCs w:val="24"/>
          <w:lang w:val="en-GB"/>
        </w:rPr>
        <w:t>B</w:t>
      </w:r>
    </w:p>
    <w:p w14:paraId="0C2A40BC" w14:textId="77777777" w:rsidR="007C5D2A" w:rsidRPr="00775BF2" w:rsidRDefault="007C5D2A" w:rsidP="003E0341">
      <w:pPr>
        <w:tabs>
          <w:tab w:val="left" w:pos="851"/>
        </w:tabs>
        <w:ind w:left="851"/>
        <w:rPr>
          <w:sz w:val="24"/>
          <w:szCs w:val="24"/>
          <w:lang w:val="en-GB"/>
        </w:rPr>
      </w:pPr>
    </w:p>
    <w:p w14:paraId="4C0235F3" w14:textId="77777777" w:rsidR="00AD2E36" w:rsidRPr="00775BF2" w:rsidRDefault="00AD2E36" w:rsidP="003E0341">
      <w:pPr>
        <w:tabs>
          <w:tab w:val="left" w:pos="851"/>
        </w:tabs>
        <w:ind w:left="851"/>
        <w:rPr>
          <w:sz w:val="24"/>
          <w:szCs w:val="24"/>
          <w:lang w:val="en-GB"/>
        </w:rPr>
      </w:pPr>
    </w:p>
    <w:p w14:paraId="0BDC9A53" w14:textId="77777777" w:rsidR="007C5D2A" w:rsidRPr="00775BF2" w:rsidRDefault="007C5D2A" w:rsidP="007C5D2A">
      <w:pPr>
        <w:tabs>
          <w:tab w:val="left" w:pos="851"/>
        </w:tabs>
        <w:rPr>
          <w:b/>
          <w:sz w:val="24"/>
          <w:szCs w:val="24"/>
          <w:lang w:val="en-GB"/>
        </w:rPr>
      </w:pPr>
      <w:r w:rsidRPr="00775BF2">
        <w:rPr>
          <w:b/>
          <w:sz w:val="24"/>
          <w:szCs w:val="24"/>
          <w:lang w:val="en-GB"/>
        </w:rPr>
        <w:t>5.</w:t>
      </w:r>
      <w:r w:rsidRPr="00775BF2">
        <w:rPr>
          <w:b/>
          <w:sz w:val="24"/>
          <w:szCs w:val="24"/>
          <w:lang w:val="en-GB"/>
        </w:rPr>
        <w:tab/>
        <w:t>PHARMACOLOGICAL PROPERTIES</w:t>
      </w:r>
    </w:p>
    <w:p w14:paraId="29191CF9" w14:textId="77777777" w:rsidR="007C5D2A" w:rsidRPr="00775BF2" w:rsidRDefault="007C5D2A" w:rsidP="003E0341">
      <w:pPr>
        <w:tabs>
          <w:tab w:val="left" w:pos="851"/>
        </w:tabs>
        <w:ind w:left="851"/>
        <w:rPr>
          <w:sz w:val="24"/>
          <w:szCs w:val="24"/>
          <w:lang w:val="en-GB"/>
        </w:rPr>
      </w:pPr>
    </w:p>
    <w:p w14:paraId="6BB5304C" w14:textId="77777777" w:rsidR="007C5D2A" w:rsidRPr="00775BF2" w:rsidRDefault="007C5D2A" w:rsidP="007C5D2A">
      <w:pPr>
        <w:tabs>
          <w:tab w:val="left" w:pos="851"/>
        </w:tabs>
        <w:ind w:left="851" w:hanging="851"/>
        <w:rPr>
          <w:b/>
          <w:sz w:val="24"/>
          <w:szCs w:val="24"/>
          <w:lang w:val="en-GB"/>
        </w:rPr>
      </w:pPr>
      <w:r w:rsidRPr="00775BF2">
        <w:rPr>
          <w:b/>
          <w:sz w:val="24"/>
          <w:szCs w:val="24"/>
          <w:lang w:val="en-GB"/>
        </w:rPr>
        <w:t>5.1</w:t>
      </w:r>
      <w:r w:rsidRPr="00775BF2">
        <w:rPr>
          <w:b/>
          <w:sz w:val="24"/>
          <w:szCs w:val="24"/>
          <w:lang w:val="en-GB"/>
        </w:rPr>
        <w:tab/>
        <w:t>Pharmacodynamic properties</w:t>
      </w:r>
      <w:r w:rsidRPr="00775BF2">
        <w:rPr>
          <w:b/>
          <w:sz w:val="24"/>
          <w:szCs w:val="24"/>
          <w:lang w:val="en-GB"/>
        </w:rPr>
        <w:tab/>
      </w:r>
    </w:p>
    <w:p w14:paraId="6490E8CA" w14:textId="30C0847D" w:rsidR="00462D86" w:rsidRDefault="00462D86" w:rsidP="00462D86">
      <w:pPr>
        <w:pStyle w:val="NormalWeb"/>
        <w:spacing w:before="0" w:beforeAutospacing="0" w:after="0" w:afterAutospacing="0"/>
        <w:ind w:left="851"/>
        <w:rPr>
          <w:lang w:val="en-GB"/>
        </w:rPr>
      </w:pPr>
      <w:bookmarkStart w:id="2" w:name="_Hlk150851793"/>
      <w:bookmarkStart w:id="3" w:name="_Hlk149132465"/>
      <w:r w:rsidRPr="00462D86">
        <w:rPr>
          <w:lang w:val="en-US"/>
        </w:rPr>
        <w:t>Pharmacotherapeutic group:</w:t>
      </w:r>
      <w:bookmarkEnd w:id="2"/>
      <w:r>
        <w:rPr>
          <w:lang w:val="en-US"/>
        </w:rPr>
        <w:t xml:space="preserve"> </w:t>
      </w:r>
      <w:r w:rsidRPr="00775BF2">
        <w:rPr>
          <w:lang w:val="en-GB"/>
        </w:rPr>
        <w:t>Drugs for acid-related disorders, proton pump inhibitors</w:t>
      </w:r>
      <w:r>
        <w:rPr>
          <w:lang w:val="en-GB"/>
        </w:rPr>
        <w:t xml:space="preserve">, </w:t>
      </w:r>
      <w:r w:rsidRPr="00775BF2">
        <w:rPr>
          <w:lang w:val="en-GB"/>
        </w:rPr>
        <w:t>ATC-code: A 02 BC 05.</w:t>
      </w:r>
    </w:p>
    <w:p w14:paraId="64A77E02" w14:textId="77777777" w:rsidR="00462D86" w:rsidRPr="00462D86" w:rsidRDefault="00462D86" w:rsidP="00462D86">
      <w:pPr>
        <w:pStyle w:val="NormalWeb"/>
        <w:spacing w:before="0" w:beforeAutospacing="0" w:after="0" w:afterAutospacing="0"/>
        <w:ind w:left="851"/>
        <w:rPr>
          <w:lang w:val="en-US"/>
        </w:rPr>
      </w:pPr>
    </w:p>
    <w:bookmarkEnd w:id="3"/>
    <w:p w14:paraId="2F8488CC" w14:textId="77777777" w:rsidR="008D4EC8" w:rsidRPr="00775BF2" w:rsidRDefault="008D4EC8" w:rsidP="00580F5E">
      <w:pPr>
        <w:ind w:left="851"/>
        <w:contextualSpacing/>
        <w:rPr>
          <w:sz w:val="24"/>
          <w:szCs w:val="24"/>
          <w:lang w:val="en-GB"/>
        </w:rPr>
      </w:pPr>
      <w:r w:rsidRPr="00775BF2">
        <w:rPr>
          <w:sz w:val="24"/>
          <w:szCs w:val="24"/>
          <w:lang w:val="en-GB"/>
        </w:rPr>
        <w:t>Esomeprazole is the S</w:t>
      </w:r>
      <w:r w:rsidRPr="00775BF2">
        <w:rPr>
          <w:sz w:val="24"/>
          <w:szCs w:val="24"/>
          <w:lang w:val="en-GB"/>
        </w:rPr>
        <w:noBreakHyphen/>
        <w:t>isomer of omeprazole and reduces gastric acid secretion through a specific targeted mechanism of action. It is a specific inhibitor of the acid pump in the parietal cell. Both the R</w:t>
      </w:r>
      <w:r w:rsidRPr="00775BF2">
        <w:rPr>
          <w:sz w:val="24"/>
          <w:szCs w:val="24"/>
          <w:lang w:val="en-GB"/>
        </w:rPr>
        <w:noBreakHyphen/>
        <w:t>and S</w:t>
      </w:r>
      <w:r w:rsidRPr="00775BF2">
        <w:rPr>
          <w:sz w:val="24"/>
          <w:szCs w:val="24"/>
          <w:lang w:val="en-GB"/>
        </w:rPr>
        <w:noBreakHyphen/>
        <w:t>isomer of omeprazole have similar pharmacodynamic activity.</w:t>
      </w:r>
    </w:p>
    <w:p w14:paraId="0A80C8DD" w14:textId="77777777" w:rsidR="008D4EC8" w:rsidRPr="00775BF2" w:rsidRDefault="008D4EC8" w:rsidP="00580F5E">
      <w:pPr>
        <w:ind w:left="851"/>
        <w:contextualSpacing/>
        <w:rPr>
          <w:sz w:val="24"/>
          <w:szCs w:val="24"/>
          <w:lang w:val="en-GB"/>
        </w:rPr>
      </w:pPr>
    </w:p>
    <w:p w14:paraId="09A67618" w14:textId="77777777" w:rsidR="008D4EC8" w:rsidRPr="00F003D9" w:rsidRDefault="008D4EC8" w:rsidP="00F003D9">
      <w:pPr>
        <w:ind w:left="851"/>
        <w:rPr>
          <w:sz w:val="24"/>
          <w:szCs w:val="24"/>
          <w:u w:val="single"/>
          <w:lang w:val="en-GB"/>
        </w:rPr>
      </w:pPr>
      <w:r w:rsidRPr="00F003D9">
        <w:rPr>
          <w:sz w:val="24"/>
          <w:szCs w:val="24"/>
          <w:u w:val="single"/>
          <w:lang w:val="en-GB"/>
        </w:rPr>
        <w:t>Mechanism of action</w:t>
      </w:r>
    </w:p>
    <w:p w14:paraId="520D25D9" w14:textId="77777777" w:rsidR="008D4EC8" w:rsidRPr="00F003D9" w:rsidRDefault="008D4EC8" w:rsidP="00F003D9">
      <w:pPr>
        <w:ind w:left="851"/>
        <w:rPr>
          <w:sz w:val="24"/>
          <w:szCs w:val="24"/>
          <w:lang w:val="en-GB"/>
        </w:rPr>
      </w:pPr>
      <w:r w:rsidRPr="00F003D9">
        <w:rPr>
          <w:sz w:val="24"/>
          <w:szCs w:val="24"/>
          <w:lang w:val="en-GB"/>
        </w:rPr>
        <w:t>Esomeprazole is a weak base and is concentrated and converted to the active form in the highly acidic environment of the secretory canaliculi of the parietal cell, where it inhibits the enzyme H</w:t>
      </w:r>
      <w:r w:rsidRPr="00F003D9">
        <w:rPr>
          <w:sz w:val="24"/>
          <w:szCs w:val="24"/>
          <w:vertAlign w:val="superscript"/>
          <w:lang w:val="en-GB"/>
        </w:rPr>
        <w:t>+</w:t>
      </w:r>
      <w:r w:rsidRPr="00F003D9">
        <w:rPr>
          <w:sz w:val="24"/>
          <w:szCs w:val="24"/>
          <w:lang w:val="en-GB"/>
        </w:rPr>
        <w:t>K</w:t>
      </w:r>
      <w:r w:rsidRPr="00F003D9">
        <w:rPr>
          <w:sz w:val="24"/>
          <w:szCs w:val="24"/>
          <w:vertAlign w:val="superscript"/>
          <w:lang w:val="en-GB"/>
        </w:rPr>
        <w:t>+</w:t>
      </w:r>
      <w:r w:rsidRPr="00F003D9">
        <w:rPr>
          <w:sz w:val="24"/>
          <w:szCs w:val="24"/>
          <w:lang w:val="en-GB"/>
        </w:rPr>
        <w:noBreakHyphen/>
        <w:t>ATPase – the acid pump and inhibits both basal and stimulated acid secretion.</w:t>
      </w:r>
    </w:p>
    <w:p w14:paraId="5D71D956" w14:textId="77777777" w:rsidR="008D4EC8" w:rsidRPr="00775BF2" w:rsidRDefault="008D4EC8" w:rsidP="00580F5E">
      <w:pPr>
        <w:ind w:left="851"/>
        <w:contextualSpacing/>
        <w:rPr>
          <w:sz w:val="24"/>
          <w:szCs w:val="24"/>
          <w:lang w:val="en-GB"/>
        </w:rPr>
      </w:pPr>
    </w:p>
    <w:p w14:paraId="73AB9A78" w14:textId="77777777" w:rsidR="008D4EC8" w:rsidRPr="00775BF2" w:rsidRDefault="008D4EC8" w:rsidP="00580F5E">
      <w:pPr>
        <w:ind w:left="851"/>
        <w:contextualSpacing/>
        <w:rPr>
          <w:sz w:val="24"/>
          <w:szCs w:val="24"/>
          <w:u w:val="single"/>
          <w:lang w:val="en-GB"/>
        </w:rPr>
      </w:pPr>
      <w:r w:rsidRPr="00775BF2">
        <w:rPr>
          <w:sz w:val="24"/>
          <w:szCs w:val="24"/>
          <w:u w:val="single"/>
          <w:lang w:val="en-GB"/>
        </w:rPr>
        <w:t>Pharmacodynamic effects</w:t>
      </w:r>
    </w:p>
    <w:p w14:paraId="1951F2D2" w14:textId="1E45BB96" w:rsidR="008D4EC8" w:rsidRPr="00775BF2" w:rsidRDefault="008D4EC8" w:rsidP="00580F5E">
      <w:pPr>
        <w:ind w:left="851"/>
        <w:contextualSpacing/>
        <w:rPr>
          <w:sz w:val="24"/>
          <w:szCs w:val="24"/>
          <w:lang w:val="en-GB"/>
        </w:rPr>
      </w:pPr>
      <w:r w:rsidRPr="00775BF2">
        <w:rPr>
          <w:sz w:val="24"/>
          <w:szCs w:val="24"/>
          <w:lang w:val="en-GB"/>
        </w:rPr>
        <w:t xml:space="preserve">After oral dosing with esomeprazole 20 mg and 40 mg the onset of effect occurs within one hour. After repeated administration with 20 mg esomeprazole once daily for five days, mean peak acid output after </w:t>
      </w:r>
      <w:proofErr w:type="spellStart"/>
      <w:r w:rsidRPr="00775BF2">
        <w:rPr>
          <w:sz w:val="24"/>
          <w:szCs w:val="24"/>
          <w:lang w:val="en-GB"/>
        </w:rPr>
        <w:t>pentagastrin</w:t>
      </w:r>
      <w:proofErr w:type="spellEnd"/>
      <w:r w:rsidRPr="00775BF2">
        <w:rPr>
          <w:sz w:val="24"/>
          <w:szCs w:val="24"/>
          <w:lang w:val="en-GB"/>
        </w:rPr>
        <w:t xml:space="preserve"> stimulation is decreased 90</w:t>
      </w:r>
      <w:r w:rsidR="00935FF9">
        <w:rPr>
          <w:sz w:val="24"/>
          <w:szCs w:val="24"/>
          <w:lang w:val="en-GB"/>
        </w:rPr>
        <w:t xml:space="preserve"> %</w:t>
      </w:r>
      <w:r w:rsidRPr="00775BF2">
        <w:rPr>
          <w:sz w:val="24"/>
          <w:szCs w:val="24"/>
          <w:lang w:val="en-GB"/>
        </w:rPr>
        <w:t xml:space="preserve"> when measured 6</w:t>
      </w:r>
      <w:r w:rsidRPr="00775BF2">
        <w:rPr>
          <w:sz w:val="24"/>
          <w:szCs w:val="24"/>
          <w:lang w:val="en-GB"/>
        </w:rPr>
        <w:noBreakHyphen/>
        <w:t>7 hours after dosing on day five.</w:t>
      </w:r>
    </w:p>
    <w:p w14:paraId="77DD1443" w14:textId="77777777" w:rsidR="008D4EC8" w:rsidRPr="00775BF2" w:rsidRDefault="008D4EC8" w:rsidP="00580F5E">
      <w:pPr>
        <w:ind w:left="851"/>
        <w:contextualSpacing/>
        <w:rPr>
          <w:sz w:val="24"/>
          <w:szCs w:val="24"/>
          <w:lang w:val="en-GB"/>
        </w:rPr>
      </w:pPr>
    </w:p>
    <w:p w14:paraId="775F5475" w14:textId="6A6235EC" w:rsidR="008D4EC8" w:rsidRPr="00775BF2" w:rsidRDefault="008D4EC8" w:rsidP="00580F5E">
      <w:pPr>
        <w:ind w:left="851"/>
        <w:contextualSpacing/>
        <w:rPr>
          <w:sz w:val="24"/>
          <w:szCs w:val="24"/>
          <w:lang w:val="en-GB"/>
        </w:rPr>
      </w:pPr>
      <w:r w:rsidRPr="00775BF2">
        <w:rPr>
          <w:sz w:val="24"/>
          <w:szCs w:val="24"/>
          <w:lang w:val="en-GB"/>
        </w:rPr>
        <w:t>After five days of oral dosing with 20 mg and 40 mg of esomeprazole, intragastric pH above 4 was maintained for a mean time of 13 hours and 17 hours, respectively over 24 hours in symptomatic GORD patients. The proportion of patients maintaining an intragastric pH above 4 for at least 8, 12 and 16 hours respectively were for esomeprazole 20 mg 76</w:t>
      </w:r>
      <w:r w:rsidR="00935FF9">
        <w:rPr>
          <w:sz w:val="24"/>
          <w:szCs w:val="24"/>
          <w:lang w:val="en-GB"/>
        </w:rPr>
        <w:t xml:space="preserve"> %</w:t>
      </w:r>
      <w:r w:rsidRPr="00775BF2">
        <w:rPr>
          <w:sz w:val="24"/>
          <w:szCs w:val="24"/>
          <w:lang w:val="en-GB"/>
        </w:rPr>
        <w:t>, 54</w:t>
      </w:r>
      <w:r w:rsidR="00935FF9">
        <w:rPr>
          <w:sz w:val="24"/>
          <w:szCs w:val="24"/>
          <w:lang w:val="en-GB"/>
        </w:rPr>
        <w:t xml:space="preserve"> %</w:t>
      </w:r>
      <w:r w:rsidRPr="00775BF2">
        <w:rPr>
          <w:sz w:val="24"/>
          <w:szCs w:val="24"/>
          <w:lang w:val="en-GB"/>
        </w:rPr>
        <w:t xml:space="preserve"> and 24</w:t>
      </w:r>
      <w:r w:rsidR="00935FF9">
        <w:rPr>
          <w:sz w:val="24"/>
          <w:szCs w:val="24"/>
          <w:lang w:val="en-GB"/>
        </w:rPr>
        <w:t xml:space="preserve"> %</w:t>
      </w:r>
      <w:r w:rsidRPr="00775BF2">
        <w:rPr>
          <w:sz w:val="24"/>
          <w:szCs w:val="24"/>
          <w:lang w:val="en-GB"/>
        </w:rPr>
        <w:t>. Corresponding proportions for esomeprazole 40 mg were 97</w:t>
      </w:r>
      <w:r w:rsidR="00935FF9">
        <w:rPr>
          <w:sz w:val="24"/>
          <w:szCs w:val="24"/>
          <w:lang w:val="en-GB"/>
        </w:rPr>
        <w:t xml:space="preserve"> %</w:t>
      </w:r>
      <w:r w:rsidRPr="00775BF2">
        <w:rPr>
          <w:sz w:val="24"/>
          <w:szCs w:val="24"/>
          <w:lang w:val="en-GB"/>
        </w:rPr>
        <w:t>, 92</w:t>
      </w:r>
      <w:r w:rsidR="00935FF9">
        <w:rPr>
          <w:sz w:val="24"/>
          <w:szCs w:val="24"/>
          <w:lang w:val="en-GB"/>
        </w:rPr>
        <w:t xml:space="preserve"> %</w:t>
      </w:r>
      <w:r w:rsidRPr="00775BF2">
        <w:rPr>
          <w:sz w:val="24"/>
          <w:szCs w:val="24"/>
          <w:lang w:val="en-GB"/>
        </w:rPr>
        <w:t xml:space="preserve"> and 56</w:t>
      </w:r>
      <w:r w:rsidR="00935FF9">
        <w:rPr>
          <w:sz w:val="24"/>
          <w:szCs w:val="24"/>
          <w:lang w:val="en-GB"/>
        </w:rPr>
        <w:t xml:space="preserve"> %</w:t>
      </w:r>
      <w:r w:rsidRPr="00775BF2">
        <w:rPr>
          <w:sz w:val="24"/>
          <w:szCs w:val="24"/>
          <w:lang w:val="en-GB"/>
        </w:rPr>
        <w:t>.</w:t>
      </w:r>
    </w:p>
    <w:p w14:paraId="1F38121A" w14:textId="77777777" w:rsidR="008D4EC8" w:rsidRPr="00775BF2" w:rsidRDefault="008D4EC8" w:rsidP="00580F5E">
      <w:pPr>
        <w:ind w:left="851"/>
        <w:contextualSpacing/>
        <w:rPr>
          <w:sz w:val="24"/>
          <w:szCs w:val="24"/>
          <w:lang w:val="en-GB"/>
        </w:rPr>
      </w:pPr>
    </w:p>
    <w:p w14:paraId="451B4430" w14:textId="77777777" w:rsidR="008D4EC8" w:rsidRPr="00775BF2" w:rsidRDefault="008D4EC8" w:rsidP="00580F5E">
      <w:pPr>
        <w:ind w:left="851"/>
        <w:contextualSpacing/>
        <w:rPr>
          <w:sz w:val="24"/>
          <w:szCs w:val="24"/>
          <w:lang w:val="en-GB"/>
        </w:rPr>
      </w:pPr>
      <w:r w:rsidRPr="00775BF2">
        <w:rPr>
          <w:sz w:val="24"/>
          <w:szCs w:val="24"/>
          <w:lang w:val="en-GB"/>
        </w:rPr>
        <w:t>Using AUC as a surrogate parameter for plasma concentration, a relationship between inhibition of acid secretion and exposure has been shown.</w:t>
      </w:r>
    </w:p>
    <w:p w14:paraId="4213CFFC" w14:textId="77777777" w:rsidR="008D4EC8" w:rsidRPr="00775BF2" w:rsidRDefault="008D4EC8" w:rsidP="00580F5E">
      <w:pPr>
        <w:ind w:left="851"/>
        <w:contextualSpacing/>
        <w:rPr>
          <w:sz w:val="24"/>
          <w:szCs w:val="24"/>
          <w:lang w:val="en-GB"/>
        </w:rPr>
      </w:pPr>
    </w:p>
    <w:p w14:paraId="0D1EDBA1" w14:textId="69B47847" w:rsidR="008D4EC8" w:rsidRPr="00775BF2" w:rsidRDefault="008D4EC8" w:rsidP="00580F5E">
      <w:pPr>
        <w:ind w:left="851"/>
        <w:contextualSpacing/>
        <w:rPr>
          <w:sz w:val="24"/>
          <w:szCs w:val="24"/>
          <w:lang w:val="en-GB"/>
        </w:rPr>
      </w:pPr>
      <w:r w:rsidRPr="00775BF2">
        <w:rPr>
          <w:sz w:val="24"/>
          <w:szCs w:val="24"/>
          <w:lang w:val="en-GB"/>
        </w:rPr>
        <w:t>Healing of reflux oesophagitis with esomeprazole 40 mg occurs in approximately 78</w:t>
      </w:r>
      <w:r w:rsidR="00935FF9">
        <w:rPr>
          <w:sz w:val="24"/>
          <w:szCs w:val="24"/>
          <w:lang w:val="en-GB"/>
        </w:rPr>
        <w:t xml:space="preserve"> %</w:t>
      </w:r>
      <w:r w:rsidRPr="00775BF2">
        <w:rPr>
          <w:sz w:val="24"/>
          <w:szCs w:val="24"/>
          <w:lang w:val="en-GB"/>
        </w:rPr>
        <w:t xml:space="preserve"> of patients after four weeks, and in 93</w:t>
      </w:r>
      <w:r w:rsidR="00935FF9">
        <w:rPr>
          <w:sz w:val="24"/>
          <w:szCs w:val="24"/>
          <w:lang w:val="en-GB"/>
        </w:rPr>
        <w:t xml:space="preserve"> %</w:t>
      </w:r>
      <w:r w:rsidRPr="00775BF2">
        <w:rPr>
          <w:sz w:val="24"/>
          <w:szCs w:val="24"/>
          <w:lang w:val="en-GB"/>
        </w:rPr>
        <w:t xml:space="preserve"> after eight weeks.</w:t>
      </w:r>
    </w:p>
    <w:p w14:paraId="73DC643C" w14:textId="77777777" w:rsidR="008D4EC8" w:rsidRPr="00775BF2" w:rsidRDefault="008D4EC8" w:rsidP="00580F5E">
      <w:pPr>
        <w:ind w:left="851"/>
        <w:contextualSpacing/>
        <w:rPr>
          <w:sz w:val="24"/>
          <w:szCs w:val="24"/>
          <w:lang w:val="en-GB"/>
        </w:rPr>
      </w:pPr>
    </w:p>
    <w:p w14:paraId="68FE4D34" w14:textId="33C7AB0A" w:rsidR="008D4EC8" w:rsidRPr="00775BF2" w:rsidRDefault="008D4EC8" w:rsidP="00580F5E">
      <w:pPr>
        <w:ind w:left="851"/>
        <w:contextualSpacing/>
        <w:rPr>
          <w:sz w:val="24"/>
          <w:szCs w:val="24"/>
          <w:lang w:val="en-GB"/>
        </w:rPr>
      </w:pPr>
      <w:proofErr w:type="gramStart"/>
      <w:r w:rsidRPr="00775BF2">
        <w:rPr>
          <w:sz w:val="24"/>
          <w:szCs w:val="24"/>
          <w:lang w:val="en-GB"/>
        </w:rPr>
        <w:t>One week</w:t>
      </w:r>
      <w:proofErr w:type="gramEnd"/>
      <w:r w:rsidRPr="00775BF2">
        <w:rPr>
          <w:sz w:val="24"/>
          <w:szCs w:val="24"/>
          <w:lang w:val="en-GB"/>
        </w:rPr>
        <w:t xml:space="preserve"> treatment with esomeprazole 20 mg b.i.d. and appropriate antibiotics, results in successful eradication of </w:t>
      </w:r>
      <w:r w:rsidRPr="00775BF2">
        <w:rPr>
          <w:i/>
          <w:iCs/>
          <w:sz w:val="24"/>
          <w:szCs w:val="24"/>
          <w:lang w:val="en-GB"/>
        </w:rPr>
        <w:t xml:space="preserve">H. pylori </w:t>
      </w:r>
      <w:r w:rsidRPr="00775BF2">
        <w:rPr>
          <w:sz w:val="24"/>
          <w:szCs w:val="24"/>
          <w:lang w:val="en-GB"/>
        </w:rPr>
        <w:t>in approximately 90</w:t>
      </w:r>
      <w:r w:rsidR="00935FF9">
        <w:rPr>
          <w:sz w:val="24"/>
          <w:szCs w:val="24"/>
          <w:lang w:val="en-GB"/>
        </w:rPr>
        <w:t xml:space="preserve"> %</w:t>
      </w:r>
      <w:r w:rsidRPr="00775BF2">
        <w:rPr>
          <w:sz w:val="24"/>
          <w:szCs w:val="24"/>
          <w:lang w:val="en-GB"/>
        </w:rPr>
        <w:t xml:space="preserve"> of patients.</w:t>
      </w:r>
    </w:p>
    <w:p w14:paraId="7EE4A405" w14:textId="77777777" w:rsidR="008D4EC8" w:rsidRPr="00775BF2" w:rsidRDefault="008D4EC8" w:rsidP="00580F5E">
      <w:pPr>
        <w:ind w:left="851"/>
        <w:contextualSpacing/>
        <w:rPr>
          <w:sz w:val="24"/>
          <w:szCs w:val="24"/>
          <w:lang w:val="en-GB"/>
        </w:rPr>
      </w:pPr>
    </w:p>
    <w:p w14:paraId="247555BE" w14:textId="77777777" w:rsidR="008D4EC8" w:rsidRPr="00775BF2" w:rsidRDefault="008D4EC8" w:rsidP="00580F5E">
      <w:pPr>
        <w:ind w:left="851"/>
        <w:contextualSpacing/>
        <w:rPr>
          <w:sz w:val="24"/>
          <w:szCs w:val="24"/>
          <w:lang w:val="en-GB"/>
        </w:rPr>
      </w:pPr>
      <w:r w:rsidRPr="00775BF2">
        <w:rPr>
          <w:sz w:val="24"/>
          <w:szCs w:val="24"/>
          <w:lang w:val="en-GB"/>
        </w:rPr>
        <w:t>After eradication treatment for one week there is no need for subsequent monotherapy with antisecretory drugs for effective ulcer healing and symptom resolution in uncomplicated duodenal ulcers.</w:t>
      </w:r>
    </w:p>
    <w:p w14:paraId="446732AA" w14:textId="77777777" w:rsidR="008D4EC8" w:rsidRPr="00775BF2" w:rsidRDefault="008D4EC8" w:rsidP="00580F5E">
      <w:pPr>
        <w:ind w:left="851"/>
        <w:contextualSpacing/>
        <w:rPr>
          <w:sz w:val="24"/>
          <w:szCs w:val="24"/>
          <w:lang w:val="en-GB"/>
        </w:rPr>
      </w:pPr>
    </w:p>
    <w:p w14:paraId="460F7907" w14:textId="0D46480D" w:rsidR="008D4EC8" w:rsidRPr="00775BF2" w:rsidRDefault="008D4EC8" w:rsidP="00580F5E">
      <w:pPr>
        <w:ind w:left="851"/>
        <w:contextualSpacing/>
        <w:rPr>
          <w:sz w:val="24"/>
          <w:szCs w:val="24"/>
          <w:lang w:val="en-GB"/>
        </w:rPr>
      </w:pPr>
      <w:r w:rsidRPr="00775BF2">
        <w:rPr>
          <w:sz w:val="24"/>
          <w:szCs w:val="24"/>
          <w:lang w:val="en-GB"/>
        </w:rPr>
        <w:t>In a randomized, double blind, placebo</w:t>
      </w:r>
      <w:r w:rsidRPr="00775BF2">
        <w:rPr>
          <w:sz w:val="24"/>
          <w:szCs w:val="24"/>
          <w:lang w:val="en-GB"/>
        </w:rPr>
        <w:noBreakHyphen/>
        <w:t xml:space="preserve">controlled clinical study, patients with endoscopically confirmed peptic ulcer bleeding characterised as Forrest </w:t>
      </w:r>
      <w:proofErr w:type="spellStart"/>
      <w:r w:rsidRPr="00775BF2">
        <w:rPr>
          <w:sz w:val="24"/>
          <w:szCs w:val="24"/>
          <w:lang w:val="en-GB"/>
        </w:rPr>
        <w:t>Ia</w:t>
      </w:r>
      <w:proofErr w:type="spellEnd"/>
      <w:r w:rsidRPr="00775BF2">
        <w:rPr>
          <w:sz w:val="24"/>
          <w:szCs w:val="24"/>
          <w:lang w:val="en-GB"/>
        </w:rPr>
        <w:t xml:space="preserve">, </w:t>
      </w:r>
      <w:proofErr w:type="spellStart"/>
      <w:r w:rsidRPr="00775BF2">
        <w:rPr>
          <w:sz w:val="24"/>
          <w:szCs w:val="24"/>
          <w:lang w:val="en-GB"/>
        </w:rPr>
        <w:t>Ib</w:t>
      </w:r>
      <w:proofErr w:type="spellEnd"/>
      <w:r w:rsidRPr="00775BF2">
        <w:rPr>
          <w:sz w:val="24"/>
          <w:szCs w:val="24"/>
          <w:lang w:val="en-GB"/>
        </w:rPr>
        <w:t xml:space="preserve">, </w:t>
      </w:r>
      <w:proofErr w:type="spellStart"/>
      <w:r w:rsidRPr="00775BF2">
        <w:rPr>
          <w:sz w:val="24"/>
          <w:szCs w:val="24"/>
          <w:lang w:val="en-GB"/>
        </w:rPr>
        <w:t>IIa</w:t>
      </w:r>
      <w:proofErr w:type="spellEnd"/>
      <w:r w:rsidRPr="00775BF2">
        <w:rPr>
          <w:sz w:val="24"/>
          <w:szCs w:val="24"/>
          <w:lang w:val="en-GB"/>
        </w:rPr>
        <w:t xml:space="preserve"> or IIb (9</w:t>
      </w:r>
      <w:r w:rsidR="00250B32">
        <w:rPr>
          <w:sz w:val="24"/>
          <w:szCs w:val="24"/>
          <w:lang w:val="en-GB"/>
        </w:rPr>
        <w:t> </w:t>
      </w:r>
      <w:r w:rsidR="00935FF9">
        <w:rPr>
          <w:sz w:val="24"/>
          <w:szCs w:val="24"/>
          <w:lang w:val="en-GB"/>
        </w:rPr>
        <w:t>%</w:t>
      </w:r>
      <w:r w:rsidRPr="00775BF2">
        <w:rPr>
          <w:sz w:val="24"/>
          <w:szCs w:val="24"/>
          <w:lang w:val="en-GB"/>
        </w:rPr>
        <w:t>, 43</w:t>
      </w:r>
      <w:r w:rsidR="00935FF9">
        <w:rPr>
          <w:sz w:val="24"/>
          <w:szCs w:val="24"/>
          <w:lang w:val="en-GB"/>
        </w:rPr>
        <w:t xml:space="preserve"> %</w:t>
      </w:r>
      <w:r w:rsidRPr="00775BF2">
        <w:rPr>
          <w:sz w:val="24"/>
          <w:szCs w:val="24"/>
          <w:lang w:val="en-GB"/>
        </w:rPr>
        <w:t>, 38</w:t>
      </w:r>
      <w:r w:rsidR="00935FF9">
        <w:rPr>
          <w:sz w:val="24"/>
          <w:szCs w:val="24"/>
          <w:lang w:val="en-GB"/>
        </w:rPr>
        <w:t xml:space="preserve"> %</w:t>
      </w:r>
      <w:r w:rsidRPr="00775BF2">
        <w:rPr>
          <w:sz w:val="24"/>
          <w:szCs w:val="24"/>
          <w:lang w:val="en-GB"/>
        </w:rPr>
        <w:t xml:space="preserve"> and 10</w:t>
      </w:r>
      <w:r w:rsidR="00935FF9">
        <w:rPr>
          <w:sz w:val="24"/>
          <w:szCs w:val="24"/>
          <w:lang w:val="en-GB"/>
        </w:rPr>
        <w:t xml:space="preserve"> %</w:t>
      </w:r>
      <w:r w:rsidRPr="00775BF2">
        <w:rPr>
          <w:sz w:val="24"/>
          <w:szCs w:val="24"/>
          <w:lang w:val="en-GB"/>
        </w:rPr>
        <w:t xml:space="preserve"> respectively) were randomized to receive esomeprazole solution for infusion (n=375) or placebo (n=389). Following endoscopic </w:t>
      </w:r>
      <w:proofErr w:type="spellStart"/>
      <w:r w:rsidRPr="00775BF2">
        <w:rPr>
          <w:sz w:val="24"/>
          <w:szCs w:val="24"/>
          <w:lang w:val="en-GB"/>
        </w:rPr>
        <w:t>hemostasis</w:t>
      </w:r>
      <w:proofErr w:type="spellEnd"/>
      <w:r w:rsidRPr="00775BF2">
        <w:rPr>
          <w:sz w:val="24"/>
          <w:szCs w:val="24"/>
          <w:lang w:val="en-GB"/>
        </w:rPr>
        <w:t xml:space="preserve">, patients received either 80 mg esomeprazole as an intravenous infusion over 30 minutes followed by a continuous infusion of 8 mg per hour or placebo for 72 hours. After the initial </w:t>
      </w:r>
      <w:proofErr w:type="gramStart"/>
      <w:r w:rsidRPr="00775BF2">
        <w:rPr>
          <w:sz w:val="24"/>
          <w:szCs w:val="24"/>
          <w:lang w:val="en-GB"/>
        </w:rPr>
        <w:t>72 hour</w:t>
      </w:r>
      <w:proofErr w:type="gramEnd"/>
      <w:r w:rsidRPr="00775BF2">
        <w:rPr>
          <w:sz w:val="24"/>
          <w:szCs w:val="24"/>
          <w:lang w:val="en-GB"/>
        </w:rPr>
        <w:t xml:space="preserve"> period, all patients received open</w:t>
      </w:r>
      <w:r w:rsidRPr="00775BF2">
        <w:rPr>
          <w:sz w:val="24"/>
          <w:szCs w:val="24"/>
          <w:lang w:val="en-GB"/>
        </w:rPr>
        <w:noBreakHyphen/>
        <w:t>label 40 mg oral esomeprazole for 27 days for acid suppression. The occurrence of rebleeding within 3 days was 5.9</w:t>
      </w:r>
      <w:r w:rsidR="00935FF9">
        <w:rPr>
          <w:sz w:val="24"/>
          <w:szCs w:val="24"/>
          <w:lang w:val="en-GB"/>
        </w:rPr>
        <w:t xml:space="preserve"> %</w:t>
      </w:r>
      <w:r w:rsidRPr="00775BF2">
        <w:rPr>
          <w:sz w:val="24"/>
          <w:szCs w:val="24"/>
          <w:lang w:val="en-GB"/>
        </w:rPr>
        <w:t xml:space="preserve"> in the esomeprazole treated group compared to 10.3</w:t>
      </w:r>
      <w:r w:rsidR="00935FF9">
        <w:rPr>
          <w:sz w:val="24"/>
          <w:szCs w:val="24"/>
          <w:lang w:val="en-GB"/>
        </w:rPr>
        <w:t xml:space="preserve"> %</w:t>
      </w:r>
      <w:r w:rsidRPr="00775BF2">
        <w:rPr>
          <w:sz w:val="24"/>
          <w:szCs w:val="24"/>
          <w:lang w:val="en-GB"/>
        </w:rPr>
        <w:t xml:space="preserve"> for the placebo group. At 30 days post</w:t>
      </w:r>
      <w:r w:rsidRPr="00775BF2">
        <w:rPr>
          <w:sz w:val="24"/>
          <w:szCs w:val="24"/>
          <w:lang w:val="en-GB"/>
        </w:rPr>
        <w:noBreakHyphen/>
        <w:t>treatment, the occurrence of rebleeding in the esomeprazole treated versus the placebo treated group 7.7</w:t>
      </w:r>
      <w:r w:rsidR="00935FF9">
        <w:rPr>
          <w:sz w:val="24"/>
          <w:szCs w:val="24"/>
          <w:lang w:val="en-GB"/>
        </w:rPr>
        <w:t xml:space="preserve"> %</w:t>
      </w:r>
      <w:r w:rsidRPr="00775BF2">
        <w:rPr>
          <w:sz w:val="24"/>
          <w:szCs w:val="24"/>
          <w:lang w:val="en-GB"/>
        </w:rPr>
        <w:t xml:space="preserve"> vs 13.6</w:t>
      </w:r>
      <w:r w:rsidR="00935FF9">
        <w:rPr>
          <w:sz w:val="24"/>
          <w:szCs w:val="24"/>
          <w:lang w:val="en-GB"/>
        </w:rPr>
        <w:t xml:space="preserve"> %</w:t>
      </w:r>
      <w:r w:rsidRPr="00775BF2">
        <w:rPr>
          <w:sz w:val="24"/>
          <w:szCs w:val="24"/>
          <w:lang w:val="en-GB"/>
        </w:rPr>
        <w:t>.</w:t>
      </w:r>
    </w:p>
    <w:p w14:paraId="5AA2D024" w14:textId="77777777" w:rsidR="008D4EC8" w:rsidRPr="00775BF2" w:rsidRDefault="008D4EC8" w:rsidP="00580F5E">
      <w:pPr>
        <w:ind w:left="851"/>
        <w:contextualSpacing/>
        <w:rPr>
          <w:sz w:val="24"/>
          <w:szCs w:val="24"/>
          <w:lang w:val="en-GB"/>
        </w:rPr>
      </w:pPr>
    </w:p>
    <w:p w14:paraId="3317E3AC" w14:textId="1F295882" w:rsidR="008D4EC8" w:rsidRPr="00775BF2" w:rsidRDefault="008D4EC8" w:rsidP="00580F5E">
      <w:pPr>
        <w:ind w:left="851"/>
        <w:contextualSpacing/>
        <w:rPr>
          <w:sz w:val="24"/>
          <w:szCs w:val="24"/>
          <w:lang w:val="en-GB"/>
        </w:rPr>
      </w:pPr>
      <w:r w:rsidRPr="00775BF2">
        <w:rPr>
          <w:sz w:val="24"/>
          <w:szCs w:val="24"/>
          <w:lang w:val="en-GB"/>
        </w:rPr>
        <w:t xml:space="preserve">During treatment with antisecretory medicinal products, serum gastrin increases in response to the decreased acid secretion. </w:t>
      </w:r>
      <w:proofErr w:type="gramStart"/>
      <w:r w:rsidRPr="00775BF2">
        <w:rPr>
          <w:sz w:val="24"/>
          <w:szCs w:val="24"/>
          <w:lang w:val="en-GB"/>
        </w:rPr>
        <w:t>Also</w:t>
      </w:r>
      <w:proofErr w:type="gramEnd"/>
      <w:r w:rsidRPr="00775BF2">
        <w:rPr>
          <w:sz w:val="24"/>
          <w:szCs w:val="24"/>
          <w:lang w:val="en-GB"/>
        </w:rPr>
        <w:t xml:space="preserve"> </w:t>
      </w:r>
      <w:proofErr w:type="spellStart"/>
      <w:r w:rsidRPr="00775BF2">
        <w:rPr>
          <w:sz w:val="24"/>
          <w:szCs w:val="24"/>
          <w:lang w:val="en-US"/>
        </w:rPr>
        <w:t>CgA</w:t>
      </w:r>
      <w:proofErr w:type="spellEnd"/>
      <w:r w:rsidRPr="00775BF2">
        <w:rPr>
          <w:sz w:val="24"/>
          <w:szCs w:val="24"/>
          <w:lang w:val="en-US"/>
        </w:rPr>
        <w:t xml:space="preserve"> increases due to decreased gastric acidity. </w:t>
      </w:r>
      <w:r w:rsidRPr="00775BF2">
        <w:rPr>
          <w:sz w:val="24"/>
          <w:szCs w:val="24"/>
          <w:lang w:val="en-GB"/>
        </w:rPr>
        <w:t xml:space="preserve">The increased </w:t>
      </w:r>
      <w:proofErr w:type="spellStart"/>
      <w:r w:rsidRPr="00775BF2">
        <w:rPr>
          <w:sz w:val="24"/>
          <w:szCs w:val="24"/>
          <w:lang w:val="en-GB"/>
        </w:rPr>
        <w:t>CgA</w:t>
      </w:r>
      <w:proofErr w:type="spellEnd"/>
      <w:r w:rsidRPr="00775BF2">
        <w:rPr>
          <w:sz w:val="24"/>
          <w:szCs w:val="24"/>
          <w:lang w:val="en-GB"/>
        </w:rPr>
        <w:t xml:space="preserve"> level may interfere with investigations for neuroendocrine tumours. Available published evidence suggests that proton pump inhibitors should be discontinued between 5 days and 2 weeks prior to </w:t>
      </w:r>
      <w:proofErr w:type="spellStart"/>
      <w:r w:rsidRPr="00775BF2">
        <w:rPr>
          <w:sz w:val="24"/>
          <w:szCs w:val="24"/>
          <w:lang w:val="en-GB"/>
        </w:rPr>
        <w:t>CgA</w:t>
      </w:r>
      <w:proofErr w:type="spellEnd"/>
      <w:r w:rsidRPr="00775BF2">
        <w:rPr>
          <w:sz w:val="24"/>
          <w:szCs w:val="24"/>
          <w:lang w:val="en-GB"/>
        </w:rPr>
        <w:t xml:space="preserve"> measurements. This is to allow </w:t>
      </w:r>
      <w:proofErr w:type="spellStart"/>
      <w:r w:rsidRPr="00775BF2">
        <w:rPr>
          <w:sz w:val="24"/>
          <w:szCs w:val="24"/>
          <w:lang w:val="en-GB"/>
        </w:rPr>
        <w:t>CgA</w:t>
      </w:r>
      <w:proofErr w:type="spellEnd"/>
      <w:r w:rsidRPr="00775BF2">
        <w:rPr>
          <w:sz w:val="24"/>
          <w:szCs w:val="24"/>
          <w:lang w:val="en-GB"/>
        </w:rPr>
        <w:t xml:space="preserve"> levels that might be spuriously elevated following PPI treatment to return to reference range.</w:t>
      </w:r>
    </w:p>
    <w:p w14:paraId="36861B38" w14:textId="77777777" w:rsidR="008D4EC8" w:rsidRPr="00775BF2" w:rsidRDefault="008D4EC8" w:rsidP="00580F5E">
      <w:pPr>
        <w:ind w:left="851"/>
        <w:contextualSpacing/>
        <w:rPr>
          <w:sz w:val="24"/>
          <w:szCs w:val="24"/>
          <w:lang w:val="en-GB"/>
        </w:rPr>
      </w:pPr>
    </w:p>
    <w:p w14:paraId="51CF1619" w14:textId="77777777" w:rsidR="008D4EC8" w:rsidRPr="00775BF2" w:rsidRDefault="008D4EC8" w:rsidP="00580F5E">
      <w:pPr>
        <w:ind w:left="851"/>
        <w:contextualSpacing/>
        <w:rPr>
          <w:sz w:val="24"/>
          <w:szCs w:val="24"/>
          <w:lang w:val="en-GB"/>
        </w:rPr>
      </w:pPr>
      <w:r w:rsidRPr="00775BF2">
        <w:rPr>
          <w:sz w:val="24"/>
          <w:szCs w:val="24"/>
          <w:lang w:val="en-GB"/>
        </w:rPr>
        <w:t>An increased number of ECL cells possibly related to the increased serum gastrin levels, have been observed in both children and adults during long term treatment with esomeprazole. The findings are considered to be of no clinical significance.</w:t>
      </w:r>
    </w:p>
    <w:p w14:paraId="108FA65C" w14:textId="77777777" w:rsidR="008D4EC8" w:rsidRPr="00775BF2" w:rsidRDefault="008D4EC8" w:rsidP="00580F5E">
      <w:pPr>
        <w:ind w:left="851"/>
        <w:contextualSpacing/>
        <w:rPr>
          <w:sz w:val="24"/>
          <w:szCs w:val="24"/>
          <w:lang w:val="en-GB"/>
        </w:rPr>
      </w:pPr>
    </w:p>
    <w:p w14:paraId="71EDD2C3" w14:textId="77777777" w:rsidR="008D4EC8" w:rsidRPr="00775BF2" w:rsidRDefault="008D4EC8" w:rsidP="00580F5E">
      <w:pPr>
        <w:ind w:left="851"/>
        <w:contextualSpacing/>
        <w:rPr>
          <w:sz w:val="24"/>
          <w:szCs w:val="24"/>
          <w:lang w:val="en-GB"/>
        </w:rPr>
      </w:pPr>
      <w:r w:rsidRPr="00775BF2">
        <w:rPr>
          <w:sz w:val="24"/>
          <w:szCs w:val="24"/>
          <w:lang w:val="en-GB"/>
        </w:rPr>
        <w:t>During long</w:t>
      </w:r>
      <w:r w:rsidRPr="00775BF2">
        <w:rPr>
          <w:sz w:val="24"/>
          <w:szCs w:val="24"/>
          <w:lang w:val="en-GB"/>
        </w:rPr>
        <w:noBreakHyphen/>
        <w:t>term treatment with antisecretory drugs gastric glandular cysts have been reported to occur at a somewhat increased frequency. These changes are a physiological consequence of pronounced inhibition of acid secretion, are benign and appear to be reversible.</w:t>
      </w:r>
    </w:p>
    <w:p w14:paraId="4BBB7DA6" w14:textId="77777777" w:rsidR="008D4EC8" w:rsidRPr="00775BF2" w:rsidRDefault="008D4EC8" w:rsidP="00580F5E">
      <w:pPr>
        <w:ind w:left="851"/>
        <w:contextualSpacing/>
        <w:rPr>
          <w:sz w:val="24"/>
          <w:szCs w:val="24"/>
          <w:lang w:val="en-GB"/>
        </w:rPr>
      </w:pPr>
    </w:p>
    <w:p w14:paraId="72D0180D" w14:textId="77777777" w:rsidR="008D4EC8" w:rsidRPr="00775BF2" w:rsidRDefault="008D4EC8" w:rsidP="00580F5E">
      <w:pPr>
        <w:ind w:left="851"/>
        <w:contextualSpacing/>
        <w:rPr>
          <w:sz w:val="24"/>
          <w:szCs w:val="24"/>
          <w:lang w:val="en-GB"/>
        </w:rPr>
      </w:pPr>
      <w:r w:rsidRPr="00775BF2">
        <w:rPr>
          <w:sz w:val="24"/>
          <w:szCs w:val="24"/>
          <w:lang w:val="en-GB"/>
        </w:rPr>
        <w:t xml:space="preserve">Decreased gastric acidity due to any means including proton pump inhibitors, increases gastric counts of bacteria normally present in the gastrointestinal tract. Treatment with proton pump inhibitors may lead to slightly increased risk of gastrointestinal infections such as </w:t>
      </w:r>
      <w:r w:rsidRPr="00775BF2">
        <w:rPr>
          <w:i/>
          <w:iCs/>
          <w:sz w:val="24"/>
          <w:szCs w:val="24"/>
          <w:lang w:val="en-GB"/>
        </w:rPr>
        <w:t xml:space="preserve">Salmonella </w:t>
      </w:r>
      <w:r w:rsidRPr="00775BF2">
        <w:rPr>
          <w:sz w:val="24"/>
          <w:szCs w:val="24"/>
          <w:lang w:val="en-GB"/>
        </w:rPr>
        <w:t xml:space="preserve">and </w:t>
      </w:r>
      <w:r w:rsidRPr="00775BF2">
        <w:rPr>
          <w:i/>
          <w:iCs/>
          <w:sz w:val="24"/>
          <w:szCs w:val="24"/>
          <w:lang w:val="en-GB"/>
        </w:rPr>
        <w:t xml:space="preserve">Campylobacter </w:t>
      </w:r>
      <w:r w:rsidRPr="00775BF2">
        <w:rPr>
          <w:iCs/>
          <w:sz w:val="24"/>
          <w:szCs w:val="24"/>
          <w:lang w:val="en-GB"/>
        </w:rPr>
        <w:t>and, in hospitalised patients, possibly also</w:t>
      </w:r>
      <w:r w:rsidRPr="00775BF2">
        <w:rPr>
          <w:i/>
          <w:iCs/>
          <w:sz w:val="24"/>
          <w:szCs w:val="24"/>
          <w:lang w:val="en-GB"/>
        </w:rPr>
        <w:t xml:space="preserve"> Clostridium difficile</w:t>
      </w:r>
      <w:r w:rsidRPr="00775BF2">
        <w:rPr>
          <w:sz w:val="24"/>
          <w:szCs w:val="24"/>
          <w:lang w:val="en-GB"/>
        </w:rPr>
        <w:t>.</w:t>
      </w:r>
    </w:p>
    <w:p w14:paraId="3437A741" w14:textId="77777777" w:rsidR="008D4EC8" w:rsidRPr="00775BF2" w:rsidRDefault="008D4EC8" w:rsidP="00580F5E">
      <w:pPr>
        <w:ind w:left="851"/>
        <w:contextualSpacing/>
        <w:rPr>
          <w:sz w:val="24"/>
          <w:szCs w:val="24"/>
          <w:lang w:val="en-GB"/>
        </w:rPr>
      </w:pPr>
    </w:p>
    <w:p w14:paraId="56183E41" w14:textId="77777777" w:rsidR="008D4EC8" w:rsidRPr="00775BF2" w:rsidRDefault="008D4EC8" w:rsidP="00580F5E">
      <w:pPr>
        <w:ind w:left="851"/>
        <w:contextualSpacing/>
        <w:rPr>
          <w:sz w:val="24"/>
          <w:szCs w:val="24"/>
          <w:u w:val="single"/>
          <w:lang w:val="en-GB"/>
        </w:rPr>
      </w:pPr>
      <w:r w:rsidRPr="00775BF2">
        <w:rPr>
          <w:sz w:val="24"/>
          <w:szCs w:val="24"/>
          <w:u w:val="single"/>
          <w:lang w:val="en-GB"/>
        </w:rPr>
        <w:t>Clinical Efficacy</w:t>
      </w:r>
    </w:p>
    <w:p w14:paraId="7B19350D" w14:textId="77777777" w:rsidR="008D4EC8" w:rsidRPr="00775BF2" w:rsidRDefault="008D4EC8" w:rsidP="00580F5E">
      <w:pPr>
        <w:ind w:left="851"/>
        <w:contextualSpacing/>
        <w:rPr>
          <w:sz w:val="24"/>
          <w:szCs w:val="24"/>
          <w:lang w:val="en-GB"/>
        </w:rPr>
      </w:pPr>
      <w:r w:rsidRPr="00775BF2">
        <w:rPr>
          <w:sz w:val="24"/>
          <w:szCs w:val="24"/>
          <w:lang w:val="en-GB"/>
        </w:rPr>
        <w:t>In two studies with ranitidine as an active comparator, esomeprazole showed better effect in healing of gastric ulcers in patients using NSAIDs, including COX</w:t>
      </w:r>
      <w:r w:rsidRPr="00775BF2">
        <w:rPr>
          <w:sz w:val="24"/>
          <w:szCs w:val="24"/>
          <w:lang w:val="en-GB"/>
        </w:rPr>
        <w:noBreakHyphen/>
        <w:t>2 selective NSAIDs.</w:t>
      </w:r>
    </w:p>
    <w:p w14:paraId="11153414" w14:textId="77777777" w:rsidR="008D4EC8" w:rsidRPr="00775BF2" w:rsidRDefault="008D4EC8" w:rsidP="00580F5E">
      <w:pPr>
        <w:ind w:left="851"/>
        <w:contextualSpacing/>
        <w:rPr>
          <w:sz w:val="24"/>
          <w:szCs w:val="24"/>
          <w:lang w:val="en-GB"/>
        </w:rPr>
      </w:pPr>
    </w:p>
    <w:p w14:paraId="757B9C95" w14:textId="77777777" w:rsidR="008D4EC8" w:rsidRPr="00775BF2" w:rsidRDefault="008D4EC8" w:rsidP="00580F5E">
      <w:pPr>
        <w:ind w:left="851"/>
        <w:contextualSpacing/>
        <w:rPr>
          <w:sz w:val="24"/>
          <w:szCs w:val="24"/>
          <w:lang w:val="en-GB"/>
        </w:rPr>
      </w:pPr>
      <w:r w:rsidRPr="00775BF2">
        <w:rPr>
          <w:sz w:val="24"/>
          <w:szCs w:val="24"/>
          <w:lang w:val="en-GB"/>
        </w:rPr>
        <w:t>In two studies with placebo as comparator, esomeprazole showed better effect in the prevention of gastric and duodenal ulcers in patients using NSAIDs (aged &gt;60 and/or with previous ulcer), including COX</w:t>
      </w:r>
      <w:r w:rsidRPr="00775BF2">
        <w:rPr>
          <w:sz w:val="24"/>
          <w:szCs w:val="24"/>
          <w:lang w:val="en-GB"/>
        </w:rPr>
        <w:noBreakHyphen/>
        <w:t>2 selective NSAIDs.</w:t>
      </w:r>
    </w:p>
    <w:p w14:paraId="2232FE9C" w14:textId="77777777" w:rsidR="008D4EC8" w:rsidRPr="00775BF2" w:rsidRDefault="008D4EC8" w:rsidP="00580F5E">
      <w:pPr>
        <w:ind w:left="851"/>
        <w:contextualSpacing/>
        <w:rPr>
          <w:sz w:val="24"/>
          <w:szCs w:val="24"/>
          <w:lang w:val="en-GB"/>
        </w:rPr>
      </w:pPr>
    </w:p>
    <w:p w14:paraId="195E7187" w14:textId="77777777" w:rsidR="008D4EC8" w:rsidRPr="00775BF2" w:rsidRDefault="008D4EC8" w:rsidP="00580F5E">
      <w:pPr>
        <w:ind w:left="851"/>
        <w:contextualSpacing/>
        <w:rPr>
          <w:bCs/>
          <w:sz w:val="24"/>
          <w:szCs w:val="24"/>
          <w:u w:val="single"/>
          <w:lang w:val="en-GB"/>
        </w:rPr>
      </w:pPr>
      <w:r w:rsidRPr="00775BF2">
        <w:rPr>
          <w:bCs/>
          <w:sz w:val="24"/>
          <w:szCs w:val="24"/>
          <w:u w:val="single"/>
          <w:lang w:val="en-GB"/>
        </w:rPr>
        <w:t>Paediatric population</w:t>
      </w:r>
    </w:p>
    <w:p w14:paraId="57360D20" w14:textId="6D5731B3" w:rsidR="008D4EC8" w:rsidRPr="00775BF2" w:rsidRDefault="008D4EC8" w:rsidP="00580F5E">
      <w:pPr>
        <w:ind w:left="851"/>
        <w:contextualSpacing/>
        <w:rPr>
          <w:sz w:val="24"/>
          <w:szCs w:val="24"/>
          <w:lang w:val="en-GB"/>
        </w:rPr>
      </w:pPr>
      <w:r w:rsidRPr="00775BF2">
        <w:rPr>
          <w:sz w:val="24"/>
          <w:szCs w:val="24"/>
          <w:lang w:val="en-GB"/>
        </w:rPr>
        <w:t>In a study in paediatric GORD patients (&lt;1 to 17 years of age) receiving long</w:t>
      </w:r>
      <w:r w:rsidRPr="00775BF2">
        <w:rPr>
          <w:sz w:val="24"/>
          <w:szCs w:val="24"/>
          <w:lang w:val="en-GB"/>
        </w:rPr>
        <w:noBreakHyphen/>
        <w:t>term PPI treatment, 61</w:t>
      </w:r>
      <w:r w:rsidR="00935FF9">
        <w:rPr>
          <w:sz w:val="24"/>
          <w:szCs w:val="24"/>
          <w:lang w:val="en-GB"/>
        </w:rPr>
        <w:t xml:space="preserve"> %</w:t>
      </w:r>
      <w:r w:rsidRPr="00775BF2">
        <w:rPr>
          <w:sz w:val="24"/>
          <w:szCs w:val="24"/>
          <w:lang w:val="en-GB"/>
        </w:rPr>
        <w:t xml:space="preserve"> of the children developed minor degrees of ECL cell hyperplasia with no known clinical significance and with no development of atrophic gastritis or carcinoid tumours.</w:t>
      </w:r>
    </w:p>
    <w:p w14:paraId="376F841B" w14:textId="77777777" w:rsidR="007C5D2A" w:rsidRPr="00775BF2" w:rsidRDefault="007C5D2A" w:rsidP="003E0341">
      <w:pPr>
        <w:tabs>
          <w:tab w:val="left" w:pos="851"/>
        </w:tabs>
        <w:ind w:left="851"/>
        <w:rPr>
          <w:sz w:val="24"/>
          <w:szCs w:val="24"/>
          <w:lang w:val="en-GB"/>
        </w:rPr>
      </w:pPr>
    </w:p>
    <w:p w14:paraId="4C2BD514" w14:textId="67039714" w:rsidR="007C5D2A" w:rsidRPr="00775BF2" w:rsidRDefault="007C5D2A" w:rsidP="007C5D2A">
      <w:pPr>
        <w:tabs>
          <w:tab w:val="left" w:pos="851"/>
        </w:tabs>
        <w:ind w:left="851" w:hanging="851"/>
        <w:rPr>
          <w:b/>
          <w:sz w:val="24"/>
          <w:szCs w:val="24"/>
          <w:lang w:val="en-GB"/>
        </w:rPr>
      </w:pPr>
      <w:r w:rsidRPr="00775BF2">
        <w:rPr>
          <w:b/>
          <w:sz w:val="24"/>
          <w:szCs w:val="24"/>
          <w:lang w:val="en-GB"/>
        </w:rPr>
        <w:t>5.2</w:t>
      </w:r>
      <w:r w:rsidRPr="00775BF2">
        <w:rPr>
          <w:b/>
          <w:sz w:val="24"/>
          <w:szCs w:val="24"/>
          <w:lang w:val="en-GB"/>
        </w:rPr>
        <w:tab/>
        <w:t>Pharmacokinetic properties</w:t>
      </w:r>
    </w:p>
    <w:p w14:paraId="4EC845C7" w14:textId="77777777" w:rsidR="00F003D9" w:rsidRDefault="00F003D9" w:rsidP="00F003D9">
      <w:pPr>
        <w:ind w:left="851"/>
        <w:rPr>
          <w:sz w:val="24"/>
          <w:szCs w:val="24"/>
          <w:u w:val="single"/>
          <w:lang w:val="en-GB"/>
        </w:rPr>
      </w:pPr>
    </w:p>
    <w:p w14:paraId="2FAB8DC1" w14:textId="2ADBD6B2" w:rsidR="005E6E50" w:rsidRPr="00F003D9" w:rsidRDefault="005E6E50" w:rsidP="00F003D9">
      <w:pPr>
        <w:ind w:left="851"/>
        <w:rPr>
          <w:sz w:val="24"/>
          <w:szCs w:val="24"/>
          <w:u w:val="single"/>
          <w:lang w:val="en-GB"/>
        </w:rPr>
      </w:pPr>
      <w:r w:rsidRPr="00F003D9">
        <w:rPr>
          <w:sz w:val="24"/>
          <w:szCs w:val="24"/>
          <w:u w:val="single"/>
          <w:lang w:val="en-GB"/>
        </w:rPr>
        <w:t xml:space="preserve">Absorption </w:t>
      </w:r>
    </w:p>
    <w:p w14:paraId="2540C3B0" w14:textId="761B4D8B" w:rsidR="005E6E50" w:rsidRPr="00F003D9" w:rsidRDefault="005E6E50" w:rsidP="00F003D9">
      <w:pPr>
        <w:ind w:left="851"/>
        <w:rPr>
          <w:sz w:val="24"/>
          <w:szCs w:val="24"/>
          <w:lang w:val="en-GB"/>
        </w:rPr>
      </w:pPr>
      <w:r w:rsidRPr="00F003D9">
        <w:rPr>
          <w:sz w:val="24"/>
          <w:szCs w:val="24"/>
          <w:lang w:val="en-GB"/>
        </w:rPr>
        <w:t xml:space="preserve">Esomeprazole is acid labile and is administered </w:t>
      </w:r>
      <w:r w:rsidRPr="00F003D9">
        <w:rPr>
          <w:sz w:val="24"/>
          <w:szCs w:val="24"/>
          <w:lang w:val="en-US"/>
        </w:rPr>
        <w:t>orally as gastro</w:t>
      </w:r>
      <w:r w:rsidRPr="00F003D9">
        <w:rPr>
          <w:sz w:val="24"/>
          <w:szCs w:val="24"/>
          <w:lang w:val="en-US"/>
        </w:rPr>
        <w:noBreakHyphen/>
        <w:t>resistant granules</w:t>
      </w:r>
      <w:r w:rsidRPr="00F003D9">
        <w:rPr>
          <w:sz w:val="24"/>
          <w:szCs w:val="24"/>
          <w:lang w:val="en-GB"/>
        </w:rPr>
        <w:t xml:space="preserve">. </w:t>
      </w:r>
      <w:r w:rsidRPr="00F003D9">
        <w:rPr>
          <w:i/>
          <w:iCs/>
          <w:sz w:val="24"/>
          <w:szCs w:val="24"/>
          <w:lang w:val="en-GB"/>
        </w:rPr>
        <w:t xml:space="preserve">In vivo </w:t>
      </w:r>
      <w:r w:rsidRPr="00F003D9">
        <w:rPr>
          <w:sz w:val="24"/>
          <w:szCs w:val="24"/>
          <w:lang w:val="en-GB"/>
        </w:rPr>
        <w:t>conversion to the R</w:t>
      </w:r>
      <w:r w:rsidRPr="00F003D9">
        <w:rPr>
          <w:sz w:val="24"/>
          <w:szCs w:val="24"/>
          <w:lang w:val="en-GB"/>
        </w:rPr>
        <w:noBreakHyphen/>
        <w:t>isomer is negligible. Absorption of esomeprazole is rapid, with peak plasma levels occurring approximately 1</w:t>
      </w:r>
      <w:r w:rsidRPr="00F003D9">
        <w:rPr>
          <w:sz w:val="24"/>
          <w:szCs w:val="24"/>
          <w:lang w:val="en-GB"/>
        </w:rPr>
        <w:noBreakHyphen/>
        <w:t>2 hours after dose. The absolute bioavailability is 64</w:t>
      </w:r>
      <w:r w:rsidR="00935FF9">
        <w:rPr>
          <w:sz w:val="24"/>
          <w:szCs w:val="24"/>
          <w:lang w:val="en-GB"/>
        </w:rPr>
        <w:t xml:space="preserve"> %</w:t>
      </w:r>
      <w:r w:rsidRPr="00F003D9">
        <w:rPr>
          <w:sz w:val="24"/>
          <w:szCs w:val="24"/>
          <w:lang w:val="en-GB"/>
        </w:rPr>
        <w:t xml:space="preserve"> after a single dose of 40 mg and increases to 89</w:t>
      </w:r>
      <w:r w:rsidR="00935FF9">
        <w:rPr>
          <w:sz w:val="24"/>
          <w:szCs w:val="24"/>
          <w:lang w:val="en-GB"/>
        </w:rPr>
        <w:t xml:space="preserve"> %</w:t>
      </w:r>
      <w:r w:rsidRPr="00F003D9">
        <w:rPr>
          <w:sz w:val="24"/>
          <w:szCs w:val="24"/>
          <w:lang w:val="en-GB"/>
        </w:rPr>
        <w:t xml:space="preserve"> after repeated once</w:t>
      </w:r>
      <w:r w:rsidRPr="00F003D9">
        <w:rPr>
          <w:sz w:val="24"/>
          <w:szCs w:val="24"/>
          <w:lang w:val="en-GB"/>
        </w:rPr>
        <w:noBreakHyphen/>
        <w:t>daily administration. For 20 mg esomeprazole the corresponding values are 50</w:t>
      </w:r>
      <w:r w:rsidR="00935FF9">
        <w:rPr>
          <w:sz w:val="24"/>
          <w:szCs w:val="24"/>
          <w:lang w:val="en-GB"/>
        </w:rPr>
        <w:t xml:space="preserve"> %</w:t>
      </w:r>
      <w:r w:rsidRPr="00F003D9">
        <w:rPr>
          <w:sz w:val="24"/>
          <w:szCs w:val="24"/>
          <w:lang w:val="en-GB"/>
        </w:rPr>
        <w:t xml:space="preserve"> and 68</w:t>
      </w:r>
      <w:r w:rsidR="00935FF9">
        <w:rPr>
          <w:sz w:val="24"/>
          <w:szCs w:val="24"/>
          <w:lang w:val="en-GB"/>
        </w:rPr>
        <w:t xml:space="preserve"> %</w:t>
      </w:r>
      <w:r w:rsidRPr="00F003D9">
        <w:rPr>
          <w:sz w:val="24"/>
          <w:szCs w:val="24"/>
          <w:lang w:val="en-GB"/>
        </w:rPr>
        <w:t xml:space="preserve"> respectively. Food intake both delays and decreases the</w:t>
      </w:r>
      <w:r w:rsidR="00F003D9">
        <w:rPr>
          <w:sz w:val="24"/>
          <w:szCs w:val="24"/>
          <w:lang w:val="en-GB"/>
        </w:rPr>
        <w:t xml:space="preserve"> </w:t>
      </w:r>
      <w:r w:rsidRPr="00F003D9">
        <w:rPr>
          <w:sz w:val="24"/>
          <w:szCs w:val="24"/>
          <w:lang w:val="en-GB"/>
        </w:rPr>
        <w:t>absorption of esomeprazole although this has no significant influence on the effect of esomeprazole on</w:t>
      </w:r>
      <w:r w:rsidR="00F003D9">
        <w:rPr>
          <w:sz w:val="24"/>
          <w:szCs w:val="24"/>
          <w:lang w:val="en-GB"/>
        </w:rPr>
        <w:t xml:space="preserve"> </w:t>
      </w:r>
      <w:r w:rsidRPr="00F003D9">
        <w:rPr>
          <w:sz w:val="24"/>
          <w:szCs w:val="24"/>
          <w:lang w:val="en-GB"/>
        </w:rPr>
        <w:t>intragastric acidity.</w:t>
      </w:r>
    </w:p>
    <w:p w14:paraId="40A007C9" w14:textId="77777777" w:rsidR="005E6E50" w:rsidRPr="00F003D9" w:rsidRDefault="005E6E50" w:rsidP="00F003D9">
      <w:pPr>
        <w:ind w:left="851"/>
        <w:rPr>
          <w:sz w:val="24"/>
          <w:szCs w:val="24"/>
          <w:lang w:val="en-GB"/>
        </w:rPr>
      </w:pPr>
    </w:p>
    <w:p w14:paraId="5657837C" w14:textId="77777777" w:rsidR="005E6E50" w:rsidRPr="007203C5" w:rsidRDefault="005E6E50" w:rsidP="00F003D9">
      <w:pPr>
        <w:ind w:left="851"/>
        <w:rPr>
          <w:sz w:val="24"/>
          <w:szCs w:val="24"/>
          <w:u w:val="single"/>
          <w:lang w:val="en-GB"/>
        </w:rPr>
      </w:pPr>
      <w:r w:rsidRPr="007203C5">
        <w:rPr>
          <w:sz w:val="24"/>
          <w:szCs w:val="24"/>
          <w:u w:val="single"/>
          <w:lang w:val="en-GB"/>
        </w:rPr>
        <w:t>Distribution</w:t>
      </w:r>
    </w:p>
    <w:p w14:paraId="765C013D" w14:textId="52743AE0" w:rsidR="005E6E50" w:rsidRPr="00F003D9" w:rsidRDefault="005E6E50" w:rsidP="00F003D9">
      <w:pPr>
        <w:ind w:left="851"/>
        <w:rPr>
          <w:sz w:val="24"/>
          <w:szCs w:val="24"/>
          <w:lang w:val="en-GB"/>
        </w:rPr>
      </w:pPr>
      <w:r w:rsidRPr="00F003D9">
        <w:rPr>
          <w:sz w:val="24"/>
          <w:szCs w:val="24"/>
          <w:lang w:val="en-GB"/>
        </w:rPr>
        <w:t>The apparent volume of distribution at steady state in healthy subjects is approximately 0.22 l/kg body weight. Esomeprazole is 97</w:t>
      </w:r>
      <w:r w:rsidR="00935FF9">
        <w:rPr>
          <w:sz w:val="24"/>
          <w:szCs w:val="24"/>
          <w:lang w:val="en-GB"/>
        </w:rPr>
        <w:t xml:space="preserve"> %</w:t>
      </w:r>
      <w:r w:rsidRPr="00F003D9">
        <w:rPr>
          <w:sz w:val="24"/>
          <w:szCs w:val="24"/>
          <w:lang w:val="en-GB"/>
        </w:rPr>
        <w:t xml:space="preserve"> plasma protein bound.</w:t>
      </w:r>
    </w:p>
    <w:p w14:paraId="42A86F28" w14:textId="77777777" w:rsidR="005E6E50" w:rsidRPr="00F003D9" w:rsidRDefault="005E6E50" w:rsidP="00F003D9">
      <w:pPr>
        <w:ind w:left="851"/>
        <w:rPr>
          <w:sz w:val="24"/>
          <w:szCs w:val="24"/>
          <w:lang w:val="en-GB"/>
        </w:rPr>
      </w:pPr>
    </w:p>
    <w:p w14:paraId="52BD1DE2" w14:textId="77777777" w:rsidR="005E6E50" w:rsidRPr="00775BF2" w:rsidRDefault="005E6E50" w:rsidP="00580F5E">
      <w:pPr>
        <w:ind w:left="851"/>
        <w:contextualSpacing/>
        <w:rPr>
          <w:sz w:val="24"/>
          <w:szCs w:val="24"/>
          <w:u w:val="single"/>
          <w:lang w:val="en-GB"/>
        </w:rPr>
      </w:pPr>
      <w:r w:rsidRPr="00775BF2">
        <w:rPr>
          <w:sz w:val="24"/>
          <w:szCs w:val="24"/>
          <w:u w:val="single"/>
          <w:lang w:val="en-GB"/>
        </w:rPr>
        <w:t xml:space="preserve">Biotransformation </w:t>
      </w:r>
    </w:p>
    <w:p w14:paraId="3C304476" w14:textId="77777777" w:rsidR="005E6E50" w:rsidRPr="00775BF2" w:rsidRDefault="005E6E50" w:rsidP="00580F5E">
      <w:pPr>
        <w:ind w:left="851"/>
        <w:contextualSpacing/>
        <w:rPr>
          <w:sz w:val="24"/>
          <w:szCs w:val="24"/>
          <w:lang w:val="en-GB"/>
        </w:rPr>
      </w:pPr>
      <w:r w:rsidRPr="00775BF2">
        <w:rPr>
          <w:sz w:val="24"/>
          <w:szCs w:val="24"/>
          <w:lang w:val="en-GB"/>
        </w:rPr>
        <w:t xml:space="preserve">Esomeprazole is completely metabolised by the cytochrome P450 system (CYP). The major part of the metabolism of esomeprazole is dependent on the polymorphic CYP2C19, responsible for the formation of the hydroxy- and </w:t>
      </w:r>
      <w:proofErr w:type="spellStart"/>
      <w:r w:rsidRPr="00775BF2">
        <w:rPr>
          <w:sz w:val="24"/>
          <w:szCs w:val="24"/>
          <w:lang w:val="en-GB"/>
        </w:rPr>
        <w:t>desmethyl</w:t>
      </w:r>
      <w:proofErr w:type="spellEnd"/>
      <w:r w:rsidRPr="00775BF2">
        <w:rPr>
          <w:sz w:val="24"/>
          <w:szCs w:val="24"/>
          <w:lang w:val="en-GB"/>
        </w:rPr>
        <w:t xml:space="preserve"> metabolites of esomeprazole. The remaining part is dependent on another specific isoform, CYP3A4, responsible for the formation of esomeprazole </w:t>
      </w:r>
      <w:proofErr w:type="spellStart"/>
      <w:r w:rsidRPr="00775BF2">
        <w:rPr>
          <w:sz w:val="24"/>
          <w:szCs w:val="24"/>
          <w:lang w:val="en-GB"/>
        </w:rPr>
        <w:t>sulphone</w:t>
      </w:r>
      <w:proofErr w:type="spellEnd"/>
      <w:r w:rsidRPr="00775BF2">
        <w:rPr>
          <w:sz w:val="24"/>
          <w:szCs w:val="24"/>
          <w:lang w:val="en-GB"/>
        </w:rPr>
        <w:t>, the main metabolite in plasma.</w:t>
      </w:r>
    </w:p>
    <w:p w14:paraId="1F65E7F6" w14:textId="77777777" w:rsidR="005E6E50" w:rsidRPr="00775BF2" w:rsidRDefault="005E6E50" w:rsidP="00580F5E">
      <w:pPr>
        <w:ind w:left="851"/>
        <w:contextualSpacing/>
        <w:rPr>
          <w:sz w:val="24"/>
          <w:szCs w:val="24"/>
          <w:u w:val="single"/>
          <w:lang w:val="en-GB"/>
        </w:rPr>
      </w:pPr>
    </w:p>
    <w:p w14:paraId="238081D7" w14:textId="77777777" w:rsidR="005E6E50" w:rsidRPr="00775BF2" w:rsidRDefault="005E6E50" w:rsidP="00580F5E">
      <w:pPr>
        <w:ind w:left="851"/>
        <w:contextualSpacing/>
        <w:rPr>
          <w:sz w:val="24"/>
          <w:szCs w:val="24"/>
          <w:u w:val="single"/>
          <w:lang w:val="en-GB"/>
        </w:rPr>
      </w:pPr>
      <w:r w:rsidRPr="00775BF2">
        <w:rPr>
          <w:sz w:val="24"/>
          <w:szCs w:val="24"/>
          <w:u w:val="single"/>
          <w:lang w:val="en-GB"/>
        </w:rPr>
        <w:t>Elimination</w:t>
      </w:r>
    </w:p>
    <w:p w14:paraId="1401D4CC" w14:textId="77777777" w:rsidR="005E6E50" w:rsidRPr="00775BF2" w:rsidRDefault="005E6E50" w:rsidP="00580F5E">
      <w:pPr>
        <w:ind w:left="851"/>
        <w:contextualSpacing/>
        <w:rPr>
          <w:sz w:val="24"/>
          <w:szCs w:val="24"/>
          <w:lang w:val="en-GB"/>
        </w:rPr>
      </w:pPr>
      <w:r w:rsidRPr="00775BF2">
        <w:rPr>
          <w:sz w:val="24"/>
          <w:szCs w:val="24"/>
          <w:lang w:val="en-GB"/>
        </w:rPr>
        <w:t>The parameters below reflect mainly the pharmacokinetics in individuals with a functional CYP2C19 enzyme, extensive metabolisers.</w:t>
      </w:r>
    </w:p>
    <w:p w14:paraId="254D58B9" w14:textId="77777777" w:rsidR="005E6E50" w:rsidRPr="00775BF2" w:rsidRDefault="005E6E50" w:rsidP="00580F5E">
      <w:pPr>
        <w:ind w:left="851"/>
        <w:contextualSpacing/>
        <w:rPr>
          <w:sz w:val="24"/>
          <w:szCs w:val="24"/>
          <w:lang w:val="en-GB"/>
        </w:rPr>
      </w:pPr>
    </w:p>
    <w:p w14:paraId="2351770B" w14:textId="77777777" w:rsidR="005E6E50" w:rsidRPr="00775BF2" w:rsidRDefault="005E6E50" w:rsidP="00580F5E">
      <w:pPr>
        <w:ind w:left="851"/>
        <w:contextualSpacing/>
        <w:rPr>
          <w:sz w:val="24"/>
          <w:szCs w:val="24"/>
          <w:lang w:val="en-GB"/>
        </w:rPr>
      </w:pPr>
      <w:r w:rsidRPr="00775BF2">
        <w:rPr>
          <w:sz w:val="24"/>
          <w:szCs w:val="24"/>
          <w:lang w:val="en-GB"/>
        </w:rPr>
        <w:t>Total plasma clearance is about 17 l/h after a single dose and about 9 l/h after repeated administration.</w:t>
      </w:r>
    </w:p>
    <w:p w14:paraId="3B06247D" w14:textId="47B15EA3" w:rsidR="005E6E50" w:rsidRPr="00775BF2" w:rsidRDefault="005E6E50" w:rsidP="00580F5E">
      <w:pPr>
        <w:ind w:left="851"/>
        <w:contextualSpacing/>
        <w:rPr>
          <w:sz w:val="24"/>
          <w:szCs w:val="24"/>
          <w:lang w:val="en-GB"/>
        </w:rPr>
      </w:pPr>
      <w:r w:rsidRPr="00775BF2">
        <w:rPr>
          <w:sz w:val="24"/>
          <w:szCs w:val="24"/>
          <w:lang w:val="en-GB"/>
        </w:rPr>
        <w:t>The plasma elimination half</w:t>
      </w:r>
      <w:r w:rsidRPr="00775BF2">
        <w:rPr>
          <w:sz w:val="24"/>
          <w:szCs w:val="24"/>
          <w:lang w:val="en-GB"/>
        </w:rPr>
        <w:noBreakHyphen/>
        <w:t>life is about 1.3 hours after repeated once</w:t>
      </w:r>
      <w:r w:rsidRPr="00775BF2">
        <w:rPr>
          <w:sz w:val="24"/>
          <w:szCs w:val="24"/>
          <w:lang w:val="en-GB"/>
        </w:rPr>
        <w:noBreakHyphen/>
        <w:t>daily dosing. Esomeprazole is</w:t>
      </w:r>
      <w:r w:rsidR="007203C5">
        <w:rPr>
          <w:sz w:val="24"/>
          <w:szCs w:val="24"/>
          <w:lang w:val="en-GB"/>
        </w:rPr>
        <w:t xml:space="preserve"> </w:t>
      </w:r>
      <w:r w:rsidRPr="00775BF2">
        <w:rPr>
          <w:sz w:val="24"/>
          <w:szCs w:val="24"/>
          <w:lang w:val="en-GB"/>
        </w:rPr>
        <w:t>completely eliminated from plasma between doses with no tendency for accumulation during once-daily administration.</w:t>
      </w:r>
    </w:p>
    <w:p w14:paraId="75B2ACB1" w14:textId="77777777" w:rsidR="005E6E50" w:rsidRPr="00775BF2" w:rsidRDefault="005E6E50" w:rsidP="00580F5E">
      <w:pPr>
        <w:ind w:left="851"/>
        <w:contextualSpacing/>
        <w:rPr>
          <w:sz w:val="24"/>
          <w:szCs w:val="24"/>
          <w:lang w:val="en-GB"/>
        </w:rPr>
      </w:pPr>
    </w:p>
    <w:p w14:paraId="4E5AF32D" w14:textId="21F71C7F" w:rsidR="005E6E50" w:rsidRPr="00775BF2" w:rsidRDefault="005E6E50" w:rsidP="00580F5E">
      <w:pPr>
        <w:ind w:left="851"/>
        <w:contextualSpacing/>
        <w:rPr>
          <w:sz w:val="24"/>
          <w:szCs w:val="24"/>
          <w:lang w:val="en-GB"/>
        </w:rPr>
      </w:pPr>
      <w:r w:rsidRPr="00775BF2">
        <w:rPr>
          <w:sz w:val="24"/>
          <w:szCs w:val="24"/>
          <w:lang w:val="en-GB"/>
        </w:rPr>
        <w:t>The major metabolites of esomeprazole have no effect on gastric acid secretion. Almost 80</w:t>
      </w:r>
      <w:r w:rsidR="00250B32">
        <w:rPr>
          <w:sz w:val="24"/>
          <w:szCs w:val="24"/>
          <w:lang w:val="en-GB"/>
        </w:rPr>
        <w:t> </w:t>
      </w:r>
      <w:r w:rsidR="00935FF9">
        <w:rPr>
          <w:sz w:val="24"/>
          <w:szCs w:val="24"/>
          <w:lang w:val="en-GB"/>
        </w:rPr>
        <w:t>%</w:t>
      </w:r>
      <w:r w:rsidRPr="00775BF2">
        <w:rPr>
          <w:sz w:val="24"/>
          <w:szCs w:val="24"/>
          <w:lang w:val="en-GB"/>
        </w:rPr>
        <w:t xml:space="preserve"> of an</w:t>
      </w:r>
      <w:r w:rsidR="007203C5">
        <w:rPr>
          <w:sz w:val="24"/>
          <w:szCs w:val="24"/>
          <w:lang w:val="en-GB"/>
        </w:rPr>
        <w:t xml:space="preserve"> </w:t>
      </w:r>
      <w:r w:rsidRPr="00775BF2">
        <w:rPr>
          <w:sz w:val="24"/>
          <w:szCs w:val="24"/>
          <w:lang w:val="en-GB"/>
        </w:rPr>
        <w:t>oral dose of esomeprazole is excreted as metabolites in the urine, the remainder in the faeces. Less</w:t>
      </w:r>
      <w:r w:rsidR="007203C5">
        <w:rPr>
          <w:sz w:val="24"/>
          <w:szCs w:val="24"/>
          <w:lang w:val="en-GB"/>
        </w:rPr>
        <w:t xml:space="preserve"> </w:t>
      </w:r>
      <w:r w:rsidRPr="00775BF2">
        <w:rPr>
          <w:sz w:val="24"/>
          <w:szCs w:val="24"/>
          <w:lang w:val="en-GB"/>
        </w:rPr>
        <w:t>than 1</w:t>
      </w:r>
      <w:r w:rsidR="00935FF9">
        <w:rPr>
          <w:sz w:val="24"/>
          <w:szCs w:val="24"/>
          <w:lang w:val="en-GB"/>
        </w:rPr>
        <w:t xml:space="preserve"> %</w:t>
      </w:r>
      <w:r w:rsidRPr="00775BF2">
        <w:rPr>
          <w:sz w:val="24"/>
          <w:szCs w:val="24"/>
          <w:lang w:val="en-GB"/>
        </w:rPr>
        <w:t xml:space="preserve"> of the parent drug is found in urine.</w:t>
      </w:r>
    </w:p>
    <w:p w14:paraId="122FEF13" w14:textId="77777777" w:rsidR="005E6E50" w:rsidRPr="00775BF2" w:rsidRDefault="005E6E50" w:rsidP="00580F5E">
      <w:pPr>
        <w:ind w:left="851"/>
        <w:contextualSpacing/>
        <w:rPr>
          <w:sz w:val="24"/>
          <w:szCs w:val="24"/>
          <w:lang w:val="en-GB"/>
        </w:rPr>
      </w:pPr>
    </w:p>
    <w:p w14:paraId="53F36AB1" w14:textId="77777777" w:rsidR="005E6E50" w:rsidRPr="00775BF2" w:rsidRDefault="005E6E50" w:rsidP="00580F5E">
      <w:pPr>
        <w:ind w:left="851"/>
        <w:contextualSpacing/>
        <w:rPr>
          <w:sz w:val="24"/>
          <w:szCs w:val="24"/>
          <w:u w:val="single"/>
          <w:lang w:val="en-GB"/>
        </w:rPr>
      </w:pPr>
      <w:r w:rsidRPr="00775BF2">
        <w:rPr>
          <w:sz w:val="24"/>
          <w:szCs w:val="24"/>
          <w:u w:val="single"/>
          <w:lang w:val="en-GB"/>
        </w:rPr>
        <w:t>Linearity/non-linearity</w:t>
      </w:r>
    </w:p>
    <w:p w14:paraId="3C50EA62" w14:textId="77777777" w:rsidR="005E6E50" w:rsidRPr="00775BF2" w:rsidRDefault="005E6E50" w:rsidP="00580F5E">
      <w:pPr>
        <w:ind w:left="851"/>
        <w:contextualSpacing/>
        <w:rPr>
          <w:sz w:val="24"/>
          <w:szCs w:val="24"/>
          <w:lang w:val="en-GB"/>
        </w:rPr>
      </w:pPr>
      <w:r w:rsidRPr="00775BF2">
        <w:rPr>
          <w:sz w:val="24"/>
          <w:szCs w:val="24"/>
          <w:lang w:val="en-GB"/>
        </w:rPr>
        <w:t>The pharmacokinetics of esomeprazole has been studied in doses up to 40 mg b.i.d. The area under the plasma concentration</w:t>
      </w:r>
      <w:r w:rsidRPr="00775BF2">
        <w:rPr>
          <w:sz w:val="24"/>
          <w:szCs w:val="24"/>
          <w:lang w:val="en-GB"/>
        </w:rPr>
        <w:noBreakHyphen/>
        <w:t>time curve increases with repeated administration of esomeprazole. This increase is dose</w:t>
      </w:r>
      <w:r w:rsidRPr="00775BF2">
        <w:rPr>
          <w:sz w:val="24"/>
          <w:szCs w:val="24"/>
          <w:lang w:val="en-GB"/>
        </w:rPr>
        <w:noBreakHyphen/>
        <w:t>dependent and results in a more than dose proportional increase in AUC after repeated administration. This time - and dose</w:t>
      </w:r>
      <w:r w:rsidRPr="00775BF2">
        <w:rPr>
          <w:sz w:val="24"/>
          <w:szCs w:val="24"/>
          <w:lang w:val="en-GB"/>
        </w:rPr>
        <w:noBreakHyphen/>
        <w:t xml:space="preserve">dependency is due to a decrease of first pass metabolism and systemic clearance probably caused by an inhibition of the CYP2C19 enzyme by esomeprazole and/or its </w:t>
      </w:r>
      <w:proofErr w:type="spellStart"/>
      <w:r w:rsidRPr="00775BF2">
        <w:rPr>
          <w:sz w:val="24"/>
          <w:szCs w:val="24"/>
          <w:lang w:val="en-GB"/>
        </w:rPr>
        <w:t>sulphone</w:t>
      </w:r>
      <w:proofErr w:type="spellEnd"/>
      <w:r w:rsidRPr="00775BF2">
        <w:rPr>
          <w:sz w:val="24"/>
          <w:szCs w:val="24"/>
          <w:lang w:val="en-GB"/>
        </w:rPr>
        <w:t xml:space="preserve"> metabolite. </w:t>
      </w:r>
    </w:p>
    <w:p w14:paraId="073C8287" w14:textId="77777777" w:rsidR="005E6E50" w:rsidRPr="00775BF2" w:rsidRDefault="005E6E50" w:rsidP="00580F5E">
      <w:pPr>
        <w:ind w:left="851"/>
        <w:contextualSpacing/>
        <w:rPr>
          <w:sz w:val="24"/>
          <w:szCs w:val="24"/>
          <w:lang w:val="en-GB"/>
        </w:rPr>
      </w:pPr>
    </w:p>
    <w:p w14:paraId="37682F1D" w14:textId="77777777" w:rsidR="005E6E50" w:rsidRPr="00775BF2" w:rsidRDefault="005E6E50" w:rsidP="00580F5E">
      <w:pPr>
        <w:ind w:left="851"/>
        <w:contextualSpacing/>
        <w:rPr>
          <w:sz w:val="24"/>
          <w:szCs w:val="24"/>
          <w:u w:val="single"/>
          <w:lang w:val="en-GB"/>
        </w:rPr>
      </w:pPr>
      <w:r w:rsidRPr="00775BF2">
        <w:rPr>
          <w:sz w:val="24"/>
          <w:szCs w:val="24"/>
          <w:u w:val="single"/>
          <w:lang w:val="en-GB"/>
        </w:rPr>
        <w:t>Special patient populations</w:t>
      </w:r>
    </w:p>
    <w:p w14:paraId="32E43C9C" w14:textId="77777777" w:rsidR="005E6E50" w:rsidRPr="00775BF2" w:rsidRDefault="005E6E50" w:rsidP="00580F5E">
      <w:pPr>
        <w:ind w:left="851"/>
        <w:contextualSpacing/>
        <w:rPr>
          <w:sz w:val="24"/>
          <w:szCs w:val="24"/>
          <w:u w:val="single"/>
          <w:lang w:val="en-GB"/>
        </w:rPr>
      </w:pPr>
    </w:p>
    <w:p w14:paraId="78F5F4AD" w14:textId="77777777" w:rsidR="005E6E50" w:rsidRPr="00775BF2" w:rsidRDefault="005E6E50" w:rsidP="00580F5E">
      <w:pPr>
        <w:ind w:left="851"/>
        <w:contextualSpacing/>
        <w:rPr>
          <w:i/>
          <w:iCs/>
          <w:sz w:val="24"/>
          <w:szCs w:val="24"/>
          <w:u w:val="single"/>
          <w:lang w:val="en-GB"/>
        </w:rPr>
      </w:pPr>
      <w:r w:rsidRPr="00775BF2">
        <w:rPr>
          <w:i/>
          <w:iCs/>
          <w:sz w:val="24"/>
          <w:szCs w:val="24"/>
          <w:u w:val="single"/>
          <w:lang w:val="en-GB"/>
        </w:rPr>
        <w:t>Poor metabolisers</w:t>
      </w:r>
    </w:p>
    <w:p w14:paraId="0EB8800B" w14:textId="18CEAA71" w:rsidR="005E6E50" w:rsidRPr="00775BF2" w:rsidRDefault="005E6E50" w:rsidP="00580F5E">
      <w:pPr>
        <w:ind w:left="851"/>
        <w:contextualSpacing/>
        <w:rPr>
          <w:sz w:val="24"/>
          <w:szCs w:val="24"/>
          <w:lang w:val="en-GB"/>
        </w:rPr>
      </w:pPr>
      <w:r w:rsidRPr="00775BF2">
        <w:rPr>
          <w:sz w:val="24"/>
          <w:szCs w:val="24"/>
          <w:lang w:val="en-GB"/>
        </w:rPr>
        <w:t>Approximately 2.9±1.5</w:t>
      </w:r>
      <w:r w:rsidR="00935FF9">
        <w:rPr>
          <w:sz w:val="24"/>
          <w:szCs w:val="24"/>
          <w:lang w:val="en-GB"/>
        </w:rPr>
        <w:t xml:space="preserve"> %</w:t>
      </w:r>
      <w:r w:rsidRPr="00775BF2">
        <w:rPr>
          <w:sz w:val="24"/>
          <w:szCs w:val="24"/>
          <w:lang w:val="en-GB"/>
        </w:rPr>
        <w:t xml:space="preserve"> of the population lack a functional CYP2C19 enzyme and are called poor metabolisers. In these individuals the metabolism of esomeprazole is probably mainly catalysed by CYP3A4. After repeated once</w:t>
      </w:r>
      <w:r w:rsidRPr="00775BF2">
        <w:rPr>
          <w:sz w:val="24"/>
          <w:szCs w:val="24"/>
          <w:lang w:val="en-GB"/>
        </w:rPr>
        <w:noBreakHyphen/>
        <w:t>daily administration of 40 mg esomeprazole, the mean area under the plasma concentration</w:t>
      </w:r>
      <w:r w:rsidRPr="00775BF2">
        <w:rPr>
          <w:sz w:val="24"/>
          <w:szCs w:val="24"/>
          <w:lang w:val="en-GB"/>
        </w:rPr>
        <w:noBreakHyphen/>
        <w:t>time curve was approximately 100</w:t>
      </w:r>
      <w:r w:rsidR="00935FF9">
        <w:rPr>
          <w:sz w:val="24"/>
          <w:szCs w:val="24"/>
          <w:lang w:val="en-GB"/>
        </w:rPr>
        <w:t xml:space="preserve"> %</w:t>
      </w:r>
      <w:r w:rsidRPr="00775BF2">
        <w:rPr>
          <w:sz w:val="24"/>
          <w:szCs w:val="24"/>
          <w:lang w:val="en-GB"/>
        </w:rPr>
        <w:t xml:space="preserve"> higher in poor metabolisers than in subjects having a functional CYP2C19 enzyme (extensive metabolisers). Mean peak plasma concentrations were increased by about 60</w:t>
      </w:r>
      <w:r w:rsidR="00935FF9">
        <w:rPr>
          <w:sz w:val="24"/>
          <w:szCs w:val="24"/>
          <w:lang w:val="en-GB"/>
        </w:rPr>
        <w:t xml:space="preserve"> %</w:t>
      </w:r>
      <w:r w:rsidRPr="00775BF2">
        <w:rPr>
          <w:sz w:val="24"/>
          <w:szCs w:val="24"/>
          <w:lang w:val="en-GB"/>
        </w:rPr>
        <w:t>. These findings have no implications for the posology of esomeprazole.</w:t>
      </w:r>
    </w:p>
    <w:p w14:paraId="5714EEC0" w14:textId="77777777" w:rsidR="005E6E50" w:rsidRPr="00775BF2" w:rsidRDefault="005E6E50" w:rsidP="00580F5E">
      <w:pPr>
        <w:ind w:left="851"/>
        <w:contextualSpacing/>
        <w:rPr>
          <w:sz w:val="24"/>
          <w:szCs w:val="24"/>
          <w:lang w:val="en-GB"/>
        </w:rPr>
      </w:pPr>
    </w:p>
    <w:p w14:paraId="591823E6" w14:textId="77777777" w:rsidR="005E6E50" w:rsidRPr="00775BF2" w:rsidRDefault="005E6E50" w:rsidP="00580F5E">
      <w:pPr>
        <w:ind w:left="851"/>
        <w:contextualSpacing/>
        <w:rPr>
          <w:i/>
          <w:iCs/>
          <w:sz w:val="24"/>
          <w:szCs w:val="24"/>
          <w:u w:val="single"/>
          <w:lang w:val="en-GB"/>
        </w:rPr>
      </w:pPr>
      <w:r w:rsidRPr="00775BF2">
        <w:rPr>
          <w:i/>
          <w:iCs/>
          <w:sz w:val="24"/>
          <w:szCs w:val="24"/>
          <w:u w:val="single"/>
          <w:lang w:val="en-GB"/>
        </w:rPr>
        <w:t>Gender</w:t>
      </w:r>
    </w:p>
    <w:p w14:paraId="0E261AD4" w14:textId="3EF59DDF" w:rsidR="005E6E50" w:rsidRPr="00775BF2" w:rsidRDefault="005E6E50" w:rsidP="00580F5E">
      <w:pPr>
        <w:ind w:left="851"/>
        <w:contextualSpacing/>
        <w:rPr>
          <w:sz w:val="24"/>
          <w:szCs w:val="24"/>
          <w:lang w:val="en-GB"/>
        </w:rPr>
      </w:pPr>
      <w:r w:rsidRPr="00775BF2">
        <w:rPr>
          <w:sz w:val="24"/>
          <w:szCs w:val="24"/>
          <w:lang w:val="en-GB"/>
        </w:rPr>
        <w:t>Following a single dose of 40 mg esomeprazole the mean area under the plasma concentration</w:t>
      </w:r>
      <w:r w:rsidRPr="00775BF2">
        <w:rPr>
          <w:sz w:val="24"/>
          <w:szCs w:val="24"/>
          <w:lang w:val="en-GB"/>
        </w:rPr>
        <w:noBreakHyphen/>
        <w:t>time curve is approximately 30</w:t>
      </w:r>
      <w:r w:rsidR="00935FF9">
        <w:rPr>
          <w:sz w:val="24"/>
          <w:szCs w:val="24"/>
          <w:lang w:val="en-GB"/>
        </w:rPr>
        <w:t xml:space="preserve"> %</w:t>
      </w:r>
      <w:r w:rsidRPr="00775BF2">
        <w:rPr>
          <w:sz w:val="24"/>
          <w:szCs w:val="24"/>
          <w:lang w:val="en-GB"/>
        </w:rPr>
        <w:t xml:space="preserve"> higher in females than in males. No gender difference is seen after repeated once</w:t>
      </w:r>
      <w:r w:rsidRPr="00775BF2">
        <w:rPr>
          <w:sz w:val="24"/>
          <w:szCs w:val="24"/>
          <w:lang w:val="en-GB"/>
        </w:rPr>
        <w:noBreakHyphen/>
        <w:t>daily administration. These findings have no implications for the posology of esomeprazole.</w:t>
      </w:r>
    </w:p>
    <w:p w14:paraId="66DFFC8C" w14:textId="77777777" w:rsidR="005E6E50" w:rsidRPr="00775BF2" w:rsidRDefault="005E6E50" w:rsidP="00580F5E">
      <w:pPr>
        <w:ind w:left="851"/>
        <w:contextualSpacing/>
        <w:rPr>
          <w:sz w:val="24"/>
          <w:szCs w:val="24"/>
          <w:lang w:val="en-GB"/>
        </w:rPr>
      </w:pPr>
    </w:p>
    <w:p w14:paraId="39E87647" w14:textId="77777777" w:rsidR="005E6E50" w:rsidRPr="007203C5" w:rsidRDefault="005E6E50" w:rsidP="007203C5">
      <w:pPr>
        <w:ind w:left="851"/>
        <w:rPr>
          <w:i/>
          <w:sz w:val="24"/>
          <w:szCs w:val="24"/>
          <w:u w:val="single"/>
          <w:lang w:val="en-GB"/>
        </w:rPr>
      </w:pPr>
      <w:r w:rsidRPr="007203C5">
        <w:rPr>
          <w:i/>
          <w:sz w:val="24"/>
          <w:szCs w:val="24"/>
          <w:u w:val="single"/>
          <w:lang w:val="en-GB"/>
        </w:rPr>
        <w:t>Hepatic impairment</w:t>
      </w:r>
    </w:p>
    <w:p w14:paraId="260E5F75" w14:textId="77777777" w:rsidR="005E6E50" w:rsidRPr="007203C5" w:rsidRDefault="005E6E50" w:rsidP="007203C5">
      <w:pPr>
        <w:ind w:left="851"/>
        <w:rPr>
          <w:sz w:val="24"/>
          <w:szCs w:val="24"/>
          <w:lang w:val="en-GB"/>
        </w:rPr>
      </w:pPr>
      <w:r w:rsidRPr="007203C5">
        <w:rPr>
          <w:sz w:val="24"/>
          <w:szCs w:val="24"/>
          <w:lang w:val="en-GB"/>
        </w:rPr>
        <w:t>The metabolism of esomeprazole in patients with mild to moderate liver dysfunction may be impaired. The metabolic rate is decreased in patients with severe liver dysfunction resulting in a doubling of the area under the plasma concentration</w:t>
      </w:r>
      <w:r w:rsidRPr="007203C5">
        <w:rPr>
          <w:sz w:val="24"/>
          <w:szCs w:val="24"/>
          <w:lang w:val="en-GB"/>
        </w:rPr>
        <w:noBreakHyphen/>
        <w:t>time curve of esomeprazole. Therefore, a maximum of 20 mg should not be exceeded in patients with severe dysfunction. Esomeprazole or its major metabolites do not show any tendency to accumulate with once</w:t>
      </w:r>
      <w:r w:rsidRPr="007203C5">
        <w:rPr>
          <w:sz w:val="24"/>
          <w:szCs w:val="24"/>
          <w:lang w:val="en-GB"/>
        </w:rPr>
        <w:noBreakHyphen/>
        <w:t>daily dosing.</w:t>
      </w:r>
    </w:p>
    <w:p w14:paraId="1070C0EE" w14:textId="77777777" w:rsidR="005E6E50" w:rsidRPr="007203C5" w:rsidRDefault="005E6E50" w:rsidP="007203C5">
      <w:pPr>
        <w:ind w:left="851"/>
        <w:rPr>
          <w:sz w:val="24"/>
          <w:szCs w:val="24"/>
          <w:lang w:val="en-GB"/>
        </w:rPr>
      </w:pPr>
    </w:p>
    <w:p w14:paraId="50A6317E" w14:textId="77777777" w:rsidR="005E6E50" w:rsidRPr="007203C5" w:rsidRDefault="005E6E50" w:rsidP="007203C5">
      <w:pPr>
        <w:ind w:left="851"/>
        <w:rPr>
          <w:i/>
          <w:sz w:val="24"/>
          <w:szCs w:val="24"/>
          <w:u w:val="single"/>
          <w:lang w:val="en-GB"/>
        </w:rPr>
      </w:pPr>
      <w:r w:rsidRPr="007203C5">
        <w:rPr>
          <w:i/>
          <w:sz w:val="24"/>
          <w:szCs w:val="24"/>
          <w:u w:val="single"/>
          <w:lang w:val="en-GB"/>
        </w:rPr>
        <w:t>Renal impairment</w:t>
      </w:r>
    </w:p>
    <w:p w14:paraId="12C5901C" w14:textId="77777777" w:rsidR="005E6E50" w:rsidRPr="00775BF2" w:rsidRDefault="005E6E50" w:rsidP="00580F5E">
      <w:pPr>
        <w:ind w:left="851"/>
        <w:contextualSpacing/>
        <w:rPr>
          <w:sz w:val="24"/>
          <w:szCs w:val="24"/>
          <w:lang w:val="en-GB"/>
        </w:rPr>
      </w:pPr>
      <w:r w:rsidRPr="00775BF2">
        <w:rPr>
          <w:sz w:val="24"/>
          <w:szCs w:val="24"/>
          <w:lang w:val="en-GB"/>
        </w:rPr>
        <w:t>No studies have been performed in patients with decreased renal function. Since the kidney is responsible for the excretion of the metabolites of esomeprazole but not for the elimination of the parent compound, the metabolism of esomeprazole is not expected to be changed in patients with impaired renal function.</w:t>
      </w:r>
    </w:p>
    <w:p w14:paraId="403633C6" w14:textId="77777777" w:rsidR="005E6E50" w:rsidRPr="00775BF2" w:rsidRDefault="005E6E50" w:rsidP="00580F5E">
      <w:pPr>
        <w:ind w:left="851"/>
        <w:contextualSpacing/>
        <w:rPr>
          <w:sz w:val="24"/>
          <w:szCs w:val="24"/>
          <w:lang w:val="en-GB"/>
        </w:rPr>
      </w:pPr>
    </w:p>
    <w:p w14:paraId="7A6D1635" w14:textId="77777777" w:rsidR="005E6E50" w:rsidRPr="00775BF2" w:rsidRDefault="005E6E50" w:rsidP="00580F5E">
      <w:pPr>
        <w:ind w:left="851"/>
        <w:contextualSpacing/>
        <w:rPr>
          <w:i/>
          <w:iCs/>
          <w:sz w:val="24"/>
          <w:szCs w:val="24"/>
          <w:u w:val="single"/>
          <w:lang w:val="en-GB"/>
        </w:rPr>
      </w:pPr>
      <w:r w:rsidRPr="00775BF2">
        <w:rPr>
          <w:i/>
          <w:iCs/>
          <w:sz w:val="24"/>
          <w:szCs w:val="24"/>
          <w:u w:val="single"/>
          <w:lang w:val="en-GB"/>
        </w:rPr>
        <w:t>Elderly</w:t>
      </w:r>
    </w:p>
    <w:p w14:paraId="45F9E2F1" w14:textId="77777777" w:rsidR="005E6E50" w:rsidRPr="00775BF2" w:rsidRDefault="005E6E50" w:rsidP="00580F5E">
      <w:pPr>
        <w:ind w:left="851"/>
        <w:contextualSpacing/>
        <w:rPr>
          <w:sz w:val="24"/>
          <w:szCs w:val="24"/>
          <w:lang w:val="en-GB"/>
        </w:rPr>
      </w:pPr>
      <w:r w:rsidRPr="00775BF2">
        <w:rPr>
          <w:sz w:val="24"/>
          <w:szCs w:val="24"/>
          <w:lang w:val="en-GB"/>
        </w:rPr>
        <w:t>The metabolism of esomeprazole is not significantly changed in elderly subjects (71</w:t>
      </w:r>
      <w:r w:rsidRPr="00775BF2">
        <w:rPr>
          <w:sz w:val="24"/>
          <w:szCs w:val="24"/>
          <w:lang w:val="en-GB"/>
        </w:rPr>
        <w:noBreakHyphen/>
        <w:t>80 years of age).</w:t>
      </w:r>
    </w:p>
    <w:p w14:paraId="6D68EAF1" w14:textId="77777777" w:rsidR="005E6E50" w:rsidRPr="00775BF2" w:rsidRDefault="005E6E50" w:rsidP="00580F5E">
      <w:pPr>
        <w:ind w:left="851"/>
        <w:contextualSpacing/>
        <w:rPr>
          <w:i/>
          <w:sz w:val="24"/>
          <w:szCs w:val="24"/>
          <w:u w:val="single"/>
          <w:lang w:val="en-GB"/>
        </w:rPr>
      </w:pPr>
    </w:p>
    <w:p w14:paraId="6D0A20E0" w14:textId="77777777" w:rsidR="005E6E50" w:rsidRPr="00775BF2" w:rsidRDefault="005E6E50" w:rsidP="00580F5E">
      <w:pPr>
        <w:ind w:left="851"/>
        <w:contextualSpacing/>
        <w:rPr>
          <w:i/>
          <w:sz w:val="24"/>
          <w:szCs w:val="24"/>
          <w:u w:val="single"/>
          <w:lang w:val="en-GB"/>
        </w:rPr>
      </w:pPr>
      <w:r w:rsidRPr="00775BF2">
        <w:rPr>
          <w:i/>
          <w:sz w:val="24"/>
          <w:szCs w:val="24"/>
          <w:u w:val="single"/>
          <w:lang w:val="en-GB"/>
        </w:rPr>
        <w:t>Paediatric population</w:t>
      </w:r>
    </w:p>
    <w:p w14:paraId="389C1EFF" w14:textId="77777777" w:rsidR="005E6E50" w:rsidRPr="00775BF2" w:rsidRDefault="005E6E50" w:rsidP="00580F5E">
      <w:pPr>
        <w:ind w:left="851"/>
        <w:contextualSpacing/>
        <w:rPr>
          <w:i/>
          <w:sz w:val="24"/>
          <w:szCs w:val="24"/>
          <w:lang w:val="en-GB"/>
        </w:rPr>
      </w:pPr>
      <w:r w:rsidRPr="00775BF2">
        <w:rPr>
          <w:i/>
          <w:sz w:val="24"/>
          <w:szCs w:val="24"/>
          <w:lang w:val="en-GB"/>
        </w:rPr>
        <w:t>Adolescents 12</w:t>
      </w:r>
      <w:r w:rsidRPr="00775BF2">
        <w:rPr>
          <w:i/>
          <w:sz w:val="24"/>
          <w:szCs w:val="24"/>
          <w:lang w:val="en-GB"/>
        </w:rPr>
        <w:noBreakHyphen/>
        <w:t>18 years:</w:t>
      </w:r>
    </w:p>
    <w:p w14:paraId="585DEC96" w14:textId="77777777" w:rsidR="005E6E50" w:rsidRPr="00775BF2" w:rsidRDefault="005E6E50" w:rsidP="00580F5E">
      <w:pPr>
        <w:ind w:left="851"/>
        <w:contextualSpacing/>
        <w:rPr>
          <w:sz w:val="24"/>
          <w:szCs w:val="24"/>
          <w:lang w:val="en-GB"/>
        </w:rPr>
      </w:pPr>
      <w:r w:rsidRPr="00775BF2">
        <w:rPr>
          <w:sz w:val="24"/>
          <w:szCs w:val="24"/>
          <w:lang w:val="en-GB"/>
        </w:rPr>
        <w:t>Following repeated dose administration of 20 mg and 40 mg esomeprazole, the total exposure (AUC) and the time to reach maximum plasma drug concentration (</w:t>
      </w:r>
      <w:proofErr w:type="spellStart"/>
      <w:r w:rsidRPr="00775BF2">
        <w:rPr>
          <w:sz w:val="24"/>
          <w:szCs w:val="24"/>
          <w:lang w:val="en-GB"/>
        </w:rPr>
        <w:t>t</w:t>
      </w:r>
      <w:r w:rsidRPr="00775BF2">
        <w:rPr>
          <w:sz w:val="24"/>
          <w:szCs w:val="24"/>
          <w:vertAlign w:val="subscript"/>
          <w:lang w:val="en-GB"/>
        </w:rPr>
        <w:t>max</w:t>
      </w:r>
      <w:proofErr w:type="spellEnd"/>
      <w:r w:rsidRPr="00775BF2">
        <w:rPr>
          <w:sz w:val="24"/>
          <w:szCs w:val="24"/>
          <w:lang w:val="en-GB"/>
        </w:rPr>
        <w:t>) in 12 to 18 year</w:t>
      </w:r>
      <w:r w:rsidRPr="00775BF2">
        <w:rPr>
          <w:sz w:val="24"/>
          <w:szCs w:val="24"/>
          <w:lang w:val="en-GB"/>
        </w:rPr>
        <w:noBreakHyphen/>
        <w:t>olds was similar to that in adults for both esomeprazole doses.</w:t>
      </w:r>
    </w:p>
    <w:p w14:paraId="5E04C2E1" w14:textId="77777777" w:rsidR="007C5D2A" w:rsidRPr="00775BF2" w:rsidRDefault="007C5D2A" w:rsidP="003E0341">
      <w:pPr>
        <w:tabs>
          <w:tab w:val="left" w:pos="851"/>
        </w:tabs>
        <w:ind w:left="851"/>
        <w:rPr>
          <w:sz w:val="24"/>
          <w:szCs w:val="24"/>
          <w:lang w:val="en-GB"/>
        </w:rPr>
      </w:pPr>
    </w:p>
    <w:p w14:paraId="77B50F78" w14:textId="77777777" w:rsidR="007C5D2A" w:rsidRPr="00775BF2" w:rsidRDefault="00180A12" w:rsidP="007C5D2A">
      <w:pPr>
        <w:tabs>
          <w:tab w:val="left" w:pos="851"/>
        </w:tabs>
        <w:ind w:left="851" w:hanging="851"/>
        <w:rPr>
          <w:b/>
          <w:sz w:val="24"/>
          <w:szCs w:val="24"/>
          <w:lang w:val="en-GB"/>
        </w:rPr>
      </w:pPr>
      <w:r w:rsidRPr="00775BF2">
        <w:rPr>
          <w:b/>
          <w:sz w:val="24"/>
          <w:szCs w:val="24"/>
          <w:lang w:val="en-GB"/>
        </w:rPr>
        <w:t>5.3</w:t>
      </w:r>
      <w:r w:rsidRPr="00775BF2">
        <w:rPr>
          <w:b/>
          <w:sz w:val="24"/>
          <w:szCs w:val="24"/>
          <w:lang w:val="en-GB"/>
        </w:rPr>
        <w:tab/>
        <w:t>Preclinical safety data</w:t>
      </w:r>
    </w:p>
    <w:p w14:paraId="180F87A7" w14:textId="47F48D87" w:rsidR="005E6E50" w:rsidRPr="00775BF2" w:rsidRDefault="005E6E50" w:rsidP="00580F5E">
      <w:pPr>
        <w:ind w:left="851"/>
        <w:contextualSpacing/>
        <w:rPr>
          <w:sz w:val="24"/>
          <w:szCs w:val="24"/>
          <w:lang w:val="en-GB"/>
        </w:rPr>
      </w:pPr>
      <w:r w:rsidRPr="00775BF2">
        <w:rPr>
          <w:sz w:val="24"/>
          <w:szCs w:val="24"/>
          <w:lang w:val="en-GB"/>
        </w:rPr>
        <w:t>Non-clinical data reveal no special hazard for humans based on conventional studies of safety</w:t>
      </w:r>
      <w:r w:rsidR="007203C5">
        <w:rPr>
          <w:sz w:val="24"/>
          <w:szCs w:val="24"/>
          <w:lang w:val="en-GB"/>
        </w:rPr>
        <w:t xml:space="preserve"> </w:t>
      </w:r>
      <w:r w:rsidRPr="00775BF2">
        <w:rPr>
          <w:sz w:val="24"/>
          <w:szCs w:val="24"/>
          <w:lang w:val="en-GB"/>
        </w:rPr>
        <w:t>pharmacology, repeated dose toxicity, genotoxicity, carcinogenic potential, toxicity to reproduction</w:t>
      </w:r>
      <w:r w:rsidR="007203C5">
        <w:rPr>
          <w:sz w:val="24"/>
          <w:szCs w:val="24"/>
          <w:lang w:val="en-GB"/>
        </w:rPr>
        <w:t xml:space="preserve"> </w:t>
      </w:r>
      <w:r w:rsidRPr="00775BF2">
        <w:rPr>
          <w:sz w:val="24"/>
          <w:szCs w:val="24"/>
          <w:lang w:val="en-GB"/>
        </w:rPr>
        <w:t>and development. Adverse reactions not observed in clinical studies, but seen in animals at exposure</w:t>
      </w:r>
      <w:r w:rsidR="007203C5">
        <w:rPr>
          <w:sz w:val="24"/>
          <w:szCs w:val="24"/>
          <w:lang w:val="en-GB"/>
        </w:rPr>
        <w:t xml:space="preserve"> </w:t>
      </w:r>
      <w:r w:rsidRPr="00775BF2">
        <w:rPr>
          <w:sz w:val="24"/>
          <w:szCs w:val="24"/>
          <w:lang w:val="en-GB"/>
        </w:rPr>
        <w:t>levels similar to clinical exposure levels and with possible relevance to clinical use were as follows:</w:t>
      </w:r>
    </w:p>
    <w:p w14:paraId="68BBA775" w14:textId="32EB3F67" w:rsidR="005E6E50" w:rsidRPr="00775BF2" w:rsidRDefault="005E6E50" w:rsidP="00580F5E">
      <w:pPr>
        <w:ind w:left="851"/>
        <w:contextualSpacing/>
        <w:rPr>
          <w:sz w:val="24"/>
          <w:szCs w:val="24"/>
          <w:lang w:val="en-GB"/>
        </w:rPr>
      </w:pPr>
      <w:r w:rsidRPr="00775BF2">
        <w:rPr>
          <w:sz w:val="24"/>
          <w:szCs w:val="24"/>
          <w:lang w:val="en-GB"/>
        </w:rPr>
        <w:t>Carcinogenicity studies in the rat with the racemic mixture have shown gastric ECL-cell hyperplasia</w:t>
      </w:r>
      <w:r w:rsidR="00C23ED1">
        <w:rPr>
          <w:sz w:val="24"/>
          <w:szCs w:val="24"/>
          <w:lang w:val="en-GB"/>
        </w:rPr>
        <w:t xml:space="preserve"> </w:t>
      </w:r>
      <w:r w:rsidRPr="00775BF2">
        <w:rPr>
          <w:sz w:val="24"/>
          <w:szCs w:val="24"/>
          <w:lang w:val="en-GB"/>
        </w:rPr>
        <w:t>and carcinoids. These gastric effects in the rat are the result of sustained, pronounced</w:t>
      </w:r>
      <w:r w:rsidR="00C23ED1">
        <w:rPr>
          <w:sz w:val="24"/>
          <w:szCs w:val="24"/>
          <w:lang w:val="en-GB"/>
        </w:rPr>
        <w:t xml:space="preserve"> </w:t>
      </w:r>
      <w:proofErr w:type="spellStart"/>
      <w:r w:rsidRPr="00775BF2">
        <w:rPr>
          <w:sz w:val="24"/>
          <w:szCs w:val="24"/>
          <w:lang w:val="en-GB"/>
        </w:rPr>
        <w:t>hypergastrinaemia</w:t>
      </w:r>
      <w:proofErr w:type="spellEnd"/>
      <w:r w:rsidRPr="00775BF2">
        <w:rPr>
          <w:sz w:val="24"/>
          <w:szCs w:val="24"/>
          <w:lang w:val="en-GB"/>
        </w:rPr>
        <w:t xml:space="preserve"> secondary to reduced production of gastric acid and are observed after long-term</w:t>
      </w:r>
      <w:r w:rsidR="00C23ED1">
        <w:rPr>
          <w:sz w:val="24"/>
          <w:szCs w:val="24"/>
          <w:lang w:val="en-GB"/>
        </w:rPr>
        <w:t xml:space="preserve"> </w:t>
      </w:r>
      <w:r w:rsidRPr="00775BF2">
        <w:rPr>
          <w:sz w:val="24"/>
          <w:szCs w:val="24"/>
          <w:lang w:val="en-GB"/>
        </w:rPr>
        <w:t>treatment in the rat with inhibitors of gastric acid secretion.</w:t>
      </w:r>
    </w:p>
    <w:p w14:paraId="44441FDA" w14:textId="0BE64951" w:rsidR="007C5D2A" w:rsidRDefault="007C5D2A" w:rsidP="003E0341">
      <w:pPr>
        <w:tabs>
          <w:tab w:val="left" w:pos="851"/>
        </w:tabs>
        <w:ind w:left="851"/>
        <w:rPr>
          <w:sz w:val="24"/>
          <w:szCs w:val="24"/>
          <w:lang w:val="en-GB"/>
        </w:rPr>
      </w:pPr>
    </w:p>
    <w:p w14:paraId="1C9750AA" w14:textId="77777777" w:rsidR="007203C5" w:rsidRPr="00775BF2" w:rsidRDefault="007203C5" w:rsidP="003E0341">
      <w:pPr>
        <w:tabs>
          <w:tab w:val="left" w:pos="851"/>
        </w:tabs>
        <w:ind w:left="851"/>
        <w:rPr>
          <w:sz w:val="24"/>
          <w:szCs w:val="24"/>
          <w:lang w:val="en-GB"/>
        </w:rPr>
      </w:pPr>
    </w:p>
    <w:p w14:paraId="0486C15F" w14:textId="77777777" w:rsidR="007C5D2A" w:rsidRPr="00775BF2" w:rsidRDefault="009925C9" w:rsidP="007C5D2A">
      <w:pPr>
        <w:ind w:left="851" w:hanging="851"/>
        <w:rPr>
          <w:b/>
          <w:sz w:val="24"/>
          <w:szCs w:val="24"/>
          <w:lang w:val="en-GB"/>
        </w:rPr>
      </w:pPr>
      <w:r w:rsidRPr="00775BF2">
        <w:rPr>
          <w:b/>
          <w:sz w:val="24"/>
          <w:szCs w:val="24"/>
          <w:lang w:val="en-GB"/>
        </w:rPr>
        <w:t>6.</w:t>
      </w:r>
      <w:r w:rsidR="007C5D2A" w:rsidRPr="00775BF2">
        <w:rPr>
          <w:b/>
          <w:sz w:val="24"/>
          <w:szCs w:val="24"/>
          <w:lang w:val="en-GB"/>
        </w:rPr>
        <w:tab/>
        <w:t>PHARMACEUTICAL PARTICULARS</w:t>
      </w:r>
    </w:p>
    <w:p w14:paraId="40B4FE74" w14:textId="77777777" w:rsidR="007C5D2A" w:rsidRPr="00775BF2" w:rsidRDefault="007C5D2A" w:rsidP="003E0341">
      <w:pPr>
        <w:tabs>
          <w:tab w:val="left" w:pos="851"/>
        </w:tabs>
        <w:ind w:left="851"/>
        <w:rPr>
          <w:sz w:val="24"/>
          <w:szCs w:val="24"/>
          <w:lang w:val="en-GB"/>
        </w:rPr>
      </w:pPr>
    </w:p>
    <w:p w14:paraId="7A9270AB" w14:textId="77777777" w:rsidR="007C5D2A" w:rsidRPr="00775BF2" w:rsidRDefault="007C5D2A" w:rsidP="007C5D2A">
      <w:pPr>
        <w:ind w:left="851" w:hanging="851"/>
        <w:rPr>
          <w:b/>
          <w:sz w:val="24"/>
          <w:szCs w:val="24"/>
          <w:lang w:val="en-GB"/>
        </w:rPr>
      </w:pPr>
      <w:r w:rsidRPr="00775BF2">
        <w:rPr>
          <w:b/>
          <w:sz w:val="24"/>
          <w:szCs w:val="24"/>
          <w:lang w:val="en-GB"/>
        </w:rPr>
        <w:t>6.1</w:t>
      </w:r>
      <w:r w:rsidRPr="00775BF2">
        <w:rPr>
          <w:b/>
          <w:sz w:val="24"/>
          <w:szCs w:val="24"/>
          <w:lang w:val="en-GB"/>
        </w:rPr>
        <w:tab/>
        <w:t>List of excipients</w:t>
      </w:r>
    </w:p>
    <w:p w14:paraId="2F0F3776" w14:textId="77777777" w:rsidR="006F1DB8" w:rsidRDefault="006F1DB8" w:rsidP="00580F5E">
      <w:pPr>
        <w:ind w:left="851"/>
        <w:contextualSpacing/>
        <w:rPr>
          <w:i/>
          <w:sz w:val="24"/>
          <w:szCs w:val="24"/>
          <w:lang w:val="en-GB"/>
        </w:rPr>
      </w:pPr>
    </w:p>
    <w:p w14:paraId="60FFEE4E" w14:textId="4E83BDA5" w:rsidR="005E6E50" w:rsidRPr="00775BF2" w:rsidRDefault="005E6E50" w:rsidP="00580F5E">
      <w:pPr>
        <w:ind w:left="851"/>
        <w:contextualSpacing/>
        <w:rPr>
          <w:i/>
          <w:sz w:val="24"/>
          <w:szCs w:val="24"/>
          <w:lang w:val="en-GB"/>
        </w:rPr>
      </w:pPr>
      <w:r w:rsidRPr="00775BF2">
        <w:rPr>
          <w:i/>
          <w:sz w:val="24"/>
          <w:szCs w:val="24"/>
          <w:lang w:val="en-GB"/>
        </w:rPr>
        <w:t>Pellets:</w:t>
      </w:r>
    </w:p>
    <w:p w14:paraId="55661801" w14:textId="3DAD8EB3" w:rsidR="005E6E50" w:rsidRPr="00775BF2" w:rsidRDefault="005E6E50" w:rsidP="00580F5E">
      <w:pPr>
        <w:ind w:left="851"/>
        <w:contextualSpacing/>
        <w:rPr>
          <w:sz w:val="24"/>
          <w:szCs w:val="24"/>
          <w:lang w:val="en-GB"/>
        </w:rPr>
      </w:pPr>
      <w:r w:rsidRPr="00775BF2">
        <w:rPr>
          <w:sz w:val="24"/>
          <w:szCs w:val="24"/>
          <w:lang w:val="en-US"/>
        </w:rPr>
        <w:t>Methacrylic acid-ethyl acrylate copolymer (1:1) dispersion 30</w:t>
      </w:r>
      <w:r w:rsidR="00935FF9">
        <w:rPr>
          <w:sz w:val="24"/>
          <w:szCs w:val="24"/>
          <w:lang w:val="en-US"/>
        </w:rPr>
        <w:t xml:space="preserve"> %</w:t>
      </w:r>
    </w:p>
    <w:p w14:paraId="48B3BDE6" w14:textId="77777777" w:rsidR="005E6E50" w:rsidRPr="00775BF2" w:rsidRDefault="005E6E50" w:rsidP="00580F5E">
      <w:pPr>
        <w:ind w:left="851"/>
        <w:contextualSpacing/>
        <w:rPr>
          <w:sz w:val="24"/>
          <w:szCs w:val="24"/>
          <w:lang w:val="en-GB"/>
        </w:rPr>
      </w:pPr>
      <w:r w:rsidRPr="00775BF2">
        <w:rPr>
          <w:sz w:val="24"/>
          <w:szCs w:val="24"/>
          <w:lang w:val="en-GB"/>
        </w:rPr>
        <w:t>Talc</w:t>
      </w:r>
    </w:p>
    <w:p w14:paraId="3288EABC" w14:textId="77777777" w:rsidR="005E6E50" w:rsidRPr="00775BF2" w:rsidRDefault="005E6E50" w:rsidP="00580F5E">
      <w:pPr>
        <w:ind w:left="851"/>
        <w:contextualSpacing/>
        <w:rPr>
          <w:sz w:val="24"/>
          <w:szCs w:val="24"/>
          <w:lang w:val="en-GB"/>
        </w:rPr>
      </w:pPr>
      <w:r w:rsidRPr="00775BF2">
        <w:rPr>
          <w:sz w:val="24"/>
          <w:szCs w:val="24"/>
          <w:lang w:val="en-GB"/>
        </w:rPr>
        <w:t>Triethyl citrate</w:t>
      </w:r>
    </w:p>
    <w:p w14:paraId="49A20164" w14:textId="77777777" w:rsidR="005E6E50" w:rsidRPr="00775BF2" w:rsidRDefault="005E6E50" w:rsidP="00580F5E">
      <w:pPr>
        <w:ind w:left="851"/>
        <w:contextualSpacing/>
        <w:rPr>
          <w:sz w:val="24"/>
          <w:szCs w:val="24"/>
          <w:lang w:val="en-GB"/>
        </w:rPr>
      </w:pPr>
      <w:r w:rsidRPr="00775BF2">
        <w:rPr>
          <w:sz w:val="24"/>
          <w:szCs w:val="24"/>
          <w:lang w:val="en-GB"/>
        </w:rPr>
        <w:t xml:space="preserve">Hypromellose </w:t>
      </w:r>
    </w:p>
    <w:p w14:paraId="671C4406" w14:textId="77777777" w:rsidR="005E6E50" w:rsidRPr="00775BF2" w:rsidRDefault="005E6E50" w:rsidP="00580F5E">
      <w:pPr>
        <w:ind w:left="851"/>
        <w:contextualSpacing/>
        <w:rPr>
          <w:sz w:val="24"/>
          <w:szCs w:val="24"/>
          <w:lang w:val="en-GB"/>
        </w:rPr>
      </w:pPr>
      <w:r w:rsidRPr="00775BF2">
        <w:rPr>
          <w:sz w:val="24"/>
          <w:szCs w:val="24"/>
          <w:lang w:val="en-GB"/>
        </w:rPr>
        <w:t>Sugar spheres</w:t>
      </w:r>
    </w:p>
    <w:p w14:paraId="426A8D32" w14:textId="77777777" w:rsidR="005E6E50" w:rsidRPr="00775BF2" w:rsidRDefault="005E6E50" w:rsidP="00580F5E">
      <w:pPr>
        <w:ind w:left="851"/>
        <w:contextualSpacing/>
        <w:rPr>
          <w:sz w:val="24"/>
          <w:szCs w:val="24"/>
          <w:lang w:val="en-GB"/>
        </w:rPr>
      </w:pPr>
      <w:r w:rsidRPr="00775BF2">
        <w:rPr>
          <w:sz w:val="24"/>
          <w:szCs w:val="24"/>
          <w:lang w:val="en-GB"/>
        </w:rPr>
        <w:t>Magnesium stearate</w:t>
      </w:r>
    </w:p>
    <w:p w14:paraId="0CB78A0A" w14:textId="77777777" w:rsidR="005E6E50" w:rsidRPr="00775BF2" w:rsidRDefault="005E6E50" w:rsidP="00580F5E">
      <w:pPr>
        <w:ind w:left="851"/>
        <w:contextualSpacing/>
        <w:rPr>
          <w:sz w:val="24"/>
          <w:szCs w:val="24"/>
          <w:lang w:val="en-GB"/>
        </w:rPr>
      </w:pPr>
      <w:r w:rsidRPr="00775BF2">
        <w:rPr>
          <w:sz w:val="24"/>
          <w:szCs w:val="24"/>
          <w:lang w:val="en-GB"/>
        </w:rPr>
        <w:t>Hydroxypropyl cellulose</w:t>
      </w:r>
    </w:p>
    <w:p w14:paraId="7837510F" w14:textId="77777777" w:rsidR="005E6E50" w:rsidRPr="00775BF2" w:rsidRDefault="005E6E50" w:rsidP="00580F5E">
      <w:pPr>
        <w:ind w:left="851"/>
        <w:contextualSpacing/>
        <w:rPr>
          <w:sz w:val="24"/>
          <w:szCs w:val="24"/>
          <w:lang w:val="en-GB"/>
        </w:rPr>
      </w:pPr>
      <w:r w:rsidRPr="00775BF2">
        <w:rPr>
          <w:sz w:val="24"/>
          <w:szCs w:val="24"/>
          <w:lang w:val="en-GB"/>
        </w:rPr>
        <w:t>Glycerol Monostearate 40-55</w:t>
      </w:r>
    </w:p>
    <w:p w14:paraId="7D2DABD3" w14:textId="77777777" w:rsidR="005E6E50" w:rsidRPr="00775BF2" w:rsidRDefault="005E6E50" w:rsidP="00580F5E">
      <w:pPr>
        <w:ind w:left="851"/>
        <w:contextualSpacing/>
        <w:rPr>
          <w:sz w:val="24"/>
          <w:szCs w:val="24"/>
          <w:lang w:val="en-GB"/>
        </w:rPr>
      </w:pPr>
      <w:r w:rsidRPr="00775BF2">
        <w:rPr>
          <w:sz w:val="24"/>
          <w:szCs w:val="24"/>
          <w:lang w:val="en-GB"/>
        </w:rPr>
        <w:t>Polysorbate 80</w:t>
      </w:r>
    </w:p>
    <w:p w14:paraId="5C25B5C3" w14:textId="77777777" w:rsidR="005E6E50" w:rsidRPr="00775BF2" w:rsidRDefault="005E6E50" w:rsidP="00580F5E">
      <w:pPr>
        <w:ind w:left="851"/>
        <w:contextualSpacing/>
        <w:rPr>
          <w:sz w:val="24"/>
          <w:szCs w:val="24"/>
          <w:lang w:val="en-GB"/>
        </w:rPr>
      </w:pPr>
    </w:p>
    <w:p w14:paraId="2DBADA46" w14:textId="77777777" w:rsidR="005E6E50" w:rsidRPr="00775BF2" w:rsidRDefault="005E6E50" w:rsidP="00580F5E">
      <w:pPr>
        <w:ind w:left="851"/>
        <w:contextualSpacing/>
        <w:rPr>
          <w:i/>
          <w:sz w:val="24"/>
          <w:szCs w:val="24"/>
          <w:lang w:val="en-GB"/>
        </w:rPr>
      </w:pPr>
      <w:r w:rsidRPr="00775BF2">
        <w:rPr>
          <w:i/>
          <w:sz w:val="24"/>
          <w:szCs w:val="24"/>
          <w:lang w:val="en-GB"/>
        </w:rPr>
        <w:t>Tablet core:</w:t>
      </w:r>
    </w:p>
    <w:p w14:paraId="74548080" w14:textId="77777777" w:rsidR="005E6E50" w:rsidRPr="00775BF2" w:rsidRDefault="005E6E50" w:rsidP="00580F5E">
      <w:pPr>
        <w:ind w:left="851"/>
        <w:contextualSpacing/>
        <w:rPr>
          <w:sz w:val="24"/>
          <w:szCs w:val="24"/>
          <w:lang w:val="en-US"/>
        </w:rPr>
      </w:pPr>
      <w:r w:rsidRPr="00775BF2">
        <w:rPr>
          <w:sz w:val="24"/>
          <w:szCs w:val="24"/>
          <w:lang w:val="en-US"/>
        </w:rPr>
        <w:t>Microcrystalline cellulose</w:t>
      </w:r>
    </w:p>
    <w:p w14:paraId="68D29CDE" w14:textId="77777777" w:rsidR="005E6E50" w:rsidRPr="00775BF2" w:rsidRDefault="005E6E50" w:rsidP="00580F5E">
      <w:pPr>
        <w:ind w:left="851"/>
        <w:contextualSpacing/>
        <w:rPr>
          <w:sz w:val="24"/>
          <w:szCs w:val="24"/>
          <w:lang w:val="en-US"/>
        </w:rPr>
      </w:pPr>
      <w:r w:rsidRPr="00775BF2">
        <w:rPr>
          <w:sz w:val="24"/>
          <w:szCs w:val="24"/>
          <w:lang w:val="en-US"/>
        </w:rPr>
        <w:t xml:space="preserve">Povidone </w:t>
      </w:r>
    </w:p>
    <w:p w14:paraId="72D8DFEA" w14:textId="77777777" w:rsidR="005E6E50" w:rsidRPr="00775BF2" w:rsidRDefault="005E6E50" w:rsidP="00580F5E">
      <w:pPr>
        <w:ind w:left="851"/>
        <w:contextualSpacing/>
        <w:rPr>
          <w:sz w:val="24"/>
          <w:szCs w:val="24"/>
          <w:lang w:val="en-US"/>
        </w:rPr>
      </w:pPr>
      <w:r w:rsidRPr="00775BF2">
        <w:rPr>
          <w:sz w:val="24"/>
          <w:szCs w:val="24"/>
          <w:lang w:val="en-US"/>
        </w:rPr>
        <w:t>Macrogol </w:t>
      </w:r>
    </w:p>
    <w:p w14:paraId="05130A19" w14:textId="77777777" w:rsidR="005E6E50" w:rsidRPr="00775BF2" w:rsidRDefault="005E6E50" w:rsidP="00580F5E">
      <w:pPr>
        <w:ind w:left="851"/>
        <w:contextualSpacing/>
        <w:rPr>
          <w:sz w:val="24"/>
          <w:szCs w:val="24"/>
          <w:lang w:val="en-GB"/>
        </w:rPr>
      </w:pPr>
      <w:proofErr w:type="spellStart"/>
      <w:r w:rsidRPr="00775BF2">
        <w:rPr>
          <w:sz w:val="24"/>
          <w:szCs w:val="24"/>
          <w:lang w:val="en-GB"/>
        </w:rPr>
        <w:t>Crospovidone</w:t>
      </w:r>
      <w:proofErr w:type="spellEnd"/>
      <w:r w:rsidRPr="00775BF2">
        <w:rPr>
          <w:sz w:val="24"/>
          <w:szCs w:val="24"/>
          <w:lang w:val="en-GB"/>
        </w:rPr>
        <w:t xml:space="preserve"> </w:t>
      </w:r>
    </w:p>
    <w:p w14:paraId="46771EBF" w14:textId="77777777" w:rsidR="005E6E50" w:rsidRPr="00775BF2" w:rsidRDefault="005E6E50" w:rsidP="00580F5E">
      <w:pPr>
        <w:ind w:left="851"/>
        <w:contextualSpacing/>
        <w:rPr>
          <w:sz w:val="24"/>
          <w:szCs w:val="24"/>
          <w:lang w:val="en-GB"/>
        </w:rPr>
      </w:pPr>
      <w:r w:rsidRPr="00775BF2">
        <w:rPr>
          <w:sz w:val="24"/>
          <w:szCs w:val="24"/>
          <w:lang w:val="en-GB"/>
        </w:rPr>
        <w:t>Sodium stearyl fumarate</w:t>
      </w:r>
    </w:p>
    <w:p w14:paraId="62E37208" w14:textId="77777777" w:rsidR="005E6E50" w:rsidRPr="00775BF2" w:rsidRDefault="005E6E50" w:rsidP="00580F5E">
      <w:pPr>
        <w:ind w:left="851"/>
        <w:contextualSpacing/>
        <w:rPr>
          <w:sz w:val="24"/>
          <w:szCs w:val="24"/>
          <w:lang w:val="en-GB"/>
        </w:rPr>
      </w:pPr>
    </w:p>
    <w:p w14:paraId="4A9A8548" w14:textId="77777777" w:rsidR="005E6E50" w:rsidRPr="007203C5" w:rsidRDefault="005E6E50" w:rsidP="007203C5">
      <w:pPr>
        <w:ind w:left="851"/>
        <w:rPr>
          <w:sz w:val="24"/>
          <w:szCs w:val="24"/>
          <w:lang w:val="is-IS"/>
        </w:rPr>
      </w:pPr>
      <w:r w:rsidRPr="007203C5">
        <w:rPr>
          <w:sz w:val="24"/>
          <w:szCs w:val="24"/>
          <w:lang w:val="en-US"/>
        </w:rPr>
        <w:t>Tablet coating:</w:t>
      </w:r>
    </w:p>
    <w:p w14:paraId="24F7F5F9" w14:textId="77777777" w:rsidR="005E6E50" w:rsidRPr="007203C5" w:rsidRDefault="005E6E50" w:rsidP="007203C5">
      <w:pPr>
        <w:ind w:left="851"/>
        <w:rPr>
          <w:sz w:val="24"/>
          <w:szCs w:val="24"/>
          <w:lang w:val="en-GB"/>
        </w:rPr>
      </w:pPr>
      <w:r w:rsidRPr="007203C5">
        <w:rPr>
          <w:sz w:val="24"/>
          <w:szCs w:val="24"/>
          <w:lang w:val="en-GB"/>
        </w:rPr>
        <w:t>Hypromellose</w:t>
      </w:r>
    </w:p>
    <w:p w14:paraId="57A40AA0" w14:textId="77777777" w:rsidR="005E6E50" w:rsidRPr="007203C5" w:rsidRDefault="005E6E50" w:rsidP="007203C5">
      <w:pPr>
        <w:ind w:left="851"/>
        <w:rPr>
          <w:sz w:val="24"/>
          <w:szCs w:val="24"/>
          <w:lang w:val="it-IT"/>
        </w:rPr>
      </w:pPr>
      <w:r w:rsidRPr="007203C5">
        <w:rPr>
          <w:sz w:val="24"/>
          <w:szCs w:val="24"/>
          <w:lang w:val="it-IT"/>
        </w:rPr>
        <w:t>Titanium dioxide (E171)</w:t>
      </w:r>
    </w:p>
    <w:p w14:paraId="4B388CAB" w14:textId="77777777" w:rsidR="005E6E50" w:rsidRPr="007203C5" w:rsidRDefault="005E6E50" w:rsidP="007203C5">
      <w:pPr>
        <w:ind w:left="851"/>
        <w:rPr>
          <w:sz w:val="24"/>
          <w:szCs w:val="24"/>
          <w:lang w:val="it-IT"/>
        </w:rPr>
      </w:pPr>
      <w:r w:rsidRPr="007203C5">
        <w:rPr>
          <w:sz w:val="24"/>
          <w:szCs w:val="24"/>
          <w:lang w:val="it-IT"/>
        </w:rPr>
        <w:t>Macrogol</w:t>
      </w:r>
    </w:p>
    <w:p w14:paraId="53794F37" w14:textId="77777777" w:rsidR="005E6E50" w:rsidRPr="007203C5" w:rsidRDefault="005E6E50" w:rsidP="007203C5">
      <w:pPr>
        <w:ind w:left="851"/>
        <w:rPr>
          <w:sz w:val="24"/>
          <w:szCs w:val="24"/>
          <w:lang w:val="it-IT"/>
        </w:rPr>
      </w:pPr>
      <w:r w:rsidRPr="007203C5">
        <w:rPr>
          <w:sz w:val="24"/>
          <w:szCs w:val="24"/>
          <w:lang w:val="it-IT"/>
        </w:rPr>
        <w:t>Red iron oxide (E172)</w:t>
      </w:r>
    </w:p>
    <w:p w14:paraId="6FE0DBAD" w14:textId="77777777" w:rsidR="005E6E50" w:rsidRPr="007203C5" w:rsidRDefault="005E6E50" w:rsidP="007203C5">
      <w:pPr>
        <w:ind w:left="851"/>
        <w:rPr>
          <w:sz w:val="24"/>
          <w:szCs w:val="24"/>
          <w:lang w:val="en-GB"/>
        </w:rPr>
      </w:pPr>
      <w:r w:rsidRPr="007203C5">
        <w:rPr>
          <w:sz w:val="24"/>
          <w:szCs w:val="24"/>
          <w:lang w:val="en-GB"/>
        </w:rPr>
        <w:t>Yellow iron oxide (E172)</w:t>
      </w:r>
    </w:p>
    <w:p w14:paraId="1C8E5D48" w14:textId="77777777" w:rsidR="007C5D2A" w:rsidRPr="00775BF2" w:rsidRDefault="007C5D2A" w:rsidP="003D727E">
      <w:pPr>
        <w:tabs>
          <w:tab w:val="left" w:pos="851"/>
        </w:tabs>
        <w:ind w:left="851"/>
        <w:rPr>
          <w:sz w:val="24"/>
          <w:szCs w:val="24"/>
          <w:lang w:val="en-GB"/>
        </w:rPr>
      </w:pPr>
    </w:p>
    <w:p w14:paraId="1C9D5E89" w14:textId="77777777" w:rsidR="007C5D2A" w:rsidRPr="00775BF2" w:rsidRDefault="007C5D2A" w:rsidP="007C5D2A">
      <w:pPr>
        <w:ind w:left="851" w:hanging="851"/>
        <w:rPr>
          <w:b/>
          <w:sz w:val="24"/>
          <w:szCs w:val="24"/>
          <w:lang w:val="en-GB"/>
        </w:rPr>
      </w:pPr>
      <w:r w:rsidRPr="00775BF2">
        <w:rPr>
          <w:b/>
          <w:sz w:val="24"/>
          <w:szCs w:val="24"/>
          <w:lang w:val="en-GB"/>
        </w:rPr>
        <w:t>6.2</w:t>
      </w:r>
      <w:r w:rsidRPr="00775BF2">
        <w:rPr>
          <w:b/>
          <w:sz w:val="24"/>
          <w:szCs w:val="24"/>
          <w:lang w:val="en-GB"/>
        </w:rPr>
        <w:tab/>
        <w:t>Incompatibilities</w:t>
      </w:r>
    </w:p>
    <w:p w14:paraId="5889E9E6" w14:textId="77777777" w:rsidR="005E6E50" w:rsidRPr="007203C5" w:rsidRDefault="005E6E50" w:rsidP="007203C5">
      <w:pPr>
        <w:ind w:left="851"/>
        <w:rPr>
          <w:sz w:val="24"/>
          <w:szCs w:val="24"/>
          <w:lang w:val="en-GB"/>
        </w:rPr>
      </w:pPr>
      <w:r w:rsidRPr="007203C5">
        <w:rPr>
          <w:sz w:val="24"/>
          <w:szCs w:val="24"/>
          <w:lang w:val="en-GB"/>
        </w:rPr>
        <w:t>Not applicable.</w:t>
      </w:r>
    </w:p>
    <w:p w14:paraId="31128F31" w14:textId="77777777" w:rsidR="007C5D2A" w:rsidRPr="00775BF2" w:rsidRDefault="007C5D2A" w:rsidP="003E0341">
      <w:pPr>
        <w:tabs>
          <w:tab w:val="left" w:pos="851"/>
        </w:tabs>
        <w:ind w:left="851"/>
        <w:rPr>
          <w:sz w:val="24"/>
          <w:szCs w:val="24"/>
          <w:lang w:val="en-GB"/>
        </w:rPr>
      </w:pPr>
    </w:p>
    <w:p w14:paraId="300C1D73" w14:textId="32D5D14A" w:rsidR="007C5D2A" w:rsidRPr="00775BF2" w:rsidRDefault="007C5D2A" w:rsidP="007C5D2A">
      <w:pPr>
        <w:ind w:left="851" w:hanging="851"/>
        <w:rPr>
          <w:b/>
          <w:sz w:val="24"/>
          <w:szCs w:val="24"/>
          <w:lang w:val="en-GB"/>
        </w:rPr>
      </w:pPr>
      <w:r w:rsidRPr="00775BF2">
        <w:rPr>
          <w:b/>
          <w:sz w:val="24"/>
          <w:szCs w:val="24"/>
          <w:lang w:val="en-GB"/>
        </w:rPr>
        <w:t>6.3</w:t>
      </w:r>
      <w:r w:rsidRPr="00775BF2">
        <w:rPr>
          <w:b/>
          <w:sz w:val="24"/>
          <w:szCs w:val="24"/>
          <w:lang w:val="en-GB"/>
        </w:rPr>
        <w:tab/>
        <w:t>Shelf</w:t>
      </w:r>
      <w:r w:rsidR="00462D86">
        <w:rPr>
          <w:b/>
          <w:sz w:val="24"/>
          <w:szCs w:val="24"/>
          <w:lang w:val="en-GB"/>
        </w:rPr>
        <w:t xml:space="preserve"> </w:t>
      </w:r>
      <w:r w:rsidRPr="00775BF2">
        <w:rPr>
          <w:b/>
          <w:sz w:val="24"/>
          <w:szCs w:val="24"/>
          <w:lang w:val="en-GB"/>
        </w:rPr>
        <w:t>life</w:t>
      </w:r>
    </w:p>
    <w:p w14:paraId="3AD56944" w14:textId="77777777" w:rsidR="005E6E50" w:rsidRPr="00775BF2" w:rsidRDefault="005E6E50" w:rsidP="00580F5E">
      <w:pPr>
        <w:ind w:left="851"/>
        <w:contextualSpacing/>
        <w:rPr>
          <w:sz w:val="24"/>
          <w:szCs w:val="24"/>
          <w:lang w:val="en-GB"/>
        </w:rPr>
      </w:pPr>
      <w:r w:rsidRPr="00775BF2">
        <w:rPr>
          <w:sz w:val="24"/>
          <w:szCs w:val="24"/>
          <w:lang w:val="en-GB"/>
        </w:rPr>
        <w:t>2 years</w:t>
      </w:r>
    </w:p>
    <w:p w14:paraId="365EB023" w14:textId="77777777" w:rsidR="007C5D2A" w:rsidRPr="00775BF2" w:rsidRDefault="007C5D2A" w:rsidP="003E0341">
      <w:pPr>
        <w:tabs>
          <w:tab w:val="left" w:pos="851"/>
        </w:tabs>
        <w:ind w:left="851"/>
        <w:rPr>
          <w:sz w:val="24"/>
          <w:szCs w:val="24"/>
          <w:lang w:val="en-GB"/>
        </w:rPr>
      </w:pPr>
    </w:p>
    <w:p w14:paraId="6997FF56" w14:textId="77777777" w:rsidR="007C5D2A" w:rsidRPr="00775BF2" w:rsidRDefault="007C5D2A" w:rsidP="007C5D2A">
      <w:pPr>
        <w:ind w:left="851" w:hanging="851"/>
        <w:rPr>
          <w:b/>
          <w:sz w:val="24"/>
          <w:szCs w:val="24"/>
          <w:lang w:val="en-GB"/>
        </w:rPr>
      </w:pPr>
      <w:r w:rsidRPr="00775BF2">
        <w:rPr>
          <w:b/>
          <w:sz w:val="24"/>
          <w:szCs w:val="24"/>
          <w:lang w:val="en-GB"/>
        </w:rPr>
        <w:t>6.4</w:t>
      </w:r>
      <w:r w:rsidRPr="00775BF2">
        <w:rPr>
          <w:b/>
          <w:sz w:val="24"/>
          <w:szCs w:val="24"/>
          <w:lang w:val="en-GB"/>
        </w:rPr>
        <w:tab/>
        <w:t>Special precautions for storage</w:t>
      </w:r>
    </w:p>
    <w:p w14:paraId="211D1F8F" w14:textId="77777777" w:rsidR="005E6E50" w:rsidRPr="00775BF2" w:rsidRDefault="005E6E50" w:rsidP="00580F5E">
      <w:pPr>
        <w:ind w:left="851"/>
        <w:contextualSpacing/>
        <w:rPr>
          <w:sz w:val="24"/>
          <w:szCs w:val="24"/>
          <w:lang w:val="en-GB"/>
        </w:rPr>
      </w:pPr>
      <w:r w:rsidRPr="00775BF2">
        <w:rPr>
          <w:iCs/>
          <w:sz w:val="24"/>
          <w:szCs w:val="24"/>
          <w:lang w:val="en-GB"/>
        </w:rPr>
        <w:t>Do not store above 30 °C</w:t>
      </w:r>
    </w:p>
    <w:p w14:paraId="4CBBDC11" w14:textId="77777777" w:rsidR="007C5D2A" w:rsidRPr="00775BF2" w:rsidRDefault="007C5D2A" w:rsidP="003E0341">
      <w:pPr>
        <w:tabs>
          <w:tab w:val="left" w:pos="851"/>
        </w:tabs>
        <w:ind w:left="851"/>
        <w:rPr>
          <w:sz w:val="24"/>
          <w:szCs w:val="24"/>
          <w:lang w:val="en-GB"/>
        </w:rPr>
      </w:pPr>
    </w:p>
    <w:p w14:paraId="4C33CD6F" w14:textId="77777777" w:rsidR="007C5D2A" w:rsidRPr="00775BF2" w:rsidRDefault="007C5D2A" w:rsidP="007C5D2A">
      <w:pPr>
        <w:ind w:left="851" w:hanging="851"/>
        <w:rPr>
          <w:b/>
          <w:sz w:val="24"/>
          <w:szCs w:val="24"/>
          <w:lang w:val="en-GB"/>
        </w:rPr>
      </w:pPr>
      <w:r w:rsidRPr="00775BF2">
        <w:rPr>
          <w:b/>
          <w:sz w:val="24"/>
          <w:szCs w:val="24"/>
          <w:lang w:val="en-GB"/>
        </w:rPr>
        <w:t>6.5</w:t>
      </w:r>
      <w:r w:rsidRPr="00775BF2">
        <w:rPr>
          <w:b/>
          <w:sz w:val="24"/>
          <w:szCs w:val="24"/>
          <w:lang w:val="en-GB"/>
        </w:rPr>
        <w:tab/>
        <w:t>Nature and contents of container</w:t>
      </w:r>
    </w:p>
    <w:p w14:paraId="3A498E85" w14:textId="77777777" w:rsidR="005E6E50" w:rsidRPr="00775BF2" w:rsidRDefault="005E6E50" w:rsidP="00580F5E">
      <w:pPr>
        <w:ind w:left="851"/>
        <w:contextualSpacing/>
        <w:rPr>
          <w:sz w:val="24"/>
          <w:szCs w:val="24"/>
          <w:lang w:val="en-GB"/>
        </w:rPr>
      </w:pPr>
      <w:r w:rsidRPr="00775BF2">
        <w:rPr>
          <w:sz w:val="24"/>
          <w:szCs w:val="24"/>
          <w:lang w:val="en-GB"/>
        </w:rPr>
        <w:t>OPA/Aluminium</w:t>
      </w:r>
      <w:r w:rsidRPr="00775BF2">
        <w:rPr>
          <w:sz w:val="24"/>
          <w:szCs w:val="24"/>
          <w:lang w:val="en-US"/>
        </w:rPr>
        <w:t>/PVC-</w:t>
      </w:r>
      <w:proofErr w:type="spellStart"/>
      <w:r w:rsidRPr="00775BF2">
        <w:rPr>
          <w:sz w:val="24"/>
          <w:szCs w:val="24"/>
          <w:lang w:val="en-US"/>
        </w:rPr>
        <w:t>Aluminium</w:t>
      </w:r>
      <w:proofErr w:type="spellEnd"/>
      <w:r w:rsidRPr="00775BF2">
        <w:rPr>
          <w:sz w:val="24"/>
          <w:szCs w:val="24"/>
          <w:lang w:val="en-US"/>
        </w:rPr>
        <w:t xml:space="preserve"> </w:t>
      </w:r>
      <w:r w:rsidRPr="00775BF2">
        <w:rPr>
          <w:sz w:val="24"/>
          <w:szCs w:val="24"/>
          <w:lang w:val="en-GB"/>
        </w:rPr>
        <w:t>foil blisters</w:t>
      </w:r>
    </w:p>
    <w:p w14:paraId="32ED4DBF" w14:textId="75CF7F82" w:rsidR="005E6E50" w:rsidRPr="00775BF2" w:rsidRDefault="005E6E50" w:rsidP="00580F5E">
      <w:pPr>
        <w:ind w:left="851"/>
        <w:contextualSpacing/>
        <w:rPr>
          <w:sz w:val="24"/>
          <w:szCs w:val="24"/>
          <w:lang w:val="en-GB"/>
        </w:rPr>
      </w:pPr>
      <w:r w:rsidRPr="00775BF2">
        <w:rPr>
          <w:sz w:val="24"/>
          <w:szCs w:val="24"/>
          <w:lang w:val="en-GB"/>
        </w:rPr>
        <w:t>Pack sizes: 14, 28 tablets</w:t>
      </w:r>
    </w:p>
    <w:p w14:paraId="54CC7286" w14:textId="77777777" w:rsidR="005E6E50" w:rsidRPr="00775BF2" w:rsidRDefault="005E6E50" w:rsidP="00580F5E">
      <w:pPr>
        <w:ind w:left="851"/>
        <w:contextualSpacing/>
        <w:rPr>
          <w:sz w:val="24"/>
          <w:szCs w:val="24"/>
          <w:lang w:val="en-GB"/>
        </w:rPr>
      </w:pPr>
    </w:p>
    <w:p w14:paraId="42526C3A" w14:textId="77777777" w:rsidR="005E6E50" w:rsidRPr="00775BF2" w:rsidRDefault="005E6E50" w:rsidP="00580F5E">
      <w:pPr>
        <w:ind w:left="851"/>
        <w:contextualSpacing/>
        <w:rPr>
          <w:sz w:val="24"/>
          <w:szCs w:val="24"/>
          <w:lang w:val="en-GB"/>
        </w:rPr>
      </w:pPr>
      <w:r w:rsidRPr="00775BF2">
        <w:rPr>
          <w:sz w:val="24"/>
          <w:szCs w:val="24"/>
          <w:lang w:val="en-GB"/>
        </w:rPr>
        <w:t>Not all pack sizes may be marketed.</w:t>
      </w:r>
    </w:p>
    <w:p w14:paraId="5AC602F9" w14:textId="77777777" w:rsidR="007C5D2A" w:rsidRPr="00775BF2" w:rsidRDefault="007C5D2A" w:rsidP="003E0341">
      <w:pPr>
        <w:tabs>
          <w:tab w:val="left" w:pos="851"/>
        </w:tabs>
        <w:ind w:left="851"/>
        <w:rPr>
          <w:sz w:val="24"/>
          <w:szCs w:val="24"/>
          <w:lang w:val="en-GB"/>
        </w:rPr>
      </w:pPr>
    </w:p>
    <w:p w14:paraId="796CEB30" w14:textId="77777777" w:rsidR="007C5D2A" w:rsidRPr="00775BF2" w:rsidRDefault="007C5D2A" w:rsidP="007C5D2A">
      <w:pPr>
        <w:ind w:left="851" w:hanging="851"/>
        <w:rPr>
          <w:b/>
          <w:sz w:val="24"/>
          <w:szCs w:val="24"/>
          <w:lang w:val="en-GB"/>
        </w:rPr>
      </w:pPr>
      <w:r w:rsidRPr="00775BF2">
        <w:rPr>
          <w:b/>
          <w:sz w:val="24"/>
          <w:szCs w:val="24"/>
          <w:lang w:val="en-GB"/>
        </w:rPr>
        <w:t>6.6</w:t>
      </w:r>
      <w:r w:rsidRPr="00775BF2">
        <w:rPr>
          <w:b/>
          <w:sz w:val="24"/>
          <w:szCs w:val="24"/>
          <w:lang w:val="en-GB"/>
        </w:rPr>
        <w:tab/>
        <w:t>Special precautions for disposal and other handling</w:t>
      </w:r>
    </w:p>
    <w:p w14:paraId="37A36D43" w14:textId="77777777" w:rsidR="006F1DB8" w:rsidRDefault="006F1DB8" w:rsidP="007203C5">
      <w:pPr>
        <w:ind w:left="851"/>
        <w:rPr>
          <w:sz w:val="24"/>
          <w:szCs w:val="24"/>
          <w:lang w:val="en-GB"/>
        </w:rPr>
      </w:pPr>
    </w:p>
    <w:p w14:paraId="753781E8" w14:textId="345B8FAB" w:rsidR="00955D2E" w:rsidRPr="006F1DB8" w:rsidRDefault="00955D2E" w:rsidP="007203C5">
      <w:pPr>
        <w:ind w:left="851"/>
        <w:rPr>
          <w:sz w:val="24"/>
          <w:szCs w:val="24"/>
          <w:u w:val="single"/>
          <w:lang w:val="en-GB"/>
        </w:rPr>
      </w:pPr>
      <w:r w:rsidRPr="006F1DB8">
        <w:rPr>
          <w:sz w:val="24"/>
          <w:szCs w:val="24"/>
          <w:u w:val="single"/>
          <w:lang w:val="en-GB"/>
        </w:rPr>
        <w:t>Administration through gastric tube</w:t>
      </w:r>
    </w:p>
    <w:p w14:paraId="6D7F8575" w14:textId="77777777" w:rsidR="00955D2E" w:rsidRPr="007203C5" w:rsidRDefault="00955D2E" w:rsidP="007203C5">
      <w:pPr>
        <w:ind w:left="851"/>
        <w:rPr>
          <w:sz w:val="24"/>
          <w:szCs w:val="24"/>
          <w:lang w:val="en-GB"/>
        </w:rPr>
      </w:pPr>
    </w:p>
    <w:p w14:paraId="502FD429" w14:textId="4D6FD9AB"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Put the tablet into an appropriate syringe and fill the syringe with approximately 25 ml water and approximately 5 ml air. For some tubes, dispersion in 50 ml water is needed to prevent the pellets from clogging the tube.</w:t>
      </w:r>
    </w:p>
    <w:p w14:paraId="55EB1012" w14:textId="77777777" w:rsidR="00955D2E" w:rsidRPr="007203C5" w:rsidRDefault="00955D2E" w:rsidP="007203C5">
      <w:pPr>
        <w:ind w:left="1276" w:hanging="425"/>
        <w:rPr>
          <w:sz w:val="24"/>
          <w:szCs w:val="24"/>
          <w:lang w:val="en-GB"/>
        </w:rPr>
      </w:pPr>
    </w:p>
    <w:p w14:paraId="35D460F3" w14:textId="1B3A9812"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Immediately shake the syringe until tablet has disintegrated.</w:t>
      </w:r>
    </w:p>
    <w:p w14:paraId="2F981F06" w14:textId="77777777" w:rsidR="00955D2E" w:rsidRPr="007203C5" w:rsidRDefault="00955D2E" w:rsidP="007203C5">
      <w:pPr>
        <w:ind w:left="1276" w:hanging="425"/>
        <w:rPr>
          <w:sz w:val="24"/>
          <w:szCs w:val="24"/>
          <w:lang w:val="en-GB"/>
        </w:rPr>
      </w:pPr>
    </w:p>
    <w:p w14:paraId="79EAED5C" w14:textId="6FB234B6"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Hold the syringe with the tip up and check that the tip has not clogged.</w:t>
      </w:r>
    </w:p>
    <w:p w14:paraId="44A0EDDD" w14:textId="77777777" w:rsidR="00955D2E" w:rsidRPr="007203C5" w:rsidRDefault="00955D2E" w:rsidP="007203C5">
      <w:pPr>
        <w:ind w:left="1276" w:hanging="425"/>
        <w:rPr>
          <w:sz w:val="24"/>
          <w:szCs w:val="24"/>
          <w:lang w:val="en-GB"/>
        </w:rPr>
      </w:pPr>
    </w:p>
    <w:p w14:paraId="6CD21278" w14:textId="7B869030"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Attach the syringe to the tube whilst maintaining the above position.</w:t>
      </w:r>
    </w:p>
    <w:p w14:paraId="521B87F8" w14:textId="77777777" w:rsidR="00955D2E" w:rsidRPr="007203C5" w:rsidRDefault="00955D2E" w:rsidP="007203C5">
      <w:pPr>
        <w:ind w:left="1276" w:hanging="425"/>
        <w:rPr>
          <w:sz w:val="24"/>
          <w:szCs w:val="24"/>
          <w:lang w:val="en-GB"/>
        </w:rPr>
      </w:pPr>
    </w:p>
    <w:p w14:paraId="053C1109" w14:textId="7ABD9A45"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Shake the syringe and position it with the tip pointing down. Immediately inject 5</w:t>
      </w:r>
      <w:r w:rsidRPr="007203C5">
        <w:rPr>
          <w:sz w:val="24"/>
          <w:szCs w:val="24"/>
          <w:lang w:val="en-GB"/>
        </w:rPr>
        <w:noBreakHyphen/>
        <w:t>10 ml into the tube. Invert the syringe after injection and shake (the syringe must be held with the tip pointing up to avoid clogging of the tip).</w:t>
      </w:r>
    </w:p>
    <w:p w14:paraId="6C6634DF" w14:textId="77777777" w:rsidR="00955D2E" w:rsidRPr="007203C5" w:rsidRDefault="00955D2E" w:rsidP="007203C5">
      <w:pPr>
        <w:ind w:left="1276" w:hanging="425"/>
        <w:rPr>
          <w:sz w:val="24"/>
          <w:szCs w:val="24"/>
          <w:lang w:val="en-GB"/>
        </w:rPr>
      </w:pPr>
    </w:p>
    <w:p w14:paraId="28074E77" w14:textId="3A4B536A"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Turn the syringe with the tip down and immediately inject another 5</w:t>
      </w:r>
      <w:r w:rsidRPr="007203C5">
        <w:rPr>
          <w:sz w:val="24"/>
          <w:szCs w:val="24"/>
          <w:lang w:val="en-GB"/>
        </w:rPr>
        <w:noBreakHyphen/>
        <w:t>10 ml into the tube. Repeat this procedure until the syringe is empty.</w:t>
      </w:r>
    </w:p>
    <w:p w14:paraId="3B5A0405" w14:textId="77777777" w:rsidR="00955D2E" w:rsidRPr="007203C5" w:rsidRDefault="00955D2E" w:rsidP="007203C5">
      <w:pPr>
        <w:ind w:left="1276" w:hanging="425"/>
        <w:rPr>
          <w:sz w:val="24"/>
          <w:szCs w:val="24"/>
          <w:lang w:val="en-GB"/>
        </w:rPr>
      </w:pPr>
    </w:p>
    <w:p w14:paraId="7FD50789" w14:textId="7099F826" w:rsidR="00955D2E" w:rsidRPr="007203C5" w:rsidRDefault="00955D2E" w:rsidP="007203C5">
      <w:pPr>
        <w:pStyle w:val="Listeafsnit"/>
        <w:numPr>
          <w:ilvl w:val="0"/>
          <w:numId w:val="16"/>
        </w:numPr>
        <w:ind w:left="1276" w:hanging="425"/>
        <w:rPr>
          <w:sz w:val="24"/>
          <w:szCs w:val="24"/>
          <w:lang w:val="en-GB"/>
        </w:rPr>
      </w:pPr>
      <w:r w:rsidRPr="007203C5">
        <w:rPr>
          <w:sz w:val="24"/>
          <w:szCs w:val="24"/>
          <w:lang w:val="en-GB"/>
        </w:rPr>
        <w:t>Fill the syringe with 25 ml of water and 5 ml of air and repeat step 5 if necessary to wash</w:t>
      </w:r>
      <w:r w:rsidR="00775BF2" w:rsidRPr="007203C5">
        <w:rPr>
          <w:sz w:val="24"/>
          <w:szCs w:val="24"/>
          <w:lang w:val="en-GB"/>
        </w:rPr>
        <w:t xml:space="preserve"> </w:t>
      </w:r>
      <w:r w:rsidRPr="007203C5">
        <w:rPr>
          <w:sz w:val="24"/>
          <w:szCs w:val="24"/>
          <w:lang w:val="en-GB"/>
        </w:rPr>
        <w:t>down any sediment left in the syringe. For some tubes, 50 ml water is needed.</w:t>
      </w:r>
    </w:p>
    <w:p w14:paraId="2A8F021D" w14:textId="77777777" w:rsidR="00955D2E" w:rsidRPr="00775BF2" w:rsidRDefault="00955D2E" w:rsidP="00955D2E">
      <w:pPr>
        <w:tabs>
          <w:tab w:val="left" w:pos="1425"/>
        </w:tabs>
        <w:contextualSpacing/>
        <w:rPr>
          <w:sz w:val="24"/>
          <w:szCs w:val="24"/>
          <w:lang w:val="en-GB"/>
        </w:rPr>
      </w:pPr>
    </w:p>
    <w:p w14:paraId="4B50E960" w14:textId="77777777" w:rsidR="00955D2E" w:rsidRPr="00775BF2" w:rsidRDefault="00955D2E" w:rsidP="00775BF2">
      <w:pPr>
        <w:ind w:left="851"/>
        <w:contextualSpacing/>
        <w:rPr>
          <w:sz w:val="24"/>
          <w:szCs w:val="24"/>
          <w:u w:val="single"/>
          <w:lang w:val="en-GB"/>
        </w:rPr>
      </w:pPr>
      <w:r w:rsidRPr="00775BF2">
        <w:rPr>
          <w:sz w:val="24"/>
          <w:szCs w:val="24"/>
          <w:u w:val="single"/>
          <w:lang w:val="en-GB"/>
        </w:rPr>
        <w:t>Special precautions for disposal</w:t>
      </w:r>
    </w:p>
    <w:p w14:paraId="7A15F5B7" w14:textId="77777777" w:rsidR="00955D2E" w:rsidRPr="00775BF2" w:rsidRDefault="00955D2E" w:rsidP="00775BF2">
      <w:pPr>
        <w:ind w:left="851"/>
        <w:contextualSpacing/>
        <w:rPr>
          <w:sz w:val="24"/>
          <w:szCs w:val="24"/>
          <w:lang w:val="en-GB"/>
        </w:rPr>
      </w:pPr>
      <w:r w:rsidRPr="00775BF2">
        <w:rPr>
          <w:sz w:val="24"/>
          <w:szCs w:val="24"/>
          <w:lang w:val="en-GB"/>
        </w:rPr>
        <w:t>No special requirements</w:t>
      </w:r>
    </w:p>
    <w:p w14:paraId="02E1F6A4" w14:textId="77777777" w:rsidR="007C5D2A" w:rsidRPr="00775BF2" w:rsidRDefault="007C5D2A" w:rsidP="00AB4376">
      <w:pPr>
        <w:tabs>
          <w:tab w:val="left" w:pos="851"/>
        </w:tabs>
        <w:ind w:left="851"/>
        <w:rPr>
          <w:sz w:val="24"/>
          <w:szCs w:val="24"/>
          <w:lang w:val="en-GB"/>
        </w:rPr>
      </w:pPr>
    </w:p>
    <w:p w14:paraId="31BFA37B" w14:textId="77777777" w:rsidR="007C5D2A" w:rsidRPr="00775BF2" w:rsidRDefault="007C5D2A" w:rsidP="007C5D2A">
      <w:pPr>
        <w:tabs>
          <w:tab w:val="left" w:pos="851"/>
        </w:tabs>
        <w:ind w:left="851" w:hanging="851"/>
        <w:jc w:val="both"/>
        <w:rPr>
          <w:b/>
          <w:sz w:val="24"/>
          <w:szCs w:val="24"/>
          <w:lang w:val="en-GB"/>
        </w:rPr>
      </w:pPr>
      <w:r w:rsidRPr="00775BF2">
        <w:rPr>
          <w:b/>
          <w:sz w:val="24"/>
          <w:szCs w:val="24"/>
          <w:lang w:val="en-GB"/>
        </w:rPr>
        <w:t>7.</w:t>
      </w:r>
      <w:r w:rsidRPr="00775BF2">
        <w:rPr>
          <w:b/>
          <w:sz w:val="24"/>
          <w:szCs w:val="24"/>
          <w:lang w:val="en-GB"/>
        </w:rPr>
        <w:tab/>
        <w:t>MARKETING AUTHORISATION HOLDER</w:t>
      </w:r>
    </w:p>
    <w:p w14:paraId="582C081D" w14:textId="77777777" w:rsidR="00312CAD" w:rsidRDefault="00312CAD" w:rsidP="00A85D26">
      <w:pPr>
        <w:tabs>
          <w:tab w:val="left" w:pos="851"/>
        </w:tabs>
        <w:ind w:left="851"/>
        <w:jc w:val="both"/>
        <w:rPr>
          <w:sz w:val="24"/>
          <w:szCs w:val="24"/>
          <w:lang w:val="en-GB"/>
        </w:rPr>
      </w:pPr>
      <w:r w:rsidRPr="00312CAD">
        <w:rPr>
          <w:sz w:val="24"/>
          <w:szCs w:val="24"/>
          <w:lang w:val="en-GB"/>
        </w:rPr>
        <w:t xml:space="preserve">Aurora Licensing </w:t>
      </w:r>
      <w:proofErr w:type="spellStart"/>
      <w:r w:rsidRPr="00312CAD">
        <w:rPr>
          <w:sz w:val="24"/>
          <w:szCs w:val="24"/>
          <w:lang w:val="en-GB"/>
        </w:rPr>
        <w:t>S.r.l</w:t>
      </w:r>
      <w:proofErr w:type="spellEnd"/>
      <w:r w:rsidRPr="00312CAD">
        <w:rPr>
          <w:sz w:val="24"/>
          <w:szCs w:val="24"/>
          <w:lang w:val="en-GB"/>
        </w:rPr>
        <w:t xml:space="preserve">. </w:t>
      </w:r>
    </w:p>
    <w:p w14:paraId="5951B0F1" w14:textId="77777777" w:rsidR="00312CAD" w:rsidRDefault="00312CAD" w:rsidP="00A85D26">
      <w:pPr>
        <w:tabs>
          <w:tab w:val="left" w:pos="851"/>
        </w:tabs>
        <w:ind w:left="851"/>
        <w:jc w:val="both"/>
        <w:rPr>
          <w:sz w:val="24"/>
          <w:szCs w:val="24"/>
          <w:lang w:val="en-GB"/>
        </w:rPr>
      </w:pPr>
      <w:r w:rsidRPr="00312CAD">
        <w:rPr>
          <w:sz w:val="24"/>
          <w:szCs w:val="24"/>
          <w:lang w:val="en-GB"/>
        </w:rPr>
        <w:t xml:space="preserve">Via del </w:t>
      </w:r>
      <w:proofErr w:type="spellStart"/>
      <w:r w:rsidRPr="00312CAD">
        <w:rPr>
          <w:sz w:val="24"/>
          <w:szCs w:val="24"/>
          <w:lang w:val="en-GB"/>
        </w:rPr>
        <w:t>Milliario</w:t>
      </w:r>
      <w:proofErr w:type="spellEnd"/>
      <w:r w:rsidRPr="00312CAD">
        <w:rPr>
          <w:sz w:val="24"/>
          <w:szCs w:val="24"/>
          <w:lang w:val="en-GB"/>
        </w:rPr>
        <w:t xml:space="preserve"> 32 </w:t>
      </w:r>
    </w:p>
    <w:p w14:paraId="186463CE" w14:textId="77777777" w:rsidR="00312CAD" w:rsidRDefault="00312CAD" w:rsidP="00A85D26">
      <w:pPr>
        <w:tabs>
          <w:tab w:val="left" w:pos="851"/>
        </w:tabs>
        <w:ind w:left="851"/>
        <w:jc w:val="both"/>
        <w:rPr>
          <w:sz w:val="24"/>
          <w:szCs w:val="24"/>
          <w:lang w:val="en-GB"/>
        </w:rPr>
      </w:pPr>
      <w:r w:rsidRPr="00312CAD">
        <w:rPr>
          <w:sz w:val="24"/>
          <w:szCs w:val="24"/>
          <w:lang w:val="en-GB"/>
        </w:rPr>
        <w:t xml:space="preserve">40133 Bologna </w:t>
      </w:r>
    </w:p>
    <w:p w14:paraId="2073FCA0" w14:textId="19742962" w:rsidR="00141619" w:rsidRPr="00775BF2" w:rsidRDefault="00141619" w:rsidP="00A85D26">
      <w:pPr>
        <w:tabs>
          <w:tab w:val="left" w:pos="851"/>
        </w:tabs>
        <w:ind w:left="851"/>
        <w:jc w:val="both"/>
        <w:rPr>
          <w:sz w:val="24"/>
          <w:szCs w:val="24"/>
          <w:lang w:val="en-GB"/>
        </w:rPr>
      </w:pPr>
      <w:r w:rsidRPr="00775BF2">
        <w:rPr>
          <w:sz w:val="24"/>
          <w:szCs w:val="24"/>
          <w:lang w:val="en-GB"/>
        </w:rPr>
        <w:t>Italy</w:t>
      </w:r>
    </w:p>
    <w:p w14:paraId="41D3E22A" w14:textId="77777777" w:rsidR="007C5D2A" w:rsidRPr="00775BF2" w:rsidRDefault="007C5D2A" w:rsidP="003E0341">
      <w:pPr>
        <w:tabs>
          <w:tab w:val="left" w:pos="851"/>
        </w:tabs>
        <w:ind w:left="851"/>
        <w:jc w:val="both"/>
        <w:rPr>
          <w:sz w:val="24"/>
          <w:szCs w:val="24"/>
          <w:lang w:val="en-GB"/>
        </w:rPr>
      </w:pPr>
    </w:p>
    <w:p w14:paraId="789848E9" w14:textId="77777777" w:rsidR="007C5D2A" w:rsidRPr="00775BF2" w:rsidRDefault="007C5D2A" w:rsidP="007C5D2A">
      <w:pPr>
        <w:ind w:left="851" w:hanging="851"/>
        <w:jc w:val="both"/>
        <w:rPr>
          <w:b/>
          <w:sz w:val="24"/>
          <w:szCs w:val="24"/>
          <w:lang w:val="en-GB"/>
        </w:rPr>
      </w:pPr>
      <w:r w:rsidRPr="00775BF2">
        <w:rPr>
          <w:b/>
          <w:sz w:val="24"/>
          <w:szCs w:val="24"/>
          <w:lang w:val="en-GB"/>
        </w:rPr>
        <w:t>8.</w:t>
      </w:r>
      <w:r w:rsidRPr="00775BF2">
        <w:rPr>
          <w:b/>
          <w:sz w:val="24"/>
          <w:szCs w:val="24"/>
          <w:lang w:val="en-GB"/>
        </w:rPr>
        <w:tab/>
        <w:t>MARKETING AUTHORISATION NUMBER(S)</w:t>
      </w:r>
    </w:p>
    <w:p w14:paraId="053202D1" w14:textId="1D848C11" w:rsidR="007C5D2A" w:rsidRPr="00775BF2" w:rsidRDefault="000E23E5" w:rsidP="00A85D26">
      <w:pPr>
        <w:tabs>
          <w:tab w:val="left" w:pos="851"/>
        </w:tabs>
        <w:ind w:left="851"/>
        <w:jc w:val="both"/>
        <w:rPr>
          <w:sz w:val="24"/>
          <w:szCs w:val="24"/>
          <w:lang w:val="en-GB"/>
        </w:rPr>
      </w:pPr>
      <w:r w:rsidRPr="00775BF2">
        <w:rPr>
          <w:sz w:val="24"/>
          <w:szCs w:val="24"/>
          <w:lang w:val="en-GB"/>
        </w:rPr>
        <w:t>20 mg:</w:t>
      </w:r>
      <w:r w:rsidR="00141619" w:rsidRPr="00775BF2">
        <w:rPr>
          <w:sz w:val="24"/>
          <w:szCs w:val="24"/>
          <w:lang w:val="en-GB"/>
        </w:rPr>
        <w:t xml:space="preserve"> 6</w:t>
      </w:r>
      <w:r w:rsidR="00A73AC7">
        <w:rPr>
          <w:sz w:val="24"/>
          <w:szCs w:val="24"/>
          <w:lang w:val="en-GB"/>
        </w:rPr>
        <w:t>61</w:t>
      </w:r>
      <w:r w:rsidR="00F2019F">
        <w:rPr>
          <w:sz w:val="24"/>
          <w:szCs w:val="24"/>
          <w:lang w:val="en-GB"/>
        </w:rPr>
        <w:t>79</w:t>
      </w:r>
    </w:p>
    <w:p w14:paraId="2D51FEE6" w14:textId="4997D015" w:rsidR="000E23E5" w:rsidRPr="00775BF2" w:rsidRDefault="000E23E5" w:rsidP="00A85D26">
      <w:pPr>
        <w:tabs>
          <w:tab w:val="left" w:pos="851"/>
        </w:tabs>
        <w:ind w:left="851"/>
        <w:jc w:val="both"/>
        <w:rPr>
          <w:sz w:val="24"/>
          <w:szCs w:val="24"/>
          <w:lang w:val="en-GB"/>
        </w:rPr>
      </w:pPr>
      <w:r w:rsidRPr="00775BF2">
        <w:rPr>
          <w:sz w:val="24"/>
          <w:szCs w:val="24"/>
          <w:lang w:val="en-GB"/>
        </w:rPr>
        <w:t>40 mg:</w:t>
      </w:r>
      <w:r w:rsidR="00141619" w:rsidRPr="00775BF2">
        <w:rPr>
          <w:sz w:val="24"/>
          <w:szCs w:val="24"/>
          <w:lang w:val="en-GB"/>
        </w:rPr>
        <w:t xml:space="preserve"> 6</w:t>
      </w:r>
      <w:r w:rsidR="00F2019F">
        <w:rPr>
          <w:sz w:val="24"/>
          <w:szCs w:val="24"/>
          <w:lang w:val="en-GB"/>
        </w:rPr>
        <w:t>6180</w:t>
      </w:r>
    </w:p>
    <w:p w14:paraId="6AA2BC41" w14:textId="77777777" w:rsidR="007C5D2A" w:rsidRPr="00775BF2" w:rsidRDefault="007C5D2A" w:rsidP="00180A12">
      <w:pPr>
        <w:tabs>
          <w:tab w:val="left" w:pos="851"/>
        </w:tabs>
        <w:ind w:left="851"/>
        <w:jc w:val="both"/>
        <w:rPr>
          <w:sz w:val="24"/>
          <w:szCs w:val="24"/>
          <w:lang w:val="en-GB"/>
        </w:rPr>
      </w:pPr>
    </w:p>
    <w:p w14:paraId="001CE987" w14:textId="77777777" w:rsidR="007C5D2A" w:rsidRPr="00775BF2" w:rsidRDefault="007C5D2A" w:rsidP="007C5D2A">
      <w:pPr>
        <w:tabs>
          <w:tab w:val="left" w:pos="851"/>
        </w:tabs>
        <w:jc w:val="both"/>
        <w:rPr>
          <w:sz w:val="24"/>
          <w:szCs w:val="24"/>
          <w:lang w:val="en-GB"/>
        </w:rPr>
      </w:pPr>
      <w:r w:rsidRPr="00775BF2">
        <w:rPr>
          <w:b/>
          <w:sz w:val="24"/>
          <w:szCs w:val="24"/>
          <w:lang w:val="en-GB"/>
        </w:rPr>
        <w:t>9.</w:t>
      </w:r>
      <w:r w:rsidRPr="00775BF2">
        <w:rPr>
          <w:b/>
          <w:sz w:val="24"/>
          <w:szCs w:val="24"/>
          <w:lang w:val="en-GB"/>
        </w:rPr>
        <w:tab/>
        <w:t>DATE OF FIRST AUTHORISATION</w:t>
      </w:r>
    </w:p>
    <w:p w14:paraId="70378056" w14:textId="3139EF50" w:rsidR="007C5D2A" w:rsidRPr="00775BF2" w:rsidRDefault="00250B32" w:rsidP="00A85D26">
      <w:pPr>
        <w:ind w:left="851"/>
        <w:jc w:val="both"/>
        <w:rPr>
          <w:sz w:val="24"/>
          <w:szCs w:val="24"/>
          <w:lang w:val="en-GB"/>
        </w:rPr>
      </w:pPr>
      <w:r>
        <w:rPr>
          <w:sz w:val="24"/>
          <w:szCs w:val="24"/>
          <w:lang w:val="en-GB"/>
        </w:rPr>
        <w:t>9 September 2022</w:t>
      </w:r>
    </w:p>
    <w:p w14:paraId="1C43481A" w14:textId="77777777" w:rsidR="007C5D2A" w:rsidRPr="00775BF2" w:rsidRDefault="007C5D2A" w:rsidP="003E0341">
      <w:pPr>
        <w:tabs>
          <w:tab w:val="left" w:pos="851"/>
        </w:tabs>
        <w:ind w:left="851"/>
        <w:jc w:val="both"/>
        <w:rPr>
          <w:sz w:val="24"/>
          <w:szCs w:val="24"/>
          <w:lang w:val="en-GB"/>
        </w:rPr>
      </w:pPr>
    </w:p>
    <w:p w14:paraId="5C31BBAD" w14:textId="77777777" w:rsidR="007C5D2A" w:rsidRPr="00775BF2" w:rsidRDefault="007C5D2A" w:rsidP="007C5D2A">
      <w:pPr>
        <w:tabs>
          <w:tab w:val="left" w:pos="851"/>
        </w:tabs>
        <w:jc w:val="both"/>
        <w:rPr>
          <w:sz w:val="24"/>
          <w:szCs w:val="24"/>
          <w:lang w:val="en-GB"/>
        </w:rPr>
      </w:pPr>
      <w:r w:rsidRPr="00775BF2">
        <w:rPr>
          <w:b/>
          <w:sz w:val="24"/>
          <w:szCs w:val="24"/>
          <w:lang w:val="en-GB"/>
        </w:rPr>
        <w:t>10.</w:t>
      </w:r>
      <w:r w:rsidRPr="00775BF2">
        <w:rPr>
          <w:b/>
          <w:sz w:val="24"/>
          <w:szCs w:val="24"/>
          <w:lang w:val="en-GB"/>
        </w:rPr>
        <w:tab/>
        <w:t>DATE OF REVISION OF THE TEXT</w:t>
      </w:r>
    </w:p>
    <w:p w14:paraId="7AF9B875" w14:textId="6BE26272" w:rsidR="007C5D2A" w:rsidRPr="00775BF2" w:rsidRDefault="00462D86" w:rsidP="003E0341">
      <w:pPr>
        <w:tabs>
          <w:tab w:val="left" w:pos="851"/>
        </w:tabs>
        <w:ind w:left="851"/>
        <w:jc w:val="both"/>
        <w:rPr>
          <w:sz w:val="24"/>
          <w:szCs w:val="24"/>
          <w:lang w:val="en-GB"/>
        </w:rPr>
      </w:pPr>
      <w:r>
        <w:rPr>
          <w:sz w:val="24"/>
          <w:szCs w:val="24"/>
          <w:lang w:val="en-GB"/>
        </w:rPr>
        <w:t>28 November 2024</w:t>
      </w:r>
    </w:p>
    <w:sectPr w:rsidR="007C5D2A" w:rsidRPr="00775BF2"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4F301" w14:textId="77777777" w:rsidR="00A73AC7" w:rsidRDefault="00A73AC7">
      <w:r>
        <w:separator/>
      </w:r>
    </w:p>
  </w:endnote>
  <w:endnote w:type="continuationSeparator" w:id="0">
    <w:p w14:paraId="257C3F1A" w14:textId="77777777" w:rsidR="00A73AC7" w:rsidRDefault="00A7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120BD" w14:textId="77777777" w:rsidR="00A73AC7" w:rsidRDefault="00A73AC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6046F" w14:textId="77777777" w:rsidR="00A73AC7" w:rsidRDefault="00A73AC7">
    <w:pPr>
      <w:pStyle w:val="Sidefod"/>
      <w:pBdr>
        <w:bottom w:val="single" w:sz="6" w:space="1" w:color="auto"/>
      </w:pBdr>
    </w:pPr>
  </w:p>
  <w:p w14:paraId="0214E454" w14:textId="77777777" w:rsidR="00A73AC7" w:rsidRDefault="00A73AC7">
    <w:pPr>
      <w:pStyle w:val="Sidefod"/>
      <w:tabs>
        <w:tab w:val="clear" w:pos="4819"/>
        <w:tab w:val="left" w:pos="8647"/>
      </w:tabs>
      <w:rPr>
        <w:i/>
        <w:snapToGrid w:val="0"/>
        <w:sz w:val="18"/>
      </w:rPr>
    </w:pPr>
  </w:p>
  <w:p w14:paraId="7688215C" w14:textId="339C42E0" w:rsidR="00A73AC7" w:rsidRDefault="00A73AC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35FF9">
      <w:rPr>
        <w:i/>
        <w:noProof/>
        <w:snapToGrid w:val="0"/>
        <w:sz w:val="18"/>
      </w:rPr>
      <w:t>Esoref, enterotabletter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D51B" w14:textId="77777777" w:rsidR="00A73AC7" w:rsidRDefault="00A73AC7">
    <w:pPr>
      <w:pStyle w:val="Sidefod"/>
      <w:pBdr>
        <w:bottom w:val="single" w:sz="6" w:space="1" w:color="auto"/>
      </w:pBdr>
      <w:tabs>
        <w:tab w:val="clear" w:pos="4819"/>
        <w:tab w:val="left" w:pos="8789"/>
      </w:tabs>
      <w:rPr>
        <w:i/>
        <w:snapToGrid w:val="0"/>
        <w:sz w:val="18"/>
      </w:rPr>
    </w:pPr>
  </w:p>
  <w:p w14:paraId="1E883232" w14:textId="77777777" w:rsidR="00A73AC7" w:rsidRDefault="00A73AC7">
    <w:pPr>
      <w:pStyle w:val="Sidefod"/>
      <w:tabs>
        <w:tab w:val="clear" w:pos="4819"/>
        <w:tab w:val="left" w:pos="8789"/>
      </w:tabs>
      <w:rPr>
        <w:i/>
        <w:snapToGrid w:val="0"/>
        <w:sz w:val="18"/>
      </w:rPr>
    </w:pPr>
  </w:p>
  <w:p w14:paraId="69FA6348" w14:textId="7D4C7706" w:rsidR="00A73AC7" w:rsidRDefault="00A73AC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935FF9">
      <w:rPr>
        <w:i/>
        <w:noProof/>
        <w:snapToGrid w:val="0"/>
        <w:sz w:val="18"/>
      </w:rPr>
      <w:t>Esoref, enterotabletter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7A5E8" w14:textId="77777777" w:rsidR="00A73AC7" w:rsidRDefault="00A73AC7">
      <w:r>
        <w:separator/>
      </w:r>
    </w:p>
  </w:footnote>
  <w:footnote w:type="continuationSeparator" w:id="0">
    <w:p w14:paraId="3A50C621" w14:textId="77777777" w:rsidR="00A73AC7" w:rsidRDefault="00A73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3AB7" w14:textId="77777777" w:rsidR="00A73AC7" w:rsidRDefault="00A73AC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7F2C" w14:textId="77777777" w:rsidR="00A73AC7" w:rsidRDefault="00A73AC7">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5364" w14:textId="77777777" w:rsidR="00A73AC7" w:rsidRDefault="00A73AC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A4827C2"/>
    <w:multiLevelType w:val="hybridMultilevel"/>
    <w:tmpl w:val="029EA208"/>
    <w:lvl w:ilvl="0" w:tplc="4F7808B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0122518"/>
    <w:multiLevelType w:val="hybridMultilevel"/>
    <w:tmpl w:val="6EE27482"/>
    <w:lvl w:ilvl="0" w:tplc="0812FBBA">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B80821"/>
    <w:multiLevelType w:val="hybridMultilevel"/>
    <w:tmpl w:val="93CC7986"/>
    <w:lvl w:ilvl="0" w:tplc="0812FBBA">
      <w:numFmt w:val="bullet"/>
      <w:lvlText w:val="-"/>
      <w:lvlJc w:val="left"/>
      <w:pPr>
        <w:ind w:left="360" w:hanging="360"/>
      </w:pPr>
      <w:rPr>
        <w:rFonts w:ascii="Times New Roman" w:eastAsia="Calibr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6" w15:restartNumberingAfterBreak="0">
    <w:nsid w:val="296304AC"/>
    <w:multiLevelType w:val="hybridMultilevel"/>
    <w:tmpl w:val="DB5E43D6"/>
    <w:lvl w:ilvl="0" w:tplc="0812FBBA">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E374E4"/>
    <w:multiLevelType w:val="hybridMultilevel"/>
    <w:tmpl w:val="224E6758"/>
    <w:lvl w:ilvl="0" w:tplc="4F7808B4">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2E9075DF"/>
    <w:multiLevelType w:val="hybridMultilevel"/>
    <w:tmpl w:val="8A52D2D0"/>
    <w:lvl w:ilvl="0" w:tplc="0812FBBA">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E2E088D"/>
    <w:multiLevelType w:val="hybridMultilevel"/>
    <w:tmpl w:val="85101BB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6FD761E"/>
    <w:multiLevelType w:val="hybridMultilevel"/>
    <w:tmpl w:val="69D0E536"/>
    <w:lvl w:ilvl="0" w:tplc="37041538">
      <w:start w:val="1"/>
      <w:numFmt w:val="decimal"/>
      <w:lvlText w:val="%1."/>
      <w:lvlJc w:val="left"/>
      <w:pPr>
        <w:ind w:left="930" w:hanging="57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69E7B21"/>
    <w:multiLevelType w:val="hybridMultilevel"/>
    <w:tmpl w:val="C95423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6D40FFC"/>
    <w:multiLevelType w:val="hybridMultilevel"/>
    <w:tmpl w:val="D7543DBE"/>
    <w:lvl w:ilvl="0" w:tplc="4F7808B4">
      <w:numFmt w:val="bullet"/>
      <w:lvlText w:val="-"/>
      <w:lvlJc w:val="left"/>
      <w:pPr>
        <w:ind w:left="2152" w:hanging="45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4" w15:restartNumberingAfterBreak="0">
    <w:nsid w:val="6ED648D0"/>
    <w:multiLevelType w:val="hybridMultilevel"/>
    <w:tmpl w:val="40CE98E6"/>
    <w:lvl w:ilvl="0" w:tplc="4F7808B4">
      <w:numFmt w:val="bullet"/>
      <w:lvlText w:val="-"/>
      <w:lvlJc w:val="left"/>
      <w:pPr>
        <w:ind w:left="2152" w:hanging="45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13"/>
  </w:num>
  <w:num w:numId="4">
    <w:abstractNumId w:val="1"/>
  </w:num>
  <w:num w:numId="5">
    <w:abstractNumId w:val="5"/>
  </w:num>
  <w:num w:numId="6">
    <w:abstractNumId w:val="5"/>
  </w:num>
  <w:num w:numId="7">
    <w:abstractNumId w:val="8"/>
  </w:num>
  <w:num w:numId="8">
    <w:abstractNumId w:val="7"/>
  </w:num>
  <w:num w:numId="9">
    <w:abstractNumId w:val="12"/>
  </w:num>
  <w:num w:numId="10">
    <w:abstractNumId w:val="14"/>
  </w:num>
  <w:num w:numId="11">
    <w:abstractNumId w:val="2"/>
  </w:num>
  <w:num w:numId="12">
    <w:abstractNumId w:val="6"/>
  </w:num>
  <w:num w:numId="13">
    <w:abstractNumId w:val="3"/>
  </w:num>
  <w:num w:numId="14">
    <w:abstractNumId w:val="9"/>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89"/>
    <w:rsid w:val="00056601"/>
    <w:rsid w:val="000C3846"/>
    <w:rsid w:val="000C6218"/>
    <w:rsid w:val="000D3C9D"/>
    <w:rsid w:val="000E23E5"/>
    <w:rsid w:val="000F0D47"/>
    <w:rsid w:val="000F21D9"/>
    <w:rsid w:val="001242DE"/>
    <w:rsid w:val="00141619"/>
    <w:rsid w:val="00180A12"/>
    <w:rsid w:val="001A3AC6"/>
    <w:rsid w:val="001D3B37"/>
    <w:rsid w:val="00214331"/>
    <w:rsid w:val="00214CF4"/>
    <w:rsid w:val="00250B32"/>
    <w:rsid w:val="00273109"/>
    <w:rsid w:val="00281F03"/>
    <w:rsid w:val="0029458A"/>
    <w:rsid w:val="002A1587"/>
    <w:rsid w:val="002A7489"/>
    <w:rsid w:val="002B27C5"/>
    <w:rsid w:val="002D7924"/>
    <w:rsid w:val="00303008"/>
    <w:rsid w:val="00312CAD"/>
    <w:rsid w:val="00373B55"/>
    <w:rsid w:val="00396429"/>
    <w:rsid w:val="003D727E"/>
    <w:rsid w:val="003E0341"/>
    <w:rsid w:val="003E3402"/>
    <w:rsid w:val="003F4736"/>
    <w:rsid w:val="00401B49"/>
    <w:rsid w:val="00401D75"/>
    <w:rsid w:val="0042292D"/>
    <w:rsid w:val="00440254"/>
    <w:rsid w:val="00462D86"/>
    <w:rsid w:val="004860D3"/>
    <w:rsid w:val="004A3BF4"/>
    <w:rsid w:val="004A5DB3"/>
    <w:rsid w:val="005152D9"/>
    <w:rsid w:val="00533AD4"/>
    <w:rsid w:val="00534849"/>
    <w:rsid w:val="00560102"/>
    <w:rsid w:val="00562EA1"/>
    <w:rsid w:val="00580F5E"/>
    <w:rsid w:val="005E6E50"/>
    <w:rsid w:val="00603E2B"/>
    <w:rsid w:val="00617BB8"/>
    <w:rsid w:val="006270C4"/>
    <w:rsid w:val="00680052"/>
    <w:rsid w:val="00683267"/>
    <w:rsid w:val="006844E9"/>
    <w:rsid w:val="006B3847"/>
    <w:rsid w:val="006F1DB8"/>
    <w:rsid w:val="007009A1"/>
    <w:rsid w:val="007011DA"/>
    <w:rsid w:val="007203C5"/>
    <w:rsid w:val="0075453D"/>
    <w:rsid w:val="00775BF2"/>
    <w:rsid w:val="007A4CC6"/>
    <w:rsid w:val="007C3623"/>
    <w:rsid w:val="007C5D2A"/>
    <w:rsid w:val="007F1E00"/>
    <w:rsid w:val="008400E3"/>
    <w:rsid w:val="00864538"/>
    <w:rsid w:val="00873B4F"/>
    <w:rsid w:val="008D4EC8"/>
    <w:rsid w:val="008E51AE"/>
    <w:rsid w:val="008F2F8C"/>
    <w:rsid w:val="00935FF9"/>
    <w:rsid w:val="00955D2E"/>
    <w:rsid w:val="009925C9"/>
    <w:rsid w:val="00A179D0"/>
    <w:rsid w:val="00A22D43"/>
    <w:rsid w:val="00A358A3"/>
    <w:rsid w:val="00A46747"/>
    <w:rsid w:val="00A73AC7"/>
    <w:rsid w:val="00A80446"/>
    <w:rsid w:val="00A85D26"/>
    <w:rsid w:val="00A9153A"/>
    <w:rsid w:val="00AB4376"/>
    <w:rsid w:val="00AC033C"/>
    <w:rsid w:val="00AD2E36"/>
    <w:rsid w:val="00B50A32"/>
    <w:rsid w:val="00BD3490"/>
    <w:rsid w:val="00C12F31"/>
    <w:rsid w:val="00C23ED1"/>
    <w:rsid w:val="00C26226"/>
    <w:rsid w:val="00C3571D"/>
    <w:rsid w:val="00C54F0B"/>
    <w:rsid w:val="00C82621"/>
    <w:rsid w:val="00CB1423"/>
    <w:rsid w:val="00CC7F36"/>
    <w:rsid w:val="00D02508"/>
    <w:rsid w:val="00D70C65"/>
    <w:rsid w:val="00D778CC"/>
    <w:rsid w:val="00D82FE9"/>
    <w:rsid w:val="00D97B77"/>
    <w:rsid w:val="00DB6A85"/>
    <w:rsid w:val="00E06B32"/>
    <w:rsid w:val="00E1290F"/>
    <w:rsid w:val="00E36A80"/>
    <w:rsid w:val="00E5672B"/>
    <w:rsid w:val="00EB21D7"/>
    <w:rsid w:val="00EE3EB7"/>
    <w:rsid w:val="00F003D9"/>
    <w:rsid w:val="00F2019F"/>
    <w:rsid w:val="00F577B9"/>
    <w:rsid w:val="00F57E16"/>
    <w:rsid w:val="00F60336"/>
    <w:rsid w:val="00FD652E"/>
    <w:rsid w:val="00FF79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DEB3A"/>
  <w15:chartTrackingRefBased/>
  <w15:docId w15:val="{48D2A863-3108-445A-99CB-385DCE75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8D4EC8"/>
    <w:pPr>
      <w:autoSpaceDE w:val="0"/>
      <w:autoSpaceDN w:val="0"/>
      <w:adjustRightInd w:val="0"/>
    </w:pPr>
    <w:rPr>
      <w:lang w:val="en-US" w:eastAsia="en-US"/>
    </w:rPr>
  </w:style>
  <w:style w:type="character" w:styleId="Hyperlink">
    <w:name w:val="Hyperlink"/>
    <w:semiHidden/>
    <w:unhideWhenUsed/>
    <w:rsid w:val="008D4EC8"/>
    <w:rPr>
      <w:color w:val="0000FF"/>
      <w:u w:val="single"/>
    </w:rPr>
  </w:style>
  <w:style w:type="paragraph" w:styleId="Listeafsnit">
    <w:name w:val="List Paragraph"/>
    <w:basedOn w:val="Normal"/>
    <w:uiPriority w:val="34"/>
    <w:qFormat/>
    <w:rsid w:val="00C12F31"/>
    <w:pPr>
      <w:ind w:left="720"/>
      <w:contextualSpacing/>
    </w:pPr>
  </w:style>
  <w:style w:type="paragraph" w:styleId="NormalWeb">
    <w:name w:val="Normal (Web)"/>
    <w:basedOn w:val="Normal"/>
    <w:uiPriority w:val="99"/>
    <w:unhideWhenUsed/>
    <w:rsid w:val="00462D86"/>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336">
      <w:bodyDiv w:val="1"/>
      <w:marLeft w:val="0"/>
      <w:marRight w:val="0"/>
      <w:marTop w:val="0"/>
      <w:marBottom w:val="0"/>
      <w:divBdr>
        <w:top w:val="none" w:sz="0" w:space="0" w:color="auto"/>
        <w:left w:val="none" w:sz="0" w:space="0" w:color="auto"/>
        <w:bottom w:val="none" w:sz="0" w:space="0" w:color="auto"/>
        <w:right w:val="none" w:sz="0" w:space="0" w:color="auto"/>
      </w:divBdr>
    </w:div>
    <w:div w:id="131683162">
      <w:bodyDiv w:val="1"/>
      <w:marLeft w:val="0"/>
      <w:marRight w:val="0"/>
      <w:marTop w:val="0"/>
      <w:marBottom w:val="0"/>
      <w:divBdr>
        <w:top w:val="none" w:sz="0" w:space="0" w:color="auto"/>
        <w:left w:val="none" w:sz="0" w:space="0" w:color="auto"/>
        <w:bottom w:val="none" w:sz="0" w:space="0" w:color="auto"/>
        <w:right w:val="none" w:sz="0" w:space="0" w:color="auto"/>
      </w:divBdr>
    </w:div>
    <w:div w:id="223104082">
      <w:bodyDiv w:val="1"/>
      <w:marLeft w:val="0"/>
      <w:marRight w:val="0"/>
      <w:marTop w:val="0"/>
      <w:marBottom w:val="0"/>
      <w:divBdr>
        <w:top w:val="none" w:sz="0" w:space="0" w:color="auto"/>
        <w:left w:val="none" w:sz="0" w:space="0" w:color="auto"/>
        <w:bottom w:val="none" w:sz="0" w:space="0" w:color="auto"/>
        <w:right w:val="none" w:sz="0" w:space="0" w:color="auto"/>
      </w:divBdr>
    </w:div>
    <w:div w:id="301235268">
      <w:bodyDiv w:val="1"/>
      <w:marLeft w:val="0"/>
      <w:marRight w:val="0"/>
      <w:marTop w:val="0"/>
      <w:marBottom w:val="0"/>
      <w:divBdr>
        <w:top w:val="none" w:sz="0" w:space="0" w:color="auto"/>
        <w:left w:val="none" w:sz="0" w:space="0" w:color="auto"/>
        <w:bottom w:val="none" w:sz="0" w:space="0" w:color="auto"/>
        <w:right w:val="none" w:sz="0" w:space="0" w:color="auto"/>
      </w:divBdr>
    </w:div>
    <w:div w:id="412552560">
      <w:bodyDiv w:val="1"/>
      <w:marLeft w:val="0"/>
      <w:marRight w:val="0"/>
      <w:marTop w:val="0"/>
      <w:marBottom w:val="0"/>
      <w:divBdr>
        <w:top w:val="none" w:sz="0" w:space="0" w:color="auto"/>
        <w:left w:val="none" w:sz="0" w:space="0" w:color="auto"/>
        <w:bottom w:val="none" w:sz="0" w:space="0" w:color="auto"/>
        <w:right w:val="none" w:sz="0" w:space="0" w:color="auto"/>
      </w:divBdr>
    </w:div>
    <w:div w:id="492263257">
      <w:bodyDiv w:val="1"/>
      <w:marLeft w:val="0"/>
      <w:marRight w:val="0"/>
      <w:marTop w:val="0"/>
      <w:marBottom w:val="0"/>
      <w:divBdr>
        <w:top w:val="none" w:sz="0" w:space="0" w:color="auto"/>
        <w:left w:val="none" w:sz="0" w:space="0" w:color="auto"/>
        <w:bottom w:val="none" w:sz="0" w:space="0" w:color="auto"/>
        <w:right w:val="none" w:sz="0" w:space="0" w:color="auto"/>
      </w:divBdr>
    </w:div>
    <w:div w:id="575436301">
      <w:bodyDiv w:val="1"/>
      <w:marLeft w:val="0"/>
      <w:marRight w:val="0"/>
      <w:marTop w:val="0"/>
      <w:marBottom w:val="0"/>
      <w:divBdr>
        <w:top w:val="none" w:sz="0" w:space="0" w:color="auto"/>
        <w:left w:val="none" w:sz="0" w:space="0" w:color="auto"/>
        <w:bottom w:val="none" w:sz="0" w:space="0" w:color="auto"/>
        <w:right w:val="none" w:sz="0" w:space="0" w:color="auto"/>
      </w:divBdr>
    </w:div>
    <w:div w:id="612784524">
      <w:bodyDiv w:val="1"/>
      <w:marLeft w:val="0"/>
      <w:marRight w:val="0"/>
      <w:marTop w:val="0"/>
      <w:marBottom w:val="0"/>
      <w:divBdr>
        <w:top w:val="none" w:sz="0" w:space="0" w:color="auto"/>
        <w:left w:val="none" w:sz="0" w:space="0" w:color="auto"/>
        <w:bottom w:val="none" w:sz="0" w:space="0" w:color="auto"/>
        <w:right w:val="none" w:sz="0" w:space="0" w:color="auto"/>
      </w:divBdr>
    </w:div>
    <w:div w:id="613176188">
      <w:bodyDiv w:val="1"/>
      <w:marLeft w:val="0"/>
      <w:marRight w:val="0"/>
      <w:marTop w:val="0"/>
      <w:marBottom w:val="0"/>
      <w:divBdr>
        <w:top w:val="none" w:sz="0" w:space="0" w:color="auto"/>
        <w:left w:val="none" w:sz="0" w:space="0" w:color="auto"/>
        <w:bottom w:val="none" w:sz="0" w:space="0" w:color="auto"/>
        <w:right w:val="none" w:sz="0" w:space="0" w:color="auto"/>
      </w:divBdr>
    </w:div>
    <w:div w:id="789516974">
      <w:bodyDiv w:val="1"/>
      <w:marLeft w:val="0"/>
      <w:marRight w:val="0"/>
      <w:marTop w:val="0"/>
      <w:marBottom w:val="0"/>
      <w:divBdr>
        <w:top w:val="none" w:sz="0" w:space="0" w:color="auto"/>
        <w:left w:val="none" w:sz="0" w:space="0" w:color="auto"/>
        <w:bottom w:val="none" w:sz="0" w:space="0" w:color="auto"/>
        <w:right w:val="none" w:sz="0" w:space="0" w:color="auto"/>
      </w:divBdr>
    </w:div>
    <w:div w:id="874273037">
      <w:bodyDiv w:val="1"/>
      <w:marLeft w:val="0"/>
      <w:marRight w:val="0"/>
      <w:marTop w:val="0"/>
      <w:marBottom w:val="0"/>
      <w:divBdr>
        <w:top w:val="none" w:sz="0" w:space="0" w:color="auto"/>
        <w:left w:val="none" w:sz="0" w:space="0" w:color="auto"/>
        <w:bottom w:val="none" w:sz="0" w:space="0" w:color="auto"/>
        <w:right w:val="none" w:sz="0" w:space="0" w:color="auto"/>
      </w:divBdr>
    </w:div>
    <w:div w:id="878325355">
      <w:bodyDiv w:val="1"/>
      <w:marLeft w:val="0"/>
      <w:marRight w:val="0"/>
      <w:marTop w:val="0"/>
      <w:marBottom w:val="0"/>
      <w:divBdr>
        <w:top w:val="none" w:sz="0" w:space="0" w:color="auto"/>
        <w:left w:val="none" w:sz="0" w:space="0" w:color="auto"/>
        <w:bottom w:val="none" w:sz="0" w:space="0" w:color="auto"/>
        <w:right w:val="none" w:sz="0" w:space="0" w:color="auto"/>
      </w:divBdr>
    </w:div>
    <w:div w:id="1018776333">
      <w:bodyDiv w:val="1"/>
      <w:marLeft w:val="0"/>
      <w:marRight w:val="0"/>
      <w:marTop w:val="0"/>
      <w:marBottom w:val="0"/>
      <w:divBdr>
        <w:top w:val="none" w:sz="0" w:space="0" w:color="auto"/>
        <w:left w:val="none" w:sz="0" w:space="0" w:color="auto"/>
        <w:bottom w:val="none" w:sz="0" w:space="0" w:color="auto"/>
        <w:right w:val="none" w:sz="0" w:space="0" w:color="auto"/>
      </w:divBdr>
    </w:div>
    <w:div w:id="1058479497">
      <w:bodyDiv w:val="1"/>
      <w:marLeft w:val="0"/>
      <w:marRight w:val="0"/>
      <w:marTop w:val="0"/>
      <w:marBottom w:val="0"/>
      <w:divBdr>
        <w:top w:val="none" w:sz="0" w:space="0" w:color="auto"/>
        <w:left w:val="none" w:sz="0" w:space="0" w:color="auto"/>
        <w:bottom w:val="none" w:sz="0" w:space="0" w:color="auto"/>
        <w:right w:val="none" w:sz="0" w:space="0" w:color="auto"/>
      </w:divBdr>
    </w:div>
    <w:div w:id="1225022818">
      <w:bodyDiv w:val="1"/>
      <w:marLeft w:val="0"/>
      <w:marRight w:val="0"/>
      <w:marTop w:val="0"/>
      <w:marBottom w:val="0"/>
      <w:divBdr>
        <w:top w:val="none" w:sz="0" w:space="0" w:color="auto"/>
        <w:left w:val="none" w:sz="0" w:space="0" w:color="auto"/>
        <w:bottom w:val="none" w:sz="0" w:space="0" w:color="auto"/>
        <w:right w:val="none" w:sz="0" w:space="0" w:color="auto"/>
      </w:divBdr>
    </w:div>
    <w:div w:id="1270042284">
      <w:bodyDiv w:val="1"/>
      <w:marLeft w:val="0"/>
      <w:marRight w:val="0"/>
      <w:marTop w:val="0"/>
      <w:marBottom w:val="0"/>
      <w:divBdr>
        <w:top w:val="none" w:sz="0" w:space="0" w:color="auto"/>
        <w:left w:val="none" w:sz="0" w:space="0" w:color="auto"/>
        <w:bottom w:val="none" w:sz="0" w:space="0" w:color="auto"/>
        <w:right w:val="none" w:sz="0" w:space="0" w:color="auto"/>
      </w:divBdr>
    </w:div>
    <w:div w:id="1477649500">
      <w:bodyDiv w:val="1"/>
      <w:marLeft w:val="0"/>
      <w:marRight w:val="0"/>
      <w:marTop w:val="0"/>
      <w:marBottom w:val="0"/>
      <w:divBdr>
        <w:top w:val="none" w:sz="0" w:space="0" w:color="auto"/>
        <w:left w:val="none" w:sz="0" w:space="0" w:color="auto"/>
        <w:bottom w:val="none" w:sz="0" w:space="0" w:color="auto"/>
        <w:right w:val="none" w:sz="0" w:space="0" w:color="auto"/>
      </w:divBdr>
    </w:div>
    <w:div w:id="1518302780">
      <w:bodyDiv w:val="1"/>
      <w:marLeft w:val="0"/>
      <w:marRight w:val="0"/>
      <w:marTop w:val="0"/>
      <w:marBottom w:val="0"/>
      <w:divBdr>
        <w:top w:val="none" w:sz="0" w:space="0" w:color="auto"/>
        <w:left w:val="none" w:sz="0" w:space="0" w:color="auto"/>
        <w:bottom w:val="none" w:sz="0" w:space="0" w:color="auto"/>
        <w:right w:val="none" w:sz="0" w:space="0" w:color="auto"/>
      </w:divBdr>
    </w:div>
    <w:div w:id="1579829066">
      <w:bodyDiv w:val="1"/>
      <w:marLeft w:val="0"/>
      <w:marRight w:val="0"/>
      <w:marTop w:val="0"/>
      <w:marBottom w:val="0"/>
      <w:divBdr>
        <w:top w:val="none" w:sz="0" w:space="0" w:color="auto"/>
        <w:left w:val="none" w:sz="0" w:space="0" w:color="auto"/>
        <w:bottom w:val="none" w:sz="0" w:space="0" w:color="auto"/>
        <w:right w:val="none" w:sz="0" w:space="0" w:color="auto"/>
      </w:divBdr>
    </w:div>
    <w:div w:id="1631935593">
      <w:bodyDiv w:val="1"/>
      <w:marLeft w:val="0"/>
      <w:marRight w:val="0"/>
      <w:marTop w:val="0"/>
      <w:marBottom w:val="0"/>
      <w:divBdr>
        <w:top w:val="none" w:sz="0" w:space="0" w:color="auto"/>
        <w:left w:val="none" w:sz="0" w:space="0" w:color="auto"/>
        <w:bottom w:val="none" w:sz="0" w:space="0" w:color="auto"/>
        <w:right w:val="none" w:sz="0" w:space="0" w:color="auto"/>
      </w:divBdr>
    </w:div>
    <w:div w:id="1909993972">
      <w:bodyDiv w:val="1"/>
      <w:marLeft w:val="0"/>
      <w:marRight w:val="0"/>
      <w:marTop w:val="0"/>
      <w:marBottom w:val="0"/>
      <w:divBdr>
        <w:top w:val="none" w:sz="0" w:space="0" w:color="auto"/>
        <w:left w:val="none" w:sz="0" w:space="0" w:color="auto"/>
        <w:bottom w:val="none" w:sz="0" w:space="0" w:color="auto"/>
        <w:right w:val="none" w:sz="0" w:space="0" w:color="auto"/>
      </w:divBdr>
    </w:div>
    <w:div w:id="1997996078">
      <w:bodyDiv w:val="1"/>
      <w:marLeft w:val="0"/>
      <w:marRight w:val="0"/>
      <w:marTop w:val="0"/>
      <w:marBottom w:val="0"/>
      <w:divBdr>
        <w:top w:val="none" w:sz="0" w:space="0" w:color="auto"/>
        <w:left w:val="none" w:sz="0" w:space="0" w:color="auto"/>
        <w:bottom w:val="none" w:sz="0" w:space="0" w:color="auto"/>
        <w:right w:val="none" w:sz="0" w:space="0" w:color="auto"/>
      </w:divBdr>
    </w:div>
    <w:div w:id="2011325807">
      <w:bodyDiv w:val="1"/>
      <w:marLeft w:val="0"/>
      <w:marRight w:val="0"/>
      <w:marTop w:val="0"/>
      <w:marBottom w:val="0"/>
      <w:divBdr>
        <w:top w:val="none" w:sz="0" w:space="0" w:color="auto"/>
        <w:left w:val="none" w:sz="0" w:space="0" w:color="auto"/>
        <w:bottom w:val="none" w:sz="0" w:space="0" w:color="auto"/>
        <w:right w:val="none" w:sz="0" w:space="0" w:color="auto"/>
      </w:divBdr>
    </w:div>
    <w:div w:id="202925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5829</Words>
  <Characters>34493</Characters>
  <Application>Microsoft Office Word</Application>
  <DocSecurity>0</DocSecurity>
  <Lines>287</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2023121615, var. 2, pkt. 4.4 og 4.8</dc:description>
  <cp:lastModifiedBy>Gitte Jørgensen</cp:lastModifiedBy>
  <cp:revision>4</cp:revision>
  <cp:lastPrinted>2006-02-24T09:31:00Z</cp:lastPrinted>
  <dcterms:created xsi:type="dcterms:W3CDTF">2024-11-28T12:17:00Z</dcterms:created>
  <dcterms:modified xsi:type="dcterms:W3CDTF">2024-11-28T12:33:00Z</dcterms:modified>
</cp:coreProperties>
</file>