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0D5" w:rsidRPr="008F49E1" w:rsidRDefault="003760D5" w:rsidP="003760D5">
      <w:pPr>
        <w:rPr>
          <w:sz w:val="24"/>
          <w:szCs w:val="24"/>
        </w:rPr>
      </w:pPr>
      <w:r w:rsidRPr="009260DE">
        <w:rPr>
          <w:noProof/>
          <w:sz w:val="24"/>
          <w:szCs w:val="24"/>
          <w:lang w:eastAsia="da-DK"/>
        </w:rPr>
        <w:drawing>
          <wp:anchor distT="0" distB="0" distL="114300" distR="114300" simplePos="0" relativeHeight="251659264" behindDoc="0" locked="0" layoutInCell="1" allowOverlap="1" wp14:anchorId="0F81078B" wp14:editId="640B2793">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0433C9" w:rsidRDefault="000433C9" w:rsidP="003760D5">
      <w:pPr>
        <w:pStyle w:val="Titel"/>
        <w:tabs>
          <w:tab w:val="right" w:pos="9356"/>
        </w:tabs>
        <w:jc w:val="left"/>
        <w:rPr>
          <w:b w:val="0"/>
          <w:szCs w:val="24"/>
          <w:lang w:eastAsia="en-US"/>
        </w:rPr>
      </w:pPr>
    </w:p>
    <w:p w:rsidR="003760D5" w:rsidRPr="00C84483" w:rsidRDefault="000C0122" w:rsidP="003760D5">
      <w:pPr>
        <w:pStyle w:val="Titel"/>
        <w:tabs>
          <w:tab w:val="right" w:pos="9356"/>
        </w:tabs>
        <w:jc w:val="left"/>
        <w:rPr>
          <w:b w:val="0"/>
          <w:szCs w:val="24"/>
          <w:lang w:eastAsia="en-US"/>
        </w:rPr>
      </w:pPr>
      <w:r>
        <w:rPr>
          <w:b w:val="0"/>
          <w:szCs w:val="24"/>
          <w:lang w:eastAsia="en-US"/>
        </w:rPr>
        <w:tab/>
      </w:r>
      <w:r w:rsidR="000433C9">
        <w:rPr>
          <w:szCs w:val="24"/>
          <w:lang w:eastAsia="en-US"/>
        </w:rPr>
        <w:t>4</w:t>
      </w:r>
      <w:r w:rsidR="007210FC">
        <w:rPr>
          <w:szCs w:val="24"/>
          <w:lang w:eastAsia="en-US"/>
        </w:rPr>
        <w:t xml:space="preserve">. </w:t>
      </w:r>
      <w:r w:rsidR="000433C9">
        <w:rPr>
          <w:szCs w:val="24"/>
          <w:lang w:eastAsia="en-US"/>
        </w:rPr>
        <w:t>februar</w:t>
      </w:r>
      <w:r w:rsidR="001F7B20">
        <w:rPr>
          <w:szCs w:val="24"/>
          <w:lang w:eastAsia="en-US"/>
        </w:rPr>
        <w:t xml:space="preserve"> 202</w:t>
      </w:r>
      <w:r w:rsidR="000433C9">
        <w:rPr>
          <w:szCs w:val="24"/>
          <w:lang w:eastAsia="en-US"/>
        </w:rPr>
        <w:t>5</w:t>
      </w:r>
    </w:p>
    <w:p w:rsidR="003760D5" w:rsidRPr="00C84483" w:rsidRDefault="003760D5" w:rsidP="003760D5">
      <w:pPr>
        <w:pStyle w:val="Titel"/>
        <w:jc w:val="left"/>
        <w:rPr>
          <w:b w:val="0"/>
          <w:szCs w:val="24"/>
        </w:rPr>
      </w:pPr>
    </w:p>
    <w:p w:rsidR="003760D5" w:rsidRPr="00C84483" w:rsidRDefault="003760D5" w:rsidP="003760D5">
      <w:pPr>
        <w:pStyle w:val="Titel"/>
        <w:jc w:val="left"/>
        <w:rPr>
          <w:b w:val="0"/>
          <w:szCs w:val="24"/>
        </w:rPr>
      </w:pPr>
    </w:p>
    <w:p w:rsidR="003760D5" w:rsidRPr="00C84483" w:rsidRDefault="003760D5" w:rsidP="003760D5">
      <w:pPr>
        <w:jc w:val="center"/>
        <w:rPr>
          <w:b/>
          <w:sz w:val="24"/>
          <w:szCs w:val="24"/>
        </w:rPr>
      </w:pPr>
      <w:r w:rsidRPr="00C84483">
        <w:rPr>
          <w:b/>
          <w:sz w:val="24"/>
          <w:szCs w:val="24"/>
        </w:rPr>
        <w:t>PRODUKTRESUMÉ</w:t>
      </w:r>
    </w:p>
    <w:p w:rsidR="003760D5" w:rsidRPr="00C84483" w:rsidRDefault="003760D5" w:rsidP="00341677">
      <w:pPr>
        <w:rPr>
          <w:b/>
          <w:sz w:val="24"/>
          <w:szCs w:val="24"/>
        </w:rPr>
      </w:pPr>
    </w:p>
    <w:p w:rsidR="003760D5" w:rsidRDefault="003760D5" w:rsidP="003760D5">
      <w:pPr>
        <w:jc w:val="center"/>
        <w:rPr>
          <w:b/>
          <w:sz w:val="24"/>
          <w:szCs w:val="24"/>
        </w:rPr>
      </w:pPr>
      <w:r w:rsidRPr="00C84483">
        <w:rPr>
          <w:b/>
          <w:sz w:val="24"/>
          <w:szCs w:val="24"/>
        </w:rPr>
        <w:t>for</w:t>
      </w:r>
    </w:p>
    <w:p w:rsidR="003760D5" w:rsidRPr="00C84483" w:rsidRDefault="003760D5" w:rsidP="003760D5">
      <w:pPr>
        <w:jc w:val="center"/>
        <w:rPr>
          <w:b/>
          <w:sz w:val="24"/>
          <w:szCs w:val="24"/>
        </w:rPr>
      </w:pPr>
    </w:p>
    <w:p w:rsidR="003760D5" w:rsidRPr="00C84483" w:rsidRDefault="003760D5" w:rsidP="003760D5">
      <w:pPr>
        <w:jc w:val="center"/>
        <w:rPr>
          <w:b/>
          <w:sz w:val="24"/>
          <w:szCs w:val="24"/>
        </w:rPr>
      </w:pPr>
      <w:r>
        <w:rPr>
          <w:b/>
          <w:sz w:val="24"/>
          <w:szCs w:val="24"/>
        </w:rPr>
        <w:t>Everolimus "Teva", tabletter</w:t>
      </w:r>
    </w:p>
    <w:p w:rsidR="003760D5" w:rsidRPr="00C84483" w:rsidRDefault="003760D5" w:rsidP="003760D5">
      <w:pPr>
        <w:jc w:val="both"/>
        <w:rPr>
          <w:sz w:val="24"/>
          <w:szCs w:val="24"/>
        </w:rPr>
      </w:pPr>
    </w:p>
    <w:p w:rsidR="003760D5" w:rsidRPr="00C84483" w:rsidRDefault="003760D5" w:rsidP="003760D5">
      <w:pPr>
        <w:jc w:val="both"/>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0.</w:t>
      </w:r>
      <w:r w:rsidRPr="00C84483">
        <w:rPr>
          <w:b/>
          <w:sz w:val="24"/>
          <w:szCs w:val="24"/>
        </w:rPr>
        <w:tab/>
        <w:t>D.SP.NR.</w:t>
      </w:r>
    </w:p>
    <w:p w:rsidR="003760D5" w:rsidRPr="00C84483" w:rsidRDefault="003760D5" w:rsidP="003760D5">
      <w:pPr>
        <w:tabs>
          <w:tab w:val="left" w:pos="851"/>
        </w:tabs>
        <w:ind w:left="851"/>
        <w:rPr>
          <w:sz w:val="24"/>
          <w:szCs w:val="24"/>
        </w:rPr>
      </w:pPr>
      <w:r>
        <w:rPr>
          <w:sz w:val="24"/>
          <w:szCs w:val="24"/>
        </w:rPr>
        <w:t>30266</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1.</w:t>
      </w:r>
      <w:r w:rsidRPr="00C84483">
        <w:rPr>
          <w:b/>
          <w:sz w:val="24"/>
          <w:szCs w:val="24"/>
        </w:rPr>
        <w:tab/>
        <w:t>LÆGEMIDLETS NAVN</w:t>
      </w:r>
    </w:p>
    <w:p w:rsidR="003760D5" w:rsidRPr="00C84483" w:rsidRDefault="003760D5" w:rsidP="003760D5">
      <w:pPr>
        <w:tabs>
          <w:tab w:val="left" w:pos="851"/>
        </w:tabs>
        <w:ind w:left="851"/>
        <w:rPr>
          <w:sz w:val="24"/>
          <w:szCs w:val="24"/>
        </w:rPr>
      </w:pPr>
      <w:r>
        <w:rPr>
          <w:sz w:val="24"/>
          <w:szCs w:val="24"/>
        </w:rPr>
        <w:t>Everolimus "Teva"</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2.</w:t>
      </w:r>
      <w:r w:rsidRPr="00C84483">
        <w:rPr>
          <w:b/>
          <w:sz w:val="24"/>
          <w:szCs w:val="24"/>
        </w:rPr>
        <w:tab/>
        <w:t>KVALITATIV OG KVANTITATIV SAMMENSÆTNING</w:t>
      </w:r>
    </w:p>
    <w:p w:rsidR="003760D5" w:rsidRDefault="003760D5" w:rsidP="003760D5">
      <w:pPr>
        <w:pStyle w:val="Default"/>
        <w:ind w:left="851"/>
      </w:pPr>
    </w:p>
    <w:p w:rsidR="003760D5" w:rsidRPr="00F05E3D" w:rsidRDefault="003760D5" w:rsidP="003760D5">
      <w:pPr>
        <w:pStyle w:val="Default"/>
        <w:ind w:left="851"/>
        <w:rPr>
          <w:u w:val="single"/>
        </w:rPr>
      </w:pPr>
      <w:r w:rsidRPr="00F05E3D">
        <w:rPr>
          <w:u w:val="single"/>
        </w:rPr>
        <w:t>2,5 mg</w:t>
      </w:r>
    </w:p>
    <w:p w:rsidR="003760D5" w:rsidRPr="00372959" w:rsidRDefault="003760D5" w:rsidP="003760D5">
      <w:pPr>
        <w:pStyle w:val="Default"/>
        <w:ind w:left="851"/>
      </w:pPr>
      <w:r w:rsidRPr="00372959">
        <w:t xml:space="preserve">Hver tablet indeholder 2,5 mg everolimus. </w:t>
      </w:r>
    </w:p>
    <w:p w:rsidR="003760D5" w:rsidRPr="003B27BD" w:rsidRDefault="003760D5" w:rsidP="003760D5">
      <w:pPr>
        <w:pStyle w:val="Default"/>
        <w:ind w:firstLine="851"/>
      </w:pPr>
    </w:p>
    <w:p w:rsidR="003760D5" w:rsidRPr="003B27BD" w:rsidRDefault="003760D5" w:rsidP="003760D5">
      <w:pPr>
        <w:pStyle w:val="Default"/>
        <w:ind w:firstLine="851"/>
        <w:rPr>
          <w:u w:val="single"/>
        </w:rPr>
      </w:pPr>
      <w:r w:rsidRPr="003B27BD">
        <w:rPr>
          <w:u w:val="single"/>
        </w:rPr>
        <w:t>5 mg</w:t>
      </w:r>
    </w:p>
    <w:p w:rsidR="003760D5" w:rsidRPr="003B27BD" w:rsidRDefault="003760D5" w:rsidP="003760D5">
      <w:pPr>
        <w:pStyle w:val="Default"/>
        <w:ind w:firstLine="851"/>
      </w:pPr>
      <w:r w:rsidRPr="003B27BD">
        <w:t xml:space="preserve">Hver tablet indeholder 5 mg everolimus. </w:t>
      </w:r>
    </w:p>
    <w:p w:rsidR="003760D5" w:rsidRPr="003B27BD" w:rsidRDefault="003760D5" w:rsidP="003760D5">
      <w:pPr>
        <w:pStyle w:val="Default"/>
        <w:ind w:left="851"/>
      </w:pPr>
    </w:p>
    <w:p w:rsidR="003760D5" w:rsidRPr="003B27BD" w:rsidRDefault="003760D5" w:rsidP="003760D5">
      <w:pPr>
        <w:pStyle w:val="Default"/>
        <w:ind w:left="851"/>
        <w:rPr>
          <w:u w:val="single"/>
        </w:rPr>
      </w:pPr>
      <w:r w:rsidRPr="003B27BD">
        <w:rPr>
          <w:u w:val="single"/>
        </w:rPr>
        <w:t>10 mg</w:t>
      </w:r>
    </w:p>
    <w:p w:rsidR="003760D5" w:rsidRPr="003B27BD" w:rsidRDefault="003760D5" w:rsidP="003760D5">
      <w:pPr>
        <w:pStyle w:val="Default"/>
        <w:ind w:left="851"/>
      </w:pPr>
      <w:r w:rsidRPr="003B27BD">
        <w:t xml:space="preserve">Hver tablet indeholder 10 mg everolimus. </w:t>
      </w:r>
    </w:p>
    <w:p w:rsidR="003760D5" w:rsidRPr="003B27BD" w:rsidRDefault="003760D5" w:rsidP="003760D5">
      <w:pPr>
        <w:pStyle w:val="Default"/>
        <w:ind w:left="851"/>
      </w:pPr>
    </w:p>
    <w:p w:rsidR="003760D5" w:rsidRPr="003B27BD" w:rsidRDefault="003760D5" w:rsidP="003760D5">
      <w:pPr>
        <w:pStyle w:val="Default"/>
        <w:ind w:left="851"/>
        <w:rPr>
          <w:u w:val="single"/>
        </w:rPr>
      </w:pPr>
      <w:r w:rsidRPr="003B27BD">
        <w:rPr>
          <w:u w:val="single"/>
        </w:rPr>
        <w:t>Hjælpestof, som behandleren skal være opmærksom på</w:t>
      </w:r>
    </w:p>
    <w:p w:rsidR="003760D5" w:rsidRPr="003B27BD" w:rsidRDefault="003760D5" w:rsidP="003760D5">
      <w:pPr>
        <w:pStyle w:val="Default"/>
        <w:ind w:left="851"/>
      </w:pPr>
      <w:r w:rsidRPr="003B27BD">
        <w:t xml:space="preserve">2,5 mg: Hver tablet indeholder 74 mg lactose. </w:t>
      </w:r>
    </w:p>
    <w:p w:rsidR="003760D5" w:rsidRPr="003B27BD" w:rsidRDefault="003760D5" w:rsidP="003760D5">
      <w:pPr>
        <w:pStyle w:val="Default"/>
        <w:ind w:left="851"/>
      </w:pPr>
      <w:r w:rsidRPr="003B27BD">
        <w:t xml:space="preserve">5 mg: Hver tablet indeholder 149 mg lactose. </w:t>
      </w:r>
    </w:p>
    <w:p w:rsidR="003760D5" w:rsidRPr="003B27BD" w:rsidRDefault="003760D5" w:rsidP="003760D5">
      <w:pPr>
        <w:pStyle w:val="Default"/>
        <w:ind w:left="851"/>
      </w:pPr>
      <w:r w:rsidRPr="003B27BD">
        <w:t>10 mg: Hver tablet indeholder 297 mg lactose.</w:t>
      </w:r>
    </w:p>
    <w:p w:rsidR="003760D5" w:rsidRPr="003B27BD" w:rsidRDefault="003760D5" w:rsidP="003760D5">
      <w:pPr>
        <w:pStyle w:val="Default"/>
        <w:ind w:left="851"/>
      </w:pPr>
      <w:r w:rsidRPr="003B27BD">
        <w:t xml:space="preserve"> </w:t>
      </w:r>
    </w:p>
    <w:p w:rsidR="003760D5" w:rsidRPr="003B27BD" w:rsidRDefault="003760D5" w:rsidP="003760D5">
      <w:pPr>
        <w:tabs>
          <w:tab w:val="left" w:pos="851"/>
        </w:tabs>
        <w:ind w:left="851"/>
        <w:rPr>
          <w:szCs w:val="24"/>
        </w:rPr>
      </w:pPr>
      <w:r w:rsidRPr="003B27BD">
        <w:rPr>
          <w:szCs w:val="24"/>
        </w:rPr>
        <w:t>Alle hjælpestoffer er anført under pkt. 6.1.</w:t>
      </w:r>
    </w:p>
    <w:p w:rsidR="003760D5" w:rsidRPr="003B27BD" w:rsidRDefault="003760D5" w:rsidP="003760D5">
      <w:pPr>
        <w:tabs>
          <w:tab w:val="left" w:pos="851"/>
        </w:tabs>
        <w:ind w:left="851"/>
        <w:rPr>
          <w:sz w:val="24"/>
          <w:szCs w:val="24"/>
        </w:rPr>
      </w:pPr>
    </w:p>
    <w:p w:rsidR="003760D5" w:rsidRPr="003B27BD" w:rsidRDefault="003760D5" w:rsidP="003760D5">
      <w:pPr>
        <w:tabs>
          <w:tab w:val="left" w:pos="851"/>
        </w:tabs>
        <w:ind w:left="851" w:hanging="851"/>
        <w:rPr>
          <w:b/>
          <w:sz w:val="24"/>
          <w:szCs w:val="24"/>
        </w:rPr>
      </w:pPr>
      <w:r w:rsidRPr="003B27BD">
        <w:rPr>
          <w:b/>
          <w:sz w:val="24"/>
          <w:szCs w:val="24"/>
        </w:rPr>
        <w:t>3.</w:t>
      </w:r>
      <w:r w:rsidRPr="003B27BD">
        <w:rPr>
          <w:b/>
          <w:sz w:val="24"/>
          <w:szCs w:val="24"/>
        </w:rPr>
        <w:tab/>
        <w:t>LÆGEMIDDELFORM</w:t>
      </w:r>
    </w:p>
    <w:p w:rsidR="003760D5" w:rsidRPr="003B27BD" w:rsidRDefault="003760D5" w:rsidP="003760D5">
      <w:pPr>
        <w:pStyle w:val="Default"/>
        <w:ind w:left="851"/>
      </w:pPr>
      <w:r w:rsidRPr="003B27BD">
        <w:t>Tabletter</w:t>
      </w:r>
    </w:p>
    <w:p w:rsidR="003760D5" w:rsidRPr="003B27BD" w:rsidRDefault="003760D5" w:rsidP="003760D5">
      <w:pPr>
        <w:pStyle w:val="Default"/>
        <w:ind w:left="851"/>
      </w:pPr>
    </w:p>
    <w:p w:rsidR="003760D5" w:rsidRPr="003B27BD" w:rsidRDefault="003760D5" w:rsidP="003760D5">
      <w:pPr>
        <w:pStyle w:val="Default"/>
        <w:ind w:left="851"/>
        <w:rPr>
          <w:u w:val="single"/>
        </w:rPr>
      </w:pPr>
      <w:r w:rsidRPr="003B27BD">
        <w:rPr>
          <w:u w:val="single"/>
        </w:rPr>
        <w:t>2,5 mg</w:t>
      </w:r>
    </w:p>
    <w:p w:rsidR="003760D5" w:rsidRPr="003B27BD" w:rsidRDefault="003760D5" w:rsidP="003760D5">
      <w:pPr>
        <w:pStyle w:val="Default"/>
        <w:ind w:left="851"/>
      </w:pPr>
      <w:r>
        <w:t>Hvid</w:t>
      </w:r>
      <w:r w:rsidRPr="003B27BD">
        <w:t>,</w:t>
      </w:r>
      <w:r>
        <w:t xml:space="preserve"> aflang tablet</w:t>
      </w:r>
      <w:r w:rsidRPr="003B27BD">
        <w:t xml:space="preserve"> med facetslebet kant, ca. 10 mm lang og 4 mm bred, præget med “EV” på den ene side og “2,5” på den anden side.</w:t>
      </w:r>
    </w:p>
    <w:p w:rsidR="003760D5" w:rsidRPr="003B27BD" w:rsidRDefault="003760D5" w:rsidP="003760D5">
      <w:pPr>
        <w:pStyle w:val="Default"/>
        <w:ind w:left="851"/>
      </w:pPr>
      <w:r w:rsidRPr="003B27BD">
        <w:t xml:space="preserve"> </w:t>
      </w:r>
    </w:p>
    <w:p w:rsidR="003760D5" w:rsidRPr="003B27BD" w:rsidRDefault="003760D5" w:rsidP="003760D5">
      <w:pPr>
        <w:pStyle w:val="Default"/>
        <w:ind w:left="851"/>
        <w:rPr>
          <w:u w:val="single"/>
        </w:rPr>
      </w:pPr>
      <w:r w:rsidRPr="003B27BD">
        <w:rPr>
          <w:u w:val="single"/>
        </w:rPr>
        <w:t>5 mg</w:t>
      </w:r>
    </w:p>
    <w:p w:rsidR="003760D5" w:rsidRPr="003B27BD" w:rsidRDefault="003760D5" w:rsidP="003760D5">
      <w:pPr>
        <w:pStyle w:val="Default"/>
        <w:ind w:left="851"/>
      </w:pPr>
      <w:r>
        <w:t>Hvid</w:t>
      </w:r>
      <w:r w:rsidRPr="003B27BD">
        <w:t>,</w:t>
      </w:r>
      <w:r>
        <w:t xml:space="preserve"> aflang tablet</w:t>
      </w:r>
      <w:r w:rsidRPr="003B27BD">
        <w:t xml:space="preserve"> med facetslebet kant, ca. 12 mm lang og 5 mm bred, præget med “EV” på den ene side og “5” på den anden side.</w:t>
      </w:r>
    </w:p>
    <w:p w:rsidR="003760D5" w:rsidRPr="003B27BD" w:rsidRDefault="003760D5" w:rsidP="003760D5">
      <w:pPr>
        <w:pStyle w:val="Default"/>
        <w:ind w:left="851"/>
      </w:pPr>
      <w:r w:rsidRPr="003B27BD">
        <w:t xml:space="preserve"> </w:t>
      </w:r>
    </w:p>
    <w:p w:rsidR="003760D5" w:rsidRPr="003B27BD" w:rsidRDefault="003760D5" w:rsidP="003760D5">
      <w:pPr>
        <w:pStyle w:val="Default"/>
        <w:ind w:left="851"/>
        <w:rPr>
          <w:u w:val="single"/>
        </w:rPr>
      </w:pPr>
      <w:r w:rsidRPr="003B27BD">
        <w:rPr>
          <w:u w:val="single"/>
        </w:rPr>
        <w:lastRenderedPageBreak/>
        <w:t>10 mg</w:t>
      </w:r>
    </w:p>
    <w:p w:rsidR="003760D5" w:rsidRPr="00372959" w:rsidRDefault="003760D5" w:rsidP="003760D5">
      <w:pPr>
        <w:tabs>
          <w:tab w:val="left" w:pos="851"/>
        </w:tabs>
        <w:ind w:left="851"/>
        <w:rPr>
          <w:szCs w:val="24"/>
        </w:rPr>
      </w:pPr>
      <w:r>
        <w:rPr>
          <w:szCs w:val="24"/>
        </w:rPr>
        <w:t>Hvid</w:t>
      </w:r>
      <w:r w:rsidRPr="003B27BD">
        <w:rPr>
          <w:szCs w:val="24"/>
        </w:rPr>
        <w:t>,</w:t>
      </w:r>
      <w:r>
        <w:rPr>
          <w:szCs w:val="24"/>
        </w:rPr>
        <w:t xml:space="preserve"> aflang tablet</w:t>
      </w:r>
      <w:r w:rsidRPr="003B27BD">
        <w:rPr>
          <w:szCs w:val="24"/>
        </w:rPr>
        <w:t xml:space="preserve"> med facetslebet kant, ca. 15 mm lang og 6 mm bred, præget med “EV” på den ene side og “10” på den anden side.</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w:t>
      </w:r>
      <w:r w:rsidRPr="00C84483">
        <w:rPr>
          <w:b/>
          <w:sz w:val="24"/>
          <w:szCs w:val="24"/>
        </w:rPr>
        <w:tab/>
        <w:t>KLINISKE OPLYSNINGER</w:t>
      </w:r>
    </w:p>
    <w:p w:rsidR="003760D5" w:rsidRPr="00C84483" w:rsidRDefault="003760D5" w:rsidP="003760D5">
      <w:pPr>
        <w:tabs>
          <w:tab w:val="left" w:pos="851"/>
        </w:tabs>
        <w:ind w:left="851"/>
        <w:rPr>
          <w:b/>
          <w:sz w:val="24"/>
          <w:szCs w:val="24"/>
        </w:rPr>
      </w:pPr>
    </w:p>
    <w:p w:rsidR="003760D5" w:rsidRPr="00C84483" w:rsidRDefault="003760D5" w:rsidP="003760D5">
      <w:pPr>
        <w:tabs>
          <w:tab w:val="left" w:pos="851"/>
        </w:tabs>
        <w:ind w:left="851" w:hanging="851"/>
        <w:rPr>
          <w:b/>
          <w:sz w:val="24"/>
          <w:szCs w:val="24"/>
          <w:u w:val="single"/>
        </w:rPr>
      </w:pPr>
      <w:r w:rsidRPr="00C84483">
        <w:rPr>
          <w:b/>
          <w:sz w:val="24"/>
          <w:szCs w:val="24"/>
        </w:rPr>
        <w:t>4.1</w:t>
      </w:r>
      <w:r w:rsidRPr="00C84483">
        <w:rPr>
          <w:b/>
          <w:sz w:val="24"/>
          <w:szCs w:val="24"/>
        </w:rPr>
        <w:tab/>
        <w:t>Terapeutiske indikationer</w:t>
      </w:r>
    </w:p>
    <w:p w:rsidR="000433C9" w:rsidRDefault="000433C9" w:rsidP="000433C9">
      <w:pPr>
        <w:pStyle w:val="Default"/>
      </w:pPr>
    </w:p>
    <w:p w:rsidR="000433C9" w:rsidRDefault="000433C9" w:rsidP="000433C9">
      <w:pPr>
        <w:pStyle w:val="Default"/>
        <w:ind w:left="851"/>
        <w:rPr>
          <w:u w:val="single"/>
        </w:rPr>
      </w:pPr>
      <w:r>
        <w:rPr>
          <w:u w:val="single"/>
        </w:rPr>
        <w:t xml:space="preserve">Neuroendokrine tumorer udgået fra pancreas </w:t>
      </w:r>
    </w:p>
    <w:p w:rsidR="000433C9" w:rsidRDefault="000433C9" w:rsidP="000433C9">
      <w:pPr>
        <w:pStyle w:val="Default"/>
        <w:ind w:left="851"/>
      </w:pPr>
      <w:r>
        <w:t xml:space="preserve">Everolimus ”Teva” er indiceret til behandling af inoperable eller metastaserende højt eller moderat differentierede neuroendokrine tumorer udgået fra pancreas hos voksne med progressiv sygdom. </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Neuroendokrine tumorer udgået fra mave-tarm-kanalen eller lungerne </w:t>
      </w:r>
    </w:p>
    <w:p w:rsidR="000433C9" w:rsidRDefault="000433C9" w:rsidP="000433C9">
      <w:pPr>
        <w:pStyle w:val="Default"/>
        <w:ind w:left="851"/>
      </w:pPr>
      <w:r>
        <w:t>Everolimus "Teva" er indiceret til behandling af inoperable eller metastaserende, veldifferentierede (grad 1 eller 2), ikke-funktionelle neuroendokrine tumorer udgået fra mave-tarm-kanalen eller lungerne hos voksne med progressiv sygdom (se pkt. 4.4 og 5.1).</w:t>
      </w:r>
    </w:p>
    <w:p w:rsidR="000433C9" w:rsidRDefault="000433C9" w:rsidP="000433C9">
      <w:pPr>
        <w:tabs>
          <w:tab w:val="left" w:pos="851"/>
        </w:tabs>
        <w:ind w:left="851"/>
        <w:rPr>
          <w:sz w:val="24"/>
          <w:szCs w:val="24"/>
        </w:rPr>
      </w:pPr>
    </w:p>
    <w:p w:rsidR="000433C9" w:rsidRDefault="000433C9" w:rsidP="000433C9">
      <w:pPr>
        <w:pStyle w:val="Brdtekst"/>
        <w:spacing w:before="1"/>
        <w:ind w:left="298" w:firstLine="553"/>
        <w:rPr>
          <w:sz w:val="24"/>
          <w:szCs w:val="24"/>
          <w:lang w:val="da-DK"/>
        </w:rPr>
      </w:pPr>
      <w:r>
        <w:rPr>
          <w:sz w:val="24"/>
          <w:szCs w:val="24"/>
          <w:u w:val="single"/>
          <w:lang w:val="da-DK"/>
        </w:rPr>
        <w:t>Renal angiomyolipom i forbindelse med tuberøst sklerosekompleks (TSC)</w:t>
      </w:r>
    </w:p>
    <w:p w:rsidR="000433C9" w:rsidRDefault="000433C9" w:rsidP="000433C9">
      <w:pPr>
        <w:pStyle w:val="Brdtekst"/>
        <w:ind w:left="851" w:right="-1"/>
        <w:rPr>
          <w:sz w:val="24"/>
          <w:szCs w:val="24"/>
          <w:lang w:val="da-DK"/>
        </w:rPr>
      </w:pPr>
      <w:r>
        <w:rPr>
          <w:noProof/>
        </w:rPr>
        <mc:AlternateContent>
          <mc:Choice Requires="wps">
            <w:drawing>
              <wp:anchor distT="0" distB="0" distL="114300" distR="114300" simplePos="0" relativeHeight="251683840" behindDoc="1" locked="0" layoutInCell="1" allowOverlap="1">
                <wp:simplePos x="0" y="0"/>
                <wp:positionH relativeFrom="page">
                  <wp:posOffset>6309360</wp:posOffset>
                </wp:positionH>
                <wp:positionV relativeFrom="paragraph">
                  <wp:posOffset>203835</wp:posOffset>
                </wp:positionV>
                <wp:extent cx="34925" cy="6350"/>
                <wp:effectExtent l="0" t="0" r="0" b="0"/>
                <wp:wrapNone/>
                <wp:docPr id="1864985755" name="Rektangel 1864985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FC1E" id="Rektangel 1864985755" o:spid="_x0000_s1026" style="position:absolute;margin-left:496.8pt;margin-top:16.05pt;width:2.75pt;height:.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" fillcolor="black" stroked="f">
                <w10:wrap anchorx="page"/>
              </v:rect>
            </w:pict>
          </mc:Fallback>
        </mc:AlternateContent>
      </w:r>
      <w:r>
        <w:rPr>
          <w:sz w:val="24"/>
          <w:szCs w:val="24"/>
          <w:lang w:val="da-DK"/>
        </w:rPr>
        <w:t>Everolimus "Teva" er indiceret til behandling af voksne patienter med renal angiomyolipom i tilknytning til TSC med risiko for komplikationer (baseret på faktorer som f.eks. tumorstørrelse eller tilstedeværelse af aneurisme eller af multiple eller bilaterale tumorer), men hvor umiddelbart indgreb ikke er påkrævet.</w:t>
      </w:r>
    </w:p>
    <w:p w:rsidR="000433C9" w:rsidRDefault="000433C9" w:rsidP="000433C9">
      <w:pPr>
        <w:pStyle w:val="Brdtekst"/>
        <w:ind w:left="851" w:right="-1"/>
        <w:rPr>
          <w:sz w:val="24"/>
          <w:szCs w:val="24"/>
          <w:lang w:val="da-DK"/>
        </w:rPr>
      </w:pPr>
      <w:r>
        <w:rPr>
          <w:sz w:val="24"/>
          <w:szCs w:val="24"/>
          <w:lang w:val="da-DK"/>
        </w:rPr>
        <w:t xml:space="preserve">Evidensen er baseret på analyse af ændringen i summen af angiomyolipom-volumen. </w:t>
      </w:r>
    </w:p>
    <w:p w:rsidR="000433C9" w:rsidRDefault="000433C9" w:rsidP="000433C9">
      <w:pPr>
        <w:pStyle w:val="Brdtekst"/>
        <w:ind w:left="851" w:right="-1"/>
        <w:rPr>
          <w:sz w:val="24"/>
          <w:szCs w:val="24"/>
          <w:lang w:val="da-DK"/>
        </w:rPr>
      </w:pPr>
    </w:p>
    <w:p w:rsidR="000433C9" w:rsidRDefault="000433C9" w:rsidP="000433C9">
      <w:pPr>
        <w:pStyle w:val="Brdtekst"/>
        <w:ind w:left="851" w:right="-1"/>
        <w:rPr>
          <w:sz w:val="24"/>
          <w:szCs w:val="24"/>
          <w:u w:val="single"/>
          <w:lang w:val="da-DK"/>
        </w:rPr>
      </w:pPr>
      <w:r>
        <w:rPr>
          <w:sz w:val="24"/>
          <w:szCs w:val="24"/>
          <w:u w:val="single"/>
          <w:lang w:val="da-DK"/>
        </w:rPr>
        <w:t>Subependymalt kæmpecelle-astrocytom (SEGA) i tilknytning til TSC</w:t>
      </w:r>
    </w:p>
    <w:p w:rsidR="000433C9" w:rsidRDefault="000433C9" w:rsidP="000433C9">
      <w:pPr>
        <w:pStyle w:val="Brdtekst"/>
        <w:ind w:left="851" w:right="-1"/>
        <w:rPr>
          <w:sz w:val="24"/>
          <w:szCs w:val="24"/>
          <w:lang w:val="da-DK"/>
        </w:rPr>
      </w:pPr>
      <w:r>
        <w:rPr>
          <w:sz w:val="24"/>
          <w:szCs w:val="24"/>
          <w:lang w:val="da-DK"/>
        </w:rPr>
        <w:t>Everolimus "Teva" er indiceret til behandling af voksne og pædiatriske patienter med SEGA i tilknytning til TSC, som kræver terapeutisk intervention, men som ikke er egnet til operation.</w:t>
      </w:r>
    </w:p>
    <w:p w:rsidR="000433C9" w:rsidRDefault="000433C9" w:rsidP="000433C9">
      <w:pPr>
        <w:tabs>
          <w:tab w:val="left" w:pos="851"/>
        </w:tabs>
        <w:ind w:left="851"/>
        <w:rPr>
          <w:sz w:val="24"/>
          <w:szCs w:val="24"/>
        </w:rPr>
      </w:pPr>
      <w:r>
        <w:rPr>
          <w:sz w:val="24"/>
          <w:szCs w:val="24"/>
        </w:rPr>
        <w:t>Evidensen er baseret på analyse af ændringen i SEGA-volumen. Der er ikke påvist nogen yderligere klinisk fordel, såsom forbedring i sygdoms-relaterede symptomer.</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4.2</w:t>
      </w:r>
      <w:r w:rsidRPr="00C84483">
        <w:rPr>
          <w:b/>
          <w:sz w:val="24"/>
          <w:szCs w:val="24"/>
        </w:rPr>
        <w:tab/>
        <w:t xml:space="preserve">Dosering og </w:t>
      </w:r>
      <w:r w:rsidR="001F7B20">
        <w:rPr>
          <w:b/>
          <w:sz w:val="24"/>
          <w:szCs w:val="24"/>
        </w:rPr>
        <w:t>administration</w:t>
      </w:r>
    </w:p>
    <w:p w:rsidR="000433C9" w:rsidRDefault="000433C9" w:rsidP="003760D5">
      <w:pPr>
        <w:pStyle w:val="Default"/>
        <w:ind w:left="851"/>
        <w:rPr>
          <w:b/>
          <w:bCs/>
          <w:i/>
          <w:iCs/>
        </w:rPr>
      </w:pPr>
    </w:p>
    <w:p w:rsidR="000433C9" w:rsidRDefault="000433C9" w:rsidP="000433C9">
      <w:pPr>
        <w:pStyle w:val="Default"/>
        <w:ind w:left="851"/>
      </w:pPr>
      <w:r>
        <w:rPr>
          <w:b/>
          <w:bCs/>
          <w:i/>
          <w:iCs/>
        </w:rPr>
        <w:t>Neuroendokrine tumorer</w:t>
      </w:r>
    </w:p>
    <w:p w:rsidR="003760D5" w:rsidRPr="00372959" w:rsidRDefault="003760D5" w:rsidP="003760D5">
      <w:pPr>
        <w:pStyle w:val="Default"/>
        <w:ind w:left="851"/>
      </w:pPr>
      <w:r w:rsidRPr="00372959">
        <w:t xml:space="preserve">Behandling med </w:t>
      </w:r>
      <w:r>
        <w:t>Everolimus "Teva"</w:t>
      </w:r>
      <w:r w:rsidRPr="00372959">
        <w:t xml:space="preserve"> bør initieres og superviseres af læger med erfaring inden for kræftbehandling.</w:t>
      </w:r>
    </w:p>
    <w:p w:rsidR="003760D5" w:rsidRPr="00372959" w:rsidRDefault="003760D5" w:rsidP="003760D5">
      <w:pPr>
        <w:pStyle w:val="Default"/>
        <w:ind w:left="851"/>
      </w:pPr>
    </w:p>
    <w:p w:rsidR="003760D5" w:rsidRPr="00B305B1" w:rsidRDefault="003760D5" w:rsidP="003760D5">
      <w:pPr>
        <w:pStyle w:val="Default"/>
        <w:ind w:left="851"/>
        <w:rPr>
          <w:b/>
        </w:rPr>
      </w:pPr>
      <w:r w:rsidRPr="00B305B1">
        <w:rPr>
          <w:b/>
        </w:rPr>
        <w:t>Dosering</w:t>
      </w:r>
    </w:p>
    <w:p w:rsidR="003760D5" w:rsidRPr="00372959" w:rsidRDefault="003760D5" w:rsidP="003760D5">
      <w:pPr>
        <w:pStyle w:val="Default"/>
        <w:ind w:left="851"/>
      </w:pPr>
      <w:r>
        <w:t>Everolimus "Teva"</w:t>
      </w:r>
      <w:r w:rsidRPr="00372959">
        <w:t xml:space="preserve"> er tilgængelig i 2,5 mg, 5 mg og 10 mg tabletter til forskellige doseringsmuligheder.</w:t>
      </w:r>
    </w:p>
    <w:p w:rsidR="003760D5" w:rsidRPr="00372959" w:rsidRDefault="003760D5" w:rsidP="003760D5">
      <w:pPr>
        <w:pStyle w:val="Default"/>
        <w:ind w:left="851"/>
      </w:pPr>
    </w:p>
    <w:p w:rsidR="003760D5" w:rsidRPr="00372959" w:rsidRDefault="003760D5" w:rsidP="003760D5">
      <w:pPr>
        <w:pStyle w:val="Default"/>
        <w:ind w:left="851"/>
      </w:pPr>
      <w:r w:rsidRPr="00372959">
        <w:t xml:space="preserve">Den anbefalede dosis er 10 mg everolimus en gang </w:t>
      </w:r>
      <w:r>
        <w:t>daglig</w:t>
      </w:r>
      <w:r w:rsidRPr="00372959">
        <w:t xml:space="preserve">. Behandlingen skal fortsættes, så længe der observeres en klinisk gavnlig effekt, eller indtil der opstår uacceptabel toksicitet. </w:t>
      </w:r>
    </w:p>
    <w:p w:rsidR="003760D5" w:rsidRPr="00372959" w:rsidRDefault="003760D5" w:rsidP="003760D5">
      <w:pPr>
        <w:pStyle w:val="Default"/>
        <w:ind w:left="851"/>
      </w:pPr>
    </w:p>
    <w:p w:rsidR="003760D5" w:rsidRPr="00372959" w:rsidRDefault="003760D5" w:rsidP="003760D5">
      <w:pPr>
        <w:tabs>
          <w:tab w:val="left" w:pos="851"/>
        </w:tabs>
        <w:ind w:left="851"/>
        <w:rPr>
          <w:szCs w:val="24"/>
        </w:rPr>
      </w:pPr>
      <w:r w:rsidRPr="00372959">
        <w:rPr>
          <w:szCs w:val="24"/>
        </w:rPr>
        <w:t>Hvis en dosis glemmes, må patienten ikke tage en ekstra dosis, men skal tage den næste ordinerede dosis som sædvanligt.</w:t>
      </w:r>
    </w:p>
    <w:p w:rsidR="003760D5" w:rsidRPr="00372959" w:rsidRDefault="003760D5" w:rsidP="003760D5">
      <w:pPr>
        <w:tabs>
          <w:tab w:val="left" w:pos="851"/>
        </w:tabs>
        <w:ind w:left="851"/>
        <w:rPr>
          <w:szCs w:val="24"/>
        </w:rPr>
      </w:pPr>
    </w:p>
    <w:p w:rsidR="003760D5" w:rsidRPr="00337ABB" w:rsidRDefault="003760D5" w:rsidP="003760D5">
      <w:pPr>
        <w:pStyle w:val="Default"/>
        <w:ind w:left="851"/>
        <w:rPr>
          <w:u w:val="single"/>
        </w:rPr>
      </w:pPr>
      <w:r w:rsidRPr="00337ABB">
        <w:rPr>
          <w:iCs/>
          <w:u w:val="single"/>
        </w:rPr>
        <w:t xml:space="preserve">Dosisjustering som følge af bivirkninger </w:t>
      </w:r>
    </w:p>
    <w:p w:rsidR="003760D5" w:rsidRPr="00372959" w:rsidRDefault="003760D5" w:rsidP="003760D5">
      <w:pPr>
        <w:pStyle w:val="Default"/>
        <w:ind w:left="851"/>
      </w:pPr>
      <w:r w:rsidRPr="00372959">
        <w:lastRenderedPageBreak/>
        <w:t xml:space="preserve">Ved svære og/eller uacceptable bivirkninger kan dosisreduktion og/eller midlertidig afbrydelse af behandlingen være påkrævet. Dosisjustering er normalt ikke påkrævet ved bivirkninger af Grad 1. Hvis dosisreduktion er nødvendig, er den anbefalede dosis 5 mg daglig, og den må ikke være lavere end 5 mg daglig. </w:t>
      </w:r>
    </w:p>
    <w:p w:rsidR="003760D5" w:rsidRPr="00372959" w:rsidRDefault="003760D5" w:rsidP="003760D5">
      <w:pPr>
        <w:pStyle w:val="Default"/>
        <w:ind w:left="851"/>
      </w:pPr>
    </w:p>
    <w:p w:rsidR="003760D5" w:rsidRDefault="003760D5" w:rsidP="000433C9">
      <w:pPr>
        <w:pStyle w:val="Default"/>
        <w:ind w:left="851"/>
      </w:pPr>
      <w:r w:rsidRPr="00372959">
        <w:t xml:space="preserve">Tabel 1 opsummerer anbefalingerne for dosisjustering ved specifikke bivirkninger (se også pkt. 4.4) </w:t>
      </w:r>
    </w:p>
    <w:p w:rsidR="003760D5" w:rsidRPr="001851B3" w:rsidRDefault="003760D5" w:rsidP="000433C9">
      <w:pPr>
        <w:pStyle w:val="Default"/>
      </w:pPr>
    </w:p>
    <w:p w:rsidR="003760D5" w:rsidRPr="001851B3" w:rsidRDefault="003760D5" w:rsidP="003760D5">
      <w:pPr>
        <w:tabs>
          <w:tab w:val="left" w:pos="851"/>
        </w:tabs>
        <w:ind w:left="851"/>
        <w:rPr>
          <w:b/>
          <w:bCs/>
          <w:sz w:val="24"/>
          <w:szCs w:val="24"/>
        </w:rPr>
      </w:pPr>
      <w:r w:rsidRPr="001851B3">
        <w:rPr>
          <w:b/>
          <w:bCs/>
          <w:sz w:val="24"/>
          <w:szCs w:val="24"/>
        </w:rPr>
        <w:t xml:space="preserve">Tabel 1. Anbefalinger for dosisjustering af </w:t>
      </w:r>
      <w:r w:rsidR="000433C9">
        <w:rPr>
          <w:b/>
          <w:bCs/>
          <w:sz w:val="24"/>
          <w:szCs w:val="24"/>
        </w:rPr>
        <w:t>e</w:t>
      </w:r>
      <w:r w:rsidRPr="001851B3">
        <w:rPr>
          <w:b/>
          <w:bCs/>
          <w:sz w:val="24"/>
          <w:szCs w:val="24"/>
        </w:rPr>
        <w:t>verolimus</w:t>
      </w:r>
    </w:p>
    <w:p w:rsidR="003760D5" w:rsidRPr="001851B3" w:rsidRDefault="003760D5" w:rsidP="003760D5">
      <w:pPr>
        <w:tabs>
          <w:tab w:val="left" w:pos="851"/>
        </w:tabs>
        <w:ind w:left="851"/>
        <w:rPr>
          <w:sz w:val="24"/>
          <w:szCs w:val="24"/>
        </w:rPr>
      </w:pPr>
    </w:p>
    <w:tbl>
      <w:tblPr>
        <w:tblW w:w="9292" w:type="dxa"/>
        <w:tblInd w:w="99" w:type="dxa"/>
        <w:tblLayout w:type="fixed"/>
        <w:tblCellMar>
          <w:left w:w="0" w:type="dxa"/>
          <w:right w:w="0" w:type="dxa"/>
        </w:tblCellMar>
        <w:tblLook w:val="01E0" w:firstRow="1" w:lastRow="1" w:firstColumn="1" w:lastColumn="1" w:noHBand="0" w:noVBand="0"/>
      </w:tblPr>
      <w:tblGrid>
        <w:gridCol w:w="1986"/>
        <w:gridCol w:w="1890"/>
        <w:gridCol w:w="5416"/>
      </w:tblGrid>
      <w:tr w:rsidR="003760D5" w:rsidRPr="00372959" w:rsidTr="00B47874">
        <w:trPr>
          <w:trHeight w:hRule="exact" w:val="269"/>
        </w:trPr>
        <w:tc>
          <w:tcPr>
            <w:tcW w:w="1986" w:type="dxa"/>
            <w:tcBorders>
              <w:top w:val="single" w:sz="4" w:space="0" w:color="000000"/>
              <w:left w:val="single" w:sz="5"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b/>
                <w:bCs/>
                <w:spacing w:val="-1"/>
                <w:szCs w:val="22"/>
              </w:rPr>
              <w:t>Bivirkninger</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b/>
                <w:bCs/>
                <w:spacing w:val="-1"/>
                <w:szCs w:val="22"/>
              </w:rPr>
              <w:t>Sværhedsgrad</w:t>
            </w:r>
            <w:r w:rsidRPr="00372959">
              <w:rPr>
                <w:b/>
                <w:bCs/>
                <w:spacing w:val="-1"/>
                <w:szCs w:val="22"/>
                <w:vertAlign w:val="superscript"/>
              </w:rPr>
              <w:t>1</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jc w:val="center"/>
              <w:rPr>
                <w:szCs w:val="22"/>
              </w:rPr>
            </w:pPr>
            <w:r w:rsidRPr="00372959">
              <w:rPr>
                <w:b/>
                <w:bCs/>
                <w:spacing w:val="-1"/>
                <w:szCs w:val="22"/>
              </w:rPr>
              <w:t xml:space="preserve">Dosisjustering af </w:t>
            </w:r>
            <w:r w:rsidR="000433C9">
              <w:rPr>
                <w:b/>
                <w:bCs/>
                <w:spacing w:val="-1"/>
                <w:szCs w:val="22"/>
              </w:rPr>
              <w:t>e</w:t>
            </w:r>
            <w:r>
              <w:rPr>
                <w:b/>
                <w:bCs/>
                <w:spacing w:val="-1"/>
                <w:szCs w:val="22"/>
              </w:rPr>
              <w:t>verolimus</w:t>
            </w:r>
          </w:p>
        </w:tc>
      </w:tr>
      <w:tr w:rsidR="003760D5" w:rsidRPr="00372959" w:rsidTr="00B47874">
        <w:trPr>
          <w:trHeight w:hRule="exact" w:val="1535"/>
        </w:trPr>
        <w:tc>
          <w:tcPr>
            <w:tcW w:w="1986" w:type="dxa"/>
            <w:vMerge w:val="restart"/>
            <w:tcBorders>
              <w:top w:val="single" w:sz="4" w:space="0" w:color="000000"/>
              <w:left w:val="single" w:sz="5" w:space="0" w:color="000000"/>
              <w:right w:val="single" w:sz="4" w:space="0" w:color="000000"/>
            </w:tcBorders>
          </w:tcPr>
          <w:p w:rsidR="003760D5" w:rsidRPr="00372959" w:rsidRDefault="003760D5" w:rsidP="00B47874">
            <w:pPr>
              <w:ind w:left="49" w:right="94"/>
              <w:rPr>
                <w:szCs w:val="22"/>
              </w:rPr>
            </w:pPr>
            <w:r w:rsidRPr="00372959">
              <w:rPr>
                <w:szCs w:val="24"/>
              </w:rPr>
              <w:t>Non-</w:t>
            </w:r>
            <w:proofErr w:type="gramStart"/>
            <w:r w:rsidRPr="00372959">
              <w:rPr>
                <w:szCs w:val="24"/>
              </w:rPr>
              <w:t xml:space="preserve">infektiøs </w:t>
            </w:r>
            <w:r w:rsidRPr="00372959">
              <w:rPr>
                <w:szCs w:val="22"/>
              </w:rPr>
              <w:t>pneu</w:t>
            </w:r>
            <w:r w:rsidRPr="00372959">
              <w:rPr>
                <w:spacing w:val="-3"/>
                <w:szCs w:val="22"/>
              </w:rPr>
              <w:t>m</w:t>
            </w:r>
            <w:r w:rsidRPr="00372959">
              <w:rPr>
                <w:szCs w:val="22"/>
              </w:rPr>
              <w:t>on</w:t>
            </w:r>
            <w:r w:rsidRPr="00372959">
              <w:rPr>
                <w:spacing w:val="1"/>
                <w:szCs w:val="22"/>
              </w:rPr>
              <w:t>iti</w:t>
            </w:r>
            <w:r w:rsidRPr="00372959">
              <w:rPr>
                <w:szCs w:val="22"/>
              </w:rPr>
              <w:t>s</w:t>
            </w:r>
            <w:proofErr w:type="gramEnd"/>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2</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Overvej pause i behandlingen, indtil symptomerne forbedres til Grad ≤1.</w:t>
            </w:r>
          </w:p>
          <w:p w:rsidR="003760D5" w:rsidRPr="00372959" w:rsidRDefault="003760D5" w:rsidP="00B47874">
            <w:pPr>
              <w:ind w:left="49" w:right="94"/>
              <w:rPr>
                <w:spacing w:val="-1"/>
                <w:szCs w:val="22"/>
              </w:rPr>
            </w:pPr>
            <w:r w:rsidRPr="00372959">
              <w:rPr>
                <w:spacing w:val="-1"/>
                <w:szCs w:val="22"/>
              </w:rPr>
              <w:t>Genoptag behandlingen med 5 mg daglig.</w:t>
            </w:r>
          </w:p>
          <w:p w:rsidR="003760D5" w:rsidRPr="00372959" w:rsidRDefault="003760D5" w:rsidP="00B47874">
            <w:pPr>
              <w:ind w:left="49" w:right="94"/>
              <w:rPr>
                <w:spacing w:val="-1"/>
                <w:szCs w:val="22"/>
              </w:rPr>
            </w:pPr>
            <w:r w:rsidRPr="00372959">
              <w:rPr>
                <w:spacing w:val="-1"/>
                <w:szCs w:val="22"/>
              </w:rPr>
              <w:t>Seponer behandlingen, hvis der ikke registreres en bedring inden for 4 uger.</w:t>
            </w:r>
          </w:p>
        </w:tc>
      </w:tr>
      <w:tr w:rsidR="003760D5" w:rsidRPr="00372959" w:rsidTr="00B47874">
        <w:trPr>
          <w:trHeight w:hRule="exact" w:val="1557"/>
        </w:trPr>
        <w:tc>
          <w:tcPr>
            <w:tcW w:w="1986" w:type="dxa"/>
            <w:vMerge/>
            <w:tcBorders>
              <w:left w:val="single" w:sz="5"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Afbryd behandlingen, indtil symptomerne forbedres til Grad ≤1.</w:t>
            </w:r>
          </w:p>
          <w:p w:rsidR="003760D5" w:rsidRPr="00372959" w:rsidRDefault="003760D5" w:rsidP="00B47874">
            <w:pPr>
              <w:ind w:left="49" w:right="94"/>
              <w:rPr>
                <w:spacing w:val="-1"/>
                <w:szCs w:val="22"/>
              </w:rPr>
            </w:pPr>
            <w:r>
              <w:rPr>
                <w:spacing w:val="-1"/>
                <w:szCs w:val="22"/>
              </w:rPr>
              <w:t>Overvej at g</w:t>
            </w:r>
            <w:r w:rsidRPr="00372959">
              <w:rPr>
                <w:spacing w:val="-1"/>
                <w:szCs w:val="22"/>
              </w:rPr>
              <w:t>enoptag</w:t>
            </w:r>
            <w:r>
              <w:rPr>
                <w:spacing w:val="-1"/>
                <w:szCs w:val="22"/>
              </w:rPr>
              <w:t>e</w:t>
            </w:r>
            <w:r w:rsidRPr="00372959">
              <w:rPr>
                <w:spacing w:val="-1"/>
                <w:szCs w:val="22"/>
              </w:rPr>
              <w:t xml:space="preserve"> behandlingen med 5 mg daglig.</w:t>
            </w:r>
          </w:p>
          <w:p w:rsidR="003760D5" w:rsidRPr="00372959" w:rsidRDefault="003760D5" w:rsidP="00B47874">
            <w:pPr>
              <w:ind w:left="49" w:right="94"/>
              <w:rPr>
                <w:spacing w:val="-1"/>
                <w:szCs w:val="22"/>
              </w:rPr>
            </w:pPr>
            <w:r w:rsidRPr="00372959">
              <w:rPr>
                <w:spacing w:val="-1"/>
                <w:szCs w:val="22"/>
              </w:rPr>
              <w:t>Hvis der igen opstår toksicitet af Grad 3, skal seponering overvejes.</w:t>
            </w:r>
          </w:p>
        </w:tc>
      </w:tr>
      <w:tr w:rsidR="003760D5" w:rsidRPr="00372959" w:rsidTr="00B47874">
        <w:trPr>
          <w:trHeight w:hRule="exact" w:val="431"/>
        </w:trPr>
        <w:tc>
          <w:tcPr>
            <w:tcW w:w="1986" w:type="dxa"/>
            <w:vMerge/>
            <w:tcBorders>
              <w:left w:val="single" w:sz="5"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4</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Seponer behandlingen.</w:t>
            </w:r>
          </w:p>
        </w:tc>
      </w:tr>
      <w:tr w:rsidR="003760D5" w:rsidRPr="00372959" w:rsidTr="00B47874">
        <w:trPr>
          <w:trHeight w:hRule="exact" w:val="1840"/>
        </w:trPr>
        <w:tc>
          <w:tcPr>
            <w:tcW w:w="1986" w:type="dxa"/>
            <w:vMerge w:val="restart"/>
            <w:tcBorders>
              <w:top w:val="single" w:sz="4" w:space="0" w:color="000000"/>
              <w:left w:val="single" w:sz="5" w:space="0" w:color="000000"/>
              <w:right w:val="single" w:sz="4" w:space="0" w:color="000000"/>
            </w:tcBorders>
          </w:tcPr>
          <w:p w:rsidR="003760D5" w:rsidRPr="00372959" w:rsidRDefault="003760D5" w:rsidP="00B47874">
            <w:pPr>
              <w:ind w:left="49" w:right="94"/>
              <w:rPr>
                <w:szCs w:val="22"/>
              </w:rPr>
            </w:pPr>
            <w:r w:rsidRPr="00372959">
              <w:rPr>
                <w:szCs w:val="22"/>
              </w:rPr>
              <w:t>Sto</w:t>
            </w:r>
            <w:r w:rsidRPr="00372959">
              <w:rPr>
                <w:spacing w:val="-3"/>
                <w:szCs w:val="22"/>
              </w:rPr>
              <w:t>m</w:t>
            </w:r>
            <w:r w:rsidRPr="00372959">
              <w:rPr>
                <w:szCs w:val="22"/>
              </w:rPr>
              <w:t>a</w:t>
            </w:r>
            <w:r w:rsidRPr="00372959">
              <w:rPr>
                <w:spacing w:val="1"/>
                <w:szCs w:val="22"/>
              </w:rPr>
              <w:t>titi</w:t>
            </w:r>
            <w:r w:rsidRPr="00372959">
              <w:rPr>
                <w:szCs w:val="22"/>
              </w:rPr>
              <w:t>s</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2</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 xml:space="preserve">Midlertidig behandlingspause indtil bedring til </w:t>
            </w:r>
          </w:p>
          <w:p w:rsidR="003760D5" w:rsidRPr="00372959" w:rsidRDefault="003760D5" w:rsidP="00B47874">
            <w:pPr>
              <w:ind w:left="49" w:right="94"/>
              <w:rPr>
                <w:spacing w:val="-1"/>
                <w:szCs w:val="22"/>
              </w:rPr>
            </w:pPr>
            <w:r w:rsidRPr="00372959">
              <w:rPr>
                <w:spacing w:val="-1"/>
                <w:szCs w:val="22"/>
              </w:rPr>
              <w:t>Grad ≤1.</w:t>
            </w:r>
          </w:p>
          <w:p w:rsidR="003760D5" w:rsidRPr="00372959" w:rsidRDefault="003760D5" w:rsidP="00B47874">
            <w:pPr>
              <w:ind w:left="49" w:right="94"/>
              <w:rPr>
                <w:spacing w:val="-1"/>
                <w:szCs w:val="22"/>
              </w:rPr>
            </w:pPr>
            <w:r w:rsidRPr="00372959">
              <w:rPr>
                <w:spacing w:val="-1"/>
                <w:szCs w:val="22"/>
              </w:rPr>
              <w:t>Genoptag behandlingen ved sam</w:t>
            </w:r>
            <w:r>
              <w:rPr>
                <w:spacing w:val="-1"/>
                <w:szCs w:val="22"/>
              </w:rPr>
              <w:t>m</w:t>
            </w:r>
            <w:r w:rsidRPr="00372959">
              <w:rPr>
                <w:spacing w:val="-1"/>
                <w:szCs w:val="22"/>
              </w:rPr>
              <w:t>e dosis.</w:t>
            </w:r>
          </w:p>
          <w:p w:rsidR="003760D5" w:rsidRPr="00372959" w:rsidRDefault="003760D5" w:rsidP="00B47874">
            <w:pPr>
              <w:ind w:left="49" w:right="94"/>
              <w:rPr>
                <w:spacing w:val="-1"/>
                <w:szCs w:val="22"/>
              </w:rPr>
            </w:pPr>
            <w:r w:rsidRPr="00372959">
              <w:rPr>
                <w:spacing w:val="-1"/>
                <w:szCs w:val="22"/>
              </w:rPr>
              <w:t>Hvis stomatitis recidiverer ved Grad 2, afbrydes behandlingen indtil bedring til Grad≤1. Genoptag behandlingen med 5 mg daglig.</w:t>
            </w:r>
          </w:p>
        </w:tc>
      </w:tr>
      <w:tr w:rsidR="003760D5" w:rsidRPr="000F525C" w:rsidTr="00B47874">
        <w:trPr>
          <w:trHeight w:hRule="exact" w:val="542"/>
        </w:trPr>
        <w:tc>
          <w:tcPr>
            <w:tcW w:w="1986" w:type="dxa"/>
            <w:vMerge/>
            <w:tcBorders>
              <w:left w:val="single" w:sz="5"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 xml:space="preserve">Midlertidig behandlingspause indtil bedring til Grad ≤1. Genoptag behandlingen med 5 mg daglig. </w:t>
            </w:r>
          </w:p>
          <w:p w:rsidR="003760D5" w:rsidRPr="0063677C" w:rsidRDefault="003760D5" w:rsidP="00B47874">
            <w:pPr>
              <w:ind w:left="49" w:right="94"/>
              <w:rPr>
                <w:spacing w:val="-1"/>
                <w:szCs w:val="22"/>
                <w:lang w:val="en-US"/>
              </w:rPr>
            </w:pPr>
            <w:r w:rsidRPr="0063677C">
              <w:rPr>
                <w:spacing w:val="-1"/>
                <w:szCs w:val="22"/>
                <w:lang w:val="en-US"/>
              </w:rPr>
              <w:t>Re-initiate treatment at 5 mg daily.</w:t>
            </w:r>
          </w:p>
        </w:tc>
      </w:tr>
      <w:tr w:rsidR="003760D5" w:rsidRPr="00372959" w:rsidTr="00B47874">
        <w:trPr>
          <w:trHeight w:hRule="exact" w:val="442"/>
        </w:trPr>
        <w:tc>
          <w:tcPr>
            <w:tcW w:w="1986" w:type="dxa"/>
            <w:vMerge/>
            <w:tcBorders>
              <w:left w:val="single" w:sz="5" w:space="0" w:color="000000"/>
              <w:bottom w:val="single" w:sz="4" w:space="0" w:color="000000"/>
              <w:right w:val="single" w:sz="4" w:space="0" w:color="000000"/>
            </w:tcBorders>
          </w:tcPr>
          <w:p w:rsidR="003760D5" w:rsidRPr="0063677C" w:rsidRDefault="003760D5" w:rsidP="00B47874">
            <w:pPr>
              <w:ind w:left="49" w:right="94"/>
              <w:rPr>
                <w:szCs w:val="22"/>
                <w:lang w:val="en-US"/>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4</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Seponer behandlingen.</w:t>
            </w:r>
          </w:p>
        </w:tc>
      </w:tr>
      <w:tr w:rsidR="003760D5" w:rsidRPr="00372959" w:rsidTr="00B47874">
        <w:trPr>
          <w:trHeight w:hRule="exact" w:val="2291"/>
        </w:trPr>
        <w:tc>
          <w:tcPr>
            <w:tcW w:w="1986" w:type="dxa"/>
            <w:vMerge w:val="restart"/>
            <w:tcBorders>
              <w:top w:val="single" w:sz="4" w:space="0" w:color="000000"/>
              <w:left w:val="single" w:sz="5" w:space="0" w:color="000000"/>
              <w:right w:val="single" w:sz="4" w:space="0" w:color="000000"/>
            </w:tcBorders>
          </w:tcPr>
          <w:p w:rsidR="003760D5" w:rsidRPr="00372959" w:rsidRDefault="003760D5" w:rsidP="00B47874">
            <w:pPr>
              <w:ind w:left="49" w:right="94"/>
              <w:rPr>
                <w:szCs w:val="22"/>
              </w:rPr>
            </w:pPr>
            <w:r w:rsidRPr="00372959">
              <w:rPr>
                <w:spacing w:val="-1"/>
                <w:szCs w:val="22"/>
              </w:rPr>
              <w:t xml:space="preserve">Anden </w:t>
            </w:r>
            <w:r w:rsidRPr="00372959">
              <w:rPr>
                <w:szCs w:val="22"/>
              </w:rPr>
              <w:t>non</w:t>
            </w:r>
            <w:r w:rsidRPr="00372959">
              <w:rPr>
                <w:spacing w:val="-4"/>
                <w:szCs w:val="22"/>
              </w:rPr>
              <w:t>-</w:t>
            </w:r>
            <w:r w:rsidRPr="00372959">
              <w:rPr>
                <w:szCs w:val="22"/>
              </w:rPr>
              <w:t>hæ</w:t>
            </w:r>
            <w:r w:rsidRPr="00372959">
              <w:rPr>
                <w:spacing w:val="-3"/>
                <w:szCs w:val="22"/>
              </w:rPr>
              <w:t>m</w:t>
            </w:r>
            <w:r w:rsidRPr="00372959">
              <w:rPr>
                <w:szCs w:val="22"/>
              </w:rPr>
              <w:t>a</w:t>
            </w:r>
            <w:r w:rsidRPr="00372959">
              <w:rPr>
                <w:spacing w:val="1"/>
                <w:szCs w:val="22"/>
              </w:rPr>
              <w:t>t</w:t>
            </w:r>
            <w:r w:rsidRPr="00372959">
              <w:rPr>
                <w:szCs w:val="22"/>
              </w:rPr>
              <w:t>o</w:t>
            </w:r>
            <w:r w:rsidRPr="00372959">
              <w:rPr>
                <w:spacing w:val="1"/>
                <w:szCs w:val="22"/>
              </w:rPr>
              <w:t>l</w:t>
            </w:r>
            <w:r w:rsidRPr="00372959">
              <w:rPr>
                <w:szCs w:val="22"/>
              </w:rPr>
              <w:t>o</w:t>
            </w:r>
            <w:r w:rsidRPr="00372959">
              <w:rPr>
                <w:spacing w:val="-2"/>
                <w:szCs w:val="22"/>
              </w:rPr>
              <w:t>g</w:t>
            </w:r>
            <w:r w:rsidRPr="00372959">
              <w:rPr>
                <w:spacing w:val="1"/>
                <w:szCs w:val="22"/>
              </w:rPr>
              <w:t>isk</w:t>
            </w:r>
            <w:r w:rsidRPr="00372959">
              <w:rPr>
                <w:szCs w:val="22"/>
              </w:rPr>
              <w:t xml:space="preserve"> </w:t>
            </w:r>
            <w:r w:rsidRPr="00372959">
              <w:rPr>
                <w:spacing w:val="1"/>
                <w:szCs w:val="22"/>
              </w:rPr>
              <w:t>t</w:t>
            </w:r>
            <w:r w:rsidRPr="00372959">
              <w:rPr>
                <w:szCs w:val="22"/>
              </w:rPr>
              <w:t>oks</w:t>
            </w:r>
            <w:r w:rsidRPr="00372959">
              <w:rPr>
                <w:spacing w:val="1"/>
                <w:szCs w:val="22"/>
              </w:rPr>
              <w:t>i</w:t>
            </w:r>
            <w:r w:rsidRPr="00372959">
              <w:rPr>
                <w:szCs w:val="22"/>
              </w:rPr>
              <w:t>c</w:t>
            </w:r>
            <w:r w:rsidRPr="00372959">
              <w:rPr>
                <w:spacing w:val="1"/>
                <w:szCs w:val="22"/>
              </w:rPr>
              <w:t>itet</w:t>
            </w:r>
          </w:p>
          <w:p w:rsidR="003760D5" w:rsidRPr="00372959" w:rsidRDefault="003760D5" w:rsidP="00B47874">
            <w:pPr>
              <w:ind w:left="49" w:right="94"/>
              <w:rPr>
                <w:szCs w:val="22"/>
              </w:rPr>
            </w:pPr>
            <w:r w:rsidRPr="00372959">
              <w:rPr>
                <w:spacing w:val="1"/>
                <w:szCs w:val="22"/>
              </w:rPr>
              <w:t>(</w:t>
            </w:r>
            <w:r w:rsidRPr="00372959">
              <w:rPr>
                <w:szCs w:val="22"/>
              </w:rPr>
              <w:t>eksklusive metaboliske bivirkninger)</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2</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 xml:space="preserve">Hvis toksiciteten tolereres, er dosisjustering ikke nødvendig. </w:t>
            </w:r>
          </w:p>
          <w:p w:rsidR="003760D5" w:rsidRPr="00372959" w:rsidRDefault="003760D5" w:rsidP="00B47874">
            <w:pPr>
              <w:ind w:left="49" w:right="94"/>
              <w:rPr>
                <w:spacing w:val="-1"/>
                <w:szCs w:val="22"/>
              </w:rPr>
            </w:pPr>
            <w:r w:rsidRPr="00372959">
              <w:rPr>
                <w:spacing w:val="-1"/>
                <w:szCs w:val="22"/>
              </w:rPr>
              <w:t>Hvis toksiciteten ikke tolereres, sættes behandlingen på pause indtil bedring til grad≤1.</w:t>
            </w:r>
          </w:p>
          <w:p w:rsidR="003760D5" w:rsidRPr="00372959" w:rsidRDefault="003760D5" w:rsidP="00B47874">
            <w:pPr>
              <w:ind w:left="49" w:right="94"/>
              <w:rPr>
                <w:spacing w:val="-1"/>
                <w:szCs w:val="22"/>
              </w:rPr>
            </w:pPr>
            <w:r w:rsidRPr="00372959">
              <w:rPr>
                <w:spacing w:val="-1"/>
                <w:szCs w:val="22"/>
              </w:rPr>
              <w:t xml:space="preserve">Genoptag behandlingen ved samme dosis. </w:t>
            </w:r>
          </w:p>
          <w:p w:rsidR="003760D5" w:rsidRPr="00372959" w:rsidRDefault="003760D5" w:rsidP="00B47874">
            <w:pPr>
              <w:ind w:left="49" w:right="94"/>
              <w:rPr>
                <w:spacing w:val="-1"/>
                <w:szCs w:val="22"/>
              </w:rPr>
            </w:pPr>
            <w:r w:rsidRPr="00372959">
              <w:rPr>
                <w:spacing w:val="-1"/>
                <w:szCs w:val="22"/>
              </w:rPr>
              <w:t>Hvis toksicitet recidiverer ved Grad 2, afbrydes behandlingen indtil bedring til Grad ≤1.</w:t>
            </w:r>
          </w:p>
          <w:p w:rsidR="003760D5" w:rsidRPr="00372959" w:rsidRDefault="003760D5" w:rsidP="00B47874">
            <w:pPr>
              <w:ind w:left="49" w:right="94"/>
              <w:rPr>
                <w:spacing w:val="-1"/>
                <w:szCs w:val="22"/>
              </w:rPr>
            </w:pPr>
            <w:r w:rsidRPr="00372959">
              <w:rPr>
                <w:spacing w:val="-1"/>
                <w:szCs w:val="22"/>
              </w:rPr>
              <w:t xml:space="preserve">Genoptag behandlingen med 5 mg daglig. </w:t>
            </w:r>
          </w:p>
        </w:tc>
      </w:tr>
      <w:tr w:rsidR="003760D5" w:rsidRPr="00372959" w:rsidTr="00B47874">
        <w:trPr>
          <w:trHeight w:hRule="exact" w:val="1569"/>
        </w:trPr>
        <w:tc>
          <w:tcPr>
            <w:tcW w:w="1986" w:type="dxa"/>
            <w:vMerge/>
            <w:tcBorders>
              <w:left w:val="single" w:sz="5"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pacing w:val="-1"/>
                <w:szCs w:val="22"/>
              </w:rPr>
            </w:pPr>
            <w:r w:rsidRPr="00372959">
              <w:rPr>
                <w:spacing w:val="-1"/>
                <w:szCs w:val="22"/>
              </w:rPr>
              <w:t>Grad 3</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1"/>
                <w:szCs w:val="22"/>
              </w:rPr>
            </w:pPr>
            <w:r w:rsidRPr="00372959">
              <w:rPr>
                <w:spacing w:val="-1"/>
                <w:szCs w:val="22"/>
              </w:rPr>
              <w:t xml:space="preserve">Midlertidig behandlingspause indtil bedring til Grad ≤1. </w:t>
            </w:r>
          </w:p>
          <w:p w:rsidR="003760D5" w:rsidRPr="00372959" w:rsidRDefault="003760D5" w:rsidP="00B47874">
            <w:pPr>
              <w:ind w:left="49" w:right="94"/>
              <w:rPr>
                <w:spacing w:val="-1"/>
                <w:szCs w:val="22"/>
              </w:rPr>
            </w:pPr>
            <w:r w:rsidRPr="00372959">
              <w:rPr>
                <w:spacing w:val="-1"/>
                <w:szCs w:val="22"/>
              </w:rPr>
              <w:t xml:space="preserve">Overvej at genoptage behandlingen med 5 mg daglig. </w:t>
            </w:r>
          </w:p>
          <w:p w:rsidR="003760D5" w:rsidRPr="00372959" w:rsidRDefault="003760D5" w:rsidP="00B47874">
            <w:pPr>
              <w:ind w:left="49" w:right="94"/>
              <w:rPr>
                <w:spacing w:val="-1"/>
                <w:szCs w:val="22"/>
              </w:rPr>
            </w:pPr>
            <w:r w:rsidRPr="00372959">
              <w:rPr>
                <w:spacing w:val="-1"/>
                <w:szCs w:val="22"/>
              </w:rPr>
              <w:t xml:space="preserve">Hvis toksicitet recidiverer ved Grad 3, kan seponering overvejes. </w:t>
            </w:r>
          </w:p>
        </w:tc>
      </w:tr>
      <w:tr w:rsidR="003760D5" w:rsidRPr="00372959" w:rsidTr="00B47874">
        <w:trPr>
          <w:trHeight w:hRule="exact" w:val="269"/>
        </w:trPr>
        <w:tc>
          <w:tcPr>
            <w:tcW w:w="1986" w:type="dxa"/>
            <w:vMerge/>
            <w:tcBorders>
              <w:left w:val="single" w:sz="5"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4</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zCs w:val="22"/>
              </w:rPr>
            </w:pPr>
            <w:r w:rsidRPr="00372959">
              <w:rPr>
                <w:spacing w:val="-1"/>
                <w:szCs w:val="22"/>
              </w:rPr>
              <w:t>Seponer behandlingen.</w:t>
            </w:r>
          </w:p>
        </w:tc>
      </w:tr>
      <w:tr w:rsidR="003760D5" w:rsidRPr="00372959" w:rsidTr="00B47874">
        <w:trPr>
          <w:trHeight w:hRule="exact" w:val="742"/>
        </w:trPr>
        <w:tc>
          <w:tcPr>
            <w:tcW w:w="1986" w:type="dxa"/>
            <w:vMerge w:val="restart"/>
            <w:tcBorders>
              <w:top w:val="single" w:sz="4" w:space="0" w:color="000000"/>
              <w:left w:val="single" w:sz="5" w:space="0" w:color="000000"/>
              <w:right w:val="single" w:sz="4" w:space="0" w:color="000000"/>
            </w:tcBorders>
          </w:tcPr>
          <w:p w:rsidR="003760D5" w:rsidRPr="00372959" w:rsidRDefault="003760D5" w:rsidP="00B47874">
            <w:pPr>
              <w:ind w:left="49" w:right="94"/>
              <w:rPr>
                <w:szCs w:val="22"/>
              </w:rPr>
            </w:pPr>
            <w:r w:rsidRPr="00372959">
              <w:rPr>
                <w:szCs w:val="22"/>
              </w:rPr>
              <w:t>M</w:t>
            </w:r>
            <w:r w:rsidRPr="00372959">
              <w:rPr>
                <w:spacing w:val="1"/>
                <w:szCs w:val="22"/>
              </w:rPr>
              <w:t>et</w:t>
            </w:r>
            <w:r w:rsidRPr="00372959">
              <w:rPr>
                <w:szCs w:val="22"/>
              </w:rPr>
              <w:t>abo</w:t>
            </w:r>
            <w:r w:rsidRPr="00372959">
              <w:rPr>
                <w:spacing w:val="1"/>
                <w:szCs w:val="22"/>
              </w:rPr>
              <w:t>liske bivirkninger</w:t>
            </w:r>
            <w:r w:rsidRPr="00372959">
              <w:rPr>
                <w:szCs w:val="22"/>
              </w:rPr>
              <w:t xml:space="preserve"> </w:t>
            </w:r>
            <w:r w:rsidRPr="00372959">
              <w:rPr>
                <w:spacing w:val="1"/>
                <w:szCs w:val="22"/>
              </w:rPr>
              <w:t>(</w:t>
            </w:r>
            <w:r w:rsidRPr="00372959">
              <w:rPr>
                <w:szCs w:val="22"/>
              </w:rPr>
              <w:t xml:space="preserve">f.eks. </w:t>
            </w:r>
            <w:r w:rsidRPr="00372959">
              <w:rPr>
                <w:szCs w:val="22"/>
              </w:rPr>
              <w:lastRenderedPageBreak/>
              <w:t>h</w:t>
            </w:r>
            <w:r w:rsidRPr="00372959">
              <w:rPr>
                <w:spacing w:val="-2"/>
                <w:szCs w:val="22"/>
              </w:rPr>
              <w:t>y</w:t>
            </w:r>
            <w:r w:rsidRPr="00372959">
              <w:rPr>
                <w:szCs w:val="22"/>
              </w:rPr>
              <w:t>pe</w:t>
            </w:r>
            <w:r w:rsidRPr="00372959">
              <w:rPr>
                <w:spacing w:val="1"/>
                <w:szCs w:val="22"/>
              </w:rPr>
              <w:t>r</w:t>
            </w:r>
            <w:r w:rsidRPr="00372959">
              <w:rPr>
                <w:spacing w:val="-2"/>
                <w:szCs w:val="22"/>
              </w:rPr>
              <w:t>g</w:t>
            </w:r>
            <w:r w:rsidRPr="00372959">
              <w:rPr>
                <w:spacing w:val="1"/>
                <w:szCs w:val="22"/>
              </w:rPr>
              <w:t>l</w:t>
            </w:r>
            <w:r w:rsidRPr="00372959">
              <w:rPr>
                <w:spacing w:val="-2"/>
                <w:szCs w:val="22"/>
              </w:rPr>
              <w:t>y</w:t>
            </w:r>
            <w:r w:rsidRPr="00372959">
              <w:rPr>
                <w:spacing w:val="1"/>
                <w:szCs w:val="22"/>
              </w:rPr>
              <w:t>k</w:t>
            </w:r>
            <w:r w:rsidRPr="00372959">
              <w:rPr>
                <w:szCs w:val="22"/>
              </w:rPr>
              <w:t>æ</w:t>
            </w:r>
            <w:r w:rsidRPr="00372959">
              <w:rPr>
                <w:spacing w:val="-3"/>
                <w:szCs w:val="22"/>
              </w:rPr>
              <w:t>m</w:t>
            </w:r>
            <w:r w:rsidRPr="00372959">
              <w:rPr>
                <w:spacing w:val="1"/>
                <w:szCs w:val="22"/>
              </w:rPr>
              <w:t>i</w:t>
            </w:r>
            <w:r w:rsidRPr="00372959">
              <w:rPr>
                <w:szCs w:val="22"/>
              </w:rPr>
              <w:t>, d</w:t>
            </w:r>
            <w:r w:rsidRPr="00372959">
              <w:rPr>
                <w:spacing w:val="-2"/>
                <w:szCs w:val="22"/>
              </w:rPr>
              <w:t>y</w:t>
            </w:r>
            <w:r w:rsidRPr="00372959">
              <w:rPr>
                <w:szCs w:val="22"/>
              </w:rPr>
              <w:t>s</w:t>
            </w:r>
            <w:r w:rsidRPr="00372959">
              <w:rPr>
                <w:spacing w:val="1"/>
                <w:szCs w:val="22"/>
              </w:rPr>
              <w:t>li</w:t>
            </w:r>
            <w:r w:rsidRPr="00372959">
              <w:rPr>
                <w:szCs w:val="22"/>
              </w:rPr>
              <w:t>p</w:t>
            </w:r>
            <w:r w:rsidRPr="00372959">
              <w:rPr>
                <w:spacing w:val="1"/>
                <w:szCs w:val="22"/>
              </w:rPr>
              <w:t>i</w:t>
            </w:r>
            <w:r w:rsidRPr="00372959">
              <w:rPr>
                <w:szCs w:val="22"/>
              </w:rPr>
              <w:t>dæ</w:t>
            </w:r>
            <w:r w:rsidRPr="00372959">
              <w:rPr>
                <w:spacing w:val="-3"/>
                <w:szCs w:val="22"/>
              </w:rPr>
              <w:t>m</w:t>
            </w:r>
            <w:r w:rsidRPr="00372959">
              <w:rPr>
                <w:spacing w:val="1"/>
                <w:szCs w:val="22"/>
              </w:rPr>
              <w:t>i</w:t>
            </w:r>
            <w:r w:rsidRPr="00372959">
              <w:rPr>
                <w:szCs w:val="22"/>
              </w:rPr>
              <w:t>)</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lastRenderedPageBreak/>
              <w:t>G</w:t>
            </w:r>
            <w:r w:rsidRPr="00372959">
              <w:rPr>
                <w:spacing w:val="1"/>
                <w:szCs w:val="22"/>
              </w:rPr>
              <w:t>r</w:t>
            </w:r>
            <w:r w:rsidRPr="00372959">
              <w:rPr>
                <w:szCs w:val="22"/>
              </w:rPr>
              <w:t>ad</w:t>
            </w:r>
            <w:r w:rsidRPr="00372959">
              <w:rPr>
                <w:spacing w:val="1"/>
                <w:szCs w:val="22"/>
              </w:rPr>
              <w:t xml:space="preserve"> </w:t>
            </w:r>
            <w:r w:rsidRPr="00372959">
              <w:rPr>
                <w:szCs w:val="22"/>
              </w:rPr>
              <w:t>2</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zCs w:val="22"/>
              </w:rPr>
            </w:pPr>
            <w:r w:rsidRPr="00372959">
              <w:rPr>
                <w:spacing w:val="-1"/>
                <w:szCs w:val="22"/>
              </w:rPr>
              <w:t>Dosisjustering ikke nødvendigt.</w:t>
            </w:r>
          </w:p>
        </w:tc>
      </w:tr>
      <w:tr w:rsidR="003760D5" w:rsidRPr="00372959" w:rsidTr="00B47874">
        <w:trPr>
          <w:trHeight w:hRule="exact" w:val="529"/>
        </w:trPr>
        <w:tc>
          <w:tcPr>
            <w:tcW w:w="1986" w:type="dxa"/>
            <w:vMerge/>
            <w:tcBorders>
              <w:left w:val="single" w:sz="5"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pacing w:val="2"/>
                <w:szCs w:val="22"/>
              </w:rPr>
            </w:pPr>
            <w:r w:rsidRPr="00372959">
              <w:rPr>
                <w:spacing w:val="2"/>
                <w:szCs w:val="22"/>
              </w:rPr>
              <w:t>Midlertidig behandlingspause</w:t>
            </w:r>
          </w:p>
          <w:p w:rsidR="003760D5" w:rsidRPr="00372959" w:rsidRDefault="003760D5" w:rsidP="00B47874">
            <w:pPr>
              <w:ind w:left="49" w:right="94"/>
              <w:rPr>
                <w:szCs w:val="22"/>
              </w:rPr>
            </w:pPr>
            <w:r w:rsidRPr="00372959">
              <w:rPr>
                <w:spacing w:val="2"/>
                <w:szCs w:val="22"/>
              </w:rPr>
              <w:t>Genoptag behandlingen med 5 mg daglig.</w:t>
            </w:r>
          </w:p>
        </w:tc>
      </w:tr>
      <w:tr w:rsidR="003760D5" w:rsidRPr="00372959" w:rsidTr="00B47874">
        <w:trPr>
          <w:trHeight w:hRule="exact" w:val="493"/>
        </w:trPr>
        <w:tc>
          <w:tcPr>
            <w:tcW w:w="1986" w:type="dxa"/>
            <w:vMerge/>
            <w:tcBorders>
              <w:left w:val="single" w:sz="5"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4</w:t>
            </w:r>
          </w:p>
        </w:tc>
        <w:tc>
          <w:tcPr>
            <w:tcW w:w="5416" w:type="dxa"/>
            <w:tcBorders>
              <w:top w:val="single" w:sz="4" w:space="0" w:color="000000"/>
              <w:left w:val="single" w:sz="4" w:space="0" w:color="000000"/>
              <w:bottom w:val="single" w:sz="4" w:space="0" w:color="000000"/>
              <w:right w:val="single" w:sz="6" w:space="0" w:color="000000"/>
            </w:tcBorders>
          </w:tcPr>
          <w:p w:rsidR="003760D5" w:rsidRPr="00372959" w:rsidRDefault="003760D5" w:rsidP="00B47874">
            <w:pPr>
              <w:ind w:left="49" w:right="94"/>
              <w:rPr>
                <w:szCs w:val="22"/>
              </w:rPr>
            </w:pPr>
            <w:r w:rsidRPr="00372959">
              <w:rPr>
                <w:spacing w:val="-1"/>
                <w:szCs w:val="22"/>
              </w:rPr>
              <w:t>Seponer behandlingen.</w:t>
            </w:r>
          </w:p>
        </w:tc>
      </w:tr>
      <w:tr w:rsidR="003760D5" w:rsidRPr="00372959" w:rsidTr="00B47874">
        <w:trPr>
          <w:trHeight w:hRule="exact" w:val="854"/>
        </w:trPr>
        <w:tc>
          <w:tcPr>
            <w:tcW w:w="1986" w:type="dxa"/>
            <w:vMerge w:val="restart"/>
            <w:tcBorders>
              <w:top w:val="single" w:sz="4" w:space="0" w:color="000000"/>
              <w:left w:val="single" w:sz="4" w:space="0" w:color="000000"/>
              <w:right w:val="single" w:sz="4" w:space="0" w:color="000000"/>
            </w:tcBorders>
          </w:tcPr>
          <w:p w:rsidR="003760D5" w:rsidRPr="00372959" w:rsidRDefault="003760D5" w:rsidP="00B47874">
            <w:pPr>
              <w:ind w:left="49" w:right="94"/>
              <w:rPr>
                <w:szCs w:val="22"/>
              </w:rPr>
            </w:pPr>
            <w:r w:rsidRPr="00372959">
              <w:rPr>
                <w:spacing w:val="2"/>
                <w:szCs w:val="22"/>
              </w:rPr>
              <w:t>T</w:t>
            </w:r>
            <w:r w:rsidRPr="00372959">
              <w:rPr>
                <w:szCs w:val="22"/>
              </w:rPr>
              <w:t>rombocytopeni</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2</w:t>
            </w:r>
          </w:p>
          <w:p w:rsidR="003760D5" w:rsidRPr="00372959" w:rsidRDefault="003760D5" w:rsidP="00B47874">
            <w:pPr>
              <w:tabs>
                <w:tab w:val="left" w:pos="756"/>
              </w:tabs>
              <w:ind w:left="49" w:right="94"/>
              <w:jc w:val="center"/>
              <w:rPr>
                <w:szCs w:val="22"/>
              </w:rPr>
            </w:pPr>
            <w:r w:rsidRPr="00372959">
              <w:rPr>
                <w:spacing w:val="1"/>
                <w:szCs w:val="22"/>
              </w:rPr>
              <w:t>(</w:t>
            </w:r>
            <w:r w:rsidRPr="00372959">
              <w:rPr>
                <w:szCs w:val="22"/>
              </w:rPr>
              <w:t xml:space="preserve">&lt;75, </w:t>
            </w:r>
            <w:r w:rsidRPr="00372959">
              <w:rPr>
                <w:spacing w:val="1"/>
                <w:szCs w:val="22"/>
              </w:rPr>
              <w:t>≥</w:t>
            </w:r>
            <w:r w:rsidRPr="00372959">
              <w:rPr>
                <w:szCs w:val="22"/>
              </w:rPr>
              <w:t>50x10</w:t>
            </w:r>
            <w:r w:rsidRPr="00372959">
              <w:rPr>
                <w:szCs w:val="22"/>
                <w:vertAlign w:val="superscript"/>
              </w:rPr>
              <w:t>9</w:t>
            </w:r>
            <w:r w:rsidRPr="00372959">
              <w:rPr>
                <w:spacing w:val="1"/>
                <w:szCs w:val="22"/>
              </w:rPr>
              <w:t>/l)</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2"/>
                <w:position w:val="-1"/>
                <w:szCs w:val="22"/>
              </w:rPr>
              <w:t>Midlertidig behandlingspause indtil bedring til</w:t>
            </w:r>
            <w:r w:rsidRPr="00372959">
              <w:rPr>
                <w:spacing w:val="4"/>
                <w:position w:val="-1"/>
                <w:szCs w:val="22"/>
              </w:rPr>
              <w:t xml:space="preserve"> </w:t>
            </w:r>
            <w:r w:rsidRPr="00372959">
              <w:rPr>
                <w:spacing w:val="-1"/>
                <w:position w:val="-1"/>
                <w:szCs w:val="22"/>
              </w:rPr>
              <w:t>G</w:t>
            </w:r>
            <w:r w:rsidRPr="00372959">
              <w:rPr>
                <w:spacing w:val="1"/>
                <w:position w:val="-1"/>
                <w:szCs w:val="22"/>
              </w:rPr>
              <w:t>r</w:t>
            </w:r>
            <w:r w:rsidRPr="00372959">
              <w:rPr>
                <w:position w:val="-1"/>
                <w:szCs w:val="22"/>
              </w:rPr>
              <w:t>ad</w:t>
            </w:r>
            <w:r w:rsidRPr="00372959">
              <w:rPr>
                <w:spacing w:val="1"/>
                <w:position w:val="-1"/>
                <w:szCs w:val="22"/>
              </w:rPr>
              <w:t xml:space="preserve"> </w:t>
            </w:r>
            <w:r w:rsidRPr="00372959">
              <w:rPr>
                <w:rFonts w:eastAsia="Symbol"/>
                <w:spacing w:val="2"/>
                <w:position w:val="-1"/>
                <w:szCs w:val="22"/>
              </w:rPr>
              <w:t>≤</w:t>
            </w:r>
            <w:r w:rsidRPr="00372959">
              <w:rPr>
                <w:position w:val="-1"/>
                <w:szCs w:val="22"/>
              </w:rPr>
              <w:t>1</w:t>
            </w:r>
            <w:r w:rsidRPr="00372959">
              <w:rPr>
                <w:szCs w:val="22"/>
              </w:rPr>
              <w:t xml:space="preserve"> </w:t>
            </w:r>
            <w:r w:rsidRPr="00372959">
              <w:rPr>
                <w:spacing w:val="1"/>
                <w:szCs w:val="22"/>
              </w:rPr>
              <w:t>(≥</w:t>
            </w:r>
            <w:r w:rsidRPr="00372959">
              <w:rPr>
                <w:szCs w:val="22"/>
              </w:rPr>
              <w:t>75x10</w:t>
            </w:r>
            <w:r w:rsidRPr="00372959">
              <w:rPr>
                <w:szCs w:val="22"/>
                <w:vertAlign w:val="superscript"/>
              </w:rPr>
              <w:t>9</w:t>
            </w:r>
            <w:r w:rsidRPr="00372959">
              <w:rPr>
                <w:spacing w:val="1"/>
                <w:szCs w:val="22"/>
              </w:rPr>
              <w:t>/l)</w:t>
            </w:r>
            <w:r w:rsidRPr="00372959">
              <w:rPr>
                <w:szCs w:val="22"/>
              </w:rPr>
              <w:t>.</w:t>
            </w:r>
            <w:r w:rsidRPr="00372959">
              <w:rPr>
                <w:spacing w:val="-1"/>
                <w:szCs w:val="22"/>
              </w:rPr>
              <w:t xml:space="preserve"> Genoptag behandlingen med </w:t>
            </w:r>
            <w:r>
              <w:rPr>
                <w:spacing w:val="-1"/>
                <w:szCs w:val="22"/>
              </w:rPr>
              <w:t>samme dosis</w:t>
            </w:r>
            <w:r w:rsidRPr="00372959">
              <w:rPr>
                <w:spacing w:val="-1"/>
                <w:szCs w:val="22"/>
              </w:rPr>
              <w:t>.</w:t>
            </w:r>
          </w:p>
        </w:tc>
      </w:tr>
      <w:tr w:rsidR="003760D5" w:rsidRPr="00372959" w:rsidTr="00B47874">
        <w:trPr>
          <w:trHeight w:hRule="exact" w:val="838"/>
        </w:trPr>
        <w:tc>
          <w:tcPr>
            <w:tcW w:w="1986" w:type="dxa"/>
            <w:vMerge/>
            <w:tcBorders>
              <w:left w:val="single" w:sz="4"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 og</w:t>
            </w:r>
            <w:r w:rsidRPr="00372959">
              <w:rPr>
                <w:spacing w:val="-1"/>
                <w:szCs w:val="22"/>
              </w:rPr>
              <w:t xml:space="preserve"> </w:t>
            </w:r>
            <w:r w:rsidRPr="00372959">
              <w:rPr>
                <w:szCs w:val="22"/>
              </w:rPr>
              <w:t xml:space="preserve">4 </w:t>
            </w:r>
            <w:r w:rsidRPr="00372959">
              <w:rPr>
                <w:spacing w:val="1"/>
                <w:szCs w:val="22"/>
              </w:rPr>
              <w:t>(</w:t>
            </w:r>
            <w:r w:rsidRPr="00372959">
              <w:rPr>
                <w:szCs w:val="22"/>
              </w:rPr>
              <w:t>&lt;50x10</w:t>
            </w:r>
            <w:r w:rsidRPr="00372959">
              <w:rPr>
                <w:szCs w:val="22"/>
                <w:vertAlign w:val="superscript"/>
              </w:rPr>
              <w:t>9</w:t>
            </w:r>
            <w:r w:rsidRPr="00372959">
              <w:rPr>
                <w:spacing w:val="1"/>
                <w:szCs w:val="22"/>
              </w:rPr>
              <w:t>/l)</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2"/>
                <w:position w:val="-1"/>
                <w:szCs w:val="22"/>
              </w:rPr>
              <w:t>Midlertidig behandlingspause indtil bedring til G</w:t>
            </w:r>
            <w:r w:rsidRPr="00372959">
              <w:rPr>
                <w:spacing w:val="1"/>
                <w:position w:val="-1"/>
                <w:szCs w:val="22"/>
              </w:rPr>
              <w:t>r</w:t>
            </w:r>
            <w:r w:rsidRPr="00372959">
              <w:rPr>
                <w:position w:val="-1"/>
                <w:szCs w:val="22"/>
              </w:rPr>
              <w:t>ad</w:t>
            </w:r>
            <w:r w:rsidRPr="00372959">
              <w:rPr>
                <w:spacing w:val="1"/>
                <w:position w:val="-1"/>
                <w:szCs w:val="22"/>
              </w:rPr>
              <w:t xml:space="preserve"> </w:t>
            </w:r>
            <w:r w:rsidRPr="00372959">
              <w:rPr>
                <w:rFonts w:eastAsia="Symbol"/>
                <w:spacing w:val="2"/>
                <w:position w:val="-1"/>
                <w:szCs w:val="22"/>
              </w:rPr>
              <w:t>≤</w:t>
            </w:r>
            <w:r w:rsidRPr="00372959">
              <w:rPr>
                <w:position w:val="-1"/>
                <w:szCs w:val="22"/>
              </w:rPr>
              <w:t>1</w:t>
            </w:r>
            <w:r w:rsidRPr="00372959">
              <w:rPr>
                <w:szCs w:val="22"/>
              </w:rPr>
              <w:t xml:space="preserve"> </w:t>
            </w:r>
            <w:r w:rsidRPr="00372959">
              <w:rPr>
                <w:spacing w:val="1"/>
                <w:szCs w:val="22"/>
              </w:rPr>
              <w:t>(≥</w:t>
            </w:r>
            <w:r w:rsidRPr="00372959">
              <w:rPr>
                <w:szCs w:val="22"/>
              </w:rPr>
              <w:t>75x1</w:t>
            </w:r>
            <w:r w:rsidRPr="00372959">
              <w:rPr>
                <w:spacing w:val="1"/>
                <w:szCs w:val="22"/>
              </w:rPr>
              <w:t>0</w:t>
            </w:r>
            <w:r w:rsidRPr="00372959">
              <w:rPr>
                <w:szCs w:val="22"/>
                <w:vertAlign w:val="superscript"/>
              </w:rPr>
              <w:t>9</w:t>
            </w:r>
            <w:r w:rsidRPr="00372959">
              <w:rPr>
                <w:spacing w:val="1"/>
                <w:szCs w:val="22"/>
              </w:rPr>
              <w:t>/l)</w:t>
            </w:r>
            <w:r w:rsidRPr="00372959">
              <w:rPr>
                <w:szCs w:val="22"/>
              </w:rPr>
              <w:t>.</w:t>
            </w:r>
            <w:r w:rsidRPr="00372959">
              <w:rPr>
                <w:spacing w:val="-1"/>
                <w:szCs w:val="22"/>
              </w:rPr>
              <w:t xml:space="preserve"> Genoptag behandlingen med 5 mg </w:t>
            </w:r>
            <w:r>
              <w:rPr>
                <w:spacing w:val="-1"/>
                <w:szCs w:val="22"/>
              </w:rPr>
              <w:t>daglig</w:t>
            </w:r>
            <w:r w:rsidRPr="00372959">
              <w:rPr>
                <w:szCs w:val="22"/>
              </w:rPr>
              <w:t>.</w:t>
            </w:r>
          </w:p>
        </w:tc>
      </w:tr>
      <w:tr w:rsidR="003760D5" w:rsidRPr="00372959" w:rsidTr="00B47874">
        <w:trPr>
          <w:trHeight w:hRule="exact" w:val="528"/>
        </w:trPr>
        <w:tc>
          <w:tcPr>
            <w:tcW w:w="1986" w:type="dxa"/>
            <w:vMerge w:val="restart"/>
            <w:tcBorders>
              <w:top w:val="single" w:sz="4" w:space="0" w:color="000000"/>
              <w:left w:val="single" w:sz="4" w:space="0" w:color="000000"/>
              <w:right w:val="single" w:sz="4" w:space="0" w:color="000000"/>
            </w:tcBorders>
          </w:tcPr>
          <w:p w:rsidR="003760D5" w:rsidRPr="00372959" w:rsidRDefault="003760D5" w:rsidP="00B47874">
            <w:pPr>
              <w:ind w:left="49" w:right="94"/>
              <w:rPr>
                <w:szCs w:val="22"/>
              </w:rPr>
            </w:pPr>
            <w:r w:rsidRPr="00372959">
              <w:rPr>
                <w:spacing w:val="-1"/>
                <w:szCs w:val="22"/>
              </w:rPr>
              <w:t>N</w:t>
            </w:r>
            <w:r w:rsidRPr="00372959">
              <w:rPr>
                <w:szCs w:val="22"/>
              </w:rPr>
              <w:t>eu</w:t>
            </w:r>
            <w:r w:rsidRPr="00372959">
              <w:rPr>
                <w:spacing w:val="1"/>
                <w:szCs w:val="22"/>
              </w:rPr>
              <w:t>tr</w:t>
            </w:r>
            <w:r w:rsidRPr="00372959">
              <w:rPr>
                <w:szCs w:val="22"/>
              </w:rPr>
              <w:t>open</w:t>
            </w:r>
            <w:r w:rsidRPr="00372959">
              <w:rPr>
                <w:spacing w:val="1"/>
                <w:szCs w:val="22"/>
              </w:rPr>
              <w:t>i</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2</w:t>
            </w:r>
          </w:p>
          <w:p w:rsidR="003760D5" w:rsidRPr="00372959" w:rsidRDefault="003760D5" w:rsidP="00B47874">
            <w:pPr>
              <w:tabs>
                <w:tab w:val="left" w:pos="756"/>
              </w:tabs>
              <w:ind w:left="49" w:right="94"/>
              <w:jc w:val="center"/>
              <w:rPr>
                <w:szCs w:val="22"/>
              </w:rPr>
            </w:pPr>
            <w:r w:rsidRPr="00372959">
              <w:rPr>
                <w:spacing w:val="1"/>
                <w:szCs w:val="22"/>
              </w:rPr>
              <w:t>(≥</w:t>
            </w:r>
            <w:r w:rsidRPr="00372959">
              <w:rPr>
                <w:szCs w:val="22"/>
              </w:rPr>
              <w:t>1x1</w:t>
            </w:r>
            <w:r w:rsidRPr="00372959">
              <w:rPr>
                <w:spacing w:val="1"/>
                <w:szCs w:val="22"/>
              </w:rPr>
              <w:t>0</w:t>
            </w:r>
            <w:r w:rsidRPr="00372959">
              <w:rPr>
                <w:szCs w:val="22"/>
                <w:vertAlign w:val="superscript"/>
              </w:rPr>
              <w:t>9</w:t>
            </w:r>
            <w:r w:rsidRPr="00372959">
              <w:rPr>
                <w:spacing w:val="1"/>
                <w:szCs w:val="22"/>
              </w:rPr>
              <w:t>/l</w:t>
            </w:r>
            <w:r w:rsidRPr="00372959">
              <w:rPr>
                <w:szCs w:val="22"/>
              </w:rPr>
              <w:t>)</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1"/>
                <w:szCs w:val="22"/>
              </w:rPr>
              <w:t>Dosisjustering ikke nødvendigt</w:t>
            </w:r>
            <w:r w:rsidRPr="00372959">
              <w:rPr>
                <w:szCs w:val="22"/>
              </w:rPr>
              <w:t>.</w:t>
            </w:r>
          </w:p>
        </w:tc>
      </w:tr>
      <w:tr w:rsidR="003760D5" w:rsidRPr="00372959" w:rsidTr="00B47874">
        <w:trPr>
          <w:trHeight w:hRule="exact" w:val="899"/>
        </w:trPr>
        <w:tc>
          <w:tcPr>
            <w:tcW w:w="1986" w:type="dxa"/>
            <w:vMerge/>
            <w:tcBorders>
              <w:left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w:t>
            </w:r>
          </w:p>
          <w:p w:rsidR="003760D5" w:rsidRPr="00372959" w:rsidRDefault="003760D5" w:rsidP="00B47874">
            <w:pPr>
              <w:tabs>
                <w:tab w:val="left" w:pos="756"/>
              </w:tabs>
              <w:ind w:left="49" w:right="94"/>
              <w:jc w:val="center"/>
              <w:rPr>
                <w:szCs w:val="22"/>
              </w:rPr>
            </w:pPr>
            <w:r w:rsidRPr="00372959">
              <w:rPr>
                <w:spacing w:val="1"/>
                <w:szCs w:val="22"/>
              </w:rPr>
              <w:t>(</w:t>
            </w:r>
            <w:r w:rsidRPr="00372959">
              <w:rPr>
                <w:szCs w:val="22"/>
              </w:rPr>
              <w:t xml:space="preserve">&lt;1, </w:t>
            </w:r>
            <w:r w:rsidRPr="00372959">
              <w:rPr>
                <w:spacing w:val="1"/>
                <w:szCs w:val="22"/>
              </w:rPr>
              <w:t>≥</w:t>
            </w:r>
            <w:r w:rsidRPr="00372959">
              <w:rPr>
                <w:szCs w:val="22"/>
              </w:rPr>
              <w:t>0.5x10</w:t>
            </w:r>
            <w:r w:rsidRPr="00372959">
              <w:rPr>
                <w:szCs w:val="22"/>
                <w:vertAlign w:val="superscript"/>
              </w:rPr>
              <w:t>9</w:t>
            </w:r>
            <w:r w:rsidRPr="00372959">
              <w:rPr>
                <w:spacing w:val="1"/>
                <w:szCs w:val="22"/>
              </w:rPr>
              <w:t>/l</w:t>
            </w:r>
            <w:r w:rsidRPr="00372959">
              <w:rPr>
                <w:szCs w:val="22"/>
              </w:rPr>
              <w:t>)</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2"/>
                <w:position w:val="-1"/>
                <w:szCs w:val="22"/>
              </w:rPr>
              <w:t>Midlertidig behandlingspause indtil bedring til</w:t>
            </w:r>
            <w:r w:rsidRPr="00372959">
              <w:rPr>
                <w:spacing w:val="4"/>
                <w:position w:val="-1"/>
                <w:szCs w:val="22"/>
              </w:rPr>
              <w:t xml:space="preserve"> </w:t>
            </w:r>
            <w:r w:rsidRPr="00372959">
              <w:rPr>
                <w:spacing w:val="-1"/>
                <w:position w:val="-1"/>
                <w:szCs w:val="22"/>
              </w:rPr>
              <w:t>G</w:t>
            </w:r>
            <w:r w:rsidRPr="00372959">
              <w:rPr>
                <w:spacing w:val="1"/>
                <w:position w:val="-1"/>
                <w:szCs w:val="22"/>
              </w:rPr>
              <w:t>r</w:t>
            </w:r>
            <w:r w:rsidRPr="00372959">
              <w:rPr>
                <w:position w:val="-1"/>
                <w:szCs w:val="22"/>
              </w:rPr>
              <w:t>ad</w:t>
            </w:r>
            <w:r w:rsidRPr="00372959">
              <w:rPr>
                <w:spacing w:val="1"/>
                <w:position w:val="-1"/>
                <w:szCs w:val="22"/>
              </w:rPr>
              <w:t xml:space="preserve"> </w:t>
            </w:r>
            <w:r w:rsidRPr="00372959">
              <w:rPr>
                <w:rFonts w:eastAsia="Symbol"/>
                <w:spacing w:val="2"/>
                <w:position w:val="-1"/>
                <w:szCs w:val="22"/>
              </w:rPr>
              <w:t>≤</w:t>
            </w:r>
            <w:r w:rsidRPr="00372959">
              <w:rPr>
                <w:position w:val="-1"/>
                <w:szCs w:val="22"/>
              </w:rPr>
              <w:t>2</w:t>
            </w:r>
            <w:r w:rsidRPr="00372959">
              <w:rPr>
                <w:szCs w:val="22"/>
              </w:rPr>
              <w:t xml:space="preserve"> </w:t>
            </w:r>
            <w:r w:rsidRPr="00372959">
              <w:rPr>
                <w:spacing w:val="1"/>
                <w:szCs w:val="22"/>
              </w:rPr>
              <w:t>(≥</w:t>
            </w:r>
            <w:r w:rsidRPr="00372959">
              <w:rPr>
                <w:szCs w:val="22"/>
              </w:rPr>
              <w:t>1x1</w:t>
            </w:r>
            <w:r w:rsidRPr="00372959">
              <w:rPr>
                <w:spacing w:val="1"/>
                <w:szCs w:val="22"/>
              </w:rPr>
              <w:t>0</w:t>
            </w:r>
            <w:r w:rsidRPr="00372959">
              <w:rPr>
                <w:szCs w:val="22"/>
                <w:vertAlign w:val="superscript"/>
              </w:rPr>
              <w:t>9</w:t>
            </w:r>
            <w:r w:rsidRPr="00372959">
              <w:rPr>
                <w:spacing w:val="1"/>
                <w:szCs w:val="22"/>
              </w:rPr>
              <w:t>/l)</w:t>
            </w:r>
            <w:r w:rsidRPr="00372959">
              <w:rPr>
                <w:szCs w:val="22"/>
              </w:rPr>
              <w:t>.</w:t>
            </w:r>
            <w:r w:rsidRPr="00372959">
              <w:rPr>
                <w:spacing w:val="-1"/>
                <w:szCs w:val="22"/>
              </w:rPr>
              <w:t xml:space="preserve"> Genoptag behandlingen ved samme </w:t>
            </w:r>
            <w:proofErr w:type="gramStart"/>
            <w:r w:rsidRPr="00372959">
              <w:rPr>
                <w:spacing w:val="-1"/>
                <w:szCs w:val="22"/>
              </w:rPr>
              <w:t>dosis.</w:t>
            </w:r>
            <w:r w:rsidRPr="00372959">
              <w:rPr>
                <w:szCs w:val="22"/>
              </w:rPr>
              <w:t>.</w:t>
            </w:r>
            <w:proofErr w:type="gramEnd"/>
          </w:p>
        </w:tc>
      </w:tr>
      <w:tr w:rsidR="003760D5" w:rsidRPr="00372959" w:rsidTr="00B47874">
        <w:trPr>
          <w:trHeight w:hRule="exact" w:val="842"/>
        </w:trPr>
        <w:tc>
          <w:tcPr>
            <w:tcW w:w="1986" w:type="dxa"/>
            <w:vMerge/>
            <w:tcBorders>
              <w:left w:val="single" w:sz="4"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 xml:space="preserve">4 </w:t>
            </w:r>
            <w:r w:rsidRPr="00372959">
              <w:rPr>
                <w:spacing w:val="1"/>
                <w:szCs w:val="22"/>
              </w:rPr>
              <w:t>(</w:t>
            </w:r>
            <w:r w:rsidRPr="00372959">
              <w:rPr>
                <w:szCs w:val="22"/>
              </w:rPr>
              <w:t>&lt;0.5x10</w:t>
            </w:r>
            <w:r w:rsidRPr="00372959">
              <w:rPr>
                <w:szCs w:val="22"/>
                <w:vertAlign w:val="superscript"/>
              </w:rPr>
              <w:t>9</w:t>
            </w:r>
            <w:r w:rsidRPr="00372959">
              <w:rPr>
                <w:spacing w:val="1"/>
                <w:szCs w:val="22"/>
              </w:rPr>
              <w:t>/l</w:t>
            </w:r>
            <w:r w:rsidRPr="00372959">
              <w:rPr>
                <w:szCs w:val="22"/>
              </w:rPr>
              <w:t>)</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2"/>
                <w:position w:val="-1"/>
                <w:szCs w:val="22"/>
              </w:rPr>
              <w:t>Midlertidig behandlingspause indtil bedring til</w:t>
            </w:r>
            <w:r w:rsidRPr="00372959">
              <w:rPr>
                <w:position w:val="-1"/>
                <w:szCs w:val="22"/>
              </w:rPr>
              <w:t xml:space="preserve"> </w:t>
            </w:r>
            <w:r w:rsidRPr="00372959">
              <w:rPr>
                <w:spacing w:val="-1"/>
                <w:position w:val="-1"/>
                <w:szCs w:val="22"/>
              </w:rPr>
              <w:t>G</w:t>
            </w:r>
            <w:r w:rsidRPr="00372959">
              <w:rPr>
                <w:spacing w:val="1"/>
                <w:position w:val="-1"/>
                <w:szCs w:val="22"/>
              </w:rPr>
              <w:t>r</w:t>
            </w:r>
            <w:r w:rsidRPr="00372959">
              <w:rPr>
                <w:position w:val="-1"/>
                <w:szCs w:val="22"/>
              </w:rPr>
              <w:t>ad</w:t>
            </w:r>
            <w:r w:rsidRPr="00372959">
              <w:rPr>
                <w:spacing w:val="1"/>
                <w:position w:val="-1"/>
                <w:szCs w:val="22"/>
              </w:rPr>
              <w:t xml:space="preserve"> </w:t>
            </w:r>
            <w:r w:rsidRPr="00372959">
              <w:rPr>
                <w:rFonts w:eastAsia="Symbol"/>
                <w:spacing w:val="2"/>
                <w:position w:val="-1"/>
                <w:szCs w:val="22"/>
              </w:rPr>
              <w:t>≤</w:t>
            </w:r>
            <w:r w:rsidRPr="00372959">
              <w:rPr>
                <w:position w:val="-1"/>
                <w:szCs w:val="22"/>
              </w:rPr>
              <w:t>2</w:t>
            </w:r>
            <w:r w:rsidRPr="00372959">
              <w:rPr>
                <w:szCs w:val="22"/>
              </w:rPr>
              <w:t xml:space="preserve"> </w:t>
            </w:r>
            <w:r w:rsidRPr="00372959">
              <w:rPr>
                <w:spacing w:val="1"/>
                <w:szCs w:val="22"/>
              </w:rPr>
              <w:t>(≥</w:t>
            </w:r>
            <w:r w:rsidRPr="00372959">
              <w:rPr>
                <w:szCs w:val="22"/>
              </w:rPr>
              <w:t>1x1</w:t>
            </w:r>
            <w:r w:rsidRPr="00372959">
              <w:rPr>
                <w:spacing w:val="1"/>
                <w:szCs w:val="22"/>
              </w:rPr>
              <w:t>0</w:t>
            </w:r>
            <w:r w:rsidRPr="00372959">
              <w:rPr>
                <w:szCs w:val="22"/>
                <w:vertAlign w:val="superscript"/>
              </w:rPr>
              <w:t>9</w:t>
            </w:r>
            <w:r w:rsidRPr="00372959">
              <w:rPr>
                <w:spacing w:val="1"/>
                <w:szCs w:val="22"/>
              </w:rPr>
              <w:t>/l)</w:t>
            </w:r>
            <w:r w:rsidRPr="00372959">
              <w:rPr>
                <w:szCs w:val="22"/>
              </w:rPr>
              <w:t>.</w:t>
            </w:r>
            <w:r w:rsidRPr="00372959">
              <w:rPr>
                <w:spacing w:val="-1"/>
                <w:szCs w:val="22"/>
              </w:rPr>
              <w:t xml:space="preserve"> Genoptag behandlingen med 5 mg </w:t>
            </w:r>
            <w:r>
              <w:rPr>
                <w:spacing w:val="-1"/>
                <w:szCs w:val="22"/>
              </w:rPr>
              <w:t>daglig</w:t>
            </w:r>
            <w:r w:rsidRPr="00372959">
              <w:rPr>
                <w:spacing w:val="-1"/>
                <w:szCs w:val="22"/>
              </w:rPr>
              <w:t>.</w:t>
            </w:r>
          </w:p>
        </w:tc>
      </w:tr>
      <w:tr w:rsidR="003760D5" w:rsidRPr="00372959" w:rsidTr="00B47874">
        <w:trPr>
          <w:trHeight w:hRule="exact" w:val="996"/>
        </w:trPr>
        <w:tc>
          <w:tcPr>
            <w:tcW w:w="1986" w:type="dxa"/>
            <w:vMerge w:val="restart"/>
            <w:tcBorders>
              <w:top w:val="single" w:sz="4" w:space="0" w:color="000000"/>
              <w:left w:val="single" w:sz="4" w:space="0" w:color="000000"/>
              <w:right w:val="single" w:sz="4" w:space="0" w:color="000000"/>
            </w:tcBorders>
          </w:tcPr>
          <w:p w:rsidR="003760D5" w:rsidRPr="00372959" w:rsidRDefault="003760D5" w:rsidP="00B47874">
            <w:pPr>
              <w:ind w:left="49" w:right="94"/>
              <w:rPr>
                <w:szCs w:val="22"/>
              </w:rPr>
            </w:pPr>
            <w:r w:rsidRPr="00372959">
              <w:rPr>
                <w:szCs w:val="22"/>
              </w:rPr>
              <w:t>Feb</w:t>
            </w:r>
            <w:r w:rsidRPr="00372959">
              <w:rPr>
                <w:spacing w:val="1"/>
                <w:szCs w:val="22"/>
              </w:rPr>
              <w:t>ril</w:t>
            </w:r>
            <w:r w:rsidRPr="00372959">
              <w:rPr>
                <w:szCs w:val="22"/>
              </w:rPr>
              <w:t xml:space="preserve"> neu</w:t>
            </w:r>
            <w:r w:rsidRPr="00372959">
              <w:rPr>
                <w:spacing w:val="1"/>
                <w:szCs w:val="22"/>
              </w:rPr>
              <w:t>tr</w:t>
            </w:r>
            <w:r w:rsidRPr="00372959">
              <w:rPr>
                <w:szCs w:val="22"/>
              </w:rPr>
              <w:t>open</w:t>
            </w:r>
            <w:r w:rsidRPr="00372959">
              <w:rPr>
                <w:spacing w:val="1"/>
                <w:szCs w:val="22"/>
              </w:rPr>
              <w:t>i</w:t>
            </w: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3</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2"/>
                <w:position w:val="-1"/>
                <w:szCs w:val="22"/>
              </w:rPr>
              <w:t xml:space="preserve">Midlertidig behandlingspause indtil bedring til </w:t>
            </w:r>
            <w:r w:rsidRPr="00372959">
              <w:rPr>
                <w:spacing w:val="-1"/>
                <w:position w:val="-1"/>
                <w:szCs w:val="22"/>
              </w:rPr>
              <w:t>G</w:t>
            </w:r>
            <w:r w:rsidRPr="00372959">
              <w:rPr>
                <w:spacing w:val="1"/>
                <w:position w:val="-1"/>
                <w:szCs w:val="22"/>
              </w:rPr>
              <w:t>r</w:t>
            </w:r>
            <w:r w:rsidRPr="00372959">
              <w:rPr>
                <w:position w:val="-1"/>
                <w:szCs w:val="22"/>
              </w:rPr>
              <w:t>ad</w:t>
            </w:r>
            <w:r w:rsidRPr="00372959">
              <w:rPr>
                <w:spacing w:val="1"/>
                <w:position w:val="-1"/>
                <w:szCs w:val="22"/>
              </w:rPr>
              <w:t xml:space="preserve"> </w:t>
            </w:r>
            <w:r w:rsidRPr="00372959">
              <w:rPr>
                <w:rFonts w:eastAsia="Symbol"/>
                <w:spacing w:val="2"/>
                <w:position w:val="-1"/>
                <w:szCs w:val="22"/>
              </w:rPr>
              <w:t>≤</w:t>
            </w:r>
            <w:r w:rsidRPr="00372959">
              <w:rPr>
                <w:position w:val="-1"/>
                <w:szCs w:val="22"/>
              </w:rPr>
              <w:t>2</w:t>
            </w:r>
            <w:r w:rsidRPr="00372959">
              <w:rPr>
                <w:szCs w:val="22"/>
              </w:rPr>
              <w:t xml:space="preserve"> </w:t>
            </w:r>
            <w:r w:rsidRPr="00372959">
              <w:rPr>
                <w:spacing w:val="1"/>
                <w:szCs w:val="22"/>
              </w:rPr>
              <w:t>(≥</w:t>
            </w:r>
            <w:r w:rsidRPr="00372959">
              <w:rPr>
                <w:szCs w:val="22"/>
              </w:rPr>
              <w:t>1.25x1</w:t>
            </w:r>
            <w:r w:rsidRPr="00372959">
              <w:rPr>
                <w:spacing w:val="1"/>
                <w:szCs w:val="22"/>
              </w:rPr>
              <w:t>0</w:t>
            </w:r>
            <w:r w:rsidRPr="00372959">
              <w:rPr>
                <w:szCs w:val="22"/>
                <w:vertAlign w:val="superscript"/>
              </w:rPr>
              <w:t>9</w:t>
            </w:r>
            <w:r w:rsidRPr="00372959">
              <w:rPr>
                <w:spacing w:val="1"/>
                <w:szCs w:val="22"/>
              </w:rPr>
              <w:t>/l</w:t>
            </w:r>
            <w:r w:rsidRPr="00372959">
              <w:rPr>
                <w:szCs w:val="22"/>
              </w:rPr>
              <w:t>) og ingen feber.</w:t>
            </w:r>
          </w:p>
          <w:p w:rsidR="003760D5" w:rsidRPr="00372959" w:rsidRDefault="003760D5" w:rsidP="00B47874">
            <w:pPr>
              <w:ind w:right="94"/>
              <w:rPr>
                <w:szCs w:val="22"/>
              </w:rPr>
            </w:pPr>
            <w:r w:rsidRPr="00372959">
              <w:rPr>
                <w:spacing w:val="-1"/>
                <w:szCs w:val="22"/>
              </w:rPr>
              <w:t>Genoptag behandlingen med</w:t>
            </w:r>
            <w:r w:rsidRPr="00372959">
              <w:rPr>
                <w:spacing w:val="2"/>
                <w:szCs w:val="22"/>
              </w:rPr>
              <w:t xml:space="preserve"> </w:t>
            </w:r>
            <w:r w:rsidRPr="00372959">
              <w:rPr>
                <w:szCs w:val="22"/>
              </w:rPr>
              <w:t xml:space="preserve">5 </w:t>
            </w:r>
            <w:r w:rsidRPr="00372959">
              <w:rPr>
                <w:spacing w:val="-4"/>
                <w:szCs w:val="22"/>
              </w:rPr>
              <w:t>m</w:t>
            </w:r>
            <w:r w:rsidRPr="00372959">
              <w:rPr>
                <w:szCs w:val="22"/>
              </w:rPr>
              <w:t>g</w:t>
            </w:r>
            <w:r w:rsidRPr="00372959">
              <w:rPr>
                <w:spacing w:val="-2"/>
                <w:szCs w:val="22"/>
              </w:rPr>
              <w:t xml:space="preserve"> </w:t>
            </w:r>
            <w:r w:rsidRPr="00372959">
              <w:rPr>
                <w:szCs w:val="22"/>
              </w:rPr>
              <w:t>daglig.</w:t>
            </w:r>
          </w:p>
        </w:tc>
      </w:tr>
      <w:tr w:rsidR="003760D5" w:rsidRPr="00372959" w:rsidTr="00B47874">
        <w:trPr>
          <w:trHeight w:hRule="exact" w:val="415"/>
        </w:trPr>
        <w:tc>
          <w:tcPr>
            <w:tcW w:w="1986" w:type="dxa"/>
            <w:vMerge/>
            <w:tcBorders>
              <w:left w:val="single" w:sz="4" w:space="0" w:color="000000"/>
              <w:bottom w:val="single" w:sz="4" w:space="0" w:color="000000"/>
              <w:right w:val="single" w:sz="4" w:space="0" w:color="000000"/>
            </w:tcBorders>
          </w:tcPr>
          <w:p w:rsidR="003760D5" w:rsidRPr="00372959" w:rsidRDefault="003760D5" w:rsidP="00B47874">
            <w:pPr>
              <w:ind w:left="49" w:right="94"/>
              <w:rPr>
                <w:szCs w:val="22"/>
              </w:rPr>
            </w:pPr>
          </w:p>
        </w:tc>
        <w:tc>
          <w:tcPr>
            <w:tcW w:w="1890"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tabs>
                <w:tab w:val="left" w:pos="756"/>
              </w:tabs>
              <w:ind w:left="49" w:right="94"/>
              <w:jc w:val="center"/>
              <w:rPr>
                <w:szCs w:val="22"/>
              </w:rPr>
            </w:pPr>
            <w:r w:rsidRPr="00372959">
              <w:rPr>
                <w:spacing w:val="-1"/>
                <w:szCs w:val="22"/>
              </w:rPr>
              <w:t>G</w:t>
            </w:r>
            <w:r w:rsidRPr="00372959">
              <w:rPr>
                <w:spacing w:val="1"/>
                <w:szCs w:val="22"/>
              </w:rPr>
              <w:t>r</w:t>
            </w:r>
            <w:r w:rsidRPr="00372959">
              <w:rPr>
                <w:szCs w:val="22"/>
              </w:rPr>
              <w:t>ad</w:t>
            </w:r>
            <w:r w:rsidRPr="00372959">
              <w:rPr>
                <w:spacing w:val="1"/>
                <w:szCs w:val="22"/>
              </w:rPr>
              <w:t xml:space="preserve"> </w:t>
            </w:r>
            <w:r w:rsidRPr="00372959">
              <w:rPr>
                <w:szCs w:val="22"/>
              </w:rPr>
              <w:t>4</w:t>
            </w:r>
          </w:p>
        </w:tc>
        <w:tc>
          <w:tcPr>
            <w:tcW w:w="5416" w:type="dxa"/>
            <w:tcBorders>
              <w:top w:val="single" w:sz="4" w:space="0" w:color="000000"/>
              <w:left w:val="single" w:sz="4" w:space="0" w:color="000000"/>
              <w:bottom w:val="single" w:sz="4" w:space="0" w:color="000000"/>
              <w:right w:val="single" w:sz="4" w:space="0" w:color="000000"/>
            </w:tcBorders>
          </w:tcPr>
          <w:p w:rsidR="003760D5" w:rsidRPr="00372959" w:rsidRDefault="003760D5" w:rsidP="00B47874">
            <w:pPr>
              <w:ind w:left="49" w:right="94"/>
              <w:rPr>
                <w:szCs w:val="22"/>
              </w:rPr>
            </w:pPr>
            <w:r w:rsidRPr="00372959">
              <w:rPr>
                <w:spacing w:val="-1"/>
                <w:szCs w:val="22"/>
              </w:rPr>
              <w:t>Seponer behandlingen.</w:t>
            </w:r>
          </w:p>
        </w:tc>
      </w:tr>
      <w:tr w:rsidR="003760D5" w:rsidRPr="00372959" w:rsidTr="00B47874">
        <w:trPr>
          <w:trHeight w:hRule="exact" w:val="704"/>
        </w:trPr>
        <w:tc>
          <w:tcPr>
            <w:tcW w:w="9292" w:type="dxa"/>
            <w:gridSpan w:val="3"/>
            <w:tcBorders>
              <w:top w:val="single" w:sz="4" w:space="0" w:color="000000"/>
              <w:left w:val="single" w:sz="4" w:space="0" w:color="000000"/>
              <w:bottom w:val="single" w:sz="4" w:space="0" w:color="000000"/>
              <w:right w:val="single" w:sz="4" w:space="0" w:color="000000"/>
            </w:tcBorders>
          </w:tcPr>
          <w:p w:rsidR="003760D5" w:rsidRPr="00372959" w:rsidRDefault="00B47874" w:rsidP="00B47874">
            <w:pPr>
              <w:ind w:left="49" w:right="-1"/>
              <w:rPr>
                <w:sz w:val="22"/>
                <w:szCs w:val="22"/>
              </w:rPr>
            </w:pPr>
            <w:r w:rsidRPr="00372959">
              <w:rPr>
                <w:bCs/>
                <w:spacing w:val="-1"/>
                <w:szCs w:val="22"/>
                <w:vertAlign w:val="superscript"/>
              </w:rPr>
              <w:t>1</w:t>
            </w:r>
            <w:r w:rsidRPr="00372959">
              <w:rPr>
                <w:bCs/>
                <w:spacing w:val="-1"/>
                <w:szCs w:val="22"/>
              </w:rPr>
              <w:t xml:space="preserve">     </w:t>
            </w:r>
            <w:r w:rsidRPr="00372959">
              <w:rPr>
                <w:sz w:val="22"/>
                <w:szCs w:val="22"/>
              </w:rPr>
              <w:t xml:space="preserve">Grad-inddelingen er baseret på </w:t>
            </w:r>
            <w:r w:rsidRPr="00372959">
              <w:rPr>
                <w:iCs/>
                <w:sz w:val="22"/>
                <w:szCs w:val="22"/>
              </w:rPr>
              <w:t xml:space="preserve">National Cancer Institute (NCI) Common Terminology Criteria for Adverse Events </w:t>
            </w:r>
            <w:r w:rsidRPr="00372959">
              <w:rPr>
                <w:sz w:val="22"/>
                <w:szCs w:val="22"/>
              </w:rPr>
              <w:t>(CTCAE) v3.0</w:t>
            </w:r>
          </w:p>
        </w:tc>
      </w:tr>
    </w:tbl>
    <w:p w:rsidR="003760D5" w:rsidRPr="00372959" w:rsidRDefault="003760D5" w:rsidP="003760D5">
      <w:pPr>
        <w:tabs>
          <w:tab w:val="left" w:pos="851"/>
        </w:tabs>
        <w:ind w:left="851"/>
        <w:rPr>
          <w:szCs w:val="24"/>
        </w:rPr>
      </w:pPr>
    </w:p>
    <w:p w:rsidR="003760D5" w:rsidRPr="003B4D83" w:rsidRDefault="003760D5" w:rsidP="003760D5">
      <w:pPr>
        <w:pStyle w:val="Default"/>
        <w:ind w:left="851"/>
        <w:rPr>
          <w:u w:val="single"/>
        </w:rPr>
      </w:pPr>
      <w:r w:rsidRPr="003B4D83">
        <w:rPr>
          <w:iCs/>
          <w:u w:val="single"/>
        </w:rPr>
        <w:t xml:space="preserve">Særlige patientgrupper </w:t>
      </w:r>
    </w:p>
    <w:p w:rsidR="003760D5" w:rsidRPr="00372959" w:rsidRDefault="003760D5" w:rsidP="003760D5">
      <w:pPr>
        <w:pStyle w:val="Default"/>
        <w:ind w:left="851"/>
        <w:rPr>
          <w:i/>
          <w:iCs/>
        </w:rPr>
      </w:pPr>
    </w:p>
    <w:p w:rsidR="003760D5" w:rsidRPr="00372959" w:rsidRDefault="003760D5" w:rsidP="003760D5">
      <w:pPr>
        <w:pStyle w:val="Default"/>
        <w:ind w:left="851"/>
      </w:pPr>
      <w:r w:rsidRPr="00372959">
        <w:rPr>
          <w:i/>
          <w:iCs/>
        </w:rPr>
        <w:t xml:space="preserve">Ældre patienter </w:t>
      </w:r>
      <w:r w:rsidRPr="00372959">
        <w:t xml:space="preserve">(≥65 år) </w:t>
      </w:r>
    </w:p>
    <w:p w:rsidR="003760D5" w:rsidRPr="00372959" w:rsidRDefault="003760D5" w:rsidP="003760D5">
      <w:pPr>
        <w:pStyle w:val="Default"/>
        <w:ind w:left="851"/>
      </w:pPr>
      <w:r w:rsidRPr="00372959">
        <w:t>Der er ikke behov for dosisjustering (se pkt. 5.2).</w:t>
      </w:r>
    </w:p>
    <w:p w:rsidR="003760D5" w:rsidRPr="00372959" w:rsidRDefault="003760D5" w:rsidP="003760D5">
      <w:pPr>
        <w:pStyle w:val="Default"/>
        <w:ind w:left="851"/>
      </w:pPr>
      <w:r w:rsidRPr="00372959">
        <w:t xml:space="preserve"> </w:t>
      </w:r>
    </w:p>
    <w:p w:rsidR="003760D5" w:rsidRPr="00372959" w:rsidRDefault="003760D5" w:rsidP="003760D5">
      <w:pPr>
        <w:pStyle w:val="Default"/>
        <w:ind w:left="851"/>
      </w:pPr>
      <w:r w:rsidRPr="00372959">
        <w:rPr>
          <w:i/>
          <w:iCs/>
        </w:rPr>
        <w:t xml:space="preserve">Nedsat nyrefunktion </w:t>
      </w:r>
    </w:p>
    <w:p w:rsidR="003760D5" w:rsidRPr="00372959" w:rsidRDefault="003760D5" w:rsidP="003760D5">
      <w:pPr>
        <w:pStyle w:val="Default"/>
        <w:ind w:left="851"/>
      </w:pPr>
      <w:r w:rsidRPr="00372959">
        <w:t xml:space="preserve">Der er ikke behov for dosisjustering (se pkt. 5.2). </w:t>
      </w:r>
    </w:p>
    <w:p w:rsidR="003760D5" w:rsidRPr="00372959" w:rsidRDefault="003760D5" w:rsidP="003760D5">
      <w:pPr>
        <w:pStyle w:val="Default"/>
        <w:ind w:left="851"/>
      </w:pPr>
    </w:p>
    <w:p w:rsidR="00B47874" w:rsidRPr="00372959" w:rsidRDefault="00B47874" w:rsidP="00B47874">
      <w:pPr>
        <w:pStyle w:val="Default"/>
        <w:ind w:left="851"/>
      </w:pPr>
      <w:r w:rsidRPr="00372959">
        <w:rPr>
          <w:i/>
          <w:iCs/>
        </w:rPr>
        <w:t xml:space="preserve">Nedsat leverfunktion </w:t>
      </w:r>
    </w:p>
    <w:p w:rsidR="00B47874" w:rsidRPr="00372959" w:rsidRDefault="00B47874" w:rsidP="00B47874">
      <w:pPr>
        <w:pStyle w:val="Default"/>
        <w:numPr>
          <w:ilvl w:val="0"/>
          <w:numId w:val="9"/>
        </w:numPr>
        <w:spacing w:after="42"/>
      </w:pPr>
      <w:r w:rsidRPr="00372959">
        <w:t xml:space="preserve">Let nedsat leverfunktion (Child-Pugh A): Den anbefalede startdosis er 7,5 mg daglig. </w:t>
      </w:r>
    </w:p>
    <w:p w:rsidR="00B47874" w:rsidRPr="00372959" w:rsidRDefault="00B47874" w:rsidP="00B47874">
      <w:pPr>
        <w:pStyle w:val="Default"/>
        <w:numPr>
          <w:ilvl w:val="0"/>
          <w:numId w:val="9"/>
        </w:numPr>
        <w:spacing w:after="42"/>
      </w:pPr>
      <w:r w:rsidRPr="00372959">
        <w:t xml:space="preserve">Moderat nedsat leverfunktion (Child-Pugh B): Den anbefalede startdosis er 5 mg daglig. </w:t>
      </w:r>
    </w:p>
    <w:p w:rsidR="00B47874" w:rsidRPr="00372959" w:rsidRDefault="00B47874" w:rsidP="00B47874">
      <w:pPr>
        <w:pStyle w:val="Default"/>
        <w:numPr>
          <w:ilvl w:val="0"/>
          <w:numId w:val="9"/>
        </w:numPr>
      </w:pPr>
      <w:r w:rsidRPr="00372959">
        <w:t xml:space="preserve">Stærkt nedsat leverfunktion (Child-Pugh C): </w:t>
      </w:r>
      <w:r>
        <w:t xml:space="preserve">everolimus </w:t>
      </w:r>
      <w:r w:rsidRPr="00372959">
        <w:t xml:space="preserve">er kun anbefalet, hvis de ønskede fordele opvejer risiciene. I denne situation må den daglige dosis på 2,5 mg ikke overskrides. </w:t>
      </w:r>
    </w:p>
    <w:p w:rsidR="003760D5" w:rsidRPr="00372959" w:rsidRDefault="003760D5" w:rsidP="003760D5">
      <w:pPr>
        <w:pStyle w:val="Default"/>
        <w:ind w:left="851"/>
      </w:pPr>
    </w:p>
    <w:p w:rsidR="003760D5" w:rsidRPr="00372959" w:rsidRDefault="003760D5" w:rsidP="003760D5">
      <w:pPr>
        <w:pStyle w:val="Default"/>
        <w:ind w:left="851"/>
      </w:pPr>
      <w:r w:rsidRPr="00372959">
        <w:t>Dosisjustering bør foretages, hvis patientens leverfunktion (Child-Pugh) ændres under behandlingen (se også pkt. 4.4 og 5.2).</w:t>
      </w:r>
    </w:p>
    <w:p w:rsidR="003760D5" w:rsidRPr="00372959" w:rsidRDefault="003760D5" w:rsidP="003760D5">
      <w:pPr>
        <w:pStyle w:val="Default"/>
        <w:ind w:left="851"/>
      </w:pPr>
      <w:r w:rsidRPr="00372959">
        <w:t xml:space="preserve"> </w:t>
      </w:r>
    </w:p>
    <w:p w:rsidR="003760D5" w:rsidRPr="003B4D83" w:rsidRDefault="003760D5" w:rsidP="003760D5">
      <w:pPr>
        <w:pStyle w:val="Default"/>
        <w:ind w:left="851"/>
        <w:rPr>
          <w:u w:val="single"/>
        </w:rPr>
      </w:pPr>
      <w:r w:rsidRPr="003B4D83">
        <w:rPr>
          <w:iCs/>
          <w:u w:val="single"/>
        </w:rPr>
        <w:t xml:space="preserve">Pædiatrisk population </w:t>
      </w:r>
    </w:p>
    <w:p w:rsidR="003760D5" w:rsidRPr="00372959" w:rsidRDefault="003760D5" w:rsidP="003760D5">
      <w:pPr>
        <w:pStyle w:val="Default"/>
        <w:ind w:left="851"/>
      </w:pPr>
      <w:r w:rsidRPr="00372959">
        <w:t xml:space="preserve">Everolimus </w:t>
      </w:r>
      <w:r>
        <w:t>"Tevas"</w:t>
      </w:r>
      <w:r w:rsidRPr="00372959">
        <w:t xml:space="preserve"> sikkerhed og virkning hos børn i alderen 0 til 18 år er ikke klarlagt. Der foreligger ingen data.</w:t>
      </w:r>
    </w:p>
    <w:p w:rsidR="003760D5" w:rsidRPr="00372959" w:rsidRDefault="003760D5" w:rsidP="003760D5">
      <w:pPr>
        <w:pStyle w:val="Default"/>
        <w:ind w:left="851"/>
      </w:pPr>
      <w:r w:rsidRPr="00372959">
        <w:t xml:space="preserve"> </w:t>
      </w:r>
    </w:p>
    <w:p w:rsidR="000433C9" w:rsidRDefault="000433C9" w:rsidP="000433C9">
      <w:pPr>
        <w:pStyle w:val="Default"/>
        <w:ind w:left="851"/>
        <w:rPr>
          <w:b/>
          <w:bCs/>
          <w:i/>
          <w:iCs/>
        </w:rPr>
      </w:pPr>
      <w:r>
        <w:rPr>
          <w:b/>
          <w:bCs/>
          <w:i/>
        </w:rPr>
        <w:t>Renal angiomyolipom</w:t>
      </w:r>
      <w:r>
        <w:rPr>
          <w:b/>
          <w:bCs/>
          <w:iCs/>
        </w:rPr>
        <w:t>/</w:t>
      </w:r>
      <w:r>
        <w:rPr>
          <w:b/>
          <w:bCs/>
          <w:i/>
          <w:iCs/>
        </w:rPr>
        <w:t>SEGA</w:t>
      </w:r>
    </w:p>
    <w:p w:rsidR="000433C9" w:rsidRDefault="000433C9" w:rsidP="000433C9">
      <w:pPr>
        <w:pStyle w:val="Default"/>
        <w:ind w:left="851"/>
      </w:pPr>
      <w:r>
        <w:lastRenderedPageBreak/>
        <w:t xml:space="preserve"> </w:t>
      </w:r>
    </w:p>
    <w:p w:rsidR="000433C9" w:rsidRDefault="000433C9" w:rsidP="000433C9">
      <w:pPr>
        <w:pStyle w:val="Brdtekst"/>
        <w:ind w:left="851" w:right="-1"/>
        <w:rPr>
          <w:sz w:val="24"/>
          <w:szCs w:val="24"/>
          <w:lang w:val="da-DK"/>
        </w:rPr>
      </w:pPr>
      <w:r>
        <w:rPr>
          <w:sz w:val="24"/>
          <w:szCs w:val="24"/>
          <w:lang w:val="da-DK"/>
        </w:rPr>
        <w:t>Behandling med Everolimus "Teva" bør initieres af en læge med erfaring i behandling af patienter med TSC og terapeutisk lægemiddelmonitorering.</w:t>
      </w:r>
    </w:p>
    <w:p w:rsidR="000433C9" w:rsidRDefault="000433C9" w:rsidP="000433C9">
      <w:pPr>
        <w:pStyle w:val="Brdtekst"/>
        <w:spacing w:before="3"/>
        <w:ind w:right="-1"/>
        <w:rPr>
          <w:sz w:val="24"/>
          <w:szCs w:val="24"/>
          <w:lang w:val="da-DK"/>
        </w:rPr>
      </w:pPr>
    </w:p>
    <w:p w:rsidR="000433C9" w:rsidRDefault="000433C9" w:rsidP="000433C9">
      <w:pPr>
        <w:pStyle w:val="Brdtekst"/>
        <w:ind w:left="298" w:right="-1" w:firstLine="553"/>
        <w:rPr>
          <w:sz w:val="24"/>
          <w:szCs w:val="24"/>
          <w:lang w:val="da-DK"/>
        </w:rPr>
      </w:pPr>
      <w:r>
        <w:rPr>
          <w:sz w:val="24"/>
          <w:szCs w:val="24"/>
          <w:u w:val="single"/>
          <w:lang w:val="da-DK"/>
        </w:rPr>
        <w:t>Dosering</w:t>
      </w:r>
    </w:p>
    <w:p w:rsidR="000433C9" w:rsidRDefault="000433C9" w:rsidP="000433C9">
      <w:pPr>
        <w:pStyle w:val="Brdtekst"/>
        <w:spacing w:before="1"/>
        <w:ind w:right="-1"/>
        <w:rPr>
          <w:sz w:val="24"/>
          <w:szCs w:val="24"/>
          <w:lang w:val="da-DK"/>
        </w:rPr>
      </w:pPr>
    </w:p>
    <w:p w:rsidR="000433C9" w:rsidRDefault="000433C9" w:rsidP="000433C9">
      <w:pPr>
        <w:spacing w:before="91" w:line="252" w:lineRule="exact"/>
        <w:ind w:left="298" w:right="-1" w:firstLine="553"/>
        <w:rPr>
          <w:i/>
          <w:sz w:val="24"/>
          <w:szCs w:val="24"/>
        </w:rPr>
      </w:pPr>
      <w:r>
        <w:rPr>
          <w:i/>
          <w:sz w:val="24"/>
          <w:szCs w:val="24"/>
          <w:u w:val="single"/>
        </w:rPr>
        <w:t>Renal angiomyolipom i tilknytning til TSC</w:t>
      </w:r>
    </w:p>
    <w:p w:rsidR="000433C9" w:rsidRDefault="000433C9" w:rsidP="000433C9">
      <w:pPr>
        <w:pStyle w:val="Brdtekst"/>
        <w:ind w:left="851" w:right="-1"/>
        <w:rPr>
          <w:sz w:val="24"/>
          <w:szCs w:val="24"/>
          <w:lang w:val="da-DK"/>
        </w:rPr>
      </w:pPr>
      <w:r>
        <w:rPr>
          <w:sz w:val="24"/>
          <w:szCs w:val="24"/>
          <w:lang w:val="da-DK"/>
        </w:rPr>
        <w:t>Den anbefalede dosis af everolimus er 10 mg en gang dagligt. Behandling bør fortsætte så længe, der observeres en klinisk fordel eller indtil uacceptabel toksicitet.</w:t>
      </w:r>
    </w:p>
    <w:p w:rsidR="000433C9" w:rsidRDefault="000433C9" w:rsidP="000433C9">
      <w:pPr>
        <w:pStyle w:val="Brdtekst"/>
        <w:spacing w:line="242" w:lineRule="auto"/>
        <w:ind w:left="851" w:right="-1"/>
        <w:rPr>
          <w:sz w:val="24"/>
          <w:szCs w:val="24"/>
          <w:lang w:val="da-DK"/>
        </w:rPr>
      </w:pPr>
      <w:r>
        <w:rPr>
          <w:sz w:val="24"/>
          <w:szCs w:val="24"/>
          <w:lang w:val="da-DK"/>
        </w:rPr>
        <w:t>Hvis en dosis glemmes, må patienten ikke tage en ekstra dosis, men skal tage den næste sædvanlige dosis.</w:t>
      </w:r>
    </w:p>
    <w:p w:rsidR="000433C9" w:rsidRDefault="000433C9" w:rsidP="000433C9">
      <w:pPr>
        <w:pStyle w:val="Brdtekst"/>
        <w:spacing w:before="6"/>
        <w:ind w:right="-1"/>
        <w:rPr>
          <w:sz w:val="24"/>
          <w:szCs w:val="24"/>
          <w:lang w:val="da-DK"/>
        </w:rPr>
      </w:pPr>
    </w:p>
    <w:p w:rsidR="000433C9" w:rsidRDefault="000433C9" w:rsidP="000433C9">
      <w:pPr>
        <w:spacing w:line="252" w:lineRule="exact"/>
        <w:ind w:left="298" w:right="-1" w:firstLine="553"/>
        <w:rPr>
          <w:i/>
          <w:sz w:val="24"/>
          <w:szCs w:val="24"/>
        </w:rPr>
      </w:pPr>
      <w:r>
        <w:rPr>
          <w:i/>
          <w:sz w:val="24"/>
          <w:szCs w:val="24"/>
          <w:u w:val="single"/>
        </w:rPr>
        <w:t>SEGA i tilknytning til TSC</w:t>
      </w:r>
    </w:p>
    <w:p w:rsidR="000433C9" w:rsidRDefault="000433C9" w:rsidP="000433C9">
      <w:pPr>
        <w:pStyle w:val="Brdtekst"/>
        <w:ind w:left="851" w:right="-1"/>
        <w:rPr>
          <w:sz w:val="24"/>
          <w:szCs w:val="24"/>
          <w:lang w:val="da-DK"/>
        </w:rPr>
      </w:pPr>
      <w:r>
        <w:rPr>
          <w:sz w:val="24"/>
          <w:szCs w:val="24"/>
          <w:lang w:val="da-DK"/>
        </w:rPr>
        <w:t>Omhyggelig titrering kan være nødvendig for at opnå optimal terapeutisk virkning. Hvilke doser, der vil kunne tolereres og være virkningsfulde, varierer fra patient til patient. Samtidig antiepileptisk behandling kan påvirke metabolismen af everolimus og kan bidrage til denne forskel (se pkt. 4.5).</w:t>
      </w:r>
    </w:p>
    <w:p w:rsidR="000433C9" w:rsidRDefault="000433C9" w:rsidP="000433C9">
      <w:pPr>
        <w:pStyle w:val="Brdtekst"/>
        <w:ind w:left="851" w:right="-1"/>
        <w:rPr>
          <w:sz w:val="24"/>
          <w:szCs w:val="24"/>
          <w:lang w:val="da-DK"/>
        </w:rPr>
      </w:pPr>
      <w:r>
        <w:rPr>
          <w:sz w:val="24"/>
          <w:szCs w:val="24"/>
          <w:lang w:val="da-DK"/>
        </w:rPr>
        <w:t>Dosis er individuel, baseret på overfladeareal (</w:t>
      </w:r>
      <w:r>
        <w:rPr>
          <w:i/>
          <w:sz w:val="24"/>
          <w:szCs w:val="24"/>
          <w:lang w:val="da-DK"/>
        </w:rPr>
        <w:t>Body Surface Area (BSA)</w:t>
      </w:r>
      <w:r>
        <w:rPr>
          <w:sz w:val="24"/>
          <w:szCs w:val="24"/>
          <w:lang w:val="da-DK"/>
        </w:rPr>
        <w:t>) ved brug af Dubois formel, hvor vægt (W) angives i kilogram og højde (H) angives i</w:t>
      </w:r>
      <w:r>
        <w:rPr>
          <w:spacing w:val="-5"/>
          <w:sz w:val="24"/>
          <w:szCs w:val="24"/>
          <w:lang w:val="da-DK"/>
        </w:rPr>
        <w:t xml:space="preserve"> </w:t>
      </w:r>
      <w:r>
        <w:rPr>
          <w:sz w:val="24"/>
          <w:szCs w:val="24"/>
          <w:lang w:val="da-DK"/>
        </w:rPr>
        <w:t>centimeter:</w:t>
      </w:r>
    </w:p>
    <w:p w:rsidR="000433C9" w:rsidRDefault="000433C9" w:rsidP="000433C9">
      <w:pPr>
        <w:spacing w:line="253" w:lineRule="exact"/>
        <w:ind w:left="3309" w:right="-1"/>
        <w:rPr>
          <w:sz w:val="24"/>
          <w:szCs w:val="24"/>
        </w:rPr>
      </w:pPr>
      <w:r>
        <w:rPr>
          <w:sz w:val="24"/>
          <w:szCs w:val="24"/>
        </w:rPr>
        <w:t>BSA = (W</w:t>
      </w:r>
      <w:r>
        <w:rPr>
          <w:position w:val="8"/>
          <w:sz w:val="20"/>
        </w:rPr>
        <w:t>0,425</w:t>
      </w:r>
      <w:r>
        <w:rPr>
          <w:position w:val="8"/>
          <w:sz w:val="24"/>
          <w:szCs w:val="24"/>
        </w:rPr>
        <w:t xml:space="preserve"> </w:t>
      </w:r>
      <w:r>
        <w:rPr>
          <w:sz w:val="24"/>
          <w:szCs w:val="24"/>
        </w:rPr>
        <w:t>x H</w:t>
      </w:r>
      <w:r>
        <w:rPr>
          <w:position w:val="8"/>
          <w:sz w:val="24"/>
          <w:szCs w:val="24"/>
        </w:rPr>
        <w:t>0</w:t>
      </w:r>
      <w:r>
        <w:rPr>
          <w:position w:val="8"/>
          <w:sz w:val="20"/>
        </w:rPr>
        <w:t>,725</w:t>
      </w:r>
      <w:r>
        <w:rPr>
          <w:sz w:val="24"/>
          <w:szCs w:val="24"/>
        </w:rPr>
        <w:t>) x</w:t>
      </w:r>
      <w:r>
        <w:rPr>
          <w:spacing w:val="-5"/>
          <w:sz w:val="24"/>
          <w:szCs w:val="24"/>
        </w:rPr>
        <w:t xml:space="preserve"> </w:t>
      </w:r>
      <w:r>
        <w:rPr>
          <w:sz w:val="24"/>
          <w:szCs w:val="24"/>
        </w:rPr>
        <w:t>0,007184</w:t>
      </w:r>
    </w:p>
    <w:p w:rsidR="000433C9" w:rsidRDefault="000433C9" w:rsidP="000433C9">
      <w:pPr>
        <w:pStyle w:val="Brdtekst"/>
        <w:spacing w:before="9"/>
        <w:ind w:right="-1"/>
        <w:rPr>
          <w:sz w:val="24"/>
          <w:szCs w:val="24"/>
          <w:lang w:val="da-DK"/>
        </w:rPr>
      </w:pPr>
    </w:p>
    <w:p w:rsidR="000433C9" w:rsidRDefault="000433C9" w:rsidP="000433C9">
      <w:pPr>
        <w:pStyle w:val="Brdtekst"/>
        <w:spacing w:line="235" w:lineRule="auto"/>
        <w:ind w:left="851" w:right="-1"/>
        <w:rPr>
          <w:sz w:val="24"/>
          <w:szCs w:val="24"/>
          <w:lang w:val="da-DK"/>
        </w:rPr>
      </w:pPr>
      <w:r>
        <w:rPr>
          <w:sz w:val="24"/>
          <w:szCs w:val="24"/>
          <w:lang w:val="da-DK"/>
        </w:rPr>
        <w:t>Den anbefalede startdosis af everolimus til behandling af patienter med SEGA er 4,5 mg/m</w:t>
      </w:r>
      <w:r>
        <w:rPr>
          <w:position w:val="8"/>
          <w:sz w:val="20"/>
          <w:szCs w:val="20"/>
          <w:vertAlign w:val="superscript"/>
          <w:lang w:val="da-DK"/>
        </w:rPr>
        <w:t>2</w:t>
      </w:r>
      <w:r>
        <w:rPr>
          <w:sz w:val="24"/>
          <w:szCs w:val="24"/>
          <w:lang w:val="da-DK"/>
        </w:rPr>
        <w:t>. Hos patienter fra 1 år til under 3 år anbefales en højere startdosis på 7 mg/m</w:t>
      </w:r>
      <w:r>
        <w:rPr>
          <w:position w:val="8"/>
          <w:sz w:val="20"/>
          <w:szCs w:val="20"/>
          <w:vertAlign w:val="superscript"/>
          <w:lang w:val="da-DK"/>
        </w:rPr>
        <w:t>2</w:t>
      </w:r>
      <w:r>
        <w:rPr>
          <w:sz w:val="24"/>
          <w:szCs w:val="24"/>
          <w:lang w:val="da-DK"/>
        </w:rPr>
        <w:t>, baseret på farmakokinetiske simuleringer (se pkt. 5.2). Forskellige styrker af Everolimus "Teva" kan kombineres for at opnå den ønskede dosis.</w:t>
      </w:r>
    </w:p>
    <w:p w:rsidR="000433C9" w:rsidRDefault="000433C9" w:rsidP="000433C9">
      <w:pPr>
        <w:pStyle w:val="Brdtekst"/>
        <w:spacing w:before="2"/>
        <w:ind w:right="-1"/>
        <w:rPr>
          <w:sz w:val="24"/>
          <w:szCs w:val="24"/>
          <w:lang w:val="da-DK"/>
        </w:rPr>
      </w:pPr>
    </w:p>
    <w:p w:rsidR="000433C9" w:rsidRDefault="000433C9" w:rsidP="000433C9">
      <w:pPr>
        <w:pStyle w:val="Brdtekst"/>
        <w:spacing w:before="1"/>
        <w:ind w:left="851" w:right="-1"/>
        <w:rPr>
          <w:sz w:val="24"/>
          <w:szCs w:val="24"/>
          <w:lang w:val="da-DK"/>
        </w:rPr>
      </w:pPr>
      <w:r>
        <w:rPr>
          <w:sz w:val="24"/>
          <w:szCs w:val="24"/>
          <w:lang w:val="da-DK"/>
        </w:rPr>
        <w:t>Everolimus-dal-koncentrationer i fuldblod skal vurderes mindst 1 uge efter behandlingsstart. Dosis bør titreres, så der opnås dal-koncentrationer på 5 til 15 nanogram/ml. Dosis kan øges, for at opnå en højere dal-koncentration inden for det målrettede interval, for at opnå optimal effekt under hensyntagen til tolerabiliteten.</w:t>
      </w:r>
    </w:p>
    <w:p w:rsidR="000433C9" w:rsidRDefault="000433C9" w:rsidP="000433C9">
      <w:pPr>
        <w:pStyle w:val="Brdtekst"/>
        <w:spacing w:before="1"/>
        <w:ind w:left="851" w:right="-1"/>
        <w:rPr>
          <w:sz w:val="24"/>
          <w:szCs w:val="24"/>
          <w:lang w:val="da-DK"/>
        </w:rPr>
      </w:pPr>
    </w:p>
    <w:p w:rsidR="000433C9" w:rsidRDefault="000433C9" w:rsidP="000433C9">
      <w:pPr>
        <w:pStyle w:val="Brdtekst"/>
        <w:spacing w:before="70"/>
        <w:ind w:left="851" w:right="-1"/>
        <w:rPr>
          <w:sz w:val="24"/>
          <w:szCs w:val="24"/>
          <w:lang w:val="da-DK"/>
        </w:rPr>
      </w:pPr>
      <w:r>
        <w:rPr>
          <w:sz w:val="24"/>
          <w:szCs w:val="24"/>
          <w:lang w:val="da-DK"/>
        </w:rPr>
        <w:t>Individualiseret dosering bør titreres ved at øge dosis i trin af 2,5 mg for at nå mål-dal-koncentrationen for optimalt klinisk respons. Virkning, sikkerhed, samtidig behandling og den aktuelle dal-koncentration bør tages i betragtning ved planlægning af dosistitrering. Individualiseret dosistitrering kan baseres på simpel forholdsregning:</w:t>
      </w:r>
    </w:p>
    <w:p w:rsidR="000433C9" w:rsidRDefault="000433C9" w:rsidP="000433C9">
      <w:pPr>
        <w:pStyle w:val="Brdtekst"/>
        <w:spacing w:before="2"/>
        <w:ind w:left="2608" w:right="-1"/>
        <w:rPr>
          <w:sz w:val="24"/>
          <w:szCs w:val="24"/>
          <w:lang w:val="da-DK"/>
        </w:rPr>
      </w:pPr>
      <w:r>
        <w:rPr>
          <w:sz w:val="24"/>
          <w:szCs w:val="24"/>
          <w:lang w:val="da-DK"/>
        </w:rPr>
        <w:t>Ny everolimusdosis = aktuel dosis x (målkoncentration/aktuel koncentration)</w:t>
      </w:r>
    </w:p>
    <w:p w:rsidR="000433C9" w:rsidRDefault="000433C9" w:rsidP="000433C9">
      <w:pPr>
        <w:pStyle w:val="Brdtekst"/>
        <w:ind w:right="-1"/>
        <w:rPr>
          <w:sz w:val="24"/>
          <w:szCs w:val="24"/>
          <w:lang w:val="da-DK"/>
        </w:rPr>
      </w:pPr>
    </w:p>
    <w:p w:rsidR="000433C9" w:rsidRDefault="000433C9" w:rsidP="000433C9">
      <w:pPr>
        <w:pStyle w:val="Brdtekst"/>
        <w:ind w:left="851" w:right="-1"/>
        <w:rPr>
          <w:sz w:val="24"/>
          <w:szCs w:val="24"/>
          <w:lang w:val="da-DK"/>
        </w:rPr>
      </w:pPr>
      <w:r>
        <w:rPr>
          <w:sz w:val="24"/>
          <w:szCs w:val="24"/>
          <w:lang w:val="da-DK"/>
        </w:rPr>
        <w:t xml:space="preserve">For eksempel: en patients aktuelle BSA-baserede dosis er 2,5 mg med en </w:t>
      </w:r>
      <w:r>
        <w:rPr>
          <w:i/>
          <w:sz w:val="24"/>
          <w:szCs w:val="24"/>
          <w:lang w:val="da-DK"/>
        </w:rPr>
        <w:t>steady state</w:t>
      </w:r>
      <w:r>
        <w:rPr>
          <w:sz w:val="24"/>
          <w:szCs w:val="24"/>
          <w:lang w:val="da-DK"/>
        </w:rPr>
        <w:t xml:space="preserve">-koncentration på </w:t>
      </w:r>
      <w:r>
        <w:rPr>
          <w:position w:val="2"/>
          <w:sz w:val="24"/>
          <w:szCs w:val="24"/>
          <w:lang w:val="da-DK"/>
        </w:rPr>
        <w:t>4 nanogram/ml. For at opnå en målkoncentration over den nedre C</w:t>
      </w:r>
      <w:r>
        <w:rPr>
          <w:sz w:val="24"/>
          <w:szCs w:val="24"/>
          <w:vertAlign w:val="subscript"/>
          <w:lang w:val="da-DK"/>
        </w:rPr>
        <w:t>min</w:t>
      </w:r>
      <w:r>
        <w:rPr>
          <w:position w:val="2"/>
          <w:sz w:val="24"/>
          <w:szCs w:val="24"/>
          <w:lang w:val="da-DK"/>
        </w:rPr>
        <w:t xml:space="preserve">-grænse på 5 nanogram/ml, fx </w:t>
      </w:r>
      <w:r>
        <w:rPr>
          <w:sz w:val="24"/>
          <w:szCs w:val="24"/>
          <w:lang w:val="da-DK"/>
        </w:rPr>
        <w:t>8 nanogram/ml, skal den nye everolimusdosis være 5 mg (en stigning på 2,5 mg i forhold til den aktuelle daglige dosis). I tilfælde, hvor den reviderede dosis ikke er et multiplum af 2,5 mg, skal den rundes op til næste tilgængelige tablet-styrke.</w:t>
      </w:r>
    </w:p>
    <w:p w:rsidR="000433C9" w:rsidRDefault="000433C9" w:rsidP="000433C9">
      <w:pPr>
        <w:pStyle w:val="Brdtekst"/>
        <w:spacing w:before="8"/>
        <w:ind w:right="-1"/>
        <w:rPr>
          <w:sz w:val="24"/>
          <w:szCs w:val="24"/>
          <w:lang w:val="da-DK"/>
        </w:rPr>
      </w:pPr>
    </w:p>
    <w:p w:rsidR="000433C9" w:rsidRDefault="000433C9" w:rsidP="000433C9">
      <w:pPr>
        <w:pStyle w:val="Brdtekst"/>
        <w:ind w:left="851" w:right="-1"/>
        <w:rPr>
          <w:sz w:val="24"/>
          <w:szCs w:val="24"/>
          <w:lang w:val="da-DK"/>
        </w:rPr>
      </w:pPr>
      <w:r>
        <w:rPr>
          <w:sz w:val="24"/>
          <w:szCs w:val="24"/>
          <w:lang w:val="da-DK"/>
        </w:rPr>
        <w:t>Dosisanbefalinger for pædiatriske patienter med SEGA stemmer overens med anbefalingerne for voksne med SEGA, bortset fra for patienter mellem 1 år til under 3 år og patienter med nedsat leverfunktion (se afsnittet om ”Nedsat leverfunktion” nedenfor og pkt. 5.2).</w:t>
      </w:r>
    </w:p>
    <w:p w:rsidR="000433C9" w:rsidRDefault="000433C9" w:rsidP="000433C9">
      <w:pPr>
        <w:pStyle w:val="Brdtekst"/>
        <w:spacing w:before="1"/>
        <w:ind w:right="-1"/>
        <w:rPr>
          <w:sz w:val="24"/>
          <w:szCs w:val="24"/>
          <w:lang w:val="da-DK"/>
        </w:rPr>
      </w:pPr>
    </w:p>
    <w:p w:rsidR="000433C9" w:rsidRDefault="000433C9" w:rsidP="000433C9">
      <w:pPr>
        <w:pStyle w:val="Brdtekst"/>
        <w:ind w:left="851" w:right="-1"/>
        <w:rPr>
          <w:sz w:val="24"/>
          <w:szCs w:val="24"/>
          <w:lang w:val="da-DK"/>
        </w:rPr>
      </w:pPr>
      <w:r>
        <w:rPr>
          <w:sz w:val="24"/>
          <w:szCs w:val="24"/>
          <w:lang w:val="da-DK"/>
        </w:rPr>
        <w:t>SEGA-volumen bør evalueres ca. hver 3. måned efter påbegyndelse af everolimus-</w:t>
      </w:r>
      <w:r>
        <w:rPr>
          <w:sz w:val="24"/>
          <w:szCs w:val="24"/>
          <w:lang w:val="da-DK"/>
        </w:rPr>
        <w:lastRenderedPageBreak/>
        <w:t>behandling, og ved efterfølgende dosisjusteringer skal ændringer i SEGA-volumen, tilhørende dal-koncentrationer er og tolerabilitet tages i betragtning.</w:t>
      </w:r>
    </w:p>
    <w:p w:rsidR="000433C9" w:rsidRDefault="000433C9" w:rsidP="000433C9">
      <w:pPr>
        <w:pStyle w:val="Brdtekst"/>
        <w:spacing w:before="1"/>
        <w:rPr>
          <w:sz w:val="24"/>
          <w:szCs w:val="24"/>
          <w:lang w:val="da-DK"/>
        </w:rPr>
      </w:pPr>
    </w:p>
    <w:p w:rsidR="000433C9" w:rsidRDefault="000433C9" w:rsidP="000433C9">
      <w:pPr>
        <w:pStyle w:val="Brdtekst"/>
        <w:ind w:left="851" w:right="-1"/>
        <w:rPr>
          <w:sz w:val="24"/>
          <w:szCs w:val="24"/>
          <w:lang w:val="da-DK"/>
        </w:rPr>
      </w:pPr>
      <w:r>
        <w:rPr>
          <w:sz w:val="24"/>
          <w:szCs w:val="24"/>
          <w:lang w:val="da-DK"/>
        </w:rPr>
        <w:t>Når en stabil dosis er opnået, skal dal-koncentrationen monitoreres hver 3. til 6. måned hos patienter med vekslende BSA eller hver 6. til 12. måned hos patienter med stabilt BSA, så længe behandlingen står på.</w:t>
      </w:r>
    </w:p>
    <w:p w:rsidR="000433C9" w:rsidRDefault="000433C9" w:rsidP="000433C9">
      <w:pPr>
        <w:pStyle w:val="Brdtekst"/>
        <w:spacing w:before="10"/>
        <w:ind w:right="-1"/>
        <w:rPr>
          <w:sz w:val="24"/>
          <w:szCs w:val="24"/>
          <w:lang w:val="da-DK"/>
        </w:rPr>
      </w:pPr>
    </w:p>
    <w:p w:rsidR="000433C9" w:rsidRDefault="000433C9" w:rsidP="000433C9">
      <w:pPr>
        <w:pStyle w:val="Brdtekst"/>
        <w:ind w:left="851" w:right="-1"/>
        <w:rPr>
          <w:sz w:val="24"/>
          <w:szCs w:val="24"/>
          <w:lang w:val="da-DK"/>
        </w:rPr>
      </w:pPr>
      <w:r>
        <w:rPr>
          <w:sz w:val="24"/>
          <w:szCs w:val="24"/>
          <w:lang w:val="da-DK"/>
        </w:rPr>
        <w:t>Behandling bør fortsætte, så længe der observeres en klinisk fordel eller indtil uacceptabel toksicitet.</w:t>
      </w:r>
    </w:p>
    <w:p w:rsidR="000433C9" w:rsidRDefault="000433C9" w:rsidP="000433C9">
      <w:pPr>
        <w:pStyle w:val="Brdtekst"/>
        <w:spacing w:before="1"/>
        <w:ind w:right="-1"/>
        <w:rPr>
          <w:sz w:val="24"/>
          <w:szCs w:val="24"/>
          <w:lang w:val="da-DK"/>
        </w:rPr>
      </w:pPr>
    </w:p>
    <w:p w:rsidR="000433C9" w:rsidRDefault="000433C9" w:rsidP="000433C9">
      <w:pPr>
        <w:pStyle w:val="Brdtekst"/>
        <w:ind w:left="851" w:right="-1"/>
        <w:rPr>
          <w:sz w:val="24"/>
          <w:szCs w:val="24"/>
          <w:lang w:val="da-DK"/>
        </w:rPr>
      </w:pPr>
      <w:r>
        <w:rPr>
          <w:sz w:val="24"/>
          <w:szCs w:val="24"/>
          <w:lang w:val="da-DK"/>
        </w:rPr>
        <w:t>Hvis en dosis glemmes, må patienten ikke tage en ekstra dosis, men skal tage den næste sædvanlige ordinerede dosis.</w:t>
      </w:r>
    </w:p>
    <w:p w:rsidR="000433C9" w:rsidRDefault="000433C9" w:rsidP="000433C9">
      <w:pPr>
        <w:pStyle w:val="Brdtekst"/>
        <w:spacing w:before="11"/>
        <w:ind w:right="-1"/>
        <w:rPr>
          <w:sz w:val="24"/>
          <w:szCs w:val="24"/>
          <w:lang w:val="da-DK"/>
        </w:rPr>
      </w:pPr>
    </w:p>
    <w:p w:rsidR="000433C9" w:rsidRDefault="000433C9" w:rsidP="000433C9">
      <w:pPr>
        <w:ind w:left="298" w:right="-1" w:firstLine="553"/>
        <w:rPr>
          <w:i/>
          <w:sz w:val="24"/>
          <w:szCs w:val="24"/>
        </w:rPr>
      </w:pPr>
      <w:r>
        <w:rPr>
          <w:i/>
          <w:sz w:val="24"/>
          <w:szCs w:val="24"/>
          <w:u w:val="single"/>
        </w:rPr>
        <w:t>Dosisjustering som følge af bivirkninger</w:t>
      </w:r>
    </w:p>
    <w:p w:rsidR="000433C9" w:rsidRDefault="000433C9" w:rsidP="000433C9">
      <w:pPr>
        <w:pStyle w:val="Brdtekst"/>
        <w:spacing w:before="1"/>
        <w:ind w:left="851" w:right="-1"/>
        <w:rPr>
          <w:sz w:val="24"/>
          <w:szCs w:val="24"/>
          <w:lang w:val="da-DK"/>
        </w:rPr>
      </w:pPr>
      <w:r>
        <w:rPr>
          <w:sz w:val="24"/>
          <w:szCs w:val="24"/>
          <w:lang w:val="da-DK"/>
        </w:rPr>
        <w:t>Håndtering af svære og/eller uacceptable formodede bivirkninger kan kræve dosisreduktion og/eller midlertidig afbrydelse af everolimus-behandlingen. For bivirkninger af Grad 1 er dosisjustering normalt ikke påkrævet. Hvis dosisreduktion er nødvendig, er den anbefalede dosis ca. 50 % lavere end den tidligere anvendte daglige dosis. For dosisreduktioner under den lavest tilgængelige styrke, kan dosering hver anden dag overvejes.</w:t>
      </w:r>
    </w:p>
    <w:p w:rsidR="000433C9" w:rsidRDefault="000433C9" w:rsidP="000433C9">
      <w:pPr>
        <w:pStyle w:val="Brdtekst"/>
        <w:spacing w:before="11"/>
        <w:rPr>
          <w:sz w:val="24"/>
          <w:szCs w:val="24"/>
          <w:lang w:val="da-DK"/>
        </w:rPr>
      </w:pPr>
    </w:p>
    <w:p w:rsidR="000433C9" w:rsidRDefault="000433C9" w:rsidP="000433C9">
      <w:pPr>
        <w:pStyle w:val="Brdtekst"/>
        <w:spacing w:before="1"/>
        <w:ind w:left="851" w:right="-1"/>
        <w:rPr>
          <w:sz w:val="24"/>
          <w:szCs w:val="24"/>
          <w:lang w:val="da-DK"/>
        </w:rPr>
      </w:pPr>
      <w:r>
        <w:rPr>
          <w:sz w:val="24"/>
          <w:szCs w:val="24"/>
          <w:lang w:val="da-DK"/>
        </w:rPr>
        <w:t>Tabel 2 opsummerer anbefalinger for dosisjustering ved specifikke bivirkninger (se også pkt. 4.4).</w:t>
      </w:r>
    </w:p>
    <w:p w:rsidR="000433C9" w:rsidRDefault="000433C9" w:rsidP="000433C9">
      <w:pPr>
        <w:pStyle w:val="Brdtekst"/>
        <w:spacing w:before="1"/>
        <w:ind w:left="851" w:right="-1"/>
        <w:rPr>
          <w:sz w:val="24"/>
          <w:szCs w:val="24"/>
          <w:lang w:val="da-DK"/>
        </w:rPr>
      </w:pPr>
    </w:p>
    <w:p w:rsidR="000433C9" w:rsidRDefault="000433C9" w:rsidP="000433C9">
      <w:pPr>
        <w:pStyle w:val="Brdtekst"/>
        <w:tabs>
          <w:tab w:val="left" w:pos="2268"/>
          <w:tab w:val="left" w:pos="2835"/>
        </w:tabs>
        <w:spacing w:before="1"/>
        <w:ind w:left="851" w:right="-1"/>
        <w:rPr>
          <w:b/>
          <w:bCs/>
          <w:lang w:val="nb-NO"/>
        </w:rPr>
      </w:pPr>
      <w:r>
        <w:rPr>
          <w:b/>
          <w:bCs/>
          <w:lang w:val="nb-NO"/>
        </w:rPr>
        <w:t>Tabel 2</w:t>
      </w:r>
      <w:r>
        <w:rPr>
          <w:b/>
          <w:bCs/>
          <w:lang w:val="nb-NO"/>
        </w:rPr>
        <w:tab/>
        <w:t>Anbefalinger for dosisjustering af everolimus</w:t>
      </w:r>
    </w:p>
    <w:p w:rsidR="000433C9" w:rsidRDefault="000433C9" w:rsidP="000433C9">
      <w:pPr>
        <w:pStyle w:val="Default"/>
        <w:ind w:left="851"/>
        <w:rPr>
          <w:lang w:val="nb-NO"/>
        </w:rPr>
      </w:pPr>
    </w:p>
    <w:p w:rsidR="000433C9" w:rsidRDefault="000433C9" w:rsidP="000433C9">
      <w:pPr>
        <w:pStyle w:val="Brdtekst"/>
        <w:spacing w:before="1" w:after="1"/>
        <w:rPr>
          <w:b/>
          <w:lang w:val="da-DK"/>
        </w:rPr>
      </w:pPr>
    </w:p>
    <w:tbl>
      <w:tblPr>
        <w:tblW w:w="0" w:type="auto"/>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1786"/>
        <w:gridCol w:w="1851"/>
        <w:gridCol w:w="37"/>
        <w:gridCol w:w="5624"/>
        <w:gridCol w:w="6"/>
      </w:tblGrid>
      <w:tr w:rsidR="000433C9" w:rsidTr="000433C9">
        <w:trPr>
          <w:gridBefore w:val="1"/>
          <w:gridAfter w:val="1"/>
          <w:wBefore w:w="6" w:type="dxa"/>
          <w:wAfter w:w="6" w:type="dxa"/>
          <w:trHeight w:val="251"/>
        </w:trPr>
        <w:tc>
          <w:tcPr>
            <w:tcW w:w="1786" w:type="dxa"/>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2" w:lineRule="exact"/>
              <w:ind w:left="116"/>
              <w:rPr>
                <w:b/>
              </w:rPr>
            </w:pPr>
            <w:r>
              <w:rPr>
                <w:b/>
              </w:rPr>
              <w:t>Bivirkning</w:t>
            </w:r>
          </w:p>
        </w:tc>
        <w:tc>
          <w:tcPr>
            <w:tcW w:w="1851" w:type="dxa"/>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2" w:lineRule="exact"/>
              <w:ind w:left="353"/>
              <w:rPr>
                <w:b/>
                <w:sz w:val="14"/>
              </w:rPr>
            </w:pPr>
            <w:r>
              <w:rPr>
                <w:b/>
              </w:rPr>
              <w:t>Sværhedsgrad</w:t>
            </w:r>
            <w:r>
              <w:rPr>
                <w:b/>
                <w:position w:val="8"/>
                <w:sz w:val="14"/>
              </w:rPr>
              <w:t>1</w:t>
            </w:r>
          </w:p>
        </w:tc>
        <w:tc>
          <w:tcPr>
            <w:tcW w:w="5661"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2" w:lineRule="exact"/>
              <w:ind w:left="162"/>
              <w:rPr>
                <w:b/>
              </w:rPr>
            </w:pPr>
            <w:r>
              <w:rPr>
                <w:b/>
              </w:rPr>
              <w:t>Dosisjustering af everolimus</w:t>
            </w:r>
          </w:p>
        </w:tc>
      </w:tr>
      <w:tr w:rsidR="000433C9" w:rsidTr="000433C9">
        <w:trPr>
          <w:gridBefore w:val="1"/>
          <w:gridAfter w:val="1"/>
          <w:wBefore w:w="6" w:type="dxa"/>
          <w:wAfter w:w="6" w:type="dxa"/>
          <w:trHeight w:val="1538"/>
        </w:trPr>
        <w:tc>
          <w:tcPr>
            <w:tcW w:w="1786" w:type="dxa"/>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before="1"/>
              <w:ind w:left="116" w:right="334"/>
            </w:pPr>
            <w:r>
              <w:t>Non-infektiøs pneumonitis</w:t>
            </w:r>
          </w:p>
        </w:tc>
        <w:tc>
          <w:tcPr>
            <w:tcW w:w="1851" w:type="dxa"/>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2</w:t>
            </w:r>
          </w:p>
        </w:tc>
        <w:tc>
          <w:tcPr>
            <w:tcW w:w="5661"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spacing w:before="1"/>
              <w:ind w:left="162" w:right="145"/>
            </w:pPr>
            <w:r w:rsidRPr="000433C9">
              <w:t xml:space="preserve">Overvej pause i behandlingen, indtil symptomerne forbedres til Grad </w:t>
            </w:r>
            <w:r>
              <w:rPr>
                <w:rFonts w:ascii="Symbol" w:hAnsi="Symbol"/>
              </w:rPr>
              <w:t></w:t>
            </w:r>
            <w:r w:rsidRPr="000433C9">
              <w:t>1.</w:t>
            </w:r>
          </w:p>
          <w:p w:rsidR="000433C9" w:rsidRPr="000433C9" w:rsidRDefault="000433C9">
            <w:pPr>
              <w:pStyle w:val="TableParagraph"/>
              <w:ind w:left="162" w:right="169"/>
            </w:pPr>
            <w:r w:rsidRPr="000433C9">
              <w:t>Genoptag behandlingen med everolimus i en dosis, der er 50 % lavere and den tidligere anvendte daglige dosis.</w:t>
            </w:r>
          </w:p>
          <w:p w:rsidR="000433C9" w:rsidRDefault="000433C9">
            <w:pPr>
              <w:pStyle w:val="TableParagraph"/>
              <w:spacing w:before="2" w:line="252" w:lineRule="exact"/>
              <w:ind w:left="162" w:right="310"/>
              <w:rPr>
                <w:lang w:val="da-DK"/>
              </w:rPr>
            </w:pPr>
            <w:r>
              <w:rPr>
                <w:lang w:val="da-DK"/>
              </w:rPr>
              <w:t>Seponer behandlingen, hvis der ikke registreres en bedring inden for 4 uger.</w:t>
            </w:r>
          </w:p>
        </w:tc>
      </w:tr>
      <w:tr w:rsidR="000433C9" w:rsidTr="000433C9">
        <w:trPr>
          <w:gridBefore w:val="1"/>
          <w:gridAfter w:val="1"/>
          <w:wBefore w:w="6" w:type="dxa"/>
          <w:wAfter w:w="6" w:type="dxa"/>
          <w:trHeight w:val="1535"/>
        </w:trPr>
        <w:tc>
          <w:tcPr>
            <w:tcW w:w="1786" w:type="dxa"/>
            <w:vMerge/>
            <w:tcBorders>
              <w:top w:val="single" w:sz="4" w:space="0" w:color="000000"/>
              <w:left w:val="single" w:sz="4" w:space="0" w:color="000000"/>
              <w:bottom w:val="single" w:sz="4" w:space="0" w:color="000000"/>
              <w:right w:val="single" w:sz="4" w:space="0" w:color="000000"/>
            </w:tcBorders>
            <w:vAlign w:val="center"/>
            <w:hideMark/>
          </w:tcPr>
          <w:p w:rsidR="000433C9" w:rsidRPr="000433C9" w:rsidRDefault="000433C9">
            <w:pPr>
              <w:rPr>
                <w:sz w:val="22"/>
                <w:szCs w:val="22"/>
              </w:rPr>
            </w:pPr>
          </w:p>
        </w:tc>
        <w:tc>
          <w:tcPr>
            <w:tcW w:w="1851" w:type="dxa"/>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3</w:t>
            </w:r>
          </w:p>
        </w:tc>
        <w:tc>
          <w:tcPr>
            <w:tcW w:w="5661"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ind w:left="162" w:right="671"/>
              <w:jc w:val="both"/>
            </w:pPr>
            <w:r w:rsidRPr="000433C9">
              <w:t xml:space="preserve">Afbryd behandlingen, indtil symptomerne forbedres til Grad </w:t>
            </w:r>
            <w:r>
              <w:rPr>
                <w:rFonts w:ascii="Symbol" w:hAnsi="Symbol"/>
              </w:rPr>
              <w:t></w:t>
            </w:r>
            <w:r w:rsidRPr="000433C9">
              <w:t>1.</w:t>
            </w:r>
          </w:p>
          <w:p w:rsidR="000433C9" w:rsidRDefault="000433C9">
            <w:pPr>
              <w:pStyle w:val="TableParagraph"/>
              <w:ind w:left="162" w:right="234"/>
              <w:rPr>
                <w:lang w:val="da-DK"/>
              </w:rPr>
            </w:pPr>
            <w:r w:rsidRPr="000433C9">
              <w:t xml:space="preserve">Overvej at genoptage behandlingen med everolimus i en dosis, der er 50 % lavere and den tidligere anvendte daglige dosis. </w:t>
            </w:r>
            <w:r>
              <w:rPr>
                <w:lang w:val="da-DK"/>
              </w:rPr>
              <w:t>Hvis der igen opstår toksisitet af Grad 3, skal seponering overvejes.</w:t>
            </w:r>
          </w:p>
        </w:tc>
      </w:tr>
      <w:tr w:rsidR="000433C9" w:rsidTr="000433C9">
        <w:trPr>
          <w:gridBefore w:val="1"/>
          <w:gridAfter w:val="1"/>
          <w:wBefore w:w="6" w:type="dxa"/>
          <w:wAfter w:w="6" w:type="dxa"/>
          <w:trHeight w:val="250"/>
        </w:trPr>
        <w:tc>
          <w:tcPr>
            <w:tcW w:w="1786" w:type="dxa"/>
            <w:vMerge/>
            <w:tcBorders>
              <w:top w:val="single" w:sz="4" w:space="0" w:color="000000"/>
              <w:left w:val="single" w:sz="4" w:space="0" w:color="000000"/>
              <w:bottom w:val="single" w:sz="4" w:space="0" w:color="000000"/>
              <w:right w:val="single" w:sz="4" w:space="0" w:color="000000"/>
            </w:tcBorders>
            <w:vAlign w:val="center"/>
            <w:hideMark/>
          </w:tcPr>
          <w:p w:rsidR="000433C9" w:rsidRPr="000433C9" w:rsidRDefault="000433C9">
            <w:pPr>
              <w:rPr>
                <w:sz w:val="22"/>
                <w:szCs w:val="22"/>
              </w:rPr>
            </w:pPr>
          </w:p>
        </w:tc>
        <w:tc>
          <w:tcPr>
            <w:tcW w:w="1851" w:type="dxa"/>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4</w:t>
            </w:r>
          </w:p>
        </w:tc>
        <w:tc>
          <w:tcPr>
            <w:tcW w:w="5661"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1" w:lineRule="exact"/>
              <w:ind w:left="162"/>
            </w:pPr>
            <w:r>
              <w:t>Seponer everolimus.</w:t>
            </w:r>
          </w:p>
        </w:tc>
      </w:tr>
      <w:tr w:rsidR="000433C9" w:rsidTr="000433C9">
        <w:trPr>
          <w:trHeight w:val="1551"/>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22"/>
            </w:pPr>
            <w:r>
              <w:t>Stomatitis</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2</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ind w:left="124" w:right="225"/>
              <w:rPr>
                <w:lang w:val="da-DK"/>
              </w:rPr>
            </w:pPr>
            <w:r w:rsidRPr="000433C9">
              <w:t xml:space="preserve">Midlertidig behandlingspause indtil bedring til Grad </w:t>
            </w:r>
            <w:r>
              <w:rPr>
                <w:rFonts w:ascii="Symbol" w:hAnsi="Symbol"/>
                <w:spacing w:val="-3"/>
              </w:rPr>
              <w:t></w:t>
            </w:r>
            <w:r w:rsidRPr="000433C9">
              <w:rPr>
                <w:spacing w:val="-3"/>
              </w:rPr>
              <w:t xml:space="preserve">1. </w:t>
            </w:r>
            <w:r w:rsidRPr="000433C9">
              <w:t xml:space="preserve">Genoptag behandlingen med everolimus ved samme dosis. Hvis stomatitis recidiverer ved Grad 2, afbrydes behandlingen indtil bedring til Grad </w:t>
            </w:r>
            <w:r>
              <w:rPr>
                <w:rFonts w:ascii="Symbol" w:hAnsi="Symbol"/>
              </w:rPr>
              <w:t></w:t>
            </w:r>
            <w:r w:rsidRPr="000433C9">
              <w:t>1.</w:t>
            </w:r>
            <w:r w:rsidRPr="000433C9">
              <w:rPr>
                <w:spacing w:val="-6"/>
              </w:rPr>
              <w:t xml:space="preserve"> </w:t>
            </w:r>
            <w:r>
              <w:rPr>
                <w:lang w:val="da-DK"/>
              </w:rPr>
              <w:t>Genoptag</w:t>
            </w:r>
          </w:p>
          <w:p w:rsidR="000433C9" w:rsidRDefault="000433C9">
            <w:pPr>
              <w:pStyle w:val="TableParagraph"/>
              <w:spacing w:line="252" w:lineRule="exact"/>
              <w:ind w:left="124" w:right="122"/>
              <w:rPr>
                <w:lang w:val="da-DK"/>
              </w:rPr>
            </w:pPr>
            <w:r>
              <w:rPr>
                <w:lang w:val="da-DK"/>
              </w:rPr>
              <w:t>behandlingen med everolimus i en dosis, der er 50 % lavere and den tidligere anvendte daglige dosis.</w:t>
            </w:r>
          </w:p>
        </w:tc>
      </w:tr>
      <w:tr w:rsidR="000433C9" w:rsidRPr="006B16F7" w:rsidTr="000433C9">
        <w:trPr>
          <w:trHeight w:val="780"/>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3</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spacing w:line="235" w:lineRule="auto"/>
              <w:ind w:left="124" w:right="176"/>
            </w:pPr>
            <w:r w:rsidRPr="000433C9">
              <w:t xml:space="preserve">Midlertidig behandlingspause indtil bedring til Grad </w:t>
            </w:r>
            <w:r>
              <w:rPr>
                <w:rFonts w:ascii="Symbol" w:hAnsi="Symbol"/>
              </w:rPr>
              <w:t></w:t>
            </w:r>
            <w:r w:rsidRPr="000433C9">
              <w:t>1. Genoptag behandlingen med everolimus i en dosis, der er 50 % lavere and den tidligere anvendte daglige dosis.</w:t>
            </w:r>
          </w:p>
        </w:tc>
      </w:tr>
      <w:tr w:rsidR="000433C9" w:rsidTr="000433C9">
        <w:trPr>
          <w:trHeight w:val="248"/>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8" w:lineRule="exact"/>
              <w:ind w:left="116" w:right="105"/>
              <w:jc w:val="center"/>
            </w:pPr>
            <w:r>
              <w:t>Grad 4</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8" w:lineRule="exact"/>
              <w:ind w:left="124"/>
            </w:pPr>
            <w:r>
              <w:t>Seponer everolimus.</w:t>
            </w:r>
          </w:p>
        </w:tc>
      </w:tr>
      <w:tr w:rsidR="000433C9" w:rsidTr="000433C9">
        <w:trPr>
          <w:trHeight w:val="2057"/>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22"/>
              <w:rPr>
                <w:lang w:val="da-DK"/>
              </w:rPr>
            </w:pPr>
            <w:r>
              <w:rPr>
                <w:lang w:val="da-DK"/>
              </w:rPr>
              <w:lastRenderedPageBreak/>
              <w:t>Anden</w:t>
            </w:r>
          </w:p>
          <w:p w:rsidR="000433C9" w:rsidRDefault="000433C9">
            <w:pPr>
              <w:pStyle w:val="TableParagraph"/>
              <w:spacing w:before="1"/>
              <w:ind w:left="122" w:right="165"/>
              <w:rPr>
                <w:lang w:val="da-DK"/>
              </w:rPr>
            </w:pPr>
            <w:r>
              <w:rPr>
                <w:lang w:val="da-DK"/>
              </w:rPr>
              <w:t>non</w:t>
            </w:r>
            <w:r>
              <w:rPr>
                <w:rFonts w:ascii="Arial" w:hAnsi="Arial"/>
                <w:sz w:val="24"/>
                <w:lang w:val="da-DK"/>
              </w:rPr>
              <w:t>-</w:t>
            </w:r>
            <w:r>
              <w:rPr>
                <w:lang w:val="da-DK"/>
              </w:rPr>
              <w:t>hæmatologisk toksicitet (eksklusive metaboliske bivirkninger)</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2</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ind w:left="124" w:right="128"/>
            </w:pPr>
            <w:r w:rsidRPr="000433C9">
              <w:t xml:space="preserve">Hvis toksiciteten tolereres, er dosisjustering ikke nødvendig. Hvis toksiciteten ikke tolereres, pauseres behandlingen indtil bedring til Grad </w:t>
            </w:r>
            <w:r>
              <w:rPr>
                <w:rFonts w:ascii="Symbol" w:hAnsi="Symbol"/>
              </w:rPr>
              <w:t></w:t>
            </w:r>
            <w:r w:rsidRPr="000433C9">
              <w:t>1. Genoptag behandlingen med everolimus ved samme dosis.</w:t>
            </w:r>
          </w:p>
          <w:p w:rsidR="000433C9" w:rsidRDefault="000433C9">
            <w:pPr>
              <w:pStyle w:val="TableParagraph"/>
              <w:ind w:left="124" w:right="140"/>
              <w:rPr>
                <w:lang w:val="da-DK"/>
              </w:rPr>
            </w:pPr>
            <w:r>
              <w:rPr>
                <w:lang w:val="da-DK"/>
              </w:rPr>
              <w:t xml:space="preserve">Hvis toksicitet recidiverer ved Grad 2, afbrydes everolimus indtil bedring til Grad </w:t>
            </w:r>
            <w:r>
              <w:rPr>
                <w:rFonts w:ascii="Symbol" w:hAnsi="Symbol"/>
              </w:rPr>
              <w:t></w:t>
            </w:r>
            <w:r>
              <w:rPr>
                <w:lang w:val="da-DK"/>
              </w:rPr>
              <w:t>1. Genoptag behandlingen med everolimus i en dosis, der er 50 % lavere and den tidligere</w:t>
            </w:r>
          </w:p>
          <w:p w:rsidR="000433C9" w:rsidRDefault="000433C9">
            <w:pPr>
              <w:pStyle w:val="TableParagraph"/>
              <w:spacing w:line="242" w:lineRule="exact"/>
              <w:ind w:left="124"/>
            </w:pPr>
            <w:r>
              <w:t>anvendte daglige dosis.</w:t>
            </w:r>
          </w:p>
        </w:tc>
      </w:tr>
      <w:tr w:rsidR="000433C9" w:rsidTr="000433C9">
        <w:trPr>
          <w:trHeight w:val="1285"/>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16" w:right="105"/>
              <w:jc w:val="center"/>
            </w:pPr>
            <w:r>
              <w:t>Grad 3</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5" w:lineRule="auto"/>
              <w:ind w:left="124" w:right="225"/>
              <w:rPr>
                <w:lang w:val="da-DK"/>
              </w:rPr>
            </w:pPr>
            <w:r w:rsidRPr="000433C9">
              <w:t xml:space="preserve">Midlertidig behandlingspause indtil bedring til Grad </w:t>
            </w:r>
            <w:r>
              <w:rPr>
                <w:rFonts w:ascii="Symbol" w:hAnsi="Symbol"/>
              </w:rPr>
              <w:t></w:t>
            </w:r>
            <w:r w:rsidRPr="000433C9">
              <w:t xml:space="preserve">1. Overvej at genoptage behandlingen med everolimus i en dosis, der er 50 % lavere and den tidligere anvendte daglige dosis. </w:t>
            </w:r>
            <w:r>
              <w:rPr>
                <w:lang w:val="da-DK"/>
              </w:rPr>
              <w:t>Hvis toksisitet recidiverer ved Grad 3, kan seponering overvejes.</w:t>
            </w:r>
          </w:p>
        </w:tc>
      </w:tr>
      <w:tr w:rsidR="000433C9" w:rsidTr="000433C9">
        <w:trPr>
          <w:trHeight w:val="249"/>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9" w:lineRule="exact"/>
              <w:ind w:left="116" w:right="105"/>
              <w:jc w:val="center"/>
            </w:pPr>
            <w:r>
              <w:t>Grad 4</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9" w:lineRule="exact"/>
              <w:ind w:left="124"/>
            </w:pPr>
            <w:r>
              <w:t>Seponer everolimus.</w:t>
            </w:r>
          </w:p>
        </w:tc>
      </w:tr>
      <w:tr w:rsidR="000433C9" w:rsidTr="000433C9">
        <w:trPr>
          <w:trHeight w:val="411"/>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ind w:left="122" w:right="117"/>
              <w:rPr>
                <w:lang w:val="da-DK"/>
              </w:rPr>
            </w:pPr>
            <w:r>
              <w:rPr>
                <w:lang w:val="da-DK"/>
              </w:rPr>
              <w:t>Metaboliske bivirkninger (f.eks. hyperglykæmi, dyslipidæmi)</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16" w:right="105"/>
              <w:jc w:val="center"/>
            </w:pPr>
            <w:r>
              <w:t>Grad 2</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24"/>
            </w:pPr>
            <w:r>
              <w:t>Dosisjustering ikke nødvendig.</w:t>
            </w:r>
          </w:p>
        </w:tc>
      </w:tr>
      <w:tr w:rsidR="000433C9" w:rsidTr="000433C9">
        <w:trPr>
          <w:trHeight w:val="759"/>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1" w:lineRule="exact"/>
              <w:ind w:left="108" w:right="107"/>
              <w:jc w:val="center"/>
            </w:pPr>
            <w:r>
              <w:t>Grad 3</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1" w:lineRule="exact"/>
              <w:ind w:left="124"/>
              <w:rPr>
                <w:lang w:val="da-DK"/>
              </w:rPr>
            </w:pPr>
            <w:r>
              <w:rPr>
                <w:lang w:val="da-DK"/>
              </w:rPr>
              <w:t>Midlertidig behandlingspause.</w:t>
            </w:r>
          </w:p>
          <w:p w:rsidR="000433C9" w:rsidRDefault="000433C9">
            <w:pPr>
              <w:pStyle w:val="TableParagraph"/>
              <w:spacing w:before="1" w:line="254" w:lineRule="exact"/>
              <w:ind w:left="124" w:right="176"/>
              <w:rPr>
                <w:lang w:val="da-DK"/>
              </w:rPr>
            </w:pPr>
            <w:r>
              <w:rPr>
                <w:lang w:val="da-DK"/>
              </w:rPr>
              <w:t>Genoptag behandlingen med everolimus i en dosis, der er 50 % lavere and den tidligere anvendte daglige dosis.</w:t>
            </w:r>
          </w:p>
        </w:tc>
      </w:tr>
      <w:tr w:rsidR="000433C9" w:rsidTr="000433C9">
        <w:trPr>
          <w:trHeight w:val="248"/>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8" w:lineRule="exact"/>
              <w:ind w:left="116" w:right="105"/>
              <w:jc w:val="center"/>
            </w:pPr>
            <w:r>
              <w:t>Grad 4</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8" w:lineRule="exact"/>
              <w:ind w:left="124"/>
            </w:pPr>
            <w:r>
              <w:t>Seponer everolimus.</w:t>
            </w:r>
          </w:p>
        </w:tc>
      </w:tr>
      <w:tr w:rsidR="000433C9" w:rsidTr="000433C9">
        <w:trPr>
          <w:trHeight w:val="775"/>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6" w:lineRule="exact"/>
              <w:ind w:left="122"/>
            </w:pPr>
            <w:r>
              <w:t>Trombocytopeni</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16" w:right="105"/>
              <w:jc w:val="center"/>
            </w:pPr>
            <w:r>
              <w:t>Grad 2</w:t>
            </w:r>
          </w:p>
          <w:p w:rsidR="000433C9" w:rsidRDefault="000433C9">
            <w:pPr>
              <w:pStyle w:val="TableParagraph"/>
              <w:spacing w:line="255" w:lineRule="exact"/>
              <w:ind w:left="116" w:right="107"/>
              <w:jc w:val="center"/>
            </w:pPr>
            <w:r>
              <w:t>(&lt;75, ≥50x10</w:t>
            </w:r>
            <w:r>
              <w:rPr>
                <w:position w:val="8"/>
                <w:sz w:val="14"/>
              </w:rPr>
              <w:t>9</w:t>
            </w:r>
            <w:r>
              <w:t>/l)</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before="13" w:line="252" w:lineRule="exact"/>
              <w:ind w:left="124" w:right="599"/>
            </w:pPr>
            <w:r>
              <w:rPr>
                <w:lang w:val="da-DK"/>
              </w:rPr>
              <w:t xml:space="preserve">Midlertidig behandlingspause indtil bedring til Grad </w:t>
            </w:r>
            <w:r>
              <w:rPr>
                <w:rFonts w:ascii="Symbol" w:hAnsi="Symbol"/>
              </w:rPr>
              <w:t></w:t>
            </w:r>
            <w:r>
              <w:rPr>
                <w:lang w:val="da-DK"/>
              </w:rPr>
              <w:t>1 (≥75x10</w:t>
            </w:r>
            <w:r>
              <w:rPr>
                <w:position w:val="8"/>
                <w:sz w:val="14"/>
                <w:lang w:val="da-DK"/>
              </w:rPr>
              <w:t>9</w:t>
            </w:r>
            <w:r>
              <w:rPr>
                <w:lang w:val="da-DK"/>
              </w:rPr>
              <w:t xml:space="preserve">/l). </w:t>
            </w:r>
            <w:r>
              <w:t>Genoptag behandlingen med everolimus ved samme dosis.</w:t>
            </w:r>
          </w:p>
        </w:tc>
      </w:tr>
      <w:tr w:rsidR="000433C9" w:rsidRPr="006B16F7" w:rsidTr="000433C9">
        <w:trPr>
          <w:trHeight w:val="777"/>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2" w:lineRule="auto"/>
              <w:ind w:left="361" w:right="334" w:firstLine="7"/>
            </w:pPr>
            <w:r>
              <w:t>Grad 3 &amp; 4 (&lt;50x10</w:t>
            </w:r>
            <w:r>
              <w:rPr>
                <w:position w:val="8"/>
                <w:sz w:val="14"/>
              </w:rPr>
              <w:t>9</w:t>
            </w:r>
            <w:r>
              <w:t>/l)</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spacing w:line="230" w:lineRule="auto"/>
              <w:ind w:left="124" w:right="132"/>
            </w:pPr>
            <w:r w:rsidRPr="000433C9">
              <w:t xml:space="preserve">Midlertidig behandlingspause indtil bedring til Grad </w:t>
            </w:r>
            <w:r>
              <w:rPr>
                <w:rFonts w:ascii="Symbol" w:hAnsi="Symbol"/>
              </w:rPr>
              <w:t></w:t>
            </w:r>
            <w:r w:rsidRPr="000433C9">
              <w:t>1 (≥75x10</w:t>
            </w:r>
            <w:r w:rsidRPr="000433C9">
              <w:rPr>
                <w:position w:val="8"/>
                <w:sz w:val="14"/>
              </w:rPr>
              <w:t>9</w:t>
            </w:r>
            <w:r w:rsidRPr="000433C9">
              <w:t>/l). Genoptag behandlingen med everolimus i en dosis der er 50 % lavere and den tidligere anvendte daglige dosis.</w:t>
            </w:r>
          </w:p>
        </w:tc>
      </w:tr>
      <w:tr w:rsidR="000433C9" w:rsidTr="000433C9">
        <w:trPr>
          <w:trHeight w:val="504"/>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22"/>
            </w:pPr>
            <w:r>
              <w:t>Neutropeni</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0" w:lineRule="exact"/>
              <w:ind w:left="116" w:right="105"/>
              <w:jc w:val="center"/>
            </w:pPr>
            <w:r>
              <w:t>Grad 2</w:t>
            </w:r>
          </w:p>
          <w:p w:rsidR="000433C9" w:rsidRDefault="000433C9">
            <w:pPr>
              <w:pStyle w:val="TableParagraph"/>
              <w:spacing w:line="244" w:lineRule="exact"/>
              <w:ind w:left="114" w:right="107"/>
              <w:jc w:val="center"/>
            </w:pPr>
            <w:r>
              <w:t>(≥1x10</w:t>
            </w:r>
            <w:r>
              <w:rPr>
                <w:position w:val="8"/>
                <w:sz w:val="14"/>
              </w:rPr>
              <w:t>9</w:t>
            </w:r>
            <w:r>
              <w:t>/l)</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24"/>
            </w:pPr>
            <w:r>
              <w:t>Dosisjustering ikke nødvendig.</w:t>
            </w:r>
          </w:p>
        </w:tc>
      </w:tr>
      <w:tr w:rsidR="000433C9" w:rsidTr="000433C9">
        <w:trPr>
          <w:trHeight w:val="775"/>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2" w:lineRule="exact"/>
              <w:ind w:left="116" w:right="105"/>
              <w:jc w:val="center"/>
            </w:pPr>
            <w:r>
              <w:t>Grad 3</w:t>
            </w:r>
          </w:p>
          <w:p w:rsidR="000433C9" w:rsidRDefault="000433C9">
            <w:pPr>
              <w:pStyle w:val="TableParagraph"/>
              <w:spacing w:line="255" w:lineRule="exact"/>
              <w:ind w:left="114" w:right="107"/>
              <w:jc w:val="center"/>
            </w:pPr>
            <w:r>
              <w:t>(&lt;1, ≥0,5x10</w:t>
            </w:r>
            <w:r>
              <w:rPr>
                <w:position w:val="8"/>
                <w:sz w:val="14"/>
              </w:rPr>
              <w:t>9</w:t>
            </w:r>
            <w:r>
              <w:t>/l)</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before="13" w:line="252" w:lineRule="exact"/>
              <w:ind w:left="124" w:right="132"/>
            </w:pPr>
            <w:r>
              <w:rPr>
                <w:lang w:val="da-DK"/>
              </w:rPr>
              <w:t xml:space="preserve">Midlertidig behandlingspause indtil bedring til Grad </w:t>
            </w:r>
            <w:r>
              <w:rPr>
                <w:rFonts w:ascii="Symbol" w:hAnsi="Symbol"/>
              </w:rPr>
              <w:t></w:t>
            </w:r>
            <w:r>
              <w:rPr>
                <w:lang w:val="da-DK"/>
              </w:rPr>
              <w:t>2 (≥1x10</w:t>
            </w:r>
            <w:r>
              <w:rPr>
                <w:position w:val="8"/>
                <w:sz w:val="14"/>
                <w:lang w:val="da-DK"/>
              </w:rPr>
              <w:t>9</w:t>
            </w:r>
            <w:r>
              <w:rPr>
                <w:lang w:val="da-DK"/>
              </w:rPr>
              <w:t xml:space="preserve">/l). </w:t>
            </w:r>
            <w:r>
              <w:t>Genoptag behandlingen med everolimus ved samme dosis.</w:t>
            </w:r>
          </w:p>
        </w:tc>
      </w:tr>
      <w:tr w:rsidR="000433C9" w:rsidRPr="006B16F7" w:rsidTr="000433C9">
        <w:trPr>
          <w:trHeight w:val="776"/>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32" w:lineRule="auto"/>
              <w:ind w:left="332" w:right="308" w:firstLine="233"/>
            </w:pPr>
            <w:r>
              <w:t>Grad 4 (&lt;0,5x10</w:t>
            </w:r>
            <w:r>
              <w:rPr>
                <w:position w:val="8"/>
                <w:sz w:val="14"/>
              </w:rPr>
              <w:t>9</w:t>
            </w:r>
            <w:r>
              <w:t>/l)</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spacing w:line="230" w:lineRule="auto"/>
              <w:ind w:left="124" w:right="255"/>
            </w:pPr>
            <w:r w:rsidRPr="000433C9">
              <w:t xml:space="preserve">Midlertidig behandlingspause indtil bedring til Grad </w:t>
            </w:r>
            <w:r>
              <w:rPr>
                <w:rFonts w:ascii="Symbol" w:hAnsi="Symbol"/>
              </w:rPr>
              <w:t></w:t>
            </w:r>
            <w:r w:rsidRPr="000433C9">
              <w:t>2 (≥1x10</w:t>
            </w:r>
            <w:r w:rsidRPr="000433C9">
              <w:rPr>
                <w:position w:val="8"/>
                <w:sz w:val="14"/>
              </w:rPr>
              <w:t>9</w:t>
            </w:r>
            <w:r w:rsidRPr="000433C9">
              <w:t>/l). Genoptag behandlingen med everolimus i en</w:t>
            </w:r>
            <w:r w:rsidRPr="000433C9">
              <w:rPr>
                <w:spacing w:val="-13"/>
              </w:rPr>
              <w:t xml:space="preserve"> </w:t>
            </w:r>
            <w:r w:rsidRPr="000433C9">
              <w:t>dosis, der er 50 % lavere and den tidligere anvendte daglige</w:t>
            </w:r>
            <w:r w:rsidRPr="000433C9">
              <w:rPr>
                <w:spacing w:val="-15"/>
              </w:rPr>
              <w:t xml:space="preserve"> </w:t>
            </w:r>
            <w:r w:rsidRPr="000433C9">
              <w:t>dosis.</w:t>
            </w:r>
          </w:p>
        </w:tc>
      </w:tr>
      <w:tr w:rsidR="000433C9" w:rsidRPr="006B16F7" w:rsidTr="000433C9">
        <w:trPr>
          <w:trHeight w:val="1032"/>
        </w:trPr>
        <w:tc>
          <w:tcPr>
            <w:tcW w:w="1792" w:type="dxa"/>
            <w:gridSpan w:val="2"/>
            <w:vMerge w:val="restart"/>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3" w:lineRule="exact"/>
              <w:ind w:left="110"/>
            </w:pPr>
            <w:r>
              <w:t>Febril neutropeni</w:t>
            </w: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48" w:lineRule="exact"/>
              <w:ind w:left="108" w:right="107"/>
              <w:jc w:val="center"/>
            </w:pPr>
            <w:r>
              <w:t>Grad 3</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Pr="000433C9" w:rsidRDefault="000433C9">
            <w:pPr>
              <w:pStyle w:val="TableParagraph"/>
              <w:spacing w:line="230" w:lineRule="auto"/>
              <w:ind w:left="124" w:right="599"/>
            </w:pPr>
            <w:r w:rsidRPr="000433C9">
              <w:t xml:space="preserve">Midlertidig behandlingspause indtil bedring til Grad </w:t>
            </w:r>
            <w:r>
              <w:rPr>
                <w:rFonts w:ascii="Symbol" w:hAnsi="Symbol"/>
              </w:rPr>
              <w:t></w:t>
            </w:r>
            <w:r w:rsidRPr="000433C9">
              <w:t>2 (≥1,25x10</w:t>
            </w:r>
            <w:r w:rsidRPr="000433C9">
              <w:rPr>
                <w:position w:val="8"/>
                <w:sz w:val="14"/>
              </w:rPr>
              <w:t>9</w:t>
            </w:r>
            <w:r w:rsidRPr="000433C9">
              <w:t>/l) og ingen feber.</w:t>
            </w:r>
          </w:p>
          <w:p w:rsidR="000433C9" w:rsidRPr="000433C9" w:rsidRDefault="000433C9">
            <w:pPr>
              <w:pStyle w:val="TableParagraph"/>
              <w:spacing w:before="1"/>
              <w:ind w:left="124" w:right="176"/>
            </w:pPr>
            <w:r w:rsidRPr="000433C9">
              <w:t>Genoptag behandlingen med everolimus i en dosis, der er 50 % lavere and den tidligere anvendte daglige dosis.</w:t>
            </w:r>
          </w:p>
        </w:tc>
      </w:tr>
      <w:tr w:rsidR="000433C9" w:rsidTr="000433C9">
        <w:trPr>
          <w:trHeight w:val="249"/>
        </w:trPr>
        <w:tc>
          <w:tcPr>
            <w:tcW w:w="11096" w:type="dxa"/>
            <w:gridSpan w:val="2"/>
            <w:vMerge/>
            <w:tcBorders>
              <w:top w:val="single" w:sz="4" w:space="0" w:color="000000"/>
              <w:left w:val="single" w:sz="4" w:space="0" w:color="000000"/>
              <w:bottom w:val="single" w:sz="4" w:space="0" w:color="000000"/>
              <w:right w:val="single" w:sz="4" w:space="0" w:color="000000"/>
            </w:tcBorders>
            <w:vAlign w:val="center"/>
            <w:hideMark/>
          </w:tcPr>
          <w:p w:rsidR="000433C9" w:rsidRDefault="000433C9">
            <w:pPr>
              <w:rPr>
                <w:sz w:val="22"/>
                <w:szCs w:val="22"/>
                <w:lang w:val="en-US"/>
              </w:rPr>
            </w:pPr>
          </w:p>
        </w:tc>
        <w:tc>
          <w:tcPr>
            <w:tcW w:w="1888"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9" w:lineRule="exact"/>
              <w:ind w:left="108" w:right="107"/>
              <w:jc w:val="center"/>
            </w:pPr>
            <w:r>
              <w:t>Grad 4</w:t>
            </w:r>
          </w:p>
        </w:tc>
        <w:tc>
          <w:tcPr>
            <w:tcW w:w="5630" w:type="dxa"/>
            <w:gridSpan w:val="2"/>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spacing w:line="229" w:lineRule="exact"/>
              <w:ind w:left="124"/>
            </w:pPr>
            <w:r>
              <w:t>Seponer everolimus.</w:t>
            </w:r>
          </w:p>
        </w:tc>
      </w:tr>
      <w:tr w:rsidR="000433C9" w:rsidTr="000433C9">
        <w:trPr>
          <w:trHeight w:val="565"/>
        </w:trPr>
        <w:tc>
          <w:tcPr>
            <w:tcW w:w="9310" w:type="dxa"/>
            <w:gridSpan w:val="6"/>
            <w:tcBorders>
              <w:top w:val="single" w:sz="4" w:space="0" w:color="000000"/>
              <w:left w:val="single" w:sz="4" w:space="0" w:color="000000"/>
              <w:bottom w:val="single" w:sz="4" w:space="0" w:color="000000"/>
              <w:right w:val="single" w:sz="4" w:space="0" w:color="000000"/>
            </w:tcBorders>
            <w:hideMark/>
          </w:tcPr>
          <w:p w:rsidR="000433C9" w:rsidRDefault="000433C9">
            <w:pPr>
              <w:pStyle w:val="TableParagraph"/>
              <w:tabs>
                <w:tab w:val="left" w:pos="683"/>
              </w:tabs>
              <w:spacing w:before="26"/>
              <w:ind w:left="683" w:right="240" w:hanging="562"/>
            </w:pPr>
            <w:r>
              <w:rPr>
                <w:position w:val="8"/>
                <w:sz w:val="14"/>
              </w:rPr>
              <w:t>1</w:t>
            </w:r>
            <w:r>
              <w:rPr>
                <w:position w:val="8"/>
                <w:sz w:val="14"/>
              </w:rPr>
              <w:tab/>
            </w:r>
            <w:r>
              <w:t xml:space="preserve">Grad-inddelingen er baseret på </w:t>
            </w:r>
            <w:r>
              <w:rPr>
                <w:i/>
              </w:rPr>
              <w:t xml:space="preserve">National Cancer Institute (NCI) Common Terminology Criteria for Adverse Events </w:t>
            </w:r>
            <w:r>
              <w:t>(CTCAE) v3.0</w:t>
            </w:r>
          </w:p>
        </w:tc>
      </w:tr>
    </w:tbl>
    <w:p w:rsidR="000433C9" w:rsidRDefault="000433C9" w:rsidP="000433C9">
      <w:pPr>
        <w:pStyle w:val="Default"/>
        <w:ind w:left="851"/>
        <w:rPr>
          <w:lang w:val="nb-NO"/>
        </w:rPr>
      </w:pPr>
    </w:p>
    <w:p w:rsidR="000433C9" w:rsidRDefault="000433C9" w:rsidP="000433C9">
      <w:pPr>
        <w:spacing w:before="70"/>
        <w:ind w:firstLine="851"/>
        <w:rPr>
          <w:i/>
          <w:sz w:val="24"/>
          <w:szCs w:val="24"/>
          <w:u w:val="single"/>
        </w:rPr>
      </w:pPr>
      <w:r>
        <w:rPr>
          <w:i/>
          <w:sz w:val="24"/>
          <w:szCs w:val="24"/>
          <w:u w:val="single"/>
        </w:rPr>
        <w:t>Terapeutisk lægemiddelmonitorering</w:t>
      </w:r>
    </w:p>
    <w:p w:rsidR="000433C9" w:rsidRDefault="000433C9" w:rsidP="000433C9">
      <w:pPr>
        <w:spacing w:before="70"/>
        <w:ind w:left="298"/>
        <w:rPr>
          <w:i/>
          <w:sz w:val="24"/>
          <w:szCs w:val="24"/>
        </w:rPr>
      </w:pPr>
    </w:p>
    <w:p w:rsidR="000433C9" w:rsidRDefault="000433C9" w:rsidP="000433C9">
      <w:pPr>
        <w:pStyle w:val="Brdtekst"/>
        <w:spacing w:before="2"/>
        <w:ind w:left="851"/>
        <w:rPr>
          <w:sz w:val="24"/>
          <w:szCs w:val="24"/>
          <w:lang w:val="da-DK"/>
        </w:rPr>
      </w:pPr>
      <w:r>
        <w:rPr>
          <w:sz w:val="24"/>
          <w:szCs w:val="24"/>
          <w:lang w:val="da-DK"/>
        </w:rPr>
        <w:t>Terapeutisk lægemiddelmonitorering af blod-everolimus ved brug af en valideret analyse er</w:t>
      </w:r>
      <w:r>
        <w:rPr>
          <w:bCs/>
          <w:sz w:val="24"/>
          <w:szCs w:val="24"/>
          <w:lang w:val="da-DK"/>
        </w:rPr>
        <w:t xml:space="preserve"> nødvendig hos patienter, der behandles for SEGA</w:t>
      </w:r>
      <w:r>
        <w:rPr>
          <w:sz w:val="24"/>
          <w:szCs w:val="24"/>
          <w:lang w:val="da-DK"/>
        </w:rPr>
        <w:t xml:space="preserve">. Dal-koncentrationerne skal vurderes mindst 1 uge efter første dosis, efter enhver dosisændring eller ændring til anden lægemiddelform, efter initiering af eller ændringer i samtidig administration af CYP3A4-hæmmere (se pkt. 4.4 og 4.5) og efter enhver ændring i leverstatus (Child-Pugh) (se afsnittet om ”Nedsat leverfunktion” nedenfor og pkt. 5.2). Efter initiering af eller ændring i samtidig administration af CYP3A4-induktorer skal dal-koncentrationen vurderes efter 2 til 4 uger (se pkt. 4.4 og 4.5) under hensyntagen til den naturlige nedbrydningstid for de </w:t>
      </w:r>
      <w:r>
        <w:rPr>
          <w:sz w:val="24"/>
          <w:szCs w:val="24"/>
          <w:lang w:val="da-DK"/>
        </w:rPr>
        <w:lastRenderedPageBreak/>
        <w:t>inducerede enzymer.</w:t>
      </w:r>
    </w:p>
    <w:p w:rsidR="000433C9" w:rsidRDefault="000433C9" w:rsidP="000433C9">
      <w:pPr>
        <w:pStyle w:val="Brdtekst"/>
        <w:spacing w:before="1"/>
        <w:rPr>
          <w:sz w:val="24"/>
          <w:szCs w:val="24"/>
          <w:lang w:val="da-DK"/>
        </w:rPr>
      </w:pPr>
    </w:p>
    <w:p w:rsidR="000433C9" w:rsidRDefault="000433C9" w:rsidP="000433C9">
      <w:pPr>
        <w:pStyle w:val="Brdtekst"/>
        <w:ind w:left="851"/>
        <w:rPr>
          <w:sz w:val="24"/>
          <w:szCs w:val="24"/>
          <w:lang w:val="da-DK"/>
        </w:rPr>
      </w:pPr>
      <w:r>
        <w:rPr>
          <w:sz w:val="24"/>
          <w:szCs w:val="24"/>
          <w:lang w:val="da-DK"/>
        </w:rPr>
        <w:t xml:space="preserve">Terapeutisk lægemiddelmonitorering af blod-everolimus ved brug af en valideret analyse er en </w:t>
      </w:r>
      <w:r>
        <w:rPr>
          <w:bCs/>
          <w:sz w:val="24"/>
          <w:szCs w:val="24"/>
          <w:lang w:val="da-DK"/>
        </w:rPr>
        <w:t xml:space="preserve">mulighed hos patienter, der behandles for renal angiomyolipom i tilknytning til TSC </w:t>
      </w:r>
      <w:r>
        <w:rPr>
          <w:sz w:val="24"/>
          <w:szCs w:val="24"/>
          <w:lang w:val="da-DK"/>
        </w:rPr>
        <w:t>(se pkt. 5.1), efter initiering af eller ændringer i samtidig administration af CYP3A4-induktorer eller -hæmmere (se pkt. 4.4 og 4.5) eller efter enhver ændring i leverstatus (Child-Pugh) (se afsnittet om”Nedsat leverfunktion” nedenfor og pkt. 5.2).</w:t>
      </w:r>
    </w:p>
    <w:p w:rsidR="000433C9" w:rsidRDefault="000433C9" w:rsidP="000433C9">
      <w:pPr>
        <w:pStyle w:val="Brdtekst"/>
        <w:spacing w:before="11"/>
        <w:ind w:left="851"/>
        <w:rPr>
          <w:sz w:val="24"/>
          <w:szCs w:val="24"/>
          <w:lang w:val="da-DK"/>
        </w:rPr>
      </w:pPr>
    </w:p>
    <w:p w:rsidR="000433C9" w:rsidRDefault="000433C9" w:rsidP="000433C9">
      <w:pPr>
        <w:pStyle w:val="Brdtekst"/>
        <w:ind w:left="851"/>
        <w:rPr>
          <w:sz w:val="24"/>
          <w:szCs w:val="24"/>
          <w:lang w:val="da-DK"/>
        </w:rPr>
      </w:pPr>
      <w:r>
        <w:rPr>
          <w:sz w:val="24"/>
          <w:szCs w:val="24"/>
          <w:lang w:val="da-DK"/>
        </w:rPr>
        <w:t>Når det er muligt, bør den samme analysemetode og det samme laboratorie til terapeutisk lægemiddelmonitorering anvendes i løbet af behandlingen.</w:t>
      </w:r>
    </w:p>
    <w:p w:rsidR="000433C9" w:rsidRDefault="000433C9" w:rsidP="000433C9">
      <w:pPr>
        <w:pStyle w:val="Brdtekst"/>
        <w:spacing w:before="11"/>
        <w:ind w:left="851"/>
        <w:rPr>
          <w:sz w:val="24"/>
          <w:szCs w:val="24"/>
          <w:lang w:val="da-DK"/>
        </w:rPr>
      </w:pPr>
    </w:p>
    <w:p w:rsidR="000433C9" w:rsidRDefault="000433C9" w:rsidP="000433C9">
      <w:pPr>
        <w:spacing w:before="1"/>
        <w:ind w:left="851"/>
        <w:rPr>
          <w:i/>
          <w:sz w:val="24"/>
          <w:szCs w:val="24"/>
        </w:rPr>
      </w:pPr>
      <w:r>
        <w:rPr>
          <w:i/>
          <w:sz w:val="24"/>
          <w:szCs w:val="24"/>
          <w:u w:val="single"/>
        </w:rPr>
        <w:t>Specielle patientgrupper</w:t>
      </w:r>
      <w:r>
        <w:rPr>
          <w:i/>
          <w:sz w:val="24"/>
          <w:szCs w:val="24"/>
        </w:rPr>
        <w:t xml:space="preserve"> </w:t>
      </w:r>
    </w:p>
    <w:p w:rsidR="000433C9" w:rsidRDefault="000433C9" w:rsidP="000433C9">
      <w:pPr>
        <w:spacing w:before="1"/>
        <w:ind w:left="851"/>
        <w:rPr>
          <w:i/>
          <w:sz w:val="24"/>
          <w:szCs w:val="24"/>
        </w:rPr>
      </w:pPr>
    </w:p>
    <w:p w:rsidR="000433C9" w:rsidRDefault="000433C9" w:rsidP="000433C9">
      <w:pPr>
        <w:spacing w:before="1"/>
        <w:ind w:left="851"/>
        <w:rPr>
          <w:i/>
          <w:sz w:val="24"/>
          <w:szCs w:val="24"/>
        </w:rPr>
      </w:pPr>
      <w:r>
        <w:rPr>
          <w:i/>
          <w:sz w:val="24"/>
          <w:szCs w:val="24"/>
        </w:rPr>
        <w:t>Ældre</w:t>
      </w:r>
    </w:p>
    <w:p w:rsidR="000433C9" w:rsidRDefault="000433C9" w:rsidP="000433C9">
      <w:pPr>
        <w:pStyle w:val="Brdtekst"/>
        <w:ind w:left="851"/>
        <w:rPr>
          <w:sz w:val="24"/>
          <w:szCs w:val="24"/>
          <w:lang w:val="da-DK"/>
        </w:rPr>
      </w:pPr>
      <w:r>
        <w:rPr>
          <w:sz w:val="24"/>
          <w:szCs w:val="24"/>
          <w:lang w:val="da-DK"/>
        </w:rPr>
        <w:t>Der er ikke behov for dosisjustering (se pkt. 5.2).</w:t>
      </w:r>
    </w:p>
    <w:p w:rsidR="000433C9" w:rsidRDefault="000433C9" w:rsidP="000433C9">
      <w:pPr>
        <w:pStyle w:val="Brdtekst"/>
        <w:ind w:left="851"/>
        <w:rPr>
          <w:sz w:val="24"/>
          <w:szCs w:val="24"/>
          <w:lang w:val="da-DK"/>
        </w:rPr>
      </w:pPr>
    </w:p>
    <w:p w:rsidR="000433C9" w:rsidRDefault="000433C9" w:rsidP="000433C9">
      <w:pPr>
        <w:spacing w:before="1" w:line="252" w:lineRule="exact"/>
        <w:ind w:left="851"/>
        <w:rPr>
          <w:i/>
          <w:sz w:val="24"/>
          <w:szCs w:val="24"/>
        </w:rPr>
      </w:pPr>
      <w:r>
        <w:rPr>
          <w:i/>
          <w:sz w:val="24"/>
          <w:szCs w:val="24"/>
        </w:rPr>
        <w:t>Nedsat nyrefunktion</w:t>
      </w:r>
    </w:p>
    <w:p w:rsidR="000433C9" w:rsidRDefault="000433C9" w:rsidP="000433C9">
      <w:pPr>
        <w:pStyle w:val="Brdtekst"/>
        <w:spacing w:line="252" w:lineRule="exact"/>
        <w:ind w:left="851"/>
        <w:rPr>
          <w:sz w:val="24"/>
          <w:szCs w:val="24"/>
          <w:lang w:val="da-DK"/>
        </w:rPr>
      </w:pPr>
      <w:r>
        <w:rPr>
          <w:sz w:val="24"/>
          <w:szCs w:val="24"/>
          <w:lang w:val="da-DK"/>
        </w:rPr>
        <w:t>Der er ikke behov for dosisjustering (se pkt. 5.2).</w:t>
      </w:r>
    </w:p>
    <w:p w:rsidR="000433C9" w:rsidRDefault="000433C9" w:rsidP="000433C9">
      <w:pPr>
        <w:pStyle w:val="Brdtekst"/>
        <w:ind w:left="851"/>
        <w:rPr>
          <w:sz w:val="24"/>
          <w:szCs w:val="24"/>
          <w:lang w:val="da-DK"/>
        </w:rPr>
      </w:pPr>
    </w:p>
    <w:p w:rsidR="000433C9" w:rsidRDefault="000433C9" w:rsidP="000433C9">
      <w:pPr>
        <w:ind w:left="851"/>
      </w:pPr>
      <w:r>
        <w:rPr>
          <w:i/>
          <w:sz w:val="24"/>
          <w:szCs w:val="24"/>
        </w:rPr>
        <w:t>Nedsat leverfunktion</w:t>
      </w:r>
    </w:p>
    <w:p w:rsidR="000433C9" w:rsidRDefault="000433C9" w:rsidP="000433C9">
      <w:pPr>
        <w:pStyle w:val="Brdtekst"/>
        <w:numPr>
          <w:ilvl w:val="0"/>
          <w:numId w:val="10"/>
        </w:numPr>
        <w:spacing w:before="1"/>
        <w:ind w:left="1134"/>
        <w:rPr>
          <w:sz w:val="24"/>
          <w:szCs w:val="24"/>
          <w:lang w:val="da-DK"/>
        </w:rPr>
      </w:pPr>
      <w:r>
        <w:rPr>
          <w:sz w:val="24"/>
          <w:szCs w:val="24"/>
          <w:lang w:val="da-DK"/>
        </w:rPr>
        <w:t>Patienter med renal angiomyolipom forbundet med TSC:</w:t>
      </w:r>
    </w:p>
    <w:p w:rsidR="000433C9" w:rsidRDefault="000433C9" w:rsidP="000433C9">
      <w:pPr>
        <w:pStyle w:val="Listeafsnit"/>
        <w:numPr>
          <w:ilvl w:val="0"/>
          <w:numId w:val="11"/>
        </w:numPr>
        <w:tabs>
          <w:tab w:val="left" w:pos="866"/>
        </w:tabs>
        <w:spacing w:before="1" w:line="269" w:lineRule="exact"/>
        <w:ind w:left="1701"/>
        <w:rPr>
          <w:rFonts w:ascii="Symbol" w:hAnsi="Symbol"/>
          <w:sz w:val="24"/>
          <w:szCs w:val="24"/>
          <w:lang w:val="da-DK"/>
        </w:rPr>
      </w:pPr>
      <w:r>
        <w:rPr>
          <w:sz w:val="24"/>
          <w:szCs w:val="24"/>
          <w:lang w:val="da-DK"/>
        </w:rPr>
        <w:t>Let nedsat leverfunktion (Child-Pugh A): den anbefalede dosis er 7,5 mg</w:t>
      </w:r>
      <w:r>
        <w:rPr>
          <w:spacing w:val="-7"/>
          <w:sz w:val="24"/>
          <w:szCs w:val="24"/>
          <w:lang w:val="da-DK"/>
        </w:rPr>
        <w:t xml:space="preserve"> </w:t>
      </w:r>
      <w:r>
        <w:rPr>
          <w:sz w:val="24"/>
          <w:szCs w:val="24"/>
          <w:lang w:val="da-DK"/>
        </w:rPr>
        <w:t>dagligt.</w:t>
      </w:r>
    </w:p>
    <w:p w:rsidR="000433C9" w:rsidRDefault="000433C9" w:rsidP="000433C9">
      <w:pPr>
        <w:pStyle w:val="Listeafsnit"/>
        <w:numPr>
          <w:ilvl w:val="0"/>
          <w:numId w:val="11"/>
        </w:numPr>
        <w:tabs>
          <w:tab w:val="left" w:pos="866"/>
        </w:tabs>
        <w:spacing w:line="269" w:lineRule="exact"/>
        <w:ind w:left="1701"/>
        <w:rPr>
          <w:rFonts w:ascii="Symbol" w:hAnsi="Symbol"/>
          <w:sz w:val="24"/>
          <w:szCs w:val="24"/>
          <w:lang w:val="da-DK"/>
        </w:rPr>
      </w:pPr>
      <w:r>
        <w:rPr>
          <w:sz w:val="24"/>
          <w:szCs w:val="24"/>
          <w:lang w:val="da-DK"/>
        </w:rPr>
        <w:t>Moderat nedsat leverfunktion (Child-Pugh B): den anbefalede dosis er 5 mg</w:t>
      </w:r>
      <w:r>
        <w:rPr>
          <w:spacing w:val="-9"/>
          <w:sz w:val="24"/>
          <w:szCs w:val="24"/>
          <w:lang w:val="da-DK"/>
        </w:rPr>
        <w:t xml:space="preserve"> </w:t>
      </w:r>
      <w:r>
        <w:rPr>
          <w:sz w:val="24"/>
          <w:szCs w:val="24"/>
          <w:lang w:val="da-DK"/>
        </w:rPr>
        <w:t>dagligt.</w:t>
      </w:r>
    </w:p>
    <w:p w:rsidR="000433C9" w:rsidRDefault="000433C9" w:rsidP="000433C9">
      <w:pPr>
        <w:pStyle w:val="Listeafsnit"/>
        <w:numPr>
          <w:ilvl w:val="0"/>
          <w:numId w:val="11"/>
        </w:numPr>
        <w:tabs>
          <w:tab w:val="left" w:pos="866"/>
        </w:tabs>
        <w:ind w:left="1701"/>
        <w:rPr>
          <w:rFonts w:ascii="Symbol" w:hAnsi="Symbol"/>
          <w:sz w:val="24"/>
          <w:szCs w:val="24"/>
          <w:lang w:val="da-DK"/>
        </w:rPr>
      </w:pPr>
      <w:r>
        <w:rPr>
          <w:sz w:val="24"/>
          <w:szCs w:val="24"/>
          <w:lang w:val="da-DK"/>
        </w:rPr>
        <w:t>Svært nedsat leverfunktion (Child-Pugh C): Everolimus anbefales kun, hvis den ønskede fordel opvejer risikoen. I så fald må en daglig dosis på 2,5 mg ikke overskrides (se pkt. 4.4 og</w:t>
      </w:r>
      <w:r>
        <w:rPr>
          <w:spacing w:val="-16"/>
          <w:sz w:val="24"/>
          <w:szCs w:val="24"/>
          <w:lang w:val="da-DK"/>
        </w:rPr>
        <w:t xml:space="preserve"> </w:t>
      </w:r>
      <w:r>
        <w:rPr>
          <w:sz w:val="24"/>
          <w:szCs w:val="24"/>
          <w:lang w:val="da-DK"/>
        </w:rPr>
        <w:t>5.2).</w:t>
      </w:r>
    </w:p>
    <w:p w:rsidR="000433C9" w:rsidRDefault="000433C9" w:rsidP="000433C9">
      <w:pPr>
        <w:pStyle w:val="Brdtekst"/>
        <w:ind w:left="1701"/>
        <w:rPr>
          <w:sz w:val="24"/>
          <w:szCs w:val="24"/>
          <w:lang w:val="da-DK"/>
        </w:rPr>
      </w:pPr>
      <w:r>
        <w:rPr>
          <w:sz w:val="24"/>
          <w:szCs w:val="24"/>
          <w:lang w:val="da-DK"/>
        </w:rPr>
        <w:t xml:space="preserve">Dosisjustering skal foretages, hvis en patients levertilstand (Child-Pugh) ændres under behandlingen. </w:t>
      </w:r>
    </w:p>
    <w:p w:rsidR="000433C9" w:rsidRDefault="000433C9" w:rsidP="000433C9">
      <w:pPr>
        <w:pStyle w:val="Brdtekst"/>
        <w:ind w:left="1304"/>
        <w:rPr>
          <w:sz w:val="24"/>
          <w:szCs w:val="24"/>
          <w:lang w:val="da-DK"/>
        </w:rPr>
      </w:pPr>
    </w:p>
    <w:p w:rsidR="000433C9" w:rsidRDefault="000433C9" w:rsidP="000433C9">
      <w:pPr>
        <w:pStyle w:val="Brdtekst"/>
        <w:numPr>
          <w:ilvl w:val="0"/>
          <w:numId w:val="10"/>
        </w:numPr>
        <w:ind w:left="1134"/>
        <w:rPr>
          <w:sz w:val="24"/>
          <w:szCs w:val="24"/>
          <w:lang w:val="da-DK"/>
        </w:rPr>
      </w:pPr>
      <w:r>
        <w:rPr>
          <w:sz w:val="24"/>
          <w:szCs w:val="24"/>
          <w:lang w:val="da-DK"/>
        </w:rPr>
        <w:t>Patienter med SEGA i tilknytning til TSC:</w:t>
      </w:r>
    </w:p>
    <w:p w:rsidR="000433C9" w:rsidRDefault="000433C9" w:rsidP="000433C9">
      <w:pPr>
        <w:pStyle w:val="Brdtekst"/>
        <w:numPr>
          <w:ilvl w:val="0"/>
          <w:numId w:val="12"/>
        </w:numPr>
        <w:spacing w:line="198" w:lineRule="exact"/>
        <w:jc w:val="both"/>
        <w:rPr>
          <w:sz w:val="24"/>
          <w:szCs w:val="24"/>
          <w:lang w:val="da-DK"/>
        </w:rPr>
      </w:pPr>
      <w:r>
        <w:rPr>
          <w:sz w:val="24"/>
          <w:szCs w:val="24"/>
          <w:lang w:val="da-DK"/>
        </w:rPr>
        <w:t>Patienter &lt;18 år:</w:t>
      </w:r>
    </w:p>
    <w:p w:rsidR="000433C9" w:rsidRDefault="000433C9" w:rsidP="000433C9">
      <w:pPr>
        <w:pStyle w:val="Brdtekst"/>
        <w:numPr>
          <w:ilvl w:val="0"/>
          <w:numId w:val="12"/>
        </w:numPr>
        <w:spacing w:line="252" w:lineRule="exact"/>
        <w:rPr>
          <w:sz w:val="24"/>
          <w:szCs w:val="24"/>
          <w:lang w:val="da-DK"/>
        </w:rPr>
      </w:pPr>
      <w:r>
        <w:rPr>
          <w:sz w:val="24"/>
          <w:szCs w:val="24"/>
          <w:lang w:val="da-DK"/>
        </w:rPr>
        <w:t>Everolimus anbefales ikke til patienter &lt;18 år med SEGA og nedsat leverfunktion.</w:t>
      </w:r>
    </w:p>
    <w:p w:rsidR="000433C9" w:rsidRDefault="000433C9" w:rsidP="000433C9">
      <w:pPr>
        <w:pStyle w:val="Brdtekst"/>
        <w:numPr>
          <w:ilvl w:val="0"/>
          <w:numId w:val="12"/>
        </w:numPr>
        <w:rPr>
          <w:sz w:val="24"/>
          <w:szCs w:val="24"/>
          <w:lang w:val="da-DK"/>
        </w:rPr>
      </w:pPr>
      <w:r>
        <w:rPr>
          <w:sz w:val="24"/>
          <w:szCs w:val="24"/>
          <w:lang w:val="da-DK"/>
        </w:rPr>
        <w:t>Patienter ≥18 år:</w:t>
      </w:r>
    </w:p>
    <w:p w:rsidR="000433C9" w:rsidRDefault="000433C9" w:rsidP="000433C9">
      <w:pPr>
        <w:pStyle w:val="Listeafsnit"/>
        <w:numPr>
          <w:ilvl w:val="0"/>
          <w:numId w:val="13"/>
        </w:numPr>
        <w:tabs>
          <w:tab w:val="left" w:pos="866"/>
        </w:tabs>
        <w:spacing w:before="3"/>
        <w:rPr>
          <w:rFonts w:ascii="Symbol" w:hAnsi="Symbol"/>
          <w:sz w:val="24"/>
          <w:szCs w:val="24"/>
          <w:lang w:val="da-DK"/>
        </w:rPr>
      </w:pPr>
      <w:r>
        <w:rPr>
          <w:sz w:val="24"/>
          <w:szCs w:val="24"/>
          <w:lang w:val="da-DK"/>
        </w:rPr>
        <w:t>Let nedsat leverfunktion (Child-Pugh A): 75 % af den anbefalede start dosis beregnet på baggrund af BSA (afrundet til nærmeste</w:t>
      </w:r>
      <w:r>
        <w:rPr>
          <w:spacing w:val="-5"/>
          <w:sz w:val="24"/>
          <w:szCs w:val="24"/>
          <w:lang w:val="da-DK"/>
        </w:rPr>
        <w:t xml:space="preserve"> </w:t>
      </w:r>
      <w:r>
        <w:rPr>
          <w:sz w:val="24"/>
          <w:szCs w:val="24"/>
          <w:lang w:val="da-DK"/>
        </w:rPr>
        <w:t>styrke)</w:t>
      </w:r>
    </w:p>
    <w:p w:rsidR="000433C9" w:rsidRDefault="000433C9" w:rsidP="000433C9">
      <w:pPr>
        <w:pStyle w:val="Listeafsnit"/>
        <w:numPr>
          <w:ilvl w:val="0"/>
          <w:numId w:val="13"/>
        </w:numPr>
        <w:tabs>
          <w:tab w:val="left" w:pos="866"/>
        </w:tabs>
        <w:rPr>
          <w:rFonts w:ascii="Symbol" w:hAnsi="Symbol"/>
          <w:sz w:val="24"/>
          <w:szCs w:val="24"/>
          <w:lang w:val="da-DK"/>
        </w:rPr>
      </w:pPr>
      <w:r>
        <w:rPr>
          <w:sz w:val="24"/>
          <w:szCs w:val="24"/>
          <w:lang w:val="da-DK"/>
        </w:rPr>
        <w:t>Moderat nedsat leverfunktion (Child-Pugh B): 50 % af den anbefalede start dosis beregnet på baggrund af BSA (afrundet til nærmeste</w:t>
      </w:r>
      <w:r>
        <w:rPr>
          <w:spacing w:val="-5"/>
          <w:sz w:val="24"/>
          <w:szCs w:val="24"/>
          <w:lang w:val="da-DK"/>
        </w:rPr>
        <w:t xml:space="preserve"> </w:t>
      </w:r>
      <w:r>
        <w:rPr>
          <w:sz w:val="24"/>
          <w:szCs w:val="24"/>
          <w:lang w:val="da-DK"/>
        </w:rPr>
        <w:t>styrke)</w:t>
      </w:r>
    </w:p>
    <w:p w:rsidR="000433C9" w:rsidRDefault="000433C9" w:rsidP="000433C9">
      <w:pPr>
        <w:pStyle w:val="Listeafsnit"/>
        <w:numPr>
          <w:ilvl w:val="0"/>
          <w:numId w:val="13"/>
        </w:numPr>
        <w:tabs>
          <w:tab w:val="left" w:pos="866"/>
        </w:tabs>
        <w:rPr>
          <w:sz w:val="24"/>
          <w:szCs w:val="24"/>
          <w:lang w:val="da-DK"/>
        </w:rPr>
      </w:pPr>
      <w:r>
        <w:rPr>
          <w:sz w:val="24"/>
          <w:szCs w:val="24"/>
          <w:lang w:val="da-DK"/>
        </w:rPr>
        <w:t>Svært nedsat leverfunktion (Child-Pugh C): Everolimus anbefales kun, hvis den ønskede fordel opvejer risikoen. I så fald må 25 % af dosis, beregnet på baggrund af BSA (afrundet til nærmest styrke), ikke overskrides.</w:t>
      </w:r>
    </w:p>
    <w:p w:rsidR="000433C9" w:rsidRDefault="000433C9" w:rsidP="000433C9">
      <w:pPr>
        <w:pStyle w:val="Brdtekst"/>
        <w:numPr>
          <w:ilvl w:val="0"/>
          <w:numId w:val="13"/>
        </w:numPr>
        <w:ind w:right="-1"/>
        <w:rPr>
          <w:sz w:val="24"/>
          <w:szCs w:val="24"/>
          <w:lang w:val="da-DK"/>
        </w:rPr>
      </w:pPr>
      <w:r>
        <w:rPr>
          <w:sz w:val="24"/>
          <w:szCs w:val="24"/>
          <w:lang w:val="da-DK"/>
        </w:rPr>
        <w:t>Koncentrationen af everolimus i fuldblod skal måles mindst 1 uge efter påbegyndelse af behandling eller efter enhver ændring i leverstatus (Child-Pugh).</w:t>
      </w:r>
    </w:p>
    <w:p w:rsidR="000433C9" w:rsidRDefault="000433C9" w:rsidP="000433C9">
      <w:pPr>
        <w:pStyle w:val="Default"/>
        <w:ind w:left="851"/>
      </w:pPr>
    </w:p>
    <w:p w:rsidR="000433C9" w:rsidRDefault="000433C9" w:rsidP="000433C9">
      <w:pPr>
        <w:spacing w:before="1" w:line="252" w:lineRule="exact"/>
        <w:ind w:left="298" w:firstLine="422"/>
        <w:rPr>
          <w:i/>
          <w:sz w:val="24"/>
          <w:szCs w:val="24"/>
        </w:rPr>
      </w:pPr>
      <w:r>
        <w:rPr>
          <w:i/>
          <w:sz w:val="24"/>
          <w:szCs w:val="24"/>
        </w:rPr>
        <w:t>Pædiatrisk population</w:t>
      </w:r>
    </w:p>
    <w:p w:rsidR="000433C9" w:rsidRDefault="000433C9" w:rsidP="000433C9">
      <w:pPr>
        <w:pStyle w:val="Brdtekst"/>
        <w:numPr>
          <w:ilvl w:val="0"/>
          <w:numId w:val="14"/>
        </w:numPr>
        <w:ind w:left="1080" w:right="-1"/>
        <w:rPr>
          <w:sz w:val="24"/>
          <w:szCs w:val="24"/>
          <w:lang w:val="da-DK"/>
        </w:rPr>
      </w:pPr>
      <w:r>
        <w:rPr>
          <w:sz w:val="24"/>
          <w:szCs w:val="24"/>
          <w:lang w:val="da-DK"/>
        </w:rPr>
        <w:t>Everolimus’ sikkerhed og virkning hos børn i alderen 0 til 18 år med renal angiomyolipom i tilknytning til TSC under fravær af SEGA, er ikke klarlagt. Der foreligger ingen data.</w:t>
      </w:r>
    </w:p>
    <w:p w:rsidR="000433C9" w:rsidRDefault="000433C9" w:rsidP="000433C9">
      <w:pPr>
        <w:pStyle w:val="Brdtekst"/>
        <w:spacing w:before="10"/>
        <w:ind w:left="360"/>
        <w:rPr>
          <w:sz w:val="24"/>
          <w:szCs w:val="24"/>
          <w:lang w:val="da-DK"/>
        </w:rPr>
      </w:pPr>
    </w:p>
    <w:p w:rsidR="000433C9" w:rsidRDefault="000433C9" w:rsidP="000433C9">
      <w:pPr>
        <w:pStyle w:val="Brdtekst"/>
        <w:numPr>
          <w:ilvl w:val="0"/>
          <w:numId w:val="14"/>
        </w:numPr>
        <w:ind w:left="1080" w:right="-1"/>
        <w:rPr>
          <w:sz w:val="24"/>
          <w:szCs w:val="24"/>
          <w:lang w:val="da-DK"/>
        </w:rPr>
      </w:pPr>
      <w:r>
        <w:rPr>
          <w:sz w:val="24"/>
          <w:szCs w:val="24"/>
          <w:lang w:val="da-DK"/>
        </w:rPr>
        <w:t xml:space="preserve">Everolimus’ sikkerhed, virkning og farmakokinetiske profil hos børn under 1 år med SEGA i tilknytning til TSC er ikke klarlagt. Der foreligger ingen data (se pkt. 5.1 og </w:t>
      </w:r>
      <w:r>
        <w:rPr>
          <w:sz w:val="24"/>
          <w:szCs w:val="24"/>
          <w:lang w:val="da-DK"/>
        </w:rPr>
        <w:lastRenderedPageBreak/>
        <w:t>5.2).</w:t>
      </w:r>
    </w:p>
    <w:p w:rsidR="000433C9" w:rsidRDefault="000433C9" w:rsidP="000433C9">
      <w:pPr>
        <w:pStyle w:val="Default"/>
        <w:ind w:left="1069"/>
      </w:pPr>
      <w:r>
        <w:t>Resultater fra kliniske studier viste ingen påvirkning af everolimus på vækst- og pubertetsudvikling.</w:t>
      </w:r>
    </w:p>
    <w:p w:rsidR="000433C9" w:rsidRDefault="000433C9" w:rsidP="000433C9">
      <w:pPr>
        <w:pStyle w:val="Default"/>
        <w:ind w:left="851"/>
      </w:pPr>
    </w:p>
    <w:p w:rsidR="000433C9" w:rsidRDefault="000433C9" w:rsidP="000433C9">
      <w:pPr>
        <w:pStyle w:val="Default"/>
        <w:ind w:left="851"/>
        <w:rPr>
          <w:b/>
        </w:rPr>
      </w:pPr>
      <w:r>
        <w:rPr>
          <w:b/>
        </w:rPr>
        <w:t xml:space="preserve">Administration </w:t>
      </w:r>
    </w:p>
    <w:p w:rsidR="000433C9" w:rsidRDefault="000433C9" w:rsidP="000433C9">
      <w:pPr>
        <w:tabs>
          <w:tab w:val="left" w:pos="851"/>
        </w:tabs>
        <w:ind w:left="851"/>
        <w:rPr>
          <w:sz w:val="24"/>
          <w:szCs w:val="24"/>
        </w:rPr>
      </w:pPr>
      <w:r>
        <w:rPr>
          <w:sz w:val="24"/>
          <w:szCs w:val="24"/>
        </w:rPr>
        <w:t>Everolimus "Teva" skal administreres oralt en gang daglig på samme tidspunkt hver dag, konsekvent enten med eller uden mad (se pkt. 5.2). Tabletterne skal synkes hele med et glas vand. Tabletterne må ikke tygges eller knuses.</w:t>
      </w:r>
    </w:p>
    <w:p w:rsidR="000433C9" w:rsidRDefault="000433C9" w:rsidP="000433C9">
      <w:pPr>
        <w:tabs>
          <w:tab w:val="left" w:pos="851"/>
        </w:tabs>
        <w:ind w:left="851"/>
        <w:rPr>
          <w:sz w:val="24"/>
          <w:szCs w:val="24"/>
        </w:rPr>
      </w:pPr>
    </w:p>
    <w:p w:rsidR="000433C9" w:rsidRDefault="000433C9" w:rsidP="000433C9">
      <w:pPr>
        <w:tabs>
          <w:tab w:val="left" w:pos="851"/>
        </w:tabs>
        <w:ind w:left="851"/>
        <w:rPr>
          <w:sz w:val="24"/>
          <w:szCs w:val="24"/>
        </w:rPr>
      </w:pPr>
      <w:r>
        <w:rPr>
          <w:b/>
          <w:bCs/>
          <w:i/>
          <w:sz w:val="24"/>
          <w:szCs w:val="24"/>
        </w:rPr>
        <w:t>Renal angiomyolipom/SEGA</w:t>
      </w:r>
      <w:r>
        <w:rPr>
          <w:b/>
          <w:bCs/>
          <w:i/>
          <w:iCs/>
          <w:sz w:val="24"/>
          <w:szCs w:val="24"/>
        </w:rPr>
        <w:t xml:space="preserve"> </w:t>
      </w:r>
    </w:p>
    <w:p w:rsidR="000433C9" w:rsidRDefault="000433C9" w:rsidP="000433C9">
      <w:pPr>
        <w:pStyle w:val="Brdtekst"/>
        <w:spacing w:before="4"/>
        <w:ind w:left="1304" w:right="-1"/>
        <w:rPr>
          <w:sz w:val="24"/>
          <w:szCs w:val="24"/>
          <w:lang w:val="da-DK"/>
        </w:rPr>
      </w:pPr>
      <w:r>
        <w:rPr>
          <w:sz w:val="24"/>
          <w:szCs w:val="24"/>
          <w:lang w:val="da-DK"/>
        </w:rPr>
        <w:t>For patienter med TSC, som har SEGA og ikke er i stand til at synke tabletter, kan everolimus tabletten/tabletterne opslemmes fuldstændigt i et glas med ca. 30 ml vand ved forsigtig omrøring indtil tabletten/tabletterne er helt opløst (ca. 8,5 minut) og drikkes umiddelbart derefter.</w:t>
      </w:r>
    </w:p>
    <w:p w:rsidR="000433C9" w:rsidRDefault="000433C9" w:rsidP="000433C9">
      <w:pPr>
        <w:tabs>
          <w:tab w:val="left" w:pos="851"/>
        </w:tabs>
        <w:ind w:left="1304"/>
        <w:rPr>
          <w:sz w:val="24"/>
          <w:szCs w:val="24"/>
        </w:rPr>
      </w:pPr>
      <w:r>
        <w:rPr>
          <w:sz w:val="24"/>
          <w:szCs w:val="24"/>
        </w:rPr>
        <w:t>Efter opløsningen er sunket skal enhver rest genopløses i samme volumen vand og synkes.</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4.3</w:t>
      </w:r>
      <w:r w:rsidRPr="00C84483">
        <w:rPr>
          <w:b/>
          <w:sz w:val="24"/>
          <w:szCs w:val="24"/>
        </w:rPr>
        <w:tab/>
        <w:t>Kontraindikationer</w:t>
      </w:r>
    </w:p>
    <w:p w:rsidR="003760D5" w:rsidRPr="001851B3" w:rsidRDefault="003760D5" w:rsidP="003760D5">
      <w:pPr>
        <w:tabs>
          <w:tab w:val="left" w:pos="851"/>
        </w:tabs>
        <w:ind w:left="851"/>
        <w:rPr>
          <w:sz w:val="24"/>
          <w:szCs w:val="24"/>
        </w:rPr>
      </w:pPr>
      <w:r w:rsidRPr="001851B3">
        <w:rPr>
          <w:sz w:val="24"/>
          <w:szCs w:val="24"/>
        </w:rPr>
        <w:t>Overfølsomhed over for det aktive stof, andre rapamycin-derivater eller over for et eller flere af hjælpestofferne anført i pkt. 6.1.</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4.4</w:t>
      </w:r>
      <w:r w:rsidRPr="00C84483">
        <w:rPr>
          <w:b/>
          <w:sz w:val="24"/>
          <w:szCs w:val="24"/>
        </w:rPr>
        <w:tab/>
        <w:t>Særlige advarsler og forsigtighedsregler vedrørende brugen</w:t>
      </w:r>
    </w:p>
    <w:p w:rsidR="000433C9" w:rsidRDefault="000433C9" w:rsidP="000433C9">
      <w:pPr>
        <w:pStyle w:val="Default"/>
        <w:ind w:firstLine="851"/>
        <w:rPr>
          <w:u w:val="single"/>
        </w:rPr>
      </w:pPr>
      <w:r>
        <w:rPr>
          <w:u w:val="single"/>
        </w:rPr>
        <w:t>Non-</w:t>
      </w:r>
      <w:proofErr w:type="gramStart"/>
      <w:r>
        <w:rPr>
          <w:u w:val="single"/>
        </w:rPr>
        <w:t>infektiøs pneumonitis</w:t>
      </w:r>
      <w:proofErr w:type="gramEnd"/>
      <w:r>
        <w:rPr>
          <w:u w:val="single"/>
        </w:rPr>
        <w:t xml:space="preserve"> </w:t>
      </w:r>
    </w:p>
    <w:p w:rsidR="000433C9" w:rsidRDefault="000433C9" w:rsidP="000433C9">
      <w:pPr>
        <w:tabs>
          <w:tab w:val="left" w:pos="851"/>
        </w:tabs>
        <w:ind w:left="851"/>
        <w:rPr>
          <w:sz w:val="24"/>
          <w:szCs w:val="24"/>
        </w:rPr>
      </w:pPr>
      <w:r>
        <w:rPr>
          <w:sz w:val="24"/>
          <w:szCs w:val="24"/>
        </w:rPr>
        <w:t>Non-</w:t>
      </w:r>
      <w:proofErr w:type="gramStart"/>
      <w:r>
        <w:rPr>
          <w:sz w:val="24"/>
          <w:szCs w:val="24"/>
        </w:rPr>
        <w:t>infektiøs pneumonitis</w:t>
      </w:r>
      <w:proofErr w:type="gramEnd"/>
      <w:r>
        <w:rPr>
          <w:sz w:val="24"/>
          <w:szCs w:val="24"/>
        </w:rPr>
        <w:t xml:space="preserve"> er en klasseeffekt af rapamycinderivater inklusive everolimus. </w:t>
      </w:r>
      <w:r>
        <w:rPr>
          <w:b/>
          <w:bCs/>
          <w:i/>
          <w:iCs/>
          <w:u w:val="single"/>
        </w:rPr>
        <w:t>Neuroendokrine tumorer</w:t>
      </w:r>
    </w:p>
    <w:p w:rsidR="000433C9" w:rsidRDefault="000433C9" w:rsidP="000433C9">
      <w:pPr>
        <w:tabs>
          <w:tab w:val="left" w:pos="851"/>
        </w:tabs>
        <w:ind w:left="1304"/>
        <w:rPr>
          <w:sz w:val="24"/>
          <w:szCs w:val="24"/>
        </w:rPr>
      </w:pPr>
      <w:r>
        <w:rPr>
          <w:sz w:val="24"/>
          <w:szCs w:val="24"/>
        </w:rPr>
        <w:t>Non-</w:t>
      </w:r>
      <w:proofErr w:type="gramStart"/>
      <w:r>
        <w:rPr>
          <w:sz w:val="24"/>
          <w:szCs w:val="24"/>
        </w:rPr>
        <w:t>infektiøs pneumonitis</w:t>
      </w:r>
      <w:proofErr w:type="gramEnd"/>
      <w:r>
        <w:rPr>
          <w:sz w:val="24"/>
          <w:szCs w:val="24"/>
        </w:rPr>
        <w:t xml:space="preserve"> (herunder interstitiel lungesygdom) har været rapporteret hyppigt hos patienter, der tog Everolimus "Teva" (se pkt. 4.8). </w:t>
      </w:r>
    </w:p>
    <w:p w:rsidR="000433C9" w:rsidRDefault="000433C9" w:rsidP="000433C9">
      <w:pPr>
        <w:tabs>
          <w:tab w:val="left" w:pos="851"/>
        </w:tabs>
        <w:rPr>
          <w:sz w:val="24"/>
          <w:szCs w:val="24"/>
        </w:rPr>
      </w:pPr>
      <w:r>
        <w:rPr>
          <w:b/>
          <w:bCs/>
          <w:i/>
          <w:iCs/>
        </w:rPr>
        <w:tab/>
      </w:r>
      <w:r>
        <w:rPr>
          <w:b/>
          <w:bCs/>
          <w:i/>
          <w:sz w:val="24"/>
          <w:szCs w:val="24"/>
        </w:rPr>
        <w:t>Renal angiomyolipom/SEGA</w:t>
      </w:r>
      <w:r>
        <w:rPr>
          <w:sz w:val="24"/>
          <w:szCs w:val="24"/>
        </w:rPr>
        <w:t xml:space="preserve"> </w:t>
      </w:r>
    </w:p>
    <w:p w:rsidR="000433C9" w:rsidRDefault="000433C9" w:rsidP="000433C9">
      <w:pPr>
        <w:tabs>
          <w:tab w:val="left" w:pos="851"/>
        </w:tabs>
        <w:ind w:left="1304"/>
        <w:rPr>
          <w:sz w:val="24"/>
          <w:szCs w:val="24"/>
        </w:rPr>
      </w:pPr>
      <w:r>
        <w:t>Non-</w:t>
      </w:r>
      <w:proofErr w:type="gramStart"/>
      <w:r>
        <w:t>infektiøs pneumonitis</w:t>
      </w:r>
      <w:proofErr w:type="gramEnd"/>
      <w:r>
        <w:t xml:space="preserve"> (herunder interstitiel lungesygdom) er beskrevet som værende meget almindeligt hos patienter, der tager everolimus i forbindelse med renalcellecarcinom (RCC) (se pkt. 4.8).</w:t>
      </w:r>
    </w:p>
    <w:p w:rsidR="000433C9" w:rsidRDefault="000433C9" w:rsidP="000433C9">
      <w:pPr>
        <w:tabs>
          <w:tab w:val="left" w:pos="851"/>
        </w:tabs>
        <w:ind w:left="851"/>
        <w:rPr>
          <w:sz w:val="24"/>
          <w:szCs w:val="24"/>
        </w:rPr>
      </w:pPr>
      <w:r>
        <w:rPr>
          <w:sz w:val="24"/>
          <w:szCs w:val="24"/>
        </w:rPr>
        <w:t>Nogle tilfælde var været alvorlige, og i sjældne tilfælde har det været letalt. Diagnosen non-</w:t>
      </w:r>
      <w:proofErr w:type="gramStart"/>
      <w:r>
        <w:rPr>
          <w:sz w:val="24"/>
          <w:szCs w:val="24"/>
        </w:rPr>
        <w:t>infektiøs pneumonitis</w:t>
      </w:r>
      <w:proofErr w:type="gramEnd"/>
      <w:r>
        <w:rPr>
          <w:sz w:val="24"/>
          <w:szCs w:val="24"/>
        </w:rPr>
        <w:t xml:space="preserve"> skal overvejes hos patienter med uspecifikke respiratoriske tegn og symptomer såsom hypoksi, pleuraekssudat, hoste eller dyspnø, og hos hvem infektiøse, neoplastiske eller andre ikke-medicinske årsager er blevet udelukket ved hjælp af passende undersøgelser. Opportunistiske infektioner som </w:t>
      </w:r>
      <w:r>
        <w:rPr>
          <w:i/>
          <w:sz w:val="24"/>
          <w:szCs w:val="24"/>
        </w:rPr>
        <w:t>pneumocystis jirovecii (carinii)</w:t>
      </w:r>
      <w:r>
        <w:rPr>
          <w:sz w:val="24"/>
          <w:szCs w:val="24"/>
        </w:rPr>
        <w:t xml:space="preserve"> pneumoni (PJP, PCP) bør udelukkes i differentialdiagnosticeringen af non-</w:t>
      </w:r>
      <w:proofErr w:type="gramStart"/>
      <w:r>
        <w:rPr>
          <w:sz w:val="24"/>
          <w:szCs w:val="24"/>
        </w:rPr>
        <w:t>infektiøs pneumonitis</w:t>
      </w:r>
      <w:proofErr w:type="gramEnd"/>
      <w:r>
        <w:rPr>
          <w:sz w:val="24"/>
          <w:szCs w:val="24"/>
        </w:rPr>
        <w:t xml:space="preserve"> (se ”Infektioner” nedenfor). Patienter skal rådes til straks at indberette nye eller forværrede respiratoriske symptomer.</w:t>
      </w:r>
    </w:p>
    <w:p w:rsidR="000433C9" w:rsidRDefault="000433C9" w:rsidP="000433C9">
      <w:pPr>
        <w:tabs>
          <w:tab w:val="left" w:pos="851"/>
        </w:tabs>
        <w:ind w:left="851"/>
        <w:rPr>
          <w:sz w:val="24"/>
          <w:szCs w:val="24"/>
        </w:rPr>
      </w:pPr>
    </w:p>
    <w:p w:rsidR="000433C9" w:rsidRDefault="000433C9" w:rsidP="000433C9">
      <w:pPr>
        <w:pStyle w:val="Default"/>
        <w:ind w:left="851"/>
      </w:pPr>
      <w:r>
        <w:t>Patienter, der udvikler radiologiske forandringer, der tyder på non-</w:t>
      </w:r>
      <w:proofErr w:type="gramStart"/>
      <w:r>
        <w:t>infektiøs pneumonitis</w:t>
      </w:r>
      <w:proofErr w:type="gramEnd"/>
      <w:r>
        <w:t xml:space="preserve">, og som har få eller ingen symptomer, kan fortsætte behandlingen med everolimus uden dosisjustering. </w:t>
      </w:r>
    </w:p>
    <w:p w:rsidR="000433C9" w:rsidRDefault="000433C9" w:rsidP="000433C9">
      <w:pPr>
        <w:pStyle w:val="Default"/>
        <w:ind w:left="851"/>
      </w:pPr>
      <w:r>
        <w:rPr>
          <w:b/>
          <w:bCs/>
          <w:i/>
          <w:iCs/>
        </w:rPr>
        <w:t>Neuroendokrine tumorer</w:t>
      </w:r>
    </w:p>
    <w:p w:rsidR="000433C9" w:rsidRDefault="000433C9" w:rsidP="000433C9">
      <w:pPr>
        <w:pStyle w:val="Default"/>
        <w:ind w:left="1304"/>
      </w:pPr>
      <w:r>
        <w:t>Hvis symptomerne er moderate (Grad 2) eller alvorlige (Grad 3), kan kortikosteroid være indiceret, indtil de kliniske symptomer forsvinder.</w:t>
      </w:r>
    </w:p>
    <w:p w:rsidR="000433C9" w:rsidRDefault="000433C9" w:rsidP="000433C9">
      <w:pPr>
        <w:tabs>
          <w:tab w:val="left" w:pos="851"/>
        </w:tabs>
        <w:rPr>
          <w:sz w:val="24"/>
          <w:szCs w:val="24"/>
        </w:rPr>
      </w:pPr>
      <w:r>
        <w:tab/>
      </w:r>
      <w:r>
        <w:rPr>
          <w:b/>
          <w:bCs/>
          <w:i/>
          <w:sz w:val="24"/>
          <w:szCs w:val="24"/>
        </w:rPr>
        <w:t>Renal angiomyolipom/SEGA</w:t>
      </w:r>
    </w:p>
    <w:p w:rsidR="000433C9" w:rsidRDefault="000433C9" w:rsidP="000433C9">
      <w:pPr>
        <w:pStyle w:val="Brdtekst"/>
        <w:ind w:left="1304" w:right="-1"/>
        <w:rPr>
          <w:sz w:val="24"/>
          <w:szCs w:val="24"/>
          <w:lang w:val="da-DK"/>
        </w:rPr>
      </w:pPr>
      <w:r>
        <w:rPr>
          <w:sz w:val="24"/>
          <w:szCs w:val="24"/>
          <w:lang w:val="da-DK"/>
        </w:rPr>
        <w:t>Hvis symptomerne er moderate, bør det overvejes at afbryde behandlingen, indtil symptomerne bedres. Brug af kortikosteroider kan være indiceret. Behandling med everolimus kan genoptages i en daglig dosis, der er ca. 50 % lavere end den tidligere administrerede dosis.</w:t>
      </w:r>
    </w:p>
    <w:p w:rsidR="000433C9" w:rsidRDefault="000433C9" w:rsidP="000433C9">
      <w:pPr>
        <w:pStyle w:val="Default"/>
        <w:ind w:left="1304"/>
      </w:pPr>
      <w:r>
        <w:lastRenderedPageBreak/>
        <w:t>Behandling med everolimus skal afbrydes i tilfælde, hvor der opstår svære symptomer på non-</w:t>
      </w:r>
      <w:proofErr w:type="gramStart"/>
      <w:r>
        <w:t>infektiøs pneumonitis</w:t>
      </w:r>
      <w:proofErr w:type="gramEnd"/>
      <w:r>
        <w:t>, og brug af kortikosteroider kan være indiceret, indtil de kliniske symptomer forsvinder. Behandling med everolimus kan genoptages i en daglig dosis, der er ca. 50 % lavere end den tidligere administrerede dosis, afhængig af de individuelle kliniske omstændigheder.</w:t>
      </w:r>
    </w:p>
    <w:p w:rsidR="000433C9" w:rsidRDefault="000433C9" w:rsidP="000433C9">
      <w:pPr>
        <w:pStyle w:val="Default"/>
        <w:ind w:left="851"/>
      </w:pPr>
      <w:r>
        <w:t>Hos patienter, hvor behandling med kortikosteroider af non-infektiøs lungebetændelse er nødvendig, kan profylaktisk behandling mod PJP/PCP overvejes.</w:t>
      </w:r>
    </w:p>
    <w:p w:rsidR="000433C9" w:rsidRDefault="000433C9" w:rsidP="000433C9">
      <w:pPr>
        <w:pStyle w:val="Default"/>
        <w:ind w:left="851"/>
      </w:pPr>
      <w:r>
        <w:t xml:space="preserve"> </w:t>
      </w:r>
    </w:p>
    <w:p w:rsidR="000433C9" w:rsidRDefault="000433C9" w:rsidP="000433C9">
      <w:pPr>
        <w:pStyle w:val="Default"/>
        <w:ind w:left="851"/>
        <w:rPr>
          <w:u w:val="single"/>
        </w:rPr>
      </w:pPr>
      <w:r>
        <w:rPr>
          <w:u w:val="single"/>
        </w:rPr>
        <w:t xml:space="preserve">Infektioner </w:t>
      </w:r>
    </w:p>
    <w:p w:rsidR="000433C9" w:rsidRDefault="000433C9" w:rsidP="000433C9">
      <w:pPr>
        <w:pStyle w:val="Default"/>
        <w:ind w:left="851"/>
      </w:pPr>
      <w:r>
        <w:t xml:space="preserve">Everolimus har immunsuppressive egenskaber og kan prædisponere patienter for infektioner forårsaget af bakterier, svampe, vira eller protozoer, inklusive infektioner med opportunistiske patogener (se pkt. 4.8). Lokaliserede og systemiske infektioner, herunder pneumoni, andre bakterielle infektioner, invasive svampeinfektioner, såsom aspergillose, candidiasis eller PJP/PCP og virale infektioner inklusive reaktivering af hepatitis B-virus, er beskrevet hos patienter, der tager everolimus. </w:t>
      </w:r>
    </w:p>
    <w:p w:rsidR="000433C9" w:rsidRDefault="000433C9" w:rsidP="000433C9">
      <w:pPr>
        <w:pStyle w:val="Default"/>
        <w:ind w:left="851"/>
      </w:pPr>
      <w:r>
        <w:rPr>
          <w:b/>
          <w:bCs/>
          <w:i/>
          <w:iCs/>
        </w:rPr>
        <w:t>Neuroendokrine tumorer</w:t>
      </w:r>
      <w:r>
        <w:t xml:space="preserve"> </w:t>
      </w:r>
    </w:p>
    <w:p w:rsidR="000433C9" w:rsidRDefault="000433C9" w:rsidP="000433C9">
      <w:pPr>
        <w:pStyle w:val="Default"/>
        <w:ind w:left="1304"/>
      </w:pPr>
      <w:r>
        <w:t>Nogle af disse infektioner har været alvorlige (har f.eks. ført til sepsis, respirations- eller leversvigt), og i nogle tilfælde letale.</w:t>
      </w:r>
    </w:p>
    <w:p w:rsidR="000433C9" w:rsidRDefault="000433C9" w:rsidP="000433C9">
      <w:pPr>
        <w:pStyle w:val="Default"/>
        <w:ind w:left="851"/>
        <w:rPr>
          <w:b/>
          <w:bCs/>
          <w:i/>
          <w:iCs/>
        </w:rPr>
      </w:pPr>
      <w:r>
        <w:rPr>
          <w:b/>
          <w:bCs/>
          <w:i/>
        </w:rPr>
        <w:t>Renal angiomyolipom/SEGA</w:t>
      </w:r>
      <w:r>
        <w:t xml:space="preserve"> </w:t>
      </w:r>
    </w:p>
    <w:p w:rsidR="000433C9" w:rsidRDefault="000433C9" w:rsidP="000433C9">
      <w:pPr>
        <w:pStyle w:val="Default"/>
        <w:ind w:left="1304"/>
      </w:pPr>
      <w:r>
        <w:t>Nogle af disse infektioner har været alvorlige (har fx ført til sepsis [inklusive septisk shock], respirations- eller leversvigt), og i nogle tilfælde været letale hos voksne og pædiatriske patienter (se pkt. 4.8).</w:t>
      </w:r>
    </w:p>
    <w:p w:rsidR="000433C9" w:rsidRDefault="000433C9" w:rsidP="000433C9">
      <w:pPr>
        <w:pStyle w:val="Default"/>
        <w:ind w:left="851"/>
      </w:pPr>
    </w:p>
    <w:p w:rsidR="000433C9" w:rsidRDefault="000433C9" w:rsidP="000433C9">
      <w:pPr>
        <w:pStyle w:val="Default"/>
        <w:ind w:left="851"/>
      </w:pPr>
      <w:r>
        <w:t xml:space="preserve">Læger og patienter skal være opmærksomme på den øgede infektionsrisiko med everolimus. Præ-eksisterende infektioner skal behandles hensigtsmæssigt og være fuldstændigt elimineret, inden behandling med everolimus påbegyndes. Mens everolimus tages, skal man være på vagt over for symptomer og tegn på infektion: hvis der stilles en infektionsdiagnose, skal der omgående iværksættes hensigtsmæssig behandling, og afbrydelse eller ophør med everolimus-behandlingen skal overvejes. </w:t>
      </w:r>
    </w:p>
    <w:p w:rsidR="000433C9" w:rsidRDefault="000433C9" w:rsidP="000433C9">
      <w:pPr>
        <w:pStyle w:val="Default"/>
        <w:ind w:left="851"/>
      </w:pPr>
    </w:p>
    <w:p w:rsidR="000433C9" w:rsidRDefault="000433C9" w:rsidP="000433C9">
      <w:pPr>
        <w:pStyle w:val="Default"/>
        <w:ind w:left="851"/>
      </w:pPr>
      <w:r>
        <w:t>Hvis diagnosen invasiv systemisk svampeinfektion stilles, skal everolimus-behandlingen omgående og permanent seponeres, og patienten skal behandles med et passende antimykotisk lægemiddel.</w:t>
      </w:r>
    </w:p>
    <w:p w:rsidR="000433C9" w:rsidRDefault="000433C9" w:rsidP="000433C9">
      <w:pPr>
        <w:pStyle w:val="Default"/>
        <w:ind w:left="851"/>
      </w:pPr>
      <w:r>
        <w:t xml:space="preserve"> </w:t>
      </w:r>
    </w:p>
    <w:p w:rsidR="000433C9" w:rsidRDefault="000433C9" w:rsidP="000433C9">
      <w:pPr>
        <w:pStyle w:val="Default"/>
        <w:ind w:left="851"/>
      </w:pPr>
      <w:r>
        <w:t xml:space="preserve">Der er rapporteret tilfælde af PJP/PCP, nogle med fatalt udfald, hos patienter, der fik behandling med everolimus. PJP/PCP kan være associeret med samtidig behandling med kortikosteroider eller andre immunosupressive lægemidler. Profylaktisk behandling af PJP/PCP bør overvejes, når det er nødvendigt med samtidig behandling med kortikosteroider eller andre immunosupressive lægemidler. </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Overfølsomhedsreaktioner </w:t>
      </w:r>
    </w:p>
    <w:p w:rsidR="000433C9" w:rsidRDefault="000433C9" w:rsidP="000433C9">
      <w:pPr>
        <w:pStyle w:val="Default"/>
        <w:ind w:left="851"/>
      </w:pPr>
      <w:r>
        <w:t xml:space="preserve">Der er observeret overfølsomhedsreaktioner ved everolimus, der bl.a. viser sig ved anafylaktisk dyspnø, rødmen, brystsmerter eller angioødem (f.eks. hævede luftveje eller tunge, med eller uden nedsat respiratorisk funktion) (se pkt. 4.3). </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Samtidig brug af angiotensin-konverteringsenzym (ACE)-hæmmere </w:t>
      </w:r>
    </w:p>
    <w:p w:rsidR="000433C9" w:rsidRDefault="000433C9" w:rsidP="000433C9">
      <w:pPr>
        <w:pStyle w:val="Default"/>
        <w:ind w:left="851"/>
      </w:pPr>
      <w:r>
        <w:t>Hos patienter, der samtidig behandles med en ACE-hæmmer (f.eks. ramipril), kan der være forhøjet risiko for angioødem (f.eks. hævelse af luftvejene eller tungen med eller uden respiratorisk svækkelse) (se pkt. 4.5).</w:t>
      </w:r>
    </w:p>
    <w:p w:rsidR="000433C9" w:rsidRDefault="000433C9" w:rsidP="000433C9">
      <w:pPr>
        <w:pStyle w:val="Default"/>
        <w:ind w:left="851"/>
      </w:pPr>
      <w:r>
        <w:t xml:space="preserve"> </w:t>
      </w:r>
    </w:p>
    <w:p w:rsidR="000433C9" w:rsidRDefault="000433C9" w:rsidP="000433C9">
      <w:pPr>
        <w:pStyle w:val="Default"/>
        <w:ind w:left="851"/>
        <w:rPr>
          <w:u w:val="single"/>
        </w:rPr>
      </w:pPr>
      <w:r>
        <w:rPr>
          <w:u w:val="single"/>
        </w:rPr>
        <w:t>Stomatitis</w:t>
      </w:r>
    </w:p>
    <w:p w:rsidR="000433C9" w:rsidRDefault="000433C9" w:rsidP="000433C9">
      <w:pPr>
        <w:pStyle w:val="Default"/>
        <w:ind w:left="851"/>
      </w:pPr>
      <w:r>
        <w:lastRenderedPageBreak/>
        <w:t xml:space="preserve">Stomatitis, herunder mundsår og oral mucositis er den hyppigst rapporterede bivirkning hos patienter, der blev behandlet med everolimus (se pkt. 4.8). Stomatitis forekommer oftest inden for de første 8 ugers behandling. Et enkeltarms-studie med postmenopausale brystkræftpatienter, der blev behandlet med everolimus plus exemestan, tyder på, at en alkoholfri oral opløsning med kortikosteroid, administreret som mundskyllevæske i de første 8 ugers behandling, kan nedsætte forekomsten og alvorligheden af stomatitis (se pkt. 5.1).  Håndtering af stomatitis kan derfor inkludere profylaktisk (hos voksne) og/eller terapeutisk brug af topikale behandlinger, som fx en alkoholfri oral opløsning med kortikosteroid som mundskyllevæske. Mundskyllevæsker, der indeholder alkohol, hydrogenperoxid, iod eller timianekstrakt skal dog undgås, da de kan forværre tilstanden. Det anbefales at behandle og monitorere for svampeinfektion særligt hos patienter, der behandles med steroidbaserede lægemidler. Antimykotiske lægemidler må ikke anvendes, medmindre der er konstateret en svampeinfektion (se pkt. 4.5). </w:t>
      </w:r>
    </w:p>
    <w:p w:rsidR="000433C9" w:rsidRDefault="000433C9" w:rsidP="000433C9">
      <w:pPr>
        <w:pStyle w:val="Default"/>
        <w:ind w:left="851"/>
      </w:pPr>
    </w:p>
    <w:p w:rsidR="000433C9" w:rsidRDefault="000433C9" w:rsidP="000433C9">
      <w:pPr>
        <w:pStyle w:val="Default"/>
        <w:ind w:left="851"/>
      </w:pPr>
      <w:bookmarkStart w:id="0" w:name="_Hlk161756797"/>
      <w:r>
        <w:rPr>
          <w:b/>
          <w:bCs/>
          <w:i/>
        </w:rPr>
        <w:t>Renal angiomyolipom/SEGA</w:t>
      </w:r>
      <w:r>
        <w:rPr>
          <w:b/>
          <w:bCs/>
          <w:i/>
          <w:iCs/>
        </w:rPr>
        <w:t xml:space="preserve"> </w:t>
      </w:r>
    </w:p>
    <w:bookmarkEnd w:id="0"/>
    <w:p w:rsidR="000433C9" w:rsidRDefault="000433C9" w:rsidP="000433C9">
      <w:pPr>
        <w:pStyle w:val="Brdtekst"/>
        <w:ind w:left="298" w:firstLine="1006"/>
        <w:rPr>
          <w:sz w:val="24"/>
          <w:szCs w:val="24"/>
          <w:lang w:val="da-DK"/>
        </w:rPr>
      </w:pPr>
      <w:r>
        <w:rPr>
          <w:sz w:val="24"/>
          <w:szCs w:val="24"/>
          <w:u w:val="single"/>
          <w:lang w:val="da-DK"/>
        </w:rPr>
        <w:t>Hæmoragi</w:t>
      </w:r>
    </w:p>
    <w:p w:rsidR="000433C9" w:rsidRDefault="000433C9" w:rsidP="000433C9">
      <w:pPr>
        <w:pStyle w:val="Brdtekst"/>
        <w:ind w:left="1304" w:right="-1"/>
        <w:rPr>
          <w:sz w:val="24"/>
          <w:szCs w:val="24"/>
          <w:lang w:val="da-DK"/>
        </w:rPr>
      </w:pPr>
      <w:r>
        <w:rPr>
          <w:sz w:val="24"/>
          <w:szCs w:val="24"/>
          <w:lang w:val="da-DK"/>
        </w:rPr>
        <w:t>Der er blevet rapporteret alvorlige tilfælde af hæmoragi, nogle med dødelig udgang, hos patienter behandlet med everolimus i forbindelse med onkologiske diagnoser. Der er ikke rapporteret alvorlige tilfælde af renal hæmoragi i forbindelse med TSC.</w:t>
      </w:r>
    </w:p>
    <w:p w:rsidR="000433C9" w:rsidRDefault="000433C9" w:rsidP="000433C9">
      <w:pPr>
        <w:pStyle w:val="Brdtekst"/>
        <w:ind w:left="1304" w:right="-1"/>
        <w:rPr>
          <w:lang w:val="da-DK"/>
        </w:rPr>
      </w:pPr>
      <w:r>
        <w:rPr>
          <w:sz w:val="24"/>
          <w:szCs w:val="24"/>
          <w:lang w:val="da-DK"/>
        </w:rPr>
        <w:t>Det anbefales at udvise forsigtighed hos patienter, der får everolimus, specielt ved samtidig behandling med aktive substanser, der er kendt for at påvirke blodpladefunktionen, eller som kan øge risikoen for hæmoragi, samt hos patienter med blødersygdom i anamnesen. Sundhedspersonale og patienter skal være opmærksomme på tegn og symptomer på blødning i behandlingsperioden, specielt hvis der er flere risikofaktorer for hæmoragi.</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Nyresvigt </w:t>
      </w:r>
    </w:p>
    <w:p w:rsidR="000433C9" w:rsidRDefault="000433C9" w:rsidP="000433C9">
      <w:pPr>
        <w:tabs>
          <w:tab w:val="left" w:pos="851"/>
        </w:tabs>
        <w:ind w:left="851"/>
        <w:rPr>
          <w:sz w:val="24"/>
          <w:szCs w:val="24"/>
        </w:rPr>
      </w:pPr>
      <w:r>
        <w:rPr>
          <w:sz w:val="24"/>
          <w:szCs w:val="24"/>
        </w:rPr>
        <w:t>Der er observeret tilfælde af nyresvigt (inklusive akut nyresvigt), nogle med letalt udfald, hos patienter behandlet med everolimus (se pkt. 4.8). Nyrefunktion skal monitoreres, specielt hos patienter med risikofaktorer, der kan svække nyrefunktionen yderligere.</w:t>
      </w:r>
    </w:p>
    <w:p w:rsidR="000433C9" w:rsidRDefault="000433C9" w:rsidP="000433C9">
      <w:pPr>
        <w:tabs>
          <w:tab w:val="left" w:pos="851"/>
        </w:tabs>
        <w:ind w:left="851"/>
        <w:rPr>
          <w:sz w:val="24"/>
          <w:szCs w:val="24"/>
        </w:rPr>
      </w:pPr>
    </w:p>
    <w:p w:rsidR="000433C9" w:rsidRDefault="000433C9" w:rsidP="000433C9">
      <w:pPr>
        <w:pStyle w:val="Default"/>
        <w:ind w:left="851"/>
        <w:rPr>
          <w:u w:val="single"/>
        </w:rPr>
      </w:pPr>
      <w:r>
        <w:rPr>
          <w:u w:val="single"/>
        </w:rPr>
        <w:t xml:space="preserve">Laboratorietest og monitorering </w:t>
      </w:r>
    </w:p>
    <w:p w:rsidR="000433C9" w:rsidRDefault="000433C9" w:rsidP="000433C9">
      <w:pPr>
        <w:pStyle w:val="Default"/>
        <w:ind w:left="851"/>
        <w:rPr>
          <w:i/>
          <w:iCs/>
        </w:rPr>
      </w:pPr>
    </w:p>
    <w:p w:rsidR="000433C9" w:rsidRDefault="000433C9" w:rsidP="000433C9">
      <w:pPr>
        <w:pStyle w:val="Default"/>
        <w:ind w:left="851"/>
      </w:pPr>
      <w:r>
        <w:rPr>
          <w:i/>
          <w:iCs/>
        </w:rPr>
        <w:t xml:space="preserve">Nyrefunktion </w:t>
      </w:r>
    </w:p>
    <w:p w:rsidR="000433C9" w:rsidRDefault="000433C9" w:rsidP="000433C9">
      <w:pPr>
        <w:pStyle w:val="Default"/>
        <w:ind w:left="851"/>
      </w:pPr>
      <w:r>
        <w:t xml:space="preserve">Forhøjet serumkreatinin, som regel let forhøjet, og proteinuri er rapporteret (se pkt. 4.8). Det anbefales at monitorere nyrefunktionen, herunder måling af blodureanitrogen (BUN), urinprotein eller serumkreatinin inden opstart af behandling med everolimus og med jævne mellemrum herefter. </w:t>
      </w:r>
    </w:p>
    <w:p w:rsidR="000433C9" w:rsidRDefault="000433C9" w:rsidP="000433C9">
      <w:pPr>
        <w:pStyle w:val="Default"/>
        <w:ind w:left="851"/>
        <w:rPr>
          <w:i/>
          <w:iCs/>
        </w:rPr>
      </w:pPr>
    </w:p>
    <w:p w:rsidR="000433C9" w:rsidRDefault="000433C9" w:rsidP="000433C9">
      <w:pPr>
        <w:pStyle w:val="Default"/>
        <w:ind w:left="851"/>
      </w:pPr>
      <w:r>
        <w:rPr>
          <w:i/>
          <w:iCs/>
        </w:rPr>
        <w:t xml:space="preserve">Blodglucose </w:t>
      </w:r>
    </w:p>
    <w:p w:rsidR="000433C9" w:rsidRDefault="000433C9" w:rsidP="000433C9">
      <w:pPr>
        <w:pStyle w:val="Default"/>
        <w:ind w:left="851"/>
      </w:pPr>
      <w:r>
        <w:t xml:space="preserve">Hyperglykæmi er rapporteret (se pkt. 4.8). Det anbefales at monitorere faste-serum-glucose før opstart af behandling med everolimus og periodisk derefter. Hyppigere monitorering anbefales, når everolimus anvendes sammen med andre lægemidler, som kan inducere hyperglykæmi. Når det er muligt, skal optimal glykæmisk kontrol være opnået, før en patient sættes i behandling med everolimus. </w:t>
      </w:r>
    </w:p>
    <w:p w:rsidR="000433C9" w:rsidRDefault="000433C9" w:rsidP="000433C9">
      <w:pPr>
        <w:pStyle w:val="Default"/>
        <w:ind w:left="851"/>
        <w:rPr>
          <w:i/>
          <w:iCs/>
        </w:rPr>
      </w:pPr>
    </w:p>
    <w:p w:rsidR="000433C9" w:rsidRDefault="000433C9" w:rsidP="000433C9">
      <w:pPr>
        <w:pStyle w:val="Default"/>
        <w:keepNext/>
        <w:ind w:left="851"/>
      </w:pPr>
      <w:r>
        <w:rPr>
          <w:i/>
          <w:iCs/>
        </w:rPr>
        <w:t xml:space="preserve">Blodlipider </w:t>
      </w:r>
    </w:p>
    <w:p w:rsidR="000433C9" w:rsidRDefault="000433C9" w:rsidP="000433C9">
      <w:pPr>
        <w:pStyle w:val="Default"/>
        <w:ind w:left="851"/>
      </w:pPr>
      <w:r>
        <w:t xml:space="preserve">Dyslipidæmi (inklusive hyperkolesterolæmi og hypertriglyceridæmi) er rapporteret. Monitorering af kolesterol og triglycerider i blodet før opstart af behandling med everolimus og periodisk herefter samt passende medicinsk behandling anbefales. </w:t>
      </w:r>
    </w:p>
    <w:p w:rsidR="000433C9" w:rsidRDefault="000433C9" w:rsidP="000433C9">
      <w:pPr>
        <w:pStyle w:val="Default"/>
        <w:ind w:left="851"/>
        <w:rPr>
          <w:i/>
          <w:iCs/>
        </w:rPr>
      </w:pPr>
    </w:p>
    <w:p w:rsidR="000433C9" w:rsidRDefault="000433C9" w:rsidP="000433C9">
      <w:pPr>
        <w:pStyle w:val="Default"/>
        <w:keepNext/>
        <w:ind w:left="851"/>
      </w:pPr>
      <w:r>
        <w:rPr>
          <w:i/>
          <w:iCs/>
        </w:rPr>
        <w:lastRenderedPageBreak/>
        <w:t xml:space="preserve">Hæmatologiske parametre </w:t>
      </w:r>
    </w:p>
    <w:p w:rsidR="000433C9" w:rsidRDefault="000433C9" w:rsidP="000433C9">
      <w:pPr>
        <w:pStyle w:val="Default"/>
        <w:ind w:left="851"/>
      </w:pPr>
      <w:r>
        <w:t xml:space="preserve">Fald i hæmoglobin, lymfocytter, neutrofiler og trombocytter er rapporteret (se pkt. 4.8). Det anbefales at foretage en komplet blodtælling før opstart af behandling med everolimus og med jævne mellemrum herefter. </w:t>
      </w:r>
    </w:p>
    <w:p w:rsidR="000433C9" w:rsidRDefault="000433C9" w:rsidP="000433C9">
      <w:pPr>
        <w:pStyle w:val="Default"/>
        <w:ind w:left="851"/>
      </w:pPr>
    </w:p>
    <w:p w:rsidR="000433C9" w:rsidRDefault="000433C9" w:rsidP="000433C9">
      <w:pPr>
        <w:pStyle w:val="Default"/>
        <w:ind w:left="851"/>
      </w:pPr>
      <w:r>
        <w:rPr>
          <w:b/>
          <w:bCs/>
          <w:i/>
          <w:iCs/>
        </w:rPr>
        <w:t>Neuroendokrine tumorer</w:t>
      </w:r>
    </w:p>
    <w:p w:rsidR="000433C9" w:rsidRDefault="000433C9" w:rsidP="000433C9">
      <w:pPr>
        <w:pStyle w:val="Default"/>
        <w:ind w:left="851" w:firstLine="453"/>
        <w:rPr>
          <w:u w:val="single"/>
        </w:rPr>
      </w:pPr>
      <w:r>
        <w:rPr>
          <w:u w:val="single"/>
        </w:rPr>
        <w:t xml:space="preserve">Funktionelle karcinoide tumorer </w:t>
      </w:r>
    </w:p>
    <w:p w:rsidR="000433C9" w:rsidRDefault="000433C9" w:rsidP="000433C9">
      <w:pPr>
        <w:pStyle w:val="Default"/>
        <w:ind w:left="1304"/>
      </w:pPr>
      <w:r>
        <w:t>I et randomiseret, dobbeltblindet multicenterstudie med patienter med funktionelle karcinoide tumorer blev everolimus plus depotformulering af octreotid sammenlignet med placebo plus depotformulering af octreotid. Studiet nåede ikke sit primære effektendepunkt (progressionsfri overlevelse [PFS]), og interimanalysen af den totale overlevelse (</w:t>
      </w:r>
      <w:r>
        <w:rPr>
          <w:iCs/>
        </w:rPr>
        <w:t>overall survival;</w:t>
      </w:r>
      <w:r>
        <w:rPr>
          <w:i/>
          <w:iCs/>
        </w:rPr>
        <w:t xml:space="preserve"> </w:t>
      </w:r>
      <w:r>
        <w:t>OS) favoriserede numerisk armen med placebo plus depot-octreotid. Som følge heraf er sikkerheden og virkningen af everolimus hos patienter med funktionelle karcinoide tumorer ikke klarlagt.</w:t>
      </w:r>
    </w:p>
    <w:p w:rsidR="000433C9" w:rsidRDefault="000433C9" w:rsidP="000433C9">
      <w:pPr>
        <w:pStyle w:val="Default"/>
        <w:ind w:left="851"/>
      </w:pPr>
      <w:r>
        <w:t xml:space="preserve"> </w:t>
      </w:r>
    </w:p>
    <w:p w:rsidR="000433C9" w:rsidRDefault="000433C9" w:rsidP="000433C9">
      <w:pPr>
        <w:pStyle w:val="Default"/>
        <w:ind w:left="1304"/>
        <w:rPr>
          <w:u w:val="single"/>
        </w:rPr>
      </w:pPr>
      <w:r>
        <w:rPr>
          <w:u w:val="single"/>
        </w:rPr>
        <w:t xml:space="preserve">Prognostiske faktorer ved neuroendokrine tumorer udgået fra mave-tarm-kanalen eller lungerne. </w:t>
      </w:r>
    </w:p>
    <w:p w:rsidR="000433C9" w:rsidRDefault="000433C9" w:rsidP="000433C9">
      <w:pPr>
        <w:pStyle w:val="Default"/>
        <w:ind w:left="1304"/>
      </w:pPr>
      <w:r>
        <w:t xml:space="preserve">Hos patienter med ikke-funktionelle neuroendokrine tumorer udgået fra mave-tarm-kanalen eller lungerne og med gode prognostiske </w:t>
      </w:r>
      <w:r>
        <w:rPr>
          <w:iCs/>
        </w:rPr>
        <w:t>baseline</w:t>
      </w:r>
      <w:r>
        <w:t xml:space="preserve">-faktorer, f.eks. primærtumor udgået fra ileum og normale kromogranin A-værdier eller uden nogle knogle påvirkning, bør der foretages en individuel </w:t>
      </w:r>
      <w:r>
        <w:rPr>
          <w:iCs/>
        </w:rPr>
        <w:t>benefit/risk</w:t>
      </w:r>
      <w:r>
        <w:t xml:space="preserve">-vurdering før opstart af behandling med everolimus. Der blev rapporteret begrænset evidens for en PFS-fordel hos en undergruppe af patienter med primærtumor udgået fra ileum (se pkt. 5.1). </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Interaktioner </w:t>
      </w:r>
    </w:p>
    <w:p w:rsidR="000433C9" w:rsidRDefault="000433C9" w:rsidP="000433C9">
      <w:pPr>
        <w:pStyle w:val="Default"/>
        <w:ind w:left="851"/>
      </w:pPr>
      <w:r>
        <w:t xml:space="preserve">Samtidig administration med hæmmere og induktorer af CYP3A4 og/eller </w:t>
      </w:r>
      <w:r>
        <w:rPr>
          <w:iCs/>
        </w:rPr>
        <w:t>Multidrug efflux pump</w:t>
      </w:r>
      <w:r>
        <w:rPr>
          <w:i/>
          <w:iCs/>
        </w:rPr>
        <w:t xml:space="preserve"> </w:t>
      </w:r>
      <w:r>
        <w:t xml:space="preserve">P-glykoprotein (PgP) skal undgås. Hvis samtidig administration af en </w:t>
      </w:r>
      <w:r>
        <w:rPr>
          <w:b/>
          <w:bCs/>
          <w:iCs/>
        </w:rPr>
        <w:t>moderat</w:t>
      </w:r>
      <w:r>
        <w:rPr>
          <w:b/>
          <w:bCs/>
          <w:i/>
          <w:iCs/>
        </w:rPr>
        <w:t xml:space="preserve"> </w:t>
      </w:r>
      <w:r>
        <w:t xml:space="preserve">CYP3A4- og/eller PgP-hæmmer eller induktor ikke kan undgås, bør patientens kliniske tilstand overvåges tæt. </w:t>
      </w:r>
    </w:p>
    <w:p w:rsidR="000433C9" w:rsidRDefault="000433C9" w:rsidP="000433C9">
      <w:pPr>
        <w:pStyle w:val="Default"/>
        <w:ind w:left="851"/>
      </w:pPr>
      <w:bookmarkStart w:id="1" w:name="_Hlk161763611"/>
      <w:r>
        <w:rPr>
          <w:b/>
          <w:bCs/>
          <w:i/>
          <w:iCs/>
        </w:rPr>
        <w:t>Neuroendokrine tumorer</w:t>
      </w:r>
    </w:p>
    <w:bookmarkEnd w:id="1"/>
    <w:p w:rsidR="000433C9" w:rsidRDefault="000433C9" w:rsidP="000433C9">
      <w:pPr>
        <w:pStyle w:val="Default"/>
        <w:ind w:left="1304"/>
      </w:pPr>
      <w:r>
        <w:t>Det kan overvejes at foretage dosisjusteringer af everolimus baseret på forventet AUC (se pkt. 4.5).</w:t>
      </w:r>
    </w:p>
    <w:p w:rsidR="000433C9" w:rsidRDefault="000433C9" w:rsidP="000433C9">
      <w:pPr>
        <w:pStyle w:val="Default"/>
        <w:ind w:left="851"/>
        <w:rPr>
          <w:b/>
          <w:bCs/>
          <w:i/>
          <w:iCs/>
        </w:rPr>
      </w:pPr>
      <w:r>
        <w:rPr>
          <w:b/>
          <w:bCs/>
          <w:i/>
        </w:rPr>
        <w:t>Renal angiomyolipom/SEGA</w:t>
      </w:r>
    </w:p>
    <w:p w:rsidR="000433C9" w:rsidRDefault="000433C9" w:rsidP="000433C9">
      <w:pPr>
        <w:pStyle w:val="Default"/>
        <w:ind w:left="1304" w:firstLine="3"/>
      </w:pPr>
      <w:r>
        <w:t>Det kan være nødvendigt at overvåge everolimus-dal-koncentrationen og det kan være krævet at foretage dosisjusteringer af everolimus (se pkt. 4.5).</w:t>
      </w:r>
    </w:p>
    <w:p w:rsidR="000433C9" w:rsidRDefault="000433C9" w:rsidP="000433C9">
      <w:pPr>
        <w:tabs>
          <w:tab w:val="left" w:pos="851"/>
        </w:tabs>
        <w:ind w:left="851"/>
        <w:rPr>
          <w:sz w:val="24"/>
          <w:szCs w:val="24"/>
        </w:rPr>
      </w:pPr>
    </w:p>
    <w:p w:rsidR="000433C9" w:rsidRDefault="000433C9" w:rsidP="000433C9">
      <w:pPr>
        <w:tabs>
          <w:tab w:val="left" w:pos="851"/>
        </w:tabs>
        <w:ind w:left="851"/>
        <w:rPr>
          <w:sz w:val="24"/>
          <w:szCs w:val="24"/>
        </w:rPr>
      </w:pPr>
      <w:r>
        <w:rPr>
          <w:sz w:val="24"/>
          <w:szCs w:val="24"/>
        </w:rPr>
        <w:t xml:space="preserve">Samtidig behandling med </w:t>
      </w:r>
      <w:r>
        <w:rPr>
          <w:b/>
          <w:bCs/>
          <w:iCs/>
          <w:sz w:val="24"/>
          <w:szCs w:val="24"/>
        </w:rPr>
        <w:t>potente</w:t>
      </w:r>
      <w:r>
        <w:rPr>
          <w:b/>
          <w:bCs/>
          <w:i/>
          <w:iCs/>
          <w:sz w:val="24"/>
          <w:szCs w:val="24"/>
        </w:rPr>
        <w:t xml:space="preserve"> </w:t>
      </w:r>
      <w:r>
        <w:rPr>
          <w:sz w:val="24"/>
          <w:szCs w:val="24"/>
        </w:rPr>
        <w:t xml:space="preserve">CYP3A4/PgP-hæmmere resulterer i dramatisk øgede plasmakoncentrationer af everolimus (se pkt. 4.5). Der er på nuværende tidspunkt ikke tilstrækkelige data til at tillade dosisanbefalinger i denne situation. Derfor frarådes samtidig behandling med everolimus og </w:t>
      </w:r>
      <w:r>
        <w:rPr>
          <w:b/>
          <w:bCs/>
          <w:iCs/>
          <w:sz w:val="24"/>
          <w:szCs w:val="24"/>
        </w:rPr>
        <w:t>potente</w:t>
      </w:r>
      <w:r>
        <w:rPr>
          <w:b/>
          <w:bCs/>
          <w:i/>
          <w:iCs/>
          <w:sz w:val="24"/>
          <w:szCs w:val="24"/>
        </w:rPr>
        <w:t xml:space="preserve"> </w:t>
      </w:r>
      <w:r>
        <w:rPr>
          <w:sz w:val="24"/>
          <w:szCs w:val="24"/>
        </w:rPr>
        <w:t>hæmmere.</w:t>
      </w:r>
    </w:p>
    <w:p w:rsidR="000433C9" w:rsidRDefault="000433C9" w:rsidP="000433C9">
      <w:pPr>
        <w:tabs>
          <w:tab w:val="left" w:pos="851"/>
        </w:tabs>
        <w:ind w:left="851"/>
        <w:rPr>
          <w:sz w:val="24"/>
          <w:szCs w:val="24"/>
        </w:rPr>
      </w:pPr>
    </w:p>
    <w:p w:rsidR="000433C9" w:rsidRDefault="000433C9" w:rsidP="000433C9">
      <w:pPr>
        <w:pStyle w:val="Default"/>
        <w:ind w:left="851"/>
      </w:pPr>
      <w:r>
        <w:t xml:space="preserve">Der skal udvises forsigtighed, når everolimus tages i kombination med oralt administrerede CYP3A4-substrater med et snævert terapeutisk vindue på grund af risiko for lægemiddelinteraktioner. </w:t>
      </w:r>
    </w:p>
    <w:p w:rsidR="000433C9" w:rsidRDefault="000433C9" w:rsidP="000433C9">
      <w:pPr>
        <w:pStyle w:val="Default"/>
        <w:ind w:left="851"/>
      </w:pPr>
      <w:r>
        <w:rPr>
          <w:b/>
          <w:bCs/>
          <w:i/>
          <w:iCs/>
        </w:rPr>
        <w:t>Neuroendokrine tumorer</w:t>
      </w:r>
    </w:p>
    <w:p w:rsidR="000433C9" w:rsidRDefault="000433C9" w:rsidP="000433C9">
      <w:pPr>
        <w:pStyle w:val="Default"/>
        <w:ind w:left="1304"/>
      </w:pPr>
      <w:r>
        <w:t xml:space="preserve">Hvis everolimus tages med orale CYP3A4-substrater med et snævert terapeutisk vindue (f.eks. pimozid, terfenadin, astemizol, cisaprid, quinidin eller sekalealkaloider), skal patienten monitoreres for de bivirkninger, der er beskrevet i produktinformationen for det orale CYP3A4-substrat (se pkt. 4.5). </w:t>
      </w:r>
    </w:p>
    <w:p w:rsidR="000433C9" w:rsidRDefault="000433C9" w:rsidP="000433C9">
      <w:pPr>
        <w:pStyle w:val="Default"/>
        <w:ind w:left="851"/>
        <w:rPr>
          <w:b/>
          <w:bCs/>
          <w:i/>
          <w:iCs/>
        </w:rPr>
      </w:pPr>
      <w:r>
        <w:rPr>
          <w:b/>
          <w:bCs/>
          <w:i/>
        </w:rPr>
        <w:t>Renal angiomyolipom/SEGA</w:t>
      </w:r>
    </w:p>
    <w:p w:rsidR="000433C9" w:rsidRDefault="000433C9" w:rsidP="000433C9">
      <w:pPr>
        <w:pStyle w:val="Brdtekst"/>
        <w:spacing w:before="2"/>
        <w:ind w:left="1304" w:right="-1"/>
        <w:rPr>
          <w:lang w:val="da-DK"/>
        </w:rPr>
      </w:pPr>
      <w:r>
        <w:rPr>
          <w:sz w:val="24"/>
          <w:szCs w:val="24"/>
          <w:lang w:val="da-DK"/>
        </w:rPr>
        <w:t xml:space="preserve">Hvis everolimus tages med orale CYP3A4-substrater med et snævert terapeutisk </w:t>
      </w:r>
      <w:r>
        <w:rPr>
          <w:sz w:val="24"/>
          <w:szCs w:val="24"/>
          <w:lang w:val="da-DK"/>
        </w:rPr>
        <w:lastRenderedPageBreak/>
        <w:t>vindue (fx pimozid, terfenadin, astemizol, cisaprid, kinidin, sekalealkaloider eller carbamazepin), bør patienten monitoreres for de bivirkninger, der er beskrevet i produktinformationen for det orale CYP3A4-substrat (se pkt. 4.5).</w:t>
      </w:r>
    </w:p>
    <w:p w:rsidR="000433C9" w:rsidRDefault="000433C9" w:rsidP="000433C9">
      <w:pPr>
        <w:pStyle w:val="Brdtekst"/>
        <w:spacing w:before="2"/>
        <w:ind w:left="1304" w:right="-1"/>
        <w:rPr>
          <w:lang w:val="da-DK"/>
        </w:rPr>
      </w:pPr>
    </w:p>
    <w:p w:rsidR="000433C9" w:rsidRDefault="000433C9" w:rsidP="000433C9">
      <w:pPr>
        <w:pStyle w:val="Default"/>
        <w:ind w:left="851"/>
        <w:rPr>
          <w:u w:val="single"/>
        </w:rPr>
      </w:pPr>
      <w:r>
        <w:rPr>
          <w:u w:val="single"/>
        </w:rPr>
        <w:t xml:space="preserve">Nedsat leverfunktion </w:t>
      </w:r>
    </w:p>
    <w:p w:rsidR="000433C9" w:rsidRDefault="000433C9" w:rsidP="000433C9">
      <w:pPr>
        <w:pStyle w:val="Default"/>
        <w:ind w:left="851"/>
        <w:rPr>
          <w:b/>
          <w:bCs/>
          <w:i/>
          <w:iCs/>
        </w:rPr>
      </w:pPr>
    </w:p>
    <w:p w:rsidR="000433C9" w:rsidRDefault="000433C9" w:rsidP="000433C9">
      <w:pPr>
        <w:pStyle w:val="Default"/>
        <w:ind w:left="851"/>
      </w:pPr>
      <w:r>
        <w:rPr>
          <w:b/>
          <w:bCs/>
          <w:i/>
          <w:iCs/>
        </w:rPr>
        <w:t>Neuroendokrine tumorer</w:t>
      </w:r>
    </w:p>
    <w:p w:rsidR="000433C9" w:rsidRDefault="000433C9" w:rsidP="000433C9">
      <w:pPr>
        <w:pStyle w:val="Default"/>
        <w:ind w:left="1304"/>
      </w:pPr>
      <w:r>
        <w:t xml:space="preserve">Eksponering af everolimus var øget i patienter med let (Child-Pugh A), moderat (Child-Pugh B) og stærkt (Child-Pugh C) nedsat leverfunktion (se pkt. 5.2). </w:t>
      </w:r>
    </w:p>
    <w:p w:rsidR="000433C9" w:rsidRDefault="000433C9" w:rsidP="000433C9">
      <w:pPr>
        <w:pStyle w:val="Default"/>
        <w:ind w:left="1304"/>
      </w:pPr>
      <w:r>
        <w:t>Everolimus er kun anbefalet til behandling af patienter med stærkt nedsat leverfunktion (Child-Pugh C), hvis de potentielle fordele opvejer risiciene (se pkt. 4.2 og 5.2).</w:t>
      </w:r>
    </w:p>
    <w:p w:rsidR="000433C9" w:rsidRDefault="000433C9" w:rsidP="000433C9">
      <w:pPr>
        <w:pStyle w:val="Default"/>
        <w:ind w:left="1304"/>
      </w:pPr>
      <w:r>
        <w:t xml:space="preserve">På nuværende tidspunkt er der ingen tilgængelige data vedrørende klinisk sikkerhed og effekt, som understøtter anbefaling af dosisjustering ved bivirkninger hos patienter med nedsat leverfunktion. </w:t>
      </w:r>
    </w:p>
    <w:p w:rsidR="000433C9" w:rsidRDefault="000433C9" w:rsidP="000433C9">
      <w:pPr>
        <w:pStyle w:val="Default"/>
        <w:ind w:left="851"/>
        <w:rPr>
          <w:b/>
          <w:bCs/>
          <w:i/>
          <w:iCs/>
        </w:rPr>
      </w:pPr>
    </w:p>
    <w:p w:rsidR="000433C9" w:rsidRDefault="000433C9" w:rsidP="000433C9">
      <w:pPr>
        <w:pStyle w:val="Default"/>
        <w:ind w:left="851"/>
        <w:rPr>
          <w:b/>
          <w:bCs/>
          <w:i/>
          <w:iCs/>
        </w:rPr>
      </w:pPr>
      <w:r>
        <w:rPr>
          <w:b/>
          <w:bCs/>
          <w:i/>
        </w:rPr>
        <w:t>Renal angiomyolipom/SEGA</w:t>
      </w:r>
    </w:p>
    <w:p w:rsidR="000433C9" w:rsidRDefault="000433C9" w:rsidP="000433C9">
      <w:pPr>
        <w:pStyle w:val="Brdtekst"/>
        <w:spacing w:before="4"/>
        <w:ind w:left="298" w:firstLine="1006"/>
        <w:rPr>
          <w:sz w:val="24"/>
          <w:szCs w:val="24"/>
          <w:lang w:val="da-DK"/>
        </w:rPr>
      </w:pPr>
      <w:r>
        <w:rPr>
          <w:sz w:val="24"/>
          <w:szCs w:val="24"/>
          <w:lang w:val="da-DK"/>
        </w:rPr>
        <w:t>Everolimus anbefales ikke til patienter:</w:t>
      </w:r>
    </w:p>
    <w:p w:rsidR="000433C9" w:rsidRDefault="000433C9" w:rsidP="000433C9">
      <w:pPr>
        <w:pStyle w:val="Listeafsnit"/>
        <w:numPr>
          <w:ilvl w:val="0"/>
          <w:numId w:val="15"/>
        </w:numPr>
        <w:spacing w:before="2"/>
        <w:ind w:left="1843" w:right="-1"/>
        <w:rPr>
          <w:rFonts w:ascii="Symbol" w:hAnsi="Symbol"/>
          <w:sz w:val="24"/>
          <w:szCs w:val="24"/>
          <w:lang w:val="da-DK"/>
        </w:rPr>
      </w:pPr>
      <w:r>
        <w:rPr>
          <w:sz w:val="24"/>
          <w:szCs w:val="24"/>
          <w:lang w:val="da-DK"/>
        </w:rPr>
        <w:t>≥</w:t>
      </w:r>
      <w:r>
        <w:rPr>
          <w:b/>
          <w:sz w:val="24"/>
          <w:szCs w:val="24"/>
          <w:lang w:val="da-DK"/>
        </w:rPr>
        <w:t xml:space="preserve">18 år </w:t>
      </w:r>
      <w:r>
        <w:rPr>
          <w:sz w:val="24"/>
          <w:szCs w:val="24"/>
          <w:lang w:val="da-DK"/>
        </w:rPr>
        <w:t>og samtidig svært nedsat leverfunktion (Child-Pugh C) med mindre den potentielle fordel opvejer risikoen (se pkt. 4.2 og</w:t>
      </w:r>
      <w:r>
        <w:rPr>
          <w:spacing w:val="-7"/>
          <w:sz w:val="24"/>
          <w:szCs w:val="24"/>
          <w:lang w:val="da-DK"/>
        </w:rPr>
        <w:t xml:space="preserve"> </w:t>
      </w:r>
      <w:r>
        <w:rPr>
          <w:sz w:val="24"/>
          <w:szCs w:val="24"/>
          <w:lang w:val="da-DK"/>
        </w:rPr>
        <w:t>5.2).</w:t>
      </w:r>
    </w:p>
    <w:p w:rsidR="000433C9" w:rsidRDefault="000433C9" w:rsidP="000433C9">
      <w:pPr>
        <w:pStyle w:val="Listeafsnit"/>
        <w:numPr>
          <w:ilvl w:val="0"/>
          <w:numId w:val="15"/>
        </w:numPr>
        <w:ind w:left="1843" w:right="-1"/>
        <w:rPr>
          <w:rFonts w:ascii="Symbol" w:hAnsi="Symbol"/>
          <w:sz w:val="24"/>
          <w:szCs w:val="24"/>
          <w:lang w:val="da-DK"/>
        </w:rPr>
      </w:pPr>
      <w:r>
        <w:rPr>
          <w:sz w:val="24"/>
          <w:szCs w:val="24"/>
          <w:lang w:val="da-DK"/>
        </w:rPr>
        <w:t>&lt;</w:t>
      </w:r>
      <w:r>
        <w:rPr>
          <w:b/>
          <w:sz w:val="24"/>
          <w:szCs w:val="24"/>
          <w:lang w:val="da-DK"/>
        </w:rPr>
        <w:t xml:space="preserve">18 år med SEGA </w:t>
      </w:r>
      <w:r>
        <w:rPr>
          <w:sz w:val="24"/>
          <w:szCs w:val="24"/>
          <w:lang w:val="da-DK"/>
        </w:rPr>
        <w:t>og samtidig nedsat leverfunktion (Child-Pugh A, B og C) (se pkt. 4.2 og</w:t>
      </w:r>
      <w:r>
        <w:rPr>
          <w:spacing w:val="-3"/>
          <w:sz w:val="24"/>
          <w:szCs w:val="24"/>
          <w:lang w:val="da-DK"/>
        </w:rPr>
        <w:t xml:space="preserve"> </w:t>
      </w:r>
      <w:r>
        <w:rPr>
          <w:sz w:val="24"/>
          <w:szCs w:val="24"/>
          <w:lang w:val="da-DK"/>
        </w:rPr>
        <w:t>5.2).</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Vaccinationer </w:t>
      </w:r>
    </w:p>
    <w:p w:rsidR="000433C9" w:rsidRDefault="000433C9" w:rsidP="000433C9">
      <w:pPr>
        <w:pStyle w:val="Default"/>
        <w:ind w:left="851"/>
      </w:pPr>
      <w:r>
        <w:t xml:space="preserve">Anvendelse af levende vacciner bør undgås under behandling med everolimus (se pkt. 4.5). </w:t>
      </w:r>
    </w:p>
    <w:p w:rsidR="000433C9" w:rsidRDefault="000433C9" w:rsidP="000433C9">
      <w:pPr>
        <w:pStyle w:val="Default"/>
        <w:ind w:left="851"/>
      </w:pPr>
    </w:p>
    <w:p w:rsidR="000433C9" w:rsidRDefault="000433C9" w:rsidP="000433C9">
      <w:pPr>
        <w:pStyle w:val="Default"/>
        <w:ind w:left="851"/>
        <w:rPr>
          <w:b/>
          <w:bCs/>
          <w:i/>
          <w:iCs/>
        </w:rPr>
      </w:pPr>
      <w:r>
        <w:rPr>
          <w:b/>
          <w:bCs/>
          <w:i/>
        </w:rPr>
        <w:t>Renal angiomyolipom/SEGA</w:t>
      </w:r>
    </w:p>
    <w:p w:rsidR="000433C9" w:rsidRDefault="000433C9" w:rsidP="000433C9">
      <w:pPr>
        <w:pStyle w:val="Default"/>
        <w:ind w:left="1304"/>
      </w:pPr>
      <w:r>
        <w:t>For pædiatriske patienter med SEGA, som ikke kræver umiddelbar behandling, anbefales det at færdiggøre det rekommanderede børnevaccinationsprogram med levende virus før start af behandling i henhold til lokale behandlingsvejledninger.</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Sårhelingskomplikationer </w:t>
      </w:r>
    </w:p>
    <w:p w:rsidR="000433C9" w:rsidRDefault="000433C9" w:rsidP="000433C9">
      <w:pPr>
        <w:tabs>
          <w:tab w:val="left" w:pos="851"/>
        </w:tabs>
        <w:ind w:left="851"/>
        <w:rPr>
          <w:szCs w:val="24"/>
        </w:rPr>
      </w:pPr>
      <w:r>
        <w:rPr>
          <w:szCs w:val="24"/>
        </w:rPr>
        <w:t>Nedsat sårheling er en klasseeffekt af rapamycinderivater, inklusive everolimus. Der skal derfor udvises forsigtighed med brugen af everolimus i den perioperative periode.</w:t>
      </w:r>
    </w:p>
    <w:p w:rsidR="000433C9" w:rsidRDefault="000433C9" w:rsidP="000433C9">
      <w:pPr>
        <w:tabs>
          <w:tab w:val="left" w:pos="851"/>
        </w:tabs>
        <w:ind w:left="851"/>
        <w:rPr>
          <w:sz w:val="24"/>
          <w:szCs w:val="24"/>
        </w:rPr>
      </w:pPr>
    </w:p>
    <w:p w:rsidR="000433C9" w:rsidRDefault="000433C9" w:rsidP="000433C9">
      <w:pPr>
        <w:tabs>
          <w:tab w:val="left" w:pos="851"/>
        </w:tabs>
        <w:ind w:left="851"/>
        <w:rPr>
          <w:sz w:val="24"/>
          <w:szCs w:val="24"/>
          <w:u w:val="single"/>
        </w:rPr>
      </w:pPr>
      <w:r>
        <w:rPr>
          <w:sz w:val="24"/>
          <w:szCs w:val="24"/>
          <w:u w:val="single"/>
        </w:rPr>
        <w:t>Komplikationer ved strålebehandling</w:t>
      </w:r>
    </w:p>
    <w:p w:rsidR="000433C9" w:rsidRDefault="000433C9" w:rsidP="000433C9">
      <w:pPr>
        <w:tabs>
          <w:tab w:val="left" w:pos="851"/>
        </w:tabs>
        <w:ind w:left="851"/>
        <w:rPr>
          <w:sz w:val="24"/>
          <w:szCs w:val="24"/>
        </w:rPr>
      </w:pPr>
      <w:r>
        <w:rPr>
          <w:sz w:val="24"/>
          <w:szCs w:val="24"/>
        </w:rPr>
        <w:t>Der er blevet rapporteret alvorlige og svære reaktioner på strålebehandling (inklusive oesophagitis, pneumonitis og skader på huden pga. strålebehandling), herunder letale tilfælde, når everolimus blev anvendt under eller kort efter strålebehandling. Der bør derfor udvises forsigtighed med hensyn til forstærket stråletoksicitet hos patienter, der tager everolimus tidsmæssigt tæt på strålebehandling.</w:t>
      </w:r>
    </w:p>
    <w:p w:rsidR="000433C9" w:rsidRDefault="000433C9" w:rsidP="000433C9">
      <w:pPr>
        <w:tabs>
          <w:tab w:val="left" w:pos="851"/>
        </w:tabs>
        <w:ind w:left="851"/>
        <w:rPr>
          <w:sz w:val="24"/>
          <w:szCs w:val="24"/>
        </w:rPr>
      </w:pPr>
    </w:p>
    <w:p w:rsidR="000433C9" w:rsidRDefault="000433C9" w:rsidP="000433C9">
      <w:pPr>
        <w:tabs>
          <w:tab w:val="left" w:pos="851"/>
        </w:tabs>
        <w:ind w:left="851"/>
        <w:rPr>
          <w:sz w:val="24"/>
          <w:szCs w:val="24"/>
        </w:rPr>
      </w:pPr>
      <w:r>
        <w:rPr>
          <w:sz w:val="24"/>
          <w:szCs w:val="24"/>
        </w:rPr>
        <w:t xml:space="preserve">Der er desuden rapporteret </w:t>
      </w:r>
      <w:r>
        <w:rPr>
          <w:i/>
          <w:sz w:val="24"/>
          <w:szCs w:val="24"/>
        </w:rPr>
        <w:t>radiation recall syndrome</w:t>
      </w:r>
      <w:r>
        <w:rPr>
          <w:sz w:val="24"/>
          <w:szCs w:val="24"/>
        </w:rPr>
        <w:t xml:space="preserve"> (RRS) hos patienter i behandling med everolimus, som tidligere havde modtaget strålebehandling. I tilfælde af RRS, bør det overvejes om behandling med everolimus skal afbrydes eller seponeres.</w:t>
      </w:r>
    </w:p>
    <w:p w:rsidR="000433C9" w:rsidRDefault="000433C9" w:rsidP="000433C9">
      <w:pPr>
        <w:pStyle w:val="Default"/>
        <w:ind w:left="851"/>
      </w:pPr>
    </w:p>
    <w:p w:rsidR="000433C9" w:rsidRDefault="000433C9" w:rsidP="000433C9">
      <w:pPr>
        <w:pStyle w:val="Default"/>
        <w:ind w:left="851"/>
        <w:rPr>
          <w:u w:val="single"/>
        </w:rPr>
      </w:pPr>
      <w:r>
        <w:rPr>
          <w:u w:val="single"/>
        </w:rPr>
        <w:t>Hjælpestof</w:t>
      </w:r>
    </w:p>
    <w:p w:rsidR="000433C9" w:rsidRDefault="000433C9" w:rsidP="000433C9">
      <w:pPr>
        <w:pStyle w:val="Default"/>
        <w:ind w:left="851"/>
        <w:rPr>
          <w:i/>
          <w:u w:val="single"/>
        </w:rPr>
      </w:pPr>
    </w:p>
    <w:p w:rsidR="000433C9" w:rsidRDefault="000433C9" w:rsidP="000433C9">
      <w:pPr>
        <w:pStyle w:val="Default"/>
        <w:ind w:left="851"/>
      </w:pPr>
      <w:r>
        <w:rPr>
          <w:i/>
          <w:u w:val="single"/>
        </w:rPr>
        <w:t xml:space="preserve">Lactose </w:t>
      </w:r>
      <w:r>
        <w:rPr>
          <w:u w:val="single"/>
        </w:rPr>
        <w:br/>
      </w:r>
      <w:r>
        <w:t xml:space="preserve">Bør ikke anvendes til patienter med hereditær galactoseintolerans, total lactasemangel eller glucose/galactosemalabsorption. </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4.5</w:t>
      </w:r>
      <w:r w:rsidRPr="00C84483">
        <w:rPr>
          <w:b/>
          <w:sz w:val="24"/>
          <w:szCs w:val="24"/>
        </w:rPr>
        <w:tab/>
        <w:t>Interaktion med andre lægemidler og andre former for interaktion</w:t>
      </w:r>
    </w:p>
    <w:p w:rsidR="003760D5" w:rsidRPr="00372959" w:rsidRDefault="003760D5" w:rsidP="003760D5">
      <w:pPr>
        <w:pStyle w:val="Default"/>
        <w:ind w:left="851"/>
      </w:pPr>
      <w:r w:rsidRPr="00372959">
        <w:t xml:space="preserve">Everolimus er et substrat for CYP3A4 og er desuden substrat for og moderat hæmmer af PgP. Derfor kan absorption og efterfølgende udskillelse af everolimus påvirkes af lægemidler, der påvirker CYP3A4 og/eller PgP. </w:t>
      </w:r>
      <w:r w:rsidRPr="00372959">
        <w:rPr>
          <w:i/>
          <w:iCs/>
        </w:rPr>
        <w:t xml:space="preserve">In vitro </w:t>
      </w:r>
      <w:r w:rsidRPr="00372959">
        <w:t xml:space="preserve">er everolimus en kompetitiv hæmmer af CYP3A4 og både en kompetitiv og non-kompetitiv hæmmer af CYP2D6. </w:t>
      </w:r>
    </w:p>
    <w:p w:rsidR="003760D5" w:rsidRPr="00372959" w:rsidRDefault="003760D5" w:rsidP="003760D5">
      <w:pPr>
        <w:pStyle w:val="Default"/>
        <w:ind w:left="851"/>
      </w:pPr>
    </w:p>
    <w:p w:rsidR="003760D5" w:rsidRPr="00372959" w:rsidRDefault="003760D5" w:rsidP="003760D5">
      <w:pPr>
        <w:pStyle w:val="Default"/>
        <w:ind w:left="851"/>
      </w:pPr>
      <w:r w:rsidRPr="00372959">
        <w:t xml:space="preserve">Kendte og teoretiske interaktioner med udvalgte hæmmere og induktorer af CYP3A4 og PgP er anført i tabel </w:t>
      </w:r>
      <w:r w:rsidR="000433C9">
        <w:t>3</w:t>
      </w:r>
      <w:r w:rsidRPr="00372959">
        <w:t xml:space="preserve"> nedenfor. </w:t>
      </w:r>
    </w:p>
    <w:p w:rsidR="003760D5" w:rsidRPr="00372959" w:rsidRDefault="003760D5" w:rsidP="003760D5">
      <w:pPr>
        <w:pStyle w:val="Default"/>
        <w:ind w:left="851"/>
      </w:pPr>
    </w:p>
    <w:p w:rsidR="003760D5" w:rsidRPr="00372959" w:rsidRDefault="003760D5" w:rsidP="003760D5">
      <w:pPr>
        <w:pStyle w:val="Default"/>
        <w:ind w:left="851"/>
        <w:rPr>
          <w:u w:val="single"/>
        </w:rPr>
      </w:pPr>
      <w:r w:rsidRPr="00372959">
        <w:rPr>
          <w:u w:val="single"/>
        </w:rPr>
        <w:t xml:space="preserve">CYP3A4- og PgP-hæmmeres øgning af everolimus-koncentrationer </w:t>
      </w:r>
    </w:p>
    <w:p w:rsidR="003760D5" w:rsidRPr="00372959" w:rsidRDefault="003760D5" w:rsidP="003760D5">
      <w:pPr>
        <w:pStyle w:val="Default"/>
        <w:ind w:left="851"/>
      </w:pPr>
      <w:r w:rsidRPr="00372959">
        <w:t xml:space="preserve">Stoffer, der hæmmer CYP3A4 eller PgP, kan øge blodkoncentrationer af everolimus ved at nedsætte metabolismen eller effluksen af everolimus fra tarmcellerne. </w:t>
      </w:r>
    </w:p>
    <w:p w:rsidR="003760D5" w:rsidRPr="00372959" w:rsidRDefault="003760D5" w:rsidP="003760D5">
      <w:pPr>
        <w:pStyle w:val="Default"/>
        <w:ind w:left="851"/>
      </w:pPr>
    </w:p>
    <w:p w:rsidR="003760D5" w:rsidRPr="00372959" w:rsidRDefault="003760D5" w:rsidP="003760D5">
      <w:pPr>
        <w:pStyle w:val="Default"/>
        <w:ind w:left="851"/>
        <w:rPr>
          <w:u w:val="single"/>
        </w:rPr>
      </w:pPr>
      <w:r w:rsidRPr="00372959">
        <w:rPr>
          <w:u w:val="single"/>
        </w:rPr>
        <w:t xml:space="preserve">CYP3A4- og PgP-induktorers nedsættelse af everolimus-koncentrationer </w:t>
      </w:r>
    </w:p>
    <w:p w:rsidR="003760D5" w:rsidRPr="000A6289" w:rsidRDefault="003760D5" w:rsidP="003760D5">
      <w:pPr>
        <w:tabs>
          <w:tab w:val="left" w:pos="851"/>
        </w:tabs>
        <w:ind w:left="851"/>
        <w:rPr>
          <w:sz w:val="24"/>
          <w:szCs w:val="24"/>
        </w:rPr>
      </w:pPr>
      <w:r w:rsidRPr="000A6289">
        <w:rPr>
          <w:sz w:val="24"/>
          <w:szCs w:val="24"/>
        </w:rPr>
        <w:t>Stoffer, der inducerer CYP3A4 eller PgP, kan nedsætte blodkoncentrationer af everolimus ved at øge metabolismen eller effluks af everolimus ud af tarmcellerne.</w:t>
      </w:r>
    </w:p>
    <w:p w:rsidR="006F436A" w:rsidRPr="000A6289" w:rsidRDefault="006F436A">
      <w:pPr>
        <w:rPr>
          <w:b/>
          <w:bCs/>
          <w:sz w:val="24"/>
          <w:szCs w:val="24"/>
        </w:rPr>
      </w:pPr>
    </w:p>
    <w:p w:rsidR="000433C9" w:rsidRDefault="000433C9" w:rsidP="000433C9">
      <w:pPr>
        <w:tabs>
          <w:tab w:val="left" w:pos="851"/>
        </w:tabs>
        <w:ind w:left="851"/>
        <w:rPr>
          <w:b/>
          <w:bCs/>
          <w:sz w:val="24"/>
          <w:szCs w:val="24"/>
        </w:rPr>
      </w:pPr>
      <w:r>
        <w:rPr>
          <w:b/>
          <w:bCs/>
          <w:sz w:val="24"/>
          <w:szCs w:val="24"/>
        </w:rPr>
        <w:t>Tabel 3. Andre aktive stoffers effekt på everolimus</w:t>
      </w:r>
    </w:p>
    <w:p w:rsidR="000433C9" w:rsidRDefault="000433C9" w:rsidP="000433C9">
      <w:pPr>
        <w:tabs>
          <w:tab w:val="left" w:pos="851"/>
        </w:tabs>
        <w:ind w:left="851"/>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gridCol w:w="3096"/>
      </w:tblGrid>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sz w:val="22"/>
                <w:szCs w:val="22"/>
              </w:rPr>
            </w:pPr>
            <w:r>
              <w:rPr>
                <w:b/>
                <w:bCs/>
                <w:spacing w:val="-1"/>
                <w:sz w:val="22"/>
                <w:szCs w:val="22"/>
              </w:rPr>
              <w:t>Aktive stoffer per interaktion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
                <w:bCs/>
                <w:spacing w:val="-1"/>
                <w:sz w:val="22"/>
                <w:szCs w:val="22"/>
              </w:rPr>
            </w:pPr>
            <w:r>
              <w:rPr>
                <w:b/>
                <w:bCs/>
                <w:spacing w:val="-1"/>
                <w:sz w:val="22"/>
                <w:szCs w:val="22"/>
              </w:rPr>
              <w:t>Interaktion – Ændringer i everolimus AUC/C</w:t>
            </w:r>
            <w:r>
              <w:rPr>
                <w:b/>
                <w:bCs/>
                <w:spacing w:val="-1"/>
                <w:sz w:val="22"/>
                <w:szCs w:val="22"/>
                <w:vertAlign w:val="subscript"/>
              </w:rPr>
              <w:t>max</w:t>
            </w:r>
            <w:r>
              <w:rPr>
                <w:b/>
                <w:bCs/>
                <w:spacing w:val="-1"/>
                <w:sz w:val="22"/>
                <w:szCs w:val="22"/>
              </w:rPr>
              <w:t xml:space="preserve"> </w:t>
            </w:r>
          </w:p>
          <w:p w:rsidR="000433C9" w:rsidRDefault="000433C9">
            <w:pPr>
              <w:ind w:left="47" w:right="30"/>
              <w:rPr>
                <w:b/>
                <w:bCs/>
                <w:spacing w:val="-1"/>
                <w:sz w:val="22"/>
                <w:szCs w:val="22"/>
              </w:rPr>
            </w:pPr>
            <w:r>
              <w:rPr>
                <w:b/>
                <w:bCs/>
                <w:spacing w:val="-1"/>
                <w:sz w:val="22"/>
                <w:szCs w:val="22"/>
              </w:rPr>
              <w:t xml:space="preserve">Geometrisk </w:t>
            </w:r>
          </w:p>
          <w:p w:rsidR="000433C9" w:rsidRDefault="000433C9">
            <w:pPr>
              <w:ind w:left="47" w:right="30"/>
              <w:rPr>
                <w:b/>
                <w:bCs/>
                <w:spacing w:val="-1"/>
                <w:sz w:val="22"/>
                <w:szCs w:val="22"/>
              </w:rPr>
            </w:pPr>
            <w:r>
              <w:rPr>
                <w:b/>
                <w:bCs/>
                <w:spacing w:val="-1"/>
                <w:sz w:val="22"/>
                <w:szCs w:val="22"/>
              </w:rPr>
              <w:t xml:space="preserve">gennemsnitsratio </w:t>
            </w:r>
          </w:p>
          <w:p w:rsidR="000433C9" w:rsidRDefault="000433C9">
            <w:pPr>
              <w:ind w:left="47" w:right="30"/>
              <w:rPr>
                <w:b/>
                <w:bCs/>
                <w:spacing w:val="-1"/>
                <w:sz w:val="22"/>
                <w:szCs w:val="22"/>
              </w:rPr>
            </w:pPr>
            <w:r>
              <w:rPr>
                <w:b/>
                <w:bCs/>
                <w:spacing w:val="-1"/>
                <w:sz w:val="22"/>
                <w:szCs w:val="22"/>
              </w:rPr>
              <w:t>(observeret interval)</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
                <w:bCs/>
                <w:spacing w:val="-1"/>
                <w:sz w:val="22"/>
                <w:szCs w:val="22"/>
              </w:rPr>
            </w:pPr>
            <w:r>
              <w:rPr>
                <w:b/>
                <w:bCs/>
                <w:spacing w:val="-1"/>
                <w:sz w:val="22"/>
                <w:szCs w:val="22"/>
              </w:rPr>
              <w:t>Anbefalinger vedrørende administration samtidig med andre lægemidler</w:t>
            </w: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tcPr>
          <w:p w:rsidR="000433C9" w:rsidRDefault="000433C9">
            <w:pPr>
              <w:ind w:right="-1"/>
              <w:rPr>
                <w:sz w:val="22"/>
                <w:szCs w:val="22"/>
              </w:rPr>
            </w:pP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
                <w:bCs/>
                <w:i/>
                <w:sz w:val="22"/>
                <w:szCs w:val="22"/>
              </w:rPr>
              <w:t>Pot</w:t>
            </w:r>
            <w:r>
              <w:rPr>
                <w:b/>
                <w:bCs/>
                <w:i/>
                <w:spacing w:val="1"/>
                <w:sz w:val="22"/>
                <w:szCs w:val="22"/>
              </w:rPr>
              <w:t>e</w:t>
            </w:r>
            <w:r>
              <w:rPr>
                <w:b/>
                <w:bCs/>
                <w:i/>
                <w:sz w:val="22"/>
                <w:szCs w:val="22"/>
              </w:rPr>
              <w:t>nte</w:t>
            </w:r>
            <w:r>
              <w:rPr>
                <w:b/>
                <w:bCs/>
                <w:i/>
                <w:spacing w:val="1"/>
                <w:sz w:val="22"/>
                <w:szCs w:val="22"/>
              </w:rPr>
              <w:t xml:space="preserve"> </w:t>
            </w:r>
            <w:r>
              <w:rPr>
                <w:b/>
                <w:bCs/>
                <w:spacing w:val="-1"/>
                <w:sz w:val="22"/>
                <w:szCs w:val="22"/>
              </w:rPr>
              <w:t>C</w:t>
            </w:r>
            <w:r>
              <w:rPr>
                <w:b/>
                <w:bCs/>
                <w:spacing w:val="1"/>
                <w:sz w:val="22"/>
                <w:szCs w:val="22"/>
              </w:rPr>
              <w:t>Y</w:t>
            </w:r>
            <w:r>
              <w:rPr>
                <w:b/>
                <w:bCs/>
                <w:spacing w:val="2"/>
                <w:sz w:val="22"/>
                <w:szCs w:val="22"/>
              </w:rPr>
              <w:t>P</w:t>
            </w:r>
            <w:r>
              <w:rPr>
                <w:b/>
                <w:bCs/>
                <w:sz w:val="22"/>
                <w:szCs w:val="22"/>
              </w:rPr>
              <w:t>3</w:t>
            </w:r>
            <w:r>
              <w:rPr>
                <w:b/>
                <w:bCs/>
                <w:spacing w:val="-1"/>
                <w:sz w:val="22"/>
                <w:szCs w:val="22"/>
              </w:rPr>
              <w:t>A</w:t>
            </w:r>
            <w:r>
              <w:rPr>
                <w:b/>
                <w:bCs/>
                <w:sz w:val="22"/>
                <w:szCs w:val="22"/>
              </w:rPr>
              <w:t>4</w:t>
            </w:r>
            <w:r>
              <w:rPr>
                <w:b/>
                <w:bCs/>
                <w:spacing w:val="1"/>
                <w:sz w:val="22"/>
                <w:szCs w:val="22"/>
              </w:rPr>
              <w:t>/</w:t>
            </w:r>
            <w:r>
              <w:rPr>
                <w:b/>
                <w:bCs/>
                <w:spacing w:val="2"/>
                <w:sz w:val="22"/>
                <w:szCs w:val="22"/>
              </w:rPr>
              <w:t>P</w:t>
            </w:r>
            <w:r>
              <w:rPr>
                <w:b/>
                <w:bCs/>
                <w:sz w:val="22"/>
                <w:szCs w:val="22"/>
              </w:rPr>
              <w:t>gP</w:t>
            </w:r>
            <w:r>
              <w:rPr>
                <w:b/>
                <w:bCs/>
                <w:spacing w:val="2"/>
                <w:sz w:val="22"/>
                <w:szCs w:val="22"/>
              </w:rPr>
              <w:t>-hæmmere</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sz w:val="22"/>
                <w:szCs w:val="22"/>
              </w:rPr>
            </w:pPr>
            <w:r>
              <w:rPr>
                <w:b/>
                <w:bCs/>
                <w:spacing w:val="1"/>
                <w:sz w:val="22"/>
                <w:szCs w:val="22"/>
              </w:rPr>
              <w:t>K</w:t>
            </w:r>
            <w:r>
              <w:rPr>
                <w:b/>
                <w:bCs/>
                <w:sz w:val="22"/>
                <w:szCs w:val="22"/>
              </w:rPr>
              <w:t>e</w:t>
            </w:r>
            <w:r>
              <w:rPr>
                <w:b/>
                <w:bCs/>
                <w:spacing w:val="1"/>
                <w:sz w:val="22"/>
                <w:szCs w:val="22"/>
              </w:rPr>
              <w:t>t</w:t>
            </w:r>
            <w:r>
              <w:rPr>
                <w:b/>
                <w:bCs/>
                <w:sz w:val="22"/>
                <w:szCs w:val="22"/>
              </w:rPr>
              <w:t>ocona</w:t>
            </w:r>
            <w:r>
              <w:rPr>
                <w:b/>
                <w:bCs/>
                <w:spacing w:val="-2"/>
                <w:sz w:val="22"/>
                <w:szCs w:val="22"/>
              </w:rPr>
              <w:t>z</w:t>
            </w:r>
            <w:r>
              <w:rPr>
                <w:b/>
                <w:bCs/>
                <w:sz w:val="22"/>
                <w:szCs w:val="22"/>
              </w:rPr>
              <w:t>o</w:t>
            </w:r>
            <w:r>
              <w:rPr>
                <w:b/>
                <w:bCs/>
                <w:spacing w:val="1"/>
                <w:sz w:val="22"/>
                <w:szCs w:val="22"/>
              </w:rPr>
              <w:t>l</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 xml:space="preserve">AUC ↑15,3-gange </w:t>
            </w:r>
          </w:p>
          <w:p w:rsidR="000433C9" w:rsidRDefault="000433C9">
            <w:pPr>
              <w:ind w:left="47" w:right="30"/>
              <w:rPr>
                <w:bCs/>
                <w:spacing w:val="1"/>
                <w:sz w:val="22"/>
                <w:szCs w:val="22"/>
              </w:rPr>
            </w:pPr>
            <w:r>
              <w:rPr>
                <w:bCs/>
                <w:spacing w:val="1"/>
                <w:sz w:val="22"/>
                <w:szCs w:val="22"/>
              </w:rPr>
              <w:t xml:space="preserve">(interval 11,2-22,5) </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↑4,1-gange </w:t>
            </w:r>
          </w:p>
          <w:p w:rsidR="000433C9" w:rsidRDefault="000433C9">
            <w:pPr>
              <w:ind w:left="47" w:right="30"/>
              <w:rPr>
                <w:sz w:val="22"/>
                <w:szCs w:val="22"/>
              </w:rPr>
            </w:pPr>
            <w:r>
              <w:rPr>
                <w:bCs/>
                <w:spacing w:val="1"/>
                <w:sz w:val="22"/>
                <w:szCs w:val="22"/>
              </w:rPr>
              <w:t>(interval 2,6-7,0)</w:t>
            </w:r>
          </w:p>
        </w:tc>
        <w:tc>
          <w:tcPr>
            <w:tcW w:w="3096" w:type="dxa"/>
            <w:vMerge w:val="restart"/>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Cs/>
                <w:spacing w:val="1"/>
                <w:sz w:val="22"/>
                <w:szCs w:val="22"/>
              </w:rPr>
              <w:t>Samtidig behandling med everolimus og potente hæmmere er ikke anbefalet.</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z w:val="22"/>
                <w:szCs w:val="22"/>
              </w:rPr>
            </w:pPr>
            <w:r>
              <w:rPr>
                <w:b/>
                <w:bCs/>
                <w:sz w:val="22"/>
                <w:szCs w:val="22"/>
              </w:rPr>
              <w:t>I</w:t>
            </w:r>
            <w:r>
              <w:rPr>
                <w:b/>
                <w:bCs/>
                <w:spacing w:val="1"/>
                <w:sz w:val="22"/>
                <w:szCs w:val="22"/>
              </w:rPr>
              <w:t>t</w:t>
            </w:r>
            <w:r>
              <w:rPr>
                <w:b/>
                <w:bCs/>
                <w:sz w:val="22"/>
                <w:szCs w:val="22"/>
              </w:rPr>
              <w:t>ra</w:t>
            </w:r>
            <w:r>
              <w:rPr>
                <w:b/>
                <w:bCs/>
                <w:spacing w:val="1"/>
                <w:sz w:val="22"/>
                <w:szCs w:val="22"/>
              </w:rPr>
              <w:t>c</w:t>
            </w:r>
            <w:r>
              <w:rPr>
                <w:b/>
                <w:bCs/>
                <w:sz w:val="22"/>
                <w:szCs w:val="22"/>
              </w:rPr>
              <w:t>ona</w:t>
            </w:r>
            <w:r>
              <w:rPr>
                <w:b/>
                <w:bCs/>
                <w:spacing w:val="-2"/>
                <w:sz w:val="22"/>
                <w:szCs w:val="22"/>
              </w:rPr>
              <w:t>z</w:t>
            </w:r>
            <w:r>
              <w:rPr>
                <w:b/>
                <w:bCs/>
                <w:sz w:val="22"/>
                <w:szCs w:val="22"/>
              </w:rPr>
              <w:t>o</w:t>
            </w:r>
            <w:r>
              <w:rPr>
                <w:b/>
                <w:bCs/>
                <w:spacing w:val="1"/>
                <w:sz w:val="22"/>
                <w:szCs w:val="22"/>
              </w:rPr>
              <w:t>l</w:t>
            </w:r>
            <w:r>
              <w:rPr>
                <w:b/>
                <w:bCs/>
                <w:sz w:val="22"/>
                <w:szCs w:val="22"/>
              </w:rPr>
              <w:t>, posacona</w:t>
            </w:r>
            <w:r>
              <w:rPr>
                <w:b/>
                <w:bCs/>
                <w:spacing w:val="-2"/>
                <w:sz w:val="22"/>
                <w:szCs w:val="22"/>
              </w:rPr>
              <w:t>z</w:t>
            </w:r>
            <w:r>
              <w:rPr>
                <w:b/>
                <w:bCs/>
                <w:sz w:val="22"/>
                <w:szCs w:val="22"/>
              </w:rPr>
              <w:t>o</w:t>
            </w:r>
            <w:r>
              <w:rPr>
                <w:b/>
                <w:bCs/>
                <w:spacing w:val="1"/>
                <w:sz w:val="22"/>
                <w:szCs w:val="22"/>
              </w:rPr>
              <w:t>l</w:t>
            </w:r>
            <w:r>
              <w:rPr>
                <w:b/>
                <w:bCs/>
                <w:sz w:val="22"/>
                <w:szCs w:val="22"/>
              </w:rPr>
              <w:t xml:space="preserve">, </w:t>
            </w:r>
          </w:p>
          <w:p w:rsidR="000433C9" w:rsidRDefault="000433C9">
            <w:pPr>
              <w:ind w:right="-1"/>
              <w:rPr>
                <w:sz w:val="22"/>
                <w:szCs w:val="22"/>
              </w:rPr>
            </w:pPr>
            <w:r>
              <w:rPr>
                <w:b/>
                <w:bCs/>
                <w:sz w:val="22"/>
                <w:szCs w:val="22"/>
              </w:rPr>
              <w:t>Vor</w:t>
            </w:r>
            <w:r>
              <w:rPr>
                <w:b/>
                <w:bCs/>
                <w:spacing w:val="1"/>
                <w:sz w:val="22"/>
                <w:szCs w:val="22"/>
              </w:rPr>
              <w:t>i</w:t>
            </w:r>
            <w:r>
              <w:rPr>
                <w:b/>
                <w:bCs/>
                <w:sz w:val="22"/>
                <w:szCs w:val="22"/>
              </w:rPr>
              <w:t>cona</w:t>
            </w:r>
            <w:r>
              <w:rPr>
                <w:b/>
                <w:bCs/>
                <w:spacing w:val="-2"/>
                <w:sz w:val="22"/>
                <w:szCs w:val="22"/>
              </w:rPr>
              <w:t>z</w:t>
            </w:r>
            <w:r>
              <w:rPr>
                <w:b/>
                <w:bCs/>
                <w:sz w:val="22"/>
                <w:szCs w:val="22"/>
              </w:rPr>
              <w:t>o</w:t>
            </w:r>
            <w:r>
              <w:rPr>
                <w:b/>
                <w:bCs/>
                <w:spacing w:val="1"/>
                <w:sz w:val="22"/>
                <w:szCs w:val="22"/>
              </w:rPr>
              <w:t>l</w:t>
            </w:r>
          </w:p>
        </w:tc>
        <w:tc>
          <w:tcPr>
            <w:tcW w:w="3096" w:type="dxa"/>
            <w:vMerge w:val="restart"/>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Cs/>
                <w:spacing w:val="1"/>
                <w:sz w:val="22"/>
                <w:szCs w:val="22"/>
              </w:rPr>
              <w:t>Ikke undersøgt. Der forventes en stor stigning i koncentrationen af everolimus.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
                <w:bCs/>
                <w:spacing w:val="-1"/>
                <w:sz w:val="22"/>
                <w:szCs w:val="22"/>
              </w:rPr>
              <w:t>T</w:t>
            </w:r>
            <w:r>
              <w:rPr>
                <w:b/>
                <w:bCs/>
                <w:sz w:val="22"/>
                <w:szCs w:val="22"/>
              </w:rPr>
              <w:t>e</w:t>
            </w:r>
            <w:r>
              <w:rPr>
                <w:b/>
                <w:bCs/>
                <w:spacing w:val="1"/>
                <w:sz w:val="22"/>
                <w:szCs w:val="22"/>
              </w:rPr>
              <w:t>lit</w:t>
            </w:r>
            <w:r>
              <w:rPr>
                <w:b/>
                <w:bCs/>
                <w:sz w:val="22"/>
                <w:szCs w:val="22"/>
              </w:rPr>
              <w:t>hro</w:t>
            </w:r>
            <w:r>
              <w:rPr>
                <w:b/>
                <w:bCs/>
                <w:spacing w:val="1"/>
                <w:sz w:val="22"/>
                <w:szCs w:val="22"/>
              </w:rPr>
              <w:t>m</w:t>
            </w:r>
            <w:r>
              <w:rPr>
                <w:b/>
                <w:bCs/>
                <w:sz w:val="22"/>
                <w:szCs w:val="22"/>
              </w:rPr>
              <w:t>yc</w:t>
            </w:r>
            <w:r>
              <w:rPr>
                <w:b/>
                <w:bCs/>
                <w:spacing w:val="1"/>
                <w:sz w:val="22"/>
                <w:szCs w:val="22"/>
              </w:rPr>
              <w:t>i</w:t>
            </w:r>
            <w:r>
              <w:rPr>
                <w:b/>
                <w:bCs/>
                <w:sz w:val="22"/>
                <w:szCs w:val="22"/>
              </w:rPr>
              <w:t>n, c</w:t>
            </w:r>
            <w:r>
              <w:rPr>
                <w:b/>
                <w:bCs/>
                <w:spacing w:val="1"/>
                <w:sz w:val="22"/>
                <w:szCs w:val="22"/>
              </w:rPr>
              <w:t>l</w:t>
            </w:r>
            <w:r>
              <w:rPr>
                <w:b/>
                <w:bCs/>
                <w:sz w:val="22"/>
                <w:szCs w:val="22"/>
              </w:rPr>
              <w:t>ar</w:t>
            </w:r>
            <w:r>
              <w:rPr>
                <w:b/>
                <w:bCs/>
                <w:spacing w:val="1"/>
                <w:sz w:val="22"/>
                <w:szCs w:val="22"/>
              </w:rPr>
              <w:t>it</w:t>
            </w:r>
            <w:r>
              <w:rPr>
                <w:b/>
                <w:bCs/>
                <w:sz w:val="22"/>
                <w:szCs w:val="22"/>
              </w:rPr>
              <w:t>hro</w:t>
            </w:r>
            <w:r>
              <w:rPr>
                <w:b/>
                <w:bCs/>
                <w:spacing w:val="1"/>
                <w:sz w:val="22"/>
                <w:szCs w:val="22"/>
              </w:rPr>
              <w:t>m</w:t>
            </w:r>
            <w:r>
              <w:rPr>
                <w:b/>
                <w:bCs/>
                <w:sz w:val="22"/>
                <w:szCs w:val="22"/>
              </w:rPr>
              <w:t>yc</w:t>
            </w:r>
            <w:r>
              <w:rPr>
                <w:b/>
                <w:bCs/>
                <w:spacing w:val="1"/>
                <w:sz w:val="22"/>
                <w:szCs w:val="22"/>
              </w:rPr>
              <w:t>i</w:t>
            </w:r>
            <w:r>
              <w:rPr>
                <w:b/>
                <w:bCs/>
                <w:sz w:val="22"/>
                <w:szCs w:val="22"/>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
                <w:bCs/>
                <w:spacing w:val="-1"/>
                <w:sz w:val="22"/>
                <w:szCs w:val="22"/>
              </w:rPr>
              <w:t>N</w:t>
            </w:r>
            <w:r>
              <w:rPr>
                <w:b/>
                <w:bCs/>
                <w:sz w:val="22"/>
                <w:szCs w:val="22"/>
              </w:rPr>
              <w:t>e</w:t>
            </w:r>
            <w:r>
              <w:rPr>
                <w:b/>
                <w:bCs/>
                <w:spacing w:val="3"/>
                <w:sz w:val="22"/>
                <w:szCs w:val="22"/>
              </w:rPr>
              <w:t>f</w:t>
            </w:r>
            <w:r>
              <w:rPr>
                <w:b/>
                <w:bCs/>
                <w:sz w:val="22"/>
                <w:szCs w:val="22"/>
              </w:rPr>
              <w:t>a</w:t>
            </w:r>
            <w:r>
              <w:rPr>
                <w:b/>
                <w:bCs/>
                <w:spacing w:val="-2"/>
                <w:sz w:val="22"/>
                <w:szCs w:val="22"/>
              </w:rPr>
              <w:t>z</w:t>
            </w:r>
            <w:r>
              <w:rPr>
                <w:b/>
                <w:bCs/>
                <w:sz w:val="22"/>
                <w:szCs w:val="22"/>
              </w:rPr>
              <w:t>odo</w:t>
            </w:r>
            <w:r>
              <w:rPr>
                <w:b/>
                <w:bCs/>
                <w:spacing w:val="-1"/>
                <w:sz w:val="22"/>
                <w:szCs w:val="22"/>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Pr="000433C9" w:rsidRDefault="000433C9">
            <w:pPr>
              <w:ind w:right="-1"/>
              <w:rPr>
                <w:sz w:val="22"/>
                <w:szCs w:val="22"/>
              </w:rPr>
            </w:pPr>
            <w:r w:rsidRPr="000433C9">
              <w:rPr>
                <w:b/>
                <w:bCs/>
                <w:spacing w:val="-1"/>
                <w:sz w:val="22"/>
                <w:szCs w:val="22"/>
              </w:rPr>
              <w:t>R</w:t>
            </w:r>
            <w:r w:rsidRPr="000433C9">
              <w:rPr>
                <w:b/>
                <w:bCs/>
                <w:spacing w:val="1"/>
                <w:sz w:val="22"/>
                <w:szCs w:val="22"/>
              </w:rPr>
              <w:t>it</w:t>
            </w:r>
            <w:r w:rsidRPr="000433C9">
              <w:rPr>
                <w:b/>
                <w:bCs/>
                <w:sz w:val="22"/>
                <w:szCs w:val="22"/>
              </w:rPr>
              <w:t>onavi</w:t>
            </w:r>
            <w:r w:rsidRPr="000433C9">
              <w:rPr>
                <w:b/>
                <w:bCs/>
                <w:spacing w:val="1"/>
                <w:sz w:val="22"/>
                <w:szCs w:val="22"/>
              </w:rPr>
              <w:t>r</w:t>
            </w:r>
            <w:r w:rsidRPr="000433C9">
              <w:rPr>
                <w:b/>
                <w:bCs/>
                <w:sz w:val="22"/>
                <w:szCs w:val="22"/>
              </w:rPr>
              <w:t>, a</w:t>
            </w:r>
            <w:r w:rsidRPr="000433C9">
              <w:rPr>
                <w:b/>
                <w:bCs/>
                <w:spacing w:val="1"/>
                <w:sz w:val="22"/>
                <w:szCs w:val="22"/>
              </w:rPr>
              <w:t>t</w:t>
            </w:r>
            <w:r w:rsidRPr="000433C9">
              <w:rPr>
                <w:b/>
                <w:bCs/>
                <w:sz w:val="22"/>
                <w:szCs w:val="22"/>
              </w:rPr>
              <w:t>a</w:t>
            </w:r>
            <w:r w:rsidRPr="000433C9">
              <w:rPr>
                <w:b/>
                <w:bCs/>
                <w:spacing w:val="-2"/>
                <w:sz w:val="22"/>
                <w:szCs w:val="22"/>
              </w:rPr>
              <w:t>z</w:t>
            </w:r>
            <w:r w:rsidRPr="000433C9">
              <w:rPr>
                <w:b/>
                <w:bCs/>
                <w:sz w:val="22"/>
                <w:szCs w:val="22"/>
              </w:rPr>
              <w:t>anavi</w:t>
            </w:r>
            <w:r w:rsidRPr="000433C9">
              <w:rPr>
                <w:b/>
                <w:bCs/>
                <w:spacing w:val="1"/>
                <w:sz w:val="22"/>
                <w:szCs w:val="22"/>
              </w:rPr>
              <w:t>r</w:t>
            </w:r>
            <w:r w:rsidRPr="000433C9">
              <w:rPr>
                <w:b/>
                <w:bCs/>
                <w:sz w:val="22"/>
                <w:szCs w:val="22"/>
              </w:rPr>
              <w:t>, saqu</w:t>
            </w:r>
            <w:r w:rsidRPr="000433C9">
              <w:rPr>
                <w:b/>
                <w:bCs/>
                <w:spacing w:val="1"/>
                <w:sz w:val="22"/>
                <w:szCs w:val="22"/>
              </w:rPr>
              <w:t>i</w:t>
            </w:r>
            <w:r w:rsidRPr="000433C9">
              <w:rPr>
                <w:b/>
                <w:bCs/>
                <w:sz w:val="22"/>
                <w:szCs w:val="22"/>
              </w:rPr>
              <w:t>navi</w:t>
            </w:r>
            <w:r w:rsidRPr="000433C9">
              <w:rPr>
                <w:b/>
                <w:bCs/>
                <w:spacing w:val="1"/>
                <w:sz w:val="22"/>
                <w:szCs w:val="22"/>
              </w:rPr>
              <w:t>r</w:t>
            </w:r>
            <w:r w:rsidRPr="000433C9">
              <w:rPr>
                <w:b/>
                <w:bCs/>
                <w:sz w:val="22"/>
                <w:szCs w:val="22"/>
              </w:rPr>
              <w:t>, daru</w:t>
            </w:r>
            <w:r w:rsidRPr="000433C9">
              <w:rPr>
                <w:b/>
                <w:bCs/>
                <w:spacing w:val="-1"/>
                <w:sz w:val="22"/>
                <w:szCs w:val="22"/>
              </w:rPr>
              <w:t>n</w:t>
            </w:r>
            <w:r w:rsidRPr="000433C9">
              <w:rPr>
                <w:b/>
                <w:bCs/>
                <w:sz w:val="22"/>
                <w:szCs w:val="22"/>
              </w:rPr>
              <w:t>av</w:t>
            </w:r>
            <w:r w:rsidRPr="000433C9">
              <w:rPr>
                <w:b/>
                <w:bCs/>
                <w:spacing w:val="1"/>
                <w:sz w:val="22"/>
                <w:szCs w:val="22"/>
              </w:rPr>
              <w:t>i</w:t>
            </w:r>
            <w:r w:rsidRPr="000433C9">
              <w:rPr>
                <w:b/>
                <w:bCs/>
                <w:sz w:val="22"/>
                <w:szCs w:val="22"/>
              </w:rPr>
              <w:t xml:space="preserve">r, </w:t>
            </w:r>
            <w:r w:rsidRPr="000433C9">
              <w:rPr>
                <w:b/>
                <w:bCs/>
                <w:spacing w:val="1"/>
                <w:sz w:val="22"/>
                <w:szCs w:val="22"/>
              </w:rPr>
              <w:t>i</w:t>
            </w:r>
            <w:r w:rsidRPr="000433C9">
              <w:rPr>
                <w:b/>
                <w:bCs/>
                <w:sz w:val="22"/>
                <w:szCs w:val="22"/>
              </w:rPr>
              <w:t>n</w:t>
            </w:r>
            <w:r w:rsidRPr="000433C9">
              <w:rPr>
                <w:b/>
                <w:bCs/>
                <w:spacing w:val="-1"/>
                <w:sz w:val="22"/>
                <w:szCs w:val="22"/>
              </w:rPr>
              <w:t>d</w:t>
            </w:r>
            <w:r w:rsidRPr="000433C9">
              <w:rPr>
                <w:b/>
                <w:bCs/>
                <w:spacing w:val="1"/>
                <w:sz w:val="22"/>
                <w:szCs w:val="22"/>
              </w:rPr>
              <w:t>i</w:t>
            </w:r>
            <w:r w:rsidRPr="000433C9">
              <w:rPr>
                <w:b/>
                <w:bCs/>
                <w:sz w:val="22"/>
                <w:szCs w:val="22"/>
              </w:rPr>
              <w:t>navi</w:t>
            </w:r>
            <w:r w:rsidRPr="000433C9">
              <w:rPr>
                <w:b/>
                <w:bCs/>
                <w:spacing w:val="1"/>
                <w:sz w:val="22"/>
                <w:szCs w:val="22"/>
              </w:rPr>
              <w:t>r</w:t>
            </w:r>
            <w:r w:rsidRPr="000433C9">
              <w:rPr>
                <w:b/>
                <w:bCs/>
                <w:sz w:val="22"/>
                <w:szCs w:val="22"/>
              </w:rPr>
              <w:t>, ne</w:t>
            </w:r>
            <w:r w:rsidRPr="000433C9">
              <w:rPr>
                <w:b/>
                <w:bCs/>
                <w:spacing w:val="1"/>
                <w:sz w:val="22"/>
                <w:szCs w:val="22"/>
              </w:rPr>
              <w:t>l</w:t>
            </w:r>
            <w:r w:rsidRPr="000433C9">
              <w:rPr>
                <w:b/>
                <w:bCs/>
                <w:spacing w:val="3"/>
                <w:sz w:val="22"/>
                <w:szCs w:val="22"/>
              </w:rPr>
              <w:t>f</w:t>
            </w:r>
            <w:r w:rsidRPr="000433C9">
              <w:rPr>
                <w:b/>
                <w:bCs/>
                <w:spacing w:val="1"/>
                <w:sz w:val="22"/>
                <w:szCs w:val="22"/>
              </w:rPr>
              <w:t>i</w:t>
            </w:r>
            <w:r w:rsidRPr="000433C9">
              <w:rPr>
                <w:b/>
                <w:bCs/>
                <w:sz w:val="22"/>
                <w:szCs w:val="22"/>
              </w:rPr>
              <w:t>navir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tcPr>
          <w:p w:rsidR="000433C9" w:rsidRPr="000433C9" w:rsidRDefault="000433C9">
            <w:pPr>
              <w:ind w:right="-1"/>
              <w:rPr>
                <w:sz w:val="22"/>
                <w:szCs w:val="22"/>
              </w:rPr>
            </w:pP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
                <w:bCs/>
                <w:i/>
                <w:sz w:val="22"/>
                <w:szCs w:val="22"/>
              </w:rPr>
              <w:t>Mod</w:t>
            </w:r>
            <w:r>
              <w:rPr>
                <w:b/>
                <w:bCs/>
                <w:i/>
                <w:spacing w:val="1"/>
                <w:sz w:val="22"/>
                <w:szCs w:val="22"/>
              </w:rPr>
              <w:t>e</w:t>
            </w:r>
            <w:r>
              <w:rPr>
                <w:b/>
                <w:bCs/>
                <w:i/>
                <w:sz w:val="22"/>
                <w:szCs w:val="22"/>
              </w:rPr>
              <w:t>ra</w:t>
            </w:r>
            <w:r>
              <w:rPr>
                <w:b/>
                <w:bCs/>
                <w:i/>
                <w:spacing w:val="1"/>
                <w:sz w:val="22"/>
                <w:szCs w:val="22"/>
              </w:rPr>
              <w:t>t</w:t>
            </w:r>
            <w:r>
              <w:rPr>
                <w:b/>
                <w:bCs/>
                <w:i/>
                <w:sz w:val="22"/>
                <w:szCs w:val="22"/>
              </w:rPr>
              <w:t>e</w:t>
            </w:r>
            <w:r>
              <w:rPr>
                <w:b/>
                <w:bCs/>
                <w:i/>
                <w:spacing w:val="1"/>
                <w:sz w:val="22"/>
                <w:szCs w:val="22"/>
              </w:rPr>
              <w:t xml:space="preserve"> </w:t>
            </w:r>
            <w:r>
              <w:rPr>
                <w:b/>
                <w:bCs/>
                <w:spacing w:val="-1"/>
                <w:sz w:val="22"/>
                <w:szCs w:val="22"/>
              </w:rPr>
              <w:t>C</w:t>
            </w:r>
            <w:r>
              <w:rPr>
                <w:b/>
                <w:bCs/>
                <w:spacing w:val="1"/>
                <w:sz w:val="22"/>
                <w:szCs w:val="22"/>
              </w:rPr>
              <w:t>Y</w:t>
            </w:r>
            <w:r>
              <w:rPr>
                <w:b/>
                <w:bCs/>
                <w:spacing w:val="2"/>
                <w:sz w:val="22"/>
                <w:szCs w:val="22"/>
              </w:rPr>
              <w:t>P</w:t>
            </w:r>
            <w:r>
              <w:rPr>
                <w:b/>
                <w:bCs/>
                <w:sz w:val="22"/>
                <w:szCs w:val="22"/>
              </w:rPr>
              <w:t>3</w:t>
            </w:r>
            <w:r>
              <w:rPr>
                <w:b/>
                <w:bCs/>
                <w:spacing w:val="-1"/>
                <w:sz w:val="22"/>
                <w:szCs w:val="22"/>
              </w:rPr>
              <w:t>A</w:t>
            </w:r>
            <w:r>
              <w:rPr>
                <w:b/>
                <w:bCs/>
                <w:sz w:val="22"/>
                <w:szCs w:val="22"/>
              </w:rPr>
              <w:t>4</w:t>
            </w:r>
            <w:r>
              <w:rPr>
                <w:b/>
                <w:bCs/>
                <w:spacing w:val="1"/>
                <w:sz w:val="22"/>
                <w:szCs w:val="22"/>
              </w:rPr>
              <w:t>/</w:t>
            </w:r>
            <w:r>
              <w:rPr>
                <w:b/>
                <w:bCs/>
                <w:spacing w:val="2"/>
                <w:sz w:val="22"/>
                <w:szCs w:val="22"/>
              </w:rPr>
              <w:t>P</w:t>
            </w:r>
            <w:r>
              <w:rPr>
                <w:b/>
                <w:bCs/>
                <w:sz w:val="22"/>
                <w:szCs w:val="22"/>
              </w:rPr>
              <w:t>gP-hæmmere</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Erythromycin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 xml:space="preserve">AUC ↑4,4-gange </w:t>
            </w:r>
          </w:p>
          <w:p w:rsidR="000433C9" w:rsidRDefault="000433C9">
            <w:pPr>
              <w:ind w:left="47" w:right="30"/>
              <w:rPr>
                <w:bCs/>
                <w:spacing w:val="1"/>
                <w:sz w:val="22"/>
                <w:szCs w:val="22"/>
              </w:rPr>
            </w:pPr>
            <w:r>
              <w:rPr>
                <w:bCs/>
                <w:spacing w:val="1"/>
                <w:sz w:val="22"/>
                <w:szCs w:val="22"/>
              </w:rPr>
              <w:t xml:space="preserve">(interval 2,0-12,6) </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↑2,0-gange </w:t>
            </w:r>
          </w:p>
          <w:p w:rsidR="000433C9" w:rsidRDefault="000433C9">
            <w:pPr>
              <w:ind w:left="47" w:right="30"/>
              <w:rPr>
                <w:bCs/>
                <w:spacing w:val="1"/>
                <w:sz w:val="22"/>
                <w:szCs w:val="22"/>
              </w:rPr>
            </w:pPr>
            <w:r>
              <w:rPr>
                <w:bCs/>
                <w:spacing w:val="1"/>
                <w:sz w:val="22"/>
                <w:szCs w:val="22"/>
              </w:rPr>
              <w:t>(interval 0,9-3,5)</w:t>
            </w:r>
          </w:p>
        </w:tc>
        <w:tc>
          <w:tcPr>
            <w:tcW w:w="3096" w:type="dxa"/>
            <w:vMerge w:val="restart"/>
            <w:tcBorders>
              <w:top w:val="single" w:sz="4" w:space="0" w:color="auto"/>
              <w:left w:val="single" w:sz="4" w:space="0" w:color="auto"/>
              <w:bottom w:val="single" w:sz="4" w:space="0" w:color="auto"/>
              <w:right w:val="single" w:sz="4" w:space="0" w:color="auto"/>
            </w:tcBorders>
          </w:tcPr>
          <w:p w:rsidR="000433C9" w:rsidRDefault="000433C9">
            <w:pPr>
              <w:pStyle w:val="Default"/>
              <w:rPr>
                <w:sz w:val="22"/>
                <w:szCs w:val="22"/>
              </w:rPr>
            </w:pPr>
            <w:r>
              <w:rPr>
                <w:sz w:val="22"/>
                <w:szCs w:val="22"/>
              </w:rPr>
              <w:t xml:space="preserve">Der bør udvises forsigtighed, når samtidig administration af moderate CYP3A4-hæmmere eller PgP-hæmmere ikke kan undgås. </w:t>
            </w:r>
          </w:p>
          <w:p w:rsidR="000433C9" w:rsidRDefault="000433C9">
            <w:pPr>
              <w:pStyle w:val="Default"/>
              <w:rPr>
                <w:b/>
                <w:bCs/>
                <w:i/>
                <w:iCs/>
                <w:sz w:val="22"/>
                <w:szCs w:val="22"/>
              </w:rPr>
            </w:pPr>
            <w:r>
              <w:rPr>
                <w:b/>
                <w:bCs/>
                <w:i/>
                <w:iCs/>
              </w:rPr>
              <w:t>Neuroendokrine tumorer/Renal angiomyolipom</w:t>
            </w:r>
          </w:p>
          <w:p w:rsidR="000433C9" w:rsidRDefault="000433C9">
            <w:pPr>
              <w:pStyle w:val="Default"/>
              <w:rPr>
                <w:sz w:val="22"/>
                <w:szCs w:val="22"/>
              </w:rPr>
            </w:pPr>
            <w:r>
              <w:rPr>
                <w:sz w:val="22"/>
                <w:szCs w:val="22"/>
              </w:rPr>
              <w:t xml:space="preserve">Hvis patienter har brug for samtidig administration af en moderat hæmmer af CYP3A4 eller PgP, kan det overvejes at reducere dosis til 5 mg eller 2,5 </w:t>
            </w:r>
            <w:r>
              <w:rPr>
                <w:sz w:val="22"/>
                <w:szCs w:val="22"/>
              </w:rPr>
              <w:lastRenderedPageBreak/>
              <w:t xml:space="preserve">mg daglig. Der foreligger dog ingen kliniske data, der understøtter denne dosisjustering. Pga. variabiliteten mellem personer er den anbefalede dosis ikke optimal for alle individer, og det anbefales derfor, at bivirkninger monitoreres omhyggeligt (se pkt. 4.2 og 4.4). Hvis den moderate hæmmer seponeres, bør en udvaskningsperiode på mindst 2-3 dage (gennemsnitlig eliminationstid for de hyppigst anvendte moderate hæmmere) overvejes, før behandlingen fortsætter med den everolimus-dosis, der blev anvendt før initiering. </w:t>
            </w:r>
          </w:p>
          <w:p w:rsidR="000433C9" w:rsidRDefault="000433C9">
            <w:pPr>
              <w:pStyle w:val="Default"/>
              <w:rPr>
                <w:i/>
                <w:sz w:val="22"/>
              </w:rPr>
            </w:pPr>
            <w:r>
              <w:rPr>
                <w:i/>
                <w:sz w:val="22"/>
              </w:rPr>
              <w:t>For patienter med renal angiomyolipim forbundet med TSC</w:t>
            </w:r>
          </w:p>
          <w:p w:rsidR="000433C9" w:rsidRDefault="000433C9">
            <w:pPr>
              <w:pStyle w:val="Default"/>
              <w:rPr>
                <w:sz w:val="22"/>
              </w:rPr>
            </w:pPr>
            <w:r>
              <w:rPr>
                <w:sz w:val="22"/>
              </w:rPr>
              <w:t>Se også ”Terapeutisk lægemiddelmonitorering” i pkt. 4.2</w:t>
            </w:r>
          </w:p>
          <w:p w:rsidR="000433C9" w:rsidRDefault="000433C9">
            <w:pPr>
              <w:pStyle w:val="Default"/>
              <w:rPr>
                <w:sz w:val="22"/>
              </w:rPr>
            </w:pPr>
          </w:p>
          <w:p w:rsidR="000433C9" w:rsidRDefault="000433C9">
            <w:pPr>
              <w:pStyle w:val="Default"/>
              <w:rPr>
                <w:b/>
                <w:bCs/>
                <w:i/>
                <w:iCs/>
                <w:sz w:val="22"/>
              </w:rPr>
            </w:pPr>
            <w:r>
              <w:rPr>
                <w:b/>
                <w:bCs/>
                <w:i/>
              </w:rPr>
              <w:t>Renal angiomyolipom/SEGA</w:t>
            </w:r>
          </w:p>
          <w:p w:rsidR="000433C9" w:rsidRDefault="000433C9">
            <w:pPr>
              <w:pStyle w:val="TableParagraph"/>
              <w:ind w:left="79" w:right="252"/>
              <w:rPr>
                <w:i/>
                <w:lang w:val="da-DK"/>
              </w:rPr>
            </w:pPr>
            <w:r>
              <w:rPr>
                <w:i/>
                <w:lang w:val="da-DK"/>
              </w:rPr>
              <w:t>For patienter med SEGA forbundet med TSC:</w:t>
            </w:r>
          </w:p>
          <w:p w:rsidR="000433C9" w:rsidRDefault="000433C9">
            <w:pPr>
              <w:pStyle w:val="TableParagraph"/>
              <w:ind w:left="79" w:right="176"/>
              <w:rPr>
                <w:lang w:val="da-DK"/>
              </w:rPr>
            </w:pPr>
            <w:r>
              <w:rPr>
                <w:lang w:val="da-DK"/>
              </w:rPr>
              <w:t>Hvis patienten har brug for samtidig administration af en moderat CYP3A4- eller PgP-hæmmer, reduceres dosis med ca. 50 %. Yderligere dosisreduktion kan være nødvendig for at håndtere bivirkninger (se pkt. 4.2 og 4.4).</w:t>
            </w:r>
          </w:p>
          <w:p w:rsidR="000433C9" w:rsidRDefault="000433C9">
            <w:pPr>
              <w:pStyle w:val="TableParagraph"/>
              <w:ind w:left="79" w:right="108"/>
              <w:rPr>
                <w:lang w:val="da-DK"/>
              </w:rPr>
            </w:pPr>
            <w:r>
              <w:rPr>
                <w:lang w:val="da-DK"/>
              </w:rPr>
              <w:t>Everolimus-dal-koncentrationen bør vurderes mindst 1 uge efter tilføjelse af en moderat CYP3A4- eller</w:t>
            </w:r>
          </w:p>
          <w:p w:rsidR="000433C9" w:rsidRDefault="000433C9">
            <w:pPr>
              <w:pStyle w:val="TableParagraph"/>
              <w:ind w:left="79"/>
              <w:rPr>
                <w:lang w:val="da-DK"/>
              </w:rPr>
            </w:pPr>
            <w:r>
              <w:rPr>
                <w:lang w:val="da-DK"/>
              </w:rPr>
              <w:t>PgP-hæmmer. Hvis den moderate hæmmer seponeres, bør en udvaskningsperiode på mindst 2-3 dage (gennemsnitlig eliminationstid for de hyppigst anvendte moderate hæmmere) overvejes, før behandlingen fortsætter med den everolimus-dosis, der blev anvendt før initiering af kombinationsbehandlingen.</w:t>
            </w:r>
          </w:p>
          <w:p w:rsidR="000433C9" w:rsidRDefault="000433C9">
            <w:pPr>
              <w:pStyle w:val="TableParagraph"/>
              <w:ind w:left="79" w:right="148"/>
              <w:rPr>
                <w:lang w:val="da-DK"/>
              </w:rPr>
            </w:pPr>
            <w:r>
              <w:rPr>
                <w:lang w:val="da-DK"/>
              </w:rPr>
              <w:t>Dal-everolimus-koncentrationen bør vurderes mindst 1 uge senere (se</w:t>
            </w:r>
          </w:p>
          <w:p w:rsidR="000433C9" w:rsidRDefault="000433C9">
            <w:pPr>
              <w:pStyle w:val="Default"/>
              <w:ind w:left="79"/>
              <w:rPr>
                <w:sz w:val="22"/>
                <w:szCs w:val="22"/>
              </w:rPr>
            </w:pPr>
            <w:r>
              <w:rPr>
                <w:sz w:val="22"/>
              </w:rPr>
              <w:lastRenderedPageBreak/>
              <w:t xml:space="preserve">pkt. 4.2 og 4.4). </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Imatinib</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AUC ↑ 3,7-gange</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 2,2-gange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Verapamil</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 xml:space="preserve">AUC ↑3,5-gange </w:t>
            </w:r>
          </w:p>
          <w:p w:rsidR="000433C9" w:rsidRDefault="000433C9">
            <w:pPr>
              <w:ind w:left="47" w:right="30"/>
              <w:rPr>
                <w:bCs/>
                <w:spacing w:val="1"/>
                <w:sz w:val="22"/>
                <w:szCs w:val="22"/>
              </w:rPr>
            </w:pPr>
            <w:r>
              <w:rPr>
                <w:bCs/>
                <w:spacing w:val="1"/>
                <w:sz w:val="22"/>
                <w:szCs w:val="22"/>
              </w:rPr>
              <w:t xml:space="preserve">(interval 2,2-6,3) </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↑2,3-gange </w:t>
            </w:r>
          </w:p>
          <w:p w:rsidR="000433C9" w:rsidRDefault="000433C9">
            <w:pPr>
              <w:ind w:left="47" w:right="30"/>
              <w:rPr>
                <w:bCs/>
                <w:spacing w:val="1"/>
                <w:sz w:val="22"/>
                <w:szCs w:val="22"/>
              </w:rPr>
            </w:pPr>
            <w:r>
              <w:rPr>
                <w:bCs/>
                <w:spacing w:val="1"/>
                <w:sz w:val="22"/>
                <w:szCs w:val="22"/>
              </w:rPr>
              <w:t>(interval1,3-3,8)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Ciclosporin oral</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 xml:space="preserve">AUC ↑2,7-gange </w:t>
            </w:r>
          </w:p>
          <w:p w:rsidR="000433C9" w:rsidRDefault="000433C9">
            <w:pPr>
              <w:ind w:left="47" w:right="30"/>
              <w:rPr>
                <w:bCs/>
                <w:spacing w:val="1"/>
                <w:sz w:val="22"/>
                <w:szCs w:val="22"/>
              </w:rPr>
            </w:pPr>
            <w:r>
              <w:rPr>
                <w:bCs/>
                <w:spacing w:val="1"/>
                <w:sz w:val="22"/>
                <w:szCs w:val="22"/>
              </w:rPr>
              <w:t xml:space="preserve">(interval 1,5-4,7) </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↑1,8-gange </w:t>
            </w:r>
          </w:p>
          <w:p w:rsidR="000433C9" w:rsidRDefault="000433C9">
            <w:pPr>
              <w:ind w:left="47" w:right="30"/>
              <w:rPr>
                <w:bCs/>
                <w:spacing w:val="1"/>
                <w:sz w:val="22"/>
                <w:szCs w:val="22"/>
              </w:rPr>
            </w:pPr>
            <w:r>
              <w:rPr>
                <w:bCs/>
                <w:spacing w:val="1"/>
                <w:sz w:val="22"/>
                <w:szCs w:val="22"/>
              </w:rPr>
              <w:t>(interval 1,3-2,6)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lastRenderedPageBreak/>
              <w:t>Cannabidiol (PgP-hæmmer)</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AUC ↑ 2,5 gange</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 2,5 gange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Fluconazol</w:t>
            </w:r>
          </w:p>
        </w:tc>
        <w:tc>
          <w:tcPr>
            <w:tcW w:w="3096" w:type="dxa"/>
            <w:vMerge w:val="restart"/>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Eksponeringen forventes forhøjet.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
                <w:bCs/>
                <w:spacing w:val="1"/>
                <w:sz w:val="22"/>
                <w:szCs w:val="22"/>
              </w:rPr>
              <w:t>Diltiazem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bCs/>
                <w:spacing w:val="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Dronedaron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Eksponeringen forventes forhøjet.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Amprenavir, fosamprenavir</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Eksponeringen forventes forhøjet.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color w:val="000000"/>
                <w:sz w:val="22"/>
                <w:szCs w:val="22"/>
                <w:lang w:eastAsia="da-DK"/>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Grapefrugtjuice eller anden mad, som påvirker CYP3A4/PgP</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Eksponeringen forventes forhøjet (effekten varierer meget).</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Cs/>
                <w:spacing w:val="1"/>
                <w:sz w:val="22"/>
                <w:szCs w:val="22"/>
              </w:rPr>
              <w:t>Kombinationen bør undgås.</w:t>
            </w: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tcPr>
          <w:p w:rsidR="000433C9" w:rsidRDefault="000433C9">
            <w:pPr>
              <w:ind w:right="-1"/>
              <w:rPr>
                <w:sz w:val="22"/>
                <w:szCs w:val="22"/>
              </w:rPr>
            </w:pPr>
          </w:p>
        </w:tc>
      </w:tr>
      <w:tr w:rsidR="000433C9" w:rsidTr="000433C9">
        <w:tc>
          <w:tcPr>
            <w:tcW w:w="9287" w:type="dxa"/>
            <w:gridSpan w:val="3"/>
            <w:tcBorders>
              <w:top w:val="single" w:sz="4" w:space="0" w:color="auto"/>
              <w:left w:val="single" w:sz="4" w:space="0" w:color="auto"/>
              <w:bottom w:val="single" w:sz="4" w:space="0" w:color="auto"/>
              <w:right w:val="single" w:sz="4" w:space="0" w:color="auto"/>
            </w:tcBorders>
            <w:hideMark/>
          </w:tcPr>
          <w:p w:rsidR="000433C9" w:rsidRDefault="000433C9">
            <w:pPr>
              <w:keepNext/>
              <w:rPr>
                <w:sz w:val="22"/>
                <w:szCs w:val="22"/>
              </w:rPr>
            </w:pPr>
            <w:r>
              <w:rPr>
                <w:b/>
                <w:bCs/>
                <w:spacing w:val="1"/>
                <w:sz w:val="22"/>
                <w:szCs w:val="22"/>
              </w:rPr>
              <w:t>Potente og moderate</w:t>
            </w:r>
            <w:r>
              <w:rPr>
                <w:b/>
                <w:bCs/>
                <w:i/>
                <w:spacing w:val="1"/>
                <w:sz w:val="22"/>
                <w:szCs w:val="22"/>
              </w:rPr>
              <w:t xml:space="preserve"> </w:t>
            </w:r>
            <w:r>
              <w:rPr>
                <w:b/>
                <w:bCs/>
                <w:spacing w:val="1"/>
                <w:sz w:val="22"/>
                <w:szCs w:val="22"/>
              </w:rPr>
              <w:t>CYP3A4 induktorer</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Rifampicin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 xml:space="preserve">AUC ↓63 % </w:t>
            </w:r>
          </w:p>
          <w:p w:rsidR="000433C9" w:rsidRDefault="000433C9">
            <w:pPr>
              <w:ind w:left="47" w:right="30"/>
              <w:rPr>
                <w:bCs/>
                <w:spacing w:val="1"/>
                <w:sz w:val="22"/>
                <w:szCs w:val="22"/>
              </w:rPr>
            </w:pPr>
            <w:r>
              <w:rPr>
                <w:bCs/>
                <w:spacing w:val="1"/>
                <w:sz w:val="22"/>
                <w:szCs w:val="22"/>
              </w:rPr>
              <w:t xml:space="preserve">(interval 0-80 %) </w:t>
            </w:r>
          </w:p>
          <w:p w:rsidR="000433C9" w:rsidRDefault="000433C9">
            <w:pPr>
              <w:ind w:left="47" w:right="30"/>
              <w:rPr>
                <w:bCs/>
                <w:spacing w:val="1"/>
                <w:sz w:val="22"/>
                <w:szCs w:val="22"/>
              </w:rPr>
            </w:pPr>
            <w:r>
              <w:rPr>
                <w:bCs/>
                <w:spacing w:val="1"/>
                <w:sz w:val="22"/>
                <w:szCs w:val="22"/>
              </w:rPr>
              <w:t>C</w:t>
            </w:r>
            <w:r>
              <w:rPr>
                <w:bCs/>
                <w:spacing w:val="1"/>
                <w:sz w:val="22"/>
                <w:szCs w:val="22"/>
                <w:vertAlign w:val="subscript"/>
              </w:rPr>
              <w:t>max</w:t>
            </w:r>
            <w:r>
              <w:rPr>
                <w:bCs/>
                <w:spacing w:val="1"/>
                <w:sz w:val="22"/>
                <w:szCs w:val="22"/>
              </w:rPr>
              <w:t xml:space="preserve"> ↓58 % </w:t>
            </w:r>
          </w:p>
          <w:p w:rsidR="000433C9" w:rsidRDefault="000433C9">
            <w:pPr>
              <w:ind w:left="47" w:right="30"/>
              <w:rPr>
                <w:bCs/>
                <w:spacing w:val="1"/>
                <w:sz w:val="22"/>
                <w:szCs w:val="22"/>
              </w:rPr>
            </w:pPr>
            <w:r>
              <w:rPr>
                <w:bCs/>
                <w:spacing w:val="1"/>
                <w:sz w:val="22"/>
                <w:szCs w:val="22"/>
              </w:rPr>
              <w:t>(interval 10-70 %)</w:t>
            </w:r>
          </w:p>
        </w:tc>
        <w:tc>
          <w:tcPr>
            <w:tcW w:w="3096" w:type="dxa"/>
            <w:vMerge w:val="restart"/>
            <w:tcBorders>
              <w:top w:val="single" w:sz="4" w:space="0" w:color="auto"/>
              <w:left w:val="single" w:sz="4" w:space="0" w:color="auto"/>
              <w:bottom w:val="single" w:sz="4" w:space="0" w:color="auto"/>
              <w:right w:val="single" w:sz="4" w:space="0" w:color="auto"/>
            </w:tcBorders>
            <w:hideMark/>
          </w:tcPr>
          <w:p w:rsidR="000433C9" w:rsidRDefault="000433C9">
            <w:pPr>
              <w:pStyle w:val="Default"/>
              <w:rPr>
                <w:sz w:val="22"/>
                <w:szCs w:val="22"/>
              </w:rPr>
            </w:pPr>
            <w:r>
              <w:rPr>
                <w:sz w:val="22"/>
                <w:szCs w:val="22"/>
              </w:rPr>
              <w:t xml:space="preserve">Samtidig administration med potente CYP3A4-induktorer eller PgP-induktorer skal undgås. </w:t>
            </w:r>
          </w:p>
          <w:p w:rsidR="000433C9" w:rsidRDefault="000433C9">
            <w:pPr>
              <w:pStyle w:val="Default"/>
              <w:rPr>
                <w:sz w:val="22"/>
                <w:szCs w:val="22"/>
              </w:rPr>
            </w:pPr>
            <w:r>
              <w:rPr>
                <w:b/>
                <w:bCs/>
                <w:i/>
                <w:iCs/>
              </w:rPr>
              <w:t>Neuroendokrine tumorer/Renal angiomyolipom</w:t>
            </w:r>
          </w:p>
          <w:p w:rsidR="000433C9" w:rsidRDefault="000433C9">
            <w:pPr>
              <w:pStyle w:val="Default"/>
              <w:rPr>
                <w:sz w:val="22"/>
                <w:szCs w:val="22"/>
              </w:rPr>
            </w:pPr>
            <w:r>
              <w:rPr>
                <w:sz w:val="22"/>
                <w:szCs w:val="22"/>
              </w:rPr>
              <w:t xml:space="preserve">Hvis en patient har brug for samtidig administration af potente CYP3A4-hæmmere, bør det overvejes at øge everolimus-dosis fra 10 mg/dag til 20 mg/dag med stigninger på 5 mg eller mindre på dag 4 og 8 og derefter opstarte behandlingen med induktoren. Dosis af everolimus er tilpasset AUC til det interval, der er observeret uden induktorer. Der foreligger dog ikke kliniske data med denne dosisjustering. Hvis behandlingen med induktor seponeres, bør en udvaskningsperiode på mindst 3-5 dage (passende tid til ophør af signifikant udtalt enzyminduktion) overvejes, før behandlingen fortsætter med den everolimus-dosis, der blev anvendt før initiering af kombinationsbehandlingen. </w:t>
            </w:r>
          </w:p>
          <w:p w:rsidR="000433C9" w:rsidRDefault="000433C9">
            <w:pPr>
              <w:pStyle w:val="Default"/>
              <w:rPr>
                <w:i/>
                <w:sz w:val="22"/>
              </w:rPr>
            </w:pPr>
            <w:r>
              <w:rPr>
                <w:i/>
                <w:sz w:val="22"/>
              </w:rPr>
              <w:t>For patienter med renal angiomyolipim forbundet med TSC</w:t>
            </w:r>
          </w:p>
          <w:p w:rsidR="000433C9" w:rsidRDefault="000433C9">
            <w:pPr>
              <w:pStyle w:val="Default"/>
              <w:rPr>
                <w:sz w:val="22"/>
              </w:rPr>
            </w:pPr>
            <w:r>
              <w:rPr>
                <w:sz w:val="22"/>
              </w:rPr>
              <w:t>Se også ”Terapeutisk lægemiddelmonitorering” i pkt. 4.2</w:t>
            </w:r>
          </w:p>
          <w:p w:rsidR="000433C9" w:rsidRDefault="000433C9">
            <w:pPr>
              <w:pStyle w:val="Default"/>
              <w:rPr>
                <w:b/>
                <w:bCs/>
                <w:i/>
                <w:iCs/>
                <w:sz w:val="22"/>
              </w:rPr>
            </w:pPr>
            <w:r>
              <w:rPr>
                <w:b/>
                <w:bCs/>
                <w:i/>
              </w:rPr>
              <w:t>Renal angiomyolipom/SEGA</w:t>
            </w:r>
          </w:p>
          <w:p w:rsidR="000433C9" w:rsidRDefault="000433C9">
            <w:pPr>
              <w:pStyle w:val="TableParagraph"/>
              <w:ind w:left="0" w:right="250"/>
              <w:rPr>
                <w:i/>
                <w:lang w:val="da-DK"/>
              </w:rPr>
            </w:pPr>
            <w:r>
              <w:rPr>
                <w:i/>
                <w:lang w:val="da-DK"/>
              </w:rPr>
              <w:t>For patienter med SEGA forbundet med TSC:</w:t>
            </w:r>
          </w:p>
          <w:p w:rsidR="000433C9" w:rsidRDefault="000433C9">
            <w:pPr>
              <w:pStyle w:val="TableParagraph"/>
              <w:ind w:left="0"/>
              <w:rPr>
                <w:lang w:val="da-DK"/>
              </w:rPr>
            </w:pPr>
            <w:r>
              <w:rPr>
                <w:lang w:val="da-DK"/>
              </w:rPr>
              <w:t>Det kan være nødvendigt at øge everolimus-dosen for patienter, der samtidig får potente</w:t>
            </w:r>
          </w:p>
          <w:p w:rsidR="000433C9" w:rsidRDefault="000433C9">
            <w:pPr>
              <w:pStyle w:val="TableParagraph"/>
              <w:ind w:left="0" w:right="226"/>
              <w:rPr>
                <w:lang w:val="da-DK"/>
              </w:rPr>
            </w:pPr>
            <w:r>
              <w:rPr>
                <w:lang w:val="da-DK"/>
              </w:rPr>
              <w:t xml:space="preserve">CYP3A4-induktorer, for at opnå samme eksponering som hos patienter, der ikke tager potente induktorer. Doseringen bør titreres, så der opnås dal-koncentrationer </w:t>
            </w:r>
            <w:r>
              <w:rPr>
                <w:lang w:val="da-DK"/>
              </w:rPr>
              <w:lastRenderedPageBreak/>
              <w:t>på 5 til 15 nanogram/ml. Hvis koncentrationerne er under</w:t>
            </w:r>
          </w:p>
          <w:p w:rsidR="000433C9" w:rsidRDefault="000433C9">
            <w:pPr>
              <w:ind w:right="-1"/>
              <w:rPr>
                <w:sz w:val="22"/>
              </w:rPr>
            </w:pPr>
            <w:r>
              <w:rPr>
                <w:sz w:val="22"/>
              </w:rPr>
              <w:t>5 nanogram/ml, kan den daglige dosis øges til 2,5 mg hver 2. uge, idet dal-værdierne kontrolleres, og tolerabiliteten vurderes, inden dosis øges.</w:t>
            </w:r>
          </w:p>
          <w:p w:rsidR="000433C9" w:rsidRDefault="000433C9">
            <w:pPr>
              <w:pStyle w:val="TableParagraph"/>
              <w:ind w:left="0" w:right="85"/>
              <w:rPr>
                <w:lang w:val="da-DK"/>
              </w:rPr>
            </w:pPr>
            <w:r>
              <w:rPr>
                <w:lang w:val="da-DK"/>
              </w:rPr>
              <w:t>Yderligere dosisjustering er muligvis ikke nødvendig ved tillæg af en ekstra samtidig potent CYP3A4-induktor. Vurdér everolimus-dal-niveauet 2 uger efter start af den ekstra induktor. Justér dosis trinvis med 2,5 mg efter behov for at opretholde</w:t>
            </w:r>
          </w:p>
          <w:p w:rsidR="000433C9" w:rsidRDefault="000433C9">
            <w:pPr>
              <w:pStyle w:val="TableParagraph"/>
              <w:ind w:left="0"/>
              <w:rPr>
                <w:lang w:val="da-DK"/>
              </w:rPr>
            </w:pPr>
            <w:r>
              <w:rPr>
                <w:lang w:val="da-DK"/>
              </w:rPr>
              <w:t>mål-dal-koncentrationen.</w:t>
            </w:r>
          </w:p>
          <w:p w:rsidR="000433C9" w:rsidRDefault="000433C9">
            <w:pPr>
              <w:pStyle w:val="TableParagraph"/>
              <w:ind w:left="0"/>
              <w:rPr>
                <w:lang w:val="da-DK"/>
              </w:rPr>
            </w:pPr>
            <w:r>
              <w:rPr>
                <w:lang w:val="da-DK"/>
              </w:rPr>
              <w:t>Dosisjustering er muligvis ikke nødvendig ved seponering af en af flere potente CYP3A4-induktorer. Vurdér everolimus-dal-niveauet 2 uger efter seponering af en af flere potente CYP3A4-induktorer.</w:t>
            </w:r>
          </w:p>
          <w:p w:rsidR="000433C9" w:rsidRDefault="000433C9">
            <w:pPr>
              <w:pStyle w:val="TableParagraph"/>
              <w:ind w:left="0" w:right="-34"/>
              <w:rPr>
                <w:lang w:val="da-DK"/>
              </w:rPr>
            </w:pPr>
            <w:r>
              <w:rPr>
                <w:lang w:val="da-DK"/>
              </w:rPr>
              <w:t>Hvis alle potente induktorer seponeres, bør en udvaskningsperiode på mindst</w:t>
            </w:r>
          </w:p>
          <w:p w:rsidR="000433C9" w:rsidRDefault="000433C9">
            <w:pPr>
              <w:pStyle w:val="TableParagraph"/>
              <w:ind w:left="0"/>
              <w:rPr>
                <w:lang w:val="da-DK"/>
              </w:rPr>
            </w:pPr>
            <w:r>
              <w:rPr>
                <w:lang w:val="da-DK"/>
              </w:rPr>
              <w:t>3-5 dage (passende tid til ophør af signifikant udtalt enzyminduktion) overvejes, før behandlingen fortsætter med den everolimus-dosis, der blev anvendt før initiering af kombinationsbehandlingen.</w:t>
            </w:r>
          </w:p>
          <w:p w:rsidR="000433C9" w:rsidRDefault="000433C9">
            <w:pPr>
              <w:pStyle w:val="TableParagraph"/>
              <w:spacing w:before="1"/>
              <w:ind w:left="0" w:right="146"/>
              <w:rPr>
                <w:lang w:val="da-DK"/>
              </w:rPr>
            </w:pPr>
            <w:r>
              <w:rPr>
                <w:lang w:val="da-DK"/>
              </w:rPr>
              <w:t>Dal-everolimus-koncentrationen bør måles 2 til 4 uger senere, eftersom der bør tages højde for den naturlige nedbrydningstid for de inducerede enzymer (se pkt. 4.2 og 4.4)</w:t>
            </w: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Dexamethason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Fald i eksponering forventes.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Antiepileptika (f.eks. carbamazepin, phenobarbital, phenytoin)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Fald i eksponering forventes.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right="30"/>
              <w:rPr>
                <w:b/>
                <w:bCs/>
                <w:spacing w:val="1"/>
                <w:sz w:val="22"/>
                <w:szCs w:val="22"/>
              </w:rPr>
            </w:pPr>
            <w:r>
              <w:rPr>
                <w:b/>
                <w:bCs/>
                <w:spacing w:val="1"/>
                <w:sz w:val="22"/>
                <w:szCs w:val="22"/>
              </w:rPr>
              <w:t>Efavirenz, nevirapin</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Fald i eksponering forventes.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C9" w:rsidRDefault="000433C9">
            <w:pPr>
              <w:rPr>
                <w:sz w:val="22"/>
                <w:szCs w:val="22"/>
              </w:rPr>
            </w:pPr>
          </w:p>
        </w:tc>
      </w:tr>
      <w:tr w:rsidR="000433C9" w:rsidTr="000433C9">
        <w:tc>
          <w:tcPr>
            <w:tcW w:w="3095"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
                <w:bCs/>
                <w:i/>
                <w:spacing w:val="1"/>
                <w:sz w:val="22"/>
                <w:szCs w:val="22"/>
              </w:rPr>
            </w:pPr>
            <w:r>
              <w:rPr>
                <w:b/>
                <w:bCs/>
                <w:spacing w:val="1"/>
                <w:sz w:val="22"/>
                <w:szCs w:val="22"/>
              </w:rPr>
              <w:t>Perikon (hypericum perforatum)</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left="47" w:right="30"/>
              <w:rPr>
                <w:bCs/>
                <w:spacing w:val="1"/>
                <w:sz w:val="22"/>
                <w:szCs w:val="22"/>
              </w:rPr>
            </w:pPr>
            <w:r>
              <w:rPr>
                <w:bCs/>
                <w:spacing w:val="1"/>
                <w:sz w:val="22"/>
                <w:szCs w:val="22"/>
              </w:rPr>
              <w:t>Ikke undersøgt. Fald i eksponering forventes.</w:t>
            </w:r>
          </w:p>
        </w:tc>
        <w:tc>
          <w:tcPr>
            <w:tcW w:w="3096" w:type="dxa"/>
            <w:tcBorders>
              <w:top w:val="single" w:sz="4" w:space="0" w:color="auto"/>
              <w:left w:val="single" w:sz="4" w:space="0" w:color="auto"/>
              <w:bottom w:val="single" w:sz="4" w:space="0" w:color="auto"/>
              <w:right w:val="single" w:sz="4" w:space="0" w:color="auto"/>
            </w:tcBorders>
            <w:hideMark/>
          </w:tcPr>
          <w:p w:rsidR="000433C9" w:rsidRDefault="000433C9">
            <w:pPr>
              <w:ind w:right="-1"/>
              <w:rPr>
                <w:sz w:val="22"/>
                <w:szCs w:val="22"/>
              </w:rPr>
            </w:pPr>
            <w:r>
              <w:rPr>
                <w:bCs/>
                <w:spacing w:val="1"/>
                <w:sz w:val="22"/>
                <w:szCs w:val="22"/>
              </w:rPr>
              <w:t>Naturlægemidler indeholdende perikon må ikke anvendes under behandling med everolimus.</w:t>
            </w:r>
          </w:p>
        </w:tc>
      </w:tr>
    </w:tbl>
    <w:p w:rsidR="000433C9" w:rsidRDefault="000433C9" w:rsidP="000433C9">
      <w:pPr>
        <w:tabs>
          <w:tab w:val="left" w:pos="851"/>
        </w:tabs>
        <w:ind w:left="851"/>
        <w:rPr>
          <w:szCs w:val="24"/>
        </w:rPr>
      </w:pPr>
    </w:p>
    <w:p w:rsidR="000433C9" w:rsidRDefault="000433C9" w:rsidP="000433C9">
      <w:pPr>
        <w:pStyle w:val="Default"/>
        <w:ind w:left="851"/>
        <w:rPr>
          <w:u w:val="single"/>
        </w:rPr>
      </w:pPr>
      <w:r>
        <w:rPr>
          <w:u w:val="single"/>
        </w:rPr>
        <w:t xml:space="preserve">Aktive stoffer, hvis plasmakoncentration kan blive påvirket af everolimus </w:t>
      </w:r>
    </w:p>
    <w:p w:rsidR="000433C9" w:rsidRDefault="000433C9" w:rsidP="000433C9">
      <w:pPr>
        <w:pStyle w:val="Default"/>
        <w:ind w:left="851"/>
      </w:pPr>
      <w:r>
        <w:t xml:space="preserve">Baseret på </w:t>
      </w:r>
      <w:r>
        <w:rPr>
          <w:i/>
          <w:iCs/>
        </w:rPr>
        <w:t>in vitro-</w:t>
      </w:r>
      <w:r>
        <w:t>resultater, er det usandsynligt, at PgP, CYP3A4 og CYP2D6 hæmmes ved de systemiske koncentrationer, der opnås efter en daglig oral dosis på 10 mg. Hæmning af CYP3A4 og PgP i tarmen kan dog ikke udelukkes. Et interaktionsstudie med raske forsøgspersoner viste, at samtidig administration af en oral dosis midazolam, et sensitivt CYP3A-testsubstrat, og everolimus resulterede i en stigning på 25 % i C</w:t>
      </w:r>
      <w:r>
        <w:rPr>
          <w:vertAlign w:val="subscript"/>
        </w:rPr>
        <w:t>max</w:t>
      </w:r>
      <w:r>
        <w:t xml:space="preserve"> og på 30 % i AUC</w:t>
      </w:r>
      <w:r>
        <w:rPr>
          <w:vertAlign w:val="subscript"/>
        </w:rPr>
        <w:t>(0-inf)</w:t>
      </w:r>
      <w:r>
        <w:t xml:space="preserve"> for midazolam. Effekten skyldes formentlig, at everolimus hæmmer intestinal CYP3A4. Everolimus kan derfor påvirke biotilgængeligheden af samtidigt </w:t>
      </w:r>
      <w:r>
        <w:lastRenderedPageBreak/>
        <w:t>administrerede orale CYP3A4-substrater. Der forventes dog ikke en klinisk relevant effekt på eksponeringen af systemisk administrerede CYP3A4-substrater (se pkt. 4.4).</w:t>
      </w:r>
    </w:p>
    <w:p w:rsidR="000433C9" w:rsidRDefault="000433C9" w:rsidP="000433C9">
      <w:pPr>
        <w:pStyle w:val="Default"/>
        <w:ind w:left="851"/>
      </w:pPr>
      <w:r>
        <w:t xml:space="preserve"> </w:t>
      </w:r>
    </w:p>
    <w:p w:rsidR="000433C9" w:rsidRDefault="000433C9" w:rsidP="000433C9">
      <w:pPr>
        <w:pStyle w:val="Default"/>
        <w:ind w:left="851"/>
      </w:pPr>
      <w:r>
        <w:rPr>
          <w:b/>
          <w:bCs/>
          <w:i/>
          <w:iCs/>
        </w:rPr>
        <w:t>Neuroendokrine tumorer</w:t>
      </w:r>
    </w:p>
    <w:p w:rsidR="000433C9" w:rsidRDefault="000433C9" w:rsidP="000433C9">
      <w:pPr>
        <w:pStyle w:val="Default"/>
        <w:ind w:left="1304"/>
      </w:pPr>
      <w:r>
        <w:t>Samtidig administration af everolimus og depot-octreotid øgede C</w:t>
      </w:r>
      <w:r>
        <w:rPr>
          <w:vertAlign w:val="subscript"/>
        </w:rPr>
        <w:t>min</w:t>
      </w:r>
      <w:r>
        <w:t xml:space="preserve"> for octreotid med en geometrisk middelratio (everolimus/placebo) på 1,47. Det kunne ikke påvises, om dette havde en klinisk signifikant effekt på virkningsresponset for everolimus hos patienter med progressive neuroendokrine tumorer. </w:t>
      </w:r>
    </w:p>
    <w:p w:rsidR="000433C9" w:rsidRDefault="000433C9" w:rsidP="000433C9">
      <w:pPr>
        <w:pStyle w:val="Default"/>
        <w:ind w:left="1304"/>
      </w:pPr>
      <w:r>
        <w:t>Samtidig administration af everolimus og exemestan øgede C</w:t>
      </w:r>
      <w:r>
        <w:rPr>
          <w:vertAlign w:val="subscript"/>
        </w:rPr>
        <w:t>min</w:t>
      </w:r>
      <w:r>
        <w:t xml:space="preserve"> og C</w:t>
      </w:r>
      <w:r>
        <w:rPr>
          <w:vertAlign w:val="subscript"/>
        </w:rPr>
        <w:t>2t</w:t>
      </w:r>
      <w:r>
        <w:t xml:space="preserve"> for exemestan med henholdsvis 45 % og 64 %. De tilsvarende estradiolniveauer ved </w:t>
      </w:r>
      <w:r>
        <w:rPr>
          <w:iCs/>
        </w:rPr>
        <w:t>steady state</w:t>
      </w:r>
      <w:r>
        <w:rPr>
          <w:i/>
          <w:iCs/>
        </w:rPr>
        <w:t xml:space="preserve"> </w:t>
      </w:r>
      <w:r>
        <w:t xml:space="preserve">(4 uger) adskilte sig dog ikke i de to behandlingsgrupper. Hos patienter med fremskreden hormonreceptorpositiv brystkræft, der fik denne kombination, sås der ingen stigning i bivirkninger relateret til exemestan. Det er usandsynligt, at stigningen i exemestan-niveau påvirker virkning eller sikkerhed. </w:t>
      </w:r>
    </w:p>
    <w:p w:rsidR="000433C9" w:rsidRDefault="000433C9" w:rsidP="000433C9">
      <w:pPr>
        <w:pStyle w:val="Default"/>
        <w:ind w:left="851"/>
        <w:rPr>
          <w:b/>
          <w:bCs/>
          <w:i/>
          <w:iCs/>
        </w:rPr>
      </w:pPr>
      <w:r>
        <w:rPr>
          <w:b/>
          <w:bCs/>
          <w:i/>
        </w:rPr>
        <w:t>Renal angiomyolipom/SEGA</w:t>
      </w:r>
    </w:p>
    <w:p w:rsidR="000433C9" w:rsidRDefault="000433C9" w:rsidP="000433C9">
      <w:pPr>
        <w:pStyle w:val="Brdtekst"/>
        <w:ind w:left="1304" w:right="-1"/>
        <w:rPr>
          <w:sz w:val="24"/>
          <w:szCs w:val="24"/>
          <w:lang w:val="da-DK"/>
        </w:rPr>
      </w:pPr>
      <w:r>
        <w:rPr>
          <w:sz w:val="24"/>
          <w:szCs w:val="24"/>
          <w:lang w:val="da-DK"/>
        </w:rPr>
        <w:t>I EXIST-3 (studie CRAD001M2304) øgede everolimus præ-doseringskoncentrationen af de antiepileptiske farmaka carbamazepin, clobazam og clobazams metabolit N-desmethylclobazam med omkring 10 %. Stigningen i præ-doseringskoncentrationen af disse antiepileptika er muligvis ikke klinisk signifikant, men dosisjustering af antiepileptika med et snævert terapeutisk indeks, fx carbamazepin, kan overvejes. Everolimus havde ingen indvirkning på præ-doseringskoncentrationen af antiepileptika, som er CYP3A4-substrater (clonazepam, diazepam, felbamat og</w:t>
      </w:r>
      <w:r>
        <w:rPr>
          <w:spacing w:val="-14"/>
          <w:sz w:val="24"/>
          <w:szCs w:val="24"/>
          <w:lang w:val="da-DK"/>
        </w:rPr>
        <w:t xml:space="preserve"> </w:t>
      </w:r>
      <w:r>
        <w:rPr>
          <w:sz w:val="24"/>
          <w:szCs w:val="24"/>
          <w:lang w:val="da-DK"/>
        </w:rPr>
        <w:t>zonisamid).</w:t>
      </w:r>
    </w:p>
    <w:p w:rsidR="000433C9" w:rsidRDefault="000433C9" w:rsidP="000433C9">
      <w:pPr>
        <w:pStyle w:val="Default"/>
        <w:ind w:left="851"/>
      </w:pPr>
    </w:p>
    <w:p w:rsidR="000433C9" w:rsidRDefault="000433C9" w:rsidP="000433C9">
      <w:pPr>
        <w:pStyle w:val="Default"/>
        <w:ind w:left="851"/>
        <w:rPr>
          <w:u w:val="single"/>
        </w:rPr>
      </w:pPr>
      <w:r>
        <w:rPr>
          <w:u w:val="single"/>
        </w:rPr>
        <w:t xml:space="preserve">Samtidig brug af ACE-hæmmere </w:t>
      </w:r>
    </w:p>
    <w:p w:rsidR="000433C9" w:rsidRDefault="000433C9" w:rsidP="000433C9">
      <w:pPr>
        <w:tabs>
          <w:tab w:val="left" w:pos="851"/>
        </w:tabs>
        <w:ind w:left="851"/>
        <w:rPr>
          <w:sz w:val="24"/>
          <w:szCs w:val="24"/>
        </w:rPr>
      </w:pPr>
      <w:r>
        <w:rPr>
          <w:sz w:val="24"/>
          <w:szCs w:val="24"/>
        </w:rPr>
        <w:t>Hos patienter, der samtidig behandles med en ACE-hæmmer (f.eks. ramipril), kan der være forhøjet risiko for angioødem (se pkt. 4.4).</w:t>
      </w:r>
    </w:p>
    <w:p w:rsidR="000433C9" w:rsidRDefault="000433C9" w:rsidP="000433C9">
      <w:pPr>
        <w:tabs>
          <w:tab w:val="left" w:pos="851"/>
        </w:tabs>
        <w:ind w:left="851"/>
        <w:rPr>
          <w:szCs w:val="24"/>
        </w:rPr>
      </w:pPr>
    </w:p>
    <w:p w:rsidR="000433C9" w:rsidRDefault="000433C9" w:rsidP="000433C9">
      <w:pPr>
        <w:pStyle w:val="Default"/>
        <w:ind w:left="851"/>
        <w:rPr>
          <w:u w:val="single"/>
        </w:rPr>
      </w:pPr>
      <w:r>
        <w:rPr>
          <w:u w:val="single"/>
        </w:rPr>
        <w:t xml:space="preserve">Vaccinationer </w:t>
      </w:r>
    </w:p>
    <w:p w:rsidR="000433C9" w:rsidRDefault="000433C9" w:rsidP="000433C9">
      <w:pPr>
        <w:tabs>
          <w:tab w:val="left" w:pos="851"/>
        </w:tabs>
        <w:ind w:left="851"/>
        <w:rPr>
          <w:sz w:val="24"/>
          <w:szCs w:val="24"/>
        </w:rPr>
      </w:pPr>
      <w:r>
        <w:rPr>
          <w:sz w:val="24"/>
          <w:szCs w:val="24"/>
        </w:rPr>
        <w:t>Immunresponset på vaccination kan påvirkes, og derfor kan vaccination være mindre effektiv under behandling med everolimus. Anvendelse af levende vacciner bør undgås under behandling med everolimus (se pkt. 4.4). Eksempler på levende vaccine er: intranasal influenza, mæslinger, fåresyge, røde hunde, oral polio, BCG (</w:t>
      </w:r>
      <w:r>
        <w:rPr>
          <w:i/>
          <w:iCs/>
          <w:sz w:val="24"/>
          <w:szCs w:val="24"/>
        </w:rPr>
        <w:t>Bacillus Calmette-Guérin</w:t>
      </w:r>
      <w:r>
        <w:rPr>
          <w:sz w:val="24"/>
          <w:szCs w:val="24"/>
        </w:rPr>
        <w:t>), gul feber, varicella og TY21a-tyfusvacciner.</w:t>
      </w:r>
    </w:p>
    <w:p w:rsidR="000433C9" w:rsidRDefault="000433C9" w:rsidP="000433C9">
      <w:pPr>
        <w:tabs>
          <w:tab w:val="left" w:pos="851"/>
        </w:tabs>
        <w:ind w:left="851"/>
        <w:rPr>
          <w:sz w:val="24"/>
          <w:szCs w:val="24"/>
        </w:rPr>
      </w:pPr>
    </w:p>
    <w:p w:rsidR="000433C9" w:rsidRDefault="000433C9" w:rsidP="000433C9">
      <w:pPr>
        <w:tabs>
          <w:tab w:val="left" w:pos="851"/>
        </w:tabs>
        <w:ind w:left="851"/>
        <w:rPr>
          <w:sz w:val="24"/>
          <w:szCs w:val="24"/>
          <w:u w:val="single"/>
        </w:rPr>
      </w:pPr>
      <w:r>
        <w:rPr>
          <w:sz w:val="24"/>
          <w:szCs w:val="24"/>
          <w:u w:val="single"/>
        </w:rPr>
        <w:t>Strålebehandling</w:t>
      </w:r>
    </w:p>
    <w:p w:rsidR="000433C9" w:rsidRDefault="000433C9" w:rsidP="000433C9">
      <w:pPr>
        <w:tabs>
          <w:tab w:val="left" w:pos="851"/>
        </w:tabs>
        <w:ind w:left="851"/>
        <w:rPr>
          <w:sz w:val="24"/>
          <w:szCs w:val="24"/>
        </w:rPr>
      </w:pPr>
      <w:r>
        <w:rPr>
          <w:sz w:val="24"/>
          <w:szCs w:val="24"/>
        </w:rPr>
        <w:t>Der er rapporteret forstærket stråletoksicitet hos patienter, der får everolimus (se pkt. 4.4 og 4.8).</w:t>
      </w:r>
    </w:p>
    <w:p w:rsidR="00B47874" w:rsidRPr="00C84483" w:rsidRDefault="00B47874" w:rsidP="003760D5">
      <w:pPr>
        <w:tabs>
          <w:tab w:val="left" w:pos="851"/>
        </w:tabs>
        <w:ind w:left="851"/>
        <w:rPr>
          <w:sz w:val="24"/>
          <w:szCs w:val="24"/>
        </w:rPr>
      </w:pPr>
    </w:p>
    <w:p w:rsidR="00B47874" w:rsidRPr="00B47874" w:rsidRDefault="003760D5" w:rsidP="00B47874">
      <w:pPr>
        <w:tabs>
          <w:tab w:val="left" w:pos="851"/>
        </w:tabs>
        <w:ind w:left="851" w:hanging="851"/>
        <w:rPr>
          <w:b/>
          <w:sz w:val="24"/>
          <w:szCs w:val="24"/>
        </w:rPr>
      </w:pPr>
      <w:r w:rsidRPr="00C84483">
        <w:rPr>
          <w:b/>
          <w:sz w:val="24"/>
          <w:szCs w:val="24"/>
        </w:rPr>
        <w:t>4.6</w:t>
      </w:r>
      <w:r w:rsidRPr="00C84483">
        <w:rPr>
          <w:b/>
          <w:sz w:val="24"/>
          <w:szCs w:val="24"/>
        </w:rPr>
        <w:tab/>
      </w:r>
      <w:r w:rsidR="004A2D78">
        <w:rPr>
          <w:b/>
          <w:sz w:val="24"/>
          <w:szCs w:val="24"/>
        </w:rPr>
        <w:t>Fertilitet, g</w:t>
      </w:r>
      <w:r w:rsidRPr="00C84483">
        <w:rPr>
          <w:b/>
          <w:sz w:val="24"/>
          <w:szCs w:val="24"/>
        </w:rPr>
        <w:t>raviditet og amning</w:t>
      </w:r>
    </w:p>
    <w:p w:rsidR="00B47874" w:rsidRPr="00372959" w:rsidRDefault="00B47874" w:rsidP="00B47874">
      <w:pPr>
        <w:pStyle w:val="Default"/>
        <w:ind w:left="851"/>
        <w:rPr>
          <w:u w:val="single"/>
        </w:rPr>
      </w:pPr>
      <w:r w:rsidRPr="00372959">
        <w:rPr>
          <w:u w:val="single"/>
        </w:rPr>
        <w:t xml:space="preserve">Kvinder i den fertile alder/kontraception til mænd og kvinder </w:t>
      </w:r>
    </w:p>
    <w:p w:rsidR="00B47874" w:rsidRPr="00372959" w:rsidRDefault="00B47874" w:rsidP="00B47874">
      <w:pPr>
        <w:pStyle w:val="Default"/>
        <w:ind w:left="851"/>
      </w:pPr>
      <w:r w:rsidRPr="00372959">
        <w:t xml:space="preserve">Kvinder i den fertile alder skal anvende yderst sikker kontraception (f.eks. orale, injicerede eller implanterede ikke-østrogenholdige hormonale præventionsmetoder, progesteron-baserede kontraceptiva, hysterektomi, aflukning af æggeledere, fuldstændig afholdenhed, barriereprævention, intrauterin prævention [IUD] og/eller kvindelig/mandlig sterilisation) under behandlingen med everolimus og i op til 8 uger efter endt behandling. Mandlige patienter bør ikke forhindres i at prøve at få børn. </w:t>
      </w:r>
    </w:p>
    <w:p w:rsidR="00B47874" w:rsidRPr="00372959" w:rsidRDefault="00B47874" w:rsidP="00B47874">
      <w:pPr>
        <w:pStyle w:val="Default"/>
        <w:ind w:left="851"/>
      </w:pPr>
    </w:p>
    <w:p w:rsidR="00B47874" w:rsidRPr="00372959" w:rsidRDefault="00B47874" w:rsidP="00B47874">
      <w:pPr>
        <w:pStyle w:val="Default"/>
        <w:ind w:left="851"/>
        <w:rPr>
          <w:u w:val="single"/>
        </w:rPr>
      </w:pPr>
      <w:r w:rsidRPr="00372959">
        <w:rPr>
          <w:u w:val="single"/>
        </w:rPr>
        <w:t xml:space="preserve">Graviditet </w:t>
      </w:r>
    </w:p>
    <w:p w:rsidR="00B47874" w:rsidRPr="00372959" w:rsidRDefault="00B47874" w:rsidP="00B47874">
      <w:pPr>
        <w:pStyle w:val="Default"/>
        <w:ind w:left="851"/>
      </w:pPr>
      <w:r w:rsidRPr="00372959">
        <w:lastRenderedPageBreak/>
        <w:t>Der er utilstrækkelige data fra anvendelse af everolimus til gravide kvinder. Dyrestudier har påvist reproduktionstoksicitet, herunder embryotoksicitet og føtotoksicitet (se pkt. 5.3). Den potentielle risiko for mennesker er ukendt.</w:t>
      </w:r>
    </w:p>
    <w:p w:rsidR="00B47874" w:rsidRPr="00372959" w:rsidRDefault="00B47874" w:rsidP="00B47874">
      <w:pPr>
        <w:pStyle w:val="Default"/>
        <w:ind w:left="851"/>
      </w:pPr>
      <w:r w:rsidRPr="00372959">
        <w:t xml:space="preserve"> Everolimus bør ikke anvendes under graviditet eller til kvinder i den fertile alder, der ikke anvender kontraception. </w:t>
      </w:r>
    </w:p>
    <w:p w:rsidR="003760D5" w:rsidRPr="00372959" w:rsidRDefault="003760D5" w:rsidP="003760D5">
      <w:pPr>
        <w:pStyle w:val="Default"/>
        <w:ind w:left="851"/>
      </w:pPr>
    </w:p>
    <w:p w:rsidR="0086389E" w:rsidRPr="00372959" w:rsidRDefault="0086389E" w:rsidP="0086389E">
      <w:pPr>
        <w:pStyle w:val="Default"/>
        <w:ind w:left="851"/>
        <w:rPr>
          <w:u w:val="single"/>
        </w:rPr>
      </w:pPr>
      <w:r w:rsidRPr="00372959">
        <w:rPr>
          <w:u w:val="single"/>
        </w:rPr>
        <w:t xml:space="preserve">Amning </w:t>
      </w:r>
    </w:p>
    <w:p w:rsidR="003760D5" w:rsidRDefault="0086389E" w:rsidP="0086389E">
      <w:pPr>
        <w:pStyle w:val="Default"/>
        <w:ind w:left="851"/>
      </w:pPr>
      <w:r w:rsidRPr="00372959">
        <w:t>Det vides ikke, om everolimus udskilles i human mælk. Hos rotter passerer everolimus og/eller dets metabolitter imidlertid let over i mælken (se pkt. 5.3). Derfor må kvinder, der tager everolimus, ikke amme</w:t>
      </w:r>
      <w:r>
        <w:t xml:space="preserve"> under behandlingen og i 2 uger efter sidste dosis</w:t>
      </w:r>
      <w:r w:rsidRPr="00372959">
        <w:t>.</w:t>
      </w:r>
    </w:p>
    <w:p w:rsidR="00B47874" w:rsidRPr="000A6289" w:rsidRDefault="00B47874" w:rsidP="003760D5">
      <w:pPr>
        <w:pStyle w:val="Default"/>
        <w:ind w:left="851"/>
      </w:pPr>
    </w:p>
    <w:p w:rsidR="000433C9" w:rsidRDefault="000433C9" w:rsidP="000433C9">
      <w:pPr>
        <w:pStyle w:val="Default"/>
        <w:ind w:left="851"/>
      </w:pPr>
      <w:r>
        <w:rPr>
          <w:b/>
          <w:bCs/>
          <w:i/>
          <w:iCs/>
        </w:rPr>
        <w:t>Neuroendokrine tumorer</w:t>
      </w:r>
    </w:p>
    <w:p w:rsidR="000433C9" w:rsidRDefault="000433C9" w:rsidP="000433C9">
      <w:pPr>
        <w:pStyle w:val="Default"/>
        <w:ind w:left="851" w:firstLine="453"/>
        <w:rPr>
          <w:u w:val="single"/>
        </w:rPr>
      </w:pPr>
      <w:r>
        <w:rPr>
          <w:u w:val="single"/>
        </w:rPr>
        <w:t xml:space="preserve">Fertilitet </w:t>
      </w:r>
    </w:p>
    <w:p w:rsidR="000433C9" w:rsidRDefault="000433C9" w:rsidP="000433C9">
      <w:pPr>
        <w:tabs>
          <w:tab w:val="left" w:pos="851"/>
        </w:tabs>
        <w:ind w:left="1304"/>
        <w:rPr>
          <w:sz w:val="24"/>
          <w:szCs w:val="24"/>
        </w:rPr>
      </w:pPr>
      <w:r>
        <w:rPr>
          <w:sz w:val="24"/>
          <w:szCs w:val="24"/>
        </w:rPr>
        <w:t>Everolimus' potentiale for at forårsage infertilitet hos mænd og kvinder er ukendt. Der er dog observeret amenoré (sekundær amenoré og andre uregelmæssigheder i menstruationen) og associeret ubalance i luteiniserende hormon (LH)/follikelstimulerende hormon hos kvinder. Baseret på prækliniske fund kan fertiliteten hos hanner og hunner kompromitteres af behandling med everolimus (se pkt. 5.3).</w:t>
      </w:r>
    </w:p>
    <w:p w:rsidR="000433C9" w:rsidRDefault="000433C9" w:rsidP="000433C9">
      <w:pPr>
        <w:pStyle w:val="Default"/>
        <w:ind w:left="851"/>
        <w:rPr>
          <w:b/>
          <w:bCs/>
          <w:i/>
          <w:iCs/>
        </w:rPr>
      </w:pPr>
      <w:r>
        <w:rPr>
          <w:b/>
          <w:bCs/>
          <w:i/>
        </w:rPr>
        <w:t>Renal angiomyolipom/SEGA</w:t>
      </w:r>
    </w:p>
    <w:p w:rsidR="000433C9" w:rsidRDefault="000433C9" w:rsidP="000433C9">
      <w:pPr>
        <w:pStyle w:val="Brdtekst"/>
        <w:ind w:left="298" w:firstLine="1006"/>
        <w:rPr>
          <w:sz w:val="24"/>
          <w:szCs w:val="24"/>
          <w:lang w:val="da-DK"/>
        </w:rPr>
      </w:pPr>
      <w:r>
        <w:rPr>
          <w:sz w:val="24"/>
          <w:szCs w:val="24"/>
          <w:u w:val="single"/>
          <w:lang w:val="da-DK"/>
        </w:rPr>
        <w:t>Fertilitet</w:t>
      </w:r>
    </w:p>
    <w:p w:rsidR="00B47874" w:rsidRPr="000A6289" w:rsidRDefault="000433C9" w:rsidP="000433C9">
      <w:pPr>
        <w:tabs>
          <w:tab w:val="left" w:pos="851"/>
        </w:tabs>
        <w:ind w:left="1304"/>
        <w:rPr>
          <w:sz w:val="24"/>
          <w:szCs w:val="24"/>
        </w:rPr>
      </w:pPr>
      <w:r>
        <w:rPr>
          <w:sz w:val="24"/>
          <w:szCs w:val="24"/>
        </w:rPr>
        <w:t>Everolimus potentiale for at forårsage infertilitet hos mænd og kvinder er ukendt. Der er dog observeret sekundær amennoré og associeret ubalance i luteiniseringshormon (LH)/follikelstimulerende hormon hos kvinder (se også pkt. 5.3 for prækliniske observationer i det mandlige og kvindelige reproduktive system). Baseret på prækliniske fund kan mandlig og kvindelig fertilitet blive nedsat ved behandling med everolimus (se pkt. 5.3).</w:t>
      </w:r>
    </w:p>
    <w:p w:rsidR="003760D5" w:rsidRPr="000A6289"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4.7</w:t>
      </w:r>
      <w:r w:rsidRPr="00C84483">
        <w:rPr>
          <w:b/>
          <w:sz w:val="24"/>
          <w:szCs w:val="24"/>
        </w:rPr>
        <w:tab/>
        <w:t xml:space="preserve">Virkning på evnen til at føre motorkøretøj </w:t>
      </w:r>
      <w:r w:rsidR="004A2D78">
        <w:rPr>
          <w:b/>
          <w:sz w:val="24"/>
          <w:szCs w:val="24"/>
        </w:rPr>
        <w:t xml:space="preserve">og </w:t>
      </w:r>
      <w:r w:rsidRPr="00C84483">
        <w:rPr>
          <w:b/>
          <w:sz w:val="24"/>
          <w:szCs w:val="24"/>
        </w:rPr>
        <w:t>betjene maskiner</w:t>
      </w:r>
    </w:p>
    <w:p w:rsidR="00B47874" w:rsidRPr="000A6289" w:rsidRDefault="00B47874" w:rsidP="00B47874">
      <w:pPr>
        <w:tabs>
          <w:tab w:val="left" w:pos="851"/>
        </w:tabs>
        <w:ind w:left="851"/>
        <w:rPr>
          <w:sz w:val="24"/>
          <w:szCs w:val="24"/>
        </w:rPr>
      </w:pPr>
      <w:r w:rsidRPr="000A6289">
        <w:rPr>
          <w:sz w:val="24"/>
          <w:szCs w:val="24"/>
        </w:rPr>
        <w:t>Ikke mærkning.</w:t>
      </w:r>
    </w:p>
    <w:p w:rsidR="00B47874" w:rsidRPr="000A6289" w:rsidRDefault="00B47874" w:rsidP="00B47874">
      <w:pPr>
        <w:tabs>
          <w:tab w:val="left" w:pos="851"/>
        </w:tabs>
        <w:ind w:left="851"/>
        <w:rPr>
          <w:sz w:val="24"/>
          <w:szCs w:val="24"/>
        </w:rPr>
      </w:pPr>
      <w:r w:rsidRPr="000A6289">
        <w:rPr>
          <w:sz w:val="24"/>
          <w:szCs w:val="24"/>
        </w:rPr>
        <w:t>Everolimus påvirke</w:t>
      </w:r>
      <w:r w:rsidR="004A2D78" w:rsidRPr="000A6289">
        <w:rPr>
          <w:sz w:val="24"/>
          <w:szCs w:val="24"/>
        </w:rPr>
        <w:t>r</w:t>
      </w:r>
      <w:r w:rsidRPr="000A6289">
        <w:rPr>
          <w:sz w:val="24"/>
          <w:szCs w:val="24"/>
        </w:rPr>
        <w:t xml:space="preserve"> evnen til at føre motorkøretøj og betjene maskiner i mindre eller moderat grad. Patienter bør rådes til at være forsigtige ved kørsel eller betjening af maskiner, hvis de oplever træthed under behandlingen med Everolimus "Teva".</w:t>
      </w:r>
    </w:p>
    <w:p w:rsidR="003760D5" w:rsidRPr="000A6289"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4.8</w:t>
      </w:r>
      <w:r w:rsidRPr="00C84483">
        <w:rPr>
          <w:b/>
          <w:sz w:val="24"/>
          <w:szCs w:val="24"/>
        </w:rPr>
        <w:tab/>
        <w:t>Bivirkninger</w:t>
      </w:r>
    </w:p>
    <w:p w:rsidR="000B424C" w:rsidRDefault="000B424C" w:rsidP="000B424C">
      <w:pPr>
        <w:pStyle w:val="Default"/>
        <w:ind w:left="851"/>
        <w:rPr>
          <w:b/>
          <w:bCs/>
          <w:i/>
          <w:iCs/>
        </w:rPr>
      </w:pPr>
    </w:p>
    <w:p w:rsidR="000B424C" w:rsidRDefault="000B424C" w:rsidP="000B424C">
      <w:pPr>
        <w:pStyle w:val="Default"/>
        <w:ind w:left="851"/>
      </w:pPr>
      <w:r>
        <w:rPr>
          <w:b/>
          <w:bCs/>
          <w:i/>
          <w:iCs/>
        </w:rPr>
        <w:t>Neuroendokrine tumorer</w:t>
      </w:r>
    </w:p>
    <w:p w:rsidR="000B424C" w:rsidRDefault="000B424C" w:rsidP="000B424C">
      <w:pPr>
        <w:pStyle w:val="Default"/>
        <w:ind w:left="851"/>
        <w:rPr>
          <w:u w:val="single"/>
        </w:rPr>
      </w:pPr>
      <w:r>
        <w:rPr>
          <w:u w:val="single"/>
        </w:rPr>
        <w:t xml:space="preserve">Oversigt over bivirkningsprofilen </w:t>
      </w:r>
    </w:p>
    <w:p w:rsidR="000B424C" w:rsidRDefault="000B424C" w:rsidP="000B424C">
      <w:pPr>
        <w:pStyle w:val="Default"/>
        <w:ind w:left="851"/>
      </w:pPr>
      <w:r>
        <w:t xml:space="preserve">Sikkerhedsprofilen er baseret på de samlede data fra 2.879 patienter, der blev behandlet med everolimus i elleve kliniske studier bestående af fem randomiserede, dobbeltblindede, placebokontrollerede fase III-studier og seks </w:t>
      </w:r>
      <w:r>
        <w:rPr>
          <w:iCs/>
        </w:rPr>
        <w:t>open-label</w:t>
      </w:r>
      <w:r>
        <w:rPr>
          <w:i/>
          <w:iCs/>
        </w:rPr>
        <w:t xml:space="preserve"> </w:t>
      </w:r>
      <w:r>
        <w:t>(ublindet) fase I og fase II-studier, som var relaterede til de godkendte indikationer.</w:t>
      </w:r>
    </w:p>
    <w:p w:rsidR="000B424C" w:rsidRDefault="000B424C" w:rsidP="000B424C">
      <w:pPr>
        <w:pStyle w:val="Default"/>
        <w:ind w:left="851"/>
      </w:pPr>
      <w:r>
        <w:t xml:space="preserve"> </w:t>
      </w:r>
    </w:p>
    <w:p w:rsidR="000B424C" w:rsidRDefault="000B424C" w:rsidP="000B424C">
      <w:pPr>
        <w:tabs>
          <w:tab w:val="left" w:pos="851"/>
        </w:tabs>
        <w:ind w:left="851"/>
        <w:rPr>
          <w:sz w:val="24"/>
          <w:szCs w:val="24"/>
        </w:rPr>
      </w:pPr>
      <w:r>
        <w:rPr>
          <w:sz w:val="24"/>
          <w:szCs w:val="24"/>
        </w:rPr>
        <w:t>De hyppigste bivirkninger (incidens ≥1/10) fra de samlede sikkerhedsdata var (efter faldende incidens): stomatitis, udslæt, træthed, diarré, infektioner, kvalme, nedsat appetit, anæmi, smagsforstyrrelser, pneumonitis, perifert ødem, hyperglykæmi, asteni, pruritus, vægttab, hyperkolesterolæmi, næseblod, hoste og hovedpine.</w:t>
      </w:r>
    </w:p>
    <w:p w:rsidR="000B424C" w:rsidRDefault="000B424C" w:rsidP="000B424C">
      <w:pPr>
        <w:tabs>
          <w:tab w:val="left" w:pos="851"/>
        </w:tabs>
        <w:ind w:left="851"/>
        <w:rPr>
          <w:sz w:val="24"/>
          <w:szCs w:val="24"/>
        </w:rPr>
      </w:pPr>
    </w:p>
    <w:p w:rsidR="000B424C" w:rsidRDefault="000B424C" w:rsidP="000B424C">
      <w:pPr>
        <w:autoSpaceDE w:val="0"/>
        <w:autoSpaceDN w:val="0"/>
        <w:adjustRightInd w:val="0"/>
        <w:ind w:left="851"/>
        <w:rPr>
          <w:sz w:val="24"/>
          <w:szCs w:val="24"/>
        </w:rPr>
      </w:pPr>
      <w:r>
        <w:rPr>
          <w:sz w:val="24"/>
          <w:szCs w:val="24"/>
        </w:rPr>
        <w:t xml:space="preserve">De hyppigste bivirkninger af Grad 3-4 (hyppighed ≥1/100 til &lt;1/10) var stomatitis, anæmi, hyperglykæmi, infektioner, træthed, diarré, pneumonitis, asteni, trombocytopeni, neutropeni, dyspnø, proteinuri, lymfopeni, hæmoragi, hypophosphatæmi, udslæt, </w:t>
      </w:r>
      <w:r>
        <w:rPr>
          <w:sz w:val="24"/>
          <w:szCs w:val="24"/>
        </w:rPr>
        <w:lastRenderedPageBreak/>
        <w:t xml:space="preserve">hypertension, pneumoni, forhøjet alanin-aminotransferase (ALAT), forhøjet aspartat-aminotransferase (ASAT) og diabetes mellitus. Graderne følger CTCAE Version 3.0 og 4.03. </w:t>
      </w:r>
    </w:p>
    <w:p w:rsidR="000B424C" w:rsidRDefault="000B424C" w:rsidP="000B424C">
      <w:pPr>
        <w:autoSpaceDE w:val="0"/>
        <w:autoSpaceDN w:val="0"/>
        <w:adjustRightInd w:val="0"/>
        <w:ind w:left="851"/>
        <w:rPr>
          <w:sz w:val="24"/>
          <w:szCs w:val="24"/>
        </w:rPr>
      </w:pPr>
    </w:p>
    <w:p w:rsidR="000B424C" w:rsidRDefault="000B424C" w:rsidP="000B424C">
      <w:pPr>
        <w:autoSpaceDE w:val="0"/>
        <w:autoSpaceDN w:val="0"/>
        <w:adjustRightInd w:val="0"/>
        <w:ind w:left="851"/>
        <w:rPr>
          <w:sz w:val="24"/>
          <w:szCs w:val="24"/>
          <w:u w:val="single"/>
        </w:rPr>
      </w:pPr>
      <w:r>
        <w:rPr>
          <w:sz w:val="24"/>
          <w:szCs w:val="24"/>
          <w:u w:val="single"/>
        </w:rPr>
        <w:t xml:space="preserve">Skematisk liste over bivirkninger </w:t>
      </w:r>
    </w:p>
    <w:p w:rsidR="000B424C" w:rsidRDefault="000B424C" w:rsidP="000B424C">
      <w:pPr>
        <w:autoSpaceDE w:val="0"/>
        <w:autoSpaceDN w:val="0"/>
        <w:adjustRightInd w:val="0"/>
        <w:ind w:left="851"/>
        <w:rPr>
          <w:sz w:val="24"/>
          <w:szCs w:val="24"/>
        </w:rPr>
      </w:pPr>
      <w:r>
        <w:rPr>
          <w:sz w:val="24"/>
          <w:szCs w:val="24"/>
        </w:rPr>
        <w:t xml:space="preserve">Tabel 4 viser frekvens-kategorien for bivirkninger, der blev rapporteret i den poolede analyse af de samlede sikkerhedsdata. Bivirkningerne står anført efter systemorganklasse og hyppighedskategori i henhold til MedDRA. Hyppighedskategorierne defineres ved brug af følgende konvention: meget almindelig (≥1/10); almindelig (≥1/100 til &lt;1/10); ikke almindelig (≥1/1.000 til &lt;1/100); sjælden (≥1/10.000 til &lt;1/1.000); meget sjælden (&lt;1/10.000); ikke kendt (kan ikke estimeres ud fra forhåndenværende data). Inden for hver enkelt frekvensgruppe er bivirkningerne opstillet efter, hvor alvorlige de er. De alvorligste bivirkninger er anført først. </w:t>
      </w:r>
    </w:p>
    <w:p w:rsidR="000B424C" w:rsidRDefault="000B424C" w:rsidP="000B424C">
      <w:pPr>
        <w:autoSpaceDE w:val="0"/>
        <w:autoSpaceDN w:val="0"/>
        <w:adjustRightInd w:val="0"/>
        <w:rPr>
          <w:sz w:val="24"/>
          <w:szCs w:val="24"/>
        </w:rPr>
      </w:pPr>
    </w:p>
    <w:p w:rsidR="000B424C" w:rsidRDefault="000B424C" w:rsidP="000B424C">
      <w:pPr>
        <w:tabs>
          <w:tab w:val="left" w:pos="851"/>
          <w:tab w:val="left" w:pos="1985"/>
        </w:tabs>
        <w:ind w:left="851"/>
        <w:rPr>
          <w:sz w:val="24"/>
          <w:szCs w:val="24"/>
        </w:rPr>
      </w:pPr>
      <w:r>
        <w:rPr>
          <w:b/>
          <w:bCs/>
          <w:sz w:val="24"/>
          <w:szCs w:val="24"/>
        </w:rPr>
        <w:t xml:space="preserve">Tabel 4 </w:t>
      </w:r>
      <w:r>
        <w:rPr>
          <w:b/>
          <w:bCs/>
          <w:sz w:val="24"/>
          <w:szCs w:val="24"/>
        </w:rPr>
        <w:tab/>
        <w:t>Bivirkninger rapporteret i kliniske studier</w:t>
      </w:r>
    </w:p>
    <w:p w:rsidR="000B424C" w:rsidRDefault="000B424C" w:rsidP="000B424C">
      <w:pPr>
        <w:pStyle w:val="Sidehoved"/>
        <w:tabs>
          <w:tab w:val="left" w:pos="851"/>
        </w:tabs>
        <w:ind w:left="851"/>
        <w:rPr>
          <w:szCs w:val="24"/>
        </w:rPr>
      </w:pPr>
    </w:p>
    <w:tbl>
      <w:tblPr>
        <w:tblW w:w="9300" w:type="dxa"/>
        <w:tblInd w:w="100" w:type="dxa"/>
        <w:tblLayout w:type="fixed"/>
        <w:tblCellMar>
          <w:left w:w="0" w:type="dxa"/>
          <w:right w:w="0" w:type="dxa"/>
        </w:tblCellMar>
        <w:tblLook w:val="01E0" w:firstRow="1" w:lastRow="1" w:firstColumn="1" w:lastColumn="1" w:noHBand="0" w:noVBand="0"/>
      </w:tblPr>
      <w:tblGrid>
        <w:gridCol w:w="1548"/>
        <w:gridCol w:w="7752"/>
      </w:tblGrid>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zCs w:val="22"/>
              </w:rPr>
              <w:t>In</w:t>
            </w:r>
            <w:r>
              <w:rPr>
                <w:b/>
                <w:bCs/>
                <w:spacing w:val="3"/>
                <w:szCs w:val="22"/>
              </w:rPr>
              <w:t>f</w:t>
            </w:r>
            <w:r>
              <w:rPr>
                <w:b/>
                <w:bCs/>
                <w:szCs w:val="22"/>
              </w:rPr>
              <w:t>e</w:t>
            </w:r>
            <w:r>
              <w:rPr>
                <w:b/>
                <w:bCs/>
                <w:spacing w:val="1"/>
                <w:szCs w:val="22"/>
              </w:rPr>
              <w:t>ktioner og parasitære sygdomme</w:t>
            </w:r>
          </w:p>
        </w:tc>
      </w:tr>
      <w:tr w:rsidR="000B424C" w:rsidTr="000B424C">
        <w:trPr>
          <w:trHeight w:hRule="exact" w:val="57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 xml:space="preserve">Infektioner </w:t>
            </w:r>
            <w:r>
              <w:rPr>
                <w:szCs w:val="22"/>
                <w:vertAlign w:val="superscript"/>
              </w:rPr>
              <w:t>a,</w:t>
            </w:r>
            <w:r>
              <w:rPr>
                <w:szCs w:val="22"/>
              </w:rPr>
              <w:t xml:space="preserve"> *</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Blod og lymfesystem</w:t>
            </w:r>
          </w:p>
        </w:tc>
      </w:tr>
      <w:tr w:rsidR="000B424C" w:rsidTr="000B424C">
        <w:trPr>
          <w:trHeight w:hRule="exact" w:val="57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w:t>
            </w:r>
            <w:r>
              <w:rPr>
                <w:szCs w:val="22"/>
              </w:rPr>
              <w:t>næ</w:t>
            </w:r>
            <w:r>
              <w:rPr>
                <w:spacing w:val="-4"/>
                <w:szCs w:val="22"/>
              </w:rPr>
              <w:t>m</w:t>
            </w:r>
            <w:r>
              <w:rPr>
                <w:spacing w:val="1"/>
                <w:szCs w:val="22"/>
              </w:rPr>
              <w:t>i</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2"/>
                <w:szCs w:val="22"/>
              </w:rPr>
              <w:t>T</w:t>
            </w:r>
            <w:r>
              <w:rPr>
                <w:spacing w:val="1"/>
                <w:szCs w:val="22"/>
              </w:rPr>
              <w:t>r</w:t>
            </w:r>
            <w:r>
              <w:rPr>
                <w:szCs w:val="22"/>
              </w:rPr>
              <w:t>o</w:t>
            </w:r>
            <w:r>
              <w:rPr>
                <w:spacing w:val="-4"/>
                <w:szCs w:val="22"/>
              </w:rPr>
              <w:t>m</w:t>
            </w:r>
            <w:r>
              <w:rPr>
                <w:szCs w:val="22"/>
              </w:rPr>
              <w:t>boc</w:t>
            </w:r>
            <w:r>
              <w:rPr>
                <w:spacing w:val="-2"/>
                <w:szCs w:val="22"/>
              </w:rPr>
              <w:t>y</w:t>
            </w:r>
            <w:r>
              <w:rPr>
                <w:spacing w:val="1"/>
                <w:szCs w:val="22"/>
              </w:rPr>
              <w:t>t</w:t>
            </w:r>
            <w:r>
              <w:rPr>
                <w:szCs w:val="22"/>
              </w:rPr>
              <w:t>open</w:t>
            </w:r>
            <w:r>
              <w:rPr>
                <w:spacing w:val="1"/>
                <w:szCs w:val="22"/>
              </w:rPr>
              <w:t>i</w:t>
            </w:r>
            <w:r>
              <w:rPr>
                <w:szCs w:val="22"/>
              </w:rPr>
              <w:t>, neu</w:t>
            </w:r>
            <w:r>
              <w:rPr>
                <w:spacing w:val="1"/>
                <w:szCs w:val="22"/>
              </w:rPr>
              <w:t>tr</w:t>
            </w:r>
            <w:r>
              <w:rPr>
                <w:szCs w:val="22"/>
              </w:rPr>
              <w:t>open</w:t>
            </w:r>
            <w:r>
              <w:rPr>
                <w:spacing w:val="1"/>
                <w:szCs w:val="22"/>
              </w:rPr>
              <w:t>i</w:t>
            </w:r>
            <w:r>
              <w:rPr>
                <w:szCs w:val="22"/>
              </w:rPr>
              <w:t xml:space="preserve">, </w:t>
            </w:r>
            <w:r>
              <w:rPr>
                <w:spacing w:val="4"/>
                <w:szCs w:val="22"/>
              </w:rPr>
              <w:t>l</w:t>
            </w:r>
            <w:r>
              <w:rPr>
                <w:szCs w:val="22"/>
              </w:rPr>
              <w:t>eu</w:t>
            </w:r>
            <w:r>
              <w:rPr>
                <w:spacing w:val="-2"/>
                <w:szCs w:val="22"/>
              </w:rPr>
              <w:t>k</w:t>
            </w:r>
            <w:r>
              <w:rPr>
                <w:szCs w:val="22"/>
              </w:rPr>
              <w:t>open</w:t>
            </w:r>
            <w:r>
              <w:rPr>
                <w:spacing w:val="1"/>
                <w:szCs w:val="22"/>
              </w:rPr>
              <w:t>i</w:t>
            </w:r>
            <w:r>
              <w:rPr>
                <w:szCs w:val="22"/>
              </w:rPr>
              <w:t>,</w:t>
            </w:r>
            <w:r>
              <w:rPr>
                <w:spacing w:val="1"/>
                <w:szCs w:val="22"/>
              </w:rPr>
              <w:t xml:space="preserve"> l</w:t>
            </w:r>
            <w:r>
              <w:rPr>
                <w:spacing w:val="-2"/>
                <w:szCs w:val="22"/>
              </w:rPr>
              <w:t>y</w:t>
            </w:r>
            <w:r>
              <w:rPr>
                <w:spacing w:val="-4"/>
                <w:szCs w:val="22"/>
              </w:rPr>
              <w:t>m</w:t>
            </w:r>
            <w:r>
              <w:rPr>
                <w:szCs w:val="22"/>
              </w:rPr>
              <w:t>fopen</w:t>
            </w:r>
            <w:r>
              <w:rPr>
                <w:spacing w:val="1"/>
                <w:szCs w:val="22"/>
              </w:rPr>
              <w:t>i</w:t>
            </w:r>
          </w:p>
        </w:tc>
      </w:tr>
      <w:tr w:rsidR="000B424C" w:rsidTr="000B424C">
        <w:trPr>
          <w:trHeight w:hRule="exact" w:val="570"/>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Panc</w:t>
            </w:r>
            <w:r>
              <w:rPr>
                <w:spacing w:val="-2"/>
                <w:szCs w:val="22"/>
              </w:rPr>
              <w:t>y</w:t>
            </w:r>
            <w:r>
              <w:rPr>
                <w:spacing w:val="1"/>
                <w:szCs w:val="22"/>
              </w:rPr>
              <w:t>t</w:t>
            </w:r>
            <w:r>
              <w:rPr>
                <w:szCs w:val="22"/>
              </w:rPr>
              <w:t>open</w:t>
            </w:r>
            <w:r>
              <w:rPr>
                <w:spacing w:val="1"/>
                <w:szCs w:val="22"/>
              </w:rPr>
              <w:t>i</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Sjælden</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Pure</w:t>
            </w:r>
            <w:r>
              <w:rPr>
                <w:spacing w:val="1"/>
                <w:szCs w:val="22"/>
              </w:rPr>
              <w:t xml:space="preserve"> r</w:t>
            </w:r>
            <w:r>
              <w:rPr>
                <w:szCs w:val="22"/>
              </w:rPr>
              <w:t xml:space="preserve">ed </w:t>
            </w:r>
            <w:r>
              <w:rPr>
                <w:spacing w:val="2"/>
                <w:szCs w:val="22"/>
              </w:rPr>
              <w:t>c</w:t>
            </w:r>
            <w:r>
              <w:rPr>
                <w:szCs w:val="22"/>
              </w:rPr>
              <w:t>e</w:t>
            </w:r>
            <w:r>
              <w:rPr>
                <w:spacing w:val="1"/>
                <w:szCs w:val="22"/>
              </w:rPr>
              <w:t>l</w:t>
            </w:r>
            <w:r>
              <w:rPr>
                <w:szCs w:val="22"/>
              </w:rPr>
              <w:t>l</w:t>
            </w:r>
            <w:r>
              <w:rPr>
                <w:spacing w:val="1"/>
                <w:szCs w:val="22"/>
              </w:rPr>
              <w:t xml:space="preserve"> </w:t>
            </w:r>
            <w:r>
              <w:rPr>
                <w:szCs w:val="22"/>
              </w:rPr>
              <w:t>ap</w:t>
            </w:r>
            <w:r>
              <w:rPr>
                <w:spacing w:val="1"/>
                <w:szCs w:val="22"/>
              </w:rPr>
              <w:t>l</w:t>
            </w:r>
            <w:r>
              <w:rPr>
                <w:szCs w:val="22"/>
              </w:rPr>
              <w:t>a</w:t>
            </w:r>
            <w:r>
              <w:rPr>
                <w:spacing w:val="1"/>
                <w:szCs w:val="22"/>
              </w:rPr>
              <w:t>si</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zCs w:val="22"/>
              </w:rPr>
              <w:t>Immunsystemet</w:t>
            </w:r>
          </w:p>
        </w:tc>
      </w:tr>
      <w:tr w:rsidR="000B424C" w:rsidTr="000B424C">
        <w:trPr>
          <w:trHeight w:hRule="exact" w:val="600"/>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H</w:t>
            </w:r>
            <w:r>
              <w:rPr>
                <w:spacing w:val="-2"/>
                <w:szCs w:val="22"/>
              </w:rPr>
              <w:t>y</w:t>
            </w:r>
            <w:r>
              <w:rPr>
                <w:szCs w:val="22"/>
              </w:rPr>
              <w:t>pe</w:t>
            </w:r>
            <w:r>
              <w:rPr>
                <w:spacing w:val="1"/>
                <w:szCs w:val="22"/>
              </w:rPr>
              <w:t>r</w:t>
            </w:r>
            <w:r>
              <w:rPr>
                <w:szCs w:val="22"/>
              </w:rPr>
              <w:t>s</w:t>
            </w:r>
            <w:r>
              <w:rPr>
                <w:spacing w:val="1"/>
                <w:szCs w:val="22"/>
              </w:rPr>
              <w:t>e</w:t>
            </w:r>
            <w:r>
              <w:rPr>
                <w:szCs w:val="22"/>
              </w:rPr>
              <w:t>ns</w:t>
            </w:r>
            <w:r>
              <w:rPr>
                <w:spacing w:val="1"/>
                <w:szCs w:val="22"/>
              </w:rPr>
              <w:t>iti</w:t>
            </w:r>
            <w:r>
              <w:rPr>
                <w:spacing w:val="-2"/>
                <w:szCs w:val="22"/>
              </w:rPr>
              <w:t>v</w:t>
            </w:r>
            <w:r>
              <w:rPr>
                <w:spacing w:val="1"/>
                <w:szCs w:val="22"/>
              </w:rPr>
              <w:t>it</w:t>
            </w:r>
            <w:r>
              <w:rPr>
                <w:szCs w:val="22"/>
              </w:rPr>
              <w:t>et</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zCs w:val="22"/>
              </w:rPr>
              <w:t>Metabolisme og ernæring</w:t>
            </w:r>
          </w:p>
        </w:tc>
      </w:tr>
      <w:tr w:rsidR="000B424C" w:rsidTr="000B424C">
        <w:trPr>
          <w:trHeight w:hRule="exact" w:val="571"/>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Nedsat appetit, hyperglykæmi, hyperkolesterolæmi</w:t>
            </w:r>
          </w:p>
        </w:tc>
      </w:tr>
      <w:tr w:rsidR="000B424C" w:rsidTr="000B424C">
        <w:trPr>
          <w:trHeight w:hRule="exact" w:val="57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Hypertriglyceridæmi, hypophosphatæmi, diabetes mellitus, hyperlipidæmi, hypokaliæmi, dehydrering, hypokalcæmi</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keepNext/>
              <w:ind w:left="45" w:right="85"/>
              <w:rPr>
                <w:szCs w:val="22"/>
              </w:rPr>
            </w:pPr>
            <w:r>
              <w:rPr>
                <w:b/>
                <w:bCs/>
                <w:spacing w:val="2"/>
                <w:szCs w:val="22"/>
              </w:rPr>
              <w:t>Psykiske forstyrrelser</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4"/>
                <w:szCs w:val="22"/>
              </w:rPr>
              <w:t>Søvnløshed</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Nervesystemet</w:t>
            </w:r>
          </w:p>
        </w:tc>
      </w:tr>
      <w:tr w:rsidR="000B424C" w:rsidTr="000B424C">
        <w:trPr>
          <w:trHeight w:hRule="exact" w:val="60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almindelige</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Smagsforstyrrelser, hovedpine</w:t>
            </w:r>
          </w:p>
        </w:tc>
      </w:tr>
      <w:tr w:rsidR="000B424C" w:rsidTr="000B424C">
        <w:trPr>
          <w:trHeight w:hRule="exact" w:val="568"/>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almindelige</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Ageusi</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Øjne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Øjenlågsødem</w:t>
            </w:r>
          </w:p>
        </w:tc>
      </w:tr>
      <w:tr w:rsidR="000B424C" w:rsidTr="000B424C">
        <w:trPr>
          <w:trHeight w:hRule="exact" w:val="598"/>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K</w:t>
            </w:r>
            <w:r>
              <w:rPr>
                <w:szCs w:val="22"/>
              </w:rPr>
              <w:t>on</w:t>
            </w:r>
            <w:r>
              <w:rPr>
                <w:spacing w:val="3"/>
                <w:szCs w:val="22"/>
              </w:rPr>
              <w:t>j</w:t>
            </w:r>
            <w:r>
              <w:rPr>
                <w:szCs w:val="22"/>
              </w:rPr>
              <w:t>unk</w:t>
            </w:r>
            <w:r>
              <w:rPr>
                <w:spacing w:val="1"/>
                <w:szCs w:val="22"/>
              </w:rPr>
              <w:t>ti</w:t>
            </w:r>
            <w:r>
              <w:rPr>
                <w:spacing w:val="-2"/>
                <w:szCs w:val="22"/>
              </w:rPr>
              <w:t>v</w:t>
            </w:r>
            <w:r>
              <w:rPr>
                <w:spacing w:val="1"/>
                <w:szCs w:val="22"/>
              </w:rPr>
              <w:t>iti</w:t>
            </w:r>
            <w:r>
              <w:rPr>
                <w:szCs w:val="22"/>
              </w:rPr>
              <w:t>s</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Hjerte</w:t>
            </w:r>
          </w:p>
        </w:tc>
      </w:tr>
      <w:tr w:rsidR="000B424C" w:rsidTr="000B424C">
        <w:trPr>
          <w:trHeight w:hRule="exact" w:val="58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K</w:t>
            </w:r>
            <w:r>
              <w:rPr>
                <w:szCs w:val="22"/>
              </w:rPr>
              <w:t>on</w:t>
            </w:r>
            <w:r>
              <w:rPr>
                <w:spacing w:val="-2"/>
                <w:szCs w:val="22"/>
              </w:rPr>
              <w:t>g</w:t>
            </w:r>
            <w:r>
              <w:rPr>
                <w:szCs w:val="22"/>
              </w:rPr>
              <w:t>e</w:t>
            </w:r>
            <w:r>
              <w:rPr>
                <w:spacing w:val="2"/>
                <w:szCs w:val="22"/>
              </w:rPr>
              <w:t>s</w:t>
            </w:r>
            <w:r>
              <w:rPr>
                <w:spacing w:val="1"/>
                <w:szCs w:val="22"/>
              </w:rPr>
              <w:t>ti</w:t>
            </w:r>
            <w:r>
              <w:rPr>
                <w:spacing w:val="-2"/>
                <w:szCs w:val="22"/>
              </w:rPr>
              <w:t>v</w:t>
            </w:r>
            <w:r>
              <w:rPr>
                <w:szCs w:val="22"/>
              </w:rPr>
              <w:t>t hjertesvigt</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Vaskulære sygdomme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tcPr>
          <w:p w:rsidR="000B424C" w:rsidRDefault="000B424C">
            <w:pPr>
              <w:rPr>
                <w:sz w:val="24"/>
                <w:szCs w:val="24"/>
                <w:lang w:eastAsia="da-DK"/>
              </w:rPr>
            </w:pPr>
            <w:r>
              <w:rPr>
                <w:spacing w:val="1"/>
                <w:szCs w:val="22"/>
              </w:rPr>
              <w:t>Hæmoragi</w:t>
            </w:r>
            <w:r>
              <w:rPr>
                <w:spacing w:val="1"/>
                <w:szCs w:val="22"/>
                <w:vertAlign w:val="superscript"/>
              </w:rPr>
              <w:t>b</w:t>
            </w:r>
            <w:r>
              <w:rPr>
                <w:spacing w:val="1"/>
                <w:szCs w:val="22"/>
              </w:rPr>
              <w:t>, hypertension, lymfødem</w:t>
            </w:r>
            <w:r>
              <w:rPr>
                <w:spacing w:val="1"/>
                <w:szCs w:val="22"/>
                <w:vertAlign w:val="superscript"/>
              </w:rPr>
              <w:t>g</w:t>
            </w:r>
            <w:r>
              <w:rPr>
                <w:sz w:val="24"/>
                <w:szCs w:val="24"/>
                <w:lang w:eastAsia="da-DK"/>
              </w:rPr>
              <w:t xml:space="preserve"> </w:t>
            </w:r>
          </w:p>
          <w:p w:rsidR="000B424C" w:rsidRDefault="000B424C">
            <w:pPr>
              <w:ind w:left="47" w:right="83"/>
              <w:rPr>
                <w:szCs w:val="22"/>
              </w:rPr>
            </w:pPr>
          </w:p>
        </w:tc>
      </w:tr>
      <w:tr w:rsidR="000B424C" w:rsidTr="000B424C">
        <w:trPr>
          <w:trHeight w:hRule="exact" w:val="585"/>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lastRenderedPageBreak/>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Rødmen, dyb venøs trombose</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Luftveje, thorax og mediastinum</w:t>
            </w:r>
          </w:p>
        </w:tc>
      </w:tr>
      <w:tr w:rsidR="000B424C" w:rsidTr="000B424C">
        <w:trPr>
          <w:trHeight w:hRule="exact" w:val="582"/>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Pneu</w:t>
            </w:r>
            <w:r>
              <w:rPr>
                <w:spacing w:val="-4"/>
                <w:szCs w:val="22"/>
              </w:rPr>
              <w:t>m</w:t>
            </w:r>
            <w:r>
              <w:rPr>
                <w:szCs w:val="22"/>
              </w:rPr>
              <w:t>on</w:t>
            </w:r>
            <w:r>
              <w:rPr>
                <w:spacing w:val="1"/>
                <w:szCs w:val="22"/>
              </w:rPr>
              <w:t>iti</w:t>
            </w:r>
            <w:r>
              <w:rPr>
                <w:szCs w:val="22"/>
              </w:rPr>
              <w:t>s</w:t>
            </w:r>
            <w:r>
              <w:rPr>
                <w:spacing w:val="-18"/>
                <w:szCs w:val="22"/>
              </w:rPr>
              <w:t xml:space="preserve"> </w:t>
            </w:r>
            <w:r>
              <w:rPr>
                <w:spacing w:val="-4"/>
                <w:szCs w:val="22"/>
                <w:vertAlign w:val="superscript"/>
              </w:rPr>
              <w:t>c</w:t>
            </w:r>
            <w:r>
              <w:rPr>
                <w:spacing w:val="-4"/>
                <w:szCs w:val="22"/>
              </w:rPr>
              <w:t>,</w:t>
            </w:r>
            <w:r>
              <w:rPr>
                <w:spacing w:val="-1"/>
                <w:szCs w:val="22"/>
              </w:rPr>
              <w:t xml:space="preserve"> </w:t>
            </w:r>
            <w:r>
              <w:rPr>
                <w:szCs w:val="22"/>
              </w:rPr>
              <w:t>næseblod, hoste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Dyspnø</w:t>
            </w:r>
          </w:p>
        </w:tc>
      </w:tr>
      <w:tr w:rsidR="000B424C" w:rsidTr="000B424C">
        <w:trPr>
          <w:trHeight w:hRule="exact" w:val="581"/>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Ikke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Hæmoptyse, lungeemboli</w:t>
            </w:r>
          </w:p>
        </w:tc>
      </w:tr>
      <w:tr w:rsidR="000B424C" w:rsidRPr="006B16F7"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Sjælden</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lang w:val="en-US"/>
              </w:rPr>
            </w:pPr>
            <w:r>
              <w:rPr>
                <w:spacing w:val="-1"/>
                <w:szCs w:val="22"/>
                <w:lang w:val="en-US"/>
              </w:rPr>
              <w:t>A</w:t>
            </w:r>
            <w:r>
              <w:rPr>
                <w:szCs w:val="22"/>
                <w:lang w:val="en-US"/>
              </w:rPr>
              <w:t>cu</w:t>
            </w:r>
            <w:r>
              <w:rPr>
                <w:spacing w:val="1"/>
                <w:szCs w:val="22"/>
                <w:lang w:val="en-US"/>
              </w:rPr>
              <w:t>t</w:t>
            </w:r>
            <w:r>
              <w:rPr>
                <w:szCs w:val="22"/>
                <w:lang w:val="en-US"/>
              </w:rPr>
              <w:t xml:space="preserve">e </w:t>
            </w:r>
            <w:r>
              <w:rPr>
                <w:spacing w:val="1"/>
                <w:szCs w:val="22"/>
                <w:lang w:val="en-US"/>
              </w:rPr>
              <w:t>r</w:t>
            </w:r>
            <w:r>
              <w:rPr>
                <w:szCs w:val="22"/>
                <w:lang w:val="en-US"/>
              </w:rPr>
              <w:t>e</w:t>
            </w:r>
            <w:r>
              <w:rPr>
                <w:spacing w:val="1"/>
                <w:szCs w:val="22"/>
                <w:lang w:val="en-US"/>
              </w:rPr>
              <w:t>s</w:t>
            </w:r>
            <w:r>
              <w:rPr>
                <w:szCs w:val="22"/>
                <w:lang w:val="en-US"/>
              </w:rPr>
              <w:t>p</w:t>
            </w:r>
            <w:r>
              <w:rPr>
                <w:spacing w:val="1"/>
                <w:szCs w:val="22"/>
                <w:lang w:val="en-US"/>
              </w:rPr>
              <w:t>ir</w:t>
            </w:r>
            <w:r>
              <w:rPr>
                <w:szCs w:val="22"/>
                <w:lang w:val="en-US"/>
              </w:rPr>
              <w:t>a</w:t>
            </w:r>
            <w:r>
              <w:rPr>
                <w:spacing w:val="1"/>
                <w:szCs w:val="22"/>
                <w:lang w:val="en-US"/>
              </w:rPr>
              <w:t>t</w:t>
            </w:r>
            <w:r>
              <w:rPr>
                <w:szCs w:val="22"/>
                <w:lang w:val="en-US"/>
              </w:rPr>
              <w:t>o</w:t>
            </w:r>
            <w:r>
              <w:rPr>
                <w:spacing w:val="1"/>
                <w:szCs w:val="22"/>
                <w:lang w:val="en-US"/>
              </w:rPr>
              <w:t>r</w:t>
            </w:r>
            <w:r>
              <w:rPr>
                <w:szCs w:val="22"/>
                <w:lang w:val="en-US"/>
              </w:rPr>
              <w:t>y</w:t>
            </w:r>
            <w:r>
              <w:rPr>
                <w:spacing w:val="-2"/>
                <w:szCs w:val="22"/>
                <w:lang w:val="en-US"/>
              </w:rPr>
              <w:t xml:space="preserve"> </w:t>
            </w:r>
            <w:r>
              <w:rPr>
                <w:szCs w:val="22"/>
                <w:lang w:val="en-US"/>
              </w:rPr>
              <w:t>d</w:t>
            </w:r>
            <w:r>
              <w:rPr>
                <w:spacing w:val="1"/>
                <w:szCs w:val="22"/>
                <w:lang w:val="en-US"/>
              </w:rPr>
              <w:t>i</w:t>
            </w:r>
            <w:r>
              <w:rPr>
                <w:szCs w:val="22"/>
                <w:lang w:val="en-US"/>
              </w:rPr>
              <w:t>s</w:t>
            </w:r>
            <w:r>
              <w:rPr>
                <w:spacing w:val="1"/>
                <w:szCs w:val="22"/>
                <w:lang w:val="en-US"/>
              </w:rPr>
              <w:t>tr</w:t>
            </w:r>
            <w:r>
              <w:rPr>
                <w:szCs w:val="22"/>
                <w:lang w:val="en-US"/>
              </w:rPr>
              <w:t>e</w:t>
            </w:r>
            <w:r>
              <w:rPr>
                <w:spacing w:val="1"/>
                <w:szCs w:val="22"/>
                <w:lang w:val="en-US"/>
              </w:rPr>
              <w:t>s</w:t>
            </w:r>
            <w:r>
              <w:rPr>
                <w:szCs w:val="22"/>
                <w:lang w:val="en-US"/>
              </w:rPr>
              <w:t xml:space="preserve">s </w:t>
            </w:r>
            <w:r>
              <w:rPr>
                <w:spacing w:val="1"/>
                <w:szCs w:val="22"/>
                <w:lang w:val="en-US"/>
              </w:rPr>
              <w:t>s</w:t>
            </w:r>
            <w:r>
              <w:rPr>
                <w:spacing w:val="-2"/>
                <w:szCs w:val="22"/>
                <w:lang w:val="en-US"/>
              </w:rPr>
              <w:t>y</w:t>
            </w:r>
            <w:r>
              <w:rPr>
                <w:szCs w:val="22"/>
                <w:lang w:val="en-US"/>
              </w:rPr>
              <w:t>nd</w:t>
            </w:r>
            <w:r>
              <w:rPr>
                <w:spacing w:val="1"/>
                <w:szCs w:val="22"/>
                <w:lang w:val="en-US"/>
              </w:rPr>
              <w:t>r</w:t>
            </w:r>
            <w:r>
              <w:rPr>
                <w:szCs w:val="22"/>
                <w:lang w:val="en-US"/>
              </w:rPr>
              <w:t>o</w:t>
            </w:r>
            <w:r>
              <w:rPr>
                <w:spacing w:val="-4"/>
                <w:szCs w:val="22"/>
                <w:lang w:val="en-US"/>
              </w:rPr>
              <w:t>m</w:t>
            </w:r>
            <w:r>
              <w:rPr>
                <w:szCs w:val="22"/>
                <w:lang w:val="en-US"/>
              </w:rPr>
              <w:t>e (ARDS)</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Mave-tarm-kanalen</w:t>
            </w:r>
          </w:p>
        </w:tc>
      </w:tr>
      <w:tr w:rsidR="000B424C" w:rsidTr="000B424C">
        <w:trPr>
          <w:trHeight w:hRule="exact" w:val="58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zCs w:val="22"/>
              </w:rPr>
              <w:t>Sto</w:t>
            </w:r>
            <w:r>
              <w:rPr>
                <w:spacing w:val="-3"/>
                <w:szCs w:val="22"/>
              </w:rPr>
              <w:t>m</w:t>
            </w:r>
            <w:r>
              <w:rPr>
                <w:szCs w:val="22"/>
              </w:rPr>
              <w:t>a</w:t>
            </w:r>
            <w:r>
              <w:rPr>
                <w:spacing w:val="1"/>
                <w:szCs w:val="22"/>
              </w:rPr>
              <w:t>titi</w:t>
            </w:r>
            <w:r>
              <w:rPr>
                <w:szCs w:val="22"/>
              </w:rPr>
              <w:t>s</w:t>
            </w:r>
            <w:r>
              <w:rPr>
                <w:spacing w:val="1"/>
                <w:szCs w:val="22"/>
                <w:vertAlign w:val="superscript"/>
              </w:rPr>
              <w:t>d</w:t>
            </w:r>
            <w:r>
              <w:rPr>
                <w:szCs w:val="22"/>
              </w:rPr>
              <w:t>,</w:t>
            </w:r>
            <w:r>
              <w:rPr>
                <w:spacing w:val="-1"/>
                <w:szCs w:val="22"/>
              </w:rPr>
              <w:t xml:space="preserve"> </w:t>
            </w:r>
            <w:r>
              <w:rPr>
                <w:szCs w:val="22"/>
              </w:rPr>
              <w:t>diarré, kvalme</w:t>
            </w:r>
          </w:p>
        </w:tc>
      </w:tr>
      <w:tr w:rsidR="000B424C" w:rsidTr="000B424C">
        <w:trPr>
          <w:trHeight w:hRule="exact" w:val="563"/>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Opkast, mundtørhed, abdominalsmerter, slimhindeinflammation, smerter i munden, dyspepsi, dysfagi</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pacing w:val="1"/>
                <w:szCs w:val="22"/>
              </w:rPr>
              <w:t>Lever og galdeveje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Forhøjet aspartataminotransferase, forhøjet alaninaminotransferase</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b/>
                <w:bCs/>
                <w:szCs w:val="22"/>
              </w:rPr>
              <w:t>Hud og subkutane væv</w:t>
            </w:r>
          </w:p>
        </w:tc>
      </w:tr>
      <w:tr w:rsidR="000B424C" w:rsidTr="000B424C">
        <w:trPr>
          <w:trHeight w:hRule="exact" w:val="610"/>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Udslæt, kløe</w:t>
            </w:r>
          </w:p>
        </w:tc>
      </w:tr>
      <w:tr w:rsidR="000B424C" w:rsidTr="000B424C">
        <w:trPr>
          <w:trHeight w:hRule="exact" w:val="590"/>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Tør hud, neglelidelse, let hårtab, akne, erytem, onychoclasis, palmoplantar erytrodysæstesi-syndrom, eksfoliation, hudlæsioner</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Sjælden</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83"/>
              <w:rPr>
                <w:szCs w:val="22"/>
              </w:rPr>
            </w:pPr>
            <w:r>
              <w:rPr>
                <w:spacing w:val="-1"/>
                <w:szCs w:val="22"/>
              </w:rPr>
              <w:t>Angioødem*</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b/>
                <w:bCs/>
                <w:szCs w:val="22"/>
              </w:rPr>
              <w:t>Knogler, led, muskler og bindevæv</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Artralgi</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b/>
                <w:bCs/>
                <w:spacing w:val="-1"/>
                <w:szCs w:val="22"/>
              </w:rPr>
              <w:t>Nyrer og urinveje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zCs w:val="22"/>
              </w:rPr>
              <w:t>Pro</w:t>
            </w:r>
            <w:r>
              <w:rPr>
                <w:spacing w:val="1"/>
                <w:szCs w:val="22"/>
              </w:rPr>
              <w:t>t</w:t>
            </w:r>
            <w:r>
              <w:rPr>
                <w:szCs w:val="22"/>
              </w:rPr>
              <w:t>e</w:t>
            </w:r>
            <w:r>
              <w:rPr>
                <w:spacing w:val="1"/>
                <w:szCs w:val="22"/>
              </w:rPr>
              <w:t>i</w:t>
            </w:r>
            <w:r>
              <w:rPr>
                <w:szCs w:val="22"/>
              </w:rPr>
              <w:t>nu</w:t>
            </w:r>
            <w:r>
              <w:rPr>
                <w:spacing w:val="1"/>
                <w:szCs w:val="22"/>
              </w:rPr>
              <w:t>ri</w:t>
            </w:r>
            <w:r>
              <w:rPr>
                <w:szCs w:val="22"/>
              </w:rPr>
              <w:t>*, forhøjet blodkreatinin, nyresvigt*</w:t>
            </w:r>
          </w:p>
        </w:tc>
      </w:tr>
      <w:tr w:rsidR="000B424C" w:rsidTr="000B424C">
        <w:trPr>
          <w:trHeight w:hRule="exact" w:val="584"/>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pacing w:val="-1"/>
                <w:szCs w:val="22"/>
              </w:rPr>
            </w:pPr>
            <w:r>
              <w:rPr>
                <w:spacing w:val="-1"/>
                <w:szCs w:val="22"/>
              </w:rPr>
              <w:t xml:space="preserve">Ikke </w:t>
            </w:r>
          </w:p>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4"/>
                <w:szCs w:val="22"/>
              </w:rPr>
              <w:t>Øget vandladning i dagtimerne, akut nyresvigt*</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b/>
                <w:bCs/>
                <w:spacing w:val="-1"/>
                <w:szCs w:val="22"/>
              </w:rPr>
              <w:t>Det reproduktive system og mammae</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zCs w:val="22"/>
              </w:rPr>
              <w:t>Uregelmæssig menstruation</w:t>
            </w:r>
            <w:r>
              <w:rPr>
                <w:szCs w:val="22"/>
                <w:vertAlign w:val="superscript"/>
              </w:rPr>
              <w:t>e</w:t>
            </w:r>
          </w:p>
        </w:tc>
      </w:tr>
      <w:tr w:rsidR="000B424C" w:rsidTr="000B424C">
        <w:trPr>
          <w:trHeight w:hRule="exact" w:val="584"/>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pacing w:val="-1"/>
                <w:szCs w:val="22"/>
              </w:rPr>
            </w:pPr>
            <w:r>
              <w:rPr>
                <w:spacing w:val="-1"/>
                <w:szCs w:val="22"/>
              </w:rPr>
              <w:t xml:space="preserve">Ikke </w:t>
            </w:r>
          </w:p>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Amenoré</w:t>
            </w:r>
            <w:r>
              <w:rPr>
                <w:spacing w:val="-1"/>
                <w:szCs w:val="22"/>
                <w:vertAlign w:val="superscript"/>
              </w:rPr>
              <w:t>e</w:t>
            </w:r>
            <w:r>
              <w:rPr>
                <w:spacing w:val="-1"/>
                <w:szCs w:val="22"/>
              </w:rPr>
              <w:t>*</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keepNext/>
              <w:ind w:left="45" w:right="40"/>
              <w:rPr>
                <w:szCs w:val="22"/>
              </w:rPr>
            </w:pPr>
            <w:r>
              <w:rPr>
                <w:b/>
                <w:bCs/>
                <w:spacing w:val="-1"/>
                <w:szCs w:val="22"/>
              </w:rPr>
              <w:t>Almene symptomer og reaktioner på administrationsstedet</w:t>
            </w:r>
          </w:p>
        </w:tc>
      </w:tr>
      <w:tr w:rsidR="000B424C" w:rsidTr="000B424C">
        <w:trPr>
          <w:trHeight w:hRule="exact" w:val="58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zCs w:val="22"/>
              </w:rPr>
              <w:t>Træthed, asteni, perifert ødem</w:t>
            </w:r>
          </w:p>
        </w:tc>
      </w:tr>
      <w:tr w:rsidR="000B424C" w:rsidTr="000B424C">
        <w:trPr>
          <w:trHeight w:hRule="exact" w:val="269"/>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zCs w:val="22"/>
              </w:rPr>
              <w:t>Pyreksi</w:t>
            </w:r>
          </w:p>
        </w:tc>
      </w:tr>
      <w:tr w:rsidR="000B424C" w:rsidRPr="006B16F7" w:rsidTr="000B424C">
        <w:trPr>
          <w:trHeight w:hRule="exact" w:val="584"/>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pacing w:val="-1"/>
                <w:szCs w:val="22"/>
              </w:rPr>
            </w:pPr>
            <w:r>
              <w:rPr>
                <w:spacing w:val="-1"/>
                <w:szCs w:val="22"/>
              </w:rPr>
              <w:t xml:space="preserve">Ikke </w:t>
            </w:r>
          </w:p>
          <w:p w:rsidR="000B424C" w:rsidRDefault="000B424C">
            <w:pPr>
              <w:ind w:left="47" w:right="41"/>
              <w:rPr>
                <w:szCs w:val="22"/>
              </w:rPr>
            </w:pPr>
            <w:r>
              <w:rPr>
                <w:spacing w:val="-1"/>
                <w:szCs w:val="22"/>
              </w:rPr>
              <w:t>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Pr="000B424C" w:rsidRDefault="000B424C">
            <w:pPr>
              <w:ind w:left="47" w:right="41"/>
              <w:rPr>
                <w:szCs w:val="22"/>
                <w:lang w:val="nb-NO"/>
              </w:rPr>
            </w:pPr>
            <w:r w:rsidRPr="000B424C">
              <w:rPr>
                <w:spacing w:val="-1"/>
                <w:szCs w:val="22"/>
                <w:lang w:val="nb-NO"/>
              </w:rPr>
              <w:t>Non-kardielle brystsmerter, dårlig sårheling</w:t>
            </w:r>
          </w:p>
        </w:tc>
      </w:tr>
      <w:tr w:rsidR="000B424C" w:rsidTr="000B424C">
        <w:trPr>
          <w:trHeight w:val="269"/>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keepNext/>
              <w:ind w:left="45" w:right="40"/>
              <w:rPr>
                <w:szCs w:val="22"/>
              </w:rPr>
            </w:pPr>
            <w:r>
              <w:rPr>
                <w:b/>
                <w:bCs/>
                <w:szCs w:val="22"/>
              </w:rPr>
              <w:t>Undersøgelser</w:t>
            </w:r>
          </w:p>
        </w:tc>
      </w:tr>
      <w:tr w:rsidR="000B424C" w:rsidTr="000B424C">
        <w:trPr>
          <w:trHeight w:hRule="exact" w:val="587"/>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pacing w:val="1"/>
                <w:szCs w:val="22"/>
              </w:rPr>
              <w:t>Meget almindelig</w:t>
            </w:r>
          </w:p>
        </w:tc>
        <w:tc>
          <w:tcPr>
            <w:tcW w:w="7754"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zCs w:val="22"/>
              </w:rPr>
            </w:pPr>
            <w:r>
              <w:rPr>
                <w:szCs w:val="22"/>
              </w:rPr>
              <w:t>Vægttab</w:t>
            </w:r>
          </w:p>
        </w:tc>
      </w:tr>
      <w:tr w:rsidR="000B424C" w:rsidTr="000B424C">
        <w:trPr>
          <w:trHeight w:val="266"/>
        </w:trPr>
        <w:tc>
          <w:tcPr>
            <w:tcW w:w="930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keepNext/>
              <w:ind w:left="45" w:right="40"/>
              <w:rPr>
                <w:szCs w:val="22"/>
              </w:rPr>
            </w:pPr>
            <w:r>
              <w:rPr>
                <w:b/>
                <w:szCs w:val="22"/>
              </w:rPr>
              <w:t>Traumer, forgiftninger og behandlingskomplikationer</w:t>
            </w:r>
          </w:p>
        </w:tc>
      </w:tr>
      <w:tr w:rsidR="000B424C" w:rsidTr="000B424C">
        <w:trPr>
          <w:trHeight w:hRule="exact" w:val="266"/>
        </w:trPr>
        <w:tc>
          <w:tcPr>
            <w:tcW w:w="1548" w:type="dxa"/>
            <w:tcBorders>
              <w:top w:val="single" w:sz="4" w:space="0" w:color="000000"/>
              <w:left w:val="single" w:sz="4" w:space="0" w:color="000000"/>
              <w:bottom w:val="single" w:sz="4" w:space="0" w:color="000000"/>
              <w:right w:val="single" w:sz="4" w:space="0" w:color="000000"/>
            </w:tcBorders>
            <w:hideMark/>
          </w:tcPr>
          <w:p w:rsidR="000B424C" w:rsidRDefault="000B424C">
            <w:pPr>
              <w:ind w:left="47" w:right="41"/>
              <w:rPr>
                <w:spacing w:val="1"/>
                <w:szCs w:val="22"/>
              </w:rPr>
            </w:pPr>
            <w:r>
              <w:rPr>
                <w:spacing w:val="1"/>
                <w:szCs w:val="22"/>
              </w:rPr>
              <w:t>Ikke kendt</w:t>
            </w:r>
          </w:p>
        </w:tc>
        <w:tc>
          <w:tcPr>
            <w:tcW w:w="7754" w:type="dxa"/>
            <w:tcBorders>
              <w:top w:val="single" w:sz="4" w:space="0" w:color="000000"/>
              <w:left w:val="single" w:sz="4" w:space="0" w:color="000000"/>
              <w:bottom w:val="single" w:sz="4" w:space="0" w:color="000000"/>
              <w:right w:val="single" w:sz="4" w:space="0" w:color="000000"/>
            </w:tcBorders>
          </w:tcPr>
          <w:p w:rsidR="000B424C" w:rsidRDefault="000B424C">
            <w:pPr>
              <w:rPr>
                <w:sz w:val="24"/>
                <w:szCs w:val="24"/>
                <w:lang w:eastAsia="da-DK"/>
              </w:rPr>
            </w:pPr>
            <w:r>
              <w:rPr>
                <w:i/>
                <w:szCs w:val="22"/>
              </w:rPr>
              <w:t>Radiation recall syndrome</w:t>
            </w:r>
            <w:r>
              <w:rPr>
                <w:szCs w:val="22"/>
              </w:rPr>
              <w:t>, forstærket stråletoksicitet</w:t>
            </w:r>
            <w:r>
              <w:rPr>
                <w:spacing w:val="1"/>
                <w:szCs w:val="22"/>
                <w:vertAlign w:val="superscript"/>
              </w:rPr>
              <w:t>f</w:t>
            </w:r>
            <w:r>
              <w:rPr>
                <w:sz w:val="24"/>
                <w:szCs w:val="24"/>
                <w:lang w:eastAsia="da-DK"/>
              </w:rPr>
              <w:t xml:space="preserve"> </w:t>
            </w:r>
          </w:p>
          <w:p w:rsidR="000B424C" w:rsidRDefault="000B424C">
            <w:pPr>
              <w:pStyle w:val="Kommentartekst"/>
            </w:pPr>
          </w:p>
          <w:p w:rsidR="000B424C" w:rsidRDefault="000B424C">
            <w:pPr>
              <w:ind w:left="47" w:right="41"/>
              <w:rPr>
                <w:szCs w:val="22"/>
              </w:rPr>
            </w:pPr>
          </w:p>
        </w:tc>
      </w:tr>
      <w:tr w:rsidR="000B424C" w:rsidTr="000B424C">
        <w:trPr>
          <w:trHeight w:val="3347"/>
        </w:trPr>
        <w:tc>
          <w:tcPr>
            <w:tcW w:w="9302" w:type="dxa"/>
            <w:gridSpan w:val="2"/>
            <w:tcBorders>
              <w:top w:val="single" w:sz="4" w:space="0" w:color="000000"/>
              <w:left w:val="single" w:sz="4" w:space="0" w:color="000000"/>
              <w:bottom w:val="single" w:sz="4" w:space="0" w:color="000000"/>
              <w:right w:val="single" w:sz="4" w:space="0" w:color="000000"/>
            </w:tcBorders>
          </w:tcPr>
          <w:p w:rsidR="000B424C" w:rsidRDefault="000B424C">
            <w:pPr>
              <w:pStyle w:val="Default"/>
              <w:ind w:left="321" w:hanging="321"/>
              <w:rPr>
                <w:sz w:val="22"/>
                <w:szCs w:val="22"/>
              </w:rPr>
            </w:pPr>
            <w:r>
              <w:rPr>
                <w:vertAlign w:val="superscript"/>
              </w:rPr>
              <w:lastRenderedPageBreak/>
              <w:t>*</w:t>
            </w:r>
            <w:r>
              <w:rPr>
                <w:vertAlign w:val="superscript"/>
              </w:rPr>
              <w:tab/>
            </w:r>
            <w:r>
              <w:rPr>
                <w:sz w:val="22"/>
                <w:szCs w:val="22"/>
              </w:rPr>
              <w:t xml:space="preserve">Se også undersektionen ”Beskrivelse af udvalgte bivirkninger”. </w:t>
            </w:r>
          </w:p>
          <w:p w:rsidR="000B424C" w:rsidRDefault="000B424C">
            <w:pPr>
              <w:pStyle w:val="Default"/>
              <w:ind w:left="321" w:hanging="321"/>
              <w:rPr>
                <w:sz w:val="22"/>
                <w:szCs w:val="22"/>
              </w:rPr>
            </w:pPr>
            <w:r>
              <w:rPr>
                <w:sz w:val="22"/>
                <w:szCs w:val="22"/>
                <w:vertAlign w:val="superscript"/>
              </w:rPr>
              <w:t>a</w:t>
            </w:r>
            <w:r>
              <w:rPr>
                <w:sz w:val="22"/>
                <w:szCs w:val="22"/>
                <w:vertAlign w:val="superscript"/>
              </w:rPr>
              <w:tab/>
            </w:r>
            <w:r>
              <w:rPr>
                <w:sz w:val="22"/>
                <w:szCs w:val="22"/>
              </w:rPr>
              <w:t xml:space="preserve">Inklusive alle tilfælde inden for systemorganklassen “infektioner og parasitære sygdomme”    inklusive (almindelig) pneumoni, urinvejsinfektion; (ikke almindelig) bronkitis, herpes zoster, sepsis, abscesser og isolerede tilfælde af opportunistiske infektioner [f.eks. aspergillose, candidiasis, PJP/PCP og hepatitis B (se også pkt. 4.4)] og (sjælden) viral myokarditis. </w:t>
            </w:r>
          </w:p>
          <w:p w:rsidR="000B424C" w:rsidRDefault="000B424C">
            <w:pPr>
              <w:pStyle w:val="Default"/>
              <w:ind w:left="321" w:hanging="321"/>
              <w:rPr>
                <w:sz w:val="22"/>
                <w:szCs w:val="22"/>
              </w:rPr>
            </w:pPr>
            <w:r>
              <w:rPr>
                <w:sz w:val="22"/>
                <w:szCs w:val="22"/>
                <w:vertAlign w:val="superscript"/>
              </w:rPr>
              <w:t>b</w:t>
            </w:r>
            <w:r>
              <w:rPr>
                <w:sz w:val="22"/>
                <w:szCs w:val="22"/>
                <w:vertAlign w:val="superscript"/>
              </w:rPr>
              <w:tab/>
            </w:r>
            <w:r>
              <w:rPr>
                <w:sz w:val="22"/>
                <w:szCs w:val="22"/>
              </w:rPr>
              <w:t xml:space="preserve">Inkluderer forskellige tilfælde af blødninger fra forskellige steder, som ikke er anført individuelt. </w:t>
            </w:r>
          </w:p>
          <w:p w:rsidR="000B424C" w:rsidRDefault="000B424C">
            <w:pPr>
              <w:pStyle w:val="Default"/>
              <w:ind w:left="321" w:hanging="321"/>
              <w:rPr>
                <w:sz w:val="22"/>
                <w:szCs w:val="22"/>
              </w:rPr>
            </w:pPr>
            <w:r>
              <w:rPr>
                <w:sz w:val="22"/>
                <w:szCs w:val="22"/>
                <w:vertAlign w:val="superscript"/>
              </w:rPr>
              <w:t>c</w:t>
            </w:r>
            <w:r>
              <w:rPr>
                <w:sz w:val="22"/>
                <w:szCs w:val="22"/>
                <w:vertAlign w:val="superscript"/>
              </w:rPr>
              <w:tab/>
            </w:r>
            <w:r>
              <w:rPr>
                <w:sz w:val="22"/>
                <w:szCs w:val="22"/>
              </w:rPr>
              <w:t xml:space="preserve">Inklusive (meget almindelig) pneumonitis, (almindelig) interstitiel lungesygdom, lungeinfiltration og (sjælden) pulmonal alveolær blødning, pulmonal toksicitet og alveolitis. </w:t>
            </w:r>
          </w:p>
          <w:p w:rsidR="000B424C" w:rsidRDefault="000B424C">
            <w:pPr>
              <w:pStyle w:val="Default"/>
              <w:ind w:left="321" w:hanging="321"/>
              <w:rPr>
                <w:sz w:val="22"/>
                <w:szCs w:val="22"/>
              </w:rPr>
            </w:pPr>
            <w:r>
              <w:rPr>
                <w:sz w:val="22"/>
                <w:szCs w:val="22"/>
                <w:vertAlign w:val="superscript"/>
              </w:rPr>
              <w:t>d</w:t>
            </w:r>
            <w:r>
              <w:rPr>
                <w:sz w:val="22"/>
                <w:szCs w:val="22"/>
                <w:vertAlign w:val="superscript"/>
              </w:rPr>
              <w:tab/>
            </w:r>
            <w:r>
              <w:rPr>
                <w:sz w:val="22"/>
                <w:szCs w:val="22"/>
              </w:rPr>
              <w:t xml:space="preserve">Inklusive (meget almindelig) stomatitis, (almindelig) aftøs stomatitis, mund- og tungeulceration og (ikke almindelig) glossodyni, glossitis. </w:t>
            </w:r>
          </w:p>
          <w:p w:rsidR="000B424C" w:rsidRDefault="000B424C">
            <w:pPr>
              <w:ind w:left="321" w:right="41" w:hanging="321"/>
              <w:rPr>
                <w:sz w:val="22"/>
                <w:szCs w:val="22"/>
              </w:rPr>
            </w:pPr>
            <w:r>
              <w:rPr>
                <w:sz w:val="22"/>
                <w:szCs w:val="22"/>
                <w:vertAlign w:val="superscript"/>
              </w:rPr>
              <w:t>e</w:t>
            </w:r>
            <w:r>
              <w:rPr>
                <w:sz w:val="22"/>
                <w:szCs w:val="22"/>
                <w:vertAlign w:val="superscript"/>
              </w:rPr>
              <w:tab/>
            </w:r>
            <w:r>
              <w:rPr>
                <w:sz w:val="22"/>
                <w:szCs w:val="22"/>
              </w:rPr>
              <w:t>Hyppighed baseret på antal kvinder fra 10 til 55 år i de puljede data.</w:t>
            </w:r>
          </w:p>
          <w:p w:rsidR="000B424C" w:rsidRDefault="000B424C">
            <w:pPr>
              <w:ind w:left="321" w:right="41" w:hanging="321"/>
              <w:rPr>
                <w:sz w:val="22"/>
                <w:szCs w:val="22"/>
              </w:rPr>
            </w:pPr>
            <w:r>
              <w:rPr>
                <w:sz w:val="22"/>
                <w:szCs w:val="22"/>
                <w:vertAlign w:val="superscript"/>
              </w:rPr>
              <w:t xml:space="preserve">f </w:t>
            </w:r>
            <w:r>
              <w:rPr>
                <w:sz w:val="22"/>
                <w:szCs w:val="22"/>
                <w:vertAlign w:val="superscript"/>
              </w:rPr>
              <w:tab/>
            </w:r>
            <w:r>
              <w:rPr>
                <w:sz w:val="22"/>
                <w:szCs w:val="22"/>
              </w:rPr>
              <w:t xml:space="preserve">Bivirkning, der blev identificeret efter markedsføring. </w:t>
            </w:r>
          </w:p>
          <w:p w:rsidR="000B424C" w:rsidRDefault="000B424C">
            <w:pPr>
              <w:ind w:left="321" w:right="41" w:hanging="321"/>
              <w:rPr>
                <w:sz w:val="22"/>
                <w:szCs w:val="22"/>
              </w:rPr>
            </w:pPr>
            <w:r>
              <w:rPr>
                <w:sz w:val="22"/>
                <w:szCs w:val="22"/>
                <w:vertAlign w:val="superscript"/>
              </w:rPr>
              <w:t xml:space="preserve">g </w:t>
            </w:r>
            <w:r>
              <w:rPr>
                <w:sz w:val="22"/>
                <w:szCs w:val="22"/>
                <w:vertAlign w:val="superscript"/>
              </w:rPr>
              <w:tab/>
            </w:r>
            <w:r>
              <w:rPr>
                <w:sz w:val="22"/>
                <w:szCs w:val="22"/>
              </w:rPr>
              <w:t>Bivirkning blev fastslået på baggrund af rapporter, der blev publiceret efter markedsføring. Hyppighed blev fastslået på baggrund af de samlede sikkerhedsdata fra onkologistudier.</w:t>
            </w:r>
          </w:p>
          <w:p w:rsidR="000B424C" w:rsidRDefault="000B424C">
            <w:pPr>
              <w:ind w:left="321" w:right="41" w:hanging="321"/>
              <w:rPr>
                <w:szCs w:val="22"/>
              </w:rPr>
            </w:pPr>
          </w:p>
        </w:tc>
      </w:tr>
    </w:tbl>
    <w:p w:rsidR="000B424C" w:rsidRDefault="000B424C" w:rsidP="000B424C">
      <w:pPr>
        <w:pStyle w:val="Sidehoved"/>
        <w:tabs>
          <w:tab w:val="left" w:pos="851"/>
        </w:tabs>
        <w:ind w:left="851"/>
        <w:rPr>
          <w:szCs w:val="24"/>
        </w:rPr>
      </w:pPr>
    </w:p>
    <w:p w:rsidR="000B424C" w:rsidRDefault="000B424C" w:rsidP="000B424C">
      <w:pPr>
        <w:pStyle w:val="Default"/>
        <w:keepNext/>
        <w:ind w:left="851"/>
        <w:rPr>
          <w:u w:val="single"/>
        </w:rPr>
      </w:pPr>
      <w:r>
        <w:rPr>
          <w:u w:val="single"/>
        </w:rPr>
        <w:t xml:space="preserve">Beskrivelse af udvalgte bivirkninger </w:t>
      </w:r>
    </w:p>
    <w:p w:rsidR="000B424C" w:rsidRDefault="000B424C" w:rsidP="000B424C">
      <w:pPr>
        <w:pStyle w:val="Default"/>
        <w:ind w:left="851"/>
      </w:pPr>
      <w:r>
        <w:t xml:space="preserve">I kliniske studier og post-marketing spontane rapporter er everolimus blevet forbundet med alvorlige tilfælde af hepatitis B-reaktivering, inklusive letale tilfælde. Reaktivering af infektion er en forventet hændelse i perioder med immunsuppression. </w:t>
      </w:r>
    </w:p>
    <w:p w:rsidR="000B424C" w:rsidRDefault="000B424C" w:rsidP="000B424C">
      <w:pPr>
        <w:pStyle w:val="Default"/>
        <w:ind w:left="851"/>
      </w:pPr>
    </w:p>
    <w:p w:rsidR="000B424C" w:rsidRDefault="000B424C" w:rsidP="000B424C">
      <w:pPr>
        <w:pStyle w:val="Default"/>
        <w:ind w:left="851"/>
      </w:pPr>
      <w:r>
        <w:t xml:space="preserve">I kliniske studier og post-marketing spontane rapporter er everolimus blevet forbundet med tilfælde af nyresvigt (inklusive letale tilfælde) og proteinuria. Det anbefales at monitorere nyrefunktionen (se pkt. 4.4). </w:t>
      </w:r>
    </w:p>
    <w:p w:rsidR="000B424C" w:rsidRDefault="000B424C" w:rsidP="000B424C">
      <w:pPr>
        <w:pStyle w:val="Default"/>
        <w:ind w:left="851"/>
      </w:pPr>
    </w:p>
    <w:p w:rsidR="000B424C" w:rsidRDefault="000B424C" w:rsidP="000B424C">
      <w:pPr>
        <w:pStyle w:val="Default"/>
        <w:ind w:left="851"/>
      </w:pPr>
      <w:r>
        <w:t xml:space="preserve">Everolimus er blevet forbundet med tilfælde af amenoré (sekundær amenoré og andre uregelmæssigheder i menstruationen) i kliniske studier og spontane rapporter post-marketing. </w:t>
      </w:r>
    </w:p>
    <w:p w:rsidR="000B424C" w:rsidRDefault="000B424C" w:rsidP="000B424C">
      <w:pPr>
        <w:pStyle w:val="Default"/>
        <w:ind w:left="851"/>
      </w:pPr>
    </w:p>
    <w:p w:rsidR="000B424C" w:rsidRDefault="000B424C" w:rsidP="000B424C">
      <w:pPr>
        <w:pStyle w:val="Default"/>
        <w:ind w:left="851"/>
      </w:pPr>
      <w:r>
        <w:t xml:space="preserve">I kliniske studier og spontane rapporter modtaget efter markedsføring er everolimus blevet associeret med tilfælde af PJP/PCP, hvoraf nogle var med fatal udgang (se punkt 4.4). </w:t>
      </w:r>
    </w:p>
    <w:p w:rsidR="000B424C" w:rsidRDefault="000B424C" w:rsidP="000B424C">
      <w:pPr>
        <w:pStyle w:val="Default"/>
        <w:ind w:left="851"/>
      </w:pPr>
    </w:p>
    <w:p w:rsidR="000B424C" w:rsidRDefault="000B424C" w:rsidP="000B424C">
      <w:pPr>
        <w:pStyle w:val="Default"/>
        <w:ind w:left="851"/>
      </w:pPr>
      <w:r>
        <w:t xml:space="preserve">I kliniske studier og spontane rapporter modtaget efter markedsføring er angioødem blevet rapporteret med og uden samtidig behandling med ACE inhibitorer (se punkt 4.4). </w:t>
      </w:r>
    </w:p>
    <w:p w:rsidR="000B424C" w:rsidRDefault="000B424C" w:rsidP="000B424C">
      <w:pPr>
        <w:pStyle w:val="Default"/>
        <w:ind w:left="851"/>
      </w:pPr>
    </w:p>
    <w:p w:rsidR="000B424C" w:rsidRDefault="000B424C" w:rsidP="000B424C">
      <w:pPr>
        <w:pStyle w:val="Default"/>
        <w:ind w:left="851"/>
        <w:rPr>
          <w:u w:val="single"/>
        </w:rPr>
      </w:pPr>
      <w:r>
        <w:rPr>
          <w:u w:val="single"/>
        </w:rPr>
        <w:t xml:space="preserve">Ældre </w:t>
      </w:r>
    </w:p>
    <w:p w:rsidR="000B424C" w:rsidRDefault="000B424C" w:rsidP="000B424C">
      <w:pPr>
        <w:pStyle w:val="Default"/>
        <w:ind w:left="851"/>
      </w:pPr>
      <w:r>
        <w:t xml:space="preserve">I de samlede sikkerhedsdata var 37 % af patienterne, som blev behandlet med Everolimus "Teva" ≥65 år. Antallet af patienter med en bivirkning, som førte til seponering af lægemidlet, var højere for patienter ≥65 år (20 % </w:t>
      </w:r>
      <w:r>
        <w:rPr>
          <w:iCs/>
        </w:rPr>
        <w:t>vs.</w:t>
      </w:r>
      <w:r>
        <w:rPr>
          <w:i/>
          <w:iCs/>
        </w:rPr>
        <w:t xml:space="preserve"> </w:t>
      </w:r>
      <w:r>
        <w:t>13 %). De bivirkninger, som hyppigst medførte seponering, var pneumonitis (inklusive interstitiel lungesygdom), stomatitis, træthed og dyspnø.</w:t>
      </w:r>
    </w:p>
    <w:p w:rsidR="000B424C" w:rsidRDefault="000B424C" w:rsidP="000B424C">
      <w:pPr>
        <w:pStyle w:val="Default"/>
        <w:ind w:left="851"/>
      </w:pPr>
    </w:p>
    <w:p w:rsidR="000B424C" w:rsidRDefault="000B424C" w:rsidP="000B424C">
      <w:pPr>
        <w:pStyle w:val="Default"/>
        <w:ind w:left="851"/>
      </w:pPr>
      <w:r>
        <w:rPr>
          <w:b/>
          <w:bCs/>
          <w:i/>
        </w:rPr>
        <w:t>Renal angiomyolipom/SEGA</w:t>
      </w:r>
    </w:p>
    <w:p w:rsidR="000B424C" w:rsidRDefault="000B424C" w:rsidP="000B424C">
      <w:pPr>
        <w:pStyle w:val="Default"/>
        <w:ind w:left="851"/>
        <w:rPr>
          <w:u w:val="single"/>
        </w:rPr>
      </w:pPr>
      <w:r>
        <w:rPr>
          <w:u w:val="single"/>
        </w:rPr>
        <w:t xml:space="preserve">Oversigt over bivirkningsprofilen </w:t>
      </w:r>
    </w:p>
    <w:p w:rsidR="000B424C" w:rsidRDefault="000B424C" w:rsidP="000B424C">
      <w:pPr>
        <w:ind w:left="851"/>
        <w:rPr>
          <w:sz w:val="24"/>
          <w:szCs w:val="24"/>
        </w:rPr>
      </w:pPr>
    </w:p>
    <w:p w:rsidR="000B424C" w:rsidRDefault="000B424C" w:rsidP="000B424C">
      <w:pPr>
        <w:pStyle w:val="Brdtekst"/>
        <w:ind w:left="851" w:right="-1"/>
        <w:rPr>
          <w:sz w:val="24"/>
          <w:szCs w:val="24"/>
          <w:lang w:val="da-DK"/>
        </w:rPr>
      </w:pPr>
      <w:r>
        <w:rPr>
          <w:sz w:val="24"/>
          <w:szCs w:val="24"/>
          <w:lang w:val="da-DK"/>
        </w:rPr>
        <w:t>Tre randomiserede, dobbeltblinde, placebokontrollerede pivotale fase III-studier, herunder med dobbeltblinde og åbne behandlingsperioder, og et ikke-randomiseret, åbent, enkelt-armet fase II-studie har bidraget til everolimus’ bivirkningsprofil (n=612, herunder 409 patienter &lt;18 år; den mediane eksponeringsvarighed var 36,8 måneder [interval 0,5 til 83,2]).</w:t>
      </w:r>
    </w:p>
    <w:p w:rsidR="000B424C" w:rsidRDefault="000B424C" w:rsidP="000B424C">
      <w:pPr>
        <w:pStyle w:val="Listeafsnit"/>
        <w:numPr>
          <w:ilvl w:val="0"/>
          <w:numId w:val="16"/>
        </w:numPr>
        <w:tabs>
          <w:tab w:val="left" w:pos="1418"/>
        </w:tabs>
        <w:spacing w:before="1" w:line="269" w:lineRule="exact"/>
        <w:ind w:left="1418" w:right="-1" w:hanging="568"/>
        <w:rPr>
          <w:sz w:val="24"/>
          <w:szCs w:val="24"/>
          <w:lang w:val="da-DK"/>
        </w:rPr>
      </w:pPr>
      <w:r>
        <w:rPr>
          <w:sz w:val="24"/>
          <w:szCs w:val="24"/>
          <w:lang w:val="da-DK"/>
        </w:rPr>
        <w:t>EXIST-3 (CRAD001M2304): Dette var et randomiseret, dobbeltblindet, kontrolleret</w:t>
      </w:r>
      <w:r>
        <w:rPr>
          <w:spacing w:val="-1"/>
          <w:sz w:val="24"/>
          <w:szCs w:val="24"/>
          <w:lang w:val="da-DK"/>
        </w:rPr>
        <w:t xml:space="preserve"> </w:t>
      </w:r>
      <w:r>
        <w:rPr>
          <w:sz w:val="24"/>
          <w:szCs w:val="24"/>
          <w:lang w:val="da-DK"/>
        </w:rPr>
        <w:t xml:space="preserve">fase III-forsøg, der sammenlignede supplerende behandling med lav og høj </w:t>
      </w:r>
      <w:r>
        <w:rPr>
          <w:sz w:val="24"/>
          <w:szCs w:val="24"/>
          <w:lang w:val="da-DK"/>
        </w:rPr>
        <w:lastRenderedPageBreak/>
        <w:t xml:space="preserve">everolimus-eksponering (behandling med lavt dal-niveau (LT) på 3-7 nanogram/ml [n=117] og behandling med højt dal-niveau (HT) på 9-15 nanogram/ml [n=130]) </w:t>
      </w:r>
      <w:r>
        <w:rPr>
          <w:i/>
          <w:sz w:val="24"/>
          <w:szCs w:val="24"/>
          <w:lang w:val="da-DK"/>
        </w:rPr>
        <w:t xml:space="preserve">versus </w:t>
      </w:r>
      <w:r>
        <w:rPr>
          <w:sz w:val="24"/>
          <w:szCs w:val="24"/>
          <w:lang w:val="da-DK"/>
        </w:rPr>
        <w:t>placebo (n=119) hos patienter med TSC og refraktære partielle anfald, der fik 1 til 3 antiepileptika. Medianvarigheden af den dobbeltblinde behandling var 18 uger. Den mediane kumulative eksponeringsvarighed for everolimus (361 patienter, der tog mindst én dosis everolimus) var 30,4 måneder (interval 0,5 til 48,8).</w:t>
      </w:r>
    </w:p>
    <w:p w:rsidR="000B424C" w:rsidRDefault="000B424C" w:rsidP="000B424C">
      <w:pPr>
        <w:pStyle w:val="Listeafsnit"/>
        <w:numPr>
          <w:ilvl w:val="0"/>
          <w:numId w:val="16"/>
        </w:numPr>
        <w:tabs>
          <w:tab w:val="left" w:pos="1560"/>
        </w:tabs>
        <w:spacing w:before="2"/>
        <w:ind w:left="1418" w:right="-1"/>
        <w:rPr>
          <w:sz w:val="24"/>
          <w:szCs w:val="24"/>
          <w:lang w:val="da-DK"/>
        </w:rPr>
      </w:pPr>
      <w:r>
        <w:rPr>
          <w:sz w:val="24"/>
          <w:szCs w:val="24"/>
          <w:lang w:val="da-DK"/>
        </w:rPr>
        <w:t xml:space="preserve">EXIST-2 (CRAD001M2302): Dette var et randomiseret, dobbeltblindet, kontrolleret fase III-forsøg med everolimus (n=79) </w:t>
      </w:r>
      <w:r>
        <w:rPr>
          <w:i/>
          <w:sz w:val="24"/>
          <w:szCs w:val="24"/>
          <w:lang w:val="da-DK"/>
        </w:rPr>
        <w:t xml:space="preserve">versus </w:t>
      </w:r>
      <w:r>
        <w:rPr>
          <w:sz w:val="24"/>
          <w:szCs w:val="24"/>
          <w:lang w:val="da-DK"/>
        </w:rPr>
        <w:t>placebo (n=39) hos patienter med enten TSC plus renal angiomyolipom (n=113) eller sporadisk lymfangioleiomyomatose (LAM) plus renal angiomyolipom (n=5). Medianvarigheden af den blindede studiebehandling var 48,1</w:t>
      </w:r>
      <w:r>
        <w:rPr>
          <w:spacing w:val="-16"/>
          <w:sz w:val="24"/>
          <w:szCs w:val="24"/>
          <w:lang w:val="da-DK"/>
        </w:rPr>
        <w:t xml:space="preserve"> </w:t>
      </w:r>
      <w:r>
        <w:rPr>
          <w:sz w:val="24"/>
          <w:szCs w:val="24"/>
          <w:lang w:val="da-DK"/>
        </w:rPr>
        <w:t>uger (interval 2 til 115) for patienter, der fik everolimus, og 45,0 uger (interval 9 til 115) for dem, der fik placebo. Den mediane kummulative eksponeringsvarighed for everolimus (112 patienter, der tog mindst en dosis everolimus) var 46,9 måneder (interval 0,5 til 63,9).</w:t>
      </w:r>
    </w:p>
    <w:p w:rsidR="000B424C" w:rsidRDefault="000B424C" w:rsidP="000B424C">
      <w:pPr>
        <w:pStyle w:val="Listeafsnit"/>
        <w:numPr>
          <w:ilvl w:val="0"/>
          <w:numId w:val="16"/>
        </w:numPr>
        <w:ind w:left="1418" w:right="-1"/>
        <w:rPr>
          <w:sz w:val="24"/>
          <w:szCs w:val="24"/>
          <w:lang w:val="da-DK"/>
        </w:rPr>
      </w:pPr>
      <w:r>
        <w:rPr>
          <w:sz w:val="24"/>
          <w:szCs w:val="24"/>
          <w:lang w:val="da-DK"/>
        </w:rPr>
        <w:t xml:space="preserve">EXIST-1 (CRAD001M2301): Dette var et randomiseret, dobbeltblindet, kontrolleret fase III-forsøg med everolimus (n=78) </w:t>
      </w:r>
      <w:r>
        <w:rPr>
          <w:i/>
          <w:sz w:val="24"/>
          <w:szCs w:val="24"/>
          <w:lang w:val="da-DK"/>
        </w:rPr>
        <w:t xml:space="preserve">versus </w:t>
      </w:r>
      <w:r>
        <w:rPr>
          <w:sz w:val="24"/>
          <w:szCs w:val="24"/>
          <w:lang w:val="da-DK"/>
        </w:rPr>
        <w:t>placebo (n=39) hos patienter med TSC, som havde SEGA, uden hensyntagen til alder. Medianvarigheden for blindet studiebehandling</w:t>
      </w:r>
      <w:r>
        <w:rPr>
          <w:spacing w:val="-19"/>
          <w:sz w:val="24"/>
          <w:szCs w:val="24"/>
          <w:lang w:val="da-DK"/>
        </w:rPr>
        <w:t xml:space="preserve"> </w:t>
      </w:r>
      <w:r>
        <w:rPr>
          <w:sz w:val="24"/>
          <w:szCs w:val="24"/>
          <w:lang w:val="da-DK"/>
        </w:rPr>
        <w:t>var 52,2 uger (interval 24 til 89) for patienter, der fik everolimus, og 46,6 uger (interval 14 til 88) for dem, der fik placebo. Den mediane kummulative eksponeringsvarighed for everolimus (111 patienter, der tog mindst en dosis everolimus) var 47,1 måneder (interval 1,9 til 58,3).</w:t>
      </w:r>
    </w:p>
    <w:p w:rsidR="000B424C" w:rsidRDefault="000B424C" w:rsidP="000B424C">
      <w:pPr>
        <w:pStyle w:val="Listeafsnit"/>
        <w:numPr>
          <w:ilvl w:val="0"/>
          <w:numId w:val="16"/>
        </w:numPr>
        <w:ind w:left="1418" w:right="-1"/>
        <w:jc w:val="both"/>
        <w:rPr>
          <w:rFonts w:ascii="Symbol" w:hAnsi="Symbol"/>
          <w:sz w:val="24"/>
          <w:szCs w:val="24"/>
          <w:lang w:val="da-DK"/>
        </w:rPr>
      </w:pPr>
      <w:r>
        <w:rPr>
          <w:sz w:val="24"/>
          <w:szCs w:val="24"/>
          <w:lang w:val="da-DK"/>
        </w:rPr>
        <w:t>CRAD001C2485: Dette var et prospektivt, åbent, enkelt-arm fase II-studie med everolimus hos patienter med SEGA (n=28). Den mediane eksponeringvarighed var 67,8 måneder (interval 4,7 til 83,2).</w:t>
      </w:r>
    </w:p>
    <w:p w:rsidR="000B424C" w:rsidRDefault="000B424C" w:rsidP="000B424C">
      <w:pPr>
        <w:pStyle w:val="Brdtekst"/>
        <w:spacing w:before="6"/>
        <w:rPr>
          <w:sz w:val="24"/>
          <w:szCs w:val="24"/>
          <w:lang w:val="da-DK"/>
        </w:rPr>
      </w:pPr>
    </w:p>
    <w:p w:rsidR="000B424C" w:rsidRDefault="000B424C" w:rsidP="000B424C">
      <w:pPr>
        <w:pStyle w:val="Brdtekst"/>
        <w:spacing w:before="1"/>
        <w:ind w:left="865" w:right="-1"/>
        <w:rPr>
          <w:sz w:val="24"/>
          <w:szCs w:val="24"/>
          <w:lang w:val="da-DK"/>
        </w:rPr>
      </w:pPr>
      <w:r>
        <w:rPr>
          <w:sz w:val="24"/>
          <w:szCs w:val="24"/>
          <w:lang w:val="da-DK"/>
        </w:rPr>
        <w:t>Nedenfor beskrives bivirkninger, som på basis af gennemgang og medicinsk vurdering af alle rapporterede bivirkninger fra ovennævnte studier anses for relateret til administration af everolimus.</w:t>
      </w:r>
    </w:p>
    <w:p w:rsidR="000B424C" w:rsidRDefault="000B424C" w:rsidP="000B424C">
      <w:pPr>
        <w:pStyle w:val="Brdtekst"/>
        <w:spacing w:before="1"/>
        <w:ind w:left="865" w:right="-1"/>
        <w:rPr>
          <w:sz w:val="24"/>
          <w:szCs w:val="24"/>
          <w:lang w:val="da-DK"/>
        </w:rPr>
      </w:pPr>
      <w:r>
        <w:rPr>
          <w:sz w:val="24"/>
          <w:szCs w:val="24"/>
          <w:lang w:val="da-DK"/>
        </w:rPr>
        <w:t>De hyppigste bivirkninger (incidens ≥1/10) fra de samlede sikkerhedsdata er (i rækkefølge med faldende incidens): stomatitis, pyreksi, nasopharyngitis, diarré, infektion i øvre luftveje, opkastning, hoste, udslæt, hovedpine, amenoré, akne, pneumoni, urinvejsinfektion, sinuitis, uregelmæssige menstruationer, faryngitis, appetitløshed, træthed, hyperkolesterolæmi og hypertension.</w:t>
      </w:r>
    </w:p>
    <w:p w:rsidR="000B424C" w:rsidRDefault="000B424C" w:rsidP="000B424C">
      <w:pPr>
        <w:pStyle w:val="Brdtekst"/>
        <w:ind w:left="851" w:right="-1"/>
        <w:rPr>
          <w:sz w:val="24"/>
          <w:szCs w:val="24"/>
          <w:lang w:val="da-DK"/>
        </w:rPr>
      </w:pPr>
      <w:r>
        <w:rPr>
          <w:sz w:val="24"/>
          <w:szCs w:val="24"/>
          <w:lang w:val="da-DK"/>
        </w:rPr>
        <w:t>De hyppigste grad 3-4 bivirkninger (incidens ≥1 %) var pneumoni, stomatitis, amenoré, neutropeni, pyreksi, uregelmæssige menstruationer, hypofosfatæmi, diarré og cellulitis. Graderne følger CTCAE version 3.0 og 4.03.</w:t>
      </w:r>
    </w:p>
    <w:p w:rsidR="000B424C" w:rsidRDefault="000B424C" w:rsidP="000B424C">
      <w:pPr>
        <w:pStyle w:val="Brdtekst"/>
        <w:ind w:left="851" w:right="-1"/>
        <w:rPr>
          <w:sz w:val="24"/>
          <w:szCs w:val="24"/>
          <w:lang w:val="da-DK"/>
        </w:rPr>
      </w:pPr>
    </w:p>
    <w:p w:rsidR="000B424C" w:rsidRDefault="000B424C" w:rsidP="000B424C">
      <w:pPr>
        <w:pStyle w:val="Brdtekst"/>
        <w:ind w:left="298" w:firstLine="553"/>
        <w:rPr>
          <w:sz w:val="24"/>
          <w:szCs w:val="24"/>
          <w:lang w:val="da-DK"/>
        </w:rPr>
      </w:pPr>
      <w:r>
        <w:rPr>
          <w:sz w:val="24"/>
          <w:szCs w:val="24"/>
          <w:u w:val="single"/>
          <w:lang w:val="da-DK"/>
        </w:rPr>
        <w:t>Tabel over bivirkninger</w:t>
      </w:r>
    </w:p>
    <w:p w:rsidR="000B424C" w:rsidRDefault="000B424C" w:rsidP="000B424C">
      <w:pPr>
        <w:pStyle w:val="Brdtekst"/>
        <w:spacing w:before="1"/>
        <w:rPr>
          <w:sz w:val="24"/>
          <w:szCs w:val="24"/>
          <w:lang w:val="da-DK"/>
        </w:rPr>
      </w:pPr>
    </w:p>
    <w:p w:rsidR="000B424C" w:rsidRDefault="000B424C" w:rsidP="000B424C">
      <w:pPr>
        <w:pStyle w:val="Brdtekst"/>
        <w:ind w:left="851" w:right="-1"/>
        <w:rPr>
          <w:sz w:val="24"/>
          <w:szCs w:val="24"/>
          <w:lang w:val="da-DK"/>
        </w:rPr>
      </w:pPr>
      <w:r>
        <w:rPr>
          <w:sz w:val="24"/>
          <w:szCs w:val="24"/>
          <w:lang w:val="da-DK"/>
        </w:rPr>
        <w:t>Tabel 5 viser incidensen af bivirkninger baseret på samlede data fra patienter, der fik everolimus, fra de tre TSC-studier (inklusive både den dobbeltblindede og den åbne forlængelsesfase, hvis aktuel). Bivirkningerne er opstillet ifølge MedDRA-systemorganklasse. Hyppighedskategorierne defineres ved brug af følgende konvention: meget almindelig (≥1/10); almindelig (≥1/100 til &lt;1/10), ikke almindelig (≥1/1.000 til &lt;1/100), sjælden (≥1/10.000 til &lt;1/1.000); meget sjælden (&lt;1/10.000); ikke kendt (kan ikke estimeres ud fra forhåndenværende data). Inden for hver enkelt frekvensgruppe skal bivirkningerne opstilles efter, hvor alvorlige de er. De alvorligste bivirkninger er anført</w:t>
      </w:r>
      <w:r>
        <w:rPr>
          <w:spacing w:val="-20"/>
          <w:sz w:val="24"/>
          <w:szCs w:val="24"/>
          <w:lang w:val="da-DK"/>
        </w:rPr>
        <w:t xml:space="preserve"> </w:t>
      </w:r>
      <w:r>
        <w:rPr>
          <w:sz w:val="24"/>
          <w:szCs w:val="24"/>
          <w:lang w:val="da-DK"/>
        </w:rPr>
        <w:t>først.</w:t>
      </w:r>
      <w:bookmarkStart w:id="2" w:name="_GoBack"/>
      <w:bookmarkEnd w:id="2"/>
    </w:p>
    <w:p w:rsidR="000B424C" w:rsidRDefault="000B424C" w:rsidP="000B424C">
      <w:pPr>
        <w:pStyle w:val="Brdtekst"/>
        <w:ind w:left="851" w:right="-1"/>
        <w:rPr>
          <w:sz w:val="24"/>
          <w:szCs w:val="24"/>
          <w:lang w:val="da-DK"/>
        </w:rPr>
      </w:pPr>
    </w:p>
    <w:p w:rsidR="000B424C" w:rsidRDefault="000B424C" w:rsidP="006B16F7">
      <w:pPr>
        <w:pStyle w:val="Brdtekst"/>
        <w:keepNext/>
        <w:tabs>
          <w:tab w:val="left" w:pos="1985"/>
        </w:tabs>
        <w:ind w:left="851" w:right="-1"/>
        <w:rPr>
          <w:sz w:val="24"/>
          <w:szCs w:val="24"/>
          <w:lang w:val="da-DK"/>
        </w:rPr>
      </w:pPr>
      <w:r>
        <w:rPr>
          <w:b/>
          <w:bCs/>
          <w:sz w:val="24"/>
          <w:szCs w:val="24"/>
          <w:lang w:val="da-DK"/>
        </w:rPr>
        <w:lastRenderedPageBreak/>
        <w:t xml:space="preserve">Tabel 5 </w:t>
      </w:r>
      <w:r>
        <w:rPr>
          <w:b/>
          <w:bCs/>
          <w:sz w:val="24"/>
          <w:szCs w:val="24"/>
          <w:lang w:val="da-DK"/>
        </w:rPr>
        <w:tab/>
        <w:t>Bivirkninger rapporteret i TSC-studier</w:t>
      </w:r>
    </w:p>
    <w:p w:rsidR="000B424C" w:rsidRDefault="000B424C" w:rsidP="000B424C">
      <w:pPr>
        <w:pStyle w:val="Brdtekst"/>
        <w:spacing w:before="2" w:after="1"/>
        <w:rPr>
          <w:b/>
          <w:lang w:val="da-DK"/>
        </w:rPr>
      </w:pPr>
    </w:p>
    <w:tbl>
      <w:tblPr>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7635"/>
      </w:tblGrid>
      <w:tr w:rsidR="000B424C" w:rsidTr="000B424C">
        <w:trPr>
          <w:trHeight w:val="261"/>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rPr>
                <w:b/>
              </w:rPr>
            </w:pPr>
            <w:r>
              <w:rPr>
                <w:b/>
              </w:rPr>
              <w:t>Infektioner og parasitære sygdomme</w:t>
            </w:r>
          </w:p>
        </w:tc>
      </w:tr>
      <w:tr w:rsidR="000B424C" w:rsidRPr="006B16F7"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60" w:lineRule="exact"/>
              <w:ind w:right="469"/>
            </w:pPr>
            <w:r>
              <w:t>Meget 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Pr="000B424C" w:rsidRDefault="000B424C">
            <w:pPr>
              <w:pStyle w:val="TableParagraph"/>
              <w:spacing w:line="260" w:lineRule="exact"/>
              <w:ind w:left="111" w:right="392"/>
            </w:pPr>
            <w:r w:rsidRPr="000B424C">
              <w:t>Nasopharyngitis, infektion i øvre luftveje, pneumoni</w:t>
            </w:r>
            <w:r w:rsidRPr="000B424C">
              <w:rPr>
                <w:position w:val="8"/>
                <w:sz w:val="14"/>
              </w:rPr>
              <w:t>a</w:t>
            </w:r>
            <w:r w:rsidRPr="000B424C">
              <w:t>, urinvejsinfektion, sinuitis, faryngitis</w:t>
            </w:r>
          </w:p>
        </w:tc>
      </w:tr>
      <w:tr w:rsidR="000B424C" w:rsidRPr="006B16F7"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ind w:left="111"/>
              <w:rPr>
                <w:lang w:val="nb-NO"/>
              </w:rPr>
            </w:pPr>
            <w:r>
              <w:rPr>
                <w:lang w:val="nb-NO"/>
              </w:rPr>
              <w:t>Otitis media, cellulitis, streptokok-faryngitis, viral gastroenteritis, gingivitis</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Ikke</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rPr>
                <w:lang w:val="da-DK"/>
              </w:rPr>
            </w:pPr>
            <w:r>
              <w:rPr>
                <w:lang w:val="da-DK"/>
              </w:rPr>
              <w:t>Herpes zoster, sepsis, viral bronkitis</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Blod og lymfesystem</w:t>
            </w:r>
          </w:p>
        </w:tc>
      </w:tr>
      <w:tr w:rsidR="000B424C" w:rsidTr="000B424C">
        <w:trPr>
          <w:trHeight w:val="261"/>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line="236" w:lineRule="exact"/>
              <w:ind w:left="87"/>
            </w:pPr>
            <w:r>
              <w:t>Anæmi, neutropeni, leukopeni, trombocytopeni, lymfopeni</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Immunsystemet</w:t>
            </w:r>
          </w:p>
        </w:tc>
      </w:tr>
      <w:tr w:rsidR="000B424C" w:rsidTr="000B424C">
        <w:trPr>
          <w:trHeight w:val="261"/>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line="236" w:lineRule="exact"/>
              <w:ind w:left="87"/>
            </w:pPr>
            <w:r>
              <w:t>Overfølsomhed</w:t>
            </w:r>
          </w:p>
        </w:tc>
      </w:tr>
      <w:tr w:rsidR="000B424C" w:rsidTr="000B424C">
        <w:trPr>
          <w:trHeight w:val="259"/>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Metabolisme og ernæring</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60" w:lineRule="exact"/>
              <w:ind w:right="469"/>
            </w:pPr>
            <w:r>
              <w:t>Meget 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ind w:left="111"/>
            </w:pPr>
            <w:r>
              <w:t>Appetitløshed, hyperkolesterolæmi</w:t>
            </w:r>
          </w:p>
        </w:tc>
      </w:tr>
      <w:tr w:rsidR="000B424C"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38"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38" w:lineRule="exact"/>
              <w:ind w:left="111"/>
            </w:pPr>
            <w:r>
              <w:t>Hypertriglyceridæmi, hyperlipidæmi, hypofosfatæmi, hyperglykæmia</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Psykiske forstyrrelser</w:t>
            </w:r>
          </w:p>
        </w:tc>
      </w:tr>
      <w:tr w:rsidR="000B424C" w:rsidTr="000B424C">
        <w:trPr>
          <w:trHeight w:val="261"/>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ind w:left="111"/>
            </w:pPr>
            <w:r>
              <w:t>Søvnløshed, aggression, irritabilitet</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Nervesystemet</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Meget</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pPr>
            <w:r>
              <w:t>Hovedpine</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Ikke</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pPr>
            <w:r>
              <w:t>Dysgeusi</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Vaskulære sygdomme</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60" w:lineRule="exact"/>
              <w:ind w:right="469"/>
            </w:pPr>
            <w:r>
              <w:t>Meget 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6"/>
              <w:ind w:left="111"/>
            </w:pPr>
            <w:r>
              <w:t>Hypertension</w:t>
            </w:r>
          </w:p>
        </w:tc>
      </w:tr>
      <w:tr w:rsidR="000B424C" w:rsidTr="000B424C">
        <w:trPr>
          <w:trHeight w:val="259"/>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1" w:line="238"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1" w:line="238" w:lineRule="exact"/>
              <w:ind w:left="111"/>
            </w:pPr>
            <w:r>
              <w:t>Lymfødem</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Luftveje, thorax og mediastinum</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Meget</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pPr>
            <w:r>
              <w:t>Hoste</w:t>
            </w:r>
          </w:p>
        </w:tc>
      </w:tr>
      <w:tr w:rsidR="000B424C" w:rsidTr="000B424C">
        <w:trPr>
          <w:trHeight w:val="261"/>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ind w:left="111"/>
            </w:pPr>
            <w:r>
              <w:t>Epistaxis, pneumonitis</w:t>
            </w:r>
          </w:p>
        </w:tc>
      </w:tr>
      <w:tr w:rsidR="000B424C" w:rsidTr="000B424C">
        <w:trPr>
          <w:trHeight w:val="258"/>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Mave-tarm-kanalen</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Meget</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56" w:lineRule="exact"/>
              <w:ind w:left="111"/>
            </w:pPr>
            <w:r>
              <w:t>Stomatitis</w:t>
            </w:r>
            <w:r>
              <w:rPr>
                <w:position w:val="8"/>
                <w:sz w:val="14"/>
              </w:rPr>
              <w:t>b</w:t>
            </w:r>
            <w:r>
              <w:t>, diarré, opkastning</w:t>
            </w:r>
          </w:p>
        </w:tc>
      </w:tr>
      <w:tr w:rsidR="000B424C"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ind w:left="111"/>
              <w:rPr>
                <w:lang w:val="da-DK"/>
              </w:rPr>
            </w:pPr>
            <w:r>
              <w:rPr>
                <w:lang w:val="da-DK"/>
              </w:rPr>
              <w:t>Obstipation, kvalme, abdominalsmerter, flatulens, oral smerte, gastritis</w:t>
            </w:r>
          </w:p>
        </w:tc>
      </w:tr>
      <w:tr w:rsidR="000B424C" w:rsidTr="000B424C">
        <w:trPr>
          <w:trHeight w:val="259"/>
        </w:trPr>
        <w:tc>
          <w:tcPr>
            <w:tcW w:w="9182" w:type="dxa"/>
            <w:gridSpan w:val="2"/>
            <w:tcBorders>
              <w:top w:val="single" w:sz="4" w:space="0" w:color="000000"/>
              <w:left w:val="single" w:sz="4" w:space="0" w:color="000000"/>
              <w:bottom w:val="single" w:sz="6" w:space="0" w:color="000000"/>
              <w:right w:val="single" w:sz="4" w:space="0" w:color="000000"/>
            </w:tcBorders>
            <w:hideMark/>
          </w:tcPr>
          <w:p w:rsidR="000B424C" w:rsidRDefault="000B424C">
            <w:pPr>
              <w:pStyle w:val="TableParagraph"/>
              <w:spacing w:before="5" w:line="233" w:lineRule="exact"/>
              <w:rPr>
                <w:b/>
              </w:rPr>
            </w:pPr>
            <w:r>
              <w:rPr>
                <w:b/>
              </w:rPr>
              <w:t>Hud og subkutane væv</w:t>
            </w:r>
          </w:p>
        </w:tc>
      </w:tr>
      <w:tr w:rsidR="000B424C" w:rsidTr="000B424C">
        <w:trPr>
          <w:trHeight w:val="518"/>
        </w:trPr>
        <w:tc>
          <w:tcPr>
            <w:tcW w:w="1547" w:type="dxa"/>
            <w:tcBorders>
              <w:top w:val="single" w:sz="6" w:space="0" w:color="000000"/>
              <w:left w:val="single" w:sz="4" w:space="0" w:color="000000"/>
              <w:bottom w:val="single" w:sz="4" w:space="0" w:color="000000"/>
              <w:right w:val="single" w:sz="4" w:space="0" w:color="000000"/>
            </w:tcBorders>
            <w:hideMark/>
          </w:tcPr>
          <w:p w:rsidR="000B424C" w:rsidRDefault="000B424C">
            <w:pPr>
              <w:pStyle w:val="TableParagraph"/>
              <w:spacing w:before="1"/>
            </w:pPr>
            <w:r>
              <w:t>Meget</w:t>
            </w:r>
          </w:p>
          <w:p w:rsidR="000B424C" w:rsidRDefault="000B424C">
            <w:pPr>
              <w:pStyle w:val="TableParagraph"/>
              <w:spacing w:before="6" w:line="238" w:lineRule="exact"/>
            </w:pPr>
            <w:r>
              <w:t>Almindelig</w:t>
            </w:r>
          </w:p>
        </w:tc>
        <w:tc>
          <w:tcPr>
            <w:tcW w:w="7635" w:type="dxa"/>
            <w:tcBorders>
              <w:top w:val="single" w:sz="6" w:space="0" w:color="000000"/>
              <w:left w:val="single" w:sz="4" w:space="0" w:color="000000"/>
              <w:bottom w:val="single" w:sz="4" w:space="0" w:color="000000"/>
              <w:right w:val="single" w:sz="4" w:space="0" w:color="000000"/>
            </w:tcBorders>
            <w:hideMark/>
          </w:tcPr>
          <w:p w:rsidR="000B424C" w:rsidRDefault="000B424C">
            <w:pPr>
              <w:pStyle w:val="TableParagraph"/>
              <w:spacing w:line="254" w:lineRule="exact"/>
              <w:ind w:left="111"/>
            </w:pPr>
            <w:r>
              <w:t>Udslæt</w:t>
            </w:r>
            <w:r>
              <w:rPr>
                <w:position w:val="8"/>
                <w:sz w:val="14"/>
              </w:rPr>
              <w:t>c</w:t>
            </w:r>
            <w:r>
              <w:t>, akne</w:t>
            </w:r>
          </w:p>
        </w:tc>
      </w:tr>
      <w:tr w:rsidR="000B424C"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ind w:left="111"/>
              <w:rPr>
                <w:lang w:val="da-DK"/>
              </w:rPr>
            </w:pPr>
            <w:r>
              <w:rPr>
                <w:lang w:val="da-DK"/>
              </w:rPr>
              <w:t>Tør hud, akneiform dermatitis, pruritus, alopeci</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Ikke</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pPr>
            <w:r>
              <w:t>Angioødem</w:t>
            </w:r>
          </w:p>
        </w:tc>
      </w:tr>
      <w:tr w:rsidR="000B424C" w:rsidTr="000B424C">
        <w:trPr>
          <w:trHeight w:val="261"/>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8" w:lineRule="exact"/>
              <w:rPr>
                <w:b/>
                <w:lang w:val="da-DK"/>
              </w:rPr>
            </w:pPr>
            <w:r>
              <w:rPr>
                <w:b/>
                <w:lang w:val="da-DK"/>
              </w:rPr>
              <w:t>Knogler, led, muskler og bindevæv</w:t>
            </w:r>
          </w:p>
        </w:tc>
      </w:tr>
      <w:tr w:rsidR="000B424C" w:rsidTr="000B424C">
        <w:trPr>
          <w:trHeight w:val="51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60" w:lineRule="exact"/>
              <w:ind w:right="469"/>
            </w:pPr>
            <w:r>
              <w:t>Ikke 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ind w:left="111"/>
            </w:pPr>
            <w:r>
              <w:t>Rabdomyolyse</w:t>
            </w:r>
          </w:p>
        </w:tc>
      </w:tr>
      <w:tr w:rsidR="000B424C" w:rsidTr="000B424C">
        <w:trPr>
          <w:trHeight w:val="259"/>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rPr>
                <w:b/>
              </w:rPr>
            </w:pPr>
            <w:r>
              <w:rPr>
                <w:b/>
              </w:rPr>
              <w:t>Nyrer og urinveje</w:t>
            </w:r>
          </w:p>
        </w:tc>
      </w:tr>
      <w:tr w:rsidR="000B424C"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ind w:left="111"/>
            </w:pPr>
            <w:r>
              <w:t>Proteinuri</w:t>
            </w:r>
          </w:p>
        </w:tc>
      </w:tr>
      <w:tr w:rsidR="000B424C" w:rsidTr="000B424C">
        <w:trPr>
          <w:trHeight w:val="261"/>
        </w:trPr>
        <w:tc>
          <w:tcPr>
            <w:tcW w:w="9182"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5" w:line="236" w:lineRule="exact"/>
              <w:rPr>
                <w:b/>
                <w:lang w:val="da-DK"/>
              </w:rPr>
            </w:pPr>
            <w:r>
              <w:rPr>
                <w:b/>
                <w:lang w:val="da-DK"/>
              </w:rPr>
              <w:t>Det reproduktive system og mammae</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1" w:line="260" w:lineRule="exact"/>
              <w:ind w:right="469"/>
            </w:pPr>
            <w:r>
              <w:t>Meget 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57" w:lineRule="exact"/>
              <w:ind w:left="111"/>
              <w:rPr>
                <w:sz w:val="14"/>
              </w:rPr>
            </w:pPr>
            <w:r>
              <w:t>Amenoré</w:t>
            </w:r>
            <w:r>
              <w:rPr>
                <w:position w:val="8"/>
                <w:sz w:val="14"/>
              </w:rPr>
              <w:t>d</w:t>
            </w:r>
            <w:r>
              <w:t>, uregelmæssige menstruationer</w:t>
            </w:r>
            <w:r>
              <w:rPr>
                <w:position w:val="8"/>
                <w:sz w:val="14"/>
              </w:rPr>
              <w:t>d</w:t>
            </w:r>
          </w:p>
        </w:tc>
      </w:tr>
      <w:tr w:rsidR="000B424C" w:rsidTr="000B424C">
        <w:trPr>
          <w:trHeight w:val="258"/>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line="236" w:lineRule="exact"/>
              <w:ind w:left="111"/>
            </w:pPr>
            <w:r>
              <w:t>Menoragi, ovariecyste, vaginalblødning</w:t>
            </w:r>
          </w:p>
        </w:tc>
      </w:tr>
      <w:tr w:rsidR="000B424C" w:rsidTr="000B424C">
        <w:trPr>
          <w:trHeight w:val="520"/>
        </w:trPr>
        <w:tc>
          <w:tcPr>
            <w:tcW w:w="1547"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before="3"/>
            </w:pPr>
            <w:r>
              <w:t>Ikke</w:t>
            </w:r>
          </w:p>
          <w:p w:rsidR="000B424C" w:rsidRDefault="000B424C">
            <w:pPr>
              <w:pStyle w:val="TableParagraph"/>
              <w:spacing w:before="9" w:line="236" w:lineRule="exact"/>
            </w:pPr>
            <w:r>
              <w:t>Almindelig</w:t>
            </w:r>
          </w:p>
        </w:tc>
        <w:tc>
          <w:tcPr>
            <w:tcW w:w="7635"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56" w:lineRule="exact"/>
              <w:ind w:left="111"/>
              <w:rPr>
                <w:sz w:val="14"/>
              </w:rPr>
            </w:pPr>
            <w:r>
              <w:t>Forsinkede menstruationer</w:t>
            </w:r>
            <w:r>
              <w:rPr>
                <w:position w:val="8"/>
                <w:sz w:val="14"/>
              </w:rPr>
              <w:t>d</w:t>
            </w:r>
          </w:p>
        </w:tc>
      </w:tr>
      <w:tr w:rsidR="000B424C" w:rsidTr="000B424C">
        <w:trPr>
          <w:trHeight w:val="261"/>
        </w:trPr>
        <w:tc>
          <w:tcPr>
            <w:tcW w:w="9181"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1" w:lineRule="exact"/>
              <w:rPr>
                <w:b/>
                <w:lang w:val="da-DK"/>
              </w:rPr>
            </w:pPr>
            <w:r>
              <w:rPr>
                <w:b/>
                <w:lang w:val="da-DK"/>
              </w:rPr>
              <w:t>Almene symptomer og reaktioner på administrationsstedet</w:t>
            </w:r>
          </w:p>
        </w:tc>
      </w:tr>
      <w:tr w:rsidR="000B424C" w:rsidTr="000B424C">
        <w:trPr>
          <w:trHeight w:val="520"/>
        </w:trPr>
        <w:tc>
          <w:tcPr>
            <w:tcW w:w="1550"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9" w:lineRule="exact"/>
            </w:pPr>
            <w:r>
              <w:lastRenderedPageBreak/>
              <w:t>Meget</w:t>
            </w:r>
          </w:p>
          <w:p w:rsidR="000B424C" w:rsidRDefault="000B424C">
            <w:pPr>
              <w:pStyle w:val="TableParagraph"/>
              <w:spacing w:before="6" w:line="246" w:lineRule="exact"/>
            </w:pPr>
            <w:r>
              <w:t>Almindelig</w:t>
            </w:r>
          </w:p>
        </w:tc>
        <w:tc>
          <w:tcPr>
            <w:tcW w:w="7631"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9" w:lineRule="exact"/>
              <w:ind w:left="108"/>
            </w:pPr>
            <w:r>
              <w:t>Pyreksi, træthed</w:t>
            </w:r>
          </w:p>
        </w:tc>
      </w:tr>
      <w:tr w:rsidR="000B424C" w:rsidTr="000B424C">
        <w:trPr>
          <w:trHeight w:val="258"/>
        </w:trPr>
        <w:tc>
          <w:tcPr>
            <w:tcW w:w="9181"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39" w:lineRule="exact"/>
              <w:rPr>
                <w:b/>
              </w:rPr>
            </w:pPr>
            <w:r>
              <w:rPr>
                <w:b/>
              </w:rPr>
              <w:t>Undersøgelser</w:t>
            </w:r>
          </w:p>
        </w:tc>
      </w:tr>
      <w:tr w:rsidR="000B424C" w:rsidTr="000B424C">
        <w:trPr>
          <w:trHeight w:val="261"/>
        </w:trPr>
        <w:tc>
          <w:tcPr>
            <w:tcW w:w="1550"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1" w:lineRule="exact"/>
            </w:pPr>
            <w:r>
              <w:t>Almindelig</w:t>
            </w:r>
          </w:p>
        </w:tc>
        <w:tc>
          <w:tcPr>
            <w:tcW w:w="7631"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1" w:lineRule="exact"/>
              <w:ind w:left="108"/>
              <w:rPr>
                <w:lang w:val="da-DK"/>
              </w:rPr>
            </w:pPr>
            <w:r>
              <w:rPr>
                <w:lang w:val="da-DK"/>
              </w:rPr>
              <w:t>Forhøjet blod-laktatdehydrogenase, forhøjet luteiniserende hormon, nedsat vægt</w:t>
            </w:r>
          </w:p>
        </w:tc>
      </w:tr>
      <w:tr w:rsidR="000B424C" w:rsidTr="000B424C">
        <w:trPr>
          <w:trHeight w:val="520"/>
        </w:trPr>
        <w:tc>
          <w:tcPr>
            <w:tcW w:w="1550"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8" w:lineRule="exact"/>
            </w:pPr>
            <w:r>
              <w:t>Ikke</w:t>
            </w:r>
          </w:p>
          <w:p w:rsidR="000B424C" w:rsidRDefault="000B424C">
            <w:pPr>
              <w:pStyle w:val="TableParagraph"/>
              <w:spacing w:before="6" w:line="246" w:lineRule="exact"/>
            </w:pPr>
            <w:r>
              <w:t>Almindelig</w:t>
            </w:r>
          </w:p>
        </w:tc>
        <w:tc>
          <w:tcPr>
            <w:tcW w:w="7631"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8" w:lineRule="exact"/>
              <w:ind w:left="108"/>
            </w:pPr>
            <w:r>
              <w:t>Forhøjet blodfollikel-stimulerende hormon</w:t>
            </w:r>
          </w:p>
        </w:tc>
      </w:tr>
      <w:tr w:rsidR="000B424C" w:rsidTr="000B424C">
        <w:trPr>
          <w:trHeight w:val="258"/>
        </w:trPr>
        <w:tc>
          <w:tcPr>
            <w:tcW w:w="9181"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39" w:lineRule="exact"/>
              <w:rPr>
                <w:b/>
              </w:rPr>
            </w:pPr>
            <w:r>
              <w:rPr>
                <w:b/>
              </w:rPr>
              <w:t>Traumer, forgiftninger og behandlingskomplikationer</w:t>
            </w:r>
          </w:p>
        </w:tc>
      </w:tr>
      <w:tr w:rsidR="000B424C" w:rsidTr="000B424C">
        <w:trPr>
          <w:trHeight w:val="261"/>
        </w:trPr>
        <w:tc>
          <w:tcPr>
            <w:tcW w:w="1550"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1" w:lineRule="exact"/>
              <w:rPr>
                <w:sz w:val="14"/>
              </w:rPr>
            </w:pPr>
            <w:r>
              <w:t>Ikke kendt</w:t>
            </w:r>
            <w:r>
              <w:rPr>
                <w:position w:val="8"/>
                <w:sz w:val="14"/>
              </w:rPr>
              <w:t>e</w:t>
            </w:r>
          </w:p>
        </w:tc>
        <w:tc>
          <w:tcPr>
            <w:tcW w:w="7631" w:type="dxa"/>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spacing w:line="241" w:lineRule="exact"/>
              <w:ind w:left="108"/>
              <w:rPr>
                <w:iCs/>
                <w:lang w:val="da-DK"/>
              </w:rPr>
            </w:pPr>
            <w:r>
              <w:rPr>
                <w:iCs/>
                <w:lang w:val="da-DK"/>
              </w:rPr>
              <w:t>Radiation recall syndrome, forstærket stråletoksicitet</w:t>
            </w:r>
          </w:p>
        </w:tc>
      </w:tr>
      <w:tr w:rsidR="000B424C" w:rsidTr="000B424C">
        <w:trPr>
          <w:trHeight w:val="2081"/>
        </w:trPr>
        <w:tc>
          <w:tcPr>
            <w:tcW w:w="9181" w:type="dxa"/>
            <w:gridSpan w:val="2"/>
            <w:tcBorders>
              <w:top w:val="single" w:sz="4" w:space="0" w:color="000000"/>
              <w:left w:val="single" w:sz="4" w:space="0" w:color="000000"/>
              <w:bottom w:val="single" w:sz="4" w:space="0" w:color="000000"/>
              <w:right w:val="single" w:sz="4" w:space="0" w:color="000000"/>
            </w:tcBorders>
            <w:hideMark/>
          </w:tcPr>
          <w:p w:rsidR="000B424C" w:rsidRDefault="000B424C">
            <w:pPr>
              <w:pStyle w:val="TableParagraph"/>
              <w:tabs>
                <w:tab w:val="left" w:pos="674"/>
              </w:tabs>
              <w:spacing w:line="248" w:lineRule="exact"/>
              <w:rPr>
                <w:lang w:val="da-DK"/>
              </w:rPr>
            </w:pPr>
            <w:r>
              <w:rPr>
                <w:position w:val="8"/>
                <w:sz w:val="14"/>
                <w:lang w:val="da-DK"/>
              </w:rPr>
              <w:t>a</w:t>
            </w:r>
            <w:r>
              <w:rPr>
                <w:position w:val="8"/>
                <w:sz w:val="14"/>
                <w:lang w:val="da-DK"/>
              </w:rPr>
              <w:tab/>
            </w:r>
            <w:r>
              <w:rPr>
                <w:lang w:val="da-DK"/>
              </w:rPr>
              <w:t>Inklusive PJP/PCP</w:t>
            </w:r>
          </w:p>
          <w:p w:rsidR="000B424C" w:rsidRDefault="000B424C">
            <w:pPr>
              <w:pStyle w:val="TableParagraph"/>
              <w:tabs>
                <w:tab w:val="left" w:pos="674"/>
              </w:tabs>
              <w:spacing w:before="1" w:line="242" w:lineRule="auto"/>
              <w:ind w:left="674" w:right="1282" w:hanging="567"/>
              <w:rPr>
                <w:lang w:val="da-DK"/>
              </w:rPr>
            </w:pPr>
            <w:r>
              <w:rPr>
                <w:position w:val="8"/>
                <w:sz w:val="14"/>
                <w:lang w:val="da-DK"/>
              </w:rPr>
              <w:t>b</w:t>
            </w:r>
            <w:r>
              <w:rPr>
                <w:position w:val="8"/>
                <w:sz w:val="14"/>
                <w:lang w:val="da-DK"/>
              </w:rPr>
              <w:tab/>
            </w:r>
            <w:r>
              <w:rPr>
                <w:lang w:val="da-DK"/>
              </w:rPr>
              <w:t>Inklusive (meget almindelig) stomatitis, mundulceration, aftøs ulcus;</w:t>
            </w:r>
            <w:r>
              <w:rPr>
                <w:spacing w:val="-30"/>
                <w:lang w:val="da-DK"/>
              </w:rPr>
              <w:t xml:space="preserve"> </w:t>
            </w:r>
            <w:r>
              <w:rPr>
                <w:lang w:val="da-DK"/>
              </w:rPr>
              <w:t>(almindelig) tungeulceration, læbeulceration og (ikke almindelig) gingivalsmerter,</w:t>
            </w:r>
            <w:r>
              <w:rPr>
                <w:spacing w:val="-18"/>
                <w:lang w:val="da-DK"/>
              </w:rPr>
              <w:t xml:space="preserve"> </w:t>
            </w:r>
            <w:r>
              <w:rPr>
                <w:lang w:val="da-DK"/>
              </w:rPr>
              <w:t>glossitis</w:t>
            </w:r>
          </w:p>
          <w:p w:rsidR="000B424C" w:rsidRDefault="000B424C">
            <w:pPr>
              <w:pStyle w:val="TableParagraph"/>
              <w:tabs>
                <w:tab w:val="left" w:pos="674"/>
              </w:tabs>
              <w:spacing w:line="244" w:lineRule="auto"/>
              <w:ind w:left="674" w:right="835" w:hanging="567"/>
              <w:rPr>
                <w:lang w:val="da-DK"/>
              </w:rPr>
            </w:pPr>
            <w:r>
              <w:rPr>
                <w:position w:val="8"/>
                <w:sz w:val="14"/>
                <w:lang w:val="da-DK"/>
              </w:rPr>
              <w:t>c</w:t>
            </w:r>
            <w:r>
              <w:rPr>
                <w:position w:val="8"/>
                <w:sz w:val="14"/>
                <w:lang w:val="da-DK"/>
              </w:rPr>
              <w:tab/>
            </w:r>
            <w:r>
              <w:rPr>
                <w:lang w:val="da-DK"/>
              </w:rPr>
              <w:t>Inklusive (meget almindelig) udslæt, (almindeligt) erytematøst udslæt, erytem og (ikke almindelig) generaliseret udslæt, makulopapuløst udslæt, makuløst</w:t>
            </w:r>
            <w:r>
              <w:rPr>
                <w:spacing w:val="-8"/>
                <w:lang w:val="da-DK"/>
              </w:rPr>
              <w:t xml:space="preserve"> </w:t>
            </w:r>
            <w:r>
              <w:rPr>
                <w:lang w:val="da-DK"/>
              </w:rPr>
              <w:t>udslæt</w:t>
            </w:r>
          </w:p>
          <w:p w:rsidR="000B424C" w:rsidRDefault="000B424C">
            <w:pPr>
              <w:pStyle w:val="TableParagraph"/>
              <w:tabs>
                <w:tab w:val="left" w:pos="674"/>
              </w:tabs>
              <w:spacing w:line="244" w:lineRule="auto"/>
              <w:ind w:left="674" w:right="359" w:hanging="567"/>
              <w:rPr>
                <w:lang w:val="da-DK"/>
              </w:rPr>
            </w:pPr>
            <w:r>
              <w:rPr>
                <w:position w:val="8"/>
                <w:sz w:val="14"/>
                <w:lang w:val="da-DK"/>
              </w:rPr>
              <w:t>d</w:t>
            </w:r>
            <w:r>
              <w:rPr>
                <w:position w:val="8"/>
                <w:sz w:val="14"/>
                <w:lang w:val="da-DK"/>
              </w:rPr>
              <w:tab/>
            </w:r>
            <w:r>
              <w:rPr>
                <w:lang w:val="da-DK"/>
              </w:rPr>
              <w:t>Hyppigheden er baseret på antallet af kvinder i de samlede data, der var mellem 10 og 55 år, mens de var i</w:t>
            </w:r>
            <w:r>
              <w:rPr>
                <w:spacing w:val="-3"/>
                <w:lang w:val="da-DK"/>
              </w:rPr>
              <w:t xml:space="preserve"> </w:t>
            </w:r>
            <w:r>
              <w:rPr>
                <w:lang w:val="da-DK"/>
              </w:rPr>
              <w:t>behandling</w:t>
            </w:r>
          </w:p>
          <w:p w:rsidR="000B424C" w:rsidRDefault="000B424C">
            <w:pPr>
              <w:pStyle w:val="TableParagraph"/>
              <w:tabs>
                <w:tab w:val="left" w:pos="674"/>
              </w:tabs>
              <w:spacing w:line="246" w:lineRule="exact"/>
              <w:rPr>
                <w:lang w:val="da-DK"/>
              </w:rPr>
            </w:pPr>
            <w:r>
              <w:rPr>
                <w:position w:val="8"/>
                <w:sz w:val="14"/>
                <w:lang w:val="da-DK"/>
              </w:rPr>
              <w:t>e</w:t>
            </w:r>
            <w:r>
              <w:rPr>
                <w:position w:val="8"/>
                <w:sz w:val="14"/>
                <w:lang w:val="da-DK"/>
              </w:rPr>
              <w:tab/>
            </w:r>
            <w:r>
              <w:rPr>
                <w:lang w:val="da-DK"/>
              </w:rPr>
              <w:t>Bivirkning, der blev identificeret efter</w:t>
            </w:r>
            <w:r>
              <w:rPr>
                <w:spacing w:val="-4"/>
                <w:lang w:val="da-DK"/>
              </w:rPr>
              <w:t xml:space="preserve"> </w:t>
            </w:r>
            <w:r>
              <w:rPr>
                <w:lang w:val="da-DK"/>
              </w:rPr>
              <w:t>markedsføring</w:t>
            </w:r>
          </w:p>
        </w:tc>
      </w:tr>
    </w:tbl>
    <w:p w:rsidR="000B424C" w:rsidRDefault="000B424C" w:rsidP="000B424C">
      <w:pPr>
        <w:pStyle w:val="Brdtekst"/>
        <w:spacing w:before="1"/>
        <w:rPr>
          <w:b/>
          <w:sz w:val="13"/>
          <w:lang w:val="da-DK"/>
        </w:rPr>
      </w:pPr>
    </w:p>
    <w:p w:rsidR="000B424C" w:rsidRDefault="000B424C" w:rsidP="000B424C">
      <w:pPr>
        <w:pStyle w:val="Brdtekst"/>
        <w:spacing w:before="92"/>
        <w:ind w:left="851"/>
        <w:rPr>
          <w:sz w:val="24"/>
          <w:szCs w:val="24"/>
          <w:lang w:val="da-DK"/>
        </w:rPr>
      </w:pPr>
      <w:r>
        <w:rPr>
          <w:sz w:val="24"/>
          <w:szCs w:val="24"/>
          <w:u w:val="single"/>
          <w:lang w:val="da-DK"/>
        </w:rPr>
        <w:t>Beskrivelse af udvalgte bivirkninger</w:t>
      </w:r>
    </w:p>
    <w:p w:rsidR="000B424C" w:rsidRDefault="000B424C" w:rsidP="000B424C">
      <w:pPr>
        <w:pStyle w:val="Brdtekst"/>
        <w:ind w:left="851" w:right="-1"/>
        <w:rPr>
          <w:sz w:val="24"/>
          <w:szCs w:val="24"/>
          <w:lang w:val="da-DK"/>
        </w:rPr>
      </w:pPr>
      <w:r>
        <w:rPr>
          <w:sz w:val="24"/>
          <w:szCs w:val="24"/>
          <w:lang w:val="da-DK"/>
        </w:rPr>
        <w:t>I kliniske studier er everolimus blevet forbundet med alvorlige tilfælde af hepatitis B reaktivering, inklusive dødelige tilfælde. Reaktivering af infektion er en forventet reaktion i perioder med immunsuppression.</w:t>
      </w:r>
    </w:p>
    <w:p w:rsidR="000B424C" w:rsidRDefault="000B424C" w:rsidP="000B424C">
      <w:pPr>
        <w:pStyle w:val="Brdtekst"/>
        <w:spacing w:before="1"/>
        <w:rPr>
          <w:sz w:val="24"/>
          <w:szCs w:val="24"/>
          <w:lang w:val="da-DK"/>
        </w:rPr>
      </w:pPr>
    </w:p>
    <w:p w:rsidR="000B424C" w:rsidRDefault="000B424C" w:rsidP="000B424C">
      <w:pPr>
        <w:pStyle w:val="Brdtekst"/>
        <w:ind w:left="851" w:right="-1"/>
        <w:rPr>
          <w:sz w:val="24"/>
          <w:szCs w:val="24"/>
          <w:lang w:val="da-DK"/>
        </w:rPr>
      </w:pPr>
      <w:r>
        <w:rPr>
          <w:sz w:val="24"/>
          <w:szCs w:val="24"/>
          <w:lang w:val="da-DK"/>
        </w:rPr>
        <w:t>I kliniske studier og post-marketing spontane rapporter er everolimus blevet forbundet med tilfælde af nyresvigt (inklusive letale tilfælde), proteinuria og stigning i serumkreatinin. Det anbefales at monitorere nyrefunktionen (se pkt. 4.4).</w:t>
      </w:r>
    </w:p>
    <w:p w:rsidR="000B424C" w:rsidRDefault="000B424C" w:rsidP="000B424C">
      <w:pPr>
        <w:pStyle w:val="Brdtekst"/>
        <w:spacing w:before="10"/>
        <w:ind w:left="851"/>
        <w:rPr>
          <w:sz w:val="24"/>
          <w:szCs w:val="24"/>
          <w:lang w:val="da-DK"/>
        </w:rPr>
      </w:pPr>
    </w:p>
    <w:p w:rsidR="000B424C" w:rsidRDefault="000B424C" w:rsidP="000B424C">
      <w:pPr>
        <w:pStyle w:val="Brdtekst"/>
        <w:spacing w:before="1"/>
        <w:ind w:left="851" w:right="-1"/>
        <w:rPr>
          <w:sz w:val="24"/>
          <w:szCs w:val="24"/>
          <w:lang w:val="da-DK"/>
        </w:rPr>
      </w:pPr>
      <w:r>
        <w:rPr>
          <w:sz w:val="24"/>
          <w:szCs w:val="24"/>
          <w:lang w:val="da-DK"/>
        </w:rPr>
        <w:t>I kliniske studier er everolimus forbundet med tilfælde af hæmoragi. I sjældne tilfælde er der observeret dødelige tilfælde i forbindelse med onkologiske diagnoser (se pkt. 4.4). Der er ikke rapporteret nogen alvorlige tilfælde af renal hæmoragi i forbindelse med TSC.</w:t>
      </w:r>
    </w:p>
    <w:p w:rsidR="000B424C" w:rsidRDefault="000B424C" w:rsidP="000B424C">
      <w:pPr>
        <w:pStyle w:val="Brdtekst"/>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kliniske studier og spontane rapporter modtaget efter markedsføring er everolimus blevet associeret med tilfælde af PJP/PCP, hvoraf nogle var med fatal udgang (se pkt 4.4).</w:t>
      </w:r>
    </w:p>
    <w:p w:rsidR="000B424C" w:rsidRDefault="000B424C" w:rsidP="000B424C">
      <w:pPr>
        <w:pStyle w:val="Brdtekst"/>
        <w:spacing w:before="10"/>
        <w:rPr>
          <w:sz w:val="24"/>
          <w:szCs w:val="24"/>
          <w:lang w:val="da-DK"/>
        </w:rPr>
      </w:pPr>
    </w:p>
    <w:p w:rsidR="000B424C" w:rsidRDefault="000B424C" w:rsidP="000B424C">
      <w:pPr>
        <w:pStyle w:val="Brdtekst"/>
        <w:ind w:left="851" w:right="-1"/>
        <w:rPr>
          <w:sz w:val="24"/>
          <w:szCs w:val="24"/>
          <w:lang w:val="da-DK"/>
        </w:rPr>
      </w:pPr>
      <w:r>
        <w:rPr>
          <w:sz w:val="24"/>
          <w:szCs w:val="24"/>
          <w:lang w:val="da-DK"/>
        </w:rPr>
        <w:t>Yderligere relevante bivirkninger, observeret i kliniske, onkologiske studier og postmarketing spontane rapporter omfattede hjertesvigt, lungeemboli, dyb venetrombose, nedsat sårheling og hyperglykæmi.</w:t>
      </w:r>
    </w:p>
    <w:p w:rsidR="000B424C" w:rsidRDefault="000B424C" w:rsidP="000B424C">
      <w:pPr>
        <w:pStyle w:val="Brdtekst"/>
        <w:spacing w:before="2"/>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kliniske forsøg og post-marketing spontane rapporter er angioødem blevet rapporteret både med og uden samtidig behandling med ACE-hæmmere (se pkt. 4.4).</w:t>
      </w:r>
    </w:p>
    <w:p w:rsidR="000B424C" w:rsidRDefault="000B424C" w:rsidP="000B424C">
      <w:pPr>
        <w:pStyle w:val="Brdtekst"/>
        <w:spacing w:before="11"/>
        <w:ind w:left="851"/>
        <w:rPr>
          <w:sz w:val="24"/>
          <w:szCs w:val="24"/>
          <w:lang w:val="da-DK"/>
        </w:rPr>
      </w:pPr>
    </w:p>
    <w:p w:rsidR="000B424C" w:rsidRDefault="000B424C" w:rsidP="000B424C">
      <w:pPr>
        <w:pStyle w:val="Brdtekst"/>
        <w:ind w:left="851"/>
        <w:rPr>
          <w:sz w:val="24"/>
          <w:szCs w:val="24"/>
          <w:lang w:val="da-DK"/>
        </w:rPr>
      </w:pPr>
      <w:r>
        <w:rPr>
          <w:sz w:val="24"/>
          <w:szCs w:val="24"/>
          <w:u w:val="single"/>
          <w:lang w:val="da-DK"/>
        </w:rPr>
        <w:t>Pædiatrisk population</w:t>
      </w:r>
    </w:p>
    <w:p w:rsidR="000B424C" w:rsidRDefault="000B424C" w:rsidP="000B424C">
      <w:pPr>
        <w:pStyle w:val="Brdtekst"/>
        <w:ind w:left="851" w:right="-1"/>
        <w:rPr>
          <w:sz w:val="24"/>
          <w:szCs w:val="24"/>
          <w:lang w:val="da-DK"/>
        </w:rPr>
      </w:pPr>
      <w:r>
        <w:rPr>
          <w:sz w:val="24"/>
          <w:szCs w:val="24"/>
          <w:lang w:val="da-DK"/>
        </w:rPr>
        <w:t xml:space="preserve">I </w:t>
      </w:r>
      <w:proofErr w:type="gramStart"/>
      <w:r>
        <w:rPr>
          <w:sz w:val="24"/>
          <w:szCs w:val="24"/>
          <w:lang w:val="da-DK"/>
        </w:rPr>
        <w:t>det pivotale</w:t>
      </w:r>
      <w:proofErr w:type="gramEnd"/>
      <w:r>
        <w:rPr>
          <w:sz w:val="24"/>
          <w:szCs w:val="24"/>
          <w:lang w:val="da-DK"/>
        </w:rPr>
        <w:t xml:space="preserve"> fase II-studie, var 22 af de 28 undersøgte SEGA-patienter under 18 år og i det pivotale fase III-studie, var 101 af de 117 undersøgte SEGA-patienter under 18 år. I </w:t>
      </w:r>
      <w:proofErr w:type="gramStart"/>
      <w:r>
        <w:rPr>
          <w:sz w:val="24"/>
          <w:szCs w:val="24"/>
          <w:lang w:val="da-DK"/>
        </w:rPr>
        <w:t>det pivotale</w:t>
      </w:r>
      <w:proofErr w:type="gramEnd"/>
      <w:r>
        <w:rPr>
          <w:sz w:val="24"/>
          <w:szCs w:val="24"/>
          <w:lang w:val="da-DK"/>
        </w:rPr>
        <w:t xml:space="preserve"> fase III-studie med patienter med TSC og refraktære anfald var 299 ud af de 366 undersøgte patienter under 18</w:t>
      </w:r>
      <w:r>
        <w:rPr>
          <w:spacing w:val="-15"/>
          <w:sz w:val="24"/>
          <w:szCs w:val="24"/>
          <w:lang w:val="da-DK"/>
        </w:rPr>
        <w:t xml:space="preserve"> </w:t>
      </w:r>
      <w:r>
        <w:rPr>
          <w:sz w:val="24"/>
          <w:szCs w:val="24"/>
          <w:lang w:val="da-DK"/>
        </w:rPr>
        <w:t>år. Overordnet har type, frekvens og sværhedsgrad af bivirkninger observeret hos børn og unge generelt været de samme som observeret hos voksne med undtagelse af infektioner, som blev rapporteret med en højere hyppighed og alvorlighed, især hos børn under 6 år. I alt havde 49 ud af 137 patienter (36 %) i alderen &lt;6 år grad 3-4 infektioner, sammenlignet med 53 ud af 272 patienter (19 %) i alderen 6</w:t>
      </w:r>
      <w:r>
        <w:rPr>
          <w:spacing w:val="-23"/>
          <w:sz w:val="24"/>
          <w:szCs w:val="24"/>
          <w:lang w:val="da-DK"/>
        </w:rPr>
        <w:t xml:space="preserve"> </w:t>
      </w:r>
      <w:r>
        <w:rPr>
          <w:sz w:val="24"/>
          <w:szCs w:val="24"/>
          <w:lang w:val="da-DK"/>
        </w:rPr>
        <w:t>til &lt;18 år og 27 ud af 203 patienter (13 %) i alderen ≥18 år. Ud af 409 patienter i alderen 18 år, som blev behandlet med everolimus, blev der indberettet to dødsfald som følge af infektion.</w:t>
      </w:r>
    </w:p>
    <w:p w:rsidR="000B424C" w:rsidRDefault="000B424C" w:rsidP="000B424C">
      <w:pPr>
        <w:ind w:left="851"/>
        <w:rPr>
          <w:sz w:val="24"/>
          <w:szCs w:val="24"/>
        </w:rPr>
      </w:pPr>
    </w:p>
    <w:p w:rsidR="000B424C" w:rsidRDefault="000B424C" w:rsidP="000B424C">
      <w:pPr>
        <w:pStyle w:val="Brdtekst"/>
        <w:ind w:left="298" w:firstLine="553"/>
        <w:rPr>
          <w:sz w:val="24"/>
          <w:szCs w:val="24"/>
          <w:lang w:val="da-DK"/>
        </w:rPr>
      </w:pPr>
      <w:r>
        <w:rPr>
          <w:sz w:val="24"/>
          <w:szCs w:val="24"/>
          <w:u w:val="single"/>
          <w:lang w:val="da-DK"/>
        </w:rPr>
        <w:t>Ældre</w:t>
      </w:r>
    </w:p>
    <w:p w:rsidR="000B424C" w:rsidRDefault="000B424C" w:rsidP="000B424C">
      <w:pPr>
        <w:pStyle w:val="Brdtekst"/>
        <w:ind w:left="851"/>
        <w:rPr>
          <w:sz w:val="24"/>
          <w:szCs w:val="24"/>
          <w:lang w:val="da-DK"/>
        </w:rPr>
      </w:pPr>
      <w:r>
        <w:rPr>
          <w:sz w:val="24"/>
          <w:szCs w:val="24"/>
          <w:lang w:val="da-DK"/>
        </w:rPr>
        <w:t xml:space="preserve">For de samlede onkologiske bivirkninger var 37 % af patienterne, som blev behandlet med everolimus ≥65 år. Antallet af onkologiske patienter med en bivirkning, som medførte seponering af everolimus, var højere hos patienter ≥65 år (20 % </w:t>
      </w:r>
      <w:r>
        <w:rPr>
          <w:i/>
          <w:sz w:val="24"/>
          <w:szCs w:val="24"/>
          <w:lang w:val="da-DK"/>
        </w:rPr>
        <w:t xml:space="preserve">versus </w:t>
      </w:r>
      <w:r>
        <w:rPr>
          <w:sz w:val="24"/>
          <w:szCs w:val="24"/>
          <w:lang w:val="da-DK"/>
        </w:rPr>
        <w:t>13 %). De bivirkninger, som hyppigst medførte seponering var pneumonitis (inkl. interstitiel lungesygdom), træthed, dyspnø og stomatitis.</w:t>
      </w:r>
    </w:p>
    <w:p w:rsidR="003760D5" w:rsidRPr="007A5121" w:rsidRDefault="003760D5" w:rsidP="003760D5">
      <w:pPr>
        <w:ind w:left="851"/>
        <w:rPr>
          <w:sz w:val="24"/>
          <w:szCs w:val="24"/>
        </w:rPr>
      </w:pPr>
    </w:p>
    <w:p w:rsidR="003760D5" w:rsidRPr="001851B3" w:rsidRDefault="003760D5" w:rsidP="003760D5">
      <w:pPr>
        <w:ind w:left="851"/>
        <w:rPr>
          <w:rStyle w:val="Strk"/>
          <w:b w:val="0"/>
          <w:sz w:val="24"/>
          <w:szCs w:val="24"/>
          <w:u w:val="single"/>
        </w:rPr>
      </w:pPr>
      <w:r w:rsidRPr="001851B3">
        <w:rPr>
          <w:rStyle w:val="Strk"/>
          <w:b w:val="0"/>
          <w:sz w:val="24"/>
          <w:szCs w:val="24"/>
          <w:u w:val="single"/>
        </w:rPr>
        <w:t>Indberetning af formodede bivirkninger</w:t>
      </w:r>
    </w:p>
    <w:p w:rsidR="003760D5" w:rsidRPr="007A5121" w:rsidRDefault="003760D5" w:rsidP="003760D5">
      <w:pPr>
        <w:ind w:left="851"/>
        <w:rPr>
          <w:sz w:val="24"/>
          <w:szCs w:val="24"/>
        </w:rPr>
      </w:pPr>
      <w:r w:rsidRPr="007A5121">
        <w:rPr>
          <w:sz w:val="24"/>
          <w:szCs w:val="24"/>
        </w:rPr>
        <w:t xml:space="preserve">Når lægemidlet er godkendt, er indberetning af formodede bivirkninger vigtig. Det muliggør løbende overvågning af benefit/risk-forholdet for lægemidlet. </w:t>
      </w:r>
      <w:r w:rsidR="00B47874">
        <w:rPr>
          <w:sz w:val="24"/>
          <w:szCs w:val="24"/>
        </w:rPr>
        <w:t>Sundhedspersoner</w:t>
      </w:r>
      <w:r w:rsidRPr="007A5121">
        <w:rPr>
          <w:sz w:val="24"/>
          <w:szCs w:val="24"/>
        </w:rPr>
        <w:t xml:space="preserve"> anmodes om at indberette alle formodede bivirkninger via:</w:t>
      </w:r>
    </w:p>
    <w:p w:rsidR="003760D5" w:rsidRPr="007A5121" w:rsidRDefault="003760D5" w:rsidP="003760D5">
      <w:pPr>
        <w:ind w:left="851"/>
        <w:rPr>
          <w:sz w:val="24"/>
          <w:szCs w:val="24"/>
        </w:rPr>
      </w:pPr>
    </w:p>
    <w:p w:rsidR="003760D5" w:rsidRPr="007A5121" w:rsidRDefault="003760D5" w:rsidP="003760D5">
      <w:pPr>
        <w:ind w:left="851"/>
        <w:rPr>
          <w:sz w:val="24"/>
          <w:szCs w:val="24"/>
        </w:rPr>
      </w:pPr>
      <w:r w:rsidRPr="007A5121">
        <w:rPr>
          <w:sz w:val="24"/>
          <w:szCs w:val="24"/>
        </w:rPr>
        <w:t>Lægemiddelstyrelsen</w:t>
      </w:r>
      <w:r w:rsidRPr="007A5121">
        <w:rPr>
          <w:sz w:val="24"/>
          <w:szCs w:val="24"/>
        </w:rPr>
        <w:br/>
        <w:t>Axel Heides Gade 1</w:t>
      </w:r>
      <w:r w:rsidRPr="007A5121">
        <w:rPr>
          <w:sz w:val="24"/>
          <w:szCs w:val="24"/>
        </w:rPr>
        <w:br/>
        <w:t>DK-2300 København S</w:t>
      </w:r>
      <w:r w:rsidRPr="007A5121">
        <w:rPr>
          <w:sz w:val="24"/>
          <w:szCs w:val="24"/>
        </w:rPr>
        <w:br/>
        <w:t xml:space="preserve">Websted: </w:t>
      </w:r>
      <w:hyperlink r:id="rId8" w:history="1">
        <w:r w:rsidRPr="007A5121">
          <w:rPr>
            <w:rStyle w:val="Hyperlink"/>
            <w:sz w:val="24"/>
            <w:szCs w:val="24"/>
          </w:rPr>
          <w:t>www.meldenbivirkning.dk</w:t>
        </w:r>
      </w:hyperlink>
    </w:p>
    <w:p w:rsidR="003760D5" w:rsidRPr="007A5121" w:rsidRDefault="003760D5" w:rsidP="003760D5">
      <w:pPr>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4.9</w:t>
      </w:r>
      <w:r w:rsidRPr="00C84483">
        <w:rPr>
          <w:b/>
          <w:sz w:val="24"/>
          <w:szCs w:val="24"/>
        </w:rPr>
        <w:tab/>
        <w:t>Overdosering</w:t>
      </w:r>
    </w:p>
    <w:p w:rsidR="000B424C" w:rsidRDefault="000B424C" w:rsidP="000B424C">
      <w:pPr>
        <w:pStyle w:val="Default"/>
        <w:ind w:left="851"/>
        <w:rPr>
          <w:b/>
          <w:bCs/>
          <w:i/>
          <w:iCs/>
        </w:rPr>
      </w:pPr>
    </w:p>
    <w:p w:rsidR="000B424C" w:rsidRDefault="000B424C" w:rsidP="000B424C">
      <w:pPr>
        <w:pStyle w:val="Default"/>
        <w:ind w:left="851"/>
      </w:pPr>
      <w:r>
        <w:rPr>
          <w:b/>
          <w:bCs/>
          <w:i/>
          <w:iCs/>
        </w:rPr>
        <w:t>Neuroendokrine tumorer</w:t>
      </w:r>
    </w:p>
    <w:p w:rsidR="000B424C" w:rsidRDefault="000B424C" w:rsidP="000B424C">
      <w:pPr>
        <w:tabs>
          <w:tab w:val="left" w:pos="851"/>
        </w:tabs>
        <w:ind w:left="851"/>
        <w:rPr>
          <w:sz w:val="24"/>
          <w:szCs w:val="24"/>
        </w:rPr>
      </w:pPr>
      <w:r>
        <w:rPr>
          <w:sz w:val="24"/>
          <w:szCs w:val="24"/>
        </w:rPr>
        <w:t>Rapporteret erfaring med overdosering hos mennesker er meget begrænset. Enkeltdoser på op til 70 mg er blevet givet med acceptabel akut tolerabilitet. Generel understøttende behandling skal iværksættes i alle tilfælde af overdosering.</w:t>
      </w:r>
    </w:p>
    <w:p w:rsidR="000B424C" w:rsidRDefault="000B424C" w:rsidP="000B424C">
      <w:pPr>
        <w:tabs>
          <w:tab w:val="left" w:pos="851"/>
        </w:tabs>
        <w:ind w:left="851"/>
        <w:rPr>
          <w:sz w:val="24"/>
          <w:szCs w:val="24"/>
        </w:rPr>
      </w:pPr>
    </w:p>
    <w:p w:rsidR="000B424C" w:rsidRDefault="000B424C" w:rsidP="000B424C">
      <w:pPr>
        <w:tabs>
          <w:tab w:val="left" w:pos="851"/>
        </w:tabs>
        <w:ind w:left="851"/>
        <w:rPr>
          <w:sz w:val="24"/>
          <w:szCs w:val="24"/>
        </w:rPr>
      </w:pPr>
      <w:r>
        <w:rPr>
          <w:b/>
          <w:bCs/>
          <w:i/>
          <w:sz w:val="24"/>
          <w:szCs w:val="24"/>
        </w:rPr>
        <w:t>Renal angiomyolipom/SEGA</w:t>
      </w:r>
    </w:p>
    <w:p w:rsidR="000B424C" w:rsidRDefault="000B424C" w:rsidP="000B424C">
      <w:pPr>
        <w:pStyle w:val="Brdtekst"/>
        <w:ind w:left="851" w:right="-1"/>
        <w:rPr>
          <w:sz w:val="24"/>
          <w:szCs w:val="24"/>
          <w:lang w:val="da-DK"/>
        </w:rPr>
      </w:pPr>
      <w:r>
        <w:rPr>
          <w:sz w:val="24"/>
          <w:szCs w:val="24"/>
          <w:lang w:val="da-DK"/>
        </w:rPr>
        <w:t>Rapporteret erfaring med overdosering hos mennesker er meget begrænset. Enkeltdoser på op til 70 mg er blevet givet med acceptabel akut tolerabilitet hos den voksne population.</w:t>
      </w:r>
    </w:p>
    <w:p w:rsidR="000B424C" w:rsidRDefault="000B424C" w:rsidP="000B424C">
      <w:pPr>
        <w:pStyle w:val="Brdtekst"/>
        <w:ind w:left="851" w:right="-1"/>
        <w:rPr>
          <w:sz w:val="24"/>
          <w:szCs w:val="24"/>
          <w:lang w:val="da-DK"/>
        </w:rPr>
      </w:pPr>
      <w:r>
        <w:rPr>
          <w:sz w:val="24"/>
          <w:szCs w:val="24"/>
          <w:lang w:val="da-DK"/>
        </w:rPr>
        <w:t>Det er yderst vigtigt at vurdere blodkoncentrationer af everolimus ved mistanke om overdosering. Generel understøttende behandling skal iværksættes i alle tilfælde af overdosering. Everolimus betragtes ikke som værende dialyserbar i relevant omfang (mindre end 10 % blev fjernet inden for 6 timers hæmodialyse).</w:t>
      </w:r>
    </w:p>
    <w:p w:rsidR="000B424C" w:rsidRDefault="000B424C" w:rsidP="000B424C">
      <w:pPr>
        <w:pStyle w:val="Brdtekst"/>
        <w:spacing w:before="11"/>
        <w:rPr>
          <w:sz w:val="24"/>
          <w:szCs w:val="24"/>
          <w:lang w:val="da-DK"/>
        </w:rPr>
      </w:pPr>
    </w:p>
    <w:p w:rsidR="000B424C" w:rsidRDefault="000B424C" w:rsidP="000B424C">
      <w:pPr>
        <w:pStyle w:val="Brdtekst"/>
        <w:ind w:left="298" w:firstLine="553"/>
        <w:rPr>
          <w:sz w:val="24"/>
          <w:szCs w:val="24"/>
          <w:lang w:val="da-DK"/>
        </w:rPr>
      </w:pPr>
      <w:r>
        <w:rPr>
          <w:sz w:val="24"/>
          <w:szCs w:val="24"/>
          <w:u w:val="single"/>
          <w:lang w:val="da-DK"/>
        </w:rPr>
        <w:t>Pædiatrisk population</w:t>
      </w:r>
    </w:p>
    <w:p w:rsidR="000B424C" w:rsidRDefault="000B424C" w:rsidP="000B424C">
      <w:pPr>
        <w:tabs>
          <w:tab w:val="left" w:pos="851"/>
        </w:tabs>
        <w:ind w:left="851"/>
      </w:pPr>
      <w:r>
        <w:rPr>
          <w:sz w:val="24"/>
          <w:szCs w:val="24"/>
        </w:rPr>
        <w:t>Et begrænset antal pædiatriske patienter er blevet eksponeret for doser på over 10 mg/m</w:t>
      </w:r>
      <w:r>
        <w:rPr>
          <w:sz w:val="24"/>
          <w:szCs w:val="24"/>
          <w:vertAlign w:val="superscript"/>
        </w:rPr>
        <w:t>2</w:t>
      </w:r>
      <w:r>
        <w:rPr>
          <w:sz w:val="24"/>
          <w:szCs w:val="24"/>
        </w:rPr>
        <w:t>/dag. Der blev ikke rapporteret tegn på akut toksicitet i disse tilfælde</w:t>
      </w:r>
      <w:r>
        <w:t>.</w:t>
      </w:r>
    </w:p>
    <w:p w:rsidR="003760D5" w:rsidRPr="000A6289"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4.10</w:t>
      </w:r>
      <w:r w:rsidRPr="00C84483">
        <w:rPr>
          <w:b/>
          <w:sz w:val="24"/>
          <w:szCs w:val="24"/>
        </w:rPr>
        <w:tab/>
        <w:t>Udlevering</w:t>
      </w:r>
    </w:p>
    <w:p w:rsidR="003760D5" w:rsidRPr="000622A2" w:rsidRDefault="003760D5" w:rsidP="003760D5">
      <w:pPr>
        <w:tabs>
          <w:tab w:val="left" w:pos="851"/>
        </w:tabs>
        <w:ind w:left="851"/>
        <w:rPr>
          <w:sz w:val="24"/>
          <w:szCs w:val="24"/>
        </w:rPr>
      </w:pPr>
      <w:r w:rsidRPr="000622A2">
        <w:rPr>
          <w:sz w:val="24"/>
          <w:szCs w:val="24"/>
        </w:rPr>
        <w:t>BEGR (kun til sygehuse)</w:t>
      </w:r>
    </w:p>
    <w:p w:rsidR="003760D5" w:rsidRPr="000622A2" w:rsidRDefault="003760D5" w:rsidP="003760D5">
      <w:pPr>
        <w:tabs>
          <w:tab w:val="left" w:pos="851"/>
        </w:tabs>
        <w:ind w:left="851"/>
        <w:rPr>
          <w:sz w:val="24"/>
          <w:szCs w:val="24"/>
        </w:rPr>
      </w:pPr>
    </w:p>
    <w:p w:rsidR="003760D5" w:rsidRPr="000622A2" w:rsidRDefault="003760D5" w:rsidP="003760D5">
      <w:pPr>
        <w:tabs>
          <w:tab w:val="left" w:pos="851"/>
        </w:tabs>
        <w:ind w:left="851"/>
        <w:rPr>
          <w:sz w:val="24"/>
          <w:szCs w:val="24"/>
        </w:rPr>
      </w:pPr>
    </w:p>
    <w:p w:rsidR="003760D5" w:rsidRPr="000622A2" w:rsidRDefault="003760D5" w:rsidP="003760D5">
      <w:pPr>
        <w:tabs>
          <w:tab w:val="left" w:pos="851"/>
        </w:tabs>
        <w:ind w:left="851" w:hanging="851"/>
        <w:rPr>
          <w:b/>
          <w:sz w:val="24"/>
          <w:szCs w:val="24"/>
        </w:rPr>
      </w:pPr>
      <w:r w:rsidRPr="000622A2">
        <w:rPr>
          <w:b/>
          <w:sz w:val="24"/>
          <w:szCs w:val="24"/>
        </w:rPr>
        <w:t>5.</w:t>
      </w:r>
      <w:r w:rsidRPr="000622A2">
        <w:rPr>
          <w:b/>
          <w:sz w:val="24"/>
          <w:szCs w:val="24"/>
        </w:rPr>
        <w:tab/>
        <w:t>FARMAKOLOGISKE EGENSKABER</w:t>
      </w:r>
    </w:p>
    <w:p w:rsidR="00A672FE" w:rsidRDefault="00A672FE" w:rsidP="00A672FE">
      <w:pPr>
        <w:tabs>
          <w:tab w:val="left" w:pos="851"/>
        </w:tabs>
        <w:rPr>
          <w:sz w:val="24"/>
          <w:szCs w:val="24"/>
        </w:rPr>
      </w:pPr>
    </w:p>
    <w:p w:rsidR="00A672FE" w:rsidRDefault="00A672FE" w:rsidP="00A672FE">
      <w:pPr>
        <w:tabs>
          <w:tab w:val="num" w:pos="851"/>
        </w:tabs>
        <w:ind w:left="851" w:hanging="851"/>
        <w:rPr>
          <w:b/>
          <w:sz w:val="24"/>
          <w:szCs w:val="24"/>
        </w:rPr>
      </w:pPr>
      <w:r>
        <w:rPr>
          <w:b/>
          <w:sz w:val="24"/>
          <w:szCs w:val="24"/>
        </w:rPr>
        <w:t>5.1</w:t>
      </w:r>
      <w:r>
        <w:rPr>
          <w:b/>
          <w:sz w:val="24"/>
          <w:szCs w:val="24"/>
        </w:rPr>
        <w:tab/>
        <w:t>Farmakodynamiske egenskaber</w:t>
      </w:r>
    </w:p>
    <w:p w:rsidR="00A672FE" w:rsidRDefault="00A672FE" w:rsidP="00A672FE">
      <w:pPr>
        <w:tabs>
          <w:tab w:val="left" w:pos="851"/>
        </w:tabs>
        <w:ind w:left="851"/>
        <w:rPr>
          <w:sz w:val="24"/>
          <w:szCs w:val="24"/>
        </w:rPr>
      </w:pPr>
      <w:r>
        <w:rPr>
          <w:sz w:val="24"/>
          <w:szCs w:val="24"/>
        </w:rPr>
        <w:t xml:space="preserve">Farmakoterapeutisk klassifikation: Antineoplastiske lægemidler, proteinkinasehæmmere, ATC-kode: L01EG02. </w:t>
      </w:r>
    </w:p>
    <w:p w:rsidR="00A672FE" w:rsidRDefault="00A672FE" w:rsidP="00A672FE">
      <w:pPr>
        <w:tabs>
          <w:tab w:val="left" w:pos="851"/>
        </w:tabs>
        <w:ind w:left="851"/>
        <w:rPr>
          <w:sz w:val="24"/>
          <w:szCs w:val="24"/>
        </w:rPr>
      </w:pPr>
    </w:p>
    <w:p w:rsidR="000B424C" w:rsidRDefault="000B424C" w:rsidP="00A672FE">
      <w:pPr>
        <w:tabs>
          <w:tab w:val="left" w:pos="851"/>
        </w:tabs>
        <w:ind w:left="851"/>
        <w:rPr>
          <w:sz w:val="24"/>
          <w:szCs w:val="24"/>
        </w:rPr>
      </w:pPr>
      <w:r>
        <w:rPr>
          <w:b/>
          <w:bCs/>
          <w:i/>
          <w:iCs/>
          <w:color w:val="000000"/>
          <w:sz w:val="24"/>
          <w:szCs w:val="24"/>
          <w:lang w:eastAsia="da-DK"/>
        </w:rPr>
        <w:t>Neuroendokrine tumorer</w:t>
      </w:r>
    </w:p>
    <w:p w:rsidR="003760D5" w:rsidRPr="000622A2" w:rsidRDefault="003760D5" w:rsidP="003760D5">
      <w:pPr>
        <w:pStyle w:val="Default"/>
        <w:ind w:left="851"/>
        <w:rPr>
          <w:u w:val="single"/>
        </w:rPr>
      </w:pPr>
      <w:r w:rsidRPr="000622A2">
        <w:rPr>
          <w:u w:val="single"/>
        </w:rPr>
        <w:t xml:space="preserve">Virkningsmekanisme </w:t>
      </w:r>
    </w:p>
    <w:p w:rsidR="003760D5" w:rsidRPr="00372959" w:rsidRDefault="003760D5" w:rsidP="003760D5">
      <w:pPr>
        <w:pStyle w:val="Default"/>
        <w:ind w:left="851"/>
      </w:pPr>
      <w:r w:rsidRPr="000622A2">
        <w:t>Everolimus er en selektiv hæmmer af mTOR (</w:t>
      </w:r>
      <w:r w:rsidRPr="000622A2">
        <w:rPr>
          <w:iCs/>
        </w:rPr>
        <w:t>mammalian target of rapamycin</w:t>
      </w:r>
      <w:r w:rsidRPr="000622A2">
        <w:t>). mTOR er</w:t>
      </w:r>
      <w:r w:rsidRPr="00372959">
        <w:t xml:space="preserve"> en vigtig serin-threonin-kinase, hvis aktivitet er kendt for at være opreguleret i et antal </w:t>
      </w:r>
      <w:r w:rsidRPr="00372959">
        <w:lastRenderedPageBreak/>
        <w:t xml:space="preserve">humane kræftsygdomme. Everolimus binder til det intracellulære protein FKBP-12 og danner et kompleks, der hæmmer aktiviteten af mTOR kompleks-1 (mTORC1). Hæmning af mTORC1-signaleringen griber ind i translation og syntese af proteiner ved at reducere aktiviteten af S6 ribosomal proteinkinase (S6K1) og </w:t>
      </w:r>
      <w:r w:rsidRPr="00372959">
        <w:rPr>
          <w:iCs/>
        </w:rPr>
        <w:t xml:space="preserve">eukaryotic elongation factor 4E-binding protein </w:t>
      </w:r>
      <w:r w:rsidRPr="00372959">
        <w:t>(4EBP-1), der regulerer proteiner involveret i cellecyklus, angiogenese og glycolyse. S6K1 menes at phosphorylere aktiveringsfunktion domæne 1 på østrogenreceptoren, som er ansvarlig for den liganduafhængige receptoraktivering. Everolimus nedsætter niveauer af VEGF (</w:t>
      </w:r>
      <w:r w:rsidRPr="00372959">
        <w:rPr>
          <w:iCs/>
        </w:rPr>
        <w:t>vascular endothelial growth factor</w:t>
      </w:r>
      <w:r w:rsidRPr="00372959">
        <w:t xml:space="preserve">), som potentierer tumorangiogene processer. Everolimus er en potent hæmmer af vækst og proliferation af tumorceller, endotelceller, fibroblaster og vaskulære glatte muskelceller og har vist at reducere glycolysen i solide tumorer </w:t>
      </w:r>
      <w:r w:rsidRPr="00372959">
        <w:rPr>
          <w:i/>
          <w:iCs/>
        </w:rPr>
        <w:t xml:space="preserve">in vitro </w:t>
      </w:r>
      <w:r w:rsidRPr="00372959">
        <w:t xml:space="preserve">og </w:t>
      </w:r>
      <w:r w:rsidRPr="00372959">
        <w:rPr>
          <w:i/>
          <w:iCs/>
        </w:rPr>
        <w:t>in vivo</w:t>
      </w:r>
      <w:r w:rsidRPr="00372959">
        <w:t xml:space="preserve">. </w:t>
      </w:r>
    </w:p>
    <w:p w:rsidR="003760D5" w:rsidRDefault="003760D5" w:rsidP="003760D5">
      <w:pPr>
        <w:pStyle w:val="Default"/>
        <w:ind w:left="851"/>
        <w:rPr>
          <w:u w:val="single"/>
        </w:rPr>
      </w:pPr>
    </w:p>
    <w:p w:rsidR="003760D5" w:rsidRPr="00BB3C53" w:rsidRDefault="003760D5" w:rsidP="003760D5">
      <w:pPr>
        <w:pStyle w:val="Default"/>
        <w:ind w:left="851"/>
        <w:rPr>
          <w:u w:val="single"/>
        </w:rPr>
      </w:pPr>
      <w:r w:rsidRPr="00BB3C53">
        <w:rPr>
          <w:u w:val="single"/>
        </w:rPr>
        <w:t xml:space="preserve">Klinisk virkning og sikkerhed </w:t>
      </w:r>
    </w:p>
    <w:p w:rsidR="003760D5" w:rsidRPr="00BB3C53" w:rsidRDefault="003760D5" w:rsidP="003760D5">
      <w:pPr>
        <w:pStyle w:val="Default"/>
        <w:ind w:left="-426"/>
        <w:rPr>
          <w:i/>
          <w:iCs/>
        </w:rPr>
      </w:pPr>
    </w:p>
    <w:p w:rsidR="003760D5" w:rsidRPr="00BB3C53" w:rsidRDefault="003760D5" w:rsidP="003760D5">
      <w:pPr>
        <w:pStyle w:val="Default"/>
        <w:ind w:left="851"/>
        <w:rPr>
          <w:i/>
        </w:rPr>
      </w:pPr>
      <w:r w:rsidRPr="00BB3C53">
        <w:rPr>
          <w:i/>
          <w:iCs/>
        </w:rPr>
        <w:t xml:space="preserve">Progressive neuroendokrine tumorer udgået fra pancreas (pNET) </w:t>
      </w:r>
    </w:p>
    <w:p w:rsidR="003760D5" w:rsidRPr="00BB3C53" w:rsidRDefault="003760D5" w:rsidP="003760D5">
      <w:pPr>
        <w:tabs>
          <w:tab w:val="left" w:pos="851"/>
        </w:tabs>
        <w:ind w:left="851"/>
        <w:rPr>
          <w:sz w:val="24"/>
          <w:szCs w:val="24"/>
        </w:rPr>
      </w:pPr>
      <w:r w:rsidRPr="00BB3C53">
        <w:rPr>
          <w:sz w:val="24"/>
          <w:szCs w:val="24"/>
        </w:rPr>
        <w:t xml:space="preserve">RADIANT-3 (studier CRAD001C2324), et fase-III, multicenter, randomiseret, dobbeltblindet studie af </w:t>
      </w:r>
      <w:r w:rsidR="000B424C">
        <w:rPr>
          <w:sz w:val="24"/>
          <w:szCs w:val="24"/>
        </w:rPr>
        <w:t>e</w:t>
      </w:r>
      <w:r w:rsidRPr="00BB3C53">
        <w:rPr>
          <w:sz w:val="24"/>
          <w:szCs w:val="24"/>
        </w:rPr>
        <w:t xml:space="preserve">verolimus plus bedste understøttende behandling (BSC) </w:t>
      </w:r>
      <w:r w:rsidRPr="00BB3C53">
        <w:rPr>
          <w:iCs/>
          <w:sz w:val="24"/>
          <w:szCs w:val="24"/>
        </w:rPr>
        <w:t>versus</w:t>
      </w:r>
      <w:r w:rsidRPr="00BB3C53">
        <w:rPr>
          <w:i/>
          <w:iCs/>
          <w:sz w:val="24"/>
          <w:szCs w:val="24"/>
        </w:rPr>
        <w:t xml:space="preserve"> </w:t>
      </w:r>
      <w:r w:rsidRPr="00BB3C53">
        <w:rPr>
          <w:sz w:val="24"/>
          <w:szCs w:val="24"/>
        </w:rPr>
        <w:t xml:space="preserve">placebo samt BSC hos patienter med fremskreden pNET, viste en statistisk signifikant klinisk fordel ved behandling med </w:t>
      </w:r>
      <w:r w:rsidR="000B424C">
        <w:rPr>
          <w:sz w:val="24"/>
          <w:szCs w:val="24"/>
        </w:rPr>
        <w:t>e</w:t>
      </w:r>
      <w:r w:rsidRPr="00BB3C53">
        <w:rPr>
          <w:sz w:val="24"/>
          <w:szCs w:val="24"/>
        </w:rPr>
        <w:t xml:space="preserve">verolimus i forhold til placebo, med en 2,4 gange forlængelse af den mediane progressionsfri overlevelse (PFS) (11,04 måneder </w:t>
      </w:r>
      <w:r w:rsidRPr="00BB3C53">
        <w:rPr>
          <w:iCs/>
          <w:sz w:val="24"/>
          <w:szCs w:val="24"/>
        </w:rPr>
        <w:t>versus</w:t>
      </w:r>
      <w:r w:rsidRPr="00BB3C53">
        <w:rPr>
          <w:i/>
          <w:iCs/>
          <w:sz w:val="24"/>
          <w:szCs w:val="24"/>
        </w:rPr>
        <w:t xml:space="preserve"> </w:t>
      </w:r>
      <w:r w:rsidRPr="00BB3C53">
        <w:rPr>
          <w:sz w:val="24"/>
          <w:szCs w:val="24"/>
        </w:rPr>
        <w:t xml:space="preserve">4,6 måneder) (HR 0,35; 95 % CI: [0,27; 0,45]; p&lt;0,0001) (se tabel </w:t>
      </w:r>
      <w:r w:rsidR="000B424C">
        <w:rPr>
          <w:sz w:val="24"/>
          <w:szCs w:val="24"/>
        </w:rPr>
        <w:t>6</w:t>
      </w:r>
      <w:r w:rsidRPr="00BB3C53">
        <w:rPr>
          <w:sz w:val="24"/>
          <w:szCs w:val="24"/>
        </w:rPr>
        <w:t xml:space="preserve"> og figur 1).</w:t>
      </w:r>
    </w:p>
    <w:p w:rsidR="003760D5" w:rsidRPr="00BB3C53" w:rsidRDefault="003760D5" w:rsidP="003760D5">
      <w:pPr>
        <w:tabs>
          <w:tab w:val="left" w:pos="851"/>
        </w:tabs>
        <w:ind w:left="851"/>
        <w:rPr>
          <w:sz w:val="24"/>
          <w:szCs w:val="24"/>
        </w:rPr>
      </w:pPr>
    </w:p>
    <w:p w:rsidR="003760D5" w:rsidRPr="00BB3C53" w:rsidRDefault="003760D5" w:rsidP="003760D5">
      <w:pPr>
        <w:pStyle w:val="Default"/>
        <w:ind w:left="851"/>
      </w:pPr>
      <w:r w:rsidRPr="00BB3C53">
        <w:t>RADIANT-3 involverede patienter med højt og moderat differentieret progressiv pNET, hvis sygdom havde progredieret inden for de seneste 12 måneder. Behandling med somatostatin-analoger var tilladt som en del af BSC.</w:t>
      </w:r>
    </w:p>
    <w:p w:rsidR="003760D5" w:rsidRPr="00BB3C53" w:rsidRDefault="003760D5" w:rsidP="003760D5">
      <w:pPr>
        <w:pStyle w:val="Default"/>
        <w:ind w:left="851"/>
      </w:pPr>
      <w:r w:rsidRPr="00BB3C53">
        <w:t xml:space="preserve"> </w:t>
      </w:r>
    </w:p>
    <w:p w:rsidR="003760D5" w:rsidRDefault="003760D5" w:rsidP="003760D5">
      <w:pPr>
        <w:pStyle w:val="Default"/>
        <w:ind w:left="851"/>
      </w:pPr>
      <w:r>
        <w:rPr>
          <w:lang w:val="nb-NO"/>
        </w:rPr>
        <w:t>Det primære endepunkt for studiet var PFS evalueret ved RECIST (</w:t>
      </w:r>
      <w:r>
        <w:rPr>
          <w:iCs/>
          <w:lang w:val="nb-NO"/>
        </w:rPr>
        <w:t>Response Evaluation Criteria in Solid Tumours</w:t>
      </w:r>
      <w:r>
        <w:rPr>
          <w:lang w:val="nb-NO"/>
        </w:rPr>
        <w:t xml:space="preserve">). </w:t>
      </w:r>
      <w:r>
        <w:t xml:space="preserve">Efter dokumenteret radiologisk progression kunne patienterne blive ublindede af investigator. De patienter, som var randomiseret til at få placebo, kunne derefter få open-label everolimus. </w:t>
      </w:r>
    </w:p>
    <w:p w:rsidR="003760D5" w:rsidRDefault="003760D5" w:rsidP="003760D5">
      <w:pPr>
        <w:pStyle w:val="Default"/>
        <w:ind w:left="851"/>
      </w:pPr>
    </w:p>
    <w:p w:rsidR="003760D5" w:rsidRDefault="003760D5" w:rsidP="003760D5">
      <w:pPr>
        <w:pStyle w:val="Default"/>
        <w:ind w:left="851"/>
      </w:pPr>
      <w:r>
        <w:t xml:space="preserve">Sekundære endepunkter inkluderede sikkerhed, objektiv responsrate, responsvarighed og total overlevelse (OS). </w:t>
      </w:r>
    </w:p>
    <w:p w:rsidR="003760D5" w:rsidRDefault="003760D5" w:rsidP="003760D5">
      <w:pPr>
        <w:pStyle w:val="Default"/>
        <w:ind w:left="851"/>
      </w:pPr>
    </w:p>
    <w:p w:rsidR="003760D5" w:rsidRDefault="003760D5" w:rsidP="003760D5">
      <w:pPr>
        <w:pStyle w:val="Default"/>
        <w:ind w:left="851"/>
      </w:pPr>
      <w:r>
        <w:t xml:space="preserve">I alt blev 410 patienter randomiseret 1:1 til at få enten everolimus 10 mg/dag (n=207) eller placebo (n=203). Der blev taget højde for demografien (median alder 58 år, 55 % mænd, 78,5 % kaukasier). I begge behandlingsgrupper fik 58 % af patienterne systemisk behandling op til studiet. Den mediane varighed af blindet forsøgsbehandling var 37,8 uger (interval 1,1-129,9 uger) for patienter, der fik everolimus, og 16,1 uger (interval 0,4-147,0 uger) for dem, der fik placebo. </w:t>
      </w:r>
    </w:p>
    <w:p w:rsidR="003760D5" w:rsidRDefault="003760D5" w:rsidP="003760D5">
      <w:pPr>
        <w:pStyle w:val="Default"/>
        <w:ind w:left="851"/>
      </w:pPr>
    </w:p>
    <w:p w:rsidR="003760D5" w:rsidRDefault="003760D5" w:rsidP="003760D5">
      <w:pPr>
        <w:pStyle w:val="Default"/>
        <w:ind w:left="851"/>
      </w:pPr>
      <w:r>
        <w:t xml:space="preserve">Efter sygdomsprogression eller efter afblinding af studiet krydsede 172 af de 203 patienter (84,7 %), der initialt var randomiseret til placebo, over til open-label everolimus. Den mediane varighed af åben behandling var 47,7 uger blandt alle patienter; 67,1 uger for de 53 patienter, der blev randomiseret til everolimus, og som skiftede til open-label everolimus, og 44,1 uger hos de 172 patienter, der blev randomiseret til placebo, og som skiftede til open-label everolimus. </w:t>
      </w:r>
    </w:p>
    <w:p w:rsidR="003760D5" w:rsidRDefault="003760D5" w:rsidP="003760D5">
      <w:pPr>
        <w:pStyle w:val="Default"/>
        <w:ind w:left="-426"/>
        <w:rPr>
          <w:i/>
          <w:iCs/>
        </w:rPr>
      </w:pPr>
    </w:p>
    <w:p w:rsidR="000B424C" w:rsidRDefault="000B424C" w:rsidP="003760D5">
      <w:pPr>
        <w:pStyle w:val="Default"/>
        <w:ind w:left="-426"/>
        <w:rPr>
          <w:i/>
          <w:iCs/>
        </w:rPr>
      </w:pPr>
    </w:p>
    <w:p w:rsidR="000B424C" w:rsidRDefault="000B424C" w:rsidP="003760D5">
      <w:pPr>
        <w:pStyle w:val="Default"/>
        <w:ind w:left="-426"/>
        <w:rPr>
          <w:i/>
          <w:iCs/>
        </w:rPr>
      </w:pPr>
    </w:p>
    <w:p w:rsidR="003760D5" w:rsidRPr="001851B3" w:rsidRDefault="003760D5" w:rsidP="000B424C">
      <w:pPr>
        <w:keepNext/>
        <w:tabs>
          <w:tab w:val="left" w:pos="851"/>
        </w:tabs>
        <w:ind w:left="851"/>
        <w:rPr>
          <w:b/>
          <w:bCs/>
          <w:sz w:val="24"/>
          <w:szCs w:val="24"/>
        </w:rPr>
      </w:pPr>
      <w:r w:rsidRPr="001851B3">
        <w:rPr>
          <w:b/>
          <w:bCs/>
          <w:sz w:val="24"/>
          <w:szCs w:val="24"/>
        </w:rPr>
        <w:lastRenderedPageBreak/>
        <w:t xml:space="preserve">Tabel </w:t>
      </w:r>
      <w:r w:rsidR="000B424C">
        <w:rPr>
          <w:b/>
          <w:bCs/>
          <w:sz w:val="24"/>
          <w:szCs w:val="24"/>
        </w:rPr>
        <w:t>6</w:t>
      </w:r>
      <w:r w:rsidRPr="001851B3">
        <w:rPr>
          <w:b/>
          <w:bCs/>
          <w:sz w:val="24"/>
          <w:szCs w:val="24"/>
        </w:rPr>
        <w:t>. RADIANT-3 – Effektresultater</w:t>
      </w:r>
    </w:p>
    <w:p w:rsidR="003760D5" w:rsidRDefault="003760D5" w:rsidP="003760D5">
      <w:pPr>
        <w:tabs>
          <w:tab w:val="left" w:pos="851"/>
        </w:tabs>
        <w:ind w:left="851"/>
        <w:rPr>
          <w:b/>
          <w:bCs/>
          <w:szCs w:val="24"/>
        </w:rPr>
      </w:pPr>
      <w:r>
        <w:rPr>
          <w:b/>
          <w:bCs/>
          <w:szCs w:val="24"/>
        </w:rPr>
        <w:tab/>
      </w:r>
      <w:r>
        <w:rPr>
          <w:b/>
          <w:bCs/>
          <w:szCs w:val="24"/>
        </w:rPr>
        <w:tab/>
      </w:r>
    </w:p>
    <w:tbl>
      <w:tblPr>
        <w:tblW w:w="0" w:type="dxa"/>
        <w:tblInd w:w="1092" w:type="dxa"/>
        <w:tblLayout w:type="fixed"/>
        <w:tblCellMar>
          <w:left w:w="0" w:type="dxa"/>
          <w:right w:w="0" w:type="dxa"/>
        </w:tblCellMar>
        <w:tblLook w:val="01E0" w:firstRow="1" w:lastRow="1" w:firstColumn="1" w:lastColumn="1" w:noHBand="0" w:noVBand="0"/>
      </w:tblPr>
      <w:tblGrid>
        <w:gridCol w:w="2509"/>
        <w:gridCol w:w="1639"/>
        <w:gridCol w:w="1642"/>
        <w:gridCol w:w="1760"/>
        <w:gridCol w:w="1032"/>
      </w:tblGrid>
      <w:tr w:rsidR="003760D5" w:rsidTr="00B47874">
        <w:trPr>
          <w:trHeight w:hRule="exact" w:val="528"/>
        </w:trPr>
        <w:tc>
          <w:tcPr>
            <w:tcW w:w="250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b/>
                <w:bCs/>
                <w:spacing w:val="2"/>
                <w:szCs w:val="22"/>
              </w:rPr>
              <w:t>P</w:t>
            </w:r>
            <w:r>
              <w:rPr>
                <w:b/>
                <w:bCs/>
                <w:szCs w:val="22"/>
              </w:rPr>
              <w:t>op</w:t>
            </w:r>
            <w:r>
              <w:rPr>
                <w:b/>
                <w:bCs/>
                <w:spacing w:val="-1"/>
                <w:szCs w:val="22"/>
              </w:rPr>
              <w:t>u</w:t>
            </w:r>
            <w:r>
              <w:rPr>
                <w:b/>
                <w:bCs/>
                <w:spacing w:val="1"/>
                <w:szCs w:val="22"/>
              </w:rPr>
              <w:t>l</w:t>
            </w:r>
            <w:r>
              <w:rPr>
                <w:b/>
                <w:bCs/>
                <w:szCs w:val="22"/>
              </w:rPr>
              <w:t>a</w:t>
            </w:r>
            <w:r>
              <w:rPr>
                <w:b/>
                <w:bCs/>
                <w:spacing w:val="1"/>
                <w:szCs w:val="22"/>
              </w:rPr>
              <w:t>ti</w:t>
            </w:r>
            <w:r>
              <w:rPr>
                <w:b/>
                <w:bCs/>
                <w:szCs w:val="22"/>
              </w:rPr>
              <w:t>on</w:t>
            </w:r>
          </w:p>
        </w:tc>
        <w:tc>
          <w:tcPr>
            <w:tcW w:w="163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b/>
                <w:spacing w:val="-1"/>
                <w:szCs w:val="22"/>
              </w:rPr>
              <w:t>Everolimus</w:t>
            </w:r>
            <w:r>
              <w:rPr>
                <w:b/>
                <w:bCs/>
                <w:szCs w:val="22"/>
              </w:rPr>
              <w:t xml:space="preserve"> n</w:t>
            </w:r>
            <w:r>
              <w:rPr>
                <w:b/>
                <w:bCs/>
                <w:spacing w:val="-1"/>
                <w:szCs w:val="22"/>
              </w:rPr>
              <w:t>=</w:t>
            </w:r>
            <w:r>
              <w:rPr>
                <w:b/>
                <w:bCs/>
                <w:szCs w:val="22"/>
              </w:rPr>
              <w:t>207</w:t>
            </w:r>
          </w:p>
        </w:tc>
        <w:tc>
          <w:tcPr>
            <w:tcW w:w="164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b/>
                <w:bCs/>
                <w:szCs w:val="22"/>
              </w:rPr>
            </w:pPr>
            <w:r>
              <w:rPr>
                <w:b/>
                <w:bCs/>
                <w:spacing w:val="2"/>
                <w:szCs w:val="22"/>
              </w:rPr>
              <w:t>P</w:t>
            </w:r>
            <w:r>
              <w:rPr>
                <w:b/>
                <w:bCs/>
                <w:spacing w:val="1"/>
                <w:szCs w:val="22"/>
              </w:rPr>
              <w:t>l</w:t>
            </w:r>
            <w:r>
              <w:rPr>
                <w:b/>
                <w:bCs/>
                <w:szCs w:val="22"/>
              </w:rPr>
              <w:t>ac</w:t>
            </w:r>
            <w:r>
              <w:rPr>
                <w:b/>
                <w:bCs/>
                <w:spacing w:val="1"/>
                <w:szCs w:val="22"/>
              </w:rPr>
              <w:t>e</w:t>
            </w:r>
            <w:r>
              <w:rPr>
                <w:b/>
                <w:bCs/>
                <w:szCs w:val="22"/>
              </w:rPr>
              <w:t>bo</w:t>
            </w:r>
          </w:p>
          <w:p w:rsidR="003760D5" w:rsidRDefault="003760D5" w:rsidP="00B47874">
            <w:pPr>
              <w:ind w:left="47" w:right="52"/>
              <w:jc w:val="center"/>
              <w:rPr>
                <w:szCs w:val="22"/>
              </w:rPr>
            </w:pPr>
            <w:r>
              <w:rPr>
                <w:b/>
                <w:bCs/>
                <w:szCs w:val="22"/>
              </w:rPr>
              <w:t>n</w:t>
            </w:r>
            <w:r>
              <w:rPr>
                <w:b/>
                <w:bCs/>
                <w:spacing w:val="-1"/>
                <w:szCs w:val="22"/>
              </w:rPr>
              <w:t>=</w:t>
            </w:r>
            <w:r>
              <w:rPr>
                <w:b/>
                <w:bCs/>
                <w:szCs w:val="22"/>
              </w:rPr>
              <w:t>203</w:t>
            </w:r>
          </w:p>
        </w:tc>
        <w:tc>
          <w:tcPr>
            <w:tcW w:w="1760"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b/>
                <w:bCs/>
                <w:spacing w:val="1"/>
                <w:szCs w:val="22"/>
              </w:rPr>
              <w:t>Risikorate</w:t>
            </w:r>
          </w:p>
          <w:p w:rsidR="003760D5" w:rsidRDefault="003760D5" w:rsidP="00B47874">
            <w:pPr>
              <w:ind w:left="47" w:right="52"/>
              <w:jc w:val="center"/>
              <w:rPr>
                <w:szCs w:val="22"/>
              </w:rPr>
            </w:pPr>
            <w:r>
              <w:rPr>
                <w:b/>
                <w:bCs/>
                <w:spacing w:val="1"/>
                <w:szCs w:val="22"/>
              </w:rPr>
              <w:t>(</w:t>
            </w:r>
            <w:r>
              <w:rPr>
                <w:b/>
                <w:bCs/>
                <w:szCs w:val="22"/>
              </w:rPr>
              <w:t>95 %</w:t>
            </w:r>
            <w:r>
              <w:rPr>
                <w:b/>
                <w:bCs/>
                <w:spacing w:val="-2"/>
                <w:szCs w:val="22"/>
              </w:rPr>
              <w:t xml:space="preserve"> </w:t>
            </w:r>
            <w:r>
              <w:rPr>
                <w:b/>
                <w:bCs/>
                <w:spacing w:val="-1"/>
                <w:szCs w:val="22"/>
              </w:rPr>
              <w:t>C</w:t>
            </w:r>
            <w:r>
              <w:rPr>
                <w:b/>
                <w:bCs/>
                <w:szCs w:val="22"/>
              </w:rPr>
              <w:t>I)</w:t>
            </w:r>
          </w:p>
        </w:tc>
        <w:tc>
          <w:tcPr>
            <w:tcW w:w="103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b/>
                <w:bCs/>
                <w:szCs w:val="22"/>
              </w:rPr>
              <w:t>p</w:t>
            </w:r>
            <w:r>
              <w:rPr>
                <w:b/>
                <w:bCs/>
                <w:spacing w:val="1"/>
                <w:szCs w:val="22"/>
              </w:rPr>
              <w:t>-</w:t>
            </w:r>
            <w:r>
              <w:rPr>
                <w:b/>
                <w:bCs/>
                <w:szCs w:val="22"/>
              </w:rPr>
              <w:t>værdi</w:t>
            </w:r>
          </w:p>
        </w:tc>
      </w:tr>
      <w:tr w:rsidR="003760D5" w:rsidTr="00B47874">
        <w:trPr>
          <w:trHeight w:val="269"/>
        </w:trPr>
        <w:tc>
          <w:tcPr>
            <w:tcW w:w="8582" w:type="dxa"/>
            <w:gridSpan w:val="5"/>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b/>
                <w:bCs/>
                <w:szCs w:val="22"/>
              </w:rPr>
              <w:t>M</w:t>
            </w:r>
            <w:r>
              <w:rPr>
                <w:b/>
                <w:bCs/>
                <w:spacing w:val="1"/>
                <w:szCs w:val="22"/>
              </w:rPr>
              <w:t>e</w:t>
            </w:r>
            <w:r>
              <w:rPr>
                <w:b/>
                <w:bCs/>
                <w:szCs w:val="22"/>
              </w:rPr>
              <w:t>dian progr</w:t>
            </w:r>
            <w:r>
              <w:rPr>
                <w:b/>
                <w:bCs/>
                <w:spacing w:val="1"/>
                <w:szCs w:val="22"/>
              </w:rPr>
              <w:t>e</w:t>
            </w:r>
            <w:r>
              <w:rPr>
                <w:b/>
                <w:bCs/>
                <w:szCs w:val="22"/>
              </w:rPr>
              <w:t>s</w:t>
            </w:r>
            <w:r>
              <w:rPr>
                <w:b/>
                <w:bCs/>
                <w:spacing w:val="1"/>
                <w:szCs w:val="22"/>
              </w:rPr>
              <w:t>si</w:t>
            </w:r>
            <w:r>
              <w:rPr>
                <w:b/>
                <w:bCs/>
                <w:szCs w:val="22"/>
              </w:rPr>
              <w:t>o</w:t>
            </w:r>
            <w:r>
              <w:rPr>
                <w:b/>
                <w:bCs/>
                <w:spacing w:val="1"/>
                <w:szCs w:val="22"/>
              </w:rPr>
              <w:t>nsfri overlevelse (måneder</w:t>
            </w:r>
            <w:r>
              <w:rPr>
                <w:b/>
                <w:bCs/>
                <w:szCs w:val="22"/>
              </w:rPr>
              <w:t>)</w:t>
            </w:r>
            <w:r>
              <w:rPr>
                <w:b/>
                <w:bCs/>
                <w:spacing w:val="1"/>
                <w:szCs w:val="22"/>
              </w:rPr>
              <w:t xml:space="preserve"> (</w:t>
            </w:r>
            <w:r>
              <w:rPr>
                <w:b/>
                <w:bCs/>
                <w:szCs w:val="22"/>
              </w:rPr>
              <w:t>95 %</w:t>
            </w:r>
            <w:r>
              <w:rPr>
                <w:b/>
                <w:bCs/>
                <w:spacing w:val="-2"/>
                <w:szCs w:val="22"/>
              </w:rPr>
              <w:t xml:space="preserve"> </w:t>
            </w:r>
            <w:r>
              <w:rPr>
                <w:b/>
                <w:bCs/>
                <w:spacing w:val="-1"/>
                <w:szCs w:val="22"/>
              </w:rPr>
              <w:t>C</w:t>
            </w:r>
            <w:r>
              <w:rPr>
                <w:b/>
                <w:bCs/>
                <w:szCs w:val="22"/>
              </w:rPr>
              <w:t>I)</w:t>
            </w:r>
          </w:p>
        </w:tc>
      </w:tr>
      <w:tr w:rsidR="003760D5" w:rsidTr="00B47874">
        <w:trPr>
          <w:trHeight w:hRule="exact" w:val="588"/>
        </w:trPr>
        <w:tc>
          <w:tcPr>
            <w:tcW w:w="250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spacing w:val="-4"/>
                <w:szCs w:val="22"/>
              </w:rPr>
              <w:t>I</w:t>
            </w:r>
            <w:r>
              <w:rPr>
                <w:szCs w:val="22"/>
              </w:rPr>
              <w:t>n</w:t>
            </w:r>
            <w:r>
              <w:rPr>
                <w:spacing w:val="-2"/>
                <w:szCs w:val="22"/>
              </w:rPr>
              <w:t>v</w:t>
            </w:r>
            <w:r>
              <w:rPr>
                <w:szCs w:val="22"/>
              </w:rPr>
              <w:t>e</w:t>
            </w:r>
            <w:r>
              <w:rPr>
                <w:spacing w:val="1"/>
                <w:szCs w:val="22"/>
              </w:rPr>
              <w:t>sti</w:t>
            </w:r>
            <w:r>
              <w:rPr>
                <w:spacing w:val="-2"/>
                <w:szCs w:val="22"/>
              </w:rPr>
              <w:t>g</w:t>
            </w:r>
            <w:r>
              <w:rPr>
                <w:szCs w:val="22"/>
              </w:rPr>
              <w:t>a</w:t>
            </w:r>
            <w:r>
              <w:rPr>
                <w:spacing w:val="1"/>
                <w:szCs w:val="22"/>
              </w:rPr>
              <w:t>t</w:t>
            </w:r>
            <w:r>
              <w:rPr>
                <w:szCs w:val="22"/>
              </w:rPr>
              <w:t>ors</w:t>
            </w:r>
            <w:r>
              <w:rPr>
                <w:spacing w:val="1"/>
                <w:szCs w:val="22"/>
              </w:rPr>
              <w:t xml:space="preserve"> r</w:t>
            </w:r>
            <w:r>
              <w:rPr>
                <w:szCs w:val="22"/>
              </w:rPr>
              <w:t>ad</w:t>
            </w:r>
            <w:r>
              <w:rPr>
                <w:spacing w:val="1"/>
                <w:szCs w:val="22"/>
              </w:rPr>
              <w:t>i</w:t>
            </w:r>
            <w:r>
              <w:rPr>
                <w:szCs w:val="22"/>
              </w:rPr>
              <w:t>o</w:t>
            </w:r>
            <w:r>
              <w:rPr>
                <w:spacing w:val="1"/>
                <w:szCs w:val="22"/>
              </w:rPr>
              <w:t>l</w:t>
            </w:r>
            <w:r>
              <w:rPr>
                <w:szCs w:val="22"/>
              </w:rPr>
              <w:t>o</w:t>
            </w:r>
            <w:r>
              <w:rPr>
                <w:spacing w:val="-2"/>
                <w:szCs w:val="22"/>
              </w:rPr>
              <w:t>g</w:t>
            </w:r>
            <w:r>
              <w:rPr>
                <w:spacing w:val="1"/>
                <w:szCs w:val="22"/>
              </w:rPr>
              <w:t>i</w:t>
            </w:r>
            <w:r>
              <w:rPr>
                <w:szCs w:val="22"/>
              </w:rPr>
              <w:t>ske vurdering</w:t>
            </w:r>
          </w:p>
        </w:tc>
        <w:tc>
          <w:tcPr>
            <w:tcW w:w="163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11,04</w:t>
            </w:r>
          </w:p>
          <w:p w:rsidR="003760D5" w:rsidRDefault="003760D5" w:rsidP="00B47874">
            <w:pPr>
              <w:ind w:left="47" w:right="52"/>
              <w:jc w:val="center"/>
              <w:rPr>
                <w:szCs w:val="22"/>
              </w:rPr>
            </w:pPr>
            <w:r>
              <w:rPr>
                <w:szCs w:val="22"/>
              </w:rPr>
              <w:t>(8,41; 13,86)</w:t>
            </w:r>
          </w:p>
        </w:tc>
        <w:tc>
          <w:tcPr>
            <w:tcW w:w="164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4,60</w:t>
            </w:r>
          </w:p>
          <w:p w:rsidR="003760D5" w:rsidRDefault="003760D5" w:rsidP="00B47874">
            <w:pPr>
              <w:ind w:left="47" w:right="52"/>
              <w:jc w:val="center"/>
              <w:rPr>
                <w:szCs w:val="22"/>
              </w:rPr>
            </w:pPr>
            <w:r>
              <w:rPr>
                <w:szCs w:val="22"/>
              </w:rPr>
              <w:t>(3,06; 5,39)</w:t>
            </w:r>
          </w:p>
        </w:tc>
        <w:tc>
          <w:tcPr>
            <w:tcW w:w="1760"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0,35</w:t>
            </w:r>
          </w:p>
          <w:p w:rsidR="003760D5" w:rsidRDefault="003760D5" w:rsidP="00B47874">
            <w:pPr>
              <w:ind w:left="47" w:right="52"/>
              <w:jc w:val="center"/>
              <w:rPr>
                <w:szCs w:val="22"/>
              </w:rPr>
            </w:pPr>
            <w:r>
              <w:rPr>
                <w:szCs w:val="22"/>
              </w:rPr>
              <w:t>(0,27; 0,45)</w:t>
            </w:r>
          </w:p>
        </w:tc>
        <w:tc>
          <w:tcPr>
            <w:tcW w:w="103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&lt;0,0001</w:t>
            </w:r>
          </w:p>
        </w:tc>
      </w:tr>
      <w:tr w:rsidR="003760D5" w:rsidTr="00B47874">
        <w:trPr>
          <w:trHeight w:hRule="exact" w:val="528"/>
        </w:trPr>
        <w:tc>
          <w:tcPr>
            <w:tcW w:w="250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spacing w:val="1"/>
                <w:szCs w:val="22"/>
              </w:rPr>
              <w:t>Uafhængig r</w:t>
            </w:r>
            <w:r>
              <w:rPr>
                <w:szCs w:val="22"/>
              </w:rPr>
              <w:t>ad</w:t>
            </w:r>
            <w:r>
              <w:rPr>
                <w:spacing w:val="1"/>
                <w:szCs w:val="22"/>
              </w:rPr>
              <w:t>i</w:t>
            </w:r>
            <w:r>
              <w:rPr>
                <w:szCs w:val="22"/>
              </w:rPr>
              <w:t>o</w:t>
            </w:r>
            <w:r>
              <w:rPr>
                <w:spacing w:val="1"/>
                <w:szCs w:val="22"/>
              </w:rPr>
              <w:t>l</w:t>
            </w:r>
            <w:r>
              <w:rPr>
                <w:szCs w:val="22"/>
              </w:rPr>
              <w:t>o</w:t>
            </w:r>
            <w:r>
              <w:rPr>
                <w:spacing w:val="-2"/>
                <w:szCs w:val="22"/>
              </w:rPr>
              <w:t>g</w:t>
            </w:r>
            <w:r>
              <w:rPr>
                <w:spacing w:val="1"/>
                <w:szCs w:val="22"/>
              </w:rPr>
              <w:t>i</w:t>
            </w:r>
            <w:r>
              <w:rPr>
                <w:szCs w:val="22"/>
              </w:rPr>
              <w:t>sk vurdering</w:t>
            </w:r>
          </w:p>
        </w:tc>
        <w:tc>
          <w:tcPr>
            <w:tcW w:w="163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 xml:space="preserve">13,67 </w:t>
            </w:r>
          </w:p>
          <w:p w:rsidR="003760D5" w:rsidRDefault="003760D5" w:rsidP="00B47874">
            <w:pPr>
              <w:ind w:left="47" w:right="52"/>
              <w:jc w:val="center"/>
              <w:rPr>
                <w:szCs w:val="22"/>
              </w:rPr>
            </w:pPr>
            <w:r>
              <w:rPr>
                <w:szCs w:val="22"/>
              </w:rPr>
              <w:t>(11,17; 18,79)</w:t>
            </w:r>
          </w:p>
        </w:tc>
        <w:tc>
          <w:tcPr>
            <w:tcW w:w="164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5,68</w:t>
            </w:r>
          </w:p>
          <w:p w:rsidR="003760D5" w:rsidRDefault="003760D5" w:rsidP="00B47874">
            <w:pPr>
              <w:ind w:left="47" w:right="52"/>
              <w:jc w:val="center"/>
              <w:rPr>
                <w:szCs w:val="22"/>
              </w:rPr>
            </w:pPr>
            <w:r>
              <w:rPr>
                <w:szCs w:val="22"/>
              </w:rPr>
              <w:t>(5,39; 8,31)</w:t>
            </w:r>
          </w:p>
        </w:tc>
        <w:tc>
          <w:tcPr>
            <w:tcW w:w="1760"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0,38</w:t>
            </w:r>
          </w:p>
          <w:p w:rsidR="003760D5" w:rsidRDefault="003760D5" w:rsidP="00B47874">
            <w:pPr>
              <w:ind w:left="47" w:right="52"/>
              <w:jc w:val="center"/>
              <w:rPr>
                <w:szCs w:val="22"/>
              </w:rPr>
            </w:pPr>
            <w:r>
              <w:rPr>
                <w:szCs w:val="22"/>
              </w:rPr>
              <w:t>(0,28; 0,51)</w:t>
            </w:r>
          </w:p>
        </w:tc>
        <w:tc>
          <w:tcPr>
            <w:tcW w:w="103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&lt;0,0001</w:t>
            </w:r>
          </w:p>
        </w:tc>
      </w:tr>
      <w:tr w:rsidR="003760D5" w:rsidTr="00B47874">
        <w:trPr>
          <w:trHeight w:val="269"/>
        </w:trPr>
        <w:tc>
          <w:tcPr>
            <w:tcW w:w="8582" w:type="dxa"/>
            <w:gridSpan w:val="5"/>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b/>
                <w:bCs/>
                <w:szCs w:val="22"/>
              </w:rPr>
              <w:t>M</w:t>
            </w:r>
            <w:r>
              <w:rPr>
                <w:b/>
                <w:bCs/>
                <w:spacing w:val="1"/>
                <w:szCs w:val="22"/>
              </w:rPr>
              <w:t>e</w:t>
            </w:r>
            <w:r>
              <w:rPr>
                <w:b/>
                <w:bCs/>
                <w:szCs w:val="22"/>
              </w:rPr>
              <w:t>dian total overlevelse</w:t>
            </w:r>
            <w:r>
              <w:rPr>
                <w:b/>
                <w:bCs/>
                <w:spacing w:val="1"/>
                <w:szCs w:val="22"/>
              </w:rPr>
              <w:t xml:space="preserve"> (m</w:t>
            </w:r>
            <w:r>
              <w:rPr>
                <w:b/>
                <w:bCs/>
                <w:szCs w:val="22"/>
              </w:rPr>
              <w:t>åneder)</w:t>
            </w:r>
            <w:r>
              <w:rPr>
                <w:b/>
                <w:bCs/>
                <w:spacing w:val="1"/>
                <w:szCs w:val="22"/>
              </w:rPr>
              <w:t xml:space="preserve"> (</w:t>
            </w:r>
            <w:r>
              <w:rPr>
                <w:b/>
                <w:bCs/>
                <w:szCs w:val="22"/>
              </w:rPr>
              <w:t>95 %</w:t>
            </w:r>
            <w:r>
              <w:rPr>
                <w:b/>
                <w:bCs/>
                <w:spacing w:val="-2"/>
                <w:szCs w:val="22"/>
              </w:rPr>
              <w:t xml:space="preserve"> </w:t>
            </w:r>
            <w:r>
              <w:rPr>
                <w:b/>
                <w:bCs/>
                <w:spacing w:val="-1"/>
                <w:szCs w:val="22"/>
              </w:rPr>
              <w:t>C</w:t>
            </w:r>
            <w:r>
              <w:rPr>
                <w:b/>
                <w:bCs/>
                <w:szCs w:val="22"/>
              </w:rPr>
              <w:t>I)</w:t>
            </w:r>
          </w:p>
        </w:tc>
      </w:tr>
      <w:tr w:rsidR="003760D5" w:rsidTr="00B47874">
        <w:trPr>
          <w:trHeight w:hRule="exact" w:val="528"/>
        </w:trPr>
        <w:tc>
          <w:tcPr>
            <w:tcW w:w="250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rPr>
                <w:szCs w:val="22"/>
              </w:rPr>
            </w:pPr>
            <w:r>
              <w:rPr>
                <w:szCs w:val="22"/>
              </w:rPr>
              <w:t>M</w:t>
            </w:r>
            <w:r>
              <w:rPr>
                <w:spacing w:val="1"/>
                <w:szCs w:val="22"/>
              </w:rPr>
              <w:t>e</w:t>
            </w:r>
            <w:r>
              <w:rPr>
                <w:szCs w:val="22"/>
              </w:rPr>
              <w:t>d</w:t>
            </w:r>
            <w:r>
              <w:rPr>
                <w:spacing w:val="1"/>
                <w:szCs w:val="22"/>
              </w:rPr>
              <w:t>i</w:t>
            </w:r>
            <w:r>
              <w:rPr>
                <w:szCs w:val="22"/>
              </w:rPr>
              <w:t>an total overlevelse</w:t>
            </w:r>
          </w:p>
        </w:tc>
        <w:tc>
          <w:tcPr>
            <w:tcW w:w="1639"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 xml:space="preserve">44,02 </w:t>
            </w:r>
          </w:p>
          <w:p w:rsidR="003760D5" w:rsidRDefault="003760D5" w:rsidP="00B47874">
            <w:pPr>
              <w:ind w:left="47" w:right="52"/>
              <w:jc w:val="center"/>
              <w:rPr>
                <w:szCs w:val="22"/>
              </w:rPr>
            </w:pPr>
            <w:r>
              <w:rPr>
                <w:spacing w:val="1"/>
                <w:szCs w:val="22"/>
              </w:rPr>
              <w:t>(</w:t>
            </w:r>
            <w:r>
              <w:rPr>
                <w:szCs w:val="22"/>
              </w:rPr>
              <w:t>35,61; 51,75)</w:t>
            </w:r>
          </w:p>
        </w:tc>
        <w:tc>
          <w:tcPr>
            <w:tcW w:w="164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 xml:space="preserve">37,68 </w:t>
            </w:r>
          </w:p>
          <w:p w:rsidR="003760D5" w:rsidRDefault="003760D5" w:rsidP="00B47874">
            <w:pPr>
              <w:ind w:left="47" w:right="52"/>
              <w:jc w:val="center"/>
              <w:rPr>
                <w:szCs w:val="22"/>
              </w:rPr>
            </w:pPr>
            <w:r>
              <w:rPr>
                <w:spacing w:val="1"/>
                <w:szCs w:val="22"/>
              </w:rPr>
              <w:t>(</w:t>
            </w:r>
            <w:r>
              <w:rPr>
                <w:szCs w:val="22"/>
              </w:rPr>
              <w:t>29,14; 45,77)</w:t>
            </w:r>
          </w:p>
        </w:tc>
        <w:tc>
          <w:tcPr>
            <w:tcW w:w="1760"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 xml:space="preserve">0,94 </w:t>
            </w:r>
          </w:p>
          <w:p w:rsidR="003760D5" w:rsidRDefault="003760D5" w:rsidP="00B47874">
            <w:pPr>
              <w:ind w:left="47" w:right="52"/>
              <w:jc w:val="center"/>
              <w:rPr>
                <w:szCs w:val="22"/>
              </w:rPr>
            </w:pPr>
            <w:r>
              <w:rPr>
                <w:spacing w:val="1"/>
                <w:szCs w:val="22"/>
              </w:rPr>
              <w:t>(</w:t>
            </w:r>
            <w:r>
              <w:rPr>
                <w:szCs w:val="22"/>
              </w:rPr>
              <w:t>0,73; 1,20)</w:t>
            </w:r>
          </w:p>
        </w:tc>
        <w:tc>
          <w:tcPr>
            <w:tcW w:w="1032" w:type="dxa"/>
            <w:tcBorders>
              <w:top w:val="single" w:sz="4" w:space="0" w:color="000000"/>
              <w:left w:val="single" w:sz="4" w:space="0" w:color="000000"/>
              <w:bottom w:val="single" w:sz="4" w:space="0" w:color="000000"/>
              <w:right w:val="single" w:sz="4" w:space="0" w:color="000000"/>
            </w:tcBorders>
            <w:hideMark/>
          </w:tcPr>
          <w:p w:rsidR="003760D5" w:rsidRDefault="003760D5" w:rsidP="00B47874">
            <w:pPr>
              <w:ind w:left="47" w:right="52"/>
              <w:jc w:val="center"/>
              <w:rPr>
                <w:szCs w:val="22"/>
              </w:rPr>
            </w:pPr>
            <w:r>
              <w:rPr>
                <w:szCs w:val="22"/>
              </w:rPr>
              <w:t>0,300</w:t>
            </w:r>
          </w:p>
        </w:tc>
      </w:tr>
    </w:tbl>
    <w:p w:rsidR="003760D5" w:rsidRDefault="003760D5" w:rsidP="003760D5">
      <w:pPr>
        <w:tabs>
          <w:tab w:val="left" w:pos="851"/>
        </w:tabs>
        <w:ind w:left="851"/>
        <w:rPr>
          <w:bCs/>
          <w:szCs w:val="24"/>
        </w:rPr>
      </w:pPr>
    </w:p>
    <w:p w:rsidR="006F436A" w:rsidRDefault="006F436A">
      <w:pPr>
        <w:rPr>
          <w:b/>
          <w:bCs/>
          <w:szCs w:val="24"/>
        </w:rPr>
      </w:pPr>
    </w:p>
    <w:p w:rsidR="003760D5" w:rsidRPr="001851B3" w:rsidRDefault="003760D5" w:rsidP="003760D5">
      <w:pPr>
        <w:tabs>
          <w:tab w:val="left" w:pos="0"/>
        </w:tabs>
        <w:ind w:left="851"/>
        <w:rPr>
          <w:sz w:val="24"/>
          <w:szCs w:val="24"/>
        </w:rPr>
      </w:pPr>
      <w:r w:rsidRPr="001851B3">
        <w:rPr>
          <w:b/>
          <w:bCs/>
          <w:sz w:val="24"/>
          <w:szCs w:val="24"/>
        </w:rPr>
        <w:t>Figur 1 RADIANT-3 – Kaplan-Meier-kurver for progressionsfri overlevelse (radiologisk vurdering af investigator)</w:t>
      </w:r>
    </w:p>
    <w:p w:rsidR="003760D5" w:rsidRDefault="003760D5" w:rsidP="003760D5">
      <w:pPr>
        <w:tabs>
          <w:tab w:val="left" w:pos="851"/>
        </w:tabs>
        <w:ind w:left="851"/>
        <w:rPr>
          <w:szCs w:val="24"/>
        </w:rPr>
      </w:pPr>
    </w:p>
    <w:p w:rsidR="003760D5" w:rsidRDefault="00BB3C53" w:rsidP="003760D5">
      <w:pPr>
        <w:rPr>
          <w:szCs w:val="24"/>
        </w:rPr>
      </w:pPr>
      <w:r w:rsidRPr="00157CFF">
        <w:rPr>
          <w:noProof/>
          <w:szCs w:val="24"/>
          <w:lang w:eastAsia="da-DK"/>
        </w:rPr>
        <mc:AlternateContent>
          <mc:Choice Requires="wps">
            <w:drawing>
              <wp:anchor distT="0" distB="0" distL="114300" distR="114300" simplePos="0" relativeHeight="251669504" behindDoc="0" locked="0" layoutInCell="1" allowOverlap="1" wp14:anchorId="5A5F6384" wp14:editId="1879A289">
                <wp:simplePos x="0" y="0"/>
                <wp:positionH relativeFrom="margin">
                  <wp:align>center</wp:align>
                </wp:positionH>
                <wp:positionV relativeFrom="paragraph">
                  <wp:posOffset>4336415</wp:posOffset>
                </wp:positionV>
                <wp:extent cx="1648800" cy="24840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800" cy="248400"/>
                        </a:xfrm>
                        <a:prstGeom prst="rect">
                          <a:avLst/>
                        </a:prstGeom>
                        <a:solidFill>
                          <a:srgbClr val="FFFFFF"/>
                        </a:solidFill>
                        <a:ln w="9525">
                          <a:noFill/>
                          <a:miter lim="800000"/>
                          <a:headEnd/>
                          <a:tailEnd/>
                        </a:ln>
                      </wps:spPr>
                      <wps:txbx>
                        <w:txbxContent>
                          <w:p w:rsidR="000433C9" w:rsidRPr="00B41049" w:rsidRDefault="000433C9" w:rsidP="00BB3C53">
                            <w:pPr>
                              <w:jc w:val="center"/>
                              <w:rPr>
                                <w:sz w:val="20"/>
                              </w:rPr>
                            </w:pPr>
                            <w:r w:rsidRPr="00B41049">
                              <w:rPr>
                                <w:sz w:val="20"/>
                              </w:rPr>
                              <w:t>Tid (måneder)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F6384" id="_x0000_t202" coordsize="21600,21600" o:spt="202" path="m,l,21600r21600,l21600,xe">
                <v:stroke joinstyle="miter"/>
                <v:path gradientshapeok="t" o:connecttype="rect"/>
              </v:shapetype>
              <v:shape id="Text Box 2" o:spid="_x0000_s1026" type="#_x0000_t202" style="position:absolute;margin-left:0;margin-top:341.45pt;width:129.85pt;height:19.5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" stroked="f">
                <v:textbox>
                  <w:txbxContent>
                    <w:p w:rsidR="000433C9" w:rsidRPr="00B41049" w:rsidRDefault="000433C9" w:rsidP="00BB3C53">
                      <w:pPr>
                        <w:jc w:val="center"/>
                        <w:rPr>
                          <w:sz w:val="20"/>
                        </w:rPr>
                      </w:pPr>
                      <w:r w:rsidRPr="00B41049">
                        <w:rPr>
                          <w:sz w:val="20"/>
                        </w:rPr>
                        <w:t>Tid (måneder)</w:t>
                      </w:r>
                    </w:p>
                  </w:txbxContent>
                </v:textbox>
                <w10:wrap anchorx="margin"/>
              </v:shape>
            </w:pict>
          </mc:Fallback>
        </mc:AlternateContent>
      </w:r>
      <w:r w:rsidR="003760D5">
        <w:rPr>
          <w:noProof/>
          <w:lang w:eastAsia="da-DK"/>
        </w:rPr>
        <mc:AlternateContent>
          <mc:Choice Requires="wps">
            <w:drawing>
              <wp:anchor distT="0" distB="0" distL="114300" distR="114300" simplePos="0" relativeHeight="251667456" behindDoc="0" locked="0" layoutInCell="1" allowOverlap="1" wp14:anchorId="1AFA2891" wp14:editId="09F30750">
                <wp:simplePos x="0" y="0"/>
                <wp:positionH relativeFrom="column">
                  <wp:posOffset>4264660</wp:posOffset>
                </wp:positionH>
                <wp:positionV relativeFrom="paragraph">
                  <wp:posOffset>171450</wp:posOffset>
                </wp:positionV>
                <wp:extent cx="717550" cy="203200"/>
                <wp:effectExtent l="0" t="0" r="6350" b="6350"/>
                <wp:wrapNone/>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03200"/>
                        </a:xfrm>
                        <a:prstGeom prst="rect">
                          <a:avLst/>
                        </a:prstGeom>
                        <a:solidFill>
                          <a:schemeClr val="bg1">
                            <a:lumMod val="95000"/>
                          </a:schemeClr>
                        </a:solidFill>
                        <a:ln w="9525">
                          <a:noFill/>
                          <a:miter lim="800000"/>
                          <a:headEnd/>
                          <a:tailEnd/>
                        </a:ln>
                      </wps:spPr>
                      <wps:txbx>
                        <w:txbxContent>
                          <w:p w:rsidR="000433C9" w:rsidRDefault="000433C9" w:rsidP="003760D5">
                            <w:pPr>
                              <w:rPr>
                                <w:sz w:val="19"/>
                                <w:szCs w:val="19"/>
                              </w:rPr>
                            </w:pPr>
                            <w:r>
                              <w:rPr>
                                <w:sz w:val="19"/>
                                <w:szCs w:val="19"/>
                              </w:rPr>
                              <w:t>Risikorate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2891" id="Tekstfelt 12" o:spid="_x0000_s1027" type="#_x0000_t202" style="position:absolute;margin-left:335.8pt;margin-top:13.5pt;width:56.5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" fillcolor="#f2f2f2 [3052]" stroked="f">
                <v:textbox>
                  <w:txbxContent>
                    <w:p w:rsidR="000433C9" w:rsidRDefault="000433C9" w:rsidP="003760D5">
                      <w:pPr>
                        <w:rPr>
                          <w:sz w:val="19"/>
                          <w:szCs w:val="19"/>
                        </w:rPr>
                      </w:pPr>
                      <w:r>
                        <w:rPr>
                          <w:sz w:val="19"/>
                          <w:szCs w:val="19"/>
                        </w:rPr>
                        <w:t>Risikorate</w:t>
                      </w:r>
                    </w:p>
                  </w:txbxContent>
                </v:textbox>
              </v:shape>
            </w:pict>
          </mc:Fallback>
        </mc:AlternateContent>
      </w:r>
      <w:r>
        <w:rPr>
          <w:noProof/>
          <w:szCs w:val="24"/>
          <w:lang w:eastAsia="da-DK"/>
        </w:rPr>
        <w:drawing>
          <wp:inline distT="0" distB="0" distL="0" distR="0" wp14:anchorId="333B0075" wp14:editId="798D47F7">
            <wp:extent cx="5943600" cy="452437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3930" t="20526" r="58476" b="18507"/>
                    <a:stretch>
                      <a:fillRect/>
                    </a:stretch>
                  </pic:blipFill>
                  <pic:spPr bwMode="auto">
                    <a:xfrm>
                      <a:off x="0" y="0"/>
                      <a:ext cx="5943600" cy="4524375"/>
                    </a:xfrm>
                    <a:prstGeom prst="rect">
                      <a:avLst/>
                    </a:prstGeom>
                    <a:noFill/>
                    <a:ln>
                      <a:noFill/>
                    </a:ln>
                  </pic:spPr>
                </pic:pic>
              </a:graphicData>
            </a:graphic>
          </wp:inline>
        </w:drawing>
      </w:r>
    </w:p>
    <w:p w:rsidR="00BB3C53" w:rsidRDefault="00BB3C53" w:rsidP="003760D5">
      <w:pPr>
        <w:rPr>
          <w:szCs w:val="24"/>
        </w:rPr>
      </w:pPr>
    </w:p>
    <w:tbl>
      <w:tblPr>
        <w:tblW w:w="81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86"/>
        <w:gridCol w:w="486"/>
        <w:gridCol w:w="486"/>
        <w:gridCol w:w="486"/>
        <w:gridCol w:w="486"/>
        <w:gridCol w:w="486"/>
        <w:gridCol w:w="486"/>
        <w:gridCol w:w="486"/>
        <w:gridCol w:w="486"/>
        <w:gridCol w:w="396"/>
        <w:gridCol w:w="396"/>
        <w:gridCol w:w="396"/>
        <w:gridCol w:w="396"/>
        <w:gridCol w:w="396"/>
        <w:gridCol w:w="396"/>
        <w:gridCol w:w="396"/>
      </w:tblGrid>
      <w:tr w:rsidR="003760D5" w:rsidTr="00B47874">
        <w:tc>
          <w:tcPr>
            <w:tcW w:w="8192" w:type="dxa"/>
            <w:gridSpan w:val="17"/>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Antal patienter stadig i risiko</w:t>
            </w:r>
          </w:p>
        </w:tc>
      </w:tr>
      <w:tr w:rsidR="003760D5" w:rsidTr="00B47874">
        <w:tc>
          <w:tcPr>
            <w:tcW w:w="104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Everolimus</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207</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189</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153</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126</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114</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80</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49</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36</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28</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21</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10</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6</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0</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0</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0</w:t>
            </w:r>
          </w:p>
        </w:tc>
      </w:tr>
      <w:tr w:rsidR="003760D5" w:rsidTr="00B47874">
        <w:tc>
          <w:tcPr>
            <w:tcW w:w="104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Placebo</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203</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117</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98</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59</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52</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24</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16</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7</w:t>
            </w:r>
          </w:p>
        </w:tc>
        <w:tc>
          <w:tcPr>
            <w:tcW w:w="48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4</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3</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2</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1</w:t>
            </w:r>
          </w:p>
        </w:tc>
        <w:tc>
          <w:tcPr>
            <w:tcW w:w="396" w:type="dxa"/>
            <w:tcBorders>
              <w:top w:val="single" w:sz="4" w:space="0" w:color="auto"/>
              <w:left w:val="single" w:sz="4" w:space="0" w:color="auto"/>
              <w:bottom w:val="single" w:sz="4" w:space="0" w:color="auto"/>
              <w:right w:val="single" w:sz="4" w:space="0" w:color="auto"/>
            </w:tcBorders>
            <w:hideMark/>
          </w:tcPr>
          <w:p w:rsidR="003760D5" w:rsidRDefault="003760D5" w:rsidP="00B47874">
            <w:pPr>
              <w:pStyle w:val="Default"/>
              <w:rPr>
                <w:sz w:val="18"/>
              </w:rPr>
            </w:pPr>
            <w:r>
              <w:rPr>
                <w:sz w:val="18"/>
              </w:rPr>
              <w:t>0</w:t>
            </w:r>
          </w:p>
        </w:tc>
      </w:tr>
    </w:tbl>
    <w:p w:rsidR="003760D5" w:rsidRDefault="003760D5" w:rsidP="003760D5">
      <w:pPr>
        <w:pStyle w:val="Default"/>
        <w:ind w:left="-426"/>
        <w:rPr>
          <w:i/>
          <w:iCs/>
        </w:rPr>
      </w:pPr>
    </w:p>
    <w:p w:rsidR="003760D5" w:rsidRDefault="003760D5" w:rsidP="003760D5">
      <w:pPr>
        <w:pStyle w:val="Default"/>
        <w:ind w:left="851"/>
      </w:pPr>
      <w:r>
        <w:rPr>
          <w:i/>
          <w:iCs/>
        </w:rPr>
        <w:t xml:space="preserve">Progressive neuroendokrine tumorer udgået fra mave-tarm-kanalen eller lungerne </w:t>
      </w:r>
    </w:p>
    <w:p w:rsidR="003760D5" w:rsidRDefault="003760D5" w:rsidP="003760D5">
      <w:pPr>
        <w:pStyle w:val="Default"/>
        <w:ind w:left="851"/>
      </w:pPr>
      <w:r>
        <w:t xml:space="preserve">RADIANT-4 (studie CRAD001T2302), et randomiseret, dobbeltblindt, fase III-multicenterstudie af </w:t>
      </w:r>
      <w:r w:rsidR="000B424C">
        <w:t>e</w:t>
      </w:r>
      <w:r>
        <w:t xml:space="preserve">verolimus plus bedste understøttende behandling (BSC) </w:t>
      </w:r>
      <w:r>
        <w:rPr>
          <w:iCs/>
        </w:rPr>
        <w:t>versus</w:t>
      </w:r>
      <w:r>
        <w:rPr>
          <w:i/>
          <w:iCs/>
        </w:rPr>
        <w:t xml:space="preserve"> </w:t>
      </w:r>
      <w:r>
        <w:t xml:space="preserve">placebo plus BSC blev udført hos patienter med fremskredne, veldifferentierede (Grad 1 </w:t>
      </w:r>
      <w:r>
        <w:lastRenderedPageBreak/>
        <w:t xml:space="preserve">eller 2) ikke-funktionelle neuroendokrine tumorer udgået fra mave-tarm-kanalen eller lungerne uden tidligere eller nuværende aktive symptomer relateret til karcinoidt syndrom. </w:t>
      </w:r>
    </w:p>
    <w:p w:rsidR="003760D5" w:rsidRDefault="003760D5" w:rsidP="003760D5">
      <w:pPr>
        <w:pStyle w:val="Default"/>
      </w:pPr>
    </w:p>
    <w:p w:rsidR="003760D5" w:rsidRDefault="003760D5" w:rsidP="003760D5">
      <w:pPr>
        <w:pStyle w:val="Default"/>
        <w:ind w:left="851"/>
      </w:pPr>
      <w:r>
        <w:t xml:space="preserve">Studiets primære endepunkt var progressionsfri overlevelse (PFS), evalueret ved </w:t>
      </w:r>
      <w:r>
        <w:rPr>
          <w:iCs/>
        </w:rPr>
        <w:t>Response Evaluation Criteria in Solid Tumours</w:t>
      </w:r>
      <w:r>
        <w:rPr>
          <w:i/>
          <w:iCs/>
        </w:rPr>
        <w:t xml:space="preserve"> </w:t>
      </w:r>
      <w:r>
        <w:t xml:space="preserve">(RECIST), baseret på en uafhængig radiologisk vurdering. Understøttende PFS-analyser var baseret på den lokale undersøgers vurdering. De sekundære endepunkter omfattede total overlevelse (OS), total responsrate, sygdomskontrolrate, sikkerhed, ændring i livskvalitet (FACT-G) og tid til forværring af </w:t>
      </w:r>
      <w:r>
        <w:rPr>
          <w:iCs/>
        </w:rPr>
        <w:t>World Health Organisation performance-status</w:t>
      </w:r>
      <w:r>
        <w:rPr>
          <w:i/>
          <w:iCs/>
        </w:rPr>
        <w:t xml:space="preserve"> </w:t>
      </w:r>
      <w:r>
        <w:t xml:space="preserve">(WHO PS). </w:t>
      </w:r>
    </w:p>
    <w:p w:rsidR="003760D5" w:rsidRDefault="003760D5" w:rsidP="003760D5">
      <w:pPr>
        <w:pStyle w:val="Default"/>
        <w:ind w:left="851"/>
      </w:pPr>
    </w:p>
    <w:p w:rsidR="00A672FE" w:rsidRDefault="003760D5" w:rsidP="00A672FE">
      <w:pPr>
        <w:tabs>
          <w:tab w:val="left" w:pos="851"/>
        </w:tabs>
        <w:ind w:left="851"/>
        <w:rPr>
          <w:sz w:val="24"/>
          <w:szCs w:val="24"/>
        </w:rPr>
      </w:pPr>
      <w:r>
        <w:rPr>
          <w:sz w:val="24"/>
          <w:szCs w:val="24"/>
        </w:rPr>
        <w:t xml:space="preserve">I alt blev 302 patienter randomiseret 2:1 til enten everolimus (10 mg daglig) (n=205) eller placebo (n=97). Demografiske karakteristika og sygdomskarakteristika var generelt velbalancerede (medianalder 63 år [interval 22 til 86], 76 % kaukasier, behandling med somatostatinanaloger (SSA) i anamnesen). Den mediane varighed af blindet forsøgsbehandling var 40,4 uger for patienter, der fik </w:t>
      </w:r>
      <w:r w:rsidR="000B424C">
        <w:rPr>
          <w:sz w:val="24"/>
          <w:szCs w:val="24"/>
        </w:rPr>
        <w:t>e</w:t>
      </w:r>
      <w:r>
        <w:rPr>
          <w:sz w:val="24"/>
          <w:szCs w:val="24"/>
        </w:rPr>
        <w:t>verolimus, og 19,6 uger for dem, der fik placebo.</w:t>
      </w:r>
      <w:r w:rsidR="000B424C">
        <w:rPr>
          <w:sz w:val="24"/>
          <w:szCs w:val="24"/>
        </w:rPr>
        <w:t xml:space="preserve"> </w:t>
      </w:r>
      <w:r w:rsidR="00A672FE">
        <w:rPr>
          <w:sz w:val="24"/>
          <w:szCs w:val="24"/>
        </w:rPr>
        <w:t xml:space="preserve">Efter primær PFS-analyse overgik 6 patienter fra placebo-armen til </w:t>
      </w:r>
      <w:r w:rsidR="00A672FE">
        <w:rPr>
          <w:i/>
          <w:sz w:val="24"/>
          <w:szCs w:val="24"/>
        </w:rPr>
        <w:t>open-label</w:t>
      </w:r>
      <w:r w:rsidR="00A672FE">
        <w:rPr>
          <w:sz w:val="24"/>
          <w:szCs w:val="24"/>
        </w:rPr>
        <w:t xml:space="preserve"> everolimus. </w:t>
      </w:r>
    </w:p>
    <w:p w:rsidR="00A672FE" w:rsidRDefault="00A672FE" w:rsidP="00A672FE">
      <w:pPr>
        <w:tabs>
          <w:tab w:val="left" w:pos="851"/>
        </w:tabs>
        <w:ind w:left="851"/>
        <w:rPr>
          <w:sz w:val="24"/>
          <w:szCs w:val="24"/>
        </w:rPr>
      </w:pPr>
    </w:p>
    <w:p w:rsidR="00A672FE" w:rsidRDefault="00A672FE" w:rsidP="00A672FE">
      <w:pPr>
        <w:pStyle w:val="Default"/>
        <w:ind w:left="851"/>
      </w:pPr>
      <w:r>
        <w:t xml:space="preserve">Effektresultaterne for det primære endepunkt PFS (uafhængig radiologisk vurdering) var baseret på den endelige PFS-analyse (se tabel </w:t>
      </w:r>
      <w:r w:rsidR="000B424C">
        <w:t>7</w:t>
      </w:r>
      <w:r>
        <w:t xml:space="preserve"> og figur 2). Effektresultaterne for PFS (investigators radiologiske vurdering) var baseret på den endelige OS-analyse (se tabel 5).</w:t>
      </w:r>
    </w:p>
    <w:p w:rsidR="003760D5" w:rsidRDefault="003760D5" w:rsidP="003760D5">
      <w:pPr>
        <w:pStyle w:val="Default"/>
        <w:ind w:left="851"/>
      </w:pPr>
      <w:r>
        <w:t xml:space="preserve"> </w:t>
      </w:r>
    </w:p>
    <w:p w:rsidR="00A672FE" w:rsidRPr="001851B3" w:rsidRDefault="00A672FE" w:rsidP="00A672FE">
      <w:pPr>
        <w:tabs>
          <w:tab w:val="left" w:pos="851"/>
        </w:tabs>
        <w:ind w:left="851"/>
        <w:rPr>
          <w:b/>
          <w:bCs/>
          <w:sz w:val="24"/>
          <w:szCs w:val="24"/>
        </w:rPr>
      </w:pPr>
      <w:r w:rsidRPr="001851B3">
        <w:rPr>
          <w:b/>
          <w:bCs/>
          <w:sz w:val="24"/>
          <w:szCs w:val="24"/>
        </w:rPr>
        <w:t xml:space="preserve">Tabel </w:t>
      </w:r>
      <w:r w:rsidR="000B424C">
        <w:rPr>
          <w:b/>
          <w:bCs/>
          <w:sz w:val="24"/>
          <w:szCs w:val="24"/>
        </w:rPr>
        <w:t>7</w:t>
      </w:r>
      <w:r w:rsidRPr="001851B3">
        <w:rPr>
          <w:b/>
          <w:bCs/>
          <w:sz w:val="24"/>
          <w:szCs w:val="24"/>
        </w:rPr>
        <w:t>. RADIANT-</w:t>
      </w:r>
      <w:r w:rsidR="000B424C">
        <w:rPr>
          <w:b/>
          <w:bCs/>
          <w:sz w:val="24"/>
          <w:szCs w:val="24"/>
        </w:rPr>
        <w:t>4</w:t>
      </w:r>
      <w:r w:rsidRPr="001851B3">
        <w:rPr>
          <w:b/>
          <w:bCs/>
          <w:sz w:val="24"/>
          <w:szCs w:val="24"/>
        </w:rPr>
        <w:t xml:space="preserve"> – Resultater for progressionsfri overlevelse</w:t>
      </w:r>
    </w:p>
    <w:p w:rsidR="00A672FE" w:rsidRDefault="00A672FE" w:rsidP="00A672FE">
      <w:pPr>
        <w:tabs>
          <w:tab w:val="left" w:pos="851"/>
        </w:tabs>
        <w:ind w:left="851"/>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345"/>
        <w:gridCol w:w="1960"/>
        <w:gridCol w:w="1741"/>
        <w:gridCol w:w="1375"/>
      </w:tblGrid>
      <w:tr w:rsidR="00A672FE" w:rsidTr="00A672FE">
        <w:tc>
          <w:tcPr>
            <w:tcW w:w="1146"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41" w:right="-20"/>
              <w:jc w:val="center"/>
              <w:rPr>
                <w:rFonts w:eastAsia="Calibri"/>
                <w:b/>
                <w:bCs/>
                <w:sz w:val="20"/>
              </w:rPr>
            </w:pPr>
            <w:r>
              <w:rPr>
                <w:rFonts w:eastAsia="Calibri"/>
                <w:b/>
                <w:bCs/>
                <w:spacing w:val="2"/>
                <w:sz w:val="20"/>
              </w:rPr>
              <w:t>P</w:t>
            </w:r>
            <w:r>
              <w:rPr>
                <w:rFonts w:eastAsia="Calibri"/>
                <w:b/>
                <w:bCs/>
                <w:sz w:val="20"/>
              </w:rPr>
              <w:t>op</w:t>
            </w:r>
            <w:r>
              <w:rPr>
                <w:rFonts w:eastAsia="Calibri"/>
                <w:b/>
                <w:bCs/>
                <w:spacing w:val="-1"/>
                <w:sz w:val="20"/>
              </w:rPr>
              <w:t>u</w:t>
            </w:r>
            <w:r>
              <w:rPr>
                <w:rFonts w:eastAsia="Calibri"/>
                <w:b/>
                <w:bCs/>
                <w:spacing w:val="1"/>
                <w:sz w:val="20"/>
              </w:rPr>
              <w:t>l</w:t>
            </w:r>
            <w:r>
              <w:rPr>
                <w:rFonts w:eastAsia="Calibri"/>
                <w:b/>
                <w:bCs/>
                <w:sz w:val="20"/>
              </w:rPr>
              <w:t>a</w:t>
            </w:r>
            <w:r>
              <w:rPr>
                <w:rFonts w:eastAsia="Calibri"/>
                <w:b/>
                <w:bCs/>
                <w:spacing w:val="1"/>
                <w:sz w:val="20"/>
              </w:rPr>
              <w:t>ti</w:t>
            </w:r>
            <w:r>
              <w:rPr>
                <w:rFonts w:eastAsia="Calibri"/>
                <w:b/>
                <w:bCs/>
                <w:sz w:val="20"/>
              </w:rPr>
              <w:t>on</w:t>
            </w:r>
          </w:p>
        </w:tc>
        <w:tc>
          <w:tcPr>
            <w:tcW w:w="12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114" w:right="-82"/>
              <w:jc w:val="center"/>
              <w:rPr>
                <w:rFonts w:eastAsia="Calibri"/>
                <w:b/>
                <w:bCs/>
                <w:sz w:val="20"/>
              </w:rPr>
            </w:pPr>
            <w:r>
              <w:rPr>
                <w:rFonts w:eastAsia="Calibri"/>
                <w:b/>
                <w:bCs/>
                <w:spacing w:val="-1"/>
                <w:sz w:val="20"/>
              </w:rPr>
              <w:t xml:space="preserve">Everolimus </w:t>
            </w:r>
            <w:r>
              <w:rPr>
                <w:rFonts w:eastAsia="Calibri"/>
                <w:b/>
                <w:bCs/>
                <w:sz w:val="20"/>
              </w:rPr>
              <w:t>n</w:t>
            </w:r>
            <w:r>
              <w:rPr>
                <w:rFonts w:eastAsia="Calibri"/>
                <w:b/>
                <w:bCs/>
                <w:spacing w:val="-1"/>
                <w:sz w:val="20"/>
              </w:rPr>
              <w:t>=</w:t>
            </w:r>
            <w:r>
              <w:rPr>
                <w:rFonts w:eastAsia="Calibri"/>
                <w:b/>
                <w:bCs/>
                <w:sz w:val="20"/>
              </w:rPr>
              <w:t>205</w:t>
            </w:r>
          </w:p>
        </w:tc>
        <w:tc>
          <w:tcPr>
            <w:tcW w:w="10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61" w:right="-83"/>
              <w:jc w:val="center"/>
              <w:rPr>
                <w:rFonts w:eastAsia="Calibri"/>
                <w:b/>
                <w:bCs/>
                <w:sz w:val="20"/>
              </w:rPr>
            </w:pPr>
            <w:r>
              <w:rPr>
                <w:rFonts w:eastAsia="Calibri"/>
                <w:b/>
                <w:bCs/>
                <w:spacing w:val="2"/>
                <w:sz w:val="20"/>
              </w:rPr>
              <w:t>P</w:t>
            </w:r>
            <w:r>
              <w:rPr>
                <w:rFonts w:eastAsia="Calibri"/>
                <w:b/>
                <w:bCs/>
                <w:spacing w:val="1"/>
                <w:sz w:val="20"/>
              </w:rPr>
              <w:t>l</w:t>
            </w:r>
            <w:r>
              <w:rPr>
                <w:rFonts w:eastAsia="Calibri"/>
                <w:b/>
                <w:bCs/>
                <w:sz w:val="20"/>
              </w:rPr>
              <w:t>ac</w:t>
            </w:r>
            <w:r>
              <w:rPr>
                <w:rFonts w:eastAsia="Calibri"/>
                <w:b/>
                <w:bCs/>
                <w:spacing w:val="1"/>
                <w:sz w:val="20"/>
              </w:rPr>
              <w:t>e</w:t>
            </w:r>
            <w:r>
              <w:rPr>
                <w:rFonts w:eastAsia="Calibri"/>
                <w:b/>
                <w:bCs/>
                <w:sz w:val="20"/>
              </w:rPr>
              <w:t>bo n</w:t>
            </w:r>
            <w:r>
              <w:rPr>
                <w:rFonts w:eastAsia="Calibri"/>
                <w:b/>
                <w:bCs/>
                <w:spacing w:val="-1"/>
                <w:sz w:val="20"/>
              </w:rPr>
              <w:t>=</w:t>
            </w:r>
            <w:r>
              <w:rPr>
                <w:rFonts w:eastAsia="Calibri"/>
                <w:b/>
                <w:bCs/>
                <w:sz w:val="20"/>
              </w:rPr>
              <w:t>97</w:t>
            </w:r>
          </w:p>
        </w:tc>
        <w:tc>
          <w:tcPr>
            <w:tcW w:w="904"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142" w:right="-32"/>
              <w:jc w:val="center"/>
              <w:rPr>
                <w:rFonts w:eastAsia="Calibri"/>
                <w:b/>
                <w:bCs/>
                <w:sz w:val="20"/>
              </w:rPr>
            </w:pPr>
            <w:r>
              <w:rPr>
                <w:rFonts w:eastAsia="Calibri"/>
                <w:b/>
                <w:bCs/>
                <w:spacing w:val="1"/>
                <w:sz w:val="20"/>
              </w:rPr>
              <w:t>Risikorate</w:t>
            </w:r>
          </w:p>
          <w:p w:rsidR="00A672FE" w:rsidRDefault="00A672FE">
            <w:pPr>
              <w:widowControl w:val="0"/>
              <w:ind w:left="-142" w:right="-32"/>
              <w:jc w:val="center"/>
              <w:rPr>
                <w:rFonts w:eastAsia="Calibri"/>
                <w:b/>
                <w:bCs/>
                <w:sz w:val="20"/>
              </w:rPr>
            </w:pPr>
            <w:r>
              <w:rPr>
                <w:rFonts w:eastAsia="Calibri"/>
                <w:b/>
                <w:bCs/>
                <w:spacing w:val="1"/>
                <w:sz w:val="20"/>
              </w:rPr>
              <w:t>(</w:t>
            </w:r>
            <w:r>
              <w:rPr>
                <w:rFonts w:eastAsia="Calibri"/>
                <w:b/>
                <w:bCs/>
                <w:sz w:val="20"/>
              </w:rPr>
              <w:t>95%</w:t>
            </w:r>
            <w:r>
              <w:rPr>
                <w:rFonts w:eastAsia="Calibri"/>
                <w:b/>
                <w:bCs/>
                <w:spacing w:val="-2"/>
                <w:sz w:val="20"/>
              </w:rPr>
              <w:t xml:space="preserve"> </w:t>
            </w:r>
            <w:r>
              <w:rPr>
                <w:rFonts w:eastAsia="Calibri"/>
                <w:b/>
                <w:bCs/>
                <w:spacing w:val="-1"/>
                <w:sz w:val="20"/>
              </w:rPr>
              <w:t>C</w:t>
            </w:r>
            <w:r>
              <w:rPr>
                <w:rFonts w:eastAsia="Calibri"/>
                <w:b/>
                <w:bCs/>
                <w:sz w:val="20"/>
              </w:rPr>
              <w:t>I)</w:t>
            </w:r>
          </w:p>
        </w:tc>
        <w:tc>
          <w:tcPr>
            <w:tcW w:w="713"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24" w:right="-56"/>
              <w:jc w:val="center"/>
              <w:rPr>
                <w:rFonts w:eastAsia="Calibri"/>
                <w:b/>
                <w:bCs/>
                <w:sz w:val="20"/>
              </w:rPr>
            </w:pPr>
            <w:r>
              <w:rPr>
                <w:rFonts w:eastAsia="Calibri"/>
                <w:b/>
                <w:bCs/>
                <w:sz w:val="20"/>
              </w:rPr>
              <w:t>p</w:t>
            </w:r>
            <w:r>
              <w:rPr>
                <w:rFonts w:eastAsia="Calibri"/>
                <w:b/>
                <w:bCs/>
                <w:spacing w:val="1"/>
                <w:sz w:val="20"/>
              </w:rPr>
              <w:t>-</w:t>
            </w:r>
            <w:r>
              <w:rPr>
                <w:rFonts w:eastAsia="Calibri"/>
                <w:b/>
                <w:bCs/>
                <w:sz w:val="20"/>
              </w:rPr>
              <w:t>værdi</w:t>
            </w:r>
            <w:r>
              <w:rPr>
                <w:rFonts w:eastAsia="Calibri"/>
                <w:b/>
                <w:bCs/>
                <w:position w:val="10"/>
                <w:sz w:val="20"/>
              </w:rPr>
              <w:t>a</w:t>
            </w:r>
          </w:p>
        </w:tc>
      </w:tr>
      <w:tr w:rsidR="00A672FE" w:rsidTr="00A672FE">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24" w:right="-56"/>
              <w:rPr>
                <w:rFonts w:eastAsia="Calibri"/>
                <w:b/>
                <w:bCs/>
                <w:position w:val="-1"/>
                <w:szCs w:val="22"/>
              </w:rPr>
            </w:pPr>
            <w:r>
              <w:rPr>
                <w:rFonts w:eastAsia="Calibri"/>
                <w:b/>
                <w:bCs/>
                <w:sz w:val="20"/>
              </w:rPr>
              <w:t>M</w:t>
            </w:r>
            <w:r>
              <w:rPr>
                <w:rFonts w:eastAsia="Calibri"/>
                <w:b/>
                <w:bCs/>
                <w:spacing w:val="1"/>
                <w:sz w:val="20"/>
              </w:rPr>
              <w:t>e</w:t>
            </w:r>
            <w:r>
              <w:rPr>
                <w:rFonts w:eastAsia="Calibri"/>
                <w:b/>
                <w:bCs/>
                <w:sz w:val="20"/>
              </w:rPr>
              <w:t>dian progr</w:t>
            </w:r>
            <w:r>
              <w:rPr>
                <w:rFonts w:eastAsia="Calibri"/>
                <w:b/>
                <w:bCs/>
                <w:spacing w:val="1"/>
                <w:sz w:val="20"/>
              </w:rPr>
              <w:t>e</w:t>
            </w:r>
            <w:r>
              <w:rPr>
                <w:rFonts w:eastAsia="Calibri"/>
                <w:b/>
                <w:bCs/>
                <w:sz w:val="20"/>
              </w:rPr>
              <w:t>s</w:t>
            </w:r>
            <w:r>
              <w:rPr>
                <w:rFonts w:eastAsia="Calibri"/>
                <w:b/>
                <w:bCs/>
                <w:spacing w:val="1"/>
                <w:sz w:val="20"/>
              </w:rPr>
              <w:t>si</w:t>
            </w:r>
            <w:r>
              <w:rPr>
                <w:rFonts w:eastAsia="Calibri"/>
                <w:b/>
                <w:bCs/>
                <w:sz w:val="20"/>
              </w:rPr>
              <w:t>on</w:t>
            </w:r>
            <w:r>
              <w:rPr>
                <w:rFonts w:eastAsia="Calibri"/>
                <w:b/>
                <w:bCs/>
                <w:spacing w:val="1"/>
                <w:sz w:val="20"/>
              </w:rPr>
              <w:t>fri overlevelse (m</w:t>
            </w:r>
            <w:r>
              <w:rPr>
                <w:rFonts w:eastAsia="Calibri"/>
                <w:b/>
                <w:bCs/>
                <w:sz w:val="20"/>
              </w:rPr>
              <w:t>åneder)</w:t>
            </w:r>
            <w:r>
              <w:rPr>
                <w:rFonts w:eastAsia="Calibri"/>
                <w:b/>
                <w:bCs/>
                <w:spacing w:val="1"/>
                <w:sz w:val="20"/>
              </w:rPr>
              <w:t xml:space="preserve"> (</w:t>
            </w:r>
            <w:r>
              <w:rPr>
                <w:rFonts w:eastAsia="Calibri"/>
                <w:b/>
                <w:bCs/>
                <w:sz w:val="20"/>
              </w:rPr>
              <w:t>95 %</w:t>
            </w:r>
            <w:r>
              <w:rPr>
                <w:rFonts w:eastAsia="Calibri"/>
                <w:b/>
                <w:bCs/>
                <w:spacing w:val="-2"/>
                <w:sz w:val="20"/>
              </w:rPr>
              <w:t xml:space="preserve"> </w:t>
            </w:r>
            <w:r>
              <w:rPr>
                <w:rFonts w:eastAsia="Calibri"/>
                <w:b/>
                <w:bCs/>
                <w:spacing w:val="-1"/>
                <w:sz w:val="20"/>
              </w:rPr>
              <w:t>C</w:t>
            </w:r>
            <w:r>
              <w:rPr>
                <w:rFonts w:eastAsia="Calibri"/>
                <w:b/>
                <w:bCs/>
                <w:sz w:val="20"/>
              </w:rPr>
              <w:t>I)</w:t>
            </w:r>
          </w:p>
        </w:tc>
      </w:tr>
      <w:tr w:rsidR="00A672FE" w:rsidTr="00A672FE">
        <w:tc>
          <w:tcPr>
            <w:tcW w:w="1146"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41" w:right="-20"/>
              <w:jc w:val="center"/>
              <w:rPr>
                <w:rFonts w:eastAsia="Calibri"/>
                <w:sz w:val="20"/>
              </w:rPr>
            </w:pPr>
            <w:r>
              <w:rPr>
                <w:rFonts w:eastAsia="Calibri"/>
                <w:spacing w:val="-4"/>
                <w:sz w:val="20"/>
              </w:rPr>
              <w:t>Uafhængig</w:t>
            </w:r>
            <w:r>
              <w:rPr>
                <w:rFonts w:eastAsia="Calibri"/>
                <w:spacing w:val="2"/>
                <w:sz w:val="20"/>
              </w:rPr>
              <w:t xml:space="preserve"> </w:t>
            </w:r>
            <w:r>
              <w:rPr>
                <w:rFonts w:eastAsia="Calibri"/>
                <w:spacing w:val="1"/>
                <w:sz w:val="20"/>
              </w:rPr>
              <w:t>r</w:t>
            </w:r>
            <w:r>
              <w:rPr>
                <w:rFonts w:eastAsia="Calibri"/>
                <w:sz w:val="20"/>
              </w:rPr>
              <w:t>ad</w:t>
            </w:r>
            <w:r>
              <w:rPr>
                <w:rFonts w:eastAsia="Calibri"/>
                <w:spacing w:val="1"/>
                <w:sz w:val="20"/>
              </w:rPr>
              <w:t>i</w:t>
            </w:r>
            <w:r>
              <w:rPr>
                <w:rFonts w:eastAsia="Calibri"/>
                <w:sz w:val="20"/>
              </w:rPr>
              <w:t>o</w:t>
            </w:r>
            <w:r>
              <w:rPr>
                <w:rFonts w:eastAsia="Calibri"/>
                <w:spacing w:val="1"/>
                <w:sz w:val="20"/>
              </w:rPr>
              <w:t>l</w:t>
            </w:r>
            <w:r>
              <w:rPr>
                <w:rFonts w:eastAsia="Calibri"/>
                <w:sz w:val="20"/>
              </w:rPr>
              <w:t>o</w:t>
            </w:r>
            <w:r>
              <w:rPr>
                <w:rFonts w:eastAsia="Calibri"/>
                <w:spacing w:val="-2"/>
                <w:sz w:val="20"/>
              </w:rPr>
              <w:t>g</w:t>
            </w:r>
            <w:r>
              <w:rPr>
                <w:rFonts w:eastAsia="Calibri"/>
                <w:spacing w:val="1"/>
                <w:sz w:val="20"/>
              </w:rPr>
              <w:t>i</w:t>
            </w:r>
            <w:r>
              <w:rPr>
                <w:rFonts w:eastAsia="Calibri"/>
                <w:sz w:val="20"/>
              </w:rPr>
              <w:t xml:space="preserve">sk </w:t>
            </w:r>
            <w:r>
              <w:rPr>
                <w:rFonts w:eastAsia="Calibri"/>
                <w:spacing w:val="1"/>
                <w:sz w:val="20"/>
              </w:rPr>
              <w:t>vurdering</w:t>
            </w:r>
          </w:p>
        </w:tc>
        <w:tc>
          <w:tcPr>
            <w:tcW w:w="12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59" w:right="-82"/>
              <w:jc w:val="center"/>
              <w:rPr>
                <w:rFonts w:eastAsia="Calibri"/>
                <w:sz w:val="20"/>
              </w:rPr>
            </w:pPr>
            <w:r>
              <w:rPr>
                <w:rFonts w:eastAsia="Calibri"/>
                <w:sz w:val="20"/>
              </w:rPr>
              <w:t>11,01</w:t>
            </w:r>
          </w:p>
          <w:p w:rsidR="00A672FE" w:rsidRDefault="00A672FE">
            <w:pPr>
              <w:widowControl w:val="0"/>
              <w:ind w:left="-59" w:right="-82"/>
              <w:jc w:val="center"/>
              <w:rPr>
                <w:rFonts w:eastAsia="Calibri"/>
                <w:sz w:val="20"/>
              </w:rPr>
            </w:pPr>
            <w:r>
              <w:rPr>
                <w:rFonts w:eastAsia="Calibri"/>
                <w:spacing w:val="1"/>
                <w:sz w:val="20"/>
              </w:rPr>
              <w:t>(</w:t>
            </w:r>
            <w:r>
              <w:rPr>
                <w:rFonts w:eastAsia="Calibri"/>
                <w:sz w:val="20"/>
              </w:rPr>
              <w:t>9,2; 13,3)</w:t>
            </w:r>
          </w:p>
        </w:tc>
        <w:tc>
          <w:tcPr>
            <w:tcW w:w="10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61" w:right="-83"/>
              <w:jc w:val="center"/>
              <w:rPr>
                <w:rFonts w:eastAsia="Calibri"/>
                <w:sz w:val="20"/>
              </w:rPr>
            </w:pPr>
            <w:r>
              <w:rPr>
                <w:rFonts w:eastAsia="Calibri"/>
                <w:sz w:val="20"/>
              </w:rPr>
              <w:t xml:space="preserve">3,91 </w:t>
            </w:r>
            <w:r>
              <w:rPr>
                <w:rFonts w:eastAsia="Calibri"/>
                <w:spacing w:val="1"/>
                <w:sz w:val="20"/>
              </w:rPr>
              <w:t>(</w:t>
            </w:r>
            <w:r>
              <w:rPr>
                <w:rFonts w:eastAsia="Calibri"/>
                <w:sz w:val="20"/>
              </w:rPr>
              <w:t>3,6; 7,4)</w:t>
            </w:r>
          </w:p>
        </w:tc>
        <w:tc>
          <w:tcPr>
            <w:tcW w:w="904"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72" w:right="-85" w:hanging="20"/>
              <w:jc w:val="center"/>
              <w:rPr>
                <w:rFonts w:eastAsia="Calibri"/>
                <w:sz w:val="20"/>
              </w:rPr>
            </w:pPr>
            <w:r>
              <w:rPr>
                <w:rFonts w:eastAsia="Calibri"/>
                <w:sz w:val="20"/>
              </w:rPr>
              <w:t xml:space="preserve">0,48 </w:t>
            </w:r>
            <w:r>
              <w:rPr>
                <w:rFonts w:eastAsia="Calibri"/>
                <w:spacing w:val="1"/>
                <w:sz w:val="20"/>
              </w:rPr>
              <w:t>(</w:t>
            </w:r>
            <w:r>
              <w:rPr>
                <w:rFonts w:eastAsia="Calibri"/>
                <w:sz w:val="20"/>
              </w:rPr>
              <w:t>0,35; 0,67)</w:t>
            </w:r>
          </w:p>
        </w:tc>
        <w:tc>
          <w:tcPr>
            <w:tcW w:w="713"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24" w:right="-56"/>
              <w:jc w:val="center"/>
              <w:rPr>
                <w:rFonts w:eastAsia="Calibri"/>
                <w:sz w:val="20"/>
              </w:rPr>
            </w:pPr>
            <w:r>
              <w:rPr>
                <w:rFonts w:eastAsia="Calibri"/>
                <w:sz w:val="20"/>
              </w:rPr>
              <w:t>&lt;0,0001</w:t>
            </w:r>
          </w:p>
        </w:tc>
      </w:tr>
      <w:tr w:rsidR="00A672FE" w:rsidTr="00A672FE">
        <w:tc>
          <w:tcPr>
            <w:tcW w:w="1146"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41" w:right="-20"/>
              <w:jc w:val="center"/>
              <w:rPr>
                <w:rFonts w:eastAsia="Calibri"/>
                <w:sz w:val="20"/>
              </w:rPr>
            </w:pPr>
            <w:r>
              <w:rPr>
                <w:rFonts w:eastAsia="Calibri"/>
                <w:spacing w:val="-4"/>
                <w:sz w:val="20"/>
              </w:rPr>
              <w:t>I</w:t>
            </w:r>
            <w:r>
              <w:rPr>
                <w:rFonts w:eastAsia="Calibri"/>
                <w:sz w:val="20"/>
              </w:rPr>
              <w:t>n</w:t>
            </w:r>
            <w:r>
              <w:rPr>
                <w:rFonts w:eastAsia="Calibri"/>
                <w:spacing w:val="-2"/>
                <w:sz w:val="20"/>
              </w:rPr>
              <w:t>v</w:t>
            </w:r>
            <w:r>
              <w:rPr>
                <w:rFonts w:eastAsia="Calibri"/>
                <w:sz w:val="20"/>
              </w:rPr>
              <w:t>e</w:t>
            </w:r>
            <w:r>
              <w:rPr>
                <w:rFonts w:eastAsia="Calibri"/>
                <w:spacing w:val="1"/>
                <w:sz w:val="20"/>
              </w:rPr>
              <w:t>sti</w:t>
            </w:r>
            <w:r>
              <w:rPr>
                <w:rFonts w:eastAsia="Calibri"/>
                <w:spacing w:val="-2"/>
                <w:sz w:val="20"/>
              </w:rPr>
              <w:t>g</w:t>
            </w:r>
            <w:r>
              <w:rPr>
                <w:rFonts w:eastAsia="Calibri"/>
                <w:sz w:val="20"/>
              </w:rPr>
              <w:t>a</w:t>
            </w:r>
            <w:r>
              <w:rPr>
                <w:rFonts w:eastAsia="Calibri"/>
                <w:spacing w:val="1"/>
                <w:sz w:val="20"/>
              </w:rPr>
              <w:t>t</w:t>
            </w:r>
            <w:r>
              <w:rPr>
                <w:rFonts w:eastAsia="Calibri"/>
                <w:sz w:val="20"/>
              </w:rPr>
              <w:t>ors</w:t>
            </w:r>
            <w:r>
              <w:rPr>
                <w:rFonts w:eastAsia="Calibri"/>
                <w:spacing w:val="2"/>
                <w:sz w:val="20"/>
              </w:rPr>
              <w:t xml:space="preserve"> </w:t>
            </w:r>
            <w:r>
              <w:rPr>
                <w:rFonts w:eastAsia="Calibri"/>
                <w:spacing w:val="1"/>
                <w:sz w:val="20"/>
              </w:rPr>
              <w:t>r</w:t>
            </w:r>
            <w:r>
              <w:rPr>
                <w:rFonts w:eastAsia="Calibri"/>
                <w:sz w:val="20"/>
              </w:rPr>
              <w:t>ad</w:t>
            </w:r>
            <w:r>
              <w:rPr>
                <w:rFonts w:eastAsia="Calibri"/>
                <w:spacing w:val="1"/>
                <w:sz w:val="20"/>
              </w:rPr>
              <w:t>i</w:t>
            </w:r>
            <w:r>
              <w:rPr>
                <w:rFonts w:eastAsia="Calibri"/>
                <w:sz w:val="20"/>
              </w:rPr>
              <w:t>o</w:t>
            </w:r>
            <w:r>
              <w:rPr>
                <w:rFonts w:eastAsia="Calibri"/>
                <w:spacing w:val="1"/>
                <w:sz w:val="20"/>
              </w:rPr>
              <w:t>l</w:t>
            </w:r>
            <w:r>
              <w:rPr>
                <w:rFonts w:eastAsia="Calibri"/>
                <w:sz w:val="20"/>
              </w:rPr>
              <w:t>o</w:t>
            </w:r>
            <w:r>
              <w:rPr>
                <w:rFonts w:eastAsia="Calibri"/>
                <w:spacing w:val="-2"/>
                <w:sz w:val="20"/>
              </w:rPr>
              <w:t>g</w:t>
            </w:r>
            <w:r>
              <w:rPr>
                <w:rFonts w:eastAsia="Calibri"/>
                <w:spacing w:val="1"/>
                <w:sz w:val="20"/>
              </w:rPr>
              <w:t>i</w:t>
            </w:r>
            <w:r>
              <w:rPr>
                <w:rFonts w:eastAsia="Calibri"/>
                <w:sz w:val="20"/>
              </w:rPr>
              <w:t>ske vurdering</w:t>
            </w:r>
          </w:p>
        </w:tc>
        <w:tc>
          <w:tcPr>
            <w:tcW w:w="12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59" w:right="-82"/>
              <w:jc w:val="center"/>
              <w:rPr>
                <w:rFonts w:eastAsia="Calibri"/>
                <w:sz w:val="20"/>
              </w:rPr>
            </w:pPr>
            <w:r>
              <w:rPr>
                <w:rFonts w:eastAsia="Calibri"/>
                <w:sz w:val="20"/>
              </w:rPr>
              <w:t xml:space="preserve">14,39 </w:t>
            </w:r>
            <w:r>
              <w:rPr>
                <w:rFonts w:eastAsia="Calibri"/>
                <w:spacing w:val="1"/>
                <w:sz w:val="20"/>
              </w:rPr>
              <w:t>(</w:t>
            </w:r>
            <w:r>
              <w:rPr>
                <w:rFonts w:eastAsia="Calibri"/>
                <w:sz w:val="20"/>
              </w:rPr>
              <w:t>11,24; 17,97)</w:t>
            </w:r>
          </w:p>
        </w:tc>
        <w:tc>
          <w:tcPr>
            <w:tcW w:w="1018"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61" w:right="-83"/>
              <w:jc w:val="center"/>
              <w:rPr>
                <w:rFonts w:eastAsia="Calibri"/>
                <w:sz w:val="20"/>
              </w:rPr>
            </w:pPr>
            <w:r>
              <w:rPr>
                <w:rFonts w:eastAsia="Calibri"/>
                <w:sz w:val="20"/>
              </w:rPr>
              <w:t xml:space="preserve">5,45 </w:t>
            </w:r>
            <w:r>
              <w:rPr>
                <w:rFonts w:eastAsia="Calibri"/>
                <w:spacing w:val="1"/>
                <w:sz w:val="20"/>
              </w:rPr>
              <w:t>(</w:t>
            </w:r>
            <w:r>
              <w:rPr>
                <w:rFonts w:eastAsia="Calibri"/>
                <w:sz w:val="20"/>
              </w:rPr>
              <w:t>3,71; 7,39)</w:t>
            </w:r>
          </w:p>
        </w:tc>
        <w:tc>
          <w:tcPr>
            <w:tcW w:w="904"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72" w:right="-85" w:hanging="20"/>
              <w:jc w:val="center"/>
              <w:rPr>
                <w:rFonts w:eastAsia="Calibri"/>
                <w:sz w:val="20"/>
              </w:rPr>
            </w:pPr>
            <w:r>
              <w:rPr>
                <w:rFonts w:eastAsia="Calibri"/>
                <w:sz w:val="20"/>
              </w:rPr>
              <w:t xml:space="preserve">0,40 </w:t>
            </w:r>
            <w:r>
              <w:rPr>
                <w:rFonts w:eastAsia="Calibri"/>
                <w:spacing w:val="1"/>
                <w:sz w:val="20"/>
              </w:rPr>
              <w:t>(</w:t>
            </w:r>
            <w:r>
              <w:rPr>
                <w:rFonts w:eastAsia="Calibri"/>
                <w:sz w:val="20"/>
              </w:rPr>
              <w:t>0,29; 0,55)</w:t>
            </w:r>
          </w:p>
        </w:tc>
        <w:tc>
          <w:tcPr>
            <w:tcW w:w="713" w:type="pct"/>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24" w:right="-56"/>
              <w:jc w:val="center"/>
              <w:rPr>
                <w:rFonts w:eastAsia="Calibri"/>
                <w:sz w:val="20"/>
              </w:rPr>
            </w:pPr>
            <w:r>
              <w:rPr>
                <w:rFonts w:eastAsia="Calibri"/>
                <w:sz w:val="20"/>
              </w:rPr>
              <w:t>&lt;0,0001</w:t>
            </w:r>
          </w:p>
        </w:tc>
      </w:tr>
      <w:tr w:rsidR="00A672FE" w:rsidTr="00A672FE">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A672FE" w:rsidRDefault="00A672FE">
            <w:pPr>
              <w:widowControl w:val="0"/>
              <w:ind w:left="-24" w:right="-56"/>
              <w:rPr>
                <w:rFonts w:eastAsia="Calibri"/>
                <w:position w:val="-1"/>
                <w:szCs w:val="22"/>
              </w:rPr>
            </w:pPr>
            <w:r>
              <w:rPr>
                <w:rFonts w:eastAsia="Calibri"/>
                <w:position w:val="10"/>
                <w:sz w:val="20"/>
              </w:rPr>
              <w:t>a</w:t>
            </w:r>
            <w:r>
              <w:rPr>
                <w:rFonts w:eastAsia="Calibri"/>
                <w:spacing w:val="1"/>
                <w:position w:val="10"/>
                <w:sz w:val="20"/>
              </w:rPr>
              <w:t xml:space="preserve"> </w:t>
            </w:r>
            <w:r>
              <w:rPr>
                <w:rFonts w:eastAsia="Calibri"/>
                <w:spacing w:val="-1"/>
                <w:sz w:val="20"/>
              </w:rPr>
              <w:t>En-sidet p-værdi fra en stratificeret log-rank-test.</w:t>
            </w:r>
          </w:p>
        </w:tc>
      </w:tr>
    </w:tbl>
    <w:p w:rsidR="00A672FE" w:rsidRDefault="00A672FE" w:rsidP="00A672FE">
      <w:pPr>
        <w:tabs>
          <w:tab w:val="left" w:pos="851"/>
        </w:tabs>
        <w:ind w:left="851"/>
        <w:rPr>
          <w:b/>
          <w:bCs/>
          <w:szCs w:val="24"/>
        </w:rPr>
      </w:pPr>
    </w:p>
    <w:p w:rsidR="003760D5" w:rsidRDefault="003760D5" w:rsidP="003760D5">
      <w:pPr>
        <w:tabs>
          <w:tab w:val="left" w:pos="851"/>
        </w:tabs>
        <w:ind w:left="851"/>
        <w:rPr>
          <w:b/>
          <w:bCs/>
          <w:szCs w:val="24"/>
        </w:rPr>
      </w:pPr>
    </w:p>
    <w:p w:rsidR="00BB3C53" w:rsidRPr="001851B3" w:rsidRDefault="00BB3C53" w:rsidP="00BB3C53">
      <w:pPr>
        <w:tabs>
          <w:tab w:val="left" w:pos="851"/>
        </w:tabs>
        <w:ind w:left="851"/>
        <w:rPr>
          <w:sz w:val="24"/>
          <w:szCs w:val="24"/>
        </w:rPr>
      </w:pPr>
      <w:r w:rsidRPr="001851B3">
        <w:rPr>
          <w:b/>
          <w:bCs/>
          <w:sz w:val="24"/>
          <w:szCs w:val="24"/>
        </w:rPr>
        <w:t>Figur 2. RADIANT-4 – Kaplan-Meier-kurver for progressionsfri overlevelse (uafhængig radiologisk vurdering)</w:t>
      </w:r>
    </w:p>
    <w:p w:rsidR="00BB3C53" w:rsidRDefault="00BB3C53" w:rsidP="00BB3C53">
      <w:pPr>
        <w:rPr>
          <w:szCs w:val="24"/>
        </w:rPr>
      </w:pPr>
      <w:r>
        <w:rPr>
          <w:b/>
          <w:noProof/>
          <w:spacing w:val="1"/>
          <w:sz w:val="18"/>
          <w:szCs w:val="16"/>
          <w:lang w:eastAsia="da-DK"/>
        </w:rPr>
        <mc:AlternateContent>
          <mc:Choice Requires="wps">
            <w:drawing>
              <wp:anchor distT="0" distB="0" distL="114300" distR="114300" simplePos="0" relativeHeight="251681792" behindDoc="0" locked="0" layoutInCell="1" allowOverlap="1" wp14:anchorId="6EE733A8" wp14:editId="36B5AE8A">
                <wp:simplePos x="0" y="0"/>
                <wp:positionH relativeFrom="column">
                  <wp:posOffset>979264</wp:posOffset>
                </wp:positionH>
                <wp:positionV relativeFrom="paragraph">
                  <wp:posOffset>1720215</wp:posOffset>
                </wp:positionV>
                <wp:extent cx="1788324" cy="439947"/>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1788324" cy="439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C9" w:rsidRDefault="000433C9" w:rsidP="00BB3C53">
                            <w:pPr>
                              <w:pStyle w:val="Default"/>
                              <w:rPr>
                                <w:rFonts w:ascii="Arial" w:hAnsi="Arial" w:cs="Arial"/>
                                <w:sz w:val="16"/>
                                <w:szCs w:val="16"/>
                              </w:rPr>
                            </w:pPr>
                            <w:r>
                              <w:rPr>
                                <w:rFonts w:ascii="Arial" w:hAnsi="Arial" w:cs="Arial"/>
                                <w:sz w:val="16"/>
                                <w:szCs w:val="16"/>
                              </w:rPr>
                              <w:t xml:space="preserve">Censoreringstidspunkter </w:t>
                            </w:r>
                          </w:p>
                          <w:p w:rsidR="000433C9" w:rsidRDefault="000433C9" w:rsidP="00BB3C53">
                            <w:pPr>
                              <w:rPr>
                                <w:rFonts w:ascii="Arial" w:hAnsi="Arial" w:cs="Arial"/>
                                <w:sz w:val="16"/>
                                <w:szCs w:val="16"/>
                              </w:rPr>
                            </w:pPr>
                            <w:r>
                              <w:rPr>
                                <w:rFonts w:ascii="Arial" w:hAnsi="Arial" w:cs="Arial"/>
                                <w:sz w:val="16"/>
                                <w:szCs w:val="16"/>
                              </w:rPr>
                              <w:t>Everolimus + BSC (n/N = 113/205)</w:t>
                            </w:r>
                          </w:p>
                          <w:p w:rsidR="000433C9" w:rsidRDefault="000433C9" w:rsidP="00BB3C53">
                            <w:pPr>
                              <w:pStyle w:val="Default"/>
                              <w:rPr>
                                <w:rFonts w:ascii="Arial" w:hAnsi="Arial" w:cs="Arial"/>
                                <w:sz w:val="16"/>
                                <w:szCs w:val="16"/>
                              </w:rPr>
                            </w:pPr>
                            <w:r>
                              <w:rPr>
                                <w:rFonts w:ascii="Arial" w:hAnsi="Arial" w:cs="Arial"/>
                                <w:sz w:val="16"/>
                                <w:szCs w:val="16"/>
                              </w:rPr>
                              <w:t xml:space="preserve">Placebo + BSC (n/N = 65/97) </w:t>
                            </w:r>
                          </w:p>
                          <w:p w:rsidR="000433C9" w:rsidRDefault="000433C9" w:rsidP="00BB3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733A8" id="Text Box 14" o:spid="_x0000_s1028" type="#_x0000_t202" style="position:absolute;margin-left:77.1pt;margin-top:135.45pt;width:140.8pt;height:34.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" fillcolor="white [3201]" stroked="f" strokeweight=".5pt">
                <v:textbox>
                  <w:txbxContent>
                    <w:p w:rsidR="000433C9" w:rsidRDefault="000433C9" w:rsidP="00BB3C53">
                      <w:pPr>
                        <w:pStyle w:val="Default"/>
                        <w:rPr>
                          <w:rFonts w:ascii="Arial" w:hAnsi="Arial" w:cs="Arial"/>
                          <w:sz w:val="16"/>
                          <w:szCs w:val="16"/>
                        </w:rPr>
                      </w:pPr>
                      <w:r>
                        <w:rPr>
                          <w:rFonts w:ascii="Arial" w:hAnsi="Arial" w:cs="Arial"/>
                          <w:sz w:val="16"/>
                          <w:szCs w:val="16"/>
                        </w:rPr>
                        <w:t xml:space="preserve">Censoreringstidspunkter </w:t>
                      </w:r>
                    </w:p>
                    <w:p w:rsidR="000433C9" w:rsidRDefault="000433C9" w:rsidP="00BB3C53">
                      <w:pPr>
                        <w:rPr>
                          <w:rFonts w:ascii="Arial" w:hAnsi="Arial" w:cs="Arial"/>
                          <w:sz w:val="16"/>
                          <w:szCs w:val="16"/>
                        </w:rPr>
                      </w:pPr>
                      <w:r>
                        <w:rPr>
                          <w:rFonts w:ascii="Arial" w:hAnsi="Arial" w:cs="Arial"/>
                          <w:sz w:val="16"/>
                          <w:szCs w:val="16"/>
                        </w:rPr>
                        <w:t>Everolimus + BSC (n/N = 113/205)</w:t>
                      </w:r>
                    </w:p>
                    <w:p w:rsidR="000433C9" w:rsidRDefault="000433C9" w:rsidP="00BB3C53">
                      <w:pPr>
                        <w:pStyle w:val="Default"/>
                        <w:rPr>
                          <w:rFonts w:ascii="Arial" w:hAnsi="Arial" w:cs="Arial"/>
                          <w:sz w:val="16"/>
                          <w:szCs w:val="16"/>
                        </w:rPr>
                      </w:pPr>
                      <w:r>
                        <w:rPr>
                          <w:rFonts w:ascii="Arial" w:hAnsi="Arial" w:cs="Arial"/>
                          <w:sz w:val="16"/>
                          <w:szCs w:val="16"/>
                        </w:rPr>
                        <w:t xml:space="preserve">Placebo + BSC (n/N = 65/97) </w:t>
                      </w:r>
                    </w:p>
                    <w:p w:rsidR="000433C9" w:rsidRDefault="000433C9" w:rsidP="00BB3C53"/>
                  </w:txbxContent>
                </v:textbox>
              </v:shape>
            </w:pict>
          </mc:Fallback>
        </mc:AlternateContent>
      </w:r>
      <w:r w:rsidRPr="00FF0B19">
        <w:rPr>
          <w:b/>
          <w:noProof/>
          <w:position w:val="-1"/>
          <w:sz w:val="18"/>
          <w:szCs w:val="16"/>
          <w:lang w:eastAsia="da-DK"/>
        </w:rPr>
        <mc:AlternateContent>
          <mc:Choice Requires="wps">
            <w:drawing>
              <wp:anchor distT="0" distB="0" distL="114300" distR="114300" simplePos="0" relativeHeight="251679744" behindDoc="0" locked="0" layoutInCell="1" allowOverlap="1" wp14:anchorId="0FC93B60" wp14:editId="35F78BDF">
                <wp:simplePos x="0" y="0"/>
                <wp:positionH relativeFrom="column">
                  <wp:posOffset>3429000</wp:posOffset>
                </wp:positionH>
                <wp:positionV relativeFrom="paragraph">
                  <wp:posOffset>111760</wp:posOffset>
                </wp:positionV>
                <wp:extent cx="2374265" cy="1403985"/>
                <wp:effectExtent l="0" t="0" r="9525"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433C9" w:rsidRDefault="000433C9" w:rsidP="00BB3C53">
                            <w:pPr>
                              <w:autoSpaceDE w:val="0"/>
                              <w:autoSpaceDN w:val="0"/>
                              <w:adjustRightInd w:val="0"/>
                              <w:spacing w:line="164" w:lineRule="exact"/>
                              <w:ind w:left="40" w:right="-20"/>
                              <w:rPr>
                                <w:sz w:val="18"/>
                                <w:szCs w:val="16"/>
                              </w:rPr>
                            </w:pPr>
                            <w:r>
                              <w:rPr>
                                <w:spacing w:val="-1"/>
                                <w:sz w:val="18"/>
                                <w:szCs w:val="16"/>
                              </w:rPr>
                              <w:t>Risikorate</w:t>
                            </w:r>
                            <w:r>
                              <w:rPr>
                                <w:spacing w:val="1"/>
                                <w:sz w:val="18"/>
                                <w:szCs w:val="16"/>
                              </w:rPr>
                              <w:t xml:space="preserve"> </w:t>
                            </w:r>
                            <w:r>
                              <w:rPr>
                                <w:sz w:val="18"/>
                                <w:szCs w:val="16"/>
                              </w:rPr>
                              <w:t>=</w:t>
                            </w:r>
                            <w:r>
                              <w:rPr>
                                <w:spacing w:val="1"/>
                                <w:sz w:val="18"/>
                                <w:szCs w:val="16"/>
                              </w:rPr>
                              <w:t xml:space="preserve"> </w:t>
                            </w:r>
                            <w:r>
                              <w:rPr>
                                <w:spacing w:val="-1"/>
                                <w:sz w:val="18"/>
                                <w:szCs w:val="16"/>
                              </w:rPr>
                              <w:t>0</w:t>
                            </w:r>
                            <w:r>
                              <w:rPr>
                                <w:spacing w:val="2"/>
                                <w:sz w:val="18"/>
                                <w:szCs w:val="16"/>
                              </w:rPr>
                              <w:t>,</w:t>
                            </w:r>
                            <w:r>
                              <w:rPr>
                                <w:spacing w:val="-1"/>
                                <w:sz w:val="18"/>
                                <w:szCs w:val="16"/>
                              </w:rPr>
                              <w:t>48</w:t>
                            </w:r>
                          </w:p>
                          <w:p w:rsidR="000433C9" w:rsidRDefault="000433C9" w:rsidP="00BB3C53">
                            <w:pPr>
                              <w:autoSpaceDE w:val="0"/>
                              <w:autoSpaceDN w:val="0"/>
                              <w:adjustRightInd w:val="0"/>
                              <w:spacing w:before="20"/>
                              <w:ind w:left="40" w:right="-20"/>
                              <w:rPr>
                                <w:sz w:val="18"/>
                                <w:szCs w:val="16"/>
                              </w:rPr>
                            </w:pPr>
                            <w:r>
                              <w:rPr>
                                <w:spacing w:val="-1"/>
                                <w:sz w:val="18"/>
                                <w:szCs w:val="16"/>
                              </w:rPr>
                              <w:t xml:space="preserve">95 </w:t>
                            </w:r>
                            <w:r>
                              <w:rPr>
                                <w:sz w:val="18"/>
                                <w:szCs w:val="16"/>
                              </w:rPr>
                              <w:t>%</w:t>
                            </w:r>
                            <w:r>
                              <w:rPr>
                                <w:spacing w:val="2"/>
                                <w:sz w:val="18"/>
                                <w:szCs w:val="16"/>
                              </w:rPr>
                              <w:t xml:space="preserve"> </w:t>
                            </w:r>
                            <w:r>
                              <w:rPr>
                                <w:spacing w:val="-1"/>
                                <w:sz w:val="18"/>
                                <w:szCs w:val="16"/>
                              </w:rPr>
                              <w:t>C</w:t>
                            </w:r>
                            <w:r>
                              <w:rPr>
                                <w:sz w:val="18"/>
                                <w:szCs w:val="16"/>
                              </w:rPr>
                              <w:t>I</w:t>
                            </w:r>
                            <w:r>
                              <w:rPr>
                                <w:spacing w:val="2"/>
                                <w:sz w:val="18"/>
                                <w:szCs w:val="16"/>
                              </w:rPr>
                              <w:t xml:space="preserve"> </w:t>
                            </w:r>
                            <w:r>
                              <w:rPr>
                                <w:spacing w:val="1"/>
                                <w:sz w:val="18"/>
                                <w:szCs w:val="16"/>
                              </w:rPr>
                              <w:t>[</w:t>
                            </w:r>
                            <w:r>
                              <w:rPr>
                                <w:spacing w:val="-1"/>
                                <w:sz w:val="18"/>
                                <w:szCs w:val="16"/>
                              </w:rPr>
                              <w:t>0</w:t>
                            </w:r>
                            <w:r>
                              <w:rPr>
                                <w:spacing w:val="1"/>
                                <w:sz w:val="18"/>
                                <w:szCs w:val="16"/>
                              </w:rPr>
                              <w:t>,</w:t>
                            </w:r>
                            <w:r>
                              <w:rPr>
                                <w:spacing w:val="-1"/>
                                <w:sz w:val="18"/>
                                <w:szCs w:val="16"/>
                              </w:rPr>
                              <w:t>35</w:t>
                            </w:r>
                            <w:r>
                              <w:rPr>
                                <w:sz w:val="18"/>
                                <w:szCs w:val="16"/>
                              </w:rPr>
                              <w:t>;</w:t>
                            </w:r>
                            <w:r>
                              <w:rPr>
                                <w:spacing w:val="2"/>
                                <w:sz w:val="18"/>
                                <w:szCs w:val="16"/>
                              </w:rPr>
                              <w:t xml:space="preserve"> </w:t>
                            </w:r>
                            <w:r>
                              <w:rPr>
                                <w:spacing w:val="-1"/>
                                <w:sz w:val="18"/>
                                <w:szCs w:val="16"/>
                              </w:rPr>
                              <w:t>0</w:t>
                            </w:r>
                            <w:r>
                              <w:rPr>
                                <w:spacing w:val="1"/>
                                <w:sz w:val="18"/>
                                <w:szCs w:val="16"/>
                              </w:rPr>
                              <w:t>,</w:t>
                            </w:r>
                            <w:r>
                              <w:rPr>
                                <w:spacing w:val="-1"/>
                                <w:sz w:val="18"/>
                                <w:szCs w:val="16"/>
                              </w:rPr>
                              <w:t>6</w:t>
                            </w:r>
                            <w:r>
                              <w:rPr>
                                <w:spacing w:val="1"/>
                                <w:sz w:val="18"/>
                                <w:szCs w:val="16"/>
                              </w:rPr>
                              <w:t>7</w:t>
                            </w:r>
                            <w:r>
                              <w:rPr>
                                <w:sz w:val="18"/>
                                <w:szCs w:val="16"/>
                              </w:rPr>
                              <w:t>]</w:t>
                            </w:r>
                          </w:p>
                          <w:p w:rsidR="000433C9" w:rsidRDefault="000433C9" w:rsidP="00BB3C53">
                            <w:pPr>
                              <w:autoSpaceDE w:val="0"/>
                              <w:autoSpaceDN w:val="0"/>
                              <w:adjustRightInd w:val="0"/>
                              <w:spacing w:line="164" w:lineRule="exact"/>
                              <w:ind w:left="40" w:right="-20"/>
                              <w:rPr>
                                <w:spacing w:val="1"/>
                                <w:sz w:val="18"/>
                                <w:szCs w:val="16"/>
                              </w:rPr>
                            </w:pPr>
                          </w:p>
                          <w:p w:rsidR="000433C9" w:rsidRDefault="000433C9" w:rsidP="00BB3C53">
                            <w:pPr>
                              <w:autoSpaceDE w:val="0"/>
                              <w:autoSpaceDN w:val="0"/>
                              <w:adjustRightInd w:val="0"/>
                              <w:spacing w:line="164" w:lineRule="exact"/>
                              <w:ind w:left="40" w:right="-20"/>
                              <w:rPr>
                                <w:sz w:val="18"/>
                                <w:szCs w:val="16"/>
                              </w:rPr>
                            </w:pPr>
                            <w:r>
                              <w:rPr>
                                <w:spacing w:val="1"/>
                                <w:sz w:val="18"/>
                                <w:szCs w:val="16"/>
                              </w:rPr>
                              <w:t>K</w:t>
                            </w:r>
                            <w:r>
                              <w:rPr>
                                <w:spacing w:val="-1"/>
                                <w:sz w:val="18"/>
                                <w:szCs w:val="16"/>
                              </w:rPr>
                              <w:t>ap</w:t>
                            </w:r>
                            <w:r>
                              <w:rPr>
                                <w:sz w:val="18"/>
                                <w:szCs w:val="16"/>
                              </w:rPr>
                              <w:t>la</w:t>
                            </w:r>
                            <w:r>
                              <w:rPr>
                                <w:spacing w:val="-1"/>
                                <w:sz w:val="18"/>
                                <w:szCs w:val="16"/>
                              </w:rPr>
                              <w:t>n-</w:t>
                            </w:r>
                            <w:r>
                              <w:rPr>
                                <w:spacing w:val="-2"/>
                                <w:sz w:val="18"/>
                                <w:szCs w:val="16"/>
                              </w:rPr>
                              <w:t>M</w:t>
                            </w:r>
                            <w:r>
                              <w:rPr>
                                <w:spacing w:val="-1"/>
                                <w:sz w:val="18"/>
                                <w:szCs w:val="16"/>
                              </w:rPr>
                              <w:t>e</w:t>
                            </w:r>
                            <w:r>
                              <w:rPr>
                                <w:sz w:val="18"/>
                                <w:szCs w:val="16"/>
                              </w:rPr>
                              <w:t xml:space="preserve">ier </w:t>
                            </w:r>
                            <w:r>
                              <w:rPr>
                                <w:spacing w:val="3"/>
                                <w:sz w:val="18"/>
                                <w:szCs w:val="16"/>
                              </w:rPr>
                              <w:t>m</w:t>
                            </w:r>
                            <w:r>
                              <w:rPr>
                                <w:spacing w:val="-1"/>
                                <w:sz w:val="18"/>
                                <w:szCs w:val="16"/>
                              </w:rPr>
                              <w:t>ed</w:t>
                            </w:r>
                            <w:r>
                              <w:rPr>
                                <w:sz w:val="18"/>
                                <w:szCs w:val="16"/>
                              </w:rPr>
                              <w:t>ia</w:t>
                            </w:r>
                            <w:r>
                              <w:rPr>
                                <w:spacing w:val="-1"/>
                                <w:sz w:val="18"/>
                                <w:szCs w:val="16"/>
                              </w:rPr>
                              <w:t>n</w:t>
                            </w:r>
                            <w:r>
                              <w:rPr>
                                <w:sz w:val="18"/>
                                <w:szCs w:val="16"/>
                              </w:rPr>
                              <w:t>s</w:t>
                            </w:r>
                          </w:p>
                          <w:p w:rsidR="000433C9" w:rsidRDefault="000433C9" w:rsidP="00BB3C53">
                            <w:pPr>
                              <w:autoSpaceDE w:val="0"/>
                              <w:autoSpaceDN w:val="0"/>
                              <w:adjustRightInd w:val="0"/>
                              <w:spacing w:before="8"/>
                              <w:ind w:left="42" w:right="-20"/>
                              <w:rPr>
                                <w:sz w:val="18"/>
                                <w:szCs w:val="16"/>
                              </w:rPr>
                            </w:pPr>
                            <w:r>
                              <w:rPr>
                                <w:spacing w:val="1"/>
                                <w:sz w:val="18"/>
                                <w:szCs w:val="16"/>
                              </w:rPr>
                              <w:t>E</w:t>
                            </w:r>
                            <w:r>
                              <w:rPr>
                                <w:spacing w:val="-1"/>
                                <w:sz w:val="18"/>
                                <w:szCs w:val="16"/>
                              </w:rPr>
                              <w:t>vero</w:t>
                            </w:r>
                            <w:r>
                              <w:rPr>
                                <w:sz w:val="18"/>
                                <w:szCs w:val="16"/>
                              </w:rPr>
                              <w:t>li</w:t>
                            </w:r>
                            <w:r>
                              <w:rPr>
                                <w:spacing w:val="3"/>
                                <w:sz w:val="18"/>
                                <w:szCs w:val="16"/>
                              </w:rPr>
                              <w:t>m</w:t>
                            </w:r>
                            <w:r>
                              <w:rPr>
                                <w:spacing w:val="-1"/>
                                <w:sz w:val="18"/>
                                <w:szCs w:val="16"/>
                              </w:rPr>
                              <w:t>u</w:t>
                            </w:r>
                            <w:r>
                              <w:rPr>
                                <w:sz w:val="18"/>
                                <w:szCs w:val="16"/>
                              </w:rPr>
                              <w:t>s</w:t>
                            </w:r>
                            <w:r>
                              <w:rPr>
                                <w:spacing w:val="3"/>
                                <w:sz w:val="18"/>
                                <w:szCs w:val="16"/>
                              </w:rPr>
                              <w:t xml:space="preserve"> </w:t>
                            </w:r>
                            <w:r>
                              <w:rPr>
                                <w:sz w:val="18"/>
                                <w:szCs w:val="16"/>
                              </w:rPr>
                              <w:t>+</w:t>
                            </w:r>
                            <w:r>
                              <w:rPr>
                                <w:spacing w:val="1"/>
                                <w:sz w:val="18"/>
                                <w:szCs w:val="16"/>
                              </w:rPr>
                              <w:t xml:space="preserve"> BS</w:t>
                            </w:r>
                            <w:r>
                              <w:rPr>
                                <w:spacing w:val="-1"/>
                                <w:sz w:val="18"/>
                                <w:szCs w:val="16"/>
                              </w:rPr>
                              <w:t>C</w:t>
                            </w:r>
                            <w:r>
                              <w:rPr>
                                <w:sz w:val="18"/>
                                <w:szCs w:val="16"/>
                              </w:rPr>
                              <w:t>:</w:t>
                            </w:r>
                            <w:r>
                              <w:rPr>
                                <w:spacing w:val="2"/>
                                <w:sz w:val="18"/>
                                <w:szCs w:val="16"/>
                              </w:rPr>
                              <w:t xml:space="preserve"> </w:t>
                            </w:r>
                            <w:r>
                              <w:rPr>
                                <w:spacing w:val="-1"/>
                                <w:sz w:val="18"/>
                                <w:szCs w:val="16"/>
                              </w:rPr>
                              <w:t>11</w:t>
                            </w:r>
                            <w:r>
                              <w:rPr>
                                <w:spacing w:val="1"/>
                                <w:sz w:val="18"/>
                                <w:szCs w:val="16"/>
                              </w:rPr>
                              <w:t>,</w:t>
                            </w:r>
                            <w:r>
                              <w:rPr>
                                <w:spacing w:val="-1"/>
                                <w:sz w:val="18"/>
                                <w:szCs w:val="16"/>
                              </w:rPr>
                              <w:t>0</w:t>
                            </w:r>
                            <w:r>
                              <w:rPr>
                                <w:sz w:val="18"/>
                                <w:szCs w:val="16"/>
                              </w:rPr>
                              <w:t>1</w:t>
                            </w:r>
                            <w:r>
                              <w:rPr>
                                <w:spacing w:val="4"/>
                                <w:sz w:val="18"/>
                                <w:szCs w:val="16"/>
                              </w:rPr>
                              <w:t xml:space="preserve"> </w:t>
                            </w:r>
                            <w:r>
                              <w:rPr>
                                <w:spacing w:val="1"/>
                                <w:sz w:val="18"/>
                                <w:szCs w:val="16"/>
                              </w:rPr>
                              <w:t>[</w:t>
                            </w:r>
                            <w:r>
                              <w:rPr>
                                <w:spacing w:val="-1"/>
                                <w:sz w:val="18"/>
                                <w:szCs w:val="16"/>
                              </w:rPr>
                              <w:t>9</w:t>
                            </w:r>
                            <w:r>
                              <w:rPr>
                                <w:spacing w:val="1"/>
                                <w:sz w:val="18"/>
                                <w:szCs w:val="16"/>
                              </w:rPr>
                              <w:t>,</w:t>
                            </w:r>
                            <w:r>
                              <w:rPr>
                                <w:spacing w:val="-1"/>
                                <w:sz w:val="18"/>
                                <w:szCs w:val="16"/>
                              </w:rPr>
                              <w:t>23</w:t>
                            </w:r>
                            <w:r>
                              <w:rPr>
                                <w:spacing w:val="1"/>
                                <w:sz w:val="18"/>
                                <w:szCs w:val="16"/>
                              </w:rPr>
                              <w:t>;</w:t>
                            </w:r>
                            <w:r>
                              <w:rPr>
                                <w:spacing w:val="-1"/>
                                <w:sz w:val="18"/>
                                <w:szCs w:val="16"/>
                              </w:rPr>
                              <w:t>13</w:t>
                            </w:r>
                            <w:r>
                              <w:rPr>
                                <w:spacing w:val="1"/>
                                <w:sz w:val="18"/>
                                <w:szCs w:val="16"/>
                              </w:rPr>
                              <w:t>,</w:t>
                            </w:r>
                            <w:r>
                              <w:rPr>
                                <w:spacing w:val="-1"/>
                                <w:sz w:val="18"/>
                                <w:szCs w:val="16"/>
                              </w:rPr>
                              <w:t>31</w:t>
                            </w:r>
                            <w:r>
                              <w:rPr>
                                <w:sz w:val="18"/>
                                <w:szCs w:val="16"/>
                              </w:rPr>
                              <w:t>]</w:t>
                            </w:r>
                            <w:r>
                              <w:rPr>
                                <w:spacing w:val="3"/>
                                <w:sz w:val="18"/>
                                <w:szCs w:val="16"/>
                              </w:rPr>
                              <w:t xml:space="preserve"> måneder</w:t>
                            </w:r>
                          </w:p>
                          <w:p w:rsidR="000433C9" w:rsidRDefault="000433C9" w:rsidP="00BB3C53">
                            <w:pPr>
                              <w:autoSpaceDE w:val="0"/>
                              <w:autoSpaceDN w:val="0"/>
                              <w:adjustRightInd w:val="0"/>
                              <w:spacing w:before="1"/>
                              <w:ind w:left="40" w:right="-20"/>
                              <w:rPr>
                                <w:sz w:val="18"/>
                                <w:szCs w:val="16"/>
                              </w:rPr>
                            </w:pPr>
                            <w:r>
                              <w:rPr>
                                <w:spacing w:val="1"/>
                                <w:sz w:val="18"/>
                                <w:szCs w:val="16"/>
                              </w:rPr>
                              <w:t>P</w:t>
                            </w:r>
                            <w:r>
                              <w:rPr>
                                <w:sz w:val="18"/>
                                <w:szCs w:val="16"/>
                              </w:rPr>
                              <w:t>la</w:t>
                            </w:r>
                            <w:r>
                              <w:rPr>
                                <w:spacing w:val="1"/>
                                <w:sz w:val="18"/>
                                <w:szCs w:val="16"/>
                              </w:rPr>
                              <w:t>c</w:t>
                            </w:r>
                            <w:r>
                              <w:rPr>
                                <w:spacing w:val="-1"/>
                                <w:sz w:val="18"/>
                                <w:szCs w:val="16"/>
                              </w:rPr>
                              <w:t>eb</w:t>
                            </w:r>
                            <w:r>
                              <w:rPr>
                                <w:sz w:val="18"/>
                                <w:szCs w:val="16"/>
                              </w:rPr>
                              <w:t>o</w:t>
                            </w:r>
                            <w:r>
                              <w:rPr>
                                <w:spacing w:val="1"/>
                                <w:sz w:val="18"/>
                                <w:szCs w:val="16"/>
                              </w:rPr>
                              <w:t xml:space="preserve"> </w:t>
                            </w:r>
                            <w:r>
                              <w:rPr>
                                <w:sz w:val="18"/>
                                <w:szCs w:val="16"/>
                              </w:rPr>
                              <w:t>+</w:t>
                            </w:r>
                            <w:r>
                              <w:rPr>
                                <w:spacing w:val="1"/>
                                <w:sz w:val="18"/>
                                <w:szCs w:val="16"/>
                              </w:rPr>
                              <w:t xml:space="preserve"> BS</w:t>
                            </w:r>
                            <w:r>
                              <w:rPr>
                                <w:spacing w:val="-1"/>
                                <w:sz w:val="18"/>
                                <w:szCs w:val="16"/>
                              </w:rPr>
                              <w:t>C</w:t>
                            </w:r>
                            <w:r>
                              <w:rPr>
                                <w:sz w:val="18"/>
                                <w:szCs w:val="16"/>
                              </w:rPr>
                              <w:t>:</w:t>
                            </w:r>
                            <w:r>
                              <w:rPr>
                                <w:spacing w:val="2"/>
                                <w:sz w:val="18"/>
                                <w:szCs w:val="16"/>
                              </w:rPr>
                              <w:t xml:space="preserve"> </w:t>
                            </w:r>
                            <w:r>
                              <w:rPr>
                                <w:spacing w:val="-1"/>
                                <w:sz w:val="18"/>
                                <w:szCs w:val="16"/>
                              </w:rPr>
                              <w:t>3</w:t>
                            </w:r>
                            <w:r>
                              <w:rPr>
                                <w:spacing w:val="1"/>
                                <w:sz w:val="18"/>
                                <w:szCs w:val="16"/>
                              </w:rPr>
                              <w:t>,</w:t>
                            </w:r>
                            <w:r>
                              <w:rPr>
                                <w:spacing w:val="-1"/>
                                <w:sz w:val="18"/>
                                <w:szCs w:val="16"/>
                              </w:rPr>
                              <w:t>9</w:t>
                            </w:r>
                            <w:r>
                              <w:rPr>
                                <w:sz w:val="18"/>
                                <w:szCs w:val="16"/>
                              </w:rPr>
                              <w:t xml:space="preserve">1 </w:t>
                            </w:r>
                            <w:r>
                              <w:rPr>
                                <w:spacing w:val="1"/>
                                <w:sz w:val="18"/>
                                <w:szCs w:val="16"/>
                              </w:rPr>
                              <w:t>[</w:t>
                            </w:r>
                            <w:r>
                              <w:rPr>
                                <w:spacing w:val="-1"/>
                                <w:sz w:val="18"/>
                                <w:szCs w:val="16"/>
                              </w:rPr>
                              <w:t>3</w:t>
                            </w:r>
                            <w:r>
                              <w:rPr>
                                <w:spacing w:val="1"/>
                                <w:sz w:val="18"/>
                                <w:szCs w:val="16"/>
                              </w:rPr>
                              <w:t>,</w:t>
                            </w:r>
                            <w:r>
                              <w:rPr>
                                <w:spacing w:val="-1"/>
                                <w:sz w:val="18"/>
                                <w:szCs w:val="16"/>
                              </w:rPr>
                              <w:t>58</w:t>
                            </w:r>
                            <w:r>
                              <w:rPr>
                                <w:spacing w:val="1"/>
                                <w:sz w:val="18"/>
                                <w:szCs w:val="16"/>
                              </w:rPr>
                              <w:t>;</w:t>
                            </w:r>
                            <w:r>
                              <w:rPr>
                                <w:spacing w:val="-1"/>
                                <w:sz w:val="18"/>
                                <w:szCs w:val="16"/>
                              </w:rPr>
                              <w:t>7</w:t>
                            </w:r>
                            <w:r>
                              <w:rPr>
                                <w:spacing w:val="1"/>
                                <w:sz w:val="18"/>
                                <w:szCs w:val="16"/>
                              </w:rPr>
                              <w:t>,</w:t>
                            </w:r>
                            <w:r>
                              <w:rPr>
                                <w:spacing w:val="-1"/>
                                <w:sz w:val="18"/>
                                <w:szCs w:val="16"/>
                              </w:rPr>
                              <w:t>43</w:t>
                            </w:r>
                            <w:r>
                              <w:rPr>
                                <w:sz w:val="18"/>
                                <w:szCs w:val="16"/>
                              </w:rPr>
                              <w:t>]</w:t>
                            </w:r>
                            <w:r>
                              <w:rPr>
                                <w:spacing w:val="2"/>
                                <w:sz w:val="18"/>
                                <w:szCs w:val="16"/>
                              </w:rPr>
                              <w:t xml:space="preserve"> </w:t>
                            </w:r>
                            <w:r>
                              <w:rPr>
                                <w:spacing w:val="5"/>
                                <w:sz w:val="18"/>
                                <w:szCs w:val="16"/>
                              </w:rPr>
                              <w:t>m</w:t>
                            </w:r>
                            <w:r>
                              <w:rPr>
                                <w:spacing w:val="-1"/>
                                <w:sz w:val="18"/>
                                <w:szCs w:val="16"/>
                              </w:rPr>
                              <w:t>åneder</w:t>
                            </w:r>
                          </w:p>
                          <w:p w:rsidR="000433C9" w:rsidRDefault="000433C9" w:rsidP="00BB3C53">
                            <w:pPr>
                              <w:autoSpaceDE w:val="0"/>
                              <w:autoSpaceDN w:val="0"/>
                              <w:adjustRightInd w:val="0"/>
                              <w:spacing w:before="1"/>
                              <w:ind w:left="40" w:right="-20"/>
                              <w:rPr>
                                <w:sz w:val="18"/>
                                <w:szCs w:val="16"/>
                              </w:rPr>
                            </w:pPr>
                          </w:p>
                          <w:p w:rsidR="000433C9" w:rsidRDefault="000433C9" w:rsidP="00BB3C53">
                            <w:pPr>
                              <w:autoSpaceDE w:val="0"/>
                              <w:autoSpaceDN w:val="0"/>
                              <w:adjustRightInd w:val="0"/>
                              <w:spacing w:line="164" w:lineRule="exact"/>
                              <w:ind w:left="40" w:right="-20"/>
                              <w:rPr>
                                <w:sz w:val="18"/>
                                <w:szCs w:val="16"/>
                              </w:rPr>
                            </w:pPr>
                            <w:r>
                              <w:rPr>
                                <w:spacing w:val="-1"/>
                                <w:sz w:val="18"/>
                                <w:szCs w:val="16"/>
                              </w:rPr>
                              <w:t>Log-ran</w:t>
                            </w:r>
                            <w:r>
                              <w:rPr>
                                <w:sz w:val="18"/>
                                <w:szCs w:val="16"/>
                              </w:rPr>
                              <w:t>k</w:t>
                            </w:r>
                            <w:r>
                              <w:rPr>
                                <w:spacing w:val="2"/>
                                <w:sz w:val="18"/>
                                <w:szCs w:val="16"/>
                              </w:rPr>
                              <w:t xml:space="preserve"> </w:t>
                            </w:r>
                            <w:r>
                              <w:rPr>
                                <w:sz w:val="18"/>
                                <w:szCs w:val="16"/>
                              </w:rPr>
                              <w:t xml:space="preserve">p </w:t>
                            </w:r>
                            <w:r>
                              <w:rPr>
                                <w:spacing w:val="-1"/>
                                <w:sz w:val="18"/>
                                <w:szCs w:val="16"/>
                              </w:rPr>
                              <w:t>værdi</w:t>
                            </w:r>
                            <w:r>
                              <w:rPr>
                                <w:sz w:val="18"/>
                                <w:szCs w:val="16"/>
                              </w:rPr>
                              <w:t xml:space="preserve"> =</w:t>
                            </w:r>
                            <w:r>
                              <w:rPr>
                                <w:spacing w:val="1"/>
                                <w:sz w:val="18"/>
                                <w:szCs w:val="16"/>
                              </w:rPr>
                              <w:t xml:space="preserve"> </w:t>
                            </w:r>
                            <w:r>
                              <w:rPr>
                                <w:sz w:val="18"/>
                                <w:szCs w:val="16"/>
                              </w:rPr>
                              <w:t>&lt;</w:t>
                            </w:r>
                            <w:r>
                              <w:rPr>
                                <w:spacing w:val="-1"/>
                                <w:sz w:val="18"/>
                                <w:szCs w:val="16"/>
                              </w:rPr>
                              <w:t>0</w:t>
                            </w:r>
                            <w:r>
                              <w:rPr>
                                <w:spacing w:val="1"/>
                                <w:sz w:val="18"/>
                                <w:szCs w:val="16"/>
                              </w:rPr>
                              <w:t>,</w:t>
                            </w:r>
                            <w:r>
                              <w:rPr>
                                <w:spacing w:val="-1"/>
                                <w:sz w:val="18"/>
                                <w:szCs w:val="16"/>
                              </w:rPr>
                              <w:t>00</w:t>
                            </w:r>
                            <w:r>
                              <w:rPr>
                                <w:sz w:val="18"/>
                                <w:szCs w:val="16"/>
                              </w:rPr>
                              <w:t>1</w:t>
                            </w:r>
                          </w:p>
                          <w:p w:rsidR="000433C9" w:rsidRPr="00FF0B19" w:rsidRDefault="000433C9" w:rsidP="00BB3C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C93B60" id="_x0000_s1029" type="#_x0000_t202" style="position:absolute;margin-left:270pt;margin-top:8.8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ptJA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" stroked="f">
                <v:textbox style="mso-fit-shape-to-text:t">
                  <w:txbxContent>
                    <w:p w:rsidR="000433C9" w:rsidRDefault="000433C9" w:rsidP="00BB3C53">
                      <w:pPr>
                        <w:autoSpaceDE w:val="0"/>
                        <w:autoSpaceDN w:val="0"/>
                        <w:adjustRightInd w:val="0"/>
                        <w:spacing w:line="164" w:lineRule="exact"/>
                        <w:ind w:left="40" w:right="-20"/>
                        <w:rPr>
                          <w:sz w:val="18"/>
                          <w:szCs w:val="16"/>
                        </w:rPr>
                      </w:pPr>
                      <w:r>
                        <w:rPr>
                          <w:spacing w:val="-1"/>
                          <w:sz w:val="18"/>
                          <w:szCs w:val="16"/>
                        </w:rPr>
                        <w:t>Risikorate</w:t>
                      </w:r>
                      <w:r>
                        <w:rPr>
                          <w:spacing w:val="1"/>
                          <w:sz w:val="18"/>
                          <w:szCs w:val="16"/>
                        </w:rPr>
                        <w:t xml:space="preserve"> </w:t>
                      </w:r>
                      <w:r>
                        <w:rPr>
                          <w:sz w:val="18"/>
                          <w:szCs w:val="16"/>
                        </w:rPr>
                        <w:t>=</w:t>
                      </w:r>
                      <w:r>
                        <w:rPr>
                          <w:spacing w:val="1"/>
                          <w:sz w:val="18"/>
                          <w:szCs w:val="16"/>
                        </w:rPr>
                        <w:t xml:space="preserve"> </w:t>
                      </w:r>
                      <w:r>
                        <w:rPr>
                          <w:spacing w:val="-1"/>
                          <w:sz w:val="18"/>
                          <w:szCs w:val="16"/>
                        </w:rPr>
                        <w:t>0</w:t>
                      </w:r>
                      <w:r>
                        <w:rPr>
                          <w:spacing w:val="2"/>
                          <w:sz w:val="18"/>
                          <w:szCs w:val="16"/>
                        </w:rPr>
                        <w:t>,</w:t>
                      </w:r>
                      <w:r>
                        <w:rPr>
                          <w:spacing w:val="-1"/>
                          <w:sz w:val="18"/>
                          <w:szCs w:val="16"/>
                        </w:rPr>
                        <w:t>48</w:t>
                      </w:r>
                    </w:p>
                    <w:p w:rsidR="000433C9" w:rsidRDefault="000433C9" w:rsidP="00BB3C53">
                      <w:pPr>
                        <w:autoSpaceDE w:val="0"/>
                        <w:autoSpaceDN w:val="0"/>
                        <w:adjustRightInd w:val="0"/>
                        <w:spacing w:before="20"/>
                        <w:ind w:left="40" w:right="-20"/>
                        <w:rPr>
                          <w:sz w:val="18"/>
                          <w:szCs w:val="16"/>
                        </w:rPr>
                      </w:pPr>
                      <w:r>
                        <w:rPr>
                          <w:spacing w:val="-1"/>
                          <w:sz w:val="18"/>
                          <w:szCs w:val="16"/>
                        </w:rPr>
                        <w:t xml:space="preserve">95 </w:t>
                      </w:r>
                      <w:r>
                        <w:rPr>
                          <w:sz w:val="18"/>
                          <w:szCs w:val="16"/>
                        </w:rPr>
                        <w:t>%</w:t>
                      </w:r>
                      <w:r>
                        <w:rPr>
                          <w:spacing w:val="2"/>
                          <w:sz w:val="18"/>
                          <w:szCs w:val="16"/>
                        </w:rPr>
                        <w:t xml:space="preserve"> </w:t>
                      </w:r>
                      <w:r>
                        <w:rPr>
                          <w:spacing w:val="-1"/>
                          <w:sz w:val="18"/>
                          <w:szCs w:val="16"/>
                        </w:rPr>
                        <w:t>C</w:t>
                      </w:r>
                      <w:r>
                        <w:rPr>
                          <w:sz w:val="18"/>
                          <w:szCs w:val="16"/>
                        </w:rPr>
                        <w:t>I</w:t>
                      </w:r>
                      <w:r>
                        <w:rPr>
                          <w:spacing w:val="2"/>
                          <w:sz w:val="18"/>
                          <w:szCs w:val="16"/>
                        </w:rPr>
                        <w:t xml:space="preserve"> </w:t>
                      </w:r>
                      <w:r>
                        <w:rPr>
                          <w:spacing w:val="1"/>
                          <w:sz w:val="18"/>
                          <w:szCs w:val="16"/>
                        </w:rPr>
                        <w:t>[</w:t>
                      </w:r>
                      <w:r>
                        <w:rPr>
                          <w:spacing w:val="-1"/>
                          <w:sz w:val="18"/>
                          <w:szCs w:val="16"/>
                        </w:rPr>
                        <w:t>0</w:t>
                      </w:r>
                      <w:r>
                        <w:rPr>
                          <w:spacing w:val="1"/>
                          <w:sz w:val="18"/>
                          <w:szCs w:val="16"/>
                        </w:rPr>
                        <w:t>,</w:t>
                      </w:r>
                      <w:r>
                        <w:rPr>
                          <w:spacing w:val="-1"/>
                          <w:sz w:val="18"/>
                          <w:szCs w:val="16"/>
                        </w:rPr>
                        <w:t>35</w:t>
                      </w:r>
                      <w:r>
                        <w:rPr>
                          <w:sz w:val="18"/>
                          <w:szCs w:val="16"/>
                        </w:rPr>
                        <w:t>;</w:t>
                      </w:r>
                      <w:r>
                        <w:rPr>
                          <w:spacing w:val="2"/>
                          <w:sz w:val="18"/>
                          <w:szCs w:val="16"/>
                        </w:rPr>
                        <w:t xml:space="preserve"> </w:t>
                      </w:r>
                      <w:r>
                        <w:rPr>
                          <w:spacing w:val="-1"/>
                          <w:sz w:val="18"/>
                          <w:szCs w:val="16"/>
                        </w:rPr>
                        <w:t>0</w:t>
                      </w:r>
                      <w:r>
                        <w:rPr>
                          <w:spacing w:val="1"/>
                          <w:sz w:val="18"/>
                          <w:szCs w:val="16"/>
                        </w:rPr>
                        <w:t>,</w:t>
                      </w:r>
                      <w:r>
                        <w:rPr>
                          <w:spacing w:val="-1"/>
                          <w:sz w:val="18"/>
                          <w:szCs w:val="16"/>
                        </w:rPr>
                        <w:t>6</w:t>
                      </w:r>
                      <w:r>
                        <w:rPr>
                          <w:spacing w:val="1"/>
                          <w:sz w:val="18"/>
                          <w:szCs w:val="16"/>
                        </w:rPr>
                        <w:t>7</w:t>
                      </w:r>
                      <w:r>
                        <w:rPr>
                          <w:sz w:val="18"/>
                          <w:szCs w:val="16"/>
                        </w:rPr>
                        <w:t>]</w:t>
                      </w:r>
                    </w:p>
                    <w:p w:rsidR="000433C9" w:rsidRDefault="000433C9" w:rsidP="00BB3C53">
                      <w:pPr>
                        <w:autoSpaceDE w:val="0"/>
                        <w:autoSpaceDN w:val="0"/>
                        <w:adjustRightInd w:val="0"/>
                        <w:spacing w:line="164" w:lineRule="exact"/>
                        <w:ind w:left="40" w:right="-20"/>
                        <w:rPr>
                          <w:spacing w:val="1"/>
                          <w:sz w:val="18"/>
                          <w:szCs w:val="16"/>
                        </w:rPr>
                      </w:pPr>
                    </w:p>
                    <w:p w:rsidR="000433C9" w:rsidRDefault="000433C9" w:rsidP="00BB3C53">
                      <w:pPr>
                        <w:autoSpaceDE w:val="0"/>
                        <w:autoSpaceDN w:val="0"/>
                        <w:adjustRightInd w:val="0"/>
                        <w:spacing w:line="164" w:lineRule="exact"/>
                        <w:ind w:left="40" w:right="-20"/>
                        <w:rPr>
                          <w:sz w:val="18"/>
                          <w:szCs w:val="16"/>
                        </w:rPr>
                      </w:pPr>
                      <w:r>
                        <w:rPr>
                          <w:spacing w:val="1"/>
                          <w:sz w:val="18"/>
                          <w:szCs w:val="16"/>
                        </w:rPr>
                        <w:t>K</w:t>
                      </w:r>
                      <w:r>
                        <w:rPr>
                          <w:spacing w:val="-1"/>
                          <w:sz w:val="18"/>
                          <w:szCs w:val="16"/>
                        </w:rPr>
                        <w:t>ap</w:t>
                      </w:r>
                      <w:r>
                        <w:rPr>
                          <w:sz w:val="18"/>
                          <w:szCs w:val="16"/>
                        </w:rPr>
                        <w:t>la</w:t>
                      </w:r>
                      <w:r>
                        <w:rPr>
                          <w:spacing w:val="-1"/>
                          <w:sz w:val="18"/>
                          <w:szCs w:val="16"/>
                        </w:rPr>
                        <w:t>n-</w:t>
                      </w:r>
                      <w:r>
                        <w:rPr>
                          <w:spacing w:val="-2"/>
                          <w:sz w:val="18"/>
                          <w:szCs w:val="16"/>
                        </w:rPr>
                        <w:t>M</w:t>
                      </w:r>
                      <w:r>
                        <w:rPr>
                          <w:spacing w:val="-1"/>
                          <w:sz w:val="18"/>
                          <w:szCs w:val="16"/>
                        </w:rPr>
                        <w:t>e</w:t>
                      </w:r>
                      <w:r>
                        <w:rPr>
                          <w:sz w:val="18"/>
                          <w:szCs w:val="16"/>
                        </w:rPr>
                        <w:t xml:space="preserve">ier </w:t>
                      </w:r>
                      <w:r>
                        <w:rPr>
                          <w:spacing w:val="3"/>
                          <w:sz w:val="18"/>
                          <w:szCs w:val="16"/>
                        </w:rPr>
                        <w:t>m</w:t>
                      </w:r>
                      <w:r>
                        <w:rPr>
                          <w:spacing w:val="-1"/>
                          <w:sz w:val="18"/>
                          <w:szCs w:val="16"/>
                        </w:rPr>
                        <w:t>ed</w:t>
                      </w:r>
                      <w:r>
                        <w:rPr>
                          <w:sz w:val="18"/>
                          <w:szCs w:val="16"/>
                        </w:rPr>
                        <w:t>ia</w:t>
                      </w:r>
                      <w:r>
                        <w:rPr>
                          <w:spacing w:val="-1"/>
                          <w:sz w:val="18"/>
                          <w:szCs w:val="16"/>
                        </w:rPr>
                        <w:t>n</w:t>
                      </w:r>
                      <w:r>
                        <w:rPr>
                          <w:sz w:val="18"/>
                          <w:szCs w:val="16"/>
                        </w:rPr>
                        <w:t>s</w:t>
                      </w:r>
                    </w:p>
                    <w:p w:rsidR="000433C9" w:rsidRDefault="000433C9" w:rsidP="00BB3C53">
                      <w:pPr>
                        <w:autoSpaceDE w:val="0"/>
                        <w:autoSpaceDN w:val="0"/>
                        <w:adjustRightInd w:val="0"/>
                        <w:spacing w:before="8"/>
                        <w:ind w:left="42" w:right="-20"/>
                        <w:rPr>
                          <w:sz w:val="18"/>
                          <w:szCs w:val="16"/>
                        </w:rPr>
                      </w:pPr>
                      <w:r>
                        <w:rPr>
                          <w:spacing w:val="1"/>
                          <w:sz w:val="18"/>
                          <w:szCs w:val="16"/>
                        </w:rPr>
                        <w:t>E</w:t>
                      </w:r>
                      <w:r>
                        <w:rPr>
                          <w:spacing w:val="-1"/>
                          <w:sz w:val="18"/>
                          <w:szCs w:val="16"/>
                        </w:rPr>
                        <w:t>vero</w:t>
                      </w:r>
                      <w:r>
                        <w:rPr>
                          <w:sz w:val="18"/>
                          <w:szCs w:val="16"/>
                        </w:rPr>
                        <w:t>li</w:t>
                      </w:r>
                      <w:r>
                        <w:rPr>
                          <w:spacing w:val="3"/>
                          <w:sz w:val="18"/>
                          <w:szCs w:val="16"/>
                        </w:rPr>
                        <w:t>m</w:t>
                      </w:r>
                      <w:r>
                        <w:rPr>
                          <w:spacing w:val="-1"/>
                          <w:sz w:val="18"/>
                          <w:szCs w:val="16"/>
                        </w:rPr>
                        <w:t>u</w:t>
                      </w:r>
                      <w:r>
                        <w:rPr>
                          <w:sz w:val="18"/>
                          <w:szCs w:val="16"/>
                        </w:rPr>
                        <w:t>s</w:t>
                      </w:r>
                      <w:r>
                        <w:rPr>
                          <w:spacing w:val="3"/>
                          <w:sz w:val="18"/>
                          <w:szCs w:val="16"/>
                        </w:rPr>
                        <w:t xml:space="preserve"> </w:t>
                      </w:r>
                      <w:r>
                        <w:rPr>
                          <w:sz w:val="18"/>
                          <w:szCs w:val="16"/>
                        </w:rPr>
                        <w:t>+</w:t>
                      </w:r>
                      <w:r>
                        <w:rPr>
                          <w:spacing w:val="1"/>
                          <w:sz w:val="18"/>
                          <w:szCs w:val="16"/>
                        </w:rPr>
                        <w:t xml:space="preserve"> BS</w:t>
                      </w:r>
                      <w:r>
                        <w:rPr>
                          <w:spacing w:val="-1"/>
                          <w:sz w:val="18"/>
                          <w:szCs w:val="16"/>
                        </w:rPr>
                        <w:t>C</w:t>
                      </w:r>
                      <w:r>
                        <w:rPr>
                          <w:sz w:val="18"/>
                          <w:szCs w:val="16"/>
                        </w:rPr>
                        <w:t>:</w:t>
                      </w:r>
                      <w:r>
                        <w:rPr>
                          <w:spacing w:val="2"/>
                          <w:sz w:val="18"/>
                          <w:szCs w:val="16"/>
                        </w:rPr>
                        <w:t xml:space="preserve"> </w:t>
                      </w:r>
                      <w:r>
                        <w:rPr>
                          <w:spacing w:val="-1"/>
                          <w:sz w:val="18"/>
                          <w:szCs w:val="16"/>
                        </w:rPr>
                        <w:t>11</w:t>
                      </w:r>
                      <w:r>
                        <w:rPr>
                          <w:spacing w:val="1"/>
                          <w:sz w:val="18"/>
                          <w:szCs w:val="16"/>
                        </w:rPr>
                        <w:t>,</w:t>
                      </w:r>
                      <w:r>
                        <w:rPr>
                          <w:spacing w:val="-1"/>
                          <w:sz w:val="18"/>
                          <w:szCs w:val="16"/>
                        </w:rPr>
                        <w:t>0</w:t>
                      </w:r>
                      <w:r>
                        <w:rPr>
                          <w:sz w:val="18"/>
                          <w:szCs w:val="16"/>
                        </w:rPr>
                        <w:t>1</w:t>
                      </w:r>
                      <w:r>
                        <w:rPr>
                          <w:spacing w:val="4"/>
                          <w:sz w:val="18"/>
                          <w:szCs w:val="16"/>
                        </w:rPr>
                        <w:t xml:space="preserve"> </w:t>
                      </w:r>
                      <w:r>
                        <w:rPr>
                          <w:spacing w:val="1"/>
                          <w:sz w:val="18"/>
                          <w:szCs w:val="16"/>
                        </w:rPr>
                        <w:t>[</w:t>
                      </w:r>
                      <w:r>
                        <w:rPr>
                          <w:spacing w:val="-1"/>
                          <w:sz w:val="18"/>
                          <w:szCs w:val="16"/>
                        </w:rPr>
                        <w:t>9</w:t>
                      </w:r>
                      <w:r>
                        <w:rPr>
                          <w:spacing w:val="1"/>
                          <w:sz w:val="18"/>
                          <w:szCs w:val="16"/>
                        </w:rPr>
                        <w:t>,</w:t>
                      </w:r>
                      <w:r>
                        <w:rPr>
                          <w:spacing w:val="-1"/>
                          <w:sz w:val="18"/>
                          <w:szCs w:val="16"/>
                        </w:rPr>
                        <w:t>23</w:t>
                      </w:r>
                      <w:r>
                        <w:rPr>
                          <w:spacing w:val="1"/>
                          <w:sz w:val="18"/>
                          <w:szCs w:val="16"/>
                        </w:rPr>
                        <w:t>;</w:t>
                      </w:r>
                      <w:r>
                        <w:rPr>
                          <w:spacing w:val="-1"/>
                          <w:sz w:val="18"/>
                          <w:szCs w:val="16"/>
                        </w:rPr>
                        <w:t>13</w:t>
                      </w:r>
                      <w:r>
                        <w:rPr>
                          <w:spacing w:val="1"/>
                          <w:sz w:val="18"/>
                          <w:szCs w:val="16"/>
                        </w:rPr>
                        <w:t>,</w:t>
                      </w:r>
                      <w:r>
                        <w:rPr>
                          <w:spacing w:val="-1"/>
                          <w:sz w:val="18"/>
                          <w:szCs w:val="16"/>
                        </w:rPr>
                        <w:t>31</w:t>
                      </w:r>
                      <w:r>
                        <w:rPr>
                          <w:sz w:val="18"/>
                          <w:szCs w:val="16"/>
                        </w:rPr>
                        <w:t>]</w:t>
                      </w:r>
                      <w:r>
                        <w:rPr>
                          <w:spacing w:val="3"/>
                          <w:sz w:val="18"/>
                          <w:szCs w:val="16"/>
                        </w:rPr>
                        <w:t xml:space="preserve"> måneder</w:t>
                      </w:r>
                    </w:p>
                    <w:p w:rsidR="000433C9" w:rsidRDefault="000433C9" w:rsidP="00BB3C53">
                      <w:pPr>
                        <w:autoSpaceDE w:val="0"/>
                        <w:autoSpaceDN w:val="0"/>
                        <w:adjustRightInd w:val="0"/>
                        <w:spacing w:before="1"/>
                        <w:ind w:left="40" w:right="-20"/>
                        <w:rPr>
                          <w:sz w:val="18"/>
                          <w:szCs w:val="16"/>
                        </w:rPr>
                      </w:pPr>
                      <w:r>
                        <w:rPr>
                          <w:spacing w:val="1"/>
                          <w:sz w:val="18"/>
                          <w:szCs w:val="16"/>
                        </w:rPr>
                        <w:t>P</w:t>
                      </w:r>
                      <w:r>
                        <w:rPr>
                          <w:sz w:val="18"/>
                          <w:szCs w:val="16"/>
                        </w:rPr>
                        <w:t>la</w:t>
                      </w:r>
                      <w:r>
                        <w:rPr>
                          <w:spacing w:val="1"/>
                          <w:sz w:val="18"/>
                          <w:szCs w:val="16"/>
                        </w:rPr>
                        <w:t>c</w:t>
                      </w:r>
                      <w:r>
                        <w:rPr>
                          <w:spacing w:val="-1"/>
                          <w:sz w:val="18"/>
                          <w:szCs w:val="16"/>
                        </w:rPr>
                        <w:t>eb</w:t>
                      </w:r>
                      <w:r>
                        <w:rPr>
                          <w:sz w:val="18"/>
                          <w:szCs w:val="16"/>
                        </w:rPr>
                        <w:t>o</w:t>
                      </w:r>
                      <w:r>
                        <w:rPr>
                          <w:spacing w:val="1"/>
                          <w:sz w:val="18"/>
                          <w:szCs w:val="16"/>
                        </w:rPr>
                        <w:t xml:space="preserve"> </w:t>
                      </w:r>
                      <w:r>
                        <w:rPr>
                          <w:sz w:val="18"/>
                          <w:szCs w:val="16"/>
                        </w:rPr>
                        <w:t>+</w:t>
                      </w:r>
                      <w:r>
                        <w:rPr>
                          <w:spacing w:val="1"/>
                          <w:sz w:val="18"/>
                          <w:szCs w:val="16"/>
                        </w:rPr>
                        <w:t xml:space="preserve"> BS</w:t>
                      </w:r>
                      <w:r>
                        <w:rPr>
                          <w:spacing w:val="-1"/>
                          <w:sz w:val="18"/>
                          <w:szCs w:val="16"/>
                        </w:rPr>
                        <w:t>C</w:t>
                      </w:r>
                      <w:r>
                        <w:rPr>
                          <w:sz w:val="18"/>
                          <w:szCs w:val="16"/>
                        </w:rPr>
                        <w:t>:</w:t>
                      </w:r>
                      <w:r>
                        <w:rPr>
                          <w:spacing w:val="2"/>
                          <w:sz w:val="18"/>
                          <w:szCs w:val="16"/>
                        </w:rPr>
                        <w:t xml:space="preserve"> </w:t>
                      </w:r>
                      <w:r>
                        <w:rPr>
                          <w:spacing w:val="-1"/>
                          <w:sz w:val="18"/>
                          <w:szCs w:val="16"/>
                        </w:rPr>
                        <w:t>3</w:t>
                      </w:r>
                      <w:r>
                        <w:rPr>
                          <w:spacing w:val="1"/>
                          <w:sz w:val="18"/>
                          <w:szCs w:val="16"/>
                        </w:rPr>
                        <w:t>,</w:t>
                      </w:r>
                      <w:r>
                        <w:rPr>
                          <w:spacing w:val="-1"/>
                          <w:sz w:val="18"/>
                          <w:szCs w:val="16"/>
                        </w:rPr>
                        <w:t>9</w:t>
                      </w:r>
                      <w:r>
                        <w:rPr>
                          <w:sz w:val="18"/>
                          <w:szCs w:val="16"/>
                        </w:rPr>
                        <w:t xml:space="preserve">1 </w:t>
                      </w:r>
                      <w:r>
                        <w:rPr>
                          <w:spacing w:val="1"/>
                          <w:sz w:val="18"/>
                          <w:szCs w:val="16"/>
                        </w:rPr>
                        <w:t>[</w:t>
                      </w:r>
                      <w:r>
                        <w:rPr>
                          <w:spacing w:val="-1"/>
                          <w:sz w:val="18"/>
                          <w:szCs w:val="16"/>
                        </w:rPr>
                        <w:t>3</w:t>
                      </w:r>
                      <w:r>
                        <w:rPr>
                          <w:spacing w:val="1"/>
                          <w:sz w:val="18"/>
                          <w:szCs w:val="16"/>
                        </w:rPr>
                        <w:t>,</w:t>
                      </w:r>
                      <w:r>
                        <w:rPr>
                          <w:spacing w:val="-1"/>
                          <w:sz w:val="18"/>
                          <w:szCs w:val="16"/>
                        </w:rPr>
                        <w:t>58</w:t>
                      </w:r>
                      <w:r>
                        <w:rPr>
                          <w:spacing w:val="1"/>
                          <w:sz w:val="18"/>
                          <w:szCs w:val="16"/>
                        </w:rPr>
                        <w:t>;</w:t>
                      </w:r>
                      <w:r>
                        <w:rPr>
                          <w:spacing w:val="-1"/>
                          <w:sz w:val="18"/>
                          <w:szCs w:val="16"/>
                        </w:rPr>
                        <w:t>7</w:t>
                      </w:r>
                      <w:r>
                        <w:rPr>
                          <w:spacing w:val="1"/>
                          <w:sz w:val="18"/>
                          <w:szCs w:val="16"/>
                        </w:rPr>
                        <w:t>,</w:t>
                      </w:r>
                      <w:r>
                        <w:rPr>
                          <w:spacing w:val="-1"/>
                          <w:sz w:val="18"/>
                          <w:szCs w:val="16"/>
                        </w:rPr>
                        <w:t>43</w:t>
                      </w:r>
                      <w:r>
                        <w:rPr>
                          <w:sz w:val="18"/>
                          <w:szCs w:val="16"/>
                        </w:rPr>
                        <w:t>]</w:t>
                      </w:r>
                      <w:r>
                        <w:rPr>
                          <w:spacing w:val="2"/>
                          <w:sz w:val="18"/>
                          <w:szCs w:val="16"/>
                        </w:rPr>
                        <w:t xml:space="preserve"> </w:t>
                      </w:r>
                      <w:r>
                        <w:rPr>
                          <w:spacing w:val="5"/>
                          <w:sz w:val="18"/>
                          <w:szCs w:val="16"/>
                        </w:rPr>
                        <w:t>m</w:t>
                      </w:r>
                      <w:r>
                        <w:rPr>
                          <w:spacing w:val="-1"/>
                          <w:sz w:val="18"/>
                          <w:szCs w:val="16"/>
                        </w:rPr>
                        <w:t>åneder</w:t>
                      </w:r>
                    </w:p>
                    <w:p w:rsidR="000433C9" w:rsidRDefault="000433C9" w:rsidP="00BB3C53">
                      <w:pPr>
                        <w:autoSpaceDE w:val="0"/>
                        <w:autoSpaceDN w:val="0"/>
                        <w:adjustRightInd w:val="0"/>
                        <w:spacing w:before="1"/>
                        <w:ind w:left="40" w:right="-20"/>
                        <w:rPr>
                          <w:sz w:val="18"/>
                          <w:szCs w:val="16"/>
                        </w:rPr>
                      </w:pPr>
                    </w:p>
                    <w:p w:rsidR="000433C9" w:rsidRDefault="000433C9" w:rsidP="00BB3C53">
                      <w:pPr>
                        <w:autoSpaceDE w:val="0"/>
                        <w:autoSpaceDN w:val="0"/>
                        <w:adjustRightInd w:val="0"/>
                        <w:spacing w:line="164" w:lineRule="exact"/>
                        <w:ind w:left="40" w:right="-20"/>
                        <w:rPr>
                          <w:sz w:val="18"/>
                          <w:szCs w:val="16"/>
                        </w:rPr>
                      </w:pPr>
                      <w:r>
                        <w:rPr>
                          <w:spacing w:val="-1"/>
                          <w:sz w:val="18"/>
                          <w:szCs w:val="16"/>
                        </w:rPr>
                        <w:t>Log-ran</w:t>
                      </w:r>
                      <w:r>
                        <w:rPr>
                          <w:sz w:val="18"/>
                          <w:szCs w:val="16"/>
                        </w:rPr>
                        <w:t>k</w:t>
                      </w:r>
                      <w:r>
                        <w:rPr>
                          <w:spacing w:val="2"/>
                          <w:sz w:val="18"/>
                          <w:szCs w:val="16"/>
                        </w:rPr>
                        <w:t xml:space="preserve"> </w:t>
                      </w:r>
                      <w:r>
                        <w:rPr>
                          <w:sz w:val="18"/>
                          <w:szCs w:val="16"/>
                        </w:rPr>
                        <w:t xml:space="preserve">p </w:t>
                      </w:r>
                      <w:r>
                        <w:rPr>
                          <w:spacing w:val="-1"/>
                          <w:sz w:val="18"/>
                          <w:szCs w:val="16"/>
                        </w:rPr>
                        <w:t>værdi</w:t>
                      </w:r>
                      <w:r>
                        <w:rPr>
                          <w:sz w:val="18"/>
                          <w:szCs w:val="16"/>
                        </w:rPr>
                        <w:t xml:space="preserve"> =</w:t>
                      </w:r>
                      <w:r>
                        <w:rPr>
                          <w:spacing w:val="1"/>
                          <w:sz w:val="18"/>
                          <w:szCs w:val="16"/>
                        </w:rPr>
                        <w:t xml:space="preserve"> </w:t>
                      </w:r>
                      <w:r>
                        <w:rPr>
                          <w:sz w:val="18"/>
                          <w:szCs w:val="16"/>
                        </w:rPr>
                        <w:t>&lt;</w:t>
                      </w:r>
                      <w:r>
                        <w:rPr>
                          <w:spacing w:val="-1"/>
                          <w:sz w:val="18"/>
                          <w:szCs w:val="16"/>
                        </w:rPr>
                        <w:t>0</w:t>
                      </w:r>
                      <w:r>
                        <w:rPr>
                          <w:spacing w:val="1"/>
                          <w:sz w:val="18"/>
                          <w:szCs w:val="16"/>
                        </w:rPr>
                        <w:t>,</w:t>
                      </w:r>
                      <w:r>
                        <w:rPr>
                          <w:spacing w:val="-1"/>
                          <w:sz w:val="18"/>
                          <w:szCs w:val="16"/>
                        </w:rPr>
                        <w:t>00</w:t>
                      </w:r>
                      <w:r>
                        <w:rPr>
                          <w:sz w:val="18"/>
                          <w:szCs w:val="16"/>
                        </w:rPr>
                        <w:t>1</w:t>
                      </w:r>
                    </w:p>
                    <w:p w:rsidR="000433C9" w:rsidRPr="00FF0B19" w:rsidRDefault="000433C9" w:rsidP="00BB3C53"/>
                  </w:txbxContent>
                </v:textbox>
              </v:shape>
            </w:pict>
          </mc:Fallback>
        </mc:AlternateContent>
      </w:r>
      <w:r w:rsidRPr="00FF0B19">
        <w:rPr>
          <w:b/>
          <w:noProof/>
          <w:spacing w:val="1"/>
          <w:sz w:val="18"/>
          <w:szCs w:val="16"/>
          <w:lang w:eastAsia="da-DK"/>
        </w:rPr>
        <mc:AlternateContent>
          <mc:Choice Requires="wps">
            <w:drawing>
              <wp:anchor distT="0" distB="0" distL="114300" distR="114300" simplePos="0" relativeHeight="251677696" behindDoc="0" locked="0" layoutInCell="1" allowOverlap="1" wp14:anchorId="492DB690" wp14:editId="79C19FDB">
                <wp:simplePos x="0" y="0"/>
                <wp:positionH relativeFrom="column">
                  <wp:posOffset>-618808</wp:posOffset>
                </wp:positionH>
                <wp:positionV relativeFrom="paragraph">
                  <wp:posOffset>1022033</wp:posOffset>
                </wp:positionV>
                <wp:extent cx="1317600" cy="248400"/>
                <wp:effectExtent l="952"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317600" cy="248400"/>
                        </a:xfrm>
                        <a:prstGeom prst="rect">
                          <a:avLst/>
                        </a:prstGeom>
                        <a:solidFill>
                          <a:srgbClr val="FFFFFF"/>
                        </a:solidFill>
                        <a:ln w="9525">
                          <a:noFill/>
                          <a:miter lim="800000"/>
                          <a:headEnd/>
                          <a:tailEnd/>
                        </a:ln>
                      </wps:spPr>
                      <wps:txbx>
                        <w:txbxContent>
                          <w:p w:rsidR="000433C9" w:rsidRPr="00B41049" w:rsidRDefault="000433C9" w:rsidP="00BB3C53">
                            <w:pPr>
                              <w:rPr>
                                <w:b/>
                                <w:sz w:val="20"/>
                                <w:lang w:val="en-US"/>
                              </w:rPr>
                            </w:pPr>
                            <w:r w:rsidRPr="00B41049">
                              <w:rPr>
                                <w:b/>
                                <w:sz w:val="20"/>
                              </w:rPr>
                              <w:t>Sandsynlighed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DB690" id="_x0000_s1030" type="#_x0000_t202" style="position:absolute;margin-left:-48.75pt;margin-top:80.5pt;width:103.75pt;height:19.55pt;rotation:-9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" stroked="f">
                <v:textbox>
                  <w:txbxContent>
                    <w:p w:rsidR="000433C9" w:rsidRPr="00B41049" w:rsidRDefault="000433C9" w:rsidP="00BB3C53">
                      <w:pPr>
                        <w:rPr>
                          <w:b/>
                          <w:sz w:val="20"/>
                          <w:lang w:val="en-US"/>
                        </w:rPr>
                      </w:pPr>
                      <w:r w:rsidRPr="00B41049">
                        <w:rPr>
                          <w:b/>
                          <w:sz w:val="20"/>
                        </w:rPr>
                        <w:t>Sandsynlighed (%)</w:t>
                      </w:r>
                    </w:p>
                  </w:txbxContent>
                </v:textbox>
              </v:shape>
            </w:pict>
          </mc:Fallback>
        </mc:AlternateContent>
      </w:r>
      <w:r>
        <w:rPr>
          <w:noProof/>
          <w:lang w:eastAsia="da-DK"/>
        </w:rPr>
        <w:drawing>
          <wp:inline distT="0" distB="0" distL="0" distR="0" wp14:anchorId="13059476" wp14:editId="581D3062">
            <wp:extent cx="5972810" cy="2503805"/>
            <wp:effectExtent l="0" t="0" r="8890" b="0"/>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2503805"/>
                    </a:xfrm>
                    <a:prstGeom prst="rect">
                      <a:avLst/>
                    </a:prstGeom>
                  </pic:spPr>
                </pic:pic>
              </a:graphicData>
            </a:graphic>
          </wp:inline>
        </w:drawing>
      </w:r>
    </w:p>
    <w:p w:rsidR="00BB3C53" w:rsidRDefault="00BB3C53" w:rsidP="00BB3C53">
      <w:pPr>
        <w:rPr>
          <w:szCs w:val="24"/>
        </w:rPr>
      </w:pPr>
    </w:p>
    <w:p w:rsidR="00BB3C53" w:rsidRDefault="00BB3C53" w:rsidP="00BB3C53">
      <w:pPr>
        <w:tabs>
          <w:tab w:val="left" w:pos="851"/>
          <w:tab w:val="left" w:pos="1584"/>
        </w:tabs>
        <w:ind w:left="851"/>
        <w:jc w:val="center"/>
        <w:rPr>
          <w:b/>
          <w:bCs/>
          <w:szCs w:val="24"/>
        </w:rPr>
      </w:pPr>
    </w:p>
    <w:tbl>
      <w:tblPr>
        <w:tblW w:w="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576"/>
        <w:gridCol w:w="576"/>
        <w:gridCol w:w="576"/>
        <w:gridCol w:w="567"/>
        <w:gridCol w:w="567"/>
        <w:gridCol w:w="567"/>
        <w:gridCol w:w="567"/>
        <w:gridCol w:w="567"/>
        <w:gridCol w:w="567"/>
        <w:gridCol w:w="567"/>
        <w:gridCol w:w="567"/>
        <w:gridCol w:w="567"/>
        <w:gridCol w:w="567"/>
      </w:tblGrid>
      <w:tr w:rsidR="00BB3C53" w:rsidTr="00712401">
        <w:tc>
          <w:tcPr>
            <w:tcW w:w="8739" w:type="dxa"/>
            <w:gridSpan w:val="14"/>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lastRenderedPageBreak/>
              <w:t>Antal patienter stadig i risiko</w:t>
            </w:r>
          </w:p>
        </w:tc>
      </w:tr>
      <w:tr w:rsidR="00BB3C53" w:rsidTr="00712401">
        <w:tc>
          <w:tcPr>
            <w:tcW w:w="1341"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Tid (måneder)</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0</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4</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6</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8</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10</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12</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15</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18</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24</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27</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30</w:t>
            </w:r>
          </w:p>
        </w:tc>
      </w:tr>
      <w:tr w:rsidR="00BB3C53" w:rsidTr="00712401">
        <w:tc>
          <w:tcPr>
            <w:tcW w:w="1341"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Everolimus</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205</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168</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145</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124</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101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81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65</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52</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26</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10</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3</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0</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0</w:t>
            </w:r>
          </w:p>
        </w:tc>
      </w:tr>
      <w:tr w:rsidR="00BB3C53" w:rsidTr="00712401">
        <w:tc>
          <w:tcPr>
            <w:tcW w:w="1341"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Placebo</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97</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65</w:t>
            </w:r>
          </w:p>
        </w:tc>
        <w:tc>
          <w:tcPr>
            <w:tcW w:w="576"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39</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30</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24</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21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17</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15</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6</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5</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1</w:t>
            </w:r>
          </w:p>
        </w:tc>
        <w:tc>
          <w:tcPr>
            <w:tcW w:w="567" w:type="dxa"/>
            <w:tcBorders>
              <w:top w:val="single" w:sz="4" w:space="0" w:color="auto"/>
              <w:left w:val="single" w:sz="4" w:space="0" w:color="auto"/>
              <w:bottom w:val="single" w:sz="4" w:space="0" w:color="auto"/>
              <w:right w:val="single" w:sz="4" w:space="0" w:color="auto"/>
            </w:tcBorders>
            <w:hideMark/>
          </w:tcPr>
          <w:p w:rsidR="00BB3C53" w:rsidRDefault="00BB3C53" w:rsidP="00712401">
            <w:pPr>
              <w:pStyle w:val="Default"/>
              <w:rPr>
                <w:sz w:val="18"/>
              </w:rPr>
            </w:pPr>
            <w:r>
              <w:rPr>
                <w:sz w:val="18"/>
              </w:rPr>
              <w:t>0</w:t>
            </w:r>
          </w:p>
        </w:tc>
      </w:tr>
    </w:tbl>
    <w:p w:rsidR="00BB3C53" w:rsidRDefault="00BB3C53" w:rsidP="00BB3C53">
      <w:pPr>
        <w:autoSpaceDE w:val="0"/>
        <w:autoSpaceDN w:val="0"/>
        <w:adjustRightInd w:val="0"/>
        <w:ind w:left="851"/>
        <w:rPr>
          <w:color w:val="000000"/>
          <w:szCs w:val="24"/>
        </w:rPr>
      </w:pPr>
    </w:p>
    <w:p w:rsidR="003760D5" w:rsidRPr="000A6289" w:rsidRDefault="00BB3C53" w:rsidP="00BB3C53">
      <w:pPr>
        <w:autoSpaceDE w:val="0"/>
        <w:autoSpaceDN w:val="0"/>
        <w:adjustRightInd w:val="0"/>
        <w:ind w:left="851"/>
        <w:rPr>
          <w:sz w:val="24"/>
          <w:szCs w:val="24"/>
        </w:rPr>
      </w:pPr>
      <w:r w:rsidRPr="000A6289">
        <w:rPr>
          <w:sz w:val="24"/>
          <w:szCs w:val="24"/>
        </w:rPr>
        <w:t xml:space="preserve">I understøttende analyser er der observeret positiv behandlingseffekt i alle subgrupper med undtagelse af subgruppen af patienter med primærtumor udgået fra ileum (ileum: HR=1,22 [95 % CI: 0,56-2,65]; ikke-ileum: HR=0,34 [95 % CI: 0,22-0,54]; lunge: HR=0,43 [95 % CI: 0,24-0,79]) (se figur 3). </w:t>
      </w:r>
    </w:p>
    <w:p w:rsidR="002660FE" w:rsidRPr="000A6289" w:rsidRDefault="002660FE">
      <w:pPr>
        <w:rPr>
          <w:b/>
          <w:bCs/>
          <w:sz w:val="24"/>
          <w:szCs w:val="24"/>
        </w:rPr>
      </w:pPr>
    </w:p>
    <w:p w:rsidR="003760D5" w:rsidRPr="001851B3" w:rsidRDefault="003760D5" w:rsidP="003760D5">
      <w:pPr>
        <w:tabs>
          <w:tab w:val="left" w:pos="851"/>
        </w:tabs>
        <w:ind w:left="851"/>
        <w:rPr>
          <w:b/>
          <w:bCs/>
          <w:sz w:val="24"/>
          <w:szCs w:val="24"/>
        </w:rPr>
      </w:pPr>
      <w:r w:rsidRPr="001851B3">
        <w:rPr>
          <w:b/>
          <w:bCs/>
          <w:sz w:val="24"/>
          <w:szCs w:val="24"/>
        </w:rPr>
        <w:t>Figur 3. RADIANT-4 – Resultater for progressionsfri overlevelse i præ-specificerede undergrupper (uafhængig radiologisk vurdering)</w:t>
      </w:r>
    </w:p>
    <w:p w:rsidR="003760D5" w:rsidRPr="001851B3" w:rsidRDefault="003760D5" w:rsidP="003760D5">
      <w:pPr>
        <w:tabs>
          <w:tab w:val="left" w:pos="851"/>
        </w:tabs>
        <w:ind w:left="851"/>
        <w:rPr>
          <w:b/>
          <w:bCs/>
          <w:sz w:val="24"/>
          <w:szCs w:val="24"/>
        </w:rPr>
      </w:pPr>
    </w:p>
    <w:p w:rsidR="003760D5" w:rsidRDefault="003760D5" w:rsidP="003760D5">
      <w:pPr>
        <w:tabs>
          <w:tab w:val="left" w:pos="-426"/>
        </w:tabs>
        <w:ind w:left="-426"/>
        <w:rPr>
          <w:b/>
          <w:bCs/>
          <w:szCs w:val="24"/>
        </w:rPr>
      </w:pPr>
      <w:r>
        <w:rPr>
          <w:b/>
          <w:noProof/>
          <w:szCs w:val="24"/>
          <w:lang w:eastAsia="da-DK"/>
        </w:rPr>
        <w:drawing>
          <wp:inline distT="0" distB="0" distL="0" distR="0" wp14:anchorId="7645BF75" wp14:editId="6CCEE87B">
            <wp:extent cx="6343650" cy="477202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1">
                      <a:extLst>
                        <a:ext uri="{28A0092B-C50C-407E-A947-70E740481C1C}">
                          <a14:useLocalDpi xmlns:a14="http://schemas.microsoft.com/office/drawing/2010/main" val="0"/>
                        </a:ext>
                      </a:extLst>
                    </a:blip>
                    <a:srcRect l="13602" t="17323" r="57037" b="18436"/>
                    <a:stretch>
                      <a:fillRect/>
                    </a:stretch>
                  </pic:blipFill>
                  <pic:spPr bwMode="auto">
                    <a:xfrm>
                      <a:off x="0" y="0"/>
                      <a:ext cx="6343650" cy="4772025"/>
                    </a:xfrm>
                    <a:prstGeom prst="rect">
                      <a:avLst/>
                    </a:prstGeom>
                    <a:noFill/>
                    <a:ln>
                      <a:noFill/>
                    </a:ln>
                  </pic:spPr>
                </pic:pic>
              </a:graphicData>
            </a:graphic>
          </wp:inline>
        </w:drawing>
      </w:r>
    </w:p>
    <w:p w:rsidR="003760D5" w:rsidRDefault="003760D5" w:rsidP="003760D5">
      <w:pPr>
        <w:tabs>
          <w:tab w:val="left" w:pos="851"/>
        </w:tabs>
        <w:ind w:left="851"/>
        <w:rPr>
          <w:b/>
          <w:bCs/>
          <w:szCs w:val="24"/>
        </w:rPr>
      </w:pPr>
    </w:p>
    <w:p w:rsidR="00B41049" w:rsidRPr="003877DB" w:rsidRDefault="00B41049" w:rsidP="00B41049">
      <w:pPr>
        <w:pStyle w:val="Default"/>
        <w:ind w:left="851"/>
        <w:rPr>
          <w:sz w:val="20"/>
          <w:szCs w:val="20"/>
        </w:rPr>
      </w:pPr>
      <w:r w:rsidRPr="003877DB">
        <w:rPr>
          <w:sz w:val="20"/>
          <w:szCs w:val="20"/>
        </w:rPr>
        <w:t xml:space="preserve">*Ikke-ileum: mave, kolon, rektum, appendix, coecum, duodenum, jejunum, karcinom af ukendt oprindelsessted og anden gastrointestinal oprindelse </w:t>
      </w:r>
    </w:p>
    <w:p w:rsidR="00B41049" w:rsidRPr="00120000" w:rsidRDefault="00B41049" w:rsidP="00B41049">
      <w:pPr>
        <w:pStyle w:val="Default"/>
        <w:ind w:left="851"/>
        <w:rPr>
          <w:sz w:val="20"/>
          <w:szCs w:val="20"/>
          <w:lang w:val="sv-SE"/>
        </w:rPr>
      </w:pPr>
      <w:r w:rsidRPr="00120000">
        <w:rPr>
          <w:sz w:val="20"/>
          <w:szCs w:val="20"/>
          <w:lang w:val="sv-SE"/>
        </w:rPr>
        <w:t xml:space="preserve">ULN: Øvre normalværdi </w:t>
      </w:r>
    </w:p>
    <w:p w:rsidR="00B41049" w:rsidRPr="00120000" w:rsidRDefault="00B41049" w:rsidP="00B41049">
      <w:pPr>
        <w:pStyle w:val="Default"/>
        <w:ind w:left="851"/>
        <w:rPr>
          <w:sz w:val="20"/>
          <w:szCs w:val="20"/>
          <w:lang w:val="sv-SE"/>
        </w:rPr>
      </w:pPr>
      <w:r w:rsidRPr="00120000">
        <w:rPr>
          <w:sz w:val="20"/>
          <w:szCs w:val="20"/>
          <w:lang w:val="sv-SE"/>
        </w:rPr>
        <w:t xml:space="preserve">CgA: Kromogranin A </w:t>
      </w:r>
    </w:p>
    <w:p w:rsidR="00B41049" w:rsidRPr="00120000" w:rsidRDefault="00B41049" w:rsidP="00B41049">
      <w:pPr>
        <w:pStyle w:val="Default"/>
        <w:ind w:left="851"/>
        <w:rPr>
          <w:sz w:val="20"/>
          <w:szCs w:val="20"/>
          <w:lang w:val="sv-SE"/>
        </w:rPr>
      </w:pPr>
      <w:r w:rsidRPr="00120000">
        <w:rPr>
          <w:sz w:val="20"/>
          <w:szCs w:val="20"/>
          <w:lang w:val="sv-SE"/>
        </w:rPr>
        <w:t xml:space="preserve">NSE: Neuronspecifik enolase </w:t>
      </w:r>
    </w:p>
    <w:p w:rsidR="00B41049" w:rsidRPr="003877DB" w:rsidRDefault="00B41049" w:rsidP="00B41049">
      <w:pPr>
        <w:tabs>
          <w:tab w:val="left" w:pos="851"/>
        </w:tabs>
        <w:ind w:left="851"/>
        <w:rPr>
          <w:sz w:val="20"/>
        </w:rPr>
      </w:pPr>
      <w:r w:rsidRPr="003877DB">
        <w:rPr>
          <w:iCs/>
          <w:sz w:val="20"/>
        </w:rPr>
        <w:t>Risikorate</w:t>
      </w:r>
      <w:r w:rsidRPr="003877DB">
        <w:rPr>
          <w:i/>
          <w:iCs/>
          <w:sz w:val="20"/>
        </w:rPr>
        <w:t xml:space="preserve"> </w:t>
      </w:r>
      <w:r w:rsidRPr="003877DB">
        <w:rPr>
          <w:sz w:val="20"/>
        </w:rPr>
        <w:t>(95 % CI) fra stratificeret Cox-model</w:t>
      </w:r>
    </w:p>
    <w:p w:rsidR="00A672FE" w:rsidRDefault="00A672FE" w:rsidP="00A672FE">
      <w:pPr>
        <w:tabs>
          <w:tab w:val="left" w:pos="851"/>
        </w:tabs>
        <w:ind w:left="851"/>
        <w:rPr>
          <w:b/>
          <w:bCs/>
          <w:szCs w:val="24"/>
        </w:rPr>
      </w:pPr>
    </w:p>
    <w:p w:rsidR="00A672FE" w:rsidRDefault="00A672FE" w:rsidP="00A672FE">
      <w:pPr>
        <w:tabs>
          <w:tab w:val="left" w:pos="851"/>
        </w:tabs>
        <w:ind w:left="851"/>
        <w:rPr>
          <w:color w:val="000000"/>
          <w:sz w:val="24"/>
          <w:szCs w:val="24"/>
          <w:lang w:eastAsia="da-DK"/>
        </w:rPr>
      </w:pPr>
      <w:r>
        <w:rPr>
          <w:color w:val="000000"/>
          <w:sz w:val="24"/>
          <w:szCs w:val="24"/>
          <w:lang w:eastAsia="da-DK"/>
        </w:rPr>
        <w:t>Den endelige analyse af total overlevelse (OS) viste ingen statistisk signifikant forskel mellem de patienter, der fik everolimus eller placebo i løbet af den blindede behandlingsperiode i studiet (HR=0,90 [95 % CI: 0,66-1,22]).</w:t>
      </w:r>
    </w:p>
    <w:p w:rsidR="00A672FE" w:rsidRDefault="00A672FE" w:rsidP="00A672FE">
      <w:pPr>
        <w:tabs>
          <w:tab w:val="left" w:pos="851"/>
        </w:tabs>
        <w:ind w:left="851"/>
        <w:rPr>
          <w:color w:val="000000"/>
          <w:sz w:val="24"/>
          <w:szCs w:val="24"/>
          <w:lang w:eastAsia="da-DK"/>
        </w:rPr>
      </w:pPr>
    </w:p>
    <w:p w:rsidR="00A672FE" w:rsidRDefault="00A672FE" w:rsidP="00A672FE">
      <w:pPr>
        <w:tabs>
          <w:tab w:val="left" w:pos="851"/>
        </w:tabs>
        <w:ind w:left="851"/>
      </w:pPr>
      <w:r>
        <w:rPr>
          <w:color w:val="000000"/>
          <w:sz w:val="24"/>
          <w:szCs w:val="24"/>
          <w:lang w:eastAsia="da-DK"/>
        </w:rPr>
        <w:lastRenderedPageBreak/>
        <w:t>Der blev ikke observeret en forskel i tiden til endelig forværring af WHO PS (HR=1,02; [95 % CI: 0,65; 1,61]) og tiden til endelig forværring af livskvalitet (FACT-G totalværdi HR=0,74; [95 % CI: 0,50; 1,10]) mellem de to arme.</w:t>
      </w:r>
    </w:p>
    <w:p w:rsidR="00A672FE" w:rsidRDefault="00A672FE" w:rsidP="00A672FE">
      <w:pPr>
        <w:rPr>
          <w:i/>
          <w:iCs/>
        </w:rPr>
      </w:pPr>
    </w:p>
    <w:p w:rsidR="000B424C" w:rsidRPr="000B424C" w:rsidRDefault="000B424C" w:rsidP="000B424C">
      <w:pPr>
        <w:ind w:firstLine="851"/>
        <w:rPr>
          <w:b/>
          <w:bCs/>
          <w:i/>
          <w:iCs/>
        </w:rPr>
      </w:pPr>
      <w:r>
        <w:rPr>
          <w:b/>
          <w:bCs/>
          <w:i/>
          <w:sz w:val="24"/>
          <w:szCs w:val="24"/>
        </w:rPr>
        <w:t>Renal angiomyolipom/SEGA</w:t>
      </w:r>
      <w:r>
        <w:rPr>
          <w:b/>
          <w:bCs/>
          <w:i/>
          <w:iCs/>
        </w:rPr>
        <w:t xml:space="preserve"> </w:t>
      </w:r>
    </w:p>
    <w:p w:rsidR="000B424C" w:rsidRDefault="000B424C" w:rsidP="000B424C">
      <w:pPr>
        <w:pStyle w:val="Brdtekst"/>
        <w:ind w:left="298" w:firstLine="553"/>
        <w:rPr>
          <w:sz w:val="24"/>
          <w:szCs w:val="24"/>
          <w:lang w:val="da-DK"/>
        </w:rPr>
      </w:pPr>
      <w:r>
        <w:rPr>
          <w:sz w:val="24"/>
          <w:szCs w:val="24"/>
          <w:u w:val="single"/>
          <w:lang w:val="da-DK"/>
        </w:rPr>
        <w:t>Virkningsmekanisme</w:t>
      </w:r>
    </w:p>
    <w:p w:rsidR="000B424C" w:rsidRDefault="000B424C" w:rsidP="000B424C">
      <w:pPr>
        <w:pStyle w:val="Brdtekst"/>
        <w:spacing w:before="2"/>
        <w:rPr>
          <w:sz w:val="24"/>
          <w:szCs w:val="24"/>
          <w:lang w:val="da-DK"/>
        </w:rPr>
      </w:pPr>
    </w:p>
    <w:p w:rsidR="000B424C" w:rsidRDefault="000B424C" w:rsidP="000B424C">
      <w:pPr>
        <w:pStyle w:val="Brdtekst"/>
        <w:spacing w:before="91"/>
        <w:ind w:left="851" w:right="-1"/>
        <w:rPr>
          <w:sz w:val="24"/>
          <w:szCs w:val="24"/>
          <w:lang w:val="da-DK"/>
        </w:rPr>
      </w:pPr>
      <w:r>
        <w:rPr>
          <w:sz w:val="24"/>
          <w:szCs w:val="24"/>
          <w:lang w:val="da-DK"/>
        </w:rPr>
        <w:t>Everolimus er en selektiv hæmmer af mTOR (</w:t>
      </w:r>
      <w:r>
        <w:rPr>
          <w:iCs/>
          <w:sz w:val="24"/>
          <w:szCs w:val="24"/>
          <w:lang w:val="da-DK"/>
        </w:rPr>
        <w:t>mammalian target of rapamycin</w:t>
      </w:r>
      <w:r>
        <w:rPr>
          <w:sz w:val="24"/>
          <w:szCs w:val="24"/>
          <w:lang w:val="da-DK"/>
        </w:rPr>
        <w:t>). mTOR er en vigtig serin-treonin-kinase, hvis aktivitet vides at være opreguleret i et antal humane cancersygdomme.</w:t>
      </w:r>
    </w:p>
    <w:p w:rsidR="000B424C" w:rsidRDefault="000B424C" w:rsidP="000B424C">
      <w:pPr>
        <w:pStyle w:val="Brdtekst"/>
        <w:spacing w:before="1"/>
        <w:ind w:left="851" w:right="-1"/>
        <w:rPr>
          <w:sz w:val="24"/>
          <w:szCs w:val="24"/>
          <w:lang w:val="da-DK"/>
        </w:rPr>
      </w:pPr>
      <w:r>
        <w:rPr>
          <w:sz w:val="24"/>
          <w:szCs w:val="24"/>
          <w:lang w:val="da-DK"/>
        </w:rPr>
        <w:t>Everolimus binder til det intracellulære protein FKBP-12 og danner et kompleks, der hæmmer aktiviteten af mTOR kompleks-1 (mTORC1). Hæmning af mTORC1-signaleringen griber ind i translation og syntese af proteiner ved at reducere aktiviteten af S6 ribosomal proteinkinase (S6K1) og eukaryotic elongation factor 4E-binding protein</w:t>
      </w:r>
      <w:r>
        <w:rPr>
          <w:i/>
          <w:sz w:val="24"/>
          <w:szCs w:val="24"/>
          <w:lang w:val="da-DK"/>
        </w:rPr>
        <w:t xml:space="preserve"> </w:t>
      </w:r>
      <w:r>
        <w:rPr>
          <w:sz w:val="24"/>
          <w:szCs w:val="24"/>
          <w:lang w:val="da-DK"/>
        </w:rPr>
        <w:t xml:space="preserve">(4EBP-1), der regulerer proteiner involveret i cellecyklus, angiogenese og glykolyse. Everolimus kan nedsætte niveauer af VEGF (vascular endothelial growth factor). Hos patienter med TSC forøger everolimus VEGF-A og nedsætter VEGF-D-niveauer. Everolimus er en potent hæmmer af vækst og proliferation af tumorceller, endotelceller, fibroblaster og vaskulære glatte muskelceller og har vist at reducere glykolysen i solide tumorer </w:t>
      </w:r>
      <w:r>
        <w:rPr>
          <w:i/>
          <w:sz w:val="24"/>
          <w:szCs w:val="24"/>
          <w:lang w:val="da-DK"/>
        </w:rPr>
        <w:t xml:space="preserve">in vitro </w:t>
      </w:r>
      <w:r>
        <w:rPr>
          <w:sz w:val="24"/>
          <w:szCs w:val="24"/>
          <w:lang w:val="da-DK"/>
        </w:rPr>
        <w:t xml:space="preserve">og </w:t>
      </w:r>
      <w:r>
        <w:rPr>
          <w:i/>
          <w:sz w:val="24"/>
          <w:szCs w:val="24"/>
          <w:lang w:val="da-DK"/>
        </w:rPr>
        <w:t>in vivo</w:t>
      </w:r>
      <w:r>
        <w:rPr>
          <w:sz w:val="24"/>
          <w:szCs w:val="24"/>
          <w:lang w:val="da-DK"/>
        </w:rPr>
        <w:t>.</w:t>
      </w:r>
    </w:p>
    <w:p w:rsidR="000B424C" w:rsidRDefault="000B424C" w:rsidP="000B424C">
      <w:pPr>
        <w:pStyle w:val="Brdtekst"/>
        <w:rPr>
          <w:sz w:val="24"/>
          <w:szCs w:val="24"/>
          <w:lang w:val="da-DK"/>
        </w:rPr>
      </w:pPr>
    </w:p>
    <w:p w:rsidR="000B424C" w:rsidRDefault="000B424C" w:rsidP="000B424C">
      <w:pPr>
        <w:pStyle w:val="Brdtekst"/>
        <w:spacing w:line="252" w:lineRule="exact"/>
        <w:ind w:left="851"/>
        <w:rPr>
          <w:sz w:val="24"/>
          <w:szCs w:val="24"/>
          <w:lang w:val="da-DK"/>
        </w:rPr>
      </w:pPr>
      <w:r>
        <w:rPr>
          <w:sz w:val="24"/>
          <w:szCs w:val="24"/>
          <w:lang w:val="da-DK"/>
        </w:rPr>
        <w:t>To primære regulatorer af mTORC1-signalering er onkogen-suppressorerne tuberin-sclerosis complex 1 &amp; 2 (TSC1, TSC2). Tab af enten TSC1 eller TSC2 forhøjer koncentrationerne af rheb-GTP, en GTPase af ras-familien, som interagerer med mTORC1-komplekset, så dette aktiveres. mTORC1-aktivering fører til en downstream kinase-signaleringskaskade, inklusive aktivering af S6-kinaserne. Ved TSC-syndrom fører inaktiverende mutationer i et af generne TSC1 og TSC2 til dannelse af hamartomer alle steder i kroppen.</w:t>
      </w:r>
    </w:p>
    <w:p w:rsidR="000B424C" w:rsidRDefault="000B424C" w:rsidP="000B424C">
      <w:pPr>
        <w:pStyle w:val="Brdtekst"/>
        <w:spacing w:line="252" w:lineRule="exact"/>
        <w:ind w:left="851"/>
        <w:rPr>
          <w:sz w:val="24"/>
          <w:szCs w:val="24"/>
          <w:lang w:val="da-DK"/>
        </w:rPr>
      </w:pPr>
    </w:p>
    <w:p w:rsidR="000B424C" w:rsidRDefault="000B424C" w:rsidP="000B424C">
      <w:pPr>
        <w:pStyle w:val="Brdtekst"/>
        <w:spacing w:before="70"/>
        <w:ind w:left="298" w:firstLine="553"/>
        <w:rPr>
          <w:sz w:val="24"/>
          <w:szCs w:val="24"/>
          <w:lang w:val="da-DK"/>
        </w:rPr>
      </w:pPr>
      <w:r>
        <w:rPr>
          <w:sz w:val="24"/>
          <w:szCs w:val="24"/>
          <w:u w:val="single"/>
          <w:lang w:val="da-DK"/>
        </w:rPr>
        <w:t>Klinisk virkning og sikkerhed</w:t>
      </w:r>
    </w:p>
    <w:p w:rsidR="000B424C" w:rsidRDefault="000B424C" w:rsidP="000B424C">
      <w:pPr>
        <w:pStyle w:val="Brdtekst"/>
        <w:spacing w:before="2"/>
        <w:rPr>
          <w:sz w:val="24"/>
          <w:szCs w:val="24"/>
          <w:lang w:val="da-DK"/>
        </w:rPr>
      </w:pPr>
    </w:p>
    <w:p w:rsidR="000B424C" w:rsidRDefault="000B424C" w:rsidP="000B424C">
      <w:pPr>
        <w:spacing w:before="91"/>
        <w:ind w:left="298" w:firstLine="553"/>
        <w:rPr>
          <w:i/>
          <w:sz w:val="24"/>
          <w:szCs w:val="24"/>
        </w:rPr>
      </w:pPr>
      <w:r>
        <w:rPr>
          <w:i/>
          <w:sz w:val="24"/>
          <w:szCs w:val="24"/>
          <w:u w:val="single"/>
        </w:rPr>
        <w:t>Renal angiomyolipom forbundet med TSC</w:t>
      </w:r>
    </w:p>
    <w:p w:rsidR="000B424C" w:rsidRDefault="000B424C" w:rsidP="000B424C">
      <w:pPr>
        <w:pStyle w:val="Brdtekst"/>
        <w:spacing w:before="2"/>
        <w:ind w:left="851" w:right="-1"/>
        <w:rPr>
          <w:sz w:val="24"/>
          <w:szCs w:val="24"/>
          <w:lang w:val="da-DK"/>
        </w:rPr>
      </w:pPr>
    </w:p>
    <w:p w:rsidR="000B424C" w:rsidRDefault="000B424C" w:rsidP="000B424C">
      <w:pPr>
        <w:pStyle w:val="Brdtekst"/>
        <w:spacing w:before="2"/>
        <w:ind w:left="851" w:right="-1"/>
        <w:rPr>
          <w:sz w:val="24"/>
          <w:szCs w:val="24"/>
          <w:lang w:val="da-DK"/>
        </w:rPr>
      </w:pPr>
      <w:r>
        <w:rPr>
          <w:sz w:val="24"/>
          <w:szCs w:val="24"/>
          <w:lang w:val="da-DK"/>
        </w:rPr>
        <w:t>EXIST-2 (studie CRAD001M2302), et randomiseret, kontrolleret fase III-studie, blev udført for at evaluere everolimus’ virkning og sikkerhed hos patienter med TSC plus renal angiomyolipom.</w:t>
      </w:r>
    </w:p>
    <w:p w:rsidR="000B424C" w:rsidRDefault="000B424C" w:rsidP="000B424C">
      <w:pPr>
        <w:pStyle w:val="Brdtekst"/>
        <w:ind w:left="851" w:right="-1"/>
        <w:rPr>
          <w:sz w:val="24"/>
          <w:szCs w:val="24"/>
          <w:lang w:val="da-DK"/>
        </w:rPr>
      </w:pPr>
      <w:r>
        <w:rPr>
          <w:sz w:val="24"/>
          <w:szCs w:val="24"/>
          <w:lang w:val="da-DK"/>
        </w:rPr>
        <w:t>Tilstedeværelse af mindst et angiomyolipom på ≥3 cm for den længste diameter vha. CT/MRI (baseret på lokal radiologisk vurdering) var påkrævet for at deltage.</w:t>
      </w:r>
    </w:p>
    <w:p w:rsidR="000B424C" w:rsidRDefault="000B424C" w:rsidP="000B424C">
      <w:pPr>
        <w:pStyle w:val="Brdtekst"/>
        <w:spacing w:before="11"/>
        <w:rPr>
          <w:sz w:val="24"/>
          <w:szCs w:val="24"/>
          <w:lang w:val="da-DK"/>
        </w:rPr>
      </w:pPr>
    </w:p>
    <w:p w:rsidR="000B424C" w:rsidRDefault="000B424C" w:rsidP="000B424C">
      <w:pPr>
        <w:pStyle w:val="Brdtekst"/>
        <w:ind w:left="851" w:right="-1"/>
        <w:rPr>
          <w:sz w:val="24"/>
          <w:szCs w:val="24"/>
          <w:lang w:val="da-DK"/>
        </w:rPr>
      </w:pPr>
      <w:r>
        <w:rPr>
          <w:sz w:val="24"/>
          <w:szCs w:val="24"/>
          <w:lang w:val="da-DK"/>
        </w:rPr>
        <w:t>Det primære endepunkt for virkning var responsraten på angiomyolipom baseret på en uafhængig central radiologisk gennemgang. Analysen var stratificeret vha. enzyminducerende antiepileptika ved randomiseringen (ja/nej).</w:t>
      </w:r>
    </w:p>
    <w:p w:rsidR="000B424C" w:rsidRDefault="000B424C" w:rsidP="000B424C">
      <w:pPr>
        <w:pStyle w:val="Brdtekst"/>
        <w:spacing w:before="10"/>
        <w:rPr>
          <w:sz w:val="24"/>
          <w:szCs w:val="24"/>
          <w:lang w:val="da-DK"/>
        </w:rPr>
      </w:pPr>
    </w:p>
    <w:p w:rsidR="000B424C" w:rsidRDefault="000B424C" w:rsidP="000B424C">
      <w:pPr>
        <w:pStyle w:val="Brdtekst"/>
        <w:ind w:left="851" w:right="-1"/>
        <w:rPr>
          <w:sz w:val="24"/>
          <w:szCs w:val="24"/>
          <w:lang w:val="da-DK"/>
        </w:rPr>
      </w:pPr>
      <w:r>
        <w:rPr>
          <w:sz w:val="24"/>
          <w:szCs w:val="24"/>
          <w:lang w:val="da-DK"/>
        </w:rPr>
        <w:t>De væsentlige sekundære endepunkter omfattede tid til progression af angiomyolipom og responsraten for hudlæsioner.</w:t>
      </w:r>
    </w:p>
    <w:p w:rsidR="000B424C" w:rsidRDefault="000B424C" w:rsidP="000B424C">
      <w:pPr>
        <w:pStyle w:val="Brdtekst"/>
        <w:spacing w:before="9"/>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I alt 118 patienter blev randomiseret, 79 til everolimus 10 mg dagligt og 39 til placebo. Medianalderen var 31 år (fra 18 til 61 år; 46,6 % var &lt;30 år ved inklusion), 33,9 % var mænd, og 89,0 % var kaukasere. Af de deltagende patienter havde 83,1 % angiomyolipom ≥4 cm (28,8 % ≥8 cm), 78,0 % havde bilateral angiomyolipom, og 39,0 % havde tidligere fået foretaget renal embolisering/nefrektomi; 96,6 % havde hudlæsioner ved </w:t>
      </w:r>
      <w:r>
        <w:rPr>
          <w:i/>
          <w:sz w:val="24"/>
          <w:szCs w:val="24"/>
          <w:lang w:val="da-DK"/>
        </w:rPr>
        <w:t>baseline</w:t>
      </w:r>
      <w:r>
        <w:rPr>
          <w:sz w:val="24"/>
          <w:szCs w:val="24"/>
          <w:lang w:val="da-DK"/>
        </w:rPr>
        <w:t xml:space="preserve">, og </w:t>
      </w:r>
      <w:r>
        <w:rPr>
          <w:sz w:val="24"/>
          <w:szCs w:val="24"/>
          <w:lang w:val="da-DK"/>
        </w:rPr>
        <w:lastRenderedPageBreak/>
        <w:t>44,1 % havde mål-SEGA’er (mindst en SEGA ≥1 cm for den længste diameter).</w:t>
      </w:r>
    </w:p>
    <w:p w:rsidR="000B424C" w:rsidRDefault="000B424C" w:rsidP="000B424C">
      <w:pPr>
        <w:pStyle w:val="Brdtekst"/>
        <w:spacing w:before="9"/>
        <w:rPr>
          <w:sz w:val="24"/>
          <w:szCs w:val="24"/>
          <w:lang w:val="da-DK"/>
        </w:rPr>
      </w:pPr>
    </w:p>
    <w:p w:rsidR="000B424C" w:rsidRDefault="000B424C" w:rsidP="000B424C">
      <w:pPr>
        <w:pStyle w:val="Brdtekst"/>
        <w:ind w:left="851" w:right="-1"/>
        <w:rPr>
          <w:sz w:val="24"/>
          <w:szCs w:val="24"/>
          <w:lang w:val="da-DK"/>
        </w:rPr>
      </w:pPr>
      <w:r>
        <w:rPr>
          <w:sz w:val="24"/>
          <w:szCs w:val="24"/>
          <w:lang w:val="da-DK"/>
        </w:rPr>
        <w:t>Resultaterne viste, at det primære mål relateret til det bedste samlede respons på angiomyolipom blev nået med bedste samlede responsrater på 41,8 % (95 % CI: 30,8; 53,4) for everolimus-armen sammenlignet med 0 % (95 % CI: 0,0; 9,0) for placebo-armen (p&lt;0,0001) (Tabel 8).</w:t>
      </w:r>
    </w:p>
    <w:p w:rsidR="000B424C" w:rsidRDefault="000B424C" w:rsidP="000B424C">
      <w:pPr>
        <w:pStyle w:val="Brdtekst"/>
        <w:spacing w:before="1"/>
        <w:rPr>
          <w:sz w:val="24"/>
          <w:szCs w:val="24"/>
          <w:lang w:val="da-DK"/>
        </w:rPr>
      </w:pPr>
    </w:p>
    <w:p w:rsidR="000B424C" w:rsidRDefault="000B424C" w:rsidP="000B424C">
      <w:pPr>
        <w:pStyle w:val="Brdtekst"/>
        <w:spacing w:before="1"/>
        <w:ind w:left="851" w:right="-1"/>
        <w:rPr>
          <w:sz w:val="24"/>
          <w:szCs w:val="24"/>
          <w:lang w:val="da-DK"/>
        </w:rPr>
      </w:pPr>
      <w:r>
        <w:rPr>
          <w:sz w:val="24"/>
          <w:szCs w:val="24"/>
          <w:lang w:val="da-DK"/>
        </w:rPr>
        <w:t>Det var tilladt, at patienter, der initialt blev behandlet med placebo, krydsede over til everolimus ved tidspunktet for progression af angiomyolipom og ved erkendelse af, at behandling med everolimus var overlegen i forhold til placebo. På tidspunktet for den endelige analyse (4 år efter sidste patient-randomisering) var den mediane eksponeringsvarighed for everolimus 204,1 uger (interval 2 til 278). Den bedste samlede responsrate for angiomyolipom var steget til 58,0 % (95 % CI: 48,3; 67,3) med en rate på 30,4 % (tabel 8) for stabil sygdom.</w:t>
      </w:r>
    </w:p>
    <w:p w:rsidR="000B424C" w:rsidRDefault="000B424C" w:rsidP="000B424C">
      <w:pPr>
        <w:pStyle w:val="Brdtekst"/>
        <w:rPr>
          <w:sz w:val="24"/>
          <w:szCs w:val="24"/>
          <w:lang w:val="da-DK"/>
        </w:rPr>
      </w:pPr>
    </w:p>
    <w:p w:rsidR="000B424C" w:rsidRDefault="000B424C" w:rsidP="000B424C">
      <w:pPr>
        <w:pStyle w:val="Brdtekst"/>
        <w:spacing w:line="252" w:lineRule="exact"/>
        <w:ind w:left="851"/>
        <w:rPr>
          <w:sz w:val="24"/>
          <w:szCs w:val="24"/>
          <w:lang w:val="da-DK"/>
        </w:rPr>
      </w:pPr>
      <w:r>
        <w:rPr>
          <w:sz w:val="24"/>
          <w:szCs w:val="24"/>
          <w:lang w:val="da-DK"/>
        </w:rPr>
        <w:t>Der blev ikke rapporteret tilfælde af angiomyolipomrelateret nefrektomi blandt patienter behandlet med everolimus i løbet af studiet, og der blev kun rapporteret et tilfælde af renal embolisering.</w:t>
      </w:r>
    </w:p>
    <w:p w:rsidR="000B424C" w:rsidRDefault="000B424C" w:rsidP="000B424C">
      <w:pPr>
        <w:pStyle w:val="Brdtekst"/>
        <w:spacing w:line="252" w:lineRule="exact"/>
        <w:ind w:left="851"/>
        <w:rPr>
          <w:sz w:val="24"/>
          <w:szCs w:val="24"/>
          <w:lang w:val="da-DK"/>
        </w:rPr>
      </w:pPr>
    </w:p>
    <w:p w:rsidR="000B424C" w:rsidRDefault="000B424C" w:rsidP="000B424C">
      <w:pPr>
        <w:tabs>
          <w:tab w:val="left" w:pos="851"/>
          <w:tab w:val="left" w:pos="1985"/>
        </w:tabs>
        <w:ind w:left="851"/>
        <w:rPr>
          <w:b/>
          <w:bCs/>
          <w:sz w:val="24"/>
          <w:szCs w:val="24"/>
        </w:rPr>
      </w:pPr>
      <w:r>
        <w:rPr>
          <w:b/>
          <w:bCs/>
          <w:sz w:val="24"/>
          <w:szCs w:val="24"/>
        </w:rPr>
        <w:t xml:space="preserve">Tabel 8. </w:t>
      </w:r>
      <w:r>
        <w:rPr>
          <w:b/>
          <w:bCs/>
          <w:sz w:val="24"/>
          <w:szCs w:val="24"/>
        </w:rPr>
        <w:tab/>
      </w:r>
      <w:r>
        <w:rPr>
          <w:b/>
          <w:bCs/>
        </w:rPr>
        <w:t>EXIST-2 -</w:t>
      </w:r>
      <w:r>
        <w:rPr>
          <w:b/>
          <w:bCs/>
          <w:spacing w:val="1"/>
        </w:rPr>
        <w:t xml:space="preserve"> </w:t>
      </w:r>
      <w:r>
        <w:rPr>
          <w:b/>
          <w:bCs/>
        </w:rPr>
        <w:t>Angiomyolipom-respons</w:t>
      </w:r>
    </w:p>
    <w:p w:rsidR="000B424C" w:rsidRDefault="000B424C" w:rsidP="000B424C">
      <w:pPr>
        <w:pStyle w:val="Brdtekst"/>
        <w:spacing w:line="252" w:lineRule="exact"/>
        <w:ind w:left="851"/>
        <w:rPr>
          <w:sz w:val="24"/>
          <w:szCs w:val="24"/>
          <w:lang w:val="da-DK"/>
        </w:rPr>
      </w:pPr>
    </w:p>
    <w:tbl>
      <w:tblPr>
        <w:tblW w:w="0" w:type="auto"/>
        <w:tblInd w:w="287" w:type="dxa"/>
        <w:tblLayout w:type="fixed"/>
        <w:tblCellMar>
          <w:left w:w="0" w:type="dxa"/>
          <w:right w:w="0" w:type="dxa"/>
        </w:tblCellMar>
        <w:tblLook w:val="01E0" w:firstRow="1" w:lastRow="1" w:firstColumn="1" w:lastColumn="1" w:noHBand="0" w:noVBand="0"/>
      </w:tblPr>
      <w:tblGrid>
        <w:gridCol w:w="4043"/>
        <w:gridCol w:w="1499"/>
        <w:gridCol w:w="1355"/>
        <w:gridCol w:w="1032"/>
        <w:gridCol w:w="1282"/>
      </w:tblGrid>
      <w:tr w:rsidR="000B424C" w:rsidTr="000B424C">
        <w:trPr>
          <w:trHeight w:val="506"/>
        </w:trPr>
        <w:tc>
          <w:tcPr>
            <w:tcW w:w="6897" w:type="dxa"/>
            <w:gridSpan w:val="3"/>
            <w:tcBorders>
              <w:top w:val="single" w:sz="4" w:space="0" w:color="000000"/>
              <w:left w:val="nil"/>
              <w:bottom w:val="single" w:sz="4" w:space="0" w:color="000000"/>
              <w:right w:val="nil"/>
            </w:tcBorders>
            <w:hideMark/>
          </w:tcPr>
          <w:p w:rsidR="000B424C" w:rsidRDefault="000B424C">
            <w:pPr>
              <w:pStyle w:val="TableParagraph"/>
              <w:spacing w:line="251" w:lineRule="exact"/>
              <w:ind w:left="0" w:right="90"/>
              <w:jc w:val="right"/>
              <w:rPr>
                <w:b/>
                <w:sz w:val="14"/>
              </w:rPr>
            </w:pPr>
            <w:r>
              <w:rPr>
                <w:b/>
              </w:rPr>
              <w:t>Primær analyse</w:t>
            </w:r>
            <w:r>
              <w:rPr>
                <w:b/>
                <w:position w:val="8"/>
                <w:sz w:val="14"/>
              </w:rPr>
              <w:t>3</w:t>
            </w:r>
          </w:p>
        </w:tc>
        <w:tc>
          <w:tcPr>
            <w:tcW w:w="1032" w:type="dxa"/>
            <w:tcBorders>
              <w:top w:val="single" w:sz="4" w:space="0" w:color="000000"/>
              <w:left w:val="nil"/>
              <w:bottom w:val="single" w:sz="4" w:space="0" w:color="000000"/>
              <w:right w:val="nil"/>
            </w:tcBorders>
          </w:tcPr>
          <w:p w:rsidR="000B424C" w:rsidRDefault="000B424C">
            <w:pPr>
              <w:pStyle w:val="TableParagraph"/>
              <w:ind w:left="0"/>
            </w:pPr>
          </w:p>
        </w:tc>
        <w:tc>
          <w:tcPr>
            <w:tcW w:w="1282" w:type="dxa"/>
            <w:tcBorders>
              <w:top w:val="single" w:sz="4" w:space="0" w:color="000000"/>
              <w:left w:val="nil"/>
              <w:bottom w:val="single" w:sz="4" w:space="0" w:color="000000"/>
              <w:right w:val="nil"/>
            </w:tcBorders>
            <w:hideMark/>
          </w:tcPr>
          <w:p w:rsidR="000B424C" w:rsidRDefault="000B424C">
            <w:pPr>
              <w:pStyle w:val="TableParagraph"/>
              <w:spacing w:line="254" w:lineRule="exact"/>
              <w:ind w:left="254" w:right="128" w:hanging="32"/>
              <w:rPr>
                <w:b/>
                <w:sz w:val="14"/>
              </w:rPr>
            </w:pPr>
            <w:r>
              <w:rPr>
                <w:b/>
              </w:rPr>
              <w:t>Endelig analyse</w:t>
            </w:r>
            <w:r>
              <w:rPr>
                <w:b/>
                <w:position w:val="8"/>
                <w:sz w:val="14"/>
              </w:rPr>
              <w:t>4</w:t>
            </w:r>
          </w:p>
        </w:tc>
      </w:tr>
      <w:tr w:rsidR="000B424C" w:rsidTr="000B424C">
        <w:trPr>
          <w:trHeight w:val="271"/>
        </w:trPr>
        <w:tc>
          <w:tcPr>
            <w:tcW w:w="4043" w:type="dxa"/>
            <w:tcBorders>
              <w:top w:val="single" w:sz="4" w:space="0" w:color="000000"/>
              <w:left w:val="nil"/>
              <w:bottom w:val="nil"/>
              <w:right w:val="nil"/>
            </w:tcBorders>
          </w:tcPr>
          <w:p w:rsidR="000B424C" w:rsidRDefault="000B424C">
            <w:pPr>
              <w:pStyle w:val="TableParagraph"/>
              <w:ind w:left="0"/>
              <w:rPr>
                <w:sz w:val="20"/>
              </w:rPr>
            </w:pPr>
          </w:p>
        </w:tc>
        <w:tc>
          <w:tcPr>
            <w:tcW w:w="1499" w:type="dxa"/>
            <w:tcBorders>
              <w:top w:val="single" w:sz="4" w:space="0" w:color="000000"/>
              <w:left w:val="nil"/>
              <w:bottom w:val="nil"/>
              <w:right w:val="nil"/>
            </w:tcBorders>
            <w:hideMark/>
          </w:tcPr>
          <w:p w:rsidR="000B424C" w:rsidRDefault="000B424C">
            <w:pPr>
              <w:pStyle w:val="TableParagraph"/>
              <w:spacing w:line="249" w:lineRule="exact"/>
              <w:ind w:left="60" w:right="247"/>
              <w:jc w:val="center"/>
              <w:rPr>
                <w:b/>
              </w:rPr>
            </w:pPr>
            <w:r>
              <w:rPr>
                <w:b/>
              </w:rPr>
              <w:t>Everolimus</w:t>
            </w:r>
          </w:p>
        </w:tc>
        <w:tc>
          <w:tcPr>
            <w:tcW w:w="1355" w:type="dxa"/>
            <w:tcBorders>
              <w:top w:val="single" w:sz="4" w:space="0" w:color="000000"/>
              <w:left w:val="nil"/>
              <w:bottom w:val="nil"/>
              <w:right w:val="nil"/>
            </w:tcBorders>
            <w:hideMark/>
          </w:tcPr>
          <w:p w:rsidR="000B424C" w:rsidRDefault="000B424C">
            <w:pPr>
              <w:pStyle w:val="TableParagraph"/>
              <w:spacing w:line="249" w:lineRule="exact"/>
              <w:ind w:left="249" w:right="331"/>
              <w:jc w:val="center"/>
              <w:rPr>
                <w:b/>
              </w:rPr>
            </w:pPr>
            <w:r>
              <w:rPr>
                <w:b/>
              </w:rPr>
              <w:t>Placebo</w:t>
            </w:r>
          </w:p>
        </w:tc>
        <w:tc>
          <w:tcPr>
            <w:tcW w:w="1032" w:type="dxa"/>
            <w:tcBorders>
              <w:top w:val="single" w:sz="4" w:space="0" w:color="000000"/>
              <w:left w:val="nil"/>
              <w:bottom w:val="nil"/>
              <w:right w:val="nil"/>
            </w:tcBorders>
            <w:hideMark/>
          </w:tcPr>
          <w:p w:rsidR="000B424C" w:rsidRDefault="000B424C">
            <w:pPr>
              <w:pStyle w:val="TableParagraph"/>
              <w:spacing w:line="249" w:lineRule="exact"/>
              <w:ind w:left="95"/>
              <w:rPr>
                <w:b/>
              </w:rPr>
            </w:pPr>
            <w:r>
              <w:rPr>
                <w:b/>
              </w:rPr>
              <w:t>p-værdi</w:t>
            </w:r>
          </w:p>
        </w:tc>
        <w:tc>
          <w:tcPr>
            <w:tcW w:w="1282" w:type="dxa"/>
            <w:tcBorders>
              <w:top w:val="single" w:sz="4" w:space="0" w:color="000000"/>
              <w:left w:val="nil"/>
              <w:bottom w:val="nil"/>
              <w:right w:val="nil"/>
            </w:tcBorders>
            <w:hideMark/>
          </w:tcPr>
          <w:p w:rsidR="000B424C" w:rsidRDefault="000B424C">
            <w:pPr>
              <w:pStyle w:val="TableParagraph"/>
              <w:spacing w:line="249" w:lineRule="exact"/>
              <w:ind w:left="189" w:right="-249"/>
              <w:rPr>
                <w:b/>
              </w:rPr>
            </w:pPr>
            <w:r>
              <w:rPr>
                <w:b/>
              </w:rPr>
              <w:t>Everolimus</w:t>
            </w:r>
          </w:p>
        </w:tc>
      </w:tr>
      <w:tr w:rsidR="000B424C" w:rsidTr="000B424C">
        <w:trPr>
          <w:trHeight w:val="302"/>
        </w:trPr>
        <w:tc>
          <w:tcPr>
            <w:tcW w:w="4043" w:type="dxa"/>
            <w:tcBorders>
              <w:top w:val="nil"/>
              <w:left w:val="nil"/>
              <w:bottom w:val="single" w:sz="4" w:space="0" w:color="000000"/>
              <w:right w:val="nil"/>
            </w:tcBorders>
          </w:tcPr>
          <w:p w:rsidR="000B424C" w:rsidRDefault="000B424C">
            <w:pPr>
              <w:pStyle w:val="TableParagraph"/>
              <w:ind w:left="0"/>
            </w:pPr>
          </w:p>
        </w:tc>
        <w:tc>
          <w:tcPr>
            <w:tcW w:w="1499" w:type="dxa"/>
            <w:tcBorders>
              <w:top w:val="nil"/>
              <w:left w:val="nil"/>
              <w:bottom w:val="single" w:sz="4" w:space="0" w:color="000000"/>
              <w:right w:val="nil"/>
            </w:tcBorders>
            <w:hideMark/>
          </w:tcPr>
          <w:p w:rsidR="000B424C" w:rsidRDefault="000B424C">
            <w:pPr>
              <w:pStyle w:val="TableParagraph"/>
              <w:spacing w:before="13"/>
              <w:ind w:left="323" w:right="247"/>
              <w:jc w:val="center"/>
              <w:rPr>
                <w:b/>
              </w:rPr>
            </w:pPr>
            <w:r>
              <w:rPr>
                <w:b/>
              </w:rPr>
              <w:t>n=79</w:t>
            </w:r>
          </w:p>
        </w:tc>
        <w:tc>
          <w:tcPr>
            <w:tcW w:w="1355" w:type="dxa"/>
            <w:tcBorders>
              <w:top w:val="nil"/>
              <w:left w:val="nil"/>
              <w:bottom w:val="single" w:sz="4" w:space="0" w:color="000000"/>
              <w:right w:val="nil"/>
            </w:tcBorders>
            <w:hideMark/>
          </w:tcPr>
          <w:p w:rsidR="000B424C" w:rsidRDefault="000B424C">
            <w:pPr>
              <w:pStyle w:val="TableParagraph"/>
              <w:spacing w:before="13"/>
              <w:ind w:left="249" w:right="331"/>
              <w:jc w:val="center"/>
              <w:rPr>
                <w:b/>
              </w:rPr>
            </w:pPr>
            <w:r>
              <w:rPr>
                <w:b/>
              </w:rPr>
              <w:t>n=39</w:t>
            </w:r>
          </w:p>
        </w:tc>
        <w:tc>
          <w:tcPr>
            <w:tcW w:w="1032" w:type="dxa"/>
            <w:tcBorders>
              <w:top w:val="nil"/>
              <w:left w:val="nil"/>
              <w:bottom w:val="single" w:sz="4" w:space="0" w:color="000000"/>
              <w:right w:val="nil"/>
            </w:tcBorders>
          </w:tcPr>
          <w:p w:rsidR="000B424C" w:rsidRDefault="000B424C">
            <w:pPr>
              <w:pStyle w:val="TableParagraph"/>
              <w:ind w:left="0"/>
            </w:pPr>
          </w:p>
        </w:tc>
        <w:tc>
          <w:tcPr>
            <w:tcW w:w="1282" w:type="dxa"/>
            <w:tcBorders>
              <w:top w:val="nil"/>
              <w:left w:val="nil"/>
              <w:bottom w:val="single" w:sz="4" w:space="0" w:color="000000"/>
              <w:right w:val="nil"/>
            </w:tcBorders>
            <w:hideMark/>
          </w:tcPr>
          <w:p w:rsidR="000B424C" w:rsidRDefault="000B424C">
            <w:pPr>
              <w:pStyle w:val="TableParagraph"/>
              <w:spacing w:before="13"/>
              <w:ind w:left="268"/>
              <w:rPr>
                <w:b/>
              </w:rPr>
            </w:pPr>
            <w:r>
              <w:rPr>
                <w:b/>
              </w:rPr>
              <w:t>n=112</w:t>
            </w:r>
          </w:p>
        </w:tc>
      </w:tr>
      <w:tr w:rsidR="000B424C" w:rsidTr="000B424C">
        <w:trPr>
          <w:trHeight w:val="268"/>
        </w:trPr>
        <w:tc>
          <w:tcPr>
            <w:tcW w:w="4043" w:type="dxa"/>
            <w:tcBorders>
              <w:top w:val="single" w:sz="4" w:space="0" w:color="000000"/>
              <w:left w:val="nil"/>
              <w:bottom w:val="nil"/>
              <w:right w:val="nil"/>
            </w:tcBorders>
            <w:hideMark/>
          </w:tcPr>
          <w:p w:rsidR="000B424C" w:rsidRDefault="000B424C">
            <w:pPr>
              <w:pStyle w:val="TableParagraph"/>
              <w:spacing w:line="249" w:lineRule="exact"/>
              <w:ind w:left="122"/>
              <w:rPr>
                <w:b/>
              </w:rPr>
            </w:pPr>
            <w:r>
              <w:rPr>
                <w:b/>
              </w:rPr>
              <w:t>Primær analyse</w:t>
            </w:r>
          </w:p>
        </w:tc>
        <w:tc>
          <w:tcPr>
            <w:tcW w:w="1499" w:type="dxa"/>
            <w:tcBorders>
              <w:top w:val="single" w:sz="4" w:space="0" w:color="000000"/>
              <w:left w:val="nil"/>
              <w:bottom w:val="nil"/>
              <w:right w:val="nil"/>
            </w:tcBorders>
          </w:tcPr>
          <w:p w:rsidR="000B424C" w:rsidRDefault="000B424C">
            <w:pPr>
              <w:pStyle w:val="TableParagraph"/>
              <w:ind w:left="0"/>
              <w:rPr>
                <w:sz w:val="18"/>
              </w:rPr>
            </w:pPr>
          </w:p>
        </w:tc>
        <w:tc>
          <w:tcPr>
            <w:tcW w:w="1355" w:type="dxa"/>
            <w:tcBorders>
              <w:top w:val="single" w:sz="4" w:space="0" w:color="000000"/>
              <w:left w:val="nil"/>
              <w:bottom w:val="nil"/>
              <w:right w:val="nil"/>
            </w:tcBorders>
          </w:tcPr>
          <w:p w:rsidR="000B424C" w:rsidRDefault="000B424C">
            <w:pPr>
              <w:pStyle w:val="TableParagraph"/>
              <w:ind w:left="0"/>
              <w:rPr>
                <w:sz w:val="18"/>
              </w:rPr>
            </w:pPr>
          </w:p>
        </w:tc>
        <w:tc>
          <w:tcPr>
            <w:tcW w:w="1032" w:type="dxa"/>
            <w:tcBorders>
              <w:top w:val="single" w:sz="4" w:space="0" w:color="000000"/>
              <w:left w:val="nil"/>
              <w:bottom w:val="nil"/>
              <w:right w:val="nil"/>
            </w:tcBorders>
          </w:tcPr>
          <w:p w:rsidR="000B424C" w:rsidRDefault="000B424C">
            <w:pPr>
              <w:pStyle w:val="TableParagraph"/>
              <w:ind w:left="0"/>
              <w:rPr>
                <w:sz w:val="18"/>
              </w:rPr>
            </w:pPr>
          </w:p>
        </w:tc>
        <w:tc>
          <w:tcPr>
            <w:tcW w:w="1282" w:type="dxa"/>
            <w:tcBorders>
              <w:top w:val="single" w:sz="4" w:space="0" w:color="000000"/>
              <w:left w:val="nil"/>
              <w:bottom w:val="nil"/>
              <w:right w:val="nil"/>
            </w:tcBorders>
          </w:tcPr>
          <w:p w:rsidR="000B424C" w:rsidRDefault="000B424C">
            <w:pPr>
              <w:pStyle w:val="TableParagraph"/>
              <w:ind w:left="0"/>
              <w:rPr>
                <w:sz w:val="18"/>
              </w:rPr>
            </w:pPr>
          </w:p>
        </w:tc>
      </w:tr>
      <w:tr w:rsidR="000B424C" w:rsidTr="000B424C">
        <w:trPr>
          <w:trHeight w:val="290"/>
        </w:trPr>
        <w:tc>
          <w:tcPr>
            <w:tcW w:w="4043" w:type="dxa"/>
            <w:hideMark/>
          </w:tcPr>
          <w:p w:rsidR="000B424C" w:rsidRDefault="000B424C">
            <w:pPr>
              <w:pStyle w:val="TableParagraph"/>
              <w:spacing w:before="10"/>
              <w:ind w:left="405"/>
              <w:rPr>
                <w:b/>
              </w:rPr>
            </w:pPr>
            <w:r>
              <w:rPr>
                <w:b/>
              </w:rPr>
              <w:t>Angiomyolipom-responsrate</w:t>
            </w:r>
            <w:r>
              <w:rPr>
                <w:b/>
                <w:position w:val="8"/>
                <w:sz w:val="14"/>
              </w:rPr>
              <w:t xml:space="preserve">1,2 </w:t>
            </w:r>
            <w:r>
              <w:rPr>
                <w:b/>
              </w:rPr>
              <w:t>– %</w:t>
            </w:r>
          </w:p>
        </w:tc>
        <w:tc>
          <w:tcPr>
            <w:tcW w:w="1499" w:type="dxa"/>
            <w:hideMark/>
          </w:tcPr>
          <w:p w:rsidR="000B424C" w:rsidRDefault="000B424C">
            <w:pPr>
              <w:pStyle w:val="TableParagraph"/>
              <w:spacing w:before="15"/>
              <w:ind w:left="323" w:right="247"/>
              <w:jc w:val="center"/>
            </w:pPr>
            <w:r>
              <w:t>41,8</w:t>
            </w:r>
          </w:p>
        </w:tc>
        <w:tc>
          <w:tcPr>
            <w:tcW w:w="1355" w:type="dxa"/>
            <w:hideMark/>
          </w:tcPr>
          <w:p w:rsidR="000B424C" w:rsidRDefault="000B424C">
            <w:pPr>
              <w:pStyle w:val="TableParagraph"/>
              <w:spacing w:before="15"/>
              <w:ind w:left="0" w:right="84"/>
              <w:jc w:val="center"/>
            </w:pPr>
            <w:r>
              <w:t>0</w:t>
            </w:r>
          </w:p>
        </w:tc>
        <w:tc>
          <w:tcPr>
            <w:tcW w:w="1032" w:type="dxa"/>
            <w:hideMark/>
          </w:tcPr>
          <w:p w:rsidR="000B424C" w:rsidRDefault="000B424C">
            <w:pPr>
              <w:pStyle w:val="TableParagraph"/>
              <w:spacing w:before="15"/>
              <w:ind w:left="92"/>
            </w:pPr>
            <w:r>
              <w:t>&lt;0,0001</w:t>
            </w:r>
          </w:p>
        </w:tc>
        <w:tc>
          <w:tcPr>
            <w:tcW w:w="1282" w:type="dxa"/>
            <w:hideMark/>
          </w:tcPr>
          <w:p w:rsidR="000B424C" w:rsidRDefault="000B424C">
            <w:pPr>
              <w:pStyle w:val="TableParagraph"/>
              <w:spacing w:before="15"/>
              <w:ind w:left="364"/>
            </w:pPr>
            <w:r>
              <w:t>58,0</w:t>
            </w:r>
          </w:p>
        </w:tc>
      </w:tr>
      <w:tr w:rsidR="000B424C" w:rsidTr="000B424C">
        <w:trPr>
          <w:trHeight w:val="287"/>
        </w:trPr>
        <w:tc>
          <w:tcPr>
            <w:tcW w:w="4043" w:type="dxa"/>
            <w:hideMark/>
          </w:tcPr>
          <w:p w:rsidR="000B424C" w:rsidRDefault="000B424C">
            <w:pPr>
              <w:pStyle w:val="TableParagraph"/>
              <w:spacing w:before="13"/>
              <w:ind w:left="405"/>
            </w:pPr>
            <w:r>
              <w:t>95 % CI</w:t>
            </w:r>
          </w:p>
        </w:tc>
        <w:tc>
          <w:tcPr>
            <w:tcW w:w="1499" w:type="dxa"/>
            <w:hideMark/>
          </w:tcPr>
          <w:p w:rsidR="000B424C" w:rsidRDefault="000B424C">
            <w:pPr>
              <w:pStyle w:val="TableParagraph"/>
              <w:spacing w:before="13"/>
              <w:ind w:left="325" w:right="247"/>
              <w:jc w:val="center"/>
            </w:pPr>
            <w:r>
              <w:t>30,8; 53,4</w:t>
            </w:r>
          </w:p>
        </w:tc>
        <w:tc>
          <w:tcPr>
            <w:tcW w:w="1355" w:type="dxa"/>
            <w:hideMark/>
          </w:tcPr>
          <w:p w:rsidR="000B424C" w:rsidRDefault="000B424C">
            <w:pPr>
              <w:pStyle w:val="TableParagraph"/>
              <w:spacing w:before="13"/>
              <w:ind w:left="249" w:right="331"/>
              <w:jc w:val="center"/>
            </w:pPr>
            <w:r>
              <w:t>0,0; 9,0</w:t>
            </w:r>
          </w:p>
        </w:tc>
        <w:tc>
          <w:tcPr>
            <w:tcW w:w="1032" w:type="dxa"/>
          </w:tcPr>
          <w:p w:rsidR="000B424C" w:rsidRDefault="000B424C">
            <w:pPr>
              <w:pStyle w:val="TableParagraph"/>
              <w:ind w:left="0"/>
              <w:rPr>
                <w:sz w:val="20"/>
              </w:rPr>
            </w:pPr>
          </w:p>
        </w:tc>
        <w:tc>
          <w:tcPr>
            <w:tcW w:w="1282" w:type="dxa"/>
            <w:hideMark/>
          </w:tcPr>
          <w:p w:rsidR="000B424C" w:rsidRDefault="000B424C">
            <w:pPr>
              <w:pStyle w:val="TableParagraph"/>
              <w:spacing w:before="13"/>
              <w:ind w:left="114"/>
            </w:pPr>
            <w:r>
              <w:t>48,3; 67,3</w:t>
            </w:r>
          </w:p>
        </w:tc>
      </w:tr>
      <w:tr w:rsidR="000B424C" w:rsidTr="000B424C">
        <w:trPr>
          <w:trHeight w:val="286"/>
        </w:trPr>
        <w:tc>
          <w:tcPr>
            <w:tcW w:w="9211" w:type="dxa"/>
            <w:gridSpan w:val="5"/>
            <w:hideMark/>
          </w:tcPr>
          <w:p w:rsidR="000B424C" w:rsidRDefault="000B424C">
            <w:pPr>
              <w:pStyle w:val="TableParagraph"/>
              <w:spacing w:before="13"/>
              <w:ind w:left="122"/>
              <w:rPr>
                <w:b/>
              </w:rPr>
            </w:pPr>
            <w:r>
              <w:rPr>
                <w:b/>
              </w:rPr>
              <w:t>Bedste overordnede angiomyolipom-respons – %</w:t>
            </w:r>
          </w:p>
        </w:tc>
      </w:tr>
      <w:tr w:rsidR="000B424C" w:rsidTr="000B424C">
        <w:trPr>
          <w:trHeight w:val="286"/>
        </w:trPr>
        <w:tc>
          <w:tcPr>
            <w:tcW w:w="4043" w:type="dxa"/>
            <w:hideMark/>
          </w:tcPr>
          <w:p w:rsidR="000B424C" w:rsidRDefault="000B424C">
            <w:pPr>
              <w:pStyle w:val="TableParagraph"/>
              <w:spacing w:before="12"/>
              <w:ind w:left="405"/>
            </w:pPr>
            <w:r>
              <w:t>Respons</w:t>
            </w:r>
          </w:p>
        </w:tc>
        <w:tc>
          <w:tcPr>
            <w:tcW w:w="1499" w:type="dxa"/>
            <w:hideMark/>
          </w:tcPr>
          <w:p w:rsidR="000B424C" w:rsidRDefault="000B424C">
            <w:pPr>
              <w:pStyle w:val="TableParagraph"/>
              <w:spacing w:before="12"/>
              <w:ind w:left="323" w:right="247"/>
              <w:jc w:val="center"/>
            </w:pPr>
            <w:r>
              <w:t>41,8</w:t>
            </w:r>
          </w:p>
        </w:tc>
        <w:tc>
          <w:tcPr>
            <w:tcW w:w="1355" w:type="dxa"/>
            <w:hideMark/>
          </w:tcPr>
          <w:p w:rsidR="000B424C" w:rsidRDefault="000B424C">
            <w:pPr>
              <w:pStyle w:val="TableParagraph"/>
              <w:spacing w:before="12"/>
              <w:ind w:left="0" w:right="84"/>
              <w:jc w:val="center"/>
            </w:pPr>
            <w:r>
              <w:t>0</w:t>
            </w:r>
          </w:p>
        </w:tc>
        <w:tc>
          <w:tcPr>
            <w:tcW w:w="1032" w:type="dxa"/>
          </w:tcPr>
          <w:p w:rsidR="000B424C" w:rsidRDefault="000B424C">
            <w:pPr>
              <w:pStyle w:val="TableParagraph"/>
              <w:ind w:left="0"/>
              <w:rPr>
                <w:sz w:val="20"/>
              </w:rPr>
            </w:pPr>
          </w:p>
        </w:tc>
        <w:tc>
          <w:tcPr>
            <w:tcW w:w="1282" w:type="dxa"/>
            <w:hideMark/>
          </w:tcPr>
          <w:p w:rsidR="000B424C" w:rsidRDefault="000B424C">
            <w:pPr>
              <w:pStyle w:val="TableParagraph"/>
              <w:spacing w:before="12"/>
              <w:ind w:left="364"/>
            </w:pPr>
            <w:r>
              <w:t>58,0</w:t>
            </w:r>
          </w:p>
        </w:tc>
      </w:tr>
      <w:tr w:rsidR="000B424C" w:rsidTr="000B424C">
        <w:trPr>
          <w:trHeight w:val="270"/>
        </w:trPr>
        <w:tc>
          <w:tcPr>
            <w:tcW w:w="4043" w:type="dxa"/>
            <w:hideMark/>
          </w:tcPr>
          <w:p w:rsidR="000B424C" w:rsidRDefault="000B424C">
            <w:pPr>
              <w:pStyle w:val="TableParagraph"/>
              <w:spacing w:before="13" w:line="237" w:lineRule="exact"/>
              <w:ind w:left="405"/>
            </w:pPr>
            <w:r>
              <w:t>Stabil sygdom</w:t>
            </w:r>
          </w:p>
        </w:tc>
        <w:tc>
          <w:tcPr>
            <w:tcW w:w="1499" w:type="dxa"/>
            <w:hideMark/>
          </w:tcPr>
          <w:p w:rsidR="000B424C" w:rsidRDefault="000B424C">
            <w:pPr>
              <w:pStyle w:val="TableParagraph"/>
              <w:spacing w:before="13" w:line="237" w:lineRule="exact"/>
              <w:ind w:left="323" w:right="247"/>
              <w:jc w:val="center"/>
            </w:pPr>
            <w:r>
              <w:t>40,5</w:t>
            </w:r>
          </w:p>
        </w:tc>
        <w:tc>
          <w:tcPr>
            <w:tcW w:w="1355" w:type="dxa"/>
            <w:hideMark/>
          </w:tcPr>
          <w:p w:rsidR="000B424C" w:rsidRDefault="000B424C">
            <w:pPr>
              <w:pStyle w:val="TableParagraph"/>
              <w:spacing w:before="13" w:line="237" w:lineRule="exact"/>
              <w:ind w:left="249" w:right="331"/>
              <w:jc w:val="center"/>
            </w:pPr>
            <w:r>
              <w:t>79,5</w:t>
            </w:r>
          </w:p>
        </w:tc>
        <w:tc>
          <w:tcPr>
            <w:tcW w:w="1032" w:type="dxa"/>
          </w:tcPr>
          <w:p w:rsidR="000B424C" w:rsidRDefault="000B424C">
            <w:pPr>
              <w:pStyle w:val="TableParagraph"/>
              <w:ind w:left="0"/>
              <w:rPr>
                <w:sz w:val="20"/>
              </w:rPr>
            </w:pPr>
          </w:p>
        </w:tc>
        <w:tc>
          <w:tcPr>
            <w:tcW w:w="1282" w:type="dxa"/>
            <w:hideMark/>
          </w:tcPr>
          <w:p w:rsidR="000B424C" w:rsidRDefault="000B424C">
            <w:pPr>
              <w:pStyle w:val="TableParagraph"/>
              <w:spacing w:before="13" w:line="237" w:lineRule="exact"/>
              <w:ind w:left="364"/>
            </w:pPr>
            <w:r>
              <w:t>30,4</w:t>
            </w:r>
          </w:p>
        </w:tc>
      </w:tr>
      <w:tr w:rsidR="000B424C" w:rsidTr="000B424C">
        <w:trPr>
          <w:trHeight w:val="270"/>
        </w:trPr>
        <w:tc>
          <w:tcPr>
            <w:tcW w:w="4043" w:type="dxa"/>
            <w:hideMark/>
          </w:tcPr>
          <w:p w:rsidR="000B424C" w:rsidRDefault="000B424C">
            <w:pPr>
              <w:pStyle w:val="TableParagraph"/>
              <w:spacing w:line="248" w:lineRule="exact"/>
              <w:ind w:left="405"/>
            </w:pPr>
            <w:r>
              <w:t>Progression</w:t>
            </w:r>
          </w:p>
        </w:tc>
        <w:tc>
          <w:tcPr>
            <w:tcW w:w="1499" w:type="dxa"/>
            <w:hideMark/>
          </w:tcPr>
          <w:p w:rsidR="000B424C" w:rsidRDefault="000B424C">
            <w:pPr>
              <w:pStyle w:val="TableParagraph"/>
              <w:spacing w:line="248" w:lineRule="exact"/>
              <w:ind w:left="323" w:right="247"/>
              <w:jc w:val="center"/>
            </w:pPr>
            <w:r>
              <w:t>1,3</w:t>
            </w:r>
          </w:p>
        </w:tc>
        <w:tc>
          <w:tcPr>
            <w:tcW w:w="1355" w:type="dxa"/>
            <w:hideMark/>
          </w:tcPr>
          <w:p w:rsidR="000B424C" w:rsidRDefault="000B424C">
            <w:pPr>
              <w:pStyle w:val="TableParagraph"/>
              <w:spacing w:line="248" w:lineRule="exact"/>
              <w:ind w:left="249" w:right="331"/>
              <w:jc w:val="center"/>
            </w:pPr>
            <w:r>
              <w:t>5,1</w:t>
            </w:r>
          </w:p>
        </w:tc>
        <w:tc>
          <w:tcPr>
            <w:tcW w:w="1032" w:type="dxa"/>
          </w:tcPr>
          <w:p w:rsidR="000B424C" w:rsidRDefault="000B424C">
            <w:pPr>
              <w:pStyle w:val="TableParagraph"/>
              <w:ind w:left="0"/>
              <w:rPr>
                <w:sz w:val="20"/>
              </w:rPr>
            </w:pPr>
          </w:p>
        </w:tc>
        <w:tc>
          <w:tcPr>
            <w:tcW w:w="1282" w:type="dxa"/>
            <w:hideMark/>
          </w:tcPr>
          <w:p w:rsidR="000B424C" w:rsidRDefault="000B424C">
            <w:pPr>
              <w:pStyle w:val="TableParagraph"/>
              <w:spacing w:line="248" w:lineRule="exact"/>
              <w:ind w:left="401" w:right="452"/>
              <w:jc w:val="center"/>
            </w:pPr>
            <w:r>
              <w:t>0,9</w:t>
            </w:r>
          </w:p>
        </w:tc>
      </w:tr>
      <w:tr w:rsidR="000B424C" w:rsidTr="000B424C">
        <w:trPr>
          <w:trHeight w:val="299"/>
        </w:trPr>
        <w:tc>
          <w:tcPr>
            <w:tcW w:w="4043" w:type="dxa"/>
            <w:tcBorders>
              <w:top w:val="nil"/>
              <w:left w:val="nil"/>
              <w:bottom w:val="single" w:sz="4" w:space="0" w:color="000000"/>
              <w:right w:val="nil"/>
            </w:tcBorders>
            <w:hideMark/>
          </w:tcPr>
          <w:p w:rsidR="000B424C" w:rsidRDefault="000B424C">
            <w:pPr>
              <w:pStyle w:val="TableParagraph"/>
              <w:spacing w:before="13"/>
              <w:ind w:left="405"/>
            </w:pPr>
            <w:r>
              <w:t>Ikke evaluerbar</w:t>
            </w:r>
          </w:p>
        </w:tc>
        <w:tc>
          <w:tcPr>
            <w:tcW w:w="1499" w:type="dxa"/>
            <w:tcBorders>
              <w:top w:val="nil"/>
              <w:left w:val="nil"/>
              <w:bottom w:val="single" w:sz="4" w:space="0" w:color="000000"/>
              <w:right w:val="nil"/>
            </w:tcBorders>
            <w:hideMark/>
          </w:tcPr>
          <w:p w:rsidR="000B424C" w:rsidRDefault="000B424C">
            <w:pPr>
              <w:pStyle w:val="TableParagraph"/>
              <w:spacing w:before="13"/>
              <w:ind w:left="323" w:right="247"/>
              <w:jc w:val="center"/>
            </w:pPr>
            <w:r>
              <w:t>16,5</w:t>
            </w:r>
          </w:p>
        </w:tc>
        <w:tc>
          <w:tcPr>
            <w:tcW w:w="1355" w:type="dxa"/>
            <w:tcBorders>
              <w:top w:val="nil"/>
              <w:left w:val="nil"/>
              <w:bottom w:val="single" w:sz="4" w:space="0" w:color="000000"/>
              <w:right w:val="nil"/>
            </w:tcBorders>
            <w:hideMark/>
          </w:tcPr>
          <w:p w:rsidR="000B424C" w:rsidRDefault="000B424C">
            <w:pPr>
              <w:pStyle w:val="TableParagraph"/>
              <w:spacing w:before="13"/>
              <w:ind w:left="249" w:right="331"/>
              <w:jc w:val="center"/>
            </w:pPr>
            <w:r>
              <w:t>15,4</w:t>
            </w:r>
          </w:p>
        </w:tc>
        <w:tc>
          <w:tcPr>
            <w:tcW w:w="1032" w:type="dxa"/>
            <w:tcBorders>
              <w:top w:val="nil"/>
              <w:left w:val="nil"/>
              <w:bottom w:val="single" w:sz="4" w:space="0" w:color="000000"/>
              <w:right w:val="nil"/>
            </w:tcBorders>
          </w:tcPr>
          <w:p w:rsidR="000B424C" w:rsidRDefault="000B424C">
            <w:pPr>
              <w:pStyle w:val="TableParagraph"/>
              <w:ind w:left="0"/>
            </w:pPr>
          </w:p>
        </w:tc>
        <w:tc>
          <w:tcPr>
            <w:tcW w:w="1282" w:type="dxa"/>
            <w:tcBorders>
              <w:top w:val="nil"/>
              <w:left w:val="nil"/>
              <w:bottom w:val="single" w:sz="4" w:space="0" w:color="000000"/>
              <w:right w:val="nil"/>
            </w:tcBorders>
            <w:hideMark/>
          </w:tcPr>
          <w:p w:rsidR="000B424C" w:rsidRDefault="000B424C">
            <w:pPr>
              <w:pStyle w:val="TableParagraph"/>
              <w:spacing w:before="13"/>
              <w:ind w:left="364"/>
            </w:pPr>
            <w:r>
              <w:t>10,7</w:t>
            </w:r>
          </w:p>
        </w:tc>
      </w:tr>
      <w:tr w:rsidR="000B424C" w:rsidTr="000B424C">
        <w:trPr>
          <w:trHeight w:val="2025"/>
        </w:trPr>
        <w:tc>
          <w:tcPr>
            <w:tcW w:w="9211" w:type="dxa"/>
            <w:gridSpan w:val="5"/>
            <w:tcBorders>
              <w:top w:val="single" w:sz="4" w:space="0" w:color="000000"/>
              <w:left w:val="nil"/>
              <w:bottom w:val="single" w:sz="4" w:space="0" w:color="000000"/>
              <w:right w:val="nil"/>
            </w:tcBorders>
            <w:hideMark/>
          </w:tcPr>
          <w:p w:rsidR="000B424C" w:rsidRDefault="000B424C">
            <w:pPr>
              <w:pStyle w:val="TableParagraph"/>
              <w:tabs>
                <w:tab w:val="left" w:pos="693"/>
              </w:tabs>
              <w:spacing w:line="249" w:lineRule="exact"/>
              <w:ind w:left="122"/>
              <w:rPr>
                <w:lang w:val="da-DK"/>
              </w:rPr>
            </w:pPr>
            <w:r>
              <w:rPr>
                <w:position w:val="8"/>
                <w:sz w:val="14"/>
                <w:lang w:val="da-DK"/>
              </w:rPr>
              <w:t>1</w:t>
            </w:r>
            <w:r>
              <w:rPr>
                <w:position w:val="8"/>
                <w:sz w:val="14"/>
                <w:lang w:val="da-DK"/>
              </w:rPr>
              <w:tab/>
            </w:r>
            <w:r>
              <w:rPr>
                <w:lang w:val="da-DK"/>
              </w:rPr>
              <w:t>I henhold til uafhængig central radiologisk</w:t>
            </w:r>
            <w:r>
              <w:rPr>
                <w:spacing w:val="-6"/>
                <w:lang w:val="da-DK"/>
              </w:rPr>
              <w:t xml:space="preserve"> </w:t>
            </w:r>
            <w:r>
              <w:rPr>
                <w:lang w:val="da-DK"/>
              </w:rPr>
              <w:t>gennemgang</w:t>
            </w:r>
          </w:p>
          <w:p w:rsidR="000B424C" w:rsidRDefault="000B424C">
            <w:pPr>
              <w:pStyle w:val="TableParagraph"/>
              <w:tabs>
                <w:tab w:val="left" w:pos="693"/>
              </w:tabs>
              <w:ind w:left="693" w:right="373" w:hanging="572"/>
              <w:rPr>
                <w:lang w:val="da-DK"/>
              </w:rPr>
            </w:pPr>
            <w:r>
              <w:rPr>
                <w:position w:val="8"/>
                <w:sz w:val="14"/>
                <w:lang w:val="da-DK"/>
              </w:rPr>
              <w:t>2</w:t>
            </w:r>
            <w:r>
              <w:rPr>
                <w:position w:val="8"/>
                <w:sz w:val="14"/>
                <w:lang w:val="da-DK"/>
              </w:rPr>
              <w:tab/>
            </w:r>
            <w:r>
              <w:rPr>
                <w:lang w:val="da-DK"/>
              </w:rPr>
              <w:t xml:space="preserve">Angiomyolipom-respons blev bekræftet med en yderligere scanning. Respons var defineret som: ≥50 % reduktion i summen af angiomyolipom-volumen i forhold til </w:t>
            </w:r>
            <w:r>
              <w:rPr>
                <w:i/>
                <w:lang w:val="da-DK"/>
              </w:rPr>
              <w:t xml:space="preserve">baseline </w:t>
            </w:r>
            <w:r>
              <w:rPr>
                <w:lang w:val="da-DK"/>
              </w:rPr>
              <w:t>plus fravær af nyt angiomyolipom ≥1,0 cm for den længste diameter plus ingen stigning i renal volumen &gt;20 % fra nadir plus fravær af grad ≥2 angiomyolipom-relateret</w:t>
            </w:r>
            <w:r>
              <w:rPr>
                <w:spacing w:val="-17"/>
                <w:lang w:val="da-DK"/>
              </w:rPr>
              <w:t xml:space="preserve"> </w:t>
            </w:r>
            <w:r>
              <w:rPr>
                <w:lang w:val="da-DK"/>
              </w:rPr>
              <w:t>blødning.</w:t>
            </w:r>
          </w:p>
          <w:p w:rsidR="000B424C" w:rsidRDefault="000B424C">
            <w:pPr>
              <w:pStyle w:val="TableParagraph"/>
              <w:tabs>
                <w:tab w:val="left" w:pos="693"/>
              </w:tabs>
              <w:spacing w:line="251" w:lineRule="exact"/>
              <w:ind w:left="122"/>
              <w:rPr>
                <w:lang w:val="da-DK"/>
              </w:rPr>
            </w:pPr>
            <w:r>
              <w:rPr>
                <w:position w:val="8"/>
                <w:sz w:val="14"/>
                <w:lang w:val="da-DK"/>
              </w:rPr>
              <w:t>3</w:t>
            </w:r>
            <w:r>
              <w:rPr>
                <w:position w:val="8"/>
                <w:sz w:val="14"/>
                <w:lang w:val="da-DK"/>
              </w:rPr>
              <w:tab/>
            </w:r>
            <w:r>
              <w:rPr>
                <w:lang w:val="da-DK"/>
              </w:rPr>
              <w:t>Primæranalyse for dobbeltblinde</w:t>
            </w:r>
            <w:r>
              <w:rPr>
                <w:spacing w:val="-5"/>
                <w:lang w:val="da-DK"/>
              </w:rPr>
              <w:t xml:space="preserve"> </w:t>
            </w:r>
            <w:r>
              <w:rPr>
                <w:lang w:val="da-DK"/>
              </w:rPr>
              <w:t>periode</w:t>
            </w:r>
          </w:p>
          <w:p w:rsidR="000B424C" w:rsidRDefault="000B424C">
            <w:pPr>
              <w:pStyle w:val="TableParagraph"/>
              <w:tabs>
                <w:tab w:val="left" w:pos="693"/>
              </w:tabs>
              <w:spacing w:before="4" w:line="252" w:lineRule="exact"/>
              <w:ind w:left="693" w:right="935" w:hanging="572"/>
              <w:rPr>
                <w:lang w:val="da-DK"/>
              </w:rPr>
            </w:pPr>
            <w:r>
              <w:rPr>
                <w:position w:val="8"/>
                <w:sz w:val="14"/>
                <w:lang w:val="da-DK"/>
              </w:rPr>
              <w:t>4</w:t>
            </w:r>
            <w:r>
              <w:rPr>
                <w:position w:val="8"/>
                <w:sz w:val="14"/>
                <w:lang w:val="da-DK"/>
              </w:rPr>
              <w:tab/>
            </w:r>
            <w:r>
              <w:rPr>
                <w:lang w:val="da-DK"/>
              </w:rPr>
              <w:t>Endelig analyse inkluderer patienter, der krydsede over fra placebo-gruppen; median eksponeringsvarighed for everolimus på 204,1</w:t>
            </w:r>
            <w:r>
              <w:rPr>
                <w:spacing w:val="-2"/>
                <w:lang w:val="da-DK"/>
              </w:rPr>
              <w:t xml:space="preserve"> </w:t>
            </w:r>
            <w:r>
              <w:rPr>
                <w:lang w:val="da-DK"/>
              </w:rPr>
              <w:t>uger</w:t>
            </w:r>
          </w:p>
        </w:tc>
      </w:tr>
    </w:tbl>
    <w:p w:rsidR="000B424C" w:rsidRDefault="000B424C" w:rsidP="000B424C">
      <w:pPr>
        <w:pStyle w:val="Brdtekst"/>
        <w:spacing w:before="9"/>
        <w:rPr>
          <w:b/>
          <w:sz w:val="21"/>
          <w:lang w:val="da-DK"/>
        </w:rPr>
      </w:pPr>
    </w:p>
    <w:p w:rsidR="000B424C" w:rsidRDefault="000B424C" w:rsidP="000B424C">
      <w:pPr>
        <w:pStyle w:val="Brdtekst"/>
        <w:ind w:left="851" w:right="-1"/>
        <w:rPr>
          <w:sz w:val="24"/>
          <w:szCs w:val="24"/>
          <w:lang w:val="da-DK"/>
        </w:rPr>
      </w:pPr>
      <w:r>
        <w:rPr>
          <w:sz w:val="24"/>
          <w:szCs w:val="24"/>
          <w:lang w:val="da-DK"/>
        </w:rPr>
        <w:t>Konsistent behandlingseffekt på angiomyolipom-responsrate sås på tværs af alle evaluerede undergrupper (dvs. brug af enzyminducerende antiepileptika i forhold til ingen brug af enzyminducerende antiepileptika, køn, alder og race) ved den primære analyse.</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den endelige analyse forbedredes reduktion af angiomyolipomvolumen med længere tids behandling med everolimus. Ved uge 12, 96 og 192 blev der observeret ≥ 30 % reduktion i volumen hos hhv. 75,0 %, 80,6 % og 85,2 % af de behandlede patienter. Tilsvarende blev der på de samme tidspunkter observeret ≥50 % reduktion i volumen hos hhv. 44,2 %, 63,3 % og 68,9 % af de behandlede</w:t>
      </w:r>
      <w:r>
        <w:rPr>
          <w:spacing w:val="-21"/>
          <w:sz w:val="24"/>
          <w:szCs w:val="24"/>
          <w:lang w:val="da-DK"/>
        </w:rPr>
        <w:t xml:space="preserve"> </w:t>
      </w:r>
      <w:r>
        <w:rPr>
          <w:sz w:val="24"/>
          <w:szCs w:val="24"/>
          <w:lang w:val="da-DK"/>
        </w:rPr>
        <w:t>patienter.</w:t>
      </w:r>
    </w:p>
    <w:p w:rsidR="000B424C" w:rsidRDefault="000B424C" w:rsidP="000B424C">
      <w:pPr>
        <w:pStyle w:val="Brdtekst"/>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lastRenderedPageBreak/>
        <w:t>Medianvarigheden til progression af angiomyolipom var 11,4 måneder i placebo-armen og blev ikke nået i everolimus-armen (HR 0,08; 95 % CI: 0,02; 0,37; p&lt;0,0001). Progression blev observeret hos 3,8 % af patienterne i everolimus-armen sammenlignet med 20,5 % i placebo-armen. Den estimerede progressionsfrie rate efter 6 måneder var 98,4 % for everolimus-armen og 83,4 % for placebo-armen. Ved den endelige analyse var mediantiden til progression af angiomyolipom ikke nået. Progression af angiomyolipom blev observeret hos 14,3 % af patienterne. De estimerede progressionsfrie rater for angiomyolipom efter 24 måneder og 48 måneder var hhv. 91,6 % og 83,1 %.</w:t>
      </w:r>
    </w:p>
    <w:p w:rsidR="000B424C" w:rsidRDefault="000B424C" w:rsidP="000B424C">
      <w:pPr>
        <w:pStyle w:val="Brdtekst"/>
        <w:spacing w:before="5"/>
        <w:rPr>
          <w:sz w:val="24"/>
          <w:szCs w:val="24"/>
          <w:lang w:val="da-DK"/>
        </w:rPr>
      </w:pPr>
    </w:p>
    <w:p w:rsidR="000B424C" w:rsidRDefault="000B424C" w:rsidP="000B424C">
      <w:pPr>
        <w:pStyle w:val="Brdtekst"/>
        <w:spacing w:line="244" w:lineRule="auto"/>
        <w:ind w:left="851" w:right="-1"/>
        <w:rPr>
          <w:sz w:val="24"/>
          <w:szCs w:val="24"/>
          <w:lang w:val="da-DK"/>
        </w:rPr>
      </w:pPr>
      <w:r>
        <w:rPr>
          <w:sz w:val="24"/>
          <w:szCs w:val="24"/>
          <w:lang w:val="da-DK"/>
        </w:rPr>
        <w:t>Ved den primære analyse blev der observeret responsrater for hudlæsioner på 26,0 % (95 % CI: 16,6; 37,2) i everolimus-armen og 0 % (95 % CI: 0,0, 9,5) i placebo-armen (p=0,0002). Ved den endelige analyse var responseraterne for hudlæsioner steget til 68,2 % (95 % CI: 58,5;76,9) med en patient, der rapporterede bekræftet fuldstændigt klinisk hudlæsionsrespons, og ingen patienter, der oplevede progressiv sygdom som deres bedste respons.</w:t>
      </w:r>
    </w:p>
    <w:p w:rsidR="000B424C" w:rsidRDefault="000B424C" w:rsidP="000B424C">
      <w:pPr>
        <w:pStyle w:val="Brdtekst"/>
        <w:spacing w:before="4"/>
        <w:ind w:left="851"/>
        <w:rPr>
          <w:sz w:val="24"/>
          <w:szCs w:val="24"/>
          <w:lang w:val="da-DK"/>
        </w:rPr>
      </w:pPr>
    </w:p>
    <w:p w:rsidR="000B424C" w:rsidRDefault="000B424C" w:rsidP="000B424C">
      <w:pPr>
        <w:pStyle w:val="Brdtekst"/>
        <w:spacing w:line="244" w:lineRule="auto"/>
        <w:ind w:left="851" w:right="-1"/>
        <w:rPr>
          <w:sz w:val="24"/>
          <w:szCs w:val="24"/>
          <w:lang w:val="da-DK"/>
        </w:rPr>
      </w:pPr>
      <w:r>
        <w:rPr>
          <w:sz w:val="24"/>
          <w:szCs w:val="24"/>
          <w:lang w:val="da-DK"/>
        </w:rPr>
        <w:t xml:space="preserve">I en eksplorativ analyse af patienter med TSC og angiomyolipom, som også havde SEGA, var SEGA-responsraten (andelen af patienter med ≥50 % reduktion af mållæsionsvolumen fra </w:t>
      </w:r>
      <w:r>
        <w:rPr>
          <w:i/>
          <w:sz w:val="24"/>
          <w:szCs w:val="24"/>
          <w:lang w:val="da-DK"/>
        </w:rPr>
        <w:t xml:space="preserve">baseline </w:t>
      </w:r>
      <w:r>
        <w:rPr>
          <w:sz w:val="24"/>
          <w:szCs w:val="24"/>
          <w:lang w:val="da-DK"/>
        </w:rPr>
        <w:t>i fravær af progression) 10,3 % i everolimus-armen i den primære analyse (</w:t>
      </w:r>
      <w:r>
        <w:rPr>
          <w:i/>
          <w:sz w:val="24"/>
          <w:szCs w:val="24"/>
          <w:lang w:val="da-DK"/>
        </w:rPr>
        <w:t xml:space="preserve">versus </w:t>
      </w:r>
      <w:r>
        <w:rPr>
          <w:sz w:val="24"/>
          <w:szCs w:val="24"/>
          <w:lang w:val="da-DK"/>
        </w:rPr>
        <w:t xml:space="preserve">intet rapporteret respons hos de 13 patienter med SEGA-læsion ved </w:t>
      </w:r>
      <w:r>
        <w:rPr>
          <w:i/>
          <w:sz w:val="24"/>
          <w:szCs w:val="24"/>
          <w:lang w:val="da-DK"/>
        </w:rPr>
        <w:t>baseline</w:t>
      </w:r>
      <w:r>
        <w:rPr>
          <w:sz w:val="24"/>
          <w:szCs w:val="24"/>
          <w:lang w:val="da-DK"/>
        </w:rPr>
        <w:t>, der blev randomiseret til placebo) og steg til 48,0 % i den endelige analyse.</w:t>
      </w:r>
    </w:p>
    <w:p w:rsidR="000B424C" w:rsidRDefault="000B424C" w:rsidP="000B424C">
      <w:pPr>
        <w:pStyle w:val="Brdtekst"/>
        <w:spacing w:line="244" w:lineRule="auto"/>
        <w:ind w:left="851" w:right="-1"/>
        <w:rPr>
          <w:sz w:val="24"/>
          <w:szCs w:val="24"/>
          <w:lang w:val="da-DK"/>
        </w:rPr>
      </w:pPr>
    </w:p>
    <w:p w:rsidR="000B424C" w:rsidRDefault="000B424C" w:rsidP="000B424C">
      <w:pPr>
        <w:pStyle w:val="Brdtekst"/>
        <w:spacing w:before="75" w:line="247" w:lineRule="auto"/>
        <w:ind w:left="851" w:right="-1"/>
        <w:rPr>
          <w:sz w:val="24"/>
          <w:szCs w:val="24"/>
          <w:lang w:val="da-DK"/>
        </w:rPr>
      </w:pPr>
      <w:r>
        <w:rPr>
          <w:sz w:val="24"/>
          <w:szCs w:val="24"/>
          <w:lang w:val="da-DK"/>
        </w:rPr>
        <w:t>En post-hoc-undergruppe-analyse af EXIST-2 (studie CRAD001M2302), udført på tidspunktet for den primære analyse, viste, at angiomyolipom-responsraten er reduceret ved en tærskelværdi på under 5 nanogram/ml (Tabel 9).</w:t>
      </w:r>
    </w:p>
    <w:p w:rsidR="000B424C" w:rsidRDefault="000B424C" w:rsidP="000B424C">
      <w:pPr>
        <w:ind w:left="851"/>
        <w:rPr>
          <w:i/>
          <w:iCs/>
          <w:sz w:val="24"/>
          <w:szCs w:val="24"/>
        </w:rPr>
      </w:pPr>
    </w:p>
    <w:p w:rsidR="000B424C" w:rsidRDefault="000B424C" w:rsidP="000B424C">
      <w:pPr>
        <w:tabs>
          <w:tab w:val="left" w:pos="851"/>
          <w:tab w:val="left" w:pos="1985"/>
        </w:tabs>
        <w:ind w:left="1976" w:hanging="1125"/>
        <w:rPr>
          <w:b/>
          <w:bCs/>
          <w:sz w:val="24"/>
          <w:szCs w:val="24"/>
        </w:rPr>
      </w:pPr>
      <w:r>
        <w:rPr>
          <w:b/>
          <w:bCs/>
          <w:sz w:val="24"/>
          <w:szCs w:val="24"/>
        </w:rPr>
        <w:t xml:space="preserve">Tabel 9. </w:t>
      </w:r>
      <w:r>
        <w:rPr>
          <w:b/>
          <w:bCs/>
          <w:sz w:val="24"/>
          <w:szCs w:val="24"/>
        </w:rPr>
        <w:tab/>
      </w:r>
      <w:r>
        <w:rPr>
          <w:b/>
          <w:bCs/>
          <w:position w:val="2"/>
        </w:rPr>
        <w:t>EXIST-2 – Angiomyolipom-responsrate per tidsgennemsnitlig-C</w:t>
      </w:r>
      <w:r>
        <w:rPr>
          <w:b/>
          <w:bCs/>
          <w:sz w:val="14"/>
        </w:rPr>
        <w:t xml:space="preserve">min </w:t>
      </w:r>
      <w:r>
        <w:rPr>
          <w:b/>
          <w:bCs/>
          <w:position w:val="2"/>
        </w:rPr>
        <w:t xml:space="preserve">kategori ved den </w:t>
      </w:r>
      <w:r>
        <w:rPr>
          <w:b/>
          <w:bCs/>
        </w:rPr>
        <w:t>primære</w:t>
      </w:r>
      <w:r>
        <w:rPr>
          <w:b/>
          <w:bCs/>
          <w:spacing w:val="-1"/>
        </w:rPr>
        <w:t xml:space="preserve"> </w:t>
      </w:r>
      <w:r>
        <w:rPr>
          <w:b/>
          <w:bCs/>
        </w:rPr>
        <w:t>analyse</w:t>
      </w:r>
    </w:p>
    <w:p w:rsidR="000B424C" w:rsidRDefault="000B424C" w:rsidP="000B424C">
      <w:pPr>
        <w:pStyle w:val="Brdtekst"/>
        <w:spacing w:before="5"/>
        <w:rPr>
          <w:b/>
          <w:lang w:val="da-DK"/>
        </w:rPr>
      </w:pPr>
    </w:p>
    <w:tbl>
      <w:tblPr>
        <w:tblW w:w="0" w:type="auto"/>
        <w:tblInd w:w="298" w:type="dxa"/>
        <w:tblLayout w:type="fixed"/>
        <w:tblCellMar>
          <w:left w:w="0" w:type="dxa"/>
          <w:right w:w="0" w:type="dxa"/>
        </w:tblCellMar>
        <w:tblLook w:val="01E0" w:firstRow="1" w:lastRow="1" w:firstColumn="1" w:lastColumn="1" w:noHBand="0" w:noVBand="0"/>
      </w:tblPr>
      <w:tblGrid>
        <w:gridCol w:w="2483"/>
        <w:gridCol w:w="1838"/>
        <w:gridCol w:w="1807"/>
        <w:gridCol w:w="2952"/>
      </w:tblGrid>
      <w:tr w:rsidR="000B424C" w:rsidTr="000B424C">
        <w:trPr>
          <w:trHeight w:val="566"/>
        </w:trPr>
        <w:tc>
          <w:tcPr>
            <w:tcW w:w="2483" w:type="dxa"/>
            <w:tcBorders>
              <w:top w:val="single" w:sz="4" w:space="0" w:color="000000"/>
              <w:left w:val="nil"/>
              <w:bottom w:val="single" w:sz="4" w:space="0" w:color="000000"/>
              <w:right w:val="nil"/>
            </w:tcBorders>
            <w:hideMark/>
          </w:tcPr>
          <w:p w:rsidR="000B424C" w:rsidRDefault="000B424C">
            <w:pPr>
              <w:pStyle w:val="TableParagraph"/>
              <w:spacing w:before="75" w:line="236" w:lineRule="exact"/>
              <w:ind w:left="864" w:right="124" w:hanging="696"/>
              <w:rPr>
                <w:b/>
              </w:rPr>
            </w:pPr>
            <w:r>
              <w:rPr>
                <w:b/>
                <w:position w:val="2"/>
              </w:rPr>
              <w:t>Tidsgennemsnitlig C</w:t>
            </w:r>
            <w:r>
              <w:rPr>
                <w:b/>
                <w:sz w:val="14"/>
              </w:rPr>
              <w:t xml:space="preserve">min </w:t>
            </w:r>
            <w:r>
              <w:rPr>
                <w:b/>
              </w:rPr>
              <w:t>kategori</w:t>
            </w:r>
          </w:p>
        </w:tc>
        <w:tc>
          <w:tcPr>
            <w:tcW w:w="1838" w:type="dxa"/>
            <w:tcBorders>
              <w:top w:val="single" w:sz="4" w:space="0" w:color="000000"/>
              <w:left w:val="nil"/>
              <w:bottom w:val="single" w:sz="4" w:space="0" w:color="000000"/>
              <w:right w:val="nil"/>
            </w:tcBorders>
            <w:hideMark/>
          </w:tcPr>
          <w:p w:rsidR="000B424C" w:rsidRDefault="000B424C">
            <w:pPr>
              <w:pStyle w:val="TableParagraph"/>
              <w:spacing w:before="41"/>
              <w:ind w:left="122" w:right="239"/>
              <w:jc w:val="center"/>
              <w:rPr>
                <w:b/>
              </w:rPr>
            </w:pPr>
            <w:r>
              <w:rPr>
                <w:b/>
              </w:rPr>
              <w:t>Antal patienter</w:t>
            </w:r>
          </w:p>
        </w:tc>
        <w:tc>
          <w:tcPr>
            <w:tcW w:w="1807" w:type="dxa"/>
            <w:tcBorders>
              <w:top w:val="single" w:sz="4" w:space="0" w:color="000000"/>
              <w:left w:val="nil"/>
              <w:bottom w:val="single" w:sz="4" w:space="0" w:color="000000"/>
              <w:right w:val="nil"/>
            </w:tcBorders>
            <w:hideMark/>
          </w:tcPr>
          <w:p w:rsidR="000B424C" w:rsidRDefault="000B424C">
            <w:pPr>
              <w:pStyle w:val="TableParagraph"/>
              <w:spacing w:before="41"/>
              <w:ind w:left="244" w:right="361"/>
              <w:jc w:val="center"/>
              <w:rPr>
                <w:b/>
              </w:rPr>
            </w:pPr>
            <w:r>
              <w:rPr>
                <w:b/>
              </w:rPr>
              <w:t>Responsrate</w:t>
            </w:r>
          </w:p>
        </w:tc>
        <w:tc>
          <w:tcPr>
            <w:tcW w:w="2952" w:type="dxa"/>
            <w:tcBorders>
              <w:top w:val="single" w:sz="4" w:space="0" w:color="000000"/>
              <w:left w:val="nil"/>
              <w:bottom w:val="single" w:sz="4" w:space="0" w:color="000000"/>
              <w:right w:val="nil"/>
            </w:tcBorders>
            <w:hideMark/>
          </w:tcPr>
          <w:p w:rsidR="000B424C" w:rsidRDefault="000B424C">
            <w:pPr>
              <w:pStyle w:val="TableParagraph"/>
              <w:spacing w:before="41"/>
              <w:ind w:left="363" w:right="348"/>
              <w:jc w:val="center"/>
              <w:rPr>
                <w:b/>
              </w:rPr>
            </w:pPr>
            <w:r>
              <w:rPr>
                <w:b/>
              </w:rPr>
              <w:t>95 % konfidensinterval</w:t>
            </w:r>
          </w:p>
        </w:tc>
      </w:tr>
      <w:tr w:rsidR="000B424C" w:rsidTr="000B424C">
        <w:trPr>
          <w:trHeight w:val="328"/>
        </w:trPr>
        <w:tc>
          <w:tcPr>
            <w:tcW w:w="2483" w:type="dxa"/>
            <w:tcBorders>
              <w:top w:val="single" w:sz="4" w:space="0" w:color="000000"/>
              <w:left w:val="nil"/>
              <w:bottom w:val="nil"/>
              <w:right w:val="nil"/>
            </w:tcBorders>
            <w:hideMark/>
          </w:tcPr>
          <w:p w:rsidR="000B424C" w:rsidRDefault="000B424C">
            <w:pPr>
              <w:pStyle w:val="TableParagraph"/>
              <w:spacing w:before="41"/>
              <w:ind w:left="504" w:right="474"/>
              <w:jc w:val="center"/>
            </w:pPr>
            <w:r>
              <w:t>≤5 nanogram/ml</w:t>
            </w:r>
          </w:p>
        </w:tc>
        <w:tc>
          <w:tcPr>
            <w:tcW w:w="1838" w:type="dxa"/>
            <w:tcBorders>
              <w:top w:val="single" w:sz="4" w:space="0" w:color="000000"/>
              <w:left w:val="nil"/>
              <w:bottom w:val="nil"/>
              <w:right w:val="nil"/>
            </w:tcBorders>
            <w:hideMark/>
          </w:tcPr>
          <w:p w:rsidR="000B424C" w:rsidRDefault="000B424C">
            <w:pPr>
              <w:pStyle w:val="TableParagraph"/>
              <w:spacing w:before="41"/>
              <w:ind w:left="122" w:right="239"/>
              <w:jc w:val="center"/>
            </w:pPr>
            <w:r>
              <w:t>20</w:t>
            </w:r>
          </w:p>
        </w:tc>
        <w:tc>
          <w:tcPr>
            <w:tcW w:w="1807" w:type="dxa"/>
            <w:tcBorders>
              <w:top w:val="single" w:sz="4" w:space="0" w:color="000000"/>
              <w:left w:val="nil"/>
              <w:bottom w:val="nil"/>
              <w:right w:val="nil"/>
            </w:tcBorders>
            <w:hideMark/>
          </w:tcPr>
          <w:p w:rsidR="000B424C" w:rsidRDefault="000B424C">
            <w:pPr>
              <w:pStyle w:val="TableParagraph"/>
              <w:spacing w:before="41"/>
              <w:ind w:left="244" w:right="360"/>
              <w:jc w:val="center"/>
            </w:pPr>
            <w:r>
              <w:t>0,300</w:t>
            </w:r>
          </w:p>
        </w:tc>
        <w:tc>
          <w:tcPr>
            <w:tcW w:w="2952" w:type="dxa"/>
            <w:tcBorders>
              <w:top w:val="single" w:sz="4" w:space="0" w:color="000000"/>
              <w:left w:val="nil"/>
              <w:bottom w:val="nil"/>
              <w:right w:val="nil"/>
            </w:tcBorders>
            <w:hideMark/>
          </w:tcPr>
          <w:p w:rsidR="000B424C" w:rsidRDefault="000B424C">
            <w:pPr>
              <w:pStyle w:val="TableParagraph"/>
              <w:spacing w:before="41"/>
              <w:ind w:left="363" w:right="346"/>
              <w:jc w:val="center"/>
            </w:pPr>
            <w:r>
              <w:t>0,099; 0,501</w:t>
            </w:r>
          </w:p>
        </w:tc>
      </w:tr>
      <w:tr w:rsidR="000B424C" w:rsidTr="000B424C">
        <w:trPr>
          <w:trHeight w:val="309"/>
        </w:trPr>
        <w:tc>
          <w:tcPr>
            <w:tcW w:w="2483" w:type="dxa"/>
            <w:hideMark/>
          </w:tcPr>
          <w:p w:rsidR="000B424C" w:rsidRDefault="000B424C">
            <w:pPr>
              <w:pStyle w:val="TableParagraph"/>
              <w:spacing w:before="25"/>
              <w:ind w:left="504" w:right="476"/>
              <w:jc w:val="center"/>
            </w:pPr>
            <w:r>
              <w:t>&gt;5 nanogram/ml</w:t>
            </w:r>
          </w:p>
        </w:tc>
        <w:tc>
          <w:tcPr>
            <w:tcW w:w="1838" w:type="dxa"/>
            <w:hideMark/>
          </w:tcPr>
          <w:p w:rsidR="000B424C" w:rsidRDefault="000B424C">
            <w:pPr>
              <w:pStyle w:val="TableParagraph"/>
              <w:spacing w:before="25"/>
              <w:ind w:left="122" w:right="239"/>
              <w:jc w:val="center"/>
            </w:pPr>
            <w:r>
              <w:t>42</w:t>
            </w:r>
          </w:p>
        </w:tc>
        <w:tc>
          <w:tcPr>
            <w:tcW w:w="1807" w:type="dxa"/>
            <w:hideMark/>
          </w:tcPr>
          <w:p w:rsidR="000B424C" w:rsidRDefault="000B424C">
            <w:pPr>
              <w:pStyle w:val="TableParagraph"/>
              <w:spacing w:before="25"/>
              <w:ind w:left="244" w:right="360"/>
              <w:jc w:val="center"/>
            </w:pPr>
            <w:r>
              <w:t>0,524</w:t>
            </w:r>
          </w:p>
        </w:tc>
        <w:tc>
          <w:tcPr>
            <w:tcW w:w="2952" w:type="dxa"/>
            <w:hideMark/>
          </w:tcPr>
          <w:p w:rsidR="000B424C" w:rsidRDefault="000B424C">
            <w:pPr>
              <w:pStyle w:val="TableParagraph"/>
              <w:spacing w:before="25"/>
              <w:ind w:left="363" w:right="346"/>
              <w:jc w:val="center"/>
            </w:pPr>
            <w:r>
              <w:t>0,373; 0,675</w:t>
            </w:r>
          </w:p>
        </w:tc>
      </w:tr>
      <w:tr w:rsidR="000B424C" w:rsidTr="000B424C">
        <w:trPr>
          <w:trHeight w:val="299"/>
        </w:trPr>
        <w:tc>
          <w:tcPr>
            <w:tcW w:w="2483" w:type="dxa"/>
            <w:tcBorders>
              <w:top w:val="nil"/>
              <w:left w:val="nil"/>
              <w:bottom w:val="single" w:sz="4" w:space="0" w:color="000000"/>
              <w:right w:val="nil"/>
            </w:tcBorders>
            <w:hideMark/>
          </w:tcPr>
          <w:p w:rsidR="000B424C" w:rsidRDefault="000B424C">
            <w:pPr>
              <w:pStyle w:val="TableParagraph"/>
              <w:spacing w:before="24" w:line="255" w:lineRule="exact"/>
              <w:ind w:left="504" w:right="473"/>
              <w:rPr>
                <w:sz w:val="14"/>
              </w:rPr>
            </w:pPr>
            <w:r>
              <w:t>Forskel</w:t>
            </w:r>
            <w:r>
              <w:rPr>
                <w:position w:val="8"/>
                <w:sz w:val="14"/>
              </w:rPr>
              <w:t>1</w:t>
            </w:r>
          </w:p>
        </w:tc>
        <w:tc>
          <w:tcPr>
            <w:tcW w:w="1838" w:type="dxa"/>
            <w:tcBorders>
              <w:top w:val="nil"/>
              <w:left w:val="nil"/>
              <w:bottom w:val="single" w:sz="4" w:space="0" w:color="000000"/>
              <w:right w:val="nil"/>
            </w:tcBorders>
          </w:tcPr>
          <w:p w:rsidR="000B424C" w:rsidRDefault="000B424C">
            <w:pPr>
              <w:pStyle w:val="TableParagraph"/>
              <w:ind w:left="0"/>
            </w:pPr>
          </w:p>
        </w:tc>
        <w:tc>
          <w:tcPr>
            <w:tcW w:w="1807" w:type="dxa"/>
            <w:tcBorders>
              <w:top w:val="nil"/>
              <w:left w:val="nil"/>
              <w:bottom w:val="single" w:sz="4" w:space="0" w:color="000000"/>
              <w:right w:val="nil"/>
            </w:tcBorders>
            <w:hideMark/>
          </w:tcPr>
          <w:p w:rsidR="000B424C" w:rsidRDefault="000B424C">
            <w:pPr>
              <w:pStyle w:val="TableParagraph"/>
              <w:spacing w:before="29" w:line="250" w:lineRule="exact"/>
              <w:ind w:left="241" w:right="361"/>
              <w:jc w:val="center"/>
            </w:pPr>
            <w:r>
              <w:t>-0,224</w:t>
            </w:r>
          </w:p>
        </w:tc>
        <w:tc>
          <w:tcPr>
            <w:tcW w:w="2952" w:type="dxa"/>
            <w:tcBorders>
              <w:top w:val="nil"/>
              <w:left w:val="nil"/>
              <w:bottom w:val="single" w:sz="4" w:space="0" w:color="000000"/>
              <w:right w:val="nil"/>
            </w:tcBorders>
            <w:hideMark/>
          </w:tcPr>
          <w:p w:rsidR="000B424C" w:rsidRDefault="000B424C">
            <w:pPr>
              <w:pStyle w:val="TableParagraph"/>
              <w:spacing w:before="29" w:line="250" w:lineRule="exact"/>
              <w:ind w:left="363" w:right="346"/>
              <w:jc w:val="center"/>
            </w:pPr>
            <w:r>
              <w:t>-0,475; 0,027</w:t>
            </w:r>
          </w:p>
        </w:tc>
      </w:tr>
      <w:tr w:rsidR="000B424C" w:rsidTr="000B424C">
        <w:trPr>
          <w:trHeight w:val="314"/>
        </w:trPr>
        <w:tc>
          <w:tcPr>
            <w:tcW w:w="6128" w:type="dxa"/>
            <w:gridSpan w:val="3"/>
            <w:tcBorders>
              <w:top w:val="single" w:sz="4" w:space="0" w:color="000000"/>
              <w:left w:val="nil"/>
              <w:bottom w:val="single" w:sz="4" w:space="0" w:color="000000"/>
              <w:right w:val="nil"/>
            </w:tcBorders>
            <w:hideMark/>
          </w:tcPr>
          <w:p w:rsidR="000B424C" w:rsidRDefault="000B424C">
            <w:pPr>
              <w:pStyle w:val="TableParagraph"/>
              <w:spacing w:before="37" w:line="258" w:lineRule="exact"/>
              <w:ind w:left="116"/>
              <w:rPr>
                <w:lang w:val="da-DK"/>
              </w:rPr>
            </w:pPr>
            <w:r>
              <w:rPr>
                <w:position w:val="8"/>
                <w:sz w:val="14"/>
                <w:lang w:val="da-DK"/>
              </w:rPr>
              <w:t xml:space="preserve">1 </w:t>
            </w:r>
            <w:r>
              <w:rPr>
                <w:lang w:val="da-DK"/>
              </w:rPr>
              <w:t>Forskel er “≤5 nanogram/ml” minus “&gt;5 nanogram/ml”</w:t>
            </w:r>
          </w:p>
        </w:tc>
        <w:tc>
          <w:tcPr>
            <w:tcW w:w="2952" w:type="dxa"/>
            <w:tcBorders>
              <w:top w:val="single" w:sz="4" w:space="0" w:color="000000"/>
              <w:left w:val="nil"/>
              <w:bottom w:val="single" w:sz="4" w:space="0" w:color="000000"/>
              <w:right w:val="nil"/>
            </w:tcBorders>
          </w:tcPr>
          <w:p w:rsidR="000B424C" w:rsidRDefault="000B424C">
            <w:pPr>
              <w:pStyle w:val="TableParagraph"/>
              <w:ind w:left="0"/>
              <w:rPr>
                <w:lang w:val="da-DK"/>
              </w:rPr>
            </w:pPr>
          </w:p>
        </w:tc>
      </w:tr>
    </w:tbl>
    <w:p w:rsidR="000B424C" w:rsidRDefault="000B424C" w:rsidP="000B424C">
      <w:pPr>
        <w:pStyle w:val="Brdtekst"/>
        <w:spacing w:before="9"/>
        <w:rPr>
          <w:b/>
          <w:sz w:val="21"/>
          <w:lang w:val="da-DK"/>
        </w:rPr>
      </w:pPr>
    </w:p>
    <w:p w:rsidR="000B424C" w:rsidRDefault="000B424C" w:rsidP="000B424C">
      <w:pPr>
        <w:ind w:left="851"/>
        <w:rPr>
          <w:i/>
          <w:sz w:val="24"/>
          <w:szCs w:val="24"/>
          <w:u w:val="single"/>
        </w:rPr>
      </w:pPr>
      <w:r>
        <w:rPr>
          <w:i/>
          <w:sz w:val="24"/>
          <w:szCs w:val="24"/>
          <w:u w:val="single"/>
        </w:rPr>
        <w:t>SEGA i tilknytning til TSC</w:t>
      </w:r>
    </w:p>
    <w:p w:rsidR="000B424C" w:rsidRDefault="000B424C" w:rsidP="000B424C">
      <w:pPr>
        <w:ind w:left="851"/>
        <w:rPr>
          <w:i/>
          <w:sz w:val="24"/>
          <w:szCs w:val="24"/>
        </w:rPr>
      </w:pPr>
    </w:p>
    <w:p w:rsidR="000B424C" w:rsidRDefault="000B424C" w:rsidP="000B424C">
      <w:pPr>
        <w:spacing w:before="1" w:line="252" w:lineRule="exact"/>
        <w:ind w:left="851"/>
        <w:rPr>
          <w:i/>
          <w:sz w:val="24"/>
          <w:szCs w:val="24"/>
        </w:rPr>
      </w:pPr>
      <w:r>
        <w:rPr>
          <w:i/>
          <w:sz w:val="24"/>
          <w:szCs w:val="24"/>
        </w:rPr>
        <w:t>Fase III-studie med SEGA-patienter</w:t>
      </w:r>
    </w:p>
    <w:p w:rsidR="000B424C" w:rsidRDefault="000B424C" w:rsidP="000B424C">
      <w:pPr>
        <w:pStyle w:val="Brdtekst"/>
        <w:ind w:left="851" w:right="1485"/>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EXIST-1 (studie CRAD001M2301), et randomiseret, dobbeltblindet, multicenter fase III-studie med everolimus </w:t>
      </w:r>
      <w:r>
        <w:rPr>
          <w:i/>
          <w:sz w:val="24"/>
          <w:szCs w:val="24"/>
          <w:lang w:val="da-DK"/>
        </w:rPr>
        <w:t xml:space="preserve">versus </w:t>
      </w:r>
      <w:r>
        <w:rPr>
          <w:sz w:val="24"/>
          <w:szCs w:val="24"/>
          <w:lang w:val="da-DK"/>
        </w:rPr>
        <w:t>placebo blev udført med patienter med SEGA, uanset alder. Patienterne blev randomiseret i en 2:1 ratio til enten everolimus eller tilsvarende placebo. Tilstedeværelse af mindst en SEGA-læsion ≥1,0 cm for den længste diameter ved MRI (baseret på lokal radiologisk vurdering) var påkrævet for at deltage. Desuden var seriel radiologisk evidens for SEGA-vækst, tilstedeværelse af ny SEGA-læsion ≥1,0 cm for den længste diameter eller ny eller forværret hydrocephalus påkrævet for at deltage.</w:t>
      </w:r>
    </w:p>
    <w:p w:rsidR="000B424C" w:rsidRDefault="000B424C" w:rsidP="000B424C">
      <w:pPr>
        <w:pStyle w:val="Brdtekst"/>
        <w:spacing w:before="11"/>
        <w:ind w:left="851"/>
        <w:rPr>
          <w:sz w:val="24"/>
          <w:szCs w:val="24"/>
          <w:lang w:val="da-DK"/>
        </w:rPr>
      </w:pPr>
    </w:p>
    <w:p w:rsidR="000B424C" w:rsidRDefault="000B424C" w:rsidP="000B424C">
      <w:pPr>
        <w:pStyle w:val="Brdtekst"/>
        <w:ind w:left="851" w:right="-1"/>
        <w:rPr>
          <w:sz w:val="24"/>
          <w:szCs w:val="24"/>
          <w:lang w:val="da-DK"/>
        </w:rPr>
      </w:pPr>
      <w:r>
        <w:rPr>
          <w:sz w:val="24"/>
          <w:szCs w:val="24"/>
          <w:lang w:val="nb-NO"/>
        </w:rPr>
        <w:t xml:space="preserve">Det primære endepunkt for virkning var SEGA-reponsraten, baseret på en uafhængig central radiologisk vurdering. </w:t>
      </w:r>
      <w:r>
        <w:rPr>
          <w:sz w:val="24"/>
          <w:szCs w:val="24"/>
          <w:lang w:val="da-DK"/>
        </w:rPr>
        <w:t xml:space="preserve">Analysen var stratificeret i forhold til brug af </w:t>
      </w:r>
      <w:r>
        <w:rPr>
          <w:sz w:val="24"/>
          <w:szCs w:val="24"/>
          <w:lang w:val="da-DK"/>
        </w:rPr>
        <w:lastRenderedPageBreak/>
        <w:t>enzyminducerende antiepileptika ved randomiseringen (ja/nej).</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De væsentlige sekundære endepunkter i hierakisk, testet rækkefølge omfattede den absolutte ændring i frekvens af totale anfaldshændelser pr. 24-timer EEG fra </w:t>
      </w:r>
      <w:r>
        <w:rPr>
          <w:iCs/>
          <w:sz w:val="24"/>
          <w:szCs w:val="24"/>
          <w:lang w:val="da-DK"/>
        </w:rPr>
        <w:t>baseline t</w:t>
      </w:r>
      <w:r>
        <w:rPr>
          <w:sz w:val="24"/>
          <w:szCs w:val="24"/>
          <w:lang w:val="da-DK"/>
        </w:rPr>
        <w:t>il uge 24, tid til SEGA-progression, og hudlæsion responsrate.</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I alt 117 patienter blev randomiseret, 78 til everolimus og 39 til placebo. De to behandlingsarme var generelt balancerede med hensyn til demografiske og </w:t>
      </w:r>
      <w:r>
        <w:rPr>
          <w:iCs/>
          <w:sz w:val="24"/>
          <w:szCs w:val="24"/>
          <w:lang w:val="da-DK"/>
        </w:rPr>
        <w:t>baseline</w:t>
      </w:r>
      <w:r>
        <w:rPr>
          <w:i/>
          <w:sz w:val="24"/>
          <w:szCs w:val="24"/>
          <w:lang w:val="da-DK"/>
        </w:rPr>
        <w:t xml:space="preserve"> </w:t>
      </w:r>
      <w:r>
        <w:rPr>
          <w:sz w:val="24"/>
          <w:szCs w:val="24"/>
          <w:lang w:val="da-DK"/>
        </w:rPr>
        <w:t>sygdomskarakteristika og anti-SEGA terapier i anamnesen. I den totale population var 57,3 % af patienterne mænd og 93,2 % var kaukasere. Medianalderen for den totale population var 9,5 år (aldersinterval for everolimus-armen: 1,0 til 23,9; aldersinterval for placebo-armen: 0,8 til 26,6), 69,2 % af patienterne var 3 til &lt;18 år og 17,1 % var &lt;3 år ved inklusion.</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79,5 % af de inkluderede patienter havde bilaterale SEGAer, 42,7 % havde ≥2 mål-SEGA-læsioner, 25,6 % havde lavere vækst, 9,4 % havde evidens for dyb parenkymal invasion, 6,8 % havde radiografisk evidens for hydrocefalus, og 6,8 % havde fået foretaget tidligere SEGA-relateret operation. 94,0 % havde hudlæsioner ved </w:t>
      </w:r>
      <w:r>
        <w:rPr>
          <w:i/>
          <w:sz w:val="24"/>
          <w:szCs w:val="24"/>
          <w:lang w:val="da-DK"/>
        </w:rPr>
        <w:t>baseline</w:t>
      </w:r>
      <w:r>
        <w:rPr>
          <w:sz w:val="24"/>
          <w:szCs w:val="24"/>
          <w:lang w:val="da-DK"/>
        </w:rPr>
        <w:t>, og 37,6 % havde renal angiomyolipom-læsioner (mindst et angiomyolipom ≥1 cm for den længste diameter).</w:t>
      </w:r>
    </w:p>
    <w:p w:rsidR="000B424C" w:rsidRDefault="000B424C" w:rsidP="000B424C">
      <w:pPr>
        <w:pStyle w:val="Brdtekst"/>
        <w:spacing w:before="10"/>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Medianvarigheden af blindet studiebehandling var 9,6 måneder (interval: 5,5 til 18,1) for patienter, der fik everolimus og 8,3 måneder (interval: 3,2 til 18,3) for patienter, der fik placebo.</w:t>
      </w:r>
    </w:p>
    <w:p w:rsidR="000B424C" w:rsidRDefault="000B424C" w:rsidP="000B424C">
      <w:pPr>
        <w:ind w:left="851"/>
        <w:rPr>
          <w:i/>
          <w:iCs/>
          <w:sz w:val="24"/>
          <w:szCs w:val="24"/>
        </w:rPr>
      </w:pPr>
    </w:p>
    <w:p w:rsidR="000B424C" w:rsidRDefault="000B424C" w:rsidP="000B424C">
      <w:pPr>
        <w:pStyle w:val="Brdtekst"/>
        <w:spacing w:before="70"/>
        <w:ind w:left="851" w:right="-1"/>
        <w:rPr>
          <w:sz w:val="24"/>
          <w:szCs w:val="24"/>
          <w:lang w:val="da-DK"/>
        </w:rPr>
      </w:pPr>
      <w:r>
        <w:rPr>
          <w:sz w:val="24"/>
          <w:szCs w:val="24"/>
          <w:lang w:val="da-DK"/>
        </w:rPr>
        <w:t>Resultaterne viste, at everolimus var bedre end placebo for det primære endepunkt for bedste overordnede SEGA-respons (p&lt;0,0001). Responsrater var 34,6 % (95 % CI: 24,2, 46,2) for everolimus-armen sammenlignet med 0 % (95 % CI: 0,0, 9,0) for placebo-armen (Tabel 10). Desuden havde alle 8 patienter i everolimus-armen, som havde radiografisk evidens for hydrocephalus, et fald i ventrikulær volumen.</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Patienter, som oprindelig fik placebo, fik lov til at skifte over til everolimus ved SEGA-progression og efter erkendelse af, at behandling med everolimus var overlegen i forhold til placebo. Alle patienter, som fik mindst én dosis everolimus, blev fulgt indtil seponering af lægemidlet eller studieafslutning. Den mediane eksponeringsvarighed for denne gruppe patienter var 204,9 uger (interval 8,1 til 253,7) ved tidspunktet for den endelige analyse. Den bedste samlede SEGA-responsrate var steget til 57,7 % (95 % CI: 47,9; 67,0) ved den endelige analyse.</w:t>
      </w:r>
    </w:p>
    <w:p w:rsidR="000B424C" w:rsidRDefault="000B424C" w:rsidP="000B424C">
      <w:pPr>
        <w:pStyle w:val="Brdtekst"/>
        <w:spacing w:before="1"/>
        <w:ind w:left="851"/>
        <w:rPr>
          <w:sz w:val="24"/>
          <w:szCs w:val="24"/>
          <w:lang w:val="da-DK"/>
        </w:rPr>
      </w:pPr>
    </w:p>
    <w:p w:rsidR="000B424C" w:rsidRDefault="000B424C" w:rsidP="000B424C">
      <w:pPr>
        <w:pStyle w:val="Brdtekst"/>
        <w:ind w:left="851"/>
        <w:rPr>
          <w:sz w:val="24"/>
          <w:szCs w:val="24"/>
          <w:lang w:val="da-DK"/>
        </w:rPr>
      </w:pPr>
      <w:r>
        <w:rPr>
          <w:sz w:val="24"/>
          <w:szCs w:val="24"/>
          <w:lang w:val="da-DK"/>
        </w:rPr>
        <w:t>Ingen patienter krævede kirugiske indgreb for SEGA under studieforløbet.</w:t>
      </w:r>
    </w:p>
    <w:p w:rsidR="000B424C" w:rsidRDefault="000B424C" w:rsidP="000B424C">
      <w:pPr>
        <w:ind w:left="851"/>
        <w:rPr>
          <w:i/>
          <w:iCs/>
          <w:sz w:val="24"/>
          <w:szCs w:val="24"/>
        </w:rPr>
      </w:pPr>
    </w:p>
    <w:p w:rsidR="000B424C" w:rsidRDefault="000B424C" w:rsidP="000B424C">
      <w:pPr>
        <w:ind w:left="851"/>
        <w:rPr>
          <w:i/>
          <w:iCs/>
          <w:sz w:val="24"/>
          <w:szCs w:val="24"/>
        </w:rPr>
      </w:pPr>
      <w:r>
        <w:rPr>
          <w:b/>
          <w:bCs/>
          <w:sz w:val="24"/>
          <w:szCs w:val="24"/>
        </w:rPr>
        <w:t xml:space="preserve">Tabel 10. </w:t>
      </w:r>
      <w:r>
        <w:rPr>
          <w:b/>
          <w:bCs/>
          <w:sz w:val="24"/>
          <w:szCs w:val="24"/>
        </w:rPr>
        <w:tab/>
      </w:r>
      <w:r>
        <w:rPr>
          <w:b/>
          <w:bCs/>
          <w:position w:val="2"/>
        </w:rPr>
        <w:t>EXIST-1 – SEGA respons</w:t>
      </w:r>
    </w:p>
    <w:p w:rsidR="000B424C" w:rsidRDefault="000B424C" w:rsidP="000B424C">
      <w:pPr>
        <w:pStyle w:val="Brdtekst"/>
        <w:rPr>
          <w:b/>
        </w:rPr>
      </w:pPr>
    </w:p>
    <w:tbl>
      <w:tblPr>
        <w:tblW w:w="9195" w:type="dxa"/>
        <w:tblInd w:w="709" w:type="dxa"/>
        <w:tblLayout w:type="fixed"/>
        <w:tblCellMar>
          <w:left w:w="0" w:type="dxa"/>
          <w:right w:w="0" w:type="dxa"/>
        </w:tblCellMar>
        <w:tblLook w:val="01E0" w:firstRow="1" w:lastRow="1" w:firstColumn="1" w:lastColumn="1" w:noHBand="0" w:noVBand="0"/>
      </w:tblPr>
      <w:tblGrid>
        <w:gridCol w:w="3681"/>
        <w:gridCol w:w="1741"/>
        <w:gridCol w:w="1123"/>
        <w:gridCol w:w="1247"/>
        <w:gridCol w:w="1403"/>
      </w:tblGrid>
      <w:tr w:rsidR="000B424C" w:rsidTr="000B424C">
        <w:trPr>
          <w:trHeight w:val="505"/>
        </w:trPr>
        <w:tc>
          <w:tcPr>
            <w:tcW w:w="7789" w:type="dxa"/>
            <w:gridSpan w:val="4"/>
            <w:tcBorders>
              <w:top w:val="single" w:sz="6" w:space="0" w:color="000000"/>
              <w:left w:val="nil"/>
              <w:bottom w:val="single" w:sz="6" w:space="0" w:color="000000"/>
              <w:right w:val="single" w:sz="4" w:space="0" w:color="000000"/>
            </w:tcBorders>
            <w:hideMark/>
          </w:tcPr>
          <w:p w:rsidR="000B424C" w:rsidRDefault="000B424C">
            <w:pPr>
              <w:pStyle w:val="TableParagraph"/>
              <w:spacing w:line="254" w:lineRule="exact"/>
              <w:ind w:left="4603"/>
              <w:rPr>
                <w:b/>
                <w:sz w:val="14"/>
              </w:rPr>
            </w:pPr>
            <w:r>
              <w:rPr>
                <w:b/>
              </w:rPr>
              <w:t>Primær analyse</w:t>
            </w:r>
            <w:r>
              <w:rPr>
                <w:b/>
                <w:position w:val="8"/>
                <w:sz w:val="14"/>
              </w:rPr>
              <w:t>3</w:t>
            </w:r>
          </w:p>
        </w:tc>
        <w:tc>
          <w:tcPr>
            <w:tcW w:w="1403" w:type="dxa"/>
            <w:tcBorders>
              <w:top w:val="single" w:sz="6" w:space="0" w:color="000000"/>
              <w:left w:val="single" w:sz="4" w:space="0" w:color="000000"/>
              <w:bottom w:val="single" w:sz="6" w:space="0" w:color="000000"/>
              <w:right w:val="nil"/>
            </w:tcBorders>
            <w:hideMark/>
          </w:tcPr>
          <w:p w:rsidR="000B424C" w:rsidRDefault="000B424C">
            <w:pPr>
              <w:pStyle w:val="TableParagraph"/>
              <w:spacing w:before="4" w:line="252" w:lineRule="exact"/>
              <w:ind w:left="254" w:right="237" w:firstLine="21"/>
              <w:rPr>
                <w:b/>
                <w:sz w:val="14"/>
              </w:rPr>
            </w:pPr>
            <w:r>
              <w:rPr>
                <w:b/>
              </w:rPr>
              <w:t>Endelig analyse</w:t>
            </w:r>
            <w:r>
              <w:rPr>
                <w:b/>
                <w:position w:val="8"/>
                <w:sz w:val="14"/>
              </w:rPr>
              <w:t>4</w:t>
            </w:r>
          </w:p>
        </w:tc>
      </w:tr>
      <w:tr w:rsidR="000B424C" w:rsidTr="000B424C">
        <w:trPr>
          <w:trHeight w:val="255"/>
        </w:trPr>
        <w:tc>
          <w:tcPr>
            <w:tcW w:w="3679" w:type="dxa"/>
            <w:tcBorders>
              <w:top w:val="single" w:sz="6" w:space="0" w:color="000000"/>
              <w:left w:val="nil"/>
              <w:bottom w:val="nil"/>
              <w:right w:val="nil"/>
            </w:tcBorders>
          </w:tcPr>
          <w:p w:rsidR="000B424C" w:rsidRDefault="000B424C">
            <w:pPr>
              <w:pStyle w:val="TableParagraph"/>
              <w:ind w:left="0"/>
              <w:rPr>
                <w:sz w:val="18"/>
              </w:rPr>
            </w:pPr>
          </w:p>
        </w:tc>
        <w:tc>
          <w:tcPr>
            <w:tcW w:w="1740" w:type="dxa"/>
            <w:tcBorders>
              <w:top w:val="single" w:sz="6" w:space="0" w:color="000000"/>
              <w:left w:val="nil"/>
              <w:bottom w:val="nil"/>
              <w:right w:val="nil"/>
            </w:tcBorders>
            <w:hideMark/>
          </w:tcPr>
          <w:p w:rsidR="000B424C" w:rsidRDefault="000B424C">
            <w:pPr>
              <w:pStyle w:val="TableParagraph"/>
              <w:spacing w:line="235" w:lineRule="exact"/>
              <w:ind w:left="0" w:right="218"/>
              <w:jc w:val="right"/>
              <w:rPr>
                <w:b/>
              </w:rPr>
            </w:pPr>
            <w:r>
              <w:rPr>
                <w:b/>
              </w:rPr>
              <w:t>Everolimus</w:t>
            </w:r>
          </w:p>
        </w:tc>
        <w:tc>
          <w:tcPr>
            <w:tcW w:w="1123" w:type="dxa"/>
            <w:tcBorders>
              <w:top w:val="single" w:sz="6" w:space="0" w:color="000000"/>
              <w:left w:val="nil"/>
              <w:bottom w:val="nil"/>
              <w:right w:val="nil"/>
            </w:tcBorders>
            <w:hideMark/>
          </w:tcPr>
          <w:p w:rsidR="000B424C" w:rsidRDefault="000B424C">
            <w:pPr>
              <w:pStyle w:val="TableParagraph"/>
              <w:spacing w:line="235" w:lineRule="exact"/>
              <w:ind w:left="137" w:right="211"/>
              <w:jc w:val="center"/>
              <w:rPr>
                <w:b/>
              </w:rPr>
            </w:pPr>
            <w:r>
              <w:rPr>
                <w:b/>
              </w:rPr>
              <w:t>Placebo</w:t>
            </w:r>
          </w:p>
        </w:tc>
        <w:tc>
          <w:tcPr>
            <w:tcW w:w="1247" w:type="dxa"/>
            <w:tcBorders>
              <w:top w:val="single" w:sz="6" w:space="0" w:color="000000"/>
              <w:left w:val="nil"/>
              <w:bottom w:val="nil"/>
              <w:right w:val="single" w:sz="4" w:space="0" w:color="000000"/>
            </w:tcBorders>
            <w:hideMark/>
          </w:tcPr>
          <w:p w:rsidR="000B424C" w:rsidRDefault="000B424C">
            <w:pPr>
              <w:pStyle w:val="TableParagraph"/>
              <w:spacing w:line="235" w:lineRule="exact"/>
              <w:ind w:left="231"/>
              <w:rPr>
                <w:b/>
              </w:rPr>
            </w:pPr>
            <w:r>
              <w:rPr>
                <w:b/>
              </w:rPr>
              <w:t>p-værdi</w:t>
            </w:r>
          </w:p>
        </w:tc>
        <w:tc>
          <w:tcPr>
            <w:tcW w:w="1403" w:type="dxa"/>
            <w:tcBorders>
              <w:top w:val="single" w:sz="6" w:space="0" w:color="000000"/>
              <w:left w:val="single" w:sz="4" w:space="0" w:color="000000"/>
              <w:bottom w:val="nil"/>
              <w:right w:val="nil"/>
            </w:tcBorders>
            <w:hideMark/>
          </w:tcPr>
          <w:p w:rsidR="000B424C" w:rsidRDefault="000B424C">
            <w:pPr>
              <w:pStyle w:val="TableParagraph"/>
              <w:spacing w:line="235" w:lineRule="exact"/>
              <w:ind w:left="257"/>
              <w:rPr>
                <w:b/>
              </w:rPr>
            </w:pPr>
            <w:r>
              <w:rPr>
                <w:b/>
              </w:rPr>
              <w:t>Everolimus</w:t>
            </w:r>
          </w:p>
        </w:tc>
      </w:tr>
      <w:tr w:rsidR="000B424C" w:rsidTr="000B424C">
        <w:trPr>
          <w:trHeight w:val="250"/>
        </w:trPr>
        <w:tc>
          <w:tcPr>
            <w:tcW w:w="3679" w:type="dxa"/>
            <w:tcBorders>
              <w:top w:val="nil"/>
              <w:left w:val="nil"/>
              <w:bottom w:val="single" w:sz="4" w:space="0" w:color="000000"/>
              <w:right w:val="nil"/>
            </w:tcBorders>
          </w:tcPr>
          <w:p w:rsidR="000B424C" w:rsidRDefault="000B424C">
            <w:pPr>
              <w:pStyle w:val="TableParagraph"/>
              <w:ind w:left="0"/>
              <w:rPr>
                <w:sz w:val="18"/>
              </w:rPr>
            </w:pPr>
          </w:p>
        </w:tc>
        <w:tc>
          <w:tcPr>
            <w:tcW w:w="1740" w:type="dxa"/>
            <w:tcBorders>
              <w:top w:val="nil"/>
              <w:left w:val="nil"/>
              <w:bottom w:val="single" w:sz="4" w:space="0" w:color="000000"/>
              <w:right w:val="nil"/>
            </w:tcBorders>
            <w:hideMark/>
          </w:tcPr>
          <w:p w:rsidR="000B424C" w:rsidRDefault="000B424C">
            <w:pPr>
              <w:pStyle w:val="TableParagraph"/>
              <w:spacing w:line="231" w:lineRule="exact"/>
              <w:ind w:left="886"/>
              <w:rPr>
                <w:b/>
              </w:rPr>
            </w:pPr>
            <w:r>
              <w:rPr>
                <w:b/>
              </w:rPr>
              <w:t>N=78</w:t>
            </w:r>
          </w:p>
        </w:tc>
        <w:tc>
          <w:tcPr>
            <w:tcW w:w="1123" w:type="dxa"/>
            <w:tcBorders>
              <w:top w:val="nil"/>
              <w:left w:val="nil"/>
              <w:bottom w:val="single" w:sz="4" w:space="0" w:color="000000"/>
              <w:right w:val="nil"/>
            </w:tcBorders>
            <w:hideMark/>
          </w:tcPr>
          <w:p w:rsidR="000B424C" w:rsidRDefault="000B424C">
            <w:pPr>
              <w:pStyle w:val="TableParagraph"/>
              <w:spacing w:line="231" w:lineRule="exact"/>
              <w:ind w:left="134" w:right="211"/>
              <w:jc w:val="center"/>
              <w:rPr>
                <w:b/>
              </w:rPr>
            </w:pPr>
            <w:r>
              <w:rPr>
                <w:b/>
              </w:rPr>
              <w:t>N=39</w:t>
            </w:r>
          </w:p>
        </w:tc>
        <w:tc>
          <w:tcPr>
            <w:tcW w:w="1247" w:type="dxa"/>
            <w:tcBorders>
              <w:top w:val="nil"/>
              <w:left w:val="nil"/>
              <w:bottom w:val="single" w:sz="4" w:space="0" w:color="000000"/>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single" w:sz="4" w:space="0" w:color="000000"/>
              <w:right w:val="nil"/>
            </w:tcBorders>
            <w:hideMark/>
          </w:tcPr>
          <w:p w:rsidR="000B424C" w:rsidRDefault="000B424C">
            <w:pPr>
              <w:pStyle w:val="TableParagraph"/>
              <w:spacing w:line="231" w:lineRule="exact"/>
              <w:ind w:left="329"/>
              <w:rPr>
                <w:b/>
              </w:rPr>
            </w:pPr>
            <w:r>
              <w:rPr>
                <w:b/>
              </w:rPr>
              <w:t>N=111</w:t>
            </w:r>
          </w:p>
        </w:tc>
      </w:tr>
      <w:tr w:rsidR="000B424C" w:rsidTr="000B424C">
        <w:trPr>
          <w:trHeight w:val="255"/>
        </w:trPr>
        <w:tc>
          <w:tcPr>
            <w:tcW w:w="3679" w:type="dxa"/>
            <w:tcBorders>
              <w:top w:val="single" w:sz="4" w:space="0" w:color="000000"/>
              <w:left w:val="nil"/>
              <w:bottom w:val="nil"/>
              <w:right w:val="nil"/>
            </w:tcBorders>
            <w:hideMark/>
          </w:tcPr>
          <w:p w:rsidR="000B424C" w:rsidRDefault="000B424C">
            <w:pPr>
              <w:pStyle w:val="TableParagraph"/>
              <w:spacing w:line="235" w:lineRule="exact"/>
              <w:ind w:left="626"/>
            </w:pPr>
            <w:r>
              <w:t>SEGA responsrate</w:t>
            </w:r>
            <w:r>
              <w:rPr>
                <w:position w:val="8"/>
                <w:sz w:val="14"/>
              </w:rPr>
              <w:t xml:space="preserve">1, 2 </w:t>
            </w:r>
            <w:r>
              <w:t>- (%)</w:t>
            </w:r>
          </w:p>
        </w:tc>
        <w:tc>
          <w:tcPr>
            <w:tcW w:w="1740" w:type="dxa"/>
            <w:tcBorders>
              <w:top w:val="single" w:sz="4" w:space="0" w:color="000000"/>
              <w:left w:val="nil"/>
              <w:bottom w:val="nil"/>
              <w:right w:val="nil"/>
            </w:tcBorders>
            <w:hideMark/>
          </w:tcPr>
          <w:p w:rsidR="000B424C" w:rsidRDefault="000B424C">
            <w:pPr>
              <w:pStyle w:val="TableParagraph"/>
              <w:spacing w:line="235" w:lineRule="exact"/>
              <w:ind w:left="946"/>
            </w:pPr>
            <w:r>
              <w:t>34,6</w:t>
            </w:r>
          </w:p>
        </w:tc>
        <w:tc>
          <w:tcPr>
            <w:tcW w:w="1123" w:type="dxa"/>
            <w:tcBorders>
              <w:top w:val="single" w:sz="4" w:space="0" w:color="000000"/>
              <w:left w:val="nil"/>
              <w:bottom w:val="nil"/>
              <w:right w:val="nil"/>
            </w:tcBorders>
            <w:hideMark/>
          </w:tcPr>
          <w:p w:rsidR="000B424C" w:rsidRDefault="000B424C">
            <w:pPr>
              <w:pStyle w:val="TableParagraph"/>
              <w:spacing w:line="235" w:lineRule="exact"/>
              <w:ind w:left="0" w:right="77"/>
              <w:jc w:val="center"/>
            </w:pPr>
            <w:r>
              <w:t>0</w:t>
            </w:r>
          </w:p>
        </w:tc>
        <w:tc>
          <w:tcPr>
            <w:tcW w:w="1247" w:type="dxa"/>
            <w:tcBorders>
              <w:top w:val="single" w:sz="4" w:space="0" w:color="000000"/>
              <w:left w:val="nil"/>
              <w:bottom w:val="nil"/>
              <w:right w:val="single" w:sz="4" w:space="0" w:color="000000"/>
            </w:tcBorders>
            <w:hideMark/>
          </w:tcPr>
          <w:p w:rsidR="000B424C" w:rsidRDefault="000B424C">
            <w:pPr>
              <w:pStyle w:val="TableParagraph"/>
              <w:spacing w:line="235" w:lineRule="exact"/>
              <w:ind w:left="238"/>
            </w:pPr>
            <w:r>
              <w:t>&lt;0,0001</w:t>
            </w:r>
          </w:p>
        </w:tc>
        <w:tc>
          <w:tcPr>
            <w:tcW w:w="1403" w:type="dxa"/>
            <w:tcBorders>
              <w:top w:val="single" w:sz="4" w:space="0" w:color="000000"/>
              <w:left w:val="single" w:sz="4" w:space="0" w:color="000000"/>
              <w:bottom w:val="nil"/>
              <w:right w:val="nil"/>
            </w:tcBorders>
            <w:hideMark/>
          </w:tcPr>
          <w:p w:rsidR="000B424C" w:rsidRDefault="000B424C">
            <w:pPr>
              <w:pStyle w:val="TableParagraph"/>
              <w:spacing w:line="235" w:lineRule="exact"/>
              <w:ind w:left="425" w:right="425"/>
              <w:jc w:val="center"/>
            </w:pPr>
            <w:r>
              <w:t>57,7</w:t>
            </w:r>
          </w:p>
        </w:tc>
      </w:tr>
      <w:tr w:rsidR="000B424C" w:rsidTr="000B424C">
        <w:trPr>
          <w:trHeight w:val="253"/>
        </w:trPr>
        <w:tc>
          <w:tcPr>
            <w:tcW w:w="3679" w:type="dxa"/>
            <w:hideMark/>
          </w:tcPr>
          <w:p w:rsidR="000B424C" w:rsidRDefault="000B424C">
            <w:pPr>
              <w:pStyle w:val="TableParagraph"/>
              <w:spacing w:line="233" w:lineRule="exact"/>
              <w:ind w:left="626"/>
            </w:pPr>
            <w:r>
              <w:t>95 % CI</w:t>
            </w:r>
          </w:p>
        </w:tc>
        <w:tc>
          <w:tcPr>
            <w:tcW w:w="1740" w:type="dxa"/>
            <w:hideMark/>
          </w:tcPr>
          <w:p w:rsidR="000B424C" w:rsidRDefault="000B424C">
            <w:pPr>
              <w:pStyle w:val="TableParagraph"/>
              <w:spacing w:line="233" w:lineRule="exact"/>
              <w:ind w:left="0" w:right="152"/>
              <w:jc w:val="right"/>
            </w:pPr>
            <w:r>
              <w:t>24,2; 46,2</w:t>
            </w:r>
          </w:p>
        </w:tc>
        <w:tc>
          <w:tcPr>
            <w:tcW w:w="1123" w:type="dxa"/>
            <w:hideMark/>
          </w:tcPr>
          <w:p w:rsidR="000B424C" w:rsidRDefault="000B424C">
            <w:pPr>
              <w:pStyle w:val="TableParagraph"/>
              <w:spacing w:line="233" w:lineRule="exact"/>
              <w:ind w:left="137" w:right="211"/>
              <w:jc w:val="center"/>
            </w:pPr>
            <w:r>
              <w:t>0,0; 9,0</w:t>
            </w:r>
          </w:p>
        </w:tc>
        <w:tc>
          <w:tcPr>
            <w:tcW w:w="1247" w:type="dxa"/>
            <w:tcBorders>
              <w:top w:val="nil"/>
              <w:left w:val="nil"/>
              <w:bottom w:val="nil"/>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nil"/>
              <w:right w:val="nil"/>
            </w:tcBorders>
            <w:hideMark/>
          </w:tcPr>
          <w:p w:rsidR="000B424C" w:rsidRDefault="000B424C">
            <w:pPr>
              <w:pStyle w:val="TableParagraph"/>
              <w:spacing w:line="233" w:lineRule="exact"/>
              <w:ind w:left="194"/>
            </w:pPr>
            <w:r>
              <w:t>47,9; 67,0</w:t>
            </w:r>
          </w:p>
        </w:tc>
      </w:tr>
      <w:tr w:rsidR="000B424C" w:rsidTr="000B424C">
        <w:trPr>
          <w:trHeight w:val="253"/>
        </w:trPr>
        <w:tc>
          <w:tcPr>
            <w:tcW w:w="5419" w:type="dxa"/>
            <w:gridSpan w:val="2"/>
            <w:hideMark/>
          </w:tcPr>
          <w:p w:rsidR="000B424C" w:rsidRDefault="000B424C">
            <w:pPr>
              <w:pStyle w:val="TableParagraph"/>
              <w:spacing w:line="233" w:lineRule="exact"/>
              <w:ind w:left="60"/>
              <w:rPr>
                <w:b/>
              </w:rPr>
            </w:pPr>
            <w:r>
              <w:rPr>
                <w:b/>
              </w:rPr>
              <w:t>Bedste overordnede SEGA respons - (%)</w:t>
            </w:r>
          </w:p>
        </w:tc>
        <w:tc>
          <w:tcPr>
            <w:tcW w:w="1123" w:type="dxa"/>
          </w:tcPr>
          <w:p w:rsidR="000B424C" w:rsidRDefault="000B424C">
            <w:pPr>
              <w:pStyle w:val="TableParagraph"/>
              <w:ind w:left="0"/>
              <w:rPr>
                <w:sz w:val="18"/>
              </w:rPr>
            </w:pPr>
          </w:p>
        </w:tc>
        <w:tc>
          <w:tcPr>
            <w:tcW w:w="1247" w:type="dxa"/>
            <w:tcBorders>
              <w:top w:val="nil"/>
              <w:left w:val="nil"/>
              <w:bottom w:val="nil"/>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nil"/>
              <w:right w:val="nil"/>
            </w:tcBorders>
          </w:tcPr>
          <w:p w:rsidR="000B424C" w:rsidRDefault="000B424C">
            <w:pPr>
              <w:pStyle w:val="TableParagraph"/>
              <w:ind w:left="0"/>
              <w:rPr>
                <w:sz w:val="18"/>
              </w:rPr>
            </w:pPr>
          </w:p>
        </w:tc>
      </w:tr>
      <w:tr w:rsidR="000B424C" w:rsidTr="000B424C">
        <w:trPr>
          <w:trHeight w:val="252"/>
        </w:trPr>
        <w:tc>
          <w:tcPr>
            <w:tcW w:w="3679" w:type="dxa"/>
            <w:hideMark/>
          </w:tcPr>
          <w:p w:rsidR="000B424C" w:rsidRDefault="000B424C">
            <w:pPr>
              <w:pStyle w:val="TableParagraph"/>
              <w:spacing w:line="232" w:lineRule="exact"/>
              <w:ind w:left="626"/>
            </w:pPr>
            <w:r>
              <w:t>Respons</w:t>
            </w:r>
          </w:p>
        </w:tc>
        <w:tc>
          <w:tcPr>
            <w:tcW w:w="1740" w:type="dxa"/>
            <w:hideMark/>
          </w:tcPr>
          <w:p w:rsidR="000B424C" w:rsidRDefault="000B424C">
            <w:pPr>
              <w:pStyle w:val="TableParagraph"/>
              <w:spacing w:line="232" w:lineRule="exact"/>
              <w:ind w:left="946"/>
            </w:pPr>
            <w:r>
              <w:t>34,6</w:t>
            </w:r>
          </w:p>
        </w:tc>
        <w:tc>
          <w:tcPr>
            <w:tcW w:w="1123" w:type="dxa"/>
            <w:hideMark/>
          </w:tcPr>
          <w:p w:rsidR="000B424C" w:rsidRDefault="000B424C">
            <w:pPr>
              <w:pStyle w:val="TableParagraph"/>
              <w:spacing w:line="232" w:lineRule="exact"/>
              <w:ind w:left="0" w:right="77"/>
              <w:jc w:val="center"/>
            </w:pPr>
            <w:r>
              <w:t>0</w:t>
            </w:r>
          </w:p>
        </w:tc>
        <w:tc>
          <w:tcPr>
            <w:tcW w:w="1247" w:type="dxa"/>
            <w:tcBorders>
              <w:top w:val="nil"/>
              <w:left w:val="nil"/>
              <w:bottom w:val="nil"/>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nil"/>
              <w:right w:val="nil"/>
            </w:tcBorders>
            <w:hideMark/>
          </w:tcPr>
          <w:p w:rsidR="000B424C" w:rsidRDefault="000B424C">
            <w:pPr>
              <w:pStyle w:val="TableParagraph"/>
              <w:spacing w:line="232" w:lineRule="exact"/>
              <w:ind w:left="425" w:right="425"/>
              <w:jc w:val="center"/>
            </w:pPr>
            <w:r>
              <w:t>57,7</w:t>
            </w:r>
          </w:p>
        </w:tc>
      </w:tr>
      <w:tr w:rsidR="000B424C" w:rsidTr="000B424C">
        <w:trPr>
          <w:trHeight w:val="253"/>
        </w:trPr>
        <w:tc>
          <w:tcPr>
            <w:tcW w:w="3679" w:type="dxa"/>
            <w:hideMark/>
          </w:tcPr>
          <w:p w:rsidR="000B424C" w:rsidRDefault="000B424C">
            <w:pPr>
              <w:pStyle w:val="TableParagraph"/>
              <w:spacing w:line="233" w:lineRule="exact"/>
              <w:ind w:left="626"/>
            </w:pPr>
            <w:r>
              <w:t>Stabil sygdom</w:t>
            </w:r>
          </w:p>
        </w:tc>
        <w:tc>
          <w:tcPr>
            <w:tcW w:w="1740" w:type="dxa"/>
            <w:hideMark/>
          </w:tcPr>
          <w:p w:rsidR="000B424C" w:rsidRDefault="000B424C">
            <w:pPr>
              <w:pStyle w:val="TableParagraph"/>
              <w:spacing w:line="233" w:lineRule="exact"/>
              <w:ind w:left="946"/>
            </w:pPr>
            <w:r>
              <w:t>62,8</w:t>
            </w:r>
          </w:p>
        </w:tc>
        <w:tc>
          <w:tcPr>
            <w:tcW w:w="1123" w:type="dxa"/>
            <w:hideMark/>
          </w:tcPr>
          <w:p w:rsidR="000B424C" w:rsidRDefault="000B424C">
            <w:pPr>
              <w:pStyle w:val="TableParagraph"/>
              <w:spacing w:line="233" w:lineRule="exact"/>
              <w:ind w:left="137" w:right="211"/>
              <w:jc w:val="center"/>
            </w:pPr>
            <w:r>
              <w:t>92,3</w:t>
            </w:r>
          </w:p>
        </w:tc>
        <w:tc>
          <w:tcPr>
            <w:tcW w:w="1247" w:type="dxa"/>
            <w:tcBorders>
              <w:top w:val="nil"/>
              <w:left w:val="nil"/>
              <w:bottom w:val="nil"/>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nil"/>
              <w:right w:val="nil"/>
            </w:tcBorders>
            <w:hideMark/>
          </w:tcPr>
          <w:p w:rsidR="000B424C" w:rsidRDefault="000B424C">
            <w:pPr>
              <w:pStyle w:val="TableParagraph"/>
              <w:spacing w:line="233" w:lineRule="exact"/>
              <w:ind w:left="425" w:right="425"/>
              <w:jc w:val="center"/>
            </w:pPr>
            <w:r>
              <w:t>39,6</w:t>
            </w:r>
          </w:p>
        </w:tc>
      </w:tr>
      <w:tr w:rsidR="000B424C" w:rsidTr="000B424C">
        <w:trPr>
          <w:trHeight w:val="253"/>
        </w:trPr>
        <w:tc>
          <w:tcPr>
            <w:tcW w:w="3679" w:type="dxa"/>
            <w:hideMark/>
          </w:tcPr>
          <w:p w:rsidR="000B424C" w:rsidRDefault="000B424C">
            <w:pPr>
              <w:pStyle w:val="TableParagraph"/>
              <w:spacing w:line="233" w:lineRule="exact"/>
              <w:ind w:left="626"/>
            </w:pPr>
            <w:r>
              <w:t>Progression</w:t>
            </w:r>
          </w:p>
        </w:tc>
        <w:tc>
          <w:tcPr>
            <w:tcW w:w="1740" w:type="dxa"/>
            <w:hideMark/>
          </w:tcPr>
          <w:p w:rsidR="000B424C" w:rsidRDefault="000B424C">
            <w:pPr>
              <w:pStyle w:val="TableParagraph"/>
              <w:spacing w:line="233" w:lineRule="exact"/>
              <w:ind w:left="1083"/>
            </w:pPr>
            <w:r>
              <w:t>0</w:t>
            </w:r>
          </w:p>
        </w:tc>
        <w:tc>
          <w:tcPr>
            <w:tcW w:w="1123" w:type="dxa"/>
            <w:hideMark/>
          </w:tcPr>
          <w:p w:rsidR="000B424C" w:rsidRDefault="000B424C">
            <w:pPr>
              <w:pStyle w:val="TableParagraph"/>
              <w:spacing w:line="233" w:lineRule="exact"/>
              <w:ind w:left="137" w:right="211"/>
              <w:jc w:val="center"/>
            </w:pPr>
            <w:r>
              <w:t>7,7</w:t>
            </w:r>
          </w:p>
        </w:tc>
        <w:tc>
          <w:tcPr>
            <w:tcW w:w="1247" w:type="dxa"/>
            <w:tcBorders>
              <w:top w:val="nil"/>
              <w:left w:val="nil"/>
              <w:bottom w:val="nil"/>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nil"/>
              <w:right w:val="nil"/>
            </w:tcBorders>
            <w:hideMark/>
          </w:tcPr>
          <w:p w:rsidR="000B424C" w:rsidRDefault="000B424C">
            <w:pPr>
              <w:pStyle w:val="TableParagraph"/>
              <w:spacing w:line="233" w:lineRule="exact"/>
              <w:ind w:left="0" w:right="3"/>
              <w:jc w:val="center"/>
            </w:pPr>
            <w:r>
              <w:t>0</w:t>
            </w:r>
          </w:p>
        </w:tc>
      </w:tr>
      <w:tr w:rsidR="000B424C" w:rsidTr="000B424C">
        <w:trPr>
          <w:trHeight w:val="250"/>
        </w:trPr>
        <w:tc>
          <w:tcPr>
            <w:tcW w:w="3679" w:type="dxa"/>
            <w:tcBorders>
              <w:top w:val="nil"/>
              <w:left w:val="nil"/>
              <w:bottom w:val="single" w:sz="4" w:space="0" w:color="000000"/>
              <w:right w:val="nil"/>
            </w:tcBorders>
            <w:hideMark/>
          </w:tcPr>
          <w:p w:rsidR="000B424C" w:rsidRDefault="000B424C">
            <w:pPr>
              <w:pStyle w:val="TableParagraph"/>
              <w:spacing w:line="231" w:lineRule="exact"/>
              <w:ind w:left="626"/>
            </w:pPr>
            <w:r>
              <w:lastRenderedPageBreak/>
              <w:t>Ikke evaluerbar</w:t>
            </w:r>
          </w:p>
        </w:tc>
        <w:tc>
          <w:tcPr>
            <w:tcW w:w="1740" w:type="dxa"/>
            <w:tcBorders>
              <w:top w:val="nil"/>
              <w:left w:val="nil"/>
              <w:bottom w:val="single" w:sz="4" w:space="0" w:color="000000"/>
              <w:right w:val="nil"/>
            </w:tcBorders>
            <w:hideMark/>
          </w:tcPr>
          <w:p w:rsidR="000B424C" w:rsidRDefault="000B424C">
            <w:pPr>
              <w:pStyle w:val="TableParagraph"/>
              <w:spacing w:line="231" w:lineRule="exact"/>
              <w:ind w:left="1001"/>
            </w:pPr>
            <w:r>
              <w:t>2,6</w:t>
            </w:r>
          </w:p>
        </w:tc>
        <w:tc>
          <w:tcPr>
            <w:tcW w:w="1123" w:type="dxa"/>
            <w:tcBorders>
              <w:top w:val="nil"/>
              <w:left w:val="nil"/>
              <w:bottom w:val="single" w:sz="4" w:space="0" w:color="000000"/>
              <w:right w:val="nil"/>
            </w:tcBorders>
            <w:hideMark/>
          </w:tcPr>
          <w:p w:rsidR="000B424C" w:rsidRDefault="000B424C">
            <w:pPr>
              <w:pStyle w:val="TableParagraph"/>
              <w:spacing w:line="231" w:lineRule="exact"/>
              <w:ind w:left="0" w:right="77"/>
              <w:jc w:val="center"/>
            </w:pPr>
            <w:r>
              <w:t>0</w:t>
            </w:r>
          </w:p>
        </w:tc>
        <w:tc>
          <w:tcPr>
            <w:tcW w:w="1247" w:type="dxa"/>
            <w:tcBorders>
              <w:top w:val="nil"/>
              <w:left w:val="nil"/>
              <w:bottom w:val="single" w:sz="4" w:space="0" w:color="000000"/>
              <w:right w:val="single" w:sz="4" w:space="0" w:color="000000"/>
            </w:tcBorders>
          </w:tcPr>
          <w:p w:rsidR="000B424C" w:rsidRDefault="000B424C">
            <w:pPr>
              <w:pStyle w:val="TableParagraph"/>
              <w:ind w:left="0"/>
              <w:rPr>
                <w:sz w:val="18"/>
              </w:rPr>
            </w:pPr>
          </w:p>
        </w:tc>
        <w:tc>
          <w:tcPr>
            <w:tcW w:w="1403" w:type="dxa"/>
            <w:tcBorders>
              <w:top w:val="nil"/>
              <w:left w:val="single" w:sz="4" w:space="0" w:color="000000"/>
              <w:bottom w:val="single" w:sz="4" w:space="0" w:color="000000"/>
              <w:right w:val="nil"/>
            </w:tcBorders>
            <w:hideMark/>
          </w:tcPr>
          <w:p w:rsidR="000B424C" w:rsidRDefault="000B424C">
            <w:pPr>
              <w:pStyle w:val="TableParagraph"/>
              <w:spacing w:line="231" w:lineRule="exact"/>
              <w:ind w:left="425" w:right="425"/>
              <w:jc w:val="center"/>
            </w:pPr>
            <w:r>
              <w:t>2,7</w:t>
            </w:r>
          </w:p>
        </w:tc>
      </w:tr>
    </w:tbl>
    <w:p w:rsidR="000B424C" w:rsidRDefault="000B424C" w:rsidP="000B424C">
      <w:pPr>
        <w:pStyle w:val="Brdtekst"/>
        <w:spacing w:line="248" w:lineRule="exact"/>
        <w:ind w:left="1134"/>
        <w:rPr>
          <w:lang w:val="da-DK"/>
        </w:rPr>
      </w:pPr>
      <w:r>
        <w:rPr>
          <w:position w:val="8"/>
          <w:sz w:val="14"/>
          <w:lang w:val="da-DK"/>
        </w:rPr>
        <w:t xml:space="preserve">1 </w:t>
      </w:r>
      <w:r>
        <w:rPr>
          <w:position w:val="8"/>
          <w:sz w:val="14"/>
          <w:lang w:val="da-DK"/>
        </w:rPr>
        <w:tab/>
      </w:r>
      <w:r>
        <w:rPr>
          <w:lang w:val="da-DK"/>
        </w:rPr>
        <w:t>I henhold til uafhængig central radiologisk gennemgang</w:t>
      </w:r>
    </w:p>
    <w:p w:rsidR="000B424C" w:rsidRDefault="000B424C" w:rsidP="000B424C">
      <w:pPr>
        <w:pStyle w:val="Brdtekst"/>
        <w:ind w:left="1299" w:right="-1" w:hanging="165"/>
        <w:rPr>
          <w:lang w:val="da-DK"/>
        </w:rPr>
      </w:pPr>
      <w:r>
        <w:rPr>
          <w:position w:val="8"/>
          <w:sz w:val="14"/>
          <w:lang w:val="da-DK"/>
        </w:rPr>
        <w:t xml:space="preserve">2 </w:t>
      </w:r>
      <w:r>
        <w:rPr>
          <w:position w:val="8"/>
          <w:sz w:val="14"/>
          <w:lang w:val="da-DK"/>
        </w:rPr>
        <w:tab/>
      </w:r>
      <w:r>
        <w:rPr>
          <w:lang w:val="da-DK"/>
        </w:rPr>
        <w:t xml:space="preserve">SEGA-respons blev bekræftet med en yderligere scanning. Respons var defineret som: ≥50 % reduktion i summen af SEGA-volumen i forhold til </w:t>
      </w:r>
      <w:r>
        <w:rPr>
          <w:i/>
          <w:lang w:val="da-DK"/>
        </w:rPr>
        <w:t>baseline</w:t>
      </w:r>
      <w:r>
        <w:rPr>
          <w:lang w:val="da-DK"/>
        </w:rPr>
        <w:t>, plus ingen utvetydig forværring af ikke-mål-SEGA-læsioner, plus fravær af ny SEGA ≥1 cm for den længste diameter, plus ingen ny eller forværret hydrocephalus</w:t>
      </w:r>
    </w:p>
    <w:p w:rsidR="000B424C" w:rsidRDefault="000B424C" w:rsidP="000B424C">
      <w:pPr>
        <w:pStyle w:val="Brdtekst"/>
        <w:spacing w:line="251" w:lineRule="exact"/>
        <w:ind w:left="1134"/>
        <w:rPr>
          <w:lang w:val="da-DK"/>
        </w:rPr>
      </w:pPr>
      <w:r>
        <w:rPr>
          <w:position w:val="8"/>
          <w:sz w:val="14"/>
          <w:lang w:val="da-DK"/>
        </w:rPr>
        <w:t xml:space="preserve">3 </w:t>
      </w:r>
      <w:r>
        <w:rPr>
          <w:position w:val="8"/>
          <w:sz w:val="14"/>
          <w:lang w:val="da-DK"/>
        </w:rPr>
        <w:tab/>
      </w:r>
      <w:r>
        <w:rPr>
          <w:lang w:val="da-DK"/>
        </w:rPr>
        <w:t>Primær analyse for dobbeltblindet periode</w:t>
      </w:r>
    </w:p>
    <w:p w:rsidR="000B424C" w:rsidRDefault="000B424C" w:rsidP="000B424C">
      <w:pPr>
        <w:pStyle w:val="Brdtekst"/>
        <w:ind w:left="1299" w:right="-1" w:hanging="165"/>
        <w:rPr>
          <w:lang w:val="da-DK"/>
        </w:rPr>
      </w:pPr>
      <w:r>
        <w:rPr>
          <w:position w:val="8"/>
          <w:sz w:val="14"/>
          <w:lang w:val="da-DK"/>
        </w:rPr>
        <w:t xml:space="preserve">4 </w:t>
      </w:r>
      <w:r>
        <w:rPr>
          <w:position w:val="8"/>
          <w:sz w:val="14"/>
          <w:lang w:val="da-DK"/>
        </w:rPr>
        <w:tab/>
      </w:r>
      <w:r>
        <w:rPr>
          <w:lang w:val="da-DK"/>
        </w:rPr>
        <w:t>Endelig analyse inkluderer patienter, som skiftede over fra placebogruppen; median eksponeringsvarighed for everolimus på 204,9 uger</w:t>
      </w:r>
    </w:p>
    <w:p w:rsidR="000B424C" w:rsidRDefault="000B424C" w:rsidP="000B424C">
      <w:pPr>
        <w:pStyle w:val="Brdtekst"/>
        <w:rPr>
          <w:sz w:val="13"/>
          <w:lang w:val="da-DK"/>
        </w:rPr>
      </w:pPr>
    </w:p>
    <w:p w:rsidR="000B424C" w:rsidRDefault="000B424C" w:rsidP="000B424C">
      <w:pPr>
        <w:pStyle w:val="Brdtekst"/>
        <w:spacing w:before="91"/>
        <w:ind w:left="851" w:right="-1"/>
        <w:rPr>
          <w:sz w:val="24"/>
          <w:szCs w:val="24"/>
          <w:lang w:val="da-DK"/>
        </w:rPr>
      </w:pPr>
      <w:r>
        <w:rPr>
          <w:sz w:val="24"/>
          <w:szCs w:val="24"/>
          <w:lang w:val="da-DK"/>
        </w:rPr>
        <w:t>Konsistent behandlingseffekt sås på tværs af alle evaluerede undergrupper (dvs. brug af enzyminducerende antiepileptika i forhold til ingen brug af enzyminducerende antiepileptika, køn og alder) ved den primære analyse.</w:t>
      </w:r>
    </w:p>
    <w:p w:rsidR="000B424C" w:rsidRDefault="000B424C" w:rsidP="000B424C">
      <w:pPr>
        <w:pStyle w:val="Brdtekst"/>
        <w:spacing w:before="2"/>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løbet af den dobbeltblindede periode var reduktionen af SEGA-volumen tydelig inden for de første 12 ugers behandling med everolimus: 29,7 % (22/74) af patienterne havde ≥50 % reduktion af volumen, og 73,0 % (54/74) havde ≥30 % reduktion af volumen. Vedvarende reduktion var tydelig ved uge 24; 41,9 % (31/74) af patienterne havde ≥50 % reduktion, og 78,4 % (58/74) af patienterne havde ≥30 % reduktion i SEGA-volumen.</w:t>
      </w:r>
    </w:p>
    <w:p w:rsidR="000B424C" w:rsidRDefault="000B424C" w:rsidP="000B424C">
      <w:pPr>
        <w:pStyle w:val="Brdtekst"/>
        <w:spacing w:before="10"/>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studiepopulationen, som fik everolimus, inklusive patienter, som skiftede over fra placebogruppen (N=111), startede tumorresponset så tidligt som efter 12 uger på everolimus og var opretholdt på senere tidspunkter. Andelen af patienter, som opnåede mindst 50 % reduktion af SEGA-volumen, var 45,9 % (45/98) og 62,1 % (41/66) ved uge 96 og 192 efter start af everolimus. Tilsvarende var andelen af patienter, som opnåede mindst 30 % reduktion af SEGA-volumen, 71,4 % (70/98) og 77,3 % (51/66) ved uge 96 og 192 efter start af everolimus.</w:t>
      </w:r>
    </w:p>
    <w:p w:rsidR="000B424C" w:rsidRDefault="000B424C" w:rsidP="000B424C">
      <w:pPr>
        <w:pStyle w:val="Default"/>
        <w:ind w:left="851"/>
        <w:rPr>
          <w:i/>
          <w:iCs/>
        </w:rPr>
      </w:pPr>
    </w:p>
    <w:p w:rsidR="000B424C" w:rsidRDefault="000B424C" w:rsidP="000B424C">
      <w:pPr>
        <w:pStyle w:val="Brdtekst"/>
        <w:spacing w:before="70"/>
        <w:ind w:left="851" w:right="-1"/>
        <w:rPr>
          <w:sz w:val="24"/>
          <w:szCs w:val="24"/>
          <w:lang w:val="da-DK"/>
        </w:rPr>
      </w:pPr>
      <w:r>
        <w:rPr>
          <w:sz w:val="24"/>
          <w:szCs w:val="24"/>
          <w:lang w:val="da-DK"/>
        </w:rPr>
        <w:t>Analysen af det første væsentlige sekundære endepunkt, ændring i anfaldsfrekvens, var ikke entydig; derfor kunne de ikke erklæres formelt statistisk signifikante, selvom der blev observeret positive resultater for de to øvrige sekundære endepunkter (tid til SEGA-progression og hudlæsions-responsrate).</w:t>
      </w:r>
    </w:p>
    <w:p w:rsidR="000B424C" w:rsidRDefault="000B424C" w:rsidP="000B424C">
      <w:pPr>
        <w:pStyle w:val="Brdtekst"/>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Mediantiden til SEGA-progression, baseret på en central radiologisk gennemgang, blev ikke nået i nogen af behandlingsarmene. Progression blev kun observeret i placebo-armen (15,4 %; p=0,0002). Den estimerede progressionsfrie rate efter 6 måneder var 100 % for everolimus-armen og 85,7 % for placebo-armen. Langtidsopfølgning hos patienter, som blev randomiseret til everolimus, og patienter, som blev randomiseret til placebo, og som herefter skiftede over til everolimus, viste varigt respons.</w:t>
      </w:r>
    </w:p>
    <w:p w:rsidR="000B424C" w:rsidRDefault="000B424C" w:rsidP="000B424C">
      <w:pPr>
        <w:pStyle w:val="Brdtekst"/>
        <w:spacing w:before="10"/>
        <w:ind w:left="851"/>
        <w:rPr>
          <w:sz w:val="24"/>
          <w:szCs w:val="24"/>
          <w:lang w:val="da-DK"/>
        </w:rPr>
      </w:pPr>
    </w:p>
    <w:p w:rsidR="000B424C" w:rsidRDefault="000B424C" w:rsidP="000B424C">
      <w:pPr>
        <w:pStyle w:val="Brdtekst"/>
        <w:spacing w:line="252" w:lineRule="exact"/>
        <w:ind w:left="851"/>
        <w:rPr>
          <w:sz w:val="24"/>
          <w:szCs w:val="24"/>
          <w:lang w:val="da-DK"/>
        </w:rPr>
      </w:pPr>
      <w:r>
        <w:rPr>
          <w:sz w:val="24"/>
          <w:szCs w:val="24"/>
          <w:lang w:val="da-DK"/>
        </w:rPr>
        <w:t>Ved tidspunktet for den primære analyse viste everolimus klinisk relevante forbedringer i</w:t>
      </w:r>
    </w:p>
    <w:p w:rsidR="000B424C" w:rsidRDefault="000B424C" w:rsidP="000B424C">
      <w:pPr>
        <w:pStyle w:val="Brdtekst"/>
        <w:ind w:left="851" w:right="-1"/>
        <w:rPr>
          <w:sz w:val="24"/>
          <w:szCs w:val="24"/>
          <w:lang w:val="da-DK"/>
        </w:rPr>
      </w:pPr>
      <w:r>
        <w:rPr>
          <w:sz w:val="24"/>
          <w:szCs w:val="24"/>
          <w:lang w:val="da-DK"/>
        </w:rPr>
        <w:t>hudlæsion-respons (p=0,0004) med responsrate 41,7 % (95 % CI: 30,2, 53,9) for everolimus-armen og 10,5 % (95 % CI: 2,9, 24,8) for placebo-armen. Responset for hudlæsioner steg til 58,1 % (95 % CI: 48,1; 67,7) ved den endelige analyse.</w:t>
      </w:r>
    </w:p>
    <w:p w:rsidR="000B424C" w:rsidRDefault="000B424C" w:rsidP="000B424C">
      <w:pPr>
        <w:pStyle w:val="Brdtekst"/>
        <w:ind w:left="851"/>
        <w:rPr>
          <w:sz w:val="24"/>
          <w:szCs w:val="24"/>
          <w:lang w:val="da-DK"/>
        </w:rPr>
      </w:pPr>
    </w:p>
    <w:p w:rsidR="000B424C" w:rsidRDefault="000B424C" w:rsidP="000B424C">
      <w:pPr>
        <w:spacing w:line="252" w:lineRule="exact"/>
        <w:ind w:left="851"/>
        <w:rPr>
          <w:i/>
          <w:sz w:val="24"/>
          <w:szCs w:val="24"/>
        </w:rPr>
      </w:pPr>
      <w:r>
        <w:rPr>
          <w:i/>
          <w:sz w:val="24"/>
          <w:szCs w:val="24"/>
        </w:rPr>
        <w:t>Fase II-studie hos patienter med SEGA</w:t>
      </w:r>
    </w:p>
    <w:p w:rsidR="000B424C" w:rsidRDefault="000B424C" w:rsidP="000B424C">
      <w:pPr>
        <w:spacing w:line="252" w:lineRule="exact"/>
        <w:ind w:left="851"/>
        <w:rPr>
          <w:i/>
          <w:sz w:val="24"/>
          <w:szCs w:val="24"/>
        </w:rPr>
      </w:pPr>
    </w:p>
    <w:p w:rsidR="000B424C" w:rsidRDefault="000B424C" w:rsidP="000B424C">
      <w:pPr>
        <w:pStyle w:val="Brdtekst"/>
        <w:ind w:left="851" w:right="-1"/>
        <w:rPr>
          <w:sz w:val="24"/>
          <w:szCs w:val="24"/>
          <w:lang w:val="da-DK"/>
        </w:rPr>
      </w:pPr>
      <w:r>
        <w:rPr>
          <w:sz w:val="24"/>
          <w:szCs w:val="24"/>
          <w:lang w:val="da-DK"/>
        </w:rPr>
        <w:t>Der er blevet udført et prospektivt, open-label, enkelt-arm fase II-studie (studie CRAD001C2485) til evaluering af everolimus’ sikkerhed og effekt hos patienter med SEGA. Radiologisk bevis for seriel SEGA-vækst var et af inklusionskriterierne.</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 xml:space="preserve">Det primære endepunkt var ændring i SEGA-volumen i løbet af den centrale 6 måneder </w:t>
      </w:r>
      <w:r>
        <w:rPr>
          <w:sz w:val="24"/>
          <w:szCs w:val="24"/>
          <w:lang w:val="da-DK"/>
        </w:rPr>
        <w:lastRenderedPageBreak/>
        <w:t>lange behandlingsfase, vurderet ved uafhængig central radiologisk gennemgang. Efter den centrale behandlingsfase kunne patienterne indtræde i en udvidelsesfase, hvor SEGA-volumenet blev bestemt hver 6. måned.</w:t>
      </w:r>
    </w:p>
    <w:p w:rsidR="000B424C" w:rsidRDefault="000B424C" w:rsidP="000B424C">
      <w:pPr>
        <w:pStyle w:val="Brdtekst"/>
        <w:ind w:left="851"/>
        <w:rPr>
          <w:sz w:val="24"/>
          <w:szCs w:val="24"/>
          <w:lang w:val="da-DK"/>
        </w:rPr>
      </w:pPr>
    </w:p>
    <w:p w:rsidR="000B424C" w:rsidRDefault="000B424C" w:rsidP="000B424C">
      <w:pPr>
        <w:pStyle w:val="Brdtekst"/>
        <w:ind w:left="851" w:right="-1"/>
        <w:rPr>
          <w:sz w:val="24"/>
          <w:szCs w:val="24"/>
          <w:lang w:val="da-DK"/>
        </w:rPr>
      </w:pPr>
      <w:r>
        <w:rPr>
          <w:sz w:val="24"/>
          <w:szCs w:val="24"/>
          <w:lang w:val="da-DK"/>
        </w:rPr>
        <w:t>I alt blev 28 patienter behandlet med everolimus; medianalderen var 11 år (fra 3 til 34), 61 % mænd, 86 % kaukasier. Tretten patienter (46 %) havde en sekundær, mindre SEGA, herunder 12 i den kontralaterale ventrikel.</w:t>
      </w:r>
    </w:p>
    <w:p w:rsidR="000B424C" w:rsidRDefault="000B424C" w:rsidP="000B424C">
      <w:pPr>
        <w:pStyle w:val="Brdtekst"/>
        <w:spacing w:before="1"/>
        <w:ind w:left="851"/>
        <w:rPr>
          <w:sz w:val="24"/>
          <w:szCs w:val="24"/>
          <w:lang w:val="da-DK"/>
        </w:rPr>
      </w:pPr>
    </w:p>
    <w:p w:rsidR="000B424C" w:rsidRDefault="000B424C" w:rsidP="000B424C">
      <w:pPr>
        <w:pStyle w:val="Brdtekst"/>
        <w:ind w:left="851" w:right="-1"/>
        <w:rPr>
          <w:lang w:val="da-DK"/>
        </w:rPr>
      </w:pPr>
      <w:r>
        <w:rPr>
          <w:sz w:val="24"/>
          <w:szCs w:val="24"/>
          <w:lang w:val="da-DK"/>
        </w:rPr>
        <w:t xml:space="preserve">Primært SEGA-volumen var reduceret ved 6. måned sammenlignet med </w:t>
      </w:r>
      <w:r>
        <w:rPr>
          <w:i/>
          <w:sz w:val="24"/>
          <w:szCs w:val="24"/>
          <w:lang w:val="da-DK"/>
        </w:rPr>
        <w:t xml:space="preserve">baseline </w:t>
      </w:r>
      <w:r>
        <w:rPr>
          <w:sz w:val="24"/>
          <w:szCs w:val="24"/>
          <w:lang w:val="da-DK"/>
        </w:rPr>
        <w:t>(p&lt;0,001 [se tabel 11]). Ingen af patienterne udviklede nye læsioner, forværring af hydrocephalus eller øget intrakranielt tryk, og ingen havde behov for kirurgisk resektion eller anden terapi mod SEGA.</w:t>
      </w:r>
    </w:p>
    <w:p w:rsidR="000B424C" w:rsidRDefault="000B424C" w:rsidP="000B424C">
      <w:pPr>
        <w:pStyle w:val="Default"/>
        <w:ind w:left="851"/>
        <w:rPr>
          <w:i/>
          <w:iCs/>
        </w:rPr>
      </w:pPr>
    </w:p>
    <w:p w:rsidR="000B424C" w:rsidRDefault="000B424C" w:rsidP="000B424C">
      <w:pPr>
        <w:ind w:left="851"/>
        <w:rPr>
          <w:b/>
          <w:bCs/>
          <w:i/>
          <w:iCs/>
          <w:sz w:val="24"/>
          <w:szCs w:val="24"/>
          <w:lang w:val="nb-NO"/>
        </w:rPr>
      </w:pPr>
      <w:r>
        <w:rPr>
          <w:b/>
          <w:bCs/>
          <w:sz w:val="24"/>
          <w:szCs w:val="24"/>
          <w:lang w:val="nb-NO"/>
        </w:rPr>
        <w:t xml:space="preserve">Tabel 11. </w:t>
      </w:r>
      <w:r>
        <w:rPr>
          <w:b/>
          <w:bCs/>
          <w:sz w:val="24"/>
          <w:szCs w:val="24"/>
          <w:lang w:val="nb-NO"/>
        </w:rPr>
        <w:tab/>
        <w:t>Forandring i primær SEGA-volumen over</w:t>
      </w:r>
      <w:r>
        <w:rPr>
          <w:b/>
          <w:bCs/>
          <w:spacing w:val="-1"/>
          <w:sz w:val="24"/>
          <w:szCs w:val="24"/>
          <w:lang w:val="nb-NO"/>
        </w:rPr>
        <w:t xml:space="preserve"> </w:t>
      </w:r>
      <w:r>
        <w:rPr>
          <w:b/>
          <w:bCs/>
          <w:sz w:val="24"/>
          <w:szCs w:val="24"/>
          <w:lang w:val="nb-NO"/>
        </w:rPr>
        <w:t>tid</w:t>
      </w:r>
    </w:p>
    <w:p w:rsidR="000B424C" w:rsidRDefault="000B424C" w:rsidP="000B424C">
      <w:pPr>
        <w:pStyle w:val="Default"/>
        <w:ind w:left="851"/>
        <w:rPr>
          <w:i/>
          <w:iCs/>
          <w:lang w:val="nb-NO"/>
        </w:rPr>
      </w:pPr>
    </w:p>
    <w:p w:rsidR="000B424C" w:rsidRDefault="000B424C" w:rsidP="000B424C">
      <w:pPr>
        <w:pStyle w:val="Brdtekst"/>
        <w:spacing w:before="2" w:after="1"/>
        <w:rPr>
          <w:b/>
          <w:lang w:val="nb-NO"/>
        </w:rPr>
      </w:pPr>
    </w:p>
    <w:tbl>
      <w:tblPr>
        <w:tblW w:w="9525" w:type="dxa"/>
        <w:tblInd w:w="709" w:type="dxa"/>
        <w:tblLayout w:type="fixed"/>
        <w:tblCellMar>
          <w:left w:w="0" w:type="dxa"/>
          <w:right w:w="0" w:type="dxa"/>
        </w:tblCellMar>
        <w:tblLook w:val="01E0" w:firstRow="1" w:lastRow="1" w:firstColumn="1" w:lastColumn="1" w:noHBand="0" w:noVBand="0"/>
      </w:tblPr>
      <w:tblGrid>
        <w:gridCol w:w="1381"/>
        <w:gridCol w:w="1171"/>
        <w:gridCol w:w="1158"/>
        <w:gridCol w:w="1164"/>
        <w:gridCol w:w="1162"/>
        <w:gridCol w:w="1162"/>
        <w:gridCol w:w="1163"/>
        <w:gridCol w:w="1164"/>
      </w:tblGrid>
      <w:tr w:rsidR="000B424C" w:rsidTr="000B424C">
        <w:trPr>
          <w:trHeight w:val="561"/>
        </w:trPr>
        <w:tc>
          <w:tcPr>
            <w:tcW w:w="1382" w:type="dxa"/>
            <w:tcBorders>
              <w:top w:val="single" w:sz="4" w:space="0" w:color="000000"/>
              <w:left w:val="nil"/>
              <w:bottom w:val="nil"/>
              <w:right w:val="nil"/>
            </w:tcBorders>
            <w:hideMark/>
          </w:tcPr>
          <w:p w:rsidR="000B424C" w:rsidRDefault="000B424C">
            <w:pPr>
              <w:pStyle w:val="TableParagraph"/>
              <w:spacing w:before="39" w:line="256" w:lineRule="exact"/>
              <w:ind w:left="116" w:right="170"/>
              <w:rPr>
                <w:b/>
              </w:rPr>
            </w:pPr>
            <w:r>
              <w:rPr>
                <w:b/>
              </w:rPr>
              <w:t>SEGA-volu men (cm</w:t>
            </w:r>
            <w:r>
              <w:rPr>
                <w:b/>
                <w:position w:val="8"/>
                <w:sz w:val="14"/>
              </w:rPr>
              <w:t>3</w:t>
            </w:r>
            <w:r>
              <w:rPr>
                <w:b/>
              </w:rPr>
              <w:t>)</w:t>
            </w:r>
          </w:p>
        </w:tc>
        <w:tc>
          <w:tcPr>
            <w:tcW w:w="3495" w:type="dxa"/>
            <w:gridSpan w:val="3"/>
            <w:tcBorders>
              <w:top w:val="single" w:sz="4" w:space="0" w:color="000000"/>
              <w:left w:val="nil"/>
              <w:bottom w:val="nil"/>
              <w:right w:val="nil"/>
            </w:tcBorders>
            <w:hideMark/>
          </w:tcPr>
          <w:p w:rsidR="000B424C" w:rsidRDefault="000B424C">
            <w:pPr>
              <w:pStyle w:val="TableParagraph"/>
              <w:spacing w:before="41"/>
              <w:ind w:left="128"/>
              <w:rPr>
                <w:b/>
              </w:rPr>
            </w:pPr>
            <w:r>
              <w:rPr>
                <w:b/>
              </w:rPr>
              <w:t>Uafhængig central gennemgang</w:t>
            </w:r>
          </w:p>
        </w:tc>
        <w:tc>
          <w:tcPr>
            <w:tcW w:w="1162" w:type="dxa"/>
            <w:tcBorders>
              <w:top w:val="single" w:sz="4" w:space="0" w:color="000000"/>
              <w:left w:val="nil"/>
              <w:bottom w:val="nil"/>
              <w:right w:val="nil"/>
            </w:tcBorders>
          </w:tcPr>
          <w:p w:rsidR="000B424C" w:rsidRDefault="000B424C">
            <w:pPr>
              <w:pStyle w:val="TableParagraph"/>
              <w:ind w:left="0"/>
            </w:pPr>
          </w:p>
        </w:tc>
        <w:tc>
          <w:tcPr>
            <w:tcW w:w="1162" w:type="dxa"/>
            <w:tcBorders>
              <w:top w:val="single" w:sz="4" w:space="0" w:color="000000"/>
              <w:left w:val="nil"/>
              <w:bottom w:val="nil"/>
              <w:right w:val="nil"/>
            </w:tcBorders>
          </w:tcPr>
          <w:p w:rsidR="000B424C" w:rsidRDefault="000B424C">
            <w:pPr>
              <w:pStyle w:val="TableParagraph"/>
              <w:ind w:left="0"/>
            </w:pPr>
          </w:p>
        </w:tc>
        <w:tc>
          <w:tcPr>
            <w:tcW w:w="1163" w:type="dxa"/>
            <w:tcBorders>
              <w:top w:val="single" w:sz="4" w:space="0" w:color="000000"/>
              <w:left w:val="nil"/>
              <w:bottom w:val="nil"/>
              <w:right w:val="nil"/>
            </w:tcBorders>
          </w:tcPr>
          <w:p w:rsidR="000B424C" w:rsidRDefault="000B424C">
            <w:pPr>
              <w:pStyle w:val="TableParagraph"/>
              <w:ind w:left="0"/>
            </w:pPr>
          </w:p>
        </w:tc>
        <w:tc>
          <w:tcPr>
            <w:tcW w:w="1164" w:type="dxa"/>
            <w:tcBorders>
              <w:top w:val="single" w:sz="4" w:space="0" w:color="000000"/>
              <w:left w:val="nil"/>
              <w:bottom w:val="nil"/>
              <w:right w:val="nil"/>
            </w:tcBorders>
          </w:tcPr>
          <w:p w:rsidR="000B424C" w:rsidRDefault="000B424C">
            <w:pPr>
              <w:pStyle w:val="TableParagraph"/>
              <w:ind w:left="0"/>
            </w:pPr>
          </w:p>
        </w:tc>
      </w:tr>
      <w:tr w:rsidR="000B424C" w:rsidTr="000B424C">
        <w:trPr>
          <w:trHeight w:val="511"/>
        </w:trPr>
        <w:tc>
          <w:tcPr>
            <w:tcW w:w="1382" w:type="dxa"/>
            <w:tcBorders>
              <w:top w:val="nil"/>
              <w:left w:val="nil"/>
              <w:bottom w:val="single" w:sz="4" w:space="0" w:color="000000"/>
              <w:right w:val="nil"/>
            </w:tcBorders>
          </w:tcPr>
          <w:p w:rsidR="000B424C" w:rsidRDefault="000B424C">
            <w:pPr>
              <w:pStyle w:val="TableParagraph"/>
              <w:ind w:left="0"/>
            </w:pPr>
          </w:p>
        </w:tc>
        <w:tc>
          <w:tcPr>
            <w:tcW w:w="1172" w:type="dxa"/>
            <w:tcBorders>
              <w:top w:val="nil"/>
              <w:left w:val="nil"/>
              <w:bottom w:val="single" w:sz="4" w:space="0" w:color="000000"/>
              <w:right w:val="nil"/>
            </w:tcBorders>
            <w:hideMark/>
          </w:tcPr>
          <w:p w:rsidR="000B424C" w:rsidRDefault="000B424C">
            <w:pPr>
              <w:pStyle w:val="TableParagraph"/>
              <w:spacing w:before="3"/>
              <w:ind w:left="152" w:right="134"/>
              <w:jc w:val="center"/>
              <w:rPr>
                <w:b/>
                <w:i/>
              </w:rPr>
            </w:pPr>
            <w:r>
              <w:rPr>
                <w:b/>
                <w:i/>
              </w:rPr>
              <w:t>Baseline</w:t>
            </w:r>
          </w:p>
          <w:p w:rsidR="000B424C" w:rsidRDefault="000B424C">
            <w:pPr>
              <w:pStyle w:val="TableParagraph"/>
              <w:spacing w:before="2" w:line="233" w:lineRule="exact"/>
              <w:ind w:left="149" w:right="136"/>
              <w:jc w:val="center"/>
              <w:rPr>
                <w:b/>
              </w:rPr>
            </w:pPr>
            <w:r>
              <w:rPr>
                <w:b/>
              </w:rPr>
              <w:t>n=28</w:t>
            </w:r>
          </w:p>
        </w:tc>
        <w:tc>
          <w:tcPr>
            <w:tcW w:w="1159" w:type="dxa"/>
            <w:tcBorders>
              <w:top w:val="nil"/>
              <w:left w:val="nil"/>
              <w:bottom w:val="single" w:sz="4" w:space="0" w:color="000000"/>
              <w:right w:val="nil"/>
            </w:tcBorders>
            <w:hideMark/>
          </w:tcPr>
          <w:p w:rsidR="000B424C" w:rsidRDefault="000B424C">
            <w:pPr>
              <w:pStyle w:val="TableParagraph"/>
              <w:spacing w:before="3" w:line="250" w:lineRule="atLeast"/>
              <w:ind w:left="344" w:right="148" w:hanging="178"/>
              <w:rPr>
                <w:b/>
              </w:rPr>
            </w:pPr>
            <w:r>
              <w:rPr>
                <w:b/>
              </w:rPr>
              <w:t>Måned 6 n=27</w:t>
            </w:r>
          </w:p>
        </w:tc>
        <w:tc>
          <w:tcPr>
            <w:tcW w:w="1164" w:type="dxa"/>
            <w:tcBorders>
              <w:top w:val="nil"/>
              <w:left w:val="nil"/>
              <w:bottom w:val="single" w:sz="4" w:space="0" w:color="000000"/>
              <w:right w:val="nil"/>
            </w:tcBorders>
            <w:hideMark/>
          </w:tcPr>
          <w:p w:rsidR="000B424C" w:rsidRDefault="000B424C">
            <w:pPr>
              <w:pStyle w:val="TableParagraph"/>
              <w:spacing w:before="3" w:line="250" w:lineRule="atLeast"/>
              <w:ind w:left="346" w:right="96" w:hanging="233"/>
              <w:rPr>
                <w:b/>
              </w:rPr>
            </w:pPr>
            <w:r>
              <w:rPr>
                <w:b/>
              </w:rPr>
              <w:t>Måned 12 n=26</w:t>
            </w:r>
          </w:p>
        </w:tc>
        <w:tc>
          <w:tcPr>
            <w:tcW w:w="1162" w:type="dxa"/>
            <w:tcBorders>
              <w:top w:val="nil"/>
              <w:left w:val="nil"/>
              <w:bottom w:val="single" w:sz="4" w:space="0" w:color="000000"/>
              <w:right w:val="nil"/>
            </w:tcBorders>
            <w:hideMark/>
          </w:tcPr>
          <w:p w:rsidR="000B424C" w:rsidRDefault="000B424C">
            <w:pPr>
              <w:pStyle w:val="TableParagraph"/>
              <w:spacing w:before="3" w:line="250" w:lineRule="atLeast"/>
              <w:ind w:left="344" w:right="96" w:hanging="233"/>
              <w:rPr>
                <w:b/>
              </w:rPr>
            </w:pPr>
            <w:r>
              <w:rPr>
                <w:b/>
              </w:rPr>
              <w:t>Måned 24 n=24</w:t>
            </w:r>
          </w:p>
        </w:tc>
        <w:tc>
          <w:tcPr>
            <w:tcW w:w="1162" w:type="dxa"/>
            <w:tcBorders>
              <w:top w:val="nil"/>
              <w:left w:val="nil"/>
              <w:bottom w:val="single" w:sz="4" w:space="0" w:color="000000"/>
              <w:right w:val="nil"/>
            </w:tcBorders>
            <w:hideMark/>
          </w:tcPr>
          <w:p w:rsidR="000B424C" w:rsidRDefault="000B424C">
            <w:pPr>
              <w:pStyle w:val="TableParagraph"/>
              <w:spacing w:before="3" w:line="250" w:lineRule="atLeast"/>
              <w:ind w:left="344" w:right="96" w:hanging="233"/>
              <w:rPr>
                <w:b/>
              </w:rPr>
            </w:pPr>
            <w:r>
              <w:rPr>
                <w:b/>
              </w:rPr>
              <w:t>Måned 36 n=23</w:t>
            </w:r>
          </w:p>
        </w:tc>
        <w:tc>
          <w:tcPr>
            <w:tcW w:w="1163" w:type="dxa"/>
            <w:tcBorders>
              <w:top w:val="nil"/>
              <w:left w:val="nil"/>
              <w:bottom w:val="single" w:sz="4" w:space="0" w:color="000000"/>
              <w:right w:val="nil"/>
            </w:tcBorders>
            <w:hideMark/>
          </w:tcPr>
          <w:p w:rsidR="000B424C" w:rsidRDefault="000B424C">
            <w:pPr>
              <w:pStyle w:val="TableParagraph"/>
              <w:spacing w:before="3" w:line="250" w:lineRule="atLeast"/>
              <w:ind w:left="344" w:right="98" w:hanging="234"/>
              <w:rPr>
                <w:b/>
              </w:rPr>
            </w:pPr>
            <w:r>
              <w:rPr>
                <w:b/>
              </w:rPr>
              <w:t>Måned 48 n=24</w:t>
            </w:r>
          </w:p>
        </w:tc>
        <w:tc>
          <w:tcPr>
            <w:tcW w:w="1164" w:type="dxa"/>
            <w:tcBorders>
              <w:top w:val="nil"/>
              <w:left w:val="nil"/>
              <w:bottom w:val="single" w:sz="4" w:space="0" w:color="000000"/>
              <w:right w:val="nil"/>
            </w:tcBorders>
            <w:hideMark/>
          </w:tcPr>
          <w:p w:rsidR="000B424C" w:rsidRDefault="000B424C">
            <w:pPr>
              <w:pStyle w:val="TableParagraph"/>
              <w:spacing w:before="3" w:line="250" w:lineRule="atLeast"/>
              <w:ind w:left="343" w:right="99" w:hanging="233"/>
              <w:rPr>
                <w:b/>
              </w:rPr>
            </w:pPr>
            <w:r>
              <w:rPr>
                <w:b/>
              </w:rPr>
              <w:t>Måned 60 n=23</w:t>
            </w:r>
          </w:p>
        </w:tc>
      </w:tr>
      <w:tr w:rsidR="000B424C" w:rsidTr="000B424C">
        <w:trPr>
          <w:trHeight w:val="256"/>
        </w:trPr>
        <w:tc>
          <w:tcPr>
            <w:tcW w:w="9528" w:type="dxa"/>
            <w:gridSpan w:val="8"/>
            <w:tcBorders>
              <w:top w:val="single" w:sz="4" w:space="0" w:color="000000"/>
              <w:left w:val="nil"/>
              <w:bottom w:val="nil"/>
              <w:right w:val="nil"/>
            </w:tcBorders>
            <w:hideMark/>
          </w:tcPr>
          <w:p w:rsidR="000B424C" w:rsidRDefault="000B424C">
            <w:pPr>
              <w:pStyle w:val="TableParagraph"/>
              <w:spacing w:line="237" w:lineRule="exact"/>
              <w:ind w:left="116"/>
              <w:rPr>
                <w:b/>
              </w:rPr>
            </w:pPr>
            <w:r>
              <w:rPr>
                <w:b/>
              </w:rPr>
              <w:t>Primært tumorvolumen</w:t>
            </w:r>
          </w:p>
        </w:tc>
      </w:tr>
      <w:tr w:rsidR="000B424C" w:rsidTr="000B424C">
        <w:trPr>
          <w:trHeight w:val="759"/>
        </w:trPr>
        <w:tc>
          <w:tcPr>
            <w:tcW w:w="1382" w:type="dxa"/>
            <w:hideMark/>
          </w:tcPr>
          <w:p w:rsidR="000B424C" w:rsidRDefault="000B424C">
            <w:pPr>
              <w:pStyle w:val="TableParagraph"/>
              <w:ind w:left="116" w:right="125"/>
            </w:pPr>
            <w:r>
              <w:rPr>
                <w:spacing w:val="-1"/>
              </w:rPr>
              <w:t xml:space="preserve">Middelværdi </w:t>
            </w:r>
            <w:r>
              <w:t>(standard-</w:t>
            </w:r>
          </w:p>
          <w:p w:rsidR="000B424C" w:rsidRDefault="000B424C">
            <w:pPr>
              <w:pStyle w:val="TableParagraph"/>
              <w:spacing w:line="237" w:lineRule="exact"/>
              <w:ind w:left="116"/>
            </w:pPr>
            <w:r>
              <w:t>afvigelse)</w:t>
            </w:r>
          </w:p>
        </w:tc>
        <w:tc>
          <w:tcPr>
            <w:tcW w:w="1172" w:type="dxa"/>
            <w:hideMark/>
          </w:tcPr>
          <w:p w:rsidR="000B424C" w:rsidRDefault="000B424C">
            <w:pPr>
              <w:pStyle w:val="TableParagraph"/>
              <w:spacing w:line="249" w:lineRule="exact"/>
              <w:ind w:left="152" w:right="134"/>
              <w:jc w:val="center"/>
            </w:pPr>
            <w:r>
              <w:t>2,45</w:t>
            </w:r>
          </w:p>
          <w:p w:rsidR="000B424C" w:rsidRDefault="000B424C">
            <w:pPr>
              <w:pStyle w:val="TableParagraph"/>
              <w:spacing w:line="252" w:lineRule="exact"/>
              <w:ind w:left="150" w:right="136"/>
              <w:jc w:val="center"/>
            </w:pPr>
            <w:r>
              <w:t>(2,813)</w:t>
            </w:r>
          </w:p>
        </w:tc>
        <w:tc>
          <w:tcPr>
            <w:tcW w:w="1159" w:type="dxa"/>
            <w:hideMark/>
          </w:tcPr>
          <w:p w:rsidR="000B424C" w:rsidRDefault="000B424C">
            <w:pPr>
              <w:pStyle w:val="TableParagraph"/>
              <w:spacing w:line="249" w:lineRule="exact"/>
              <w:ind w:left="93" w:right="93"/>
              <w:jc w:val="center"/>
            </w:pPr>
            <w:r>
              <w:t>1,33</w:t>
            </w:r>
          </w:p>
          <w:p w:rsidR="000B424C" w:rsidRDefault="000B424C">
            <w:pPr>
              <w:pStyle w:val="TableParagraph"/>
              <w:spacing w:line="252" w:lineRule="exact"/>
              <w:ind w:left="92" w:right="93"/>
              <w:jc w:val="center"/>
            </w:pPr>
            <w:r>
              <w:t>(1,497)</w:t>
            </w:r>
          </w:p>
        </w:tc>
        <w:tc>
          <w:tcPr>
            <w:tcW w:w="1164" w:type="dxa"/>
            <w:hideMark/>
          </w:tcPr>
          <w:p w:rsidR="000B424C" w:rsidRDefault="000B424C">
            <w:pPr>
              <w:pStyle w:val="TableParagraph"/>
              <w:spacing w:line="249" w:lineRule="exact"/>
              <w:ind w:left="96" w:right="96"/>
              <w:jc w:val="center"/>
            </w:pPr>
            <w:r>
              <w:t>1,26</w:t>
            </w:r>
          </w:p>
          <w:p w:rsidR="000B424C" w:rsidRDefault="000B424C">
            <w:pPr>
              <w:pStyle w:val="TableParagraph"/>
              <w:spacing w:line="252" w:lineRule="exact"/>
              <w:ind w:left="95" w:right="96"/>
              <w:jc w:val="center"/>
            </w:pPr>
            <w:r>
              <w:t>(1,526)</w:t>
            </w:r>
          </w:p>
        </w:tc>
        <w:tc>
          <w:tcPr>
            <w:tcW w:w="1162" w:type="dxa"/>
            <w:hideMark/>
          </w:tcPr>
          <w:p w:rsidR="000B424C" w:rsidRDefault="000B424C">
            <w:pPr>
              <w:pStyle w:val="TableParagraph"/>
              <w:spacing w:line="249" w:lineRule="exact"/>
              <w:ind w:left="101" w:right="103"/>
              <w:jc w:val="center"/>
            </w:pPr>
            <w:r>
              <w:t>1,19</w:t>
            </w:r>
          </w:p>
          <w:p w:rsidR="000B424C" w:rsidRDefault="000B424C">
            <w:pPr>
              <w:pStyle w:val="TableParagraph"/>
              <w:spacing w:line="252" w:lineRule="exact"/>
              <w:ind w:left="102" w:right="103"/>
              <w:jc w:val="center"/>
            </w:pPr>
            <w:r>
              <w:t>(1,042)</w:t>
            </w:r>
          </w:p>
        </w:tc>
        <w:tc>
          <w:tcPr>
            <w:tcW w:w="1162" w:type="dxa"/>
            <w:hideMark/>
          </w:tcPr>
          <w:p w:rsidR="000B424C" w:rsidRDefault="000B424C">
            <w:pPr>
              <w:pStyle w:val="TableParagraph"/>
              <w:spacing w:line="249" w:lineRule="exact"/>
              <w:ind w:left="100" w:right="103"/>
              <w:jc w:val="center"/>
            </w:pPr>
            <w:r>
              <w:t>1,26</w:t>
            </w:r>
          </w:p>
          <w:p w:rsidR="000B424C" w:rsidRDefault="000B424C">
            <w:pPr>
              <w:pStyle w:val="TableParagraph"/>
              <w:spacing w:line="252" w:lineRule="exact"/>
              <w:ind w:left="102" w:right="103"/>
              <w:jc w:val="center"/>
            </w:pPr>
            <w:r>
              <w:t>(1,298)</w:t>
            </w:r>
          </w:p>
        </w:tc>
        <w:tc>
          <w:tcPr>
            <w:tcW w:w="1163" w:type="dxa"/>
            <w:hideMark/>
          </w:tcPr>
          <w:p w:rsidR="000B424C" w:rsidRDefault="000B424C">
            <w:pPr>
              <w:pStyle w:val="TableParagraph"/>
              <w:spacing w:line="249" w:lineRule="exact"/>
              <w:ind w:left="94" w:right="94"/>
              <w:jc w:val="center"/>
            </w:pPr>
            <w:r>
              <w:t>1,16</w:t>
            </w:r>
          </w:p>
          <w:p w:rsidR="000B424C" w:rsidRDefault="000B424C">
            <w:pPr>
              <w:pStyle w:val="TableParagraph"/>
              <w:spacing w:line="252" w:lineRule="exact"/>
              <w:ind w:left="92" w:right="94"/>
              <w:jc w:val="center"/>
            </w:pPr>
            <w:r>
              <w:t>(0,961)</w:t>
            </w:r>
          </w:p>
        </w:tc>
        <w:tc>
          <w:tcPr>
            <w:tcW w:w="1164" w:type="dxa"/>
            <w:hideMark/>
          </w:tcPr>
          <w:p w:rsidR="000B424C" w:rsidRDefault="000B424C">
            <w:pPr>
              <w:pStyle w:val="TableParagraph"/>
              <w:spacing w:line="249" w:lineRule="exact"/>
              <w:ind w:left="94" w:right="96"/>
              <w:jc w:val="center"/>
            </w:pPr>
            <w:r>
              <w:t>1,24</w:t>
            </w:r>
          </w:p>
          <w:p w:rsidR="000B424C" w:rsidRDefault="000B424C">
            <w:pPr>
              <w:pStyle w:val="TableParagraph"/>
              <w:spacing w:line="252" w:lineRule="exact"/>
              <w:ind w:left="90" w:right="96"/>
              <w:jc w:val="center"/>
            </w:pPr>
            <w:r>
              <w:t>(0,959)</w:t>
            </w:r>
          </w:p>
        </w:tc>
      </w:tr>
      <w:tr w:rsidR="000B424C" w:rsidTr="000B424C">
        <w:trPr>
          <w:trHeight w:val="278"/>
        </w:trPr>
        <w:tc>
          <w:tcPr>
            <w:tcW w:w="1382" w:type="dxa"/>
            <w:hideMark/>
          </w:tcPr>
          <w:p w:rsidR="000B424C" w:rsidRDefault="000B424C">
            <w:pPr>
              <w:pStyle w:val="TableParagraph"/>
              <w:spacing w:line="248" w:lineRule="exact"/>
              <w:ind w:left="116"/>
            </w:pPr>
            <w:r>
              <w:t>Median</w:t>
            </w:r>
          </w:p>
        </w:tc>
        <w:tc>
          <w:tcPr>
            <w:tcW w:w="1172" w:type="dxa"/>
            <w:hideMark/>
          </w:tcPr>
          <w:p w:rsidR="000B424C" w:rsidRDefault="000B424C">
            <w:pPr>
              <w:pStyle w:val="TableParagraph"/>
              <w:spacing w:line="248" w:lineRule="exact"/>
              <w:ind w:left="402"/>
            </w:pPr>
            <w:r>
              <w:t>1,74</w:t>
            </w:r>
          </w:p>
        </w:tc>
        <w:tc>
          <w:tcPr>
            <w:tcW w:w="1159" w:type="dxa"/>
            <w:hideMark/>
          </w:tcPr>
          <w:p w:rsidR="000B424C" w:rsidRDefault="000B424C">
            <w:pPr>
              <w:pStyle w:val="TableParagraph"/>
              <w:spacing w:line="248" w:lineRule="exact"/>
              <w:ind w:left="95" w:right="93"/>
              <w:jc w:val="center"/>
            </w:pPr>
            <w:r>
              <w:t>0,93</w:t>
            </w:r>
          </w:p>
        </w:tc>
        <w:tc>
          <w:tcPr>
            <w:tcW w:w="1164" w:type="dxa"/>
            <w:hideMark/>
          </w:tcPr>
          <w:p w:rsidR="000B424C" w:rsidRDefault="000B424C">
            <w:pPr>
              <w:pStyle w:val="TableParagraph"/>
              <w:spacing w:line="248" w:lineRule="exact"/>
              <w:ind w:left="98" w:right="96"/>
              <w:jc w:val="center"/>
            </w:pPr>
            <w:r>
              <w:t>0,84</w:t>
            </w:r>
          </w:p>
        </w:tc>
        <w:tc>
          <w:tcPr>
            <w:tcW w:w="1162" w:type="dxa"/>
            <w:hideMark/>
          </w:tcPr>
          <w:p w:rsidR="000B424C" w:rsidRDefault="000B424C">
            <w:pPr>
              <w:pStyle w:val="TableParagraph"/>
              <w:spacing w:line="248" w:lineRule="exact"/>
              <w:ind w:left="102" w:right="102"/>
              <w:jc w:val="center"/>
            </w:pPr>
            <w:r>
              <w:t>0,94</w:t>
            </w:r>
          </w:p>
        </w:tc>
        <w:tc>
          <w:tcPr>
            <w:tcW w:w="1162" w:type="dxa"/>
            <w:hideMark/>
          </w:tcPr>
          <w:p w:rsidR="000B424C" w:rsidRDefault="000B424C">
            <w:pPr>
              <w:pStyle w:val="TableParagraph"/>
              <w:spacing w:line="248" w:lineRule="exact"/>
              <w:ind w:left="102" w:right="102"/>
              <w:jc w:val="center"/>
            </w:pPr>
            <w:r>
              <w:t>1,12</w:t>
            </w:r>
          </w:p>
        </w:tc>
        <w:tc>
          <w:tcPr>
            <w:tcW w:w="1163" w:type="dxa"/>
            <w:hideMark/>
          </w:tcPr>
          <w:p w:rsidR="000B424C" w:rsidRDefault="000B424C">
            <w:pPr>
              <w:pStyle w:val="TableParagraph"/>
              <w:spacing w:line="248" w:lineRule="exact"/>
              <w:ind w:left="94" w:right="94"/>
              <w:jc w:val="center"/>
            </w:pPr>
            <w:r>
              <w:t>1,02</w:t>
            </w:r>
          </w:p>
        </w:tc>
        <w:tc>
          <w:tcPr>
            <w:tcW w:w="1164" w:type="dxa"/>
            <w:hideMark/>
          </w:tcPr>
          <w:p w:rsidR="000B424C" w:rsidRDefault="000B424C">
            <w:pPr>
              <w:pStyle w:val="TableParagraph"/>
              <w:spacing w:line="248" w:lineRule="exact"/>
              <w:ind w:left="94" w:right="96"/>
              <w:jc w:val="center"/>
            </w:pPr>
            <w:r>
              <w:t>1,17</w:t>
            </w:r>
          </w:p>
        </w:tc>
      </w:tr>
      <w:tr w:rsidR="000B424C" w:rsidTr="000B424C">
        <w:trPr>
          <w:trHeight w:val="530"/>
        </w:trPr>
        <w:tc>
          <w:tcPr>
            <w:tcW w:w="1382" w:type="dxa"/>
            <w:hideMark/>
          </w:tcPr>
          <w:p w:rsidR="000B424C" w:rsidRDefault="000B424C">
            <w:pPr>
              <w:pStyle w:val="TableParagraph"/>
              <w:spacing w:before="21"/>
              <w:ind w:left="0" w:right="295"/>
              <w:jc w:val="center"/>
            </w:pPr>
            <w:r>
              <w:t>Interval</w:t>
            </w:r>
          </w:p>
        </w:tc>
        <w:tc>
          <w:tcPr>
            <w:tcW w:w="1172" w:type="dxa"/>
            <w:hideMark/>
          </w:tcPr>
          <w:p w:rsidR="000B424C" w:rsidRDefault="000B424C">
            <w:pPr>
              <w:pStyle w:val="TableParagraph"/>
              <w:spacing w:before="21" w:line="252" w:lineRule="exact"/>
              <w:ind w:left="152" w:right="136"/>
              <w:jc w:val="center"/>
            </w:pPr>
            <w:r>
              <w:t>0,49-14,2</w:t>
            </w:r>
          </w:p>
          <w:p w:rsidR="000B424C" w:rsidRDefault="000B424C">
            <w:pPr>
              <w:pStyle w:val="TableParagraph"/>
              <w:spacing w:line="237" w:lineRule="exact"/>
              <w:ind w:left="16"/>
              <w:jc w:val="center"/>
            </w:pPr>
            <w:r>
              <w:t>3</w:t>
            </w:r>
          </w:p>
        </w:tc>
        <w:tc>
          <w:tcPr>
            <w:tcW w:w="1159" w:type="dxa"/>
            <w:hideMark/>
          </w:tcPr>
          <w:p w:rsidR="000B424C" w:rsidRDefault="000B424C">
            <w:pPr>
              <w:pStyle w:val="TableParagraph"/>
              <w:spacing w:before="21"/>
              <w:ind w:left="93" w:right="93"/>
              <w:jc w:val="center"/>
            </w:pPr>
            <w:r>
              <w:t>0,31-7,98</w:t>
            </w:r>
          </w:p>
        </w:tc>
        <w:tc>
          <w:tcPr>
            <w:tcW w:w="1164" w:type="dxa"/>
            <w:hideMark/>
          </w:tcPr>
          <w:p w:rsidR="000B424C" w:rsidRDefault="000B424C">
            <w:pPr>
              <w:pStyle w:val="TableParagraph"/>
              <w:spacing w:before="21"/>
              <w:ind w:left="96" w:right="96"/>
              <w:jc w:val="center"/>
            </w:pPr>
            <w:r>
              <w:t>0,29-8,18</w:t>
            </w:r>
          </w:p>
        </w:tc>
        <w:tc>
          <w:tcPr>
            <w:tcW w:w="1162" w:type="dxa"/>
            <w:hideMark/>
          </w:tcPr>
          <w:p w:rsidR="000B424C" w:rsidRDefault="000B424C">
            <w:pPr>
              <w:pStyle w:val="TableParagraph"/>
              <w:spacing w:before="21"/>
              <w:ind w:left="102" w:right="103"/>
              <w:jc w:val="center"/>
            </w:pPr>
            <w:r>
              <w:t>0,20-4,63</w:t>
            </w:r>
          </w:p>
        </w:tc>
        <w:tc>
          <w:tcPr>
            <w:tcW w:w="1162" w:type="dxa"/>
            <w:hideMark/>
          </w:tcPr>
          <w:p w:rsidR="000B424C" w:rsidRDefault="000B424C">
            <w:pPr>
              <w:pStyle w:val="TableParagraph"/>
              <w:spacing w:before="21"/>
              <w:ind w:left="102" w:right="102"/>
              <w:jc w:val="center"/>
            </w:pPr>
            <w:r>
              <w:t>0,22-6,52</w:t>
            </w:r>
          </w:p>
        </w:tc>
        <w:tc>
          <w:tcPr>
            <w:tcW w:w="1163" w:type="dxa"/>
            <w:hideMark/>
          </w:tcPr>
          <w:p w:rsidR="000B424C" w:rsidRDefault="000B424C">
            <w:pPr>
              <w:pStyle w:val="TableParagraph"/>
              <w:spacing w:before="21"/>
              <w:ind w:left="93" w:right="94"/>
              <w:jc w:val="center"/>
            </w:pPr>
            <w:r>
              <w:t>0,18-4,19</w:t>
            </w:r>
          </w:p>
        </w:tc>
        <w:tc>
          <w:tcPr>
            <w:tcW w:w="1164" w:type="dxa"/>
            <w:hideMark/>
          </w:tcPr>
          <w:p w:rsidR="000B424C" w:rsidRDefault="000B424C">
            <w:pPr>
              <w:pStyle w:val="TableParagraph"/>
              <w:spacing w:before="21"/>
              <w:ind w:left="91" w:right="96"/>
              <w:jc w:val="center"/>
            </w:pPr>
            <w:r>
              <w:t>0,21-4,39</w:t>
            </w:r>
          </w:p>
        </w:tc>
      </w:tr>
      <w:tr w:rsidR="000B424C" w:rsidTr="000B424C">
        <w:trPr>
          <w:trHeight w:val="278"/>
        </w:trPr>
        <w:tc>
          <w:tcPr>
            <w:tcW w:w="9528" w:type="dxa"/>
            <w:gridSpan w:val="8"/>
            <w:hideMark/>
          </w:tcPr>
          <w:p w:rsidR="000B424C" w:rsidRDefault="000B424C">
            <w:pPr>
              <w:pStyle w:val="TableParagraph"/>
              <w:spacing w:line="248" w:lineRule="exact"/>
              <w:ind w:left="116"/>
              <w:rPr>
                <w:b/>
                <w:i/>
              </w:rPr>
            </w:pPr>
            <w:r>
              <w:rPr>
                <w:b/>
              </w:rPr>
              <w:t xml:space="preserve">Reduktion fra </w:t>
            </w:r>
            <w:r>
              <w:rPr>
                <w:b/>
                <w:i/>
              </w:rPr>
              <w:t>baseline</w:t>
            </w:r>
          </w:p>
        </w:tc>
      </w:tr>
      <w:tr w:rsidR="000B424C" w:rsidTr="000B424C">
        <w:trPr>
          <w:trHeight w:val="784"/>
        </w:trPr>
        <w:tc>
          <w:tcPr>
            <w:tcW w:w="1382" w:type="dxa"/>
            <w:hideMark/>
          </w:tcPr>
          <w:p w:rsidR="000B424C" w:rsidRDefault="000B424C">
            <w:pPr>
              <w:pStyle w:val="TableParagraph"/>
              <w:spacing w:before="21"/>
              <w:ind w:left="116" w:right="125"/>
            </w:pPr>
            <w:r>
              <w:rPr>
                <w:spacing w:val="-1"/>
              </w:rPr>
              <w:t xml:space="preserve">Middelværdi </w:t>
            </w:r>
            <w:r>
              <w:t>(standard-</w:t>
            </w:r>
          </w:p>
          <w:p w:rsidR="000B424C" w:rsidRDefault="000B424C">
            <w:pPr>
              <w:pStyle w:val="TableParagraph"/>
              <w:spacing w:before="1" w:line="237" w:lineRule="exact"/>
              <w:ind w:left="116"/>
            </w:pPr>
            <w:r>
              <w:t>afvigelse)</w:t>
            </w:r>
          </w:p>
        </w:tc>
        <w:tc>
          <w:tcPr>
            <w:tcW w:w="1172" w:type="dxa"/>
          </w:tcPr>
          <w:p w:rsidR="000B424C" w:rsidRDefault="000B424C">
            <w:pPr>
              <w:pStyle w:val="TableParagraph"/>
              <w:ind w:left="0"/>
            </w:pPr>
          </w:p>
        </w:tc>
        <w:tc>
          <w:tcPr>
            <w:tcW w:w="1159" w:type="dxa"/>
            <w:hideMark/>
          </w:tcPr>
          <w:p w:rsidR="000B424C" w:rsidRDefault="000B424C">
            <w:pPr>
              <w:pStyle w:val="TableParagraph"/>
              <w:spacing w:before="21" w:line="252" w:lineRule="exact"/>
              <w:ind w:left="104" w:right="93"/>
              <w:jc w:val="center"/>
            </w:pPr>
            <w:r>
              <w:t>1,19</w:t>
            </w:r>
          </w:p>
          <w:p w:rsidR="000B424C" w:rsidRDefault="000B424C">
            <w:pPr>
              <w:pStyle w:val="TableParagraph"/>
              <w:spacing w:line="252" w:lineRule="exact"/>
              <w:ind w:left="106" w:right="93"/>
              <w:jc w:val="center"/>
            </w:pPr>
            <w:r>
              <w:t>(1,433)</w:t>
            </w:r>
          </w:p>
        </w:tc>
        <w:tc>
          <w:tcPr>
            <w:tcW w:w="1164" w:type="dxa"/>
            <w:hideMark/>
          </w:tcPr>
          <w:p w:rsidR="000B424C" w:rsidRDefault="000B424C">
            <w:pPr>
              <w:pStyle w:val="TableParagraph"/>
              <w:spacing w:before="21" w:line="252" w:lineRule="exact"/>
              <w:ind w:left="101" w:right="89"/>
              <w:jc w:val="center"/>
            </w:pPr>
            <w:r>
              <w:t>1,07</w:t>
            </w:r>
          </w:p>
          <w:p w:rsidR="000B424C" w:rsidRDefault="000B424C">
            <w:pPr>
              <w:pStyle w:val="TableParagraph"/>
              <w:spacing w:line="252" w:lineRule="exact"/>
              <w:ind w:left="101" w:right="88"/>
              <w:jc w:val="center"/>
            </w:pPr>
            <w:r>
              <w:t>(1,276)</w:t>
            </w:r>
          </w:p>
        </w:tc>
        <w:tc>
          <w:tcPr>
            <w:tcW w:w="1162" w:type="dxa"/>
            <w:hideMark/>
          </w:tcPr>
          <w:p w:rsidR="000B424C" w:rsidRDefault="000B424C">
            <w:pPr>
              <w:pStyle w:val="TableParagraph"/>
              <w:spacing w:before="21" w:line="252" w:lineRule="exact"/>
              <w:ind w:left="101" w:right="103"/>
              <w:jc w:val="center"/>
            </w:pPr>
            <w:r>
              <w:t>1,25</w:t>
            </w:r>
          </w:p>
          <w:p w:rsidR="000B424C" w:rsidRDefault="000B424C">
            <w:pPr>
              <w:pStyle w:val="TableParagraph"/>
              <w:spacing w:line="252" w:lineRule="exact"/>
              <w:ind w:left="102" w:right="103"/>
              <w:jc w:val="center"/>
            </w:pPr>
            <w:r>
              <w:t>(1,994)</w:t>
            </w:r>
          </w:p>
        </w:tc>
        <w:tc>
          <w:tcPr>
            <w:tcW w:w="1162" w:type="dxa"/>
            <w:hideMark/>
          </w:tcPr>
          <w:p w:rsidR="000B424C" w:rsidRDefault="000B424C">
            <w:pPr>
              <w:pStyle w:val="TableParagraph"/>
              <w:spacing w:before="21" w:line="252" w:lineRule="exact"/>
              <w:ind w:left="100" w:right="103"/>
              <w:jc w:val="center"/>
            </w:pPr>
            <w:r>
              <w:t>1,41</w:t>
            </w:r>
          </w:p>
          <w:p w:rsidR="000B424C" w:rsidRDefault="000B424C">
            <w:pPr>
              <w:pStyle w:val="TableParagraph"/>
              <w:spacing w:line="252" w:lineRule="exact"/>
              <w:ind w:left="102" w:right="103"/>
              <w:jc w:val="center"/>
            </w:pPr>
            <w:r>
              <w:t>(1,814)</w:t>
            </w:r>
          </w:p>
        </w:tc>
        <w:tc>
          <w:tcPr>
            <w:tcW w:w="1163" w:type="dxa"/>
            <w:hideMark/>
          </w:tcPr>
          <w:p w:rsidR="000B424C" w:rsidRDefault="000B424C">
            <w:pPr>
              <w:pStyle w:val="TableParagraph"/>
              <w:spacing w:before="21" w:line="252" w:lineRule="exact"/>
              <w:ind w:left="91" w:right="94"/>
              <w:jc w:val="center"/>
            </w:pPr>
            <w:r>
              <w:t>1,43</w:t>
            </w:r>
          </w:p>
          <w:p w:rsidR="000B424C" w:rsidRDefault="000B424C">
            <w:pPr>
              <w:pStyle w:val="TableParagraph"/>
              <w:spacing w:line="252" w:lineRule="exact"/>
              <w:ind w:left="92" w:right="94"/>
              <w:jc w:val="center"/>
            </w:pPr>
            <w:r>
              <w:t>(2,267)</w:t>
            </w:r>
          </w:p>
        </w:tc>
        <w:tc>
          <w:tcPr>
            <w:tcW w:w="1164" w:type="dxa"/>
            <w:hideMark/>
          </w:tcPr>
          <w:p w:rsidR="000B424C" w:rsidRDefault="000B424C">
            <w:pPr>
              <w:pStyle w:val="TableParagraph"/>
              <w:spacing w:before="21" w:line="252" w:lineRule="exact"/>
              <w:ind w:left="89" w:right="96"/>
              <w:jc w:val="center"/>
            </w:pPr>
            <w:r>
              <w:t>1,44</w:t>
            </w:r>
          </w:p>
          <w:p w:rsidR="000B424C" w:rsidRDefault="000B424C">
            <w:pPr>
              <w:pStyle w:val="TableParagraph"/>
              <w:spacing w:line="252" w:lineRule="exact"/>
              <w:ind w:left="90" w:right="96"/>
              <w:jc w:val="center"/>
            </w:pPr>
            <w:r>
              <w:t>(2,230)</w:t>
            </w:r>
          </w:p>
        </w:tc>
      </w:tr>
      <w:tr w:rsidR="000B424C" w:rsidTr="000B424C">
        <w:trPr>
          <w:trHeight w:val="278"/>
        </w:trPr>
        <w:tc>
          <w:tcPr>
            <w:tcW w:w="1382" w:type="dxa"/>
            <w:hideMark/>
          </w:tcPr>
          <w:p w:rsidR="000B424C" w:rsidRDefault="000B424C">
            <w:pPr>
              <w:pStyle w:val="TableParagraph"/>
              <w:spacing w:line="248" w:lineRule="exact"/>
              <w:ind w:left="116"/>
            </w:pPr>
            <w:r>
              <w:t>Median</w:t>
            </w:r>
          </w:p>
        </w:tc>
        <w:tc>
          <w:tcPr>
            <w:tcW w:w="1172" w:type="dxa"/>
          </w:tcPr>
          <w:p w:rsidR="000B424C" w:rsidRDefault="000B424C">
            <w:pPr>
              <w:pStyle w:val="TableParagraph"/>
              <w:ind w:left="0"/>
              <w:rPr>
                <w:sz w:val="20"/>
              </w:rPr>
            </w:pPr>
          </w:p>
        </w:tc>
        <w:tc>
          <w:tcPr>
            <w:tcW w:w="1159" w:type="dxa"/>
            <w:hideMark/>
          </w:tcPr>
          <w:p w:rsidR="000B424C" w:rsidRDefault="000B424C">
            <w:pPr>
              <w:pStyle w:val="TableParagraph"/>
              <w:spacing w:line="248" w:lineRule="exact"/>
              <w:ind w:left="108" w:right="92"/>
              <w:jc w:val="center"/>
            </w:pPr>
            <w:r>
              <w:t>0,83</w:t>
            </w:r>
          </w:p>
        </w:tc>
        <w:tc>
          <w:tcPr>
            <w:tcW w:w="1164" w:type="dxa"/>
            <w:hideMark/>
          </w:tcPr>
          <w:p w:rsidR="000B424C" w:rsidRDefault="000B424C">
            <w:pPr>
              <w:pStyle w:val="TableParagraph"/>
              <w:spacing w:line="248" w:lineRule="exact"/>
              <w:ind w:left="101" w:right="85"/>
              <w:jc w:val="center"/>
            </w:pPr>
            <w:r>
              <w:t>0,85</w:t>
            </w:r>
          </w:p>
        </w:tc>
        <w:tc>
          <w:tcPr>
            <w:tcW w:w="1162" w:type="dxa"/>
            <w:hideMark/>
          </w:tcPr>
          <w:p w:rsidR="000B424C" w:rsidRDefault="000B424C">
            <w:pPr>
              <w:pStyle w:val="TableParagraph"/>
              <w:spacing w:line="248" w:lineRule="exact"/>
              <w:ind w:left="102" w:right="102"/>
              <w:jc w:val="center"/>
            </w:pPr>
            <w:r>
              <w:t>0,71</w:t>
            </w:r>
          </w:p>
        </w:tc>
        <w:tc>
          <w:tcPr>
            <w:tcW w:w="1162" w:type="dxa"/>
            <w:hideMark/>
          </w:tcPr>
          <w:p w:rsidR="000B424C" w:rsidRDefault="000B424C">
            <w:pPr>
              <w:pStyle w:val="TableParagraph"/>
              <w:spacing w:line="248" w:lineRule="exact"/>
              <w:ind w:left="102" w:right="102"/>
              <w:jc w:val="center"/>
            </w:pPr>
            <w:r>
              <w:t>0,71</w:t>
            </w:r>
          </w:p>
        </w:tc>
        <w:tc>
          <w:tcPr>
            <w:tcW w:w="1163" w:type="dxa"/>
            <w:hideMark/>
          </w:tcPr>
          <w:p w:rsidR="000B424C" w:rsidRDefault="000B424C">
            <w:pPr>
              <w:pStyle w:val="TableParagraph"/>
              <w:spacing w:line="248" w:lineRule="exact"/>
              <w:ind w:left="94" w:right="94"/>
              <w:jc w:val="center"/>
            </w:pPr>
            <w:r>
              <w:t>0,83</w:t>
            </w:r>
          </w:p>
        </w:tc>
        <w:tc>
          <w:tcPr>
            <w:tcW w:w="1164" w:type="dxa"/>
            <w:hideMark/>
          </w:tcPr>
          <w:p w:rsidR="000B424C" w:rsidRDefault="000B424C">
            <w:pPr>
              <w:pStyle w:val="TableParagraph"/>
              <w:spacing w:line="248" w:lineRule="exact"/>
              <w:ind w:left="94" w:right="96"/>
              <w:jc w:val="center"/>
            </w:pPr>
            <w:r>
              <w:t>0,50</w:t>
            </w:r>
          </w:p>
        </w:tc>
      </w:tr>
      <w:tr w:rsidR="000B424C" w:rsidTr="000B424C">
        <w:trPr>
          <w:trHeight w:val="529"/>
        </w:trPr>
        <w:tc>
          <w:tcPr>
            <w:tcW w:w="1382" w:type="dxa"/>
            <w:tcBorders>
              <w:top w:val="nil"/>
              <w:left w:val="nil"/>
              <w:bottom w:val="single" w:sz="4" w:space="0" w:color="000000"/>
              <w:right w:val="nil"/>
            </w:tcBorders>
            <w:hideMark/>
          </w:tcPr>
          <w:p w:rsidR="000B424C" w:rsidRDefault="000B424C">
            <w:pPr>
              <w:pStyle w:val="TableParagraph"/>
              <w:spacing w:before="21"/>
              <w:ind w:left="0" w:right="295"/>
              <w:jc w:val="center"/>
            </w:pPr>
            <w:r>
              <w:t>Interval</w:t>
            </w:r>
          </w:p>
        </w:tc>
        <w:tc>
          <w:tcPr>
            <w:tcW w:w="1172" w:type="dxa"/>
            <w:tcBorders>
              <w:top w:val="nil"/>
              <w:left w:val="nil"/>
              <w:bottom w:val="single" w:sz="4" w:space="0" w:color="000000"/>
              <w:right w:val="nil"/>
            </w:tcBorders>
          </w:tcPr>
          <w:p w:rsidR="000B424C" w:rsidRDefault="000B424C">
            <w:pPr>
              <w:pStyle w:val="TableParagraph"/>
              <w:ind w:left="0"/>
            </w:pPr>
          </w:p>
        </w:tc>
        <w:tc>
          <w:tcPr>
            <w:tcW w:w="1159" w:type="dxa"/>
            <w:tcBorders>
              <w:top w:val="nil"/>
              <w:left w:val="nil"/>
              <w:bottom w:val="single" w:sz="4" w:space="0" w:color="000000"/>
              <w:right w:val="nil"/>
            </w:tcBorders>
            <w:hideMark/>
          </w:tcPr>
          <w:p w:rsidR="000B424C" w:rsidRDefault="000B424C">
            <w:pPr>
              <w:pStyle w:val="TableParagraph"/>
              <w:spacing w:before="21"/>
              <w:ind w:right="93"/>
              <w:jc w:val="center"/>
            </w:pPr>
            <w:r>
              <w:t>0,06-6,25</w:t>
            </w:r>
          </w:p>
        </w:tc>
        <w:tc>
          <w:tcPr>
            <w:tcW w:w="1164" w:type="dxa"/>
            <w:tcBorders>
              <w:top w:val="nil"/>
              <w:left w:val="nil"/>
              <w:bottom w:val="single" w:sz="4" w:space="0" w:color="000000"/>
              <w:right w:val="nil"/>
            </w:tcBorders>
            <w:hideMark/>
          </w:tcPr>
          <w:p w:rsidR="000B424C" w:rsidRDefault="000B424C">
            <w:pPr>
              <w:pStyle w:val="TableParagraph"/>
              <w:spacing w:before="21"/>
              <w:ind w:left="101" w:right="87"/>
              <w:jc w:val="center"/>
            </w:pPr>
            <w:r>
              <w:t>0,02-6,05</w:t>
            </w:r>
          </w:p>
        </w:tc>
        <w:tc>
          <w:tcPr>
            <w:tcW w:w="1162" w:type="dxa"/>
            <w:tcBorders>
              <w:top w:val="nil"/>
              <w:left w:val="nil"/>
              <w:bottom w:val="single" w:sz="4" w:space="0" w:color="000000"/>
              <w:right w:val="nil"/>
            </w:tcBorders>
            <w:hideMark/>
          </w:tcPr>
          <w:p w:rsidR="000B424C" w:rsidRDefault="000B424C">
            <w:pPr>
              <w:pStyle w:val="TableParagraph"/>
              <w:spacing w:before="21"/>
              <w:ind w:left="102" w:right="103"/>
              <w:jc w:val="center"/>
            </w:pPr>
            <w:r>
              <w:t>-0,55-9,60</w:t>
            </w:r>
          </w:p>
        </w:tc>
        <w:tc>
          <w:tcPr>
            <w:tcW w:w="1162" w:type="dxa"/>
            <w:tcBorders>
              <w:top w:val="nil"/>
              <w:left w:val="nil"/>
              <w:bottom w:val="single" w:sz="4" w:space="0" w:color="000000"/>
              <w:right w:val="nil"/>
            </w:tcBorders>
            <w:hideMark/>
          </w:tcPr>
          <w:p w:rsidR="000B424C" w:rsidRDefault="000B424C">
            <w:pPr>
              <w:pStyle w:val="TableParagraph"/>
              <w:spacing w:before="21"/>
              <w:ind w:left="102" w:right="102"/>
              <w:jc w:val="center"/>
            </w:pPr>
            <w:r>
              <w:t>0,15-7,71</w:t>
            </w:r>
          </w:p>
        </w:tc>
        <w:tc>
          <w:tcPr>
            <w:tcW w:w="1163" w:type="dxa"/>
            <w:tcBorders>
              <w:top w:val="nil"/>
              <w:left w:val="nil"/>
              <w:bottom w:val="single" w:sz="4" w:space="0" w:color="000000"/>
              <w:right w:val="nil"/>
            </w:tcBorders>
            <w:hideMark/>
          </w:tcPr>
          <w:p w:rsidR="000B424C" w:rsidRDefault="000B424C">
            <w:pPr>
              <w:pStyle w:val="TableParagraph"/>
              <w:spacing w:before="21" w:line="252" w:lineRule="exact"/>
              <w:ind w:left="93" w:right="94"/>
              <w:jc w:val="center"/>
            </w:pPr>
            <w:r>
              <w:t>0,00-10,9</w:t>
            </w:r>
          </w:p>
          <w:p w:rsidR="000B424C" w:rsidRDefault="000B424C">
            <w:pPr>
              <w:pStyle w:val="TableParagraph"/>
              <w:spacing w:line="235" w:lineRule="exact"/>
              <w:ind w:left="0" w:right="1"/>
              <w:jc w:val="center"/>
            </w:pPr>
            <w:r>
              <w:t>6</w:t>
            </w:r>
          </w:p>
        </w:tc>
        <w:tc>
          <w:tcPr>
            <w:tcW w:w="1164" w:type="dxa"/>
            <w:tcBorders>
              <w:top w:val="nil"/>
              <w:left w:val="nil"/>
              <w:bottom w:val="single" w:sz="4" w:space="0" w:color="000000"/>
              <w:right w:val="nil"/>
            </w:tcBorders>
            <w:hideMark/>
          </w:tcPr>
          <w:p w:rsidR="000B424C" w:rsidRDefault="000B424C">
            <w:pPr>
              <w:pStyle w:val="TableParagraph"/>
              <w:spacing w:before="21"/>
              <w:ind w:left="91" w:right="96"/>
              <w:jc w:val="center"/>
            </w:pPr>
            <w:r>
              <w:t>-0,74-9,84</w:t>
            </w:r>
          </w:p>
        </w:tc>
      </w:tr>
      <w:tr w:rsidR="000B424C" w:rsidTr="000B424C">
        <w:trPr>
          <w:trHeight w:val="281"/>
        </w:trPr>
        <w:tc>
          <w:tcPr>
            <w:tcW w:w="9528" w:type="dxa"/>
            <w:gridSpan w:val="8"/>
            <w:tcBorders>
              <w:top w:val="single" w:sz="4" w:space="0" w:color="000000"/>
              <w:left w:val="nil"/>
              <w:bottom w:val="nil"/>
              <w:right w:val="nil"/>
            </w:tcBorders>
            <w:hideMark/>
          </w:tcPr>
          <w:p w:rsidR="000B424C" w:rsidRDefault="000B424C">
            <w:pPr>
              <w:pStyle w:val="TableParagraph"/>
              <w:spacing w:line="251" w:lineRule="exact"/>
              <w:ind w:left="116"/>
              <w:rPr>
                <w:b/>
                <w:lang w:val="da-DK"/>
              </w:rPr>
            </w:pPr>
            <w:r>
              <w:rPr>
                <w:b/>
                <w:lang w:val="da-DK"/>
              </w:rPr>
              <w:t xml:space="preserve">Procentvis reduktion fra </w:t>
            </w:r>
            <w:r>
              <w:rPr>
                <w:b/>
                <w:i/>
                <w:lang w:val="da-DK"/>
              </w:rPr>
              <w:t>baseline</w:t>
            </w:r>
            <w:r>
              <w:rPr>
                <w:b/>
                <w:lang w:val="da-DK"/>
              </w:rPr>
              <w:t>, n (%)</w:t>
            </w:r>
          </w:p>
        </w:tc>
      </w:tr>
      <w:tr w:rsidR="000B424C" w:rsidTr="000B424C">
        <w:trPr>
          <w:trHeight w:val="303"/>
        </w:trPr>
        <w:tc>
          <w:tcPr>
            <w:tcW w:w="1382" w:type="dxa"/>
            <w:hideMark/>
          </w:tcPr>
          <w:p w:rsidR="000B424C" w:rsidRDefault="000B424C">
            <w:pPr>
              <w:pStyle w:val="TableParagraph"/>
              <w:spacing w:before="21"/>
              <w:ind w:left="399"/>
            </w:pPr>
            <w:r>
              <w:t>≥50 %</w:t>
            </w:r>
          </w:p>
        </w:tc>
        <w:tc>
          <w:tcPr>
            <w:tcW w:w="1172" w:type="dxa"/>
          </w:tcPr>
          <w:p w:rsidR="000B424C" w:rsidRDefault="000B424C">
            <w:pPr>
              <w:pStyle w:val="TableParagraph"/>
              <w:ind w:left="0"/>
            </w:pPr>
          </w:p>
        </w:tc>
        <w:tc>
          <w:tcPr>
            <w:tcW w:w="1159" w:type="dxa"/>
            <w:hideMark/>
          </w:tcPr>
          <w:p w:rsidR="000B424C" w:rsidRDefault="000B424C">
            <w:pPr>
              <w:pStyle w:val="TableParagraph"/>
              <w:spacing w:before="21"/>
              <w:ind w:left="108" w:right="93"/>
              <w:jc w:val="center"/>
            </w:pPr>
            <w:r>
              <w:t>9 (33,3)</w:t>
            </w:r>
          </w:p>
        </w:tc>
        <w:tc>
          <w:tcPr>
            <w:tcW w:w="1164" w:type="dxa"/>
            <w:hideMark/>
          </w:tcPr>
          <w:p w:rsidR="000B424C" w:rsidRDefault="000B424C">
            <w:pPr>
              <w:pStyle w:val="TableParagraph"/>
              <w:spacing w:before="21"/>
              <w:ind w:left="101" w:right="86"/>
              <w:jc w:val="center"/>
            </w:pPr>
            <w:r>
              <w:t>9 (34,6)</w:t>
            </w:r>
          </w:p>
        </w:tc>
        <w:tc>
          <w:tcPr>
            <w:tcW w:w="1162" w:type="dxa"/>
            <w:hideMark/>
          </w:tcPr>
          <w:p w:rsidR="000B424C" w:rsidRDefault="000B424C">
            <w:pPr>
              <w:pStyle w:val="TableParagraph"/>
              <w:spacing w:before="21"/>
              <w:ind w:left="102" w:right="102"/>
              <w:jc w:val="center"/>
            </w:pPr>
            <w:r>
              <w:t>12 (50,0)</w:t>
            </w:r>
          </w:p>
        </w:tc>
        <w:tc>
          <w:tcPr>
            <w:tcW w:w="1162" w:type="dxa"/>
            <w:hideMark/>
          </w:tcPr>
          <w:p w:rsidR="000B424C" w:rsidRDefault="000B424C">
            <w:pPr>
              <w:pStyle w:val="TableParagraph"/>
              <w:spacing w:before="21"/>
              <w:ind w:left="102" w:right="103"/>
              <w:jc w:val="center"/>
            </w:pPr>
            <w:r>
              <w:t>10 (43,5)</w:t>
            </w:r>
          </w:p>
        </w:tc>
        <w:tc>
          <w:tcPr>
            <w:tcW w:w="1163" w:type="dxa"/>
            <w:hideMark/>
          </w:tcPr>
          <w:p w:rsidR="000B424C" w:rsidRDefault="000B424C">
            <w:pPr>
              <w:pStyle w:val="TableParagraph"/>
              <w:spacing w:before="21"/>
              <w:ind w:left="94" w:right="94"/>
              <w:jc w:val="center"/>
            </w:pPr>
            <w:r>
              <w:t>14 (58,3)</w:t>
            </w:r>
          </w:p>
        </w:tc>
        <w:tc>
          <w:tcPr>
            <w:tcW w:w="1164" w:type="dxa"/>
            <w:hideMark/>
          </w:tcPr>
          <w:p w:rsidR="000B424C" w:rsidRDefault="000B424C">
            <w:pPr>
              <w:pStyle w:val="TableParagraph"/>
              <w:spacing w:before="21"/>
              <w:ind w:left="93" w:right="96"/>
              <w:jc w:val="center"/>
            </w:pPr>
            <w:r>
              <w:t>12 (52,2)</w:t>
            </w:r>
          </w:p>
        </w:tc>
      </w:tr>
      <w:tr w:rsidR="000B424C" w:rsidTr="000B424C">
        <w:trPr>
          <w:trHeight w:val="303"/>
        </w:trPr>
        <w:tc>
          <w:tcPr>
            <w:tcW w:w="1382" w:type="dxa"/>
            <w:hideMark/>
          </w:tcPr>
          <w:p w:rsidR="000B424C" w:rsidRDefault="000B424C">
            <w:pPr>
              <w:pStyle w:val="TableParagraph"/>
              <w:spacing w:before="20"/>
              <w:ind w:left="399"/>
            </w:pPr>
            <w:r>
              <w:t>≥30 %</w:t>
            </w:r>
          </w:p>
        </w:tc>
        <w:tc>
          <w:tcPr>
            <w:tcW w:w="1172" w:type="dxa"/>
          </w:tcPr>
          <w:p w:rsidR="000B424C" w:rsidRDefault="000B424C">
            <w:pPr>
              <w:pStyle w:val="TableParagraph"/>
              <w:ind w:left="0"/>
            </w:pPr>
          </w:p>
        </w:tc>
        <w:tc>
          <w:tcPr>
            <w:tcW w:w="1159" w:type="dxa"/>
            <w:hideMark/>
          </w:tcPr>
          <w:p w:rsidR="000B424C" w:rsidRDefault="000B424C">
            <w:pPr>
              <w:pStyle w:val="TableParagraph"/>
              <w:spacing w:before="20"/>
              <w:ind w:left="108" w:right="93"/>
              <w:jc w:val="center"/>
            </w:pPr>
            <w:r>
              <w:t>21 (77,8)</w:t>
            </w:r>
          </w:p>
        </w:tc>
        <w:tc>
          <w:tcPr>
            <w:tcW w:w="1164" w:type="dxa"/>
            <w:hideMark/>
          </w:tcPr>
          <w:p w:rsidR="000B424C" w:rsidRDefault="000B424C">
            <w:pPr>
              <w:pStyle w:val="TableParagraph"/>
              <w:spacing w:before="20"/>
              <w:ind w:left="101" w:right="86"/>
              <w:jc w:val="center"/>
            </w:pPr>
            <w:r>
              <w:t>20 (76,9)</w:t>
            </w:r>
          </w:p>
        </w:tc>
        <w:tc>
          <w:tcPr>
            <w:tcW w:w="1162" w:type="dxa"/>
            <w:hideMark/>
          </w:tcPr>
          <w:p w:rsidR="000B424C" w:rsidRDefault="000B424C">
            <w:pPr>
              <w:pStyle w:val="TableParagraph"/>
              <w:spacing w:before="20"/>
              <w:ind w:left="102" w:right="102"/>
              <w:jc w:val="center"/>
            </w:pPr>
            <w:r>
              <w:t>19 (79,2)</w:t>
            </w:r>
          </w:p>
        </w:tc>
        <w:tc>
          <w:tcPr>
            <w:tcW w:w="1162" w:type="dxa"/>
            <w:hideMark/>
          </w:tcPr>
          <w:p w:rsidR="000B424C" w:rsidRDefault="000B424C">
            <w:pPr>
              <w:pStyle w:val="TableParagraph"/>
              <w:spacing w:before="20"/>
              <w:ind w:left="102" w:right="103"/>
              <w:jc w:val="center"/>
            </w:pPr>
            <w:r>
              <w:t>18 (78,3)</w:t>
            </w:r>
          </w:p>
        </w:tc>
        <w:tc>
          <w:tcPr>
            <w:tcW w:w="1163" w:type="dxa"/>
            <w:hideMark/>
          </w:tcPr>
          <w:p w:rsidR="000B424C" w:rsidRDefault="000B424C">
            <w:pPr>
              <w:pStyle w:val="TableParagraph"/>
              <w:spacing w:before="20"/>
              <w:ind w:left="93" w:right="94"/>
              <w:jc w:val="center"/>
            </w:pPr>
            <w:r>
              <w:t>19 (79,2)</w:t>
            </w:r>
          </w:p>
        </w:tc>
        <w:tc>
          <w:tcPr>
            <w:tcW w:w="1164" w:type="dxa"/>
            <w:hideMark/>
          </w:tcPr>
          <w:p w:rsidR="000B424C" w:rsidRDefault="000B424C">
            <w:pPr>
              <w:pStyle w:val="TableParagraph"/>
              <w:spacing w:before="20"/>
              <w:ind w:left="93" w:right="96"/>
              <w:jc w:val="center"/>
            </w:pPr>
            <w:r>
              <w:t>14 (60,9)</w:t>
            </w:r>
          </w:p>
        </w:tc>
      </w:tr>
      <w:tr w:rsidR="000B424C" w:rsidTr="000B424C">
        <w:trPr>
          <w:trHeight w:val="305"/>
        </w:trPr>
        <w:tc>
          <w:tcPr>
            <w:tcW w:w="1382" w:type="dxa"/>
            <w:hideMark/>
          </w:tcPr>
          <w:p w:rsidR="000B424C" w:rsidRDefault="000B424C">
            <w:pPr>
              <w:pStyle w:val="TableParagraph"/>
              <w:spacing w:before="21"/>
              <w:ind w:left="399"/>
            </w:pPr>
            <w:r>
              <w:t>&gt;0 %</w:t>
            </w:r>
          </w:p>
        </w:tc>
        <w:tc>
          <w:tcPr>
            <w:tcW w:w="1172" w:type="dxa"/>
          </w:tcPr>
          <w:p w:rsidR="000B424C" w:rsidRDefault="000B424C">
            <w:pPr>
              <w:pStyle w:val="TableParagraph"/>
              <w:ind w:left="0"/>
            </w:pPr>
          </w:p>
        </w:tc>
        <w:tc>
          <w:tcPr>
            <w:tcW w:w="1159" w:type="dxa"/>
            <w:hideMark/>
          </w:tcPr>
          <w:p w:rsidR="000B424C" w:rsidRDefault="000B424C">
            <w:pPr>
              <w:pStyle w:val="TableParagraph"/>
              <w:spacing w:before="21"/>
              <w:ind w:left="108" w:right="93"/>
              <w:jc w:val="center"/>
            </w:pPr>
            <w:r>
              <w:t>27 (100,0)</w:t>
            </w:r>
          </w:p>
        </w:tc>
        <w:tc>
          <w:tcPr>
            <w:tcW w:w="1164" w:type="dxa"/>
            <w:hideMark/>
          </w:tcPr>
          <w:p w:rsidR="000B424C" w:rsidRDefault="000B424C">
            <w:pPr>
              <w:pStyle w:val="TableParagraph"/>
              <w:spacing w:before="21"/>
              <w:ind w:left="101" w:right="86"/>
              <w:jc w:val="center"/>
            </w:pPr>
            <w:r>
              <w:t>26 (100,0)</w:t>
            </w:r>
          </w:p>
        </w:tc>
        <w:tc>
          <w:tcPr>
            <w:tcW w:w="1162" w:type="dxa"/>
            <w:hideMark/>
          </w:tcPr>
          <w:p w:rsidR="000B424C" w:rsidRDefault="000B424C">
            <w:pPr>
              <w:pStyle w:val="TableParagraph"/>
              <w:spacing w:before="21"/>
              <w:ind w:left="102" w:right="102"/>
              <w:jc w:val="center"/>
            </w:pPr>
            <w:r>
              <w:t>23 (95,8)</w:t>
            </w:r>
          </w:p>
        </w:tc>
        <w:tc>
          <w:tcPr>
            <w:tcW w:w="1162" w:type="dxa"/>
            <w:hideMark/>
          </w:tcPr>
          <w:p w:rsidR="000B424C" w:rsidRDefault="000B424C">
            <w:pPr>
              <w:pStyle w:val="TableParagraph"/>
              <w:spacing w:before="21"/>
              <w:ind w:left="102" w:right="103"/>
              <w:jc w:val="center"/>
            </w:pPr>
            <w:r>
              <w:t>23 (100,0)</w:t>
            </w:r>
          </w:p>
        </w:tc>
        <w:tc>
          <w:tcPr>
            <w:tcW w:w="1163" w:type="dxa"/>
            <w:hideMark/>
          </w:tcPr>
          <w:p w:rsidR="000B424C" w:rsidRDefault="000B424C">
            <w:pPr>
              <w:pStyle w:val="TableParagraph"/>
              <w:spacing w:before="21"/>
              <w:ind w:left="93" w:right="94"/>
              <w:jc w:val="center"/>
            </w:pPr>
            <w:r>
              <w:t>23 (95,8)</w:t>
            </w:r>
          </w:p>
        </w:tc>
        <w:tc>
          <w:tcPr>
            <w:tcW w:w="1164" w:type="dxa"/>
            <w:hideMark/>
          </w:tcPr>
          <w:p w:rsidR="000B424C" w:rsidRDefault="000B424C">
            <w:pPr>
              <w:pStyle w:val="TableParagraph"/>
              <w:spacing w:before="21"/>
              <w:ind w:left="93" w:right="96"/>
              <w:jc w:val="center"/>
            </w:pPr>
            <w:r>
              <w:t>21 (91,3)</w:t>
            </w:r>
          </w:p>
        </w:tc>
      </w:tr>
      <w:tr w:rsidR="000B424C" w:rsidTr="000B424C">
        <w:trPr>
          <w:trHeight w:val="530"/>
        </w:trPr>
        <w:tc>
          <w:tcPr>
            <w:tcW w:w="1382" w:type="dxa"/>
            <w:hideMark/>
          </w:tcPr>
          <w:p w:rsidR="000B424C" w:rsidRDefault="000B424C">
            <w:pPr>
              <w:pStyle w:val="TableParagraph"/>
              <w:spacing w:before="25" w:line="252" w:lineRule="exact"/>
              <w:ind w:left="399" w:right="241"/>
            </w:pPr>
            <w:r>
              <w:t>Ingen ændring</w:t>
            </w:r>
          </w:p>
        </w:tc>
        <w:tc>
          <w:tcPr>
            <w:tcW w:w="1172" w:type="dxa"/>
          </w:tcPr>
          <w:p w:rsidR="000B424C" w:rsidRDefault="000B424C">
            <w:pPr>
              <w:pStyle w:val="TableParagraph"/>
              <w:ind w:left="0"/>
            </w:pPr>
          </w:p>
        </w:tc>
        <w:tc>
          <w:tcPr>
            <w:tcW w:w="1159" w:type="dxa"/>
            <w:hideMark/>
          </w:tcPr>
          <w:p w:rsidR="000B424C" w:rsidRDefault="000B424C">
            <w:pPr>
              <w:pStyle w:val="TableParagraph"/>
              <w:spacing w:before="21"/>
              <w:ind w:left="14"/>
              <w:jc w:val="center"/>
            </w:pPr>
            <w:r>
              <w:t>0</w:t>
            </w:r>
          </w:p>
        </w:tc>
        <w:tc>
          <w:tcPr>
            <w:tcW w:w="1164" w:type="dxa"/>
            <w:hideMark/>
          </w:tcPr>
          <w:p w:rsidR="000B424C" w:rsidRDefault="000B424C">
            <w:pPr>
              <w:pStyle w:val="TableParagraph"/>
              <w:spacing w:before="21"/>
              <w:ind w:left="14"/>
              <w:jc w:val="center"/>
            </w:pPr>
            <w:r>
              <w:t>0</w:t>
            </w:r>
          </w:p>
        </w:tc>
        <w:tc>
          <w:tcPr>
            <w:tcW w:w="1162" w:type="dxa"/>
            <w:hideMark/>
          </w:tcPr>
          <w:p w:rsidR="000B424C" w:rsidRDefault="000B424C">
            <w:pPr>
              <w:pStyle w:val="TableParagraph"/>
              <w:spacing w:before="21"/>
              <w:ind w:left="0" w:right="1"/>
              <w:jc w:val="center"/>
            </w:pPr>
            <w:r>
              <w:t>0</w:t>
            </w:r>
          </w:p>
        </w:tc>
        <w:tc>
          <w:tcPr>
            <w:tcW w:w="1162" w:type="dxa"/>
            <w:hideMark/>
          </w:tcPr>
          <w:p w:rsidR="000B424C" w:rsidRDefault="000B424C">
            <w:pPr>
              <w:pStyle w:val="TableParagraph"/>
              <w:spacing w:before="21"/>
              <w:ind w:left="0"/>
              <w:jc w:val="center"/>
            </w:pPr>
            <w:r>
              <w:t>0</w:t>
            </w:r>
          </w:p>
        </w:tc>
        <w:tc>
          <w:tcPr>
            <w:tcW w:w="1163" w:type="dxa"/>
            <w:hideMark/>
          </w:tcPr>
          <w:p w:rsidR="000B424C" w:rsidRDefault="000B424C">
            <w:pPr>
              <w:pStyle w:val="TableParagraph"/>
              <w:spacing w:before="21"/>
              <w:ind w:left="94" w:right="94"/>
              <w:jc w:val="center"/>
            </w:pPr>
            <w:r>
              <w:t>1 (4,2)</w:t>
            </w:r>
          </w:p>
        </w:tc>
        <w:tc>
          <w:tcPr>
            <w:tcW w:w="1164" w:type="dxa"/>
            <w:hideMark/>
          </w:tcPr>
          <w:p w:rsidR="000B424C" w:rsidRDefault="000B424C">
            <w:pPr>
              <w:pStyle w:val="TableParagraph"/>
              <w:spacing w:before="21"/>
              <w:ind w:left="0" w:right="5"/>
              <w:jc w:val="center"/>
            </w:pPr>
            <w:r>
              <w:t>0</w:t>
            </w:r>
          </w:p>
        </w:tc>
      </w:tr>
      <w:tr w:rsidR="000B424C" w:rsidTr="000B424C">
        <w:trPr>
          <w:trHeight w:val="301"/>
        </w:trPr>
        <w:tc>
          <w:tcPr>
            <w:tcW w:w="1382" w:type="dxa"/>
            <w:tcBorders>
              <w:top w:val="nil"/>
              <w:left w:val="nil"/>
              <w:bottom w:val="single" w:sz="4" w:space="0" w:color="000000"/>
              <w:right w:val="nil"/>
            </w:tcBorders>
            <w:hideMark/>
          </w:tcPr>
          <w:p w:rsidR="000B424C" w:rsidRDefault="000B424C">
            <w:pPr>
              <w:pStyle w:val="TableParagraph"/>
              <w:spacing w:line="248" w:lineRule="exact"/>
              <w:ind w:left="0" w:right="232"/>
              <w:jc w:val="right"/>
            </w:pPr>
            <w:r>
              <w:t>Stigning</w:t>
            </w:r>
          </w:p>
        </w:tc>
        <w:tc>
          <w:tcPr>
            <w:tcW w:w="1172" w:type="dxa"/>
            <w:tcBorders>
              <w:top w:val="nil"/>
              <w:left w:val="nil"/>
              <w:bottom w:val="single" w:sz="4" w:space="0" w:color="000000"/>
              <w:right w:val="nil"/>
            </w:tcBorders>
          </w:tcPr>
          <w:p w:rsidR="000B424C" w:rsidRDefault="000B424C">
            <w:pPr>
              <w:pStyle w:val="TableParagraph"/>
              <w:ind w:left="0"/>
            </w:pPr>
          </w:p>
        </w:tc>
        <w:tc>
          <w:tcPr>
            <w:tcW w:w="1159" w:type="dxa"/>
            <w:tcBorders>
              <w:top w:val="nil"/>
              <w:left w:val="nil"/>
              <w:bottom w:val="single" w:sz="4" w:space="0" w:color="000000"/>
              <w:right w:val="nil"/>
            </w:tcBorders>
            <w:hideMark/>
          </w:tcPr>
          <w:p w:rsidR="000B424C" w:rsidRDefault="000B424C">
            <w:pPr>
              <w:pStyle w:val="TableParagraph"/>
              <w:spacing w:line="248" w:lineRule="exact"/>
              <w:ind w:left="14"/>
              <w:jc w:val="center"/>
            </w:pPr>
            <w:r>
              <w:t>0</w:t>
            </w:r>
          </w:p>
        </w:tc>
        <w:tc>
          <w:tcPr>
            <w:tcW w:w="1164" w:type="dxa"/>
            <w:tcBorders>
              <w:top w:val="nil"/>
              <w:left w:val="nil"/>
              <w:bottom w:val="single" w:sz="4" w:space="0" w:color="000000"/>
              <w:right w:val="nil"/>
            </w:tcBorders>
            <w:hideMark/>
          </w:tcPr>
          <w:p w:rsidR="000B424C" w:rsidRDefault="000B424C">
            <w:pPr>
              <w:pStyle w:val="TableParagraph"/>
              <w:spacing w:line="248" w:lineRule="exact"/>
              <w:ind w:left="14"/>
              <w:jc w:val="center"/>
            </w:pPr>
            <w:r>
              <w:t>0</w:t>
            </w:r>
          </w:p>
        </w:tc>
        <w:tc>
          <w:tcPr>
            <w:tcW w:w="1162" w:type="dxa"/>
            <w:tcBorders>
              <w:top w:val="nil"/>
              <w:left w:val="nil"/>
              <w:bottom w:val="single" w:sz="4" w:space="0" w:color="000000"/>
              <w:right w:val="nil"/>
            </w:tcBorders>
            <w:hideMark/>
          </w:tcPr>
          <w:p w:rsidR="000B424C" w:rsidRDefault="000B424C">
            <w:pPr>
              <w:pStyle w:val="TableParagraph"/>
              <w:spacing w:line="248" w:lineRule="exact"/>
              <w:ind w:left="102" w:right="102"/>
              <w:jc w:val="center"/>
            </w:pPr>
            <w:r>
              <w:t>1 (4,2)</w:t>
            </w:r>
          </w:p>
        </w:tc>
        <w:tc>
          <w:tcPr>
            <w:tcW w:w="1162" w:type="dxa"/>
            <w:tcBorders>
              <w:top w:val="nil"/>
              <w:left w:val="nil"/>
              <w:bottom w:val="single" w:sz="4" w:space="0" w:color="000000"/>
              <w:right w:val="nil"/>
            </w:tcBorders>
            <w:hideMark/>
          </w:tcPr>
          <w:p w:rsidR="000B424C" w:rsidRDefault="000B424C">
            <w:pPr>
              <w:pStyle w:val="TableParagraph"/>
              <w:spacing w:line="248" w:lineRule="exact"/>
              <w:ind w:left="0"/>
              <w:jc w:val="center"/>
            </w:pPr>
            <w:r>
              <w:t>0</w:t>
            </w:r>
          </w:p>
        </w:tc>
        <w:tc>
          <w:tcPr>
            <w:tcW w:w="1163" w:type="dxa"/>
            <w:tcBorders>
              <w:top w:val="nil"/>
              <w:left w:val="nil"/>
              <w:bottom w:val="single" w:sz="4" w:space="0" w:color="000000"/>
              <w:right w:val="nil"/>
            </w:tcBorders>
            <w:hideMark/>
          </w:tcPr>
          <w:p w:rsidR="000B424C" w:rsidRDefault="000B424C">
            <w:pPr>
              <w:pStyle w:val="TableParagraph"/>
              <w:spacing w:line="248" w:lineRule="exact"/>
              <w:ind w:left="0" w:right="1"/>
              <w:jc w:val="center"/>
            </w:pPr>
            <w:r>
              <w:t>0</w:t>
            </w:r>
          </w:p>
        </w:tc>
        <w:tc>
          <w:tcPr>
            <w:tcW w:w="1164" w:type="dxa"/>
            <w:tcBorders>
              <w:top w:val="nil"/>
              <w:left w:val="nil"/>
              <w:bottom w:val="single" w:sz="4" w:space="0" w:color="000000"/>
              <w:right w:val="nil"/>
            </w:tcBorders>
            <w:hideMark/>
          </w:tcPr>
          <w:p w:rsidR="000B424C" w:rsidRDefault="000B424C">
            <w:pPr>
              <w:pStyle w:val="TableParagraph"/>
              <w:spacing w:line="248" w:lineRule="exact"/>
              <w:ind w:left="93" w:right="96"/>
              <w:jc w:val="center"/>
            </w:pPr>
            <w:r>
              <w:t>2 (8,7)</w:t>
            </w:r>
          </w:p>
        </w:tc>
      </w:tr>
    </w:tbl>
    <w:p w:rsidR="000B424C" w:rsidRDefault="000B424C" w:rsidP="000B424C">
      <w:pPr>
        <w:pStyle w:val="Brdtekst"/>
        <w:rPr>
          <w:b/>
        </w:rPr>
      </w:pPr>
    </w:p>
    <w:p w:rsidR="000B424C" w:rsidRDefault="000B424C" w:rsidP="000B424C">
      <w:pPr>
        <w:pStyle w:val="Brdtekst"/>
        <w:ind w:left="851"/>
        <w:rPr>
          <w:sz w:val="24"/>
          <w:szCs w:val="24"/>
          <w:lang w:val="da-DK"/>
        </w:rPr>
      </w:pPr>
      <w:r>
        <w:rPr>
          <w:sz w:val="24"/>
          <w:szCs w:val="24"/>
          <w:lang w:val="da-DK"/>
        </w:rPr>
        <w:t>Den primære analyses styrke og konsistens blev understøttet af:</w:t>
      </w:r>
    </w:p>
    <w:p w:rsidR="000B424C" w:rsidRDefault="000B424C" w:rsidP="000B424C">
      <w:pPr>
        <w:pStyle w:val="Listeafsnit"/>
        <w:numPr>
          <w:ilvl w:val="0"/>
          <w:numId w:val="17"/>
        </w:numPr>
        <w:ind w:left="1418" w:right="-1"/>
        <w:rPr>
          <w:sz w:val="24"/>
          <w:szCs w:val="24"/>
          <w:lang w:val="da-DK"/>
        </w:rPr>
      </w:pPr>
      <w:r>
        <w:rPr>
          <w:sz w:val="24"/>
          <w:szCs w:val="24"/>
          <w:lang w:val="da-DK"/>
        </w:rPr>
        <w:t>ændringen i primært SEGA-volumen ifølge den lokale investigators vurdering (p&lt;0,001), hvor 75,0 % og 39,3 % af patienterne oplevede reduktioner på henholdsvis ≥30 % og ≥50</w:t>
      </w:r>
      <w:r>
        <w:rPr>
          <w:spacing w:val="-15"/>
          <w:sz w:val="24"/>
          <w:szCs w:val="24"/>
          <w:lang w:val="da-DK"/>
        </w:rPr>
        <w:t xml:space="preserve"> </w:t>
      </w:r>
      <w:r>
        <w:rPr>
          <w:sz w:val="24"/>
          <w:szCs w:val="24"/>
          <w:lang w:val="da-DK"/>
        </w:rPr>
        <w:t>%</w:t>
      </w:r>
    </w:p>
    <w:p w:rsidR="000B424C" w:rsidRDefault="000B424C" w:rsidP="000B424C">
      <w:pPr>
        <w:pStyle w:val="Listeafsnit"/>
        <w:numPr>
          <w:ilvl w:val="0"/>
          <w:numId w:val="17"/>
        </w:numPr>
        <w:ind w:left="1418" w:right="-1"/>
        <w:rPr>
          <w:sz w:val="24"/>
          <w:szCs w:val="24"/>
          <w:lang w:val="da-DK"/>
        </w:rPr>
      </w:pPr>
      <w:r>
        <w:rPr>
          <w:sz w:val="24"/>
          <w:szCs w:val="24"/>
          <w:lang w:val="da-DK"/>
        </w:rPr>
        <w:t>ændringen i samlet SEGA-volumen ifølge uafhængig central gennemgang (p&lt;0,001) eller den stedlige investigators vurdering</w:t>
      </w:r>
      <w:r>
        <w:rPr>
          <w:spacing w:val="-6"/>
          <w:sz w:val="24"/>
          <w:szCs w:val="24"/>
          <w:lang w:val="da-DK"/>
        </w:rPr>
        <w:t xml:space="preserve"> </w:t>
      </w:r>
      <w:r>
        <w:rPr>
          <w:sz w:val="24"/>
          <w:szCs w:val="24"/>
          <w:lang w:val="da-DK"/>
        </w:rPr>
        <w:t>(p&lt;0,001).</w:t>
      </w:r>
    </w:p>
    <w:p w:rsidR="000B424C" w:rsidRDefault="000B424C" w:rsidP="000B424C">
      <w:pPr>
        <w:pStyle w:val="Brdtekst"/>
        <w:ind w:left="851" w:right="-1"/>
        <w:rPr>
          <w:sz w:val="24"/>
          <w:szCs w:val="24"/>
          <w:lang w:val="da-DK"/>
        </w:rPr>
      </w:pPr>
      <w:r>
        <w:rPr>
          <w:sz w:val="24"/>
          <w:szCs w:val="24"/>
          <w:lang w:val="da-DK"/>
        </w:rPr>
        <w:t>En enkelt patient opfyldte de foruddefinerede kriterier for behandlingssucces (&gt;75 % reduktion i SEGA-volumen) og blev midlertidigt taget af forsøgsbehandlingen; ved næste vurdering efter 4,5 måneder sås der imidlertid fornyet SEGA-vækst, og behandlingen blev genoptaget.</w:t>
      </w:r>
    </w:p>
    <w:p w:rsidR="000B424C" w:rsidRDefault="000B424C" w:rsidP="000B424C">
      <w:pPr>
        <w:pStyle w:val="Brdtekst"/>
        <w:ind w:left="851" w:right="1613"/>
        <w:rPr>
          <w:sz w:val="24"/>
          <w:szCs w:val="24"/>
          <w:lang w:val="da-DK"/>
        </w:rPr>
      </w:pPr>
      <w:r>
        <w:rPr>
          <w:sz w:val="24"/>
          <w:szCs w:val="24"/>
          <w:lang w:val="da-DK"/>
        </w:rPr>
        <w:lastRenderedPageBreak/>
        <w:t>Langtidsopfølgning ved en median varighed af 67,8 måneder (interval: 4,7 til 83,2) viste vedvarende effekt.</w:t>
      </w:r>
    </w:p>
    <w:p w:rsidR="000B424C" w:rsidRDefault="000B424C" w:rsidP="000B424C">
      <w:pPr>
        <w:pStyle w:val="Default"/>
        <w:ind w:left="851"/>
        <w:rPr>
          <w:i/>
          <w:iCs/>
        </w:rPr>
      </w:pPr>
    </w:p>
    <w:p w:rsidR="000B424C" w:rsidRDefault="000B424C" w:rsidP="000B424C">
      <w:pPr>
        <w:pStyle w:val="Default"/>
        <w:ind w:left="851"/>
      </w:pPr>
      <w:r>
        <w:rPr>
          <w:i/>
          <w:iCs/>
        </w:rPr>
        <w:t xml:space="preserve">Andre studier </w:t>
      </w:r>
    </w:p>
    <w:p w:rsidR="000B424C" w:rsidRDefault="000B424C" w:rsidP="000B424C">
      <w:pPr>
        <w:pStyle w:val="Default"/>
        <w:ind w:left="851"/>
      </w:pPr>
      <w:r>
        <w:t xml:space="preserve">Stomatitis er den hyppigst rapporterede bivirkning hos patienter, der blev behandlet med everolimus (se pkt. 4.4 og 4.8). I et post-marketing, enkeltarms-studie med postmenopausale kvinder med fremskreden brystkræft (N=92) blev der administreret topikal behandling med en alkoholfri oral opløsning med dexamethason 0,5 mg/5 ml som mundskyllevæske (4 gange daglig i de første 8 ugers behandling) til patienter ved opstart af behandling med everolimus (10 mg/daglig) plus exemestan (25 mg/daglig) for at reducere forekomsten og alvorligheden af stomatitis. Forekomsten af stomatitis af grad ≥2 efter 8 uger var 2,4 % (n=2/85 evaluérbare patienter), hvilket var lavere end tidligere rapporteret. Forekomsten af stomatitis af grad 1 var 18,8 % (n=16/85) og der blev ikke rapporteret tilfælde af stomatitis af grad 3 eller 4. Den samlede sikkerhedsprofil i dette studie var i overensstemmelse med den etablerede sikkerhedsprofil for everolimus til behandling af onkologiske sygdomme og TSC med undtagelse af en let forhøjet forekomst af oral candidiasis, der blev rapporteret hos 2,2 % (2/92) af patienterne. </w:t>
      </w:r>
    </w:p>
    <w:p w:rsidR="000B424C" w:rsidRDefault="000B424C" w:rsidP="000B424C">
      <w:pPr>
        <w:pStyle w:val="Default"/>
        <w:ind w:left="851"/>
        <w:rPr>
          <w:u w:val="single"/>
        </w:rPr>
      </w:pPr>
    </w:p>
    <w:p w:rsidR="000B424C" w:rsidRDefault="000B424C" w:rsidP="000B424C">
      <w:pPr>
        <w:pStyle w:val="Default"/>
        <w:ind w:left="851"/>
      </w:pPr>
      <w:r>
        <w:rPr>
          <w:b/>
          <w:bCs/>
          <w:i/>
          <w:iCs/>
        </w:rPr>
        <w:t>Neuroendokrine tumorer</w:t>
      </w:r>
    </w:p>
    <w:p w:rsidR="000B424C" w:rsidRDefault="000B424C" w:rsidP="000B424C">
      <w:pPr>
        <w:pStyle w:val="Default"/>
        <w:ind w:left="851"/>
        <w:rPr>
          <w:u w:val="single"/>
        </w:rPr>
      </w:pPr>
      <w:r>
        <w:rPr>
          <w:u w:val="single"/>
        </w:rPr>
        <w:t xml:space="preserve">Pædiatrisk population </w:t>
      </w:r>
    </w:p>
    <w:p w:rsidR="000B424C" w:rsidRDefault="000B424C" w:rsidP="000B424C">
      <w:pPr>
        <w:pStyle w:val="Default"/>
        <w:ind w:left="851"/>
      </w:pPr>
      <w:r>
        <w:t>Det Europæiske Lægemiddelagentur har dispenseret fra kravet om at fremlægge resultaterne af studier med referenceproduktet i alle subgrupper af den pædiatriske population med neuroendokrine tumorer udgået fra pancreas, neuroendokrine tumorer i thorax (se pkt. 4.2 for oplysninger om pædiatrisk anvendelse).</w:t>
      </w:r>
    </w:p>
    <w:p w:rsidR="000B424C" w:rsidRDefault="000B424C" w:rsidP="000B424C">
      <w:pPr>
        <w:pStyle w:val="Default"/>
        <w:ind w:left="851"/>
      </w:pPr>
    </w:p>
    <w:p w:rsidR="000B424C" w:rsidRDefault="000B424C" w:rsidP="000B424C">
      <w:pPr>
        <w:tabs>
          <w:tab w:val="left" w:pos="851"/>
        </w:tabs>
        <w:ind w:left="851"/>
        <w:rPr>
          <w:sz w:val="24"/>
          <w:szCs w:val="24"/>
        </w:rPr>
      </w:pPr>
      <w:r>
        <w:rPr>
          <w:b/>
          <w:bCs/>
          <w:i/>
          <w:sz w:val="24"/>
          <w:szCs w:val="24"/>
        </w:rPr>
        <w:t>Renal angiomyolipom/SEGA</w:t>
      </w:r>
      <w:r>
        <w:rPr>
          <w:b/>
          <w:bCs/>
          <w:i/>
          <w:iCs/>
        </w:rPr>
        <w:t xml:space="preserve"> </w:t>
      </w:r>
    </w:p>
    <w:p w:rsidR="000B424C" w:rsidRDefault="000B424C" w:rsidP="000B424C">
      <w:pPr>
        <w:pStyle w:val="Brdtekst"/>
        <w:ind w:left="851"/>
        <w:rPr>
          <w:sz w:val="24"/>
          <w:szCs w:val="24"/>
          <w:lang w:val="da-DK"/>
        </w:rPr>
      </w:pPr>
      <w:r>
        <w:rPr>
          <w:sz w:val="24"/>
          <w:szCs w:val="24"/>
          <w:u w:val="single"/>
          <w:lang w:val="da-DK"/>
        </w:rPr>
        <w:t>Pædiatrisk population</w:t>
      </w:r>
    </w:p>
    <w:p w:rsidR="000B424C" w:rsidRDefault="000B424C" w:rsidP="000B424C">
      <w:pPr>
        <w:pStyle w:val="Brdtekst"/>
        <w:spacing w:before="91"/>
        <w:ind w:left="851" w:right="-1"/>
        <w:rPr>
          <w:lang w:val="da-DK"/>
        </w:rPr>
      </w:pPr>
      <w:r>
        <w:rPr>
          <w:sz w:val="24"/>
          <w:szCs w:val="24"/>
          <w:lang w:val="da-DK"/>
        </w:rPr>
        <w:t>Det Europæiske Lægemiddelagentur har dispenseret fra kravet om at fremlægge resultaterne af studier med referenceproduktet i alle undergrupper af den pædiatriske population ved angiomyolipom (se pkt. 4.2 for oplysninger om pædiatrisk anvendelse).</w:t>
      </w:r>
    </w:p>
    <w:p w:rsidR="003760D5" w:rsidRPr="00C84483" w:rsidRDefault="003760D5" w:rsidP="000B424C">
      <w:pPr>
        <w:tabs>
          <w:tab w:val="left" w:pos="851"/>
        </w:tabs>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5.2</w:t>
      </w:r>
      <w:r w:rsidRPr="00C84483">
        <w:rPr>
          <w:b/>
          <w:sz w:val="24"/>
          <w:szCs w:val="24"/>
        </w:rPr>
        <w:tab/>
        <w:t>Farmakokinetiske egenskaber</w:t>
      </w:r>
    </w:p>
    <w:p w:rsidR="003760D5" w:rsidRPr="00372959" w:rsidRDefault="003760D5" w:rsidP="003760D5">
      <w:pPr>
        <w:pStyle w:val="Default"/>
        <w:ind w:left="851"/>
        <w:rPr>
          <w:u w:val="single"/>
        </w:rPr>
      </w:pPr>
      <w:r w:rsidRPr="00372959">
        <w:rPr>
          <w:u w:val="single"/>
        </w:rPr>
        <w:t xml:space="preserve">Absorption </w:t>
      </w:r>
    </w:p>
    <w:p w:rsidR="003760D5" w:rsidRPr="000A6289" w:rsidRDefault="003760D5" w:rsidP="003760D5">
      <w:pPr>
        <w:tabs>
          <w:tab w:val="left" w:pos="851"/>
        </w:tabs>
        <w:ind w:left="851"/>
        <w:rPr>
          <w:sz w:val="24"/>
          <w:szCs w:val="24"/>
        </w:rPr>
      </w:pPr>
      <w:r w:rsidRPr="000A6289">
        <w:rPr>
          <w:sz w:val="24"/>
          <w:szCs w:val="24"/>
        </w:rPr>
        <w:t>Hos patienter med progressive massive tumorer blev maksimum-koncentrationer (C</w:t>
      </w:r>
      <w:r w:rsidRPr="000A6289">
        <w:rPr>
          <w:sz w:val="24"/>
          <w:szCs w:val="24"/>
          <w:vertAlign w:val="subscript"/>
        </w:rPr>
        <w:t>max</w:t>
      </w:r>
      <w:r w:rsidRPr="000A6289">
        <w:rPr>
          <w:sz w:val="24"/>
          <w:szCs w:val="24"/>
        </w:rPr>
        <w:t>) af everolimus nået ved en mediantid på 1 time efter daglig administration af 5 og 10 mg everolimus fastende eller sammen med et let fedtfrit mellemmåltid. C</w:t>
      </w:r>
      <w:r w:rsidRPr="000A6289">
        <w:rPr>
          <w:sz w:val="24"/>
          <w:szCs w:val="24"/>
          <w:vertAlign w:val="subscript"/>
        </w:rPr>
        <w:t>max</w:t>
      </w:r>
      <w:r w:rsidRPr="000A6289">
        <w:rPr>
          <w:sz w:val="24"/>
          <w:szCs w:val="24"/>
        </w:rPr>
        <w:t xml:space="preserve"> er dosisproportional mellem 5 og 10 mg. Everolimus er et substrat for og en moderat hæmmer af PgP.</w:t>
      </w:r>
    </w:p>
    <w:p w:rsidR="003760D5" w:rsidRPr="000A6289" w:rsidRDefault="003760D5" w:rsidP="003760D5">
      <w:pPr>
        <w:tabs>
          <w:tab w:val="left" w:pos="851"/>
        </w:tabs>
        <w:ind w:left="851"/>
        <w:rPr>
          <w:sz w:val="24"/>
          <w:szCs w:val="24"/>
        </w:rPr>
      </w:pPr>
    </w:p>
    <w:p w:rsidR="003760D5" w:rsidRDefault="003760D5" w:rsidP="003760D5">
      <w:pPr>
        <w:pStyle w:val="Default"/>
        <w:ind w:left="851"/>
        <w:rPr>
          <w:i/>
          <w:iCs/>
        </w:rPr>
      </w:pPr>
      <w:r w:rsidRPr="00372959">
        <w:rPr>
          <w:i/>
          <w:iCs/>
        </w:rPr>
        <w:t xml:space="preserve">Effekt af fødeindtag </w:t>
      </w:r>
    </w:p>
    <w:p w:rsidR="000B424C" w:rsidRPr="00372959" w:rsidRDefault="000B424C" w:rsidP="003760D5">
      <w:pPr>
        <w:pStyle w:val="Default"/>
        <w:ind w:left="851"/>
      </w:pPr>
      <w:r>
        <w:rPr>
          <w:b/>
          <w:bCs/>
          <w:i/>
          <w:iCs/>
        </w:rPr>
        <w:t>Neuroendokrine tumorer</w:t>
      </w:r>
    </w:p>
    <w:p w:rsidR="003760D5" w:rsidRPr="00372959" w:rsidRDefault="003760D5" w:rsidP="003760D5">
      <w:pPr>
        <w:pStyle w:val="Default"/>
        <w:ind w:left="851"/>
      </w:pPr>
      <w:r w:rsidRPr="00372959">
        <w:t>Hos raske forsøgspersoner nedsatte måltider med højt fedtindhold eksponeringen for everolimus 10 mg (målt ved AUC) med 22 % og peak-plasmakoncentrationen C</w:t>
      </w:r>
      <w:r w:rsidRPr="00372959">
        <w:rPr>
          <w:vertAlign w:val="subscript"/>
        </w:rPr>
        <w:t>max</w:t>
      </w:r>
      <w:r w:rsidRPr="00372959">
        <w:t xml:space="preserve"> med 54 %. Måltider med let fedtindhold nedsatte AUC med 32 % og C</w:t>
      </w:r>
      <w:r w:rsidRPr="00372959">
        <w:rPr>
          <w:vertAlign w:val="subscript"/>
        </w:rPr>
        <w:t>max</w:t>
      </w:r>
      <w:r w:rsidRPr="00372959">
        <w:t xml:space="preserve"> med 42 %. Mad havde imidlertid ingen synlig effekt på koncentrations-/tidsprofilen efter absorptionsfasen. </w:t>
      </w:r>
    </w:p>
    <w:p w:rsidR="003760D5" w:rsidRPr="00372959" w:rsidRDefault="003760D5" w:rsidP="003760D5">
      <w:pPr>
        <w:pStyle w:val="Default"/>
        <w:ind w:left="851"/>
      </w:pPr>
    </w:p>
    <w:p w:rsidR="000B424C" w:rsidRDefault="000B424C" w:rsidP="000B424C">
      <w:pPr>
        <w:pStyle w:val="Default"/>
        <w:ind w:left="851"/>
      </w:pPr>
      <w:r>
        <w:rPr>
          <w:b/>
          <w:bCs/>
          <w:i/>
        </w:rPr>
        <w:t>Renal angiomyolipom/SEGA</w:t>
      </w:r>
    </w:p>
    <w:p w:rsidR="000B424C" w:rsidRDefault="000B424C" w:rsidP="000B424C">
      <w:pPr>
        <w:pStyle w:val="Brdtekst"/>
        <w:spacing w:before="2" w:line="235" w:lineRule="auto"/>
        <w:ind w:left="1304" w:right="-1"/>
        <w:jc w:val="both"/>
        <w:rPr>
          <w:sz w:val="24"/>
          <w:szCs w:val="24"/>
          <w:lang w:val="da-DK"/>
        </w:rPr>
      </w:pPr>
      <w:r>
        <w:rPr>
          <w:sz w:val="24"/>
          <w:szCs w:val="24"/>
          <w:lang w:val="da-DK"/>
        </w:rPr>
        <w:t xml:space="preserve">Hos raske forsøgspersoner nedsatte måltider med højt fedtindhold eksponeringen for everolimus 10 mg </w:t>
      </w:r>
      <w:r>
        <w:rPr>
          <w:position w:val="2"/>
          <w:sz w:val="24"/>
          <w:szCs w:val="24"/>
          <w:lang w:val="da-DK"/>
        </w:rPr>
        <w:t>tabletter (målt ved AUC) med 22 % og peak-koncentrationen i blodet C</w:t>
      </w:r>
      <w:r>
        <w:rPr>
          <w:sz w:val="24"/>
          <w:szCs w:val="24"/>
          <w:vertAlign w:val="subscript"/>
          <w:lang w:val="da-DK"/>
        </w:rPr>
        <w:t>max</w:t>
      </w:r>
      <w:r>
        <w:rPr>
          <w:sz w:val="24"/>
          <w:szCs w:val="24"/>
          <w:lang w:val="da-DK"/>
        </w:rPr>
        <w:t xml:space="preserve"> </w:t>
      </w:r>
      <w:r>
        <w:rPr>
          <w:position w:val="2"/>
          <w:sz w:val="24"/>
          <w:szCs w:val="24"/>
          <w:lang w:val="da-DK"/>
        </w:rPr>
        <w:t>med 54 %. Måltider med let fedtindhold nedsatte AUC med 32 % og C</w:t>
      </w:r>
      <w:r>
        <w:rPr>
          <w:sz w:val="24"/>
          <w:szCs w:val="24"/>
          <w:vertAlign w:val="subscript"/>
          <w:lang w:val="da-DK"/>
        </w:rPr>
        <w:t>max</w:t>
      </w:r>
      <w:r>
        <w:rPr>
          <w:sz w:val="24"/>
          <w:szCs w:val="24"/>
          <w:lang w:val="da-DK"/>
        </w:rPr>
        <w:t xml:space="preserve"> </w:t>
      </w:r>
      <w:r>
        <w:rPr>
          <w:position w:val="2"/>
          <w:sz w:val="24"/>
          <w:szCs w:val="24"/>
          <w:lang w:val="da-DK"/>
        </w:rPr>
        <w:t>med 42 %.</w:t>
      </w:r>
    </w:p>
    <w:p w:rsidR="000B424C" w:rsidRDefault="000B424C" w:rsidP="000B424C">
      <w:pPr>
        <w:pStyle w:val="Brdtekst"/>
        <w:spacing w:before="1"/>
        <w:ind w:left="1304" w:right="-1"/>
        <w:rPr>
          <w:sz w:val="24"/>
          <w:szCs w:val="24"/>
          <w:lang w:val="da-DK"/>
        </w:rPr>
      </w:pPr>
      <w:r>
        <w:rPr>
          <w:sz w:val="24"/>
          <w:szCs w:val="24"/>
          <w:lang w:val="da-DK"/>
        </w:rPr>
        <w:lastRenderedPageBreak/>
        <w:t xml:space="preserve">Hos raske forsøgspersoner, der tog en enkeltdosis på 9 mg (3 x 3 mg) everolimus dispergible tabletter som suspension, reducerede måltider med højt fedtindhold AUC med 11,7 % og peak-koncentrationen </w:t>
      </w:r>
      <w:r>
        <w:rPr>
          <w:position w:val="2"/>
          <w:sz w:val="24"/>
          <w:szCs w:val="24"/>
          <w:lang w:val="da-DK"/>
        </w:rPr>
        <w:t>i blodet C</w:t>
      </w:r>
      <w:r>
        <w:rPr>
          <w:sz w:val="24"/>
          <w:szCs w:val="24"/>
          <w:vertAlign w:val="subscript"/>
          <w:lang w:val="da-DK"/>
        </w:rPr>
        <w:t>max</w:t>
      </w:r>
      <w:r>
        <w:rPr>
          <w:sz w:val="24"/>
          <w:szCs w:val="24"/>
          <w:lang w:val="da-DK"/>
        </w:rPr>
        <w:t xml:space="preserve"> </w:t>
      </w:r>
      <w:r>
        <w:rPr>
          <w:position w:val="2"/>
          <w:sz w:val="24"/>
          <w:szCs w:val="24"/>
          <w:lang w:val="da-DK"/>
        </w:rPr>
        <w:t>med 59,8 %. Måltider med let fedtindhold reducerede AUC med 29,5 % og C</w:t>
      </w:r>
      <w:r>
        <w:rPr>
          <w:sz w:val="24"/>
          <w:szCs w:val="24"/>
          <w:vertAlign w:val="subscript"/>
          <w:lang w:val="da-DK"/>
        </w:rPr>
        <w:t>max</w:t>
      </w:r>
      <w:r>
        <w:rPr>
          <w:sz w:val="24"/>
          <w:szCs w:val="24"/>
          <w:lang w:val="da-DK"/>
        </w:rPr>
        <w:t xml:space="preserve"> </w:t>
      </w:r>
      <w:r>
        <w:rPr>
          <w:position w:val="2"/>
          <w:sz w:val="24"/>
          <w:szCs w:val="24"/>
          <w:lang w:val="da-DK"/>
        </w:rPr>
        <w:t xml:space="preserve">med </w:t>
      </w:r>
      <w:r>
        <w:rPr>
          <w:sz w:val="24"/>
          <w:szCs w:val="24"/>
          <w:lang w:val="da-DK"/>
        </w:rPr>
        <w:t>50,2 %.</w:t>
      </w:r>
    </w:p>
    <w:p w:rsidR="000B424C" w:rsidRDefault="000B424C" w:rsidP="000B424C">
      <w:pPr>
        <w:pStyle w:val="Brdtekst"/>
        <w:ind w:left="1304" w:right="-1"/>
        <w:rPr>
          <w:lang w:val="da-DK"/>
        </w:rPr>
      </w:pPr>
      <w:r>
        <w:rPr>
          <w:sz w:val="24"/>
          <w:szCs w:val="24"/>
          <w:lang w:val="da-DK"/>
        </w:rPr>
        <w:t>Føde havde imidlertid ingen synlig effekt på koncentrations-/tidsprofilen efter absorptionsfasen 24 timer post-dosis af de 2 lægemiddelformer.</w:t>
      </w:r>
    </w:p>
    <w:p w:rsidR="000B424C" w:rsidRDefault="000B424C" w:rsidP="000B424C">
      <w:pPr>
        <w:pStyle w:val="Default"/>
        <w:ind w:left="851"/>
      </w:pPr>
    </w:p>
    <w:p w:rsidR="000B424C" w:rsidRDefault="000B424C" w:rsidP="000B424C">
      <w:pPr>
        <w:pStyle w:val="Default"/>
        <w:ind w:left="851"/>
        <w:rPr>
          <w:u w:val="single"/>
        </w:rPr>
      </w:pPr>
      <w:r>
        <w:rPr>
          <w:u w:val="single"/>
        </w:rPr>
        <w:t xml:space="preserve">Fordeling </w:t>
      </w:r>
    </w:p>
    <w:p w:rsidR="000B424C" w:rsidRDefault="000B424C" w:rsidP="000B424C">
      <w:pPr>
        <w:pStyle w:val="Default"/>
        <w:ind w:left="851"/>
      </w:pPr>
      <w:r>
        <w:t xml:space="preserve">Blod-plasma-ratio af everolimus, som er koncentrationsafhængig i området 5 til 5.000 ng/ml, er 17 % til 73 %. Ca. 20 % af everolimus-koncentrationen i fuldblod er begrænset til plasma hos kræftpatienter, der får everolimus 10 mg/dag. Plasmaproteinbindingen er ca. 74 % hos både raske forsøgspersoner og patienter med moderat nedsat leverfunktion. Hos patienter med progressive massive tumorer var Vd 191 l for det synlige centrale kompartment og 157 l for det synlige perifere kompartment. </w:t>
      </w:r>
    </w:p>
    <w:p w:rsidR="000B424C" w:rsidRDefault="000B424C" w:rsidP="000B424C">
      <w:pPr>
        <w:pStyle w:val="Default"/>
        <w:ind w:left="851"/>
        <w:rPr>
          <w:lang w:val="nb-NO"/>
        </w:rPr>
      </w:pPr>
      <w:r>
        <w:rPr>
          <w:b/>
          <w:bCs/>
          <w:i/>
          <w:lang w:val="nb-NO"/>
        </w:rPr>
        <w:t>Renal angiomyolipom/SEGA</w:t>
      </w:r>
      <w:r>
        <w:rPr>
          <w:b/>
          <w:bCs/>
          <w:i/>
          <w:iCs/>
          <w:sz w:val="22"/>
          <w:szCs w:val="22"/>
          <w:lang w:val="nb-NO"/>
        </w:rPr>
        <w:t xml:space="preserve"> </w:t>
      </w:r>
    </w:p>
    <w:p w:rsidR="000B424C" w:rsidRDefault="000B424C" w:rsidP="000B424C">
      <w:pPr>
        <w:pStyle w:val="Brdtekst"/>
        <w:ind w:left="851" w:firstLine="453"/>
        <w:rPr>
          <w:sz w:val="24"/>
          <w:szCs w:val="24"/>
          <w:lang w:val="nb-NO"/>
        </w:rPr>
      </w:pPr>
      <w:r>
        <w:rPr>
          <w:sz w:val="24"/>
          <w:szCs w:val="24"/>
          <w:lang w:val="nb-NO"/>
        </w:rPr>
        <w:t>Non-kliniske studier i rotter indikerer:</w:t>
      </w:r>
    </w:p>
    <w:p w:rsidR="000B424C" w:rsidRDefault="000B424C" w:rsidP="000B424C">
      <w:pPr>
        <w:pStyle w:val="Listeafsnit"/>
        <w:numPr>
          <w:ilvl w:val="0"/>
          <w:numId w:val="16"/>
        </w:numPr>
        <w:spacing w:before="3" w:line="269" w:lineRule="exact"/>
        <w:ind w:left="1843" w:hanging="568"/>
        <w:rPr>
          <w:rFonts w:ascii="Symbol" w:hAnsi="Symbol"/>
          <w:sz w:val="24"/>
          <w:szCs w:val="24"/>
          <w:lang w:val="da-DK"/>
        </w:rPr>
      </w:pPr>
      <w:r>
        <w:rPr>
          <w:sz w:val="24"/>
          <w:szCs w:val="24"/>
          <w:lang w:val="da-DK"/>
        </w:rPr>
        <w:t>Et hurtigt optag af everolimus i hjernen efterfulgt af langsom</w:t>
      </w:r>
      <w:r>
        <w:rPr>
          <w:spacing w:val="-8"/>
          <w:sz w:val="24"/>
          <w:szCs w:val="24"/>
          <w:lang w:val="da-DK"/>
        </w:rPr>
        <w:t xml:space="preserve"> </w:t>
      </w:r>
      <w:r>
        <w:rPr>
          <w:sz w:val="24"/>
          <w:szCs w:val="24"/>
          <w:lang w:val="da-DK"/>
        </w:rPr>
        <w:t>effluks</w:t>
      </w:r>
    </w:p>
    <w:p w:rsidR="000B424C" w:rsidRDefault="000B424C" w:rsidP="000B424C">
      <w:pPr>
        <w:pStyle w:val="Listeafsnit"/>
        <w:numPr>
          <w:ilvl w:val="0"/>
          <w:numId w:val="16"/>
        </w:numPr>
        <w:spacing w:before="3" w:line="269" w:lineRule="exact"/>
        <w:ind w:left="1843" w:hanging="568"/>
        <w:rPr>
          <w:sz w:val="24"/>
          <w:szCs w:val="24"/>
          <w:lang w:val="da-DK"/>
        </w:rPr>
      </w:pPr>
      <w:r>
        <w:rPr>
          <w:sz w:val="24"/>
          <w:szCs w:val="24"/>
          <w:lang w:val="da-DK"/>
        </w:rPr>
        <w:t>De radioaktive metabolitter af [3</w:t>
      </w:r>
      <w:proofErr w:type="gramStart"/>
      <w:r>
        <w:rPr>
          <w:sz w:val="24"/>
          <w:szCs w:val="24"/>
          <w:lang w:val="da-DK"/>
        </w:rPr>
        <w:t>H]everolimus</w:t>
      </w:r>
      <w:proofErr w:type="gramEnd"/>
      <w:r>
        <w:rPr>
          <w:sz w:val="24"/>
          <w:szCs w:val="24"/>
          <w:lang w:val="da-DK"/>
        </w:rPr>
        <w:t xml:space="preserve"> passerer ikke blod-hjernebarrieren i væsentlig grad</w:t>
      </w:r>
    </w:p>
    <w:p w:rsidR="000B424C" w:rsidRDefault="000B424C" w:rsidP="000B424C">
      <w:pPr>
        <w:pStyle w:val="Listeafsnit"/>
        <w:numPr>
          <w:ilvl w:val="0"/>
          <w:numId w:val="16"/>
        </w:numPr>
        <w:spacing w:before="3" w:line="269" w:lineRule="exact"/>
        <w:ind w:left="1843" w:hanging="568"/>
        <w:rPr>
          <w:sz w:val="24"/>
          <w:szCs w:val="24"/>
          <w:lang w:val="da-DK"/>
        </w:rPr>
      </w:pPr>
      <w:r>
        <w:rPr>
          <w:sz w:val="24"/>
          <w:szCs w:val="24"/>
          <w:lang w:val="da-DK"/>
        </w:rPr>
        <w:t>En dosisafhængig hjernepenetration af everolimus, hvilket er konsistent med hypotesen om mætning af effluks-pumpen, der er til stede i hjernens kapillære endotelceller</w:t>
      </w:r>
    </w:p>
    <w:p w:rsidR="000B424C" w:rsidRDefault="000B424C" w:rsidP="000B424C">
      <w:pPr>
        <w:pStyle w:val="Listeafsnit"/>
        <w:numPr>
          <w:ilvl w:val="0"/>
          <w:numId w:val="16"/>
        </w:numPr>
        <w:spacing w:before="3" w:line="269" w:lineRule="exact"/>
        <w:ind w:left="1843" w:hanging="568"/>
        <w:rPr>
          <w:sz w:val="24"/>
          <w:szCs w:val="24"/>
          <w:lang w:val="da-DK"/>
        </w:rPr>
      </w:pPr>
      <w:r>
        <w:rPr>
          <w:sz w:val="24"/>
          <w:szCs w:val="24"/>
          <w:lang w:val="da-DK"/>
        </w:rPr>
        <w:t>Samtidig administration af af PgP-hæmmeren cyclosporin forøger eksponeringen af everolimus i hjernebarken, hvilket er konsistent med hæmningen af PgP ved blod-hjernebarrieren.</w:t>
      </w:r>
    </w:p>
    <w:p w:rsidR="000B424C" w:rsidRDefault="000B424C" w:rsidP="000B424C">
      <w:pPr>
        <w:pStyle w:val="Brdtekst"/>
        <w:ind w:left="1275" w:right="-1"/>
        <w:rPr>
          <w:sz w:val="24"/>
          <w:szCs w:val="24"/>
          <w:lang w:val="da-DK"/>
        </w:rPr>
      </w:pPr>
      <w:r>
        <w:rPr>
          <w:sz w:val="24"/>
          <w:szCs w:val="24"/>
          <w:lang w:val="da-DK"/>
        </w:rPr>
        <w:t>Der findes ingen kliniske data på fordelingen af everolimus i den humane hjerne. Non-kliniske studier i rotter demonstrerede distribution ind i hjernen efter både intravenøs og oral administration.</w:t>
      </w:r>
    </w:p>
    <w:p w:rsidR="000B424C" w:rsidRDefault="000B424C" w:rsidP="000B424C">
      <w:pPr>
        <w:pStyle w:val="Default"/>
        <w:ind w:left="851"/>
      </w:pPr>
    </w:p>
    <w:p w:rsidR="000B424C" w:rsidRDefault="000B424C" w:rsidP="000B424C">
      <w:pPr>
        <w:pStyle w:val="Default"/>
        <w:ind w:left="851"/>
        <w:rPr>
          <w:u w:val="single"/>
        </w:rPr>
      </w:pPr>
      <w:r>
        <w:rPr>
          <w:u w:val="single"/>
        </w:rPr>
        <w:t xml:space="preserve">Biotransformation </w:t>
      </w:r>
    </w:p>
    <w:p w:rsidR="000B424C" w:rsidRDefault="000B424C" w:rsidP="000B424C">
      <w:pPr>
        <w:pStyle w:val="Default"/>
        <w:ind w:left="851"/>
      </w:pPr>
      <w:r>
        <w:t>Everolimus er et substrat for CYP3A4 og PgP. Efter oral administration er everolimus den væsentligste cirkulerende bestanddel i humant blod. Der er fundet seks hovedmetabolitter af everolimus i humant blod, herunder tre monohydroxylerede metabolitter, to hydrolytiske produkter med åbnet ring og et phosphatidylcholin-konjugat af everolimus. Disse metabolitter blev også identificeret hos dyrearter, der blev anvendt i toksicitetsstudie, og udviste en ca. 100 gange lavere aktivitet end everolimus selv. Derfor menes everolimus at udgøre hovedparten af den overordnede farmakologiske aktivitet.</w:t>
      </w:r>
    </w:p>
    <w:p w:rsidR="000B424C" w:rsidRDefault="000B424C" w:rsidP="000B424C">
      <w:pPr>
        <w:pStyle w:val="Default"/>
        <w:ind w:left="851"/>
      </w:pPr>
      <w:r>
        <w:t xml:space="preserve"> </w:t>
      </w:r>
    </w:p>
    <w:p w:rsidR="000B424C" w:rsidRDefault="000B424C" w:rsidP="000B424C">
      <w:pPr>
        <w:pStyle w:val="Default"/>
        <w:ind w:left="851"/>
        <w:rPr>
          <w:u w:val="single"/>
        </w:rPr>
      </w:pPr>
      <w:r>
        <w:rPr>
          <w:u w:val="single"/>
        </w:rPr>
        <w:t xml:space="preserve">Elimination </w:t>
      </w:r>
    </w:p>
    <w:p w:rsidR="000B424C" w:rsidRDefault="000B424C" w:rsidP="000B424C">
      <w:pPr>
        <w:pStyle w:val="Default"/>
        <w:ind w:left="851"/>
      </w:pPr>
      <w:r>
        <w:t xml:space="preserve">Middelværdien af oral clearance (CL/F) for everolimus efter en daglig dosis på 10 mg var 24,5 l/t hos patienter med progressive solide tumorer. Middelværdien af everolimus’ eliminations-halveringstid er ca. 30 timer. </w:t>
      </w:r>
    </w:p>
    <w:p w:rsidR="000B424C" w:rsidRDefault="000B424C" w:rsidP="000B424C">
      <w:pPr>
        <w:pStyle w:val="Default"/>
        <w:ind w:left="851"/>
      </w:pPr>
    </w:p>
    <w:p w:rsidR="000B424C" w:rsidRDefault="000B424C" w:rsidP="000B424C">
      <w:pPr>
        <w:pStyle w:val="Default"/>
        <w:ind w:left="851"/>
      </w:pPr>
      <w:r>
        <w:t xml:space="preserve">Der er ikke udført nogen specifikke ekskretionsstudier for kræftpatienter, men der findes tilgængelige data fra studierne af transplantationspatienter. Efter administration af en enkelt dosis radioaktivt mærket everolimus sammen med ciclosporin genfandtes 80 % af radioaktiviteten i fæces, mens 5 % blev udskilt i urinen. Moderstoffet sporedes ikke i urin eller fæces. </w:t>
      </w:r>
    </w:p>
    <w:p w:rsidR="000B424C" w:rsidRDefault="000B424C" w:rsidP="000B424C">
      <w:pPr>
        <w:pStyle w:val="Default"/>
        <w:ind w:left="851"/>
      </w:pPr>
    </w:p>
    <w:p w:rsidR="000B424C" w:rsidRDefault="000B424C" w:rsidP="000B424C">
      <w:pPr>
        <w:pStyle w:val="Default"/>
        <w:ind w:left="851"/>
        <w:rPr>
          <w:u w:val="single"/>
        </w:rPr>
      </w:pPr>
      <w:r>
        <w:rPr>
          <w:iCs/>
          <w:u w:val="single"/>
        </w:rPr>
        <w:t>Steady state</w:t>
      </w:r>
      <w:r>
        <w:rPr>
          <w:u w:val="single"/>
        </w:rPr>
        <w:t xml:space="preserve">-farmakokinetik </w:t>
      </w:r>
    </w:p>
    <w:p w:rsidR="000B424C" w:rsidRDefault="000B424C" w:rsidP="000B424C">
      <w:pPr>
        <w:pStyle w:val="Default"/>
        <w:ind w:left="851"/>
      </w:pPr>
      <w:r>
        <w:lastRenderedPageBreak/>
        <w:t>Efter administration af everolimus til patienter med progressive massive tumorer var steady-state-AUC</w:t>
      </w:r>
      <w:r>
        <w:rPr>
          <w:vertAlign w:val="subscript"/>
        </w:rPr>
        <w:t>0-τ</w:t>
      </w:r>
      <w:r>
        <w:t xml:space="preserve"> dosisproportional i området 5 til 10 mg daglig dosis. Steady state blev opnået inden for to uger. C</w:t>
      </w:r>
      <w:r>
        <w:rPr>
          <w:vertAlign w:val="subscript"/>
        </w:rPr>
        <w:t>max</w:t>
      </w:r>
      <w:r>
        <w:t xml:space="preserve"> er dosisproportional mellem 5 og 10 mg. t</w:t>
      </w:r>
      <w:r>
        <w:rPr>
          <w:vertAlign w:val="subscript"/>
        </w:rPr>
        <w:t>max</w:t>
      </w:r>
      <w:r>
        <w:t xml:space="preserve"> indtræffer 1 til 2 timer efter dosering. Der var en signifikant korrelation mellem AUC</w:t>
      </w:r>
      <w:r>
        <w:rPr>
          <w:vertAlign w:val="subscript"/>
        </w:rPr>
        <w:t>0-τ</w:t>
      </w:r>
      <w:r>
        <w:t xml:space="preserve"> og prædosis-dalkoncentrationen ved steady state. </w:t>
      </w:r>
    </w:p>
    <w:p w:rsidR="000B424C" w:rsidRDefault="000B424C" w:rsidP="000B424C">
      <w:pPr>
        <w:pStyle w:val="Default"/>
        <w:ind w:left="851"/>
      </w:pPr>
    </w:p>
    <w:p w:rsidR="000B424C" w:rsidRDefault="000B424C" w:rsidP="000B424C">
      <w:pPr>
        <w:pStyle w:val="Default"/>
        <w:ind w:left="851"/>
        <w:rPr>
          <w:u w:val="single"/>
        </w:rPr>
      </w:pPr>
      <w:r>
        <w:rPr>
          <w:u w:val="single"/>
        </w:rPr>
        <w:t xml:space="preserve">Særlige patientgrupper </w:t>
      </w:r>
    </w:p>
    <w:p w:rsidR="000B424C" w:rsidRDefault="000B424C" w:rsidP="000B424C">
      <w:pPr>
        <w:pStyle w:val="Default"/>
        <w:ind w:left="851"/>
        <w:rPr>
          <w:i/>
          <w:iCs/>
        </w:rPr>
      </w:pPr>
    </w:p>
    <w:p w:rsidR="000B424C" w:rsidRDefault="000B424C" w:rsidP="000B424C">
      <w:pPr>
        <w:pStyle w:val="Default"/>
        <w:ind w:left="851"/>
      </w:pPr>
      <w:r>
        <w:rPr>
          <w:i/>
          <w:iCs/>
        </w:rPr>
        <w:t xml:space="preserve">Nedsat leverfunktion </w:t>
      </w:r>
    </w:p>
    <w:p w:rsidR="000B424C" w:rsidRDefault="000B424C" w:rsidP="000B424C">
      <w:pPr>
        <w:pStyle w:val="Default"/>
        <w:ind w:left="851"/>
      </w:pPr>
      <w:r>
        <w:t xml:space="preserve">Everolimus’ sikkerhed, tolerabilitet og farmakokinetik blev vurderet i to enkeltdosisstudier med Everolimus "Teva"-tabletter hos 8 og 34 voksne personer med nedsat leverfunktion i forhold til personer med normal leverfunktion. </w:t>
      </w:r>
    </w:p>
    <w:p w:rsidR="000B424C" w:rsidRDefault="000B424C" w:rsidP="000B424C">
      <w:pPr>
        <w:pStyle w:val="Default"/>
        <w:ind w:left="851"/>
      </w:pPr>
    </w:p>
    <w:p w:rsidR="000B424C" w:rsidRDefault="000B424C" w:rsidP="000B424C">
      <w:pPr>
        <w:pStyle w:val="Default"/>
        <w:ind w:left="851"/>
      </w:pPr>
      <w:r>
        <w:t xml:space="preserve">I det ene studie var gennemsnitlig AUC for everolimus hos 8 personer med moderat nedsat leverfunktion (Child-Pugh B) to gange større end AUC hos 8 personer med normal leverfunktion. </w:t>
      </w:r>
    </w:p>
    <w:p w:rsidR="000B424C" w:rsidRDefault="000B424C" w:rsidP="000B424C">
      <w:pPr>
        <w:pStyle w:val="Default"/>
        <w:ind w:left="851"/>
      </w:pPr>
    </w:p>
    <w:p w:rsidR="000B424C" w:rsidRDefault="000B424C" w:rsidP="000B424C">
      <w:pPr>
        <w:pStyle w:val="Default"/>
        <w:ind w:left="851"/>
      </w:pPr>
      <w:r>
        <w:t>I det andet studie med 34 personer med forskellige grader af nedsat leverfunktion, der blev sammenlignet med personer med normal leverfunktion, var der 1,6 gange, 3,3 gange og 3,6 gange øget eksponering (dvs. AUC</w:t>
      </w:r>
      <w:r>
        <w:rPr>
          <w:vertAlign w:val="subscript"/>
        </w:rPr>
        <w:t>0-inf</w:t>
      </w:r>
      <w:r>
        <w:t xml:space="preserve">) hos personer med henholdsvis let (Child-Pugh A), moderat (Child-Pugh B) og svært nedsat leverfunktion (Child-Pugh C). </w:t>
      </w:r>
    </w:p>
    <w:p w:rsidR="000B424C" w:rsidRDefault="000B424C" w:rsidP="000B424C">
      <w:pPr>
        <w:pStyle w:val="Default"/>
        <w:ind w:left="851"/>
      </w:pPr>
    </w:p>
    <w:p w:rsidR="000B424C" w:rsidRDefault="000B424C" w:rsidP="000B424C">
      <w:pPr>
        <w:tabs>
          <w:tab w:val="left" w:pos="851"/>
        </w:tabs>
        <w:ind w:left="851"/>
        <w:rPr>
          <w:szCs w:val="24"/>
        </w:rPr>
      </w:pPr>
      <w:r>
        <w:rPr>
          <w:szCs w:val="24"/>
        </w:rPr>
        <w:t>Simuleringer af multiple-dosisfarmakokinetik støtter anbefalingerne af dosering til personer med nedsat leverfunktion baseret på deres Child-Pugh status.</w:t>
      </w:r>
    </w:p>
    <w:p w:rsidR="000B424C" w:rsidRDefault="000B424C" w:rsidP="000B424C">
      <w:pPr>
        <w:tabs>
          <w:tab w:val="left" w:pos="851"/>
        </w:tabs>
        <w:ind w:left="851"/>
        <w:rPr>
          <w:szCs w:val="24"/>
        </w:rPr>
      </w:pPr>
    </w:p>
    <w:p w:rsidR="000B424C" w:rsidRDefault="000B424C" w:rsidP="000B424C">
      <w:pPr>
        <w:pStyle w:val="Default"/>
        <w:ind w:left="851"/>
      </w:pPr>
      <w:r>
        <w:t xml:space="preserve">Baseret på resultaterne fra de to studier anbefales det at justere dosis hos patienter med nedsat leverfunktion (se pkt. 4.2 og 4.4). </w:t>
      </w:r>
    </w:p>
    <w:p w:rsidR="000B424C" w:rsidRDefault="000B424C" w:rsidP="000B424C">
      <w:pPr>
        <w:pStyle w:val="Default"/>
        <w:ind w:left="851"/>
      </w:pPr>
    </w:p>
    <w:p w:rsidR="000B424C" w:rsidRDefault="000B424C" w:rsidP="000B424C">
      <w:pPr>
        <w:pStyle w:val="Default"/>
        <w:ind w:left="851"/>
      </w:pPr>
      <w:r>
        <w:rPr>
          <w:i/>
          <w:iCs/>
        </w:rPr>
        <w:t xml:space="preserve">Nedsat nyrefunktion </w:t>
      </w:r>
    </w:p>
    <w:p w:rsidR="000B424C" w:rsidRDefault="000B424C" w:rsidP="000B424C">
      <w:pPr>
        <w:pStyle w:val="Default"/>
        <w:ind w:left="851"/>
      </w:pPr>
      <w:r>
        <w:t xml:space="preserve">I en farmakokinetisk populationsanalyse af 170 patienter med progressive massive tumorer sås der ingen signifikant effekt af kreatininclearance (25-178 ml/min) på everolimus’ CL/F. Nedsat nyrefunktion efter transplantation (kreatininclearance 11-107 ml/min) påvirkede ikke everolimus’ farmakokinetik hos transplantationspatienter. </w:t>
      </w:r>
    </w:p>
    <w:p w:rsidR="000B424C" w:rsidRDefault="000B424C" w:rsidP="000B424C">
      <w:pPr>
        <w:pStyle w:val="Default"/>
        <w:ind w:left="851"/>
        <w:rPr>
          <w:i/>
          <w:iCs/>
        </w:rPr>
      </w:pPr>
    </w:p>
    <w:p w:rsidR="000B424C" w:rsidRDefault="000B424C" w:rsidP="000B424C">
      <w:pPr>
        <w:pStyle w:val="Default"/>
        <w:ind w:left="851"/>
      </w:pPr>
      <w:r>
        <w:rPr>
          <w:b/>
          <w:bCs/>
          <w:i/>
        </w:rPr>
        <w:t>Renal angiomyolipom/SEGA</w:t>
      </w:r>
      <w:r>
        <w:rPr>
          <w:b/>
          <w:bCs/>
          <w:i/>
          <w:iCs/>
        </w:rPr>
        <w:t xml:space="preserve"> </w:t>
      </w:r>
    </w:p>
    <w:p w:rsidR="000B424C" w:rsidRDefault="000B424C" w:rsidP="000B424C">
      <w:pPr>
        <w:ind w:left="851" w:firstLine="425"/>
        <w:rPr>
          <w:i/>
          <w:sz w:val="24"/>
          <w:szCs w:val="24"/>
        </w:rPr>
      </w:pPr>
      <w:r>
        <w:rPr>
          <w:i/>
          <w:sz w:val="24"/>
          <w:szCs w:val="24"/>
          <w:u w:val="single"/>
        </w:rPr>
        <w:t>Pædiatrisk population</w:t>
      </w:r>
    </w:p>
    <w:p w:rsidR="000B424C" w:rsidRDefault="000B424C" w:rsidP="000B424C">
      <w:pPr>
        <w:pStyle w:val="Brdtekst"/>
        <w:spacing w:before="7" w:line="230" w:lineRule="auto"/>
        <w:ind w:left="1304" w:right="-1"/>
        <w:rPr>
          <w:sz w:val="24"/>
          <w:szCs w:val="24"/>
          <w:lang w:val="da-DK"/>
        </w:rPr>
      </w:pPr>
      <w:r>
        <w:rPr>
          <w:position w:val="2"/>
          <w:sz w:val="24"/>
          <w:szCs w:val="24"/>
          <w:lang w:val="da-DK"/>
        </w:rPr>
        <w:t>Hos patienter med SEGA, var everolimus C</w:t>
      </w:r>
      <w:r>
        <w:rPr>
          <w:sz w:val="24"/>
          <w:szCs w:val="24"/>
          <w:vertAlign w:val="subscript"/>
          <w:lang w:val="da-DK"/>
        </w:rPr>
        <w:t>min</w:t>
      </w:r>
      <w:r>
        <w:rPr>
          <w:sz w:val="24"/>
          <w:szCs w:val="24"/>
          <w:lang w:val="da-DK"/>
        </w:rPr>
        <w:t xml:space="preserve"> </w:t>
      </w:r>
      <w:r>
        <w:rPr>
          <w:position w:val="2"/>
          <w:sz w:val="24"/>
          <w:szCs w:val="24"/>
          <w:lang w:val="da-DK"/>
        </w:rPr>
        <w:t xml:space="preserve">tilnærmelsesvis dosisproportional inden for </w:t>
      </w:r>
      <w:r>
        <w:rPr>
          <w:sz w:val="24"/>
          <w:szCs w:val="24"/>
          <w:lang w:val="da-DK"/>
        </w:rPr>
        <w:t>dosisintervallet 1,35 mg/m</w:t>
      </w:r>
      <w:r>
        <w:rPr>
          <w:sz w:val="24"/>
          <w:szCs w:val="24"/>
          <w:vertAlign w:val="superscript"/>
          <w:lang w:val="da-DK"/>
        </w:rPr>
        <w:t>2</w:t>
      </w:r>
      <w:r>
        <w:rPr>
          <w:position w:val="8"/>
          <w:sz w:val="24"/>
          <w:szCs w:val="24"/>
          <w:lang w:val="da-DK"/>
        </w:rPr>
        <w:t xml:space="preserve"> </w:t>
      </w:r>
      <w:r>
        <w:rPr>
          <w:sz w:val="24"/>
          <w:szCs w:val="24"/>
          <w:lang w:val="da-DK"/>
        </w:rPr>
        <w:t>to 14,4 mg/m</w:t>
      </w:r>
      <w:r>
        <w:rPr>
          <w:sz w:val="24"/>
          <w:szCs w:val="24"/>
          <w:vertAlign w:val="superscript"/>
          <w:lang w:val="da-DK"/>
        </w:rPr>
        <w:t>2</w:t>
      </w:r>
      <w:r>
        <w:rPr>
          <w:sz w:val="24"/>
          <w:szCs w:val="24"/>
          <w:lang w:val="da-DK"/>
        </w:rPr>
        <w:t>.</w:t>
      </w:r>
    </w:p>
    <w:p w:rsidR="000B424C" w:rsidRDefault="000B424C" w:rsidP="000B424C">
      <w:pPr>
        <w:pStyle w:val="Brdtekst"/>
        <w:spacing w:before="1" w:line="228" w:lineRule="auto"/>
        <w:ind w:left="1304" w:right="-1"/>
        <w:rPr>
          <w:sz w:val="24"/>
          <w:szCs w:val="24"/>
          <w:lang w:val="da-DK"/>
        </w:rPr>
      </w:pPr>
      <w:r>
        <w:rPr>
          <w:position w:val="2"/>
          <w:sz w:val="24"/>
          <w:szCs w:val="24"/>
          <w:lang w:val="da-DK"/>
        </w:rPr>
        <w:t>Hos patienter med SEGA var de geometriske middel-C</w:t>
      </w:r>
      <w:r>
        <w:rPr>
          <w:sz w:val="24"/>
          <w:szCs w:val="24"/>
          <w:lang w:val="da-DK"/>
        </w:rPr>
        <w:t>min</w:t>
      </w:r>
      <w:r>
        <w:rPr>
          <w:position w:val="2"/>
          <w:sz w:val="24"/>
          <w:szCs w:val="24"/>
          <w:lang w:val="da-DK"/>
        </w:rPr>
        <w:t>-værdier, normaliseret til mg/m</w:t>
      </w:r>
      <w:r>
        <w:rPr>
          <w:position w:val="2"/>
          <w:sz w:val="24"/>
          <w:szCs w:val="24"/>
          <w:vertAlign w:val="superscript"/>
          <w:lang w:val="da-DK"/>
        </w:rPr>
        <w:t>2</w:t>
      </w:r>
      <w:r>
        <w:rPr>
          <w:position w:val="2"/>
          <w:sz w:val="24"/>
          <w:szCs w:val="24"/>
          <w:lang w:val="da-DK"/>
        </w:rPr>
        <w:t xml:space="preserve"> dosis, hos </w:t>
      </w:r>
      <w:r>
        <w:rPr>
          <w:sz w:val="24"/>
          <w:szCs w:val="24"/>
          <w:lang w:val="da-DK"/>
        </w:rPr>
        <w:t>patienter i alderen &lt;10 år og 10-18 år henholdsvis 54 % og 40 % lavere end dem, der var observeret hos voksne (&gt;18 år). Dette kan tyde på, at everolimus clearance var højere hos yngre patienter. Begrænsede data hos patienter &lt;3 år (n=13) tyder på, at BSA-normaliseret clearence er ca. dobbelt så høj hos patienter med lav BSA (BSA på 0,556 m</w:t>
      </w:r>
      <w:r>
        <w:rPr>
          <w:sz w:val="24"/>
          <w:szCs w:val="24"/>
          <w:vertAlign w:val="superscript"/>
          <w:lang w:val="da-DK"/>
        </w:rPr>
        <w:t>2</w:t>
      </w:r>
      <w:r>
        <w:rPr>
          <w:sz w:val="24"/>
          <w:szCs w:val="24"/>
          <w:lang w:val="da-DK"/>
        </w:rPr>
        <w:t xml:space="preserve">) som hos voksne. Det antages derfor, at </w:t>
      </w:r>
      <w:r>
        <w:rPr>
          <w:i/>
          <w:sz w:val="24"/>
          <w:szCs w:val="24"/>
          <w:lang w:val="da-DK"/>
        </w:rPr>
        <w:t xml:space="preserve">steady state </w:t>
      </w:r>
      <w:r>
        <w:rPr>
          <w:sz w:val="24"/>
          <w:szCs w:val="24"/>
          <w:lang w:val="da-DK"/>
        </w:rPr>
        <w:t>kan opnås tidligere hos patienter &lt;3 år (se pkt. 4.2 for anbefalinger om dosering).</w:t>
      </w:r>
    </w:p>
    <w:p w:rsidR="000B424C" w:rsidRDefault="000B424C" w:rsidP="000B424C">
      <w:pPr>
        <w:pStyle w:val="Brdtekst"/>
        <w:spacing w:before="2"/>
        <w:ind w:left="851"/>
        <w:rPr>
          <w:sz w:val="24"/>
          <w:szCs w:val="24"/>
          <w:lang w:val="da-DK"/>
        </w:rPr>
      </w:pPr>
    </w:p>
    <w:p w:rsidR="000B424C" w:rsidRDefault="000B424C" w:rsidP="000B424C">
      <w:pPr>
        <w:pStyle w:val="Brdtekst"/>
        <w:ind w:left="1304" w:right="-1"/>
        <w:rPr>
          <w:sz w:val="24"/>
          <w:szCs w:val="24"/>
          <w:lang w:val="da-DK"/>
        </w:rPr>
      </w:pPr>
      <w:r>
        <w:rPr>
          <w:sz w:val="24"/>
          <w:szCs w:val="24"/>
          <w:lang w:val="da-DK"/>
        </w:rPr>
        <w:t>Everolimus’ farmakokinetik er ikke undersøgt hos patienter under 1 år. Det er dog rapporteret, at CYP3A4-aktivitet er reduceret ved fødslen og stiger i det første leveår, hvilket kan påvirke clearance hos denne patientpopulation.</w:t>
      </w:r>
    </w:p>
    <w:p w:rsidR="000B424C" w:rsidRDefault="000B424C" w:rsidP="000B424C">
      <w:pPr>
        <w:pStyle w:val="Brdtekst"/>
        <w:spacing w:line="235" w:lineRule="auto"/>
        <w:ind w:left="1304" w:right="-1"/>
        <w:rPr>
          <w:lang w:val="da-DK"/>
        </w:rPr>
      </w:pPr>
      <w:r>
        <w:rPr>
          <w:sz w:val="24"/>
          <w:szCs w:val="24"/>
          <w:lang w:val="da-DK"/>
        </w:rPr>
        <w:t>En farmakokinetisk populationsanalyse, der inkluderede 111 patienter med SEGA i alderen 1,0 til 27,4 år (inklusive 18 patienter mellem 1 og under 3 år med BSA 0,42 m</w:t>
      </w:r>
      <w:r>
        <w:rPr>
          <w:sz w:val="24"/>
          <w:szCs w:val="24"/>
          <w:vertAlign w:val="superscript"/>
          <w:lang w:val="da-DK"/>
        </w:rPr>
        <w:t>2</w:t>
      </w:r>
      <w:r>
        <w:rPr>
          <w:position w:val="8"/>
          <w:sz w:val="24"/>
          <w:szCs w:val="24"/>
          <w:lang w:val="da-DK"/>
        </w:rPr>
        <w:t xml:space="preserve"> </w:t>
      </w:r>
      <w:r>
        <w:rPr>
          <w:sz w:val="24"/>
          <w:szCs w:val="24"/>
          <w:lang w:val="da-DK"/>
        </w:rPr>
        <w:t>til 0,74 m</w:t>
      </w:r>
      <w:r>
        <w:rPr>
          <w:sz w:val="24"/>
          <w:szCs w:val="24"/>
          <w:vertAlign w:val="superscript"/>
          <w:lang w:val="da-DK"/>
        </w:rPr>
        <w:t>2</w:t>
      </w:r>
      <w:r>
        <w:rPr>
          <w:sz w:val="24"/>
          <w:szCs w:val="24"/>
          <w:lang w:val="da-DK"/>
        </w:rPr>
        <w:t xml:space="preserve">) viste, at BSA-normaliseret clearance generelt er højere hos yngre </w:t>
      </w:r>
      <w:r>
        <w:rPr>
          <w:sz w:val="24"/>
          <w:szCs w:val="24"/>
          <w:lang w:val="da-DK"/>
        </w:rPr>
        <w:lastRenderedPageBreak/>
        <w:t>patienter. Simuleringer fra en farmakokinetisk populationsanalysemodel viste, at en startdosis på 7 mg/m</w:t>
      </w:r>
      <w:r>
        <w:rPr>
          <w:sz w:val="24"/>
          <w:szCs w:val="24"/>
          <w:vertAlign w:val="superscript"/>
          <w:lang w:val="da-DK"/>
        </w:rPr>
        <w:t>2</w:t>
      </w:r>
      <w:r>
        <w:rPr>
          <w:position w:val="8"/>
          <w:sz w:val="24"/>
          <w:szCs w:val="24"/>
          <w:lang w:val="da-DK"/>
        </w:rPr>
        <w:t xml:space="preserve"> </w:t>
      </w:r>
      <w:r>
        <w:rPr>
          <w:sz w:val="24"/>
          <w:szCs w:val="24"/>
          <w:lang w:val="da-DK"/>
        </w:rPr>
        <w:t xml:space="preserve">var nødvendig for at opnå </w:t>
      </w:r>
      <w:r>
        <w:rPr>
          <w:position w:val="2"/>
          <w:sz w:val="24"/>
          <w:szCs w:val="24"/>
          <w:lang w:val="da-DK"/>
        </w:rPr>
        <w:t>C</w:t>
      </w:r>
      <w:r>
        <w:rPr>
          <w:sz w:val="24"/>
          <w:szCs w:val="24"/>
          <w:vertAlign w:val="subscript"/>
          <w:lang w:val="da-DK"/>
        </w:rPr>
        <w:t>min</w:t>
      </w:r>
      <w:r>
        <w:rPr>
          <w:sz w:val="24"/>
          <w:szCs w:val="24"/>
          <w:lang w:val="da-DK"/>
        </w:rPr>
        <w:t xml:space="preserve"> </w:t>
      </w:r>
      <w:r>
        <w:rPr>
          <w:position w:val="2"/>
          <w:sz w:val="24"/>
          <w:szCs w:val="24"/>
          <w:lang w:val="da-DK"/>
        </w:rPr>
        <w:t xml:space="preserve">inden for intervallet 5 til 15 nanogram/ml hos patienter under 3 år. En højere startdosis på </w:t>
      </w:r>
      <w:r>
        <w:rPr>
          <w:sz w:val="24"/>
          <w:szCs w:val="24"/>
          <w:lang w:val="da-DK"/>
        </w:rPr>
        <w:t>7 mg/m</w:t>
      </w:r>
      <w:r>
        <w:rPr>
          <w:sz w:val="24"/>
          <w:szCs w:val="24"/>
          <w:vertAlign w:val="superscript"/>
          <w:lang w:val="da-DK"/>
        </w:rPr>
        <w:t>2</w:t>
      </w:r>
      <w:r>
        <w:rPr>
          <w:position w:val="8"/>
          <w:sz w:val="24"/>
          <w:szCs w:val="24"/>
          <w:lang w:val="da-DK"/>
        </w:rPr>
        <w:t xml:space="preserve"> </w:t>
      </w:r>
      <w:r>
        <w:rPr>
          <w:sz w:val="24"/>
          <w:szCs w:val="24"/>
          <w:lang w:val="da-DK"/>
        </w:rPr>
        <w:t>anbefales derfor til patienter mellem 1 og under 3 år med SEGA (se pkt. 4.2).</w:t>
      </w:r>
    </w:p>
    <w:p w:rsidR="003760D5" w:rsidRPr="00C84483" w:rsidRDefault="003760D5" w:rsidP="003760D5">
      <w:pPr>
        <w:tabs>
          <w:tab w:val="left" w:pos="851"/>
        </w:tabs>
        <w:ind w:left="851"/>
        <w:rPr>
          <w:sz w:val="24"/>
          <w:szCs w:val="24"/>
        </w:rPr>
      </w:pPr>
    </w:p>
    <w:p w:rsidR="003760D5" w:rsidRPr="00C84483" w:rsidRDefault="003760D5" w:rsidP="001851B3">
      <w:pPr>
        <w:keepNext/>
        <w:tabs>
          <w:tab w:val="left" w:pos="851"/>
        </w:tabs>
        <w:ind w:left="851" w:hanging="851"/>
        <w:rPr>
          <w:b/>
          <w:sz w:val="24"/>
          <w:szCs w:val="24"/>
        </w:rPr>
      </w:pPr>
      <w:r w:rsidRPr="00C84483">
        <w:rPr>
          <w:b/>
          <w:sz w:val="24"/>
          <w:szCs w:val="24"/>
        </w:rPr>
        <w:t>5.3</w:t>
      </w:r>
      <w:r w:rsidRPr="00C84483">
        <w:rPr>
          <w:b/>
          <w:sz w:val="24"/>
          <w:szCs w:val="24"/>
        </w:rPr>
        <w:tab/>
      </w:r>
      <w:r w:rsidR="00A672FE">
        <w:rPr>
          <w:b/>
          <w:sz w:val="24"/>
          <w:szCs w:val="24"/>
        </w:rPr>
        <w:t>Non-</w:t>
      </w:r>
      <w:r w:rsidRPr="00C84483">
        <w:rPr>
          <w:b/>
          <w:sz w:val="24"/>
          <w:szCs w:val="24"/>
        </w:rPr>
        <w:t>kliniske sikkerhedsdata</w:t>
      </w:r>
    </w:p>
    <w:p w:rsidR="000B424C" w:rsidRDefault="000B424C" w:rsidP="000B424C">
      <w:pPr>
        <w:pStyle w:val="Default"/>
        <w:ind w:left="851"/>
      </w:pPr>
      <w:r>
        <w:t xml:space="preserve">Everolimus’ prækliniske sikkerhedsprofil er vurderet hos mus, rotter, minigrise, aber og kaniner. De store målorganer var reproduktionsorganer hos begge køn (tubulær testikeldegeneration, reduceret mængde sædvæske i bitestikel og uterin atrofi) hos flere arter, og lunger (stigning i alveolære makrofager) hos rotter og mus, pancreas (degranulering og vakuolation af eksokrine celler i henholdsvis aber og minigrise samt degenerering af øceller i aber), og øjne (uklarheder ved lentikulare anteriore suturlinier) hos rotter alene. Der sås mindre nyreforandringer hos rotter (forværring af aldersrelateret lipofuscin i det tubulære epitel) og mus (forværring af baggrundslæsioner). Der var ingen tegn på nyretoksicitet hos aber eller minigrise. </w:t>
      </w:r>
    </w:p>
    <w:p w:rsidR="000B424C" w:rsidRDefault="000B424C" w:rsidP="000B424C">
      <w:pPr>
        <w:pStyle w:val="Default"/>
        <w:ind w:left="851"/>
      </w:pPr>
    </w:p>
    <w:p w:rsidR="000B424C" w:rsidRDefault="000B424C" w:rsidP="000B424C">
      <w:pPr>
        <w:pStyle w:val="Default"/>
        <w:ind w:left="851"/>
      </w:pPr>
      <w:r>
        <w:t xml:space="preserve">Everolimus syntes spontant at forværre baggrundssygdomme (kronisk myokarditis hos rotter, Coxsackie virusinfektion i plasma og hjerte hos aber, coccidial infestation i mave-tarm-kanalen hos minigrise, hudlæsioner hos mus og aber). Disse resultater blev generelt observeret ved systemiske eksponeringsniveauer inden for det terapeutiske eksponeringsområde eller derover, bortset fra resultaterne hos rotter, som forekom under den terapeutiske eksponering på grund af høj vævsdistribution. </w:t>
      </w:r>
    </w:p>
    <w:p w:rsidR="000B424C" w:rsidRDefault="000B424C" w:rsidP="000B424C">
      <w:pPr>
        <w:pStyle w:val="Default"/>
        <w:ind w:left="851"/>
      </w:pPr>
    </w:p>
    <w:p w:rsidR="000B424C" w:rsidRDefault="000B424C" w:rsidP="000B424C">
      <w:pPr>
        <w:pStyle w:val="Default"/>
        <w:ind w:left="851"/>
      </w:pPr>
      <w:r>
        <w:rPr>
          <w:b/>
          <w:bCs/>
          <w:i/>
          <w:iCs/>
        </w:rPr>
        <w:t>Neuroendokrine tumorer</w:t>
      </w:r>
    </w:p>
    <w:p w:rsidR="000B424C" w:rsidRDefault="000B424C" w:rsidP="000B424C">
      <w:pPr>
        <w:pStyle w:val="Default"/>
        <w:ind w:left="1304"/>
      </w:pPr>
      <w:r>
        <w:t xml:space="preserve">I et fertilitetsstudie med hanrotter påvirkedes testikelmorfologien ved 0,5 mg/kg og derover, og sædcellemotilitet, antal sædceller og plasmatestosteronniveau faldt ved 5 mg/kg, hvilket medførte et fald i fertilitet hos hanrotterne. Der var tegn på reversibilitet. </w:t>
      </w:r>
    </w:p>
    <w:p w:rsidR="000B424C" w:rsidRDefault="000B424C" w:rsidP="000B424C">
      <w:pPr>
        <w:pStyle w:val="Default"/>
        <w:ind w:left="851"/>
      </w:pPr>
      <w:r>
        <w:rPr>
          <w:b/>
          <w:bCs/>
          <w:i/>
        </w:rPr>
        <w:t>Renal angiomyolipom/SEGA</w:t>
      </w:r>
      <w:r>
        <w:rPr>
          <w:b/>
          <w:bCs/>
          <w:i/>
          <w:iCs/>
        </w:rPr>
        <w:t xml:space="preserve"> </w:t>
      </w:r>
    </w:p>
    <w:p w:rsidR="000B424C" w:rsidRDefault="000B424C" w:rsidP="000B424C">
      <w:pPr>
        <w:pStyle w:val="Brdtekst"/>
        <w:ind w:left="1304" w:right="-1"/>
        <w:rPr>
          <w:sz w:val="24"/>
          <w:szCs w:val="24"/>
          <w:lang w:val="da-DK"/>
        </w:rPr>
      </w:pPr>
      <w:r>
        <w:rPr>
          <w:sz w:val="24"/>
          <w:szCs w:val="24"/>
          <w:lang w:val="da-DK"/>
        </w:rPr>
        <w:t>I et fertilitetsstudie med hanrotter påvirkedes testikelmorfologien ved 0,5 mg/kg og derover, og sædcellemotilitet, antal sædceller og plasmatestosteronniveau faldt ved 5 mg/kg, hvilket er inden for det terapeutiske eksponeringsområde og medførte et fald i fertilitet hos hanrotterne. Der var tegn på reversibilitet.</w:t>
      </w:r>
    </w:p>
    <w:p w:rsidR="000B424C" w:rsidRDefault="000B424C" w:rsidP="000B424C">
      <w:pPr>
        <w:pStyle w:val="Default"/>
        <w:ind w:left="851"/>
      </w:pPr>
    </w:p>
    <w:p w:rsidR="000B424C" w:rsidRDefault="000B424C" w:rsidP="000B424C">
      <w:pPr>
        <w:pStyle w:val="Default"/>
        <w:ind w:left="851"/>
      </w:pPr>
      <w:r>
        <w:t>I et reproduktionsdyrestudie påvirkedes fertiliteten hos hunnerne ikke. Orale doser af everolimus på ≥0,1 mg/kg (ca. 4 % af AUC</w:t>
      </w:r>
      <w:r>
        <w:rPr>
          <w:vertAlign w:val="subscript"/>
        </w:rPr>
        <w:t>0-24t</w:t>
      </w:r>
      <w:r>
        <w:t xml:space="preserve"> hos patienter, der fik en dosis på 10 mg daglig) til hunrotter, resulterede dog i en stigning i præ-implantationstab. </w:t>
      </w:r>
    </w:p>
    <w:p w:rsidR="000B424C" w:rsidRDefault="000B424C" w:rsidP="000B424C">
      <w:pPr>
        <w:pStyle w:val="Default"/>
        <w:ind w:left="851"/>
      </w:pPr>
      <w:r>
        <w:t xml:space="preserve">Everolimus passerede placenta og var toksisk for fostret. Hos rotter forårsagede everolimus embryo/føtotoksicitet ved systemisk eksponering under det terapeutiske område. Dette manifesterede sig som mortalitet og reduceret føtalvægt. Forekomsten af skeletale variationer og deformationer (f.eks. ribbensspaltning) var forøget ved 0,3 og 0,9 mg/kg. Hos kaniner viste embryotoksiciteten sig ved øgning i sene resorptioner. </w:t>
      </w:r>
    </w:p>
    <w:p w:rsidR="000B424C" w:rsidRDefault="000B424C" w:rsidP="000B424C">
      <w:pPr>
        <w:tabs>
          <w:tab w:val="left" w:pos="851"/>
        </w:tabs>
        <w:ind w:left="851"/>
        <w:rPr>
          <w:sz w:val="24"/>
          <w:szCs w:val="24"/>
        </w:rPr>
      </w:pPr>
    </w:p>
    <w:p w:rsidR="000B424C" w:rsidRDefault="000B424C" w:rsidP="000B424C">
      <w:pPr>
        <w:pStyle w:val="Default"/>
        <w:ind w:left="851"/>
      </w:pPr>
      <w:r>
        <w:rPr>
          <w:b/>
          <w:bCs/>
          <w:i/>
        </w:rPr>
        <w:t>Renal angiomyolipom/SEGA</w:t>
      </w:r>
      <w:r>
        <w:rPr>
          <w:b/>
          <w:bCs/>
          <w:i/>
          <w:iCs/>
        </w:rPr>
        <w:t xml:space="preserve"> </w:t>
      </w:r>
    </w:p>
    <w:p w:rsidR="000B424C" w:rsidRDefault="000B424C" w:rsidP="000B424C">
      <w:pPr>
        <w:tabs>
          <w:tab w:val="left" w:pos="851"/>
        </w:tabs>
        <w:ind w:left="1304"/>
        <w:rPr>
          <w:sz w:val="24"/>
          <w:szCs w:val="24"/>
        </w:rPr>
      </w:pPr>
      <w:r>
        <w:rPr>
          <w:sz w:val="24"/>
          <w:szCs w:val="24"/>
        </w:rPr>
        <w:t>I toksicitetsstudier med unge rotter omfattede den systemiske toksicitet nedsat legemsvægtstigning og fødeindtag samt forsinket opnåelse af visse udviklingsmæssige milepæle, med fuld eller delvis bedring efter afbrydelse af doseringen. Muligvis med undtagelse af det rotte-specifikke linsefund (hvor unge dyr syntes at være mere modtagelige) synes der ikke at være signifikant forskel mellem unge og voksne dyrs følsomhed over for bivirkningerne ved everolimus. Toksicitetsstudier med unge aber viste ingen relevant toksicitet.</w:t>
      </w:r>
    </w:p>
    <w:p w:rsidR="000B424C" w:rsidRDefault="000B424C" w:rsidP="000B424C">
      <w:pPr>
        <w:tabs>
          <w:tab w:val="left" w:pos="851"/>
        </w:tabs>
        <w:ind w:left="851"/>
        <w:rPr>
          <w:sz w:val="24"/>
          <w:szCs w:val="24"/>
        </w:rPr>
      </w:pPr>
    </w:p>
    <w:p w:rsidR="000B424C" w:rsidRDefault="000B424C" w:rsidP="000B424C">
      <w:pPr>
        <w:tabs>
          <w:tab w:val="left" w:pos="851"/>
        </w:tabs>
        <w:ind w:left="851"/>
        <w:rPr>
          <w:sz w:val="24"/>
          <w:szCs w:val="24"/>
        </w:rPr>
      </w:pPr>
      <w:r>
        <w:rPr>
          <w:sz w:val="24"/>
          <w:szCs w:val="24"/>
        </w:rPr>
        <w:t>Genotoksicitetsstudier dækkende relevante genotoksicitets-endepunkter viste ingen tegn på klastogen eller mutagen aktivitet. Administration af everolimus i op til 2 år viste intet onkogent potentiale hos mus og rotter op til højeste dosis, svarende til henholdsvis 3,9 og 0,2 gange den estimerede kliniske eksponering.</w:t>
      </w:r>
    </w:p>
    <w:p w:rsidR="003760D5" w:rsidRPr="000A6289"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6.</w:t>
      </w:r>
      <w:r w:rsidRPr="00C84483">
        <w:rPr>
          <w:b/>
          <w:sz w:val="24"/>
          <w:szCs w:val="24"/>
        </w:rPr>
        <w:tab/>
        <w:t>FARMACEUTISKE OPLYSNINGER</w:t>
      </w:r>
    </w:p>
    <w:p w:rsidR="003760D5" w:rsidRPr="00BA09F1"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6.1</w:t>
      </w:r>
      <w:r w:rsidRPr="00C84483">
        <w:rPr>
          <w:b/>
          <w:sz w:val="24"/>
          <w:szCs w:val="24"/>
        </w:rPr>
        <w:tab/>
        <w:t>Hjælpestoffer</w:t>
      </w:r>
    </w:p>
    <w:p w:rsidR="00B41049" w:rsidRPr="0086389E" w:rsidRDefault="00B41049" w:rsidP="00B41049">
      <w:pPr>
        <w:pStyle w:val="Default"/>
        <w:ind w:left="851"/>
      </w:pPr>
      <w:r w:rsidRPr="0086389E">
        <w:t xml:space="preserve">Butylhydroxytoluen (E321) </w:t>
      </w:r>
    </w:p>
    <w:p w:rsidR="00B41049" w:rsidRPr="0086389E" w:rsidRDefault="00B41049" w:rsidP="00B41049">
      <w:pPr>
        <w:pStyle w:val="Default"/>
        <w:ind w:left="851"/>
      </w:pPr>
      <w:r w:rsidRPr="0086389E">
        <w:t xml:space="preserve">Hypromellose </w:t>
      </w:r>
    </w:p>
    <w:p w:rsidR="00B41049" w:rsidRPr="0086389E" w:rsidRDefault="00B41049" w:rsidP="00B41049">
      <w:pPr>
        <w:pStyle w:val="Default"/>
        <w:ind w:left="851"/>
      </w:pPr>
      <w:r w:rsidRPr="0086389E">
        <w:t xml:space="preserve">Lactosemonohydrat </w:t>
      </w:r>
    </w:p>
    <w:p w:rsidR="00B41049" w:rsidRPr="0086389E" w:rsidRDefault="00B41049" w:rsidP="00B41049">
      <w:pPr>
        <w:pStyle w:val="Default"/>
        <w:ind w:left="851"/>
      </w:pPr>
      <w:r w:rsidRPr="0086389E">
        <w:t xml:space="preserve">Lactose </w:t>
      </w:r>
    </w:p>
    <w:p w:rsidR="00B41049" w:rsidRPr="0086389E" w:rsidRDefault="00B41049" w:rsidP="00B41049">
      <w:pPr>
        <w:pStyle w:val="Default"/>
        <w:ind w:left="851"/>
      </w:pPr>
      <w:r w:rsidRPr="0086389E">
        <w:t xml:space="preserve">Crospovidon </w:t>
      </w:r>
    </w:p>
    <w:p w:rsidR="00B41049" w:rsidRPr="003877DB" w:rsidRDefault="00B41049" w:rsidP="00B41049">
      <w:pPr>
        <w:pStyle w:val="Default"/>
        <w:ind w:left="851"/>
      </w:pPr>
      <w:r w:rsidRPr="003877DB">
        <w:t xml:space="preserve">Magnesiumstearat </w:t>
      </w:r>
    </w:p>
    <w:p w:rsidR="003760D5" w:rsidRPr="00C84483" w:rsidRDefault="003760D5" w:rsidP="00B41049">
      <w:pPr>
        <w:tabs>
          <w:tab w:val="left" w:pos="851"/>
        </w:tabs>
        <w:rPr>
          <w:sz w:val="24"/>
          <w:szCs w:val="24"/>
        </w:rPr>
      </w:pPr>
    </w:p>
    <w:p w:rsidR="003760D5" w:rsidRPr="000A6289" w:rsidRDefault="003760D5" w:rsidP="003760D5">
      <w:pPr>
        <w:tabs>
          <w:tab w:val="left" w:pos="851"/>
        </w:tabs>
        <w:ind w:left="851" w:hanging="851"/>
        <w:rPr>
          <w:b/>
          <w:sz w:val="24"/>
          <w:szCs w:val="24"/>
        </w:rPr>
      </w:pPr>
      <w:r w:rsidRPr="000A6289">
        <w:rPr>
          <w:b/>
          <w:sz w:val="24"/>
          <w:szCs w:val="24"/>
        </w:rPr>
        <w:t>6.2</w:t>
      </w:r>
      <w:r w:rsidRPr="000A6289">
        <w:rPr>
          <w:b/>
          <w:sz w:val="24"/>
          <w:szCs w:val="24"/>
        </w:rPr>
        <w:tab/>
        <w:t>Uforligeligheder</w:t>
      </w:r>
    </w:p>
    <w:p w:rsidR="003760D5" w:rsidRPr="000A6289" w:rsidRDefault="003760D5" w:rsidP="003760D5">
      <w:pPr>
        <w:tabs>
          <w:tab w:val="left" w:pos="851"/>
        </w:tabs>
        <w:ind w:left="851"/>
        <w:rPr>
          <w:sz w:val="24"/>
          <w:szCs w:val="24"/>
        </w:rPr>
      </w:pPr>
      <w:r w:rsidRPr="000A6289">
        <w:rPr>
          <w:sz w:val="24"/>
          <w:szCs w:val="24"/>
        </w:rPr>
        <w:t>Ikke relevant.</w:t>
      </w:r>
    </w:p>
    <w:p w:rsidR="003760D5" w:rsidRPr="000A6289" w:rsidRDefault="003760D5" w:rsidP="003760D5">
      <w:pPr>
        <w:tabs>
          <w:tab w:val="left" w:pos="851"/>
        </w:tabs>
        <w:ind w:left="851"/>
        <w:rPr>
          <w:sz w:val="24"/>
          <w:szCs w:val="24"/>
        </w:rPr>
      </w:pPr>
    </w:p>
    <w:p w:rsidR="003760D5" w:rsidRPr="000A6289" w:rsidRDefault="003760D5" w:rsidP="001851B3">
      <w:pPr>
        <w:keepNext/>
        <w:tabs>
          <w:tab w:val="left" w:pos="851"/>
        </w:tabs>
        <w:ind w:left="851" w:hanging="851"/>
        <w:rPr>
          <w:b/>
          <w:sz w:val="24"/>
          <w:szCs w:val="24"/>
        </w:rPr>
      </w:pPr>
      <w:r w:rsidRPr="000A6289">
        <w:rPr>
          <w:b/>
          <w:sz w:val="24"/>
          <w:szCs w:val="24"/>
        </w:rPr>
        <w:t>6.3</w:t>
      </w:r>
      <w:r w:rsidRPr="000A6289">
        <w:rPr>
          <w:b/>
          <w:sz w:val="24"/>
          <w:szCs w:val="24"/>
        </w:rPr>
        <w:tab/>
        <w:t>Opbevaringstid</w:t>
      </w:r>
    </w:p>
    <w:p w:rsidR="003760D5" w:rsidRPr="000A6289" w:rsidRDefault="003760D5" w:rsidP="003760D5">
      <w:pPr>
        <w:tabs>
          <w:tab w:val="left" w:pos="851"/>
        </w:tabs>
        <w:ind w:left="851"/>
        <w:rPr>
          <w:sz w:val="24"/>
          <w:szCs w:val="24"/>
        </w:rPr>
      </w:pPr>
      <w:r w:rsidRPr="000A6289">
        <w:rPr>
          <w:sz w:val="24"/>
          <w:szCs w:val="24"/>
        </w:rPr>
        <w:t>30 måneder.</w:t>
      </w:r>
    </w:p>
    <w:p w:rsidR="003760D5" w:rsidRPr="000A6289" w:rsidRDefault="003760D5" w:rsidP="003760D5">
      <w:pPr>
        <w:tabs>
          <w:tab w:val="left" w:pos="851"/>
        </w:tabs>
        <w:ind w:left="851"/>
        <w:rPr>
          <w:sz w:val="24"/>
          <w:szCs w:val="24"/>
        </w:rPr>
      </w:pPr>
    </w:p>
    <w:p w:rsidR="003760D5" w:rsidRPr="000A6289" w:rsidRDefault="003760D5" w:rsidP="003760D5">
      <w:pPr>
        <w:tabs>
          <w:tab w:val="left" w:pos="851"/>
        </w:tabs>
        <w:ind w:left="851" w:hanging="851"/>
        <w:rPr>
          <w:b/>
          <w:sz w:val="24"/>
          <w:szCs w:val="24"/>
        </w:rPr>
      </w:pPr>
      <w:r w:rsidRPr="000A6289">
        <w:rPr>
          <w:b/>
          <w:sz w:val="24"/>
          <w:szCs w:val="24"/>
        </w:rPr>
        <w:t>6.4</w:t>
      </w:r>
      <w:r w:rsidRPr="000A6289">
        <w:rPr>
          <w:b/>
          <w:sz w:val="24"/>
          <w:szCs w:val="24"/>
        </w:rPr>
        <w:tab/>
        <w:t>Særlige opbevaringsforhold</w:t>
      </w:r>
    </w:p>
    <w:p w:rsidR="003760D5" w:rsidRPr="000A6289" w:rsidRDefault="003760D5" w:rsidP="003760D5">
      <w:pPr>
        <w:tabs>
          <w:tab w:val="left" w:pos="851"/>
        </w:tabs>
        <w:ind w:left="851"/>
        <w:rPr>
          <w:sz w:val="24"/>
          <w:szCs w:val="24"/>
        </w:rPr>
      </w:pPr>
      <w:r w:rsidRPr="000A6289">
        <w:rPr>
          <w:sz w:val="24"/>
          <w:szCs w:val="24"/>
        </w:rPr>
        <w:t>Opbevares i den originale yderpakning for at beskytte mod lys.</w:t>
      </w:r>
    </w:p>
    <w:p w:rsidR="003760D5" w:rsidRPr="000A6289" w:rsidRDefault="003760D5" w:rsidP="003760D5">
      <w:pPr>
        <w:tabs>
          <w:tab w:val="left" w:pos="851"/>
        </w:tabs>
        <w:ind w:left="851"/>
        <w:rPr>
          <w:sz w:val="24"/>
          <w:szCs w:val="24"/>
        </w:rPr>
      </w:pPr>
    </w:p>
    <w:p w:rsidR="00D92195" w:rsidRPr="000A6289" w:rsidRDefault="00D92195" w:rsidP="00D92195">
      <w:pPr>
        <w:tabs>
          <w:tab w:val="left" w:pos="851"/>
        </w:tabs>
        <w:ind w:left="851"/>
        <w:rPr>
          <w:sz w:val="24"/>
          <w:szCs w:val="24"/>
        </w:rPr>
      </w:pPr>
      <w:r>
        <w:rPr>
          <w:noProof/>
        </w:rPr>
        <w:t xml:space="preserve">Opbevares </w:t>
      </w:r>
      <w:r>
        <w:t xml:space="preserve">ved temperaturer </w:t>
      </w:r>
      <w:r>
        <w:rPr>
          <w:noProof/>
        </w:rPr>
        <w:t>under 25 °C.</w:t>
      </w:r>
    </w:p>
    <w:p w:rsidR="003760D5" w:rsidRPr="000A6289" w:rsidRDefault="003760D5" w:rsidP="003760D5">
      <w:pPr>
        <w:tabs>
          <w:tab w:val="left" w:pos="851"/>
        </w:tabs>
        <w:ind w:left="851"/>
        <w:rPr>
          <w:sz w:val="24"/>
          <w:szCs w:val="24"/>
        </w:rPr>
      </w:pPr>
    </w:p>
    <w:p w:rsidR="003760D5" w:rsidRPr="000A6289" w:rsidRDefault="003760D5" w:rsidP="003760D5">
      <w:pPr>
        <w:tabs>
          <w:tab w:val="left" w:pos="851"/>
        </w:tabs>
        <w:ind w:left="851" w:hanging="851"/>
        <w:rPr>
          <w:b/>
          <w:sz w:val="24"/>
          <w:szCs w:val="24"/>
        </w:rPr>
      </w:pPr>
      <w:r w:rsidRPr="000A6289">
        <w:rPr>
          <w:b/>
          <w:sz w:val="24"/>
          <w:szCs w:val="24"/>
        </w:rPr>
        <w:t>6.5</w:t>
      </w:r>
      <w:r w:rsidRPr="000A6289">
        <w:rPr>
          <w:b/>
          <w:sz w:val="24"/>
          <w:szCs w:val="24"/>
        </w:rPr>
        <w:tab/>
        <w:t>Emballagetype og pakningsstørrelser</w:t>
      </w:r>
    </w:p>
    <w:p w:rsidR="003760D5" w:rsidRPr="000A6289" w:rsidRDefault="003760D5" w:rsidP="003760D5">
      <w:pPr>
        <w:tabs>
          <w:tab w:val="left" w:pos="851"/>
        </w:tabs>
        <w:ind w:left="851"/>
        <w:rPr>
          <w:sz w:val="24"/>
          <w:szCs w:val="24"/>
        </w:rPr>
      </w:pPr>
      <w:r w:rsidRPr="000A6289">
        <w:rPr>
          <w:sz w:val="24"/>
          <w:szCs w:val="24"/>
        </w:rPr>
        <w:t>OPA/Alu/PVC-aluminiumsblister</w:t>
      </w:r>
    </w:p>
    <w:p w:rsidR="003760D5" w:rsidRPr="000A6289" w:rsidRDefault="003760D5" w:rsidP="003760D5">
      <w:pPr>
        <w:tabs>
          <w:tab w:val="left" w:pos="851"/>
        </w:tabs>
        <w:ind w:left="851"/>
        <w:rPr>
          <w:sz w:val="24"/>
          <w:szCs w:val="24"/>
        </w:rPr>
      </w:pPr>
    </w:p>
    <w:p w:rsidR="003760D5" w:rsidRPr="000A6289" w:rsidRDefault="003760D5" w:rsidP="003760D5">
      <w:pPr>
        <w:tabs>
          <w:tab w:val="left" w:pos="851"/>
        </w:tabs>
        <w:ind w:left="851"/>
        <w:rPr>
          <w:sz w:val="24"/>
          <w:szCs w:val="24"/>
        </w:rPr>
      </w:pPr>
      <w:r w:rsidRPr="000A6289">
        <w:rPr>
          <w:sz w:val="24"/>
          <w:szCs w:val="24"/>
        </w:rPr>
        <w:t>Pakningsstørrelser: 10, 30, 30×1, 50×1, 60 og 90 stk.</w:t>
      </w:r>
    </w:p>
    <w:p w:rsidR="003760D5" w:rsidRPr="000A6289" w:rsidRDefault="003760D5" w:rsidP="00B41049">
      <w:pPr>
        <w:tabs>
          <w:tab w:val="left" w:pos="851"/>
        </w:tabs>
        <w:ind w:left="851"/>
        <w:rPr>
          <w:sz w:val="24"/>
          <w:szCs w:val="24"/>
        </w:rPr>
      </w:pPr>
      <w:r w:rsidRPr="000A6289">
        <w:rPr>
          <w:sz w:val="24"/>
          <w:szCs w:val="24"/>
        </w:rPr>
        <w:t>Ikke alle pakningsstørrelser er nødvendigvis markedsført.</w:t>
      </w:r>
    </w:p>
    <w:p w:rsidR="003760D5" w:rsidRPr="000A6289" w:rsidRDefault="003760D5" w:rsidP="003760D5">
      <w:pPr>
        <w:tabs>
          <w:tab w:val="left" w:pos="851"/>
        </w:tabs>
        <w:ind w:left="851"/>
        <w:rPr>
          <w:sz w:val="24"/>
          <w:szCs w:val="24"/>
        </w:rPr>
      </w:pPr>
    </w:p>
    <w:p w:rsidR="003760D5" w:rsidRPr="000A6289" w:rsidRDefault="003760D5" w:rsidP="003760D5">
      <w:pPr>
        <w:tabs>
          <w:tab w:val="left" w:pos="851"/>
        </w:tabs>
        <w:ind w:left="851" w:hanging="851"/>
        <w:rPr>
          <w:b/>
          <w:sz w:val="24"/>
          <w:szCs w:val="24"/>
        </w:rPr>
      </w:pPr>
      <w:r w:rsidRPr="000A6289">
        <w:rPr>
          <w:b/>
          <w:sz w:val="24"/>
          <w:szCs w:val="24"/>
        </w:rPr>
        <w:t>6.6</w:t>
      </w:r>
      <w:r w:rsidRPr="000A6289">
        <w:rPr>
          <w:b/>
          <w:sz w:val="24"/>
          <w:szCs w:val="24"/>
        </w:rPr>
        <w:tab/>
        <w:t xml:space="preserve">Regler for </w:t>
      </w:r>
      <w:r w:rsidR="00A672FE" w:rsidRPr="000A6289">
        <w:rPr>
          <w:b/>
          <w:sz w:val="24"/>
          <w:szCs w:val="24"/>
        </w:rPr>
        <w:t>bortskaffelse</w:t>
      </w:r>
      <w:r w:rsidRPr="000A6289">
        <w:rPr>
          <w:b/>
          <w:sz w:val="24"/>
          <w:szCs w:val="24"/>
        </w:rPr>
        <w:t xml:space="preserve"> og anden håndtering</w:t>
      </w:r>
    </w:p>
    <w:p w:rsidR="003760D5" w:rsidRPr="000A6289" w:rsidRDefault="003760D5" w:rsidP="003760D5">
      <w:pPr>
        <w:tabs>
          <w:tab w:val="left" w:pos="851"/>
        </w:tabs>
        <w:ind w:left="851"/>
        <w:rPr>
          <w:sz w:val="24"/>
          <w:szCs w:val="24"/>
        </w:rPr>
      </w:pPr>
      <w:r w:rsidRPr="000A6289">
        <w:rPr>
          <w:sz w:val="24"/>
          <w:szCs w:val="24"/>
        </w:rPr>
        <w:t>Ikke anvendt lægemiddel samt affald heraf skal bortskaffes i henhold til lokale retningslinjer.</w:t>
      </w:r>
    </w:p>
    <w:p w:rsidR="003760D5" w:rsidRPr="000A6289" w:rsidRDefault="003760D5" w:rsidP="003760D5">
      <w:pPr>
        <w:tabs>
          <w:tab w:val="left" w:pos="851"/>
        </w:tabs>
        <w:ind w:left="851"/>
        <w:jc w:val="both"/>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7.</w:t>
      </w:r>
      <w:r w:rsidRPr="00C84483">
        <w:rPr>
          <w:b/>
          <w:sz w:val="24"/>
          <w:szCs w:val="24"/>
        </w:rPr>
        <w:tab/>
        <w:t>INDEHAVER AF MARKEDSFØRINGSTILLADELSEN</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Teva B.V.</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Swensweg 5</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2031 GA Haarlem</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Holland</w:t>
      </w:r>
    </w:p>
    <w:p w:rsidR="003760D5" w:rsidRPr="000A6289" w:rsidRDefault="003760D5" w:rsidP="003760D5">
      <w:pPr>
        <w:tabs>
          <w:tab w:val="left" w:pos="-720"/>
        </w:tabs>
        <w:suppressAutoHyphens/>
        <w:ind w:left="851"/>
        <w:rPr>
          <w:spacing w:val="-3"/>
          <w:sz w:val="24"/>
          <w:szCs w:val="24"/>
        </w:rPr>
      </w:pPr>
    </w:p>
    <w:p w:rsidR="003760D5" w:rsidRPr="000A6289" w:rsidRDefault="003760D5" w:rsidP="003760D5">
      <w:pPr>
        <w:tabs>
          <w:tab w:val="left" w:pos="-720"/>
        </w:tabs>
        <w:suppressAutoHyphens/>
        <w:ind w:left="851"/>
        <w:rPr>
          <w:b/>
          <w:spacing w:val="-3"/>
          <w:sz w:val="24"/>
          <w:szCs w:val="24"/>
        </w:rPr>
      </w:pPr>
      <w:r w:rsidRPr="000A6289">
        <w:rPr>
          <w:b/>
          <w:spacing w:val="-3"/>
          <w:sz w:val="24"/>
          <w:szCs w:val="24"/>
        </w:rPr>
        <w:t>Repræsentant</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Teva Denmark A/S</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Vandtårnsvej 83A</w:t>
      </w:r>
    </w:p>
    <w:p w:rsidR="003760D5" w:rsidRPr="000A6289" w:rsidRDefault="003760D5" w:rsidP="003760D5">
      <w:pPr>
        <w:tabs>
          <w:tab w:val="left" w:pos="-720"/>
        </w:tabs>
        <w:suppressAutoHyphens/>
        <w:ind w:left="851"/>
        <w:rPr>
          <w:spacing w:val="-3"/>
          <w:sz w:val="24"/>
          <w:szCs w:val="24"/>
        </w:rPr>
      </w:pPr>
      <w:r w:rsidRPr="000A6289">
        <w:rPr>
          <w:spacing w:val="-3"/>
          <w:sz w:val="24"/>
          <w:szCs w:val="24"/>
        </w:rPr>
        <w:t>2860 Søborg</w:t>
      </w:r>
    </w:p>
    <w:p w:rsidR="003760D5" w:rsidRPr="000A6289"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8.</w:t>
      </w:r>
      <w:r w:rsidRPr="00C84483">
        <w:rPr>
          <w:b/>
          <w:sz w:val="24"/>
          <w:szCs w:val="24"/>
        </w:rPr>
        <w:tab/>
        <w:t>MARKEDSFØRINGSTILLADELSESNUMMER (</w:t>
      </w:r>
      <w:r w:rsidR="00A672FE">
        <w:rPr>
          <w:b/>
          <w:sz w:val="24"/>
          <w:szCs w:val="24"/>
        </w:rPr>
        <w:t>-</w:t>
      </w:r>
      <w:r w:rsidRPr="00C84483">
        <w:rPr>
          <w:b/>
          <w:sz w:val="24"/>
          <w:szCs w:val="24"/>
        </w:rPr>
        <w:t>NUMRE)</w:t>
      </w:r>
    </w:p>
    <w:p w:rsidR="003760D5" w:rsidRDefault="003760D5" w:rsidP="003760D5">
      <w:pPr>
        <w:tabs>
          <w:tab w:val="left" w:pos="851"/>
          <w:tab w:val="left" w:pos="1701"/>
        </w:tabs>
        <w:ind w:left="851"/>
        <w:rPr>
          <w:sz w:val="24"/>
          <w:szCs w:val="24"/>
        </w:rPr>
      </w:pPr>
      <w:r>
        <w:rPr>
          <w:sz w:val="24"/>
          <w:szCs w:val="24"/>
        </w:rPr>
        <w:t>2,5 mg:</w:t>
      </w:r>
      <w:r>
        <w:rPr>
          <w:sz w:val="24"/>
          <w:szCs w:val="24"/>
        </w:rPr>
        <w:tab/>
        <w:t>57668</w:t>
      </w:r>
    </w:p>
    <w:p w:rsidR="003760D5" w:rsidRDefault="003760D5" w:rsidP="003760D5">
      <w:pPr>
        <w:tabs>
          <w:tab w:val="left" w:pos="851"/>
          <w:tab w:val="left" w:pos="1701"/>
        </w:tabs>
        <w:ind w:left="851"/>
        <w:rPr>
          <w:sz w:val="24"/>
          <w:szCs w:val="24"/>
        </w:rPr>
      </w:pPr>
      <w:r>
        <w:rPr>
          <w:sz w:val="24"/>
          <w:szCs w:val="24"/>
        </w:rPr>
        <w:t>5 mg:</w:t>
      </w:r>
      <w:r>
        <w:rPr>
          <w:sz w:val="24"/>
          <w:szCs w:val="24"/>
        </w:rPr>
        <w:tab/>
        <w:t>57669</w:t>
      </w:r>
    </w:p>
    <w:p w:rsidR="003760D5" w:rsidRPr="00C84483" w:rsidRDefault="003760D5" w:rsidP="003760D5">
      <w:pPr>
        <w:tabs>
          <w:tab w:val="left" w:pos="851"/>
          <w:tab w:val="left" w:pos="1701"/>
        </w:tabs>
        <w:ind w:left="851"/>
        <w:rPr>
          <w:sz w:val="24"/>
          <w:szCs w:val="24"/>
        </w:rPr>
      </w:pPr>
      <w:r>
        <w:rPr>
          <w:sz w:val="24"/>
          <w:szCs w:val="24"/>
        </w:rPr>
        <w:lastRenderedPageBreak/>
        <w:t>10 mg:</w:t>
      </w:r>
      <w:r>
        <w:rPr>
          <w:sz w:val="24"/>
          <w:szCs w:val="24"/>
        </w:rPr>
        <w:tab/>
        <w:t>57671</w:t>
      </w:r>
    </w:p>
    <w:p w:rsidR="003760D5" w:rsidRPr="00C84483" w:rsidRDefault="003760D5" w:rsidP="003760D5">
      <w:pPr>
        <w:tabs>
          <w:tab w:val="left" w:pos="851"/>
        </w:tabs>
        <w:ind w:left="851"/>
        <w:jc w:val="both"/>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9.</w:t>
      </w:r>
      <w:r w:rsidRPr="00C84483">
        <w:rPr>
          <w:b/>
          <w:sz w:val="24"/>
          <w:szCs w:val="24"/>
        </w:rPr>
        <w:tab/>
        <w:t>DATO FOR FØRSTE MARKEDSFØRINGSTILLADELSE</w:t>
      </w:r>
    </w:p>
    <w:p w:rsidR="003760D5" w:rsidRPr="00C84483" w:rsidRDefault="003760D5" w:rsidP="003760D5">
      <w:pPr>
        <w:tabs>
          <w:tab w:val="left" w:pos="851"/>
        </w:tabs>
        <w:ind w:left="851"/>
        <w:rPr>
          <w:sz w:val="24"/>
          <w:szCs w:val="24"/>
        </w:rPr>
      </w:pPr>
      <w:r>
        <w:rPr>
          <w:sz w:val="24"/>
          <w:szCs w:val="24"/>
        </w:rPr>
        <w:t>6. juni 2017</w:t>
      </w:r>
    </w:p>
    <w:p w:rsidR="003760D5" w:rsidRPr="00C84483" w:rsidRDefault="003760D5" w:rsidP="003760D5">
      <w:pPr>
        <w:tabs>
          <w:tab w:val="left" w:pos="851"/>
        </w:tabs>
        <w:ind w:left="851"/>
        <w:rPr>
          <w:sz w:val="24"/>
          <w:szCs w:val="24"/>
        </w:rPr>
      </w:pPr>
    </w:p>
    <w:p w:rsidR="003760D5" w:rsidRPr="00C84483" w:rsidRDefault="003760D5" w:rsidP="003760D5">
      <w:pPr>
        <w:tabs>
          <w:tab w:val="left" w:pos="851"/>
        </w:tabs>
        <w:ind w:left="851" w:hanging="851"/>
        <w:rPr>
          <w:b/>
          <w:sz w:val="24"/>
          <w:szCs w:val="24"/>
        </w:rPr>
      </w:pPr>
      <w:r w:rsidRPr="00C84483">
        <w:rPr>
          <w:b/>
          <w:sz w:val="24"/>
          <w:szCs w:val="24"/>
        </w:rPr>
        <w:t>10.</w:t>
      </w:r>
      <w:r w:rsidRPr="00C84483">
        <w:rPr>
          <w:b/>
          <w:sz w:val="24"/>
          <w:szCs w:val="24"/>
        </w:rPr>
        <w:tab/>
        <w:t>DATO FOR ÆNDRING AF TEKSTEN</w:t>
      </w:r>
    </w:p>
    <w:p w:rsidR="003760D5" w:rsidRPr="00C84483" w:rsidRDefault="00B70157" w:rsidP="003760D5">
      <w:pPr>
        <w:tabs>
          <w:tab w:val="left" w:pos="851"/>
        </w:tabs>
        <w:ind w:left="851"/>
        <w:rPr>
          <w:sz w:val="24"/>
          <w:szCs w:val="24"/>
        </w:rPr>
      </w:pPr>
      <w:r>
        <w:rPr>
          <w:szCs w:val="24"/>
        </w:rPr>
        <w:t>4</w:t>
      </w:r>
      <w:r w:rsidR="007210FC">
        <w:rPr>
          <w:szCs w:val="24"/>
        </w:rPr>
        <w:t xml:space="preserve">. </w:t>
      </w:r>
      <w:r w:rsidR="000B424C">
        <w:rPr>
          <w:szCs w:val="24"/>
        </w:rPr>
        <w:t>februar</w:t>
      </w:r>
      <w:r w:rsidR="00D92195">
        <w:rPr>
          <w:szCs w:val="24"/>
        </w:rPr>
        <w:t xml:space="preserve"> 202</w:t>
      </w:r>
      <w:r w:rsidR="000B424C">
        <w:rPr>
          <w:szCs w:val="24"/>
        </w:rPr>
        <w:t>5</w:t>
      </w:r>
    </w:p>
    <w:p w:rsidR="003760D5" w:rsidRPr="00E60F7D" w:rsidRDefault="003760D5" w:rsidP="003760D5"/>
    <w:p w:rsidR="003760D5" w:rsidRPr="00F044F6" w:rsidRDefault="003760D5" w:rsidP="003760D5"/>
    <w:p w:rsidR="009260DE" w:rsidRPr="003760D5" w:rsidRDefault="009260DE" w:rsidP="003760D5"/>
    <w:sectPr w:rsidR="009260DE" w:rsidRPr="003760D5" w:rsidSect="000259B9">
      <w:footerReference w:type="default" r:id="rId12"/>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3C9" w:rsidRDefault="000433C9">
      <w:r>
        <w:separator/>
      </w:r>
    </w:p>
  </w:endnote>
  <w:endnote w:type="continuationSeparator" w:id="0">
    <w:p w:rsidR="000433C9" w:rsidRDefault="00043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33C9" w:rsidRDefault="000433C9">
    <w:pPr>
      <w:pStyle w:val="Sidefod"/>
      <w:pBdr>
        <w:bottom w:val="single" w:sz="6" w:space="1" w:color="auto"/>
      </w:pBdr>
    </w:pPr>
  </w:p>
  <w:p w:rsidR="000433C9" w:rsidRDefault="000433C9" w:rsidP="00C42586">
    <w:pPr>
      <w:pStyle w:val="Sidefod"/>
      <w:tabs>
        <w:tab w:val="clear" w:pos="4819"/>
        <w:tab w:val="left" w:pos="8505"/>
      </w:tabs>
      <w:rPr>
        <w:i/>
        <w:sz w:val="18"/>
        <w:szCs w:val="18"/>
      </w:rPr>
    </w:pPr>
  </w:p>
  <w:p w:rsidR="000433C9" w:rsidRPr="00B373D7" w:rsidRDefault="000433C9"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Everolimus Teva, tabletter 2,5 mg, 5 mg og 10 mg</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3C9" w:rsidRDefault="000433C9">
      <w:r>
        <w:separator/>
      </w:r>
    </w:p>
  </w:footnote>
  <w:footnote w:type="continuationSeparator" w:id="0">
    <w:p w:rsidR="000433C9" w:rsidRDefault="000433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55E9E"/>
    <w:multiLevelType w:val="hybridMultilevel"/>
    <w:tmpl w:val="54B293B2"/>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1" w15:restartNumberingAfterBreak="0">
    <w:nsid w:val="0CA67FA4"/>
    <w:multiLevelType w:val="hybridMultilevel"/>
    <w:tmpl w:val="BB1E1D7E"/>
    <w:lvl w:ilvl="0" w:tplc="04060001">
      <w:start w:val="1"/>
      <w:numFmt w:val="bullet"/>
      <w:lvlText w:val=""/>
      <w:lvlJc w:val="left"/>
      <w:pPr>
        <w:ind w:left="865" w:hanging="567"/>
      </w:pPr>
      <w:rPr>
        <w:rFonts w:ascii="Symbol" w:hAnsi="Symbol" w:hint="default"/>
        <w:w w:val="100"/>
        <w:sz w:val="22"/>
        <w:szCs w:val="22"/>
      </w:rPr>
    </w:lvl>
    <w:lvl w:ilvl="1" w:tplc="FFFFFFFF">
      <w:numFmt w:val="bullet"/>
      <w:lvlText w:val="•"/>
      <w:lvlJc w:val="left"/>
      <w:pPr>
        <w:ind w:left="1852" w:hanging="567"/>
      </w:pPr>
    </w:lvl>
    <w:lvl w:ilvl="2" w:tplc="FFFFFFFF">
      <w:numFmt w:val="bullet"/>
      <w:lvlText w:val="•"/>
      <w:lvlJc w:val="left"/>
      <w:pPr>
        <w:ind w:left="2845" w:hanging="567"/>
      </w:pPr>
    </w:lvl>
    <w:lvl w:ilvl="3" w:tplc="FFFFFFFF">
      <w:numFmt w:val="bullet"/>
      <w:lvlText w:val="•"/>
      <w:lvlJc w:val="left"/>
      <w:pPr>
        <w:ind w:left="3837" w:hanging="567"/>
      </w:pPr>
    </w:lvl>
    <w:lvl w:ilvl="4" w:tplc="FFFFFFFF">
      <w:numFmt w:val="bullet"/>
      <w:lvlText w:val="•"/>
      <w:lvlJc w:val="left"/>
      <w:pPr>
        <w:ind w:left="4830" w:hanging="567"/>
      </w:pPr>
    </w:lvl>
    <w:lvl w:ilvl="5" w:tplc="FFFFFFFF">
      <w:numFmt w:val="bullet"/>
      <w:lvlText w:val="•"/>
      <w:lvlJc w:val="left"/>
      <w:pPr>
        <w:ind w:left="5823" w:hanging="567"/>
      </w:pPr>
    </w:lvl>
    <w:lvl w:ilvl="6" w:tplc="FFFFFFFF">
      <w:numFmt w:val="bullet"/>
      <w:lvlText w:val="•"/>
      <w:lvlJc w:val="left"/>
      <w:pPr>
        <w:ind w:left="6815" w:hanging="567"/>
      </w:pPr>
    </w:lvl>
    <w:lvl w:ilvl="7" w:tplc="FFFFFFFF">
      <w:numFmt w:val="bullet"/>
      <w:lvlText w:val="•"/>
      <w:lvlJc w:val="left"/>
      <w:pPr>
        <w:ind w:left="7808" w:hanging="567"/>
      </w:pPr>
    </w:lvl>
    <w:lvl w:ilvl="8" w:tplc="FFFFFFFF">
      <w:numFmt w:val="bullet"/>
      <w:lvlText w:val="•"/>
      <w:lvlJc w:val="left"/>
      <w:pPr>
        <w:ind w:left="8801" w:hanging="567"/>
      </w:pPr>
    </w:lvl>
  </w:abstractNum>
  <w:abstractNum w:abstractNumId="2"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1B967EFE"/>
    <w:multiLevelType w:val="hybridMultilevel"/>
    <w:tmpl w:val="06623ED2"/>
    <w:lvl w:ilvl="0" w:tplc="173E2090">
      <w:numFmt w:val="bullet"/>
      <w:lvlText w:val="-"/>
      <w:lvlJc w:val="left"/>
      <w:pPr>
        <w:ind w:left="2062" w:hanging="567"/>
      </w:pPr>
      <w:rPr>
        <w:rFonts w:ascii="Times New Roman" w:eastAsia="Times New Roman" w:hAnsi="Times New Roman" w:cs="Times New Roman" w:hint="default"/>
        <w:w w:val="100"/>
      </w:rPr>
    </w:lvl>
    <w:lvl w:ilvl="1" w:tplc="FFFFFFFF">
      <w:numFmt w:val="bullet"/>
      <w:lvlText w:val="•"/>
      <w:lvlJc w:val="left"/>
      <w:pPr>
        <w:ind w:left="3049" w:hanging="567"/>
      </w:pPr>
    </w:lvl>
    <w:lvl w:ilvl="2" w:tplc="FFFFFFFF">
      <w:numFmt w:val="bullet"/>
      <w:lvlText w:val="•"/>
      <w:lvlJc w:val="left"/>
      <w:pPr>
        <w:ind w:left="4042" w:hanging="567"/>
      </w:pPr>
    </w:lvl>
    <w:lvl w:ilvl="3" w:tplc="FFFFFFFF">
      <w:numFmt w:val="bullet"/>
      <w:lvlText w:val="•"/>
      <w:lvlJc w:val="left"/>
      <w:pPr>
        <w:ind w:left="5034" w:hanging="567"/>
      </w:pPr>
    </w:lvl>
    <w:lvl w:ilvl="4" w:tplc="FFFFFFFF">
      <w:numFmt w:val="bullet"/>
      <w:lvlText w:val="•"/>
      <w:lvlJc w:val="left"/>
      <w:pPr>
        <w:ind w:left="6027" w:hanging="567"/>
      </w:pPr>
    </w:lvl>
    <w:lvl w:ilvl="5" w:tplc="FFFFFFFF">
      <w:numFmt w:val="bullet"/>
      <w:lvlText w:val="•"/>
      <w:lvlJc w:val="left"/>
      <w:pPr>
        <w:ind w:left="7020" w:hanging="567"/>
      </w:pPr>
    </w:lvl>
    <w:lvl w:ilvl="6" w:tplc="FFFFFFFF">
      <w:numFmt w:val="bullet"/>
      <w:lvlText w:val="•"/>
      <w:lvlJc w:val="left"/>
      <w:pPr>
        <w:ind w:left="8012" w:hanging="567"/>
      </w:pPr>
    </w:lvl>
    <w:lvl w:ilvl="7" w:tplc="FFFFFFFF">
      <w:numFmt w:val="bullet"/>
      <w:lvlText w:val="•"/>
      <w:lvlJc w:val="left"/>
      <w:pPr>
        <w:ind w:left="9005" w:hanging="567"/>
      </w:pPr>
    </w:lvl>
    <w:lvl w:ilvl="8" w:tplc="FFFFFFFF">
      <w:numFmt w:val="bullet"/>
      <w:lvlText w:val="•"/>
      <w:lvlJc w:val="left"/>
      <w:pPr>
        <w:ind w:left="9998" w:hanging="567"/>
      </w:pPr>
    </w:lvl>
  </w:abstractNum>
  <w:abstractNum w:abstractNumId="4" w15:restartNumberingAfterBreak="0">
    <w:nsid w:val="21131E4D"/>
    <w:multiLevelType w:val="hybridMultilevel"/>
    <w:tmpl w:val="3B5830AE"/>
    <w:lvl w:ilvl="0" w:tplc="04060003">
      <w:start w:val="1"/>
      <w:numFmt w:val="bullet"/>
      <w:lvlText w:val="o"/>
      <w:lvlJc w:val="left"/>
      <w:pPr>
        <w:ind w:left="1494" w:hanging="360"/>
      </w:pPr>
      <w:rPr>
        <w:rFonts w:ascii="Courier New" w:hAnsi="Courier New" w:cs="Courier New" w:hint="default"/>
      </w:rPr>
    </w:lvl>
    <w:lvl w:ilvl="1" w:tplc="04060003">
      <w:start w:val="1"/>
      <w:numFmt w:val="bullet"/>
      <w:lvlText w:val="o"/>
      <w:lvlJc w:val="left"/>
      <w:pPr>
        <w:ind w:left="2214" w:hanging="360"/>
      </w:pPr>
      <w:rPr>
        <w:rFonts w:ascii="Courier New" w:hAnsi="Courier New" w:cs="Courier New" w:hint="default"/>
      </w:rPr>
    </w:lvl>
    <w:lvl w:ilvl="2" w:tplc="04060005">
      <w:start w:val="1"/>
      <w:numFmt w:val="bullet"/>
      <w:lvlText w:val=""/>
      <w:lvlJc w:val="left"/>
      <w:pPr>
        <w:ind w:left="2934" w:hanging="360"/>
      </w:pPr>
      <w:rPr>
        <w:rFonts w:ascii="Wingdings" w:hAnsi="Wingdings" w:hint="default"/>
      </w:rPr>
    </w:lvl>
    <w:lvl w:ilvl="3" w:tplc="04060001">
      <w:start w:val="1"/>
      <w:numFmt w:val="bullet"/>
      <w:lvlText w:val=""/>
      <w:lvlJc w:val="left"/>
      <w:pPr>
        <w:ind w:left="3654" w:hanging="360"/>
      </w:pPr>
      <w:rPr>
        <w:rFonts w:ascii="Symbol" w:hAnsi="Symbol" w:hint="default"/>
      </w:rPr>
    </w:lvl>
    <w:lvl w:ilvl="4" w:tplc="04060003">
      <w:start w:val="1"/>
      <w:numFmt w:val="bullet"/>
      <w:lvlText w:val="o"/>
      <w:lvlJc w:val="left"/>
      <w:pPr>
        <w:ind w:left="4374" w:hanging="360"/>
      </w:pPr>
      <w:rPr>
        <w:rFonts w:ascii="Courier New" w:hAnsi="Courier New" w:cs="Courier New" w:hint="default"/>
      </w:rPr>
    </w:lvl>
    <w:lvl w:ilvl="5" w:tplc="04060005">
      <w:start w:val="1"/>
      <w:numFmt w:val="bullet"/>
      <w:lvlText w:val=""/>
      <w:lvlJc w:val="left"/>
      <w:pPr>
        <w:ind w:left="5094" w:hanging="360"/>
      </w:pPr>
      <w:rPr>
        <w:rFonts w:ascii="Wingdings" w:hAnsi="Wingdings" w:hint="default"/>
      </w:rPr>
    </w:lvl>
    <w:lvl w:ilvl="6" w:tplc="04060001">
      <w:start w:val="1"/>
      <w:numFmt w:val="bullet"/>
      <w:lvlText w:val=""/>
      <w:lvlJc w:val="left"/>
      <w:pPr>
        <w:ind w:left="5814" w:hanging="360"/>
      </w:pPr>
      <w:rPr>
        <w:rFonts w:ascii="Symbol" w:hAnsi="Symbol" w:hint="default"/>
      </w:rPr>
    </w:lvl>
    <w:lvl w:ilvl="7" w:tplc="04060003">
      <w:start w:val="1"/>
      <w:numFmt w:val="bullet"/>
      <w:lvlText w:val="o"/>
      <w:lvlJc w:val="left"/>
      <w:pPr>
        <w:ind w:left="6534" w:hanging="360"/>
      </w:pPr>
      <w:rPr>
        <w:rFonts w:ascii="Courier New" w:hAnsi="Courier New" w:cs="Courier New" w:hint="default"/>
      </w:rPr>
    </w:lvl>
    <w:lvl w:ilvl="8" w:tplc="04060005">
      <w:start w:val="1"/>
      <w:numFmt w:val="bullet"/>
      <w:lvlText w:val=""/>
      <w:lvlJc w:val="left"/>
      <w:pPr>
        <w:ind w:left="7254" w:hanging="360"/>
      </w:pPr>
      <w:rPr>
        <w:rFonts w:ascii="Wingdings" w:hAnsi="Wingdings" w:hint="default"/>
      </w:rPr>
    </w:lvl>
  </w:abstractNum>
  <w:abstractNum w:abstractNumId="5" w15:restartNumberingAfterBreak="0">
    <w:nsid w:val="27CA3844"/>
    <w:multiLevelType w:val="hybridMultilevel"/>
    <w:tmpl w:val="5CDAAD3A"/>
    <w:lvl w:ilvl="0" w:tplc="04060003">
      <w:start w:val="1"/>
      <w:numFmt w:val="bullet"/>
      <w:lvlText w:val="o"/>
      <w:lvlJc w:val="left"/>
      <w:pPr>
        <w:ind w:left="1433" w:hanging="567"/>
      </w:pPr>
      <w:rPr>
        <w:rFonts w:ascii="Courier New" w:hAnsi="Courier New" w:cs="Courier New" w:hint="default"/>
        <w:w w:val="100"/>
      </w:rPr>
    </w:lvl>
    <w:lvl w:ilvl="1" w:tplc="FFFFFFFF">
      <w:numFmt w:val="bullet"/>
      <w:lvlText w:val="•"/>
      <w:lvlJc w:val="left"/>
      <w:pPr>
        <w:ind w:left="2420" w:hanging="567"/>
      </w:pPr>
    </w:lvl>
    <w:lvl w:ilvl="2" w:tplc="FFFFFFFF">
      <w:numFmt w:val="bullet"/>
      <w:lvlText w:val="•"/>
      <w:lvlJc w:val="left"/>
      <w:pPr>
        <w:ind w:left="3413" w:hanging="567"/>
      </w:pPr>
    </w:lvl>
    <w:lvl w:ilvl="3" w:tplc="FFFFFFFF">
      <w:numFmt w:val="bullet"/>
      <w:lvlText w:val="•"/>
      <w:lvlJc w:val="left"/>
      <w:pPr>
        <w:ind w:left="4405" w:hanging="567"/>
      </w:pPr>
    </w:lvl>
    <w:lvl w:ilvl="4" w:tplc="FFFFFFFF">
      <w:numFmt w:val="bullet"/>
      <w:lvlText w:val="•"/>
      <w:lvlJc w:val="left"/>
      <w:pPr>
        <w:ind w:left="5398" w:hanging="567"/>
      </w:pPr>
    </w:lvl>
    <w:lvl w:ilvl="5" w:tplc="FFFFFFFF">
      <w:numFmt w:val="bullet"/>
      <w:lvlText w:val="•"/>
      <w:lvlJc w:val="left"/>
      <w:pPr>
        <w:ind w:left="6391" w:hanging="567"/>
      </w:pPr>
    </w:lvl>
    <w:lvl w:ilvl="6" w:tplc="FFFFFFFF">
      <w:numFmt w:val="bullet"/>
      <w:lvlText w:val="•"/>
      <w:lvlJc w:val="left"/>
      <w:pPr>
        <w:ind w:left="7383" w:hanging="567"/>
      </w:pPr>
    </w:lvl>
    <w:lvl w:ilvl="7" w:tplc="FFFFFFFF">
      <w:numFmt w:val="bullet"/>
      <w:lvlText w:val="•"/>
      <w:lvlJc w:val="left"/>
      <w:pPr>
        <w:ind w:left="8376" w:hanging="567"/>
      </w:pPr>
    </w:lvl>
    <w:lvl w:ilvl="8" w:tplc="FFFFFFFF">
      <w:numFmt w:val="bullet"/>
      <w:lvlText w:val="•"/>
      <w:lvlJc w:val="left"/>
      <w:pPr>
        <w:ind w:left="9369" w:hanging="567"/>
      </w:pPr>
    </w:lvl>
  </w:abstractNum>
  <w:abstractNum w:abstractNumId="6" w15:restartNumberingAfterBreak="0">
    <w:nsid w:val="2D817617"/>
    <w:multiLevelType w:val="hybridMultilevel"/>
    <w:tmpl w:val="1EB08E1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32D43171"/>
    <w:multiLevelType w:val="hybridMultilevel"/>
    <w:tmpl w:val="EEB6825A"/>
    <w:lvl w:ilvl="0" w:tplc="4904ACDA">
      <w:numFmt w:val="bullet"/>
      <w:lvlText w:val=""/>
      <w:lvlJc w:val="left"/>
      <w:pPr>
        <w:ind w:left="865" w:hanging="567"/>
      </w:pPr>
      <w:rPr>
        <w:w w:val="100"/>
      </w:rPr>
    </w:lvl>
    <w:lvl w:ilvl="1" w:tplc="A84E561C">
      <w:numFmt w:val="bullet"/>
      <w:lvlText w:val="•"/>
      <w:lvlJc w:val="left"/>
      <w:pPr>
        <w:ind w:left="1852" w:hanging="567"/>
      </w:pPr>
    </w:lvl>
    <w:lvl w:ilvl="2" w:tplc="DFC66A3E">
      <w:numFmt w:val="bullet"/>
      <w:lvlText w:val="•"/>
      <w:lvlJc w:val="left"/>
      <w:pPr>
        <w:ind w:left="2845" w:hanging="567"/>
      </w:pPr>
    </w:lvl>
    <w:lvl w:ilvl="3" w:tplc="3F480414">
      <w:numFmt w:val="bullet"/>
      <w:lvlText w:val="•"/>
      <w:lvlJc w:val="left"/>
      <w:pPr>
        <w:ind w:left="3837" w:hanging="567"/>
      </w:pPr>
    </w:lvl>
    <w:lvl w:ilvl="4" w:tplc="BC4E77E6">
      <w:numFmt w:val="bullet"/>
      <w:lvlText w:val="•"/>
      <w:lvlJc w:val="left"/>
      <w:pPr>
        <w:ind w:left="4830" w:hanging="567"/>
      </w:pPr>
    </w:lvl>
    <w:lvl w:ilvl="5" w:tplc="346C7372">
      <w:numFmt w:val="bullet"/>
      <w:lvlText w:val="•"/>
      <w:lvlJc w:val="left"/>
      <w:pPr>
        <w:ind w:left="5823" w:hanging="567"/>
      </w:pPr>
    </w:lvl>
    <w:lvl w:ilvl="6" w:tplc="65FAA0B4">
      <w:numFmt w:val="bullet"/>
      <w:lvlText w:val="•"/>
      <w:lvlJc w:val="left"/>
      <w:pPr>
        <w:ind w:left="6815" w:hanging="567"/>
      </w:pPr>
    </w:lvl>
    <w:lvl w:ilvl="7" w:tplc="A9D49B64">
      <w:numFmt w:val="bullet"/>
      <w:lvlText w:val="•"/>
      <w:lvlJc w:val="left"/>
      <w:pPr>
        <w:ind w:left="7808" w:hanging="567"/>
      </w:pPr>
    </w:lvl>
    <w:lvl w:ilvl="8" w:tplc="DF10F59A">
      <w:numFmt w:val="bullet"/>
      <w:lvlText w:val="•"/>
      <w:lvlJc w:val="left"/>
      <w:pPr>
        <w:ind w:left="8801" w:hanging="567"/>
      </w:pPr>
    </w:lvl>
  </w:abstractNum>
  <w:abstractNum w:abstractNumId="8"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10"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1" w15:restartNumberingAfterBreak="0">
    <w:nsid w:val="42E75ADD"/>
    <w:multiLevelType w:val="multilevel"/>
    <w:tmpl w:val="0F1048C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84D6BD7"/>
    <w:multiLevelType w:val="hybridMultilevel"/>
    <w:tmpl w:val="3E5A693A"/>
    <w:lvl w:ilvl="0" w:tplc="04060001">
      <w:start w:val="1"/>
      <w:numFmt w:val="bullet"/>
      <w:lvlText w:val=""/>
      <w:lvlJc w:val="left"/>
      <w:pPr>
        <w:ind w:left="865" w:hanging="567"/>
      </w:pPr>
      <w:rPr>
        <w:rFonts w:ascii="Symbol" w:hAnsi="Symbol" w:hint="default"/>
        <w:w w:val="100"/>
      </w:rPr>
    </w:lvl>
    <w:lvl w:ilvl="1" w:tplc="F0CEBD40">
      <w:numFmt w:val="bullet"/>
      <w:lvlText w:val="•"/>
      <w:lvlJc w:val="left"/>
      <w:pPr>
        <w:ind w:left="1852" w:hanging="567"/>
      </w:pPr>
    </w:lvl>
    <w:lvl w:ilvl="2" w:tplc="B906B3E4">
      <w:numFmt w:val="bullet"/>
      <w:lvlText w:val="•"/>
      <w:lvlJc w:val="left"/>
      <w:pPr>
        <w:ind w:left="2845" w:hanging="567"/>
      </w:pPr>
    </w:lvl>
    <w:lvl w:ilvl="3" w:tplc="A1804F4A">
      <w:numFmt w:val="bullet"/>
      <w:lvlText w:val="•"/>
      <w:lvlJc w:val="left"/>
      <w:pPr>
        <w:ind w:left="3837" w:hanging="567"/>
      </w:pPr>
    </w:lvl>
    <w:lvl w:ilvl="4" w:tplc="4F725C92">
      <w:numFmt w:val="bullet"/>
      <w:lvlText w:val="•"/>
      <w:lvlJc w:val="left"/>
      <w:pPr>
        <w:ind w:left="4830" w:hanging="567"/>
      </w:pPr>
    </w:lvl>
    <w:lvl w:ilvl="5" w:tplc="C81424AA">
      <w:numFmt w:val="bullet"/>
      <w:lvlText w:val="•"/>
      <w:lvlJc w:val="left"/>
      <w:pPr>
        <w:ind w:left="5823" w:hanging="567"/>
      </w:pPr>
    </w:lvl>
    <w:lvl w:ilvl="6" w:tplc="166EBF2E">
      <w:numFmt w:val="bullet"/>
      <w:lvlText w:val="•"/>
      <w:lvlJc w:val="left"/>
      <w:pPr>
        <w:ind w:left="6815" w:hanging="567"/>
      </w:pPr>
    </w:lvl>
    <w:lvl w:ilvl="7" w:tplc="DC08BA10">
      <w:numFmt w:val="bullet"/>
      <w:lvlText w:val="•"/>
      <w:lvlJc w:val="left"/>
      <w:pPr>
        <w:ind w:left="7808" w:hanging="567"/>
      </w:pPr>
    </w:lvl>
    <w:lvl w:ilvl="8" w:tplc="A794820E">
      <w:numFmt w:val="bullet"/>
      <w:lvlText w:val="•"/>
      <w:lvlJc w:val="left"/>
      <w:pPr>
        <w:ind w:left="8801" w:hanging="567"/>
      </w:pPr>
    </w:lvl>
  </w:abstractNum>
  <w:abstractNum w:abstractNumId="13" w15:restartNumberingAfterBreak="0">
    <w:nsid w:val="507C7BE3"/>
    <w:multiLevelType w:val="multilevel"/>
    <w:tmpl w:val="2ABA71D4"/>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6030555F"/>
    <w:multiLevelType w:val="multilevel"/>
    <w:tmpl w:val="7D0813EC"/>
    <w:lvl w:ilvl="0">
      <w:numFmt w:val="decimal"/>
      <w:lvlText w:val="%1."/>
      <w:lvlJc w:val="left"/>
      <w:pPr>
        <w:tabs>
          <w:tab w:val="num" w:pos="855"/>
        </w:tabs>
        <w:ind w:left="855" w:hanging="855"/>
      </w:pPr>
      <w:rPr>
        <w:rFonts w:hint="default"/>
      </w:rPr>
    </w:lvl>
    <w:lvl w:ilvl="1">
      <w:start w:val="1"/>
      <w:numFmt w:val="decimal"/>
      <w:isLgl/>
      <w:lvlText w:val="%1.%2"/>
      <w:lvlJc w:val="left"/>
      <w:pPr>
        <w:tabs>
          <w:tab w:val="num" w:pos="855"/>
        </w:tabs>
        <w:ind w:left="855"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6C97C3A"/>
    <w:multiLevelType w:val="hybridMultilevel"/>
    <w:tmpl w:val="813E92D0"/>
    <w:lvl w:ilvl="0" w:tplc="04060001">
      <w:start w:val="1"/>
      <w:numFmt w:val="bullet"/>
      <w:lvlText w:val=""/>
      <w:lvlJc w:val="left"/>
      <w:pPr>
        <w:ind w:left="1018" w:hanging="360"/>
      </w:pPr>
      <w:rPr>
        <w:rFonts w:ascii="Symbol" w:hAnsi="Symbol" w:hint="default"/>
      </w:rPr>
    </w:lvl>
    <w:lvl w:ilvl="1" w:tplc="04060003">
      <w:start w:val="1"/>
      <w:numFmt w:val="bullet"/>
      <w:lvlText w:val="o"/>
      <w:lvlJc w:val="left"/>
      <w:pPr>
        <w:ind w:left="1738" w:hanging="360"/>
      </w:pPr>
      <w:rPr>
        <w:rFonts w:ascii="Courier New" w:hAnsi="Courier New" w:cs="Courier New" w:hint="default"/>
      </w:rPr>
    </w:lvl>
    <w:lvl w:ilvl="2" w:tplc="04060005">
      <w:start w:val="1"/>
      <w:numFmt w:val="bullet"/>
      <w:lvlText w:val=""/>
      <w:lvlJc w:val="left"/>
      <w:pPr>
        <w:ind w:left="2458" w:hanging="360"/>
      </w:pPr>
      <w:rPr>
        <w:rFonts w:ascii="Wingdings" w:hAnsi="Wingdings" w:hint="default"/>
      </w:rPr>
    </w:lvl>
    <w:lvl w:ilvl="3" w:tplc="04060001">
      <w:start w:val="1"/>
      <w:numFmt w:val="bullet"/>
      <w:lvlText w:val=""/>
      <w:lvlJc w:val="left"/>
      <w:pPr>
        <w:ind w:left="3178" w:hanging="360"/>
      </w:pPr>
      <w:rPr>
        <w:rFonts w:ascii="Symbol" w:hAnsi="Symbol" w:hint="default"/>
      </w:rPr>
    </w:lvl>
    <w:lvl w:ilvl="4" w:tplc="04060003">
      <w:start w:val="1"/>
      <w:numFmt w:val="bullet"/>
      <w:lvlText w:val="o"/>
      <w:lvlJc w:val="left"/>
      <w:pPr>
        <w:ind w:left="3898" w:hanging="360"/>
      </w:pPr>
      <w:rPr>
        <w:rFonts w:ascii="Courier New" w:hAnsi="Courier New" w:cs="Courier New" w:hint="default"/>
      </w:rPr>
    </w:lvl>
    <w:lvl w:ilvl="5" w:tplc="04060005">
      <w:start w:val="1"/>
      <w:numFmt w:val="bullet"/>
      <w:lvlText w:val=""/>
      <w:lvlJc w:val="left"/>
      <w:pPr>
        <w:ind w:left="4618" w:hanging="360"/>
      </w:pPr>
      <w:rPr>
        <w:rFonts w:ascii="Wingdings" w:hAnsi="Wingdings" w:hint="default"/>
      </w:rPr>
    </w:lvl>
    <w:lvl w:ilvl="6" w:tplc="04060001">
      <w:start w:val="1"/>
      <w:numFmt w:val="bullet"/>
      <w:lvlText w:val=""/>
      <w:lvlJc w:val="left"/>
      <w:pPr>
        <w:ind w:left="5338" w:hanging="360"/>
      </w:pPr>
      <w:rPr>
        <w:rFonts w:ascii="Symbol" w:hAnsi="Symbol" w:hint="default"/>
      </w:rPr>
    </w:lvl>
    <w:lvl w:ilvl="7" w:tplc="04060003">
      <w:start w:val="1"/>
      <w:numFmt w:val="bullet"/>
      <w:lvlText w:val="o"/>
      <w:lvlJc w:val="left"/>
      <w:pPr>
        <w:ind w:left="6058" w:hanging="360"/>
      </w:pPr>
      <w:rPr>
        <w:rFonts w:ascii="Courier New" w:hAnsi="Courier New" w:cs="Courier New" w:hint="default"/>
      </w:rPr>
    </w:lvl>
    <w:lvl w:ilvl="8" w:tplc="04060005">
      <w:start w:val="1"/>
      <w:numFmt w:val="bullet"/>
      <w:lvlText w:val=""/>
      <w:lvlJc w:val="left"/>
      <w:pPr>
        <w:ind w:left="6778"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13"/>
  </w:num>
  <w:num w:numId="9">
    <w:abstractNumId w:val="0"/>
  </w:num>
  <w:num w:numId="10">
    <w:abstractNumId w:val="16"/>
  </w:num>
  <w:num w:numId="11">
    <w:abstractNumId w:val="5"/>
  </w:num>
  <w:num w:numId="12">
    <w:abstractNumId w:val="4"/>
  </w:num>
  <w:num w:numId="13">
    <w:abstractNumId w:val="3"/>
  </w:num>
  <w:num w:numId="14">
    <w:abstractNumId w:val="6"/>
  </w:num>
  <w:num w:numId="15">
    <w:abstractNumId w:val="7"/>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0D5"/>
    <w:rsid w:val="000259B9"/>
    <w:rsid w:val="00041491"/>
    <w:rsid w:val="000433C9"/>
    <w:rsid w:val="00050D16"/>
    <w:rsid w:val="00054DD0"/>
    <w:rsid w:val="00074F2A"/>
    <w:rsid w:val="000A1CA8"/>
    <w:rsid w:val="000A3CE5"/>
    <w:rsid w:val="000A466B"/>
    <w:rsid w:val="000A6289"/>
    <w:rsid w:val="000B058C"/>
    <w:rsid w:val="000B424C"/>
    <w:rsid w:val="000C0122"/>
    <w:rsid w:val="000E4EE6"/>
    <w:rsid w:val="000F525C"/>
    <w:rsid w:val="00120000"/>
    <w:rsid w:val="001454E2"/>
    <w:rsid w:val="001851B3"/>
    <w:rsid w:val="00195BBA"/>
    <w:rsid w:val="001F7B20"/>
    <w:rsid w:val="00206CE8"/>
    <w:rsid w:val="0021526C"/>
    <w:rsid w:val="00251CE5"/>
    <w:rsid w:val="00252A0D"/>
    <w:rsid w:val="00261075"/>
    <w:rsid w:val="002660FE"/>
    <w:rsid w:val="00283A2B"/>
    <w:rsid w:val="0029097C"/>
    <w:rsid w:val="002A03BB"/>
    <w:rsid w:val="002B30AD"/>
    <w:rsid w:val="002C2C01"/>
    <w:rsid w:val="00341677"/>
    <w:rsid w:val="003760D5"/>
    <w:rsid w:val="00394533"/>
    <w:rsid w:val="003A29AE"/>
    <w:rsid w:val="003A32D7"/>
    <w:rsid w:val="003B4074"/>
    <w:rsid w:val="003C769A"/>
    <w:rsid w:val="003F1838"/>
    <w:rsid w:val="00424919"/>
    <w:rsid w:val="0045746C"/>
    <w:rsid w:val="0049104B"/>
    <w:rsid w:val="004A2D78"/>
    <w:rsid w:val="004E3B12"/>
    <w:rsid w:val="00532310"/>
    <w:rsid w:val="00536386"/>
    <w:rsid w:val="00560ECC"/>
    <w:rsid w:val="00565F0F"/>
    <w:rsid w:val="00594A86"/>
    <w:rsid w:val="00596D86"/>
    <w:rsid w:val="005D533F"/>
    <w:rsid w:val="00634EC2"/>
    <w:rsid w:val="0063677C"/>
    <w:rsid w:val="00637F5A"/>
    <w:rsid w:val="006560B1"/>
    <w:rsid w:val="006756DD"/>
    <w:rsid w:val="006B16F7"/>
    <w:rsid w:val="006B7C29"/>
    <w:rsid w:val="006E4A0E"/>
    <w:rsid w:val="006F436A"/>
    <w:rsid w:val="006F4FE6"/>
    <w:rsid w:val="00712401"/>
    <w:rsid w:val="007210FC"/>
    <w:rsid w:val="00737275"/>
    <w:rsid w:val="00740EEC"/>
    <w:rsid w:val="0078011A"/>
    <w:rsid w:val="00782AF4"/>
    <w:rsid w:val="00790EE7"/>
    <w:rsid w:val="007B6649"/>
    <w:rsid w:val="0081546F"/>
    <w:rsid w:val="0082576E"/>
    <w:rsid w:val="0086389E"/>
    <w:rsid w:val="008F799D"/>
    <w:rsid w:val="00907F75"/>
    <w:rsid w:val="0091506D"/>
    <w:rsid w:val="009260DE"/>
    <w:rsid w:val="0093258A"/>
    <w:rsid w:val="009C7BA3"/>
    <w:rsid w:val="009D1F5A"/>
    <w:rsid w:val="009E1CA9"/>
    <w:rsid w:val="00A672FE"/>
    <w:rsid w:val="00B003BF"/>
    <w:rsid w:val="00B373D7"/>
    <w:rsid w:val="00B41049"/>
    <w:rsid w:val="00B47874"/>
    <w:rsid w:val="00B70157"/>
    <w:rsid w:val="00B91099"/>
    <w:rsid w:val="00BB3C53"/>
    <w:rsid w:val="00C36276"/>
    <w:rsid w:val="00C42586"/>
    <w:rsid w:val="00C60CCD"/>
    <w:rsid w:val="00C84483"/>
    <w:rsid w:val="00C95551"/>
    <w:rsid w:val="00CB20D7"/>
    <w:rsid w:val="00CF033A"/>
    <w:rsid w:val="00D020B0"/>
    <w:rsid w:val="00D11748"/>
    <w:rsid w:val="00D366CF"/>
    <w:rsid w:val="00D51284"/>
    <w:rsid w:val="00D92195"/>
    <w:rsid w:val="00E05939"/>
    <w:rsid w:val="00E108AA"/>
    <w:rsid w:val="00E31812"/>
    <w:rsid w:val="00E3749A"/>
    <w:rsid w:val="00E7437F"/>
    <w:rsid w:val="00E865B8"/>
    <w:rsid w:val="00EC0B9B"/>
    <w:rsid w:val="00ED57BC"/>
    <w:rsid w:val="00ED5E9F"/>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A25DDA6-F67F-49C6-9EE5-ED9EABBE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Pladsholdertekst">
    <w:name w:val="Placeholder Text"/>
    <w:basedOn w:val="Standardskrifttypeiafsnit"/>
    <w:uiPriority w:val="99"/>
    <w:semiHidden/>
    <w:rsid w:val="003760D5"/>
    <w:rPr>
      <w:color w:val="808080"/>
    </w:rPr>
  </w:style>
  <w:style w:type="paragraph" w:customStyle="1" w:styleId="Default">
    <w:name w:val="Default"/>
    <w:rsid w:val="003760D5"/>
    <w:pPr>
      <w:autoSpaceDE w:val="0"/>
      <w:autoSpaceDN w:val="0"/>
      <w:adjustRightInd w:val="0"/>
    </w:pPr>
    <w:rPr>
      <w:color w:val="000000"/>
      <w:sz w:val="24"/>
      <w:szCs w:val="24"/>
    </w:rPr>
  </w:style>
  <w:style w:type="character" w:styleId="Hyperlink">
    <w:name w:val="Hyperlink"/>
    <w:uiPriority w:val="99"/>
    <w:rsid w:val="003760D5"/>
    <w:rPr>
      <w:color w:val="0000FF"/>
      <w:u w:val="single"/>
    </w:rPr>
  </w:style>
  <w:style w:type="paragraph" w:styleId="NormalWeb">
    <w:name w:val="Normal (Web)"/>
    <w:basedOn w:val="Normal"/>
    <w:uiPriority w:val="99"/>
    <w:unhideWhenUsed/>
    <w:rsid w:val="003760D5"/>
    <w:pPr>
      <w:spacing w:before="100" w:beforeAutospacing="1" w:after="100" w:afterAutospacing="1"/>
    </w:pPr>
    <w:rPr>
      <w:sz w:val="24"/>
      <w:szCs w:val="24"/>
      <w:lang w:eastAsia="da-DK"/>
    </w:rPr>
  </w:style>
  <w:style w:type="character" w:styleId="Strk">
    <w:name w:val="Strong"/>
    <w:uiPriority w:val="22"/>
    <w:qFormat/>
    <w:rsid w:val="003760D5"/>
    <w:rPr>
      <w:b/>
      <w:bCs/>
      <w:i w:val="0"/>
      <w:iCs w:val="0"/>
    </w:rPr>
  </w:style>
  <w:style w:type="paragraph" w:styleId="Brdtekst">
    <w:name w:val="Body Text"/>
    <w:basedOn w:val="Normal"/>
    <w:link w:val="BrdtekstTegn"/>
    <w:uiPriority w:val="1"/>
    <w:semiHidden/>
    <w:unhideWhenUsed/>
    <w:qFormat/>
    <w:rsid w:val="000433C9"/>
    <w:pPr>
      <w:widowControl w:val="0"/>
      <w:autoSpaceDE w:val="0"/>
      <w:autoSpaceDN w:val="0"/>
    </w:pPr>
    <w:rPr>
      <w:sz w:val="22"/>
      <w:szCs w:val="22"/>
      <w:lang w:val="en-US"/>
    </w:rPr>
  </w:style>
  <w:style w:type="character" w:customStyle="1" w:styleId="BrdtekstTegn">
    <w:name w:val="Brødtekst Tegn"/>
    <w:basedOn w:val="Standardskrifttypeiafsnit"/>
    <w:link w:val="Brdtekst"/>
    <w:uiPriority w:val="1"/>
    <w:semiHidden/>
    <w:rsid w:val="000433C9"/>
    <w:rPr>
      <w:sz w:val="22"/>
      <w:szCs w:val="22"/>
      <w:lang w:val="en-US" w:eastAsia="en-US"/>
    </w:rPr>
  </w:style>
  <w:style w:type="paragraph" w:styleId="Listeafsnit">
    <w:name w:val="List Paragraph"/>
    <w:basedOn w:val="Normal"/>
    <w:uiPriority w:val="1"/>
    <w:qFormat/>
    <w:rsid w:val="000433C9"/>
    <w:pPr>
      <w:widowControl w:val="0"/>
      <w:autoSpaceDE w:val="0"/>
      <w:autoSpaceDN w:val="0"/>
      <w:ind w:left="865" w:hanging="568"/>
    </w:pPr>
    <w:rPr>
      <w:sz w:val="22"/>
      <w:szCs w:val="22"/>
      <w:lang w:val="en-US"/>
    </w:rPr>
  </w:style>
  <w:style w:type="paragraph" w:customStyle="1" w:styleId="TableParagraph">
    <w:name w:val="Table Paragraph"/>
    <w:basedOn w:val="Normal"/>
    <w:uiPriority w:val="1"/>
    <w:qFormat/>
    <w:rsid w:val="000433C9"/>
    <w:pPr>
      <w:widowControl w:val="0"/>
      <w:autoSpaceDE w:val="0"/>
      <w:autoSpaceDN w:val="0"/>
      <w:ind w:left="107"/>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9047">
      <w:bodyDiv w:val="1"/>
      <w:marLeft w:val="0"/>
      <w:marRight w:val="0"/>
      <w:marTop w:val="0"/>
      <w:marBottom w:val="0"/>
      <w:divBdr>
        <w:top w:val="none" w:sz="0" w:space="0" w:color="auto"/>
        <w:left w:val="none" w:sz="0" w:space="0" w:color="auto"/>
        <w:bottom w:val="none" w:sz="0" w:space="0" w:color="auto"/>
        <w:right w:val="none" w:sz="0" w:space="0" w:color="auto"/>
      </w:divBdr>
    </w:div>
    <w:div w:id="126820364">
      <w:bodyDiv w:val="1"/>
      <w:marLeft w:val="0"/>
      <w:marRight w:val="0"/>
      <w:marTop w:val="0"/>
      <w:marBottom w:val="0"/>
      <w:divBdr>
        <w:top w:val="none" w:sz="0" w:space="0" w:color="auto"/>
        <w:left w:val="none" w:sz="0" w:space="0" w:color="auto"/>
        <w:bottom w:val="none" w:sz="0" w:space="0" w:color="auto"/>
        <w:right w:val="none" w:sz="0" w:space="0" w:color="auto"/>
      </w:divBdr>
    </w:div>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208304465">
      <w:bodyDiv w:val="1"/>
      <w:marLeft w:val="0"/>
      <w:marRight w:val="0"/>
      <w:marTop w:val="0"/>
      <w:marBottom w:val="0"/>
      <w:divBdr>
        <w:top w:val="none" w:sz="0" w:space="0" w:color="auto"/>
        <w:left w:val="none" w:sz="0" w:space="0" w:color="auto"/>
        <w:bottom w:val="none" w:sz="0" w:space="0" w:color="auto"/>
        <w:right w:val="none" w:sz="0" w:space="0" w:color="auto"/>
      </w:divBdr>
    </w:div>
    <w:div w:id="253369830">
      <w:bodyDiv w:val="1"/>
      <w:marLeft w:val="0"/>
      <w:marRight w:val="0"/>
      <w:marTop w:val="0"/>
      <w:marBottom w:val="0"/>
      <w:divBdr>
        <w:top w:val="none" w:sz="0" w:space="0" w:color="auto"/>
        <w:left w:val="none" w:sz="0" w:space="0" w:color="auto"/>
        <w:bottom w:val="none" w:sz="0" w:space="0" w:color="auto"/>
        <w:right w:val="none" w:sz="0" w:space="0" w:color="auto"/>
      </w:divBdr>
    </w:div>
    <w:div w:id="263925339">
      <w:bodyDiv w:val="1"/>
      <w:marLeft w:val="0"/>
      <w:marRight w:val="0"/>
      <w:marTop w:val="0"/>
      <w:marBottom w:val="0"/>
      <w:divBdr>
        <w:top w:val="none" w:sz="0" w:space="0" w:color="auto"/>
        <w:left w:val="none" w:sz="0" w:space="0" w:color="auto"/>
        <w:bottom w:val="none" w:sz="0" w:space="0" w:color="auto"/>
        <w:right w:val="none" w:sz="0" w:space="0" w:color="auto"/>
      </w:divBdr>
    </w:div>
    <w:div w:id="281032977">
      <w:bodyDiv w:val="1"/>
      <w:marLeft w:val="0"/>
      <w:marRight w:val="0"/>
      <w:marTop w:val="0"/>
      <w:marBottom w:val="0"/>
      <w:divBdr>
        <w:top w:val="none" w:sz="0" w:space="0" w:color="auto"/>
        <w:left w:val="none" w:sz="0" w:space="0" w:color="auto"/>
        <w:bottom w:val="none" w:sz="0" w:space="0" w:color="auto"/>
        <w:right w:val="none" w:sz="0" w:space="0" w:color="auto"/>
      </w:divBdr>
    </w:div>
    <w:div w:id="292714640">
      <w:bodyDiv w:val="1"/>
      <w:marLeft w:val="0"/>
      <w:marRight w:val="0"/>
      <w:marTop w:val="0"/>
      <w:marBottom w:val="0"/>
      <w:divBdr>
        <w:top w:val="none" w:sz="0" w:space="0" w:color="auto"/>
        <w:left w:val="none" w:sz="0" w:space="0" w:color="auto"/>
        <w:bottom w:val="none" w:sz="0" w:space="0" w:color="auto"/>
        <w:right w:val="none" w:sz="0" w:space="0" w:color="auto"/>
      </w:divBdr>
    </w:div>
    <w:div w:id="899023778">
      <w:bodyDiv w:val="1"/>
      <w:marLeft w:val="0"/>
      <w:marRight w:val="0"/>
      <w:marTop w:val="0"/>
      <w:marBottom w:val="0"/>
      <w:divBdr>
        <w:top w:val="none" w:sz="0" w:space="0" w:color="auto"/>
        <w:left w:val="none" w:sz="0" w:space="0" w:color="auto"/>
        <w:bottom w:val="none" w:sz="0" w:space="0" w:color="auto"/>
        <w:right w:val="none" w:sz="0" w:space="0" w:color="auto"/>
      </w:divBdr>
    </w:div>
    <w:div w:id="907106076">
      <w:bodyDiv w:val="1"/>
      <w:marLeft w:val="0"/>
      <w:marRight w:val="0"/>
      <w:marTop w:val="0"/>
      <w:marBottom w:val="0"/>
      <w:divBdr>
        <w:top w:val="none" w:sz="0" w:space="0" w:color="auto"/>
        <w:left w:val="none" w:sz="0" w:space="0" w:color="auto"/>
        <w:bottom w:val="none" w:sz="0" w:space="0" w:color="auto"/>
        <w:right w:val="none" w:sz="0" w:space="0" w:color="auto"/>
      </w:divBdr>
    </w:div>
    <w:div w:id="1008798883">
      <w:bodyDiv w:val="1"/>
      <w:marLeft w:val="0"/>
      <w:marRight w:val="0"/>
      <w:marTop w:val="0"/>
      <w:marBottom w:val="0"/>
      <w:divBdr>
        <w:top w:val="none" w:sz="0" w:space="0" w:color="auto"/>
        <w:left w:val="none" w:sz="0" w:space="0" w:color="auto"/>
        <w:bottom w:val="none" w:sz="0" w:space="0" w:color="auto"/>
        <w:right w:val="none" w:sz="0" w:space="0" w:color="auto"/>
      </w:divBdr>
    </w:div>
    <w:div w:id="1107963947">
      <w:bodyDiv w:val="1"/>
      <w:marLeft w:val="0"/>
      <w:marRight w:val="0"/>
      <w:marTop w:val="0"/>
      <w:marBottom w:val="0"/>
      <w:divBdr>
        <w:top w:val="none" w:sz="0" w:space="0" w:color="auto"/>
        <w:left w:val="none" w:sz="0" w:space="0" w:color="auto"/>
        <w:bottom w:val="none" w:sz="0" w:space="0" w:color="auto"/>
        <w:right w:val="none" w:sz="0" w:space="0" w:color="auto"/>
      </w:divBdr>
    </w:div>
    <w:div w:id="1244726435">
      <w:bodyDiv w:val="1"/>
      <w:marLeft w:val="0"/>
      <w:marRight w:val="0"/>
      <w:marTop w:val="0"/>
      <w:marBottom w:val="0"/>
      <w:divBdr>
        <w:top w:val="none" w:sz="0" w:space="0" w:color="auto"/>
        <w:left w:val="none" w:sz="0" w:space="0" w:color="auto"/>
        <w:bottom w:val="none" w:sz="0" w:space="0" w:color="auto"/>
        <w:right w:val="none" w:sz="0" w:space="0" w:color="auto"/>
      </w:divBdr>
    </w:div>
    <w:div w:id="1565146057">
      <w:bodyDiv w:val="1"/>
      <w:marLeft w:val="0"/>
      <w:marRight w:val="0"/>
      <w:marTop w:val="0"/>
      <w:marBottom w:val="0"/>
      <w:divBdr>
        <w:top w:val="none" w:sz="0" w:space="0" w:color="auto"/>
        <w:left w:val="none" w:sz="0" w:space="0" w:color="auto"/>
        <w:bottom w:val="none" w:sz="0" w:space="0" w:color="auto"/>
        <w:right w:val="none" w:sz="0" w:space="0" w:color="auto"/>
      </w:divBdr>
    </w:div>
    <w:div w:id="1649632019">
      <w:bodyDiv w:val="1"/>
      <w:marLeft w:val="0"/>
      <w:marRight w:val="0"/>
      <w:marTop w:val="0"/>
      <w:marBottom w:val="0"/>
      <w:divBdr>
        <w:top w:val="none" w:sz="0" w:space="0" w:color="auto"/>
        <w:left w:val="none" w:sz="0" w:space="0" w:color="auto"/>
        <w:bottom w:val="none" w:sz="0" w:space="0" w:color="auto"/>
        <w:right w:val="none" w:sz="0" w:space="0" w:color="auto"/>
      </w:divBdr>
    </w:div>
    <w:div w:id="1657031320">
      <w:bodyDiv w:val="1"/>
      <w:marLeft w:val="0"/>
      <w:marRight w:val="0"/>
      <w:marTop w:val="0"/>
      <w:marBottom w:val="0"/>
      <w:divBdr>
        <w:top w:val="none" w:sz="0" w:space="0" w:color="auto"/>
        <w:left w:val="none" w:sz="0" w:space="0" w:color="auto"/>
        <w:bottom w:val="none" w:sz="0" w:space="0" w:color="auto"/>
        <w:right w:val="none" w:sz="0" w:space="0" w:color="auto"/>
      </w:divBdr>
    </w:div>
    <w:div w:id="1671982372">
      <w:bodyDiv w:val="1"/>
      <w:marLeft w:val="0"/>
      <w:marRight w:val="0"/>
      <w:marTop w:val="0"/>
      <w:marBottom w:val="0"/>
      <w:divBdr>
        <w:top w:val="none" w:sz="0" w:space="0" w:color="auto"/>
        <w:left w:val="none" w:sz="0" w:space="0" w:color="auto"/>
        <w:bottom w:val="none" w:sz="0" w:space="0" w:color="auto"/>
        <w:right w:val="none" w:sz="0" w:space="0" w:color="auto"/>
      </w:divBdr>
    </w:div>
    <w:div w:id="1676422388">
      <w:bodyDiv w:val="1"/>
      <w:marLeft w:val="0"/>
      <w:marRight w:val="0"/>
      <w:marTop w:val="0"/>
      <w:marBottom w:val="0"/>
      <w:divBdr>
        <w:top w:val="none" w:sz="0" w:space="0" w:color="auto"/>
        <w:left w:val="none" w:sz="0" w:space="0" w:color="auto"/>
        <w:bottom w:val="none" w:sz="0" w:space="0" w:color="auto"/>
        <w:right w:val="none" w:sz="0" w:space="0" w:color="auto"/>
      </w:divBdr>
    </w:div>
    <w:div w:id="1727490522">
      <w:bodyDiv w:val="1"/>
      <w:marLeft w:val="0"/>
      <w:marRight w:val="0"/>
      <w:marTop w:val="0"/>
      <w:marBottom w:val="0"/>
      <w:divBdr>
        <w:top w:val="none" w:sz="0" w:space="0" w:color="auto"/>
        <w:left w:val="none" w:sz="0" w:space="0" w:color="auto"/>
        <w:bottom w:val="none" w:sz="0" w:space="0" w:color="auto"/>
        <w:right w:val="none" w:sz="0" w:space="0" w:color="auto"/>
      </w:divBdr>
    </w:div>
    <w:div w:id="2028092727">
      <w:bodyDiv w:val="1"/>
      <w:marLeft w:val="0"/>
      <w:marRight w:val="0"/>
      <w:marTop w:val="0"/>
      <w:marBottom w:val="0"/>
      <w:divBdr>
        <w:top w:val="none" w:sz="0" w:space="0" w:color="auto"/>
        <w:left w:val="none" w:sz="0" w:space="0" w:color="auto"/>
        <w:bottom w:val="none" w:sz="0" w:space="0" w:color="auto"/>
        <w:right w:val="none" w:sz="0" w:space="0" w:color="auto"/>
      </w:divBdr>
      <w:divsChild>
        <w:div w:id="868106161">
          <w:marLeft w:val="0"/>
          <w:marRight w:val="0"/>
          <w:marTop w:val="0"/>
          <w:marBottom w:val="0"/>
          <w:divBdr>
            <w:top w:val="none" w:sz="0" w:space="0" w:color="auto"/>
            <w:left w:val="none" w:sz="0" w:space="0" w:color="auto"/>
            <w:bottom w:val="none" w:sz="0" w:space="0" w:color="auto"/>
            <w:right w:val="none" w:sz="0" w:space="0" w:color="auto"/>
          </w:divBdr>
          <w:divsChild>
            <w:div w:id="11944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577">
      <w:bodyDiv w:val="1"/>
      <w:marLeft w:val="0"/>
      <w:marRight w:val="0"/>
      <w:marTop w:val="0"/>
      <w:marBottom w:val="0"/>
      <w:divBdr>
        <w:top w:val="none" w:sz="0" w:space="0" w:color="auto"/>
        <w:left w:val="none" w:sz="0" w:space="0" w:color="auto"/>
        <w:bottom w:val="none" w:sz="0" w:space="0" w:color="auto"/>
        <w:right w:val="none" w:sz="0" w:space="0" w:color="auto"/>
      </w:divBdr>
    </w:div>
    <w:div w:id="2079397387">
      <w:bodyDiv w:val="1"/>
      <w:marLeft w:val="0"/>
      <w:marRight w:val="0"/>
      <w:marTop w:val="0"/>
      <w:marBottom w:val="0"/>
      <w:divBdr>
        <w:top w:val="none" w:sz="0" w:space="0" w:color="auto"/>
        <w:left w:val="none" w:sz="0" w:space="0" w:color="auto"/>
        <w:bottom w:val="none" w:sz="0" w:space="0" w:color="auto"/>
        <w:right w:val="none" w:sz="0" w:space="0" w:color="auto"/>
      </w:divBdr>
    </w:div>
    <w:div w:id="213490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13475</Words>
  <Characters>86656</Characters>
  <Application>Microsoft Office Word</Application>
  <DocSecurity>0</DocSecurity>
  <Lines>722</Lines>
  <Paragraphs>199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Alexandra Ringgaard</dc:creator>
  <cp:keywords/>
  <dc:description>2024041311_x000d_
SPC pkt. 4.1, 4.2, 4.4, 4.5, 4.6, 4.8, 4.9. 5.1 5.2 og 5.3</dc:description>
  <cp:lastModifiedBy>Victoria Alexsandra Ringgaard</cp:lastModifiedBy>
  <cp:revision>4</cp:revision>
  <cp:lastPrinted>2012-08-22T08:53:00Z</cp:lastPrinted>
  <dcterms:created xsi:type="dcterms:W3CDTF">2025-01-31T13:57:00Z</dcterms:created>
  <dcterms:modified xsi:type="dcterms:W3CDTF">2025-02-04T11:48:00Z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