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D40D8" w14:textId="77777777" w:rsidR="009260DE" w:rsidRPr="00D941B8" w:rsidRDefault="0021526C" w:rsidP="009260DE">
      <w:pPr>
        <w:rPr>
          <w:sz w:val="24"/>
          <w:szCs w:val="24"/>
        </w:rPr>
      </w:pPr>
      <w:bookmarkStart w:id="0" w:name="_GoBack"/>
      <w:bookmarkEnd w:id="0"/>
      <w:r w:rsidRPr="00D941B8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67313C54" wp14:editId="66E4465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D941B8">
        <w:rPr>
          <w:sz w:val="24"/>
          <w:szCs w:val="24"/>
        </w:rPr>
        <w:br w:type="textWrapping" w:clear="all"/>
      </w:r>
    </w:p>
    <w:p w14:paraId="0FEF2156" w14:textId="2FB42F6A" w:rsidR="009260DE" w:rsidRPr="00D941B8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D941B8">
        <w:rPr>
          <w:b w:val="0"/>
          <w:szCs w:val="24"/>
          <w:lang w:eastAsia="en-US"/>
        </w:rPr>
        <w:tab/>
      </w:r>
      <w:r w:rsidR="006251D6">
        <w:rPr>
          <w:szCs w:val="24"/>
        </w:rPr>
        <w:t>10. september 2021</w:t>
      </w:r>
    </w:p>
    <w:p w14:paraId="63DE9BCF" w14:textId="77777777" w:rsidR="009260DE" w:rsidRPr="00D941B8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6E0C3D8C" w14:textId="77777777" w:rsidR="009260DE" w:rsidRPr="00D941B8" w:rsidRDefault="009260DE" w:rsidP="009260DE">
      <w:pPr>
        <w:pStyle w:val="Titel"/>
        <w:jc w:val="left"/>
        <w:rPr>
          <w:b w:val="0"/>
          <w:szCs w:val="24"/>
        </w:rPr>
      </w:pPr>
    </w:p>
    <w:p w14:paraId="66A20C88" w14:textId="77777777" w:rsidR="009260DE" w:rsidRPr="00D941B8" w:rsidRDefault="009260DE" w:rsidP="009260DE">
      <w:pPr>
        <w:pStyle w:val="Titel"/>
        <w:jc w:val="left"/>
        <w:rPr>
          <w:b w:val="0"/>
          <w:szCs w:val="24"/>
        </w:rPr>
      </w:pPr>
    </w:p>
    <w:p w14:paraId="71C7B42A" w14:textId="77777777" w:rsidR="009260DE" w:rsidRPr="00D941B8" w:rsidRDefault="009260DE" w:rsidP="009260DE">
      <w:pPr>
        <w:jc w:val="center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PRODUKTRESUMÉ</w:t>
      </w:r>
    </w:p>
    <w:p w14:paraId="1557ABA4" w14:textId="77777777" w:rsidR="009260DE" w:rsidRPr="00D941B8" w:rsidRDefault="009260DE" w:rsidP="009260DE">
      <w:pPr>
        <w:jc w:val="center"/>
        <w:rPr>
          <w:b/>
          <w:sz w:val="24"/>
          <w:szCs w:val="24"/>
        </w:rPr>
      </w:pPr>
    </w:p>
    <w:p w14:paraId="5F607A22" w14:textId="77777777" w:rsidR="009260DE" w:rsidRPr="00D941B8" w:rsidRDefault="009260DE" w:rsidP="009260DE">
      <w:pPr>
        <w:jc w:val="center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for</w:t>
      </w:r>
    </w:p>
    <w:p w14:paraId="133A561A" w14:textId="77777777" w:rsidR="000B058C" w:rsidRPr="00D941B8" w:rsidRDefault="000B058C" w:rsidP="009260DE">
      <w:pPr>
        <w:jc w:val="center"/>
        <w:rPr>
          <w:b/>
          <w:sz w:val="24"/>
          <w:szCs w:val="24"/>
        </w:rPr>
      </w:pPr>
    </w:p>
    <w:p w14:paraId="4005DE90" w14:textId="1F813B8A" w:rsidR="009260DE" w:rsidRPr="00D941B8" w:rsidRDefault="00D64E04" w:rsidP="009260DE">
      <w:pPr>
        <w:jc w:val="center"/>
        <w:rPr>
          <w:b/>
          <w:sz w:val="24"/>
          <w:szCs w:val="24"/>
        </w:rPr>
      </w:pPr>
      <w:proofErr w:type="spellStart"/>
      <w:r w:rsidRPr="00D941B8">
        <w:rPr>
          <w:b/>
          <w:sz w:val="24"/>
          <w:szCs w:val="24"/>
        </w:rPr>
        <w:t>Fedivelle</w:t>
      </w:r>
      <w:proofErr w:type="spellEnd"/>
      <w:r w:rsidRPr="00D941B8">
        <w:rPr>
          <w:b/>
          <w:sz w:val="24"/>
          <w:szCs w:val="24"/>
        </w:rPr>
        <w:t>, bløde kapsler</w:t>
      </w:r>
    </w:p>
    <w:p w14:paraId="3C382037" w14:textId="77777777" w:rsidR="009260DE" w:rsidRPr="00D941B8" w:rsidRDefault="009260DE" w:rsidP="009260DE">
      <w:pPr>
        <w:jc w:val="both"/>
        <w:rPr>
          <w:sz w:val="24"/>
          <w:szCs w:val="24"/>
        </w:rPr>
      </w:pPr>
    </w:p>
    <w:p w14:paraId="5038B905" w14:textId="77777777" w:rsidR="009260DE" w:rsidRPr="00D941B8" w:rsidRDefault="009260DE" w:rsidP="009260DE">
      <w:pPr>
        <w:jc w:val="both"/>
        <w:rPr>
          <w:sz w:val="24"/>
          <w:szCs w:val="24"/>
        </w:rPr>
      </w:pPr>
    </w:p>
    <w:p w14:paraId="2B1EC2E5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0.</w:t>
      </w:r>
      <w:r w:rsidRPr="00D941B8">
        <w:rPr>
          <w:b/>
          <w:sz w:val="24"/>
          <w:szCs w:val="24"/>
        </w:rPr>
        <w:tab/>
        <w:t>D.SP.NR.</w:t>
      </w:r>
    </w:p>
    <w:p w14:paraId="56278902" w14:textId="7BDEF692" w:rsidR="009260DE" w:rsidRPr="00D941B8" w:rsidRDefault="00D64E04" w:rsidP="009260DE">
      <w:pPr>
        <w:tabs>
          <w:tab w:val="left" w:pos="851"/>
        </w:tabs>
        <w:ind w:left="851"/>
        <w:rPr>
          <w:sz w:val="24"/>
          <w:szCs w:val="24"/>
        </w:rPr>
      </w:pPr>
      <w:r w:rsidRPr="00D941B8">
        <w:rPr>
          <w:sz w:val="24"/>
          <w:szCs w:val="24"/>
        </w:rPr>
        <w:t>32046</w:t>
      </w:r>
    </w:p>
    <w:p w14:paraId="45BFE5F2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E5550B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1.</w:t>
      </w:r>
      <w:r w:rsidRPr="00D941B8">
        <w:rPr>
          <w:b/>
          <w:sz w:val="24"/>
          <w:szCs w:val="24"/>
        </w:rPr>
        <w:tab/>
        <w:t>LÆGEMIDLETS NAVN</w:t>
      </w:r>
    </w:p>
    <w:p w14:paraId="11FC88ED" w14:textId="05303272" w:rsidR="009260DE" w:rsidRPr="00D941B8" w:rsidRDefault="005D37B2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Fedivelle</w:t>
      </w:r>
      <w:proofErr w:type="spellEnd"/>
    </w:p>
    <w:p w14:paraId="201D9E60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519E25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2.</w:t>
      </w:r>
      <w:r w:rsidRPr="00D941B8">
        <w:rPr>
          <w:b/>
          <w:sz w:val="24"/>
          <w:szCs w:val="24"/>
        </w:rPr>
        <w:tab/>
        <w:t>KVALITATIV OG KVANTITATIV SAMMENSÆTNING</w:t>
      </w:r>
    </w:p>
    <w:p w14:paraId="791F8DF0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Hver blød kapsel indeholder:</w:t>
      </w:r>
    </w:p>
    <w:p w14:paraId="4A9536E9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500 mikrogram </w:t>
      </w:r>
      <w:proofErr w:type="spellStart"/>
      <w:r w:rsidRPr="00D941B8">
        <w:rPr>
          <w:sz w:val="24"/>
          <w:szCs w:val="24"/>
        </w:rPr>
        <w:t>cholecalciferol</w:t>
      </w:r>
      <w:proofErr w:type="spellEnd"/>
      <w:r w:rsidRPr="00D941B8">
        <w:rPr>
          <w:sz w:val="24"/>
          <w:szCs w:val="24"/>
        </w:rPr>
        <w:t xml:space="preserve"> (D3-vitamin, svarende til 20.000 IE).</w:t>
      </w:r>
    </w:p>
    <w:p w14:paraId="596852E6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12411B9F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Hjælpestof, som behandleren skal være opmærksom på: Sorbitol (E 420) 4,8 mg.</w:t>
      </w:r>
    </w:p>
    <w:p w14:paraId="66CD62F9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705ADDD8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Alle hjælpestoffer er anført under pkt. 6.1.</w:t>
      </w:r>
    </w:p>
    <w:p w14:paraId="50D02E3A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D8A44CE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3.</w:t>
      </w:r>
      <w:r w:rsidRPr="00D941B8">
        <w:rPr>
          <w:b/>
          <w:sz w:val="24"/>
          <w:szCs w:val="24"/>
        </w:rPr>
        <w:tab/>
        <w:t>LÆGEMIDDELFORM</w:t>
      </w:r>
    </w:p>
    <w:p w14:paraId="68BC73FF" w14:textId="3EC59852" w:rsidR="0071348D" w:rsidRPr="00D941B8" w:rsidRDefault="0071348D" w:rsidP="00362CE1">
      <w:pPr>
        <w:suppressAutoHyphens/>
        <w:ind w:left="851"/>
        <w:rPr>
          <w:sz w:val="24"/>
          <w:szCs w:val="24"/>
        </w:rPr>
      </w:pPr>
      <w:r w:rsidRPr="00D941B8">
        <w:rPr>
          <w:sz w:val="24"/>
          <w:szCs w:val="24"/>
        </w:rPr>
        <w:t>Blød</w:t>
      </w:r>
      <w:r w:rsidR="00F4631C" w:rsidRPr="00D941B8">
        <w:rPr>
          <w:sz w:val="24"/>
          <w:szCs w:val="24"/>
        </w:rPr>
        <w:t>e</w:t>
      </w:r>
      <w:r w:rsidRPr="00D941B8">
        <w:rPr>
          <w:sz w:val="24"/>
          <w:szCs w:val="24"/>
        </w:rPr>
        <w:t xml:space="preserve"> kaps</w:t>
      </w:r>
      <w:r w:rsidR="00F4631C" w:rsidRPr="00D941B8">
        <w:rPr>
          <w:sz w:val="24"/>
          <w:szCs w:val="24"/>
        </w:rPr>
        <w:t>ler</w:t>
      </w:r>
      <w:r w:rsidRPr="00D941B8">
        <w:rPr>
          <w:sz w:val="24"/>
          <w:szCs w:val="24"/>
        </w:rPr>
        <w:t xml:space="preserve"> (Kapsel)</w:t>
      </w:r>
    </w:p>
    <w:p w14:paraId="20BAF3CD" w14:textId="77777777" w:rsidR="0071348D" w:rsidRPr="00D941B8" w:rsidRDefault="0071348D" w:rsidP="00362CE1">
      <w:pPr>
        <w:suppressAutoHyphens/>
        <w:ind w:left="851"/>
        <w:rPr>
          <w:sz w:val="24"/>
          <w:szCs w:val="24"/>
        </w:rPr>
      </w:pPr>
    </w:p>
    <w:p w14:paraId="3F27C41B" w14:textId="77777777" w:rsidR="0071348D" w:rsidRPr="00D941B8" w:rsidRDefault="0071348D" w:rsidP="00362CE1">
      <w:pPr>
        <w:suppressAutoHyphens/>
        <w:ind w:left="851"/>
        <w:rPr>
          <w:sz w:val="24"/>
          <w:szCs w:val="24"/>
        </w:rPr>
      </w:pPr>
      <w:r w:rsidRPr="00D941B8">
        <w:rPr>
          <w:sz w:val="24"/>
          <w:szCs w:val="24"/>
        </w:rPr>
        <w:t>Lysegul, gennemsigtig, rund, blød gelatinekapsel indeholdende klar og farveløs væske.</w:t>
      </w:r>
    </w:p>
    <w:p w14:paraId="739B2855" w14:textId="77777777" w:rsidR="0071348D" w:rsidRPr="00D941B8" w:rsidRDefault="0071348D" w:rsidP="00362CE1">
      <w:pPr>
        <w:suppressAutoHyphens/>
        <w:ind w:left="851"/>
        <w:rPr>
          <w:sz w:val="24"/>
          <w:szCs w:val="24"/>
        </w:rPr>
      </w:pPr>
      <w:r w:rsidRPr="00D941B8">
        <w:rPr>
          <w:sz w:val="24"/>
          <w:szCs w:val="24"/>
        </w:rPr>
        <w:t>Størrelse: Cirka 3,00 mm.</w:t>
      </w:r>
    </w:p>
    <w:p w14:paraId="3A720B21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21D2B2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09CCB1B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4.</w:t>
      </w:r>
      <w:r w:rsidRPr="00D941B8">
        <w:rPr>
          <w:b/>
          <w:sz w:val="24"/>
          <w:szCs w:val="24"/>
        </w:rPr>
        <w:tab/>
        <w:t>KLINISKE OPLYSNINGER</w:t>
      </w:r>
    </w:p>
    <w:p w14:paraId="7A28BFD8" w14:textId="77777777" w:rsidR="009260DE" w:rsidRPr="00D941B8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0854B709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D941B8">
        <w:rPr>
          <w:b/>
          <w:sz w:val="24"/>
          <w:szCs w:val="24"/>
        </w:rPr>
        <w:t>4.1</w:t>
      </w:r>
      <w:r w:rsidRPr="00D941B8">
        <w:rPr>
          <w:b/>
          <w:sz w:val="24"/>
          <w:szCs w:val="24"/>
        </w:rPr>
        <w:tab/>
        <w:t>Terapeutiske indikationer</w:t>
      </w:r>
    </w:p>
    <w:p w14:paraId="268377FA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Initial behandling af D-vitaminmangel hos voksne.</w:t>
      </w:r>
    </w:p>
    <w:p w14:paraId="1C9E81C5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07E53524" w14:textId="77777777" w:rsidR="0071348D" w:rsidRPr="00D941B8" w:rsidRDefault="0071348D" w:rsidP="00362CE1">
      <w:pPr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Fedivelle</w:t>
      </w:r>
      <w:proofErr w:type="spellEnd"/>
      <w:r w:rsidRPr="00D941B8">
        <w:rPr>
          <w:sz w:val="24"/>
          <w:szCs w:val="24"/>
        </w:rPr>
        <w:t xml:space="preserve"> er indiceret til brug hos voksne.</w:t>
      </w:r>
    </w:p>
    <w:p w14:paraId="23A4BC52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1D95110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4.2</w:t>
      </w:r>
      <w:r w:rsidRPr="00D941B8">
        <w:rPr>
          <w:b/>
          <w:sz w:val="24"/>
          <w:szCs w:val="24"/>
        </w:rPr>
        <w:tab/>
        <w:t>Dosering og indgivelsesmåde</w:t>
      </w:r>
    </w:p>
    <w:p w14:paraId="63C3236A" w14:textId="77777777" w:rsidR="00D941B8" w:rsidRDefault="00D941B8" w:rsidP="00362CE1">
      <w:pPr>
        <w:ind w:left="851"/>
        <w:rPr>
          <w:sz w:val="24"/>
          <w:szCs w:val="24"/>
        </w:rPr>
      </w:pPr>
    </w:p>
    <w:p w14:paraId="544C17E2" w14:textId="0CF31040" w:rsidR="0071348D" w:rsidRPr="00D32F82" w:rsidRDefault="0071348D" w:rsidP="00362CE1">
      <w:pPr>
        <w:ind w:left="851"/>
        <w:rPr>
          <w:b/>
          <w:i/>
          <w:sz w:val="24"/>
          <w:szCs w:val="24"/>
        </w:rPr>
      </w:pPr>
      <w:r w:rsidRPr="00D32F82">
        <w:rPr>
          <w:b/>
          <w:i/>
          <w:sz w:val="24"/>
          <w:szCs w:val="24"/>
        </w:rPr>
        <w:t>Dosering</w:t>
      </w:r>
    </w:p>
    <w:p w14:paraId="063D2C32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73D52DA3" w14:textId="77777777" w:rsidR="0071348D" w:rsidRPr="00D32F82" w:rsidRDefault="0071348D" w:rsidP="00362CE1">
      <w:pPr>
        <w:ind w:left="851"/>
        <w:rPr>
          <w:i/>
          <w:sz w:val="24"/>
          <w:szCs w:val="24"/>
          <w:u w:val="single"/>
        </w:rPr>
      </w:pPr>
      <w:r w:rsidRPr="00D32F82">
        <w:rPr>
          <w:i/>
          <w:sz w:val="24"/>
          <w:szCs w:val="24"/>
          <w:u w:val="single"/>
        </w:rPr>
        <w:t>Voksne</w:t>
      </w:r>
    </w:p>
    <w:p w14:paraId="5444BE40" w14:textId="77777777" w:rsidR="0071348D" w:rsidRPr="00D32F82" w:rsidRDefault="0071348D" w:rsidP="00D32F82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D32F82">
        <w:rPr>
          <w:sz w:val="24"/>
          <w:szCs w:val="24"/>
        </w:rPr>
        <w:t>Behandling af D-vitaminmangel (serumniveauer &lt; 25 nmol/l eller &lt; 10 </w:t>
      </w:r>
      <w:proofErr w:type="spellStart"/>
      <w:r w:rsidRPr="00D32F82">
        <w:rPr>
          <w:sz w:val="24"/>
          <w:szCs w:val="24"/>
        </w:rPr>
        <w:t>ng</w:t>
      </w:r>
      <w:proofErr w:type="spellEnd"/>
      <w:r w:rsidRPr="00D32F82">
        <w:rPr>
          <w:sz w:val="24"/>
          <w:szCs w:val="24"/>
        </w:rPr>
        <w:t>/ml): 1 blød kapsel én gang ugentligt (svarende til 20.000 IE eller 500 mikrogram/uge).</w:t>
      </w:r>
    </w:p>
    <w:p w14:paraId="6C4376C9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7330FF8B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Behandlingsvarigheden afhænger af sygdomsforløbet.</w:t>
      </w:r>
    </w:p>
    <w:p w14:paraId="39C86185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Det kan overvejes at nedsætte dosis efter den første måneds behandling.</w:t>
      </w:r>
    </w:p>
    <w:p w14:paraId="5752060E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Højere doser bør justeres afhængigt af de ønskede serumniveauer af 25</w:t>
      </w:r>
      <w:r w:rsidRPr="00D941B8">
        <w:rPr>
          <w:sz w:val="24"/>
          <w:szCs w:val="24"/>
        </w:rPr>
        <w:noBreakHyphen/>
        <w:t>hydroxycholecalcificol (25(OH)D), sygdommens sværhedsgrad og patientens respons på behandlingen. Dosis skal tilrettelægges individuelt af en læge.</w:t>
      </w:r>
    </w:p>
    <w:p w14:paraId="00BF1FA8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3F2E17F8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Alternativt kan de nationale doseringsanbefalinger for forebyggelse og behandling af D</w:t>
      </w:r>
      <w:r w:rsidRPr="00D941B8">
        <w:rPr>
          <w:sz w:val="24"/>
          <w:szCs w:val="24"/>
        </w:rPr>
        <w:noBreakHyphen/>
        <w:t>vitaminmangel følges.</w:t>
      </w:r>
    </w:p>
    <w:p w14:paraId="665A57D0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32E7C03F" w14:textId="77777777" w:rsidR="0071348D" w:rsidRPr="00D32F82" w:rsidRDefault="0071348D" w:rsidP="00362CE1">
      <w:pPr>
        <w:ind w:left="851"/>
        <w:rPr>
          <w:sz w:val="24"/>
          <w:szCs w:val="24"/>
          <w:u w:val="single"/>
        </w:rPr>
      </w:pPr>
      <w:r w:rsidRPr="00D32F82">
        <w:rPr>
          <w:sz w:val="24"/>
          <w:szCs w:val="24"/>
          <w:u w:val="single"/>
        </w:rPr>
        <w:t>Særlige populationer</w:t>
      </w:r>
    </w:p>
    <w:p w14:paraId="7FC70A1F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11DC5448" w14:textId="77777777" w:rsidR="0071348D" w:rsidRPr="00D32F82" w:rsidRDefault="0071348D" w:rsidP="00362CE1">
      <w:pPr>
        <w:ind w:left="851"/>
        <w:rPr>
          <w:i/>
          <w:sz w:val="24"/>
          <w:szCs w:val="24"/>
        </w:rPr>
      </w:pPr>
      <w:r w:rsidRPr="00D32F82">
        <w:rPr>
          <w:i/>
          <w:sz w:val="24"/>
          <w:szCs w:val="24"/>
        </w:rPr>
        <w:t>Nedsat leverfunktion</w:t>
      </w:r>
    </w:p>
    <w:p w14:paraId="4C99FBF0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Dosisjustering er ikke nødvendig hos patienter med nedsat leverfunktion.</w:t>
      </w:r>
    </w:p>
    <w:p w14:paraId="4A62FF5A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52EAFF61" w14:textId="77777777" w:rsidR="0071348D" w:rsidRPr="00D32F82" w:rsidRDefault="0071348D" w:rsidP="00362CE1">
      <w:pPr>
        <w:ind w:left="851"/>
        <w:rPr>
          <w:i/>
          <w:sz w:val="24"/>
          <w:szCs w:val="24"/>
        </w:rPr>
      </w:pPr>
      <w:r w:rsidRPr="00D32F82">
        <w:rPr>
          <w:i/>
          <w:sz w:val="24"/>
          <w:szCs w:val="24"/>
        </w:rPr>
        <w:t>Nedsat nyrefunktion</w:t>
      </w:r>
    </w:p>
    <w:p w14:paraId="1C54045B" w14:textId="77777777" w:rsidR="0071348D" w:rsidRPr="00D941B8" w:rsidRDefault="0071348D" w:rsidP="00362CE1">
      <w:pPr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Fedivelle</w:t>
      </w:r>
      <w:proofErr w:type="spellEnd"/>
      <w:r w:rsidRPr="00D941B8">
        <w:rPr>
          <w:sz w:val="24"/>
          <w:szCs w:val="24"/>
        </w:rPr>
        <w:t xml:space="preserve"> må ikke anvendes til patienter med svært nedsat nyrefunktion (se pkt. 4.3).</w:t>
      </w:r>
    </w:p>
    <w:p w14:paraId="5E37E1E9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Virkningen på calcium-og fosfatbalancen bør overvåges hos patienter med nedsat nyrefunktion, der får behandling med </w:t>
      </w:r>
      <w:proofErr w:type="spellStart"/>
      <w:r w:rsidRPr="00D941B8">
        <w:rPr>
          <w:sz w:val="24"/>
          <w:szCs w:val="24"/>
        </w:rPr>
        <w:t>Fedivelle</w:t>
      </w:r>
      <w:proofErr w:type="spellEnd"/>
      <w:r w:rsidRPr="00D941B8">
        <w:rPr>
          <w:sz w:val="24"/>
          <w:szCs w:val="24"/>
        </w:rPr>
        <w:t>.</w:t>
      </w:r>
    </w:p>
    <w:p w14:paraId="20E29318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2F31C554" w14:textId="77777777" w:rsidR="0071348D" w:rsidRPr="00D32F82" w:rsidRDefault="0071348D" w:rsidP="00362CE1">
      <w:pPr>
        <w:ind w:left="851"/>
        <w:rPr>
          <w:i/>
          <w:sz w:val="24"/>
          <w:szCs w:val="24"/>
        </w:rPr>
      </w:pPr>
      <w:r w:rsidRPr="00D32F82">
        <w:rPr>
          <w:i/>
          <w:sz w:val="24"/>
          <w:szCs w:val="24"/>
        </w:rPr>
        <w:t>Pædiatrisk population</w:t>
      </w:r>
    </w:p>
    <w:p w14:paraId="236BF78B" w14:textId="77777777" w:rsidR="0071348D" w:rsidRPr="00D941B8" w:rsidRDefault="0071348D" w:rsidP="00362CE1">
      <w:pPr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Fedivelle</w:t>
      </w:r>
      <w:proofErr w:type="spellEnd"/>
      <w:r w:rsidRPr="00D941B8">
        <w:rPr>
          <w:sz w:val="24"/>
          <w:szCs w:val="24"/>
        </w:rPr>
        <w:t xml:space="preserve"> sikkerhed og virkning hos børn og unge under 18 år er endnu ikke klarlagt og det anbefales ikke til denne aldersgruppe.</w:t>
      </w:r>
    </w:p>
    <w:p w14:paraId="000442AD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3E7E9CA6" w14:textId="77777777" w:rsidR="0071348D" w:rsidRPr="00D32F82" w:rsidRDefault="0071348D" w:rsidP="00362CE1">
      <w:pPr>
        <w:ind w:left="851"/>
        <w:rPr>
          <w:b/>
          <w:i/>
          <w:sz w:val="24"/>
          <w:szCs w:val="24"/>
        </w:rPr>
      </w:pPr>
      <w:r w:rsidRPr="00D32F82">
        <w:rPr>
          <w:b/>
          <w:i/>
          <w:sz w:val="24"/>
          <w:szCs w:val="24"/>
        </w:rPr>
        <w:t>Administration</w:t>
      </w:r>
    </w:p>
    <w:p w14:paraId="1A4C4FD2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Oral anvendelse.</w:t>
      </w:r>
    </w:p>
    <w:p w14:paraId="7C9EDF83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75F19594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Må ikke tygges. Kapslerne skal sluges hele med vand og helst sammen med hovedmåltidet.</w:t>
      </w:r>
    </w:p>
    <w:p w14:paraId="50044BAC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Behandlingsvarigheden er normalt begrænset til 4 uger afhængigt af lægens beslutning.</w:t>
      </w:r>
    </w:p>
    <w:p w14:paraId="7EDD4BE4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B57603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4.3</w:t>
      </w:r>
      <w:r w:rsidRPr="00D941B8">
        <w:rPr>
          <w:b/>
          <w:sz w:val="24"/>
          <w:szCs w:val="24"/>
        </w:rPr>
        <w:tab/>
        <w:t>Kontraindikationer</w:t>
      </w:r>
    </w:p>
    <w:p w14:paraId="131D1C4C" w14:textId="77777777" w:rsidR="0071348D" w:rsidRPr="00D941B8" w:rsidRDefault="0071348D" w:rsidP="00362CE1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D941B8">
        <w:rPr>
          <w:sz w:val="24"/>
          <w:szCs w:val="24"/>
        </w:rPr>
        <w:t>Overfølsomhed over for det aktive stof (</w:t>
      </w:r>
      <w:proofErr w:type="spellStart"/>
      <w:r w:rsidRPr="00D941B8">
        <w:rPr>
          <w:sz w:val="24"/>
          <w:szCs w:val="24"/>
        </w:rPr>
        <w:t>cholecalciferol</w:t>
      </w:r>
      <w:proofErr w:type="spellEnd"/>
      <w:r w:rsidRPr="00D941B8">
        <w:rPr>
          <w:sz w:val="24"/>
          <w:szCs w:val="24"/>
        </w:rPr>
        <w:t>) eller over for et eller flere af hjælpestofferne anført i pkt. 6.1.</w:t>
      </w:r>
    </w:p>
    <w:p w14:paraId="5ED34375" w14:textId="77777777" w:rsidR="0071348D" w:rsidRPr="00D941B8" w:rsidRDefault="0071348D" w:rsidP="00362CE1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Hypercalcæmi</w:t>
      </w:r>
      <w:proofErr w:type="spellEnd"/>
      <w:r w:rsidRPr="00D941B8">
        <w:rPr>
          <w:sz w:val="24"/>
          <w:szCs w:val="24"/>
        </w:rPr>
        <w:t xml:space="preserve"> og/eller </w:t>
      </w:r>
      <w:proofErr w:type="spellStart"/>
      <w:r w:rsidRPr="00D941B8">
        <w:rPr>
          <w:sz w:val="24"/>
          <w:szCs w:val="24"/>
        </w:rPr>
        <w:t>hypercalciuri</w:t>
      </w:r>
      <w:proofErr w:type="spellEnd"/>
      <w:r w:rsidRPr="00D941B8">
        <w:rPr>
          <w:sz w:val="24"/>
          <w:szCs w:val="24"/>
        </w:rPr>
        <w:t>.</w:t>
      </w:r>
    </w:p>
    <w:p w14:paraId="69CFD404" w14:textId="77777777" w:rsidR="0071348D" w:rsidRPr="00D941B8" w:rsidRDefault="0071348D" w:rsidP="00362CE1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Nephrolithiasis</w:t>
      </w:r>
      <w:proofErr w:type="spellEnd"/>
      <w:r w:rsidRPr="00D941B8">
        <w:rPr>
          <w:sz w:val="24"/>
          <w:szCs w:val="24"/>
        </w:rPr>
        <w:t xml:space="preserve"> (nyresten).</w:t>
      </w:r>
    </w:p>
    <w:p w14:paraId="65058899" w14:textId="77777777" w:rsidR="0071348D" w:rsidRPr="00D941B8" w:rsidRDefault="0071348D" w:rsidP="00362CE1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Pseudohypoparathyroidisme</w:t>
      </w:r>
      <w:proofErr w:type="spellEnd"/>
      <w:r w:rsidRPr="00D941B8">
        <w:rPr>
          <w:sz w:val="24"/>
          <w:szCs w:val="24"/>
        </w:rPr>
        <w:t xml:space="preserve"> (D-vitaminbehovet kan være nedsat på grund af den lejlighedsvise normale følsomhed over for D-vitamin, med risiko for overdosering ved langvarig brug). I sådanne tilfælde er andre D-vitaminbehandlinger tilgængelige.</w:t>
      </w:r>
    </w:p>
    <w:p w14:paraId="20564C0C" w14:textId="77777777" w:rsidR="0071348D" w:rsidRPr="00D941B8" w:rsidRDefault="0071348D" w:rsidP="00362CE1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Hypervitaminose</w:t>
      </w:r>
      <w:proofErr w:type="spellEnd"/>
      <w:r w:rsidRPr="00D941B8">
        <w:rPr>
          <w:sz w:val="24"/>
          <w:szCs w:val="24"/>
        </w:rPr>
        <w:t xml:space="preserve"> D.</w:t>
      </w:r>
    </w:p>
    <w:p w14:paraId="29B02281" w14:textId="77777777" w:rsidR="0071348D" w:rsidRPr="00D941B8" w:rsidRDefault="0071348D" w:rsidP="00362CE1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Nephrocalcinosis</w:t>
      </w:r>
      <w:proofErr w:type="spellEnd"/>
      <w:r w:rsidRPr="00D941B8">
        <w:rPr>
          <w:sz w:val="24"/>
          <w:szCs w:val="24"/>
        </w:rPr>
        <w:t>.</w:t>
      </w:r>
    </w:p>
    <w:p w14:paraId="652886E7" w14:textId="77777777" w:rsidR="0071348D" w:rsidRPr="00D941B8" w:rsidRDefault="0071348D" w:rsidP="00362CE1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D941B8">
        <w:rPr>
          <w:sz w:val="24"/>
          <w:szCs w:val="24"/>
        </w:rPr>
        <w:t>Svært nedsat nyrefunktion.</w:t>
      </w:r>
    </w:p>
    <w:p w14:paraId="5ECC362A" w14:textId="77777777" w:rsidR="0071348D" w:rsidRPr="00D941B8" w:rsidRDefault="0071348D" w:rsidP="00362CE1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D941B8">
        <w:rPr>
          <w:sz w:val="24"/>
          <w:szCs w:val="24"/>
        </w:rPr>
        <w:t>Samtidig indtag af andre lægemidler, der indeholder D-vitamin.</w:t>
      </w:r>
    </w:p>
    <w:p w14:paraId="4FBFE258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F5B2682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4.4</w:t>
      </w:r>
      <w:r w:rsidRPr="00D941B8">
        <w:rPr>
          <w:b/>
          <w:sz w:val="24"/>
          <w:szCs w:val="24"/>
        </w:rPr>
        <w:tab/>
        <w:t>Særlige advarsler og forsigtighedsregler vedrørende brugen</w:t>
      </w:r>
    </w:p>
    <w:p w14:paraId="2630960F" w14:textId="77777777" w:rsidR="0071348D" w:rsidRPr="00D941B8" w:rsidRDefault="0071348D" w:rsidP="00362CE1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Fedivelle</w:t>
      </w:r>
      <w:proofErr w:type="spellEnd"/>
      <w:r w:rsidRPr="00D941B8">
        <w:rPr>
          <w:sz w:val="24"/>
          <w:szCs w:val="24"/>
        </w:rPr>
        <w:t xml:space="preserve"> bør ikke anvendes, hvis der er tendens til at danne calciumholdige nyresten.</w:t>
      </w:r>
    </w:p>
    <w:p w14:paraId="30F988D4" w14:textId="77777777" w:rsidR="0071348D" w:rsidRPr="00D941B8" w:rsidRDefault="0071348D" w:rsidP="00362CE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7002FC83" w14:textId="77777777" w:rsidR="0071348D" w:rsidRPr="00D941B8" w:rsidRDefault="0071348D" w:rsidP="00362CE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1B8">
        <w:rPr>
          <w:sz w:val="24"/>
          <w:szCs w:val="24"/>
        </w:rPr>
        <w:t>Nyrefunktion</w:t>
      </w:r>
    </w:p>
    <w:p w14:paraId="3D9E2314" w14:textId="77777777" w:rsidR="0071348D" w:rsidRPr="00D941B8" w:rsidRDefault="0071348D" w:rsidP="00362CE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Serumcalciumniveauet bør følges og nyrefunktionen bør overvåges ved målinger af </w:t>
      </w:r>
      <w:proofErr w:type="spellStart"/>
      <w:r w:rsidRPr="00D941B8">
        <w:rPr>
          <w:sz w:val="24"/>
          <w:szCs w:val="24"/>
        </w:rPr>
        <w:t>serumkreatinin</w:t>
      </w:r>
      <w:proofErr w:type="spellEnd"/>
      <w:r w:rsidRPr="00D941B8">
        <w:rPr>
          <w:sz w:val="24"/>
          <w:szCs w:val="24"/>
        </w:rPr>
        <w:t xml:space="preserve"> under langtidsbehandling med D-vitamin. Overvågning er især vigtig hos ældre patienter i samtidig behandling med hjerteglykosider eller </w:t>
      </w:r>
      <w:proofErr w:type="spellStart"/>
      <w:r w:rsidRPr="00D941B8">
        <w:rPr>
          <w:sz w:val="24"/>
          <w:szCs w:val="24"/>
        </w:rPr>
        <w:t>diuretika</w:t>
      </w:r>
      <w:proofErr w:type="spellEnd"/>
      <w:r w:rsidRPr="00D941B8">
        <w:rPr>
          <w:sz w:val="24"/>
          <w:szCs w:val="24"/>
        </w:rPr>
        <w:t xml:space="preserve"> (se pkt. 4.5) og i tilfælde af </w:t>
      </w:r>
      <w:proofErr w:type="spellStart"/>
      <w:r w:rsidRPr="00D941B8">
        <w:rPr>
          <w:sz w:val="24"/>
          <w:szCs w:val="24"/>
        </w:rPr>
        <w:t>hyperfosfatæmi</w:t>
      </w:r>
      <w:proofErr w:type="spellEnd"/>
      <w:r w:rsidRPr="00D941B8">
        <w:rPr>
          <w:sz w:val="24"/>
          <w:szCs w:val="24"/>
        </w:rPr>
        <w:t xml:space="preserve">, samt hos patienter med øget risiko for </w:t>
      </w:r>
      <w:proofErr w:type="spellStart"/>
      <w:r w:rsidRPr="00D941B8">
        <w:rPr>
          <w:sz w:val="24"/>
          <w:szCs w:val="24"/>
        </w:rPr>
        <w:t>lithiasis</w:t>
      </w:r>
      <w:proofErr w:type="spellEnd"/>
      <w:r w:rsidRPr="00D941B8">
        <w:rPr>
          <w:sz w:val="24"/>
          <w:szCs w:val="24"/>
        </w:rPr>
        <w:t>.</w:t>
      </w:r>
    </w:p>
    <w:p w14:paraId="76B488E9" w14:textId="77777777" w:rsidR="0071348D" w:rsidRPr="00D941B8" w:rsidRDefault="0071348D" w:rsidP="00362CE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06F539E6" w14:textId="77777777" w:rsidR="0071348D" w:rsidRPr="00D941B8" w:rsidRDefault="0071348D" w:rsidP="00362CE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I tilfælde af </w:t>
      </w:r>
      <w:proofErr w:type="spellStart"/>
      <w:r w:rsidRPr="00D941B8">
        <w:rPr>
          <w:sz w:val="24"/>
          <w:szCs w:val="24"/>
        </w:rPr>
        <w:t>hypercalciuri</w:t>
      </w:r>
      <w:proofErr w:type="spellEnd"/>
      <w:r w:rsidRPr="00D941B8">
        <w:rPr>
          <w:sz w:val="24"/>
          <w:szCs w:val="24"/>
        </w:rPr>
        <w:t xml:space="preserve"> (som overstiger 300 mg/24 timer eller 7.5 mmol/24 timer) skal behandlingen stoppes. Hvis der ses tegn på nedsat nyrefunktion, bør dosis nedsættes eller behandlingen seponeres.</w:t>
      </w:r>
    </w:p>
    <w:p w14:paraId="08BAEBB9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05F1D068" w14:textId="77777777" w:rsidR="0071348D" w:rsidRPr="00D941B8" w:rsidRDefault="0071348D" w:rsidP="00362CE1">
      <w:pPr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Fedivelle</w:t>
      </w:r>
      <w:proofErr w:type="spellEnd"/>
      <w:r w:rsidRPr="00D941B8">
        <w:rPr>
          <w:sz w:val="24"/>
          <w:szCs w:val="24"/>
        </w:rPr>
        <w:t xml:space="preserve"> bør anvendes med forsigtighed til patienter med nedsat nyrefunktion og indvirkningen på calcium- og fosfatniveauet bør overvåges. Risikoen for forkalkning af bindevæv skal tages i betragtning.</w:t>
      </w:r>
    </w:p>
    <w:p w14:paraId="28D4E21A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09F2BB64" w14:textId="77777777" w:rsidR="0071348D" w:rsidRPr="00D941B8" w:rsidRDefault="0071348D" w:rsidP="00362CE1">
      <w:pPr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Sarkoidose</w:t>
      </w:r>
      <w:proofErr w:type="spellEnd"/>
    </w:p>
    <w:p w14:paraId="400BAACB" w14:textId="77777777" w:rsidR="0071348D" w:rsidRPr="00D941B8" w:rsidRDefault="0071348D" w:rsidP="00362CE1">
      <w:pPr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Fedivelle</w:t>
      </w:r>
      <w:proofErr w:type="spellEnd"/>
      <w:r w:rsidRPr="00D941B8">
        <w:rPr>
          <w:sz w:val="24"/>
          <w:szCs w:val="24"/>
        </w:rPr>
        <w:t xml:space="preserve"> bør ordineres med forsigtighed til patienter, der lider af </w:t>
      </w:r>
      <w:proofErr w:type="spellStart"/>
      <w:r w:rsidRPr="00D941B8">
        <w:rPr>
          <w:sz w:val="24"/>
          <w:szCs w:val="24"/>
        </w:rPr>
        <w:t>sarkoidose</w:t>
      </w:r>
      <w:proofErr w:type="spellEnd"/>
      <w:r w:rsidRPr="00D941B8">
        <w:rPr>
          <w:sz w:val="24"/>
          <w:szCs w:val="24"/>
        </w:rPr>
        <w:t xml:space="preserve">, på grund af risikoen for øget </w:t>
      </w:r>
      <w:proofErr w:type="spellStart"/>
      <w:r w:rsidRPr="00D941B8">
        <w:rPr>
          <w:sz w:val="24"/>
          <w:szCs w:val="24"/>
        </w:rPr>
        <w:t>metabolisering</w:t>
      </w:r>
      <w:proofErr w:type="spellEnd"/>
      <w:r w:rsidRPr="00D941B8">
        <w:rPr>
          <w:sz w:val="24"/>
          <w:szCs w:val="24"/>
        </w:rPr>
        <w:t xml:space="preserve"> af D-vitamin til dets aktive form. Disse patienter bør overvåges i forhold til calciumindholdet i serum og urin.</w:t>
      </w:r>
    </w:p>
    <w:p w14:paraId="1AA401D1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20E68120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Patientens D-vitamin-status bør nøje kontrolleres af lægen, før behandling med D-vitamin initieres. Fødevarer, der er beriget med D-vitamin, bør også tages i betragtning. Indtag af D-vitamintilskud fra andre kilder er kontraindiceret (se pkt. 4.3).</w:t>
      </w:r>
    </w:p>
    <w:p w14:paraId="45F46611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4BFC71EB" w14:textId="77777777" w:rsidR="0071348D" w:rsidRPr="00D941B8" w:rsidRDefault="0071348D" w:rsidP="00362CE1">
      <w:pPr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Fedivelle</w:t>
      </w:r>
      <w:proofErr w:type="spellEnd"/>
      <w:r w:rsidRPr="00D941B8">
        <w:rPr>
          <w:sz w:val="24"/>
          <w:szCs w:val="24"/>
        </w:rPr>
        <w:t xml:space="preserve"> indeholder sorbitol. Dette lægemiddel indeholder 4,8 mg sorbitol pr. kapsel.</w:t>
      </w:r>
    </w:p>
    <w:p w14:paraId="2EAB12BF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73FB0313" w14:textId="77777777" w:rsidR="0071348D" w:rsidRPr="00D941B8" w:rsidRDefault="0071348D" w:rsidP="00362CE1">
      <w:pPr>
        <w:ind w:left="851"/>
        <w:rPr>
          <w:b/>
          <w:bCs/>
          <w:sz w:val="24"/>
          <w:szCs w:val="24"/>
        </w:rPr>
      </w:pPr>
      <w:r w:rsidRPr="00D941B8">
        <w:rPr>
          <w:b/>
          <w:bCs/>
          <w:sz w:val="24"/>
          <w:szCs w:val="24"/>
        </w:rPr>
        <w:t>Pædiatrisk population</w:t>
      </w:r>
    </w:p>
    <w:p w14:paraId="7FB1D9FF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Der er ingen tilgængelige studier hos den pædiatriske population.</w:t>
      </w:r>
    </w:p>
    <w:p w14:paraId="722B6176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46EDF2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4.5</w:t>
      </w:r>
      <w:r w:rsidRPr="00D941B8">
        <w:rPr>
          <w:b/>
          <w:sz w:val="24"/>
          <w:szCs w:val="24"/>
        </w:rPr>
        <w:tab/>
        <w:t>Interaktion med andre lægemidler og andre former for interaktion</w:t>
      </w:r>
    </w:p>
    <w:p w14:paraId="42DD5D71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Samtidig brug af calciumholdige lægemidler, der administreres i store doser, kan øge risikoen for </w:t>
      </w:r>
      <w:proofErr w:type="spellStart"/>
      <w:r w:rsidRPr="00D941B8">
        <w:rPr>
          <w:sz w:val="24"/>
          <w:szCs w:val="24"/>
        </w:rPr>
        <w:t>hypercalcæmi</w:t>
      </w:r>
      <w:proofErr w:type="spellEnd"/>
      <w:r w:rsidRPr="00D941B8">
        <w:rPr>
          <w:sz w:val="24"/>
          <w:szCs w:val="24"/>
        </w:rPr>
        <w:t>.</w:t>
      </w:r>
    </w:p>
    <w:p w14:paraId="415682C1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2EE303A0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Hjerteglykosider</w:t>
      </w:r>
    </w:p>
    <w:p w14:paraId="560EDEF9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I tilfælde af behandling med lægemidler, der indeholder digitalis eller andre hjerteglykosider, kan administrationen af D-vitamin øge risikoen for digitalisforgiftning (</w:t>
      </w:r>
      <w:proofErr w:type="spellStart"/>
      <w:r w:rsidRPr="00D941B8">
        <w:rPr>
          <w:sz w:val="24"/>
          <w:szCs w:val="24"/>
        </w:rPr>
        <w:t>arytmi</w:t>
      </w:r>
      <w:proofErr w:type="spellEnd"/>
      <w:r w:rsidRPr="00D941B8">
        <w:rPr>
          <w:sz w:val="24"/>
          <w:szCs w:val="24"/>
        </w:rPr>
        <w:t>). Tæt medicinsk overvågning er nødvendig, og overvågning af EKG og calcium kan også være nødvendigt.</w:t>
      </w:r>
    </w:p>
    <w:p w14:paraId="138CEC19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204A354E" w14:textId="77777777" w:rsidR="0071348D" w:rsidRPr="00D941B8" w:rsidRDefault="0071348D" w:rsidP="00362CE1">
      <w:pPr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Thiazid-diuretika</w:t>
      </w:r>
      <w:proofErr w:type="spellEnd"/>
    </w:p>
    <w:p w14:paraId="59EBA9FB" w14:textId="77777777" w:rsidR="0071348D" w:rsidRPr="00D941B8" w:rsidRDefault="0071348D" w:rsidP="00362CE1">
      <w:pPr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Thiazid-diuretika</w:t>
      </w:r>
      <w:proofErr w:type="spellEnd"/>
      <w:r w:rsidRPr="00D941B8">
        <w:rPr>
          <w:sz w:val="24"/>
          <w:szCs w:val="24"/>
        </w:rPr>
        <w:t xml:space="preserve"> nedsætter udskillelsen af calcium via urinen. På grund af den øgede risiko for </w:t>
      </w:r>
      <w:proofErr w:type="spellStart"/>
      <w:r w:rsidRPr="00D941B8">
        <w:rPr>
          <w:sz w:val="24"/>
          <w:szCs w:val="24"/>
        </w:rPr>
        <w:t>hypercalcæmi</w:t>
      </w:r>
      <w:proofErr w:type="spellEnd"/>
      <w:r w:rsidRPr="00D941B8">
        <w:rPr>
          <w:sz w:val="24"/>
          <w:szCs w:val="24"/>
        </w:rPr>
        <w:t xml:space="preserve"> bør serumcalcium måles regelmæssigt ved samtidig behandling med </w:t>
      </w:r>
      <w:proofErr w:type="spellStart"/>
      <w:r w:rsidRPr="00D941B8">
        <w:rPr>
          <w:sz w:val="24"/>
          <w:szCs w:val="24"/>
        </w:rPr>
        <w:t>thiazid-diuretika</w:t>
      </w:r>
      <w:proofErr w:type="spellEnd"/>
      <w:r w:rsidRPr="00D941B8">
        <w:rPr>
          <w:sz w:val="24"/>
          <w:szCs w:val="24"/>
        </w:rPr>
        <w:t>.</w:t>
      </w:r>
    </w:p>
    <w:p w14:paraId="40E4E850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28B10EA5" w14:textId="77777777" w:rsidR="0071348D" w:rsidRPr="00D941B8" w:rsidRDefault="0071348D" w:rsidP="00362CE1">
      <w:pPr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Phenytoin</w:t>
      </w:r>
      <w:proofErr w:type="spellEnd"/>
      <w:r w:rsidRPr="00D941B8">
        <w:rPr>
          <w:sz w:val="24"/>
          <w:szCs w:val="24"/>
        </w:rPr>
        <w:t xml:space="preserve"> eller barbiturater</w:t>
      </w:r>
    </w:p>
    <w:p w14:paraId="2B8B91A8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Samtidig behandling med </w:t>
      </w:r>
      <w:proofErr w:type="spellStart"/>
      <w:r w:rsidRPr="00D941B8">
        <w:rPr>
          <w:sz w:val="24"/>
          <w:szCs w:val="24"/>
        </w:rPr>
        <w:t>phenytoin</w:t>
      </w:r>
      <w:proofErr w:type="spellEnd"/>
      <w:r w:rsidRPr="00D941B8">
        <w:rPr>
          <w:sz w:val="24"/>
          <w:szCs w:val="24"/>
        </w:rPr>
        <w:t xml:space="preserve"> eller barbiturater kan nedsætte virkningen af D-vitamin, da </w:t>
      </w:r>
      <w:proofErr w:type="spellStart"/>
      <w:r w:rsidRPr="00D941B8">
        <w:rPr>
          <w:sz w:val="24"/>
          <w:szCs w:val="24"/>
        </w:rPr>
        <w:t>metaboliseringen</w:t>
      </w:r>
      <w:proofErr w:type="spellEnd"/>
      <w:r w:rsidRPr="00D941B8">
        <w:rPr>
          <w:sz w:val="24"/>
          <w:szCs w:val="24"/>
        </w:rPr>
        <w:t xml:space="preserve"> øges.</w:t>
      </w:r>
    </w:p>
    <w:p w14:paraId="245F98F9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027C521E" w14:textId="77777777" w:rsidR="0071348D" w:rsidRPr="00D941B8" w:rsidRDefault="0071348D" w:rsidP="00362CE1">
      <w:pPr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Rifampicin</w:t>
      </w:r>
      <w:proofErr w:type="spellEnd"/>
      <w:r w:rsidRPr="00D941B8">
        <w:rPr>
          <w:sz w:val="24"/>
          <w:szCs w:val="24"/>
        </w:rPr>
        <w:t xml:space="preserve"> og </w:t>
      </w:r>
      <w:proofErr w:type="spellStart"/>
      <w:r w:rsidRPr="00D941B8">
        <w:rPr>
          <w:sz w:val="24"/>
          <w:szCs w:val="24"/>
        </w:rPr>
        <w:t>isoniazid</w:t>
      </w:r>
      <w:proofErr w:type="spellEnd"/>
    </w:p>
    <w:p w14:paraId="7666EB36" w14:textId="77777777" w:rsidR="0071348D" w:rsidRPr="00D941B8" w:rsidRDefault="0071348D" w:rsidP="00362CE1">
      <w:pPr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Rifampicin</w:t>
      </w:r>
      <w:proofErr w:type="spellEnd"/>
      <w:r w:rsidRPr="00D941B8">
        <w:rPr>
          <w:sz w:val="24"/>
          <w:szCs w:val="24"/>
        </w:rPr>
        <w:t xml:space="preserve"> og </w:t>
      </w:r>
      <w:proofErr w:type="spellStart"/>
      <w:r w:rsidRPr="00D941B8">
        <w:rPr>
          <w:sz w:val="24"/>
          <w:szCs w:val="24"/>
        </w:rPr>
        <w:t>isoniazid</w:t>
      </w:r>
      <w:proofErr w:type="spellEnd"/>
      <w:r w:rsidRPr="00D941B8">
        <w:rPr>
          <w:sz w:val="24"/>
          <w:szCs w:val="24"/>
        </w:rPr>
        <w:t xml:space="preserve"> kan nedsætte virkningen af </w:t>
      </w:r>
      <w:proofErr w:type="spellStart"/>
      <w:r w:rsidRPr="00D941B8">
        <w:rPr>
          <w:sz w:val="24"/>
          <w:szCs w:val="24"/>
        </w:rPr>
        <w:t>cholecalciferol</w:t>
      </w:r>
      <w:proofErr w:type="spellEnd"/>
      <w:r w:rsidRPr="00D941B8">
        <w:rPr>
          <w:sz w:val="24"/>
          <w:szCs w:val="24"/>
        </w:rPr>
        <w:t xml:space="preserve"> på grund af den øgede </w:t>
      </w:r>
      <w:proofErr w:type="spellStart"/>
      <w:r w:rsidRPr="00D941B8">
        <w:rPr>
          <w:sz w:val="24"/>
          <w:szCs w:val="24"/>
        </w:rPr>
        <w:t>metabolisering</w:t>
      </w:r>
      <w:proofErr w:type="spellEnd"/>
      <w:r w:rsidRPr="00D941B8">
        <w:rPr>
          <w:sz w:val="24"/>
          <w:szCs w:val="24"/>
        </w:rPr>
        <w:t xml:space="preserve"> af D-vitamin.</w:t>
      </w:r>
    </w:p>
    <w:p w14:paraId="655A7E2A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5BA6F24A" w14:textId="77777777" w:rsidR="0071348D" w:rsidRPr="00D941B8" w:rsidRDefault="0071348D" w:rsidP="00362CE1">
      <w:pPr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Ionbytningsresiner</w:t>
      </w:r>
      <w:proofErr w:type="spellEnd"/>
    </w:p>
    <w:p w14:paraId="2EA9E357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Samtidig behandling med </w:t>
      </w:r>
      <w:proofErr w:type="spellStart"/>
      <w:r w:rsidRPr="00D941B8">
        <w:rPr>
          <w:sz w:val="24"/>
          <w:szCs w:val="24"/>
        </w:rPr>
        <w:t>ionbytningsresiner</w:t>
      </w:r>
      <w:proofErr w:type="spellEnd"/>
      <w:r w:rsidRPr="00D941B8">
        <w:rPr>
          <w:sz w:val="24"/>
          <w:szCs w:val="24"/>
        </w:rPr>
        <w:t xml:space="preserve"> (f.eks. </w:t>
      </w:r>
      <w:proofErr w:type="spellStart"/>
      <w:r w:rsidRPr="00D941B8">
        <w:rPr>
          <w:sz w:val="24"/>
          <w:szCs w:val="24"/>
        </w:rPr>
        <w:t>cholestyramin</w:t>
      </w:r>
      <w:proofErr w:type="spellEnd"/>
      <w:r w:rsidRPr="00D941B8">
        <w:rPr>
          <w:sz w:val="24"/>
          <w:szCs w:val="24"/>
        </w:rPr>
        <w:t xml:space="preserve">, </w:t>
      </w:r>
      <w:proofErr w:type="spellStart"/>
      <w:r w:rsidRPr="00D941B8">
        <w:rPr>
          <w:sz w:val="24"/>
          <w:szCs w:val="24"/>
        </w:rPr>
        <w:t>orlistat</w:t>
      </w:r>
      <w:proofErr w:type="spellEnd"/>
      <w:r w:rsidRPr="00D941B8">
        <w:rPr>
          <w:sz w:val="24"/>
          <w:szCs w:val="24"/>
        </w:rPr>
        <w:t xml:space="preserve">) eller </w:t>
      </w:r>
      <w:proofErr w:type="spellStart"/>
      <w:r w:rsidRPr="00D941B8">
        <w:rPr>
          <w:sz w:val="24"/>
          <w:szCs w:val="24"/>
        </w:rPr>
        <w:t>laksantia</w:t>
      </w:r>
      <w:proofErr w:type="spellEnd"/>
      <w:r w:rsidRPr="00D941B8">
        <w:rPr>
          <w:sz w:val="24"/>
          <w:szCs w:val="24"/>
        </w:rPr>
        <w:t xml:space="preserve"> (f.eks. paraffinolie) kan nedsætte den </w:t>
      </w:r>
      <w:proofErr w:type="spellStart"/>
      <w:r w:rsidRPr="00D941B8">
        <w:rPr>
          <w:sz w:val="24"/>
          <w:szCs w:val="24"/>
        </w:rPr>
        <w:t>gastrointestinale</w:t>
      </w:r>
      <w:proofErr w:type="spellEnd"/>
      <w:r w:rsidRPr="00D941B8">
        <w:rPr>
          <w:sz w:val="24"/>
          <w:szCs w:val="24"/>
        </w:rPr>
        <w:t xml:space="preserve"> absorption af D-vitamin.</w:t>
      </w:r>
    </w:p>
    <w:p w14:paraId="46834E02" w14:textId="6B558080" w:rsidR="005D638E" w:rsidRDefault="005D638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2F9FA4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36546E8E" w14:textId="77777777" w:rsidR="0071348D" w:rsidRPr="00D941B8" w:rsidRDefault="0071348D" w:rsidP="00362CE1">
      <w:pPr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Antacida</w:t>
      </w:r>
      <w:proofErr w:type="spellEnd"/>
    </w:p>
    <w:p w14:paraId="60221088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Lægemidler, der indeholder magnesium (som </w:t>
      </w:r>
      <w:proofErr w:type="spellStart"/>
      <w:r w:rsidRPr="00D941B8">
        <w:rPr>
          <w:sz w:val="24"/>
          <w:szCs w:val="24"/>
        </w:rPr>
        <w:t>antacida</w:t>
      </w:r>
      <w:proofErr w:type="spellEnd"/>
      <w:r w:rsidRPr="00D941B8">
        <w:rPr>
          <w:sz w:val="24"/>
          <w:szCs w:val="24"/>
        </w:rPr>
        <w:t xml:space="preserve">), bør ikke tages under behandlingen med D-vitamin på grund af risikoen for </w:t>
      </w:r>
      <w:proofErr w:type="spellStart"/>
      <w:r w:rsidRPr="00D941B8">
        <w:rPr>
          <w:sz w:val="24"/>
          <w:szCs w:val="24"/>
        </w:rPr>
        <w:t>hypermagnesiæmi</w:t>
      </w:r>
      <w:proofErr w:type="spellEnd"/>
      <w:r w:rsidRPr="00D941B8">
        <w:rPr>
          <w:sz w:val="24"/>
          <w:szCs w:val="24"/>
        </w:rPr>
        <w:t>.</w:t>
      </w:r>
    </w:p>
    <w:p w14:paraId="15E10E2C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75E95C83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Lægemidler, der indeholder fosfor</w:t>
      </w:r>
    </w:p>
    <w:p w14:paraId="148F0614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Samtidig behandling med lægemidler, der indeholder fosfor, og som anvendes i store doser, kan øge risikoen for </w:t>
      </w:r>
      <w:proofErr w:type="spellStart"/>
      <w:r w:rsidRPr="00D941B8">
        <w:rPr>
          <w:sz w:val="24"/>
          <w:szCs w:val="24"/>
        </w:rPr>
        <w:t>hyperfosfatæmi</w:t>
      </w:r>
      <w:proofErr w:type="spellEnd"/>
      <w:r w:rsidRPr="00D941B8">
        <w:rPr>
          <w:sz w:val="24"/>
          <w:szCs w:val="24"/>
        </w:rPr>
        <w:t>.</w:t>
      </w:r>
    </w:p>
    <w:p w14:paraId="4DE8E3BD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7A75A585" w14:textId="77777777" w:rsidR="0071348D" w:rsidRPr="00D941B8" w:rsidRDefault="0071348D" w:rsidP="00362CE1">
      <w:pPr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Antifungale</w:t>
      </w:r>
      <w:proofErr w:type="spellEnd"/>
      <w:r w:rsidRPr="00D941B8">
        <w:rPr>
          <w:sz w:val="24"/>
          <w:szCs w:val="24"/>
        </w:rPr>
        <w:t xml:space="preserve"> og </w:t>
      </w:r>
      <w:proofErr w:type="spellStart"/>
      <w:r w:rsidRPr="00D941B8">
        <w:rPr>
          <w:sz w:val="24"/>
          <w:szCs w:val="24"/>
        </w:rPr>
        <w:t>cytotiksiske</w:t>
      </w:r>
      <w:proofErr w:type="spellEnd"/>
      <w:r w:rsidRPr="00D941B8">
        <w:rPr>
          <w:sz w:val="24"/>
          <w:szCs w:val="24"/>
        </w:rPr>
        <w:t xml:space="preserve"> midler</w:t>
      </w:r>
    </w:p>
    <w:p w14:paraId="0E5BD3AF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Det </w:t>
      </w:r>
      <w:proofErr w:type="spellStart"/>
      <w:r w:rsidRPr="00D941B8">
        <w:rPr>
          <w:sz w:val="24"/>
          <w:szCs w:val="24"/>
        </w:rPr>
        <w:t>cytotoksiske</w:t>
      </w:r>
      <w:proofErr w:type="spellEnd"/>
      <w:r w:rsidRPr="00D941B8">
        <w:rPr>
          <w:sz w:val="24"/>
          <w:szCs w:val="24"/>
        </w:rPr>
        <w:t xml:space="preserve"> middel </w:t>
      </w:r>
      <w:proofErr w:type="spellStart"/>
      <w:r w:rsidRPr="00D941B8">
        <w:rPr>
          <w:sz w:val="24"/>
          <w:szCs w:val="24"/>
        </w:rPr>
        <w:t>actinomycin</w:t>
      </w:r>
      <w:proofErr w:type="spellEnd"/>
      <w:r w:rsidRPr="00D941B8">
        <w:rPr>
          <w:sz w:val="24"/>
          <w:szCs w:val="24"/>
        </w:rPr>
        <w:t xml:space="preserve"> og </w:t>
      </w:r>
      <w:proofErr w:type="spellStart"/>
      <w:r w:rsidRPr="00D941B8">
        <w:rPr>
          <w:sz w:val="24"/>
          <w:szCs w:val="24"/>
        </w:rPr>
        <w:t>antifungale</w:t>
      </w:r>
      <w:proofErr w:type="spellEnd"/>
      <w:r w:rsidRPr="00D941B8">
        <w:rPr>
          <w:sz w:val="24"/>
          <w:szCs w:val="24"/>
        </w:rPr>
        <w:t xml:space="preserve"> midler (</w:t>
      </w:r>
      <w:proofErr w:type="spellStart"/>
      <w:r w:rsidRPr="00D941B8">
        <w:rPr>
          <w:sz w:val="24"/>
          <w:szCs w:val="24"/>
        </w:rPr>
        <w:t>imidazoler</w:t>
      </w:r>
      <w:proofErr w:type="spellEnd"/>
      <w:r w:rsidRPr="00D941B8">
        <w:rPr>
          <w:sz w:val="24"/>
          <w:szCs w:val="24"/>
        </w:rPr>
        <w:t>) interfererer med D-vitamin-aktiviteten ved at inhibere omdannelse af 25-hydroxyvitamin D til 1,25-dihydroxyvitamin D af nyreenzymet 25-hydroxyvitamin D-1-hydroxylase.</w:t>
      </w:r>
    </w:p>
    <w:p w14:paraId="73D4977E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3DC4C272" w14:textId="77777777" w:rsidR="0071348D" w:rsidRPr="00D941B8" w:rsidRDefault="0071348D" w:rsidP="00362CE1">
      <w:pPr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Glukokortikoider</w:t>
      </w:r>
      <w:proofErr w:type="spellEnd"/>
    </w:p>
    <w:p w14:paraId="40646B0D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Samtidig brug af </w:t>
      </w:r>
      <w:proofErr w:type="spellStart"/>
      <w:r w:rsidRPr="00D941B8">
        <w:rPr>
          <w:sz w:val="24"/>
          <w:szCs w:val="24"/>
        </w:rPr>
        <w:t>glukokortikoider</w:t>
      </w:r>
      <w:proofErr w:type="spellEnd"/>
      <w:r w:rsidRPr="00D941B8">
        <w:rPr>
          <w:sz w:val="24"/>
          <w:szCs w:val="24"/>
        </w:rPr>
        <w:t xml:space="preserve"> kan nedsætte virkningen af D-vitamin.</w:t>
      </w:r>
    </w:p>
    <w:p w14:paraId="171B8847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647BD06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4.6</w:t>
      </w:r>
      <w:r w:rsidRPr="00D941B8">
        <w:rPr>
          <w:b/>
          <w:sz w:val="24"/>
          <w:szCs w:val="24"/>
        </w:rPr>
        <w:tab/>
        <w:t>Graviditet og amning</w:t>
      </w:r>
    </w:p>
    <w:p w14:paraId="28384029" w14:textId="77777777" w:rsidR="0071348D" w:rsidRPr="00D941B8" w:rsidRDefault="0071348D" w:rsidP="00362CE1">
      <w:pPr>
        <w:ind w:left="851"/>
        <w:rPr>
          <w:i/>
          <w:iCs/>
          <w:sz w:val="24"/>
          <w:szCs w:val="24"/>
        </w:rPr>
      </w:pPr>
      <w:r w:rsidRPr="00D941B8">
        <w:rPr>
          <w:i/>
          <w:iCs/>
          <w:sz w:val="24"/>
          <w:szCs w:val="24"/>
        </w:rPr>
        <w:t>Dette højdosis-lægemiddel anbefales ikke under graviditet og amning, der bør anvendes et lægemiddel med lavere styrke.</w:t>
      </w:r>
    </w:p>
    <w:p w14:paraId="11023811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1D2DAF7B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Tilstrækkeligt indtag af D-vitamin under graviditet og amning er nødvendigt. Det anbefalede daglige indtag af D-vitamin under graviditet og amning er kun ca. 15 mikrogram (600 IE) ifølge de nationale retningslinjer.</w:t>
      </w:r>
    </w:p>
    <w:p w14:paraId="7CB1CA36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4BA7733A" w14:textId="77777777" w:rsidR="0071348D" w:rsidRPr="00D941B8" w:rsidRDefault="0071348D" w:rsidP="00362CE1">
      <w:pPr>
        <w:ind w:left="851"/>
        <w:rPr>
          <w:sz w:val="24"/>
          <w:szCs w:val="24"/>
          <w:u w:val="single"/>
        </w:rPr>
      </w:pPr>
      <w:r w:rsidRPr="00D941B8">
        <w:rPr>
          <w:sz w:val="24"/>
          <w:szCs w:val="24"/>
          <w:u w:val="single"/>
        </w:rPr>
        <w:t>Graviditet</w:t>
      </w:r>
    </w:p>
    <w:p w14:paraId="71FC4A6A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Overdosering af D-vitamin skal undgås under graviditet, da langvarig </w:t>
      </w:r>
      <w:proofErr w:type="spellStart"/>
      <w:r w:rsidRPr="00D941B8">
        <w:rPr>
          <w:sz w:val="24"/>
          <w:szCs w:val="24"/>
        </w:rPr>
        <w:t>hypercalcæmi</w:t>
      </w:r>
      <w:proofErr w:type="spellEnd"/>
      <w:r w:rsidRPr="00D941B8">
        <w:rPr>
          <w:sz w:val="24"/>
          <w:szCs w:val="24"/>
        </w:rPr>
        <w:t xml:space="preserve"> kan føre til fysisk og mental retardering, </w:t>
      </w:r>
      <w:proofErr w:type="spellStart"/>
      <w:r w:rsidRPr="00D941B8">
        <w:rPr>
          <w:sz w:val="24"/>
          <w:szCs w:val="24"/>
        </w:rPr>
        <w:t>supravalvulær</w:t>
      </w:r>
      <w:proofErr w:type="spellEnd"/>
      <w:r w:rsidRPr="00D941B8">
        <w:rPr>
          <w:sz w:val="24"/>
          <w:szCs w:val="24"/>
        </w:rPr>
        <w:t xml:space="preserve"> aortastenose og </w:t>
      </w:r>
      <w:proofErr w:type="spellStart"/>
      <w:r w:rsidRPr="00D941B8">
        <w:rPr>
          <w:sz w:val="24"/>
          <w:szCs w:val="24"/>
        </w:rPr>
        <w:t>retinopati</w:t>
      </w:r>
      <w:proofErr w:type="spellEnd"/>
      <w:r w:rsidRPr="00D941B8">
        <w:rPr>
          <w:sz w:val="24"/>
          <w:szCs w:val="24"/>
        </w:rPr>
        <w:t xml:space="preserve"> hos barnet.</w:t>
      </w:r>
    </w:p>
    <w:p w14:paraId="76BFB63F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33BF84E6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Det daglige indtag af D-vitamin under graviditet bør ikke overstige 100 mikrogram (4.000 IE). Dyrestudier har påvist reproduktionstoksicitet ved brug af høje doser D-vitamin (se pkt. 5.3).</w:t>
      </w:r>
    </w:p>
    <w:p w14:paraId="555A48B1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03A37FAD" w14:textId="77777777" w:rsidR="0071348D" w:rsidRPr="00D941B8" w:rsidRDefault="0071348D" w:rsidP="00362CE1">
      <w:pPr>
        <w:ind w:left="851"/>
        <w:rPr>
          <w:sz w:val="24"/>
          <w:szCs w:val="24"/>
          <w:u w:val="single"/>
        </w:rPr>
      </w:pPr>
      <w:r w:rsidRPr="00D941B8">
        <w:rPr>
          <w:sz w:val="24"/>
          <w:szCs w:val="24"/>
          <w:u w:val="single"/>
        </w:rPr>
        <w:t>Amning</w:t>
      </w:r>
    </w:p>
    <w:p w14:paraId="3265CD5D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Højdosis D-vitamin bør ikke anvendes under amning. D-vitamin og dets metabolitter passerer over i modermælken. Hvis behandling med </w:t>
      </w:r>
      <w:proofErr w:type="spellStart"/>
      <w:r w:rsidRPr="00D941B8">
        <w:rPr>
          <w:sz w:val="24"/>
          <w:szCs w:val="24"/>
        </w:rPr>
        <w:t>Fedivelle</w:t>
      </w:r>
      <w:proofErr w:type="spellEnd"/>
      <w:r w:rsidRPr="00D941B8">
        <w:rPr>
          <w:sz w:val="24"/>
          <w:szCs w:val="24"/>
        </w:rPr>
        <w:t xml:space="preserve"> er klinisk indiceret under amning, bør det tages i betragtning, når der gives ekstra tilskud af D-vitamin til barnet.</w:t>
      </w:r>
    </w:p>
    <w:p w14:paraId="06844780" w14:textId="77777777" w:rsidR="0071348D" w:rsidRPr="00D941B8" w:rsidRDefault="0071348D" w:rsidP="00362CE1">
      <w:pPr>
        <w:ind w:left="851"/>
        <w:rPr>
          <w:sz w:val="24"/>
          <w:szCs w:val="24"/>
          <w:u w:val="single"/>
        </w:rPr>
      </w:pPr>
    </w:p>
    <w:p w14:paraId="1BB79D65" w14:textId="77777777" w:rsidR="0071348D" w:rsidRPr="00D941B8" w:rsidRDefault="0071348D" w:rsidP="00362CE1">
      <w:pPr>
        <w:ind w:left="851"/>
        <w:rPr>
          <w:sz w:val="24"/>
          <w:szCs w:val="24"/>
          <w:u w:val="single"/>
        </w:rPr>
      </w:pPr>
      <w:r w:rsidRPr="00D941B8">
        <w:rPr>
          <w:sz w:val="24"/>
          <w:szCs w:val="24"/>
          <w:u w:val="single"/>
        </w:rPr>
        <w:t>Fertilitet</w:t>
      </w:r>
    </w:p>
    <w:p w14:paraId="6E1DDF64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Normale endogene niveauer af D-vitamin forventes ikke at have nogen bivirkninger på fertiliteten.</w:t>
      </w:r>
    </w:p>
    <w:p w14:paraId="0B0FE5E9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Indvirkningen af høje doser D-vitamin på fertiliteten er ikke kendt.</w:t>
      </w:r>
    </w:p>
    <w:p w14:paraId="6D9A4254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1EF79DD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4.7</w:t>
      </w:r>
      <w:r w:rsidRPr="00D941B8">
        <w:rPr>
          <w:b/>
          <w:sz w:val="24"/>
          <w:szCs w:val="24"/>
        </w:rPr>
        <w:tab/>
        <w:t>Virkninger på evnen til at føre motorkøretøj eller betjene maskiner</w:t>
      </w:r>
    </w:p>
    <w:p w14:paraId="4D690566" w14:textId="77777777" w:rsidR="00EE00EC" w:rsidRDefault="00EE00EC" w:rsidP="00362CE1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6FF1E705" w14:textId="32B7BA0B" w:rsidR="0071348D" w:rsidRPr="00D941B8" w:rsidRDefault="0071348D" w:rsidP="00362CE1">
      <w:pPr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Cholecalciferol</w:t>
      </w:r>
      <w:proofErr w:type="spellEnd"/>
      <w:r w:rsidRPr="00D941B8">
        <w:rPr>
          <w:sz w:val="24"/>
          <w:szCs w:val="24"/>
        </w:rPr>
        <w:t xml:space="preserve"> påvirker ikke eller kun i ubetydelig grad evnen til at føre motorkøretøj og betjene maskiner.</w:t>
      </w:r>
    </w:p>
    <w:p w14:paraId="382E9C6F" w14:textId="200C3B36" w:rsidR="005D638E" w:rsidRDefault="005D638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04837EC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F341547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4.8</w:t>
      </w:r>
      <w:r w:rsidRPr="00D941B8">
        <w:rPr>
          <w:b/>
          <w:sz w:val="24"/>
          <w:szCs w:val="24"/>
        </w:rPr>
        <w:tab/>
        <w:t>Bivirkninger</w:t>
      </w:r>
    </w:p>
    <w:p w14:paraId="20A6C92C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Bivirkninger er anført nedenfor efter systemorganklasse og hyppighed. Hyppighederne er defineret som: Meget almindelig (</w:t>
      </w:r>
      <w:r w:rsidRPr="00D941B8">
        <w:rPr>
          <w:sz w:val="24"/>
          <w:szCs w:val="24"/>
        </w:rPr>
        <w:sym w:font="Symbol" w:char="F0B3"/>
      </w:r>
      <w:r w:rsidRPr="00D941B8">
        <w:rPr>
          <w:sz w:val="24"/>
          <w:szCs w:val="24"/>
        </w:rPr>
        <w:t>1/10), ikke almindelig (&gt;1/1.000 til &lt;1/100) eller sjælden (&gt;1/10.000 til &lt;1/1.000).</w:t>
      </w:r>
    </w:p>
    <w:p w14:paraId="39806D29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0EE87F03" w14:textId="77777777" w:rsidR="0071348D" w:rsidRPr="00D941B8" w:rsidRDefault="0071348D" w:rsidP="00362CE1">
      <w:pPr>
        <w:ind w:left="851"/>
        <w:rPr>
          <w:iCs/>
          <w:sz w:val="24"/>
          <w:szCs w:val="24"/>
        </w:rPr>
      </w:pPr>
      <w:r w:rsidRPr="00D941B8">
        <w:rPr>
          <w:iCs/>
          <w:sz w:val="24"/>
          <w:szCs w:val="24"/>
        </w:rPr>
        <w:t>Metabolisme og ernæring</w:t>
      </w:r>
    </w:p>
    <w:p w14:paraId="085D43A6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Meget almindelig: Obstipation, </w:t>
      </w:r>
      <w:proofErr w:type="spellStart"/>
      <w:r w:rsidRPr="00D941B8">
        <w:rPr>
          <w:sz w:val="24"/>
          <w:szCs w:val="24"/>
        </w:rPr>
        <w:t>flatulens</w:t>
      </w:r>
      <w:proofErr w:type="spellEnd"/>
      <w:r w:rsidRPr="00D941B8">
        <w:rPr>
          <w:sz w:val="24"/>
          <w:szCs w:val="24"/>
        </w:rPr>
        <w:t>, kvalme, mavesmerter og diarré.</w:t>
      </w:r>
    </w:p>
    <w:p w14:paraId="7CF8FB90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Ikke almindelig: </w:t>
      </w:r>
      <w:proofErr w:type="spellStart"/>
      <w:r w:rsidRPr="00D941B8">
        <w:rPr>
          <w:sz w:val="24"/>
          <w:szCs w:val="24"/>
        </w:rPr>
        <w:t>Hypercalcæmi</w:t>
      </w:r>
      <w:proofErr w:type="spellEnd"/>
      <w:r w:rsidRPr="00D941B8">
        <w:rPr>
          <w:sz w:val="24"/>
          <w:szCs w:val="24"/>
        </w:rPr>
        <w:t xml:space="preserve"> og </w:t>
      </w:r>
      <w:proofErr w:type="spellStart"/>
      <w:r w:rsidRPr="00D941B8">
        <w:rPr>
          <w:sz w:val="24"/>
          <w:szCs w:val="24"/>
        </w:rPr>
        <w:t>hypercalciuri</w:t>
      </w:r>
      <w:proofErr w:type="spellEnd"/>
      <w:r w:rsidRPr="00D941B8">
        <w:rPr>
          <w:sz w:val="24"/>
          <w:szCs w:val="24"/>
        </w:rPr>
        <w:t>.</w:t>
      </w:r>
    </w:p>
    <w:p w14:paraId="76D7AF5B" w14:textId="77777777" w:rsidR="0071348D" w:rsidRPr="00D941B8" w:rsidRDefault="0071348D" w:rsidP="00362CE1">
      <w:pPr>
        <w:ind w:left="851"/>
        <w:rPr>
          <w:sz w:val="24"/>
          <w:szCs w:val="24"/>
        </w:rPr>
      </w:pPr>
    </w:p>
    <w:p w14:paraId="4B6F3390" w14:textId="77777777" w:rsidR="0071348D" w:rsidRPr="00D941B8" w:rsidRDefault="0071348D" w:rsidP="00362CE1">
      <w:pPr>
        <w:ind w:left="851"/>
        <w:rPr>
          <w:iCs/>
          <w:sz w:val="24"/>
          <w:szCs w:val="24"/>
        </w:rPr>
      </w:pPr>
      <w:r w:rsidRPr="00D941B8">
        <w:rPr>
          <w:iCs/>
          <w:sz w:val="24"/>
          <w:szCs w:val="24"/>
        </w:rPr>
        <w:t>Hud og subkutane væv</w:t>
      </w:r>
    </w:p>
    <w:p w14:paraId="0419FEBF" w14:textId="77777777" w:rsidR="0071348D" w:rsidRPr="00D941B8" w:rsidRDefault="0071348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Sjælden: </w:t>
      </w:r>
      <w:proofErr w:type="spellStart"/>
      <w:r w:rsidRPr="00D941B8">
        <w:rPr>
          <w:sz w:val="24"/>
          <w:szCs w:val="24"/>
        </w:rPr>
        <w:t>Pruritus</w:t>
      </w:r>
      <w:proofErr w:type="spellEnd"/>
      <w:r w:rsidRPr="00D941B8">
        <w:rPr>
          <w:sz w:val="24"/>
          <w:szCs w:val="24"/>
        </w:rPr>
        <w:t xml:space="preserve">, udslæt og </w:t>
      </w:r>
      <w:proofErr w:type="spellStart"/>
      <w:r w:rsidRPr="00D941B8">
        <w:rPr>
          <w:sz w:val="24"/>
          <w:szCs w:val="24"/>
        </w:rPr>
        <w:t>urticaria</w:t>
      </w:r>
      <w:proofErr w:type="spellEnd"/>
      <w:r w:rsidRPr="00D941B8">
        <w:rPr>
          <w:sz w:val="24"/>
          <w:szCs w:val="24"/>
        </w:rPr>
        <w:t>.</w:t>
      </w:r>
    </w:p>
    <w:p w14:paraId="744E9A49" w14:textId="77777777" w:rsidR="0071348D" w:rsidRPr="00D941B8" w:rsidRDefault="0071348D" w:rsidP="00362CE1">
      <w:pPr>
        <w:ind w:left="851"/>
        <w:rPr>
          <w:i/>
          <w:sz w:val="24"/>
          <w:szCs w:val="24"/>
        </w:rPr>
      </w:pPr>
    </w:p>
    <w:p w14:paraId="0681C581" w14:textId="77777777" w:rsidR="0071348D" w:rsidRPr="00D941B8" w:rsidRDefault="0071348D" w:rsidP="00362CE1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D941B8">
        <w:rPr>
          <w:sz w:val="24"/>
          <w:szCs w:val="24"/>
          <w:u w:val="single"/>
        </w:rPr>
        <w:t>Indberetning af formodede bivirkninger</w:t>
      </w:r>
    </w:p>
    <w:p w14:paraId="3B829764" w14:textId="77777777" w:rsidR="0071348D" w:rsidRPr="00D941B8" w:rsidRDefault="0071348D" w:rsidP="00362CE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1B8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D941B8">
        <w:rPr>
          <w:sz w:val="24"/>
          <w:szCs w:val="24"/>
        </w:rPr>
        <w:t>risk</w:t>
      </w:r>
      <w:proofErr w:type="spellEnd"/>
      <w:r w:rsidRPr="00D941B8">
        <w:rPr>
          <w:sz w:val="24"/>
          <w:szCs w:val="24"/>
        </w:rPr>
        <w:t>-forholdet for lægemidlet. Sundhedspersoner anmodes om at indberette alle formodede bivirkninger via</w:t>
      </w:r>
    </w:p>
    <w:p w14:paraId="1BF6B3A4" w14:textId="77777777" w:rsidR="0071348D" w:rsidRPr="00D941B8" w:rsidRDefault="0071348D" w:rsidP="00362CE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62566C06" w14:textId="77777777" w:rsidR="0071348D" w:rsidRPr="00D941B8" w:rsidRDefault="0071348D" w:rsidP="00362CE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1B8">
        <w:rPr>
          <w:sz w:val="24"/>
          <w:szCs w:val="24"/>
        </w:rPr>
        <w:t>Lægemiddelstyrelsen</w:t>
      </w:r>
    </w:p>
    <w:p w14:paraId="287B0D07" w14:textId="77777777" w:rsidR="0071348D" w:rsidRPr="00D941B8" w:rsidRDefault="0071348D" w:rsidP="00362CE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1B8">
        <w:rPr>
          <w:sz w:val="24"/>
          <w:szCs w:val="24"/>
        </w:rPr>
        <w:t>Axel Heides Gade 1</w:t>
      </w:r>
    </w:p>
    <w:p w14:paraId="13AFA022" w14:textId="77777777" w:rsidR="0071348D" w:rsidRPr="00D941B8" w:rsidRDefault="0071348D" w:rsidP="00362CE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1B8">
        <w:rPr>
          <w:sz w:val="24"/>
          <w:szCs w:val="24"/>
        </w:rPr>
        <w:t>DK-2300 København S</w:t>
      </w:r>
    </w:p>
    <w:p w14:paraId="539F02FB" w14:textId="77777777" w:rsidR="0071348D" w:rsidRPr="00D941B8" w:rsidRDefault="0071348D" w:rsidP="00362CE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Websted: </w:t>
      </w:r>
      <w:hyperlink r:id="rId8" w:history="1">
        <w:r w:rsidRPr="00D941B8">
          <w:rPr>
            <w:rStyle w:val="Hyperlink"/>
            <w:sz w:val="24"/>
            <w:szCs w:val="24"/>
          </w:rPr>
          <w:t>www.meldenbivirkning.dk</w:t>
        </w:r>
      </w:hyperlink>
    </w:p>
    <w:p w14:paraId="6374DB8D" w14:textId="77777777" w:rsidR="009260DE" w:rsidRPr="00D941B8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1517A111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4.9</w:t>
      </w:r>
      <w:r w:rsidRPr="00D941B8">
        <w:rPr>
          <w:b/>
          <w:sz w:val="24"/>
          <w:szCs w:val="24"/>
        </w:rPr>
        <w:tab/>
        <w:t>Overdosering</w:t>
      </w:r>
    </w:p>
    <w:p w14:paraId="023DDCA5" w14:textId="77777777" w:rsidR="00AF69AD" w:rsidRPr="00D941B8" w:rsidRDefault="00AF69A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Akut eller kronisk overdosering af </w:t>
      </w:r>
      <w:proofErr w:type="spellStart"/>
      <w:r w:rsidRPr="00D941B8">
        <w:rPr>
          <w:sz w:val="24"/>
          <w:szCs w:val="24"/>
        </w:rPr>
        <w:t>cholecalciferol</w:t>
      </w:r>
      <w:proofErr w:type="spellEnd"/>
      <w:r w:rsidRPr="00D941B8">
        <w:rPr>
          <w:sz w:val="24"/>
          <w:szCs w:val="24"/>
        </w:rPr>
        <w:t xml:space="preserve"> kan forårsage </w:t>
      </w:r>
      <w:proofErr w:type="spellStart"/>
      <w:r w:rsidRPr="00D941B8">
        <w:rPr>
          <w:sz w:val="24"/>
          <w:szCs w:val="24"/>
        </w:rPr>
        <w:t>hypercalcæmi</w:t>
      </w:r>
      <w:proofErr w:type="spellEnd"/>
      <w:r w:rsidRPr="00D941B8">
        <w:rPr>
          <w:sz w:val="24"/>
          <w:szCs w:val="24"/>
        </w:rPr>
        <w:t xml:space="preserve">, der ses som en stigning i serum- og urinkoncentrationer af calcium. Symptomerne på </w:t>
      </w:r>
      <w:proofErr w:type="spellStart"/>
      <w:r w:rsidRPr="00D941B8">
        <w:rPr>
          <w:sz w:val="24"/>
          <w:szCs w:val="24"/>
        </w:rPr>
        <w:t>hypercalcæmi</w:t>
      </w:r>
      <w:proofErr w:type="spellEnd"/>
      <w:r w:rsidRPr="00D941B8">
        <w:rPr>
          <w:sz w:val="24"/>
          <w:szCs w:val="24"/>
        </w:rPr>
        <w:t xml:space="preserve"> er ikke særlig specifikke og omfatter kvalme, opkastning, diarré ofte i de tidlige stadier og senere obstipation, anoreksi, træthed, hovedpine, muskel- og ledsmerter, muskelsvaghed, polydipsi, </w:t>
      </w:r>
      <w:proofErr w:type="spellStart"/>
      <w:r w:rsidRPr="00D941B8">
        <w:rPr>
          <w:sz w:val="24"/>
          <w:szCs w:val="24"/>
        </w:rPr>
        <w:t>polyuri</w:t>
      </w:r>
      <w:proofErr w:type="spellEnd"/>
      <w:r w:rsidRPr="00D941B8">
        <w:rPr>
          <w:sz w:val="24"/>
          <w:szCs w:val="24"/>
        </w:rPr>
        <w:t xml:space="preserve">, dannelse af nyresten, </w:t>
      </w:r>
      <w:proofErr w:type="spellStart"/>
      <w:r w:rsidRPr="00D941B8">
        <w:rPr>
          <w:sz w:val="24"/>
          <w:szCs w:val="24"/>
        </w:rPr>
        <w:t>nephrocalcinosis</w:t>
      </w:r>
      <w:proofErr w:type="spellEnd"/>
      <w:r w:rsidRPr="00D941B8">
        <w:rPr>
          <w:sz w:val="24"/>
          <w:szCs w:val="24"/>
        </w:rPr>
        <w:t xml:space="preserve">, nyresvigt, forkalkning af bindevæv, ændringer i EKG-målinger, </w:t>
      </w:r>
      <w:proofErr w:type="spellStart"/>
      <w:r w:rsidRPr="00D941B8">
        <w:rPr>
          <w:sz w:val="24"/>
          <w:szCs w:val="24"/>
        </w:rPr>
        <w:t>arytmier</w:t>
      </w:r>
      <w:proofErr w:type="spellEnd"/>
      <w:r w:rsidRPr="00D941B8">
        <w:rPr>
          <w:sz w:val="24"/>
          <w:szCs w:val="24"/>
        </w:rPr>
        <w:t xml:space="preserve"> og </w:t>
      </w:r>
      <w:proofErr w:type="spellStart"/>
      <w:r w:rsidRPr="00D941B8">
        <w:rPr>
          <w:sz w:val="24"/>
          <w:szCs w:val="24"/>
        </w:rPr>
        <w:t>pankreatitis</w:t>
      </w:r>
      <w:proofErr w:type="spellEnd"/>
      <w:r w:rsidRPr="00D941B8">
        <w:rPr>
          <w:sz w:val="24"/>
          <w:szCs w:val="24"/>
        </w:rPr>
        <w:t xml:space="preserve">. I sjældne og isolerede tilfælde er der rapporteret om </w:t>
      </w:r>
      <w:proofErr w:type="spellStart"/>
      <w:r w:rsidRPr="00D941B8">
        <w:rPr>
          <w:sz w:val="24"/>
          <w:szCs w:val="24"/>
        </w:rPr>
        <w:t>hypercalcæmi</w:t>
      </w:r>
      <w:proofErr w:type="spellEnd"/>
      <w:r w:rsidRPr="00D941B8">
        <w:rPr>
          <w:sz w:val="24"/>
          <w:szCs w:val="24"/>
        </w:rPr>
        <w:t xml:space="preserve"> med dødelig udgang.</w:t>
      </w:r>
    </w:p>
    <w:p w14:paraId="1A465453" w14:textId="77777777" w:rsidR="00AF69AD" w:rsidRPr="00D941B8" w:rsidRDefault="00AF69AD" w:rsidP="00362CE1">
      <w:pPr>
        <w:ind w:left="851"/>
        <w:rPr>
          <w:sz w:val="24"/>
          <w:szCs w:val="24"/>
        </w:rPr>
      </w:pPr>
    </w:p>
    <w:p w14:paraId="171DB858" w14:textId="77777777" w:rsidR="00AF69AD" w:rsidRPr="00D941B8" w:rsidRDefault="00AF69AD" w:rsidP="00362CE1">
      <w:pPr>
        <w:ind w:left="851"/>
        <w:rPr>
          <w:b/>
          <w:bCs/>
          <w:sz w:val="24"/>
          <w:szCs w:val="24"/>
        </w:rPr>
      </w:pPr>
      <w:r w:rsidRPr="00D941B8">
        <w:rPr>
          <w:b/>
          <w:bCs/>
          <w:sz w:val="24"/>
          <w:szCs w:val="24"/>
        </w:rPr>
        <w:t>Behandling af overdosering</w:t>
      </w:r>
    </w:p>
    <w:p w14:paraId="6A35B752" w14:textId="77777777" w:rsidR="00AF69AD" w:rsidRPr="00D941B8" w:rsidRDefault="00AF69A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En normalisering af </w:t>
      </w:r>
      <w:proofErr w:type="spellStart"/>
      <w:r w:rsidRPr="00D941B8">
        <w:rPr>
          <w:sz w:val="24"/>
          <w:szCs w:val="24"/>
        </w:rPr>
        <w:t>hypercalcæmi</w:t>
      </w:r>
      <w:proofErr w:type="spellEnd"/>
      <w:r w:rsidRPr="00D941B8">
        <w:rPr>
          <w:sz w:val="24"/>
          <w:szCs w:val="24"/>
        </w:rPr>
        <w:t xml:space="preserve">, der skyldes D-vitaminforgiftning, varer flere uger. Anbefalingen til behandlingen af </w:t>
      </w:r>
      <w:proofErr w:type="spellStart"/>
      <w:r w:rsidRPr="00D941B8">
        <w:rPr>
          <w:sz w:val="24"/>
          <w:szCs w:val="24"/>
        </w:rPr>
        <w:t>hypercalcæmi</w:t>
      </w:r>
      <w:proofErr w:type="spellEnd"/>
      <w:r w:rsidRPr="00D941B8">
        <w:rPr>
          <w:sz w:val="24"/>
          <w:szCs w:val="24"/>
        </w:rPr>
        <w:t xml:space="preserve"> er at undgå yderligere administration af D-vitamin. En diæt med lavt indtag af calcium eller en calciumfri diæt kan også overvejes.</w:t>
      </w:r>
    </w:p>
    <w:p w14:paraId="29C6BD33" w14:textId="77777777" w:rsidR="00AF69AD" w:rsidRPr="00D941B8" w:rsidRDefault="00AF69AD" w:rsidP="00362CE1">
      <w:pPr>
        <w:ind w:left="851"/>
        <w:rPr>
          <w:sz w:val="24"/>
          <w:szCs w:val="24"/>
        </w:rPr>
      </w:pPr>
    </w:p>
    <w:p w14:paraId="48552365" w14:textId="77777777" w:rsidR="00AF69AD" w:rsidRPr="00D941B8" w:rsidRDefault="00AF69A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Der bør overvejes </w:t>
      </w:r>
      <w:proofErr w:type="spellStart"/>
      <w:r w:rsidRPr="00D941B8">
        <w:rPr>
          <w:sz w:val="24"/>
          <w:szCs w:val="24"/>
        </w:rPr>
        <w:t>rehydrering</w:t>
      </w:r>
      <w:proofErr w:type="spellEnd"/>
      <w:r w:rsidRPr="00D941B8">
        <w:rPr>
          <w:sz w:val="24"/>
          <w:szCs w:val="24"/>
        </w:rPr>
        <w:t xml:space="preserve"> og behandling med </w:t>
      </w:r>
      <w:proofErr w:type="spellStart"/>
      <w:r w:rsidRPr="00D941B8">
        <w:rPr>
          <w:sz w:val="24"/>
          <w:szCs w:val="24"/>
        </w:rPr>
        <w:t>diuretika</w:t>
      </w:r>
      <w:proofErr w:type="spellEnd"/>
      <w:r w:rsidRPr="00D941B8">
        <w:rPr>
          <w:sz w:val="24"/>
          <w:szCs w:val="24"/>
        </w:rPr>
        <w:t xml:space="preserve">, f.eks. </w:t>
      </w:r>
      <w:proofErr w:type="spellStart"/>
      <w:r w:rsidRPr="00D941B8">
        <w:rPr>
          <w:sz w:val="24"/>
          <w:szCs w:val="24"/>
        </w:rPr>
        <w:t>furosemid</w:t>
      </w:r>
      <w:proofErr w:type="spellEnd"/>
      <w:r w:rsidRPr="00D941B8">
        <w:rPr>
          <w:sz w:val="24"/>
          <w:szCs w:val="24"/>
        </w:rPr>
        <w:t xml:space="preserve">, for at sikre tilstrækkelig diurese. Supplerende behandling med </w:t>
      </w:r>
      <w:proofErr w:type="spellStart"/>
      <w:r w:rsidRPr="00D941B8">
        <w:rPr>
          <w:sz w:val="24"/>
          <w:szCs w:val="24"/>
        </w:rPr>
        <w:t>calcitonin</w:t>
      </w:r>
      <w:proofErr w:type="spellEnd"/>
      <w:r w:rsidRPr="00D941B8">
        <w:rPr>
          <w:sz w:val="24"/>
          <w:szCs w:val="24"/>
        </w:rPr>
        <w:t xml:space="preserve"> eller </w:t>
      </w:r>
      <w:proofErr w:type="spellStart"/>
      <w:r w:rsidRPr="00D941B8">
        <w:rPr>
          <w:sz w:val="24"/>
          <w:szCs w:val="24"/>
        </w:rPr>
        <w:t>kortikosteroider</w:t>
      </w:r>
      <w:proofErr w:type="spellEnd"/>
      <w:r w:rsidRPr="00D941B8">
        <w:rPr>
          <w:sz w:val="24"/>
          <w:szCs w:val="24"/>
        </w:rPr>
        <w:t xml:space="preserve"> kan også overvejes. Afhængigt af sværhedsgraden af </w:t>
      </w:r>
      <w:proofErr w:type="spellStart"/>
      <w:r w:rsidRPr="00D941B8">
        <w:rPr>
          <w:sz w:val="24"/>
          <w:szCs w:val="24"/>
        </w:rPr>
        <w:t>hypercalcæmien</w:t>
      </w:r>
      <w:proofErr w:type="spellEnd"/>
      <w:r w:rsidRPr="00D941B8">
        <w:rPr>
          <w:sz w:val="24"/>
          <w:szCs w:val="24"/>
        </w:rPr>
        <w:t xml:space="preserve"> og af patientens tilstand, f.eks. i tilfælde af </w:t>
      </w:r>
      <w:proofErr w:type="spellStart"/>
      <w:r w:rsidRPr="00D941B8">
        <w:rPr>
          <w:sz w:val="24"/>
          <w:szCs w:val="24"/>
        </w:rPr>
        <w:t>oligoanuri</w:t>
      </w:r>
      <w:proofErr w:type="spellEnd"/>
      <w:r w:rsidRPr="00D941B8">
        <w:rPr>
          <w:sz w:val="24"/>
          <w:szCs w:val="24"/>
        </w:rPr>
        <w:t>, kan det være nødvendigt med hæmodialyse (calciumfri dialysevæske).</w:t>
      </w:r>
    </w:p>
    <w:p w14:paraId="053BB9AE" w14:textId="77777777" w:rsidR="00AF69AD" w:rsidRPr="00D941B8" w:rsidRDefault="00AF69AD" w:rsidP="00362CE1">
      <w:pPr>
        <w:ind w:left="851"/>
        <w:rPr>
          <w:sz w:val="24"/>
          <w:szCs w:val="24"/>
        </w:rPr>
      </w:pPr>
    </w:p>
    <w:p w14:paraId="5F4EEF79" w14:textId="77777777" w:rsidR="00AF69AD" w:rsidRPr="00D941B8" w:rsidRDefault="00AF69A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Der findes ingen specifik </w:t>
      </w:r>
      <w:proofErr w:type="spellStart"/>
      <w:r w:rsidRPr="00D941B8">
        <w:rPr>
          <w:sz w:val="24"/>
          <w:szCs w:val="24"/>
        </w:rPr>
        <w:t>antidot</w:t>
      </w:r>
      <w:proofErr w:type="spellEnd"/>
      <w:r w:rsidRPr="00D941B8">
        <w:rPr>
          <w:sz w:val="24"/>
          <w:szCs w:val="24"/>
        </w:rPr>
        <w:t>.</w:t>
      </w:r>
    </w:p>
    <w:p w14:paraId="7245D5B0" w14:textId="77777777" w:rsidR="00AF69AD" w:rsidRPr="00D941B8" w:rsidRDefault="00AF69AD" w:rsidP="00362CE1">
      <w:pPr>
        <w:ind w:left="851"/>
        <w:rPr>
          <w:sz w:val="24"/>
          <w:szCs w:val="24"/>
        </w:rPr>
      </w:pPr>
    </w:p>
    <w:p w14:paraId="7C23ADE1" w14:textId="2A7FE20C" w:rsidR="00AF69AD" w:rsidRPr="00D941B8" w:rsidRDefault="00AF69AD" w:rsidP="00362CE1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Det anbefales, at følgende symptomer på en mulig overdosering påpeges over for patienter, der er i vedvarende behandling med høje doser D</w:t>
      </w:r>
      <w:r w:rsidRPr="00D941B8">
        <w:rPr>
          <w:sz w:val="24"/>
          <w:szCs w:val="24"/>
        </w:rPr>
        <w:noBreakHyphen/>
        <w:t xml:space="preserve">vitamin (kvalme, opkastning, diarré til at begynde med og senere obstipation, anoreksi, træthed, hovedpine, myalgi, </w:t>
      </w:r>
      <w:proofErr w:type="spellStart"/>
      <w:r w:rsidRPr="00D941B8">
        <w:rPr>
          <w:sz w:val="24"/>
          <w:szCs w:val="24"/>
        </w:rPr>
        <w:t>artralgi</w:t>
      </w:r>
      <w:proofErr w:type="spellEnd"/>
      <w:r w:rsidRPr="00D941B8">
        <w:rPr>
          <w:sz w:val="24"/>
          <w:szCs w:val="24"/>
        </w:rPr>
        <w:t xml:space="preserve">, muskelsvaghed, søvnighed, </w:t>
      </w:r>
      <w:proofErr w:type="spellStart"/>
      <w:r w:rsidRPr="00D941B8">
        <w:rPr>
          <w:sz w:val="24"/>
          <w:szCs w:val="24"/>
        </w:rPr>
        <w:t>azotæmi</w:t>
      </w:r>
      <w:proofErr w:type="spellEnd"/>
      <w:r w:rsidRPr="00D941B8">
        <w:rPr>
          <w:sz w:val="24"/>
          <w:szCs w:val="24"/>
        </w:rPr>
        <w:t xml:space="preserve">, polydipsi og </w:t>
      </w:r>
      <w:proofErr w:type="spellStart"/>
      <w:r w:rsidRPr="00D941B8">
        <w:rPr>
          <w:sz w:val="24"/>
          <w:szCs w:val="24"/>
        </w:rPr>
        <w:t>polyuri</w:t>
      </w:r>
      <w:proofErr w:type="spellEnd"/>
      <w:r w:rsidRPr="00D941B8">
        <w:rPr>
          <w:sz w:val="24"/>
          <w:szCs w:val="24"/>
        </w:rPr>
        <w:t>).</w:t>
      </w:r>
    </w:p>
    <w:p w14:paraId="569EBFDE" w14:textId="6096F421" w:rsidR="00C67665" w:rsidRDefault="00C6766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A20869C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3339C2A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4.10</w:t>
      </w:r>
      <w:r w:rsidRPr="00D941B8">
        <w:rPr>
          <w:b/>
          <w:sz w:val="24"/>
          <w:szCs w:val="24"/>
        </w:rPr>
        <w:tab/>
        <w:t>Udlevering</w:t>
      </w:r>
    </w:p>
    <w:p w14:paraId="0DFABC0C" w14:textId="42B22BB1" w:rsidR="009260DE" w:rsidRPr="00D941B8" w:rsidRDefault="00F4631C" w:rsidP="009260DE">
      <w:pPr>
        <w:tabs>
          <w:tab w:val="left" w:pos="851"/>
        </w:tabs>
        <w:ind w:left="851"/>
        <w:rPr>
          <w:sz w:val="24"/>
          <w:szCs w:val="24"/>
        </w:rPr>
      </w:pPr>
      <w:r w:rsidRPr="00D941B8">
        <w:rPr>
          <w:sz w:val="24"/>
          <w:szCs w:val="24"/>
        </w:rPr>
        <w:t>B</w:t>
      </w:r>
    </w:p>
    <w:p w14:paraId="670CC218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F7EF339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45D01C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5.</w:t>
      </w:r>
      <w:r w:rsidRPr="00D941B8">
        <w:rPr>
          <w:b/>
          <w:sz w:val="24"/>
          <w:szCs w:val="24"/>
        </w:rPr>
        <w:tab/>
        <w:t>FARMAKOLOGISKE EGENSKABER</w:t>
      </w:r>
    </w:p>
    <w:p w14:paraId="354DAC7F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DF5462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5.0</w:t>
      </w:r>
      <w:r w:rsidRPr="00D941B8">
        <w:rPr>
          <w:b/>
          <w:sz w:val="24"/>
          <w:szCs w:val="24"/>
        </w:rPr>
        <w:tab/>
        <w:t>Terapeutisk klassifikation</w:t>
      </w:r>
    </w:p>
    <w:p w14:paraId="11594702" w14:textId="762464FE" w:rsidR="00AF69AD" w:rsidRPr="00D941B8" w:rsidRDefault="00A76E1F" w:rsidP="00A76E1F">
      <w:pPr>
        <w:suppressAutoHyphens/>
        <w:ind w:firstLine="851"/>
        <w:rPr>
          <w:sz w:val="24"/>
          <w:szCs w:val="24"/>
        </w:rPr>
      </w:pPr>
      <w:r w:rsidRPr="00D941B8">
        <w:rPr>
          <w:sz w:val="24"/>
          <w:szCs w:val="24"/>
        </w:rPr>
        <w:t>ATC-kode: A 11 CC 05.</w:t>
      </w:r>
      <w:r w:rsidR="00AF69AD" w:rsidRPr="00D941B8">
        <w:rPr>
          <w:sz w:val="24"/>
          <w:szCs w:val="24"/>
        </w:rPr>
        <w:t xml:space="preserve"> Vitamin D og </w:t>
      </w:r>
      <w:proofErr w:type="spellStart"/>
      <w:r w:rsidR="00AF69AD" w:rsidRPr="00D941B8">
        <w:rPr>
          <w:sz w:val="24"/>
          <w:szCs w:val="24"/>
        </w:rPr>
        <w:t>analoger</w:t>
      </w:r>
      <w:proofErr w:type="spellEnd"/>
      <w:r w:rsidR="00AF69AD" w:rsidRPr="00D941B8">
        <w:rPr>
          <w:sz w:val="24"/>
          <w:szCs w:val="24"/>
        </w:rPr>
        <w:t xml:space="preserve">. </w:t>
      </w:r>
    </w:p>
    <w:p w14:paraId="00E7F650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DE10745" w14:textId="77777777" w:rsidR="009260DE" w:rsidRPr="00D941B8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5.1</w:t>
      </w:r>
      <w:r w:rsidRPr="00D941B8">
        <w:rPr>
          <w:b/>
          <w:sz w:val="24"/>
          <w:szCs w:val="24"/>
        </w:rPr>
        <w:tab/>
      </w:r>
      <w:proofErr w:type="spellStart"/>
      <w:r w:rsidRPr="00D941B8">
        <w:rPr>
          <w:b/>
          <w:sz w:val="24"/>
          <w:szCs w:val="24"/>
        </w:rPr>
        <w:t>Farmakodynamiske</w:t>
      </w:r>
      <w:proofErr w:type="spellEnd"/>
      <w:r w:rsidRPr="00D941B8">
        <w:rPr>
          <w:b/>
          <w:sz w:val="24"/>
          <w:szCs w:val="24"/>
        </w:rPr>
        <w:t xml:space="preserve"> egenskaber</w:t>
      </w:r>
    </w:p>
    <w:p w14:paraId="30A4A8DB" w14:textId="6CD8C25F" w:rsidR="00AF69AD" w:rsidRPr="00D941B8" w:rsidRDefault="00AF69AD" w:rsidP="00A76E1F">
      <w:pPr>
        <w:suppressAutoHyphens/>
        <w:ind w:left="85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Cholecalciferol</w:t>
      </w:r>
      <w:proofErr w:type="spellEnd"/>
      <w:r w:rsidRPr="00D941B8">
        <w:rPr>
          <w:sz w:val="24"/>
          <w:szCs w:val="24"/>
        </w:rPr>
        <w:t xml:space="preserve"> dannes i huden under påvirkning af </w:t>
      </w:r>
      <w:proofErr w:type="spellStart"/>
      <w:r w:rsidRPr="00D941B8">
        <w:rPr>
          <w:sz w:val="24"/>
          <w:szCs w:val="24"/>
        </w:rPr>
        <w:t>UV-stråling</w:t>
      </w:r>
      <w:proofErr w:type="spellEnd"/>
      <w:r w:rsidRPr="00D941B8">
        <w:rPr>
          <w:sz w:val="24"/>
          <w:szCs w:val="24"/>
        </w:rPr>
        <w:t xml:space="preserve">, herunder sollys. I sin biologisk aktive form, stimulerer </w:t>
      </w:r>
      <w:proofErr w:type="spellStart"/>
      <w:r w:rsidRPr="00D941B8">
        <w:rPr>
          <w:sz w:val="24"/>
          <w:szCs w:val="24"/>
        </w:rPr>
        <w:t>cholecalciferol</w:t>
      </w:r>
      <w:proofErr w:type="spellEnd"/>
      <w:r w:rsidRPr="00D941B8">
        <w:rPr>
          <w:sz w:val="24"/>
          <w:szCs w:val="24"/>
        </w:rPr>
        <w:t xml:space="preserve"> </w:t>
      </w:r>
      <w:proofErr w:type="spellStart"/>
      <w:r w:rsidRPr="00D941B8">
        <w:rPr>
          <w:sz w:val="24"/>
          <w:szCs w:val="24"/>
        </w:rPr>
        <w:t>intestinal</w:t>
      </w:r>
      <w:proofErr w:type="spellEnd"/>
      <w:r w:rsidRPr="00D941B8">
        <w:rPr>
          <w:sz w:val="24"/>
          <w:szCs w:val="24"/>
        </w:rPr>
        <w:t xml:space="preserve"> calciumabsorption, inkorporering af calcium i </w:t>
      </w:r>
      <w:proofErr w:type="spellStart"/>
      <w:r w:rsidRPr="00D941B8">
        <w:rPr>
          <w:sz w:val="24"/>
          <w:szCs w:val="24"/>
        </w:rPr>
        <w:t>osteoid</w:t>
      </w:r>
      <w:proofErr w:type="spellEnd"/>
      <w:r w:rsidRPr="00D941B8">
        <w:rPr>
          <w:sz w:val="24"/>
          <w:szCs w:val="24"/>
        </w:rPr>
        <w:t xml:space="preserve">, og frigivelse af calcium fra knoglevævet. I tyndtarmen fremmer det hurtig og forsinket calciumoptagelse. Den passive og aktive transport af fosfat stimuleres også. I nyrerne hæmmer det udskillelsen af calcium og fosfat ved at fremme den </w:t>
      </w:r>
      <w:proofErr w:type="spellStart"/>
      <w:r w:rsidRPr="00D941B8">
        <w:rPr>
          <w:sz w:val="24"/>
          <w:szCs w:val="24"/>
        </w:rPr>
        <w:t>turbulære</w:t>
      </w:r>
      <w:proofErr w:type="spellEnd"/>
      <w:r w:rsidRPr="00D941B8">
        <w:rPr>
          <w:sz w:val="24"/>
          <w:szCs w:val="24"/>
        </w:rPr>
        <w:t xml:space="preserve"> </w:t>
      </w:r>
      <w:proofErr w:type="spellStart"/>
      <w:r w:rsidRPr="00D941B8">
        <w:rPr>
          <w:sz w:val="24"/>
          <w:szCs w:val="24"/>
        </w:rPr>
        <w:t>reabsorption</w:t>
      </w:r>
      <w:proofErr w:type="spellEnd"/>
      <w:r w:rsidRPr="00D941B8">
        <w:rPr>
          <w:sz w:val="24"/>
          <w:szCs w:val="24"/>
        </w:rPr>
        <w:t xml:space="preserve">. Produktionen af biskjoldbruskkirtelhormon (PTH) i </w:t>
      </w:r>
      <w:proofErr w:type="spellStart"/>
      <w:r w:rsidRPr="00D941B8">
        <w:rPr>
          <w:sz w:val="24"/>
          <w:szCs w:val="24"/>
        </w:rPr>
        <w:t>biskjoldbrusk</w:t>
      </w:r>
      <w:r w:rsidR="00C67665">
        <w:rPr>
          <w:sz w:val="24"/>
          <w:szCs w:val="24"/>
        </w:rPr>
        <w:softHyphen/>
      </w:r>
      <w:r w:rsidRPr="00D941B8">
        <w:rPr>
          <w:sz w:val="24"/>
          <w:szCs w:val="24"/>
        </w:rPr>
        <w:t>kirtlerne</w:t>
      </w:r>
      <w:proofErr w:type="spellEnd"/>
      <w:r w:rsidRPr="00D941B8">
        <w:rPr>
          <w:sz w:val="24"/>
          <w:szCs w:val="24"/>
        </w:rPr>
        <w:t xml:space="preserve"> inhiberes direkte af den biologisk aktive form af </w:t>
      </w:r>
      <w:proofErr w:type="spellStart"/>
      <w:r w:rsidRPr="00D941B8">
        <w:rPr>
          <w:sz w:val="24"/>
          <w:szCs w:val="24"/>
        </w:rPr>
        <w:t>cholecalciferol</w:t>
      </w:r>
      <w:proofErr w:type="spellEnd"/>
      <w:r w:rsidRPr="00D941B8">
        <w:rPr>
          <w:sz w:val="24"/>
          <w:szCs w:val="24"/>
        </w:rPr>
        <w:t xml:space="preserve">. PTH-udskillelse inhiberes yderligere af det øgede calciumoptag i tyndtarmen, som er under indflydelse af det biologisk aktive </w:t>
      </w:r>
      <w:proofErr w:type="spellStart"/>
      <w:r w:rsidRPr="00D941B8">
        <w:rPr>
          <w:sz w:val="24"/>
          <w:szCs w:val="24"/>
        </w:rPr>
        <w:t>cholecalciferol</w:t>
      </w:r>
      <w:proofErr w:type="spellEnd"/>
      <w:r w:rsidRPr="00D941B8">
        <w:rPr>
          <w:sz w:val="24"/>
          <w:szCs w:val="24"/>
        </w:rPr>
        <w:t>.</w:t>
      </w:r>
    </w:p>
    <w:p w14:paraId="758CC54B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79BCD7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5.2</w:t>
      </w:r>
      <w:r w:rsidRPr="00D941B8">
        <w:rPr>
          <w:b/>
          <w:sz w:val="24"/>
          <w:szCs w:val="24"/>
        </w:rPr>
        <w:tab/>
      </w:r>
      <w:proofErr w:type="spellStart"/>
      <w:r w:rsidRPr="00D941B8">
        <w:rPr>
          <w:b/>
          <w:sz w:val="24"/>
          <w:szCs w:val="24"/>
        </w:rPr>
        <w:t>Farmakokinetiske</w:t>
      </w:r>
      <w:proofErr w:type="spellEnd"/>
      <w:r w:rsidRPr="00D941B8">
        <w:rPr>
          <w:b/>
          <w:sz w:val="24"/>
          <w:szCs w:val="24"/>
        </w:rPr>
        <w:t xml:space="preserve"> egenskaber</w:t>
      </w:r>
    </w:p>
    <w:p w14:paraId="36884875" w14:textId="77777777" w:rsidR="00C67665" w:rsidRPr="006251D6" w:rsidRDefault="00C67665" w:rsidP="00A76E1F">
      <w:pPr>
        <w:ind w:left="851"/>
        <w:rPr>
          <w:bCs/>
          <w:sz w:val="24"/>
          <w:szCs w:val="24"/>
        </w:rPr>
      </w:pPr>
    </w:p>
    <w:p w14:paraId="1C3CAD71" w14:textId="52A59D16" w:rsidR="00AF69AD" w:rsidRPr="006251D6" w:rsidRDefault="00AF69AD" w:rsidP="00A76E1F">
      <w:pPr>
        <w:ind w:left="851"/>
        <w:rPr>
          <w:bCs/>
          <w:sz w:val="24"/>
          <w:szCs w:val="24"/>
          <w:u w:val="single"/>
        </w:rPr>
      </w:pPr>
      <w:r w:rsidRPr="006251D6">
        <w:rPr>
          <w:bCs/>
          <w:sz w:val="24"/>
          <w:szCs w:val="24"/>
          <w:u w:val="single"/>
        </w:rPr>
        <w:t>Absorption</w:t>
      </w:r>
    </w:p>
    <w:p w14:paraId="5ED6784E" w14:textId="77777777" w:rsidR="00AF69AD" w:rsidRPr="00D941B8" w:rsidRDefault="00AF69AD" w:rsidP="00A76E1F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Fedtopløseligt D3-vitamin absorberes gennem tyndtarmen i tilstedeværelse af galdesyrer ved hjælp af micelleformation og kommer ind i blodet gennem lymfecirkulationen. Således kan administration sammen med dagens hovedmåltid derfor fremme absorptionen af D-vitamin. Cirkulerende D3-vitamin er bundet til D-vitamin-bindende protein.</w:t>
      </w:r>
    </w:p>
    <w:p w14:paraId="64D22146" w14:textId="77777777" w:rsidR="00AF69AD" w:rsidRPr="00D941B8" w:rsidRDefault="00AF69AD" w:rsidP="00A76E1F">
      <w:pPr>
        <w:ind w:left="851"/>
        <w:rPr>
          <w:sz w:val="24"/>
          <w:szCs w:val="24"/>
        </w:rPr>
      </w:pPr>
    </w:p>
    <w:p w14:paraId="6C536B92" w14:textId="77777777" w:rsidR="00AF69AD" w:rsidRPr="006251D6" w:rsidRDefault="00AF69AD" w:rsidP="00A76E1F">
      <w:pPr>
        <w:ind w:left="851"/>
        <w:rPr>
          <w:bCs/>
          <w:sz w:val="24"/>
          <w:szCs w:val="24"/>
          <w:u w:val="single"/>
        </w:rPr>
      </w:pPr>
      <w:r w:rsidRPr="006251D6">
        <w:rPr>
          <w:bCs/>
          <w:sz w:val="24"/>
          <w:szCs w:val="24"/>
          <w:u w:val="single"/>
        </w:rPr>
        <w:t>Fordeling</w:t>
      </w:r>
    </w:p>
    <w:p w14:paraId="5752A484" w14:textId="77777777" w:rsidR="00AF69AD" w:rsidRPr="00D941B8" w:rsidRDefault="00AF69AD" w:rsidP="00A76E1F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Efter absorption går D3-vitamin ind i blodet som en del af </w:t>
      </w:r>
      <w:proofErr w:type="spellStart"/>
      <w:r w:rsidRPr="00D941B8">
        <w:rPr>
          <w:sz w:val="24"/>
          <w:szCs w:val="24"/>
        </w:rPr>
        <w:t>chylomikronerne</w:t>
      </w:r>
      <w:proofErr w:type="spellEnd"/>
      <w:r w:rsidRPr="00D941B8">
        <w:rPr>
          <w:sz w:val="24"/>
          <w:szCs w:val="24"/>
        </w:rPr>
        <w:t xml:space="preserve">. D3-vitamin fordeles hurtigt til hovedsageligt leveren, hvor det </w:t>
      </w:r>
      <w:proofErr w:type="spellStart"/>
      <w:r w:rsidRPr="00D941B8">
        <w:rPr>
          <w:sz w:val="24"/>
          <w:szCs w:val="24"/>
        </w:rPr>
        <w:t>metaboliseres</w:t>
      </w:r>
      <w:proofErr w:type="spellEnd"/>
      <w:r w:rsidRPr="00D941B8">
        <w:rPr>
          <w:sz w:val="24"/>
          <w:szCs w:val="24"/>
        </w:rPr>
        <w:t xml:space="preserve"> til 25-hydroxyvitamin D3, den væsentligste lagringsform. Mindre mængder distribueres til det adipøse væv og muskelvævet og lagres som D3-vitamin på disse steder for senere frigivelse til kredsløbet.</w:t>
      </w:r>
    </w:p>
    <w:p w14:paraId="187E4C20" w14:textId="77777777" w:rsidR="00AF69AD" w:rsidRPr="00D941B8" w:rsidRDefault="00AF69AD" w:rsidP="00A76E1F">
      <w:pPr>
        <w:ind w:left="851"/>
        <w:rPr>
          <w:sz w:val="24"/>
          <w:szCs w:val="24"/>
        </w:rPr>
      </w:pPr>
    </w:p>
    <w:p w14:paraId="403B17E1" w14:textId="77777777" w:rsidR="00AF69AD" w:rsidRPr="006251D6" w:rsidRDefault="00AF69AD" w:rsidP="00A76E1F">
      <w:pPr>
        <w:ind w:left="851"/>
        <w:rPr>
          <w:bCs/>
          <w:sz w:val="24"/>
          <w:szCs w:val="24"/>
          <w:u w:val="single"/>
        </w:rPr>
      </w:pPr>
      <w:r w:rsidRPr="006251D6">
        <w:rPr>
          <w:bCs/>
          <w:sz w:val="24"/>
          <w:szCs w:val="24"/>
          <w:u w:val="single"/>
        </w:rPr>
        <w:t>Biotransformation</w:t>
      </w:r>
    </w:p>
    <w:p w14:paraId="360FEBAE" w14:textId="77777777" w:rsidR="00AF69AD" w:rsidRPr="00D941B8" w:rsidRDefault="00AF69AD" w:rsidP="00A76E1F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 xml:space="preserve">D3-vitamin </w:t>
      </w:r>
      <w:proofErr w:type="spellStart"/>
      <w:r w:rsidRPr="00D941B8">
        <w:rPr>
          <w:sz w:val="24"/>
          <w:szCs w:val="24"/>
        </w:rPr>
        <w:t>metaboliseres</w:t>
      </w:r>
      <w:proofErr w:type="spellEnd"/>
      <w:r w:rsidRPr="00D941B8">
        <w:rPr>
          <w:sz w:val="24"/>
          <w:szCs w:val="24"/>
        </w:rPr>
        <w:t xml:space="preserve"> hurtigt ved </w:t>
      </w:r>
      <w:proofErr w:type="spellStart"/>
      <w:r w:rsidRPr="00D941B8">
        <w:rPr>
          <w:sz w:val="24"/>
          <w:szCs w:val="24"/>
        </w:rPr>
        <w:t>hydroxylering</w:t>
      </w:r>
      <w:proofErr w:type="spellEnd"/>
      <w:r w:rsidRPr="00D941B8">
        <w:rPr>
          <w:sz w:val="24"/>
          <w:szCs w:val="24"/>
        </w:rPr>
        <w:t xml:space="preserve"> i leveren til 25-hydroxyvitamin D3 og </w:t>
      </w:r>
      <w:proofErr w:type="spellStart"/>
      <w:r w:rsidRPr="00D941B8">
        <w:rPr>
          <w:sz w:val="24"/>
          <w:szCs w:val="24"/>
        </w:rPr>
        <w:t>metaboliseres</w:t>
      </w:r>
      <w:proofErr w:type="spellEnd"/>
      <w:r w:rsidRPr="00D941B8">
        <w:rPr>
          <w:sz w:val="24"/>
          <w:szCs w:val="24"/>
        </w:rPr>
        <w:t xml:space="preserve"> efterfølgende i nyrerne til 1,25-dihydroxyvitamin D3, som repræsenterer den biologisk aktive form. Yderligere </w:t>
      </w:r>
      <w:proofErr w:type="spellStart"/>
      <w:r w:rsidRPr="00D941B8">
        <w:rPr>
          <w:sz w:val="24"/>
          <w:szCs w:val="24"/>
        </w:rPr>
        <w:t>hydroxylering</w:t>
      </w:r>
      <w:proofErr w:type="spellEnd"/>
      <w:r w:rsidRPr="00D941B8">
        <w:rPr>
          <w:sz w:val="24"/>
          <w:szCs w:val="24"/>
        </w:rPr>
        <w:t xml:space="preserve"> forekommer før elimination. For en lille procentdel af D3</w:t>
      </w:r>
      <w:r w:rsidRPr="00D941B8">
        <w:rPr>
          <w:sz w:val="24"/>
          <w:szCs w:val="24"/>
        </w:rPr>
        <w:noBreakHyphen/>
        <w:t xml:space="preserve">vitamin sker der en </w:t>
      </w:r>
      <w:proofErr w:type="spellStart"/>
      <w:r w:rsidRPr="00D941B8">
        <w:rPr>
          <w:sz w:val="24"/>
          <w:szCs w:val="24"/>
        </w:rPr>
        <w:t>glukuronidering</w:t>
      </w:r>
      <w:proofErr w:type="spellEnd"/>
      <w:r w:rsidRPr="00D941B8">
        <w:rPr>
          <w:sz w:val="24"/>
          <w:szCs w:val="24"/>
        </w:rPr>
        <w:t xml:space="preserve"> før elimination.</w:t>
      </w:r>
    </w:p>
    <w:p w14:paraId="1BD13CFE" w14:textId="77777777" w:rsidR="00AF69AD" w:rsidRPr="006251D6" w:rsidRDefault="00AF69AD" w:rsidP="00A76E1F">
      <w:pPr>
        <w:ind w:left="851"/>
        <w:rPr>
          <w:sz w:val="24"/>
          <w:szCs w:val="24"/>
        </w:rPr>
      </w:pPr>
    </w:p>
    <w:p w14:paraId="451D9A64" w14:textId="77777777" w:rsidR="00AF69AD" w:rsidRPr="006251D6" w:rsidRDefault="00AF69AD" w:rsidP="00A76E1F">
      <w:pPr>
        <w:ind w:left="851"/>
        <w:rPr>
          <w:bCs/>
          <w:sz w:val="24"/>
          <w:szCs w:val="24"/>
          <w:u w:val="single"/>
        </w:rPr>
      </w:pPr>
      <w:r w:rsidRPr="006251D6">
        <w:rPr>
          <w:bCs/>
          <w:sz w:val="24"/>
          <w:szCs w:val="24"/>
          <w:u w:val="single"/>
        </w:rPr>
        <w:t>Elimination</w:t>
      </w:r>
    </w:p>
    <w:p w14:paraId="1BB8B80F" w14:textId="77777777" w:rsidR="00AF69AD" w:rsidRPr="00D941B8" w:rsidRDefault="00AF69AD" w:rsidP="00A76E1F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D-vitamin og dets metabolitter udskilles via fæces og urin.</w:t>
      </w:r>
    </w:p>
    <w:p w14:paraId="030C57DD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937C33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5.3</w:t>
      </w:r>
      <w:r w:rsidRPr="00D941B8">
        <w:rPr>
          <w:b/>
          <w:sz w:val="24"/>
          <w:szCs w:val="24"/>
        </w:rPr>
        <w:tab/>
        <w:t>Prækliniske sikkerhedsdata</w:t>
      </w:r>
    </w:p>
    <w:p w14:paraId="04EE78D5" w14:textId="77777777" w:rsidR="00AF69AD" w:rsidRPr="00D941B8" w:rsidRDefault="00AF69AD" w:rsidP="00A76E1F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D941B8">
        <w:rPr>
          <w:sz w:val="24"/>
          <w:szCs w:val="24"/>
        </w:rPr>
        <w:t xml:space="preserve">Der blev kun observeret påvirkninger i prækliniske toksicitetsstudier med gentagne doser ved eksponeringer, der oversteg den maksimale humane eksponering betragteligt, hvilket indikerer, at en sådan toksicitet sandsynligvis kun vil forekomme ved kronisk overdosering, hvilket kan resultere i </w:t>
      </w:r>
      <w:proofErr w:type="spellStart"/>
      <w:r w:rsidRPr="00D941B8">
        <w:rPr>
          <w:sz w:val="24"/>
          <w:szCs w:val="24"/>
        </w:rPr>
        <w:t>hypercalcæmi</w:t>
      </w:r>
      <w:proofErr w:type="spellEnd"/>
      <w:r w:rsidRPr="00D941B8">
        <w:rPr>
          <w:sz w:val="24"/>
          <w:szCs w:val="24"/>
        </w:rPr>
        <w:t>.</w:t>
      </w:r>
    </w:p>
    <w:p w14:paraId="4B9E2A44" w14:textId="77777777" w:rsidR="00AF69AD" w:rsidRPr="00D941B8" w:rsidRDefault="00AF69AD" w:rsidP="00A76E1F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0DC856F6" w14:textId="77777777" w:rsidR="00AF69AD" w:rsidRPr="00D941B8" w:rsidRDefault="00AF69AD" w:rsidP="00A76E1F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D941B8">
        <w:rPr>
          <w:sz w:val="24"/>
          <w:szCs w:val="24"/>
        </w:rPr>
        <w:lastRenderedPageBreak/>
        <w:t xml:space="preserve">Det er påvist, at </w:t>
      </w:r>
      <w:proofErr w:type="spellStart"/>
      <w:r w:rsidRPr="00D941B8">
        <w:rPr>
          <w:sz w:val="24"/>
          <w:szCs w:val="24"/>
        </w:rPr>
        <w:t>cholecalciferol</w:t>
      </w:r>
      <w:proofErr w:type="spellEnd"/>
      <w:r w:rsidRPr="00D941B8">
        <w:rPr>
          <w:sz w:val="24"/>
          <w:szCs w:val="24"/>
        </w:rPr>
        <w:t xml:space="preserve"> i dyr inducerer misdannelser i rotter, mus og kaniner, ved doser der er signifikant højere end dosis til mennesker. Misdannelserne omfattede skeletdefekter, </w:t>
      </w:r>
      <w:proofErr w:type="spellStart"/>
      <w:r w:rsidRPr="00D941B8">
        <w:rPr>
          <w:sz w:val="24"/>
          <w:szCs w:val="24"/>
        </w:rPr>
        <w:t>mikrocefali</w:t>
      </w:r>
      <w:proofErr w:type="spellEnd"/>
      <w:r w:rsidRPr="00D941B8">
        <w:rPr>
          <w:sz w:val="24"/>
          <w:szCs w:val="24"/>
        </w:rPr>
        <w:t xml:space="preserve"> og hjertemisdannelser.</w:t>
      </w:r>
    </w:p>
    <w:p w14:paraId="59BCD031" w14:textId="77777777" w:rsidR="00AF69AD" w:rsidRPr="00D941B8" w:rsidRDefault="00AF69AD" w:rsidP="00A76E1F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3B8BC3D0" w14:textId="77777777" w:rsidR="00AF69AD" w:rsidRPr="00D941B8" w:rsidRDefault="00AF69AD" w:rsidP="00A76E1F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D941B8">
        <w:rPr>
          <w:sz w:val="24"/>
          <w:szCs w:val="24"/>
        </w:rPr>
        <w:t xml:space="preserve">Der er observeret </w:t>
      </w:r>
      <w:proofErr w:type="spellStart"/>
      <w:r w:rsidRPr="00D941B8">
        <w:rPr>
          <w:sz w:val="24"/>
          <w:szCs w:val="24"/>
        </w:rPr>
        <w:t>teratogenicitet</w:t>
      </w:r>
      <w:proofErr w:type="spellEnd"/>
      <w:r w:rsidRPr="00D941B8">
        <w:rPr>
          <w:sz w:val="24"/>
          <w:szCs w:val="24"/>
        </w:rPr>
        <w:t xml:space="preserve"> i dyrestudier ved doser, der er langt højere end det terapeutiske interval til mennesker.</w:t>
      </w:r>
    </w:p>
    <w:p w14:paraId="7BE3DE7F" w14:textId="77777777" w:rsidR="00AF69AD" w:rsidRPr="00D941B8" w:rsidRDefault="00AF69AD" w:rsidP="00A76E1F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6FDBA977" w14:textId="77777777" w:rsidR="00AF69AD" w:rsidRPr="00D941B8" w:rsidRDefault="00AF69AD" w:rsidP="00A76E1F">
      <w:pPr>
        <w:numPr>
          <w:ilvl w:val="12"/>
          <w:numId w:val="0"/>
        </w:numPr>
        <w:ind w:left="851" w:right="1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Cholecalciferol</w:t>
      </w:r>
      <w:proofErr w:type="spellEnd"/>
      <w:r w:rsidRPr="00D941B8">
        <w:rPr>
          <w:sz w:val="24"/>
          <w:szCs w:val="24"/>
        </w:rPr>
        <w:t xml:space="preserve"> har ingen potentiel mutagen eller karcinogen aktivitet.</w:t>
      </w:r>
    </w:p>
    <w:p w14:paraId="590139D5" w14:textId="77777777" w:rsidR="00AF69AD" w:rsidRPr="00D941B8" w:rsidRDefault="00AF69AD" w:rsidP="00A76E1F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1F14871C" w14:textId="77777777" w:rsidR="00AF69AD" w:rsidRPr="00D941B8" w:rsidRDefault="00AF69AD" w:rsidP="00A76E1F">
      <w:pPr>
        <w:numPr>
          <w:ilvl w:val="12"/>
          <w:numId w:val="0"/>
        </w:numPr>
        <w:ind w:left="851" w:right="11"/>
        <w:rPr>
          <w:sz w:val="24"/>
          <w:szCs w:val="24"/>
        </w:rPr>
      </w:pPr>
      <w:proofErr w:type="spellStart"/>
      <w:r w:rsidRPr="00D941B8">
        <w:rPr>
          <w:sz w:val="24"/>
          <w:szCs w:val="24"/>
        </w:rPr>
        <w:t>Calcitriol</w:t>
      </w:r>
      <w:proofErr w:type="spellEnd"/>
      <w:r w:rsidRPr="00D941B8">
        <w:rPr>
          <w:sz w:val="24"/>
          <w:szCs w:val="24"/>
        </w:rPr>
        <w:t xml:space="preserve">, </w:t>
      </w:r>
      <w:proofErr w:type="spellStart"/>
      <w:r w:rsidRPr="00D941B8">
        <w:rPr>
          <w:sz w:val="24"/>
          <w:szCs w:val="24"/>
        </w:rPr>
        <w:t>cholecalciferols</w:t>
      </w:r>
      <w:proofErr w:type="spellEnd"/>
      <w:r w:rsidRPr="00D941B8">
        <w:rPr>
          <w:sz w:val="24"/>
          <w:szCs w:val="24"/>
        </w:rPr>
        <w:t xml:space="preserve"> aktive metabolit, var ikke genotoksisk i det mikrobielle </w:t>
      </w:r>
      <w:proofErr w:type="spellStart"/>
      <w:r w:rsidRPr="00D941B8">
        <w:rPr>
          <w:sz w:val="24"/>
          <w:szCs w:val="24"/>
        </w:rPr>
        <w:t>mutagenese-assay</w:t>
      </w:r>
      <w:proofErr w:type="spellEnd"/>
      <w:r w:rsidRPr="00D941B8">
        <w:rPr>
          <w:sz w:val="24"/>
          <w:szCs w:val="24"/>
        </w:rPr>
        <w:t xml:space="preserve"> og i et </w:t>
      </w:r>
      <w:proofErr w:type="spellStart"/>
      <w:r w:rsidRPr="00D941B8">
        <w:rPr>
          <w:sz w:val="24"/>
          <w:szCs w:val="24"/>
        </w:rPr>
        <w:t>mikronucleus-assay</w:t>
      </w:r>
      <w:proofErr w:type="spellEnd"/>
      <w:r w:rsidRPr="00D941B8">
        <w:rPr>
          <w:sz w:val="24"/>
          <w:szCs w:val="24"/>
        </w:rPr>
        <w:t xml:space="preserve"> i mus.</w:t>
      </w:r>
    </w:p>
    <w:p w14:paraId="718FF1C5" w14:textId="77777777" w:rsidR="00AF69AD" w:rsidRPr="00D941B8" w:rsidRDefault="00AF69AD" w:rsidP="00A76E1F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3A3B000A" w14:textId="77777777" w:rsidR="00AF69AD" w:rsidRPr="00D941B8" w:rsidRDefault="00AF69AD" w:rsidP="00A76E1F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D941B8">
        <w:rPr>
          <w:sz w:val="24"/>
          <w:szCs w:val="24"/>
        </w:rPr>
        <w:t>Der foreligger ikke yderligere data vedrørende den prækliniske sikkerhed af lægemidlet.</w:t>
      </w:r>
    </w:p>
    <w:p w14:paraId="75073572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09A5981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686821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6.</w:t>
      </w:r>
      <w:r w:rsidRPr="00D941B8">
        <w:rPr>
          <w:b/>
          <w:sz w:val="24"/>
          <w:szCs w:val="24"/>
        </w:rPr>
        <w:tab/>
        <w:t>FARMACEUTISKE OPLYSNINGER</w:t>
      </w:r>
    </w:p>
    <w:p w14:paraId="3C6F91A8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33A171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6.1</w:t>
      </w:r>
      <w:r w:rsidRPr="00D941B8">
        <w:rPr>
          <w:b/>
          <w:sz w:val="24"/>
          <w:szCs w:val="24"/>
        </w:rPr>
        <w:tab/>
        <w:t>Hjælpestoffer</w:t>
      </w:r>
    </w:p>
    <w:p w14:paraId="02BD5129" w14:textId="77777777" w:rsidR="00EE00EC" w:rsidRDefault="00EE00EC" w:rsidP="00A76E1F">
      <w:pPr>
        <w:ind w:left="851"/>
        <w:rPr>
          <w:b/>
          <w:bCs/>
          <w:sz w:val="24"/>
          <w:szCs w:val="24"/>
        </w:rPr>
      </w:pPr>
    </w:p>
    <w:p w14:paraId="112A56ED" w14:textId="070FC320" w:rsidR="00AF69AD" w:rsidRPr="00D941B8" w:rsidRDefault="00AF69AD" w:rsidP="00A76E1F">
      <w:pPr>
        <w:ind w:left="851"/>
        <w:rPr>
          <w:b/>
          <w:bCs/>
          <w:sz w:val="24"/>
          <w:szCs w:val="24"/>
        </w:rPr>
      </w:pPr>
      <w:r w:rsidRPr="00D941B8">
        <w:rPr>
          <w:b/>
          <w:bCs/>
          <w:sz w:val="24"/>
          <w:szCs w:val="24"/>
        </w:rPr>
        <w:t>Kapselindhold</w:t>
      </w:r>
    </w:p>
    <w:p w14:paraId="20557FB1" w14:textId="77777777" w:rsidR="00AF69AD" w:rsidRPr="00D941B8" w:rsidRDefault="00AF69AD" w:rsidP="00A76E1F">
      <w:pPr>
        <w:ind w:left="851"/>
        <w:rPr>
          <w:sz w:val="24"/>
          <w:szCs w:val="24"/>
        </w:rPr>
      </w:pPr>
      <w:bookmarkStart w:id="1" w:name="_Hlk70885652"/>
      <w:r w:rsidRPr="00D941B8">
        <w:rPr>
          <w:sz w:val="24"/>
          <w:szCs w:val="24"/>
        </w:rPr>
        <w:t>Triglycerider, middelkædelængde</w:t>
      </w:r>
    </w:p>
    <w:p w14:paraId="0B10689E" w14:textId="77777777" w:rsidR="00AF69AD" w:rsidRPr="00D941B8" w:rsidRDefault="00AF69AD" w:rsidP="00A76E1F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α-</w:t>
      </w:r>
      <w:proofErr w:type="spellStart"/>
      <w:r w:rsidRPr="00D941B8">
        <w:rPr>
          <w:sz w:val="24"/>
          <w:szCs w:val="24"/>
        </w:rPr>
        <w:t>Tocopherol</w:t>
      </w:r>
      <w:proofErr w:type="spellEnd"/>
      <w:r w:rsidRPr="00D941B8">
        <w:rPr>
          <w:sz w:val="24"/>
          <w:szCs w:val="24"/>
        </w:rPr>
        <w:t>, all-</w:t>
      </w:r>
      <w:r w:rsidRPr="00D941B8">
        <w:rPr>
          <w:i/>
          <w:iCs/>
          <w:sz w:val="24"/>
          <w:szCs w:val="24"/>
        </w:rPr>
        <w:t>rac</w:t>
      </w:r>
      <w:r w:rsidRPr="00D941B8">
        <w:rPr>
          <w:sz w:val="24"/>
          <w:szCs w:val="24"/>
        </w:rPr>
        <w:t>-</w:t>
      </w:r>
    </w:p>
    <w:bookmarkEnd w:id="1"/>
    <w:p w14:paraId="0F8A3B89" w14:textId="77777777" w:rsidR="00AF69AD" w:rsidRPr="00D941B8" w:rsidRDefault="00AF69AD" w:rsidP="00A76E1F">
      <w:pPr>
        <w:ind w:left="851"/>
        <w:rPr>
          <w:sz w:val="24"/>
          <w:szCs w:val="24"/>
        </w:rPr>
      </w:pPr>
    </w:p>
    <w:p w14:paraId="451AAAD8" w14:textId="77777777" w:rsidR="00AF69AD" w:rsidRPr="00D941B8" w:rsidRDefault="00AF69AD" w:rsidP="00A76E1F">
      <w:pPr>
        <w:ind w:left="851"/>
        <w:rPr>
          <w:b/>
          <w:bCs/>
          <w:sz w:val="24"/>
          <w:szCs w:val="24"/>
        </w:rPr>
      </w:pPr>
      <w:r w:rsidRPr="00D941B8">
        <w:rPr>
          <w:b/>
          <w:bCs/>
          <w:sz w:val="24"/>
          <w:szCs w:val="24"/>
        </w:rPr>
        <w:t>Kapselskal</w:t>
      </w:r>
    </w:p>
    <w:p w14:paraId="2B190387" w14:textId="77777777" w:rsidR="00AF69AD" w:rsidRPr="00D941B8" w:rsidRDefault="00AF69AD" w:rsidP="00A76E1F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Gelatine (</w:t>
      </w:r>
      <w:bookmarkStart w:id="2" w:name="_Hlk70885704"/>
      <w:r w:rsidRPr="00D941B8">
        <w:rPr>
          <w:sz w:val="24"/>
          <w:szCs w:val="24"/>
        </w:rPr>
        <w:t>E 441)</w:t>
      </w:r>
    </w:p>
    <w:p w14:paraId="79A90A76" w14:textId="77777777" w:rsidR="00AF69AD" w:rsidRPr="00D941B8" w:rsidRDefault="00AF69AD" w:rsidP="00A76E1F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Glycerol (E 442)</w:t>
      </w:r>
    </w:p>
    <w:p w14:paraId="65034873" w14:textId="77777777" w:rsidR="00AF69AD" w:rsidRPr="00D941B8" w:rsidRDefault="00AF69AD" w:rsidP="00A76E1F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Flydende sorbitol (E 420), delvist dehydreret</w:t>
      </w:r>
    </w:p>
    <w:p w14:paraId="49FF6015" w14:textId="77777777" w:rsidR="00AF69AD" w:rsidRPr="00D941B8" w:rsidRDefault="00AF69AD" w:rsidP="00A76E1F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Renset vand</w:t>
      </w:r>
    </w:p>
    <w:bookmarkEnd w:id="2"/>
    <w:p w14:paraId="17EFA8DD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02DE513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6.2</w:t>
      </w:r>
      <w:r w:rsidRPr="00D941B8">
        <w:rPr>
          <w:b/>
          <w:sz w:val="24"/>
          <w:szCs w:val="24"/>
        </w:rPr>
        <w:tab/>
        <w:t>Uforligeligheder</w:t>
      </w:r>
    </w:p>
    <w:p w14:paraId="04F59394" w14:textId="77777777" w:rsidR="00AF69AD" w:rsidRPr="00D941B8" w:rsidRDefault="00AF69AD" w:rsidP="00A76E1F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Ikke relevant.</w:t>
      </w:r>
    </w:p>
    <w:p w14:paraId="069EF379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AEF2307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6.3</w:t>
      </w:r>
      <w:r w:rsidRPr="00D941B8">
        <w:rPr>
          <w:b/>
          <w:sz w:val="24"/>
          <w:szCs w:val="24"/>
        </w:rPr>
        <w:tab/>
        <w:t>Opbevaringstid</w:t>
      </w:r>
    </w:p>
    <w:p w14:paraId="1DE33C56" w14:textId="1487E366" w:rsidR="00AF69AD" w:rsidRPr="00D941B8" w:rsidRDefault="00AF69AD" w:rsidP="00A76E1F">
      <w:pPr>
        <w:pStyle w:val="Sidehoved"/>
        <w:ind w:left="851"/>
        <w:rPr>
          <w:szCs w:val="24"/>
          <w:lang w:eastAsia="en-US"/>
        </w:rPr>
      </w:pPr>
      <w:r w:rsidRPr="00D941B8">
        <w:rPr>
          <w:szCs w:val="24"/>
        </w:rPr>
        <w:t>3 år.</w:t>
      </w:r>
    </w:p>
    <w:p w14:paraId="4D953967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C8139C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6.4</w:t>
      </w:r>
      <w:r w:rsidRPr="00D941B8">
        <w:rPr>
          <w:b/>
          <w:sz w:val="24"/>
          <w:szCs w:val="24"/>
        </w:rPr>
        <w:tab/>
        <w:t>Særlige opbevaringsforhold</w:t>
      </w:r>
    </w:p>
    <w:p w14:paraId="6844532B" w14:textId="77777777" w:rsidR="00AF69AD" w:rsidRPr="00D941B8" w:rsidRDefault="00AF69AD" w:rsidP="00A76E1F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Dette lægemiddel kræver ingen særlige forholdsregler vedrørende opbevaringen.</w:t>
      </w:r>
    </w:p>
    <w:p w14:paraId="4B33CB9C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16EC8D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6.5</w:t>
      </w:r>
      <w:r w:rsidRPr="00D941B8">
        <w:rPr>
          <w:b/>
          <w:sz w:val="24"/>
          <w:szCs w:val="24"/>
        </w:rPr>
        <w:tab/>
        <w:t>Emballagetyper og pakningsstørrelser</w:t>
      </w:r>
    </w:p>
    <w:p w14:paraId="4FE04C57" w14:textId="77777777" w:rsidR="00AF69AD" w:rsidRPr="00D941B8" w:rsidRDefault="00AF69AD" w:rsidP="00A76E1F">
      <w:pPr>
        <w:suppressAutoHyphens/>
        <w:ind w:left="851"/>
        <w:rPr>
          <w:sz w:val="24"/>
          <w:szCs w:val="24"/>
        </w:rPr>
      </w:pPr>
      <w:r w:rsidRPr="00D941B8">
        <w:rPr>
          <w:sz w:val="24"/>
          <w:szCs w:val="24"/>
        </w:rPr>
        <w:t>Hvid, uigennemsigtig PVC/</w:t>
      </w:r>
      <w:proofErr w:type="spellStart"/>
      <w:r w:rsidRPr="00D941B8">
        <w:rPr>
          <w:sz w:val="24"/>
          <w:szCs w:val="24"/>
        </w:rPr>
        <w:t>PVdC</w:t>
      </w:r>
      <w:proofErr w:type="spellEnd"/>
      <w:r w:rsidRPr="00D941B8">
        <w:rPr>
          <w:sz w:val="24"/>
          <w:szCs w:val="24"/>
        </w:rPr>
        <w:t>/Al blisterpakning.</w:t>
      </w:r>
    </w:p>
    <w:p w14:paraId="6ADD9818" w14:textId="77777777" w:rsidR="00AF69AD" w:rsidRPr="00D941B8" w:rsidRDefault="00AF69AD" w:rsidP="00A76E1F">
      <w:pPr>
        <w:suppressAutoHyphens/>
        <w:ind w:left="851"/>
        <w:rPr>
          <w:sz w:val="24"/>
          <w:szCs w:val="24"/>
        </w:rPr>
      </w:pPr>
      <w:r w:rsidRPr="00D941B8">
        <w:rPr>
          <w:sz w:val="24"/>
          <w:szCs w:val="24"/>
        </w:rPr>
        <w:t>Pakningsstørrelser for blisterpakning: 3, 4.</w:t>
      </w:r>
    </w:p>
    <w:p w14:paraId="5220BF89" w14:textId="77777777" w:rsidR="00AF69AD" w:rsidRPr="00D941B8" w:rsidRDefault="00AF69AD" w:rsidP="00A76E1F">
      <w:pPr>
        <w:suppressAutoHyphens/>
        <w:ind w:left="851"/>
        <w:rPr>
          <w:sz w:val="24"/>
          <w:szCs w:val="24"/>
        </w:rPr>
      </w:pPr>
    </w:p>
    <w:p w14:paraId="4D60DD7C" w14:textId="77777777" w:rsidR="00AF69AD" w:rsidRPr="00D941B8" w:rsidRDefault="00AF69AD" w:rsidP="00A76E1F">
      <w:pPr>
        <w:suppressAutoHyphens/>
        <w:ind w:left="851"/>
        <w:rPr>
          <w:sz w:val="24"/>
          <w:szCs w:val="24"/>
        </w:rPr>
      </w:pPr>
      <w:r w:rsidRPr="00D941B8">
        <w:rPr>
          <w:sz w:val="24"/>
          <w:szCs w:val="24"/>
        </w:rPr>
        <w:t>Ikke alle pakningsstørrelser er nødvendigvis markedsført.</w:t>
      </w:r>
    </w:p>
    <w:p w14:paraId="553B9CA5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AF54014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6.6</w:t>
      </w:r>
      <w:r w:rsidRPr="00D941B8">
        <w:rPr>
          <w:b/>
          <w:sz w:val="24"/>
          <w:szCs w:val="24"/>
        </w:rPr>
        <w:tab/>
        <w:t>Regler for destruktion og anden håndtering</w:t>
      </w:r>
    </w:p>
    <w:p w14:paraId="14800F6A" w14:textId="77777777" w:rsidR="00AF69AD" w:rsidRPr="00D941B8" w:rsidRDefault="00AF69AD" w:rsidP="00F4631C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Ingen særlige forholdsregler ved bortskaffelse. Ikke anvendt lægemiddel samt affald heraf skal bortskaffes i henhold til lokale retningslinjer.</w:t>
      </w:r>
    </w:p>
    <w:p w14:paraId="17CBF09F" w14:textId="255086D3" w:rsidR="00C67665" w:rsidRDefault="00C6766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5109B9" w14:textId="77777777" w:rsidR="009260DE" w:rsidRPr="00D941B8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05DABB10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7.</w:t>
      </w:r>
      <w:r w:rsidRPr="00D941B8">
        <w:rPr>
          <w:b/>
          <w:sz w:val="24"/>
          <w:szCs w:val="24"/>
        </w:rPr>
        <w:tab/>
        <w:t>INDEHAVER AF MARKEDSFØRINGSTILLADELSEN</w:t>
      </w:r>
    </w:p>
    <w:p w14:paraId="25269EAC" w14:textId="77777777" w:rsidR="00AF69AD" w:rsidRPr="00D941B8" w:rsidRDefault="00AF69AD" w:rsidP="00F4631C">
      <w:pPr>
        <w:ind w:left="851"/>
        <w:rPr>
          <w:sz w:val="24"/>
          <w:szCs w:val="24"/>
        </w:rPr>
      </w:pPr>
      <w:bookmarkStart w:id="3" w:name="_Hlk70886606"/>
      <w:proofErr w:type="spellStart"/>
      <w:r w:rsidRPr="00D941B8">
        <w:rPr>
          <w:sz w:val="24"/>
          <w:szCs w:val="24"/>
        </w:rPr>
        <w:t>Theramex</w:t>
      </w:r>
      <w:proofErr w:type="spellEnd"/>
      <w:r w:rsidRPr="00D941B8">
        <w:rPr>
          <w:sz w:val="24"/>
          <w:szCs w:val="24"/>
        </w:rPr>
        <w:t xml:space="preserve"> Ireland Limited</w:t>
      </w:r>
    </w:p>
    <w:p w14:paraId="55A1FC6F" w14:textId="77777777" w:rsidR="00AF69AD" w:rsidRPr="00D941B8" w:rsidRDefault="00AF69AD" w:rsidP="00F4631C">
      <w:pPr>
        <w:ind w:left="851"/>
        <w:rPr>
          <w:sz w:val="24"/>
          <w:szCs w:val="24"/>
          <w:lang w:val="en-US"/>
        </w:rPr>
      </w:pPr>
      <w:r w:rsidRPr="00D941B8">
        <w:rPr>
          <w:sz w:val="24"/>
          <w:szCs w:val="24"/>
          <w:lang w:val="en-US"/>
        </w:rPr>
        <w:t>3rd Floor, Kilmore House</w:t>
      </w:r>
    </w:p>
    <w:p w14:paraId="425E00E5" w14:textId="77777777" w:rsidR="00AF69AD" w:rsidRPr="00D941B8" w:rsidRDefault="00AF69AD" w:rsidP="00F4631C">
      <w:pPr>
        <w:ind w:left="851"/>
        <w:rPr>
          <w:sz w:val="24"/>
          <w:szCs w:val="24"/>
          <w:lang w:val="en-US"/>
        </w:rPr>
      </w:pPr>
      <w:r w:rsidRPr="00D941B8">
        <w:rPr>
          <w:sz w:val="24"/>
          <w:szCs w:val="24"/>
          <w:lang w:val="en-US"/>
        </w:rPr>
        <w:t>Park Lane, Spencer Dock</w:t>
      </w:r>
    </w:p>
    <w:p w14:paraId="2B55317A" w14:textId="77777777" w:rsidR="00AF69AD" w:rsidRPr="00D941B8" w:rsidRDefault="00AF69AD" w:rsidP="00F4631C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Dublin 1, D01YE64</w:t>
      </w:r>
    </w:p>
    <w:p w14:paraId="7E57D874" w14:textId="77777777" w:rsidR="00AF69AD" w:rsidRPr="00D941B8" w:rsidRDefault="00AF69AD" w:rsidP="00F4631C">
      <w:pPr>
        <w:ind w:left="851"/>
        <w:rPr>
          <w:sz w:val="24"/>
          <w:szCs w:val="24"/>
        </w:rPr>
      </w:pPr>
      <w:r w:rsidRPr="00D941B8">
        <w:rPr>
          <w:sz w:val="24"/>
          <w:szCs w:val="24"/>
        </w:rPr>
        <w:t>Irland</w:t>
      </w:r>
    </w:p>
    <w:bookmarkEnd w:id="3"/>
    <w:p w14:paraId="47608D31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E157222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8.</w:t>
      </w:r>
      <w:r w:rsidRPr="00D941B8">
        <w:rPr>
          <w:b/>
          <w:sz w:val="24"/>
          <w:szCs w:val="24"/>
        </w:rPr>
        <w:tab/>
        <w:t>MARKEDSFØRINGSTILLADELSESNUMMER (NUMRE)</w:t>
      </w:r>
    </w:p>
    <w:p w14:paraId="77C85A50" w14:textId="48DCEA8B" w:rsidR="009260DE" w:rsidRPr="00D941B8" w:rsidRDefault="00AF69AD" w:rsidP="009260DE">
      <w:pPr>
        <w:tabs>
          <w:tab w:val="left" w:pos="851"/>
        </w:tabs>
        <w:ind w:left="851"/>
        <w:rPr>
          <w:sz w:val="24"/>
          <w:szCs w:val="24"/>
        </w:rPr>
      </w:pPr>
      <w:r w:rsidRPr="00D941B8">
        <w:rPr>
          <w:sz w:val="24"/>
          <w:szCs w:val="24"/>
        </w:rPr>
        <w:t>64</w:t>
      </w:r>
      <w:r w:rsidR="000144E7" w:rsidRPr="00D941B8">
        <w:rPr>
          <w:sz w:val="24"/>
          <w:szCs w:val="24"/>
        </w:rPr>
        <w:t>363</w:t>
      </w:r>
    </w:p>
    <w:p w14:paraId="5C3DB8B4" w14:textId="77777777" w:rsidR="009260DE" w:rsidRPr="00D941B8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6E3C528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9.</w:t>
      </w:r>
      <w:r w:rsidRPr="00D941B8">
        <w:rPr>
          <w:b/>
          <w:sz w:val="24"/>
          <w:szCs w:val="24"/>
        </w:rPr>
        <w:tab/>
        <w:t>DATO FOR FØRSTE MARKEDSFØRINGSTILLADELSE</w:t>
      </w:r>
    </w:p>
    <w:p w14:paraId="2B0F5B5C" w14:textId="1BE6FC68" w:rsidR="009260DE" w:rsidRPr="00D941B8" w:rsidRDefault="00F61C64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10. september 2021</w:t>
      </w:r>
    </w:p>
    <w:p w14:paraId="0730AB5F" w14:textId="77777777" w:rsidR="009260DE" w:rsidRPr="00D941B8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2B11E8" w14:textId="77777777" w:rsidR="009260DE" w:rsidRPr="00D941B8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941B8">
        <w:rPr>
          <w:b/>
          <w:sz w:val="24"/>
          <w:szCs w:val="24"/>
        </w:rPr>
        <w:t>10.</w:t>
      </w:r>
      <w:r w:rsidRPr="00D941B8">
        <w:rPr>
          <w:b/>
          <w:sz w:val="24"/>
          <w:szCs w:val="24"/>
        </w:rPr>
        <w:tab/>
        <w:t>DATO FOR ÆNDRING AF TEKSTEN</w:t>
      </w:r>
    </w:p>
    <w:p w14:paraId="1C5AEC8A" w14:textId="14C27CB5" w:rsidR="009260DE" w:rsidRPr="00D941B8" w:rsidRDefault="000144E7" w:rsidP="009260DE">
      <w:pPr>
        <w:tabs>
          <w:tab w:val="left" w:pos="851"/>
        </w:tabs>
        <w:ind w:left="851"/>
        <w:rPr>
          <w:sz w:val="24"/>
          <w:szCs w:val="24"/>
        </w:rPr>
      </w:pPr>
      <w:r w:rsidRPr="00D941B8">
        <w:rPr>
          <w:sz w:val="24"/>
          <w:szCs w:val="24"/>
        </w:rPr>
        <w:t>-</w:t>
      </w:r>
    </w:p>
    <w:sectPr w:rsidR="009260DE" w:rsidRPr="00D941B8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19524" w14:textId="77777777" w:rsidR="00405C1C" w:rsidRDefault="00405C1C">
      <w:r>
        <w:separator/>
      </w:r>
    </w:p>
  </w:endnote>
  <w:endnote w:type="continuationSeparator" w:id="0">
    <w:p w14:paraId="3F068B32" w14:textId="77777777" w:rsidR="00405C1C" w:rsidRDefault="0040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79DE" w14:textId="77777777" w:rsidR="000259B9" w:rsidRDefault="000259B9">
    <w:pPr>
      <w:pStyle w:val="Sidefod"/>
      <w:pBdr>
        <w:bottom w:val="single" w:sz="6" w:space="1" w:color="auto"/>
      </w:pBdr>
    </w:pPr>
  </w:p>
  <w:p w14:paraId="10124671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28251C38" w14:textId="03BFACD1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5D638E">
      <w:rPr>
        <w:i/>
        <w:noProof/>
        <w:sz w:val="18"/>
        <w:szCs w:val="18"/>
      </w:rPr>
      <w:t>Fedivelle, bløde kapsler 500 mikrogram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5B1AC" w14:textId="77777777" w:rsidR="00405C1C" w:rsidRDefault="00405C1C">
      <w:r>
        <w:separator/>
      </w:r>
    </w:p>
  </w:footnote>
  <w:footnote w:type="continuationSeparator" w:id="0">
    <w:p w14:paraId="5F6DA495" w14:textId="77777777" w:rsidR="00405C1C" w:rsidRDefault="00405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9F5"/>
    <w:multiLevelType w:val="hybridMultilevel"/>
    <w:tmpl w:val="06FA27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B97CD7"/>
    <w:multiLevelType w:val="hybridMultilevel"/>
    <w:tmpl w:val="8FD429CA"/>
    <w:lvl w:ilvl="0" w:tplc="DE16829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D152945"/>
    <w:multiLevelType w:val="hybridMultilevel"/>
    <w:tmpl w:val="FADC7D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C423C"/>
    <w:multiLevelType w:val="hybridMultilevel"/>
    <w:tmpl w:val="60B691BE"/>
    <w:lvl w:ilvl="0" w:tplc="DE16829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1C"/>
    <w:rsid w:val="000144E7"/>
    <w:rsid w:val="000259B9"/>
    <w:rsid w:val="00041491"/>
    <w:rsid w:val="00050D16"/>
    <w:rsid w:val="000730CA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62CE1"/>
    <w:rsid w:val="003A29AE"/>
    <w:rsid w:val="003A32D7"/>
    <w:rsid w:val="003B4074"/>
    <w:rsid w:val="003C769A"/>
    <w:rsid w:val="003F1838"/>
    <w:rsid w:val="00405C1C"/>
    <w:rsid w:val="0045746C"/>
    <w:rsid w:val="0046137B"/>
    <w:rsid w:val="0049104B"/>
    <w:rsid w:val="004E3B12"/>
    <w:rsid w:val="00532310"/>
    <w:rsid w:val="00565F0F"/>
    <w:rsid w:val="00594A86"/>
    <w:rsid w:val="00596D86"/>
    <w:rsid w:val="005D37B2"/>
    <w:rsid w:val="005D638E"/>
    <w:rsid w:val="006251D6"/>
    <w:rsid w:val="00637F5A"/>
    <w:rsid w:val="006560B1"/>
    <w:rsid w:val="006756DD"/>
    <w:rsid w:val="0071348D"/>
    <w:rsid w:val="00737275"/>
    <w:rsid w:val="00740EEC"/>
    <w:rsid w:val="0078011A"/>
    <w:rsid w:val="00782AF4"/>
    <w:rsid w:val="00790EE7"/>
    <w:rsid w:val="007B6649"/>
    <w:rsid w:val="0082576E"/>
    <w:rsid w:val="008C0CF1"/>
    <w:rsid w:val="00907F75"/>
    <w:rsid w:val="009260DE"/>
    <w:rsid w:val="0093258A"/>
    <w:rsid w:val="009738C7"/>
    <w:rsid w:val="009C7BA3"/>
    <w:rsid w:val="009D1F5A"/>
    <w:rsid w:val="00A10294"/>
    <w:rsid w:val="00A76E1F"/>
    <w:rsid w:val="00AF69AD"/>
    <w:rsid w:val="00B003BF"/>
    <w:rsid w:val="00B373D7"/>
    <w:rsid w:val="00C36276"/>
    <w:rsid w:val="00C42586"/>
    <w:rsid w:val="00C60CCD"/>
    <w:rsid w:val="00C67665"/>
    <w:rsid w:val="00C84483"/>
    <w:rsid w:val="00C95551"/>
    <w:rsid w:val="00CB20D7"/>
    <w:rsid w:val="00D020B0"/>
    <w:rsid w:val="00D11748"/>
    <w:rsid w:val="00D32F82"/>
    <w:rsid w:val="00D366CF"/>
    <w:rsid w:val="00D64E04"/>
    <w:rsid w:val="00D941B8"/>
    <w:rsid w:val="00E108AA"/>
    <w:rsid w:val="00E3749A"/>
    <w:rsid w:val="00E7437F"/>
    <w:rsid w:val="00E865B8"/>
    <w:rsid w:val="00EC0B9B"/>
    <w:rsid w:val="00ED5E9F"/>
    <w:rsid w:val="00EE00EC"/>
    <w:rsid w:val="00F16B05"/>
    <w:rsid w:val="00F4631C"/>
    <w:rsid w:val="00F61C64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05B7A"/>
  <w15:chartTrackingRefBased/>
  <w15:docId w15:val="{CF23C0DC-5085-4A0F-881A-785EAF4C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71348D"/>
    <w:pPr>
      <w:spacing w:before="120" w:after="120"/>
      <w:jc w:val="both"/>
    </w:pPr>
    <w:rPr>
      <w:sz w:val="22"/>
      <w:lang w:val="en-US"/>
    </w:rPr>
  </w:style>
  <w:style w:type="paragraph" w:styleId="Listeafsnit">
    <w:name w:val="List Paragraph"/>
    <w:basedOn w:val="Normal"/>
    <w:uiPriority w:val="34"/>
    <w:qFormat/>
    <w:rsid w:val="0071348D"/>
    <w:pPr>
      <w:ind w:left="720"/>
      <w:contextualSpacing/>
    </w:pPr>
    <w:rPr>
      <w:sz w:val="22"/>
    </w:rPr>
  </w:style>
  <w:style w:type="character" w:styleId="Hyperlink">
    <w:name w:val="Hyperlink"/>
    <w:uiPriority w:val="99"/>
    <w:semiHidden/>
    <w:unhideWhenUsed/>
    <w:rsid w:val="0071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8-00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GOD 008-00-SKB SPC Hum skabelon</Template>
  <TotalTime>34</TotalTime>
  <Pages>8</Pages>
  <Words>1785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2020042372, MT</dc:description>
  <cp:lastModifiedBy>Gitte Jørgensen</cp:lastModifiedBy>
  <cp:revision>8</cp:revision>
  <cp:lastPrinted>2012-08-22T08:53:00Z</cp:lastPrinted>
  <dcterms:created xsi:type="dcterms:W3CDTF">2021-09-09T13:01:00Z</dcterms:created>
  <dcterms:modified xsi:type="dcterms:W3CDTF">2021-09-10T06:36:00Z</dcterms:modified>
</cp:coreProperties>
</file>