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2C2E"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31E47793" wp14:editId="24CC1E9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A8147A1" w14:textId="45D60839" w:rsidR="006B3847" w:rsidRPr="002B11A1" w:rsidRDefault="006B3847" w:rsidP="006B3847">
      <w:pPr>
        <w:tabs>
          <w:tab w:val="right" w:pos="9356"/>
        </w:tabs>
        <w:rPr>
          <w:b/>
          <w:sz w:val="24"/>
          <w:szCs w:val="24"/>
        </w:rPr>
      </w:pPr>
      <w:r w:rsidRPr="002B11A1">
        <w:rPr>
          <w:b/>
          <w:sz w:val="24"/>
          <w:szCs w:val="24"/>
        </w:rPr>
        <w:tab/>
      </w:r>
      <w:r w:rsidR="00EB6976">
        <w:rPr>
          <w:b/>
          <w:sz w:val="24"/>
          <w:szCs w:val="24"/>
        </w:rPr>
        <w:t>14. marts 2025</w:t>
      </w:r>
    </w:p>
    <w:p w14:paraId="6CA5AEFF" w14:textId="77777777" w:rsidR="006B3847" w:rsidRPr="002B11A1" w:rsidRDefault="006B3847" w:rsidP="006B3847">
      <w:pPr>
        <w:rPr>
          <w:sz w:val="24"/>
          <w:szCs w:val="24"/>
        </w:rPr>
      </w:pPr>
    </w:p>
    <w:p w14:paraId="2B375FBA" w14:textId="37FCFFEC" w:rsidR="007C5D2A" w:rsidRPr="002B11A1" w:rsidRDefault="007C5D2A" w:rsidP="007C5D2A">
      <w:pPr>
        <w:rPr>
          <w:sz w:val="24"/>
          <w:szCs w:val="24"/>
        </w:rPr>
      </w:pPr>
    </w:p>
    <w:p w14:paraId="06603C6A" w14:textId="77777777" w:rsidR="007C5D2A" w:rsidRPr="002B11A1" w:rsidRDefault="007C5D2A" w:rsidP="007C5D2A">
      <w:pPr>
        <w:rPr>
          <w:sz w:val="24"/>
          <w:szCs w:val="24"/>
        </w:rPr>
      </w:pPr>
    </w:p>
    <w:p w14:paraId="34FA59D1"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03548052" w14:textId="77777777" w:rsidR="007C5D2A" w:rsidRPr="00303008" w:rsidRDefault="007C5D2A" w:rsidP="007C5D2A">
      <w:pPr>
        <w:jc w:val="center"/>
        <w:rPr>
          <w:sz w:val="24"/>
          <w:szCs w:val="24"/>
          <w:lang w:val="en-GB"/>
        </w:rPr>
      </w:pPr>
    </w:p>
    <w:p w14:paraId="5BCB71A6" w14:textId="77777777" w:rsidR="007C5D2A" w:rsidRPr="00303008" w:rsidRDefault="007C5D2A" w:rsidP="007C5D2A">
      <w:pPr>
        <w:jc w:val="center"/>
        <w:rPr>
          <w:b/>
          <w:sz w:val="24"/>
          <w:szCs w:val="24"/>
          <w:lang w:val="en-GB"/>
        </w:rPr>
      </w:pPr>
      <w:r w:rsidRPr="00303008">
        <w:rPr>
          <w:b/>
          <w:sz w:val="24"/>
          <w:szCs w:val="24"/>
          <w:lang w:val="en-GB"/>
        </w:rPr>
        <w:t>for</w:t>
      </w:r>
    </w:p>
    <w:p w14:paraId="26D3DF6D" w14:textId="77777777" w:rsidR="007C5D2A" w:rsidRPr="00303008" w:rsidRDefault="007C5D2A" w:rsidP="007C5D2A">
      <w:pPr>
        <w:jc w:val="center"/>
        <w:rPr>
          <w:sz w:val="24"/>
          <w:szCs w:val="24"/>
          <w:lang w:val="en-GB"/>
        </w:rPr>
      </w:pPr>
    </w:p>
    <w:p w14:paraId="292F1537" w14:textId="7BC07624" w:rsidR="007C5D2A" w:rsidRPr="00303008" w:rsidRDefault="007F3E82" w:rsidP="007C5D2A">
      <w:pPr>
        <w:jc w:val="center"/>
        <w:rPr>
          <w:b/>
          <w:sz w:val="24"/>
          <w:szCs w:val="24"/>
          <w:lang w:val="en-GB"/>
        </w:rPr>
      </w:pPr>
      <w:r>
        <w:rPr>
          <w:b/>
          <w:sz w:val="24"/>
          <w:szCs w:val="24"/>
          <w:lang w:val="en-GB"/>
        </w:rPr>
        <w:t>Fem</w:t>
      </w:r>
      <w:r w:rsidR="00243723">
        <w:rPr>
          <w:b/>
          <w:sz w:val="24"/>
          <w:szCs w:val="24"/>
          <w:lang w:val="en-GB"/>
        </w:rPr>
        <w:t xml:space="preserve">oston Conti, filmcoated tablets </w:t>
      </w:r>
      <w:r w:rsidR="00192C3C">
        <w:rPr>
          <w:b/>
          <w:sz w:val="24"/>
          <w:szCs w:val="24"/>
          <w:lang w:val="en-GB"/>
        </w:rPr>
        <w:t>1</w:t>
      </w:r>
      <w:r w:rsidR="00243723">
        <w:rPr>
          <w:b/>
          <w:sz w:val="24"/>
          <w:szCs w:val="24"/>
          <w:lang w:val="en-GB"/>
        </w:rPr>
        <w:t xml:space="preserve"> mg/5 mg</w:t>
      </w:r>
    </w:p>
    <w:p w14:paraId="0E4DB6CD" w14:textId="77777777" w:rsidR="007C5D2A" w:rsidRPr="00303008" w:rsidRDefault="007C5D2A" w:rsidP="007C5D2A">
      <w:pPr>
        <w:jc w:val="both"/>
        <w:rPr>
          <w:sz w:val="24"/>
          <w:szCs w:val="24"/>
          <w:lang w:val="en-GB"/>
        </w:rPr>
      </w:pPr>
    </w:p>
    <w:p w14:paraId="566A8574" w14:textId="77777777" w:rsidR="0042292D" w:rsidRPr="00303008" w:rsidRDefault="0042292D" w:rsidP="007C5D2A">
      <w:pPr>
        <w:jc w:val="both"/>
        <w:rPr>
          <w:sz w:val="24"/>
          <w:szCs w:val="24"/>
          <w:lang w:val="en-GB"/>
        </w:rPr>
      </w:pPr>
    </w:p>
    <w:p w14:paraId="4F8E88B5"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2A1F723B" w14:textId="77BA219F" w:rsidR="008F2F8C" w:rsidRPr="00303008" w:rsidRDefault="00243723" w:rsidP="008F2F8C">
      <w:pPr>
        <w:tabs>
          <w:tab w:val="left" w:pos="8222"/>
        </w:tabs>
        <w:ind w:left="851"/>
        <w:rPr>
          <w:sz w:val="24"/>
          <w:szCs w:val="24"/>
          <w:lang w:val="en-GB"/>
        </w:rPr>
      </w:pPr>
      <w:r>
        <w:rPr>
          <w:sz w:val="24"/>
          <w:szCs w:val="24"/>
          <w:lang w:val="en-GB"/>
        </w:rPr>
        <w:t>31309</w:t>
      </w:r>
    </w:p>
    <w:p w14:paraId="136DF92F" w14:textId="77777777" w:rsidR="007C5D2A" w:rsidRPr="00303008" w:rsidRDefault="007C5D2A" w:rsidP="007C5D2A">
      <w:pPr>
        <w:tabs>
          <w:tab w:val="left" w:pos="851"/>
        </w:tabs>
        <w:jc w:val="both"/>
        <w:rPr>
          <w:sz w:val="24"/>
          <w:szCs w:val="24"/>
          <w:lang w:val="en-GB"/>
        </w:rPr>
      </w:pPr>
    </w:p>
    <w:p w14:paraId="7CFD38F1"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197E7096" w14:textId="372076F6" w:rsidR="007C5D2A" w:rsidRPr="00303008" w:rsidRDefault="00CB709F" w:rsidP="004A3BF4">
      <w:pPr>
        <w:tabs>
          <w:tab w:val="left" w:pos="851"/>
        </w:tabs>
        <w:ind w:left="851"/>
        <w:rPr>
          <w:sz w:val="24"/>
          <w:szCs w:val="24"/>
          <w:lang w:val="en-GB"/>
        </w:rPr>
      </w:pPr>
      <w:r>
        <w:rPr>
          <w:sz w:val="24"/>
          <w:szCs w:val="24"/>
          <w:lang w:val="en-GB"/>
        </w:rPr>
        <w:t>Femoston Conti</w:t>
      </w:r>
    </w:p>
    <w:p w14:paraId="22B1E7DC" w14:textId="77777777" w:rsidR="007C5D2A" w:rsidRPr="00303008" w:rsidRDefault="007C5D2A" w:rsidP="004A3BF4">
      <w:pPr>
        <w:tabs>
          <w:tab w:val="left" w:pos="851"/>
        </w:tabs>
        <w:ind w:left="851"/>
        <w:rPr>
          <w:sz w:val="24"/>
          <w:szCs w:val="24"/>
          <w:lang w:val="en-GB"/>
        </w:rPr>
      </w:pPr>
    </w:p>
    <w:p w14:paraId="1E18B3B2"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5468AD44" w14:textId="79DE1F11" w:rsidR="00CB709F" w:rsidRPr="00CB709F" w:rsidRDefault="00CB709F" w:rsidP="00CB709F">
      <w:pPr>
        <w:tabs>
          <w:tab w:val="left" w:pos="851"/>
        </w:tabs>
        <w:ind w:left="851"/>
        <w:rPr>
          <w:sz w:val="24"/>
          <w:szCs w:val="24"/>
          <w:lang w:val="en-US"/>
        </w:rPr>
      </w:pPr>
      <w:r w:rsidRPr="00CB709F">
        <w:rPr>
          <w:sz w:val="24"/>
          <w:szCs w:val="24"/>
          <w:lang w:val="en-US"/>
        </w:rPr>
        <w:t xml:space="preserve">Each tablet contains estradiol hemihydrate equivalent to </w:t>
      </w:r>
      <w:r w:rsidR="00192C3C">
        <w:rPr>
          <w:sz w:val="24"/>
          <w:szCs w:val="24"/>
          <w:lang w:val="en-US"/>
        </w:rPr>
        <w:t>1</w:t>
      </w:r>
      <w:r w:rsidRPr="00CB709F">
        <w:rPr>
          <w:sz w:val="24"/>
          <w:szCs w:val="24"/>
          <w:lang w:val="en-US"/>
        </w:rPr>
        <w:t xml:space="preserve"> mg estradiol and 5 mg dydrogesterone.</w:t>
      </w:r>
    </w:p>
    <w:p w14:paraId="4ECBF992" w14:textId="77777777" w:rsidR="00CB709F" w:rsidRPr="00CB709F" w:rsidRDefault="00CB709F" w:rsidP="00CB709F">
      <w:pPr>
        <w:tabs>
          <w:tab w:val="left" w:pos="851"/>
        </w:tabs>
        <w:ind w:left="851"/>
        <w:rPr>
          <w:sz w:val="24"/>
          <w:szCs w:val="24"/>
          <w:lang w:val="en-US"/>
        </w:rPr>
      </w:pPr>
      <w:r w:rsidRPr="00CB709F">
        <w:rPr>
          <w:sz w:val="24"/>
          <w:szCs w:val="24"/>
          <w:lang w:val="en-US"/>
        </w:rPr>
        <w:t xml:space="preserve"> </w:t>
      </w:r>
    </w:p>
    <w:p w14:paraId="07797EC6" w14:textId="77777777" w:rsidR="00960C3F" w:rsidRDefault="00CB709F" w:rsidP="00CB709F">
      <w:pPr>
        <w:tabs>
          <w:tab w:val="left" w:pos="851"/>
        </w:tabs>
        <w:ind w:left="851"/>
        <w:rPr>
          <w:sz w:val="24"/>
          <w:szCs w:val="24"/>
          <w:u w:val="single"/>
          <w:lang w:val="en-US"/>
        </w:rPr>
      </w:pPr>
      <w:r w:rsidRPr="00CB709F">
        <w:rPr>
          <w:sz w:val="24"/>
          <w:szCs w:val="24"/>
          <w:u w:val="single"/>
          <w:lang w:val="en-US"/>
        </w:rPr>
        <w:t>Excipient with known effect</w:t>
      </w:r>
    </w:p>
    <w:p w14:paraId="02323726" w14:textId="3D539488" w:rsidR="00CB709F" w:rsidRPr="00CB709F" w:rsidRDefault="00960C3F" w:rsidP="00CB709F">
      <w:pPr>
        <w:tabs>
          <w:tab w:val="left" w:pos="851"/>
        </w:tabs>
        <w:ind w:left="851"/>
        <w:rPr>
          <w:sz w:val="24"/>
          <w:szCs w:val="24"/>
          <w:lang w:val="en-US"/>
        </w:rPr>
      </w:pPr>
      <w:r>
        <w:rPr>
          <w:sz w:val="24"/>
          <w:szCs w:val="24"/>
          <w:lang w:val="en-US"/>
        </w:rPr>
        <w:t>L</w:t>
      </w:r>
      <w:r w:rsidR="00CB709F" w:rsidRPr="00CB709F">
        <w:rPr>
          <w:sz w:val="24"/>
          <w:szCs w:val="24"/>
          <w:lang w:val="en-US"/>
        </w:rPr>
        <w:t>actose monohydrate 11</w:t>
      </w:r>
      <w:r w:rsidR="00192C3C">
        <w:rPr>
          <w:sz w:val="24"/>
          <w:szCs w:val="24"/>
          <w:lang w:val="en-US"/>
        </w:rPr>
        <w:t>4</w:t>
      </w:r>
      <w:r w:rsidR="00CB709F" w:rsidRPr="00CB709F">
        <w:rPr>
          <w:sz w:val="24"/>
          <w:szCs w:val="24"/>
          <w:lang w:val="en-US"/>
        </w:rPr>
        <w:t>.</w:t>
      </w:r>
      <w:r w:rsidR="00192C3C">
        <w:rPr>
          <w:sz w:val="24"/>
          <w:szCs w:val="24"/>
          <w:lang w:val="en-US"/>
        </w:rPr>
        <w:t>7</w:t>
      </w:r>
      <w:r w:rsidR="00CB709F" w:rsidRPr="00CB709F">
        <w:rPr>
          <w:sz w:val="24"/>
          <w:szCs w:val="24"/>
          <w:lang w:val="en-US"/>
        </w:rPr>
        <w:t xml:space="preserve"> mg</w:t>
      </w:r>
    </w:p>
    <w:p w14:paraId="5B7A6FDD" w14:textId="77777777" w:rsidR="00CB709F" w:rsidRPr="00CB709F" w:rsidRDefault="00CB709F" w:rsidP="00CB709F">
      <w:pPr>
        <w:tabs>
          <w:tab w:val="left" w:pos="851"/>
        </w:tabs>
        <w:ind w:left="851"/>
        <w:rPr>
          <w:sz w:val="24"/>
          <w:szCs w:val="24"/>
          <w:lang w:val="en-US"/>
        </w:rPr>
      </w:pPr>
    </w:p>
    <w:p w14:paraId="032260EF" w14:textId="51D69591" w:rsidR="00CB709F" w:rsidRPr="00CB709F" w:rsidRDefault="00CB709F" w:rsidP="00CB709F">
      <w:pPr>
        <w:tabs>
          <w:tab w:val="left" w:pos="851"/>
        </w:tabs>
        <w:ind w:left="851"/>
        <w:rPr>
          <w:sz w:val="24"/>
          <w:szCs w:val="24"/>
          <w:lang w:val="en-GB"/>
        </w:rPr>
      </w:pPr>
      <w:r w:rsidRPr="00960C3F">
        <w:rPr>
          <w:sz w:val="24"/>
          <w:szCs w:val="24"/>
          <w:lang w:val="en-GB"/>
        </w:rPr>
        <w:t xml:space="preserve">For the full list of excipients, see section </w:t>
      </w:r>
      <w:r w:rsidR="00960C3F">
        <w:rPr>
          <w:sz w:val="24"/>
          <w:szCs w:val="24"/>
          <w:lang w:val="de-DE"/>
        </w:rPr>
        <w:t>6.1.</w:t>
      </w:r>
    </w:p>
    <w:p w14:paraId="3FD1AC36" w14:textId="77777777" w:rsidR="007C5D2A" w:rsidRPr="00303008" w:rsidRDefault="007C5D2A" w:rsidP="004A3BF4">
      <w:pPr>
        <w:tabs>
          <w:tab w:val="left" w:pos="851"/>
        </w:tabs>
        <w:ind w:left="851"/>
        <w:rPr>
          <w:sz w:val="24"/>
          <w:szCs w:val="24"/>
          <w:lang w:val="en-GB"/>
        </w:rPr>
      </w:pPr>
    </w:p>
    <w:p w14:paraId="69C85AD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4E27330" w14:textId="322F0C0B" w:rsidR="000B023C" w:rsidRPr="000B023C" w:rsidRDefault="000B023C" w:rsidP="000B023C">
      <w:pPr>
        <w:tabs>
          <w:tab w:val="left" w:pos="851"/>
        </w:tabs>
        <w:ind w:left="851"/>
        <w:rPr>
          <w:sz w:val="24"/>
          <w:szCs w:val="24"/>
          <w:lang w:val="de-DE"/>
        </w:rPr>
      </w:pPr>
      <w:r w:rsidRPr="000B023C">
        <w:rPr>
          <w:sz w:val="24"/>
          <w:szCs w:val="24"/>
          <w:lang w:val="de-DE"/>
        </w:rPr>
        <w:t>Filmcoated tablet</w:t>
      </w:r>
      <w:r>
        <w:rPr>
          <w:sz w:val="24"/>
          <w:szCs w:val="24"/>
          <w:lang w:val="de-DE"/>
        </w:rPr>
        <w:t>s</w:t>
      </w:r>
    </w:p>
    <w:p w14:paraId="5E69EEF9" w14:textId="77777777" w:rsidR="000B023C" w:rsidRPr="000B023C" w:rsidRDefault="000B023C" w:rsidP="000B023C">
      <w:pPr>
        <w:tabs>
          <w:tab w:val="left" w:pos="851"/>
        </w:tabs>
        <w:ind w:left="851"/>
        <w:rPr>
          <w:sz w:val="24"/>
          <w:szCs w:val="24"/>
          <w:lang w:val="de-DE"/>
        </w:rPr>
      </w:pPr>
    </w:p>
    <w:p w14:paraId="2101ADEF" w14:textId="192F4F19" w:rsidR="000B023C" w:rsidRPr="000B023C" w:rsidRDefault="000B023C" w:rsidP="000B023C">
      <w:pPr>
        <w:tabs>
          <w:tab w:val="left" w:pos="851"/>
        </w:tabs>
        <w:ind w:left="851"/>
        <w:rPr>
          <w:sz w:val="24"/>
          <w:szCs w:val="24"/>
          <w:lang w:val="en-US"/>
        </w:rPr>
      </w:pPr>
      <w:r w:rsidRPr="000B023C">
        <w:rPr>
          <w:sz w:val="24"/>
          <w:szCs w:val="24"/>
          <w:lang w:val="en-US"/>
        </w:rPr>
        <w:t xml:space="preserve">Round, biconvex, </w:t>
      </w:r>
      <w:r w:rsidR="00CC2145">
        <w:rPr>
          <w:sz w:val="24"/>
          <w:szCs w:val="24"/>
          <w:lang w:val="en-US"/>
        </w:rPr>
        <w:t>salmon coloured</w:t>
      </w:r>
      <w:r w:rsidR="00516DE5">
        <w:rPr>
          <w:sz w:val="24"/>
          <w:szCs w:val="24"/>
          <w:lang w:val="en-US"/>
        </w:rPr>
        <w:t xml:space="preserve"> tablets, </w:t>
      </w:r>
      <w:r w:rsidRPr="000B023C">
        <w:rPr>
          <w:sz w:val="24"/>
          <w:szCs w:val="24"/>
          <w:lang w:val="en-US"/>
        </w:rPr>
        <w:t>marked 379 on one side (7</w:t>
      </w:r>
      <w:r w:rsidR="00516DE5">
        <w:rPr>
          <w:sz w:val="24"/>
          <w:szCs w:val="24"/>
          <w:lang w:val="en-US"/>
        </w:rPr>
        <w:t xml:space="preserve"> </w:t>
      </w:r>
      <w:r w:rsidRPr="000B023C">
        <w:rPr>
          <w:sz w:val="24"/>
          <w:szCs w:val="24"/>
          <w:lang w:val="en-US"/>
        </w:rPr>
        <w:t>mm).</w:t>
      </w:r>
    </w:p>
    <w:p w14:paraId="7C1649D9" w14:textId="77777777" w:rsidR="007C5D2A" w:rsidRPr="00303008" w:rsidRDefault="007C5D2A" w:rsidP="004A3BF4">
      <w:pPr>
        <w:tabs>
          <w:tab w:val="left" w:pos="851"/>
        </w:tabs>
        <w:ind w:left="851"/>
        <w:rPr>
          <w:sz w:val="24"/>
          <w:szCs w:val="24"/>
          <w:lang w:val="en-GB"/>
        </w:rPr>
      </w:pPr>
    </w:p>
    <w:p w14:paraId="7E1C1499" w14:textId="77777777" w:rsidR="007C5D2A" w:rsidRPr="00303008" w:rsidRDefault="007C5D2A" w:rsidP="004A3BF4">
      <w:pPr>
        <w:tabs>
          <w:tab w:val="left" w:pos="851"/>
        </w:tabs>
        <w:ind w:left="851"/>
        <w:rPr>
          <w:sz w:val="24"/>
          <w:szCs w:val="24"/>
          <w:lang w:val="en-GB"/>
        </w:rPr>
      </w:pPr>
    </w:p>
    <w:p w14:paraId="164F1AB6"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73C06599" w14:textId="77777777" w:rsidR="007C5D2A" w:rsidRPr="00303008" w:rsidRDefault="007C5D2A" w:rsidP="004A3BF4">
      <w:pPr>
        <w:tabs>
          <w:tab w:val="left" w:pos="851"/>
        </w:tabs>
        <w:ind w:left="851"/>
        <w:rPr>
          <w:sz w:val="24"/>
          <w:szCs w:val="24"/>
          <w:lang w:val="en-GB"/>
        </w:rPr>
      </w:pPr>
    </w:p>
    <w:p w14:paraId="3706823D"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16A09A5F" w14:textId="06F27FF1" w:rsidR="008C7FBC" w:rsidRDefault="008C7FBC" w:rsidP="008C7FBC">
      <w:pPr>
        <w:tabs>
          <w:tab w:val="left" w:pos="851"/>
        </w:tabs>
        <w:ind w:left="851"/>
        <w:rPr>
          <w:bCs/>
          <w:iCs/>
          <w:sz w:val="24"/>
          <w:szCs w:val="24"/>
          <w:lang w:val="en-US"/>
        </w:rPr>
      </w:pPr>
      <w:r w:rsidRPr="008C7FBC">
        <w:rPr>
          <w:sz w:val="24"/>
          <w:szCs w:val="24"/>
          <w:lang w:val="en-US"/>
        </w:rPr>
        <w:t>Hormone replacement therapy (HRT) for oestrogen deficiency symptoms in postmenopausal women at least 12 months since last menses</w:t>
      </w:r>
      <w:r w:rsidRPr="008C7FBC">
        <w:rPr>
          <w:bCs/>
          <w:iCs/>
          <w:sz w:val="24"/>
          <w:szCs w:val="24"/>
          <w:lang w:val="en-US"/>
        </w:rPr>
        <w:t>.</w:t>
      </w:r>
    </w:p>
    <w:p w14:paraId="2022F90D" w14:textId="78B9198C" w:rsidR="00CC2145" w:rsidRDefault="00CC2145" w:rsidP="008C7FBC">
      <w:pPr>
        <w:tabs>
          <w:tab w:val="left" w:pos="851"/>
        </w:tabs>
        <w:ind w:left="851"/>
        <w:rPr>
          <w:sz w:val="24"/>
          <w:szCs w:val="24"/>
          <w:lang w:val="en-US"/>
        </w:rPr>
      </w:pPr>
    </w:p>
    <w:p w14:paraId="49A3D1CD" w14:textId="77777777" w:rsidR="00DA2E7E" w:rsidRPr="00DA2E7E" w:rsidRDefault="00DA2E7E" w:rsidP="00DA2E7E">
      <w:pPr>
        <w:tabs>
          <w:tab w:val="left" w:pos="851"/>
        </w:tabs>
        <w:ind w:left="851"/>
        <w:rPr>
          <w:sz w:val="24"/>
          <w:szCs w:val="24"/>
          <w:lang w:val="en-US"/>
        </w:rPr>
      </w:pPr>
      <w:r w:rsidRPr="00DA2E7E">
        <w:rPr>
          <w:sz w:val="24"/>
          <w:szCs w:val="24"/>
          <w:lang w:val="en-US"/>
        </w:rPr>
        <w:t>Prevention of osteoporosis in postmenopausal women at high risk of future fractures who are intolerant of, or contraindicated for, other medicinal products approved for the prevention of osteoporosis. (See also section 4.4)</w:t>
      </w:r>
    </w:p>
    <w:p w14:paraId="2A4EFE16" w14:textId="77777777" w:rsidR="008C7FBC" w:rsidRPr="008C7FBC" w:rsidRDefault="008C7FBC" w:rsidP="008C7FBC">
      <w:pPr>
        <w:tabs>
          <w:tab w:val="left" w:pos="851"/>
        </w:tabs>
        <w:ind w:left="851"/>
        <w:rPr>
          <w:sz w:val="24"/>
          <w:szCs w:val="24"/>
          <w:u w:val="single"/>
          <w:lang w:val="en-US"/>
        </w:rPr>
      </w:pPr>
      <w:r w:rsidRPr="008C7FBC">
        <w:rPr>
          <w:sz w:val="24"/>
          <w:szCs w:val="24"/>
          <w:u w:val="single"/>
          <w:lang w:val="en-US"/>
        </w:rPr>
        <w:t xml:space="preserve"> </w:t>
      </w:r>
    </w:p>
    <w:p w14:paraId="33766816" w14:textId="77777777" w:rsidR="008C7FBC" w:rsidRPr="008C7FBC" w:rsidRDefault="008C7FBC" w:rsidP="008C7FBC">
      <w:pPr>
        <w:tabs>
          <w:tab w:val="left" w:pos="851"/>
        </w:tabs>
        <w:ind w:left="851"/>
        <w:rPr>
          <w:sz w:val="24"/>
          <w:szCs w:val="24"/>
          <w:lang w:val="de-DE"/>
        </w:rPr>
      </w:pPr>
      <w:r w:rsidRPr="008C7FBC">
        <w:rPr>
          <w:sz w:val="24"/>
          <w:szCs w:val="24"/>
          <w:lang w:val="de-DE"/>
        </w:rPr>
        <w:t>The experience in treating women older than 65 years is limited.</w:t>
      </w:r>
    </w:p>
    <w:p w14:paraId="3372C517" w14:textId="77777777" w:rsidR="007C5D2A" w:rsidRPr="008C7FBC" w:rsidRDefault="007C5D2A" w:rsidP="00A85D26">
      <w:pPr>
        <w:tabs>
          <w:tab w:val="left" w:pos="851"/>
        </w:tabs>
        <w:ind w:left="851"/>
        <w:rPr>
          <w:sz w:val="24"/>
          <w:szCs w:val="24"/>
          <w:lang w:val="de-DE"/>
        </w:rPr>
      </w:pPr>
    </w:p>
    <w:p w14:paraId="54FFD40D"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0AFD817C" w14:textId="5E673B7A" w:rsidR="0066320E" w:rsidRPr="0066320E" w:rsidRDefault="0066320E" w:rsidP="0066320E">
      <w:pPr>
        <w:tabs>
          <w:tab w:val="left" w:pos="851"/>
        </w:tabs>
        <w:ind w:left="851"/>
        <w:rPr>
          <w:sz w:val="24"/>
          <w:szCs w:val="24"/>
          <w:lang w:val="en-US"/>
        </w:rPr>
      </w:pPr>
      <w:r w:rsidRPr="0066320E">
        <w:rPr>
          <w:sz w:val="24"/>
          <w:szCs w:val="24"/>
          <w:lang w:val="en-US"/>
        </w:rPr>
        <w:t>Femoston Conti</w:t>
      </w:r>
      <w:r w:rsidR="003451AB">
        <w:rPr>
          <w:sz w:val="24"/>
          <w:szCs w:val="24"/>
          <w:lang w:val="en-US"/>
        </w:rPr>
        <w:t xml:space="preserve"> 1</w:t>
      </w:r>
      <w:r w:rsidRPr="0066320E">
        <w:rPr>
          <w:sz w:val="24"/>
          <w:szCs w:val="24"/>
          <w:lang w:val="en-US"/>
        </w:rPr>
        <w:t xml:space="preserve"> mg/5 mg is a continuous combined HRT for oral use.</w:t>
      </w:r>
    </w:p>
    <w:p w14:paraId="3A5D1B8F" w14:textId="77777777" w:rsidR="0066320E" w:rsidRPr="0066320E" w:rsidRDefault="0066320E" w:rsidP="0066320E">
      <w:pPr>
        <w:tabs>
          <w:tab w:val="left" w:pos="851"/>
        </w:tabs>
        <w:ind w:left="851"/>
        <w:rPr>
          <w:sz w:val="24"/>
          <w:szCs w:val="24"/>
          <w:lang w:val="en-US"/>
        </w:rPr>
      </w:pPr>
    </w:p>
    <w:p w14:paraId="20F7088E" w14:textId="77777777" w:rsidR="0066320E" w:rsidRPr="0066320E" w:rsidRDefault="0066320E" w:rsidP="0066320E">
      <w:pPr>
        <w:tabs>
          <w:tab w:val="left" w:pos="851"/>
        </w:tabs>
        <w:ind w:left="851"/>
        <w:rPr>
          <w:sz w:val="24"/>
          <w:szCs w:val="24"/>
          <w:lang w:val="de-DE"/>
        </w:rPr>
      </w:pPr>
      <w:r w:rsidRPr="0066320E">
        <w:rPr>
          <w:sz w:val="24"/>
          <w:szCs w:val="24"/>
          <w:lang w:val="de-DE"/>
        </w:rPr>
        <w:lastRenderedPageBreak/>
        <w:t xml:space="preserve">The oestrogen and the progestogen are given every day without interruption. </w:t>
      </w:r>
    </w:p>
    <w:p w14:paraId="400FEDA0" w14:textId="77777777" w:rsidR="0066320E" w:rsidRPr="0066320E" w:rsidRDefault="0066320E" w:rsidP="0066320E">
      <w:pPr>
        <w:tabs>
          <w:tab w:val="left" w:pos="851"/>
        </w:tabs>
        <w:ind w:left="851"/>
        <w:rPr>
          <w:sz w:val="24"/>
          <w:szCs w:val="24"/>
          <w:lang w:val="de-DE"/>
        </w:rPr>
      </w:pPr>
    </w:p>
    <w:p w14:paraId="3E1BFC40" w14:textId="77777777" w:rsidR="0066320E" w:rsidRPr="0066320E" w:rsidRDefault="0066320E" w:rsidP="0066320E">
      <w:pPr>
        <w:tabs>
          <w:tab w:val="left" w:pos="851"/>
        </w:tabs>
        <w:ind w:left="851"/>
        <w:rPr>
          <w:sz w:val="24"/>
          <w:szCs w:val="24"/>
          <w:lang w:val="de-DE"/>
        </w:rPr>
      </w:pPr>
      <w:r w:rsidRPr="0066320E">
        <w:rPr>
          <w:sz w:val="24"/>
          <w:szCs w:val="24"/>
          <w:lang w:val="de-DE"/>
        </w:rPr>
        <w:t xml:space="preserve">The dosage is one tablet per day for a 28 day cycle. </w:t>
      </w:r>
    </w:p>
    <w:p w14:paraId="52A8F705" w14:textId="77777777" w:rsidR="0066320E" w:rsidRPr="0066320E" w:rsidRDefault="0066320E" w:rsidP="0066320E">
      <w:pPr>
        <w:tabs>
          <w:tab w:val="left" w:pos="851"/>
        </w:tabs>
        <w:ind w:left="851"/>
        <w:rPr>
          <w:sz w:val="24"/>
          <w:szCs w:val="24"/>
          <w:lang w:val="de-DE"/>
        </w:rPr>
      </w:pPr>
    </w:p>
    <w:p w14:paraId="37195781" w14:textId="1644504A" w:rsidR="0066320E" w:rsidRPr="0066320E" w:rsidRDefault="0066320E" w:rsidP="0066320E">
      <w:pPr>
        <w:tabs>
          <w:tab w:val="left" w:pos="851"/>
        </w:tabs>
        <w:ind w:left="851"/>
        <w:rPr>
          <w:sz w:val="24"/>
          <w:szCs w:val="24"/>
          <w:lang w:val="en-US"/>
        </w:rPr>
      </w:pPr>
      <w:r w:rsidRPr="0066320E">
        <w:rPr>
          <w:sz w:val="24"/>
          <w:szCs w:val="24"/>
          <w:lang w:val="en-US"/>
        </w:rPr>
        <w:t xml:space="preserve">Femoston Conti </w:t>
      </w:r>
      <w:r w:rsidR="003451AB">
        <w:rPr>
          <w:sz w:val="24"/>
          <w:szCs w:val="24"/>
          <w:lang w:val="en-US"/>
        </w:rPr>
        <w:t>1</w:t>
      </w:r>
      <w:r w:rsidRPr="0066320E">
        <w:rPr>
          <w:sz w:val="24"/>
          <w:szCs w:val="24"/>
          <w:lang w:val="en-US"/>
        </w:rPr>
        <w:t xml:space="preserve"> mg/5 mg should be taken continuously without a break between packs. </w:t>
      </w:r>
    </w:p>
    <w:p w14:paraId="623EBDC9" w14:textId="77777777" w:rsidR="0066320E" w:rsidRPr="0066320E" w:rsidRDefault="0066320E" w:rsidP="0066320E">
      <w:pPr>
        <w:tabs>
          <w:tab w:val="left" w:pos="851"/>
        </w:tabs>
        <w:ind w:left="851"/>
        <w:rPr>
          <w:sz w:val="24"/>
          <w:szCs w:val="24"/>
          <w:lang w:val="en-US"/>
        </w:rPr>
      </w:pPr>
    </w:p>
    <w:p w14:paraId="1C03C4A1" w14:textId="77777777" w:rsidR="0066320E" w:rsidRPr="0066320E" w:rsidRDefault="0066320E" w:rsidP="0066320E">
      <w:pPr>
        <w:tabs>
          <w:tab w:val="left" w:pos="851"/>
        </w:tabs>
        <w:ind w:left="851"/>
        <w:rPr>
          <w:sz w:val="24"/>
          <w:szCs w:val="24"/>
          <w:lang w:val="de-DE"/>
        </w:rPr>
      </w:pPr>
      <w:r w:rsidRPr="0066320E">
        <w:rPr>
          <w:sz w:val="24"/>
          <w:szCs w:val="24"/>
          <w:lang w:val="de-DE"/>
        </w:rPr>
        <w:t>For initiation and continuation of treatment of postmenopausal symptoms, the lowest effective dose for the shortest duration (see also section 4.4) should be used.</w:t>
      </w:r>
    </w:p>
    <w:p w14:paraId="579B0A96" w14:textId="77777777" w:rsidR="0066320E" w:rsidRPr="0066320E" w:rsidRDefault="0066320E" w:rsidP="0066320E">
      <w:pPr>
        <w:tabs>
          <w:tab w:val="left" w:pos="851"/>
        </w:tabs>
        <w:ind w:left="851"/>
        <w:rPr>
          <w:sz w:val="24"/>
          <w:szCs w:val="24"/>
          <w:lang w:val="de-DE"/>
        </w:rPr>
      </w:pPr>
    </w:p>
    <w:p w14:paraId="71F1FBE0" w14:textId="62612E23" w:rsidR="0066320E" w:rsidRPr="0066320E" w:rsidRDefault="0066320E" w:rsidP="0066320E">
      <w:pPr>
        <w:tabs>
          <w:tab w:val="left" w:pos="851"/>
        </w:tabs>
        <w:ind w:left="851"/>
        <w:rPr>
          <w:sz w:val="24"/>
          <w:szCs w:val="24"/>
          <w:lang w:val="de-DE"/>
        </w:rPr>
      </w:pPr>
      <w:r w:rsidRPr="0066320E">
        <w:rPr>
          <w:sz w:val="24"/>
          <w:szCs w:val="24"/>
          <w:lang w:val="en-US"/>
        </w:rPr>
        <w:t xml:space="preserve">Continuous combined treatment may be started with Femoston Conti </w:t>
      </w:r>
      <w:r w:rsidR="003451AB">
        <w:rPr>
          <w:sz w:val="24"/>
          <w:szCs w:val="24"/>
          <w:lang w:val="en-US"/>
        </w:rPr>
        <w:t>1</w:t>
      </w:r>
      <w:r w:rsidRPr="0066320E">
        <w:rPr>
          <w:sz w:val="24"/>
          <w:szCs w:val="24"/>
          <w:lang w:val="en-US"/>
        </w:rPr>
        <w:t xml:space="preserve"> mg/5 mg depending on the time since menopause and severity of symptoms. Women experiencing a natural menopause should commence treatment with Femoston Conti </w:t>
      </w:r>
      <w:r w:rsidR="00C3478C">
        <w:rPr>
          <w:sz w:val="24"/>
          <w:szCs w:val="24"/>
          <w:lang w:val="en-US"/>
        </w:rPr>
        <w:t>1</w:t>
      </w:r>
      <w:r w:rsidRPr="0066320E">
        <w:rPr>
          <w:sz w:val="24"/>
          <w:szCs w:val="24"/>
          <w:lang w:val="en-US"/>
        </w:rPr>
        <w:t xml:space="preserve"> mg/5 mg not earlier than</w:t>
      </w:r>
      <w:r w:rsidR="001537E4">
        <w:rPr>
          <w:sz w:val="24"/>
          <w:szCs w:val="24"/>
          <w:lang w:val="en-US"/>
        </w:rPr>
        <w:t xml:space="preserve"> </w:t>
      </w:r>
      <w:r w:rsidRPr="0066320E">
        <w:rPr>
          <w:sz w:val="24"/>
          <w:szCs w:val="24"/>
          <w:lang w:val="en-US"/>
        </w:rPr>
        <w:t>12 months after their last natural menstrual b</w:t>
      </w:r>
      <w:smartTag w:uri="urn:schemas-microsoft-com:office:smarttags" w:element="PersonName">
        <w:r w:rsidRPr="0066320E">
          <w:rPr>
            <w:sz w:val="24"/>
            <w:szCs w:val="24"/>
            <w:lang w:val="en-US"/>
          </w:rPr>
          <w:t>lee</w:t>
        </w:r>
      </w:smartTag>
      <w:r w:rsidRPr="0066320E">
        <w:rPr>
          <w:sz w:val="24"/>
          <w:szCs w:val="24"/>
          <w:lang w:val="en-US"/>
        </w:rPr>
        <w:t xml:space="preserve">d. </w:t>
      </w:r>
      <w:r w:rsidRPr="0066320E">
        <w:rPr>
          <w:sz w:val="24"/>
          <w:szCs w:val="24"/>
          <w:lang w:val="de-DE"/>
        </w:rPr>
        <w:t>For surgically induced menopause, treatment may start immediately.</w:t>
      </w:r>
    </w:p>
    <w:p w14:paraId="6B58A2FA" w14:textId="77777777" w:rsidR="0066320E" w:rsidRPr="0066320E" w:rsidRDefault="0066320E" w:rsidP="0066320E">
      <w:pPr>
        <w:tabs>
          <w:tab w:val="left" w:pos="851"/>
        </w:tabs>
        <w:ind w:left="851"/>
        <w:rPr>
          <w:sz w:val="24"/>
          <w:szCs w:val="24"/>
          <w:lang w:val="de-DE"/>
        </w:rPr>
      </w:pPr>
    </w:p>
    <w:p w14:paraId="42715285" w14:textId="77777777" w:rsidR="0066320E" w:rsidRPr="0066320E" w:rsidRDefault="0066320E" w:rsidP="0066320E">
      <w:pPr>
        <w:tabs>
          <w:tab w:val="left" w:pos="851"/>
        </w:tabs>
        <w:ind w:left="851"/>
        <w:rPr>
          <w:sz w:val="24"/>
          <w:szCs w:val="24"/>
          <w:lang w:val="de-DE"/>
        </w:rPr>
      </w:pPr>
      <w:r w:rsidRPr="0066320E">
        <w:rPr>
          <w:sz w:val="24"/>
          <w:szCs w:val="24"/>
          <w:lang w:val="de-DE"/>
        </w:rPr>
        <w:t>Depending on the clinical response, the dosage can subsequently be adjusted.</w:t>
      </w:r>
    </w:p>
    <w:p w14:paraId="1077A258" w14:textId="77777777" w:rsidR="0066320E" w:rsidRPr="0066320E" w:rsidRDefault="0066320E" w:rsidP="0066320E">
      <w:pPr>
        <w:tabs>
          <w:tab w:val="left" w:pos="851"/>
        </w:tabs>
        <w:ind w:left="851"/>
        <w:rPr>
          <w:sz w:val="24"/>
          <w:szCs w:val="24"/>
          <w:lang w:val="de-DE"/>
        </w:rPr>
      </w:pPr>
    </w:p>
    <w:p w14:paraId="589BBE44" w14:textId="715846B2" w:rsidR="0066320E" w:rsidRPr="0066320E" w:rsidRDefault="0066320E" w:rsidP="0066320E">
      <w:pPr>
        <w:tabs>
          <w:tab w:val="left" w:pos="851"/>
        </w:tabs>
        <w:ind w:left="851"/>
        <w:rPr>
          <w:sz w:val="24"/>
          <w:szCs w:val="24"/>
          <w:lang w:val="de-DE"/>
        </w:rPr>
      </w:pPr>
      <w:r w:rsidRPr="0066320E">
        <w:rPr>
          <w:sz w:val="24"/>
          <w:szCs w:val="24"/>
          <w:lang w:val="en-US"/>
        </w:rPr>
        <w:t xml:space="preserve">Patients changing from a continuous sequential or cyclical preparation should complete the 28 day cycle and then change to Femoston Conti </w:t>
      </w:r>
      <w:r w:rsidR="001537E4">
        <w:rPr>
          <w:sz w:val="24"/>
          <w:szCs w:val="24"/>
          <w:lang w:val="en-US"/>
        </w:rPr>
        <w:t>1</w:t>
      </w:r>
      <w:r w:rsidRPr="0066320E">
        <w:rPr>
          <w:sz w:val="24"/>
          <w:szCs w:val="24"/>
          <w:lang w:val="en-US"/>
        </w:rPr>
        <w:t xml:space="preserve"> mg/5 mg.</w:t>
      </w:r>
      <w:r w:rsidRPr="0066320E">
        <w:rPr>
          <w:sz w:val="24"/>
          <w:szCs w:val="24"/>
          <w:lang w:val="en-US"/>
        </w:rPr>
        <w:br/>
      </w:r>
      <w:r w:rsidRPr="0066320E">
        <w:rPr>
          <w:sz w:val="24"/>
          <w:szCs w:val="24"/>
          <w:lang w:val="de-DE"/>
        </w:rPr>
        <w:t>Patients changing from another continuous combined preparation may start therapy at any time</w:t>
      </w:r>
    </w:p>
    <w:p w14:paraId="69DF2EA9" w14:textId="77777777" w:rsidR="0066320E" w:rsidRPr="0066320E" w:rsidRDefault="0066320E" w:rsidP="0066320E">
      <w:pPr>
        <w:tabs>
          <w:tab w:val="left" w:pos="851"/>
        </w:tabs>
        <w:ind w:left="851"/>
        <w:rPr>
          <w:sz w:val="24"/>
          <w:szCs w:val="24"/>
          <w:lang w:val="de-DE"/>
        </w:rPr>
      </w:pPr>
    </w:p>
    <w:p w14:paraId="320E022E" w14:textId="77777777" w:rsidR="0066320E" w:rsidRPr="0066320E" w:rsidRDefault="0066320E" w:rsidP="0066320E">
      <w:pPr>
        <w:tabs>
          <w:tab w:val="left" w:pos="851"/>
        </w:tabs>
        <w:ind w:left="851"/>
        <w:rPr>
          <w:sz w:val="24"/>
          <w:szCs w:val="24"/>
          <w:lang w:val="de-DE"/>
        </w:rPr>
      </w:pPr>
      <w:r w:rsidRPr="0066320E">
        <w:rPr>
          <w:sz w:val="24"/>
          <w:szCs w:val="24"/>
          <w:lang w:val="de-DE"/>
        </w:rPr>
        <w:t>If a dose has been forgotten, it should be taken as soon as possible. If more than 12 hours have elapsed, treatment should be continued with the next tablet without taking the forgotten tablet. The likelihood of breakthrough b</w:t>
      </w:r>
      <w:smartTag w:uri="urn:schemas-microsoft-com:office:smarttags" w:element="PersonName">
        <w:r w:rsidRPr="0066320E">
          <w:rPr>
            <w:sz w:val="24"/>
            <w:szCs w:val="24"/>
            <w:lang w:val="de-DE"/>
          </w:rPr>
          <w:t>lee</w:t>
        </w:r>
      </w:smartTag>
      <w:r w:rsidRPr="0066320E">
        <w:rPr>
          <w:sz w:val="24"/>
          <w:szCs w:val="24"/>
          <w:lang w:val="de-DE"/>
        </w:rPr>
        <w:t>ding or spotting may be increased.</w:t>
      </w:r>
    </w:p>
    <w:p w14:paraId="5E76710E" w14:textId="77777777" w:rsidR="0066320E" w:rsidRPr="0066320E" w:rsidRDefault="0066320E" w:rsidP="0066320E">
      <w:pPr>
        <w:tabs>
          <w:tab w:val="left" w:pos="851"/>
        </w:tabs>
        <w:ind w:left="851"/>
        <w:rPr>
          <w:sz w:val="24"/>
          <w:szCs w:val="24"/>
          <w:lang w:val="de-DE"/>
        </w:rPr>
      </w:pPr>
    </w:p>
    <w:p w14:paraId="00DC17D5" w14:textId="0332C1ED" w:rsidR="0066320E" w:rsidRPr="0066320E" w:rsidRDefault="0066320E" w:rsidP="0066320E">
      <w:pPr>
        <w:tabs>
          <w:tab w:val="left" w:pos="851"/>
        </w:tabs>
        <w:ind w:left="851"/>
        <w:rPr>
          <w:sz w:val="24"/>
          <w:szCs w:val="24"/>
          <w:lang w:val="en-US"/>
        </w:rPr>
      </w:pPr>
      <w:r w:rsidRPr="0066320E">
        <w:rPr>
          <w:sz w:val="24"/>
          <w:szCs w:val="24"/>
          <w:lang w:val="en-US"/>
        </w:rPr>
        <w:t>Femoston Conti</w:t>
      </w:r>
      <w:r w:rsidR="001537E4">
        <w:rPr>
          <w:sz w:val="24"/>
          <w:szCs w:val="24"/>
          <w:lang w:val="en-US"/>
        </w:rPr>
        <w:t xml:space="preserve"> 1</w:t>
      </w:r>
      <w:r w:rsidRPr="0066320E">
        <w:rPr>
          <w:sz w:val="24"/>
          <w:szCs w:val="24"/>
          <w:lang w:val="en-US"/>
        </w:rPr>
        <w:t xml:space="preserve"> mg/5 mg can be taken irrespectively of food intake.</w:t>
      </w:r>
    </w:p>
    <w:p w14:paraId="168AEF84" w14:textId="77777777" w:rsidR="0066320E" w:rsidRPr="0066320E" w:rsidRDefault="0066320E" w:rsidP="0066320E">
      <w:pPr>
        <w:tabs>
          <w:tab w:val="left" w:pos="851"/>
        </w:tabs>
        <w:ind w:left="851"/>
        <w:rPr>
          <w:sz w:val="24"/>
          <w:szCs w:val="24"/>
          <w:lang w:val="en-US"/>
        </w:rPr>
      </w:pPr>
    </w:p>
    <w:p w14:paraId="6B136A14" w14:textId="77777777" w:rsidR="0066320E" w:rsidRPr="0066320E" w:rsidRDefault="0066320E" w:rsidP="0066320E">
      <w:pPr>
        <w:tabs>
          <w:tab w:val="left" w:pos="851"/>
        </w:tabs>
        <w:ind w:left="851"/>
        <w:rPr>
          <w:sz w:val="24"/>
          <w:szCs w:val="24"/>
          <w:lang w:val="de-DE"/>
        </w:rPr>
      </w:pPr>
      <w:r w:rsidRPr="0066320E">
        <w:rPr>
          <w:sz w:val="24"/>
          <w:szCs w:val="24"/>
          <w:lang w:val="de-DE"/>
        </w:rPr>
        <w:t>Paediatric population:</w:t>
      </w:r>
    </w:p>
    <w:p w14:paraId="62D95F69" w14:textId="4A567284" w:rsidR="0066320E" w:rsidRPr="0066320E" w:rsidRDefault="0066320E" w:rsidP="0066320E">
      <w:pPr>
        <w:tabs>
          <w:tab w:val="left" w:pos="851"/>
        </w:tabs>
        <w:ind w:left="851"/>
        <w:rPr>
          <w:sz w:val="24"/>
          <w:szCs w:val="24"/>
          <w:lang w:val="en-US"/>
        </w:rPr>
      </w:pPr>
      <w:r w:rsidRPr="0066320E">
        <w:rPr>
          <w:sz w:val="24"/>
          <w:szCs w:val="24"/>
          <w:lang w:val="en-US"/>
        </w:rPr>
        <w:t xml:space="preserve">There is no relevant indication for the use of Femoston Conti </w:t>
      </w:r>
      <w:r w:rsidR="001537E4">
        <w:rPr>
          <w:sz w:val="24"/>
          <w:szCs w:val="24"/>
          <w:lang w:val="en-US"/>
        </w:rPr>
        <w:t>1</w:t>
      </w:r>
      <w:r w:rsidRPr="0066320E">
        <w:rPr>
          <w:sz w:val="24"/>
          <w:szCs w:val="24"/>
          <w:lang w:val="en-US"/>
        </w:rPr>
        <w:t xml:space="preserve"> mg/5 mg in the paediatric population.</w:t>
      </w:r>
    </w:p>
    <w:p w14:paraId="482E3528" w14:textId="77777777" w:rsidR="0066320E" w:rsidRPr="0066320E" w:rsidRDefault="0066320E" w:rsidP="0066320E">
      <w:pPr>
        <w:tabs>
          <w:tab w:val="left" w:pos="851"/>
        </w:tabs>
        <w:ind w:left="851"/>
        <w:rPr>
          <w:sz w:val="24"/>
          <w:szCs w:val="24"/>
          <w:lang w:val="en-US"/>
        </w:rPr>
      </w:pPr>
    </w:p>
    <w:p w14:paraId="79D364E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46A351E5" w14:textId="77777777" w:rsidR="0002172D" w:rsidRPr="0002172D" w:rsidRDefault="0002172D" w:rsidP="0002172D">
      <w:pPr>
        <w:numPr>
          <w:ilvl w:val="0"/>
          <w:numId w:val="5"/>
        </w:numPr>
        <w:tabs>
          <w:tab w:val="clear" w:pos="360"/>
          <w:tab w:val="left" w:pos="1134"/>
        </w:tabs>
        <w:ind w:left="1134" w:hanging="283"/>
        <w:rPr>
          <w:sz w:val="24"/>
          <w:szCs w:val="24"/>
          <w:lang w:val="en-US"/>
        </w:rPr>
      </w:pPr>
      <w:r w:rsidRPr="0002172D">
        <w:rPr>
          <w:sz w:val="24"/>
          <w:szCs w:val="24"/>
          <w:lang w:val="en-US"/>
        </w:rPr>
        <w:t>Known, past or suspected breast cancer</w:t>
      </w:r>
    </w:p>
    <w:p w14:paraId="028997CF"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Known or suspected oestrogen-dependent malignant tumours (e.g. endometrial cancer)</w:t>
      </w:r>
    </w:p>
    <w:p w14:paraId="73919CF7"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Undiagnosed genital b</w:t>
      </w:r>
      <w:smartTag w:uri="urn:schemas-microsoft-com:office:smarttags" w:element="PersonName">
        <w:r w:rsidRPr="0002172D">
          <w:rPr>
            <w:sz w:val="24"/>
            <w:szCs w:val="24"/>
            <w:lang w:val="de-DE"/>
          </w:rPr>
          <w:t>lee</w:t>
        </w:r>
      </w:smartTag>
      <w:r w:rsidRPr="0002172D">
        <w:rPr>
          <w:sz w:val="24"/>
          <w:szCs w:val="24"/>
          <w:lang w:val="de-DE"/>
        </w:rPr>
        <w:t>ding</w:t>
      </w:r>
    </w:p>
    <w:p w14:paraId="343F957D"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Untreated endometrial hyperplasia</w:t>
      </w:r>
    </w:p>
    <w:p w14:paraId="06569A3B"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Previous or current venous thromboembolism (deep venous thrombosis, pulmonary embolism)</w:t>
      </w:r>
    </w:p>
    <w:p w14:paraId="4367774A"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Known thrombophilic disorders (e.g. protein C, protein S, or antithrombin deficiency, see section 4.4)</w:t>
      </w:r>
    </w:p>
    <w:p w14:paraId="73583203"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Active or recent arterial thromboembolic disease (e.g. angina, myocardial infarction)</w:t>
      </w:r>
    </w:p>
    <w:p w14:paraId="19839F05"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Acute liver disease, or a history of liver disease, as long as the liver function tests have failed to return to normal</w:t>
      </w:r>
    </w:p>
    <w:p w14:paraId="69783517"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Porphyria</w:t>
      </w:r>
    </w:p>
    <w:p w14:paraId="4399AEFD" w14:textId="4D87208C" w:rsidR="0002172D" w:rsidRDefault="0002172D" w:rsidP="0002172D">
      <w:pPr>
        <w:numPr>
          <w:ilvl w:val="0"/>
          <w:numId w:val="5"/>
        </w:numPr>
        <w:tabs>
          <w:tab w:val="clear" w:pos="360"/>
          <w:tab w:val="left" w:pos="1134"/>
        </w:tabs>
        <w:ind w:left="1134" w:hanging="283"/>
        <w:rPr>
          <w:sz w:val="24"/>
          <w:szCs w:val="24"/>
          <w:lang w:val="en-US"/>
        </w:rPr>
      </w:pPr>
      <w:r w:rsidRPr="0002172D">
        <w:rPr>
          <w:sz w:val="24"/>
          <w:szCs w:val="24"/>
          <w:lang w:val="en-US"/>
        </w:rPr>
        <w:t>Known hypersensitivity to the active substances or to any of the excipients listed in section 6.1</w:t>
      </w:r>
      <w:r>
        <w:rPr>
          <w:sz w:val="24"/>
          <w:szCs w:val="24"/>
          <w:lang w:val="en-US"/>
        </w:rPr>
        <w:t>.</w:t>
      </w:r>
    </w:p>
    <w:p w14:paraId="53F88602" w14:textId="3B677AB8" w:rsidR="00EB6976" w:rsidRPr="00EB6976" w:rsidRDefault="00EB6976" w:rsidP="00EB6976">
      <w:pPr>
        <w:numPr>
          <w:ilvl w:val="0"/>
          <w:numId w:val="5"/>
        </w:numPr>
        <w:tabs>
          <w:tab w:val="clear" w:pos="360"/>
          <w:tab w:val="left" w:pos="1134"/>
        </w:tabs>
        <w:ind w:left="1134" w:hanging="283"/>
        <w:rPr>
          <w:sz w:val="24"/>
          <w:szCs w:val="24"/>
        </w:rPr>
      </w:pPr>
      <w:r w:rsidRPr="00EB6976">
        <w:rPr>
          <w:sz w:val="24"/>
          <w:szCs w:val="24"/>
          <w:lang w:val="en-US"/>
        </w:rPr>
        <w:t>Meningioma or history of meningioma</w:t>
      </w:r>
    </w:p>
    <w:p w14:paraId="2859EA3A" w14:textId="71741C46" w:rsidR="001537E4" w:rsidRDefault="001537E4">
      <w:pPr>
        <w:rPr>
          <w:sz w:val="24"/>
          <w:szCs w:val="24"/>
          <w:lang w:val="en-US"/>
        </w:rPr>
      </w:pPr>
      <w:r>
        <w:rPr>
          <w:sz w:val="24"/>
          <w:szCs w:val="24"/>
          <w:lang w:val="en-US"/>
        </w:rPr>
        <w:br w:type="page"/>
      </w:r>
    </w:p>
    <w:p w14:paraId="0E6D9FF8" w14:textId="77777777" w:rsidR="0002172D" w:rsidRPr="0002172D" w:rsidRDefault="0002172D" w:rsidP="0002172D">
      <w:pPr>
        <w:tabs>
          <w:tab w:val="left" w:pos="1134"/>
        </w:tabs>
        <w:ind w:left="851"/>
        <w:rPr>
          <w:sz w:val="24"/>
          <w:szCs w:val="24"/>
          <w:lang w:val="en-US"/>
        </w:rPr>
      </w:pPr>
    </w:p>
    <w:p w14:paraId="6934493F"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3F0B3729" w14:textId="77777777" w:rsidR="00116267" w:rsidRPr="00116267" w:rsidRDefault="00116267" w:rsidP="00116267">
      <w:pPr>
        <w:tabs>
          <w:tab w:val="left" w:pos="851"/>
        </w:tabs>
        <w:ind w:left="851"/>
        <w:rPr>
          <w:sz w:val="24"/>
          <w:szCs w:val="24"/>
          <w:lang w:val="de-DE"/>
        </w:rPr>
      </w:pPr>
      <w:r w:rsidRPr="00116267">
        <w:rPr>
          <w:sz w:val="24"/>
          <w:szCs w:val="24"/>
          <w:lang w:val="de-DE"/>
        </w:rPr>
        <w:t xml:space="preserve">For the treatment of postmenopausal symptoms, </w:t>
      </w:r>
      <w:smartTag w:uri="urn:schemas-microsoft-com:office:smarttags" w:element="stockticker">
        <w:r w:rsidRPr="00116267">
          <w:rPr>
            <w:sz w:val="24"/>
            <w:szCs w:val="24"/>
            <w:lang w:val="de-DE"/>
          </w:rPr>
          <w:t>HRT</w:t>
        </w:r>
      </w:smartTag>
      <w:r w:rsidRPr="00116267">
        <w:rPr>
          <w:sz w:val="24"/>
          <w:szCs w:val="24"/>
          <w:lang w:val="de-DE"/>
        </w:rPr>
        <w:t xml:space="preserve"> should only be initiated for symptoms that adversely affect quality of life. In all cases, a careful appraisal of the risks and benefits should be undertaken at least annually and </w:t>
      </w:r>
      <w:smartTag w:uri="urn:schemas-microsoft-com:office:smarttags" w:element="stockticker">
        <w:r w:rsidRPr="00116267">
          <w:rPr>
            <w:sz w:val="24"/>
            <w:szCs w:val="24"/>
            <w:lang w:val="de-DE"/>
          </w:rPr>
          <w:t>HRT</w:t>
        </w:r>
      </w:smartTag>
      <w:r w:rsidRPr="00116267">
        <w:rPr>
          <w:sz w:val="24"/>
          <w:szCs w:val="24"/>
          <w:lang w:val="de-DE"/>
        </w:rPr>
        <w:t xml:space="preserve"> should only be continued as long as the benefit outweighs the risk.</w:t>
      </w:r>
      <w:r w:rsidRPr="00116267">
        <w:rPr>
          <w:sz w:val="24"/>
          <w:szCs w:val="24"/>
          <w:lang w:val="de-DE"/>
        </w:rPr>
        <w:br/>
      </w:r>
    </w:p>
    <w:p w14:paraId="2C500426" w14:textId="77777777" w:rsidR="00116267" w:rsidRPr="00116267" w:rsidRDefault="00116267" w:rsidP="00116267">
      <w:pPr>
        <w:tabs>
          <w:tab w:val="left" w:pos="851"/>
        </w:tabs>
        <w:ind w:left="851"/>
        <w:rPr>
          <w:sz w:val="24"/>
          <w:szCs w:val="24"/>
          <w:lang w:val="de-DE"/>
        </w:rPr>
      </w:pPr>
      <w:r w:rsidRPr="00116267">
        <w:rPr>
          <w:sz w:val="24"/>
          <w:szCs w:val="24"/>
          <w:lang w:val="de-DE"/>
        </w:rPr>
        <w:t>Evidence regarding the risks associated with HRT in the treatment of premature menopause is limited. Due to the low level of absolute risk in younger women, however, the balance of benefits and risks for these women may be more favourable than in older women.</w:t>
      </w:r>
    </w:p>
    <w:p w14:paraId="0B7EEC4A" w14:textId="77777777" w:rsidR="00116267" w:rsidRPr="00116267" w:rsidRDefault="00116267" w:rsidP="00116267">
      <w:pPr>
        <w:tabs>
          <w:tab w:val="left" w:pos="851"/>
        </w:tabs>
        <w:ind w:left="851"/>
        <w:rPr>
          <w:b/>
          <w:sz w:val="24"/>
          <w:szCs w:val="24"/>
          <w:u w:val="single"/>
          <w:lang w:val="de-DE"/>
        </w:rPr>
      </w:pPr>
    </w:p>
    <w:p w14:paraId="1F3B8875"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Medical examination/follow-up</w:t>
      </w:r>
    </w:p>
    <w:p w14:paraId="49EEC579" w14:textId="77777777" w:rsidR="00116267" w:rsidRPr="00116267" w:rsidRDefault="00116267" w:rsidP="00116267">
      <w:pPr>
        <w:tabs>
          <w:tab w:val="left" w:pos="851"/>
        </w:tabs>
        <w:ind w:left="851"/>
        <w:rPr>
          <w:sz w:val="24"/>
          <w:szCs w:val="24"/>
          <w:lang w:val="de-DE"/>
        </w:rPr>
      </w:pPr>
      <w:r w:rsidRPr="00116267">
        <w:rPr>
          <w:sz w:val="24"/>
          <w:szCs w:val="24"/>
          <w:lang w:val="de-DE"/>
        </w:rPr>
        <w:t xml:space="preserve">Before initiating or re-instituting </w:t>
      </w:r>
      <w:smartTag w:uri="urn:schemas-microsoft-com:office:smarttags" w:element="stockticker">
        <w:r w:rsidRPr="00116267">
          <w:rPr>
            <w:sz w:val="24"/>
            <w:szCs w:val="24"/>
            <w:lang w:val="de-DE"/>
          </w:rPr>
          <w:t>HRT</w:t>
        </w:r>
      </w:smartTag>
      <w:r w:rsidRPr="00116267">
        <w:rPr>
          <w:sz w:val="24"/>
          <w:szCs w:val="24"/>
          <w:lang w:val="de-DE"/>
        </w:rPr>
        <w:t>, a complete personal and family medical history should be taken. Physical (including pelvic and breast) examination should be guided by this and by the contraindications and warnings for use. During treatment, periodic check-ups are recommended of a frequency and nature adapted to the individual woman. Women should be advised what changes in their breasts should be reported to their doctor or nurse (see ’Breast cancer’ below). Investigations, including appropriate imaging tools, e.g. mammography, should be carried out in accordance with currently accepted screening practices, modified to the clinical needs of the individual.</w:t>
      </w:r>
    </w:p>
    <w:p w14:paraId="681A8C0B" w14:textId="77777777" w:rsidR="00116267" w:rsidRPr="00116267" w:rsidRDefault="00116267" w:rsidP="00116267">
      <w:pPr>
        <w:tabs>
          <w:tab w:val="left" w:pos="851"/>
        </w:tabs>
        <w:ind w:left="851"/>
        <w:rPr>
          <w:sz w:val="24"/>
          <w:szCs w:val="24"/>
          <w:lang w:val="de-DE"/>
        </w:rPr>
      </w:pPr>
    </w:p>
    <w:p w14:paraId="5D7B8113"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Conditions which need supervision</w:t>
      </w:r>
    </w:p>
    <w:p w14:paraId="66139223" w14:textId="69A87E21" w:rsidR="00116267" w:rsidRPr="00116267" w:rsidRDefault="00116267" w:rsidP="008137E3">
      <w:pPr>
        <w:tabs>
          <w:tab w:val="left" w:pos="1134"/>
        </w:tabs>
        <w:ind w:left="1134" w:hanging="283"/>
        <w:rPr>
          <w:sz w:val="24"/>
          <w:szCs w:val="24"/>
          <w:lang w:val="en-US"/>
        </w:rPr>
      </w:pPr>
      <w:r w:rsidRPr="00116267">
        <w:rPr>
          <w:sz w:val="24"/>
          <w:szCs w:val="24"/>
          <w:lang w:val="de-DE"/>
        </w:rPr>
        <w:t xml:space="preserve">If any of the following conditions are present, have occurred previously, and/or have been aggravated during pregnancy or previous hormone treatment, the patient should be closely supervised. </w:t>
      </w:r>
      <w:r w:rsidRPr="00116267">
        <w:rPr>
          <w:sz w:val="24"/>
          <w:szCs w:val="24"/>
          <w:lang w:val="en-US"/>
        </w:rPr>
        <w:t xml:space="preserve">It should be taken into account that these conditions may recur or be aggravated during treatment with Femoston Conti </w:t>
      </w:r>
      <w:r w:rsidR="00237434">
        <w:rPr>
          <w:sz w:val="24"/>
          <w:szCs w:val="24"/>
          <w:lang w:val="en-US"/>
        </w:rPr>
        <w:t>1</w:t>
      </w:r>
      <w:r w:rsidRPr="00116267">
        <w:rPr>
          <w:sz w:val="24"/>
          <w:szCs w:val="24"/>
          <w:lang w:val="en-US"/>
        </w:rPr>
        <w:t xml:space="preserve"> mg/</w:t>
      </w:r>
      <w:r w:rsidR="00237434">
        <w:rPr>
          <w:sz w:val="24"/>
          <w:szCs w:val="24"/>
          <w:lang w:val="en-US"/>
        </w:rPr>
        <w:t>x</w:t>
      </w:r>
      <w:r w:rsidRPr="00116267">
        <w:rPr>
          <w:sz w:val="24"/>
          <w:szCs w:val="24"/>
          <w:lang w:val="en-US"/>
        </w:rPr>
        <w:t>5 mg, in particular:</w:t>
      </w:r>
    </w:p>
    <w:p w14:paraId="17DA398F" w14:textId="77777777" w:rsidR="00116267" w:rsidRPr="00116267" w:rsidRDefault="00116267" w:rsidP="008137E3">
      <w:pPr>
        <w:tabs>
          <w:tab w:val="left" w:pos="851"/>
        </w:tabs>
        <w:ind w:left="1134" w:hanging="283"/>
        <w:rPr>
          <w:sz w:val="24"/>
          <w:szCs w:val="24"/>
          <w:lang w:val="en-US"/>
        </w:rPr>
      </w:pPr>
    </w:p>
    <w:p w14:paraId="29DEEB8E"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Leiomyoma (uterine fibroids) or endometriosis</w:t>
      </w:r>
    </w:p>
    <w:p w14:paraId="67FF80CC"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Risk factors for thromboembolic disorders (see below)</w:t>
      </w:r>
    </w:p>
    <w:p w14:paraId="4FFD069F"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Risk factors for oestrogen-dependent tumours, e.g. 1</w:t>
      </w:r>
      <w:r w:rsidRPr="00116267">
        <w:rPr>
          <w:sz w:val="24"/>
          <w:szCs w:val="24"/>
          <w:vertAlign w:val="superscript"/>
          <w:lang w:val="de-DE"/>
        </w:rPr>
        <w:t xml:space="preserve">st </w:t>
      </w:r>
      <w:r w:rsidRPr="00116267">
        <w:rPr>
          <w:sz w:val="24"/>
          <w:szCs w:val="24"/>
          <w:lang w:val="de-DE"/>
        </w:rPr>
        <w:t>degree heredity for breast cancer</w:t>
      </w:r>
    </w:p>
    <w:p w14:paraId="38F3ECE9"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Hypertension</w:t>
      </w:r>
    </w:p>
    <w:p w14:paraId="00D476BF" w14:textId="77777777" w:rsidR="00116267" w:rsidRPr="00116267" w:rsidRDefault="00116267" w:rsidP="008137E3">
      <w:pPr>
        <w:numPr>
          <w:ilvl w:val="0"/>
          <w:numId w:val="5"/>
        </w:numPr>
        <w:tabs>
          <w:tab w:val="left" w:pos="851"/>
        </w:tabs>
        <w:ind w:left="1134" w:hanging="283"/>
        <w:rPr>
          <w:sz w:val="24"/>
          <w:szCs w:val="24"/>
        </w:rPr>
      </w:pPr>
      <w:r w:rsidRPr="00116267">
        <w:rPr>
          <w:sz w:val="24"/>
          <w:szCs w:val="24"/>
        </w:rPr>
        <w:t>Liver disorders (e.g. liver adenoma)</w:t>
      </w:r>
    </w:p>
    <w:p w14:paraId="71DC3787"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Diabetes mellitus with or without vascular involvement</w:t>
      </w:r>
    </w:p>
    <w:p w14:paraId="284B3473"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Cholelithiasis</w:t>
      </w:r>
    </w:p>
    <w:p w14:paraId="6827EF46"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Migraine or (severe) headache</w:t>
      </w:r>
    </w:p>
    <w:p w14:paraId="5F1345EA"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Systemic lupus erythematosus</w:t>
      </w:r>
    </w:p>
    <w:p w14:paraId="016E1B05"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A history of endometrial hyperplasia (see below)</w:t>
      </w:r>
    </w:p>
    <w:p w14:paraId="780F4FB4"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Epilepsy</w:t>
      </w:r>
    </w:p>
    <w:p w14:paraId="7E7191C4"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Asthma</w:t>
      </w:r>
    </w:p>
    <w:p w14:paraId="65F20ECD"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Otosclerosis</w:t>
      </w:r>
    </w:p>
    <w:p w14:paraId="122EBF65" w14:textId="068E4401" w:rsidR="00116267" w:rsidRPr="00EB6976" w:rsidRDefault="00116267" w:rsidP="00EB6976">
      <w:pPr>
        <w:tabs>
          <w:tab w:val="left" w:pos="851"/>
        </w:tabs>
        <w:ind w:left="851"/>
        <w:rPr>
          <w:sz w:val="28"/>
          <w:szCs w:val="24"/>
          <w:lang w:val="de-DE"/>
        </w:rPr>
      </w:pPr>
    </w:p>
    <w:p w14:paraId="6C9CF38A" w14:textId="77777777" w:rsidR="00EB6976" w:rsidRPr="00EB6976" w:rsidRDefault="00EB6976" w:rsidP="00EB6976">
      <w:pPr>
        <w:pStyle w:val="Overskrift3"/>
        <w:ind w:left="221" w:firstLine="630"/>
        <w:rPr>
          <w:sz w:val="24"/>
          <w:u w:val="single"/>
        </w:rPr>
      </w:pPr>
      <w:r w:rsidRPr="00EB6976">
        <w:rPr>
          <w:sz w:val="24"/>
          <w:u w:val="single"/>
        </w:rPr>
        <w:t>Meningioma</w:t>
      </w:r>
    </w:p>
    <w:p w14:paraId="5C37D44A" w14:textId="77777777" w:rsidR="00EB6976" w:rsidRPr="00EB6976" w:rsidRDefault="00EB6976" w:rsidP="00EB6976">
      <w:pPr>
        <w:pStyle w:val="Overskrift3"/>
        <w:ind w:left="851"/>
        <w:rPr>
          <w:b w:val="0"/>
          <w:bCs w:val="0"/>
          <w:sz w:val="24"/>
        </w:rPr>
      </w:pPr>
      <w:r w:rsidRPr="00EB6976">
        <w:rPr>
          <w:b w:val="0"/>
          <w:bCs w:val="0"/>
          <w:sz w:val="24"/>
        </w:rPr>
        <w:t>The occurrence of meningiomas (single and multiple) has been reported in association with use of estradiol/dydrogesterone. Patients should be monitored for signs and symptoms of meningiomas in accordance with clinical practice. If a patient is diagnosed with meningioma, any estradiol/dydrogesterone containing treatment must be stopped (see section 4.3). Tumour shrinkage has been observed after treatment discontinuation.</w:t>
      </w:r>
    </w:p>
    <w:p w14:paraId="64D80F18" w14:textId="77777777" w:rsidR="00EB6976" w:rsidRDefault="00EB6976" w:rsidP="00EB6976">
      <w:pPr>
        <w:tabs>
          <w:tab w:val="left" w:pos="851"/>
        </w:tabs>
        <w:rPr>
          <w:sz w:val="24"/>
          <w:szCs w:val="24"/>
          <w:lang w:val="de-DE"/>
        </w:rPr>
      </w:pPr>
    </w:p>
    <w:p w14:paraId="1AD37D22" w14:textId="77777777" w:rsidR="00EB6976" w:rsidRPr="00116267" w:rsidRDefault="00EB6976" w:rsidP="00EB6976">
      <w:pPr>
        <w:tabs>
          <w:tab w:val="left" w:pos="851"/>
        </w:tabs>
        <w:ind w:left="851"/>
        <w:rPr>
          <w:sz w:val="24"/>
          <w:szCs w:val="24"/>
          <w:lang w:val="de-DE"/>
        </w:rPr>
      </w:pPr>
    </w:p>
    <w:p w14:paraId="5F212A02" w14:textId="77777777" w:rsidR="00116267" w:rsidRPr="00116267" w:rsidRDefault="00116267" w:rsidP="00116267">
      <w:pPr>
        <w:tabs>
          <w:tab w:val="left" w:pos="851"/>
        </w:tabs>
        <w:ind w:left="851"/>
        <w:rPr>
          <w:b/>
          <w:sz w:val="24"/>
          <w:szCs w:val="24"/>
          <w:u w:val="single"/>
          <w:lang w:val="de-DE"/>
        </w:rPr>
      </w:pPr>
    </w:p>
    <w:p w14:paraId="1655839E"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lastRenderedPageBreak/>
        <w:t>Reasons for immediate withdrawal of therapy</w:t>
      </w:r>
    </w:p>
    <w:p w14:paraId="69A705A9" w14:textId="77777777" w:rsidR="00116267" w:rsidRPr="00116267" w:rsidRDefault="00116267" w:rsidP="00116267">
      <w:pPr>
        <w:tabs>
          <w:tab w:val="left" w:pos="851"/>
        </w:tabs>
        <w:ind w:left="851"/>
        <w:rPr>
          <w:sz w:val="24"/>
          <w:szCs w:val="24"/>
          <w:lang w:val="de-DE"/>
        </w:rPr>
      </w:pPr>
      <w:r w:rsidRPr="00116267">
        <w:rPr>
          <w:sz w:val="24"/>
          <w:szCs w:val="24"/>
          <w:lang w:val="de-DE"/>
        </w:rPr>
        <w:t>Therapy should be discontinued in case a contraindication is discovered and in the following situations:</w:t>
      </w:r>
    </w:p>
    <w:p w14:paraId="47910640" w14:textId="77777777" w:rsidR="00116267" w:rsidRPr="00116267" w:rsidRDefault="00116267" w:rsidP="00116267">
      <w:pPr>
        <w:tabs>
          <w:tab w:val="left" w:pos="851"/>
        </w:tabs>
        <w:ind w:left="851"/>
        <w:rPr>
          <w:sz w:val="24"/>
          <w:szCs w:val="24"/>
          <w:lang w:val="de-DE"/>
        </w:rPr>
      </w:pPr>
    </w:p>
    <w:p w14:paraId="21A9A7A2"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t>Jaundice or deterioration in liver function</w:t>
      </w:r>
    </w:p>
    <w:p w14:paraId="0490B84A"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t>Significant increase in blood pressure</w:t>
      </w:r>
    </w:p>
    <w:p w14:paraId="3EFA9878"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t>New onset of migraine-type headache</w:t>
      </w:r>
    </w:p>
    <w:p w14:paraId="2EB8062B"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t>Pregnancy</w:t>
      </w:r>
    </w:p>
    <w:p w14:paraId="64D1598A" w14:textId="77777777" w:rsidR="00116267" w:rsidRPr="00116267" w:rsidRDefault="00116267" w:rsidP="00116267">
      <w:pPr>
        <w:tabs>
          <w:tab w:val="left" w:pos="851"/>
        </w:tabs>
        <w:ind w:left="851"/>
        <w:rPr>
          <w:sz w:val="24"/>
          <w:szCs w:val="24"/>
          <w:lang w:val="de-DE"/>
        </w:rPr>
      </w:pPr>
    </w:p>
    <w:p w14:paraId="4E64ECA2"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Endometrial hyperplasia and carcinoma</w:t>
      </w:r>
    </w:p>
    <w:p w14:paraId="10D6D31A" w14:textId="77777777" w:rsidR="00116267" w:rsidRPr="00116267" w:rsidRDefault="00116267" w:rsidP="008137E3">
      <w:pPr>
        <w:numPr>
          <w:ilvl w:val="0"/>
          <w:numId w:val="6"/>
        </w:numPr>
        <w:tabs>
          <w:tab w:val="left" w:pos="851"/>
        </w:tabs>
        <w:ind w:left="1134" w:hanging="283"/>
        <w:rPr>
          <w:sz w:val="24"/>
          <w:szCs w:val="24"/>
          <w:lang w:val="de-DE"/>
        </w:rPr>
      </w:pPr>
      <w:r w:rsidRPr="00116267">
        <w:rPr>
          <w:sz w:val="24"/>
          <w:szCs w:val="24"/>
          <w:lang w:val="de-DE"/>
        </w:rPr>
        <w:t xml:space="preserve">In women with an intact uterus the risk of endometrial hyperplasia and carcinoma is increased when oestrogens are administered alone for prolonged periods. The reported increase in endometrial cancer risk among oestrogen-only users varies from 2- to 12-fold greater compared with non-users, depending on the duration of treatment and oestrogen dose (see section 4.8). After stopping treatment risk may remain elevated for at least 10 years. </w:t>
      </w:r>
    </w:p>
    <w:p w14:paraId="1C6D5487" w14:textId="77777777" w:rsidR="00116267" w:rsidRPr="00116267" w:rsidRDefault="00116267" w:rsidP="008137E3">
      <w:pPr>
        <w:numPr>
          <w:ilvl w:val="0"/>
          <w:numId w:val="6"/>
        </w:numPr>
        <w:tabs>
          <w:tab w:val="left" w:pos="851"/>
        </w:tabs>
        <w:ind w:left="1134" w:hanging="283"/>
        <w:rPr>
          <w:sz w:val="24"/>
          <w:szCs w:val="24"/>
          <w:lang w:val="de-DE"/>
        </w:rPr>
      </w:pPr>
      <w:r w:rsidRPr="00116267">
        <w:rPr>
          <w:sz w:val="24"/>
          <w:szCs w:val="24"/>
          <w:lang w:val="de-DE"/>
        </w:rPr>
        <w:t>The addition of a progestogen cyclically for at least 12 days per month /28 day cycle or continuous combined oestrogen-progestogen therapy in non-hysterectomised women can prevent the excess risk associated with oestrogen-only HRT.</w:t>
      </w:r>
    </w:p>
    <w:p w14:paraId="29508ED8" w14:textId="77777777" w:rsidR="00116267" w:rsidRPr="00116267" w:rsidRDefault="00116267" w:rsidP="008137E3">
      <w:pPr>
        <w:numPr>
          <w:ilvl w:val="0"/>
          <w:numId w:val="6"/>
        </w:numPr>
        <w:tabs>
          <w:tab w:val="left" w:pos="851"/>
        </w:tabs>
        <w:ind w:left="1134" w:hanging="283"/>
        <w:rPr>
          <w:sz w:val="24"/>
          <w:szCs w:val="24"/>
          <w:lang w:val="de-DE"/>
        </w:rPr>
      </w:pPr>
      <w:r w:rsidRPr="00116267">
        <w:rPr>
          <w:sz w:val="24"/>
          <w:szCs w:val="24"/>
          <w:lang w:val="en-US"/>
        </w:rPr>
        <w:t>Break-through b</w:t>
      </w:r>
      <w:smartTag w:uri="urn:schemas-microsoft-com:office:smarttags" w:element="PersonName">
        <w:r w:rsidRPr="00116267">
          <w:rPr>
            <w:sz w:val="24"/>
            <w:szCs w:val="24"/>
            <w:lang w:val="en-US"/>
          </w:rPr>
          <w:t>lee</w:t>
        </w:r>
      </w:smartTag>
      <w:r w:rsidRPr="00116267">
        <w:rPr>
          <w:sz w:val="24"/>
          <w:szCs w:val="24"/>
          <w:lang w:val="en-US"/>
        </w:rPr>
        <w:t xml:space="preserve">ding and spotting may occur during the first months of treatment. </w:t>
      </w:r>
      <w:r w:rsidRPr="00116267">
        <w:rPr>
          <w:sz w:val="24"/>
          <w:szCs w:val="24"/>
          <w:lang w:val="de-DE"/>
        </w:rPr>
        <w:t>If break-through b</w:t>
      </w:r>
      <w:smartTag w:uri="urn:schemas-microsoft-com:office:smarttags" w:element="PersonName">
        <w:r w:rsidRPr="00116267">
          <w:rPr>
            <w:sz w:val="24"/>
            <w:szCs w:val="24"/>
            <w:lang w:val="de-DE"/>
          </w:rPr>
          <w:t>lee</w:t>
        </w:r>
      </w:smartTag>
      <w:r w:rsidRPr="00116267">
        <w:rPr>
          <w:sz w:val="24"/>
          <w:szCs w:val="24"/>
          <w:lang w:val="de-DE"/>
        </w:rPr>
        <w:t>ding or spotting appears after some time on therapy, or continues after treatment has been discontinued, the reason should be investigated, which may include endometrial biopsy to exclude endometrial malignancy.</w:t>
      </w:r>
    </w:p>
    <w:p w14:paraId="1284B91B" w14:textId="77777777" w:rsidR="00116267" w:rsidRPr="00116267" w:rsidRDefault="00116267" w:rsidP="00116267">
      <w:pPr>
        <w:tabs>
          <w:tab w:val="left" w:pos="851"/>
        </w:tabs>
        <w:ind w:left="851"/>
        <w:rPr>
          <w:sz w:val="24"/>
          <w:szCs w:val="24"/>
          <w:lang w:val="de-DE"/>
        </w:rPr>
      </w:pPr>
    </w:p>
    <w:p w14:paraId="08BE02F9" w14:textId="77777777" w:rsidR="00116267" w:rsidRPr="00116267" w:rsidRDefault="00116267" w:rsidP="00116267">
      <w:pPr>
        <w:tabs>
          <w:tab w:val="left" w:pos="851"/>
        </w:tabs>
        <w:ind w:left="851"/>
        <w:rPr>
          <w:sz w:val="24"/>
          <w:szCs w:val="24"/>
          <w:lang w:val="de-DE"/>
        </w:rPr>
      </w:pPr>
      <w:r w:rsidRPr="00116267">
        <w:rPr>
          <w:b/>
          <w:sz w:val="24"/>
          <w:szCs w:val="24"/>
          <w:u w:val="single"/>
          <w:lang w:val="de-DE"/>
        </w:rPr>
        <w:t>Breast cancer</w:t>
      </w:r>
    </w:p>
    <w:p w14:paraId="7C84CCD7" w14:textId="77777777" w:rsidR="00116267" w:rsidRPr="00116267" w:rsidRDefault="00116267" w:rsidP="00116267">
      <w:pPr>
        <w:tabs>
          <w:tab w:val="left" w:pos="851"/>
        </w:tabs>
        <w:ind w:left="851"/>
        <w:rPr>
          <w:sz w:val="24"/>
          <w:szCs w:val="24"/>
          <w:lang w:val="en-US"/>
        </w:rPr>
      </w:pPr>
      <w:r w:rsidRPr="00116267">
        <w:rPr>
          <w:sz w:val="24"/>
          <w:szCs w:val="24"/>
          <w:lang w:val="en-US"/>
        </w:rPr>
        <w:t xml:space="preserve">The overall evidence shows an increased risk of breast cancer in women taking combined oestrogen-progestogen or oestrogen-only HRT, </w:t>
      </w:r>
      <w:bookmarkStart w:id="1" w:name="OLE_LINK1"/>
      <w:r w:rsidRPr="00116267">
        <w:rPr>
          <w:sz w:val="24"/>
          <w:szCs w:val="24"/>
          <w:lang w:val="en-US"/>
        </w:rPr>
        <w:t>that is dependent on the duration of taking HRT</w:t>
      </w:r>
      <w:bookmarkEnd w:id="1"/>
      <w:r w:rsidRPr="00116267">
        <w:rPr>
          <w:sz w:val="24"/>
          <w:szCs w:val="24"/>
          <w:lang w:val="en-US"/>
        </w:rPr>
        <w:t>.</w:t>
      </w:r>
    </w:p>
    <w:p w14:paraId="0DB351C3" w14:textId="77777777" w:rsidR="00116267" w:rsidRPr="00116267" w:rsidRDefault="00116267" w:rsidP="00116267">
      <w:pPr>
        <w:tabs>
          <w:tab w:val="left" w:pos="851"/>
        </w:tabs>
        <w:ind w:left="851"/>
        <w:rPr>
          <w:sz w:val="24"/>
          <w:szCs w:val="24"/>
          <w:lang w:val="en-US"/>
        </w:rPr>
      </w:pPr>
    </w:p>
    <w:p w14:paraId="335470D8" w14:textId="77777777" w:rsidR="00116267" w:rsidRPr="00116267" w:rsidRDefault="00116267" w:rsidP="00116267">
      <w:pPr>
        <w:tabs>
          <w:tab w:val="left" w:pos="851"/>
        </w:tabs>
        <w:ind w:left="851"/>
        <w:rPr>
          <w:sz w:val="24"/>
          <w:szCs w:val="24"/>
          <w:lang w:val="de-DE"/>
        </w:rPr>
      </w:pPr>
      <w:r w:rsidRPr="00116267">
        <w:rPr>
          <w:sz w:val="24"/>
          <w:szCs w:val="24"/>
          <w:lang w:val="de-DE"/>
        </w:rPr>
        <w:t>Combined oestrogen-progestogen therapy:</w:t>
      </w:r>
    </w:p>
    <w:p w14:paraId="4979E17D" w14:textId="77777777" w:rsidR="00116267" w:rsidRPr="00116267" w:rsidRDefault="00116267" w:rsidP="00116267">
      <w:pPr>
        <w:tabs>
          <w:tab w:val="left" w:pos="851"/>
        </w:tabs>
        <w:ind w:left="851"/>
        <w:rPr>
          <w:sz w:val="24"/>
          <w:szCs w:val="24"/>
          <w:lang w:val="de-DE"/>
        </w:rPr>
      </w:pPr>
    </w:p>
    <w:p w14:paraId="63CC5C23" w14:textId="77777777" w:rsidR="00116267" w:rsidRPr="00116267" w:rsidRDefault="00116267" w:rsidP="006C18D0">
      <w:pPr>
        <w:numPr>
          <w:ilvl w:val="0"/>
          <w:numId w:val="7"/>
        </w:numPr>
        <w:tabs>
          <w:tab w:val="clear" w:pos="720"/>
          <w:tab w:val="left" w:pos="851"/>
        </w:tabs>
        <w:ind w:left="1134" w:hanging="283"/>
        <w:rPr>
          <w:sz w:val="24"/>
          <w:szCs w:val="24"/>
          <w:lang w:val="en-US"/>
        </w:rPr>
      </w:pPr>
      <w:r w:rsidRPr="00116267">
        <w:rPr>
          <w:sz w:val="24"/>
          <w:szCs w:val="24"/>
          <w:lang w:val="en-US"/>
        </w:rPr>
        <w:t xml:space="preserve">The randomised placebo-controlled trial, the Women’s Health Initiative study (WHI), and </w:t>
      </w:r>
      <w:r w:rsidRPr="00116267">
        <w:rPr>
          <w:sz w:val="24"/>
          <w:szCs w:val="24"/>
          <w:lang w:val="en-GB"/>
        </w:rPr>
        <w:t>a meta-analysis of prospective</w:t>
      </w:r>
      <w:r w:rsidRPr="00116267">
        <w:rPr>
          <w:sz w:val="24"/>
          <w:szCs w:val="24"/>
          <w:lang w:val="en-US"/>
        </w:rPr>
        <w:t xml:space="preserve"> epidemiological studies are consistent in finding an increased risk of breast cancer in women taking combined oestrogen-progestogen for HRT that becomes apparent after about 3 (1-4) years (see section 4.8). </w:t>
      </w:r>
    </w:p>
    <w:p w14:paraId="31F7A1DA" w14:textId="77777777" w:rsidR="00116267" w:rsidRPr="00116267" w:rsidRDefault="00116267" w:rsidP="00116267">
      <w:pPr>
        <w:tabs>
          <w:tab w:val="left" w:pos="851"/>
        </w:tabs>
        <w:ind w:left="851"/>
        <w:rPr>
          <w:sz w:val="24"/>
          <w:szCs w:val="24"/>
          <w:lang w:val="en-US"/>
        </w:rPr>
      </w:pPr>
    </w:p>
    <w:p w14:paraId="0408FAB2" w14:textId="77777777" w:rsidR="00116267" w:rsidRPr="00116267" w:rsidRDefault="00116267" w:rsidP="00116267">
      <w:pPr>
        <w:tabs>
          <w:tab w:val="left" w:pos="851"/>
        </w:tabs>
        <w:ind w:left="851"/>
        <w:rPr>
          <w:sz w:val="24"/>
          <w:szCs w:val="24"/>
          <w:lang w:val="de-DE"/>
        </w:rPr>
      </w:pPr>
      <w:r w:rsidRPr="00116267">
        <w:rPr>
          <w:sz w:val="24"/>
          <w:szCs w:val="24"/>
          <w:lang w:val="de-DE"/>
        </w:rPr>
        <w:t>Oestrogen-only therapy:</w:t>
      </w:r>
    </w:p>
    <w:p w14:paraId="6786319D" w14:textId="77777777" w:rsidR="00116267" w:rsidRPr="00116267" w:rsidRDefault="00116267" w:rsidP="006C18D0">
      <w:pPr>
        <w:numPr>
          <w:ilvl w:val="0"/>
          <w:numId w:val="8"/>
        </w:numPr>
        <w:tabs>
          <w:tab w:val="left" w:pos="851"/>
        </w:tabs>
        <w:ind w:left="1134" w:hanging="283"/>
        <w:rPr>
          <w:sz w:val="24"/>
          <w:szCs w:val="24"/>
          <w:lang w:val="en-US"/>
        </w:rPr>
      </w:pPr>
      <w:r w:rsidRPr="00116267">
        <w:rPr>
          <w:sz w:val="24"/>
          <w:szCs w:val="24"/>
          <w:lang w:val="de-DE"/>
        </w:rPr>
        <w:t xml:space="preserve">The WHI trial found no increase in the risk of breast cancer in hysterectomised women using oestrogen-only HRT. </w:t>
      </w:r>
      <w:r w:rsidRPr="00116267">
        <w:rPr>
          <w:sz w:val="24"/>
          <w:szCs w:val="24"/>
          <w:lang w:val="en-US"/>
        </w:rPr>
        <w:t>Observational studies have mostly reported a small increase in risk of having breast cancer diagnosed that is lower than that found in users of oestrogen-progestogen combinations (see section 4.8).</w:t>
      </w:r>
      <w:r w:rsidRPr="00116267">
        <w:rPr>
          <w:sz w:val="24"/>
          <w:szCs w:val="24"/>
          <w:lang w:val="en-US"/>
        </w:rPr>
        <w:br/>
      </w:r>
    </w:p>
    <w:p w14:paraId="222A41A8" w14:textId="77777777" w:rsidR="00116267" w:rsidRPr="00116267" w:rsidRDefault="00116267" w:rsidP="00116267">
      <w:pPr>
        <w:tabs>
          <w:tab w:val="left" w:pos="851"/>
        </w:tabs>
        <w:ind w:left="851"/>
        <w:rPr>
          <w:sz w:val="24"/>
          <w:szCs w:val="24"/>
          <w:lang w:val="en-GB"/>
        </w:rPr>
      </w:pPr>
      <w:r w:rsidRPr="00116267">
        <w:rPr>
          <w:sz w:val="24"/>
          <w:szCs w:val="24"/>
          <w:lang w:val="en-GB"/>
        </w:rPr>
        <w:t>Results from a large meta-analysis showed that</w:t>
      </w:r>
      <w:r w:rsidRPr="00116267">
        <w:rPr>
          <w:sz w:val="24"/>
          <w:szCs w:val="24"/>
          <w:lang w:val="en-US"/>
        </w:rPr>
        <w:t xml:space="preserve"> after stopping treatment, </w:t>
      </w:r>
      <w:r w:rsidRPr="00116267">
        <w:rPr>
          <w:sz w:val="24"/>
          <w:szCs w:val="24"/>
          <w:lang w:val="en-GB"/>
        </w:rPr>
        <w:t>the excess risk will decrease with time and the time needed to return to baseline depends on the duration of prior HRT use. When HRT was taken for more than 5 years, the risk may persist for 10 years or more.</w:t>
      </w:r>
    </w:p>
    <w:p w14:paraId="4A2599E8" w14:textId="77777777" w:rsidR="00116267" w:rsidRPr="00116267" w:rsidRDefault="00116267" w:rsidP="00116267">
      <w:pPr>
        <w:tabs>
          <w:tab w:val="left" w:pos="851"/>
        </w:tabs>
        <w:ind w:left="851"/>
        <w:rPr>
          <w:sz w:val="24"/>
          <w:szCs w:val="24"/>
          <w:lang w:val="en-US"/>
        </w:rPr>
      </w:pPr>
    </w:p>
    <w:p w14:paraId="1F8E24E3" w14:textId="77777777" w:rsidR="00116267" w:rsidRPr="00116267" w:rsidRDefault="00116267" w:rsidP="00116267">
      <w:pPr>
        <w:tabs>
          <w:tab w:val="left" w:pos="851"/>
        </w:tabs>
        <w:ind w:left="851"/>
        <w:rPr>
          <w:sz w:val="24"/>
          <w:szCs w:val="24"/>
          <w:lang w:val="en-US"/>
        </w:rPr>
      </w:pPr>
      <w:r w:rsidRPr="00116267">
        <w:rPr>
          <w:sz w:val="24"/>
          <w:szCs w:val="24"/>
          <w:lang w:val="en-US"/>
        </w:rPr>
        <w:t>HRT, especially oestrogen-progestogen combined treatment, increases the density of mammographic images which may adversely affect the radiological detection of breast cancer.</w:t>
      </w:r>
    </w:p>
    <w:p w14:paraId="2B29D682" w14:textId="77777777" w:rsidR="00116267" w:rsidRPr="00116267" w:rsidRDefault="00116267" w:rsidP="00116267">
      <w:pPr>
        <w:tabs>
          <w:tab w:val="left" w:pos="851"/>
        </w:tabs>
        <w:ind w:left="851"/>
        <w:rPr>
          <w:sz w:val="24"/>
          <w:szCs w:val="24"/>
          <w:lang w:val="en-US"/>
        </w:rPr>
      </w:pPr>
    </w:p>
    <w:p w14:paraId="7F16FBFC"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lastRenderedPageBreak/>
        <w:t>Ovarian cancer</w:t>
      </w:r>
    </w:p>
    <w:p w14:paraId="2FCDECAE" w14:textId="77777777" w:rsidR="00116267" w:rsidRPr="00116267" w:rsidRDefault="00116267" w:rsidP="00116267">
      <w:pPr>
        <w:tabs>
          <w:tab w:val="left" w:pos="851"/>
        </w:tabs>
        <w:ind w:left="851"/>
        <w:rPr>
          <w:sz w:val="24"/>
          <w:szCs w:val="24"/>
          <w:lang w:val="en-US"/>
        </w:rPr>
      </w:pPr>
      <w:r w:rsidRPr="00116267">
        <w:rPr>
          <w:sz w:val="24"/>
          <w:szCs w:val="24"/>
          <w:lang w:val="en-US"/>
        </w:rPr>
        <w:t>Ovarian cancer is much rarer than breast cancer.</w:t>
      </w:r>
      <w:r w:rsidRPr="00116267">
        <w:rPr>
          <w:sz w:val="24"/>
          <w:szCs w:val="24"/>
          <w:lang w:val="en-GB"/>
        </w:rPr>
        <w:t xml:space="preserve"> Epidemiological evidence from a large meta-analysis suggests a slightly increased risk in women taking oestrogen-only or combined oestrogen-progestogen HRT, which becomes apparent within 5 years of use and diminishes over time after stopping</w:t>
      </w:r>
      <w:r w:rsidRPr="00116267">
        <w:rPr>
          <w:sz w:val="24"/>
          <w:szCs w:val="24"/>
          <w:lang w:val="en-US"/>
        </w:rPr>
        <w:t>. Some other studies, including the WHI trial, suggest that the use of combined HRTs may be associated with a similar, or slightly smaller risk (see section 4.8).</w:t>
      </w:r>
      <w:r w:rsidRPr="00116267">
        <w:rPr>
          <w:sz w:val="24"/>
          <w:szCs w:val="24"/>
          <w:lang w:val="en-US"/>
        </w:rPr>
        <w:br/>
      </w:r>
    </w:p>
    <w:p w14:paraId="09FDAC0D"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Venous thromboembolism</w:t>
      </w:r>
    </w:p>
    <w:p w14:paraId="63BE2438" w14:textId="0DBEAF06"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en-US"/>
        </w:rPr>
        <w:t>HRT is associated with a 1.3</w:t>
      </w:r>
      <w:r w:rsidR="0093136E">
        <w:rPr>
          <w:sz w:val="24"/>
          <w:szCs w:val="24"/>
          <w:lang w:val="en-US"/>
        </w:rPr>
        <w:t>-</w:t>
      </w:r>
      <w:r w:rsidR="004053F8">
        <w:rPr>
          <w:sz w:val="24"/>
          <w:szCs w:val="24"/>
          <w:lang w:val="en-US"/>
        </w:rPr>
        <w:t xml:space="preserve"> to </w:t>
      </w:r>
      <w:r w:rsidRPr="00116267">
        <w:rPr>
          <w:sz w:val="24"/>
          <w:szCs w:val="24"/>
          <w:lang w:val="en-US"/>
        </w:rPr>
        <w:t>3</w:t>
      </w:r>
      <w:r w:rsidR="0093136E">
        <w:rPr>
          <w:sz w:val="24"/>
          <w:szCs w:val="24"/>
          <w:lang w:val="en-US"/>
        </w:rPr>
        <w:t>-</w:t>
      </w:r>
      <w:r w:rsidRPr="00116267">
        <w:rPr>
          <w:sz w:val="24"/>
          <w:szCs w:val="24"/>
          <w:lang w:val="en-US"/>
        </w:rPr>
        <w:t xml:space="preserve">fold risk of developing venous thromboembolism (VTE), i.e. deep vein thrombosis or pulmonary embolism. </w:t>
      </w:r>
      <w:r w:rsidRPr="00116267">
        <w:rPr>
          <w:sz w:val="24"/>
          <w:szCs w:val="24"/>
          <w:lang w:val="de-DE"/>
        </w:rPr>
        <w:t>The occurrence of such an event is more likely in the first year of HRT than later (see section 4.8).</w:t>
      </w:r>
      <w:r w:rsidRPr="00116267">
        <w:rPr>
          <w:sz w:val="24"/>
          <w:szCs w:val="24"/>
          <w:lang w:val="de-DE"/>
        </w:rPr>
        <w:br/>
      </w:r>
    </w:p>
    <w:p w14:paraId="10806CB6" w14:textId="77777777"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de-DE"/>
        </w:rPr>
        <w:t>Patients with known thrombophilic states have an increased risk of VTE and HRT may add to this risk. HRT is therefore contraindicated in these patients (see section 4.3).</w:t>
      </w:r>
      <w:r w:rsidRPr="00116267">
        <w:rPr>
          <w:sz w:val="24"/>
          <w:szCs w:val="24"/>
          <w:lang w:val="de-DE"/>
        </w:rPr>
        <w:br/>
      </w:r>
    </w:p>
    <w:p w14:paraId="29D738F7" w14:textId="77777777" w:rsidR="00116267" w:rsidRPr="00116267" w:rsidRDefault="00116267" w:rsidP="00116267">
      <w:pPr>
        <w:tabs>
          <w:tab w:val="left" w:pos="851"/>
        </w:tabs>
        <w:ind w:left="851"/>
        <w:rPr>
          <w:sz w:val="24"/>
          <w:szCs w:val="24"/>
          <w:lang w:val="en-US"/>
        </w:rPr>
      </w:pPr>
      <w:r w:rsidRPr="00116267">
        <w:rPr>
          <w:sz w:val="24"/>
          <w:szCs w:val="24"/>
          <w:lang w:val="de-DE"/>
        </w:rPr>
        <w:t>Generally recognised risk factors for VTE include: use of oestrogens, older age, major surgery, prolonged immobilisation, obesity (BMI &gt; 30 kg/m</w:t>
      </w:r>
      <w:r w:rsidRPr="00116267">
        <w:rPr>
          <w:sz w:val="24"/>
          <w:szCs w:val="24"/>
          <w:vertAlign w:val="superscript"/>
          <w:lang w:val="de-DE"/>
        </w:rPr>
        <w:t>2</w:t>
      </w:r>
      <w:r w:rsidRPr="00116267">
        <w:rPr>
          <w:sz w:val="24"/>
          <w:szCs w:val="24"/>
          <w:lang w:val="de-DE"/>
        </w:rPr>
        <w:t>), pregnancy/postpartum period, systemic lupus erythematosus (SLE), and cancer. There is no consensus about the possible role of varicose veins in VTE.</w:t>
      </w:r>
    </w:p>
    <w:p w14:paraId="40B13412" w14:textId="77777777" w:rsidR="00116267" w:rsidRPr="00116267" w:rsidRDefault="00116267" w:rsidP="00116267">
      <w:pPr>
        <w:tabs>
          <w:tab w:val="left" w:pos="851"/>
        </w:tabs>
        <w:ind w:left="851"/>
        <w:rPr>
          <w:sz w:val="24"/>
          <w:szCs w:val="24"/>
          <w:lang w:val="de-DE"/>
        </w:rPr>
      </w:pPr>
      <w:r w:rsidRPr="00116267">
        <w:rPr>
          <w:sz w:val="24"/>
          <w:szCs w:val="24"/>
          <w:lang w:val="en-US"/>
        </w:rPr>
        <w:t xml:space="preserve">As in all postoperative patients, prophylactic measures need to be considered to prevent VTE following surgery. If prolonged immobilisation is to follow elective surgery, temporarily stopping HRT 4 to 6 weeks earlier is recommended. </w:t>
      </w:r>
      <w:r w:rsidRPr="00116267">
        <w:rPr>
          <w:sz w:val="24"/>
          <w:szCs w:val="24"/>
          <w:lang w:val="de-DE"/>
        </w:rPr>
        <w:t>Treatment should not be restarted until the woman is completely mobilised.</w:t>
      </w:r>
      <w:r w:rsidRPr="00116267">
        <w:rPr>
          <w:sz w:val="24"/>
          <w:szCs w:val="24"/>
          <w:lang w:val="de-DE"/>
        </w:rPr>
        <w:br/>
      </w:r>
    </w:p>
    <w:p w14:paraId="6927764C" w14:textId="77777777" w:rsidR="00116267" w:rsidRPr="00116267" w:rsidRDefault="00116267" w:rsidP="006C18D0">
      <w:pPr>
        <w:numPr>
          <w:ilvl w:val="0"/>
          <w:numId w:val="9"/>
        </w:numPr>
        <w:tabs>
          <w:tab w:val="left" w:pos="851"/>
        </w:tabs>
        <w:ind w:left="1134" w:hanging="283"/>
        <w:rPr>
          <w:sz w:val="24"/>
          <w:szCs w:val="24"/>
          <w:lang w:val="en-US"/>
        </w:rPr>
      </w:pPr>
      <w:r w:rsidRPr="00116267">
        <w:rPr>
          <w:sz w:val="24"/>
          <w:szCs w:val="24"/>
          <w:lang w:val="en-US"/>
        </w:rPr>
        <w:t>In women with no personal history of VTE but with a first degree relative with a history of thrombosis at young age, screening may be offered after careful counselling regarding its limitations (only a proportion of thrombophilic defects are identified by screening).</w:t>
      </w:r>
    </w:p>
    <w:p w14:paraId="29F220B2" w14:textId="5D327D9D" w:rsidR="00116267" w:rsidRPr="00116267" w:rsidRDefault="00116267" w:rsidP="006C18D0">
      <w:pPr>
        <w:tabs>
          <w:tab w:val="left" w:pos="851"/>
        </w:tabs>
        <w:ind w:left="1134" w:hanging="283"/>
        <w:rPr>
          <w:sz w:val="24"/>
          <w:szCs w:val="24"/>
          <w:lang w:val="en-US"/>
        </w:rPr>
      </w:pPr>
      <w:r w:rsidRPr="00116267">
        <w:rPr>
          <w:sz w:val="24"/>
          <w:szCs w:val="24"/>
          <w:lang w:val="en-US"/>
        </w:rPr>
        <w:tab/>
        <w:t xml:space="preserve">If a thrombophilic defect is identified which segregates with thrombosis in family members or if the defect is ‘severe’ (e.g. antithrombin, protein S, or protein C deficiencies or a combination of defects) </w:t>
      </w:r>
      <w:r w:rsidRPr="00116267">
        <w:rPr>
          <w:sz w:val="24"/>
          <w:szCs w:val="24"/>
          <w:lang w:val="en-US"/>
        </w:rPr>
        <w:tab/>
        <w:t>HRT is contraindicated.</w:t>
      </w:r>
      <w:r w:rsidRPr="00116267">
        <w:rPr>
          <w:sz w:val="24"/>
          <w:szCs w:val="24"/>
          <w:lang w:val="en-US"/>
        </w:rPr>
        <w:br/>
      </w:r>
    </w:p>
    <w:p w14:paraId="48DD1365" w14:textId="77777777"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de-DE"/>
        </w:rPr>
        <w:t>Women already on anticoagulant treatment require careful consideration of the benefit-risk of use of HRT.</w:t>
      </w:r>
      <w:r w:rsidRPr="00116267">
        <w:rPr>
          <w:sz w:val="24"/>
          <w:szCs w:val="24"/>
          <w:lang w:val="de-DE"/>
        </w:rPr>
        <w:br/>
      </w:r>
    </w:p>
    <w:p w14:paraId="643DF583" w14:textId="77777777"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de-DE"/>
        </w:rPr>
        <w:t>If VTE develops after initiating therapy, the drug should be discontinued. Patients should be told to contact their doctors immediately when they are aware of a potential thromboembolic symptom (e.g. painful swelling of a leg, sudden pain in the chest, dyspnoea).</w:t>
      </w:r>
    </w:p>
    <w:p w14:paraId="07E2E06B" w14:textId="77777777" w:rsidR="00116267" w:rsidRPr="00116267" w:rsidRDefault="00116267" w:rsidP="00116267">
      <w:pPr>
        <w:tabs>
          <w:tab w:val="left" w:pos="851"/>
        </w:tabs>
        <w:ind w:left="851"/>
        <w:rPr>
          <w:b/>
          <w:sz w:val="24"/>
          <w:szCs w:val="24"/>
          <w:u w:val="single"/>
          <w:lang w:val="de-DE"/>
        </w:rPr>
      </w:pPr>
    </w:p>
    <w:p w14:paraId="25C81DEC"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Coronary artery disease (CAD)</w:t>
      </w:r>
    </w:p>
    <w:p w14:paraId="0930B14B" w14:textId="77777777" w:rsidR="00116267" w:rsidRPr="00116267" w:rsidRDefault="00116267" w:rsidP="00116267">
      <w:pPr>
        <w:tabs>
          <w:tab w:val="left" w:pos="851"/>
        </w:tabs>
        <w:ind w:left="851"/>
        <w:rPr>
          <w:sz w:val="24"/>
          <w:szCs w:val="24"/>
          <w:lang w:val="de-DE"/>
        </w:rPr>
      </w:pPr>
      <w:r w:rsidRPr="00116267">
        <w:rPr>
          <w:sz w:val="24"/>
          <w:szCs w:val="24"/>
          <w:lang w:val="de-DE"/>
        </w:rPr>
        <w:t>There is no evidence from randomised controlled trials of protection against myocardial infarction in women with or without existing CAD who received combined oestrogen-progestogen or oestrogen-only HRT.</w:t>
      </w:r>
      <w:r w:rsidRPr="00116267">
        <w:rPr>
          <w:sz w:val="24"/>
          <w:szCs w:val="24"/>
          <w:lang w:val="de-DE"/>
        </w:rPr>
        <w:br/>
      </w:r>
      <w:r w:rsidRPr="00116267">
        <w:rPr>
          <w:sz w:val="24"/>
          <w:szCs w:val="24"/>
          <w:lang w:val="de-DE"/>
        </w:rPr>
        <w:br/>
        <w:t>Combined oestrogen-progestogen therapy:</w:t>
      </w:r>
    </w:p>
    <w:p w14:paraId="37D8E599" w14:textId="77777777" w:rsidR="00116267" w:rsidRPr="00116267" w:rsidRDefault="00116267" w:rsidP="00116267">
      <w:pPr>
        <w:tabs>
          <w:tab w:val="left" w:pos="851"/>
        </w:tabs>
        <w:ind w:left="851"/>
        <w:rPr>
          <w:sz w:val="24"/>
          <w:szCs w:val="24"/>
          <w:lang w:val="de-DE"/>
        </w:rPr>
      </w:pPr>
      <w:r w:rsidRPr="00116267">
        <w:rPr>
          <w:sz w:val="24"/>
          <w:szCs w:val="24"/>
          <w:lang w:val="de-DE"/>
        </w:rPr>
        <w:t xml:space="preserve">The relative risk of CAD during use of combined oestrogen-progestogen HRT is slightly increased. As the baseline absolute risk of CAD is strongly dependent on age, the number of extra cases of CAD due to oestrogen-progestogen use is very low in healthy women close to menopause, but will rise with more advanced age. </w:t>
      </w:r>
    </w:p>
    <w:p w14:paraId="16ECED1C" w14:textId="77777777" w:rsidR="00116267" w:rsidRPr="00116267" w:rsidRDefault="00116267" w:rsidP="00116267">
      <w:pPr>
        <w:tabs>
          <w:tab w:val="left" w:pos="851"/>
        </w:tabs>
        <w:ind w:left="851"/>
        <w:rPr>
          <w:sz w:val="24"/>
          <w:szCs w:val="24"/>
          <w:lang w:val="de-DE"/>
        </w:rPr>
      </w:pPr>
    </w:p>
    <w:p w14:paraId="3256E02F" w14:textId="7509C646" w:rsidR="00116267" w:rsidRPr="00116267" w:rsidRDefault="00116267" w:rsidP="00116267">
      <w:pPr>
        <w:tabs>
          <w:tab w:val="left" w:pos="851"/>
        </w:tabs>
        <w:ind w:left="851"/>
        <w:rPr>
          <w:sz w:val="24"/>
          <w:szCs w:val="24"/>
          <w:lang w:val="de-DE"/>
        </w:rPr>
      </w:pPr>
      <w:r w:rsidRPr="00116267">
        <w:rPr>
          <w:sz w:val="24"/>
          <w:szCs w:val="24"/>
          <w:lang w:val="de-DE"/>
        </w:rPr>
        <w:t>Oestrogen-only:</w:t>
      </w:r>
      <w:r w:rsidRPr="00116267">
        <w:rPr>
          <w:sz w:val="24"/>
          <w:szCs w:val="24"/>
          <w:lang w:val="de-DE"/>
        </w:rPr>
        <w:br/>
        <w:t>Randomised controlled data found no increased risk of CAD in hysterectomised women using oestrogen-only therapy.</w:t>
      </w:r>
    </w:p>
    <w:p w14:paraId="49E32717" w14:textId="77777777" w:rsidR="00116267" w:rsidRPr="00116267" w:rsidRDefault="00116267" w:rsidP="00116267">
      <w:pPr>
        <w:tabs>
          <w:tab w:val="left" w:pos="851"/>
        </w:tabs>
        <w:ind w:left="851"/>
        <w:rPr>
          <w:sz w:val="24"/>
          <w:szCs w:val="24"/>
          <w:lang w:val="de-DE"/>
        </w:rPr>
      </w:pPr>
    </w:p>
    <w:p w14:paraId="2A5F8A27"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Ischaemic Stroke</w:t>
      </w:r>
    </w:p>
    <w:p w14:paraId="2E43CA1E" w14:textId="77777777" w:rsidR="00116267" w:rsidRPr="00116267" w:rsidRDefault="00116267" w:rsidP="00116267">
      <w:pPr>
        <w:tabs>
          <w:tab w:val="left" w:pos="851"/>
        </w:tabs>
        <w:ind w:left="851"/>
        <w:rPr>
          <w:sz w:val="24"/>
          <w:szCs w:val="24"/>
          <w:lang w:val="de-DE"/>
        </w:rPr>
      </w:pPr>
      <w:r w:rsidRPr="00116267">
        <w:rPr>
          <w:sz w:val="24"/>
          <w:szCs w:val="24"/>
          <w:lang w:val="de-DE"/>
        </w:rPr>
        <w:t>Combined oestrogen-progestogen and oestrogen-only therapy are associated with an up to 1.5-fold increase in risk of ischaemic stroke. The relative risk does not change with age or time since menopause. However, as the baseline risk of stroke is strongly age-dependent, the overall risk of stroke in women who use HRT will increase with age (see section 4.8).</w:t>
      </w:r>
    </w:p>
    <w:p w14:paraId="457A9326" w14:textId="77777777" w:rsidR="00116267" w:rsidRPr="00116267" w:rsidRDefault="00116267" w:rsidP="00116267">
      <w:pPr>
        <w:tabs>
          <w:tab w:val="left" w:pos="851"/>
        </w:tabs>
        <w:ind w:left="851"/>
        <w:rPr>
          <w:sz w:val="24"/>
          <w:szCs w:val="24"/>
          <w:lang w:val="de-DE"/>
        </w:rPr>
      </w:pPr>
    </w:p>
    <w:p w14:paraId="17CAE2E1" w14:textId="77777777" w:rsidR="00116267" w:rsidRPr="00116267" w:rsidRDefault="00116267" w:rsidP="00116267">
      <w:pPr>
        <w:tabs>
          <w:tab w:val="left" w:pos="851"/>
        </w:tabs>
        <w:ind w:left="851"/>
        <w:rPr>
          <w:sz w:val="24"/>
          <w:szCs w:val="24"/>
          <w:lang w:val="en-US"/>
        </w:rPr>
      </w:pPr>
      <w:bookmarkStart w:id="2" w:name="_Hlk87378117"/>
      <w:r w:rsidRPr="00116267">
        <w:rPr>
          <w:b/>
          <w:bCs/>
          <w:sz w:val="24"/>
          <w:szCs w:val="24"/>
          <w:lang w:val="en-US"/>
        </w:rPr>
        <w:t xml:space="preserve">ALT elevations </w:t>
      </w:r>
    </w:p>
    <w:p w14:paraId="5D6E94F3" w14:textId="77777777" w:rsidR="00116267" w:rsidRPr="00116267" w:rsidRDefault="00116267" w:rsidP="00116267">
      <w:pPr>
        <w:tabs>
          <w:tab w:val="left" w:pos="851"/>
        </w:tabs>
        <w:ind w:left="851"/>
        <w:rPr>
          <w:sz w:val="24"/>
          <w:szCs w:val="24"/>
          <w:lang w:val="en-US"/>
        </w:rPr>
      </w:pPr>
      <w:r w:rsidRPr="00116267">
        <w:rPr>
          <w:sz w:val="24"/>
          <w:szCs w:val="24"/>
          <w:lang w:val="en-US"/>
        </w:rPr>
        <w:t>During clinical trials with patients treated for hepatitis C virus (HCV) infections with the combination regimen ombitasvir/paritaprevir/ritonavir with and without dasabuvir, ALT elevations greater than 5 times the upper limit of normal (ULN) were significantly more frequent in women using ethinylestradiol-containing medicinal products such as CHCs. Additionally, also in patients treated with glecaprevir/pibrentasvir, ALT elevations were observed in women using ethinylestradiol-containing medications such as CHCs. Women using medicinal products containing oestrogens other than ethinylestradiol, such as estradiol, had a rate of ALT elevation similar to those not receiving any oestrogens; however, due to the limited number of women taking these other oestrogens, caution is warranted for co-administration with the combination drug regimen ombitasvir/paritaprevir/ritonavir with or without dasabuvir and also the regimen glecaprevir/pibrentasvir (see section 4.5).</w:t>
      </w:r>
    </w:p>
    <w:bookmarkEnd w:id="2"/>
    <w:p w14:paraId="7655057E" w14:textId="77777777" w:rsidR="00116267" w:rsidRPr="00116267" w:rsidRDefault="00116267" w:rsidP="00116267">
      <w:pPr>
        <w:tabs>
          <w:tab w:val="left" w:pos="851"/>
        </w:tabs>
        <w:ind w:left="851"/>
        <w:rPr>
          <w:sz w:val="24"/>
          <w:szCs w:val="24"/>
          <w:lang w:val="en-GB"/>
        </w:rPr>
      </w:pPr>
    </w:p>
    <w:p w14:paraId="16579855"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Other conditions</w:t>
      </w:r>
    </w:p>
    <w:p w14:paraId="397BBCF6" w14:textId="77777777" w:rsidR="00116267" w:rsidRPr="00116267" w:rsidRDefault="00116267" w:rsidP="00AE6A22">
      <w:pPr>
        <w:numPr>
          <w:ilvl w:val="0"/>
          <w:numId w:val="10"/>
        </w:numPr>
        <w:tabs>
          <w:tab w:val="clear" w:pos="360"/>
          <w:tab w:val="left" w:pos="1134"/>
        </w:tabs>
        <w:ind w:left="1134" w:hanging="283"/>
        <w:rPr>
          <w:sz w:val="24"/>
          <w:szCs w:val="24"/>
          <w:lang w:val="de-DE"/>
        </w:rPr>
      </w:pPr>
      <w:r w:rsidRPr="00116267">
        <w:rPr>
          <w:sz w:val="24"/>
          <w:szCs w:val="24"/>
          <w:lang w:val="de-DE"/>
        </w:rPr>
        <w:t xml:space="preserve">Oestrogens may cause fluid retention, and therefore patients with cardiac or renal dysfunction should be carefully observed. </w:t>
      </w:r>
    </w:p>
    <w:p w14:paraId="5B0CF92A" w14:textId="77777777" w:rsidR="00116267" w:rsidRPr="00116267" w:rsidRDefault="00116267" w:rsidP="00AE6A22">
      <w:pPr>
        <w:numPr>
          <w:ilvl w:val="0"/>
          <w:numId w:val="10"/>
        </w:numPr>
        <w:tabs>
          <w:tab w:val="clear" w:pos="360"/>
          <w:tab w:val="left" w:pos="1134"/>
        </w:tabs>
        <w:ind w:left="1134" w:hanging="283"/>
        <w:rPr>
          <w:sz w:val="24"/>
          <w:szCs w:val="24"/>
          <w:lang w:val="de-DE"/>
        </w:rPr>
      </w:pPr>
      <w:r w:rsidRPr="00116267">
        <w:rPr>
          <w:sz w:val="24"/>
          <w:szCs w:val="24"/>
          <w:lang w:val="de-DE"/>
        </w:rPr>
        <w:t>Women with pre-existing hypertriglyceridaemia should be followed closely during oestrogen replacement or hormone replacement therapy, since rare cases of large increases of plasma triglycerides leading to pancreatitis have been reported with oestrogen therapy in this condition.</w:t>
      </w:r>
    </w:p>
    <w:p w14:paraId="1BBFAB42" w14:textId="77777777" w:rsidR="00116267" w:rsidRPr="00116267" w:rsidRDefault="00116267" w:rsidP="00AE6A22">
      <w:pPr>
        <w:numPr>
          <w:ilvl w:val="0"/>
          <w:numId w:val="10"/>
        </w:numPr>
        <w:tabs>
          <w:tab w:val="clear" w:pos="360"/>
          <w:tab w:val="left" w:pos="1134"/>
        </w:tabs>
        <w:ind w:left="1134" w:hanging="283"/>
        <w:rPr>
          <w:sz w:val="24"/>
          <w:szCs w:val="24"/>
          <w:lang w:val="en-US"/>
        </w:rPr>
      </w:pPr>
      <w:bookmarkStart w:id="3" w:name="_Hlk87377767"/>
      <w:r w:rsidRPr="00116267">
        <w:rPr>
          <w:sz w:val="24"/>
          <w:szCs w:val="24"/>
          <w:lang w:val="en-US"/>
        </w:rPr>
        <w:t xml:space="preserve">Exogenous oestrogens may induce or exacerbate symptoms of hereditary and acquired angioedema. </w:t>
      </w:r>
    </w:p>
    <w:bookmarkEnd w:id="3"/>
    <w:p w14:paraId="2319C524" w14:textId="77777777" w:rsidR="00116267" w:rsidRPr="00116267" w:rsidRDefault="00116267" w:rsidP="00AE6A22">
      <w:pPr>
        <w:numPr>
          <w:ilvl w:val="0"/>
          <w:numId w:val="10"/>
        </w:numPr>
        <w:tabs>
          <w:tab w:val="clear" w:pos="360"/>
          <w:tab w:val="left" w:pos="1134"/>
        </w:tabs>
        <w:ind w:left="1134" w:hanging="283"/>
        <w:rPr>
          <w:sz w:val="24"/>
          <w:szCs w:val="24"/>
          <w:lang w:val="en-US"/>
        </w:rPr>
      </w:pPr>
      <w:r w:rsidRPr="00116267">
        <w:rPr>
          <w:sz w:val="24"/>
          <w:szCs w:val="24"/>
          <w:lang w:val="en-US"/>
        </w:rPr>
        <w:t>Oestrogens increase thyroid binding globulin (TBG), leading to increased circulating total thyroid hormone, as measured by protein-bound iodine (</w:t>
      </w:r>
      <w:smartTag w:uri="urn:schemas-microsoft-com:office:smarttags" w:element="stockticker">
        <w:r w:rsidRPr="00116267">
          <w:rPr>
            <w:sz w:val="24"/>
            <w:szCs w:val="24"/>
            <w:lang w:val="en-US"/>
          </w:rPr>
          <w:t>PBI</w:t>
        </w:r>
      </w:smartTag>
      <w:r w:rsidRPr="00116267">
        <w:rPr>
          <w:sz w:val="24"/>
          <w:szCs w:val="24"/>
          <w:lang w:val="en-US"/>
        </w:rPr>
        <w:t xml:space="preserve">), T4 levels (by column or by radio-immunoassay) or T3 levels (by radio-immunoassay). </w:t>
      </w:r>
      <w:r w:rsidRPr="00116267">
        <w:rPr>
          <w:sz w:val="24"/>
          <w:szCs w:val="24"/>
          <w:lang w:val="de-DE"/>
        </w:rPr>
        <w:t>T3 resin uptake is decreased, reflecting the elevated TBG. Free T4 and free T3 concentrations are unaltered. Other binding proteins may be elevated in serum, i.e. corticoid binding globulin (</w:t>
      </w:r>
      <w:smartTag w:uri="urn:schemas-microsoft-com:office:smarttags" w:element="stockticker">
        <w:r w:rsidRPr="00116267">
          <w:rPr>
            <w:sz w:val="24"/>
            <w:szCs w:val="24"/>
            <w:lang w:val="de-DE"/>
          </w:rPr>
          <w:t>CBG</w:t>
        </w:r>
      </w:smartTag>
      <w:r w:rsidRPr="00116267">
        <w:rPr>
          <w:sz w:val="24"/>
          <w:szCs w:val="24"/>
          <w:lang w:val="de-DE"/>
        </w:rPr>
        <w:t xml:space="preserve">), sex-hormone-binding globulin (SHBG) leading to increased circulating corticosteroids and sex steroids, respectively. Free or biological active hormone concentrations are unchanged. </w:t>
      </w:r>
      <w:r w:rsidRPr="00116267">
        <w:rPr>
          <w:sz w:val="24"/>
          <w:szCs w:val="24"/>
          <w:lang w:val="en-US"/>
        </w:rPr>
        <w:t>Other plasma proteins may be increased (angiotensinogen/renin substrate, alpha-1-antitrypsin, ceruloplasmin).</w:t>
      </w:r>
    </w:p>
    <w:p w14:paraId="2EACB877" w14:textId="77777777" w:rsidR="00116267" w:rsidRPr="00116267" w:rsidRDefault="00116267" w:rsidP="00AE6A22">
      <w:pPr>
        <w:numPr>
          <w:ilvl w:val="0"/>
          <w:numId w:val="10"/>
        </w:numPr>
        <w:tabs>
          <w:tab w:val="clear" w:pos="360"/>
          <w:tab w:val="left" w:pos="1134"/>
        </w:tabs>
        <w:ind w:left="1134" w:hanging="283"/>
        <w:rPr>
          <w:sz w:val="24"/>
          <w:szCs w:val="24"/>
          <w:lang w:val="de-DE"/>
        </w:rPr>
      </w:pPr>
      <w:r w:rsidRPr="00116267">
        <w:rPr>
          <w:sz w:val="24"/>
          <w:szCs w:val="24"/>
          <w:lang w:val="de-DE"/>
        </w:rPr>
        <w:t>HRT use does not improve cognitive function. There is some evidence of increased risk of probable dementia in women who start using continuous combined or oestrogen-only HRT after the age of 65.</w:t>
      </w:r>
    </w:p>
    <w:p w14:paraId="332D8486" w14:textId="77777777" w:rsidR="00116267" w:rsidRPr="00116267" w:rsidRDefault="00116267" w:rsidP="00AE6A22">
      <w:pPr>
        <w:numPr>
          <w:ilvl w:val="0"/>
          <w:numId w:val="10"/>
        </w:numPr>
        <w:tabs>
          <w:tab w:val="clear" w:pos="360"/>
          <w:tab w:val="left" w:pos="1134"/>
        </w:tabs>
        <w:ind w:left="1134" w:hanging="283"/>
        <w:rPr>
          <w:sz w:val="24"/>
          <w:szCs w:val="24"/>
          <w:lang w:val="en-US"/>
        </w:rPr>
      </w:pPr>
      <w:r w:rsidRPr="00116267">
        <w:rPr>
          <w:sz w:val="24"/>
          <w:szCs w:val="24"/>
          <w:lang w:val="en-US"/>
        </w:rPr>
        <w:t>Patients with rare hereditary problems of galactose intolerance, total lactase deficiency or glucose-galactose malabsorption should not take this medicine.</w:t>
      </w:r>
    </w:p>
    <w:p w14:paraId="7441D39B" w14:textId="77777777" w:rsidR="00116267" w:rsidRPr="00116267" w:rsidRDefault="00116267" w:rsidP="00AE6A22">
      <w:pPr>
        <w:tabs>
          <w:tab w:val="left" w:pos="1134"/>
        </w:tabs>
        <w:ind w:left="1134" w:hanging="283"/>
        <w:rPr>
          <w:sz w:val="24"/>
          <w:szCs w:val="24"/>
          <w:lang w:val="en-US"/>
        </w:rPr>
      </w:pPr>
    </w:p>
    <w:p w14:paraId="1C5FD3BA" w14:textId="77777777" w:rsidR="00116267" w:rsidRPr="00116267" w:rsidRDefault="00116267" w:rsidP="00116267">
      <w:pPr>
        <w:tabs>
          <w:tab w:val="left" w:pos="851"/>
        </w:tabs>
        <w:ind w:left="851"/>
        <w:rPr>
          <w:sz w:val="24"/>
          <w:szCs w:val="24"/>
          <w:lang w:val="de-DE"/>
        </w:rPr>
      </w:pPr>
      <w:r w:rsidRPr="00116267">
        <w:rPr>
          <w:sz w:val="24"/>
          <w:szCs w:val="24"/>
          <w:lang w:val="de-DE"/>
        </w:rPr>
        <w:t>This oestrogen-progestogen combination treatment is not a contraceptive.</w:t>
      </w:r>
    </w:p>
    <w:p w14:paraId="700CB7C0" w14:textId="77777777" w:rsidR="007C5D2A" w:rsidRPr="00116267" w:rsidRDefault="007C5D2A" w:rsidP="003E0341">
      <w:pPr>
        <w:tabs>
          <w:tab w:val="left" w:pos="851"/>
        </w:tabs>
        <w:ind w:left="851"/>
        <w:rPr>
          <w:sz w:val="24"/>
          <w:szCs w:val="24"/>
          <w:lang w:val="de-DE"/>
        </w:rPr>
      </w:pPr>
    </w:p>
    <w:p w14:paraId="32F2424D" w14:textId="77777777" w:rsidR="007C5D2A" w:rsidRPr="00303008" w:rsidRDefault="007C5D2A" w:rsidP="007C5D2A">
      <w:pPr>
        <w:ind w:left="851" w:hanging="851"/>
        <w:rPr>
          <w:b/>
          <w:sz w:val="24"/>
          <w:szCs w:val="24"/>
          <w:lang w:val="en-GB"/>
        </w:rPr>
      </w:pPr>
      <w:r w:rsidRPr="00303008">
        <w:rPr>
          <w:b/>
          <w:sz w:val="24"/>
          <w:szCs w:val="24"/>
          <w:lang w:val="en-GB"/>
        </w:rPr>
        <w:lastRenderedPageBreak/>
        <w:t>4.5</w:t>
      </w:r>
      <w:r w:rsidRPr="00303008">
        <w:rPr>
          <w:b/>
          <w:sz w:val="24"/>
          <w:szCs w:val="24"/>
          <w:lang w:val="en-GB"/>
        </w:rPr>
        <w:tab/>
        <w:t>Interaction with other medicinal products and other forms of interaction</w:t>
      </w:r>
    </w:p>
    <w:p w14:paraId="7CB9B3BF" w14:textId="77777777" w:rsidR="001C2648" w:rsidRPr="001C2648" w:rsidRDefault="001C2648" w:rsidP="001C2648">
      <w:pPr>
        <w:tabs>
          <w:tab w:val="left" w:pos="851"/>
        </w:tabs>
        <w:ind w:left="851"/>
        <w:rPr>
          <w:sz w:val="24"/>
          <w:szCs w:val="24"/>
          <w:lang w:val="de-DE"/>
        </w:rPr>
      </w:pPr>
      <w:r w:rsidRPr="001C2648">
        <w:rPr>
          <w:sz w:val="24"/>
          <w:szCs w:val="24"/>
          <w:lang w:val="de-DE"/>
        </w:rPr>
        <w:t>No interaction studies have been performed.</w:t>
      </w:r>
    </w:p>
    <w:p w14:paraId="7B319859" w14:textId="77777777" w:rsidR="001C2648" w:rsidRPr="001C2648" w:rsidRDefault="001C2648" w:rsidP="001C2648">
      <w:pPr>
        <w:tabs>
          <w:tab w:val="left" w:pos="851"/>
        </w:tabs>
        <w:ind w:left="851"/>
        <w:rPr>
          <w:sz w:val="24"/>
          <w:szCs w:val="24"/>
          <w:lang w:val="de-DE"/>
        </w:rPr>
      </w:pPr>
    </w:p>
    <w:p w14:paraId="38AE992D" w14:textId="77777777" w:rsidR="001C2648" w:rsidRPr="001C2648" w:rsidRDefault="001C2648" w:rsidP="001C2648">
      <w:pPr>
        <w:tabs>
          <w:tab w:val="left" w:pos="851"/>
        </w:tabs>
        <w:ind w:left="851"/>
        <w:rPr>
          <w:b/>
          <w:sz w:val="24"/>
          <w:szCs w:val="24"/>
          <w:u w:val="single"/>
          <w:lang w:val="de-DE"/>
        </w:rPr>
      </w:pPr>
      <w:r w:rsidRPr="001C2648">
        <w:rPr>
          <w:b/>
          <w:sz w:val="24"/>
          <w:szCs w:val="24"/>
          <w:u w:val="single"/>
          <w:lang w:val="de-DE"/>
        </w:rPr>
        <w:t>The efficacy of oestrogens and progestogens might be impaired:</w:t>
      </w:r>
    </w:p>
    <w:p w14:paraId="1D371D28" w14:textId="77777777" w:rsidR="001C2648" w:rsidRPr="001C2648" w:rsidRDefault="001C2648" w:rsidP="001C2648">
      <w:pPr>
        <w:tabs>
          <w:tab w:val="left" w:pos="851"/>
        </w:tabs>
        <w:ind w:left="851"/>
        <w:rPr>
          <w:sz w:val="24"/>
          <w:szCs w:val="24"/>
          <w:lang w:val="de-DE"/>
        </w:rPr>
      </w:pPr>
    </w:p>
    <w:p w14:paraId="666637C8" w14:textId="77777777" w:rsidR="001C2648" w:rsidRPr="001C2648" w:rsidRDefault="001C2648" w:rsidP="00724AA7">
      <w:pPr>
        <w:numPr>
          <w:ilvl w:val="0"/>
          <w:numId w:val="5"/>
        </w:numPr>
        <w:tabs>
          <w:tab w:val="clear" w:pos="360"/>
          <w:tab w:val="left" w:pos="851"/>
        </w:tabs>
        <w:ind w:left="1134" w:hanging="283"/>
        <w:rPr>
          <w:sz w:val="24"/>
          <w:szCs w:val="24"/>
          <w:lang w:val="de-DE"/>
        </w:rPr>
      </w:pPr>
      <w:r w:rsidRPr="001C2648">
        <w:rPr>
          <w:sz w:val="24"/>
          <w:szCs w:val="24"/>
          <w:lang w:val="de-DE"/>
        </w:rPr>
        <w:t xml:space="preserve">The metabolism of oestrogens and progestogens may be increased by concomitant use of substances known to induce drug-metabolising enzymes, specifically P450 enzymes, such as anticonvulsants (e.g. phenobarbital, carbamazepin, phenytoin) and anti-infectives (e.g. rifampicin, rifabutin, nevirapine, efavirenz). </w:t>
      </w:r>
    </w:p>
    <w:p w14:paraId="7A76F2F5" w14:textId="77777777" w:rsidR="001C2648" w:rsidRPr="001C2648" w:rsidRDefault="001C2648" w:rsidP="00724AA7">
      <w:pPr>
        <w:numPr>
          <w:ilvl w:val="0"/>
          <w:numId w:val="5"/>
        </w:numPr>
        <w:tabs>
          <w:tab w:val="clear" w:pos="360"/>
          <w:tab w:val="left" w:pos="851"/>
        </w:tabs>
        <w:ind w:left="1134" w:hanging="283"/>
        <w:rPr>
          <w:sz w:val="24"/>
          <w:szCs w:val="24"/>
          <w:lang w:val="de-DE"/>
        </w:rPr>
      </w:pPr>
      <w:r w:rsidRPr="001C2648">
        <w:rPr>
          <w:sz w:val="24"/>
          <w:szCs w:val="24"/>
          <w:lang w:val="de-DE"/>
        </w:rPr>
        <w:t>Ritonavir and nelfinavir, although known as strong inhibitors, by contrast exhibit inducing properties when used concomitantly with steroid hormones.</w:t>
      </w:r>
    </w:p>
    <w:p w14:paraId="40539225" w14:textId="77777777" w:rsidR="001C2648" w:rsidRPr="001C2648" w:rsidRDefault="001C2648" w:rsidP="00724AA7">
      <w:pPr>
        <w:numPr>
          <w:ilvl w:val="0"/>
          <w:numId w:val="5"/>
        </w:numPr>
        <w:tabs>
          <w:tab w:val="clear" w:pos="360"/>
          <w:tab w:val="left" w:pos="851"/>
        </w:tabs>
        <w:ind w:left="1134" w:hanging="283"/>
        <w:rPr>
          <w:sz w:val="24"/>
          <w:szCs w:val="24"/>
          <w:lang w:val="de-DE"/>
        </w:rPr>
      </w:pPr>
      <w:r w:rsidRPr="001C2648">
        <w:rPr>
          <w:sz w:val="24"/>
          <w:szCs w:val="24"/>
          <w:lang w:val="de-DE"/>
        </w:rPr>
        <w:t>Herbal preparations containing St. John’s Wort (Hypericum perforatum) may induce the metabolism of oestrogens and progestogens.</w:t>
      </w:r>
    </w:p>
    <w:p w14:paraId="611A7A12" w14:textId="72B9B0D6" w:rsidR="001C2648" w:rsidRDefault="001C2648" w:rsidP="00724AA7">
      <w:pPr>
        <w:numPr>
          <w:ilvl w:val="0"/>
          <w:numId w:val="5"/>
        </w:numPr>
        <w:tabs>
          <w:tab w:val="clear" w:pos="360"/>
          <w:tab w:val="left" w:pos="851"/>
        </w:tabs>
        <w:ind w:left="1134" w:hanging="283"/>
        <w:rPr>
          <w:sz w:val="24"/>
          <w:szCs w:val="24"/>
          <w:lang w:val="en-US"/>
        </w:rPr>
      </w:pPr>
      <w:r w:rsidRPr="001C2648">
        <w:rPr>
          <w:sz w:val="24"/>
          <w:szCs w:val="24"/>
          <w:lang w:val="en-US"/>
        </w:rPr>
        <w:t>Clinically, an increased metabolism of oestrogens and progestogens may lead to decreased effect and changes in the uterine bleeding profile.</w:t>
      </w:r>
    </w:p>
    <w:p w14:paraId="58C20551" w14:textId="2652CCC5" w:rsidR="00523C3F" w:rsidRDefault="00523C3F" w:rsidP="00523C3F">
      <w:pPr>
        <w:tabs>
          <w:tab w:val="left" w:pos="851"/>
        </w:tabs>
        <w:rPr>
          <w:sz w:val="24"/>
          <w:szCs w:val="24"/>
          <w:lang w:val="en-US"/>
        </w:rPr>
      </w:pPr>
    </w:p>
    <w:p w14:paraId="203C7613" w14:textId="5FC16315" w:rsidR="00523C3F" w:rsidRPr="00523C3F" w:rsidRDefault="00523C3F" w:rsidP="00523C3F">
      <w:pPr>
        <w:tabs>
          <w:tab w:val="left" w:pos="1134"/>
        </w:tabs>
        <w:ind w:left="851"/>
        <w:rPr>
          <w:b/>
          <w:sz w:val="24"/>
          <w:szCs w:val="24"/>
          <w:u w:val="single"/>
          <w:lang w:val="en-US"/>
        </w:rPr>
      </w:pPr>
      <w:r w:rsidRPr="00523C3F">
        <w:rPr>
          <w:b/>
          <w:sz w:val="24"/>
          <w:szCs w:val="24"/>
          <w:u w:val="single"/>
          <w:lang w:val="en-US"/>
        </w:rPr>
        <w:t xml:space="preserve">Effect of HRT with oestrogens on other medicinal products </w:t>
      </w:r>
    </w:p>
    <w:p w14:paraId="4A8A8AF9" w14:textId="77777777" w:rsidR="00523C3F" w:rsidRPr="00523C3F" w:rsidRDefault="00523C3F" w:rsidP="00523C3F">
      <w:pPr>
        <w:ind w:left="851"/>
        <w:rPr>
          <w:b/>
          <w:sz w:val="24"/>
          <w:szCs w:val="24"/>
          <w:u w:val="single"/>
          <w:lang w:val="en-US"/>
        </w:rPr>
      </w:pPr>
    </w:p>
    <w:p w14:paraId="400244A7" w14:textId="77777777" w:rsidR="00523C3F" w:rsidRPr="00523C3F" w:rsidRDefault="00523C3F" w:rsidP="00523C3F">
      <w:pPr>
        <w:autoSpaceDE w:val="0"/>
        <w:autoSpaceDN w:val="0"/>
        <w:adjustRightInd w:val="0"/>
        <w:ind w:left="851"/>
        <w:rPr>
          <w:sz w:val="24"/>
          <w:szCs w:val="24"/>
          <w:lang w:val="en-US"/>
        </w:rPr>
      </w:pPr>
      <w:r w:rsidRPr="00523C3F">
        <w:rPr>
          <w:sz w:val="24"/>
          <w:szCs w:val="24"/>
          <w:lang w:val="en-US"/>
        </w:rPr>
        <w:t>Hormone contraceptives containing oestrogens have been shown to significantly decrease plasma concentrations of lamotrigine when co-administered due to induction of lamotrigine glucuronidation. This may reduce seizure control. Although the potential interaction between hormone replacement therapy and lamotrigine has not been studied, it is expected that a similar interaction exists, which may lead to a reduction in seizure control among women taking both medicinal products together.</w:t>
      </w:r>
    </w:p>
    <w:p w14:paraId="51865AF6" w14:textId="2A5C6E74" w:rsidR="00523C3F" w:rsidRPr="00523C3F" w:rsidRDefault="00523C3F" w:rsidP="00523C3F">
      <w:pPr>
        <w:tabs>
          <w:tab w:val="left" w:pos="851"/>
        </w:tabs>
        <w:ind w:left="851"/>
        <w:rPr>
          <w:sz w:val="24"/>
          <w:szCs w:val="24"/>
          <w:lang w:val="en-US"/>
        </w:rPr>
      </w:pPr>
    </w:p>
    <w:p w14:paraId="4FC9DC34" w14:textId="77777777" w:rsidR="001C2648" w:rsidRPr="001C2648" w:rsidRDefault="001C2648" w:rsidP="001C2648">
      <w:pPr>
        <w:tabs>
          <w:tab w:val="left" w:pos="851"/>
        </w:tabs>
        <w:ind w:left="851"/>
        <w:rPr>
          <w:sz w:val="24"/>
          <w:szCs w:val="24"/>
          <w:lang w:val="en-US"/>
        </w:rPr>
      </w:pPr>
    </w:p>
    <w:p w14:paraId="0E11A4AA" w14:textId="77777777" w:rsidR="001C2648" w:rsidRPr="001C2648" w:rsidRDefault="001C2648" w:rsidP="001C2648">
      <w:pPr>
        <w:tabs>
          <w:tab w:val="left" w:pos="851"/>
        </w:tabs>
        <w:ind w:left="851"/>
        <w:rPr>
          <w:sz w:val="24"/>
          <w:szCs w:val="24"/>
          <w:lang w:val="en-US"/>
        </w:rPr>
      </w:pPr>
      <w:bookmarkStart w:id="4" w:name="_Hlk87377844"/>
      <w:r w:rsidRPr="001C2648">
        <w:rPr>
          <w:b/>
          <w:bCs/>
          <w:sz w:val="24"/>
          <w:szCs w:val="24"/>
          <w:lang w:val="en-US"/>
        </w:rPr>
        <w:t xml:space="preserve">Pharmacodynamic interactions </w:t>
      </w:r>
    </w:p>
    <w:p w14:paraId="55E6C534" w14:textId="77777777" w:rsidR="001C2648" w:rsidRPr="001C2648" w:rsidRDefault="001C2648" w:rsidP="001C2648">
      <w:pPr>
        <w:tabs>
          <w:tab w:val="left" w:pos="851"/>
        </w:tabs>
        <w:ind w:left="851"/>
        <w:rPr>
          <w:sz w:val="24"/>
          <w:szCs w:val="24"/>
          <w:lang w:val="en-US"/>
        </w:rPr>
      </w:pPr>
      <w:r w:rsidRPr="001C2648">
        <w:rPr>
          <w:sz w:val="24"/>
          <w:szCs w:val="24"/>
          <w:lang w:val="en-US"/>
        </w:rPr>
        <w:t>During clinical trials with the HCV combination drug regimen ombitasvir/paritaprevir/ritonavir with and without dasabuvir, ALT elevations greater than 5 times the upper limit of normal (ULN) were significantly more frequent in women using ethinylestradiol-containing medicinal products such as CHCs. Women using medicinal products containing oestrogens other than ethinylestradiol, such as estradiol, had a rate of ALT elevation similar to those not receiving any oestrogens; however, due to the limited number of women taking these other oestrogens, caution is warranted for co-administration with the combination drug regimen ombitasvir/paritaprevir/ritonavir with or without dasabuvir and also the regimen with glecaprevir/pibrentasvir (see section 4.4).</w:t>
      </w:r>
    </w:p>
    <w:bookmarkEnd w:id="4"/>
    <w:p w14:paraId="1128459E" w14:textId="77777777" w:rsidR="001C2648" w:rsidRPr="001C2648" w:rsidRDefault="001C2648" w:rsidP="001C2648">
      <w:pPr>
        <w:tabs>
          <w:tab w:val="left" w:pos="851"/>
        </w:tabs>
        <w:ind w:left="851"/>
        <w:rPr>
          <w:sz w:val="24"/>
          <w:szCs w:val="24"/>
          <w:lang w:val="en-US"/>
        </w:rPr>
      </w:pPr>
    </w:p>
    <w:p w14:paraId="3A672DE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98102AD" w14:textId="77777777" w:rsidR="005742A3" w:rsidRDefault="005742A3" w:rsidP="005742A3">
      <w:pPr>
        <w:tabs>
          <w:tab w:val="left" w:pos="851"/>
        </w:tabs>
        <w:ind w:left="851"/>
        <w:rPr>
          <w:sz w:val="24"/>
          <w:szCs w:val="24"/>
          <w:u w:val="single"/>
          <w:lang w:val="en-US"/>
        </w:rPr>
      </w:pPr>
    </w:p>
    <w:p w14:paraId="6AFED4A3" w14:textId="291A1AC0" w:rsidR="005742A3" w:rsidRPr="005742A3" w:rsidRDefault="005742A3" w:rsidP="005742A3">
      <w:pPr>
        <w:tabs>
          <w:tab w:val="left" w:pos="851"/>
        </w:tabs>
        <w:ind w:left="851"/>
        <w:rPr>
          <w:sz w:val="24"/>
          <w:szCs w:val="24"/>
          <w:u w:val="single"/>
          <w:lang w:val="en-US"/>
        </w:rPr>
      </w:pPr>
      <w:r w:rsidRPr="005742A3">
        <w:rPr>
          <w:sz w:val="24"/>
          <w:szCs w:val="24"/>
          <w:u w:val="single"/>
          <w:lang w:val="en-US"/>
        </w:rPr>
        <w:t>Pregnancy</w:t>
      </w:r>
    </w:p>
    <w:p w14:paraId="567BE79E" w14:textId="24D0BE0C" w:rsidR="005742A3" w:rsidRPr="005742A3" w:rsidRDefault="005742A3" w:rsidP="005742A3">
      <w:pPr>
        <w:tabs>
          <w:tab w:val="left" w:pos="851"/>
        </w:tabs>
        <w:ind w:left="851"/>
        <w:rPr>
          <w:sz w:val="24"/>
          <w:szCs w:val="24"/>
          <w:lang w:val="en-US"/>
        </w:rPr>
      </w:pPr>
      <w:r w:rsidRPr="005742A3">
        <w:rPr>
          <w:sz w:val="24"/>
          <w:szCs w:val="24"/>
          <w:lang w:val="en-US"/>
        </w:rPr>
        <w:t xml:space="preserve">Femoston Conti </w:t>
      </w:r>
      <w:r w:rsidR="000077D6">
        <w:rPr>
          <w:sz w:val="24"/>
          <w:szCs w:val="24"/>
          <w:lang w:val="en-US"/>
        </w:rPr>
        <w:t>1</w:t>
      </w:r>
      <w:r w:rsidRPr="005742A3">
        <w:rPr>
          <w:sz w:val="24"/>
          <w:szCs w:val="24"/>
          <w:lang w:val="en-US"/>
        </w:rPr>
        <w:t xml:space="preserve"> mg/5 mg is not indicated during pregnancy. If pregnancy occurs during medication with Femoston Conti </w:t>
      </w:r>
      <w:r w:rsidR="000077D6">
        <w:rPr>
          <w:sz w:val="24"/>
          <w:szCs w:val="24"/>
          <w:lang w:val="en-US"/>
        </w:rPr>
        <w:t>1</w:t>
      </w:r>
      <w:r w:rsidRPr="005742A3">
        <w:rPr>
          <w:sz w:val="24"/>
          <w:szCs w:val="24"/>
          <w:lang w:val="en-US"/>
        </w:rPr>
        <w:t xml:space="preserve"> mg/5 mg treatment should be withdrawn immediately.</w:t>
      </w:r>
    </w:p>
    <w:p w14:paraId="6A7178C1" w14:textId="77777777" w:rsidR="005742A3" w:rsidRPr="005742A3" w:rsidRDefault="005742A3" w:rsidP="005742A3">
      <w:pPr>
        <w:tabs>
          <w:tab w:val="left" w:pos="851"/>
        </w:tabs>
        <w:ind w:left="851"/>
        <w:rPr>
          <w:sz w:val="24"/>
          <w:szCs w:val="24"/>
          <w:lang w:val="en-US"/>
        </w:rPr>
      </w:pPr>
    </w:p>
    <w:p w14:paraId="1E327495" w14:textId="77777777" w:rsidR="005742A3" w:rsidRPr="005742A3" w:rsidRDefault="005742A3" w:rsidP="005742A3">
      <w:pPr>
        <w:tabs>
          <w:tab w:val="left" w:pos="851"/>
        </w:tabs>
        <w:ind w:left="851"/>
        <w:rPr>
          <w:sz w:val="24"/>
          <w:szCs w:val="24"/>
          <w:lang w:val="en-US"/>
        </w:rPr>
      </w:pPr>
      <w:r w:rsidRPr="005742A3">
        <w:rPr>
          <w:sz w:val="24"/>
          <w:szCs w:val="24"/>
          <w:lang w:val="en-US"/>
        </w:rPr>
        <w:t xml:space="preserve">There are no adequate data from the use of estradiol/dydrogesterone in pregnant women.The results of most epidemiological studies to date relevant to inadvertent fetal exposure to combinations of oestrogens and progestogens indicate no teratogenic or foetotoxic effect. </w:t>
      </w:r>
    </w:p>
    <w:p w14:paraId="10AF4442" w14:textId="77777777" w:rsidR="005742A3" w:rsidRPr="005742A3" w:rsidRDefault="005742A3" w:rsidP="005742A3">
      <w:pPr>
        <w:tabs>
          <w:tab w:val="left" w:pos="851"/>
        </w:tabs>
        <w:ind w:left="851"/>
        <w:rPr>
          <w:b/>
          <w:sz w:val="24"/>
          <w:szCs w:val="24"/>
          <w:u w:val="single"/>
          <w:lang w:val="de-DE"/>
        </w:rPr>
      </w:pPr>
    </w:p>
    <w:p w14:paraId="2EDA606F" w14:textId="77777777" w:rsidR="005742A3" w:rsidRPr="005742A3" w:rsidRDefault="005742A3" w:rsidP="005742A3">
      <w:pPr>
        <w:tabs>
          <w:tab w:val="left" w:pos="851"/>
        </w:tabs>
        <w:ind w:left="851"/>
        <w:rPr>
          <w:sz w:val="24"/>
          <w:szCs w:val="24"/>
          <w:u w:val="single"/>
          <w:lang w:val="de-DE"/>
        </w:rPr>
      </w:pPr>
      <w:r w:rsidRPr="005742A3">
        <w:rPr>
          <w:sz w:val="24"/>
          <w:szCs w:val="24"/>
          <w:u w:val="single"/>
          <w:lang w:val="de-DE"/>
        </w:rPr>
        <w:t>Lactation</w:t>
      </w:r>
    </w:p>
    <w:p w14:paraId="0AB24E9B" w14:textId="10BDE869" w:rsidR="005742A3" w:rsidRPr="005742A3" w:rsidRDefault="005742A3" w:rsidP="005742A3">
      <w:pPr>
        <w:tabs>
          <w:tab w:val="left" w:pos="851"/>
        </w:tabs>
        <w:ind w:left="851"/>
        <w:rPr>
          <w:sz w:val="24"/>
          <w:szCs w:val="24"/>
          <w:lang w:val="en-US"/>
        </w:rPr>
      </w:pPr>
      <w:r w:rsidRPr="005742A3">
        <w:rPr>
          <w:sz w:val="24"/>
          <w:szCs w:val="24"/>
          <w:lang w:val="en-US"/>
        </w:rPr>
        <w:t xml:space="preserve">Femoston Conti </w:t>
      </w:r>
      <w:r w:rsidR="00275795">
        <w:rPr>
          <w:sz w:val="24"/>
          <w:szCs w:val="24"/>
          <w:lang w:val="en-US"/>
        </w:rPr>
        <w:t>1</w:t>
      </w:r>
      <w:r w:rsidRPr="005742A3">
        <w:rPr>
          <w:sz w:val="24"/>
          <w:szCs w:val="24"/>
          <w:lang w:val="en-US"/>
        </w:rPr>
        <w:t xml:space="preserve"> mg/5 mg is not indicated during lactation.</w:t>
      </w:r>
    </w:p>
    <w:p w14:paraId="07770DA5" w14:textId="77777777" w:rsidR="005742A3" w:rsidRPr="005742A3" w:rsidRDefault="005742A3" w:rsidP="005742A3">
      <w:pPr>
        <w:tabs>
          <w:tab w:val="left" w:pos="851"/>
        </w:tabs>
        <w:ind w:left="851"/>
        <w:rPr>
          <w:sz w:val="24"/>
          <w:szCs w:val="24"/>
          <w:lang w:val="en-US"/>
        </w:rPr>
      </w:pPr>
    </w:p>
    <w:p w14:paraId="7D5323B7" w14:textId="77777777" w:rsidR="005742A3" w:rsidRPr="005742A3" w:rsidRDefault="005742A3" w:rsidP="005742A3">
      <w:pPr>
        <w:tabs>
          <w:tab w:val="left" w:pos="851"/>
        </w:tabs>
        <w:ind w:left="851"/>
        <w:rPr>
          <w:sz w:val="24"/>
          <w:szCs w:val="24"/>
          <w:u w:val="single"/>
          <w:lang w:val="en-US"/>
        </w:rPr>
      </w:pPr>
      <w:r w:rsidRPr="005742A3">
        <w:rPr>
          <w:sz w:val="24"/>
          <w:szCs w:val="24"/>
          <w:u w:val="single"/>
          <w:lang w:val="en-US"/>
        </w:rPr>
        <w:lastRenderedPageBreak/>
        <w:t>Fertility</w:t>
      </w:r>
    </w:p>
    <w:p w14:paraId="798E2D32" w14:textId="7C6D51A6" w:rsidR="005742A3" w:rsidRPr="005742A3" w:rsidRDefault="005742A3" w:rsidP="005742A3">
      <w:pPr>
        <w:tabs>
          <w:tab w:val="left" w:pos="851"/>
        </w:tabs>
        <w:ind w:left="851"/>
        <w:rPr>
          <w:sz w:val="24"/>
          <w:szCs w:val="24"/>
          <w:lang w:val="en-US"/>
        </w:rPr>
      </w:pPr>
      <w:r w:rsidRPr="005742A3">
        <w:rPr>
          <w:sz w:val="24"/>
          <w:szCs w:val="24"/>
          <w:lang w:val="en-US"/>
        </w:rPr>
        <w:t xml:space="preserve">Femoston Conti </w:t>
      </w:r>
      <w:r w:rsidR="00275795">
        <w:rPr>
          <w:sz w:val="24"/>
          <w:szCs w:val="24"/>
          <w:lang w:val="en-US"/>
        </w:rPr>
        <w:t>1</w:t>
      </w:r>
      <w:r w:rsidRPr="005742A3">
        <w:rPr>
          <w:sz w:val="24"/>
          <w:szCs w:val="24"/>
          <w:lang w:val="en-US"/>
        </w:rPr>
        <w:t xml:space="preserve"> mg/5 mg is not indicated during fertility.</w:t>
      </w:r>
    </w:p>
    <w:p w14:paraId="26FED295" w14:textId="77777777" w:rsidR="007C5D2A" w:rsidRPr="005742A3" w:rsidRDefault="007C5D2A" w:rsidP="003E0341">
      <w:pPr>
        <w:tabs>
          <w:tab w:val="left" w:pos="851"/>
        </w:tabs>
        <w:ind w:left="851"/>
        <w:rPr>
          <w:sz w:val="24"/>
          <w:szCs w:val="24"/>
          <w:lang w:val="en-US"/>
        </w:rPr>
      </w:pPr>
    </w:p>
    <w:p w14:paraId="18E165C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1A09B632" w14:textId="4EE0AEC1" w:rsidR="007C5D2A" w:rsidRDefault="00720363" w:rsidP="00A85D26">
      <w:pPr>
        <w:tabs>
          <w:tab w:val="left" w:pos="851"/>
        </w:tabs>
        <w:ind w:left="851"/>
        <w:rPr>
          <w:sz w:val="24"/>
          <w:szCs w:val="24"/>
          <w:lang w:val="en-GB"/>
        </w:rPr>
      </w:pPr>
      <w:r>
        <w:rPr>
          <w:sz w:val="24"/>
          <w:szCs w:val="24"/>
          <w:lang w:val="en-GB"/>
        </w:rPr>
        <w:t>No traffic warning.</w:t>
      </w:r>
    </w:p>
    <w:p w14:paraId="366F24ED" w14:textId="3A204CAC" w:rsidR="00720363" w:rsidRPr="00720363" w:rsidRDefault="00720363" w:rsidP="00720363">
      <w:pPr>
        <w:tabs>
          <w:tab w:val="left" w:pos="851"/>
        </w:tabs>
        <w:ind w:left="851"/>
        <w:rPr>
          <w:sz w:val="24"/>
          <w:szCs w:val="24"/>
          <w:lang w:val="en-US"/>
        </w:rPr>
      </w:pPr>
      <w:r w:rsidRPr="00720363">
        <w:rPr>
          <w:sz w:val="24"/>
          <w:szCs w:val="24"/>
          <w:lang w:val="en-US"/>
        </w:rPr>
        <w:t xml:space="preserve">Femoston Conti </w:t>
      </w:r>
      <w:r w:rsidR="00275795">
        <w:rPr>
          <w:sz w:val="24"/>
          <w:szCs w:val="24"/>
          <w:lang w:val="en-US"/>
        </w:rPr>
        <w:t>1</w:t>
      </w:r>
      <w:r w:rsidRPr="00720363">
        <w:rPr>
          <w:sz w:val="24"/>
          <w:szCs w:val="24"/>
          <w:lang w:val="en-US"/>
        </w:rPr>
        <w:t xml:space="preserve"> mg/</w:t>
      </w:r>
      <w:r w:rsidR="00275795">
        <w:rPr>
          <w:sz w:val="24"/>
          <w:szCs w:val="24"/>
          <w:lang w:val="en-US"/>
        </w:rPr>
        <w:t>5</w:t>
      </w:r>
      <w:r w:rsidRPr="00720363">
        <w:rPr>
          <w:sz w:val="24"/>
          <w:szCs w:val="24"/>
          <w:lang w:val="en-US"/>
        </w:rPr>
        <w:t xml:space="preserve"> mg has no or negligible influence on the ability to drive and/or to use machines.</w:t>
      </w:r>
    </w:p>
    <w:p w14:paraId="019F532A" w14:textId="77777777" w:rsidR="007C5D2A" w:rsidRPr="00303008" w:rsidRDefault="007C5D2A" w:rsidP="003E0341">
      <w:pPr>
        <w:tabs>
          <w:tab w:val="left" w:pos="851"/>
        </w:tabs>
        <w:ind w:left="851"/>
        <w:rPr>
          <w:sz w:val="24"/>
          <w:szCs w:val="24"/>
          <w:lang w:val="en-GB"/>
        </w:rPr>
      </w:pPr>
    </w:p>
    <w:p w14:paraId="5846322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25D4B877" w14:textId="77777777" w:rsidR="008F5B23" w:rsidRPr="008F5B23" w:rsidRDefault="008F5B23" w:rsidP="008F5B23">
      <w:pPr>
        <w:keepNext/>
        <w:keepLines/>
        <w:ind w:left="851"/>
        <w:outlineLvl w:val="0"/>
        <w:rPr>
          <w:sz w:val="24"/>
          <w:szCs w:val="24"/>
          <w:lang w:val="en-US"/>
        </w:rPr>
      </w:pPr>
      <w:r w:rsidRPr="008F5B23">
        <w:rPr>
          <w:sz w:val="24"/>
          <w:szCs w:val="24"/>
          <w:lang w:val="en-US"/>
        </w:rPr>
        <w:t xml:space="preserve">The most commonly reported adverse drug reactions of patients treated with estradiol/dydrogesterone in clinical trials are headache, abdominal pain, breast pain/tenderness and back pain. </w:t>
      </w:r>
    </w:p>
    <w:p w14:paraId="6CB56786" w14:textId="77777777" w:rsidR="008F5B23" w:rsidRPr="008F5B23" w:rsidRDefault="008F5B23" w:rsidP="008F5B23">
      <w:pPr>
        <w:ind w:left="851"/>
        <w:rPr>
          <w:sz w:val="24"/>
          <w:szCs w:val="24"/>
          <w:lang w:val="en-GB"/>
        </w:rPr>
      </w:pPr>
      <w:r w:rsidRPr="008F5B23">
        <w:rPr>
          <w:sz w:val="24"/>
          <w:szCs w:val="24"/>
          <w:lang w:val="en-US"/>
        </w:rPr>
        <w:t xml:space="preserve">The following undesirable effects have been observed with the frequencies indicated below during clinical trials (n=4929). </w:t>
      </w:r>
      <w:r w:rsidRPr="008F5B23">
        <w:rPr>
          <w:sz w:val="24"/>
          <w:szCs w:val="24"/>
          <w:lang w:val="en-GB"/>
        </w:rPr>
        <w:t>*Undesirable effects from spontaneous reporting not observed in clinical trials have been attributed to the frequency “rare”:</w:t>
      </w:r>
    </w:p>
    <w:p w14:paraId="065165A9" w14:textId="77777777" w:rsidR="008F5B23" w:rsidRPr="008F5B23" w:rsidRDefault="008F5B23" w:rsidP="008F5B23">
      <w:pPr>
        <w:ind w:left="851"/>
        <w:rPr>
          <w:sz w:val="24"/>
          <w:szCs w:val="24"/>
          <w:lang w:val="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875"/>
        <w:gridCol w:w="1875"/>
        <w:gridCol w:w="1875"/>
        <w:gridCol w:w="1875"/>
      </w:tblGrid>
      <w:tr w:rsidR="008F5B23" w:rsidRPr="00763DDA" w14:paraId="584C60EE" w14:textId="77777777" w:rsidTr="008F5B23">
        <w:trPr>
          <w:cantSplit/>
          <w:tblHeader/>
        </w:trPr>
        <w:tc>
          <w:tcPr>
            <w:tcW w:w="1875" w:type="dxa"/>
            <w:tcBorders>
              <w:top w:val="single" w:sz="4" w:space="0" w:color="auto"/>
              <w:left w:val="single" w:sz="4" w:space="0" w:color="auto"/>
              <w:bottom w:val="single" w:sz="4" w:space="0" w:color="auto"/>
              <w:right w:val="single" w:sz="4" w:space="0" w:color="auto"/>
            </w:tcBorders>
            <w:hideMark/>
          </w:tcPr>
          <w:p w14:paraId="7BB5C01C" w14:textId="77777777" w:rsidR="008F5B23" w:rsidRPr="00763DDA" w:rsidRDefault="008F5B23">
            <w:pPr>
              <w:spacing w:line="256" w:lineRule="auto"/>
              <w:rPr>
                <w:b/>
                <w:sz w:val="22"/>
                <w:szCs w:val="22"/>
                <w:lang w:val="de-DE"/>
              </w:rPr>
            </w:pPr>
            <w:r w:rsidRPr="00763DDA">
              <w:rPr>
                <w:b/>
                <w:sz w:val="22"/>
                <w:szCs w:val="22"/>
              </w:rPr>
              <w:t>MedDRA system organ class</w:t>
            </w:r>
          </w:p>
        </w:tc>
        <w:tc>
          <w:tcPr>
            <w:tcW w:w="1876" w:type="dxa"/>
            <w:tcBorders>
              <w:top w:val="single" w:sz="4" w:space="0" w:color="auto"/>
              <w:left w:val="single" w:sz="4" w:space="0" w:color="auto"/>
              <w:bottom w:val="single" w:sz="4" w:space="0" w:color="auto"/>
              <w:right w:val="single" w:sz="4" w:space="0" w:color="auto"/>
            </w:tcBorders>
            <w:hideMark/>
          </w:tcPr>
          <w:p w14:paraId="0697E976" w14:textId="77777777" w:rsidR="008F5B23" w:rsidRPr="00763DDA" w:rsidRDefault="008F5B23">
            <w:pPr>
              <w:spacing w:line="256" w:lineRule="auto"/>
              <w:rPr>
                <w:b/>
                <w:sz w:val="22"/>
                <w:szCs w:val="22"/>
              </w:rPr>
            </w:pPr>
            <w:r w:rsidRPr="00763DDA">
              <w:rPr>
                <w:b/>
                <w:sz w:val="22"/>
                <w:szCs w:val="22"/>
              </w:rPr>
              <w:t>Very common</w:t>
            </w:r>
          </w:p>
          <w:p w14:paraId="0CE40DF1" w14:textId="77777777" w:rsidR="008F5B23" w:rsidRPr="00763DDA" w:rsidRDefault="008F5B23">
            <w:pPr>
              <w:spacing w:line="256" w:lineRule="auto"/>
              <w:rPr>
                <w:b/>
                <w:sz w:val="22"/>
                <w:szCs w:val="22"/>
              </w:rPr>
            </w:pPr>
            <w:r w:rsidRPr="00763DDA">
              <w:rPr>
                <w:b/>
                <w:sz w:val="22"/>
                <w:szCs w:val="22"/>
              </w:rPr>
              <w:t>≥1/10</w:t>
            </w:r>
          </w:p>
        </w:tc>
        <w:tc>
          <w:tcPr>
            <w:tcW w:w="1876" w:type="dxa"/>
            <w:tcBorders>
              <w:top w:val="single" w:sz="4" w:space="0" w:color="auto"/>
              <w:left w:val="single" w:sz="4" w:space="0" w:color="auto"/>
              <w:bottom w:val="single" w:sz="4" w:space="0" w:color="auto"/>
              <w:right w:val="single" w:sz="4" w:space="0" w:color="auto"/>
            </w:tcBorders>
            <w:hideMark/>
          </w:tcPr>
          <w:p w14:paraId="23F78143" w14:textId="77777777" w:rsidR="008F5B23" w:rsidRPr="00763DDA" w:rsidRDefault="008F5B23">
            <w:pPr>
              <w:spacing w:line="256" w:lineRule="auto"/>
              <w:rPr>
                <w:b/>
                <w:sz w:val="22"/>
                <w:szCs w:val="22"/>
              </w:rPr>
            </w:pPr>
            <w:r w:rsidRPr="00763DDA">
              <w:rPr>
                <w:b/>
                <w:sz w:val="22"/>
                <w:szCs w:val="22"/>
              </w:rPr>
              <w:t>Common</w:t>
            </w:r>
          </w:p>
          <w:p w14:paraId="6926AF58" w14:textId="77777777" w:rsidR="008F5B23" w:rsidRPr="00763DDA" w:rsidRDefault="008F5B23">
            <w:pPr>
              <w:spacing w:line="256" w:lineRule="auto"/>
              <w:rPr>
                <w:b/>
                <w:sz w:val="22"/>
                <w:szCs w:val="22"/>
              </w:rPr>
            </w:pPr>
            <w:r w:rsidRPr="00763DDA">
              <w:rPr>
                <w:rFonts w:eastAsia="Japanese Gothic"/>
                <w:b/>
                <w:sz w:val="22"/>
                <w:szCs w:val="22"/>
              </w:rPr>
              <w:t>≥</w:t>
            </w:r>
            <w:r w:rsidRPr="00763DDA">
              <w:rPr>
                <w:b/>
                <w:sz w:val="22"/>
                <w:szCs w:val="22"/>
              </w:rPr>
              <w:t>1/100 to &lt;1/10</w:t>
            </w:r>
          </w:p>
        </w:tc>
        <w:tc>
          <w:tcPr>
            <w:tcW w:w="1876" w:type="dxa"/>
            <w:tcBorders>
              <w:top w:val="single" w:sz="4" w:space="0" w:color="auto"/>
              <w:left w:val="single" w:sz="4" w:space="0" w:color="auto"/>
              <w:bottom w:val="single" w:sz="4" w:space="0" w:color="auto"/>
              <w:right w:val="single" w:sz="4" w:space="0" w:color="auto"/>
            </w:tcBorders>
            <w:hideMark/>
          </w:tcPr>
          <w:p w14:paraId="0C21B22A" w14:textId="77777777" w:rsidR="008F5B23" w:rsidRPr="00763DDA" w:rsidRDefault="008F5B23">
            <w:pPr>
              <w:spacing w:line="256" w:lineRule="auto"/>
              <w:rPr>
                <w:b/>
                <w:sz w:val="22"/>
                <w:szCs w:val="22"/>
              </w:rPr>
            </w:pPr>
            <w:r w:rsidRPr="00763DDA">
              <w:rPr>
                <w:b/>
                <w:sz w:val="22"/>
                <w:szCs w:val="22"/>
              </w:rPr>
              <w:t>Uncommon</w:t>
            </w:r>
          </w:p>
          <w:p w14:paraId="03BCBE04" w14:textId="77777777" w:rsidR="008F5B23" w:rsidRPr="00763DDA" w:rsidRDefault="008F5B23">
            <w:pPr>
              <w:spacing w:line="256" w:lineRule="auto"/>
              <w:rPr>
                <w:b/>
                <w:sz w:val="22"/>
                <w:szCs w:val="22"/>
              </w:rPr>
            </w:pPr>
            <w:r w:rsidRPr="00763DDA">
              <w:rPr>
                <w:rFonts w:eastAsia="Japanese Gothic"/>
                <w:b/>
                <w:sz w:val="22"/>
                <w:szCs w:val="22"/>
              </w:rPr>
              <w:t>≥</w:t>
            </w:r>
            <w:r w:rsidRPr="00763DDA">
              <w:rPr>
                <w:b/>
                <w:sz w:val="22"/>
                <w:szCs w:val="22"/>
              </w:rPr>
              <w:t>1/1,000 to &lt;1/100</w:t>
            </w:r>
          </w:p>
        </w:tc>
        <w:tc>
          <w:tcPr>
            <w:tcW w:w="1876" w:type="dxa"/>
            <w:tcBorders>
              <w:top w:val="single" w:sz="4" w:space="0" w:color="auto"/>
              <w:left w:val="single" w:sz="4" w:space="0" w:color="auto"/>
              <w:bottom w:val="single" w:sz="4" w:space="0" w:color="auto"/>
              <w:right w:val="single" w:sz="4" w:space="0" w:color="auto"/>
            </w:tcBorders>
            <w:hideMark/>
          </w:tcPr>
          <w:p w14:paraId="7AD2613D" w14:textId="77777777" w:rsidR="008F5B23" w:rsidRPr="00763DDA" w:rsidRDefault="008F5B23">
            <w:pPr>
              <w:spacing w:line="256" w:lineRule="auto"/>
              <w:rPr>
                <w:b/>
                <w:sz w:val="22"/>
                <w:szCs w:val="22"/>
              </w:rPr>
            </w:pPr>
            <w:r w:rsidRPr="00763DDA">
              <w:rPr>
                <w:b/>
                <w:sz w:val="22"/>
                <w:szCs w:val="22"/>
              </w:rPr>
              <w:t>Rare</w:t>
            </w:r>
          </w:p>
          <w:p w14:paraId="73E94D6E" w14:textId="77777777" w:rsidR="008F5B23" w:rsidRPr="00763DDA" w:rsidRDefault="008F5B23">
            <w:pPr>
              <w:spacing w:line="256" w:lineRule="auto"/>
              <w:rPr>
                <w:b/>
                <w:sz w:val="22"/>
                <w:szCs w:val="22"/>
              </w:rPr>
            </w:pPr>
            <w:r w:rsidRPr="00763DDA">
              <w:rPr>
                <w:rFonts w:eastAsia="Japanese Gothic"/>
                <w:b/>
                <w:sz w:val="22"/>
                <w:szCs w:val="22"/>
              </w:rPr>
              <w:t>≥</w:t>
            </w:r>
            <w:r w:rsidRPr="00763DDA">
              <w:rPr>
                <w:b/>
                <w:sz w:val="22"/>
                <w:szCs w:val="22"/>
              </w:rPr>
              <w:t>1/10,000 to &lt;1/1,000</w:t>
            </w:r>
          </w:p>
        </w:tc>
      </w:tr>
      <w:tr w:rsidR="008F5B23" w14:paraId="4FEA1EC4"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052F80ED" w14:textId="77777777" w:rsidR="008F5B23" w:rsidRDefault="008F5B23">
            <w:pPr>
              <w:spacing w:line="256" w:lineRule="auto"/>
              <w:rPr>
                <w:sz w:val="22"/>
                <w:szCs w:val="22"/>
              </w:rPr>
            </w:pPr>
            <w:r>
              <w:rPr>
                <w:sz w:val="22"/>
                <w:szCs w:val="22"/>
              </w:rPr>
              <w:t>Infections and infestations</w:t>
            </w:r>
          </w:p>
        </w:tc>
        <w:tc>
          <w:tcPr>
            <w:tcW w:w="1876" w:type="dxa"/>
            <w:tcBorders>
              <w:top w:val="single" w:sz="4" w:space="0" w:color="auto"/>
              <w:left w:val="single" w:sz="4" w:space="0" w:color="auto"/>
              <w:bottom w:val="single" w:sz="4" w:space="0" w:color="auto"/>
              <w:right w:val="single" w:sz="4" w:space="0" w:color="auto"/>
            </w:tcBorders>
          </w:tcPr>
          <w:p w14:paraId="0A71BE3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489C2890" w14:textId="77777777" w:rsidR="008F5B23" w:rsidRDefault="008F5B23">
            <w:pPr>
              <w:spacing w:line="256" w:lineRule="auto"/>
              <w:rPr>
                <w:sz w:val="22"/>
                <w:szCs w:val="22"/>
              </w:rPr>
            </w:pPr>
            <w:r>
              <w:rPr>
                <w:sz w:val="22"/>
                <w:szCs w:val="22"/>
              </w:rPr>
              <w:t>Vaginal candidiasis</w:t>
            </w:r>
          </w:p>
        </w:tc>
        <w:tc>
          <w:tcPr>
            <w:tcW w:w="1876" w:type="dxa"/>
            <w:tcBorders>
              <w:top w:val="single" w:sz="4" w:space="0" w:color="auto"/>
              <w:left w:val="single" w:sz="4" w:space="0" w:color="auto"/>
              <w:bottom w:val="single" w:sz="4" w:space="0" w:color="auto"/>
              <w:right w:val="single" w:sz="4" w:space="0" w:color="auto"/>
            </w:tcBorders>
          </w:tcPr>
          <w:p w14:paraId="29CD0690" w14:textId="77777777" w:rsidR="008F5B23" w:rsidRDefault="008F5B23">
            <w:pPr>
              <w:spacing w:line="256" w:lineRule="auto"/>
              <w:rPr>
                <w:sz w:val="22"/>
                <w:szCs w:val="22"/>
              </w:rPr>
            </w:pPr>
            <w:r>
              <w:rPr>
                <w:sz w:val="22"/>
                <w:szCs w:val="22"/>
              </w:rPr>
              <w:t xml:space="preserve">Cystitis- like   symptoms </w:t>
            </w:r>
          </w:p>
          <w:p w14:paraId="39818B85"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39D2328D" w14:textId="77777777" w:rsidR="008F5B23" w:rsidRDefault="008F5B23">
            <w:pPr>
              <w:spacing w:line="256" w:lineRule="auto"/>
              <w:rPr>
                <w:sz w:val="22"/>
                <w:szCs w:val="22"/>
              </w:rPr>
            </w:pPr>
          </w:p>
        </w:tc>
      </w:tr>
      <w:tr w:rsidR="008F5B23" w14:paraId="20706A2E"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63AB3359" w14:textId="77777777" w:rsidR="008F5B23" w:rsidRDefault="008F5B23">
            <w:pPr>
              <w:spacing w:line="256" w:lineRule="auto"/>
              <w:rPr>
                <w:sz w:val="22"/>
                <w:szCs w:val="22"/>
                <w:lang w:val="en-US"/>
              </w:rPr>
            </w:pPr>
            <w:r>
              <w:rPr>
                <w:sz w:val="22"/>
                <w:szCs w:val="22"/>
                <w:lang w:val="en-US"/>
              </w:rPr>
              <w:t>Neoplasms benign, malignant and unspecified</w:t>
            </w:r>
          </w:p>
        </w:tc>
        <w:tc>
          <w:tcPr>
            <w:tcW w:w="1876" w:type="dxa"/>
            <w:tcBorders>
              <w:top w:val="single" w:sz="4" w:space="0" w:color="auto"/>
              <w:left w:val="single" w:sz="4" w:space="0" w:color="auto"/>
              <w:bottom w:val="single" w:sz="4" w:space="0" w:color="auto"/>
              <w:right w:val="single" w:sz="4" w:space="0" w:color="auto"/>
            </w:tcBorders>
          </w:tcPr>
          <w:p w14:paraId="39DDB79F"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09DA23E2"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109F55C5" w14:textId="77777777" w:rsidR="008F5B23" w:rsidRDefault="008F5B23">
            <w:pPr>
              <w:spacing w:line="256" w:lineRule="auto"/>
              <w:rPr>
                <w:sz w:val="22"/>
                <w:szCs w:val="22"/>
                <w:lang w:val="de-DE"/>
              </w:rPr>
            </w:pPr>
            <w:r>
              <w:rPr>
                <w:sz w:val="22"/>
                <w:szCs w:val="22"/>
              </w:rPr>
              <w:t>Increase in size of leiomyoma</w:t>
            </w:r>
          </w:p>
          <w:p w14:paraId="4BAA10A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564E99D5" w14:textId="77777777" w:rsidR="008F5B23" w:rsidRDefault="008F5B23">
            <w:pPr>
              <w:spacing w:line="256" w:lineRule="auto"/>
              <w:rPr>
                <w:sz w:val="22"/>
                <w:szCs w:val="22"/>
              </w:rPr>
            </w:pPr>
          </w:p>
        </w:tc>
      </w:tr>
      <w:tr w:rsidR="008F5B23" w14:paraId="077538B1"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3A62C79" w14:textId="77777777" w:rsidR="008F5B23" w:rsidRDefault="008F5B23">
            <w:pPr>
              <w:spacing w:line="256" w:lineRule="auto"/>
              <w:rPr>
                <w:sz w:val="22"/>
                <w:szCs w:val="22"/>
                <w:lang w:val="en-US"/>
              </w:rPr>
            </w:pPr>
            <w:r>
              <w:rPr>
                <w:sz w:val="22"/>
                <w:szCs w:val="22"/>
                <w:lang w:val="en-US"/>
              </w:rPr>
              <w:t>Blood and the lymphatic system disorders</w:t>
            </w:r>
          </w:p>
        </w:tc>
        <w:tc>
          <w:tcPr>
            <w:tcW w:w="1876" w:type="dxa"/>
            <w:tcBorders>
              <w:top w:val="single" w:sz="4" w:space="0" w:color="auto"/>
              <w:left w:val="single" w:sz="4" w:space="0" w:color="auto"/>
              <w:bottom w:val="single" w:sz="4" w:space="0" w:color="auto"/>
              <w:right w:val="single" w:sz="4" w:space="0" w:color="auto"/>
            </w:tcBorders>
          </w:tcPr>
          <w:p w14:paraId="6904D58D"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798179E1"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772DB002"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2EC645EC" w14:textId="77777777" w:rsidR="008F5B23" w:rsidRDefault="008F5B23">
            <w:pPr>
              <w:spacing w:line="256" w:lineRule="auto"/>
              <w:rPr>
                <w:sz w:val="22"/>
                <w:szCs w:val="22"/>
                <w:lang w:val="de-DE"/>
              </w:rPr>
            </w:pPr>
            <w:r>
              <w:rPr>
                <w:sz w:val="22"/>
                <w:szCs w:val="22"/>
              </w:rPr>
              <w:t>Haemolytic anaemia*</w:t>
            </w:r>
          </w:p>
        </w:tc>
      </w:tr>
      <w:tr w:rsidR="008F5B23" w14:paraId="1C6E6DDC"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70C9C7E" w14:textId="77777777" w:rsidR="008F5B23" w:rsidRDefault="008F5B23">
            <w:pPr>
              <w:spacing w:line="256" w:lineRule="auto"/>
              <w:rPr>
                <w:sz w:val="22"/>
                <w:szCs w:val="22"/>
              </w:rPr>
            </w:pPr>
            <w:r>
              <w:rPr>
                <w:sz w:val="22"/>
                <w:szCs w:val="22"/>
              </w:rPr>
              <w:t>Immune system disorders</w:t>
            </w:r>
          </w:p>
        </w:tc>
        <w:tc>
          <w:tcPr>
            <w:tcW w:w="1876" w:type="dxa"/>
            <w:tcBorders>
              <w:top w:val="single" w:sz="4" w:space="0" w:color="auto"/>
              <w:left w:val="single" w:sz="4" w:space="0" w:color="auto"/>
              <w:bottom w:val="single" w:sz="4" w:space="0" w:color="auto"/>
              <w:right w:val="single" w:sz="4" w:space="0" w:color="auto"/>
            </w:tcBorders>
          </w:tcPr>
          <w:p w14:paraId="79DC5E78"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1621137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0DF5597C" w14:textId="77777777" w:rsidR="008F5B23" w:rsidRDefault="008F5B23">
            <w:pPr>
              <w:spacing w:line="256" w:lineRule="auto"/>
              <w:rPr>
                <w:sz w:val="22"/>
                <w:szCs w:val="22"/>
              </w:rPr>
            </w:pPr>
            <w:r>
              <w:rPr>
                <w:sz w:val="22"/>
                <w:szCs w:val="22"/>
              </w:rPr>
              <w:t>Hypersensitivity</w:t>
            </w:r>
          </w:p>
        </w:tc>
        <w:tc>
          <w:tcPr>
            <w:tcW w:w="1876" w:type="dxa"/>
            <w:tcBorders>
              <w:top w:val="single" w:sz="4" w:space="0" w:color="auto"/>
              <w:left w:val="single" w:sz="4" w:space="0" w:color="auto"/>
              <w:bottom w:val="single" w:sz="4" w:space="0" w:color="auto"/>
              <w:right w:val="single" w:sz="4" w:space="0" w:color="auto"/>
            </w:tcBorders>
          </w:tcPr>
          <w:p w14:paraId="1876B0EF" w14:textId="77777777" w:rsidR="008F5B23" w:rsidRDefault="008F5B23">
            <w:pPr>
              <w:spacing w:line="256" w:lineRule="auto"/>
              <w:rPr>
                <w:sz w:val="22"/>
                <w:szCs w:val="22"/>
                <w:highlight w:val="yellow"/>
              </w:rPr>
            </w:pPr>
          </w:p>
        </w:tc>
      </w:tr>
      <w:tr w:rsidR="008F5B23" w14:paraId="0FBDC37C"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53794AC4" w14:textId="77777777" w:rsidR="008F5B23" w:rsidRDefault="008F5B23">
            <w:pPr>
              <w:spacing w:line="256" w:lineRule="auto"/>
              <w:rPr>
                <w:sz w:val="22"/>
                <w:szCs w:val="22"/>
              </w:rPr>
            </w:pPr>
            <w:r>
              <w:rPr>
                <w:sz w:val="22"/>
                <w:szCs w:val="22"/>
              </w:rPr>
              <w:t>Psychiatric disorders</w:t>
            </w:r>
          </w:p>
        </w:tc>
        <w:tc>
          <w:tcPr>
            <w:tcW w:w="1876" w:type="dxa"/>
            <w:tcBorders>
              <w:top w:val="single" w:sz="4" w:space="0" w:color="auto"/>
              <w:left w:val="single" w:sz="4" w:space="0" w:color="auto"/>
              <w:bottom w:val="single" w:sz="4" w:space="0" w:color="auto"/>
              <w:right w:val="single" w:sz="4" w:space="0" w:color="auto"/>
            </w:tcBorders>
          </w:tcPr>
          <w:p w14:paraId="6F3623BB"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0B05B7AB" w14:textId="77777777" w:rsidR="008F5B23" w:rsidRDefault="008F5B23">
            <w:pPr>
              <w:spacing w:line="256" w:lineRule="auto"/>
              <w:rPr>
                <w:sz w:val="22"/>
                <w:szCs w:val="22"/>
              </w:rPr>
            </w:pPr>
            <w:r>
              <w:rPr>
                <w:sz w:val="22"/>
                <w:szCs w:val="22"/>
              </w:rPr>
              <w:t>Depression, nervousness</w:t>
            </w:r>
          </w:p>
        </w:tc>
        <w:tc>
          <w:tcPr>
            <w:tcW w:w="1876" w:type="dxa"/>
            <w:tcBorders>
              <w:top w:val="single" w:sz="4" w:space="0" w:color="auto"/>
              <w:left w:val="single" w:sz="4" w:space="0" w:color="auto"/>
              <w:bottom w:val="single" w:sz="4" w:space="0" w:color="auto"/>
              <w:right w:val="single" w:sz="4" w:space="0" w:color="auto"/>
            </w:tcBorders>
          </w:tcPr>
          <w:p w14:paraId="7563E2F9" w14:textId="77777777" w:rsidR="008F5B23" w:rsidRDefault="008F5B23">
            <w:pPr>
              <w:spacing w:line="256" w:lineRule="auto"/>
              <w:rPr>
                <w:sz w:val="22"/>
                <w:szCs w:val="22"/>
              </w:rPr>
            </w:pPr>
            <w:r>
              <w:rPr>
                <w:sz w:val="22"/>
                <w:szCs w:val="22"/>
              </w:rPr>
              <w:t xml:space="preserve">Influence on libido </w:t>
            </w:r>
          </w:p>
          <w:p w14:paraId="14077215"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7CB03A69" w14:textId="77777777" w:rsidR="008F5B23" w:rsidRDefault="008F5B23">
            <w:pPr>
              <w:spacing w:line="256" w:lineRule="auto"/>
              <w:rPr>
                <w:sz w:val="22"/>
                <w:szCs w:val="22"/>
                <w:highlight w:val="yellow"/>
              </w:rPr>
            </w:pPr>
          </w:p>
        </w:tc>
      </w:tr>
      <w:tr w:rsidR="008F5B23" w14:paraId="6DE5CED5"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7E0130E7" w14:textId="77777777" w:rsidR="008F5B23" w:rsidRDefault="008F5B23">
            <w:pPr>
              <w:spacing w:line="256" w:lineRule="auto"/>
              <w:rPr>
                <w:sz w:val="22"/>
                <w:szCs w:val="22"/>
              </w:rPr>
            </w:pPr>
            <w:r>
              <w:rPr>
                <w:sz w:val="22"/>
                <w:szCs w:val="22"/>
              </w:rPr>
              <w:t>Nervous system disorders</w:t>
            </w:r>
          </w:p>
        </w:tc>
        <w:tc>
          <w:tcPr>
            <w:tcW w:w="1876" w:type="dxa"/>
            <w:tcBorders>
              <w:top w:val="single" w:sz="4" w:space="0" w:color="auto"/>
              <w:left w:val="single" w:sz="4" w:space="0" w:color="auto"/>
              <w:bottom w:val="single" w:sz="4" w:space="0" w:color="auto"/>
              <w:right w:val="single" w:sz="4" w:space="0" w:color="auto"/>
            </w:tcBorders>
            <w:hideMark/>
          </w:tcPr>
          <w:p w14:paraId="0EBE0B5A" w14:textId="77777777" w:rsidR="008F5B23" w:rsidRDefault="008F5B23">
            <w:pPr>
              <w:spacing w:line="256" w:lineRule="auto"/>
              <w:rPr>
                <w:sz w:val="22"/>
                <w:szCs w:val="22"/>
              </w:rPr>
            </w:pPr>
            <w:r>
              <w:rPr>
                <w:sz w:val="22"/>
                <w:szCs w:val="22"/>
              </w:rPr>
              <w:t>Headache</w:t>
            </w:r>
          </w:p>
        </w:tc>
        <w:tc>
          <w:tcPr>
            <w:tcW w:w="1876" w:type="dxa"/>
            <w:tcBorders>
              <w:top w:val="single" w:sz="4" w:space="0" w:color="auto"/>
              <w:left w:val="single" w:sz="4" w:space="0" w:color="auto"/>
              <w:bottom w:val="single" w:sz="4" w:space="0" w:color="auto"/>
              <w:right w:val="single" w:sz="4" w:space="0" w:color="auto"/>
            </w:tcBorders>
            <w:hideMark/>
          </w:tcPr>
          <w:p w14:paraId="2BC631DF" w14:textId="77777777" w:rsidR="008F5B23" w:rsidRDefault="008F5B23">
            <w:pPr>
              <w:spacing w:line="256" w:lineRule="auto"/>
              <w:rPr>
                <w:sz w:val="22"/>
                <w:szCs w:val="22"/>
              </w:rPr>
            </w:pPr>
            <w:r>
              <w:rPr>
                <w:sz w:val="22"/>
                <w:szCs w:val="22"/>
              </w:rPr>
              <w:t>Migraine, dizziness</w:t>
            </w:r>
          </w:p>
        </w:tc>
        <w:tc>
          <w:tcPr>
            <w:tcW w:w="1876" w:type="dxa"/>
            <w:tcBorders>
              <w:top w:val="single" w:sz="4" w:space="0" w:color="auto"/>
              <w:left w:val="single" w:sz="4" w:space="0" w:color="auto"/>
              <w:bottom w:val="single" w:sz="4" w:space="0" w:color="auto"/>
              <w:right w:val="single" w:sz="4" w:space="0" w:color="auto"/>
            </w:tcBorders>
          </w:tcPr>
          <w:p w14:paraId="6D73F7F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14FDF67D" w14:textId="77777777" w:rsidR="008F5B23" w:rsidRDefault="008F5B23">
            <w:pPr>
              <w:spacing w:line="256" w:lineRule="auto"/>
              <w:rPr>
                <w:sz w:val="22"/>
                <w:szCs w:val="22"/>
                <w:highlight w:val="yellow"/>
              </w:rPr>
            </w:pPr>
            <w:r>
              <w:rPr>
                <w:sz w:val="22"/>
                <w:szCs w:val="22"/>
              </w:rPr>
              <w:t>Meningioma*</w:t>
            </w:r>
          </w:p>
        </w:tc>
      </w:tr>
      <w:tr w:rsidR="008F5B23" w14:paraId="21CA7E15"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243CAEC7" w14:textId="77777777" w:rsidR="008F5B23" w:rsidRDefault="008F5B23">
            <w:pPr>
              <w:spacing w:line="256" w:lineRule="auto"/>
              <w:rPr>
                <w:sz w:val="22"/>
                <w:szCs w:val="22"/>
              </w:rPr>
            </w:pPr>
            <w:r>
              <w:rPr>
                <w:sz w:val="22"/>
                <w:szCs w:val="22"/>
              </w:rPr>
              <w:t>Eye disorders</w:t>
            </w:r>
          </w:p>
        </w:tc>
        <w:tc>
          <w:tcPr>
            <w:tcW w:w="1876" w:type="dxa"/>
            <w:tcBorders>
              <w:top w:val="single" w:sz="4" w:space="0" w:color="auto"/>
              <w:left w:val="single" w:sz="4" w:space="0" w:color="auto"/>
              <w:bottom w:val="single" w:sz="4" w:space="0" w:color="auto"/>
              <w:right w:val="single" w:sz="4" w:space="0" w:color="auto"/>
            </w:tcBorders>
          </w:tcPr>
          <w:p w14:paraId="4709C343"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5C94B94E"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5095C89E"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1D3E22BA" w14:textId="77777777" w:rsidR="008F5B23" w:rsidRPr="008F5B23" w:rsidRDefault="008F5B23">
            <w:pPr>
              <w:spacing w:line="256" w:lineRule="auto"/>
              <w:rPr>
                <w:sz w:val="22"/>
                <w:szCs w:val="22"/>
                <w:lang w:val="en-US"/>
              </w:rPr>
            </w:pPr>
            <w:r w:rsidRPr="008F5B23">
              <w:rPr>
                <w:sz w:val="22"/>
                <w:szCs w:val="22"/>
                <w:lang w:val="en-US"/>
              </w:rPr>
              <w:t>Steepening of corneal curvature*,</w:t>
            </w:r>
          </w:p>
          <w:p w14:paraId="73C6FE6D" w14:textId="77777777" w:rsidR="008F5B23" w:rsidRPr="008F5B23" w:rsidRDefault="008F5B23">
            <w:pPr>
              <w:spacing w:line="256" w:lineRule="auto"/>
              <w:rPr>
                <w:sz w:val="22"/>
                <w:szCs w:val="22"/>
                <w:lang w:val="en-US"/>
              </w:rPr>
            </w:pPr>
            <w:r w:rsidRPr="008F5B23">
              <w:rPr>
                <w:sz w:val="22"/>
                <w:szCs w:val="22"/>
                <w:lang w:val="en-US"/>
              </w:rPr>
              <w:t>contact lense</w:t>
            </w:r>
            <w:r w:rsidRPr="008F5B23">
              <w:rPr>
                <w:strike/>
                <w:sz w:val="22"/>
                <w:szCs w:val="22"/>
                <w:lang w:val="en-US"/>
              </w:rPr>
              <w:t>s</w:t>
            </w:r>
          </w:p>
          <w:p w14:paraId="341B9907" w14:textId="77777777" w:rsidR="008F5B23" w:rsidRDefault="008F5B23">
            <w:pPr>
              <w:spacing w:line="256" w:lineRule="auto"/>
              <w:rPr>
                <w:sz w:val="22"/>
                <w:szCs w:val="22"/>
              </w:rPr>
            </w:pPr>
            <w:r>
              <w:rPr>
                <w:sz w:val="22"/>
                <w:szCs w:val="22"/>
              </w:rPr>
              <w:t>intolerance*</w:t>
            </w:r>
          </w:p>
        </w:tc>
      </w:tr>
      <w:tr w:rsidR="008F5B23" w14:paraId="00FA0A95"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7053AB9D" w14:textId="77777777" w:rsidR="008F5B23" w:rsidRDefault="008F5B23">
            <w:pPr>
              <w:spacing w:line="256" w:lineRule="auto"/>
              <w:rPr>
                <w:sz w:val="22"/>
                <w:szCs w:val="22"/>
              </w:rPr>
            </w:pPr>
            <w:r>
              <w:rPr>
                <w:sz w:val="22"/>
                <w:szCs w:val="22"/>
              </w:rPr>
              <w:t>Cardiac disorders</w:t>
            </w:r>
          </w:p>
        </w:tc>
        <w:tc>
          <w:tcPr>
            <w:tcW w:w="1876" w:type="dxa"/>
            <w:tcBorders>
              <w:top w:val="single" w:sz="4" w:space="0" w:color="auto"/>
              <w:left w:val="single" w:sz="4" w:space="0" w:color="auto"/>
              <w:bottom w:val="single" w:sz="4" w:space="0" w:color="auto"/>
              <w:right w:val="single" w:sz="4" w:space="0" w:color="auto"/>
            </w:tcBorders>
          </w:tcPr>
          <w:p w14:paraId="54EBAAE2"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70077BE3"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6A28A0DC"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33AFF941" w14:textId="77777777" w:rsidR="008F5B23" w:rsidRDefault="008F5B23">
            <w:pPr>
              <w:spacing w:line="256" w:lineRule="auto"/>
              <w:rPr>
                <w:sz w:val="22"/>
                <w:szCs w:val="22"/>
              </w:rPr>
            </w:pPr>
            <w:r>
              <w:rPr>
                <w:sz w:val="22"/>
                <w:szCs w:val="22"/>
              </w:rPr>
              <w:t>Myocardial infarction</w:t>
            </w:r>
          </w:p>
        </w:tc>
      </w:tr>
      <w:tr w:rsidR="008F5B23" w14:paraId="314571AD"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374B30C" w14:textId="77777777" w:rsidR="008F5B23" w:rsidRDefault="008F5B23">
            <w:pPr>
              <w:spacing w:line="256" w:lineRule="auto"/>
              <w:rPr>
                <w:sz w:val="22"/>
                <w:szCs w:val="22"/>
              </w:rPr>
            </w:pPr>
            <w:r>
              <w:rPr>
                <w:sz w:val="22"/>
                <w:szCs w:val="22"/>
              </w:rPr>
              <w:t>Vascular disorders</w:t>
            </w:r>
          </w:p>
        </w:tc>
        <w:tc>
          <w:tcPr>
            <w:tcW w:w="1876" w:type="dxa"/>
            <w:tcBorders>
              <w:top w:val="single" w:sz="4" w:space="0" w:color="auto"/>
              <w:left w:val="single" w:sz="4" w:space="0" w:color="auto"/>
              <w:bottom w:val="single" w:sz="4" w:space="0" w:color="auto"/>
              <w:right w:val="single" w:sz="4" w:space="0" w:color="auto"/>
            </w:tcBorders>
          </w:tcPr>
          <w:p w14:paraId="7F05A0A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15F2504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0BFF5971" w14:textId="77777777" w:rsidR="008F5B23" w:rsidRDefault="008F5B23">
            <w:pPr>
              <w:spacing w:line="256" w:lineRule="auto"/>
              <w:ind w:right="-109"/>
              <w:rPr>
                <w:sz w:val="22"/>
                <w:szCs w:val="22"/>
                <w:lang w:val="en-GB"/>
              </w:rPr>
            </w:pPr>
            <w:r>
              <w:rPr>
                <w:sz w:val="22"/>
                <w:szCs w:val="22"/>
                <w:lang w:val="en-GB"/>
              </w:rPr>
              <w:t>Venous thromboembolism, hypertension, peripheral vascular disease, varicose vein</w:t>
            </w:r>
          </w:p>
        </w:tc>
        <w:tc>
          <w:tcPr>
            <w:tcW w:w="1876" w:type="dxa"/>
            <w:tcBorders>
              <w:top w:val="single" w:sz="4" w:space="0" w:color="auto"/>
              <w:left w:val="single" w:sz="4" w:space="0" w:color="auto"/>
              <w:bottom w:val="single" w:sz="4" w:space="0" w:color="auto"/>
              <w:right w:val="single" w:sz="4" w:space="0" w:color="auto"/>
            </w:tcBorders>
            <w:hideMark/>
          </w:tcPr>
          <w:p w14:paraId="5E16F1C1" w14:textId="77777777" w:rsidR="008F5B23" w:rsidRDefault="008F5B23">
            <w:pPr>
              <w:spacing w:line="256" w:lineRule="auto"/>
              <w:rPr>
                <w:sz w:val="22"/>
                <w:szCs w:val="22"/>
                <w:highlight w:val="yellow"/>
                <w:lang w:val="en-GB"/>
              </w:rPr>
            </w:pPr>
            <w:r>
              <w:rPr>
                <w:sz w:val="22"/>
                <w:szCs w:val="22"/>
                <w:lang w:val="en-GB"/>
              </w:rPr>
              <w:t>Stroke*</w:t>
            </w:r>
          </w:p>
        </w:tc>
      </w:tr>
      <w:tr w:rsidR="008F5B23" w14:paraId="538AF52E"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5026B74A" w14:textId="77777777" w:rsidR="008F5B23" w:rsidRDefault="008F5B23">
            <w:pPr>
              <w:spacing w:line="256" w:lineRule="auto"/>
              <w:rPr>
                <w:sz w:val="22"/>
                <w:szCs w:val="22"/>
                <w:lang w:val="de-DE"/>
              </w:rPr>
            </w:pPr>
            <w:r>
              <w:rPr>
                <w:sz w:val="22"/>
                <w:szCs w:val="22"/>
              </w:rPr>
              <w:lastRenderedPageBreak/>
              <w:t>Gastrointestinal disorders</w:t>
            </w:r>
          </w:p>
        </w:tc>
        <w:tc>
          <w:tcPr>
            <w:tcW w:w="1876" w:type="dxa"/>
            <w:tcBorders>
              <w:top w:val="single" w:sz="4" w:space="0" w:color="auto"/>
              <w:left w:val="single" w:sz="4" w:space="0" w:color="auto"/>
              <w:bottom w:val="single" w:sz="4" w:space="0" w:color="auto"/>
              <w:right w:val="single" w:sz="4" w:space="0" w:color="auto"/>
            </w:tcBorders>
            <w:hideMark/>
          </w:tcPr>
          <w:p w14:paraId="7852699F" w14:textId="77777777" w:rsidR="008F5B23" w:rsidRDefault="008F5B23">
            <w:pPr>
              <w:spacing w:line="256" w:lineRule="auto"/>
              <w:rPr>
                <w:sz w:val="22"/>
                <w:szCs w:val="22"/>
              </w:rPr>
            </w:pPr>
            <w:r>
              <w:rPr>
                <w:sz w:val="22"/>
                <w:szCs w:val="22"/>
              </w:rPr>
              <w:t>Abdominal pain</w:t>
            </w:r>
          </w:p>
        </w:tc>
        <w:tc>
          <w:tcPr>
            <w:tcW w:w="1876" w:type="dxa"/>
            <w:tcBorders>
              <w:top w:val="single" w:sz="4" w:space="0" w:color="auto"/>
              <w:left w:val="single" w:sz="4" w:space="0" w:color="auto"/>
              <w:bottom w:val="single" w:sz="4" w:space="0" w:color="auto"/>
              <w:right w:val="single" w:sz="4" w:space="0" w:color="auto"/>
            </w:tcBorders>
            <w:hideMark/>
          </w:tcPr>
          <w:p w14:paraId="0CAAED81" w14:textId="77777777" w:rsidR="008F5B23" w:rsidRDefault="008F5B23">
            <w:pPr>
              <w:spacing w:line="256" w:lineRule="auto"/>
              <w:rPr>
                <w:sz w:val="22"/>
                <w:szCs w:val="22"/>
                <w:lang w:val="en-US"/>
              </w:rPr>
            </w:pPr>
            <w:r>
              <w:rPr>
                <w:sz w:val="22"/>
                <w:szCs w:val="22"/>
                <w:lang w:val="en-US"/>
              </w:rPr>
              <w:t>Nausea, vomiting, abdominal distension (including flatulence)</w:t>
            </w:r>
          </w:p>
        </w:tc>
        <w:tc>
          <w:tcPr>
            <w:tcW w:w="1876" w:type="dxa"/>
            <w:tcBorders>
              <w:top w:val="single" w:sz="4" w:space="0" w:color="auto"/>
              <w:left w:val="single" w:sz="4" w:space="0" w:color="auto"/>
              <w:bottom w:val="single" w:sz="4" w:space="0" w:color="auto"/>
              <w:right w:val="single" w:sz="4" w:space="0" w:color="auto"/>
            </w:tcBorders>
            <w:hideMark/>
          </w:tcPr>
          <w:p w14:paraId="14662158" w14:textId="77777777" w:rsidR="008F5B23" w:rsidRDefault="008F5B23">
            <w:pPr>
              <w:spacing w:line="256" w:lineRule="auto"/>
              <w:rPr>
                <w:sz w:val="22"/>
                <w:szCs w:val="22"/>
                <w:lang w:val="de-DE"/>
              </w:rPr>
            </w:pPr>
            <w:r>
              <w:rPr>
                <w:sz w:val="22"/>
                <w:szCs w:val="22"/>
              </w:rPr>
              <w:t>Dyspepsia</w:t>
            </w:r>
          </w:p>
        </w:tc>
        <w:tc>
          <w:tcPr>
            <w:tcW w:w="1876" w:type="dxa"/>
            <w:tcBorders>
              <w:top w:val="single" w:sz="4" w:space="0" w:color="auto"/>
              <w:left w:val="single" w:sz="4" w:space="0" w:color="auto"/>
              <w:bottom w:val="single" w:sz="4" w:space="0" w:color="auto"/>
              <w:right w:val="single" w:sz="4" w:space="0" w:color="auto"/>
            </w:tcBorders>
          </w:tcPr>
          <w:p w14:paraId="2D19D847" w14:textId="77777777" w:rsidR="008F5B23" w:rsidRDefault="008F5B23">
            <w:pPr>
              <w:spacing w:line="256" w:lineRule="auto"/>
              <w:rPr>
                <w:sz w:val="22"/>
                <w:szCs w:val="22"/>
                <w:highlight w:val="yellow"/>
              </w:rPr>
            </w:pPr>
          </w:p>
        </w:tc>
      </w:tr>
      <w:tr w:rsidR="008F5B23" w14:paraId="187D105F"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4ECDA4D" w14:textId="77777777" w:rsidR="008F5B23" w:rsidRDefault="008F5B23">
            <w:pPr>
              <w:spacing w:line="256" w:lineRule="auto"/>
              <w:rPr>
                <w:sz w:val="22"/>
                <w:szCs w:val="22"/>
              </w:rPr>
            </w:pPr>
            <w:r>
              <w:rPr>
                <w:sz w:val="22"/>
                <w:szCs w:val="22"/>
              </w:rPr>
              <w:t>Hepatobiliary disorders</w:t>
            </w:r>
          </w:p>
        </w:tc>
        <w:tc>
          <w:tcPr>
            <w:tcW w:w="1876" w:type="dxa"/>
            <w:tcBorders>
              <w:top w:val="single" w:sz="4" w:space="0" w:color="auto"/>
              <w:left w:val="single" w:sz="4" w:space="0" w:color="auto"/>
              <w:bottom w:val="single" w:sz="4" w:space="0" w:color="auto"/>
              <w:right w:val="single" w:sz="4" w:space="0" w:color="auto"/>
            </w:tcBorders>
          </w:tcPr>
          <w:p w14:paraId="5D7F87B9"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0086B68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4B15F9BE" w14:textId="77777777" w:rsidR="008F5B23" w:rsidRPr="008F5B23" w:rsidRDefault="008F5B23">
            <w:pPr>
              <w:spacing w:line="256" w:lineRule="auto"/>
              <w:rPr>
                <w:sz w:val="22"/>
                <w:szCs w:val="22"/>
                <w:lang w:val="en-US"/>
              </w:rPr>
            </w:pPr>
            <w:r w:rsidRPr="008F5B23">
              <w:rPr>
                <w:sz w:val="22"/>
                <w:szCs w:val="22"/>
                <w:lang w:val="en-US"/>
              </w:rPr>
              <w:t>Abnormal hepatic function occasionally with jaundice asthenia or malaise, and abdominal pain.</w:t>
            </w:r>
          </w:p>
          <w:p w14:paraId="251AC28C" w14:textId="77777777" w:rsidR="008F5B23" w:rsidRDefault="008F5B23">
            <w:pPr>
              <w:spacing w:line="256" w:lineRule="auto"/>
              <w:rPr>
                <w:sz w:val="22"/>
                <w:szCs w:val="22"/>
                <w:highlight w:val="yellow"/>
              </w:rPr>
            </w:pPr>
            <w:r w:rsidRPr="008F5B23">
              <w:rPr>
                <w:sz w:val="22"/>
                <w:szCs w:val="22"/>
                <w:lang w:val="en-US"/>
              </w:rPr>
              <w:t xml:space="preserve"> </w:t>
            </w:r>
            <w:r>
              <w:rPr>
                <w:sz w:val="22"/>
                <w:szCs w:val="22"/>
              </w:rPr>
              <w:t>gallbladder disorders</w:t>
            </w:r>
          </w:p>
        </w:tc>
        <w:tc>
          <w:tcPr>
            <w:tcW w:w="1876" w:type="dxa"/>
            <w:tcBorders>
              <w:top w:val="single" w:sz="4" w:space="0" w:color="auto"/>
              <w:left w:val="single" w:sz="4" w:space="0" w:color="auto"/>
              <w:bottom w:val="single" w:sz="4" w:space="0" w:color="auto"/>
              <w:right w:val="single" w:sz="4" w:space="0" w:color="auto"/>
            </w:tcBorders>
          </w:tcPr>
          <w:p w14:paraId="0EA62F9B" w14:textId="77777777" w:rsidR="008F5B23" w:rsidRDefault="008F5B23">
            <w:pPr>
              <w:spacing w:line="256" w:lineRule="auto"/>
              <w:rPr>
                <w:sz w:val="22"/>
                <w:szCs w:val="22"/>
              </w:rPr>
            </w:pPr>
          </w:p>
        </w:tc>
      </w:tr>
      <w:tr w:rsidR="008F5B23" w:rsidRPr="002B11A1" w14:paraId="01ABC4E7"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0E9D5CB" w14:textId="77777777" w:rsidR="008F5B23" w:rsidRDefault="008F5B23">
            <w:pPr>
              <w:spacing w:line="256" w:lineRule="auto"/>
              <w:rPr>
                <w:sz w:val="22"/>
                <w:szCs w:val="22"/>
                <w:lang w:val="en-US"/>
              </w:rPr>
            </w:pPr>
            <w:r>
              <w:rPr>
                <w:sz w:val="22"/>
                <w:szCs w:val="22"/>
                <w:lang w:val="en-US"/>
              </w:rPr>
              <w:t>Skin and subcutaneous tissue disorders</w:t>
            </w:r>
          </w:p>
        </w:tc>
        <w:tc>
          <w:tcPr>
            <w:tcW w:w="1876" w:type="dxa"/>
            <w:tcBorders>
              <w:top w:val="single" w:sz="4" w:space="0" w:color="auto"/>
              <w:left w:val="single" w:sz="4" w:space="0" w:color="auto"/>
              <w:bottom w:val="single" w:sz="4" w:space="0" w:color="auto"/>
              <w:right w:val="single" w:sz="4" w:space="0" w:color="auto"/>
            </w:tcBorders>
          </w:tcPr>
          <w:p w14:paraId="75BB98F2" w14:textId="77777777" w:rsidR="008F5B23" w:rsidRDefault="008F5B23">
            <w:pPr>
              <w:spacing w:line="256" w:lineRule="auto"/>
              <w:rPr>
                <w:sz w:val="22"/>
                <w:szCs w:val="22"/>
                <w:highlight w:val="cyan"/>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38E771B4" w14:textId="77777777" w:rsidR="008F5B23" w:rsidRDefault="008F5B23">
            <w:pPr>
              <w:spacing w:line="256" w:lineRule="auto"/>
              <w:rPr>
                <w:sz w:val="22"/>
                <w:szCs w:val="22"/>
                <w:highlight w:val="cyan"/>
                <w:lang w:val="en-US"/>
              </w:rPr>
            </w:pPr>
            <w:r>
              <w:rPr>
                <w:sz w:val="22"/>
                <w:szCs w:val="22"/>
                <w:lang w:val="en-US"/>
              </w:rPr>
              <w:t>Allergic skin reactions (e.g. rash, urticaria, pruritus)</w:t>
            </w:r>
          </w:p>
        </w:tc>
        <w:tc>
          <w:tcPr>
            <w:tcW w:w="1876" w:type="dxa"/>
            <w:tcBorders>
              <w:top w:val="single" w:sz="4" w:space="0" w:color="auto"/>
              <w:left w:val="single" w:sz="4" w:space="0" w:color="auto"/>
              <w:bottom w:val="single" w:sz="4" w:space="0" w:color="auto"/>
              <w:right w:val="single" w:sz="4" w:space="0" w:color="auto"/>
            </w:tcBorders>
          </w:tcPr>
          <w:p w14:paraId="2201CE8C"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3A5DA7A1" w14:textId="77777777" w:rsidR="008F5B23" w:rsidRDefault="008F5B23">
            <w:pPr>
              <w:spacing w:line="256" w:lineRule="auto"/>
              <w:rPr>
                <w:sz w:val="22"/>
                <w:szCs w:val="22"/>
                <w:lang w:val="en-US"/>
              </w:rPr>
            </w:pPr>
            <w:r>
              <w:rPr>
                <w:sz w:val="22"/>
                <w:szCs w:val="22"/>
                <w:lang w:val="en-US"/>
              </w:rPr>
              <w:t>Angioedema, vascular purpura,</w:t>
            </w:r>
          </w:p>
          <w:p w14:paraId="35F48C01" w14:textId="77777777" w:rsidR="008F5B23" w:rsidRDefault="008F5B23">
            <w:pPr>
              <w:spacing w:line="256" w:lineRule="auto"/>
              <w:rPr>
                <w:sz w:val="22"/>
                <w:szCs w:val="22"/>
                <w:lang w:val="en-US"/>
              </w:rPr>
            </w:pPr>
            <w:r>
              <w:rPr>
                <w:sz w:val="22"/>
                <w:szCs w:val="22"/>
                <w:lang w:val="en-US"/>
              </w:rPr>
              <w:t>erythema nodosum*, Chloasma or melasma, which may persist when drug is discontinued*</w:t>
            </w:r>
          </w:p>
        </w:tc>
      </w:tr>
      <w:tr w:rsidR="008F5B23" w14:paraId="3DD8878A"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5AD90C9" w14:textId="77777777" w:rsidR="008F5B23" w:rsidRDefault="008F5B23">
            <w:pPr>
              <w:spacing w:line="256" w:lineRule="auto"/>
              <w:rPr>
                <w:sz w:val="22"/>
                <w:szCs w:val="22"/>
                <w:lang w:val="en-US"/>
              </w:rPr>
            </w:pPr>
            <w:r>
              <w:rPr>
                <w:sz w:val="22"/>
                <w:szCs w:val="22"/>
                <w:lang w:val="en-US"/>
              </w:rPr>
              <w:t>Musculoskeletal and connective tissue disorders</w:t>
            </w:r>
          </w:p>
        </w:tc>
        <w:tc>
          <w:tcPr>
            <w:tcW w:w="1876" w:type="dxa"/>
            <w:tcBorders>
              <w:top w:val="single" w:sz="4" w:space="0" w:color="auto"/>
              <w:left w:val="single" w:sz="4" w:space="0" w:color="auto"/>
              <w:bottom w:val="single" w:sz="4" w:space="0" w:color="auto"/>
              <w:right w:val="single" w:sz="4" w:space="0" w:color="auto"/>
            </w:tcBorders>
            <w:hideMark/>
          </w:tcPr>
          <w:p w14:paraId="5E9831B5" w14:textId="77777777" w:rsidR="008F5B23" w:rsidRDefault="008F5B23">
            <w:pPr>
              <w:spacing w:line="256" w:lineRule="auto"/>
              <w:rPr>
                <w:sz w:val="22"/>
                <w:szCs w:val="22"/>
                <w:lang w:val="de-DE"/>
              </w:rPr>
            </w:pPr>
            <w:r>
              <w:rPr>
                <w:sz w:val="22"/>
                <w:szCs w:val="22"/>
              </w:rPr>
              <w:t>Back pain</w:t>
            </w:r>
          </w:p>
        </w:tc>
        <w:tc>
          <w:tcPr>
            <w:tcW w:w="1876" w:type="dxa"/>
            <w:tcBorders>
              <w:top w:val="single" w:sz="4" w:space="0" w:color="auto"/>
              <w:left w:val="single" w:sz="4" w:space="0" w:color="auto"/>
              <w:bottom w:val="single" w:sz="4" w:space="0" w:color="auto"/>
              <w:right w:val="single" w:sz="4" w:space="0" w:color="auto"/>
            </w:tcBorders>
          </w:tcPr>
          <w:p w14:paraId="0FB7D090"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19C8D5B1"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48BAB5AD" w14:textId="77777777" w:rsidR="008F5B23" w:rsidRDefault="008F5B23">
            <w:pPr>
              <w:spacing w:line="256" w:lineRule="auto"/>
              <w:rPr>
                <w:sz w:val="22"/>
                <w:szCs w:val="22"/>
              </w:rPr>
            </w:pPr>
            <w:r>
              <w:rPr>
                <w:sz w:val="22"/>
                <w:szCs w:val="22"/>
              </w:rPr>
              <w:t>Leg cramps*</w:t>
            </w:r>
          </w:p>
        </w:tc>
      </w:tr>
      <w:tr w:rsidR="008F5B23" w14:paraId="6C7DC81F"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6D47CDE" w14:textId="77777777" w:rsidR="008F5B23" w:rsidRDefault="008F5B23">
            <w:pPr>
              <w:spacing w:line="256" w:lineRule="auto"/>
              <w:rPr>
                <w:sz w:val="22"/>
                <w:szCs w:val="22"/>
                <w:lang w:val="en-US"/>
              </w:rPr>
            </w:pPr>
            <w:r>
              <w:rPr>
                <w:sz w:val="22"/>
                <w:szCs w:val="22"/>
                <w:lang w:val="en-US"/>
              </w:rPr>
              <w:t>Reproductive system and breast disorders</w:t>
            </w:r>
          </w:p>
        </w:tc>
        <w:tc>
          <w:tcPr>
            <w:tcW w:w="1876" w:type="dxa"/>
            <w:tcBorders>
              <w:top w:val="single" w:sz="4" w:space="0" w:color="auto"/>
              <w:left w:val="single" w:sz="4" w:space="0" w:color="auto"/>
              <w:bottom w:val="single" w:sz="4" w:space="0" w:color="auto"/>
              <w:right w:val="single" w:sz="4" w:space="0" w:color="auto"/>
            </w:tcBorders>
            <w:hideMark/>
          </w:tcPr>
          <w:p w14:paraId="10C73249" w14:textId="77777777" w:rsidR="008F5B23" w:rsidRDefault="008F5B23">
            <w:pPr>
              <w:spacing w:line="256" w:lineRule="auto"/>
              <w:rPr>
                <w:sz w:val="22"/>
                <w:szCs w:val="22"/>
                <w:lang w:val="de-DE"/>
              </w:rPr>
            </w:pPr>
            <w:r>
              <w:rPr>
                <w:sz w:val="22"/>
                <w:szCs w:val="22"/>
              </w:rPr>
              <w:t>Breast pain/tenderness</w:t>
            </w:r>
          </w:p>
        </w:tc>
        <w:tc>
          <w:tcPr>
            <w:tcW w:w="1876" w:type="dxa"/>
            <w:tcBorders>
              <w:top w:val="single" w:sz="4" w:space="0" w:color="auto"/>
              <w:left w:val="single" w:sz="4" w:space="0" w:color="auto"/>
              <w:bottom w:val="single" w:sz="4" w:space="0" w:color="auto"/>
              <w:right w:val="single" w:sz="4" w:space="0" w:color="auto"/>
            </w:tcBorders>
            <w:hideMark/>
          </w:tcPr>
          <w:p w14:paraId="44E0C1A2" w14:textId="77777777" w:rsidR="008F5B23" w:rsidRPr="0025203F" w:rsidRDefault="008F5B23">
            <w:pPr>
              <w:spacing w:line="256" w:lineRule="auto"/>
              <w:rPr>
                <w:sz w:val="22"/>
                <w:szCs w:val="22"/>
                <w:lang w:val="de-DE"/>
              </w:rPr>
            </w:pPr>
            <w:r w:rsidRPr="0025203F">
              <w:rPr>
                <w:sz w:val="22"/>
                <w:szCs w:val="22"/>
                <w:lang w:val="de-DE"/>
              </w:rPr>
              <w:t>Menstrual disorders (including postmenopausal spotting, metrorrhagia, menorrhagia, oligo-/amenorrhoea, irregular menstruation, dysmenorrhoea), pelvic pain, cervical discharge</w:t>
            </w:r>
          </w:p>
        </w:tc>
        <w:tc>
          <w:tcPr>
            <w:tcW w:w="1876" w:type="dxa"/>
            <w:tcBorders>
              <w:top w:val="single" w:sz="4" w:space="0" w:color="auto"/>
              <w:left w:val="single" w:sz="4" w:space="0" w:color="auto"/>
              <w:bottom w:val="single" w:sz="4" w:space="0" w:color="auto"/>
              <w:right w:val="single" w:sz="4" w:space="0" w:color="auto"/>
            </w:tcBorders>
            <w:hideMark/>
          </w:tcPr>
          <w:p w14:paraId="7D7136A5" w14:textId="77777777" w:rsidR="008F5B23" w:rsidRDefault="008F5B23">
            <w:pPr>
              <w:spacing w:line="256" w:lineRule="auto"/>
              <w:rPr>
                <w:sz w:val="22"/>
                <w:szCs w:val="22"/>
                <w:lang w:val="de-DE"/>
              </w:rPr>
            </w:pPr>
            <w:r>
              <w:rPr>
                <w:rFonts w:eastAsia="MS Mincho"/>
                <w:sz w:val="22"/>
                <w:szCs w:val="22"/>
              </w:rPr>
              <w:t>Breast enlargement, premenstrual syndrome</w:t>
            </w:r>
          </w:p>
        </w:tc>
        <w:tc>
          <w:tcPr>
            <w:tcW w:w="1876" w:type="dxa"/>
            <w:tcBorders>
              <w:top w:val="single" w:sz="4" w:space="0" w:color="auto"/>
              <w:left w:val="single" w:sz="4" w:space="0" w:color="auto"/>
              <w:bottom w:val="single" w:sz="4" w:space="0" w:color="auto"/>
              <w:right w:val="single" w:sz="4" w:space="0" w:color="auto"/>
            </w:tcBorders>
          </w:tcPr>
          <w:p w14:paraId="7B4A4D20" w14:textId="77777777" w:rsidR="008F5B23" w:rsidRDefault="008F5B23">
            <w:pPr>
              <w:spacing w:line="256" w:lineRule="auto"/>
              <w:rPr>
                <w:sz w:val="22"/>
                <w:szCs w:val="22"/>
              </w:rPr>
            </w:pPr>
          </w:p>
        </w:tc>
      </w:tr>
      <w:tr w:rsidR="008F5B23" w:rsidRPr="002B11A1" w14:paraId="1CC3A206"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0734513" w14:textId="77777777" w:rsidR="008F5B23" w:rsidRDefault="008F5B23">
            <w:pPr>
              <w:spacing w:line="256" w:lineRule="auto"/>
              <w:rPr>
                <w:sz w:val="22"/>
                <w:szCs w:val="22"/>
                <w:lang w:val="en-US"/>
              </w:rPr>
            </w:pPr>
            <w:r>
              <w:rPr>
                <w:sz w:val="22"/>
                <w:szCs w:val="22"/>
                <w:lang w:val="en-US"/>
              </w:rPr>
              <w:t>General disorders and administration site reactions</w:t>
            </w:r>
          </w:p>
        </w:tc>
        <w:tc>
          <w:tcPr>
            <w:tcW w:w="1876" w:type="dxa"/>
            <w:tcBorders>
              <w:top w:val="single" w:sz="4" w:space="0" w:color="auto"/>
              <w:left w:val="single" w:sz="4" w:space="0" w:color="auto"/>
              <w:bottom w:val="single" w:sz="4" w:space="0" w:color="auto"/>
              <w:right w:val="single" w:sz="4" w:space="0" w:color="auto"/>
            </w:tcBorders>
          </w:tcPr>
          <w:p w14:paraId="512DAE76"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608AC66C" w14:textId="77777777" w:rsidR="008F5B23" w:rsidRDefault="008F5B23">
            <w:pPr>
              <w:spacing w:line="256" w:lineRule="auto"/>
              <w:rPr>
                <w:sz w:val="22"/>
                <w:szCs w:val="22"/>
                <w:lang w:val="fr-FR"/>
              </w:rPr>
            </w:pPr>
            <w:r>
              <w:rPr>
                <w:sz w:val="22"/>
                <w:szCs w:val="22"/>
                <w:lang w:val="fr-FR"/>
              </w:rPr>
              <w:t>Asthenic conditions (asthenia, fatigue, malaise), peripheral oedema</w:t>
            </w:r>
          </w:p>
        </w:tc>
        <w:tc>
          <w:tcPr>
            <w:tcW w:w="1876" w:type="dxa"/>
            <w:tcBorders>
              <w:top w:val="single" w:sz="4" w:space="0" w:color="auto"/>
              <w:left w:val="single" w:sz="4" w:space="0" w:color="auto"/>
              <w:bottom w:val="single" w:sz="4" w:space="0" w:color="auto"/>
              <w:right w:val="single" w:sz="4" w:space="0" w:color="auto"/>
            </w:tcBorders>
          </w:tcPr>
          <w:p w14:paraId="46EB0A1B" w14:textId="77777777" w:rsidR="008F5B23" w:rsidRDefault="008F5B23">
            <w:pPr>
              <w:spacing w:line="256" w:lineRule="auto"/>
              <w:rPr>
                <w:sz w:val="22"/>
                <w:szCs w:val="22"/>
                <w:lang w:val="fr-FR"/>
              </w:rPr>
            </w:pPr>
          </w:p>
        </w:tc>
        <w:tc>
          <w:tcPr>
            <w:tcW w:w="1876" w:type="dxa"/>
            <w:tcBorders>
              <w:top w:val="single" w:sz="4" w:space="0" w:color="auto"/>
              <w:left w:val="single" w:sz="4" w:space="0" w:color="auto"/>
              <w:bottom w:val="single" w:sz="4" w:space="0" w:color="auto"/>
              <w:right w:val="single" w:sz="4" w:space="0" w:color="auto"/>
            </w:tcBorders>
          </w:tcPr>
          <w:p w14:paraId="41EF84BA" w14:textId="77777777" w:rsidR="008F5B23" w:rsidRDefault="008F5B23">
            <w:pPr>
              <w:spacing w:line="256" w:lineRule="auto"/>
              <w:rPr>
                <w:sz w:val="22"/>
                <w:szCs w:val="22"/>
                <w:lang w:val="fr-FR"/>
              </w:rPr>
            </w:pPr>
          </w:p>
        </w:tc>
      </w:tr>
      <w:tr w:rsidR="008F5B23" w14:paraId="270F3006"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82B7A7A" w14:textId="77777777" w:rsidR="008F5B23" w:rsidRDefault="008F5B23">
            <w:pPr>
              <w:spacing w:line="256" w:lineRule="auto"/>
              <w:rPr>
                <w:sz w:val="22"/>
                <w:szCs w:val="22"/>
                <w:lang w:val="de-DE"/>
              </w:rPr>
            </w:pPr>
            <w:r>
              <w:rPr>
                <w:sz w:val="22"/>
                <w:szCs w:val="22"/>
              </w:rPr>
              <w:t>Investigations</w:t>
            </w:r>
          </w:p>
        </w:tc>
        <w:tc>
          <w:tcPr>
            <w:tcW w:w="1876" w:type="dxa"/>
            <w:tcBorders>
              <w:top w:val="single" w:sz="4" w:space="0" w:color="auto"/>
              <w:left w:val="single" w:sz="4" w:space="0" w:color="auto"/>
              <w:bottom w:val="single" w:sz="4" w:space="0" w:color="auto"/>
              <w:right w:val="single" w:sz="4" w:space="0" w:color="auto"/>
            </w:tcBorders>
          </w:tcPr>
          <w:p w14:paraId="570659E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29B507D5" w14:textId="77777777" w:rsidR="008F5B23" w:rsidRDefault="008F5B23">
            <w:pPr>
              <w:spacing w:line="256" w:lineRule="auto"/>
              <w:rPr>
                <w:sz w:val="22"/>
                <w:szCs w:val="22"/>
              </w:rPr>
            </w:pPr>
            <w:r>
              <w:rPr>
                <w:sz w:val="22"/>
                <w:szCs w:val="22"/>
              </w:rPr>
              <w:t xml:space="preserve">Increased weight </w:t>
            </w:r>
          </w:p>
        </w:tc>
        <w:tc>
          <w:tcPr>
            <w:tcW w:w="1876" w:type="dxa"/>
            <w:tcBorders>
              <w:top w:val="single" w:sz="4" w:space="0" w:color="auto"/>
              <w:left w:val="single" w:sz="4" w:space="0" w:color="auto"/>
              <w:bottom w:val="single" w:sz="4" w:space="0" w:color="auto"/>
              <w:right w:val="single" w:sz="4" w:space="0" w:color="auto"/>
            </w:tcBorders>
            <w:hideMark/>
          </w:tcPr>
          <w:p w14:paraId="20FA4056" w14:textId="77777777" w:rsidR="008F5B23" w:rsidRDefault="008F5B23">
            <w:pPr>
              <w:spacing w:line="256" w:lineRule="auto"/>
              <w:rPr>
                <w:sz w:val="22"/>
                <w:szCs w:val="22"/>
                <w:highlight w:val="yellow"/>
              </w:rPr>
            </w:pPr>
            <w:r>
              <w:rPr>
                <w:sz w:val="22"/>
                <w:szCs w:val="22"/>
              </w:rPr>
              <w:t>Decreased weight</w:t>
            </w:r>
          </w:p>
        </w:tc>
        <w:tc>
          <w:tcPr>
            <w:tcW w:w="1876" w:type="dxa"/>
            <w:tcBorders>
              <w:top w:val="single" w:sz="4" w:space="0" w:color="auto"/>
              <w:left w:val="single" w:sz="4" w:space="0" w:color="auto"/>
              <w:bottom w:val="single" w:sz="4" w:space="0" w:color="auto"/>
              <w:right w:val="single" w:sz="4" w:space="0" w:color="auto"/>
            </w:tcBorders>
          </w:tcPr>
          <w:p w14:paraId="3B82E16F" w14:textId="77777777" w:rsidR="008F5B23" w:rsidRDefault="008F5B23">
            <w:pPr>
              <w:spacing w:line="256" w:lineRule="auto"/>
              <w:rPr>
                <w:sz w:val="22"/>
                <w:szCs w:val="22"/>
              </w:rPr>
            </w:pPr>
          </w:p>
        </w:tc>
      </w:tr>
    </w:tbl>
    <w:p w14:paraId="0CB221B6" w14:textId="77777777" w:rsidR="008F5B23" w:rsidRPr="00DD549C" w:rsidRDefault="008F5B23" w:rsidP="00DD549C">
      <w:pPr>
        <w:ind w:left="1134" w:hanging="283"/>
        <w:rPr>
          <w:b/>
          <w:sz w:val="24"/>
          <w:szCs w:val="24"/>
          <w:u w:val="single"/>
          <w:lang w:val="en-US" w:eastAsia="de-DE"/>
        </w:rPr>
      </w:pPr>
    </w:p>
    <w:p w14:paraId="28C3FA31" w14:textId="77777777" w:rsidR="008F5B23" w:rsidRPr="00DD549C" w:rsidRDefault="008F5B23" w:rsidP="00DD549C">
      <w:pPr>
        <w:ind w:left="1134" w:hanging="283"/>
        <w:rPr>
          <w:b/>
          <w:sz w:val="24"/>
          <w:szCs w:val="24"/>
          <w:u w:val="single"/>
          <w:lang w:val="de-DE"/>
        </w:rPr>
      </w:pPr>
      <w:r w:rsidRPr="00DD549C">
        <w:rPr>
          <w:b/>
          <w:sz w:val="24"/>
          <w:szCs w:val="24"/>
          <w:u w:val="single"/>
        </w:rPr>
        <w:t>Breast cancer risk</w:t>
      </w:r>
    </w:p>
    <w:p w14:paraId="0161F0B0" w14:textId="77777777" w:rsidR="008F5B23" w:rsidRPr="00DD549C" w:rsidRDefault="008F5B23" w:rsidP="00DD549C">
      <w:pPr>
        <w:numPr>
          <w:ilvl w:val="0"/>
          <w:numId w:val="11"/>
        </w:numPr>
        <w:ind w:left="1134" w:hanging="283"/>
        <w:rPr>
          <w:sz w:val="24"/>
          <w:szCs w:val="24"/>
          <w:lang w:val="en-US"/>
        </w:rPr>
      </w:pPr>
      <w:r w:rsidRPr="00DD549C">
        <w:rPr>
          <w:sz w:val="24"/>
          <w:szCs w:val="24"/>
          <w:lang w:val="en-US"/>
        </w:rPr>
        <w:t>An up to 2-fold increased risk of having breast cancer diagnosed is reported in women taking combined oestrogen-progestogen therapy for more than 5 years.</w:t>
      </w:r>
    </w:p>
    <w:p w14:paraId="255B3CF9" w14:textId="77777777" w:rsidR="008F5B23" w:rsidRPr="00DD549C" w:rsidRDefault="008F5B23" w:rsidP="00DD549C">
      <w:pPr>
        <w:numPr>
          <w:ilvl w:val="0"/>
          <w:numId w:val="11"/>
        </w:numPr>
        <w:ind w:left="1134" w:hanging="283"/>
        <w:rPr>
          <w:sz w:val="24"/>
          <w:szCs w:val="24"/>
          <w:lang w:val="en-US"/>
        </w:rPr>
      </w:pPr>
      <w:r w:rsidRPr="00DD549C">
        <w:rPr>
          <w:sz w:val="24"/>
          <w:szCs w:val="24"/>
          <w:lang w:val="en-US"/>
        </w:rPr>
        <w:lastRenderedPageBreak/>
        <w:t xml:space="preserve">The increased risk in users of oestrogen-only therapy is lower than that seen in users of oestrogen-progestogen combinations. </w:t>
      </w:r>
    </w:p>
    <w:p w14:paraId="383ED64E" w14:textId="77777777" w:rsidR="008F5B23" w:rsidRPr="00DD549C" w:rsidRDefault="008F5B23" w:rsidP="00DD549C">
      <w:pPr>
        <w:numPr>
          <w:ilvl w:val="0"/>
          <w:numId w:val="11"/>
        </w:numPr>
        <w:ind w:left="1134" w:hanging="283"/>
        <w:rPr>
          <w:sz w:val="24"/>
          <w:szCs w:val="24"/>
          <w:lang w:val="de-DE"/>
        </w:rPr>
      </w:pPr>
      <w:r w:rsidRPr="00DD549C">
        <w:rPr>
          <w:sz w:val="24"/>
          <w:szCs w:val="24"/>
          <w:lang w:val="en-US"/>
        </w:rPr>
        <w:t xml:space="preserve">The level of risk is dependent on the duration of use (see section 4.4). </w:t>
      </w:r>
    </w:p>
    <w:p w14:paraId="4C14A76B" w14:textId="4F915850" w:rsidR="00763DDA" w:rsidRPr="00EB6976" w:rsidRDefault="008F5B23" w:rsidP="00EB6976">
      <w:pPr>
        <w:numPr>
          <w:ilvl w:val="0"/>
          <w:numId w:val="11"/>
        </w:numPr>
        <w:ind w:left="1134" w:hanging="283"/>
        <w:rPr>
          <w:sz w:val="24"/>
          <w:szCs w:val="24"/>
          <w:lang w:val="en-US"/>
        </w:rPr>
      </w:pPr>
      <w:r w:rsidRPr="00DD549C">
        <w:rPr>
          <w:sz w:val="24"/>
          <w:szCs w:val="24"/>
          <w:lang w:val="en-GB"/>
        </w:rPr>
        <w:t>Absolute risk estimations based on</w:t>
      </w:r>
      <w:r w:rsidRPr="00DD549C">
        <w:rPr>
          <w:sz w:val="24"/>
          <w:szCs w:val="24"/>
          <w:lang w:val="en-US"/>
        </w:rPr>
        <w:t xml:space="preserve"> results of the largest randomised placebo-controlled trial (WHI-study) and the largest </w:t>
      </w:r>
      <w:r w:rsidRPr="00DD549C">
        <w:rPr>
          <w:sz w:val="24"/>
          <w:szCs w:val="24"/>
          <w:lang w:val="en-GB"/>
        </w:rPr>
        <w:t>meta-analysis of prospective</w:t>
      </w:r>
      <w:r w:rsidRPr="00DD549C">
        <w:rPr>
          <w:sz w:val="24"/>
          <w:szCs w:val="24"/>
          <w:lang w:val="en-US"/>
        </w:rPr>
        <w:t xml:space="preserve"> epidemiological studies are presented.</w:t>
      </w:r>
    </w:p>
    <w:p w14:paraId="6E1F4E89" w14:textId="77777777" w:rsidR="008F5B23" w:rsidRPr="00DD549C" w:rsidRDefault="008F5B23" w:rsidP="00DD549C">
      <w:pPr>
        <w:autoSpaceDE w:val="0"/>
        <w:autoSpaceDN w:val="0"/>
        <w:adjustRightInd w:val="0"/>
        <w:ind w:left="1134" w:hanging="283"/>
        <w:rPr>
          <w:rFonts w:eastAsia="SimSun"/>
          <w:b/>
          <w:bCs/>
          <w:sz w:val="24"/>
          <w:szCs w:val="24"/>
          <w:highlight w:val="yellow"/>
          <w:lang w:val="en-US" w:eastAsia="zh-CN" w:bidi="th-TH"/>
        </w:rPr>
      </w:pPr>
    </w:p>
    <w:p w14:paraId="4F6792A8" w14:textId="17882870" w:rsidR="008F5B23" w:rsidRPr="00DD549C" w:rsidRDefault="008F5B23" w:rsidP="00DD549C">
      <w:pPr>
        <w:rPr>
          <w:b/>
          <w:sz w:val="24"/>
          <w:szCs w:val="24"/>
          <w:lang w:val="en-US" w:eastAsia="de-DE"/>
        </w:rPr>
      </w:pPr>
      <w:r w:rsidRPr="00DD549C">
        <w:rPr>
          <w:b/>
          <w:bCs/>
          <w:sz w:val="24"/>
          <w:szCs w:val="24"/>
          <w:lang w:val="en-US"/>
        </w:rPr>
        <w:t>Largest meta-analysis of prospective epidemiological studies</w:t>
      </w:r>
      <w:r w:rsidRPr="00DD549C">
        <w:rPr>
          <w:b/>
          <w:sz w:val="24"/>
          <w:szCs w:val="24"/>
          <w:lang w:val="en-US"/>
        </w:rPr>
        <w:t xml:space="preserve"> – </w:t>
      </w:r>
      <w:r w:rsidRPr="00DD549C">
        <w:rPr>
          <w:b/>
          <w:sz w:val="24"/>
          <w:szCs w:val="24"/>
          <w:u w:val="single"/>
          <w:lang w:val="en-US"/>
        </w:rPr>
        <w:t>Estimated</w:t>
      </w:r>
      <w:r w:rsidRPr="00DD549C">
        <w:rPr>
          <w:b/>
          <w:sz w:val="24"/>
          <w:szCs w:val="24"/>
          <w:lang w:val="en-US"/>
        </w:rPr>
        <w:t xml:space="preserve"> additional risk of breast cancer after 5 years’ use</w:t>
      </w:r>
      <w:r w:rsidRPr="00DD549C">
        <w:rPr>
          <w:b/>
          <w:bCs/>
          <w:sz w:val="24"/>
          <w:szCs w:val="24"/>
          <w:lang w:val="en-US" w:bidi="th-TH"/>
        </w:rPr>
        <w:t xml:space="preserve"> in women with BMI 27 (kg/m</w:t>
      </w:r>
      <w:r w:rsidRPr="00DD549C">
        <w:rPr>
          <w:b/>
          <w:bCs/>
          <w:sz w:val="24"/>
          <w:szCs w:val="24"/>
          <w:vertAlign w:val="superscript"/>
          <w:lang w:val="en-US" w:bidi="th-TH"/>
        </w:rPr>
        <w:t>2</w:t>
      </w:r>
      <w:r w:rsidRPr="00DD549C">
        <w:rPr>
          <w:b/>
          <w:bCs/>
          <w:sz w:val="24"/>
          <w:szCs w:val="24"/>
          <w:lang w:val="en-US" w:bidi="th-TH"/>
        </w:rPr>
        <w:t>)</w:t>
      </w:r>
    </w:p>
    <w:tbl>
      <w:tblPr>
        <w:tblW w:w="9310" w:type="dxa"/>
        <w:tblLook w:val="04A0" w:firstRow="1" w:lastRow="0" w:firstColumn="1" w:lastColumn="0" w:noHBand="0" w:noVBand="1"/>
      </w:tblPr>
      <w:tblGrid>
        <w:gridCol w:w="952"/>
        <w:gridCol w:w="1715"/>
        <w:gridCol w:w="1528"/>
        <w:gridCol w:w="5115"/>
      </w:tblGrid>
      <w:tr w:rsidR="008F5B23" w:rsidRPr="002B11A1" w14:paraId="1E5D0E66" w14:textId="77777777" w:rsidTr="008F5B23">
        <w:trPr>
          <w:trHeight w:val="1273"/>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53720841" w14:textId="77777777" w:rsidR="008F5B23" w:rsidRDefault="008F5B23">
            <w:pPr>
              <w:spacing w:line="256" w:lineRule="auto"/>
              <w:rPr>
                <w:sz w:val="22"/>
                <w:szCs w:val="22"/>
                <w:lang w:val="en-US"/>
              </w:rPr>
            </w:pPr>
            <w:r>
              <w:rPr>
                <w:sz w:val="22"/>
                <w:szCs w:val="22"/>
                <w:lang w:val="en-US"/>
              </w:rPr>
              <w:t xml:space="preserve">Age at start HRT (years) </w:t>
            </w:r>
          </w:p>
        </w:tc>
        <w:tc>
          <w:tcPr>
            <w:tcW w:w="1715" w:type="dxa"/>
            <w:tcBorders>
              <w:top w:val="single" w:sz="6" w:space="0" w:color="000000"/>
              <w:left w:val="single" w:sz="6" w:space="0" w:color="000000"/>
              <w:bottom w:val="single" w:sz="6" w:space="0" w:color="000000"/>
              <w:right w:val="single" w:sz="6" w:space="0" w:color="000000"/>
            </w:tcBorders>
            <w:hideMark/>
          </w:tcPr>
          <w:p w14:paraId="58B37B8E" w14:textId="77777777" w:rsidR="008F5B23" w:rsidRDefault="008F5B23">
            <w:pPr>
              <w:spacing w:line="256" w:lineRule="auto"/>
              <w:rPr>
                <w:sz w:val="22"/>
                <w:szCs w:val="22"/>
                <w:lang w:val="en-US"/>
              </w:rPr>
            </w:pPr>
            <w:r>
              <w:rPr>
                <w:sz w:val="22"/>
                <w:szCs w:val="22"/>
                <w:lang w:val="en-US"/>
              </w:rPr>
              <w:t>Incidence per 1000 never-users of HRT over a 5 year period (50-54 vears)*</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7897DD89" w14:textId="77777777" w:rsidR="008F5B23" w:rsidRDefault="008F5B23">
            <w:pPr>
              <w:spacing w:line="256" w:lineRule="auto"/>
              <w:rPr>
                <w:sz w:val="22"/>
                <w:szCs w:val="22"/>
                <w:lang w:val="de-DE"/>
              </w:rPr>
            </w:pPr>
            <w:r>
              <w:rPr>
                <w:sz w:val="22"/>
                <w:szCs w:val="22"/>
              </w:rPr>
              <w:t xml:space="preserve">Risk ratio  </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751AC0A2" w14:textId="77777777" w:rsidR="008F5B23" w:rsidRDefault="008F5B23">
            <w:pPr>
              <w:spacing w:line="256" w:lineRule="auto"/>
              <w:rPr>
                <w:sz w:val="22"/>
                <w:szCs w:val="22"/>
                <w:lang w:val="en-US"/>
              </w:rPr>
            </w:pPr>
            <w:r>
              <w:rPr>
                <w:sz w:val="22"/>
                <w:szCs w:val="22"/>
                <w:lang w:val="en-US"/>
              </w:rPr>
              <w:t xml:space="preserve">Additional cases per 1000 HRT users after 5 years </w:t>
            </w:r>
          </w:p>
        </w:tc>
      </w:tr>
      <w:tr w:rsidR="008F5B23" w14:paraId="45886CA3" w14:textId="77777777" w:rsidTr="008F5B23">
        <w:trPr>
          <w:trHeight w:val="265"/>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72FE2928" w14:textId="77777777" w:rsidR="008F5B23" w:rsidRDefault="008F5B23">
            <w:pPr>
              <w:spacing w:line="256" w:lineRule="auto"/>
              <w:rPr>
                <w:sz w:val="22"/>
                <w:szCs w:val="22"/>
                <w:lang w:val="en-US"/>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7DD606" w14:textId="77777777" w:rsidR="008F5B23" w:rsidRDefault="008F5B23">
            <w:pPr>
              <w:spacing w:line="256" w:lineRule="auto"/>
              <w:rPr>
                <w:b/>
                <w:sz w:val="22"/>
                <w:szCs w:val="22"/>
                <w:lang w:val="de-DE"/>
              </w:rPr>
            </w:pPr>
            <w:r>
              <w:rPr>
                <w:b/>
                <w:sz w:val="22"/>
                <w:szCs w:val="22"/>
              </w:rPr>
              <w:t xml:space="preserve">Oestrogen only HRT </w:t>
            </w:r>
          </w:p>
        </w:tc>
      </w:tr>
      <w:tr w:rsidR="008F5B23" w14:paraId="48FDA96A" w14:textId="77777777" w:rsidTr="008F5B23">
        <w:trPr>
          <w:trHeight w:val="265"/>
        </w:trPr>
        <w:tc>
          <w:tcPr>
            <w:tcW w:w="952" w:type="dxa"/>
            <w:tcBorders>
              <w:top w:val="single" w:sz="6" w:space="0" w:color="000000"/>
              <w:left w:val="single" w:sz="6" w:space="0" w:color="000000"/>
              <w:bottom w:val="single" w:sz="6" w:space="0" w:color="000000"/>
              <w:right w:val="single" w:sz="6" w:space="0" w:color="000000"/>
            </w:tcBorders>
            <w:hideMark/>
          </w:tcPr>
          <w:p w14:paraId="1DBC757F" w14:textId="77777777" w:rsidR="008F5B23" w:rsidRDefault="008F5B23">
            <w:pPr>
              <w:spacing w:line="256" w:lineRule="auto"/>
              <w:rPr>
                <w:sz w:val="22"/>
                <w:szCs w:val="22"/>
              </w:rPr>
            </w:pPr>
            <w:r>
              <w:rPr>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hideMark/>
          </w:tcPr>
          <w:p w14:paraId="61F4392A" w14:textId="77777777" w:rsidR="008F5B23" w:rsidRDefault="008F5B23">
            <w:pPr>
              <w:spacing w:line="256" w:lineRule="auto"/>
              <w:rPr>
                <w:sz w:val="22"/>
                <w:szCs w:val="22"/>
              </w:rPr>
            </w:pPr>
            <w:r>
              <w:rPr>
                <w:sz w:val="22"/>
                <w:szCs w:val="22"/>
              </w:rPr>
              <w:t>13.3</w:t>
            </w:r>
          </w:p>
        </w:tc>
        <w:tc>
          <w:tcPr>
            <w:tcW w:w="1528" w:type="dxa"/>
            <w:tcBorders>
              <w:top w:val="single" w:sz="6" w:space="0" w:color="000000"/>
              <w:left w:val="single" w:sz="6" w:space="0" w:color="000000"/>
              <w:bottom w:val="single" w:sz="6" w:space="0" w:color="000000"/>
              <w:right w:val="single" w:sz="6" w:space="0" w:color="000000"/>
            </w:tcBorders>
            <w:hideMark/>
          </w:tcPr>
          <w:p w14:paraId="7141EAA7" w14:textId="77777777" w:rsidR="008F5B23" w:rsidRDefault="008F5B23">
            <w:pPr>
              <w:spacing w:line="256" w:lineRule="auto"/>
              <w:rPr>
                <w:sz w:val="22"/>
                <w:szCs w:val="22"/>
              </w:rPr>
            </w:pPr>
            <w:r>
              <w:rPr>
                <w:sz w:val="22"/>
                <w:szCs w:val="22"/>
              </w:rPr>
              <w:t xml:space="preserve">1.2 </w:t>
            </w:r>
          </w:p>
        </w:tc>
        <w:tc>
          <w:tcPr>
            <w:tcW w:w="5115" w:type="dxa"/>
            <w:tcBorders>
              <w:top w:val="single" w:sz="6" w:space="0" w:color="000000"/>
              <w:left w:val="single" w:sz="6" w:space="0" w:color="000000"/>
              <w:bottom w:val="single" w:sz="6" w:space="0" w:color="000000"/>
              <w:right w:val="single" w:sz="6" w:space="0" w:color="000000"/>
            </w:tcBorders>
            <w:hideMark/>
          </w:tcPr>
          <w:p w14:paraId="08D4062D" w14:textId="77777777" w:rsidR="008F5B23" w:rsidRDefault="008F5B23">
            <w:pPr>
              <w:spacing w:line="256" w:lineRule="auto"/>
              <w:rPr>
                <w:sz w:val="22"/>
                <w:szCs w:val="22"/>
              </w:rPr>
            </w:pPr>
            <w:r>
              <w:rPr>
                <w:sz w:val="22"/>
                <w:szCs w:val="22"/>
              </w:rPr>
              <w:t xml:space="preserve">2.7 </w:t>
            </w:r>
          </w:p>
        </w:tc>
      </w:tr>
      <w:tr w:rsidR="008F5B23" w14:paraId="2D0F4CAD" w14:textId="77777777" w:rsidTr="008F5B23">
        <w:trPr>
          <w:trHeight w:val="263"/>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465922C5" w14:textId="77777777" w:rsidR="008F5B23" w:rsidRDefault="008F5B23">
            <w:pPr>
              <w:spacing w:line="256" w:lineRule="auto"/>
              <w:rPr>
                <w:sz w:val="22"/>
                <w:szCs w:val="22"/>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97C28B" w14:textId="77777777" w:rsidR="008F5B23" w:rsidRDefault="008F5B23">
            <w:pPr>
              <w:spacing w:line="256" w:lineRule="auto"/>
              <w:rPr>
                <w:b/>
                <w:sz w:val="22"/>
                <w:szCs w:val="22"/>
              </w:rPr>
            </w:pPr>
            <w:r>
              <w:rPr>
                <w:b/>
                <w:sz w:val="22"/>
                <w:szCs w:val="22"/>
              </w:rPr>
              <w:t xml:space="preserve">Combined oestrogen-progestogen </w:t>
            </w:r>
          </w:p>
        </w:tc>
      </w:tr>
      <w:tr w:rsidR="008F5B23" w14:paraId="2034363F" w14:textId="77777777" w:rsidTr="008F5B23">
        <w:trPr>
          <w:trHeight w:val="295"/>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3EFD5E31" w14:textId="77777777" w:rsidR="008F5B23" w:rsidRDefault="008F5B23">
            <w:pPr>
              <w:spacing w:line="256" w:lineRule="auto"/>
              <w:rPr>
                <w:sz w:val="22"/>
                <w:szCs w:val="22"/>
              </w:rPr>
            </w:pPr>
            <w:r>
              <w:rPr>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vAlign w:val="center"/>
            <w:hideMark/>
          </w:tcPr>
          <w:p w14:paraId="1913535F" w14:textId="77777777" w:rsidR="008F5B23" w:rsidRDefault="008F5B23">
            <w:pPr>
              <w:spacing w:line="256" w:lineRule="auto"/>
              <w:rPr>
                <w:sz w:val="22"/>
                <w:szCs w:val="22"/>
              </w:rPr>
            </w:pPr>
            <w:r>
              <w:rPr>
                <w:sz w:val="22"/>
                <w:szCs w:val="22"/>
              </w:rPr>
              <w:t xml:space="preserve">13.3 </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157227A0" w14:textId="77777777" w:rsidR="008F5B23" w:rsidRDefault="008F5B23">
            <w:pPr>
              <w:spacing w:line="256" w:lineRule="auto"/>
              <w:rPr>
                <w:sz w:val="22"/>
                <w:szCs w:val="22"/>
              </w:rPr>
            </w:pPr>
            <w:r>
              <w:rPr>
                <w:sz w:val="22"/>
                <w:szCs w:val="22"/>
              </w:rPr>
              <w:t>1. 6</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5766DCDF" w14:textId="77777777" w:rsidR="008F5B23" w:rsidRDefault="008F5B23">
            <w:pPr>
              <w:spacing w:line="256" w:lineRule="auto"/>
              <w:rPr>
                <w:sz w:val="22"/>
                <w:szCs w:val="22"/>
              </w:rPr>
            </w:pPr>
            <w:r>
              <w:rPr>
                <w:sz w:val="22"/>
                <w:szCs w:val="22"/>
              </w:rPr>
              <w:t xml:space="preserve">8.0 </w:t>
            </w:r>
          </w:p>
        </w:tc>
      </w:tr>
      <w:tr w:rsidR="008F5B23" w:rsidRPr="002B11A1" w14:paraId="6C7C1816" w14:textId="77777777" w:rsidTr="008F5B23">
        <w:trPr>
          <w:trHeight w:val="816"/>
        </w:trPr>
        <w:tc>
          <w:tcPr>
            <w:tcW w:w="9310" w:type="dxa"/>
            <w:gridSpan w:val="4"/>
            <w:tcBorders>
              <w:top w:val="single" w:sz="6" w:space="0" w:color="000000"/>
              <w:left w:val="single" w:sz="6" w:space="0" w:color="000000"/>
              <w:bottom w:val="single" w:sz="6" w:space="0" w:color="000000"/>
              <w:right w:val="single" w:sz="6" w:space="0" w:color="000000"/>
            </w:tcBorders>
          </w:tcPr>
          <w:p w14:paraId="0E11E38F" w14:textId="77777777" w:rsidR="008F5B23" w:rsidRDefault="008F5B23">
            <w:pPr>
              <w:pStyle w:val="Default"/>
              <w:spacing w:line="256" w:lineRule="auto"/>
              <w:rPr>
                <w:color w:val="auto"/>
                <w:sz w:val="22"/>
                <w:szCs w:val="22"/>
                <w:lang w:eastAsia="de-DE"/>
              </w:rPr>
            </w:pPr>
            <w:r>
              <w:rPr>
                <w:color w:val="auto"/>
                <w:sz w:val="22"/>
                <w:szCs w:val="22"/>
                <w:lang w:eastAsia="de-DE"/>
              </w:rPr>
              <w:t>*Taken from baseline incidence rates in England in 2015 in women with BMI 27 (kg/m</w:t>
            </w:r>
            <w:r>
              <w:rPr>
                <w:color w:val="auto"/>
                <w:sz w:val="22"/>
                <w:szCs w:val="22"/>
                <w:vertAlign w:val="superscript"/>
                <w:lang w:eastAsia="de-DE"/>
              </w:rPr>
              <w:t>2</w:t>
            </w:r>
            <w:r>
              <w:rPr>
                <w:color w:val="auto"/>
                <w:sz w:val="22"/>
                <w:szCs w:val="22"/>
                <w:lang w:eastAsia="de-DE"/>
              </w:rPr>
              <w:t>)</w:t>
            </w:r>
          </w:p>
          <w:p w14:paraId="5F53A22A" w14:textId="77777777" w:rsidR="008F5B23" w:rsidRDefault="008F5B23">
            <w:pPr>
              <w:pStyle w:val="Default"/>
              <w:spacing w:line="256" w:lineRule="auto"/>
              <w:rPr>
                <w:rFonts w:ascii="Times New Roman" w:eastAsia="Times New Roman" w:hAnsi="Times New Roman" w:cs="Times New Roman"/>
                <w:color w:val="auto"/>
                <w:sz w:val="22"/>
                <w:szCs w:val="22"/>
                <w:lang w:val="en-GB" w:eastAsia="en-US" w:bidi="ar-SA"/>
              </w:rPr>
            </w:pPr>
          </w:p>
          <w:p w14:paraId="26810E76" w14:textId="77777777" w:rsidR="008F5B23" w:rsidRDefault="008F5B23">
            <w:pPr>
              <w:pStyle w:val="Default"/>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Note: Since the background incidence of breast cancer differs by EU country, the number of additional cases of breast cancer will also change proportionately. </w:t>
            </w:r>
          </w:p>
          <w:p w14:paraId="4014793E" w14:textId="77777777" w:rsidR="008F5B23" w:rsidRDefault="008F5B23">
            <w:pPr>
              <w:pStyle w:val="Default"/>
              <w:spacing w:line="256" w:lineRule="auto"/>
              <w:rPr>
                <w:rFonts w:ascii="Times New Roman" w:eastAsia="Times New Roman" w:hAnsi="Times New Roman" w:cs="Times New Roman"/>
                <w:color w:val="auto"/>
                <w:sz w:val="22"/>
                <w:szCs w:val="22"/>
                <w:lang w:val="en-GB" w:eastAsia="en-US" w:bidi="ar-SA"/>
              </w:rPr>
            </w:pPr>
          </w:p>
        </w:tc>
      </w:tr>
    </w:tbl>
    <w:p w14:paraId="6FB4F8A7" w14:textId="77777777" w:rsidR="008F5B23" w:rsidRPr="00B45530" w:rsidRDefault="008F5B23" w:rsidP="008F5B23">
      <w:pPr>
        <w:autoSpaceDE w:val="0"/>
        <w:autoSpaceDN w:val="0"/>
        <w:adjustRightInd w:val="0"/>
        <w:rPr>
          <w:sz w:val="24"/>
          <w:szCs w:val="24"/>
          <w:lang w:val="en-GB" w:eastAsia="en-US"/>
        </w:rPr>
      </w:pPr>
    </w:p>
    <w:p w14:paraId="0CB417D5" w14:textId="77777777" w:rsidR="008F5B23" w:rsidRPr="00B45530" w:rsidRDefault="008F5B23" w:rsidP="008F5B23">
      <w:pPr>
        <w:autoSpaceDE w:val="0"/>
        <w:autoSpaceDN w:val="0"/>
        <w:adjustRightInd w:val="0"/>
        <w:rPr>
          <w:sz w:val="24"/>
          <w:szCs w:val="24"/>
          <w:lang w:val="en-GB" w:eastAsia="en-US"/>
        </w:rPr>
      </w:pPr>
    </w:p>
    <w:p w14:paraId="7402EEEA" w14:textId="77777777" w:rsidR="008F5B23" w:rsidRPr="00B45530" w:rsidRDefault="008F5B23" w:rsidP="008F5B23">
      <w:pPr>
        <w:autoSpaceDE w:val="0"/>
        <w:autoSpaceDN w:val="0"/>
        <w:adjustRightInd w:val="0"/>
        <w:rPr>
          <w:b/>
          <w:bCs/>
          <w:sz w:val="24"/>
          <w:szCs w:val="24"/>
          <w:lang w:val="en-US" w:eastAsia="de-DE"/>
        </w:rPr>
      </w:pPr>
      <w:r w:rsidRPr="00B45530">
        <w:rPr>
          <w:b/>
          <w:bCs/>
          <w:sz w:val="24"/>
          <w:szCs w:val="24"/>
          <w:lang w:val="en-US"/>
        </w:rPr>
        <w:t>Estimated additional risk of breast cancer after 10 years' use in women with BMI 27</w:t>
      </w:r>
    </w:p>
    <w:p w14:paraId="2F946B1D" w14:textId="77777777" w:rsidR="008F5B23" w:rsidRPr="00B45530" w:rsidRDefault="008F5B23" w:rsidP="008F5B23">
      <w:pPr>
        <w:rPr>
          <w:b/>
          <w:bCs/>
          <w:sz w:val="24"/>
          <w:szCs w:val="24"/>
          <w:lang w:val="de-DE"/>
        </w:rPr>
      </w:pPr>
      <w:r w:rsidRPr="00B45530">
        <w:rPr>
          <w:b/>
          <w:bCs/>
          <w:sz w:val="24"/>
          <w:szCs w:val="24"/>
        </w:rPr>
        <w:t>(kg/m</w:t>
      </w:r>
      <w:r w:rsidRPr="00B45530">
        <w:rPr>
          <w:b/>
          <w:bCs/>
          <w:sz w:val="24"/>
          <w:szCs w:val="24"/>
          <w:vertAlign w:val="superscript"/>
        </w:rPr>
        <w:t>2</w:t>
      </w:r>
      <w:r w:rsidRPr="00B45530">
        <w:rPr>
          <w:b/>
          <w:bCs/>
          <w:sz w:val="24"/>
          <w:szCs w:val="24"/>
        </w:rPr>
        <w:t>)</w:t>
      </w:r>
    </w:p>
    <w:p w14:paraId="6BDE04C9" w14:textId="77777777" w:rsidR="008F5B23" w:rsidRPr="00B45530" w:rsidRDefault="008F5B23" w:rsidP="008F5B23">
      <w:pPr>
        <w:rPr>
          <w:b/>
          <w:bCs/>
          <w:sz w:val="24"/>
          <w:szCs w:val="24"/>
        </w:rPr>
      </w:pPr>
    </w:p>
    <w:tbl>
      <w:tblPr>
        <w:tblW w:w="9310" w:type="dxa"/>
        <w:tblLook w:val="04A0" w:firstRow="1" w:lastRow="0" w:firstColumn="1" w:lastColumn="0" w:noHBand="0" w:noVBand="1"/>
      </w:tblPr>
      <w:tblGrid>
        <w:gridCol w:w="952"/>
        <w:gridCol w:w="1715"/>
        <w:gridCol w:w="1528"/>
        <w:gridCol w:w="5115"/>
      </w:tblGrid>
      <w:tr w:rsidR="008F5B23" w:rsidRPr="002B11A1" w14:paraId="017702C0" w14:textId="77777777" w:rsidTr="008F5B23">
        <w:trPr>
          <w:trHeight w:val="1273"/>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3F6A7746" w14:textId="77777777" w:rsidR="008F5B23" w:rsidRDefault="008F5B23">
            <w:pPr>
              <w:pStyle w:val="Default"/>
              <w:spacing w:line="256" w:lineRule="auto"/>
              <w:rPr>
                <w:color w:val="auto"/>
                <w:sz w:val="22"/>
                <w:szCs w:val="22"/>
              </w:rPr>
            </w:pPr>
            <w:r>
              <w:rPr>
                <w:color w:val="auto"/>
                <w:sz w:val="22"/>
                <w:szCs w:val="22"/>
              </w:rPr>
              <w:t xml:space="preserve">Age at start HRT (years) </w:t>
            </w:r>
          </w:p>
        </w:tc>
        <w:tc>
          <w:tcPr>
            <w:tcW w:w="1715" w:type="dxa"/>
            <w:tcBorders>
              <w:top w:val="single" w:sz="6" w:space="0" w:color="000000"/>
              <w:left w:val="single" w:sz="6" w:space="0" w:color="000000"/>
              <w:bottom w:val="single" w:sz="6" w:space="0" w:color="000000"/>
              <w:right w:val="single" w:sz="6" w:space="0" w:color="000000"/>
            </w:tcBorders>
            <w:hideMark/>
          </w:tcPr>
          <w:p w14:paraId="726E93C4" w14:textId="77777777" w:rsidR="008F5B23" w:rsidRDefault="008F5B23">
            <w:pPr>
              <w:pStyle w:val="Default"/>
              <w:spacing w:line="256" w:lineRule="auto"/>
              <w:rPr>
                <w:color w:val="auto"/>
                <w:sz w:val="22"/>
                <w:szCs w:val="22"/>
              </w:rPr>
            </w:pPr>
            <w:r>
              <w:rPr>
                <w:color w:val="auto"/>
                <w:sz w:val="22"/>
                <w:szCs w:val="22"/>
              </w:rPr>
              <w:t>Incidence per 1000 never-users of HRT over a 10 year period (50-59 years)</w:t>
            </w:r>
            <w:r>
              <w:rPr>
                <w:rFonts w:ascii="*Verdana-Bold-6458-Identity-H" w:hAnsi="*Verdana-Bold-6458-Identity-H" w:cs="*Verdana-Bold-6458-Identity-H"/>
                <w:b/>
                <w:bCs/>
                <w:color w:val="auto"/>
                <w:sz w:val="18"/>
                <w:szCs w:val="18"/>
                <w:lang w:eastAsia="de-DE"/>
              </w:rPr>
              <w:t>*</w:t>
            </w:r>
            <w:r>
              <w:rPr>
                <w:color w:val="auto"/>
                <w:sz w:val="22"/>
                <w:szCs w:val="22"/>
              </w:rPr>
              <w:t xml:space="preserve"> </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1727B028" w14:textId="77777777" w:rsidR="008F5B23" w:rsidRDefault="008F5B23">
            <w:pPr>
              <w:pStyle w:val="Default"/>
              <w:spacing w:line="256" w:lineRule="auto"/>
              <w:rPr>
                <w:color w:val="auto"/>
                <w:sz w:val="22"/>
                <w:szCs w:val="22"/>
              </w:rPr>
            </w:pPr>
            <w:r>
              <w:rPr>
                <w:color w:val="auto"/>
                <w:sz w:val="22"/>
                <w:szCs w:val="22"/>
              </w:rPr>
              <w:t xml:space="preserve">Risk ratio </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689D9C03" w14:textId="77777777" w:rsidR="008F5B23" w:rsidRDefault="008F5B23">
            <w:pPr>
              <w:pStyle w:val="Default"/>
              <w:spacing w:line="256" w:lineRule="auto"/>
              <w:rPr>
                <w:color w:val="auto"/>
                <w:sz w:val="22"/>
                <w:szCs w:val="22"/>
              </w:rPr>
            </w:pPr>
            <w:r>
              <w:rPr>
                <w:color w:val="auto"/>
                <w:sz w:val="22"/>
                <w:szCs w:val="22"/>
              </w:rPr>
              <w:t>Additional cases per 1000 HRT users after 10 years</w:t>
            </w:r>
          </w:p>
        </w:tc>
      </w:tr>
      <w:tr w:rsidR="008F5B23" w14:paraId="54311E46" w14:textId="77777777" w:rsidTr="008F5B23">
        <w:trPr>
          <w:trHeight w:val="265"/>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4DB12331" w14:textId="77777777" w:rsidR="008F5B23" w:rsidRDefault="008F5B23">
            <w:pPr>
              <w:pStyle w:val="Default"/>
              <w:spacing w:line="256" w:lineRule="auto"/>
              <w:rPr>
                <w:color w:val="auto"/>
                <w:sz w:val="22"/>
                <w:szCs w:val="22"/>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9FE56C" w14:textId="77777777" w:rsidR="008F5B23" w:rsidRDefault="008F5B23">
            <w:pPr>
              <w:pStyle w:val="Default"/>
              <w:spacing w:line="256" w:lineRule="auto"/>
              <w:rPr>
                <w:color w:val="auto"/>
                <w:sz w:val="22"/>
                <w:szCs w:val="22"/>
              </w:rPr>
            </w:pPr>
            <w:r>
              <w:rPr>
                <w:b/>
                <w:bCs/>
                <w:color w:val="auto"/>
                <w:sz w:val="22"/>
                <w:szCs w:val="22"/>
              </w:rPr>
              <w:t xml:space="preserve">Oestrogen only HRT </w:t>
            </w:r>
          </w:p>
        </w:tc>
      </w:tr>
      <w:tr w:rsidR="008F5B23" w14:paraId="31D88A16" w14:textId="77777777" w:rsidTr="008F5B23">
        <w:trPr>
          <w:trHeight w:val="265"/>
        </w:trPr>
        <w:tc>
          <w:tcPr>
            <w:tcW w:w="952" w:type="dxa"/>
            <w:tcBorders>
              <w:top w:val="single" w:sz="6" w:space="0" w:color="000000"/>
              <w:left w:val="single" w:sz="6" w:space="0" w:color="000000"/>
              <w:bottom w:val="single" w:sz="6" w:space="0" w:color="000000"/>
              <w:right w:val="single" w:sz="6" w:space="0" w:color="000000"/>
            </w:tcBorders>
            <w:hideMark/>
          </w:tcPr>
          <w:p w14:paraId="7B634C8D" w14:textId="77777777" w:rsidR="008F5B23" w:rsidRDefault="008F5B23">
            <w:pPr>
              <w:pStyle w:val="Default"/>
              <w:spacing w:line="256" w:lineRule="auto"/>
              <w:rPr>
                <w:color w:val="auto"/>
                <w:sz w:val="22"/>
                <w:szCs w:val="22"/>
              </w:rPr>
            </w:pPr>
            <w:r>
              <w:rPr>
                <w:color w:val="auto"/>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hideMark/>
          </w:tcPr>
          <w:p w14:paraId="2B7CB75B" w14:textId="77777777" w:rsidR="008F5B23" w:rsidRDefault="008F5B23">
            <w:pPr>
              <w:pStyle w:val="Default"/>
              <w:spacing w:line="256" w:lineRule="auto"/>
              <w:rPr>
                <w:color w:val="auto"/>
                <w:sz w:val="22"/>
                <w:szCs w:val="22"/>
              </w:rPr>
            </w:pPr>
            <w:r>
              <w:rPr>
                <w:color w:val="auto"/>
                <w:sz w:val="22"/>
                <w:szCs w:val="22"/>
              </w:rPr>
              <w:t xml:space="preserve">26.6 </w:t>
            </w:r>
          </w:p>
        </w:tc>
        <w:tc>
          <w:tcPr>
            <w:tcW w:w="1528" w:type="dxa"/>
            <w:tcBorders>
              <w:top w:val="single" w:sz="6" w:space="0" w:color="000000"/>
              <w:left w:val="single" w:sz="6" w:space="0" w:color="000000"/>
              <w:bottom w:val="single" w:sz="6" w:space="0" w:color="000000"/>
              <w:right w:val="single" w:sz="6" w:space="0" w:color="000000"/>
            </w:tcBorders>
            <w:hideMark/>
          </w:tcPr>
          <w:p w14:paraId="6A92FAE4" w14:textId="77777777" w:rsidR="008F5B23" w:rsidRDefault="008F5B23">
            <w:pPr>
              <w:pStyle w:val="Default"/>
              <w:spacing w:line="256" w:lineRule="auto"/>
              <w:rPr>
                <w:color w:val="auto"/>
                <w:sz w:val="22"/>
                <w:szCs w:val="22"/>
              </w:rPr>
            </w:pPr>
            <w:r>
              <w:rPr>
                <w:color w:val="auto"/>
                <w:sz w:val="22"/>
                <w:szCs w:val="22"/>
              </w:rPr>
              <w:t>1.3</w:t>
            </w:r>
          </w:p>
        </w:tc>
        <w:tc>
          <w:tcPr>
            <w:tcW w:w="5115" w:type="dxa"/>
            <w:tcBorders>
              <w:top w:val="single" w:sz="6" w:space="0" w:color="000000"/>
              <w:left w:val="single" w:sz="6" w:space="0" w:color="000000"/>
              <w:bottom w:val="single" w:sz="6" w:space="0" w:color="000000"/>
              <w:right w:val="single" w:sz="6" w:space="0" w:color="000000"/>
            </w:tcBorders>
            <w:hideMark/>
          </w:tcPr>
          <w:p w14:paraId="23AFFF0E" w14:textId="77777777" w:rsidR="008F5B23" w:rsidRDefault="008F5B23">
            <w:pPr>
              <w:pStyle w:val="Default"/>
              <w:spacing w:line="256" w:lineRule="auto"/>
              <w:rPr>
                <w:color w:val="auto"/>
                <w:sz w:val="22"/>
                <w:szCs w:val="22"/>
              </w:rPr>
            </w:pPr>
            <w:r>
              <w:rPr>
                <w:color w:val="auto"/>
                <w:sz w:val="22"/>
                <w:szCs w:val="22"/>
              </w:rPr>
              <w:t>7.1</w:t>
            </w:r>
          </w:p>
        </w:tc>
      </w:tr>
      <w:tr w:rsidR="008F5B23" w14:paraId="29C6D132" w14:textId="77777777" w:rsidTr="008F5B23">
        <w:trPr>
          <w:trHeight w:val="263"/>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5B364B34" w14:textId="77777777" w:rsidR="008F5B23" w:rsidRDefault="008F5B23">
            <w:pPr>
              <w:pStyle w:val="Default"/>
              <w:spacing w:line="256" w:lineRule="auto"/>
              <w:jc w:val="right"/>
              <w:rPr>
                <w:color w:val="auto"/>
                <w:sz w:val="22"/>
                <w:szCs w:val="22"/>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EFE23B" w14:textId="77777777" w:rsidR="008F5B23" w:rsidRDefault="008F5B23">
            <w:pPr>
              <w:pStyle w:val="Default"/>
              <w:spacing w:line="256" w:lineRule="auto"/>
              <w:rPr>
                <w:color w:val="auto"/>
                <w:sz w:val="22"/>
                <w:szCs w:val="22"/>
              </w:rPr>
            </w:pPr>
            <w:r>
              <w:rPr>
                <w:b/>
                <w:bCs/>
                <w:color w:val="auto"/>
                <w:sz w:val="22"/>
                <w:szCs w:val="22"/>
              </w:rPr>
              <w:t xml:space="preserve">Combined oestrogen-progestogen </w:t>
            </w:r>
          </w:p>
        </w:tc>
      </w:tr>
      <w:tr w:rsidR="008F5B23" w14:paraId="4ED3124A" w14:textId="77777777" w:rsidTr="008F5B23">
        <w:trPr>
          <w:trHeight w:val="295"/>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4B5423E2" w14:textId="77777777" w:rsidR="008F5B23" w:rsidRDefault="008F5B23">
            <w:pPr>
              <w:pStyle w:val="Default"/>
              <w:spacing w:line="256" w:lineRule="auto"/>
              <w:rPr>
                <w:color w:val="auto"/>
                <w:sz w:val="22"/>
                <w:szCs w:val="22"/>
              </w:rPr>
            </w:pPr>
            <w:r>
              <w:rPr>
                <w:color w:val="auto"/>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vAlign w:val="center"/>
            <w:hideMark/>
          </w:tcPr>
          <w:p w14:paraId="75F18232" w14:textId="77777777" w:rsidR="008F5B23" w:rsidRDefault="008F5B23">
            <w:pPr>
              <w:pStyle w:val="Default"/>
              <w:spacing w:line="256" w:lineRule="auto"/>
              <w:rPr>
                <w:color w:val="auto"/>
                <w:sz w:val="22"/>
                <w:szCs w:val="22"/>
              </w:rPr>
            </w:pPr>
            <w:r>
              <w:rPr>
                <w:color w:val="auto"/>
                <w:sz w:val="22"/>
                <w:szCs w:val="22"/>
              </w:rPr>
              <w:t>26.6</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4D1CA3FC" w14:textId="77777777" w:rsidR="008F5B23" w:rsidRDefault="008F5B23">
            <w:pPr>
              <w:pStyle w:val="Default"/>
              <w:spacing w:line="256" w:lineRule="auto"/>
              <w:rPr>
                <w:color w:val="auto"/>
                <w:sz w:val="22"/>
                <w:szCs w:val="22"/>
              </w:rPr>
            </w:pPr>
            <w:r>
              <w:rPr>
                <w:color w:val="auto"/>
                <w:sz w:val="22"/>
                <w:szCs w:val="22"/>
              </w:rPr>
              <w:t>1.8</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5ECBE312" w14:textId="77777777" w:rsidR="008F5B23" w:rsidRDefault="008F5B23">
            <w:pPr>
              <w:pStyle w:val="Default"/>
              <w:spacing w:line="256" w:lineRule="auto"/>
              <w:rPr>
                <w:color w:val="auto"/>
                <w:sz w:val="22"/>
                <w:szCs w:val="22"/>
              </w:rPr>
            </w:pPr>
            <w:r>
              <w:rPr>
                <w:color w:val="auto"/>
                <w:sz w:val="22"/>
                <w:szCs w:val="22"/>
              </w:rPr>
              <w:t>20.8</w:t>
            </w:r>
          </w:p>
        </w:tc>
      </w:tr>
      <w:tr w:rsidR="008F5B23" w:rsidRPr="002B11A1" w14:paraId="20356CD9" w14:textId="77777777" w:rsidTr="008F5B23">
        <w:trPr>
          <w:trHeight w:val="1063"/>
        </w:trPr>
        <w:tc>
          <w:tcPr>
            <w:tcW w:w="9310" w:type="dxa"/>
            <w:gridSpan w:val="4"/>
            <w:tcBorders>
              <w:top w:val="single" w:sz="6" w:space="0" w:color="000000"/>
              <w:left w:val="single" w:sz="6" w:space="0" w:color="000000"/>
              <w:bottom w:val="single" w:sz="6" w:space="0" w:color="000000"/>
              <w:right w:val="single" w:sz="6" w:space="0" w:color="000000"/>
            </w:tcBorders>
            <w:hideMark/>
          </w:tcPr>
          <w:p w14:paraId="1271782D" w14:textId="77777777" w:rsidR="008F5B23" w:rsidRDefault="008F5B23">
            <w:pPr>
              <w:autoSpaceDE w:val="0"/>
              <w:autoSpaceDN w:val="0"/>
              <w:adjustRightInd w:val="0"/>
              <w:spacing w:line="256" w:lineRule="auto"/>
              <w:rPr>
                <w:sz w:val="22"/>
                <w:szCs w:val="22"/>
                <w:lang w:val="en-US"/>
              </w:rPr>
            </w:pPr>
            <w:r>
              <w:rPr>
                <w:sz w:val="22"/>
                <w:szCs w:val="22"/>
                <w:lang w:val="en-US"/>
              </w:rPr>
              <w:t>*Taken from baseline incidence rates in England in 2015 in women with BMI 27 (kg/m</w:t>
            </w:r>
            <w:r>
              <w:rPr>
                <w:sz w:val="22"/>
                <w:szCs w:val="22"/>
                <w:vertAlign w:val="superscript"/>
                <w:lang w:val="en-US"/>
              </w:rPr>
              <w:t>2</w:t>
            </w:r>
            <w:r>
              <w:rPr>
                <w:sz w:val="22"/>
                <w:szCs w:val="22"/>
                <w:lang w:val="en-US"/>
              </w:rPr>
              <w:t>)</w:t>
            </w:r>
          </w:p>
          <w:p w14:paraId="261C2147" w14:textId="77777777" w:rsidR="008F5B23" w:rsidRDefault="008F5B23">
            <w:pPr>
              <w:autoSpaceDE w:val="0"/>
              <w:autoSpaceDN w:val="0"/>
              <w:adjustRightInd w:val="0"/>
              <w:spacing w:line="256" w:lineRule="auto"/>
              <w:rPr>
                <w:sz w:val="22"/>
                <w:szCs w:val="22"/>
                <w:lang w:val="en-US"/>
              </w:rPr>
            </w:pPr>
            <w:r>
              <w:rPr>
                <w:sz w:val="22"/>
                <w:szCs w:val="22"/>
                <w:lang w:val="en-US"/>
              </w:rPr>
              <w:t>Note: Since the background incidence of breast cancer differs by EU country, the number of additional cases of breast cancer will also change proportionately.</w:t>
            </w:r>
          </w:p>
        </w:tc>
      </w:tr>
    </w:tbl>
    <w:p w14:paraId="3C9D8252" w14:textId="77777777" w:rsidR="008F5B23" w:rsidRPr="00B45530" w:rsidRDefault="008F5B23" w:rsidP="008F5B23">
      <w:pPr>
        <w:autoSpaceDE w:val="0"/>
        <w:autoSpaceDN w:val="0"/>
        <w:adjustRightInd w:val="0"/>
        <w:rPr>
          <w:sz w:val="24"/>
          <w:szCs w:val="24"/>
          <w:lang w:val="en-GB" w:eastAsia="en-US"/>
        </w:rPr>
      </w:pPr>
    </w:p>
    <w:p w14:paraId="019D5431" w14:textId="77777777" w:rsidR="008F5B23" w:rsidRPr="00B45530" w:rsidRDefault="008F5B23" w:rsidP="008F5B23">
      <w:pPr>
        <w:autoSpaceDE w:val="0"/>
        <w:autoSpaceDN w:val="0"/>
        <w:adjustRightInd w:val="0"/>
        <w:rPr>
          <w:sz w:val="24"/>
          <w:szCs w:val="24"/>
          <w:lang w:val="en-GB" w:eastAsia="en-US"/>
        </w:rPr>
      </w:pPr>
    </w:p>
    <w:tbl>
      <w:tblPr>
        <w:tblW w:w="9288" w:type="dxa"/>
        <w:tblLook w:val="04A0" w:firstRow="1" w:lastRow="0" w:firstColumn="1" w:lastColumn="0" w:noHBand="0" w:noVBand="1"/>
      </w:tblPr>
      <w:tblGrid>
        <w:gridCol w:w="1088"/>
        <w:gridCol w:w="2700"/>
        <w:gridCol w:w="2160"/>
        <w:gridCol w:w="3340"/>
      </w:tblGrid>
      <w:tr w:rsidR="008F5B23" w:rsidRPr="002B11A1" w14:paraId="01F9CF11" w14:textId="77777777" w:rsidTr="008F5B23">
        <w:trPr>
          <w:trHeight w:val="240"/>
        </w:trPr>
        <w:tc>
          <w:tcPr>
            <w:tcW w:w="9288" w:type="dxa"/>
            <w:gridSpan w:val="4"/>
            <w:tcBorders>
              <w:top w:val="nil"/>
              <w:left w:val="nil"/>
              <w:bottom w:val="single" w:sz="4" w:space="0" w:color="auto"/>
              <w:right w:val="nil"/>
            </w:tcBorders>
            <w:hideMark/>
          </w:tcPr>
          <w:p w14:paraId="0BB38B75" w14:textId="77777777" w:rsidR="008F5B23" w:rsidRPr="002D6601" w:rsidRDefault="008F5B23">
            <w:pPr>
              <w:pStyle w:val="Default"/>
              <w:keepNext/>
              <w:keepLines/>
              <w:spacing w:line="256" w:lineRule="auto"/>
              <w:rPr>
                <w:rFonts w:ascii="Times New Roman" w:eastAsia="Times New Roman" w:hAnsi="Times New Roman" w:cs="Times New Roman"/>
                <w:b/>
                <w:color w:val="auto"/>
                <w:lang w:val="en-GB" w:eastAsia="en-US" w:bidi="ar-SA"/>
              </w:rPr>
            </w:pPr>
            <w:r w:rsidRPr="002D6601">
              <w:rPr>
                <w:rFonts w:ascii="Times New Roman" w:eastAsia="Times New Roman" w:hAnsi="Times New Roman" w:cs="Times New Roman"/>
                <w:b/>
                <w:color w:val="auto"/>
                <w:lang w:val="en-GB" w:eastAsia="en-US" w:bidi="ar-SA"/>
              </w:rPr>
              <w:lastRenderedPageBreak/>
              <w:t xml:space="preserve">US WHI studies - additional risk of breast cancer after 5 years’ use </w:t>
            </w:r>
          </w:p>
        </w:tc>
      </w:tr>
      <w:tr w:rsidR="008F5B23" w:rsidRPr="002B11A1" w14:paraId="34455902" w14:textId="77777777" w:rsidTr="008F5B23">
        <w:trPr>
          <w:trHeight w:val="513"/>
        </w:trPr>
        <w:tc>
          <w:tcPr>
            <w:tcW w:w="1088" w:type="dxa"/>
            <w:tcBorders>
              <w:top w:val="single" w:sz="4" w:space="0" w:color="auto"/>
              <w:left w:val="single" w:sz="4" w:space="0" w:color="auto"/>
              <w:bottom w:val="single" w:sz="4" w:space="0" w:color="auto"/>
              <w:right w:val="single" w:sz="4" w:space="0" w:color="auto"/>
            </w:tcBorders>
            <w:hideMark/>
          </w:tcPr>
          <w:p w14:paraId="678969B2"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Age range (yrs) </w:t>
            </w:r>
          </w:p>
        </w:tc>
        <w:tc>
          <w:tcPr>
            <w:tcW w:w="2700" w:type="dxa"/>
            <w:tcBorders>
              <w:top w:val="single" w:sz="4" w:space="0" w:color="auto"/>
              <w:left w:val="single" w:sz="4" w:space="0" w:color="auto"/>
              <w:bottom w:val="single" w:sz="4" w:space="0" w:color="auto"/>
              <w:right w:val="single" w:sz="4" w:space="0" w:color="auto"/>
            </w:tcBorders>
            <w:hideMark/>
          </w:tcPr>
          <w:p w14:paraId="1DA8C1CD"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Incidence per 1000 women in placebo arm over 5 years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E1F8606"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Risk ratio &amp; 95%CI </w:t>
            </w:r>
          </w:p>
        </w:tc>
        <w:tc>
          <w:tcPr>
            <w:tcW w:w="3340" w:type="dxa"/>
            <w:tcBorders>
              <w:top w:val="single" w:sz="4" w:space="0" w:color="auto"/>
              <w:left w:val="single" w:sz="4" w:space="0" w:color="auto"/>
              <w:bottom w:val="single" w:sz="4" w:space="0" w:color="auto"/>
              <w:right w:val="single" w:sz="4" w:space="0" w:color="auto"/>
            </w:tcBorders>
            <w:hideMark/>
          </w:tcPr>
          <w:p w14:paraId="4A6588FE"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Additional cases per 1000 HRT users over 5 years (95%CI) </w:t>
            </w:r>
          </w:p>
        </w:tc>
      </w:tr>
      <w:tr w:rsidR="008F5B23" w14:paraId="3D0250D2" w14:textId="77777777" w:rsidTr="008F5B23">
        <w:trPr>
          <w:trHeight w:val="263"/>
        </w:trPr>
        <w:tc>
          <w:tcPr>
            <w:tcW w:w="3788" w:type="dxa"/>
            <w:gridSpan w:val="2"/>
            <w:tcBorders>
              <w:top w:val="single" w:sz="4" w:space="0" w:color="auto"/>
              <w:left w:val="single" w:sz="4" w:space="0" w:color="auto"/>
              <w:bottom w:val="single" w:sz="4" w:space="0" w:color="auto"/>
              <w:right w:val="single" w:sz="4" w:space="0" w:color="auto"/>
            </w:tcBorders>
            <w:shd w:val="clear" w:color="auto" w:fill="C0C0C0"/>
          </w:tcPr>
          <w:p w14:paraId="6374684F"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p>
        </w:tc>
        <w:tc>
          <w:tcPr>
            <w:tcW w:w="550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3D27C97" w14:textId="77777777" w:rsidR="008F5B23" w:rsidRDefault="008F5B23">
            <w:pPr>
              <w:pStyle w:val="Default"/>
              <w:keepNext/>
              <w:keepLines/>
              <w:spacing w:line="256" w:lineRule="auto"/>
              <w:rPr>
                <w:rFonts w:ascii="Times New Roman" w:eastAsia="Times New Roman" w:hAnsi="Times New Roman" w:cs="Times New Roman"/>
                <w:b/>
                <w:color w:val="auto"/>
                <w:sz w:val="22"/>
                <w:szCs w:val="22"/>
                <w:lang w:val="en-GB" w:eastAsia="en-US" w:bidi="ar-SA"/>
              </w:rPr>
            </w:pPr>
            <w:r>
              <w:rPr>
                <w:rFonts w:ascii="Times New Roman" w:eastAsia="Times New Roman" w:hAnsi="Times New Roman" w:cs="Times New Roman"/>
                <w:b/>
                <w:color w:val="auto"/>
                <w:sz w:val="22"/>
                <w:szCs w:val="22"/>
                <w:lang w:val="en-GB" w:eastAsia="en-US" w:bidi="ar-SA"/>
              </w:rPr>
              <w:t xml:space="preserve">CEE oestrogen-only </w:t>
            </w:r>
          </w:p>
        </w:tc>
      </w:tr>
      <w:tr w:rsidR="008F5B23" w14:paraId="1B637611" w14:textId="77777777" w:rsidTr="008F5B23">
        <w:trPr>
          <w:trHeight w:val="265"/>
        </w:trPr>
        <w:tc>
          <w:tcPr>
            <w:tcW w:w="1088" w:type="dxa"/>
            <w:tcBorders>
              <w:top w:val="single" w:sz="4" w:space="0" w:color="auto"/>
              <w:left w:val="single" w:sz="4" w:space="0" w:color="auto"/>
              <w:bottom w:val="single" w:sz="4" w:space="0" w:color="auto"/>
              <w:right w:val="single" w:sz="4" w:space="0" w:color="auto"/>
            </w:tcBorders>
            <w:hideMark/>
          </w:tcPr>
          <w:p w14:paraId="1CE36953"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50 - 79 </w:t>
            </w:r>
          </w:p>
        </w:tc>
        <w:tc>
          <w:tcPr>
            <w:tcW w:w="2700" w:type="dxa"/>
            <w:tcBorders>
              <w:top w:val="single" w:sz="4" w:space="0" w:color="auto"/>
              <w:left w:val="single" w:sz="4" w:space="0" w:color="auto"/>
              <w:bottom w:val="single" w:sz="4" w:space="0" w:color="auto"/>
              <w:right w:val="single" w:sz="4" w:space="0" w:color="auto"/>
            </w:tcBorders>
            <w:hideMark/>
          </w:tcPr>
          <w:p w14:paraId="5B4C513E"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21 </w:t>
            </w:r>
          </w:p>
        </w:tc>
        <w:tc>
          <w:tcPr>
            <w:tcW w:w="2160" w:type="dxa"/>
            <w:tcBorders>
              <w:top w:val="single" w:sz="4" w:space="0" w:color="auto"/>
              <w:left w:val="single" w:sz="4" w:space="0" w:color="auto"/>
              <w:bottom w:val="single" w:sz="4" w:space="0" w:color="auto"/>
              <w:right w:val="single" w:sz="4" w:space="0" w:color="auto"/>
            </w:tcBorders>
            <w:hideMark/>
          </w:tcPr>
          <w:p w14:paraId="19D5AB4A"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0.8 (0.7 – 1.0) </w:t>
            </w:r>
          </w:p>
        </w:tc>
        <w:tc>
          <w:tcPr>
            <w:tcW w:w="3340" w:type="dxa"/>
            <w:tcBorders>
              <w:top w:val="single" w:sz="4" w:space="0" w:color="auto"/>
              <w:left w:val="single" w:sz="4" w:space="0" w:color="auto"/>
              <w:bottom w:val="single" w:sz="4" w:space="0" w:color="auto"/>
              <w:right w:val="single" w:sz="4" w:space="0" w:color="auto"/>
            </w:tcBorders>
            <w:hideMark/>
          </w:tcPr>
          <w:p w14:paraId="351901B6"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-4 (-6 – 0)*</w:t>
            </w:r>
          </w:p>
        </w:tc>
      </w:tr>
      <w:tr w:rsidR="008F5B23" w14:paraId="634041BB" w14:textId="77777777" w:rsidTr="008F5B23">
        <w:trPr>
          <w:trHeight w:val="263"/>
        </w:trPr>
        <w:tc>
          <w:tcPr>
            <w:tcW w:w="3788" w:type="dxa"/>
            <w:gridSpan w:val="2"/>
            <w:tcBorders>
              <w:top w:val="single" w:sz="4" w:space="0" w:color="auto"/>
              <w:left w:val="single" w:sz="4" w:space="0" w:color="auto"/>
              <w:bottom w:val="single" w:sz="4" w:space="0" w:color="auto"/>
              <w:right w:val="single" w:sz="4" w:space="0" w:color="auto"/>
            </w:tcBorders>
            <w:shd w:val="clear" w:color="auto" w:fill="C0C0C0"/>
          </w:tcPr>
          <w:p w14:paraId="51B52093"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p>
        </w:tc>
        <w:tc>
          <w:tcPr>
            <w:tcW w:w="550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CAF7C4C" w14:textId="77777777" w:rsidR="008F5B23" w:rsidRDefault="008F5B23">
            <w:pPr>
              <w:pStyle w:val="Default"/>
              <w:keepNext/>
              <w:keepLines/>
              <w:spacing w:line="256" w:lineRule="auto"/>
              <w:rPr>
                <w:rFonts w:ascii="Times New Roman" w:eastAsia="Times New Roman" w:hAnsi="Times New Roman" w:cs="Times New Roman"/>
                <w:b/>
                <w:color w:val="auto"/>
                <w:sz w:val="22"/>
                <w:szCs w:val="22"/>
                <w:lang w:val="en-GB" w:eastAsia="en-US" w:bidi="ar-SA"/>
              </w:rPr>
            </w:pPr>
            <w:r>
              <w:rPr>
                <w:rFonts w:ascii="Times New Roman" w:eastAsia="Times New Roman" w:hAnsi="Times New Roman" w:cs="Times New Roman"/>
                <w:b/>
                <w:color w:val="auto"/>
                <w:sz w:val="22"/>
                <w:szCs w:val="22"/>
                <w:lang w:val="en-GB" w:eastAsia="en-US" w:bidi="ar-SA"/>
              </w:rPr>
              <w:t xml:space="preserve">CEE+MPA oestrogen &amp; progestogen‡ </w:t>
            </w:r>
          </w:p>
        </w:tc>
      </w:tr>
      <w:tr w:rsidR="008F5B23" w14:paraId="73D57D1A" w14:textId="77777777" w:rsidTr="008F5B23">
        <w:trPr>
          <w:trHeight w:val="268"/>
        </w:trPr>
        <w:tc>
          <w:tcPr>
            <w:tcW w:w="1088" w:type="dxa"/>
            <w:tcBorders>
              <w:top w:val="single" w:sz="4" w:space="0" w:color="auto"/>
              <w:left w:val="single" w:sz="4" w:space="0" w:color="auto"/>
              <w:bottom w:val="single" w:sz="4" w:space="0" w:color="auto"/>
              <w:right w:val="single" w:sz="4" w:space="0" w:color="auto"/>
            </w:tcBorders>
            <w:hideMark/>
          </w:tcPr>
          <w:p w14:paraId="33267FC5"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50 - 79 </w:t>
            </w:r>
          </w:p>
        </w:tc>
        <w:tc>
          <w:tcPr>
            <w:tcW w:w="2700" w:type="dxa"/>
            <w:tcBorders>
              <w:top w:val="single" w:sz="4" w:space="0" w:color="auto"/>
              <w:left w:val="single" w:sz="4" w:space="0" w:color="auto"/>
              <w:bottom w:val="single" w:sz="4" w:space="0" w:color="auto"/>
              <w:right w:val="single" w:sz="4" w:space="0" w:color="auto"/>
            </w:tcBorders>
            <w:hideMark/>
          </w:tcPr>
          <w:p w14:paraId="6700846D"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17</w:t>
            </w:r>
          </w:p>
        </w:tc>
        <w:tc>
          <w:tcPr>
            <w:tcW w:w="2160" w:type="dxa"/>
            <w:tcBorders>
              <w:top w:val="single" w:sz="4" w:space="0" w:color="auto"/>
              <w:left w:val="single" w:sz="4" w:space="0" w:color="auto"/>
              <w:bottom w:val="single" w:sz="4" w:space="0" w:color="auto"/>
              <w:right w:val="single" w:sz="4" w:space="0" w:color="auto"/>
            </w:tcBorders>
            <w:hideMark/>
          </w:tcPr>
          <w:p w14:paraId="19E53DF7"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1.2 (1.0 – 1.5) </w:t>
            </w:r>
          </w:p>
        </w:tc>
        <w:tc>
          <w:tcPr>
            <w:tcW w:w="3340" w:type="dxa"/>
            <w:tcBorders>
              <w:top w:val="single" w:sz="4" w:space="0" w:color="auto"/>
              <w:left w:val="single" w:sz="4" w:space="0" w:color="auto"/>
              <w:bottom w:val="single" w:sz="4" w:space="0" w:color="auto"/>
              <w:right w:val="single" w:sz="4" w:space="0" w:color="auto"/>
            </w:tcBorders>
            <w:hideMark/>
          </w:tcPr>
          <w:p w14:paraId="0A86E395"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+4 (0 – 9) </w:t>
            </w:r>
          </w:p>
        </w:tc>
      </w:tr>
    </w:tbl>
    <w:p w14:paraId="602D5491" w14:textId="77777777" w:rsidR="008F5B23" w:rsidRDefault="008F5B23" w:rsidP="008F5B23">
      <w:pPr>
        <w:autoSpaceDE w:val="0"/>
        <w:autoSpaceDN w:val="0"/>
        <w:adjustRightInd w:val="0"/>
        <w:rPr>
          <w:sz w:val="22"/>
          <w:szCs w:val="22"/>
          <w:lang w:val="en-US" w:eastAsia="de-DE"/>
        </w:rPr>
      </w:pPr>
      <w:r>
        <w:rPr>
          <w:sz w:val="22"/>
          <w:szCs w:val="22"/>
          <w:lang w:val="en-US"/>
        </w:rPr>
        <w:t>*WHI study in women with no uterus, which did not show an increase in risk of breast cancer</w:t>
      </w:r>
    </w:p>
    <w:p w14:paraId="46121DE9" w14:textId="77777777" w:rsidR="008F5B23" w:rsidRDefault="008F5B23" w:rsidP="008F5B23">
      <w:pPr>
        <w:autoSpaceDE w:val="0"/>
        <w:autoSpaceDN w:val="0"/>
        <w:adjustRightInd w:val="0"/>
        <w:rPr>
          <w:sz w:val="22"/>
          <w:szCs w:val="22"/>
          <w:lang w:val="en-US"/>
        </w:rPr>
      </w:pPr>
      <w:r>
        <w:rPr>
          <w:sz w:val="22"/>
          <w:szCs w:val="22"/>
          <w:lang w:val="en-US"/>
        </w:rPr>
        <w:t>‡When the analysis was restricted to women who had not used HRT prior to the study there was no increased risk apparent during the first 5 years of treatment: after 5 years the risk was higher than in non-users.</w:t>
      </w:r>
    </w:p>
    <w:p w14:paraId="40124850" w14:textId="77777777" w:rsidR="008F5B23" w:rsidRDefault="008F5B23" w:rsidP="008F5B23">
      <w:pPr>
        <w:autoSpaceDE w:val="0"/>
        <w:autoSpaceDN w:val="0"/>
        <w:adjustRightInd w:val="0"/>
        <w:rPr>
          <w:b/>
          <w:sz w:val="22"/>
          <w:szCs w:val="22"/>
          <w:lang w:val="en-US"/>
        </w:rPr>
      </w:pPr>
    </w:p>
    <w:p w14:paraId="186D08A5" w14:textId="77777777" w:rsidR="008F5B23" w:rsidRPr="002D6601" w:rsidRDefault="008F5B23" w:rsidP="002D6601">
      <w:pPr>
        <w:autoSpaceDE w:val="0"/>
        <w:autoSpaceDN w:val="0"/>
        <w:adjustRightInd w:val="0"/>
        <w:ind w:left="851"/>
        <w:rPr>
          <w:b/>
          <w:sz w:val="24"/>
          <w:szCs w:val="24"/>
          <w:u w:val="single"/>
          <w:lang w:val="de-DE"/>
        </w:rPr>
      </w:pPr>
      <w:r w:rsidRPr="002D6601">
        <w:rPr>
          <w:b/>
          <w:sz w:val="24"/>
          <w:szCs w:val="24"/>
          <w:u w:val="single"/>
          <w:lang w:val="en-US"/>
        </w:rPr>
        <w:t>Endometrial cancer risk</w:t>
      </w:r>
    </w:p>
    <w:p w14:paraId="29F164C7" w14:textId="77777777" w:rsidR="008F5B23" w:rsidRPr="002D6601" w:rsidRDefault="008F5B23" w:rsidP="002D6601">
      <w:pPr>
        <w:ind w:left="851"/>
        <w:rPr>
          <w:sz w:val="24"/>
          <w:szCs w:val="24"/>
          <w:lang w:val="en-US"/>
        </w:rPr>
      </w:pPr>
      <w:r w:rsidRPr="002D6601">
        <w:rPr>
          <w:sz w:val="24"/>
          <w:szCs w:val="24"/>
          <w:lang w:val="en-US"/>
        </w:rPr>
        <w:t>Postmenopausal women with a uterus:</w:t>
      </w:r>
    </w:p>
    <w:p w14:paraId="2CB40108" w14:textId="77777777" w:rsidR="008F5B23" w:rsidRPr="002D6601" w:rsidRDefault="008F5B23" w:rsidP="002D6601">
      <w:pPr>
        <w:ind w:left="851"/>
        <w:rPr>
          <w:sz w:val="24"/>
          <w:szCs w:val="24"/>
          <w:lang w:val="en-US"/>
        </w:rPr>
      </w:pPr>
      <w:r w:rsidRPr="002D6601">
        <w:rPr>
          <w:sz w:val="24"/>
          <w:szCs w:val="24"/>
          <w:lang w:val="en-US"/>
        </w:rPr>
        <w:t>The endometrial cancer risk is about 5 in every 1000 women with a uterus not using HRT.</w:t>
      </w:r>
    </w:p>
    <w:p w14:paraId="1098687A" w14:textId="77777777" w:rsidR="008F5B23" w:rsidRPr="002D6601" w:rsidRDefault="008F5B23" w:rsidP="002D6601">
      <w:pPr>
        <w:ind w:left="851"/>
        <w:rPr>
          <w:sz w:val="24"/>
          <w:szCs w:val="24"/>
          <w:lang w:val="en-US"/>
        </w:rPr>
      </w:pPr>
    </w:p>
    <w:p w14:paraId="41ECB842" w14:textId="77777777" w:rsidR="008F5B23" w:rsidRPr="002D6601" w:rsidRDefault="008F5B23" w:rsidP="002D6601">
      <w:pPr>
        <w:ind w:left="851"/>
        <w:rPr>
          <w:sz w:val="24"/>
          <w:szCs w:val="24"/>
          <w:lang w:val="en-US"/>
        </w:rPr>
      </w:pPr>
      <w:r w:rsidRPr="002D6601">
        <w:rPr>
          <w:sz w:val="24"/>
          <w:szCs w:val="24"/>
          <w:lang w:val="en-US"/>
        </w:rPr>
        <w:t>In women with a uterus, use of oestrogen-only HRT is not recommended because it increases the risk of endometrial cancer (see section 4.4).</w:t>
      </w:r>
    </w:p>
    <w:p w14:paraId="31658EB3" w14:textId="77777777" w:rsidR="008F5B23" w:rsidRPr="002D6601" w:rsidRDefault="008F5B23" w:rsidP="002D6601">
      <w:pPr>
        <w:ind w:left="851"/>
        <w:rPr>
          <w:sz w:val="24"/>
          <w:szCs w:val="24"/>
          <w:lang w:val="en-US"/>
        </w:rPr>
      </w:pPr>
      <w:r w:rsidRPr="002D6601">
        <w:rPr>
          <w:sz w:val="24"/>
          <w:szCs w:val="24"/>
          <w:lang w:val="en-US"/>
        </w:rPr>
        <w:t>Depending on the duration of oestrogen-only use and oestrogen dose, the increase in risk of endometrial cancer in epidemiology studies varied from between 5 and 55 extra cases diagnosed in every 1000 women between the ages of 50 and 65.</w:t>
      </w:r>
    </w:p>
    <w:p w14:paraId="202030E3" w14:textId="77777777" w:rsidR="008F5B23" w:rsidRPr="002D6601" w:rsidRDefault="008F5B23" w:rsidP="002D6601">
      <w:pPr>
        <w:ind w:left="851"/>
        <w:rPr>
          <w:sz w:val="24"/>
          <w:szCs w:val="24"/>
          <w:lang w:val="en-US"/>
        </w:rPr>
      </w:pPr>
    </w:p>
    <w:p w14:paraId="0E002F5D" w14:textId="77777777" w:rsidR="008F5B23" w:rsidRPr="002D6601" w:rsidRDefault="008F5B23" w:rsidP="002D6601">
      <w:pPr>
        <w:ind w:left="851"/>
        <w:rPr>
          <w:sz w:val="24"/>
          <w:szCs w:val="24"/>
          <w:lang w:val="de-DE"/>
        </w:rPr>
      </w:pPr>
      <w:r w:rsidRPr="002D6601">
        <w:rPr>
          <w:sz w:val="24"/>
          <w:szCs w:val="24"/>
          <w:lang w:val="en-US"/>
        </w:rPr>
        <w:t>Adding a progestogen to oestrogen-only therapy for at least 12 days per cycle can prevent this increased risk. In the Million Women Study the use of five years of combined (sequential or continuous) HRT did not increase the risk of endometrial cancer (RR of 1.0 (0.8-1.2)).</w:t>
      </w:r>
    </w:p>
    <w:p w14:paraId="3825AD6C" w14:textId="77777777" w:rsidR="008F5B23" w:rsidRPr="002D6601" w:rsidRDefault="008F5B23" w:rsidP="002D6601">
      <w:pPr>
        <w:autoSpaceDE w:val="0"/>
        <w:autoSpaceDN w:val="0"/>
        <w:adjustRightInd w:val="0"/>
        <w:ind w:left="851"/>
        <w:rPr>
          <w:b/>
          <w:sz w:val="24"/>
          <w:szCs w:val="24"/>
          <w:lang w:val="en-US"/>
        </w:rPr>
      </w:pPr>
    </w:p>
    <w:p w14:paraId="187AC946" w14:textId="77777777" w:rsidR="008F5B23" w:rsidRPr="002D6601" w:rsidRDefault="008F5B23" w:rsidP="002D6601">
      <w:pPr>
        <w:autoSpaceDE w:val="0"/>
        <w:autoSpaceDN w:val="0"/>
        <w:adjustRightInd w:val="0"/>
        <w:ind w:left="851"/>
        <w:rPr>
          <w:b/>
          <w:sz w:val="24"/>
          <w:szCs w:val="24"/>
          <w:u w:val="single"/>
          <w:lang w:val="en-US"/>
        </w:rPr>
      </w:pPr>
      <w:r w:rsidRPr="002D6601">
        <w:rPr>
          <w:b/>
          <w:sz w:val="24"/>
          <w:szCs w:val="24"/>
          <w:u w:val="single"/>
          <w:lang w:val="en-US"/>
        </w:rPr>
        <w:t>Ovarian cancer</w:t>
      </w:r>
    </w:p>
    <w:p w14:paraId="39884F62" w14:textId="77777777" w:rsidR="008F5B23" w:rsidRPr="002D6601" w:rsidRDefault="008F5B23" w:rsidP="002D6601">
      <w:pPr>
        <w:autoSpaceDE w:val="0"/>
        <w:autoSpaceDN w:val="0"/>
        <w:adjustRightInd w:val="0"/>
        <w:ind w:left="851"/>
        <w:rPr>
          <w:sz w:val="24"/>
          <w:szCs w:val="24"/>
          <w:lang w:val="en-US"/>
        </w:rPr>
      </w:pPr>
      <w:r w:rsidRPr="002D6601">
        <w:rPr>
          <w:sz w:val="24"/>
          <w:szCs w:val="24"/>
          <w:lang w:val="en-US"/>
        </w:rPr>
        <w:t>Use of oestrogen-only or combined oestrogen-progestogen HRT has been associated with a slightly increased risk of having ovarian cancer diagnosed (see section 4.4).</w:t>
      </w:r>
      <w:r w:rsidRPr="002D6601">
        <w:rPr>
          <w:sz w:val="24"/>
          <w:szCs w:val="24"/>
          <w:lang w:val="en-GB"/>
        </w:rPr>
        <w:t xml:space="preserve"> A meta-analysis from 52 epidemiological studies reported an increased risk of ovarian cancer in women currently using HRT compared to women who have never used HRT (RR 1.43, 95% CI 1.31-1.56). For women aged 50 to 54 years taking 5 years of HRT, this results in about 1 extra case per 2000 users. In women aged 50 to 54 who are not taking HRT, about 2 women in 2000 will be diagnosed with ovarian cancer over a 5-year period</w:t>
      </w:r>
      <w:r w:rsidRPr="002D6601">
        <w:rPr>
          <w:sz w:val="24"/>
          <w:szCs w:val="24"/>
          <w:lang w:val="en-US"/>
        </w:rPr>
        <w:t>.</w:t>
      </w:r>
    </w:p>
    <w:p w14:paraId="3D5A2AFC" w14:textId="77777777" w:rsidR="008F5B23" w:rsidRPr="002D6601" w:rsidRDefault="008F5B23" w:rsidP="002D6601">
      <w:pPr>
        <w:spacing w:after="120"/>
        <w:ind w:left="851"/>
        <w:rPr>
          <w:b/>
          <w:sz w:val="24"/>
          <w:szCs w:val="24"/>
          <w:u w:val="single"/>
          <w:lang w:val="en-US"/>
        </w:rPr>
      </w:pPr>
    </w:p>
    <w:p w14:paraId="472FCADB" w14:textId="77777777" w:rsidR="008F5B23" w:rsidRPr="002D6601" w:rsidRDefault="008F5B23" w:rsidP="002D6601">
      <w:pPr>
        <w:ind w:left="851"/>
        <w:rPr>
          <w:b/>
          <w:sz w:val="24"/>
          <w:szCs w:val="24"/>
          <w:u w:val="single"/>
          <w:lang w:val="de-DE"/>
        </w:rPr>
      </w:pPr>
      <w:r w:rsidRPr="002D6601">
        <w:rPr>
          <w:b/>
          <w:sz w:val="24"/>
          <w:szCs w:val="24"/>
          <w:u w:val="single"/>
          <w:lang w:val="en-US"/>
        </w:rPr>
        <w:t>Risk of venous thromboembolism</w:t>
      </w:r>
    </w:p>
    <w:p w14:paraId="0F860E13" w14:textId="77777777" w:rsidR="008F5B23" w:rsidRPr="002D6601" w:rsidRDefault="008F5B23" w:rsidP="002D6601">
      <w:pPr>
        <w:ind w:left="851"/>
        <w:rPr>
          <w:sz w:val="24"/>
          <w:szCs w:val="24"/>
          <w:lang w:val="en-US"/>
        </w:rPr>
      </w:pPr>
      <w:r w:rsidRPr="002D6601">
        <w:rPr>
          <w:sz w:val="24"/>
          <w:szCs w:val="24"/>
          <w:lang w:val="en-US"/>
        </w:rPr>
        <w:t>HRT is associated with a 1.3- to 3-fold increased relative risk of developing venous thromboembolism (VTE), i.e. deep vein thrombosis or pulmonary embolism. The occurrence of such an event is more likely in the first year of using HRT (see section 4.4). Results of the WHI studies are presented:</w:t>
      </w:r>
    </w:p>
    <w:p w14:paraId="5B8D18F9" w14:textId="77777777" w:rsidR="008F5B23" w:rsidRPr="002D6601" w:rsidRDefault="008F5B23" w:rsidP="002D6601">
      <w:pPr>
        <w:autoSpaceDE w:val="0"/>
        <w:autoSpaceDN w:val="0"/>
        <w:adjustRightInd w:val="0"/>
        <w:ind w:left="851"/>
        <w:rPr>
          <w:rFonts w:eastAsia="SimSun"/>
          <w:b/>
          <w:bCs/>
          <w:sz w:val="24"/>
          <w:szCs w:val="24"/>
          <w:highlight w:val="yellow"/>
          <w:lang w:val="en-US" w:eastAsia="zh-CN" w:bidi="th-TH"/>
        </w:rPr>
      </w:pPr>
    </w:p>
    <w:p w14:paraId="4F04006B" w14:textId="77777777" w:rsidR="008F5B23" w:rsidRPr="002D6601" w:rsidRDefault="008F5B23" w:rsidP="008F5B23">
      <w:pPr>
        <w:keepNext/>
        <w:keepLines/>
        <w:rPr>
          <w:b/>
          <w:sz w:val="24"/>
          <w:szCs w:val="24"/>
          <w:lang w:val="en-US" w:eastAsia="de-DE"/>
        </w:rPr>
      </w:pPr>
      <w:r w:rsidRPr="002D6601">
        <w:rPr>
          <w:b/>
          <w:sz w:val="24"/>
          <w:szCs w:val="24"/>
          <w:lang w:val="en-US"/>
        </w:rPr>
        <w:t>WHI Studies - Additional risk of VTE over 5 years’ use</w:t>
      </w:r>
    </w:p>
    <w:tbl>
      <w:tblPr>
        <w:tblW w:w="8985" w:type="dxa"/>
        <w:tblLook w:val="04A0" w:firstRow="1" w:lastRow="0" w:firstColumn="1" w:lastColumn="0" w:noHBand="0" w:noVBand="1"/>
      </w:tblPr>
      <w:tblGrid>
        <w:gridCol w:w="1835"/>
        <w:gridCol w:w="2520"/>
        <w:gridCol w:w="2040"/>
        <w:gridCol w:w="2590"/>
      </w:tblGrid>
      <w:tr w:rsidR="008F5B23" w:rsidRPr="002B11A1" w14:paraId="2A6155C1" w14:textId="77777777" w:rsidTr="008F5B23">
        <w:trPr>
          <w:trHeight w:val="285"/>
        </w:trPr>
        <w:tc>
          <w:tcPr>
            <w:tcW w:w="1835" w:type="dxa"/>
            <w:tcBorders>
              <w:top w:val="single" w:sz="6" w:space="0" w:color="000000"/>
              <w:left w:val="single" w:sz="6" w:space="0" w:color="000000"/>
              <w:bottom w:val="nil"/>
              <w:right w:val="single" w:sz="6" w:space="0" w:color="000000"/>
            </w:tcBorders>
            <w:hideMark/>
          </w:tcPr>
          <w:p w14:paraId="6790DB4A" w14:textId="77777777" w:rsidR="008F5B23" w:rsidRDefault="008F5B23">
            <w:pPr>
              <w:keepNext/>
              <w:keepLines/>
              <w:spacing w:line="256" w:lineRule="auto"/>
              <w:rPr>
                <w:sz w:val="22"/>
                <w:szCs w:val="22"/>
              </w:rPr>
            </w:pPr>
            <w:r>
              <w:rPr>
                <w:sz w:val="22"/>
                <w:szCs w:val="22"/>
              </w:rPr>
              <w:t xml:space="preserve">Age range (years) </w:t>
            </w:r>
          </w:p>
        </w:tc>
        <w:tc>
          <w:tcPr>
            <w:tcW w:w="2520" w:type="dxa"/>
            <w:tcBorders>
              <w:top w:val="single" w:sz="6" w:space="0" w:color="000000"/>
              <w:left w:val="single" w:sz="6" w:space="0" w:color="000000"/>
              <w:bottom w:val="nil"/>
              <w:right w:val="single" w:sz="6" w:space="0" w:color="000000"/>
            </w:tcBorders>
            <w:hideMark/>
          </w:tcPr>
          <w:p w14:paraId="3B399E98" w14:textId="77777777" w:rsidR="008F5B23" w:rsidRPr="008F5B23" w:rsidRDefault="008F5B23">
            <w:pPr>
              <w:keepNext/>
              <w:keepLines/>
              <w:spacing w:line="256" w:lineRule="auto"/>
              <w:rPr>
                <w:sz w:val="22"/>
                <w:szCs w:val="22"/>
                <w:lang w:val="en-US"/>
              </w:rPr>
            </w:pPr>
            <w:r w:rsidRPr="008F5B23">
              <w:rPr>
                <w:sz w:val="22"/>
                <w:szCs w:val="22"/>
                <w:lang w:val="en-US"/>
              </w:rPr>
              <w:t>Incidence per 1000 women in placebo arm over 5 years</w:t>
            </w:r>
          </w:p>
        </w:tc>
        <w:tc>
          <w:tcPr>
            <w:tcW w:w="2040" w:type="dxa"/>
            <w:tcBorders>
              <w:top w:val="single" w:sz="6" w:space="0" w:color="000000"/>
              <w:left w:val="single" w:sz="6" w:space="0" w:color="000000"/>
              <w:bottom w:val="nil"/>
              <w:right w:val="single" w:sz="6" w:space="0" w:color="000000"/>
            </w:tcBorders>
            <w:hideMark/>
          </w:tcPr>
          <w:p w14:paraId="2C85F899" w14:textId="77777777" w:rsidR="008F5B23" w:rsidRDefault="008F5B23">
            <w:pPr>
              <w:keepNext/>
              <w:keepLines/>
              <w:spacing w:line="256" w:lineRule="auto"/>
              <w:rPr>
                <w:sz w:val="22"/>
                <w:szCs w:val="22"/>
              </w:rPr>
            </w:pPr>
            <w:r>
              <w:rPr>
                <w:sz w:val="22"/>
                <w:szCs w:val="22"/>
              </w:rPr>
              <w:t>Risk ratio and 95%CI</w:t>
            </w:r>
          </w:p>
        </w:tc>
        <w:tc>
          <w:tcPr>
            <w:tcW w:w="2590" w:type="dxa"/>
            <w:tcBorders>
              <w:top w:val="single" w:sz="6" w:space="0" w:color="000000"/>
              <w:left w:val="single" w:sz="6" w:space="0" w:color="000000"/>
              <w:bottom w:val="nil"/>
              <w:right w:val="single" w:sz="6" w:space="0" w:color="000000"/>
            </w:tcBorders>
            <w:hideMark/>
          </w:tcPr>
          <w:p w14:paraId="2A9ED515" w14:textId="77777777" w:rsidR="008F5B23" w:rsidRPr="008F5B23" w:rsidRDefault="008F5B23">
            <w:pPr>
              <w:keepNext/>
              <w:keepLines/>
              <w:spacing w:line="256" w:lineRule="auto"/>
              <w:rPr>
                <w:sz w:val="22"/>
                <w:szCs w:val="22"/>
                <w:lang w:val="en-US"/>
              </w:rPr>
            </w:pPr>
            <w:r w:rsidRPr="008F5B23">
              <w:rPr>
                <w:sz w:val="22"/>
                <w:szCs w:val="22"/>
                <w:lang w:val="en-US"/>
              </w:rPr>
              <w:t>Additional cases per 1000 HRT users</w:t>
            </w:r>
          </w:p>
        </w:tc>
      </w:tr>
      <w:tr w:rsidR="008F5B23" w14:paraId="38B4BCBB" w14:textId="77777777" w:rsidTr="008F5B23">
        <w:trPr>
          <w:trHeight w:val="263"/>
        </w:trPr>
        <w:tc>
          <w:tcPr>
            <w:tcW w:w="8985" w:type="dxa"/>
            <w:gridSpan w:val="4"/>
            <w:tcBorders>
              <w:top w:val="single" w:sz="6" w:space="0" w:color="000000"/>
              <w:left w:val="single" w:sz="6" w:space="0" w:color="000000"/>
              <w:bottom w:val="single" w:sz="6" w:space="0" w:color="000000"/>
              <w:right w:val="single" w:sz="6" w:space="0" w:color="000000"/>
            </w:tcBorders>
            <w:shd w:val="clear" w:color="auto" w:fill="C0C0C0"/>
            <w:hideMark/>
          </w:tcPr>
          <w:p w14:paraId="73239FC2" w14:textId="77777777" w:rsidR="008F5B23" w:rsidRDefault="008F5B23">
            <w:pPr>
              <w:keepNext/>
              <w:keepLines/>
              <w:spacing w:line="256" w:lineRule="auto"/>
              <w:rPr>
                <w:sz w:val="22"/>
                <w:szCs w:val="22"/>
              </w:rPr>
            </w:pPr>
            <w:r>
              <w:rPr>
                <w:sz w:val="22"/>
                <w:szCs w:val="22"/>
              </w:rPr>
              <w:t>Oral oestrogen-only</w:t>
            </w:r>
            <w:r>
              <w:rPr>
                <w:sz w:val="22"/>
                <w:szCs w:val="22"/>
                <w:vertAlign w:val="superscript"/>
              </w:rPr>
              <w:t xml:space="preserve">a </w:t>
            </w:r>
          </w:p>
        </w:tc>
      </w:tr>
      <w:tr w:rsidR="008F5B23" w14:paraId="743235FB" w14:textId="77777777" w:rsidTr="008F5B23">
        <w:trPr>
          <w:trHeight w:val="265"/>
        </w:trPr>
        <w:tc>
          <w:tcPr>
            <w:tcW w:w="1835" w:type="dxa"/>
            <w:tcBorders>
              <w:top w:val="single" w:sz="6" w:space="0" w:color="000000"/>
              <w:left w:val="single" w:sz="6" w:space="0" w:color="000000"/>
              <w:bottom w:val="single" w:sz="6" w:space="0" w:color="000000"/>
              <w:right w:val="single" w:sz="6" w:space="0" w:color="000000"/>
            </w:tcBorders>
            <w:hideMark/>
          </w:tcPr>
          <w:p w14:paraId="08B9111A" w14:textId="77777777" w:rsidR="008F5B23" w:rsidRDefault="008F5B23">
            <w:pPr>
              <w:spacing w:line="256" w:lineRule="auto"/>
              <w:rPr>
                <w:sz w:val="22"/>
                <w:szCs w:val="22"/>
              </w:rPr>
            </w:pPr>
            <w:r>
              <w:rPr>
                <w:sz w:val="22"/>
                <w:szCs w:val="22"/>
              </w:rPr>
              <w:t xml:space="preserve">50 - 59 </w:t>
            </w:r>
          </w:p>
        </w:tc>
        <w:tc>
          <w:tcPr>
            <w:tcW w:w="2520" w:type="dxa"/>
            <w:tcBorders>
              <w:top w:val="single" w:sz="6" w:space="0" w:color="000000"/>
              <w:left w:val="single" w:sz="6" w:space="0" w:color="000000"/>
              <w:bottom w:val="single" w:sz="6" w:space="0" w:color="000000"/>
              <w:right w:val="single" w:sz="6" w:space="0" w:color="000000"/>
            </w:tcBorders>
            <w:hideMark/>
          </w:tcPr>
          <w:p w14:paraId="3ED1CAA4" w14:textId="77777777" w:rsidR="008F5B23" w:rsidRDefault="008F5B23">
            <w:pPr>
              <w:spacing w:line="256" w:lineRule="auto"/>
              <w:rPr>
                <w:sz w:val="22"/>
                <w:szCs w:val="22"/>
              </w:rPr>
            </w:pPr>
            <w:r>
              <w:rPr>
                <w:sz w:val="22"/>
                <w:szCs w:val="22"/>
              </w:rPr>
              <w:t xml:space="preserve">7 </w:t>
            </w:r>
          </w:p>
        </w:tc>
        <w:tc>
          <w:tcPr>
            <w:tcW w:w="2040" w:type="dxa"/>
            <w:tcBorders>
              <w:top w:val="single" w:sz="6" w:space="0" w:color="000000"/>
              <w:left w:val="single" w:sz="6" w:space="0" w:color="000000"/>
              <w:bottom w:val="single" w:sz="6" w:space="0" w:color="000000"/>
              <w:right w:val="single" w:sz="6" w:space="0" w:color="000000"/>
            </w:tcBorders>
            <w:hideMark/>
          </w:tcPr>
          <w:p w14:paraId="1157D843" w14:textId="77777777" w:rsidR="008F5B23" w:rsidRDefault="008F5B23">
            <w:pPr>
              <w:spacing w:line="256" w:lineRule="auto"/>
              <w:rPr>
                <w:sz w:val="22"/>
                <w:szCs w:val="22"/>
              </w:rPr>
            </w:pPr>
            <w:r>
              <w:rPr>
                <w:sz w:val="22"/>
                <w:szCs w:val="22"/>
              </w:rPr>
              <w:t xml:space="preserve">1.2 (0.6-2.4) </w:t>
            </w:r>
          </w:p>
        </w:tc>
        <w:tc>
          <w:tcPr>
            <w:tcW w:w="2590" w:type="dxa"/>
            <w:tcBorders>
              <w:top w:val="single" w:sz="6" w:space="0" w:color="000000"/>
              <w:left w:val="single" w:sz="6" w:space="0" w:color="000000"/>
              <w:bottom w:val="single" w:sz="6" w:space="0" w:color="000000"/>
              <w:right w:val="single" w:sz="6" w:space="0" w:color="000000"/>
            </w:tcBorders>
            <w:hideMark/>
          </w:tcPr>
          <w:p w14:paraId="72103E48" w14:textId="77777777" w:rsidR="008F5B23" w:rsidRDefault="008F5B23">
            <w:pPr>
              <w:spacing w:line="256" w:lineRule="auto"/>
              <w:rPr>
                <w:sz w:val="22"/>
                <w:szCs w:val="22"/>
              </w:rPr>
            </w:pPr>
            <w:r>
              <w:rPr>
                <w:sz w:val="22"/>
                <w:szCs w:val="22"/>
              </w:rPr>
              <w:t xml:space="preserve">1 (-3 – 10) </w:t>
            </w:r>
          </w:p>
        </w:tc>
      </w:tr>
      <w:tr w:rsidR="008F5B23" w14:paraId="567ED78A" w14:textId="77777777" w:rsidTr="008F5B23">
        <w:trPr>
          <w:trHeight w:val="265"/>
        </w:trPr>
        <w:tc>
          <w:tcPr>
            <w:tcW w:w="8985" w:type="dxa"/>
            <w:gridSpan w:val="4"/>
            <w:tcBorders>
              <w:top w:val="single" w:sz="6" w:space="0" w:color="000000"/>
              <w:left w:val="single" w:sz="6" w:space="0" w:color="000000"/>
              <w:bottom w:val="single" w:sz="6" w:space="0" w:color="000000"/>
              <w:right w:val="single" w:sz="6" w:space="0" w:color="000000"/>
            </w:tcBorders>
            <w:shd w:val="clear" w:color="auto" w:fill="C0C0C0"/>
            <w:hideMark/>
          </w:tcPr>
          <w:p w14:paraId="454DD8B1" w14:textId="77777777" w:rsidR="008F5B23" w:rsidRDefault="008F5B23">
            <w:pPr>
              <w:spacing w:line="256" w:lineRule="auto"/>
              <w:rPr>
                <w:sz w:val="22"/>
                <w:szCs w:val="22"/>
              </w:rPr>
            </w:pPr>
            <w:r>
              <w:rPr>
                <w:sz w:val="22"/>
                <w:szCs w:val="22"/>
              </w:rPr>
              <w:t xml:space="preserve">Oral combined oestrogen-progestogen </w:t>
            </w:r>
          </w:p>
        </w:tc>
      </w:tr>
      <w:tr w:rsidR="008F5B23" w14:paraId="60CA6714" w14:textId="77777777" w:rsidTr="008F5B23">
        <w:trPr>
          <w:trHeight w:val="265"/>
        </w:trPr>
        <w:tc>
          <w:tcPr>
            <w:tcW w:w="1835" w:type="dxa"/>
            <w:tcBorders>
              <w:top w:val="single" w:sz="6" w:space="0" w:color="000000"/>
              <w:left w:val="single" w:sz="6" w:space="0" w:color="000000"/>
              <w:bottom w:val="single" w:sz="6" w:space="0" w:color="000000"/>
              <w:right w:val="single" w:sz="6" w:space="0" w:color="000000"/>
            </w:tcBorders>
            <w:hideMark/>
          </w:tcPr>
          <w:p w14:paraId="5B1FAFC9" w14:textId="77777777" w:rsidR="008F5B23" w:rsidRDefault="008F5B23">
            <w:pPr>
              <w:spacing w:line="256" w:lineRule="auto"/>
              <w:rPr>
                <w:sz w:val="22"/>
                <w:szCs w:val="22"/>
              </w:rPr>
            </w:pPr>
            <w:r>
              <w:rPr>
                <w:sz w:val="22"/>
                <w:szCs w:val="22"/>
              </w:rPr>
              <w:t xml:space="preserve">50 - 59 </w:t>
            </w:r>
          </w:p>
        </w:tc>
        <w:tc>
          <w:tcPr>
            <w:tcW w:w="2520" w:type="dxa"/>
            <w:tcBorders>
              <w:top w:val="single" w:sz="6" w:space="0" w:color="000000"/>
              <w:left w:val="single" w:sz="6" w:space="0" w:color="000000"/>
              <w:bottom w:val="single" w:sz="6" w:space="0" w:color="000000"/>
              <w:right w:val="single" w:sz="6" w:space="0" w:color="000000"/>
            </w:tcBorders>
            <w:hideMark/>
          </w:tcPr>
          <w:p w14:paraId="69A78603" w14:textId="77777777" w:rsidR="008F5B23" w:rsidRDefault="008F5B23">
            <w:pPr>
              <w:spacing w:line="256" w:lineRule="auto"/>
              <w:rPr>
                <w:sz w:val="22"/>
                <w:szCs w:val="22"/>
              </w:rPr>
            </w:pPr>
            <w:r>
              <w:rPr>
                <w:sz w:val="22"/>
                <w:szCs w:val="22"/>
              </w:rPr>
              <w:t xml:space="preserve">4 </w:t>
            </w:r>
          </w:p>
        </w:tc>
        <w:tc>
          <w:tcPr>
            <w:tcW w:w="2040" w:type="dxa"/>
            <w:tcBorders>
              <w:top w:val="single" w:sz="6" w:space="0" w:color="000000"/>
              <w:left w:val="single" w:sz="6" w:space="0" w:color="000000"/>
              <w:bottom w:val="single" w:sz="6" w:space="0" w:color="000000"/>
              <w:right w:val="single" w:sz="6" w:space="0" w:color="000000"/>
            </w:tcBorders>
            <w:hideMark/>
          </w:tcPr>
          <w:p w14:paraId="5ACD12AE" w14:textId="77777777" w:rsidR="008F5B23" w:rsidRDefault="008F5B23">
            <w:pPr>
              <w:spacing w:line="256" w:lineRule="auto"/>
              <w:rPr>
                <w:sz w:val="22"/>
                <w:szCs w:val="22"/>
              </w:rPr>
            </w:pPr>
            <w:r>
              <w:rPr>
                <w:sz w:val="22"/>
                <w:szCs w:val="22"/>
              </w:rPr>
              <w:t xml:space="preserve">2.3 (1.2 – 4.3) </w:t>
            </w:r>
          </w:p>
        </w:tc>
        <w:tc>
          <w:tcPr>
            <w:tcW w:w="2590" w:type="dxa"/>
            <w:tcBorders>
              <w:top w:val="single" w:sz="6" w:space="0" w:color="000000"/>
              <w:left w:val="single" w:sz="6" w:space="0" w:color="000000"/>
              <w:bottom w:val="single" w:sz="6" w:space="0" w:color="000000"/>
              <w:right w:val="single" w:sz="6" w:space="0" w:color="000000"/>
            </w:tcBorders>
            <w:hideMark/>
          </w:tcPr>
          <w:p w14:paraId="08528524" w14:textId="77777777" w:rsidR="008F5B23" w:rsidRDefault="008F5B23">
            <w:pPr>
              <w:spacing w:line="256" w:lineRule="auto"/>
              <w:rPr>
                <w:sz w:val="22"/>
                <w:szCs w:val="22"/>
              </w:rPr>
            </w:pPr>
            <w:r>
              <w:rPr>
                <w:sz w:val="22"/>
                <w:szCs w:val="22"/>
              </w:rPr>
              <w:t xml:space="preserve">5 (1 - 13) </w:t>
            </w:r>
          </w:p>
        </w:tc>
      </w:tr>
    </w:tbl>
    <w:p w14:paraId="148D9CFA" w14:textId="3D7B00DE" w:rsidR="008F5B23" w:rsidRDefault="00A50609" w:rsidP="008F5B23">
      <w:pPr>
        <w:autoSpaceDE w:val="0"/>
        <w:autoSpaceDN w:val="0"/>
        <w:adjustRightInd w:val="0"/>
        <w:rPr>
          <w:sz w:val="20"/>
          <w:lang w:val="en-US"/>
        </w:rPr>
      </w:pPr>
      <w:r>
        <w:rPr>
          <w:sz w:val="20"/>
          <w:vertAlign w:val="superscript"/>
          <w:lang w:val="en-US"/>
        </w:rPr>
        <w:t>a</w:t>
      </w:r>
      <w:r w:rsidR="008F5B23">
        <w:rPr>
          <w:sz w:val="20"/>
          <w:lang w:val="en-US"/>
        </w:rPr>
        <w:t xml:space="preserve"> Study in women with no uterus</w:t>
      </w:r>
    </w:p>
    <w:p w14:paraId="17CBE4AF" w14:textId="77777777" w:rsidR="008F5B23" w:rsidRPr="00A50609" w:rsidRDefault="008F5B23" w:rsidP="00A50609">
      <w:pPr>
        <w:autoSpaceDE w:val="0"/>
        <w:autoSpaceDN w:val="0"/>
        <w:adjustRightInd w:val="0"/>
        <w:ind w:left="851"/>
        <w:rPr>
          <w:sz w:val="24"/>
          <w:szCs w:val="24"/>
          <w:highlight w:val="yellow"/>
          <w:lang w:val="en-US"/>
        </w:rPr>
      </w:pPr>
    </w:p>
    <w:p w14:paraId="0410DA74" w14:textId="77777777" w:rsidR="008F5B23" w:rsidRPr="00A50609" w:rsidRDefault="008F5B23" w:rsidP="00A50609">
      <w:pPr>
        <w:ind w:left="851"/>
        <w:rPr>
          <w:b/>
          <w:sz w:val="24"/>
          <w:szCs w:val="24"/>
          <w:u w:val="single"/>
          <w:lang w:val="de-DE"/>
        </w:rPr>
      </w:pPr>
      <w:r w:rsidRPr="00A50609">
        <w:rPr>
          <w:b/>
          <w:sz w:val="24"/>
          <w:szCs w:val="24"/>
          <w:u w:val="single"/>
          <w:lang w:val="en-US"/>
        </w:rPr>
        <w:t>Risk of coronary artery disease</w:t>
      </w:r>
    </w:p>
    <w:p w14:paraId="1599558E" w14:textId="77777777" w:rsidR="008F5B23" w:rsidRPr="00A50609" w:rsidRDefault="008F5B23" w:rsidP="00A50609">
      <w:pPr>
        <w:ind w:left="851"/>
        <w:rPr>
          <w:sz w:val="24"/>
          <w:szCs w:val="24"/>
          <w:lang w:val="en-US"/>
        </w:rPr>
      </w:pPr>
      <w:r w:rsidRPr="00A50609">
        <w:rPr>
          <w:sz w:val="24"/>
          <w:szCs w:val="24"/>
          <w:lang w:val="en-US"/>
        </w:rPr>
        <w:t>The risk of coronary artery disease is slightly increased in users of combined oestrogen-progestogen HRT over the age of 60 (see section 4.4).</w:t>
      </w:r>
    </w:p>
    <w:p w14:paraId="3673F204" w14:textId="77777777" w:rsidR="008F5B23" w:rsidRPr="00A50609" w:rsidRDefault="008F5B23" w:rsidP="00A50609">
      <w:pPr>
        <w:autoSpaceDE w:val="0"/>
        <w:autoSpaceDN w:val="0"/>
        <w:adjustRightInd w:val="0"/>
        <w:ind w:left="851"/>
        <w:rPr>
          <w:sz w:val="24"/>
          <w:szCs w:val="24"/>
          <w:lang w:val="en-US"/>
        </w:rPr>
      </w:pPr>
    </w:p>
    <w:p w14:paraId="19185D98" w14:textId="77777777" w:rsidR="008F5B23" w:rsidRPr="00A50609" w:rsidRDefault="008F5B23" w:rsidP="00A50609">
      <w:pPr>
        <w:ind w:left="851"/>
        <w:rPr>
          <w:b/>
          <w:sz w:val="24"/>
          <w:szCs w:val="24"/>
          <w:u w:val="single"/>
          <w:lang w:val="en-US"/>
        </w:rPr>
      </w:pPr>
      <w:r w:rsidRPr="00A50609">
        <w:rPr>
          <w:b/>
          <w:sz w:val="24"/>
          <w:szCs w:val="24"/>
          <w:u w:val="single"/>
          <w:lang w:val="en-US"/>
        </w:rPr>
        <w:t>Risk of ischaemic stroke</w:t>
      </w:r>
    </w:p>
    <w:p w14:paraId="56CB5766" w14:textId="77777777" w:rsidR="008F5B23" w:rsidRPr="00A50609" w:rsidRDefault="008F5B23" w:rsidP="00A50609">
      <w:pPr>
        <w:ind w:left="851"/>
        <w:rPr>
          <w:sz w:val="24"/>
          <w:szCs w:val="24"/>
          <w:lang w:val="en-US"/>
        </w:rPr>
      </w:pPr>
      <w:r w:rsidRPr="00A50609">
        <w:rPr>
          <w:sz w:val="24"/>
          <w:szCs w:val="24"/>
          <w:lang w:val="en-US"/>
        </w:rPr>
        <w:t>The use of oestrogen-only and oestrogen+progestogen therapy is associated with an up to 1.5-fold increased relative risk of ischaemic stroke. The risk of haemorrhagic stroke is not increased during use of HRT.</w:t>
      </w:r>
    </w:p>
    <w:p w14:paraId="51E4D353" w14:textId="77777777" w:rsidR="008F5B23" w:rsidRPr="00A50609" w:rsidRDefault="008F5B23" w:rsidP="00A50609">
      <w:pPr>
        <w:ind w:left="851"/>
        <w:rPr>
          <w:sz w:val="24"/>
          <w:szCs w:val="24"/>
          <w:lang w:val="en-US"/>
        </w:rPr>
      </w:pPr>
    </w:p>
    <w:p w14:paraId="528BE6E0" w14:textId="77777777" w:rsidR="008F5B23" w:rsidRPr="00A50609" w:rsidRDefault="008F5B23" w:rsidP="00A50609">
      <w:pPr>
        <w:ind w:left="851"/>
        <w:rPr>
          <w:sz w:val="24"/>
          <w:szCs w:val="24"/>
          <w:lang w:val="en-US"/>
        </w:rPr>
      </w:pPr>
      <w:r w:rsidRPr="00A50609">
        <w:rPr>
          <w:sz w:val="24"/>
          <w:szCs w:val="24"/>
          <w:lang w:val="en-US"/>
        </w:rPr>
        <w:t>This relative risk is not dependent on age or duration of use, but as the baseline risk is strongly age-dependent, the overall risk of stroke in women who use HRT will increase with age (see section 4.4).</w:t>
      </w:r>
    </w:p>
    <w:p w14:paraId="5C250367" w14:textId="77777777" w:rsidR="008F5B23" w:rsidRPr="00A50609" w:rsidRDefault="008F5B23" w:rsidP="00A50609">
      <w:pPr>
        <w:ind w:left="851"/>
        <w:rPr>
          <w:sz w:val="24"/>
          <w:szCs w:val="24"/>
          <w:lang w:val="en-US"/>
        </w:rPr>
      </w:pPr>
    </w:p>
    <w:p w14:paraId="134B1531" w14:textId="77777777" w:rsidR="008F5B23" w:rsidRPr="00A50609" w:rsidRDefault="008F5B23" w:rsidP="008F5B23">
      <w:pPr>
        <w:rPr>
          <w:sz w:val="24"/>
          <w:szCs w:val="24"/>
          <w:u w:val="single"/>
          <w:lang w:val="en-US"/>
        </w:rPr>
      </w:pPr>
      <w:r w:rsidRPr="00A50609">
        <w:rPr>
          <w:b/>
          <w:sz w:val="24"/>
          <w:szCs w:val="24"/>
          <w:lang w:val="en-US"/>
        </w:rPr>
        <w:t>WHI studies combined - Additional risk of ischaemic stroke</w:t>
      </w:r>
      <w:r w:rsidRPr="00A50609">
        <w:rPr>
          <w:b/>
          <w:sz w:val="24"/>
          <w:szCs w:val="24"/>
          <w:vertAlign w:val="superscript"/>
          <w:lang w:val="en-US"/>
        </w:rPr>
        <w:t>b</w:t>
      </w:r>
      <w:r w:rsidRPr="00A50609">
        <w:rPr>
          <w:b/>
          <w:sz w:val="24"/>
          <w:szCs w:val="24"/>
          <w:lang w:val="en-US"/>
        </w:rPr>
        <w:t xml:space="preserve"> over 5 years’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375"/>
        <w:gridCol w:w="2375"/>
        <w:gridCol w:w="2375"/>
      </w:tblGrid>
      <w:tr w:rsidR="008F5B23" w:rsidRPr="002B11A1" w14:paraId="47B1B073" w14:textId="77777777" w:rsidTr="008F5B23">
        <w:tc>
          <w:tcPr>
            <w:tcW w:w="2375" w:type="dxa"/>
            <w:tcBorders>
              <w:top w:val="single" w:sz="4" w:space="0" w:color="auto"/>
              <w:left w:val="single" w:sz="4" w:space="0" w:color="auto"/>
              <w:bottom w:val="single" w:sz="4" w:space="0" w:color="auto"/>
              <w:right w:val="single" w:sz="4" w:space="0" w:color="auto"/>
            </w:tcBorders>
            <w:hideMark/>
          </w:tcPr>
          <w:p w14:paraId="4278AD40" w14:textId="77777777" w:rsidR="008F5B23" w:rsidRDefault="008F5B23">
            <w:pPr>
              <w:spacing w:line="256" w:lineRule="auto"/>
              <w:rPr>
                <w:sz w:val="22"/>
                <w:szCs w:val="22"/>
              </w:rPr>
            </w:pPr>
            <w:r>
              <w:rPr>
                <w:sz w:val="22"/>
                <w:szCs w:val="22"/>
              </w:rPr>
              <w:t>Age range (years)</w:t>
            </w:r>
          </w:p>
        </w:tc>
        <w:tc>
          <w:tcPr>
            <w:tcW w:w="2375" w:type="dxa"/>
            <w:tcBorders>
              <w:top w:val="single" w:sz="4" w:space="0" w:color="auto"/>
              <w:left w:val="single" w:sz="4" w:space="0" w:color="auto"/>
              <w:bottom w:val="single" w:sz="4" w:space="0" w:color="auto"/>
              <w:right w:val="single" w:sz="4" w:space="0" w:color="auto"/>
            </w:tcBorders>
            <w:hideMark/>
          </w:tcPr>
          <w:p w14:paraId="2A9B4FC9" w14:textId="77777777" w:rsidR="008F5B23" w:rsidRPr="008F5B23" w:rsidRDefault="008F5B23">
            <w:pPr>
              <w:spacing w:line="256" w:lineRule="auto"/>
              <w:rPr>
                <w:sz w:val="22"/>
                <w:szCs w:val="22"/>
                <w:lang w:val="en-US"/>
              </w:rPr>
            </w:pPr>
            <w:r w:rsidRPr="008F5B23">
              <w:rPr>
                <w:sz w:val="22"/>
                <w:szCs w:val="22"/>
                <w:lang w:val="en-US"/>
              </w:rPr>
              <w:t>Incidence</w:t>
            </w:r>
          </w:p>
          <w:p w14:paraId="23509C33" w14:textId="77777777" w:rsidR="008F5B23" w:rsidRPr="008F5B23" w:rsidRDefault="008F5B23">
            <w:pPr>
              <w:spacing w:line="256" w:lineRule="auto"/>
              <w:rPr>
                <w:sz w:val="22"/>
                <w:szCs w:val="22"/>
                <w:lang w:val="en-US"/>
              </w:rPr>
            </w:pPr>
            <w:r w:rsidRPr="008F5B23">
              <w:rPr>
                <w:sz w:val="22"/>
                <w:szCs w:val="22"/>
                <w:lang w:val="en-US"/>
              </w:rPr>
              <w:t>per 1000 women in</w:t>
            </w:r>
          </w:p>
          <w:p w14:paraId="6685239F" w14:textId="77777777" w:rsidR="008F5B23" w:rsidRPr="008F5B23" w:rsidRDefault="008F5B23">
            <w:pPr>
              <w:spacing w:line="256" w:lineRule="auto"/>
              <w:rPr>
                <w:sz w:val="22"/>
                <w:szCs w:val="22"/>
                <w:u w:val="single"/>
                <w:lang w:val="en-US"/>
              </w:rPr>
            </w:pPr>
            <w:r w:rsidRPr="008F5B23">
              <w:rPr>
                <w:sz w:val="22"/>
                <w:szCs w:val="22"/>
                <w:lang w:val="en-US"/>
              </w:rPr>
              <w:t>placebo arm over 5 years</w:t>
            </w:r>
          </w:p>
        </w:tc>
        <w:tc>
          <w:tcPr>
            <w:tcW w:w="2375" w:type="dxa"/>
            <w:tcBorders>
              <w:top w:val="single" w:sz="4" w:space="0" w:color="auto"/>
              <w:left w:val="single" w:sz="4" w:space="0" w:color="auto"/>
              <w:bottom w:val="single" w:sz="4" w:space="0" w:color="auto"/>
              <w:right w:val="single" w:sz="4" w:space="0" w:color="auto"/>
            </w:tcBorders>
            <w:hideMark/>
          </w:tcPr>
          <w:p w14:paraId="1CB47576" w14:textId="77777777" w:rsidR="008F5B23" w:rsidRDefault="008F5B23">
            <w:pPr>
              <w:spacing w:line="256" w:lineRule="auto"/>
              <w:rPr>
                <w:sz w:val="22"/>
                <w:szCs w:val="22"/>
              </w:rPr>
            </w:pPr>
            <w:r>
              <w:rPr>
                <w:sz w:val="22"/>
                <w:szCs w:val="22"/>
              </w:rPr>
              <w:t>Risk ratio and</w:t>
            </w:r>
          </w:p>
          <w:p w14:paraId="520AFC85" w14:textId="77777777" w:rsidR="008F5B23" w:rsidRDefault="008F5B23">
            <w:pPr>
              <w:spacing w:line="256" w:lineRule="auto"/>
              <w:rPr>
                <w:sz w:val="22"/>
                <w:szCs w:val="22"/>
                <w:u w:val="single"/>
              </w:rPr>
            </w:pPr>
            <w:r>
              <w:rPr>
                <w:sz w:val="22"/>
                <w:szCs w:val="22"/>
              </w:rPr>
              <w:t>95%CI</w:t>
            </w:r>
          </w:p>
        </w:tc>
        <w:tc>
          <w:tcPr>
            <w:tcW w:w="2375" w:type="dxa"/>
            <w:tcBorders>
              <w:top w:val="single" w:sz="4" w:space="0" w:color="auto"/>
              <w:left w:val="single" w:sz="4" w:space="0" w:color="auto"/>
              <w:bottom w:val="single" w:sz="4" w:space="0" w:color="auto"/>
              <w:right w:val="single" w:sz="4" w:space="0" w:color="auto"/>
            </w:tcBorders>
            <w:hideMark/>
          </w:tcPr>
          <w:p w14:paraId="0A864D31" w14:textId="77777777" w:rsidR="008F5B23" w:rsidRPr="008F5B23" w:rsidRDefault="008F5B23">
            <w:pPr>
              <w:spacing w:line="256" w:lineRule="auto"/>
              <w:rPr>
                <w:sz w:val="22"/>
                <w:szCs w:val="22"/>
                <w:lang w:val="en-US"/>
              </w:rPr>
            </w:pPr>
            <w:r w:rsidRPr="008F5B23">
              <w:rPr>
                <w:sz w:val="22"/>
                <w:szCs w:val="22"/>
                <w:lang w:val="en-US"/>
              </w:rPr>
              <w:t>Additional cases per 1000</w:t>
            </w:r>
          </w:p>
          <w:p w14:paraId="5D4C003B" w14:textId="77777777" w:rsidR="008F5B23" w:rsidRPr="008F5B23" w:rsidRDefault="008F5B23">
            <w:pPr>
              <w:spacing w:line="256" w:lineRule="auto"/>
              <w:rPr>
                <w:sz w:val="22"/>
                <w:szCs w:val="22"/>
                <w:u w:val="single"/>
                <w:lang w:val="en-US"/>
              </w:rPr>
            </w:pPr>
            <w:r w:rsidRPr="008F5B23">
              <w:rPr>
                <w:sz w:val="22"/>
                <w:szCs w:val="22"/>
                <w:lang w:val="en-US"/>
              </w:rPr>
              <w:t>HRT users over 5 years</w:t>
            </w:r>
          </w:p>
        </w:tc>
      </w:tr>
      <w:tr w:rsidR="008F5B23" w14:paraId="623B9AD6" w14:textId="77777777" w:rsidTr="008F5B23">
        <w:tc>
          <w:tcPr>
            <w:tcW w:w="2375" w:type="dxa"/>
            <w:tcBorders>
              <w:top w:val="single" w:sz="4" w:space="0" w:color="auto"/>
              <w:left w:val="single" w:sz="4" w:space="0" w:color="auto"/>
              <w:bottom w:val="single" w:sz="4" w:space="0" w:color="auto"/>
              <w:right w:val="single" w:sz="4" w:space="0" w:color="auto"/>
            </w:tcBorders>
            <w:hideMark/>
          </w:tcPr>
          <w:p w14:paraId="06CAFD87" w14:textId="77777777" w:rsidR="008F5B23" w:rsidRDefault="008F5B23">
            <w:pPr>
              <w:spacing w:line="256" w:lineRule="auto"/>
              <w:rPr>
                <w:sz w:val="22"/>
                <w:szCs w:val="22"/>
              </w:rPr>
            </w:pPr>
            <w:r>
              <w:rPr>
                <w:sz w:val="22"/>
                <w:szCs w:val="22"/>
              </w:rPr>
              <w:t>50 - 59</w:t>
            </w:r>
          </w:p>
        </w:tc>
        <w:tc>
          <w:tcPr>
            <w:tcW w:w="2375" w:type="dxa"/>
            <w:tcBorders>
              <w:top w:val="single" w:sz="4" w:space="0" w:color="auto"/>
              <w:left w:val="single" w:sz="4" w:space="0" w:color="auto"/>
              <w:bottom w:val="single" w:sz="4" w:space="0" w:color="auto"/>
              <w:right w:val="single" w:sz="4" w:space="0" w:color="auto"/>
            </w:tcBorders>
            <w:hideMark/>
          </w:tcPr>
          <w:p w14:paraId="346CDE0A" w14:textId="77777777" w:rsidR="008F5B23" w:rsidRDefault="008F5B23">
            <w:pPr>
              <w:spacing w:line="256" w:lineRule="auto"/>
              <w:rPr>
                <w:sz w:val="22"/>
                <w:szCs w:val="22"/>
              </w:rPr>
            </w:pPr>
            <w:r>
              <w:rPr>
                <w:sz w:val="22"/>
                <w:szCs w:val="22"/>
              </w:rPr>
              <w:t>8</w:t>
            </w:r>
          </w:p>
        </w:tc>
        <w:tc>
          <w:tcPr>
            <w:tcW w:w="2375" w:type="dxa"/>
            <w:tcBorders>
              <w:top w:val="single" w:sz="4" w:space="0" w:color="auto"/>
              <w:left w:val="single" w:sz="4" w:space="0" w:color="auto"/>
              <w:bottom w:val="single" w:sz="4" w:space="0" w:color="auto"/>
              <w:right w:val="single" w:sz="4" w:space="0" w:color="auto"/>
            </w:tcBorders>
            <w:hideMark/>
          </w:tcPr>
          <w:p w14:paraId="4F8EEFBC" w14:textId="77777777" w:rsidR="008F5B23" w:rsidRDefault="008F5B23">
            <w:pPr>
              <w:spacing w:line="256" w:lineRule="auto"/>
              <w:rPr>
                <w:sz w:val="22"/>
                <w:szCs w:val="22"/>
              </w:rPr>
            </w:pPr>
            <w:r>
              <w:rPr>
                <w:sz w:val="22"/>
                <w:szCs w:val="22"/>
              </w:rPr>
              <w:t>1.3 (1.1 - 1.6)</w:t>
            </w:r>
          </w:p>
        </w:tc>
        <w:tc>
          <w:tcPr>
            <w:tcW w:w="2375" w:type="dxa"/>
            <w:tcBorders>
              <w:top w:val="single" w:sz="4" w:space="0" w:color="auto"/>
              <w:left w:val="single" w:sz="4" w:space="0" w:color="auto"/>
              <w:bottom w:val="single" w:sz="4" w:space="0" w:color="auto"/>
              <w:right w:val="single" w:sz="4" w:space="0" w:color="auto"/>
            </w:tcBorders>
            <w:hideMark/>
          </w:tcPr>
          <w:p w14:paraId="398FF1CA" w14:textId="77777777" w:rsidR="008F5B23" w:rsidRDefault="008F5B23">
            <w:pPr>
              <w:spacing w:line="256" w:lineRule="auto"/>
              <w:rPr>
                <w:sz w:val="22"/>
                <w:szCs w:val="22"/>
              </w:rPr>
            </w:pPr>
            <w:r>
              <w:rPr>
                <w:sz w:val="22"/>
                <w:szCs w:val="22"/>
              </w:rPr>
              <w:t>3 (1 - 5)</w:t>
            </w:r>
          </w:p>
        </w:tc>
      </w:tr>
    </w:tbl>
    <w:p w14:paraId="308BE3FF" w14:textId="77777777" w:rsidR="008F5B23" w:rsidRDefault="008F5B23" w:rsidP="008F5B23">
      <w:pPr>
        <w:ind w:left="142"/>
        <w:rPr>
          <w:sz w:val="20"/>
          <w:szCs w:val="24"/>
          <w:lang w:val="en-US"/>
        </w:rPr>
      </w:pPr>
      <w:r>
        <w:rPr>
          <w:position w:val="7"/>
          <w:sz w:val="20"/>
          <w:lang w:val="en-US"/>
        </w:rPr>
        <w:t>b</w:t>
      </w:r>
      <w:r>
        <w:rPr>
          <w:spacing w:val="10"/>
          <w:position w:val="7"/>
          <w:sz w:val="20"/>
          <w:lang w:val="en-US"/>
        </w:rPr>
        <w:t xml:space="preserve"> </w:t>
      </w:r>
      <w:r>
        <w:rPr>
          <w:sz w:val="20"/>
          <w:lang w:val="en-US"/>
        </w:rPr>
        <w:t xml:space="preserve">No </w:t>
      </w:r>
      <w:r>
        <w:rPr>
          <w:spacing w:val="-1"/>
          <w:sz w:val="20"/>
          <w:lang w:val="en-US"/>
        </w:rPr>
        <w:t>differentiation</w:t>
      </w:r>
      <w:r>
        <w:rPr>
          <w:sz w:val="20"/>
          <w:lang w:val="en-US"/>
        </w:rPr>
        <w:t xml:space="preserve"> was made </w:t>
      </w:r>
      <w:r>
        <w:rPr>
          <w:spacing w:val="-1"/>
          <w:sz w:val="20"/>
          <w:lang w:val="en-US"/>
        </w:rPr>
        <w:t>between</w:t>
      </w:r>
      <w:r>
        <w:rPr>
          <w:sz w:val="20"/>
          <w:lang w:val="en-US"/>
        </w:rPr>
        <w:t xml:space="preserve"> </w:t>
      </w:r>
      <w:r>
        <w:rPr>
          <w:spacing w:val="-1"/>
          <w:sz w:val="20"/>
          <w:lang w:val="en-US"/>
        </w:rPr>
        <w:t>ischaemic</w:t>
      </w:r>
      <w:r>
        <w:rPr>
          <w:sz w:val="20"/>
          <w:lang w:val="en-US"/>
        </w:rPr>
        <w:t xml:space="preserve"> and </w:t>
      </w:r>
      <w:r>
        <w:rPr>
          <w:spacing w:val="-1"/>
          <w:sz w:val="20"/>
          <w:lang w:val="en-US"/>
        </w:rPr>
        <w:t>haemorrhagic</w:t>
      </w:r>
      <w:r>
        <w:rPr>
          <w:sz w:val="20"/>
          <w:lang w:val="en-US"/>
        </w:rPr>
        <w:t xml:space="preserve"> stroke</w:t>
      </w:r>
    </w:p>
    <w:p w14:paraId="01B671AD" w14:textId="77777777" w:rsidR="008F5B23" w:rsidRPr="00A50609" w:rsidRDefault="008F5B23" w:rsidP="00A50609">
      <w:pPr>
        <w:ind w:left="851"/>
        <w:rPr>
          <w:sz w:val="24"/>
          <w:szCs w:val="24"/>
          <w:u w:val="single"/>
          <w:lang w:val="en-US"/>
        </w:rPr>
      </w:pPr>
    </w:p>
    <w:p w14:paraId="4F33AAA0" w14:textId="77777777" w:rsidR="008F5B23" w:rsidRPr="00A50609" w:rsidRDefault="008F5B23" w:rsidP="00A50609">
      <w:pPr>
        <w:ind w:left="851"/>
        <w:rPr>
          <w:sz w:val="24"/>
          <w:szCs w:val="24"/>
          <w:u w:val="single"/>
          <w:lang w:val="en-US"/>
        </w:rPr>
      </w:pPr>
      <w:r w:rsidRPr="00A50609">
        <w:rPr>
          <w:b/>
          <w:sz w:val="24"/>
          <w:szCs w:val="24"/>
          <w:u w:val="single"/>
          <w:lang w:val="en-US"/>
        </w:rPr>
        <w:t>Other adverse reactions have been reported in association with oestrogen/progestogen treatment:</w:t>
      </w:r>
      <w:r w:rsidRPr="00A50609">
        <w:rPr>
          <w:sz w:val="24"/>
          <w:szCs w:val="24"/>
          <w:u w:val="single"/>
          <w:lang w:val="en-US"/>
        </w:rPr>
        <w:br/>
      </w:r>
    </w:p>
    <w:p w14:paraId="0C259F7C" w14:textId="77777777" w:rsidR="008F5B23" w:rsidRPr="00A50609" w:rsidRDefault="008F5B23" w:rsidP="00A50609">
      <w:pPr>
        <w:spacing w:after="120"/>
        <w:ind w:left="851"/>
        <w:rPr>
          <w:sz w:val="24"/>
          <w:szCs w:val="24"/>
          <w:u w:val="single"/>
          <w:lang w:val="en-US"/>
        </w:rPr>
      </w:pPr>
      <w:r w:rsidRPr="00A50609">
        <w:rPr>
          <w:sz w:val="24"/>
          <w:szCs w:val="24"/>
          <w:u w:val="single"/>
          <w:lang w:val="en-US"/>
        </w:rPr>
        <w:t>Neoplasms benign, malignant and unspecified:</w:t>
      </w:r>
    </w:p>
    <w:p w14:paraId="1A641CFC" w14:textId="77777777" w:rsidR="008F5B23" w:rsidRPr="00A50609" w:rsidRDefault="008F5B23" w:rsidP="00A50609">
      <w:pPr>
        <w:spacing w:after="120"/>
        <w:ind w:left="851"/>
        <w:rPr>
          <w:sz w:val="24"/>
          <w:szCs w:val="24"/>
          <w:u w:val="single"/>
          <w:lang w:val="en-US"/>
        </w:rPr>
      </w:pPr>
      <w:r w:rsidRPr="00A50609">
        <w:rPr>
          <w:sz w:val="24"/>
          <w:szCs w:val="24"/>
          <w:lang w:val="en-US"/>
        </w:rPr>
        <w:t>Oestrogen- dependent neoplasms both benign and malignant, e.g. endometrial cancer, ovarian cancer. Increase in size of meningioma.</w:t>
      </w:r>
    </w:p>
    <w:p w14:paraId="0DB8A739" w14:textId="77777777" w:rsidR="008F5B23" w:rsidRPr="009B0A35" w:rsidRDefault="008F5B23" w:rsidP="00A50609">
      <w:pPr>
        <w:spacing w:after="120"/>
        <w:ind w:left="851"/>
        <w:rPr>
          <w:sz w:val="24"/>
          <w:szCs w:val="24"/>
          <w:u w:val="single"/>
          <w:lang w:val="en-US"/>
        </w:rPr>
      </w:pPr>
      <w:r w:rsidRPr="009B0A35">
        <w:rPr>
          <w:sz w:val="24"/>
          <w:szCs w:val="24"/>
          <w:u w:val="single"/>
          <w:lang w:val="en-US"/>
        </w:rPr>
        <w:t xml:space="preserve">Immune system disorders: </w:t>
      </w:r>
    </w:p>
    <w:p w14:paraId="7FF3E79B" w14:textId="77777777" w:rsidR="008F5B23" w:rsidRPr="009B0A35" w:rsidRDefault="008F5B23" w:rsidP="00A50609">
      <w:pPr>
        <w:spacing w:after="120"/>
        <w:ind w:left="851"/>
        <w:rPr>
          <w:sz w:val="24"/>
          <w:szCs w:val="24"/>
          <w:lang w:val="en-US"/>
        </w:rPr>
      </w:pPr>
      <w:r w:rsidRPr="009B0A35">
        <w:rPr>
          <w:sz w:val="24"/>
          <w:szCs w:val="24"/>
          <w:lang w:val="en-US"/>
        </w:rPr>
        <w:t>Systemic lupus erythematosus</w:t>
      </w:r>
    </w:p>
    <w:p w14:paraId="4B092476" w14:textId="77777777" w:rsidR="008F5B23" w:rsidRPr="009B0A35" w:rsidRDefault="008F5B23" w:rsidP="00A50609">
      <w:pPr>
        <w:spacing w:after="120"/>
        <w:ind w:left="851"/>
        <w:rPr>
          <w:sz w:val="24"/>
          <w:szCs w:val="24"/>
          <w:lang w:val="en-US"/>
        </w:rPr>
      </w:pPr>
      <w:r w:rsidRPr="009B0A35">
        <w:rPr>
          <w:sz w:val="24"/>
          <w:szCs w:val="24"/>
          <w:u w:val="single"/>
          <w:lang w:val="en-US"/>
        </w:rPr>
        <w:t>Metabolism and nutrition disorders</w:t>
      </w:r>
      <w:r w:rsidRPr="009B0A35">
        <w:rPr>
          <w:sz w:val="24"/>
          <w:szCs w:val="24"/>
          <w:lang w:val="en-US"/>
        </w:rPr>
        <w:t>:</w:t>
      </w:r>
    </w:p>
    <w:p w14:paraId="38C8A626" w14:textId="77777777" w:rsidR="008F5B23" w:rsidRPr="009B0A35" w:rsidRDefault="008F5B23" w:rsidP="00A50609">
      <w:pPr>
        <w:spacing w:after="120"/>
        <w:ind w:left="851"/>
        <w:rPr>
          <w:sz w:val="24"/>
          <w:szCs w:val="24"/>
          <w:lang w:val="en-US"/>
        </w:rPr>
      </w:pPr>
      <w:r w:rsidRPr="009B0A35">
        <w:rPr>
          <w:sz w:val="24"/>
          <w:szCs w:val="24"/>
          <w:lang w:val="en-US"/>
        </w:rPr>
        <w:t>Hypertriglyceridemia</w:t>
      </w:r>
    </w:p>
    <w:p w14:paraId="049ACD22" w14:textId="77777777" w:rsidR="008F5B23" w:rsidRPr="009B0A35" w:rsidRDefault="008F5B23" w:rsidP="00A50609">
      <w:pPr>
        <w:spacing w:after="120"/>
        <w:ind w:left="851"/>
        <w:rPr>
          <w:sz w:val="24"/>
          <w:szCs w:val="24"/>
          <w:u w:val="single"/>
          <w:lang w:val="en-US"/>
        </w:rPr>
      </w:pPr>
      <w:r w:rsidRPr="009B0A35">
        <w:rPr>
          <w:sz w:val="24"/>
          <w:szCs w:val="24"/>
          <w:u w:val="single"/>
          <w:lang w:val="en-US"/>
        </w:rPr>
        <w:t>Nervous system disorders:</w:t>
      </w:r>
    </w:p>
    <w:p w14:paraId="41BC5636" w14:textId="77777777" w:rsidR="008F5B23" w:rsidRPr="00A50609" w:rsidRDefault="008F5B23" w:rsidP="00A50609">
      <w:pPr>
        <w:spacing w:after="120"/>
        <w:ind w:left="851"/>
        <w:rPr>
          <w:sz w:val="24"/>
          <w:szCs w:val="24"/>
          <w:lang w:val="de-DE"/>
        </w:rPr>
      </w:pPr>
      <w:r w:rsidRPr="00A50609">
        <w:rPr>
          <w:sz w:val="24"/>
          <w:szCs w:val="24"/>
          <w:lang w:val="en-US"/>
        </w:rPr>
        <w:t>Probable dementia, chorea, exacerbation of epilepsy</w:t>
      </w:r>
    </w:p>
    <w:p w14:paraId="71442CAE" w14:textId="77777777" w:rsidR="008F5B23" w:rsidRPr="00A50609" w:rsidRDefault="008F5B23" w:rsidP="00A50609">
      <w:pPr>
        <w:spacing w:after="120"/>
        <w:ind w:left="851"/>
        <w:rPr>
          <w:sz w:val="24"/>
          <w:szCs w:val="24"/>
          <w:u w:val="single"/>
          <w:lang w:val="en-US"/>
        </w:rPr>
      </w:pPr>
      <w:r w:rsidRPr="00A50609">
        <w:rPr>
          <w:sz w:val="24"/>
          <w:szCs w:val="24"/>
          <w:u w:val="single"/>
          <w:lang w:val="en-US"/>
        </w:rPr>
        <w:t xml:space="preserve">Vascular disorders: </w:t>
      </w:r>
    </w:p>
    <w:p w14:paraId="5F7311F6" w14:textId="77777777" w:rsidR="008F5B23" w:rsidRPr="00A50609" w:rsidRDefault="008F5B23" w:rsidP="00A50609">
      <w:pPr>
        <w:spacing w:after="120"/>
        <w:ind w:left="851"/>
        <w:rPr>
          <w:sz w:val="24"/>
          <w:szCs w:val="24"/>
          <w:lang w:val="en-US"/>
        </w:rPr>
      </w:pPr>
      <w:r w:rsidRPr="00A50609">
        <w:rPr>
          <w:sz w:val="24"/>
          <w:szCs w:val="24"/>
          <w:lang w:val="en-US"/>
        </w:rPr>
        <w:t xml:space="preserve">Arterial thromboembolism </w:t>
      </w:r>
    </w:p>
    <w:p w14:paraId="5C84E2DB" w14:textId="77777777" w:rsidR="008F5B23" w:rsidRPr="00A50609" w:rsidRDefault="008F5B23" w:rsidP="00A50609">
      <w:pPr>
        <w:spacing w:after="120"/>
        <w:ind w:left="851"/>
        <w:rPr>
          <w:sz w:val="24"/>
          <w:szCs w:val="24"/>
          <w:lang w:val="en-US"/>
        </w:rPr>
      </w:pPr>
      <w:r w:rsidRPr="00A50609">
        <w:rPr>
          <w:sz w:val="24"/>
          <w:szCs w:val="24"/>
          <w:u w:val="single"/>
          <w:lang w:val="en-US"/>
        </w:rPr>
        <w:t>Gastrointestinal disorders:</w:t>
      </w:r>
      <w:r w:rsidRPr="00A50609">
        <w:rPr>
          <w:sz w:val="24"/>
          <w:szCs w:val="24"/>
          <w:lang w:val="en-US"/>
        </w:rPr>
        <w:t xml:space="preserve">  </w:t>
      </w:r>
    </w:p>
    <w:p w14:paraId="70FFD940" w14:textId="77777777" w:rsidR="008F5B23" w:rsidRPr="00A50609" w:rsidRDefault="008F5B23" w:rsidP="00A50609">
      <w:pPr>
        <w:spacing w:after="120"/>
        <w:ind w:left="851"/>
        <w:rPr>
          <w:sz w:val="24"/>
          <w:szCs w:val="24"/>
          <w:u w:val="single"/>
          <w:lang w:val="en-US"/>
        </w:rPr>
      </w:pPr>
      <w:r w:rsidRPr="00A50609">
        <w:rPr>
          <w:sz w:val="24"/>
          <w:szCs w:val="24"/>
          <w:lang w:val="en-US"/>
        </w:rPr>
        <w:t>Pancreatitis (in women with pre-existing hypertriglyceridemia)</w:t>
      </w:r>
    </w:p>
    <w:p w14:paraId="223E6975" w14:textId="77777777" w:rsidR="008F5B23" w:rsidRPr="00A50609" w:rsidRDefault="008F5B23" w:rsidP="00A50609">
      <w:pPr>
        <w:spacing w:after="120"/>
        <w:ind w:left="851"/>
        <w:rPr>
          <w:sz w:val="24"/>
          <w:szCs w:val="24"/>
          <w:u w:val="single"/>
          <w:lang w:val="en-US"/>
        </w:rPr>
      </w:pPr>
      <w:r w:rsidRPr="00A50609">
        <w:rPr>
          <w:sz w:val="24"/>
          <w:szCs w:val="24"/>
          <w:u w:val="single"/>
          <w:lang w:val="en-US"/>
        </w:rPr>
        <w:t xml:space="preserve">Skin and subcutaneous tissue disorders: </w:t>
      </w:r>
    </w:p>
    <w:p w14:paraId="4F60750F" w14:textId="77777777" w:rsidR="008F5B23" w:rsidRPr="00A50609" w:rsidRDefault="008F5B23" w:rsidP="00A50609">
      <w:pPr>
        <w:spacing w:after="120"/>
        <w:ind w:left="851"/>
        <w:rPr>
          <w:sz w:val="24"/>
          <w:szCs w:val="24"/>
          <w:lang w:val="en-US"/>
        </w:rPr>
      </w:pPr>
      <w:r w:rsidRPr="00A50609">
        <w:rPr>
          <w:sz w:val="24"/>
          <w:szCs w:val="24"/>
          <w:lang w:val="en-US"/>
        </w:rPr>
        <w:t>Erythema multiforme</w:t>
      </w:r>
    </w:p>
    <w:p w14:paraId="4277AC32" w14:textId="77777777" w:rsidR="008F5B23" w:rsidRPr="00A50609" w:rsidRDefault="008F5B23" w:rsidP="00A50609">
      <w:pPr>
        <w:spacing w:after="120"/>
        <w:ind w:left="851"/>
        <w:rPr>
          <w:sz w:val="24"/>
          <w:szCs w:val="24"/>
          <w:lang w:val="en-US"/>
        </w:rPr>
      </w:pPr>
      <w:r w:rsidRPr="00A50609">
        <w:rPr>
          <w:sz w:val="24"/>
          <w:szCs w:val="24"/>
          <w:u w:val="single"/>
          <w:lang w:val="en-US"/>
        </w:rPr>
        <w:t>Renal and urinary disorders:</w:t>
      </w:r>
      <w:r w:rsidRPr="00A50609">
        <w:rPr>
          <w:sz w:val="24"/>
          <w:szCs w:val="24"/>
          <w:lang w:val="en-US"/>
        </w:rPr>
        <w:t xml:space="preserve"> </w:t>
      </w:r>
    </w:p>
    <w:p w14:paraId="0415DBA6" w14:textId="77777777" w:rsidR="008F5B23" w:rsidRPr="00A50609" w:rsidRDefault="008F5B23" w:rsidP="00A50609">
      <w:pPr>
        <w:spacing w:after="120"/>
        <w:ind w:left="851"/>
        <w:rPr>
          <w:sz w:val="24"/>
          <w:szCs w:val="24"/>
          <w:lang w:val="de-DE"/>
        </w:rPr>
      </w:pPr>
      <w:r w:rsidRPr="00A50609">
        <w:rPr>
          <w:sz w:val="24"/>
          <w:szCs w:val="24"/>
          <w:lang w:val="en-US"/>
        </w:rPr>
        <w:t>Urinary incontinence</w:t>
      </w:r>
    </w:p>
    <w:p w14:paraId="55982ED8" w14:textId="77777777" w:rsidR="008F5B23" w:rsidRPr="00A50609" w:rsidRDefault="008F5B23" w:rsidP="00A50609">
      <w:pPr>
        <w:spacing w:after="120"/>
        <w:ind w:left="851"/>
        <w:rPr>
          <w:sz w:val="24"/>
          <w:szCs w:val="24"/>
          <w:lang w:val="en-GB"/>
        </w:rPr>
      </w:pPr>
      <w:r w:rsidRPr="00A50609">
        <w:rPr>
          <w:sz w:val="24"/>
          <w:szCs w:val="24"/>
          <w:u w:val="single"/>
          <w:lang w:val="en-GB"/>
        </w:rPr>
        <w:t>Reproductive system and breast disorders:</w:t>
      </w:r>
      <w:r w:rsidRPr="00A50609">
        <w:rPr>
          <w:sz w:val="24"/>
          <w:szCs w:val="24"/>
          <w:lang w:val="en-GB"/>
        </w:rPr>
        <w:t xml:space="preserve">  </w:t>
      </w:r>
    </w:p>
    <w:p w14:paraId="4A49EF82" w14:textId="77777777" w:rsidR="008F5B23" w:rsidRPr="00A50609" w:rsidRDefault="008F5B23" w:rsidP="00A50609">
      <w:pPr>
        <w:spacing w:after="120"/>
        <w:ind w:left="851"/>
        <w:rPr>
          <w:sz w:val="24"/>
          <w:szCs w:val="24"/>
          <w:lang w:val="en-GB"/>
        </w:rPr>
      </w:pPr>
      <w:r w:rsidRPr="00A50609">
        <w:rPr>
          <w:sz w:val="24"/>
          <w:szCs w:val="24"/>
          <w:lang w:val="en-GB"/>
        </w:rPr>
        <w:lastRenderedPageBreak/>
        <w:t>Fibrocystic breast disease, uterine cervical erosion</w:t>
      </w:r>
    </w:p>
    <w:p w14:paraId="11761C4E" w14:textId="77777777" w:rsidR="008F5B23" w:rsidRPr="00A50609" w:rsidRDefault="008F5B23" w:rsidP="00A50609">
      <w:pPr>
        <w:spacing w:after="120"/>
        <w:ind w:left="851"/>
        <w:rPr>
          <w:spacing w:val="-2"/>
          <w:sz w:val="24"/>
          <w:szCs w:val="24"/>
          <w:lang w:val="de-DE" w:eastAsia="nl-NL"/>
        </w:rPr>
      </w:pPr>
      <w:r w:rsidRPr="00A50609">
        <w:rPr>
          <w:spacing w:val="-2"/>
          <w:sz w:val="24"/>
          <w:szCs w:val="24"/>
          <w:u w:val="single"/>
          <w:lang w:val="en-US" w:eastAsia="nl-NL"/>
        </w:rPr>
        <w:t xml:space="preserve">Congenital, familial and genetic disorders: </w:t>
      </w:r>
    </w:p>
    <w:p w14:paraId="7B289A26" w14:textId="77777777" w:rsidR="008F5B23" w:rsidRPr="00A50609" w:rsidRDefault="008F5B23" w:rsidP="00A50609">
      <w:pPr>
        <w:spacing w:after="120"/>
        <w:ind w:left="851"/>
        <w:rPr>
          <w:i/>
          <w:spacing w:val="-2"/>
          <w:sz w:val="24"/>
          <w:szCs w:val="24"/>
          <w:lang w:val="en-US" w:eastAsia="nl-NL"/>
        </w:rPr>
      </w:pPr>
      <w:r w:rsidRPr="00A50609">
        <w:rPr>
          <w:spacing w:val="-2"/>
          <w:sz w:val="24"/>
          <w:szCs w:val="24"/>
          <w:lang w:val="en-US" w:eastAsia="nl-NL"/>
        </w:rPr>
        <w:t>Aggravated porphyria</w:t>
      </w:r>
    </w:p>
    <w:p w14:paraId="5FAE9E63" w14:textId="77777777" w:rsidR="008F5B23" w:rsidRPr="00A50609" w:rsidRDefault="008F5B23" w:rsidP="00A50609">
      <w:pPr>
        <w:spacing w:after="120"/>
        <w:ind w:left="851"/>
        <w:rPr>
          <w:i/>
          <w:sz w:val="24"/>
          <w:szCs w:val="24"/>
          <w:lang w:val="en-US" w:eastAsia="de-DE"/>
        </w:rPr>
      </w:pPr>
      <w:r w:rsidRPr="00A50609">
        <w:rPr>
          <w:iCs/>
          <w:sz w:val="24"/>
          <w:szCs w:val="24"/>
          <w:u w:val="single"/>
          <w:lang w:val="en-US" w:eastAsia="nl-NL"/>
        </w:rPr>
        <w:t>I</w:t>
      </w:r>
      <w:r w:rsidRPr="00A50609">
        <w:rPr>
          <w:sz w:val="24"/>
          <w:szCs w:val="24"/>
          <w:u w:val="single"/>
          <w:lang w:val="en-US"/>
        </w:rPr>
        <w:t>nvestigations</w:t>
      </w:r>
      <w:r w:rsidRPr="00A50609">
        <w:rPr>
          <w:sz w:val="24"/>
          <w:szCs w:val="24"/>
          <w:lang w:val="en-US"/>
        </w:rPr>
        <w:t>:</w:t>
      </w:r>
      <w:r w:rsidRPr="00A50609">
        <w:rPr>
          <w:i/>
          <w:sz w:val="24"/>
          <w:szCs w:val="24"/>
          <w:lang w:val="en-US"/>
        </w:rPr>
        <w:t xml:space="preserve"> </w:t>
      </w:r>
    </w:p>
    <w:p w14:paraId="0BD1A458" w14:textId="774F986A" w:rsidR="008F5B23" w:rsidRDefault="008F5B23" w:rsidP="00EB6976">
      <w:pPr>
        <w:spacing w:before="120" w:after="120"/>
        <w:ind w:left="851"/>
        <w:rPr>
          <w:sz w:val="24"/>
          <w:szCs w:val="24"/>
          <w:lang w:val="en-US"/>
        </w:rPr>
      </w:pPr>
      <w:r w:rsidRPr="00A50609">
        <w:rPr>
          <w:sz w:val="24"/>
          <w:szCs w:val="24"/>
          <w:lang w:val="en-US"/>
        </w:rPr>
        <w:t>Total thyroid hormones increase</w:t>
      </w:r>
      <w:r w:rsidR="00EB6976">
        <w:rPr>
          <w:sz w:val="24"/>
          <w:szCs w:val="24"/>
          <w:lang w:val="en-US"/>
        </w:rPr>
        <w:t>d</w:t>
      </w:r>
    </w:p>
    <w:p w14:paraId="43971BC2" w14:textId="77777777" w:rsidR="00EB6976" w:rsidRPr="00EB6976" w:rsidRDefault="00EB6976" w:rsidP="00EB6976">
      <w:pPr>
        <w:spacing w:before="120" w:after="120"/>
        <w:ind w:left="851"/>
        <w:rPr>
          <w:sz w:val="24"/>
          <w:szCs w:val="24"/>
          <w:lang w:val="en-US"/>
        </w:rPr>
      </w:pPr>
      <w:bookmarkStart w:id="5" w:name="_GoBack"/>
      <w:bookmarkEnd w:id="5"/>
    </w:p>
    <w:p w14:paraId="7302806E" w14:textId="77777777" w:rsidR="008F5B23" w:rsidRPr="00A50609" w:rsidRDefault="008F5B23" w:rsidP="00A50609">
      <w:pPr>
        <w:autoSpaceDE w:val="0"/>
        <w:autoSpaceDN w:val="0"/>
        <w:adjustRightInd w:val="0"/>
        <w:ind w:left="851"/>
        <w:rPr>
          <w:sz w:val="24"/>
          <w:szCs w:val="24"/>
          <w:u w:val="single"/>
          <w:lang w:val="en-US"/>
        </w:rPr>
      </w:pPr>
      <w:r w:rsidRPr="00A50609">
        <w:rPr>
          <w:sz w:val="24"/>
          <w:szCs w:val="24"/>
          <w:u w:val="single"/>
          <w:lang w:val="en-US"/>
        </w:rPr>
        <w:t>Reporting of suspected adverse reactions</w:t>
      </w:r>
    </w:p>
    <w:p w14:paraId="4CCB8E44" w14:textId="77777777" w:rsidR="008D5B72" w:rsidRDefault="008F5B23" w:rsidP="00A50609">
      <w:pPr>
        <w:ind w:left="851"/>
        <w:rPr>
          <w:sz w:val="24"/>
          <w:szCs w:val="24"/>
          <w:lang w:val="en-US"/>
        </w:rPr>
      </w:pPr>
      <w:r w:rsidRPr="00A50609">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D5B72">
        <w:rPr>
          <w:sz w:val="24"/>
          <w:szCs w:val="24"/>
          <w:lang w:val="en-US"/>
        </w:rPr>
        <w:t>:</w:t>
      </w:r>
    </w:p>
    <w:p w14:paraId="62997232" w14:textId="77777777" w:rsidR="008D5B72" w:rsidRPr="00715BFB" w:rsidRDefault="008D5B72" w:rsidP="00A50609">
      <w:pPr>
        <w:ind w:left="851"/>
        <w:rPr>
          <w:sz w:val="24"/>
          <w:szCs w:val="24"/>
          <w:lang w:val="en-US"/>
        </w:rPr>
      </w:pPr>
    </w:p>
    <w:p w14:paraId="785D0FBE" w14:textId="77777777" w:rsidR="00E66A59" w:rsidRPr="00715BFB" w:rsidRDefault="00E66A59" w:rsidP="00E66A59">
      <w:pPr>
        <w:ind w:left="851"/>
        <w:rPr>
          <w:sz w:val="24"/>
          <w:szCs w:val="24"/>
        </w:rPr>
      </w:pPr>
      <w:bookmarkStart w:id="6" w:name="_Hlk117501544"/>
      <w:bookmarkStart w:id="7" w:name="_Hlk112664459"/>
      <w:r w:rsidRPr="00715BFB">
        <w:rPr>
          <w:sz w:val="24"/>
          <w:szCs w:val="24"/>
        </w:rPr>
        <w:t>Lægemiddelstyrelsen</w:t>
      </w:r>
    </w:p>
    <w:p w14:paraId="2531D560" w14:textId="77777777" w:rsidR="00E66A59" w:rsidRPr="00715BFB" w:rsidRDefault="00E66A59" w:rsidP="00E66A59">
      <w:pPr>
        <w:ind w:left="851"/>
        <w:rPr>
          <w:sz w:val="24"/>
          <w:szCs w:val="24"/>
        </w:rPr>
      </w:pPr>
      <w:bookmarkStart w:id="8" w:name="_Hlk117501524"/>
      <w:bookmarkEnd w:id="6"/>
      <w:r w:rsidRPr="00715BFB">
        <w:rPr>
          <w:sz w:val="24"/>
          <w:szCs w:val="24"/>
        </w:rPr>
        <w:t>Axel Heides Gade 1</w:t>
      </w:r>
    </w:p>
    <w:p w14:paraId="03D38657" w14:textId="77777777" w:rsidR="00E66A59" w:rsidRPr="00715BFB" w:rsidRDefault="00E66A59" w:rsidP="00E66A59">
      <w:pPr>
        <w:ind w:left="851"/>
        <w:rPr>
          <w:sz w:val="24"/>
          <w:szCs w:val="24"/>
        </w:rPr>
      </w:pPr>
      <w:r w:rsidRPr="00715BFB">
        <w:rPr>
          <w:sz w:val="24"/>
          <w:szCs w:val="24"/>
        </w:rPr>
        <w:t>DK-2300 København S</w:t>
      </w:r>
    </w:p>
    <w:p w14:paraId="64D56F80" w14:textId="6D1EA8CF" w:rsidR="00E66A59" w:rsidRPr="00715BFB" w:rsidRDefault="00E66A59" w:rsidP="00E66A59">
      <w:pPr>
        <w:ind w:left="851"/>
        <w:rPr>
          <w:sz w:val="24"/>
          <w:szCs w:val="24"/>
          <w:lang w:val="en-US"/>
        </w:rPr>
      </w:pPr>
      <w:r w:rsidRPr="00715BFB">
        <w:rPr>
          <w:sz w:val="24"/>
          <w:szCs w:val="24"/>
          <w:lang w:val="en-US"/>
        </w:rPr>
        <w:t>Website: www.meldenbivirkning.dk</w:t>
      </w:r>
      <w:bookmarkEnd w:id="7"/>
      <w:bookmarkEnd w:id="8"/>
    </w:p>
    <w:p w14:paraId="43B0AECC" w14:textId="77777777" w:rsidR="007C5D2A" w:rsidRPr="00A50609" w:rsidRDefault="007C5D2A" w:rsidP="00A50609">
      <w:pPr>
        <w:tabs>
          <w:tab w:val="left" w:pos="851"/>
        </w:tabs>
        <w:ind w:left="851"/>
        <w:rPr>
          <w:sz w:val="24"/>
          <w:szCs w:val="24"/>
          <w:lang w:val="en-US"/>
        </w:rPr>
      </w:pPr>
    </w:p>
    <w:p w14:paraId="6C2EA624" w14:textId="77777777" w:rsidR="007C5D2A" w:rsidRPr="00A50609" w:rsidRDefault="007C5D2A" w:rsidP="00E66A59">
      <w:pPr>
        <w:tabs>
          <w:tab w:val="left" w:pos="851"/>
        </w:tabs>
        <w:ind w:left="851" w:hanging="851"/>
        <w:rPr>
          <w:b/>
          <w:sz w:val="24"/>
          <w:szCs w:val="24"/>
          <w:lang w:val="en-GB"/>
        </w:rPr>
      </w:pPr>
      <w:r w:rsidRPr="00A50609">
        <w:rPr>
          <w:b/>
          <w:sz w:val="24"/>
          <w:szCs w:val="24"/>
          <w:lang w:val="en-GB"/>
        </w:rPr>
        <w:t>4.9</w:t>
      </w:r>
      <w:r w:rsidRPr="00A50609">
        <w:rPr>
          <w:b/>
          <w:sz w:val="24"/>
          <w:szCs w:val="24"/>
          <w:lang w:val="en-GB"/>
        </w:rPr>
        <w:tab/>
        <w:t>Overdose</w:t>
      </w:r>
    </w:p>
    <w:p w14:paraId="140B3A06" w14:textId="71286728" w:rsidR="00C73AA3" w:rsidRDefault="00C73AA3" w:rsidP="00C73AA3">
      <w:pPr>
        <w:tabs>
          <w:tab w:val="left" w:pos="851"/>
        </w:tabs>
        <w:ind w:left="851"/>
        <w:rPr>
          <w:sz w:val="24"/>
          <w:szCs w:val="24"/>
          <w:lang w:val="de-DE"/>
        </w:rPr>
      </w:pPr>
      <w:r w:rsidRPr="00C73AA3">
        <w:rPr>
          <w:sz w:val="24"/>
          <w:szCs w:val="24"/>
          <w:lang w:val="de-DE"/>
        </w:rPr>
        <w:t xml:space="preserve">Both estradiol and dydrogesterone are substances with low toxicity. </w:t>
      </w:r>
      <w:r w:rsidRPr="00C73AA3">
        <w:rPr>
          <w:sz w:val="24"/>
          <w:szCs w:val="24"/>
          <w:lang w:val="en-US"/>
        </w:rPr>
        <w:t xml:space="preserve">Symptoms such as nausea, vomiting, breast tenderness, dizziness, abdominal pain, drowsiness/fatigue, and withdrawal bleeding could occur in cases of overdosing. </w:t>
      </w:r>
      <w:r w:rsidRPr="00C73AA3">
        <w:rPr>
          <w:sz w:val="24"/>
          <w:szCs w:val="24"/>
          <w:lang w:val="de-DE"/>
        </w:rPr>
        <w:t>It is unlikely that any specific or symptomatic treatment will be necessary.</w:t>
      </w:r>
    </w:p>
    <w:p w14:paraId="1124EE3B" w14:textId="18AB7A8E" w:rsidR="00715BFB" w:rsidRPr="00C73AA3" w:rsidRDefault="00715BFB" w:rsidP="00715BFB">
      <w:pPr>
        <w:tabs>
          <w:tab w:val="left" w:pos="851"/>
        </w:tabs>
        <w:rPr>
          <w:sz w:val="24"/>
          <w:szCs w:val="24"/>
          <w:lang w:val="de-DE"/>
        </w:rPr>
      </w:pPr>
    </w:p>
    <w:p w14:paraId="1435F5D4" w14:textId="77777777" w:rsidR="00AA1A2E" w:rsidRPr="00AA1A2E" w:rsidRDefault="00AA1A2E" w:rsidP="00AA1A2E">
      <w:pPr>
        <w:tabs>
          <w:tab w:val="left" w:pos="851"/>
        </w:tabs>
        <w:ind w:left="851"/>
        <w:rPr>
          <w:sz w:val="24"/>
          <w:szCs w:val="24"/>
          <w:u w:val="single"/>
          <w:lang w:val="en-GB"/>
        </w:rPr>
      </w:pPr>
      <w:r w:rsidRPr="00AA1A2E">
        <w:rPr>
          <w:sz w:val="24"/>
          <w:szCs w:val="24"/>
          <w:u w:val="single"/>
          <w:lang w:val="en-GB"/>
        </w:rPr>
        <w:t>Paediatric population:</w:t>
      </w:r>
    </w:p>
    <w:p w14:paraId="0DBDB7CC" w14:textId="77777777" w:rsidR="00C73AA3" w:rsidRPr="00C73AA3" w:rsidRDefault="00C73AA3" w:rsidP="00C73AA3">
      <w:pPr>
        <w:tabs>
          <w:tab w:val="left" w:pos="851"/>
        </w:tabs>
        <w:ind w:left="851"/>
        <w:rPr>
          <w:sz w:val="24"/>
          <w:szCs w:val="24"/>
          <w:lang w:val="de-DE"/>
        </w:rPr>
      </w:pPr>
      <w:r w:rsidRPr="00C73AA3">
        <w:rPr>
          <w:sz w:val="24"/>
          <w:szCs w:val="24"/>
          <w:lang w:val="de-DE"/>
        </w:rPr>
        <w:t>Aforementioned information is also applicable for overdosing in children.</w:t>
      </w:r>
    </w:p>
    <w:p w14:paraId="66B645B1" w14:textId="77777777" w:rsidR="007C5D2A" w:rsidRPr="00C73AA3" w:rsidRDefault="007C5D2A" w:rsidP="003E0341">
      <w:pPr>
        <w:tabs>
          <w:tab w:val="left" w:pos="851"/>
        </w:tabs>
        <w:ind w:left="851"/>
        <w:rPr>
          <w:sz w:val="24"/>
          <w:szCs w:val="24"/>
          <w:lang w:val="de-DE"/>
        </w:rPr>
      </w:pPr>
    </w:p>
    <w:p w14:paraId="799C8870"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052B3B89" w14:textId="239C42AF" w:rsidR="00AD2E36" w:rsidRPr="00303008" w:rsidRDefault="00EF6A13" w:rsidP="00AD2E36">
      <w:pPr>
        <w:tabs>
          <w:tab w:val="left" w:pos="851"/>
        </w:tabs>
        <w:ind w:left="851"/>
        <w:rPr>
          <w:sz w:val="24"/>
          <w:szCs w:val="24"/>
          <w:lang w:val="en-GB"/>
        </w:rPr>
      </w:pPr>
      <w:r>
        <w:rPr>
          <w:sz w:val="24"/>
          <w:szCs w:val="24"/>
          <w:lang w:val="en-GB"/>
        </w:rPr>
        <w:t>B</w:t>
      </w:r>
    </w:p>
    <w:p w14:paraId="66979A35" w14:textId="77777777" w:rsidR="007C5D2A" w:rsidRPr="00303008" w:rsidRDefault="007C5D2A" w:rsidP="003E0341">
      <w:pPr>
        <w:tabs>
          <w:tab w:val="left" w:pos="851"/>
        </w:tabs>
        <w:ind w:left="851"/>
        <w:rPr>
          <w:sz w:val="24"/>
          <w:szCs w:val="24"/>
          <w:lang w:val="en-GB"/>
        </w:rPr>
      </w:pPr>
    </w:p>
    <w:p w14:paraId="6103E03C" w14:textId="77777777" w:rsidR="00AD2E36" w:rsidRPr="00303008" w:rsidRDefault="00AD2E36" w:rsidP="003E0341">
      <w:pPr>
        <w:tabs>
          <w:tab w:val="left" w:pos="851"/>
        </w:tabs>
        <w:ind w:left="851"/>
        <w:rPr>
          <w:sz w:val="24"/>
          <w:szCs w:val="24"/>
          <w:lang w:val="en-GB"/>
        </w:rPr>
      </w:pPr>
    </w:p>
    <w:p w14:paraId="6CBE36BC"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846BB70" w14:textId="77777777" w:rsidR="007C5D2A" w:rsidRDefault="007C5D2A" w:rsidP="003E0341">
      <w:pPr>
        <w:tabs>
          <w:tab w:val="left" w:pos="851"/>
        </w:tabs>
        <w:ind w:left="851"/>
        <w:rPr>
          <w:sz w:val="24"/>
          <w:szCs w:val="24"/>
          <w:lang w:val="en-GB"/>
        </w:rPr>
      </w:pPr>
    </w:p>
    <w:p w14:paraId="2C919C5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44CB262" w14:textId="09124F15" w:rsidR="00817F48" w:rsidRPr="00817F48" w:rsidRDefault="00817F48" w:rsidP="00817F48">
      <w:pPr>
        <w:tabs>
          <w:tab w:val="left" w:pos="851"/>
        </w:tabs>
        <w:ind w:left="851"/>
        <w:rPr>
          <w:sz w:val="24"/>
          <w:szCs w:val="24"/>
          <w:lang w:val="de-DE"/>
        </w:rPr>
      </w:pPr>
      <w:r w:rsidRPr="00817F48">
        <w:rPr>
          <w:sz w:val="24"/>
          <w:szCs w:val="24"/>
          <w:lang w:val="de-DE"/>
        </w:rPr>
        <w:t>Pharmacotherapeutic group: Genito urinary system and sex hormones, progestogens and oestrogens, fixed combinations</w:t>
      </w:r>
      <w:r>
        <w:rPr>
          <w:sz w:val="24"/>
          <w:szCs w:val="24"/>
          <w:lang w:val="de-DE"/>
        </w:rPr>
        <w:t xml:space="preserve">, </w:t>
      </w:r>
      <w:r w:rsidRPr="00817F48">
        <w:rPr>
          <w:sz w:val="24"/>
          <w:szCs w:val="24"/>
          <w:lang w:val="de-DE"/>
        </w:rPr>
        <w:t xml:space="preserve">ATC code: G03FA14. </w:t>
      </w:r>
    </w:p>
    <w:p w14:paraId="5D640FEC" w14:textId="77777777" w:rsidR="00817F48" w:rsidRPr="00817F48" w:rsidRDefault="00817F48" w:rsidP="00817F48">
      <w:pPr>
        <w:tabs>
          <w:tab w:val="left" w:pos="851"/>
        </w:tabs>
        <w:ind w:left="851"/>
        <w:rPr>
          <w:sz w:val="24"/>
          <w:szCs w:val="24"/>
          <w:lang w:val="de-DE"/>
        </w:rPr>
      </w:pPr>
    </w:p>
    <w:p w14:paraId="62C3C505" w14:textId="77777777" w:rsidR="00817F48" w:rsidRPr="00817F48" w:rsidRDefault="00817F48" w:rsidP="00817F48">
      <w:pPr>
        <w:tabs>
          <w:tab w:val="left" w:pos="851"/>
        </w:tabs>
        <w:ind w:left="851"/>
        <w:rPr>
          <w:b/>
          <w:sz w:val="24"/>
          <w:szCs w:val="24"/>
          <w:u w:val="single"/>
          <w:lang w:val="de-DE"/>
        </w:rPr>
      </w:pPr>
      <w:r w:rsidRPr="00817F48">
        <w:rPr>
          <w:b/>
          <w:sz w:val="24"/>
          <w:szCs w:val="24"/>
          <w:u w:val="single"/>
          <w:lang w:val="de-DE"/>
        </w:rPr>
        <w:t>Estradiol</w:t>
      </w:r>
    </w:p>
    <w:p w14:paraId="0B6A4D6D" w14:textId="67928DEB" w:rsidR="00817F48" w:rsidRDefault="00817F48" w:rsidP="00817F48">
      <w:pPr>
        <w:tabs>
          <w:tab w:val="left" w:pos="851"/>
        </w:tabs>
        <w:ind w:left="851"/>
        <w:rPr>
          <w:sz w:val="24"/>
          <w:szCs w:val="24"/>
          <w:lang w:val="de-DE"/>
        </w:rPr>
      </w:pPr>
      <w:r w:rsidRPr="00817F48">
        <w:rPr>
          <w:sz w:val="24"/>
          <w:szCs w:val="24"/>
          <w:lang w:val="de-DE"/>
        </w:rPr>
        <w:t>The active ingredient, synthetic 17β-estradiol, is chemically and biologically identical to endogenous human estradiol. It substitutes for the loss of oestrogen production in menopausal women, and alleviates menopausal symptoms.</w:t>
      </w:r>
      <w:r w:rsidR="00A61366">
        <w:rPr>
          <w:sz w:val="24"/>
          <w:szCs w:val="24"/>
          <w:lang w:val="de-DE"/>
        </w:rPr>
        <w:t xml:space="preserve"> </w:t>
      </w:r>
      <w:r w:rsidR="00A61366" w:rsidRPr="00BC3DF5">
        <w:rPr>
          <w:sz w:val="22"/>
          <w:szCs w:val="22"/>
          <w:lang w:val="en-GB"/>
        </w:rPr>
        <w:t>Oestrogens prevent bone loss following menopause or ovariectomy.</w:t>
      </w:r>
    </w:p>
    <w:p w14:paraId="44F36DB1" w14:textId="77777777" w:rsidR="0085371D" w:rsidRPr="00817F48" w:rsidRDefault="0085371D" w:rsidP="00817F48">
      <w:pPr>
        <w:tabs>
          <w:tab w:val="left" w:pos="851"/>
        </w:tabs>
        <w:ind w:left="851"/>
        <w:rPr>
          <w:sz w:val="24"/>
          <w:szCs w:val="24"/>
          <w:lang w:val="de-DE"/>
        </w:rPr>
      </w:pPr>
    </w:p>
    <w:p w14:paraId="082904B3" w14:textId="77777777" w:rsidR="00817F48" w:rsidRPr="00817F48" w:rsidRDefault="00817F48" w:rsidP="00817F48">
      <w:pPr>
        <w:tabs>
          <w:tab w:val="left" w:pos="851"/>
        </w:tabs>
        <w:ind w:left="851"/>
        <w:rPr>
          <w:b/>
          <w:sz w:val="24"/>
          <w:szCs w:val="24"/>
          <w:u w:val="single"/>
          <w:lang w:val="de-DE"/>
        </w:rPr>
      </w:pPr>
      <w:r w:rsidRPr="00817F48">
        <w:rPr>
          <w:b/>
          <w:sz w:val="24"/>
          <w:szCs w:val="24"/>
          <w:u w:val="single"/>
          <w:lang w:val="de-DE"/>
        </w:rPr>
        <w:t>Dydrogesterone</w:t>
      </w:r>
    </w:p>
    <w:p w14:paraId="28A6000D" w14:textId="77777777" w:rsidR="00817F48" w:rsidRPr="00817F48" w:rsidRDefault="00817F48" w:rsidP="00817F48">
      <w:pPr>
        <w:tabs>
          <w:tab w:val="left" w:pos="851"/>
        </w:tabs>
        <w:ind w:left="851"/>
        <w:rPr>
          <w:sz w:val="24"/>
          <w:szCs w:val="24"/>
          <w:lang w:val="de-DE"/>
        </w:rPr>
      </w:pPr>
      <w:r w:rsidRPr="00817F48">
        <w:rPr>
          <w:sz w:val="24"/>
          <w:szCs w:val="24"/>
          <w:lang w:val="de-DE"/>
        </w:rPr>
        <w:t>Dydrogesterone is an orally-active progestogen having an activity comparable to parenterally administered progesterone.</w:t>
      </w:r>
    </w:p>
    <w:p w14:paraId="035CAEF8" w14:textId="77777777" w:rsidR="00817F48" w:rsidRPr="00817F48" w:rsidRDefault="00817F48" w:rsidP="00817F48">
      <w:pPr>
        <w:tabs>
          <w:tab w:val="left" w:pos="851"/>
        </w:tabs>
        <w:ind w:left="851"/>
        <w:rPr>
          <w:sz w:val="24"/>
          <w:szCs w:val="24"/>
          <w:lang w:val="de-DE"/>
        </w:rPr>
      </w:pPr>
      <w:r w:rsidRPr="00817F48">
        <w:rPr>
          <w:sz w:val="24"/>
          <w:szCs w:val="24"/>
          <w:lang w:val="de-DE"/>
        </w:rPr>
        <w:t xml:space="preserve">As oestrogens promote the growth of the endometrium, unopposed oestrogens increase the risk of endometrial hyperplasia and cancer. The addition of a progestogen greatly reduces the oestrogen-induced risk of endometrial hyperplasia in non-hysterectomised women.  </w:t>
      </w:r>
    </w:p>
    <w:p w14:paraId="15B11512" w14:textId="77777777" w:rsidR="00817F48" w:rsidRPr="00817F48" w:rsidRDefault="00817F48" w:rsidP="00817F48">
      <w:pPr>
        <w:tabs>
          <w:tab w:val="left" w:pos="851"/>
        </w:tabs>
        <w:ind w:left="851"/>
        <w:rPr>
          <w:sz w:val="24"/>
          <w:szCs w:val="24"/>
          <w:lang w:val="de-DE"/>
        </w:rPr>
      </w:pPr>
    </w:p>
    <w:p w14:paraId="45821720" w14:textId="77777777" w:rsidR="00817F48" w:rsidRPr="00817F48" w:rsidRDefault="00817F48" w:rsidP="00817F48">
      <w:pPr>
        <w:tabs>
          <w:tab w:val="left" w:pos="851"/>
        </w:tabs>
        <w:ind w:left="851"/>
        <w:rPr>
          <w:b/>
          <w:sz w:val="24"/>
          <w:szCs w:val="24"/>
          <w:u w:val="single"/>
          <w:lang w:val="de-DE"/>
        </w:rPr>
      </w:pPr>
      <w:r w:rsidRPr="00817F48">
        <w:rPr>
          <w:b/>
          <w:sz w:val="24"/>
          <w:szCs w:val="24"/>
          <w:u w:val="single"/>
          <w:lang w:val="de-DE"/>
        </w:rPr>
        <w:lastRenderedPageBreak/>
        <w:t>Clinical trial information</w:t>
      </w:r>
    </w:p>
    <w:p w14:paraId="2ABDFA52" w14:textId="77777777" w:rsidR="00817F48" w:rsidRPr="00817F48" w:rsidRDefault="00817F48" w:rsidP="0085371D">
      <w:pPr>
        <w:numPr>
          <w:ilvl w:val="0"/>
          <w:numId w:val="12"/>
        </w:numPr>
        <w:tabs>
          <w:tab w:val="clear" w:pos="720"/>
          <w:tab w:val="left" w:pos="851"/>
        </w:tabs>
        <w:ind w:left="1134" w:hanging="283"/>
        <w:rPr>
          <w:sz w:val="24"/>
          <w:szCs w:val="24"/>
          <w:lang w:val="de-DE"/>
        </w:rPr>
      </w:pPr>
      <w:r w:rsidRPr="00817F48">
        <w:rPr>
          <w:sz w:val="24"/>
          <w:szCs w:val="24"/>
          <w:lang w:val="de-DE"/>
        </w:rPr>
        <w:t>Relief of oestrogen-deficiency symptoms and b</w:t>
      </w:r>
      <w:smartTag w:uri="urn:schemas-microsoft-com:office:smarttags" w:element="PersonName">
        <w:r w:rsidRPr="00817F48">
          <w:rPr>
            <w:sz w:val="24"/>
            <w:szCs w:val="24"/>
            <w:lang w:val="de-DE"/>
          </w:rPr>
          <w:t>lee</w:t>
        </w:r>
      </w:smartTag>
      <w:r w:rsidRPr="00817F48">
        <w:rPr>
          <w:sz w:val="24"/>
          <w:szCs w:val="24"/>
          <w:lang w:val="de-DE"/>
        </w:rPr>
        <w:t>ding patterns</w:t>
      </w:r>
    </w:p>
    <w:p w14:paraId="5538F182" w14:textId="77777777" w:rsidR="00817F48" w:rsidRPr="00817F48" w:rsidRDefault="00817F48" w:rsidP="0085371D">
      <w:pPr>
        <w:numPr>
          <w:ilvl w:val="0"/>
          <w:numId w:val="12"/>
        </w:numPr>
        <w:tabs>
          <w:tab w:val="clear" w:pos="720"/>
          <w:tab w:val="left" w:pos="851"/>
        </w:tabs>
        <w:ind w:left="1134" w:hanging="283"/>
        <w:rPr>
          <w:sz w:val="24"/>
          <w:szCs w:val="24"/>
          <w:lang w:val="de-DE"/>
        </w:rPr>
      </w:pPr>
      <w:r w:rsidRPr="00817F48">
        <w:rPr>
          <w:sz w:val="24"/>
          <w:szCs w:val="24"/>
          <w:lang w:val="de-DE"/>
        </w:rPr>
        <w:t>Relief of menopausal symptoms was achieved during the first few weeks of treatment.</w:t>
      </w:r>
    </w:p>
    <w:p w14:paraId="74B11EC5" w14:textId="77777777" w:rsidR="00A61366" w:rsidRPr="00A61366" w:rsidRDefault="00817F48" w:rsidP="00A61366">
      <w:pPr>
        <w:tabs>
          <w:tab w:val="left" w:pos="851"/>
        </w:tabs>
        <w:ind w:left="851"/>
        <w:rPr>
          <w:sz w:val="24"/>
          <w:szCs w:val="24"/>
          <w:lang w:val="en-GB"/>
        </w:rPr>
      </w:pPr>
      <w:r w:rsidRPr="00817F48">
        <w:rPr>
          <w:sz w:val="24"/>
          <w:szCs w:val="24"/>
          <w:lang w:val="en-US"/>
        </w:rPr>
        <w:br/>
      </w:r>
      <w:r w:rsidR="00A61366" w:rsidRPr="00A61366">
        <w:rPr>
          <w:sz w:val="24"/>
          <w:szCs w:val="24"/>
          <w:lang w:val="en-GB"/>
        </w:rPr>
        <w:t>Amenorrhoea (no b</w:t>
      </w:r>
      <w:smartTag w:uri="urn:schemas-microsoft-com:office:smarttags" w:element="PersonName">
        <w:r w:rsidR="00A61366" w:rsidRPr="00A61366">
          <w:rPr>
            <w:sz w:val="24"/>
            <w:szCs w:val="24"/>
            <w:lang w:val="en-GB"/>
          </w:rPr>
          <w:t>lee</w:t>
        </w:r>
      </w:smartTag>
      <w:r w:rsidR="00A61366" w:rsidRPr="00A61366">
        <w:rPr>
          <w:sz w:val="24"/>
          <w:szCs w:val="24"/>
          <w:lang w:val="en-GB"/>
        </w:rPr>
        <w:t>ding or spotting) was seen in 88% of the women during months 10 to12 of treatment. Irregular b</w:t>
      </w:r>
      <w:smartTag w:uri="urn:schemas-microsoft-com:office:smarttags" w:element="PersonName">
        <w:r w:rsidR="00A61366" w:rsidRPr="00A61366">
          <w:rPr>
            <w:sz w:val="24"/>
            <w:szCs w:val="24"/>
            <w:lang w:val="en-GB"/>
          </w:rPr>
          <w:t>lee</w:t>
        </w:r>
      </w:smartTag>
      <w:r w:rsidR="00A61366" w:rsidRPr="00A61366">
        <w:rPr>
          <w:sz w:val="24"/>
          <w:szCs w:val="24"/>
          <w:lang w:val="en-GB"/>
        </w:rPr>
        <w:t>ding and/or spotting appeared in 15 % of the women during the first 3 months of treatment and in 12% during months 10 - 12 of treatment.</w:t>
      </w:r>
    </w:p>
    <w:p w14:paraId="49F6725D" w14:textId="77777777" w:rsidR="00A61366" w:rsidRPr="00A61366" w:rsidRDefault="00A61366" w:rsidP="00A61366">
      <w:pPr>
        <w:tabs>
          <w:tab w:val="left" w:pos="851"/>
        </w:tabs>
        <w:ind w:left="851"/>
        <w:rPr>
          <w:sz w:val="24"/>
          <w:szCs w:val="24"/>
          <w:lang w:val="en-GB"/>
        </w:rPr>
      </w:pPr>
    </w:p>
    <w:p w14:paraId="0E8E2AF0" w14:textId="77777777" w:rsidR="00A61366" w:rsidRPr="00A61366" w:rsidRDefault="00A61366" w:rsidP="00A61366">
      <w:pPr>
        <w:tabs>
          <w:tab w:val="left" w:pos="851"/>
        </w:tabs>
        <w:ind w:left="851"/>
        <w:rPr>
          <w:sz w:val="24"/>
          <w:szCs w:val="24"/>
          <w:lang w:val="en-GB"/>
        </w:rPr>
      </w:pPr>
    </w:p>
    <w:p w14:paraId="7F11E1CC" w14:textId="77777777" w:rsidR="00A61366" w:rsidRPr="00A61366" w:rsidRDefault="00A61366" w:rsidP="00A61366">
      <w:pPr>
        <w:tabs>
          <w:tab w:val="left" w:pos="851"/>
        </w:tabs>
        <w:ind w:left="851"/>
        <w:rPr>
          <w:sz w:val="24"/>
          <w:szCs w:val="24"/>
          <w:lang w:val="en-GB"/>
        </w:rPr>
      </w:pPr>
      <w:r w:rsidRPr="00A61366">
        <w:rPr>
          <w:sz w:val="24"/>
          <w:szCs w:val="24"/>
          <w:lang w:val="en-GB"/>
        </w:rPr>
        <w:t>Prevention of osteoporosis:</w:t>
      </w:r>
    </w:p>
    <w:p w14:paraId="4594E647" w14:textId="77777777" w:rsidR="00A61366" w:rsidRPr="00A61366" w:rsidRDefault="00A61366" w:rsidP="00A61366">
      <w:pPr>
        <w:tabs>
          <w:tab w:val="left" w:pos="851"/>
        </w:tabs>
        <w:ind w:left="851"/>
        <w:rPr>
          <w:sz w:val="24"/>
          <w:szCs w:val="24"/>
          <w:lang w:val="en-GB"/>
        </w:rPr>
      </w:pPr>
      <w:r w:rsidRPr="00A61366">
        <w:rPr>
          <w:sz w:val="24"/>
          <w:szCs w:val="24"/>
          <w:lang w:val="en-GB"/>
        </w:rPr>
        <w:t>Oestrogen deficiency at menopause is associated with increase in bone turnover and decline in bone mass. The effect of oestrogens on the bone mineral density is dose-dependent. Protection appears to be effective for as long as treatment is continued. After discontinuation of HRT, bone mass is lost at a rate similar to that in untreated women.</w:t>
      </w:r>
    </w:p>
    <w:p w14:paraId="7C531D76" w14:textId="77777777" w:rsidR="00A61366" w:rsidRPr="00A61366" w:rsidRDefault="00A61366" w:rsidP="00A61366">
      <w:pPr>
        <w:tabs>
          <w:tab w:val="left" w:pos="851"/>
        </w:tabs>
        <w:ind w:left="851"/>
        <w:rPr>
          <w:sz w:val="24"/>
          <w:szCs w:val="24"/>
          <w:lang w:val="en-GB"/>
        </w:rPr>
      </w:pPr>
    </w:p>
    <w:p w14:paraId="1B9E38BF" w14:textId="77777777" w:rsidR="00A61366" w:rsidRPr="00A61366" w:rsidRDefault="00A61366" w:rsidP="00A61366">
      <w:pPr>
        <w:tabs>
          <w:tab w:val="left" w:pos="851"/>
        </w:tabs>
        <w:ind w:left="851"/>
        <w:rPr>
          <w:sz w:val="24"/>
          <w:szCs w:val="24"/>
          <w:lang w:val="en-GB"/>
        </w:rPr>
      </w:pPr>
      <w:r w:rsidRPr="00A61366">
        <w:rPr>
          <w:sz w:val="24"/>
          <w:szCs w:val="24"/>
          <w:lang w:val="en-GB"/>
        </w:rPr>
        <w:t>Evidence from the WHI trial and meta-analysed trials shows that current use of HRT, alone or in combination with a progestogen – given to predominantly healthy women – reduces the risk of hip, vertebral, and other osteoporotic fractures. HRT may also prevent fractures in women with low bone density and/or established osteoporosis, but the evidence for that is limited.</w:t>
      </w:r>
    </w:p>
    <w:p w14:paraId="1FF3BB0D" w14:textId="77777777" w:rsidR="00A61366" w:rsidRPr="00A61366" w:rsidRDefault="00A61366" w:rsidP="00A61366">
      <w:pPr>
        <w:tabs>
          <w:tab w:val="left" w:pos="851"/>
        </w:tabs>
        <w:ind w:left="851"/>
        <w:rPr>
          <w:sz w:val="24"/>
          <w:szCs w:val="24"/>
          <w:lang w:val="en-GB"/>
        </w:rPr>
      </w:pPr>
    </w:p>
    <w:p w14:paraId="645B9605" w14:textId="77777777" w:rsidR="00A61366" w:rsidRPr="00A61366" w:rsidRDefault="00A61366" w:rsidP="00A61366">
      <w:pPr>
        <w:tabs>
          <w:tab w:val="left" w:pos="851"/>
        </w:tabs>
        <w:ind w:left="851"/>
        <w:rPr>
          <w:sz w:val="24"/>
          <w:szCs w:val="24"/>
          <w:lang w:val="en-GB"/>
        </w:rPr>
      </w:pPr>
      <w:r w:rsidRPr="00A61366">
        <w:rPr>
          <w:sz w:val="24"/>
          <w:szCs w:val="24"/>
          <w:lang w:val="en-GB"/>
        </w:rPr>
        <w:t>After one year of treatment with Femoston continu</w:t>
      </w:r>
      <w:r w:rsidRPr="00A61366">
        <w:rPr>
          <w:sz w:val="24"/>
          <w:szCs w:val="24"/>
          <w:lang w:val="en-US"/>
        </w:rPr>
        <w:t xml:space="preserve"> 1 /5</w:t>
      </w:r>
      <w:r w:rsidRPr="00A61366">
        <w:rPr>
          <w:sz w:val="24"/>
          <w:szCs w:val="24"/>
          <w:lang w:val="en-GB"/>
        </w:rPr>
        <w:t>, the increase in lumbar spine bone mineral density (BMD) was 4.0% ± 3.4 % (mean ± SD). The percentage of women who maintained or gained BMD during treatment was 90%.</w:t>
      </w:r>
    </w:p>
    <w:p w14:paraId="289735C7" w14:textId="77777777" w:rsidR="00A61366" w:rsidRPr="00A61366" w:rsidRDefault="00A61366" w:rsidP="00A61366">
      <w:pPr>
        <w:tabs>
          <w:tab w:val="left" w:pos="851"/>
        </w:tabs>
        <w:ind w:left="851"/>
        <w:rPr>
          <w:sz w:val="24"/>
          <w:szCs w:val="24"/>
          <w:lang w:val="en-GB"/>
        </w:rPr>
      </w:pPr>
      <w:r w:rsidRPr="00A61366">
        <w:rPr>
          <w:sz w:val="24"/>
          <w:szCs w:val="24"/>
          <w:lang w:val="en-GB"/>
        </w:rPr>
        <w:t>Femoston continu</w:t>
      </w:r>
      <w:r w:rsidRPr="00A61366">
        <w:rPr>
          <w:sz w:val="24"/>
          <w:szCs w:val="24"/>
          <w:lang w:val="en-US"/>
        </w:rPr>
        <w:t xml:space="preserve"> 1 /5 </w:t>
      </w:r>
      <w:r w:rsidRPr="00A61366">
        <w:rPr>
          <w:sz w:val="24"/>
          <w:szCs w:val="24"/>
          <w:lang w:val="en-GB"/>
        </w:rPr>
        <w:t>also had an effect on hip BMD. The increase after one year of treatment with Femoston continu</w:t>
      </w:r>
      <w:r w:rsidRPr="00A61366">
        <w:rPr>
          <w:sz w:val="24"/>
          <w:szCs w:val="24"/>
          <w:lang w:val="en-US"/>
        </w:rPr>
        <w:t xml:space="preserve"> 1 /5 </w:t>
      </w:r>
      <w:r w:rsidRPr="00A61366">
        <w:rPr>
          <w:sz w:val="24"/>
          <w:szCs w:val="24"/>
          <w:lang w:val="en-GB"/>
        </w:rPr>
        <w:t>was 1.5% ± 4.5 % (mean ± SD) at femoral neck, 3.7% ± 6.0% (mean ± SD) at trochanter and 2.1% ± 7.2% (mean ± SD) at Wards triangle. The percentage of women who maintained or gained BMD in the 3 hip areas during treatment was 71, 66 and 81% respectively.</w:t>
      </w:r>
    </w:p>
    <w:p w14:paraId="4A7D9498" w14:textId="3C0DB3A2" w:rsidR="00817F48" w:rsidRPr="00A61366" w:rsidRDefault="00817F48" w:rsidP="00817F48">
      <w:pPr>
        <w:tabs>
          <w:tab w:val="left" w:pos="851"/>
        </w:tabs>
        <w:ind w:left="851"/>
        <w:rPr>
          <w:sz w:val="24"/>
          <w:szCs w:val="24"/>
          <w:lang w:val="en-GB"/>
        </w:rPr>
      </w:pPr>
    </w:p>
    <w:p w14:paraId="0FE8A870" w14:textId="18881874" w:rsidR="007C5D2A"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381ED1E3" w14:textId="77777777" w:rsidR="00AB6614" w:rsidRPr="00303008" w:rsidRDefault="00AB6614" w:rsidP="007C5D2A">
      <w:pPr>
        <w:tabs>
          <w:tab w:val="left" w:pos="851"/>
        </w:tabs>
        <w:ind w:left="851" w:hanging="851"/>
        <w:rPr>
          <w:b/>
          <w:sz w:val="24"/>
          <w:szCs w:val="24"/>
          <w:lang w:val="en-GB"/>
        </w:rPr>
      </w:pPr>
    </w:p>
    <w:p w14:paraId="6C55375F" w14:textId="77777777" w:rsidR="0085371D" w:rsidRDefault="0085371D" w:rsidP="00AB6614">
      <w:pPr>
        <w:ind w:left="851"/>
        <w:rPr>
          <w:b/>
          <w:sz w:val="22"/>
          <w:szCs w:val="22"/>
          <w:u w:val="single"/>
        </w:rPr>
      </w:pPr>
      <w:r>
        <w:rPr>
          <w:b/>
          <w:sz w:val="22"/>
          <w:szCs w:val="22"/>
          <w:u w:val="single"/>
        </w:rPr>
        <w:t>Estradiol</w:t>
      </w:r>
    </w:p>
    <w:p w14:paraId="1C3A2EA6" w14:textId="77777777" w:rsidR="0085371D" w:rsidRDefault="0085371D" w:rsidP="00AB6614">
      <w:pPr>
        <w:ind w:left="851"/>
        <w:rPr>
          <w:b/>
          <w:sz w:val="22"/>
          <w:szCs w:val="22"/>
          <w:u w:val="single"/>
        </w:rPr>
      </w:pPr>
    </w:p>
    <w:p w14:paraId="7F1C68F2" w14:textId="77777777" w:rsidR="0085371D" w:rsidRDefault="0085371D" w:rsidP="00AB6614">
      <w:pPr>
        <w:numPr>
          <w:ilvl w:val="0"/>
          <w:numId w:val="13"/>
        </w:numPr>
        <w:tabs>
          <w:tab w:val="clear" w:pos="720"/>
          <w:tab w:val="num" w:pos="1134"/>
        </w:tabs>
        <w:ind w:left="1134" w:hanging="283"/>
        <w:rPr>
          <w:sz w:val="22"/>
          <w:szCs w:val="22"/>
        </w:rPr>
      </w:pPr>
      <w:r>
        <w:rPr>
          <w:sz w:val="22"/>
          <w:szCs w:val="22"/>
        </w:rPr>
        <w:t>Absorption:</w:t>
      </w:r>
    </w:p>
    <w:p w14:paraId="7FF31986" w14:textId="77777777" w:rsidR="0085371D" w:rsidRPr="0085371D" w:rsidRDefault="0085371D" w:rsidP="00AB6614">
      <w:pPr>
        <w:widowControl w:val="0"/>
        <w:ind w:left="851"/>
        <w:rPr>
          <w:sz w:val="22"/>
          <w:szCs w:val="22"/>
          <w:lang w:val="en-US"/>
        </w:rPr>
      </w:pPr>
      <w:r w:rsidRPr="0085371D">
        <w:rPr>
          <w:sz w:val="22"/>
          <w:szCs w:val="22"/>
          <w:lang w:val="en-US"/>
        </w:rPr>
        <w:t>Absorption of estradiol is dependent on the particle size: micronized estradiol is readily absorbed from the gastrointestinal tract.</w:t>
      </w:r>
      <w:r w:rsidRPr="0085371D">
        <w:rPr>
          <w:sz w:val="22"/>
          <w:szCs w:val="22"/>
          <w:lang w:val="en-US"/>
        </w:rPr>
        <w:br/>
      </w:r>
    </w:p>
    <w:p w14:paraId="2C273593" w14:textId="77777777" w:rsidR="0085371D" w:rsidRDefault="0085371D" w:rsidP="00AB6614">
      <w:pPr>
        <w:ind w:left="851"/>
        <w:rPr>
          <w:sz w:val="22"/>
          <w:szCs w:val="22"/>
          <w:lang w:val="en-US"/>
        </w:rPr>
      </w:pPr>
      <w:r>
        <w:rPr>
          <w:sz w:val="22"/>
          <w:szCs w:val="22"/>
          <w:lang w:val="en-US"/>
        </w:rPr>
        <w:t>The following table provides the mean steady state pharmacokinetic parameters of estradiol (E2), estrone (E1) and estrone sulphate (E1S) for each dose of micronized estradiol. Data is presented as mean (SD).</w:t>
      </w:r>
    </w:p>
    <w:p w14:paraId="4709B022" w14:textId="77777777" w:rsidR="0085371D" w:rsidRDefault="0085371D" w:rsidP="00AB6614">
      <w:pPr>
        <w:widowControl w:val="0"/>
        <w:ind w:left="851"/>
        <w:rPr>
          <w:sz w:val="22"/>
          <w:szCs w:val="22"/>
          <w:lang w:val="en-US"/>
        </w:rPr>
      </w:pPr>
    </w:p>
    <w:tbl>
      <w:tblPr>
        <w:tblW w:w="77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1540"/>
        <w:gridCol w:w="1541"/>
        <w:gridCol w:w="1540"/>
        <w:gridCol w:w="1541"/>
      </w:tblGrid>
      <w:tr w:rsidR="00160952" w:rsidRPr="00BC3DF5" w14:paraId="3BC56CC0" w14:textId="77777777" w:rsidTr="00160952">
        <w:trPr>
          <w:trHeight w:val="512"/>
        </w:trPr>
        <w:tc>
          <w:tcPr>
            <w:tcW w:w="7702" w:type="dxa"/>
            <w:gridSpan w:val="5"/>
            <w:shd w:val="clear" w:color="auto" w:fill="auto"/>
            <w:vAlign w:val="center"/>
          </w:tcPr>
          <w:p w14:paraId="5B328281" w14:textId="77777777" w:rsidR="00160952" w:rsidRPr="00BC3DF5" w:rsidRDefault="00160952" w:rsidP="00561C91">
            <w:pPr>
              <w:jc w:val="center"/>
              <w:rPr>
                <w:b/>
                <w:bCs/>
                <w:sz w:val="22"/>
                <w:szCs w:val="22"/>
              </w:rPr>
            </w:pPr>
            <w:r w:rsidRPr="00BC3DF5">
              <w:rPr>
                <w:b/>
                <w:bCs/>
                <w:sz w:val="22"/>
                <w:szCs w:val="22"/>
              </w:rPr>
              <w:t>Estradiol 1 mg</w:t>
            </w:r>
          </w:p>
        </w:tc>
      </w:tr>
      <w:tr w:rsidR="00160952" w:rsidRPr="00BC3DF5" w14:paraId="33110A2A" w14:textId="77777777" w:rsidTr="00160952">
        <w:tc>
          <w:tcPr>
            <w:tcW w:w="1540" w:type="dxa"/>
            <w:shd w:val="clear" w:color="auto" w:fill="auto"/>
          </w:tcPr>
          <w:p w14:paraId="1FE9CC15" w14:textId="77777777" w:rsidR="00160952" w:rsidRPr="00BC3DF5" w:rsidRDefault="00160952" w:rsidP="00561C91">
            <w:pPr>
              <w:jc w:val="center"/>
              <w:rPr>
                <w:sz w:val="22"/>
                <w:szCs w:val="22"/>
              </w:rPr>
            </w:pPr>
            <w:r w:rsidRPr="00BC3DF5">
              <w:rPr>
                <w:sz w:val="22"/>
                <w:szCs w:val="22"/>
              </w:rPr>
              <w:t>Parameters</w:t>
            </w:r>
          </w:p>
        </w:tc>
        <w:tc>
          <w:tcPr>
            <w:tcW w:w="1540" w:type="dxa"/>
            <w:shd w:val="clear" w:color="auto" w:fill="auto"/>
          </w:tcPr>
          <w:p w14:paraId="6746FC4C" w14:textId="77777777" w:rsidR="00160952" w:rsidRPr="00BC3DF5" w:rsidRDefault="00160952" w:rsidP="00561C91">
            <w:pPr>
              <w:jc w:val="center"/>
              <w:rPr>
                <w:sz w:val="22"/>
                <w:szCs w:val="22"/>
              </w:rPr>
            </w:pPr>
            <w:r w:rsidRPr="00BC3DF5">
              <w:rPr>
                <w:sz w:val="22"/>
                <w:szCs w:val="22"/>
              </w:rPr>
              <w:t>E2</w:t>
            </w:r>
          </w:p>
        </w:tc>
        <w:tc>
          <w:tcPr>
            <w:tcW w:w="1541" w:type="dxa"/>
            <w:shd w:val="clear" w:color="auto" w:fill="auto"/>
          </w:tcPr>
          <w:p w14:paraId="2949D211" w14:textId="77777777" w:rsidR="00160952" w:rsidRPr="00BC3DF5" w:rsidRDefault="00160952" w:rsidP="00561C91">
            <w:pPr>
              <w:jc w:val="center"/>
              <w:rPr>
                <w:sz w:val="22"/>
                <w:szCs w:val="22"/>
              </w:rPr>
            </w:pPr>
            <w:r w:rsidRPr="00BC3DF5">
              <w:rPr>
                <w:sz w:val="22"/>
                <w:szCs w:val="22"/>
              </w:rPr>
              <w:t>E1</w:t>
            </w:r>
          </w:p>
        </w:tc>
        <w:tc>
          <w:tcPr>
            <w:tcW w:w="1540" w:type="dxa"/>
            <w:shd w:val="clear" w:color="auto" w:fill="auto"/>
          </w:tcPr>
          <w:p w14:paraId="100CA394" w14:textId="77777777" w:rsidR="00160952" w:rsidRPr="00BC3DF5" w:rsidRDefault="00160952" w:rsidP="00561C91">
            <w:pPr>
              <w:jc w:val="center"/>
              <w:rPr>
                <w:sz w:val="22"/>
                <w:szCs w:val="22"/>
              </w:rPr>
            </w:pPr>
            <w:r w:rsidRPr="00BC3DF5">
              <w:rPr>
                <w:sz w:val="22"/>
                <w:szCs w:val="22"/>
              </w:rPr>
              <w:t>Parameters</w:t>
            </w:r>
          </w:p>
        </w:tc>
        <w:tc>
          <w:tcPr>
            <w:tcW w:w="1541" w:type="dxa"/>
            <w:shd w:val="clear" w:color="auto" w:fill="auto"/>
          </w:tcPr>
          <w:p w14:paraId="4FEC3098" w14:textId="77777777" w:rsidR="00160952" w:rsidRPr="00BC3DF5" w:rsidRDefault="00160952" w:rsidP="00561C91">
            <w:pPr>
              <w:jc w:val="center"/>
              <w:rPr>
                <w:sz w:val="22"/>
                <w:szCs w:val="22"/>
              </w:rPr>
            </w:pPr>
            <w:r w:rsidRPr="00BC3DF5">
              <w:rPr>
                <w:sz w:val="22"/>
                <w:szCs w:val="22"/>
              </w:rPr>
              <w:t>E1S</w:t>
            </w:r>
          </w:p>
        </w:tc>
      </w:tr>
      <w:tr w:rsidR="00160952" w:rsidRPr="00BC3DF5" w14:paraId="1BAFD481" w14:textId="77777777" w:rsidTr="00160952">
        <w:tc>
          <w:tcPr>
            <w:tcW w:w="1540" w:type="dxa"/>
            <w:shd w:val="clear" w:color="auto" w:fill="auto"/>
          </w:tcPr>
          <w:p w14:paraId="2FBFCA05" w14:textId="77777777" w:rsidR="00160952" w:rsidRPr="00BC3DF5" w:rsidRDefault="00160952" w:rsidP="00561C91">
            <w:pPr>
              <w:jc w:val="center"/>
              <w:rPr>
                <w:sz w:val="22"/>
                <w:szCs w:val="22"/>
              </w:rPr>
            </w:pPr>
            <w:r w:rsidRPr="00BC3DF5">
              <w:rPr>
                <w:sz w:val="22"/>
                <w:szCs w:val="22"/>
              </w:rPr>
              <w:t>Cmax (pg/mL)</w:t>
            </w:r>
          </w:p>
        </w:tc>
        <w:tc>
          <w:tcPr>
            <w:tcW w:w="1540" w:type="dxa"/>
            <w:shd w:val="clear" w:color="auto" w:fill="auto"/>
          </w:tcPr>
          <w:p w14:paraId="6BB5F6B5" w14:textId="77777777" w:rsidR="00160952" w:rsidRPr="00BC3DF5" w:rsidRDefault="00160952" w:rsidP="00561C91">
            <w:pPr>
              <w:jc w:val="center"/>
              <w:rPr>
                <w:sz w:val="22"/>
                <w:szCs w:val="22"/>
              </w:rPr>
            </w:pPr>
            <w:r w:rsidRPr="00BC3DF5">
              <w:rPr>
                <w:sz w:val="22"/>
                <w:szCs w:val="22"/>
              </w:rPr>
              <w:t>71 (36)</w:t>
            </w:r>
          </w:p>
        </w:tc>
        <w:tc>
          <w:tcPr>
            <w:tcW w:w="1541" w:type="dxa"/>
            <w:shd w:val="clear" w:color="auto" w:fill="auto"/>
          </w:tcPr>
          <w:p w14:paraId="3EC6763D" w14:textId="77777777" w:rsidR="00160952" w:rsidRPr="00BC3DF5" w:rsidRDefault="00160952" w:rsidP="00561C91">
            <w:pPr>
              <w:jc w:val="center"/>
              <w:rPr>
                <w:sz w:val="22"/>
                <w:szCs w:val="22"/>
              </w:rPr>
            </w:pPr>
            <w:r w:rsidRPr="00BC3DF5">
              <w:rPr>
                <w:sz w:val="22"/>
                <w:szCs w:val="22"/>
              </w:rPr>
              <w:t>310 (99)</w:t>
            </w:r>
          </w:p>
        </w:tc>
        <w:tc>
          <w:tcPr>
            <w:tcW w:w="1540" w:type="dxa"/>
            <w:shd w:val="clear" w:color="auto" w:fill="auto"/>
          </w:tcPr>
          <w:p w14:paraId="5EB2DEFF" w14:textId="77777777" w:rsidR="00160952" w:rsidRPr="00BC3DF5" w:rsidRDefault="00160952" w:rsidP="00561C91">
            <w:pPr>
              <w:jc w:val="center"/>
              <w:rPr>
                <w:sz w:val="22"/>
                <w:szCs w:val="22"/>
              </w:rPr>
            </w:pPr>
            <w:r w:rsidRPr="00BC3DF5">
              <w:rPr>
                <w:sz w:val="22"/>
                <w:szCs w:val="22"/>
              </w:rPr>
              <w:t>Cmax (ng/mL)</w:t>
            </w:r>
          </w:p>
        </w:tc>
        <w:tc>
          <w:tcPr>
            <w:tcW w:w="1541" w:type="dxa"/>
            <w:shd w:val="clear" w:color="auto" w:fill="auto"/>
          </w:tcPr>
          <w:p w14:paraId="0F21B881" w14:textId="77777777" w:rsidR="00160952" w:rsidRPr="00BC3DF5" w:rsidRDefault="00160952" w:rsidP="00561C91">
            <w:pPr>
              <w:jc w:val="center"/>
              <w:rPr>
                <w:sz w:val="22"/>
                <w:szCs w:val="22"/>
              </w:rPr>
            </w:pPr>
            <w:r w:rsidRPr="00BC3DF5">
              <w:rPr>
                <w:sz w:val="22"/>
                <w:szCs w:val="22"/>
              </w:rPr>
              <w:t>9.3 (3.9)</w:t>
            </w:r>
          </w:p>
        </w:tc>
      </w:tr>
      <w:tr w:rsidR="00160952" w:rsidRPr="00BC3DF5" w14:paraId="0D37DC1F" w14:textId="77777777" w:rsidTr="00160952">
        <w:tc>
          <w:tcPr>
            <w:tcW w:w="1540" w:type="dxa"/>
            <w:shd w:val="clear" w:color="auto" w:fill="auto"/>
          </w:tcPr>
          <w:p w14:paraId="43780FB6" w14:textId="77777777" w:rsidR="00160952" w:rsidRPr="00BC3DF5" w:rsidRDefault="00160952" w:rsidP="00561C91">
            <w:pPr>
              <w:jc w:val="center"/>
              <w:rPr>
                <w:sz w:val="22"/>
                <w:szCs w:val="22"/>
              </w:rPr>
            </w:pPr>
            <w:r w:rsidRPr="00BC3DF5">
              <w:rPr>
                <w:sz w:val="22"/>
                <w:szCs w:val="22"/>
              </w:rPr>
              <w:t>Cmin (pg/mL)</w:t>
            </w:r>
          </w:p>
        </w:tc>
        <w:tc>
          <w:tcPr>
            <w:tcW w:w="1540" w:type="dxa"/>
            <w:shd w:val="clear" w:color="auto" w:fill="auto"/>
          </w:tcPr>
          <w:p w14:paraId="6FFF9174" w14:textId="77777777" w:rsidR="00160952" w:rsidRPr="00BC3DF5" w:rsidRDefault="00160952" w:rsidP="00561C91">
            <w:pPr>
              <w:jc w:val="center"/>
              <w:rPr>
                <w:sz w:val="22"/>
                <w:szCs w:val="22"/>
              </w:rPr>
            </w:pPr>
            <w:r w:rsidRPr="00BC3DF5">
              <w:rPr>
                <w:sz w:val="22"/>
                <w:szCs w:val="22"/>
              </w:rPr>
              <w:t>18.6 (9.4)</w:t>
            </w:r>
          </w:p>
        </w:tc>
        <w:tc>
          <w:tcPr>
            <w:tcW w:w="1541" w:type="dxa"/>
            <w:shd w:val="clear" w:color="auto" w:fill="auto"/>
          </w:tcPr>
          <w:p w14:paraId="3A7C1543" w14:textId="77777777" w:rsidR="00160952" w:rsidRPr="00BC3DF5" w:rsidRDefault="00160952" w:rsidP="00561C91">
            <w:pPr>
              <w:jc w:val="center"/>
              <w:rPr>
                <w:sz w:val="22"/>
                <w:szCs w:val="22"/>
              </w:rPr>
            </w:pPr>
            <w:r w:rsidRPr="00BC3DF5">
              <w:rPr>
                <w:sz w:val="22"/>
                <w:szCs w:val="22"/>
              </w:rPr>
              <w:t>114 (50)</w:t>
            </w:r>
          </w:p>
        </w:tc>
        <w:tc>
          <w:tcPr>
            <w:tcW w:w="1540" w:type="dxa"/>
            <w:shd w:val="clear" w:color="auto" w:fill="auto"/>
          </w:tcPr>
          <w:p w14:paraId="45488A93" w14:textId="77777777" w:rsidR="00160952" w:rsidRPr="00BC3DF5" w:rsidRDefault="00160952" w:rsidP="00561C91">
            <w:pPr>
              <w:jc w:val="center"/>
              <w:rPr>
                <w:sz w:val="22"/>
                <w:szCs w:val="22"/>
              </w:rPr>
            </w:pPr>
            <w:r w:rsidRPr="00BC3DF5">
              <w:rPr>
                <w:sz w:val="22"/>
                <w:szCs w:val="22"/>
              </w:rPr>
              <w:t>Cmin (ng/mL)</w:t>
            </w:r>
          </w:p>
        </w:tc>
        <w:tc>
          <w:tcPr>
            <w:tcW w:w="1541" w:type="dxa"/>
            <w:shd w:val="clear" w:color="auto" w:fill="auto"/>
          </w:tcPr>
          <w:p w14:paraId="0AF8FE13" w14:textId="77777777" w:rsidR="00160952" w:rsidRPr="00BC3DF5" w:rsidRDefault="00160952" w:rsidP="00561C91">
            <w:pPr>
              <w:jc w:val="center"/>
              <w:rPr>
                <w:spacing w:val="-6"/>
                <w:sz w:val="22"/>
                <w:szCs w:val="22"/>
              </w:rPr>
            </w:pPr>
            <w:r w:rsidRPr="00BC3DF5">
              <w:rPr>
                <w:spacing w:val="-6"/>
                <w:sz w:val="22"/>
                <w:szCs w:val="22"/>
              </w:rPr>
              <w:t>2.099 (1.340)</w:t>
            </w:r>
          </w:p>
        </w:tc>
      </w:tr>
      <w:tr w:rsidR="00160952" w:rsidRPr="00BC3DF5" w14:paraId="6A23F7CC" w14:textId="77777777" w:rsidTr="00160952">
        <w:tc>
          <w:tcPr>
            <w:tcW w:w="1540" w:type="dxa"/>
            <w:shd w:val="clear" w:color="auto" w:fill="auto"/>
          </w:tcPr>
          <w:p w14:paraId="33045419" w14:textId="77777777" w:rsidR="00160952" w:rsidRPr="00BC3DF5" w:rsidRDefault="00160952" w:rsidP="00561C91">
            <w:pPr>
              <w:jc w:val="center"/>
              <w:rPr>
                <w:sz w:val="22"/>
                <w:szCs w:val="22"/>
              </w:rPr>
            </w:pPr>
            <w:r w:rsidRPr="00BC3DF5">
              <w:rPr>
                <w:sz w:val="22"/>
                <w:szCs w:val="22"/>
              </w:rPr>
              <w:t>Cav (pg/mL)</w:t>
            </w:r>
          </w:p>
        </w:tc>
        <w:tc>
          <w:tcPr>
            <w:tcW w:w="1540" w:type="dxa"/>
            <w:shd w:val="clear" w:color="auto" w:fill="auto"/>
          </w:tcPr>
          <w:p w14:paraId="481B1DD2" w14:textId="77777777" w:rsidR="00160952" w:rsidRPr="00BC3DF5" w:rsidRDefault="00160952" w:rsidP="00561C91">
            <w:pPr>
              <w:jc w:val="center"/>
              <w:rPr>
                <w:sz w:val="22"/>
                <w:szCs w:val="22"/>
              </w:rPr>
            </w:pPr>
            <w:r w:rsidRPr="00BC3DF5">
              <w:rPr>
                <w:sz w:val="22"/>
                <w:szCs w:val="22"/>
              </w:rPr>
              <w:t>30.1 (11.0)</w:t>
            </w:r>
          </w:p>
        </w:tc>
        <w:tc>
          <w:tcPr>
            <w:tcW w:w="1541" w:type="dxa"/>
            <w:shd w:val="clear" w:color="auto" w:fill="auto"/>
          </w:tcPr>
          <w:p w14:paraId="5353D9DA" w14:textId="77777777" w:rsidR="00160952" w:rsidRPr="00BC3DF5" w:rsidRDefault="00160952" w:rsidP="00561C91">
            <w:pPr>
              <w:jc w:val="center"/>
              <w:rPr>
                <w:sz w:val="22"/>
                <w:szCs w:val="22"/>
              </w:rPr>
            </w:pPr>
            <w:r w:rsidRPr="00BC3DF5">
              <w:rPr>
                <w:sz w:val="22"/>
                <w:szCs w:val="22"/>
              </w:rPr>
              <w:t>194 (72)</w:t>
            </w:r>
          </w:p>
        </w:tc>
        <w:tc>
          <w:tcPr>
            <w:tcW w:w="1540" w:type="dxa"/>
            <w:shd w:val="clear" w:color="auto" w:fill="auto"/>
          </w:tcPr>
          <w:p w14:paraId="52D974DC" w14:textId="77777777" w:rsidR="00160952" w:rsidRPr="00BC3DF5" w:rsidRDefault="00160952" w:rsidP="00561C91">
            <w:pPr>
              <w:jc w:val="center"/>
              <w:rPr>
                <w:sz w:val="22"/>
                <w:szCs w:val="22"/>
              </w:rPr>
            </w:pPr>
            <w:r w:rsidRPr="00BC3DF5">
              <w:rPr>
                <w:sz w:val="22"/>
                <w:szCs w:val="22"/>
              </w:rPr>
              <w:t>Cav (ng/mL)</w:t>
            </w:r>
          </w:p>
        </w:tc>
        <w:tc>
          <w:tcPr>
            <w:tcW w:w="1541" w:type="dxa"/>
            <w:shd w:val="clear" w:color="auto" w:fill="auto"/>
          </w:tcPr>
          <w:p w14:paraId="7B64EEA4" w14:textId="77777777" w:rsidR="00160952" w:rsidRPr="00BC3DF5" w:rsidRDefault="00160952" w:rsidP="00561C91">
            <w:pPr>
              <w:jc w:val="center"/>
              <w:rPr>
                <w:spacing w:val="-6"/>
                <w:sz w:val="22"/>
                <w:szCs w:val="22"/>
              </w:rPr>
            </w:pPr>
            <w:r w:rsidRPr="00BC3DF5">
              <w:rPr>
                <w:spacing w:val="-6"/>
                <w:sz w:val="22"/>
                <w:szCs w:val="22"/>
              </w:rPr>
              <w:t xml:space="preserve">4.695 (2.350) </w:t>
            </w:r>
          </w:p>
        </w:tc>
      </w:tr>
      <w:tr w:rsidR="00160952" w:rsidRPr="00BC3DF5" w14:paraId="4A5BA90B" w14:textId="77777777" w:rsidTr="00160952">
        <w:tc>
          <w:tcPr>
            <w:tcW w:w="1540" w:type="dxa"/>
            <w:shd w:val="clear" w:color="auto" w:fill="auto"/>
          </w:tcPr>
          <w:p w14:paraId="00E62E72" w14:textId="77777777" w:rsidR="00160952" w:rsidRPr="00BC3DF5" w:rsidRDefault="00160952" w:rsidP="00561C91">
            <w:pPr>
              <w:jc w:val="center"/>
              <w:rPr>
                <w:spacing w:val="-16"/>
                <w:sz w:val="22"/>
                <w:szCs w:val="22"/>
              </w:rPr>
            </w:pPr>
            <w:r w:rsidRPr="00BC3DF5">
              <w:rPr>
                <w:spacing w:val="-16"/>
                <w:sz w:val="22"/>
                <w:szCs w:val="22"/>
              </w:rPr>
              <w:t>AUC</w:t>
            </w:r>
            <w:r w:rsidRPr="00BC3DF5">
              <w:rPr>
                <w:spacing w:val="-16"/>
                <w:sz w:val="22"/>
                <w:szCs w:val="22"/>
                <w:vertAlign w:val="subscript"/>
              </w:rPr>
              <w:t>0-24</w:t>
            </w:r>
            <w:r w:rsidRPr="00BC3DF5">
              <w:rPr>
                <w:spacing w:val="-16"/>
                <w:sz w:val="22"/>
                <w:szCs w:val="22"/>
              </w:rPr>
              <w:t xml:space="preserve"> (pg.h/mL)</w:t>
            </w:r>
          </w:p>
        </w:tc>
        <w:tc>
          <w:tcPr>
            <w:tcW w:w="1540" w:type="dxa"/>
            <w:shd w:val="clear" w:color="auto" w:fill="auto"/>
          </w:tcPr>
          <w:p w14:paraId="19907D05" w14:textId="77777777" w:rsidR="00160952" w:rsidRPr="00BC3DF5" w:rsidRDefault="00160952" w:rsidP="00561C91">
            <w:pPr>
              <w:jc w:val="center"/>
              <w:rPr>
                <w:sz w:val="22"/>
                <w:szCs w:val="22"/>
              </w:rPr>
            </w:pPr>
            <w:r w:rsidRPr="00BC3DF5">
              <w:rPr>
                <w:sz w:val="22"/>
                <w:szCs w:val="22"/>
              </w:rPr>
              <w:t>725 (270)</w:t>
            </w:r>
          </w:p>
        </w:tc>
        <w:tc>
          <w:tcPr>
            <w:tcW w:w="1541" w:type="dxa"/>
            <w:shd w:val="clear" w:color="auto" w:fill="auto"/>
          </w:tcPr>
          <w:p w14:paraId="5718E5BC" w14:textId="77777777" w:rsidR="00160952" w:rsidRPr="00BC3DF5" w:rsidRDefault="00160952" w:rsidP="00561C91">
            <w:pPr>
              <w:jc w:val="center"/>
              <w:rPr>
                <w:spacing w:val="-4"/>
                <w:sz w:val="22"/>
                <w:szCs w:val="22"/>
              </w:rPr>
            </w:pPr>
            <w:r w:rsidRPr="00BC3DF5">
              <w:rPr>
                <w:spacing w:val="-4"/>
                <w:sz w:val="22"/>
                <w:szCs w:val="22"/>
              </w:rPr>
              <w:t>4767 (1857)</w:t>
            </w:r>
          </w:p>
        </w:tc>
        <w:tc>
          <w:tcPr>
            <w:tcW w:w="1540" w:type="dxa"/>
            <w:shd w:val="clear" w:color="auto" w:fill="auto"/>
          </w:tcPr>
          <w:p w14:paraId="7132361F" w14:textId="77777777" w:rsidR="00160952" w:rsidRPr="00BC3DF5" w:rsidRDefault="00160952" w:rsidP="00561C91">
            <w:pPr>
              <w:jc w:val="center"/>
              <w:rPr>
                <w:spacing w:val="-16"/>
                <w:sz w:val="22"/>
                <w:szCs w:val="22"/>
              </w:rPr>
            </w:pPr>
            <w:r w:rsidRPr="00BC3DF5">
              <w:rPr>
                <w:spacing w:val="-16"/>
                <w:sz w:val="22"/>
                <w:szCs w:val="22"/>
              </w:rPr>
              <w:t>AUC</w:t>
            </w:r>
            <w:r w:rsidRPr="00BC3DF5">
              <w:rPr>
                <w:spacing w:val="-16"/>
                <w:sz w:val="22"/>
                <w:szCs w:val="22"/>
                <w:vertAlign w:val="subscript"/>
              </w:rPr>
              <w:t>0-24</w:t>
            </w:r>
            <w:r w:rsidRPr="00BC3DF5">
              <w:rPr>
                <w:spacing w:val="-16"/>
                <w:sz w:val="22"/>
                <w:szCs w:val="22"/>
              </w:rPr>
              <w:t xml:space="preserve"> (ng.h/mL)</w:t>
            </w:r>
          </w:p>
        </w:tc>
        <w:tc>
          <w:tcPr>
            <w:tcW w:w="1541" w:type="dxa"/>
            <w:shd w:val="clear" w:color="auto" w:fill="auto"/>
          </w:tcPr>
          <w:p w14:paraId="2E533D19" w14:textId="77777777" w:rsidR="00160952" w:rsidRPr="00BC3DF5" w:rsidRDefault="00160952" w:rsidP="00561C91">
            <w:pPr>
              <w:jc w:val="center"/>
              <w:rPr>
                <w:spacing w:val="-6"/>
                <w:sz w:val="22"/>
                <w:szCs w:val="22"/>
              </w:rPr>
            </w:pPr>
            <w:r w:rsidRPr="00BC3DF5">
              <w:rPr>
                <w:spacing w:val="-6"/>
                <w:sz w:val="22"/>
                <w:szCs w:val="22"/>
              </w:rPr>
              <w:t>112.7 (55.1)</w:t>
            </w:r>
          </w:p>
        </w:tc>
      </w:tr>
    </w:tbl>
    <w:p w14:paraId="3540E157" w14:textId="77777777" w:rsidR="0085371D" w:rsidRDefault="0085371D" w:rsidP="0085371D">
      <w:pPr>
        <w:widowControl w:val="0"/>
        <w:rPr>
          <w:sz w:val="22"/>
          <w:szCs w:val="22"/>
          <w:lang w:val="de-DE" w:eastAsia="de-DE"/>
        </w:rPr>
      </w:pPr>
    </w:p>
    <w:p w14:paraId="151198CE" w14:textId="77777777" w:rsidR="0085371D" w:rsidRPr="00926ED2" w:rsidRDefault="0085371D" w:rsidP="00926ED2">
      <w:pPr>
        <w:numPr>
          <w:ilvl w:val="0"/>
          <w:numId w:val="14"/>
        </w:numPr>
        <w:tabs>
          <w:tab w:val="clear" w:pos="720"/>
          <w:tab w:val="left" w:pos="1134"/>
        </w:tabs>
        <w:ind w:left="1134" w:hanging="283"/>
        <w:rPr>
          <w:sz w:val="24"/>
          <w:szCs w:val="24"/>
        </w:rPr>
      </w:pPr>
      <w:r w:rsidRPr="00926ED2">
        <w:rPr>
          <w:sz w:val="24"/>
          <w:szCs w:val="24"/>
        </w:rPr>
        <w:t>Distribution:</w:t>
      </w:r>
    </w:p>
    <w:p w14:paraId="5F1FD447" w14:textId="16939A5B" w:rsidR="0085371D" w:rsidRPr="00926ED2" w:rsidRDefault="00926ED2" w:rsidP="00926ED2">
      <w:pPr>
        <w:tabs>
          <w:tab w:val="left" w:pos="1134"/>
        </w:tabs>
        <w:ind w:left="1134" w:hanging="283"/>
        <w:rPr>
          <w:i/>
          <w:sz w:val="24"/>
          <w:szCs w:val="24"/>
          <w:lang w:val="en-US"/>
        </w:rPr>
      </w:pPr>
      <w:r>
        <w:rPr>
          <w:bCs/>
          <w:sz w:val="24"/>
          <w:szCs w:val="24"/>
          <w:lang w:val="en-US"/>
        </w:rPr>
        <w:lastRenderedPageBreak/>
        <w:tab/>
      </w:r>
      <w:r w:rsidR="0085371D" w:rsidRPr="00926ED2">
        <w:rPr>
          <w:bCs/>
          <w:sz w:val="24"/>
          <w:szCs w:val="24"/>
          <w:lang w:val="en-US"/>
        </w:rPr>
        <w:t>Oestrogens can be found either unbound or bound. About 98- 99% of the estradiol dose binds to plasma proteins, from which about 30-52% to albumin and about 46-69% to the sex hormone-binding globulin (SHBG).</w:t>
      </w:r>
      <w:r w:rsidR="0085371D" w:rsidRPr="00926ED2">
        <w:rPr>
          <w:i/>
          <w:sz w:val="24"/>
          <w:szCs w:val="24"/>
          <w:lang w:val="en-US"/>
        </w:rPr>
        <w:t xml:space="preserve"> </w:t>
      </w:r>
    </w:p>
    <w:p w14:paraId="4A6C7925" w14:textId="4866D1D9" w:rsidR="0085371D" w:rsidRPr="00926ED2" w:rsidRDefault="0085371D" w:rsidP="00926ED2">
      <w:pPr>
        <w:tabs>
          <w:tab w:val="left" w:pos="1134"/>
        </w:tabs>
        <w:ind w:left="1134" w:hanging="283"/>
        <w:rPr>
          <w:sz w:val="24"/>
          <w:szCs w:val="24"/>
          <w:lang w:val="en-US"/>
        </w:rPr>
      </w:pPr>
      <w:r w:rsidRPr="00926ED2">
        <w:rPr>
          <w:sz w:val="24"/>
          <w:szCs w:val="24"/>
          <w:lang w:val="en-US"/>
        </w:rPr>
        <w:t xml:space="preserve"> </w:t>
      </w:r>
    </w:p>
    <w:p w14:paraId="3E705A22" w14:textId="77777777" w:rsidR="0085371D" w:rsidRPr="00926ED2" w:rsidRDefault="0085371D" w:rsidP="00926ED2">
      <w:pPr>
        <w:numPr>
          <w:ilvl w:val="0"/>
          <w:numId w:val="15"/>
        </w:numPr>
        <w:tabs>
          <w:tab w:val="clear" w:pos="720"/>
          <w:tab w:val="left" w:pos="1134"/>
        </w:tabs>
        <w:ind w:left="1134" w:hanging="283"/>
        <w:rPr>
          <w:sz w:val="24"/>
          <w:szCs w:val="24"/>
          <w:lang w:val="de-DE"/>
        </w:rPr>
      </w:pPr>
      <w:r w:rsidRPr="00926ED2">
        <w:rPr>
          <w:sz w:val="24"/>
          <w:szCs w:val="24"/>
        </w:rPr>
        <w:t>Biotransformation:</w:t>
      </w:r>
    </w:p>
    <w:p w14:paraId="773E8E15" w14:textId="379558A5" w:rsidR="0085371D" w:rsidRPr="00926ED2" w:rsidRDefault="00926ED2" w:rsidP="00926ED2">
      <w:pPr>
        <w:tabs>
          <w:tab w:val="left" w:pos="1134"/>
        </w:tabs>
        <w:ind w:left="1134" w:hanging="283"/>
        <w:rPr>
          <w:sz w:val="24"/>
          <w:szCs w:val="24"/>
        </w:rPr>
      </w:pPr>
      <w:r>
        <w:rPr>
          <w:sz w:val="24"/>
          <w:szCs w:val="24"/>
          <w:lang w:val="en-US"/>
        </w:rPr>
        <w:tab/>
      </w:r>
      <w:r w:rsidR="0085371D" w:rsidRPr="00926ED2">
        <w:rPr>
          <w:sz w:val="24"/>
          <w:szCs w:val="24"/>
          <w:lang w:val="en-US"/>
        </w:rPr>
        <w:t xml:space="preserve">Following oral administration, estradiol is extensively metabolised. The major unconjugated and conjugated metabolites are estrone and estrone sulphate. These metabolites can contribute to the oestrogen activity, either directly or after conversion to estradiol. </w:t>
      </w:r>
      <w:r w:rsidR="0085371D" w:rsidRPr="00926ED2">
        <w:rPr>
          <w:sz w:val="24"/>
          <w:szCs w:val="24"/>
        </w:rPr>
        <w:t xml:space="preserve">Estrone sulphate may undergo enterohepatic circulation. </w:t>
      </w:r>
    </w:p>
    <w:p w14:paraId="35DDC3A0" w14:textId="77777777" w:rsidR="0085371D" w:rsidRPr="00926ED2" w:rsidRDefault="0085371D" w:rsidP="00926ED2">
      <w:pPr>
        <w:widowControl w:val="0"/>
        <w:tabs>
          <w:tab w:val="left" w:pos="1134"/>
        </w:tabs>
        <w:ind w:left="1134" w:hanging="283"/>
        <w:rPr>
          <w:sz w:val="24"/>
          <w:szCs w:val="24"/>
        </w:rPr>
      </w:pPr>
    </w:p>
    <w:p w14:paraId="17A69EAE" w14:textId="77777777" w:rsidR="0085371D" w:rsidRPr="00926ED2" w:rsidRDefault="0085371D" w:rsidP="00926ED2">
      <w:pPr>
        <w:numPr>
          <w:ilvl w:val="0"/>
          <w:numId w:val="16"/>
        </w:numPr>
        <w:tabs>
          <w:tab w:val="clear" w:pos="720"/>
          <w:tab w:val="left" w:pos="1134"/>
        </w:tabs>
        <w:ind w:left="1134" w:hanging="283"/>
        <w:rPr>
          <w:rFonts w:eastAsia="SimSun"/>
          <w:sz w:val="24"/>
          <w:szCs w:val="24"/>
          <w:lang w:eastAsia="zh-CN" w:bidi="th-TH"/>
        </w:rPr>
      </w:pPr>
      <w:r w:rsidRPr="00926ED2">
        <w:rPr>
          <w:sz w:val="24"/>
          <w:szCs w:val="24"/>
        </w:rPr>
        <w:t>Elimination:</w:t>
      </w:r>
    </w:p>
    <w:p w14:paraId="6E222C9C" w14:textId="2B8D5AF5" w:rsidR="0085371D" w:rsidRPr="00926ED2" w:rsidRDefault="00926ED2" w:rsidP="00926ED2">
      <w:pPr>
        <w:tabs>
          <w:tab w:val="left" w:pos="1134"/>
        </w:tabs>
        <w:ind w:left="1134" w:hanging="283"/>
        <w:rPr>
          <w:sz w:val="24"/>
          <w:szCs w:val="24"/>
          <w:lang w:val="en-US" w:eastAsia="de-DE"/>
        </w:rPr>
      </w:pPr>
      <w:r>
        <w:rPr>
          <w:sz w:val="24"/>
          <w:szCs w:val="24"/>
          <w:lang w:val="en-US"/>
        </w:rPr>
        <w:tab/>
      </w:r>
      <w:r w:rsidR="0085371D" w:rsidRPr="00926ED2">
        <w:rPr>
          <w:sz w:val="24"/>
          <w:szCs w:val="24"/>
          <w:lang w:val="en-US"/>
        </w:rPr>
        <w:t xml:space="preserve">In urine, the major compounds are the glucuronides of estrone and estradiol. The elimination half-life is between 10-16 h. </w:t>
      </w:r>
    </w:p>
    <w:p w14:paraId="30164DBD" w14:textId="68E73CC6" w:rsidR="0085371D" w:rsidRPr="00926ED2" w:rsidRDefault="00926ED2" w:rsidP="00926ED2">
      <w:pPr>
        <w:tabs>
          <w:tab w:val="left" w:pos="1134"/>
        </w:tabs>
        <w:ind w:left="1134" w:hanging="283"/>
        <w:rPr>
          <w:sz w:val="24"/>
          <w:szCs w:val="24"/>
          <w:lang w:val="en-US"/>
        </w:rPr>
      </w:pPr>
      <w:r>
        <w:rPr>
          <w:sz w:val="24"/>
          <w:szCs w:val="24"/>
          <w:lang w:val="en-US"/>
        </w:rPr>
        <w:tab/>
      </w:r>
      <w:r w:rsidR="0085371D" w:rsidRPr="00926ED2">
        <w:rPr>
          <w:sz w:val="24"/>
          <w:szCs w:val="24"/>
          <w:lang w:val="en-US"/>
        </w:rPr>
        <w:t>Oestrogens are secreted in the milk of nursing mothers.</w:t>
      </w:r>
    </w:p>
    <w:p w14:paraId="62B1293E" w14:textId="77777777" w:rsidR="0085371D" w:rsidRPr="00926ED2" w:rsidRDefault="0085371D" w:rsidP="00926ED2">
      <w:pPr>
        <w:widowControl w:val="0"/>
        <w:tabs>
          <w:tab w:val="left" w:pos="1134"/>
        </w:tabs>
        <w:ind w:left="1134" w:hanging="283"/>
        <w:rPr>
          <w:sz w:val="24"/>
          <w:szCs w:val="24"/>
          <w:lang w:val="en-US"/>
        </w:rPr>
      </w:pPr>
    </w:p>
    <w:p w14:paraId="41882AB5" w14:textId="77777777" w:rsidR="0085371D" w:rsidRPr="00926ED2" w:rsidRDefault="0085371D" w:rsidP="00926ED2">
      <w:pPr>
        <w:numPr>
          <w:ilvl w:val="0"/>
          <w:numId w:val="17"/>
        </w:numPr>
        <w:tabs>
          <w:tab w:val="clear" w:pos="720"/>
          <w:tab w:val="left" w:pos="1134"/>
        </w:tabs>
        <w:ind w:left="1134" w:hanging="283"/>
        <w:rPr>
          <w:sz w:val="24"/>
          <w:szCs w:val="24"/>
        </w:rPr>
      </w:pPr>
      <w:r w:rsidRPr="00926ED2">
        <w:rPr>
          <w:sz w:val="24"/>
          <w:szCs w:val="24"/>
        </w:rPr>
        <w:t>Dose and time dependencies:</w:t>
      </w:r>
    </w:p>
    <w:p w14:paraId="1FDB2CE9" w14:textId="0A13549F" w:rsidR="0085371D" w:rsidRPr="00926ED2" w:rsidRDefault="00926ED2" w:rsidP="00926ED2">
      <w:pPr>
        <w:tabs>
          <w:tab w:val="left" w:pos="1134"/>
        </w:tabs>
        <w:ind w:left="1134" w:hanging="283"/>
        <w:rPr>
          <w:sz w:val="24"/>
          <w:szCs w:val="24"/>
          <w:lang w:val="en-US"/>
        </w:rPr>
      </w:pPr>
      <w:r>
        <w:rPr>
          <w:sz w:val="24"/>
          <w:szCs w:val="24"/>
          <w:lang w:val="en-US"/>
        </w:rPr>
        <w:tab/>
      </w:r>
      <w:r w:rsidR="0085371D" w:rsidRPr="00926ED2">
        <w:rPr>
          <w:sz w:val="24"/>
          <w:szCs w:val="24"/>
          <w:lang w:val="en-US"/>
        </w:rPr>
        <w:t xml:space="preserve">Following daily oral administration of Femoston, estradiol concentrations reached a steady-state after about five days.  </w:t>
      </w:r>
    </w:p>
    <w:p w14:paraId="3656A13D" w14:textId="2F004B8E" w:rsidR="0085371D" w:rsidRPr="00926ED2" w:rsidRDefault="00926ED2" w:rsidP="00926ED2">
      <w:pPr>
        <w:tabs>
          <w:tab w:val="left" w:pos="1134"/>
        </w:tabs>
        <w:autoSpaceDE w:val="0"/>
        <w:autoSpaceDN w:val="0"/>
        <w:adjustRightInd w:val="0"/>
        <w:ind w:left="1134" w:hanging="283"/>
        <w:rPr>
          <w:rFonts w:eastAsia="SimSun"/>
          <w:sz w:val="24"/>
          <w:szCs w:val="24"/>
          <w:lang w:val="en-US" w:eastAsia="zh-CN" w:bidi="th-TH"/>
        </w:rPr>
      </w:pPr>
      <w:r>
        <w:rPr>
          <w:rFonts w:eastAsia="SimSun"/>
          <w:sz w:val="24"/>
          <w:szCs w:val="24"/>
          <w:lang w:val="en-US" w:eastAsia="zh-CN" w:bidi="th-TH"/>
        </w:rPr>
        <w:tab/>
      </w:r>
      <w:r w:rsidR="0085371D" w:rsidRPr="00926ED2">
        <w:rPr>
          <w:rFonts w:eastAsia="SimSun"/>
          <w:sz w:val="24"/>
          <w:szCs w:val="24"/>
          <w:lang w:val="en-US" w:eastAsia="zh-CN" w:bidi="th-TH"/>
        </w:rPr>
        <w:t>Generally, steady state concentrations appeared to be reached for within 8 to 11 days of dosing.</w:t>
      </w:r>
    </w:p>
    <w:p w14:paraId="34747CA6" w14:textId="77777777" w:rsidR="0085371D" w:rsidRPr="00926ED2" w:rsidRDefault="0085371D" w:rsidP="00926ED2">
      <w:pPr>
        <w:tabs>
          <w:tab w:val="left" w:pos="1134"/>
        </w:tabs>
        <w:ind w:left="1134" w:hanging="283"/>
        <w:rPr>
          <w:sz w:val="24"/>
          <w:szCs w:val="24"/>
          <w:lang w:val="en-US" w:eastAsia="de-DE"/>
        </w:rPr>
      </w:pPr>
    </w:p>
    <w:p w14:paraId="43253978" w14:textId="6040C5B3" w:rsidR="0085371D" w:rsidRDefault="0085371D" w:rsidP="007C4EFE">
      <w:pPr>
        <w:ind w:left="851"/>
        <w:rPr>
          <w:b/>
          <w:sz w:val="22"/>
          <w:szCs w:val="22"/>
          <w:u w:val="single"/>
        </w:rPr>
      </w:pPr>
      <w:r>
        <w:rPr>
          <w:b/>
          <w:sz w:val="22"/>
          <w:szCs w:val="22"/>
          <w:u w:val="single"/>
        </w:rPr>
        <w:t>Dydrogesterone</w:t>
      </w:r>
    </w:p>
    <w:p w14:paraId="2FED4B0E" w14:textId="77777777" w:rsidR="007C4EFE" w:rsidRDefault="007C4EFE" w:rsidP="007C4EFE">
      <w:pPr>
        <w:ind w:left="851"/>
        <w:rPr>
          <w:b/>
          <w:sz w:val="22"/>
          <w:szCs w:val="22"/>
          <w:u w:val="single"/>
        </w:rPr>
      </w:pPr>
    </w:p>
    <w:p w14:paraId="061A8724" w14:textId="77777777" w:rsidR="0085371D" w:rsidRDefault="0085371D" w:rsidP="007C4EFE">
      <w:pPr>
        <w:numPr>
          <w:ilvl w:val="0"/>
          <w:numId w:val="18"/>
        </w:numPr>
        <w:tabs>
          <w:tab w:val="clear" w:pos="720"/>
        </w:tabs>
        <w:ind w:left="1134" w:hanging="283"/>
        <w:rPr>
          <w:sz w:val="22"/>
          <w:szCs w:val="22"/>
        </w:rPr>
      </w:pPr>
      <w:r>
        <w:rPr>
          <w:sz w:val="22"/>
          <w:szCs w:val="22"/>
        </w:rPr>
        <w:t>Absorption:</w:t>
      </w:r>
    </w:p>
    <w:p w14:paraId="42BF1BB0" w14:textId="77777777" w:rsidR="0085371D" w:rsidRPr="0085371D" w:rsidRDefault="0085371D" w:rsidP="007C4EFE">
      <w:pPr>
        <w:autoSpaceDE w:val="0"/>
        <w:autoSpaceDN w:val="0"/>
        <w:adjustRightInd w:val="0"/>
        <w:ind w:left="1134"/>
        <w:rPr>
          <w:sz w:val="22"/>
          <w:szCs w:val="22"/>
          <w:lang w:val="en-US"/>
        </w:rPr>
      </w:pPr>
      <w:r w:rsidRPr="0085371D">
        <w:rPr>
          <w:sz w:val="22"/>
          <w:szCs w:val="22"/>
          <w:lang w:val="en-US"/>
        </w:rPr>
        <w:t xml:space="preserve">Following oral administration, dydrogesterone is rapidly absorbed with a Tmax between 0.5 and 2.5 hours.  The absolute bioavailability of dydrogesterone (oral 20 mg dose versus 7.8 mg intravenous infusion) is 28 %. </w:t>
      </w:r>
    </w:p>
    <w:p w14:paraId="3895FDD6" w14:textId="77777777" w:rsidR="0085371D" w:rsidRPr="0085371D" w:rsidRDefault="0085371D" w:rsidP="007C4EFE">
      <w:pPr>
        <w:autoSpaceDE w:val="0"/>
        <w:autoSpaceDN w:val="0"/>
        <w:adjustRightInd w:val="0"/>
        <w:ind w:left="851"/>
        <w:rPr>
          <w:sz w:val="22"/>
          <w:szCs w:val="22"/>
          <w:lang w:val="en-US"/>
        </w:rPr>
      </w:pPr>
    </w:p>
    <w:p w14:paraId="6D37DED8" w14:textId="154E72AA" w:rsidR="0085371D" w:rsidRDefault="0085371D" w:rsidP="007C4EFE">
      <w:pPr>
        <w:ind w:left="851"/>
        <w:rPr>
          <w:sz w:val="22"/>
          <w:szCs w:val="22"/>
          <w:lang w:val="en-US"/>
        </w:rPr>
      </w:pPr>
      <w:r>
        <w:rPr>
          <w:sz w:val="22"/>
          <w:szCs w:val="22"/>
          <w:lang w:val="en-US"/>
        </w:rPr>
        <w:t xml:space="preserve">The following table provides the mean </w:t>
      </w:r>
      <w:r w:rsidR="00DD2017">
        <w:rPr>
          <w:sz w:val="22"/>
          <w:szCs w:val="22"/>
          <w:lang w:val="en-US"/>
        </w:rPr>
        <w:t>single dose</w:t>
      </w:r>
      <w:r>
        <w:rPr>
          <w:sz w:val="22"/>
          <w:szCs w:val="22"/>
          <w:lang w:val="en-US"/>
        </w:rPr>
        <w:t xml:space="preserve"> pharmacokinetic parameters of dydrogesterone (D) and dihydrodydrogesterone (DHD). Data is presented as mean (SD).</w:t>
      </w:r>
    </w:p>
    <w:p w14:paraId="136CF816" w14:textId="77777777" w:rsidR="0085371D" w:rsidRDefault="0085371D" w:rsidP="0085371D">
      <w:pPr>
        <w:autoSpaceDE w:val="0"/>
        <w:autoSpaceDN w:val="0"/>
        <w:adjustRightInd w:val="0"/>
        <w:rPr>
          <w:sz w:val="22"/>
          <w:szCs w:val="22"/>
          <w:lang w:val="en-US"/>
        </w:rPr>
      </w:pPr>
    </w:p>
    <w:tbl>
      <w:tblPr>
        <w:tblW w:w="74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2496"/>
        <w:gridCol w:w="2496"/>
      </w:tblGrid>
      <w:tr w:rsidR="00DD2017" w:rsidRPr="00BC3DF5" w14:paraId="610247B4" w14:textId="77777777" w:rsidTr="00DD2017">
        <w:trPr>
          <w:trHeight w:val="512"/>
        </w:trPr>
        <w:tc>
          <w:tcPr>
            <w:tcW w:w="7488" w:type="dxa"/>
            <w:gridSpan w:val="3"/>
            <w:shd w:val="clear" w:color="auto" w:fill="auto"/>
            <w:vAlign w:val="center"/>
          </w:tcPr>
          <w:p w14:paraId="6A97EA3E" w14:textId="77777777" w:rsidR="00DD2017" w:rsidRPr="00BC3DF5" w:rsidRDefault="00DD2017" w:rsidP="00561C91">
            <w:pPr>
              <w:jc w:val="center"/>
              <w:rPr>
                <w:b/>
                <w:bCs/>
                <w:sz w:val="22"/>
                <w:szCs w:val="22"/>
              </w:rPr>
            </w:pPr>
            <w:r w:rsidRPr="00BC3DF5">
              <w:rPr>
                <w:b/>
                <w:bCs/>
                <w:sz w:val="22"/>
                <w:szCs w:val="22"/>
              </w:rPr>
              <w:t>Dydrogesterone 5 mg</w:t>
            </w:r>
          </w:p>
        </w:tc>
      </w:tr>
      <w:tr w:rsidR="00DD2017" w:rsidRPr="00BC3DF5" w14:paraId="683B6AD3" w14:textId="77777777" w:rsidTr="00DD2017">
        <w:tc>
          <w:tcPr>
            <w:tcW w:w="2496" w:type="dxa"/>
            <w:shd w:val="clear" w:color="auto" w:fill="auto"/>
          </w:tcPr>
          <w:p w14:paraId="2F85B5E9" w14:textId="77777777" w:rsidR="00DD2017" w:rsidRPr="00BC3DF5" w:rsidRDefault="00DD2017" w:rsidP="00561C91">
            <w:pPr>
              <w:jc w:val="center"/>
              <w:rPr>
                <w:sz w:val="22"/>
                <w:szCs w:val="22"/>
              </w:rPr>
            </w:pPr>
            <w:r w:rsidRPr="00BC3DF5">
              <w:rPr>
                <w:sz w:val="22"/>
                <w:szCs w:val="22"/>
              </w:rPr>
              <w:t>Parameters</w:t>
            </w:r>
          </w:p>
        </w:tc>
        <w:tc>
          <w:tcPr>
            <w:tcW w:w="2496" w:type="dxa"/>
            <w:shd w:val="clear" w:color="auto" w:fill="auto"/>
            <w:vAlign w:val="center"/>
          </w:tcPr>
          <w:p w14:paraId="37A0663D" w14:textId="77777777" w:rsidR="00DD2017" w:rsidRPr="00BC3DF5" w:rsidRDefault="00DD2017" w:rsidP="00561C91">
            <w:pPr>
              <w:jc w:val="center"/>
              <w:rPr>
                <w:sz w:val="22"/>
                <w:szCs w:val="22"/>
              </w:rPr>
            </w:pPr>
            <w:r w:rsidRPr="00BC3DF5">
              <w:rPr>
                <w:sz w:val="22"/>
                <w:szCs w:val="22"/>
              </w:rPr>
              <w:t>D</w:t>
            </w:r>
          </w:p>
        </w:tc>
        <w:tc>
          <w:tcPr>
            <w:tcW w:w="2496" w:type="dxa"/>
            <w:shd w:val="clear" w:color="auto" w:fill="auto"/>
            <w:vAlign w:val="center"/>
          </w:tcPr>
          <w:p w14:paraId="1F7F0DA6" w14:textId="77777777" w:rsidR="00DD2017" w:rsidRPr="00BC3DF5" w:rsidRDefault="00DD2017" w:rsidP="00561C91">
            <w:pPr>
              <w:jc w:val="center"/>
              <w:rPr>
                <w:sz w:val="22"/>
                <w:szCs w:val="22"/>
              </w:rPr>
            </w:pPr>
            <w:r w:rsidRPr="00BC3DF5">
              <w:rPr>
                <w:sz w:val="22"/>
                <w:szCs w:val="22"/>
              </w:rPr>
              <w:t>DHD</w:t>
            </w:r>
          </w:p>
        </w:tc>
      </w:tr>
      <w:tr w:rsidR="00DD2017" w:rsidRPr="00BC3DF5" w14:paraId="3393D0F3" w14:textId="77777777" w:rsidTr="00DD2017">
        <w:tc>
          <w:tcPr>
            <w:tcW w:w="2496" w:type="dxa"/>
            <w:shd w:val="clear" w:color="auto" w:fill="auto"/>
          </w:tcPr>
          <w:p w14:paraId="4A7E1278" w14:textId="77777777" w:rsidR="00DD2017" w:rsidRPr="00BC3DF5" w:rsidRDefault="00DD2017" w:rsidP="00561C91">
            <w:pPr>
              <w:rPr>
                <w:sz w:val="22"/>
                <w:szCs w:val="22"/>
              </w:rPr>
            </w:pPr>
            <w:r w:rsidRPr="00BC3DF5">
              <w:rPr>
                <w:sz w:val="22"/>
                <w:szCs w:val="22"/>
              </w:rPr>
              <w:t>Cmax (ng/mL)</w:t>
            </w:r>
          </w:p>
        </w:tc>
        <w:tc>
          <w:tcPr>
            <w:tcW w:w="2496" w:type="dxa"/>
            <w:shd w:val="clear" w:color="auto" w:fill="auto"/>
          </w:tcPr>
          <w:p w14:paraId="61975C0F" w14:textId="77777777" w:rsidR="00DD2017" w:rsidRPr="00BC3DF5" w:rsidRDefault="00DD2017" w:rsidP="00561C91">
            <w:pPr>
              <w:jc w:val="center"/>
              <w:rPr>
                <w:sz w:val="22"/>
                <w:szCs w:val="22"/>
              </w:rPr>
            </w:pPr>
            <w:r w:rsidRPr="00BC3DF5">
              <w:rPr>
                <w:sz w:val="22"/>
                <w:szCs w:val="22"/>
              </w:rPr>
              <w:t>0.90 (0.59)</w:t>
            </w:r>
          </w:p>
        </w:tc>
        <w:tc>
          <w:tcPr>
            <w:tcW w:w="2496" w:type="dxa"/>
            <w:shd w:val="clear" w:color="auto" w:fill="auto"/>
          </w:tcPr>
          <w:p w14:paraId="06B39CD2" w14:textId="77777777" w:rsidR="00DD2017" w:rsidRPr="00BC3DF5" w:rsidRDefault="00DD2017" w:rsidP="00561C91">
            <w:pPr>
              <w:jc w:val="center"/>
              <w:rPr>
                <w:sz w:val="22"/>
                <w:szCs w:val="22"/>
              </w:rPr>
            </w:pPr>
            <w:r w:rsidRPr="00BC3DF5">
              <w:rPr>
                <w:sz w:val="22"/>
                <w:szCs w:val="22"/>
              </w:rPr>
              <w:t>24.68 (10.89)</w:t>
            </w:r>
          </w:p>
        </w:tc>
      </w:tr>
      <w:tr w:rsidR="00DD2017" w:rsidRPr="00BC3DF5" w14:paraId="172AC323" w14:textId="77777777" w:rsidTr="00DD2017">
        <w:tc>
          <w:tcPr>
            <w:tcW w:w="2496" w:type="dxa"/>
            <w:shd w:val="clear" w:color="auto" w:fill="auto"/>
          </w:tcPr>
          <w:p w14:paraId="48C3B7A5" w14:textId="77777777" w:rsidR="00DD2017" w:rsidRPr="00BC3DF5" w:rsidRDefault="00DD2017" w:rsidP="00561C91">
            <w:pPr>
              <w:rPr>
                <w:sz w:val="22"/>
                <w:szCs w:val="22"/>
              </w:rPr>
            </w:pPr>
            <w:r w:rsidRPr="00BC3DF5">
              <w:rPr>
                <w:sz w:val="22"/>
                <w:szCs w:val="22"/>
              </w:rPr>
              <w:t>AUC</w:t>
            </w:r>
            <w:r w:rsidRPr="00BC3DF5">
              <w:rPr>
                <w:sz w:val="22"/>
                <w:szCs w:val="22"/>
                <w:vertAlign w:val="subscript"/>
              </w:rPr>
              <w:t>0-t</w:t>
            </w:r>
            <w:r w:rsidRPr="00BC3DF5">
              <w:rPr>
                <w:sz w:val="22"/>
                <w:szCs w:val="22"/>
              </w:rPr>
              <w:t xml:space="preserve"> (ng.h/mL)</w:t>
            </w:r>
          </w:p>
        </w:tc>
        <w:tc>
          <w:tcPr>
            <w:tcW w:w="2496" w:type="dxa"/>
            <w:shd w:val="clear" w:color="auto" w:fill="auto"/>
          </w:tcPr>
          <w:p w14:paraId="176905B8" w14:textId="77777777" w:rsidR="00DD2017" w:rsidRPr="00BC3DF5" w:rsidRDefault="00DD2017" w:rsidP="00561C91">
            <w:pPr>
              <w:tabs>
                <w:tab w:val="left" w:pos="960"/>
              </w:tabs>
              <w:jc w:val="center"/>
              <w:rPr>
                <w:sz w:val="22"/>
                <w:szCs w:val="22"/>
              </w:rPr>
            </w:pPr>
            <w:r w:rsidRPr="00BC3DF5">
              <w:rPr>
                <w:sz w:val="22"/>
                <w:szCs w:val="22"/>
              </w:rPr>
              <w:t>1.55 (1.08)</w:t>
            </w:r>
          </w:p>
        </w:tc>
        <w:tc>
          <w:tcPr>
            <w:tcW w:w="2496" w:type="dxa"/>
            <w:shd w:val="clear" w:color="auto" w:fill="auto"/>
          </w:tcPr>
          <w:p w14:paraId="330D0FFA" w14:textId="77777777" w:rsidR="00DD2017" w:rsidRPr="00BC3DF5" w:rsidRDefault="00DD2017" w:rsidP="00561C91">
            <w:pPr>
              <w:jc w:val="center"/>
              <w:rPr>
                <w:sz w:val="22"/>
                <w:szCs w:val="22"/>
              </w:rPr>
            </w:pPr>
            <w:r w:rsidRPr="00BC3DF5">
              <w:rPr>
                <w:sz w:val="22"/>
                <w:szCs w:val="22"/>
              </w:rPr>
              <w:t>98.37 (43.21)</w:t>
            </w:r>
          </w:p>
        </w:tc>
      </w:tr>
      <w:tr w:rsidR="00DD2017" w:rsidRPr="00BC3DF5" w14:paraId="32312717" w14:textId="77777777" w:rsidTr="00DD2017">
        <w:tc>
          <w:tcPr>
            <w:tcW w:w="2496" w:type="dxa"/>
            <w:shd w:val="clear" w:color="auto" w:fill="auto"/>
          </w:tcPr>
          <w:p w14:paraId="5E8CDCF8" w14:textId="77777777" w:rsidR="00DD2017" w:rsidRPr="00BC3DF5" w:rsidRDefault="00DD2017" w:rsidP="00561C91">
            <w:pPr>
              <w:rPr>
                <w:sz w:val="22"/>
                <w:szCs w:val="22"/>
              </w:rPr>
            </w:pPr>
            <w:r w:rsidRPr="00BC3DF5">
              <w:rPr>
                <w:sz w:val="22"/>
                <w:szCs w:val="22"/>
              </w:rPr>
              <w:t>AUC</w:t>
            </w:r>
            <w:r w:rsidRPr="00BC3DF5">
              <w:rPr>
                <w:sz w:val="22"/>
                <w:szCs w:val="22"/>
                <w:vertAlign w:val="subscript"/>
              </w:rPr>
              <w:t>inf</w:t>
            </w:r>
            <w:r w:rsidRPr="00BC3DF5">
              <w:rPr>
                <w:sz w:val="22"/>
                <w:szCs w:val="22"/>
              </w:rPr>
              <w:t xml:space="preserve"> (ng.h/mL)</w:t>
            </w:r>
          </w:p>
        </w:tc>
        <w:tc>
          <w:tcPr>
            <w:tcW w:w="2496" w:type="dxa"/>
            <w:shd w:val="clear" w:color="auto" w:fill="auto"/>
          </w:tcPr>
          <w:p w14:paraId="5D060C54" w14:textId="77777777" w:rsidR="00DD2017" w:rsidRPr="00BC3DF5" w:rsidRDefault="00DD2017" w:rsidP="00561C91">
            <w:pPr>
              <w:jc w:val="center"/>
              <w:rPr>
                <w:sz w:val="22"/>
                <w:szCs w:val="22"/>
              </w:rPr>
            </w:pPr>
            <w:r w:rsidRPr="00BC3DF5">
              <w:rPr>
                <w:sz w:val="22"/>
                <w:szCs w:val="22"/>
              </w:rPr>
              <w:t>-</w:t>
            </w:r>
          </w:p>
        </w:tc>
        <w:tc>
          <w:tcPr>
            <w:tcW w:w="2496" w:type="dxa"/>
            <w:shd w:val="clear" w:color="auto" w:fill="auto"/>
          </w:tcPr>
          <w:p w14:paraId="4C13E47B" w14:textId="77777777" w:rsidR="00DD2017" w:rsidRPr="00BC3DF5" w:rsidRDefault="00DD2017" w:rsidP="00561C91">
            <w:pPr>
              <w:jc w:val="center"/>
              <w:rPr>
                <w:sz w:val="22"/>
                <w:szCs w:val="22"/>
              </w:rPr>
            </w:pPr>
            <w:r w:rsidRPr="00BC3DF5">
              <w:rPr>
                <w:sz w:val="22"/>
                <w:szCs w:val="22"/>
              </w:rPr>
              <w:t>121.36 (63.63)</w:t>
            </w:r>
          </w:p>
        </w:tc>
      </w:tr>
    </w:tbl>
    <w:p w14:paraId="556F62B7" w14:textId="77777777" w:rsidR="0085371D" w:rsidRDefault="0085371D" w:rsidP="0085371D">
      <w:pPr>
        <w:autoSpaceDE w:val="0"/>
        <w:autoSpaceDN w:val="0"/>
        <w:adjustRightInd w:val="0"/>
        <w:rPr>
          <w:sz w:val="22"/>
          <w:szCs w:val="22"/>
          <w:lang w:val="de-DE" w:eastAsia="de-DE"/>
        </w:rPr>
      </w:pPr>
    </w:p>
    <w:p w14:paraId="2D2AEB1C" w14:textId="77777777" w:rsidR="0085371D" w:rsidRPr="0085371D" w:rsidRDefault="0085371D" w:rsidP="0085371D">
      <w:pPr>
        <w:numPr>
          <w:ilvl w:val="0"/>
          <w:numId w:val="19"/>
        </w:numPr>
        <w:tabs>
          <w:tab w:val="clear" w:pos="720"/>
          <w:tab w:val="num" w:pos="1134"/>
        </w:tabs>
        <w:ind w:left="1134" w:hanging="283"/>
        <w:rPr>
          <w:sz w:val="24"/>
          <w:szCs w:val="24"/>
        </w:rPr>
      </w:pPr>
      <w:r w:rsidRPr="0085371D">
        <w:rPr>
          <w:sz w:val="24"/>
          <w:szCs w:val="24"/>
        </w:rPr>
        <w:t>Distribution:</w:t>
      </w:r>
    </w:p>
    <w:p w14:paraId="628A68D6" w14:textId="19691EF2" w:rsidR="0085371D" w:rsidRPr="0085371D" w:rsidRDefault="007C4EFE" w:rsidP="0085371D">
      <w:pPr>
        <w:tabs>
          <w:tab w:val="num" w:pos="1134"/>
        </w:tabs>
        <w:autoSpaceDE w:val="0"/>
        <w:autoSpaceDN w:val="0"/>
        <w:adjustRightInd w:val="0"/>
        <w:ind w:left="1134" w:hanging="283"/>
        <w:rPr>
          <w:sz w:val="24"/>
          <w:szCs w:val="24"/>
          <w:lang w:val="en-US"/>
        </w:rPr>
      </w:pPr>
      <w:r>
        <w:rPr>
          <w:sz w:val="24"/>
          <w:szCs w:val="24"/>
          <w:lang w:val="en-US"/>
        </w:rPr>
        <w:tab/>
      </w:r>
      <w:r w:rsidR="0085371D" w:rsidRPr="0085371D">
        <w:rPr>
          <w:sz w:val="24"/>
          <w:szCs w:val="24"/>
          <w:lang w:val="en-US"/>
        </w:rPr>
        <w:t xml:space="preserve">After intravenous administration of dydrogesterone the steady-state volume of distribution is approximately 1400 L. Dydrogesterone and DHD are more than 90% bound to plasma proteins. </w:t>
      </w:r>
    </w:p>
    <w:p w14:paraId="72E4C782" w14:textId="77777777" w:rsidR="0085371D" w:rsidRPr="0085371D" w:rsidRDefault="0085371D" w:rsidP="0085371D">
      <w:pPr>
        <w:tabs>
          <w:tab w:val="num" w:pos="1134"/>
        </w:tabs>
        <w:autoSpaceDE w:val="0"/>
        <w:autoSpaceDN w:val="0"/>
        <w:adjustRightInd w:val="0"/>
        <w:ind w:left="1134" w:hanging="283"/>
        <w:rPr>
          <w:sz w:val="24"/>
          <w:szCs w:val="24"/>
          <w:lang w:val="en-US"/>
        </w:rPr>
      </w:pPr>
    </w:p>
    <w:p w14:paraId="4DC6CA66" w14:textId="77777777" w:rsidR="0085371D" w:rsidRPr="0085371D" w:rsidRDefault="0085371D" w:rsidP="0085371D">
      <w:pPr>
        <w:numPr>
          <w:ilvl w:val="0"/>
          <w:numId w:val="20"/>
        </w:numPr>
        <w:tabs>
          <w:tab w:val="clear" w:pos="720"/>
          <w:tab w:val="num" w:pos="1134"/>
        </w:tabs>
        <w:ind w:left="1134" w:hanging="283"/>
        <w:rPr>
          <w:sz w:val="24"/>
          <w:szCs w:val="24"/>
        </w:rPr>
      </w:pPr>
      <w:r w:rsidRPr="0085371D">
        <w:rPr>
          <w:sz w:val="24"/>
          <w:szCs w:val="24"/>
        </w:rPr>
        <w:t>Biotransformation:</w:t>
      </w:r>
    </w:p>
    <w:p w14:paraId="5E4F94C7" w14:textId="4F16A2B8" w:rsidR="0085371D" w:rsidRDefault="007C4EFE" w:rsidP="0085371D">
      <w:pPr>
        <w:tabs>
          <w:tab w:val="num" w:pos="1134"/>
        </w:tabs>
        <w:autoSpaceDE w:val="0"/>
        <w:autoSpaceDN w:val="0"/>
        <w:adjustRightInd w:val="0"/>
        <w:ind w:left="1134" w:hanging="283"/>
        <w:rPr>
          <w:sz w:val="24"/>
          <w:szCs w:val="24"/>
          <w:lang w:val="en-US"/>
        </w:rPr>
      </w:pPr>
      <w:r>
        <w:rPr>
          <w:sz w:val="24"/>
          <w:szCs w:val="24"/>
          <w:lang w:val="en-US"/>
        </w:rPr>
        <w:tab/>
      </w:r>
      <w:r w:rsidR="0085371D" w:rsidRPr="0085371D">
        <w:rPr>
          <w:sz w:val="24"/>
          <w:szCs w:val="24"/>
          <w:lang w:val="en-US"/>
        </w:rPr>
        <w:t xml:space="preserve">Following oral administration, dydrogesterone is rapidly metabolised to DHD. The levels of the main active metabolite 20 </w:t>
      </w:r>
      <w:r w:rsidR="0085371D" w:rsidRPr="0085371D">
        <w:rPr>
          <w:sz w:val="24"/>
          <w:szCs w:val="24"/>
        </w:rPr>
        <w:t>α</w:t>
      </w:r>
      <w:r w:rsidR="0085371D" w:rsidRPr="0085371D">
        <w:rPr>
          <w:sz w:val="24"/>
          <w:szCs w:val="24"/>
          <w:lang w:val="en-US"/>
        </w:rPr>
        <w:t xml:space="preserve">-dihydrodydrogesterone (DHD) peak about 1.5 hours postdose. The plasma levels of DHD are substantially higher as compared to the parent drug. The AUC and Cmax ratios of DHD to dydrogesterone are in the order of 40 and 25, respectively. Mean terminal half lives of dydrogesterone and DHD vary between 5 to 7 and 14 to 17 hours, respectively. A common feature of all metabolites characterised is the retention of the 4,6 diene-3-one configuration of the parent </w:t>
      </w:r>
      <w:r w:rsidR="0085371D" w:rsidRPr="0085371D">
        <w:rPr>
          <w:sz w:val="24"/>
          <w:szCs w:val="24"/>
          <w:lang w:val="en-US"/>
        </w:rPr>
        <w:lastRenderedPageBreak/>
        <w:t>compound and the absence of 17</w:t>
      </w:r>
      <w:r w:rsidR="0085371D" w:rsidRPr="0085371D">
        <w:rPr>
          <w:sz w:val="24"/>
          <w:szCs w:val="24"/>
        </w:rPr>
        <w:t>α</w:t>
      </w:r>
      <w:r w:rsidR="0085371D" w:rsidRPr="0085371D">
        <w:rPr>
          <w:sz w:val="24"/>
          <w:szCs w:val="24"/>
          <w:lang w:val="en-US"/>
        </w:rPr>
        <w:t>-hydroxylation. This explains the lack of oestrogenic and androgenic effects of dydrogesterone.</w:t>
      </w:r>
    </w:p>
    <w:p w14:paraId="326D4A48" w14:textId="77777777" w:rsidR="007C4EFE" w:rsidRPr="0085371D" w:rsidRDefault="007C4EFE" w:rsidP="0085371D">
      <w:pPr>
        <w:tabs>
          <w:tab w:val="num" w:pos="1134"/>
        </w:tabs>
        <w:autoSpaceDE w:val="0"/>
        <w:autoSpaceDN w:val="0"/>
        <w:adjustRightInd w:val="0"/>
        <w:ind w:left="1134" w:hanging="283"/>
        <w:rPr>
          <w:sz w:val="24"/>
          <w:szCs w:val="24"/>
          <w:lang w:val="en-US"/>
        </w:rPr>
      </w:pPr>
    </w:p>
    <w:p w14:paraId="2E0B7B73" w14:textId="77777777" w:rsidR="0085371D" w:rsidRPr="0085371D" w:rsidRDefault="0085371D" w:rsidP="0085371D">
      <w:pPr>
        <w:numPr>
          <w:ilvl w:val="0"/>
          <w:numId w:val="21"/>
        </w:numPr>
        <w:tabs>
          <w:tab w:val="clear" w:pos="720"/>
          <w:tab w:val="num" w:pos="1134"/>
        </w:tabs>
        <w:ind w:left="1134" w:hanging="283"/>
        <w:rPr>
          <w:sz w:val="24"/>
          <w:szCs w:val="24"/>
        </w:rPr>
      </w:pPr>
      <w:r w:rsidRPr="0085371D">
        <w:rPr>
          <w:sz w:val="24"/>
          <w:szCs w:val="24"/>
        </w:rPr>
        <w:t>Elimination:</w:t>
      </w:r>
    </w:p>
    <w:p w14:paraId="098BA680" w14:textId="33409FDA" w:rsidR="0085371D" w:rsidRPr="0085371D" w:rsidRDefault="007C4EFE" w:rsidP="0085371D">
      <w:pPr>
        <w:tabs>
          <w:tab w:val="num" w:pos="1134"/>
        </w:tabs>
        <w:autoSpaceDE w:val="0"/>
        <w:autoSpaceDN w:val="0"/>
        <w:adjustRightInd w:val="0"/>
        <w:ind w:left="1134" w:hanging="283"/>
        <w:rPr>
          <w:sz w:val="24"/>
          <w:szCs w:val="24"/>
          <w:lang w:val="en-US"/>
        </w:rPr>
      </w:pPr>
      <w:r>
        <w:rPr>
          <w:sz w:val="24"/>
          <w:szCs w:val="24"/>
          <w:lang w:val="en-US"/>
        </w:rPr>
        <w:tab/>
      </w:r>
      <w:r w:rsidR="0085371D" w:rsidRPr="0085371D">
        <w:rPr>
          <w:sz w:val="24"/>
          <w:szCs w:val="24"/>
          <w:lang w:val="en-US"/>
        </w:rPr>
        <w:t>After oral administration of labelled dydrogesterone, on average 63% of the dose is excreted into the urine. Total plasma clearance is 6.4 L/min. Within 72 hours excretion is complete. DHD is present in the urine predominantly as the glucuronic acid conjugate.</w:t>
      </w:r>
    </w:p>
    <w:p w14:paraId="4D7F270F" w14:textId="77777777" w:rsidR="0085371D" w:rsidRPr="0085371D" w:rsidRDefault="0085371D" w:rsidP="0085371D">
      <w:pPr>
        <w:tabs>
          <w:tab w:val="num" w:pos="1134"/>
        </w:tabs>
        <w:autoSpaceDE w:val="0"/>
        <w:autoSpaceDN w:val="0"/>
        <w:adjustRightInd w:val="0"/>
        <w:ind w:left="1134" w:hanging="283"/>
        <w:rPr>
          <w:sz w:val="24"/>
          <w:szCs w:val="24"/>
          <w:lang w:val="en-US"/>
        </w:rPr>
      </w:pPr>
    </w:p>
    <w:p w14:paraId="220A4AE2" w14:textId="77777777" w:rsidR="0085371D" w:rsidRPr="0085371D" w:rsidRDefault="0085371D" w:rsidP="0085371D">
      <w:pPr>
        <w:numPr>
          <w:ilvl w:val="0"/>
          <w:numId w:val="22"/>
        </w:numPr>
        <w:tabs>
          <w:tab w:val="clear" w:pos="720"/>
          <w:tab w:val="num" w:pos="1134"/>
        </w:tabs>
        <w:ind w:left="1134" w:hanging="283"/>
        <w:rPr>
          <w:rFonts w:eastAsia="SimSun"/>
          <w:sz w:val="24"/>
          <w:szCs w:val="24"/>
          <w:lang w:eastAsia="zh-CN" w:bidi="th-TH"/>
        </w:rPr>
      </w:pPr>
      <w:r w:rsidRPr="0085371D">
        <w:rPr>
          <w:sz w:val="24"/>
          <w:szCs w:val="24"/>
        </w:rPr>
        <w:t>Dose and time dependencies:</w:t>
      </w:r>
    </w:p>
    <w:p w14:paraId="7FE7912C" w14:textId="51413EE4" w:rsidR="0085371D" w:rsidRPr="0085371D" w:rsidRDefault="007C4EFE" w:rsidP="0085371D">
      <w:pPr>
        <w:widowControl w:val="0"/>
        <w:tabs>
          <w:tab w:val="num" w:pos="1134"/>
        </w:tabs>
        <w:autoSpaceDE w:val="0"/>
        <w:autoSpaceDN w:val="0"/>
        <w:adjustRightInd w:val="0"/>
        <w:ind w:left="1134" w:hanging="283"/>
        <w:rPr>
          <w:sz w:val="24"/>
          <w:szCs w:val="24"/>
          <w:lang w:val="en-US" w:eastAsia="de-DE"/>
        </w:rPr>
      </w:pPr>
      <w:r>
        <w:rPr>
          <w:sz w:val="24"/>
          <w:szCs w:val="24"/>
          <w:lang w:val="en-US"/>
        </w:rPr>
        <w:tab/>
      </w:r>
      <w:r w:rsidR="0085371D" w:rsidRPr="0085371D">
        <w:rPr>
          <w:sz w:val="24"/>
          <w:szCs w:val="24"/>
          <w:lang w:val="en-US"/>
        </w:rPr>
        <w:t>The single and multiple dose pharmacokinetics are linear in the oral dose range 2.5 to 10 mg. Comparison of the single and multiple dose kinetics shows that the pharmacokinetics of dydrogesterone and DHD are not changed as a result of repeated dosing. Steady state was reached after 3 days of treatment.</w:t>
      </w:r>
    </w:p>
    <w:p w14:paraId="71467583" w14:textId="77777777" w:rsidR="007C5D2A" w:rsidRPr="0085371D" w:rsidRDefault="007C5D2A" w:rsidP="0085371D">
      <w:pPr>
        <w:tabs>
          <w:tab w:val="left" w:pos="851"/>
          <w:tab w:val="num" w:pos="1134"/>
        </w:tabs>
        <w:ind w:left="1134" w:hanging="283"/>
        <w:rPr>
          <w:sz w:val="24"/>
          <w:szCs w:val="24"/>
          <w:lang w:val="en-GB"/>
        </w:rPr>
      </w:pPr>
    </w:p>
    <w:p w14:paraId="371704D2"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423F5E4A" w14:textId="77777777" w:rsidR="007A05DA" w:rsidRPr="007A05DA" w:rsidRDefault="007A05DA" w:rsidP="007A05DA">
      <w:pPr>
        <w:tabs>
          <w:tab w:val="left" w:pos="851"/>
        </w:tabs>
        <w:ind w:left="851"/>
        <w:rPr>
          <w:sz w:val="24"/>
          <w:szCs w:val="24"/>
          <w:lang w:val="en-US"/>
        </w:rPr>
      </w:pPr>
      <w:r w:rsidRPr="007A05DA">
        <w:rPr>
          <w:sz w:val="24"/>
          <w:szCs w:val="24"/>
          <w:lang w:val="en-US"/>
        </w:rPr>
        <w:t>There are no preclinical safety data of relevance to the prescriber in the target population that are additional to those already included in other sections of the Summary of Product Characteristics (SmPC).</w:t>
      </w:r>
    </w:p>
    <w:p w14:paraId="141114B4" w14:textId="77777777" w:rsidR="007A05DA" w:rsidRPr="007A05DA" w:rsidRDefault="007A05DA" w:rsidP="007A05DA">
      <w:pPr>
        <w:tabs>
          <w:tab w:val="left" w:pos="851"/>
        </w:tabs>
        <w:ind w:left="851"/>
        <w:rPr>
          <w:sz w:val="24"/>
          <w:szCs w:val="24"/>
          <w:lang w:val="en-US"/>
        </w:rPr>
      </w:pPr>
    </w:p>
    <w:p w14:paraId="6E53EC5E" w14:textId="77777777" w:rsidR="007A05DA" w:rsidRPr="007A05DA" w:rsidRDefault="007A05DA" w:rsidP="007A05DA">
      <w:pPr>
        <w:tabs>
          <w:tab w:val="left" w:pos="851"/>
        </w:tabs>
        <w:ind w:left="851"/>
        <w:rPr>
          <w:sz w:val="24"/>
          <w:szCs w:val="24"/>
          <w:u w:val="single"/>
          <w:lang w:val="en-US"/>
        </w:rPr>
      </w:pPr>
      <w:r w:rsidRPr="007A05DA">
        <w:rPr>
          <w:sz w:val="24"/>
          <w:szCs w:val="24"/>
          <w:u w:val="single"/>
          <w:lang w:val="en-US"/>
        </w:rPr>
        <w:t>Environmental risk assessment (ERA):</w:t>
      </w:r>
    </w:p>
    <w:p w14:paraId="249FCE15" w14:textId="77777777" w:rsidR="007A05DA" w:rsidRPr="007A05DA" w:rsidRDefault="007A05DA" w:rsidP="007A05DA">
      <w:pPr>
        <w:tabs>
          <w:tab w:val="left" w:pos="851"/>
        </w:tabs>
        <w:ind w:left="851"/>
        <w:rPr>
          <w:sz w:val="24"/>
          <w:szCs w:val="24"/>
          <w:lang w:val="en-US"/>
        </w:rPr>
      </w:pPr>
      <w:r w:rsidRPr="007A05DA">
        <w:rPr>
          <w:sz w:val="24"/>
          <w:szCs w:val="24"/>
          <w:lang w:val="en-US"/>
        </w:rPr>
        <w:t>This medicinal product may pose a risk to the aquatic environment. Medicines no longer required should not be disposed of via wastewater or household waste. Any unused product or waste material should be disposed of in accordance with local requirements or returned to the pharmacy.</w:t>
      </w:r>
    </w:p>
    <w:p w14:paraId="4A2128DE" w14:textId="77777777" w:rsidR="007C5D2A" w:rsidRPr="007A05DA" w:rsidRDefault="007C5D2A" w:rsidP="003E0341">
      <w:pPr>
        <w:tabs>
          <w:tab w:val="left" w:pos="851"/>
        </w:tabs>
        <w:ind w:left="851"/>
        <w:rPr>
          <w:sz w:val="24"/>
          <w:szCs w:val="24"/>
          <w:lang w:val="en-US"/>
        </w:rPr>
      </w:pPr>
    </w:p>
    <w:p w14:paraId="75299A59" w14:textId="77777777" w:rsidR="007C5D2A" w:rsidRPr="00303008" w:rsidRDefault="007C5D2A" w:rsidP="003E0341">
      <w:pPr>
        <w:tabs>
          <w:tab w:val="left" w:pos="851"/>
        </w:tabs>
        <w:ind w:left="851"/>
        <w:rPr>
          <w:sz w:val="24"/>
          <w:szCs w:val="24"/>
          <w:lang w:val="en-GB"/>
        </w:rPr>
      </w:pPr>
    </w:p>
    <w:p w14:paraId="5813300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73268BBA" w14:textId="77777777" w:rsidR="007C5D2A" w:rsidRPr="00303008" w:rsidRDefault="007C5D2A" w:rsidP="003E0341">
      <w:pPr>
        <w:tabs>
          <w:tab w:val="left" w:pos="851"/>
        </w:tabs>
        <w:ind w:left="851"/>
        <w:rPr>
          <w:sz w:val="24"/>
          <w:szCs w:val="24"/>
          <w:lang w:val="en-GB"/>
        </w:rPr>
      </w:pPr>
    </w:p>
    <w:p w14:paraId="28CB6332"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02111DF0" w14:textId="6753F542" w:rsidR="007D5098" w:rsidRPr="007D5098" w:rsidRDefault="007D5098" w:rsidP="007D5098">
      <w:pPr>
        <w:tabs>
          <w:tab w:val="left" w:pos="851"/>
        </w:tabs>
        <w:ind w:left="851"/>
        <w:rPr>
          <w:sz w:val="24"/>
          <w:szCs w:val="24"/>
          <w:u w:val="single"/>
          <w:lang w:val="de-DE"/>
        </w:rPr>
      </w:pPr>
      <w:r>
        <w:rPr>
          <w:sz w:val="24"/>
          <w:szCs w:val="24"/>
          <w:lang w:val="de-DE"/>
        </w:rPr>
        <w:br/>
      </w:r>
      <w:r w:rsidRPr="007D5098">
        <w:rPr>
          <w:sz w:val="24"/>
          <w:szCs w:val="24"/>
          <w:u w:val="single"/>
          <w:lang w:val="de-DE"/>
        </w:rPr>
        <w:t>Core:</w:t>
      </w:r>
    </w:p>
    <w:p w14:paraId="65B63FCD" w14:textId="77777777" w:rsidR="007D5098" w:rsidRPr="007D5098" w:rsidRDefault="007D5098" w:rsidP="007D5098">
      <w:pPr>
        <w:tabs>
          <w:tab w:val="left" w:pos="851"/>
        </w:tabs>
        <w:ind w:left="851"/>
        <w:rPr>
          <w:sz w:val="24"/>
          <w:szCs w:val="24"/>
          <w:lang w:val="de-DE"/>
        </w:rPr>
      </w:pPr>
      <w:r w:rsidRPr="007D5098">
        <w:rPr>
          <w:sz w:val="24"/>
          <w:szCs w:val="24"/>
          <w:lang w:val="de-DE"/>
        </w:rPr>
        <w:t>Lactose monohydrate</w:t>
      </w:r>
    </w:p>
    <w:p w14:paraId="1BBA7D7C" w14:textId="77777777" w:rsidR="007D5098" w:rsidRPr="007D5098" w:rsidRDefault="007D5098" w:rsidP="007D5098">
      <w:pPr>
        <w:tabs>
          <w:tab w:val="left" w:pos="851"/>
        </w:tabs>
        <w:ind w:left="851"/>
        <w:rPr>
          <w:sz w:val="24"/>
          <w:szCs w:val="24"/>
          <w:lang w:val="de-DE"/>
        </w:rPr>
      </w:pPr>
      <w:r w:rsidRPr="007D5098">
        <w:rPr>
          <w:sz w:val="24"/>
          <w:szCs w:val="24"/>
          <w:lang w:val="de-DE"/>
        </w:rPr>
        <w:t xml:space="preserve">Hypromellose </w:t>
      </w:r>
    </w:p>
    <w:p w14:paraId="5C6CB8A4" w14:textId="77777777" w:rsidR="007D5098" w:rsidRPr="007D5098" w:rsidRDefault="007D5098" w:rsidP="007D5098">
      <w:pPr>
        <w:tabs>
          <w:tab w:val="left" w:pos="851"/>
        </w:tabs>
        <w:ind w:left="851"/>
        <w:rPr>
          <w:sz w:val="24"/>
          <w:szCs w:val="24"/>
          <w:lang w:val="de-DE"/>
        </w:rPr>
      </w:pPr>
      <w:r w:rsidRPr="007D5098">
        <w:rPr>
          <w:sz w:val="24"/>
          <w:szCs w:val="24"/>
          <w:lang w:val="de-DE"/>
        </w:rPr>
        <w:t>Maize starch</w:t>
      </w:r>
    </w:p>
    <w:p w14:paraId="51F44711" w14:textId="77777777" w:rsidR="007D5098" w:rsidRPr="007D5098" w:rsidRDefault="007D5098" w:rsidP="007D5098">
      <w:pPr>
        <w:tabs>
          <w:tab w:val="left" w:pos="851"/>
        </w:tabs>
        <w:ind w:left="851"/>
        <w:rPr>
          <w:sz w:val="24"/>
          <w:szCs w:val="24"/>
          <w:lang w:val="de-DE"/>
        </w:rPr>
      </w:pPr>
      <w:r w:rsidRPr="007D5098">
        <w:rPr>
          <w:sz w:val="24"/>
          <w:szCs w:val="24"/>
          <w:lang w:val="de-DE"/>
        </w:rPr>
        <w:t>Colloidal anhydrous silica</w:t>
      </w:r>
    </w:p>
    <w:p w14:paraId="235728B3" w14:textId="77777777" w:rsidR="007D5098" w:rsidRPr="007D5098" w:rsidRDefault="007D5098" w:rsidP="007D5098">
      <w:pPr>
        <w:tabs>
          <w:tab w:val="left" w:pos="851"/>
        </w:tabs>
        <w:ind w:left="851"/>
        <w:rPr>
          <w:sz w:val="24"/>
          <w:szCs w:val="24"/>
          <w:lang w:val="de-DE"/>
        </w:rPr>
      </w:pPr>
      <w:r w:rsidRPr="007D5098">
        <w:rPr>
          <w:sz w:val="24"/>
          <w:szCs w:val="24"/>
          <w:lang w:val="de-DE"/>
        </w:rPr>
        <w:t>Magnesium stearate</w:t>
      </w:r>
    </w:p>
    <w:p w14:paraId="61C1267A" w14:textId="77777777" w:rsidR="007D5098" w:rsidRPr="007D5098" w:rsidRDefault="007D5098" w:rsidP="007D5098">
      <w:pPr>
        <w:tabs>
          <w:tab w:val="left" w:pos="851"/>
        </w:tabs>
        <w:ind w:left="851"/>
        <w:rPr>
          <w:sz w:val="24"/>
          <w:szCs w:val="24"/>
          <w:lang w:val="de-DE"/>
        </w:rPr>
      </w:pPr>
    </w:p>
    <w:p w14:paraId="49EE1327" w14:textId="77777777" w:rsidR="007D5098" w:rsidRPr="007D5098" w:rsidRDefault="007D5098" w:rsidP="007D5098">
      <w:pPr>
        <w:tabs>
          <w:tab w:val="left" w:pos="851"/>
        </w:tabs>
        <w:ind w:left="851"/>
        <w:rPr>
          <w:sz w:val="24"/>
          <w:szCs w:val="24"/>
          <w:u w:val="single"/>
          <w:lang w:val="de-DE"/>
        </w:rPr>
      </w:pPr>
      <w:r w:rsidRPr="007D5098">
        <w:rPr>
          <w:sz w:val="24"/>
          <w:szCs w:val="24"/>
          <w:u w:val="single"/>
          <w:lang w:val="de-DE"/>
        </w:rPr>
        <w:t>Film-coating:</w:t>
      </w:r>
    </w:p>
    <w:p w14:paraId="6CABAC06" w14:textId="77777777" w:rsidR="001228B1" w:rsidRPr="007D5098" w:rsidRDefault="001228B1" w:rsidP="001228B1">
      <w:pPr>
        <w:tabs>
          <w:tab w:val="left" w:pos="851"/>
        </w:tabs>
        <w:ind w:left="851"/>
        <w:rPr>
          <w:sz w:val="24"/>
          <w:szCs w:val="24"/>
          <w:lang w:val="de-DE"/>
        </w:rPr>
      </w:pPr>
      <w:r w:rsidRPr="007D5098">
        <w:rPr>
          <w:sz w:val="24"/>
          <w:szCs w:val="24"/>
          <w:lang w:val="de-DE"/>
        </w:rPr>
        <w:t xml:space="preserve">Hypromellose </w:t>
      </w:r>
    </w:p>
    <w:p w14:paraId="4D618A2C" w14:textId="77777777" w:rsidR="007D5098" w:rsidRPr="007D5098" w:rsidRDefault="007D5098" w:rsidP="007D5098">
      <w:pPr>
        <w:tabs>
          <w:tab w:val="left" w:pos="851"/>
        </w:tabs>
        <w:ind w:left="851"/>
        <w:rPr>
          <w:sz w:val="24"/>
          <w:szCs w:val="24"/>
          <w:lang w:val="de-DE"/>
        </w:rPr>
      </w:pPr>
      <w:r w:rsidRPr="007D5098">
        <w:rPr>
          <w:sz w:val="24"/>
          <w:szCs w:val="24"/>
          <w:lang w:val="de-DE"/>
        </w:rPr>
        <w:t xml:space="preserve">Macrogol </w:t>
      </w:r>
    </w:p>
    <w:p w14:paraId="403EC07E" w14:textId="77777777" w:rsidR="007D5098" w:rsidRPr="007D5098" w:rsidRDefault="007D5098" w:rsidP="007D5098">
      <w:pPr>
        <w:tabs>
          <w:tab w:val="left" w:pos="851"/>
        </w:tabs>
        <w:ind w:left="851"/>
        <w:rPr>
          <w:sz w:val="24"/>
          <w:szCs w:val="24"/>
          <w:lang w:val="de-DE"/>
        </w:rPr>
      </w:pPr>
      <w:r w:rsidRPr="007D5098">
        <w:rPr>
          <w:sz w:val="24"/>
          <w:szCs w:val="24"/>
          <w:lang w:val="de-DE"/>
        </w:rPr>
        <w:t>Titanium dioxide (E171)</w:t>
      </w:r>
    </w:p>
    <w:p w14:paraId="426B7445" w14:textId="418A017E" w:rsidR="007D5098" w:rsidRPr="007D5098" w:rsidRDefault="007D5098" w:rsidP="007D5098">
      <w:pPr>
        <w:tabs>
          <w:tab w:val="left" w:pos="851"/>
        </w:tabs>
        <w:ind w:left="851"/>
        <w:rPr>
          <w:sz w:val="24"/>
          <w:szCs w:val="24"/>
          <w:lang w:val="de-DE"/>
        </w:rPr>
      </w:pPr>
      <w:r w:rsidRPr="007D5098">
        <w:rPr>
          <w:sz w:val="24"/>
          <w:szCs w:val="24"/>
          <w:lang w:val="de-DE"/>
        </w:rPr>
        <w:t>Iron oxide</w:t>
      </w:r>
      <w:r w:rsidR="001228B1">
        <w:rPr>
          <w:sz w:val="24"/>
          <w:szCs w:val="24"/>
          <w:lang w:val="de-DE"/>
        </w:rPr>
        <w:t>s,</w:t>
      </w:r>
      <w:r w:rsidRPr="007D5098">
        <w:rPr>
          <w:sz w:val="24"/>
          <w:szCs w:val="24"/>
          <w:lang w:val="de-DE"/>
        </w:rPr>
        <w:t xml:space="preserve"> yellow </w:t>
      </w:r>
      <w:r w:rsidR="001228B1">
        <w:rPr>
          <w:sz w:val="24"/>
          <w:szCs w:val="24"/>
          <w:lang w:val="de-DE"/>
        </w:rPr>
        <w:t>and red</w:t>
      </w:r>
      <w:r w:rsidR="00DF77A5">
        <w:rPr>
          <w:sz w:val="24"/>
          <w:szCs w:val="24"/>
          <w:lang w:val="de-DE"/>
        </w:rPr>
        <w:t xml:space="preserve"> </w:t>
      </w:r>
      <w:r w:rsidRPr="007D5098">
        <w:rPr>
          <w:sz w:val="24"/>
          <w:szCs w:val="24"/>
          <w:lang w:val="de-DE"/>
        </w:rPr>
        <w:t>(E172)</w:t>
      </w:r>
    </w:p>
    <w:p w14:paraId="00744BA1" w14:textId="77777777" w:rsidR="007C5D2A" w:rsidRPr="007D5098" w:rsidRDefault="007C5D2A" w:rsidP="003D727E">
      <w:pPr>
        <w:tabs>
          <w:tab w:val="left" w:pos="851"/>
        </w:tabs>
        <w:ind w:left="851"/>
        <w:rPr>
          <w:sz w:val="24"/>
          <w:szCs w:val="24"/>
          <w:lang w:val="de-DE"/>
        </w:rPr>
      </w:pPr>
    </w:p>
    <w:p w14:paraId="08861537"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4F821ADF" w14:textId="77777777" w:rsidR="007D5098" w:rsidRPr="007D5098" w:rsidRDefault="007D5098" w:rsidP="007D5098">
      <w:pPr>
        <w:tabs>
          <w:tab w:val="left" w:pos="851"/>
        </w:tabs>
        <w:ind w:left="851"/>
        <w:rPr>
          <w:sz w:val="24"/>
          <w:szCs w:val="24"/>
          <w:lang w:val="it-IT"/>
        </w:rPr>
      </w:pPr>
      <w:r w:rsidRPr="007D5098">
        <w:rPr>
          <w:sz w:val="24"/>
          <w:szCs w:val="24"/>
          <w:lang w:val="it-IT"/>
        </w:rPr>
        <w:t>Not applicable.</w:t>
      </w:r>
    </w:p>
    <w:p w14:paraId="68A34007" w14:textId="77777777" w:rsidR="007C5D2A" w:rsidRPr="00303008" w:rsidRDefault="007C5D2A" w:rsidP="003E0341">
      <w:pPr>
        <w:tabs>
          <w:tab w:val="left" w:pos="851"/>
        </w:tabs>
        <w:ind w:left="851"/>
        <w:rPr>
          <w:sz w:val="24"/>
          <w:szCs w:val="24"/>
          <w:lang w:val="en-GB"/>
        </w:rPr>
      </w:pPr>
    </w:p>
    <w:p w14:paraId="59DC34A8"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6FDCE699" w14:textId="01D26BBA" w:rsidR="007C5D2A" w:rsidRPr="00303008" w:rsidRDefault="006A3CDB" w:rsidP="00A85D26">
      <w:pPr>
        <w:tabs>
          <w:tab w:val="left" w:pos="851"/>
        </w:tabs>
        <w:ind w:left="851"/>
        <w:rPr>
          <w:sz w:val="24"/>
          <w:szCs w:val="24"/>
          <w:lang w:val="en-GB"/>
        </w:rPr>
      </w:pPr>
      <w:r>
        <w:rPr>
          <w:sz w:val="24"/>
          <w:szCs w:val="24"/>
          <w:lang w:val="en-GB"/>
        </w:rPr>
        <w:t>3</w:t>
      </w:r>
      <w:r w:rsidR="007D5098">
        <w:rPr>
          <w:sz w:val="24"/>
          <w:szCs w:val="24"/>
          <w:lang w:val="en-GB"/>
        </w:rPr>
        <w:t xml:space="preserve"> years.</w:t>
      </w:r>
    </w:p>
    <w:p w14:paraId="0887660F" w14:textId="77777777" w:rsidR="007C5D2A" w:rsidRPr="00303008" w:rsidRDefault="007C5D2A" w:rsidP="003E0341">
      <w:pPr>
        <w:tabs>
          <w:tab w:val="left" w:pos="851"/>
        </w:tabs>
        <w:ind w:left="851"/>
        <w:rPr>
          <w:sz w:val="24"/>
          <w:szCs w:val="24"/>
          <w:lang w:val="en-GB"/>
        </w:rPr>
      </w:pPr>
    </w:p>
    <w:p w14:paraId="4D630545"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16B56874" w14:textId="77777777" w:rsidR="00944822" w:rsidRPr="00944822" w:rsidRDefault="00944822" w:rsidP="00944822">
      <w:pPr>
        <w:tabs>
          <w:tab w:val="left" w:pos="851"/>
        </w:tabs>
        <w:ind w:left="851"/>
        <w:rPr>
          <w:sz w:val="24"/>
          <w:szCs w:val="24"/>
          <w:lang w:val="de-DE"/>
        </w:rPr>
      </w:pPr>
      <w:r w:rsidRPr="00944822">
        <w:rPr>
          <w:sz w:val="24"/>
          <w:szCs w:val="24"/>
          <w:lang w:val="de-DE"/>
        </w:rPr>
        <w:lastRenderedPageBreak/>
        <w:t>This medicinal product does not require any special storage conditions.</w:t>
      </w:r>
    </w:p>
    <w:p w14:paraId="7E063D9C" w14:textId="77777777" w:rsidR="007C5D2A" w:rsidRPr="00944822" w:rsidRDefault="007C5D2A" w:rsidP="003E0341">
      <w:pPr>
        <w:tabs>
          <w:tab w:val="left" w:pos="851"/>
        </w:tabs>
        <w:ind w:left="851"/>
        <w:rPr>
          <w:sz w:val="24"/>
          <w:szCs w:val="24"/>
          <w:lang w:val="de-DE"/>
        </w:rPr>
      </w:pPr>
    </w:p>
    <w:p w14:paraId="50769410"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0F42833" w14:textId="77777777" w:rsidR="00944822" w:rsidRPr="00944822" w:rsidRDefault="00944822" w:rsidP="00944822">
      <w:pPr>
        <w:tabs>
          <w:tab w:val="left" w:pos="851"/>
        </w:tabs>
        <w:ind w:left="851"/>
        <w:rPr>
          <w:sz w:val="24"/>
          <w:szCs w:val="24"/>
          <w:lang w:val="en-GB"/>
        </w:rPr>
      </w:pPr>
      <w:r w:rsidRPr="00944822">
        <w:rPr>
          <w:sz w:val="24"/>
          <w:szCs w:val="24"/>
          <w:lang w:val="en-GB"/>
        </w:rPr>
        <w:t>PVC-Aluminium blister strips in a printed carton.</w:t>
      </w:r>
    </w:p>
    <w:p w14:paraId="47AC9CC0" w14:textId="77777777" w:rsidR="00944822" w:rsidRDefault="00944822" w:rsidP="00944822">
      <w:pPr>
        <w:tabs>
          <w:tab w:val="left" w:pos="851"/>
        </w:tabs>
        <w:ind w:left="851"/>
        <w:rPr>
          <w:sz w:val="24"/>
          <w:szCs w:val="24"/>
          <w:lang w:val="en-GB"/>
        </w:rPr>
      </w:pPr>
    </w:p>
    <w:p w14:paraId="1959FFCF" w14:textId="77777777" w:rsidR="00FD2C11" w:rsidRPr="00FD2C11" w:rsidRDefault="00FD2C11" w:rsidP="00944822">
      <w:pPr>
        <w:tabs>
          <w:tab w:val="left" w:pos="851"/>
        </w:tabs>
        <w:ind w:left="851"/>
        <w:rPr>
          <w:sz w:val="24"/>
          <w:szCs w:val="24"/>
          <w:u w:val="single"/>
          <w:lang w:val="en-GB"/>
        </w:rPr>
      </w:pPr>
      <w:r w:rsidRPr="00FD2C11">
        <w:rPr>
          <w:sz w:val="24"/>
          <w:szCs w:val="24"/>
          <w:u w:val="single"/>
          <w:lang w:val="en-GB"/>
        </w:rPr>
        <w:t>Pack sizes</w:t>
      </w:r>
    </w:p>
    <w:p w14:paraId="762A7FCC" w14:textId="1815DA07" w:rsidR="00944822" w:rsidRPr="00944822" w:rsidRDefault="00944822" w:rsidP="00944822">
      <w:pPr>
        <w:tabs>
          <w:tab w:val="left" w:pos="851"/>
        </w:tabs>
        <w:ind w:left="851"/>
        <w:rPr>
          <w:sz w:val="24"/>
          <w:szCs w:val="24"/>
          <w:lang w:val="en-GB"/>
        </w:rPr>
      </w:pPr>
      <w:r w:rsidRPr="00944822">
        <w:rPr>
          <w:sz w:val="24"/>
          <w:szCs w:val="24"/>
          <w:lang w:val="en-GB"/>
        </w:rPr>
        <w:t>Calendar packs of 28, 84 (3</w:t>
      </w:r>
      <w:r>
        <w:rPr>
          <w:sz w:val="24"/>
          <w:szCs w:val="24"/>
          <w:lang w:val="en-GB"/>
        </w:rPr>
        <w:t>×</w:t>
      </w:r>
      <w:r w:rsidRPr="00944822">
        <w:rPr>
          <w:sz w:val="24"/>
          <w:szCs w:val="24"/>
          <w:lang w:val="en-GB"/>
        </w:rPr>
        <w:t>28) or 280 (10</w:t>
      </w:r>
      <w:r>
        <w:rPr>
          <w:sz w:val="24"/>
          <w:szCs w:val="24"/>
          <w:lang w:val="en-GB"/>
        </w:rPr>
        <w:t>×</w:t>
      </w:r>
      <w:r w:rsidRPr="00944822">
        <w:rPr>
          <w:sz w:val="24"/>
          <w:szCs w:val="24"/>
          <w:lang w:val="en-GB"/>
        </w:rPr>
        <w:t>28) tablets</w:t>
      </w:r>
      <w:r>
        <w:rPr>
          <w:sz w:val="24"/>
          <w:szCs w:val="24"/>
          <w:lang w:val="en-GB"/>
        </w:rPr>
        <w:t>.</w:t>
      </w:r>
    </w:p>
    <w:p w14:paraId="5775B828" w14:textId="77777777" w:rsidR="00944822" w:rsidRPr="00944822" w:rsidRDefault="00944822" w:rsidP="00944822">
      <w:pPr>
        <w:tabs>
          <w:tab w:val="left" w:pos="851"/>
        </w:tabs>
        <w:ind w:left="851"/>
        <w:rPr>
          <w:sz w:val="24"/>
          <w:szCs w:val="24"/>
          <w:lang w:val="en-US"/>
        </w:rPr>
      </w:pPr>
    </w:p>
    <w:p w14:paraId="5A26CAE5" w14:textId="77777777" w:rsidR="00944822" w:rsidRPr="00944822" w:rsidRDefault="00944822" w:rsidP="00944822">
      <w:pPr>
        <w:tabs>
          <w:tab w:val="left" w:pos="851"/>
        </w:tabs>
        <w:ind w:left="851"/>
        <w:rPr>
          <w:sz w:val="24"/>
          <w:szCs w:val="24"/>
          <w:lang w:val="en-GB"/>
        </w:rPr>
      </w:pPr>
      <w:r w:rsidRPr="00944822">
        <w:rPr>
          <w:sz w:val="24"/>
          <w:szCs w:val="24"/>
          <w:lang w:val="en-GB"/>
        </w:rPr>
        <w:t>Not all pack sizes may be marketed.</w:t>
      </w:r>
    </w:p>
    <w:p w14:paraId="5A3C4EC0" w14:textId="77777777" w:rsidR="007C5D2A" w:rsidRPr="00303008" w:rsidRDefault="007C5D2A" w:rsidP="003E0341">
      <w:pPr>
        <w:tabs>
          <w:tab w:val="left" w:pos="851"/>
        </w:tabs>
        <w:ind w:left="851"/>
        <w:rPr>
          <w:sz w:val="24"/>
          <w:szCs w:val="24"/>
          <w:lang w:val="en-GB"/>
        </w:rPr>
      </w:pPr>
    </w:p>
    <w:p w14:paraId="56A5F297"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699B7780" w14:textId="77777777" w:rsidR="00FD2C11" w:rsidRPr="00FD2C11" w:rsidRDefault="00FD2C11" w:rsidP="00FD2C11">
      <w:pPr>
        <w:tabs>
          <w:tab w:val="left" w:pos="851"/>
        </w:tabs>
        <w:ind w:left="851"/>
        <w:rPr>
          <w:sz w:val="24"/>
          <w:szCs w:val="24"/>
          <w:lang w:val="en-US"/>
        </w:rPr>
      </w:pPr>
      <w:r w:rsidRPr="00FD2C11">
        <w:rPr>
          <w:sz w:val="24"/>
          <w:szCs w:val="24"/>
          <w:lang w:val="en-US"/>
        </w:rPr>
        <w:t>This medicinal product may pose a risk to the aquatic environment. Medicines no longer required should not be disposed of via wastewater or household waste. Any unused product or waste material should be disposed of in accordance with local requirements or returned to the pharmacy.</w:t>
      </w:r>
    </w:p>
    <w:p w14:paraId="581B4FCE" w14:textId="77777777" w:rsidR="007C5D2A" w:rsidRPr="00FD2C11" w:rsidRDefault="007C5D2A" w:rsidP="00AB4376">
      <w:pPr>
        <w:tabs>
          <w:tab w:val="left" w:pos="851"/>
        </w:tabs>
        <w:ind w:left="851"/>
        <w:rPr>
          <w:sz w:val="24"/>
          <w:szCs w:val="24"/>
          <w:lang w:val="en-US"/>
        </w:rPr>
      </w:pPr>
    </w:p>
    <w:p w14:paraId="2AD17771"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045B97DB" w14:textId="77777777" w:rsidR="00452E9D" w:rsidRPr="008F61BF" w:rsidRDefault="00452E9D" w:rsidP="00452E9D">
      <w:pPr>
        <w:tabs>
          <w:tab w:val="left" w:pos="851"/>
        </w:tabs>
        <w:ind w:left="851"/>
        <w:jc w:val="both"/>
        <w:rPr>
          <w:sz w:val="24"/>
          <w:szCs w:val="24"/>
          <w:lang w:val="en-US"/>
        </w:rPr>
      </w:pPr>
      <w:r w:rsidRPr="008F61BF">
        <w:rPr>
          <w:sz w:val="24"/>
          <w:szCs w:val="24"/>
          <w:lang w:val="en-US"/>
        </w:rPr>
        <w:t>Theramex Ireland Limited</w:t>
      </w:r>
    </w:p>
    <w:p w14:paraId="48DD7264" w14:textId="77777777" w:rsidR="00452E9D" w:rsidRPr="008F61BF" w:rsidRDefault="00452E9D" w:rsidP="00452E9D">
      <w:pPr>
        <w:tabs>
          <w:tab w:val="left" w:pos="851"/>
        </w:tabs>
        <w:ind w:left="851"/>
        <w:jc w:val="both"/>
        <w:rPr>
          <w:sz w:val="24"/>
          <w:szCs w:val="24"/>
          <w:lang w:val="en-US"/>
        </w:rPr>
      </w:pPr>
      <w:r w:rsidRPr="008F61BF">
        <w:rPr>
          <w:sz w:val="24"/>
          <w:szCs w:val="24"/>
          <w:lang w:val="en-US"/>
        </w:rPr>
        <w:t>3rd Floor, Kilmore House</w:t>
      </w:r>
    </w:p>
    <w:p w14:paraId="727A4B41" w14:textId="77777777" w:rsidR="00452E9D" w:rsidRPr="008F61BF" w:rsidRDefault="00452E9D" w:rsidP="00452E9D">
      <w:pPr>
        <w:tabs>
          <w:tab w:val="left" w:pos="851"/>
        </w:tabs>
        <w:ind w:left="851"/>
        <w:jc w:val="both"/>
        <w:rPr>
          <w:sz w:val="24"/>
          <w:szCs w:val="24"/>
          <w:lang w:val="en-US"/>
        </w:rPr>
      </w:pPr>
      <w:r w:rsidRPr="008F61BF">
        <w:rPr>
          <w:sz w:val="24"/>
          <w:szCs w:val="24"/>
          <w:lang w:val="en-US"/>
        </w:rPr>
        <w:t>Park Lane, Spencer Dock</w:t>
      </w:r>
    </w:p>
    <w:p w14:paraId="58A5F027" w14:textId="77777777" w:rsidR="00452E9D" w:rsidRPr="008F61BF" w:rsidRDefault="00452E9D" w:rsidP="00452E9D">
      <w:pPr>
        <w:tabs>
          <w:tab w:val="left" w:pos="851"/>
        </w:tabs>
        <w:ind w:left="851"/>
        <w:jc w:val="both"/>
        <w:rPr>
          <w:sz w:val="24"/>
          <w:szCs w:val="24"/>
          <w:lang w:val="en-US"/>
        </w:rPr>
      </w:pPr>
      <w:r w:rsidRPr="008F61BF">
        <w:rPr>
          <w:sz w:val="24"/>
          <w:szCs w:val="24"/>
          <w:lang w:val="en-US"/>
        </w:rPr>
        <w:t>D01 YE64 Dublin 1</w:t>
      </w:r>
    </w:p>
    <w:p w14:paraId="70FAE59A" w14:textId="77777777" w:rsidR="00452E9D" w:rsidRDefault="00452E9D" w:rsidP="00452E9D">
      <w:pPr>
        <w:tabs>
          <w:tab w:val="left" w:pos="851"/>
        </w:tabs>
        <w:ind w:left="851"/>
        <w:jc w:val="both"/>
        <w:rPr>
          <w:sz w:val="24"/>
          <w:szCs w:val="24"/>
          <w:lang w:val="en-US"/>
        </w:rPr>
      </w:pPr>
      <w:r w:rsidRPr="008F61BF">
        <w:rPr>
          <w:sz w:val="24"/>
          <w:szCs w:val="24"/>
          <w:lang w:val="en-US"/>
        </w:rPr>
        <w:t>Ir</w:t>
      </w:r>
      <w:r>
        <w:rPr>
          <w:sz w:val="24"/>
          <w:szCs w:val="24"/>
          <w:lang w:val="en-US"/>
        </w:rPr>
        <w:t>e</w:t>
      </w:r>
      <w:r w:rsidRPr="008F61BF">
        <w:rPr>
          <w:sz w:val="24"/>
          <w:szCs w:val="24"/>
          <w:lang w:val="en-US"/>
        </w:rPr>
        <w:t>land</w:t>
      </w:r>
    </w:p>
    <w:p w14:paraId="4F9CB87A" w14:textId="77777777" w:rsidR="008A24F6" w:rsidRPr="00303008" w:rsidRDefault="008A24F6" w:rsidP="003E0341">
      <w:pPr>
        <w:tabs>
          <w:tab w:val="left" w:pos="851"/>
        </w:tabs>
        <w:ind w:left="851"/>
        <w:jc w:val="both"/>
        <w:rPr>
          <w:sz w:val="24"/>
          <w:szCs w:val="24"/>
          <w:lang w:val="en-GB"/>
        </w:rPr>
      </w:pPr>
    </w:p>
    <w:p w14:paraId="4A5DF477"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11785266" w14:textId="5DAA8327" w:rsidR="007C5D2A" w:rsidRPr="00303008" w:rsidRDefault="004B2589" w:rsidP="00A85D26">
      <w:pPr>
        <w:tabs>
          <w:tab w:val="left" w:pos="851"/>
        </w:tabs>
        <w:ind w:left="851"/>
        <w:jc w:val="both"/>
        <w:rPr>
          <w:sz w:val="24"/>
          <w:szCs w:val="24"/>
          <w:lang w:val="en-GB"/>
        </w:rPr>
      </w:pPr>
      <w:r>
        <w:rPr>
          <w:sz w:val="24"/>
          <w:szCs w:val="24"/>
          <w:lang w:val="en-GB"/>
        </w:rPr>
        <w:t>6157</w:t>
      </w:r>
      <w:r w:rsidR="00192C3C">
        <w:rPr>
          <w:sz w:val="24"/>
          <w:szCs w:val="24"/>
          <w:lang w:val="en-GB"/>
        </w:rPr>
        <w:t>6</w:t>
      </w:r>
    </w:p>
    <w:p w14:paraId="4FFDCC60" w14:textId="77777777" w:rsidR="007C5D2A" w:rsidRPr="00303008" w:rsidRDefault="007C5D2A" w:rsidP="00180A12">
      <w:pPr>
        <w:tabs>
          <w:tab w:val="left" w:pos="851"/>
        </w:tabs>
        <w:ind w:left="851"/>
        <w:jc w:val="both"/>
        <w:rPr>
          <w:sz w:val="24"/>
          <w:szCs w:val="24"/>
          <w:lang w:val="en-GB"/>
        </w:rPr>
      </w:pPr>
    </w:p>
    <w:p w14:paraId="569656FD"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60941920" w14:textId="67322A36" w:rsidR="007C5D2A" w:rsidRPr="00303008" w:rsidRDefault="004B2589" w:rsidP="00A85D26">
      <w:pPr>
        <w:ind w:left="851"/>
        <w:jc w:val="both"/>
        <w:rPr>
          <w:sz w:val="24"/>
          <w:szCs w:val="24"/>
          <w:lang w:val="en-GB"/>
        </w:rPr>
      </w:pPr>
      <w:r>
        <w:rPr>
          <w:sz w:val="24"/>
          <w:szCs w:val="24"/>
          <w:lang w:val="en-GB"/>
        </w:rPr>
        <w:t>26 February 2019</w:t>
      </w:r>
    </w:p>
    <w:p w14:paraId="2C94CC13" w14:textId="77777777" w:rsidR="007C5D2A" w:rsidRPr="00303008" w:rsidRDefault="007C5D2A" w:rsidP="003E0341">
      <w:pPr>
        <w:tabs>
          <w:tab w:val="left" w:pos="851"/>
        </w:tabs>
        <w:ind w:left="851"/>
        <w:jc w:val="both"/>
        <w:rPr>
          <w:sz w:val="24"/>
          <w:szCs w:val="24"/>
          <w:lang w:val="en-GB"/>
        </w:rPr>
      </w:pPr>
    </w:p>
    <w:p w14:paraId="6365BA82"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50B1039D" w14:textId="65D8E99D" w:rsidR="007C5D2A" w:rsidRPr="00303008" w:rsidRDefault="00EB6976" w:rsidP="003E0341">
      <w:pPr>
        <w:tabs>
          <w:tab w:val="left" w:pos="851"/>
        </w:tabs>
        <w:ind w:left="851"/>
        <w:jc w:val="both"/>
        <w:rPr>
          <w:sz w:val="24"/>
          <w:szCs w:val="24"/>
          <w:lang w:val="en-GB"/>
        </w:rPr>
      </w:pPr>
      <w:r>
        <w:rPr>
          <w:sz w:val="24"/>
          <w:szCs w:val="24"/>
          <w:lang w:val="en-GB"/>
        </w:rPr>
        <w:t>14. marts 2025</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DD8D" w14:textId="77777777" w:rsidR="007435A7" w:rsidRDefault="007435A7">
      <w:r>
        <w:separator/>
      </w:r>
    </w:p>
  </w:endnote>
  <w:endnote w:type="continuationSeparator" w:id="0">
    <w:p w14:paraId="5C91248E" w14:textId="77777777" w:rsidR="007435A7" w:rsidRDefault="0074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GFENB+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Japanese Gothic">
    <w:charset w:val="80"/>
    <w:family w:val="auto"/>
    <w:pitch w:val="variable"/>
    <w:sig w:usb0="B0001AEF" w:usb1="69A7FC7B" w:usb2="00000036" w:usb3="00000000" w:csb0="002A01BF" w:csb1="00000000"/>
  </w:font>
  <w:font w:name="MS Mincho">
    <w:altName w:val="ＭＳ 明朝"/>
    <w:panose1 w:val="02020609040205080304"/>
    <w:charset w:val="80"/>
    <w:family w:val="modern"/>
    <w:pitch w:val="fixed"/>
    <w:sig w:usb0="E00002FF" w:usb1="6AC7FDFB" w:usb2="08000012" w:usb3="00000000" w:csb0="0002009F" w:csb1="00000000"/>
  </w:font>
  <w:font w:name="*Verdana-Bold-6458-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FFA3" w14:textId="77777777" w:rsidR="00192C3C" w:rsidRDefault="00192C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28C3" w14:textId="77777777" w:rsidR="00192C3C" w:rsidRDefault="00192C3C">
    <w:pPr>
      <w:pStyle w:val="Sidefod"/>
      <w:pBdr>
        <w:bottom w:val="single" w:sz="6" w:space="1" w:color="auto"/>
      </w:pBdr>
    </w:pPr>
  </w:p>
  <w:p w14:paraId="3912BA99" w14:textId="77777777" w:rsidR="00192C3C" w:rsidRDefault="00192C3C">
    <w:pPr>
      <w:pStyle w:val="Sidefod"/>
      <w:tabs>
        <w:tab w:val="clear" w:pos="4819"/>
        <w:tab w:val="left" w:pos="8647"/>
      </w:tabs>
      <w:rPr>
        <w:i/>
        <w:snapToGrid w:val="0"/>
        <w:sz w:val="18"/>
      </w:rPr>
    </w:pPr>
  </w:p>
  <w:p w14:paraId="1E8D5FCB" w14:textId="34FB23E0" w:rsidR="00192C3C" w:rsidRPr="008C7FBC" w:rsidRDefault="00192C3C" w:rsidP="00AC033C">
    <w:pPr>
      <w:pStyle w:val="Sidefod"/>
      <w:tabs>
        <w:tab w:val="clear" w:pos="4819"/>
        <w:tab w:val="left" w:pos="8364"/>
      </w:tabs>
      <w:rPr>
        <w:i/>
        <w:sz w:val="18"/>
        <w:lang w:val="en-US"/>
      </w:rPr>
    </w:pPr>
    <w:r>
      <w:rPr>
        <w:i/>
        <w:snapToGrid w:val="0"/>
        <w:sz w:val="18"/>
      </w:rPr>
      <w:fldChar w:fldCharType="begin"/>
    </w:r>
    <w:r w:rsidRPr="008C7FBC">
      <w:rPr>
        <w:i/>
        <w:snapToGrid w:val="0"/>
        <w:sz w:val="18"/>
        <w:lang w:val="en-US"/>
      </w:rPr>
      <w:instrText xml:space="preserve"> FILENAME </w:instrText>
    </w:r>
    <w:r>
      <w:rPr>
        <w:i/>
        <w:snapToGrid w:val="0"/>
        <w:sz w:val="18"/>
      </w:rPr>
      <w:fldChar w:fldCharType="separate"/>
    </w:r>
    <w:r w:rsidRPr="008C7FBC">
      <w:rPr>
        <w:i/>
        <w:noProof/>
        <w:snapToGrid w:val="0"/>
        <w:sz w:val="18"/>
        <w:lang w:val="en-US"/>
      </w:rPr>
      <w:t>Femoston Conti, filmovertrukne tabletter 0,5+2,5 mg</w:t>
    </w:r>
    <w:r>
      <w:rPr>
        <w:i/>
        <w:snapToGrid w:val="0"/>
        <w:sz w:val="18"/>
      </w:rPr>
      <w:fldChar w:fldCharType="end"/>
    </w:r>
    <w:r w:rsidRPr="008C7FBC">
      <w:rPr>
        <w:i/>
        <w:snapToGrid w:val="0"/>
        <w:sz w:val="18"/>
        <w:lang w:val="en-US"/>
      </w:rPr>
      <w:tab/>
      <w:t xml:space="preserve">Page </w:t>
    </w:r>
    <w:r>
      <w:rPr>
        <w:i/>
        <w:snapToGrid w:val="0"/>
        <w:sz w:val="18"/>
      </w:rPr>
      <w:fldChar w:fldCharType="begin"/>
    </w:r>
    <w:r w:rsidRPr="008C7FBC">
      <w:rPr>
        <w:i/>
        <w:snapToGrid w:val="0"/>
        <w:sz w:val="18"/>
        <w:lang w:val="en-US"/>
      </w:rPr>
      <w:instrText xml:space="preserve"> PAGE </w:instrText>
    </w:r>
    <w:r>
      <w:rPr>
        <w:i/>
        <w:snapToGrid w:val="0"/>
        <w:sz w:val="18"/>
      </w:rPr>
      <w:fldChar w:fldCharType="separate"/>
    </w:r>
    <w:r w:rsidRPr="008C7FBC">
      <w:rPr>
        <w:i/>
        <w:noProof/>
        <w:snapToGrid w:val="0"/>
        <w:sz w:val="18"/>
        <w:lang w:val="en-US"/>
      </w:rPr>
      <w:t>1</w:t>
    </w:r>
    <w:r>
      <w:rPr>
        <w:i/>
        <w:snapToGrid w:val="0"/>
        <w:sz w:val="18"/>
      </w:rPr>
      <w:fldChar w:fldCharType="end"/>
    </w:r>
    <w:r w:rsidRPr="008C7FBC">
      <w:rPr>
        <w:i/>
        <w:snapToGrid w:val="0"/>
        <w:sz w:val="18"/>
        <w:lang w:val="en-US"/>
      </w:rPr>
      <w:t xml:space="preserve"> of </w:t>
    </w:r>
    <w:r>
      <w:rPr>
        <w:i/>
        <w:snapToGrid w:val="0"/>
        <w:sz w:val="18"/>
      </w:rPr>
      <w:fldChar w:fldCharType="begin"/>
    </w:r>
    <w:r w:rsidRPr="008C7FBC">
      <w:rPr>
        <w:i/>
        <w:snapToGrid w:val="0"/>
        <w:sz w:val="18"/>
        <w:lang w:val="en-US"/>
      </w:rPr>
      <w:instrText xml:space="preserve"> NUMPAGES </w:instrText>
    </w:r>
    <w:r>
      <w:rPr>
        <w:i/>
        <w:snapToGrid w:val="0"/>
        <w:sz w:val="18"/>
      </w:rPr>
      <w:fldChar w:fldCharType="separate"/>
    </w:r>
    <w:r w:rsidRPr="008C7FB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63C" w14:textId="77777777" w:rsidR="00192C3C" w:rsidRDefault="00192C3C">
    <w:pPr>
      <w:pStyle w:val="Sidefod"/>
      <w:pBdr>
        <w:bottom w:val="single" w:sz="6" w:space="1" w:color="auto"/>
      </w:pBdr>
      <w:tabs>
        <w:tab w:val="clear" w:pos="4819"/>
        <w:tab w:val="left" w:pos="8789"/>
      </w:tabs>
      <w:rPr>
        <w:i/>
        <w:snapToGrid w:val="0"/>
        <w:sz w:val="18"/>
      </w:rPr>
    </w:pPr>
  </w:p>
  <w:p w14:paraId="313F450A" w14:textId="77777777" w:rsidR="00192C3C" w:rsidRDefault="00192C3C">
    <w:pPr>
      <w:pStyle w:val="Sidefod"/>
      <w:tabs>
        <w:tab w:val="clear" w:pos="4819"/>
        <w:tab w:val="left" w:pos="8789"/>
      </w:tabs>
      <w:rPr>
        <w:i/>
        <w:snapToGrid w:val="0"/>
        <w:sz w:val="18"/>
      </w:rPr>
    </w:pPr>
  </w:p>
  <w:p w14:paraId="634850EB" w14:textId="7C5DFAB8" w:rsidR="00192C3C" w:rsidRPr="008C7FBC" w:rsidRDefault="00192C3C">
    <w:pPr>
      <w:pStyle w:val="Sidefod"/>
      <w:tabs>
        <w:tab w:val="clear" w:pos="4819"/>
        <w:tab w:val="left" w:pos="8647"/>
      </w:tabs>
      <w:rPr>
        <w:i/>
        <w:sz w:val="18"/>
        <w:lang w:val="en-US"/>
      </w:rPr>
    </w:pPr>
    <w:r>
      <w:rPr>
        <w:i/>
        <w:snapToGrid w:val="0"/>
        <w:sz w:val="18"/>
      </w:rPr>
      <w:fldChar w:fldCharType="begin"/>
    </w:r>
    <w:r w:rsidRPr="008C7FBC">
      <w:rPr>
        <w:i/>
        <w:snapToGrid w:val="0"/>
        <w:sz w:val="18"/>
        <w:lang w:val="en-US"/>
      </w:rPr>
      <w:instrText xml:space="preserve"> FILENAME </w:instrText>
    </w:r>
    <w:r>
      <w:rPr>
        <w:i/>
        <w:snapToGrid w:val="0"/>
        <w:sz w:val="18"/>
      </w:rPr>
      <w:fldChar w:fldCharType="separate"/>
    </w:r>
    <w:r w:rsidRPr="008C7FBC">
      <w:rPr>
        <w:i/>
        <w:noProof/>
        <w:snapToGrid w:val="0"/>
        <w:sz w:val="18"/>
        <w:lang w:val="en-US"/>
      </w:rPr>
      <w:t>Femoston Conti, filmovertrukne tabletter 0,5+2,5 mg</w:t>
    </w:r>
    <w:r>
      <w:rPr>
        <w:i/>
        <w:snapToGrid w:val="0"/>
        <w:sz w:val="18"/>
      </w:rPr>
      <w:fldChar w:fldCharType="end"/>
    </w:r>
    <w:r w:rsidRPr="008C7FBC">
      <w:rPr>
        <w:i/>
        <w:snapToGrid w:val="0"/>
        <w:sz w:val="18"/>
        <w:lang w:val="en-US"/>
      </w:rPr>
      <w:tab/>
      <w:t xml:space="preserve">Page </w:t>
    </w:r>
    <w:r>
      <w:rPr>
        <w:i/>
        <w:snapToGrid w:val="0"/>
        <w:sz w:val="18"/>
      </w:rPr>
      <w:fldChar w:fldCharType="begin"/>
    </w:r>
    <w:r w:rsidRPr="008C7FBC">
      <w:rPr>
        <w:i/>
        <w:snapToGrid w:val="0"/>
        <w:sz w:val="18"/>
        <w:lang w:val="en-US"/>
      </w:rPr>
      <w:instrText xml:space="preserve"> PAGE </w:instrText>
    </w:r>
    <w:r>
      <w:rPr>
        <w:i/>
        <w:snapToGrid w:val="0"/>
        <w:sz w:val="18"/>
      </w:rPr>
      <w:fldChar w:fldCharType="separate"/>
    </w:r>
    <w:r w:rsidRPr="008C7FBC">
      <w:rPr>
        <w:i/>
        <w:noProof/>
        <w:snapToGrid w:val="0"/>
        <w:sz w:val="18"/>
        <w:lang w:val="en-US"/>
      </w:rPr>
      <w:t>1</w:t>
    </w:r>
    <w:r>
      <w:rPr>
        <w:i/>
        <w:snapToGrid w:val="0"/>
        <w:sz w:val="18"/>
      </w:rPr>
      <w:fldChar w:fldCharType="end"/>
    </w:r>
    <w:r w:rsidRPr="008C7FBC">
      <w:rPr>
        <w:i/>
        <w:snapToGrid w:val="0"/>
        <w:sz w:val="18"/>
        <w:lang w:val="en-US"/>
      </w:rPr>
      <w:t xml:space="preserve"> of </w:t>
    </w:r>
    <w:r>
      <w:rPr>
        <w:i/>
        <w:snapToGrid w:val="0"/>
        <w:sz w:val="18"/>
      </w:rPr>
      <w:fldChar w:fldCharType="begin"/>
    </w:r>
    <w:r w:rsidRPr="008C7FBC">
      <w:rPr>
        <w:i/>
        <w:snapToGrid w:val="0"/>
        <w:sz w:val="18"/>
        <w:lang w:val="en-US"/>
      </w:rPr>
      <w:instrText xml:space="preserve"> NUMPAGES </w:instrText>
    </w:r>
    <w:r>
      <w:rPr>
        <w:i/>
        <w:snapToGrid w:val="0"/>
        <w:sz w:val="18"/>
      </w:rPr>
      <w:fldChar w:fldCharType="separate"/>
    </w:r>
    <w:r w:rsidRPr="008C7FB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E77CC" w14:textId="77777777" w:rsidR="007435A7" w:rsidRDefault="007435A7">
      <w:r>
        <w:separator/>
      </w:r>
    </w:p>
  </w:footnote>
  <w:footnote w:type="continuationSeparator" w:id="0">
    <w:p w14:paraId="08E79861" w14:textId="77777777" w:rsidR="007435A7" w:rsidRDefault="00743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DCA7" w14:textId="77777777" w:rsidR="00192C3C" w:rsidRDefault="00192C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C40E" w14:textId="77777777" w:rsidR="00192C3C" w:rsidRDefault="00192C3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761" w14:textId="77777777" w:rsidR="00192C3C" w:rsidRDefault="00192C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6A50FEF"/>
    <w:multiLevelType w:val="hybridMultilevel"/>
    <w:tmpl w:val="D23CF526"/>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52F32"/>
    <w:multiLevelType w:val="hybridMultilevel"/>
    <w:tmpl w:val="9E00CED0"/>
    <w:lvl w:ilvl="0" w:tplc="DA601680">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tabs>
          <w:tab w:val="num" w:pos="1293"/>
        </w:tabs>
        <w:ind w:left="1293" w:hanging="360"/>
      </w:pPr>
      <w:rPr>
        <w:rFonts w:ascii="Courier New" w:hAnsi="Courier New" w:cs="Courier New" w:hint="default"/>
      </w:rPr>
    </w:lvl>
    <w:lvl w:ilvl="2" w:tplc="04090005">
      <w:start w:val="1"/>
      <w:numFmt w:val="bullet"/>
      <w:lvlText w:val=""/>
      <w:lvlJc w:val="left"/>
      <w:pPr>
        <w:tabs>
          <w:tab w:val="num" w:pos="2013"/>
        </w:tabs>
        <w:ind w:left="2013" w:hanging="360"/>
      </w:pPr>
      <w:rPr>
        <w:rFonts w:ascii="Wingdings" w:hAnsi="Wingdings" w:hint="default"/>
      </w:rPr>
    </w:lvl>
    <w:lvl w:ilvl="3" w:tplc="04090001">
      <w:start w:val="1"/>
      <w:numFmt w:val="bullet"/>
      <w:lvlText w:val=""/>
      <w:lvlJc w:val="left"/>
      <w:pPr>
        <w:tabs>
          <w:tab w:val="num" w:pos="2733"/>
        </w:tabs>
        <w:ind w:left="2733" w:hanging="360"/>
      </w:pPr>
      <w:rPr>
        <w:rFonts w:ascii="Symbol" w:hAnsi="Symbol" w:hint="default"/>
      </w:rPr>
    </w:lvl>
    <w:lvl w:ilvl="4" w:tplc="04090003">
      <w:start w:val="1"/>
      <w:numFmt w:val="bullet"/>
      <w:lvlText w:val="o"/>
      <w:lvlJc w:val="left"/>
      <w:pPr>
        <w:tabs>
          <w:tab w:val="num" w:pos="3453"/>
        </w:tabs>
        <w:ind w:left="3453" w:hanging="360"/>
      </w:pPr>
      <w:rPr>
        <w:rFonts w:ascii="Courier New" w:hAnsi="Courier New" w:cs="Courier New" w:hint="default"/>
      </w:rPr>
    </w:lvl>
    <w:lvl w:ilvl="5" w:tplc="04090005">
      <w:start w:val="1"/>
      <w:numFmt w:val="bullet"/>
      <w:lvlText w:val=""/>
      <w:lvlJc w:val="left"/>
      <w:pPr>
        <w:tabs>
          <w:tab w:val="num" w:pos="4173"/>
        </w:tabs>
        <w:ind w:left="4173" w:hanging="360"/>
      </w:pPr>
      <w:rPr>
        <w:rFonts w:ascii="Wingdings" w:hAnsi="Wingdings" w:hint="default"/>
      </w:rPr>
    </w:lvl>
    <w:lvl w:ilvl="6" w:tplc="04090001">
      <w:start w:val="1"/>
      <w:numFmt w:val="bullet"/>
      <w:lvlText w:val=""/>
      <w:lvlJc w:val="left"/>
      <w:pPr>
        <w:tabs>
          <w:tab w:val="num" w:pos="4893"/>
        </w:tabs>
        <w:ind w:left="4893" w:hanging="360"/>
      </w:pPr>
      <w:rPr>
        <w:rFonts w:ascii="Symbol" w:hAnsi="Symbol" w:hint="default"/>
      </w:rPr>
    </w:lvl>
    <w:lvl w:ilvl="7" w:tplc="04090003">
      <w:start w:val="1"/>
      <w:numFmt w:val="bullet"/>
      <w:lvlText w:val="o"/>
      <w:lvlJc w:val="left"/>
      <w:pPr>
        <w:tabs>
          <w:tab w:val="num" w:pos="5613"/>
        </w:tabs>
        <w:ind w:left="5613" w:hanging="360"/>
      </w:pPr>
      <w:rPr>
        <w:rFonts w:ascii="Courier New" w:hAnsi="Courier New" w:cs="Courier New" w:hint="default"/>
      </w:rPr>
    </w:lvl>
    <w:lvl w:ilvl="8" w:tplc="04090005">
      <w:start w:val="1"/>
      <w:numFmt w:val="bullet"/>
      <w:lvlText w:val=""/>
      <w:lvlJc w:val="left"/>
      <w:pPr>
        <w:tabs>
          <w:tab w:val="num" w:pos="6333"/>
        </w:tabs>
        <w:ind w:left="6333" w:hanging="360"/>
      </w:pPr>
      <w:rPr>
        <w:rFonts w:ascii="Wingdings" w:hAnsi="Wingdings" w:hint="default"/>
      </w:rPr>
    </w:lvl>
  </w:abstractNum>
  <w:abstractNum w:abstractNumId="4" w15:restartNumberingAfterBreak="0">
    <w:nsid w:val="0DCC75E8"/>
    <w:multiLevelType w:val="hybridMultilevel"/>
    <w:tmpl w:val="08B8C47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71E73"/>
    <w:multiLevelType w:val="hybridMultilevel"/>
    <w:tmpl w:val="B8644F18"/>
    <w:lvl w:ilvl="0" w:tplc="149AB98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266799"/>
    <w:multiLevelType w:val="hybridMultilevel"/>
    <w:tmpl w:val="2EE2FA6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B68C1"/>
    <w:multiLevelType w:val="hybridMultilevel"/>
    <w:tmpl w:val="263638F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460E6"/>
    <w:multiLevelType w:val="hybridMultilevel"/>
    <w:tmpl w:val="42787F1A"/>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A5D59"/>
    <w:multiLevelType w:val="hybridMultilevel"/>
    <w:tmpl w:val="DFE4B752"/>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A4D1E"/>
    <w:multiLevelType w:val="hybridMultilevel"/>
    <w:tmpl w:val="6C6851D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F2C8B"/>
    <w:multiLevelType w:val="hybridMultilevel"/>
    <w:tmpl w:val="26DAC812"/>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018C5"/>
    <w:multiLevelType w:val="hybridMultilevel"/>
    <w:tmpl w:val="D340E334"/>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61F3A"/>
    <w:multiLevelType w:val="hybridMultilevel"/>
    <w:tmpl w:val="56C2B7AE"/>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50563"/>
    <w:multiLevelType w:val="hybridMultilevel"/>
    <w:tmpl w:val="9C1429F0"/>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70107"/>
    <w:multiLevelType w:val="hybridMultilevel"/>
    <w:tmpl w:val="1A96432A"/>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04D9C"/>
    <w:multiLevelType w:val="hybridMultilevel"/>
    <w:tmpl w:val="211EE4B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81AFE"/>
    <w:multiLevelType w:val="hybridMultilevel"/>
    <w:tmpl w:val="95381DEA"/>
    <w:lvl w:ilvl="0" w:tplc="F230A5F2">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0" w15:restartNumberingAfterBreak="0">
    <w:nsid w:val="6CE9659E"/>
    <w:multiLevelType w:val="hybridMultilevel"/>
    <w:tmpl w:val="76BC7B68"/>
    <w:lvl w:ilvl="0" w:tplc="BA96C584">
      <w:start w:val="1"/>
      <w:numFmt w:val="bullet"/>
      <w:lvlText w:val="•"/>
      <w:lvlJc w:val="left"/>
      <w:pPr>
        <w:tabs>
          <w:tab w:val="num" w:pos="360"/>
        </w:tabs>
        <w:ind w:left="360" w:hanging="360"/>
      </w:pPr>
      <w:rPr>
        <w:rFonts w:ascii="Arial" w:hAnsi="Arial" w:cs="Times New Roman" w:hint="default"/>
      </w:rPr>
    </w:lvl>
    <w:lvl w:ilvl="1" w:tplc="9AC4E644">
      <w:numFmt w:val="bullet"/>
      <w:lvlText w:val="-"/>
      <w:lvlJc w:val="left"/>
      <w:pPr>
        <w:tabs>
          <w:tab w:val="num" w:pos="2160"/>
        </w:tabs>
        <w:ind w:left="2160" w:hanging="108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081E28"/>
    <w:multiLevelType w:val="hybridMultilevel"/>
    <w:tmpl w:val="39AA9654"/>
    <w:lvl w:ilvl="0" w:tplc="DA601680">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9"/>
  </w:num>
  <w:num w:numId="4">
    <w:abstractNumId w:val="1"/>
  </w:num>
  <w:num w:numId="5">
    <w:abstractNumId w:val="3"/>
  </w:num>
  <w:num w:numId="6">
    <w:abstractNumId w:val="18"/>
  </w:num>
  <w:num w:numId="7">
    <w:abstractNumId w:val="14"/>
  </w:num>
  <w:num w:numId="8">
    <w:abstractNumId w:val="17"/>
  </w:num>
  <w:num w:numId="9">
    <w:abstractNumId w:val="8"/>
  </w:num>
  <w:num w:numId="10">
    <w:abstractNumId w:val="21"/>
  </w:num>
  <w:num w:numId="11">
    <w:abstractNumId w:val="20"/>
  </w:num>
  <w:num w:numId="12">
    <w:abstractNumId w:val="7"/>
  </w:num>
  <w:num w:numId="13">
    <w:abstractNumId w:val="9"/>
  </w:num>
  <w:num w:numId="14">
    <w:abstractNumId w:val="13"/>
  </w:num>
  <w:num w:numId="15">
    <w:abstractNumId w:val="2"/>
  </w:num>
  <w:num w:numId="16">
    <w:abstractNumId w:val="5"/>
  </w:num>
  <w:num w:numId="17">
    <w:abstractNumId w:val="10"/>
  </w:num>
  <w:num w:numId="18">
    <w:abstractNumId w:val="4"/>
  </w:num>
  <w:num w:numId="19">
    <w:abstractNumId w:val="16"/>
  </w:num>
  <w:num w:numId="20">
    <w:abstractNumId w:val="11"/>
  </w:num>
  <w:num w:numId="21">
    <w:abstractNumId w:val="15"/>
  </w:num>
  <w:num w:numId="22">
    <w:abstractNumId w:val="12"/>
  </w:num>
  <w:num w:numId="2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F7"/>
    <w:rsid w:val="000077D6"/>
    <w:rsid w:val="0002172D"/>
    <w:rsid w:val="00056601"/>
    <w:rsid w:val="000B023C"/>
    <w:rsid w:val="000C3846"/>
    <w:rsid w:val="000C6218"/>
    <w:rsid w:val="000D3C9D"/>
    <w:rsid w:val="000F0D47"/>
    <w:rsid w:val="00106DFD"/>
    <w:rsid w:val="00116267"/>
    <w:rsid w:val="001228B1"/>
    <w:rsid w:val="001242DE"/>
    <w:rsid w:val="001537E4"/>
    <w:rsid w:val="00160952"/>
    <w:rsid w:val="0016328D"/>
    <w:rsid w:val="00180A12"/>
    <w:rsid w:val="00192C3C"/>
    <w:rsid w:val="001C02F8"/>
    <w:rsid w:val="001C2648"/>
    <w:rsid w:val="00214331"/>
    <w:rsid w:val="00214CF4"/>
    <w:rsid w:val="00237434"/>
    <w:rsid w:val="00243723"/>
    <w:rsid w:val="0025203F"/>
    <w:rsid w:val="00275795"/>
    <w:rsid w:val="00281F03"/>
    <w:rsid w:val="0029458A"/>
    <w:rsid w:val="002A1587"/>
    <w:rsid w:val="002B11A1"/>
    <w:rsid w:val="002B27C5"/>
    <w:rsid w:val="002D6601"/>
    <w:rsid w:val="002F6D9C"/>
    <w:rsid w:val="00303008"/>
    <w:rsid w:val="003451AB"/>
    <w:rsid w:val="00373B55"/>
    <w:rsid w:val="003A4C96"/>
    <w:rsid w:val="003D727E"/>
    <w:rsid w:val="003E0341"/>
    <w:rsid w:val="003E3402"/>
    <w:rsid w:val="003F4736"/>
    <w:rsid w:val="00401B49"/>
    <w:rsid w:val="004053F8"/>
    <w:rsid w:val="0042292D"/>
    <w:rsid w:val="00437D5B"/>
    <w:rsid w:val="00440254"/>
    <w:rsid w:val="00452E9D"/>
    <w:rsid w:val="004860D3"/>
    <w:rsid w:val="004A3BF4"/>
    <w:rsid w:val="004A5DB3"/>
    <w:rsid w:val="004B2589"/>
    <w:rsid w:val="005152D9"/>
    <w:rsid w:val="00516DE5"/>
    <w:rsid w:val="00523C3F"/>
    <w:rsid w:val="00533AD4"/>
    <w:rsid w:val="00534849"/>
    <w:rsid w:val="00560102"/>
    <w:rsid w:val="00562EA1"/>
    <w:rsid w:val="005742A3"/>
    <w:rsid w:val="00596FE2"/>
    <w:rsid w:val="005A498B"/>
    <w:rsid w:val="00617BB8"/>
    <w:rsid w:val="006207FF"/>
    <w:rsid w:val="0066320E"/>
    <w:rsid w:val="00680052"/>
    <w:rsid w:val="00683267"/>
    <w:rsid w:val="006844E9"/>
    <w:rsid w:val="006A3CDB"/>
    <w:rsid w:val="006B3847"/>
    <w:rsid w:val="006C18D0"/>
    <w:rsid w:val="006F05F7"/>
    <w:rsid w:val="00715BFB"/>
    <w:rsid w:val="00720363"/>
    <w:rsid w:val="00724AA7"/>
    <w:rsid w:val="007435A7"/>
    <w:rsid w:val="0075453D"/>
    <w:rsid w:val="00763DDA"/>
    <w:rsid w:val="007909EB"/>
    <w:rsid w:val="007A05DA"/>
    <w:rsid w:val="007A4CC6"/>
    <w:rsid w:val="007C3623"/>
    <w:rsid w:val="007C4EFE"/>
    <w:rsid w:val="007C5D2A"/>
    <w:rsid w:val="007D5098"/>
    <w:rsid w:val="007F1E00"/>
    <w:rsid w:val="007F3E82"/>
    <w:rsid w:val="008137E3"/>
    <w:rsid w:val="00817F48"/>
    <w:rsid w:val="00827444"/>
    <w:rsid w:val="008400E3"/>
    <w:rsid w:val="0085371D"/>
    <w:rsid w:val="00864538"/>
    <w:rsid w:val="00873B4F"/>
    <w:rsid w:val="008A24F6"/>
    <w:rsid w:val="008C7FBC"/>
    <w:rsid w:val="008D5B72"/>
    <w:rsid w:val="008E51AE"/>
    <w:rsid w:val="008F2F8C"/>
    <w:rsid w:val="008F5B23"/>
    <w:rsid w:val="00924952"/>
    <w:rsid w:val="00926ED2"/>
    <w:rsid w:val="0093136E"/>
    <w:rsid w:val="0094200D"/>
    <w:rsid w:val="00944822"/>
    <w:rsid w:val="00960C3F"/>
    <w:rsid w:val="009925C9"/>
    <w:rsid w:val="009B0A35"/>
    <w:rsid w:val="009F5A0A"/>
    <w:rsid w:val="00A179D0"/>
    <w:rsid w:val="00A358A3"/>
    <w:rsid w:val="00A46747"/>
    <w:rsid w:val="00A50609"/>
    <w:rsid w:val="00A61366"/>
    <w:rsid w:val="00A80446"/>
    <w:rsid w:val="00A85D26"/>
    <w:rsid w:val="00A9153A"/>
    <w:rsid w:val="00AA1A2E"/>
    <w:rsid w:val="00AB4376"/>
    <w:rsid w:val="00AB6117"/>
    <w:rsid w:val="00AB6614"/>
    <w:rsid w:val="00AC033C"/>
    <w:rsid w:val="00AD2E36"/>
    <w:rsid w:val="00AE6A22"/>
    <w:rsid w:val="00B45530"/>
    <w:rsid w:val="00B45DC5"/>
    <w:rsid w:val="00B74D48"/>
    <w:rsid w:val="00BC5891"/>
    <w:rsid w:val="00BD3490"/>
    <w:rsid w:val="00C26226"/>
    <w:rsid w:val="00C3478C"/>
    <w:rsid w:val="00C3571D"/>
    <w:rsid w:val="00C54F0B"/>
    <w:rsid w:val="00C73AA3"/>
    <w:rsid w:val="00C82621"/>
    <w:rsid w:val="00CA3752"/>
    <w:rsid w:val="00CB1423"/>
    <w:rsid w:val="00CB709F"/>
    <w:rsid w:val="00CC2145"/>
    <w:rsid w:val="00D02508"/>
    <w:rsid w:val="00D778CC"/>
    <w:rsid w:val="00D82FE9"/>
    <w:rsid w:val="00D97B77"/>
    <w:rsid w:val="00DA2E7E"/>
    <w:rsid w:val="00DB6A85"/>
    <w:rsid w:val="00DD2017"/>
    <w:rsid w:val="00DD549C"/>
    <w:rsid w:val="00DF77A5"/>
    <w:rsid w:val="00E06B32"/>
    <w:rsid w:val="00E1290F"/>
    <w:rsid w:val="00E36A80"/>
    <w:rsid w:val="00E66A59"/>
    <w:rsid w:val="00EB21D7"/>
    <w:rsid w:val="00EB6976"/>
    <w:rsid w:val="00EE3EB7"/>
    <w:rsid w:val="00EF6A13"/>
    <w:rsid w:val="00F57E16"/>
    <w:rsid w:val="00F60336"/>
    <w:rsid w:val="00FD2C1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60AB09A7"/>
  <w15:chartTrackingRefBased/>
  <w15:docId w15:val="{153EAEBA-A49A-4A1C-A051-0929F50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3">
    <w:name w:val="heading 3"/>
    <w:basedOn w:val="Normal"/>
    <w:link w:val="Overskrift3Tegn"/>
    <w:uiPriority w:val="9"/>
    <w:semiHidden/>
    <w:unhideWhenUsed/>
    <w:qFormat/>
    <w:rsid w:val="00EB6976"/>
    <w:pPr>
      <w:widowControl w:val="0"/>
      <w:autoSpaceDE w:val="0"/>
      <w:autoSpaceDN w:val="0"/>
      <w:ind w:left="220"/>
      <w:outlineLvl w:val="2"/>
    </w:pPr>
    <w:rPr>
      <w:b/>
      <w:bCs/>
      <w:sz w:val="22"/>
      <w:szCs w:val="22"/>
      <w:lang w:val="en-US"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F5B23"/>
    <w:pPr>
      <w:autoSpaceDE w:val="0"/>
      <w:autoSpaceDN w:val="0"/>
      <w:adjustRightInd w:val="0"/>
    </w:pPr>
    <w:rPr>
      <w:rFonts w:ascii="KGFENB+TimesNewRoman" w:eastAsia="SimSun" w:hAnsi="KGFENB+TimesNewRoman" w:cs="KGFENB+TimesNewRoman"/>
      <w:color w:val="000000"/>
      <w:sz w:val="24"/>
      <w:szCs w:val="24"/>
      <w:lang w:val="en-US" w:eastAsia="zh-CN" w:bidi="he-IL"/>
    </w:rPr>
  </w:style>
  <w:style w:type="character" w:customStyle="1" w:styleId="Overskrift3Tegn">
    <w:name w:val="Overskrift 3 Tegn"/>
    <w:basedOn w:val="Standardskrifttypeiafsnit"/>
    <w:link w:val="Overskrift3"/>
    <w:uiPriority w:val="9"/>
    <w:semiHidden/>
    <w:rsid w:val="00EB6976"/>
    <w:rPr>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7724">
      <w:bodyDiv w:val="1"/>
      <w:marLeft w:val="0"/>
      <w:marRight w:val="0"/>
      <w:marTop w:val="0"/>
      <w:marBottom w:val="0"/>
      <w:divBdr>
        <w:top w:val="none" w:sz="0" w:space="0" w:color="auto"/>
        <w:left w:val="none" w:sz="0" w:space="0" w:color="auto"/>
        <w:bottom w:val="none" w:sz="0" w:space="0" w:color="auto"/>
        <w:right w:val="none" w:sz="0" w:space="0" w:color="auto"/>
      </w:divBdr>
    </w:div>
    <w:div w:id="120346409">
      <w:bodyDiv w:val="1"/>
      <w:marLeft w:val="0"/>
      <w:marRight w:val="0"/>
      <w:marTop w:val="0"/>
      <w:marBottom w:val="0"/>
      <w:divBdr>
        <w:top w:val="none" w:sz="0" w:space="0" w:color="auto"/>
        <w:left w:val="none" w:sz="0" w:space="0" w:color="auto"/>
        <w:bottom w:val="none" w:sz="0" w:space="0" w:color="auto"/>
        <w:right w:val="none" w:sz="0" w:space="0" w:color="auto"/>
      </w:divBdr>
    </w:div>
    <w:div w:id="148838159">
      <w:bodyDiv w:val="1"/>
      <w:marLeft w:val="0"/>
      <w:marRight w:val="0"/>
      <w:marTop w:val="0"/>
      <w:marBottom w:val="0"/>
      <w:divBdr>
        <w:top w:val="none" w:sz="0" w:space="0" w:color="auto"/>
        <w:left w:val="none" w:sz="0" w:space="0" w:color="auto"/>
        <w:bottom w:val="none" w:sz="0" w:space="0" w:color="auto"/>
        <w:right w:val="none" w:sz="0" w:space="0" w:color="auto"/>
      </w:divBdr>
    </w:div>
    <w:div w:id="196748132">
      <w:bodyDiv w:val="1"/>
      <w:marLeft w:val="0"/>
      <w:marRight w:val="0"/>
      <w:marTop w:val="0"/>
      <w:marBottom w:val="0"/>
      <w:divBdr>
        <w:top w:val="none" w:sz="0" w:space="0" w:color="auto"/>
        <w:left w:val="none" w:sz="0" w:space="0" w:color="auto"/>
        <w:bottom w:val="none" w:sz="0" w:space="0" w:color="auto"/>
        <w:right w:val="none" w:sz="0" w:space="0" w:color="auto"/>
      </w:divBdr>
    </w:div>
    <w:div w:id="246429126">
      <w:bodyDiv w:val="1"/>
      <w:marLeft w:val="0"/>
      <w:marRight w:val="0"/>
      <w:marTop w:val="0"/>
      <w:marBottom w:val="0"/>
      <w:divBdr>
        <w:top w:val="none" w:sz="0" w:space="0" w:color="auto"/>
        <w:left w:val="none" w:sz="0" w:space="0" w:color="auto"/>
        <w:bottom w:val="none" w:sz="0" w:space="0" w:color="auto"/>
        <w:right w:val="none" w:sz="0" w:space="0" w:color="auto"/>
      </w:divBdr>
    </w:div>
    <w:div w:id="328098909">
      <w:bodyDiv w:val="1"/>
      <w:marLeft w:val="0"/>
      <w:marRight w:val="0"/>
      <w:marTop w:val="0"/>
      <w:marBottom w:val="0"/>
      <w:divBdr>
        <w:top w:val="none" w:sz="0" w:space="0" w:color="auto"/>
        <w:left w:val="none" w:sz="0" w:space="0" w:color="auto"/>
        <w:bottom w:val="none" w:sz="0" w:space="0" w:color="auto"/>
        <w:right w:val="none" w:sz="0" w:space="0" w:color="auto"/>
      </w:divBdr>
    </w:div>
    <w:div w:id="363868245">
      <w:bodyDiv w:val="1"/>
      <w:marLeft w:val="0"/>
      <w:marRight w:val="0"/>
      <w:marTop w:val="0"/>
      <w:marBottom w:val="0"/>
      <w:divBdr>
        <w:top w:val="none" w:sz="0" w:space="0" w:color="auto"/>
        <w:left w:val="none" w:sz="0" w:space="0" w:color="auto"/>
        <w:bottom w:val="none" w:sz="0" w:space="0" w:color="auto"/>
        <w:right w:val="none" w:sz="0" w:space="0" w:color="auto"/>
      </w:divBdr>
    </w:div>
    <w:div w:id="456686689">
      <w:bodyDiv w:val="1"/>
      <w:marLeft w:val="0"/>
      <w:marRight w:val="0"/>
      <w:marTop w:val="0"/>
      <w:marBottom w:val="0"/>
      <w:divBdr>
        <w:top w:val="none" w:sz="0" w:space="0" w:color="auto"/>
        <w:left w:val="none" w:sz="0" w:space="0" w:color="auto"/>
        <w:bottom w:val="none" w:sz="0" w:space="0" w:color="auto"/>
        <w:right w:val="none" w:sz="0" w:space="0" w:color="auto"/>
      </w:divBdr>
    </w:div>
    <w:div w:id="470514419">
      <w:bodyDiv w:val="1"/>
      <w:marLeft w:val="0"/>
      <w:marRight w:val="0"/>
      <w:marTop w:val="0"/>
      <w:marBottom w:val="0"/>
      <w:divBdr>
        <w:top w:val="none" w:sz="0" w:space="0" w:color="auto"/>
        <w:left w:val="none" w:sz="0" w:space="0" w:color="auto"/>
        <w:bottom w:val="none" w:sz="0" w:space="0" w:color="auto"/>
        <w:right w:val="none" w:sz="0" w:space="0" w:color="auto"/>
      </w:divBdr>
    </w:div>
    <w:div w:id="484855644">
      <w:bodyDiv w:val="1"/>
      <w:marLeft w:val="0"/>
      <w:marRight w:val="0"/>
      <w:marTop w:val="0"/>
      <w:marBottom w:val="0"/>
      <w:divBdr>
        <w:top w:val="none" w:sz="0" w:space="0" w:color="auto"/>
        <w:left w:val="none" w:sz="0" w:space="0" w:color="auto"/>
        <w:bottom w:val="none" w:sz="0" w:space="0" w:color="auto"/>
        <w:right w:val="none" w:sz="0" w:space="0" w:color="auto"/>
      </w:divBdr>
    </w:div>
    <w:div w:id="560410671">
      <w:bodyDiv w:val="1"/>
      <w:marLeft w:val="0"/>
      <w:marRight w:val="0"/>
      <w:marTop w:val="0"/>
      <w:marBottom w:val="0"/>
      <w:divBdr>
        <w:top w:val="none" w:sz="0" w:space="0" w:color="auto"/>
        <w:left w:val="none" w:sz="0" w:space="0" w:color="auto"/>
        <w:bottom w:val="none" w:sz="0" w:space="0" w:color="auto"/>
        <w:right w:val="none" w:sz="0" w:space="0" w:color="auto"/>
      </w:divBdr>
    </w:div>
    <w:div w:id="604576867">
      <w:bodyDiv w:val="1"/>
      <w:marLeft w:val="0"/>
      <w:marRight w:val="0"/>
      <w:marTop w:val="0"/>
      <w:marBottom w:val="0"/>
      <w:divBdr>
        <w:top w:val="none" w:sz="0" w:space="0" w:color="auto"/>
        <w:left w:val="none" w:sz="0" w:space="0" w:color="auto"/>
        <w:bottom w:val="none" w:sz="0" w:space="0" w:color="auto"/>
        <w:right w:val="none" w:sz="0" w:space="0" w:color="auto"/>
      </w:divBdr>
    </w:div>
    <w:div w:id="684523892">
      <w:bodyDiv w:val="1"/>
      <w:marLeft w:val="0"/>
      <w:marRight w:val="0"/>
      <w:marTop w:val="0"/>
      <w:marBottom w:val="0"/>
      <w:divBdr>
        <w:top w:val="none" w:sz="0" w:space="0" w:color="auto"/>
        <w:left w:val="none" w:sz="0" w:space="0" w:color="auto"/>
        <w:bottom w:val="none" w:sz="0" w:space="0" w:color="auto"/>
        <w:right w:val="none" w:sz="0" w:space="0" w:color="auto"/>
      </w:divBdr>
    </w:div>
    <w:div w:id="695618465">
      <w:bodyDiv w:val="1"/>
      <w:marLeft w:val="0"/>
      <w:marRight w:val="0"/>
      <w:marTop w:val="0"/>
      <w:marBottom w:val="0"/>
      <w:divBdr>
        <w:top w:val="none" w:sz="0" w:space="0" w:color="auto"/>
        <w:left w:val="none" w:sz="0" w:space="0" w:color="auto"/>
        <w:bottom w:val="none" w:sz="0" w:space="0" w:color="auto"/>
        <w:right w:val="none" w:sz="0" w:space="0" w:color="auto"/>
      </w:divBdr>
    </w:div>
    <w:div w:id="707952445">
      <w:bodyDiv w:val="1"/>
      <w:marLeft w:val="0"/>
      <w:marRight w:val="0"/>
      <w:marTop w:val="0"/>
      <w:marBottom w:val="0"/>
      <w:divBdr>
        <w:top w:val="none" w:sz="0" w:space="0" w:color="auto"/>
        <w:left w:val="none" w:sz="0" w:space="0" w:color="auto"/>
        <w:bottom w:val="none" w:sz="0" w:space="0" w:color="auto"/>
        <w:right w:val="none" w:sz="0" w:space="0" w:color="auto"/>
      </w:divBdr>
    </w:div>
    <w:div w:id="725567790">
      <w:bodyDiv w:val="1"/>
      <w:marLeft w:val="0"/>
      <w:marRight w:val="0"/>
      <w:marTop w:val="0"/>
      <w:marBottom w:val="0"/>
      <w:divBdr>
        <w:top w:val="none" w:sz="0" w:space="0" w:color="auto"/>
        <w:left w:val="none" w:sz="0" w:space="0" w:color="auto"/>
        <w:bottom w:val="none" w:sz="0" w:space="0" w:color="auto"/>
        <w:right w:val="none" w:sz="0" w:space="0" w:color="auto"/>
      </w:divBdr>
    </w:div>
    <w:div w:id="748501579">
      <w:bodyDiv w:val="1"/>
      <w:marLeft w:val="0"/>
      <w:marRight w:val="0"/>
      <w:marTop w:val="0"/>
      <w:marBottom w:val="0"/>
      <w:divBdr>
        <w:top w:val="none" w:sz="0" w:space="0" w:color="auto"/>
        <w:left w:val="none" w:sz="0" w:space="0" w:color="auto"/>
        <w:bottom w:val="none" w:sz="0" w:space="0" w:color="auto"/>
        <w:right w:val="none" w:sz="0" w:space="0" w:color="auto"/>
      </w:divBdr>
    </w:div>
    <w:div w:id="780615576">
      <w:bodyDiv w:val="1"/>
      <w:marLeft w:val="0"/>
      <w:marRight w:val="0"/>
      <w:marTop w:val="0"/>
      <w:marBottom w:val="0"/>
      <w:divBdr>
        <w:top w:val="none" w:sz="0" w:space="0" w:color="auto"/>
        <w:left w:val="none" w:sz="0" w:space="0" w:color="auto"/>
        <w:bottom w:val="none" w:sz="0" w:space="0" w:color="auto"/>
        <w:right w:val="none" w:sz="0" w:space="0" w:color="auto"/>
      </w:divBdr>
    </w:div>
    <w:div w:id="788201950">
      <w:bodyDiv w:val="1"/>
      <w:marLeft w:val="0"/>
      <w:marRight w:val="0"/>
      <w:marTop w:val="0"/>
      <w:marBottom w:val="0"/>
      <w:divBdr>
        <w:top w:val="none" w:sz="0" w:space="0" w:color="auto"/>
        <w:left w:val="none" w:sz="0" w:space="0" w:color="auto"/>
        <w:bottom w:val="none" w:sz="0" w:space="0" w:color="auto"/>
        <w:right w:val="none" w:sz="0" w:space="0" w:color="auto"/>
      </w:divBdr>
    </w:div>
    <w:div w:id="981159585">
      <w:bodyDiv w:val="1"/>
      <w:marLeft w:val="0"/>
      <w:marRight w:val="0"/>
      <w:marTop w:val="0"/>
      <w:marBottom w:val="0"/>
      <w:divBdr>
        <w:top w:val="none" w:sz="0" w:space="0" w:color="auto"/>
        <w:left w:val="none" w:sz="0" w:space="0" w:color="auto"/>
        <w:bottom w:val="none" w:sz="0" w:space="0" w:color="auto"/>
        <w:right w:val="none" w:sz="0" w:space="0" w:color="auto"/>
      </w:divBdr>
    </w:div>
    <w:div w:id="999120698">
      <w:bodyDiv w:val="1"/>
      <w:marLeft w:val="0"/>
      <w:marRight w:val="0"/>
      <w:marTop w:val="0"/>
      <w:marBottom w:val="0"/>
      <w:divBdr>
        <w:top w:val="none" w:sz="0" w:space="0" w:color="auto"/>
        <w:left w:val="none" w:sz="0" w:space="0" w:color="auto"/>
        <w:bottom w:val="none" w:sz="0" w:space="0" w:color="auto"/>
        <w:right w:val="none" w:sz="0" w:space="0" w:color="auto"/>
      </w:divBdr>
    </w:div>
    <w:div w:id="1034620273">
      <w:bodyDiv w:val="1"/>
      <w:marLeft w:val="0"/>
      <w:marRight w:val="0"/>
      <w:marTop w:val="0"/>
      <w:marBottom w:val="0"/>
      <w:divBdr>
        <w:top w:val="none" w:sz="0" w:space="0" w:color="auto"/>
        <w:left w:val="none" w:sz="0" w:space="0" w:color="auto"/>
        <w:bottom w:val="none" w:sz="0" w:space="0" w:color="auto"/>
        <w:right w:val="none" w:sz="0" w:space="0" w:color="auto"/>
      </w:divBdr>
    </w:div>
    <w:div w:id="1057555538">
      <w:bodyDiv w:val="1"/>
      <w:marLeft w:val="0"/>
      <w:marRight w:val="0"/>
      <w:marTop w:val="0"/>
      <w:marBottom w:val="0"/>
      <w:divBdr>
        <w:top w:val="none" w:sz="0" w:space="0" w:color="auto"/>
        <w:left w:val="none" w:sz="0" w:space="0" w:color="auto"/>
        <w:bottom w:val="none" w:sz="0" w:space="0" w:color="auto"/>
        <w:right w:val="none" w:sz="0" w:space="0" w:color="auto"/>
      </w:divBdr>
    </w:div>
    <w:div w:id="1071197537">
      <w:bodyDiv w:val="1"/>
      <w:marLeft w:val="0"/>
      <w:marRight w:val="0"/>
      <w:marTop w:val="0"/>
      <w:marBottom w:val="0"/>
      <w:divBdr>
        <w:top w:val="none" w:sz="0" w:space="0" w:color="auto"/>
        <w:left w:val="none" w:sz="0" w:space="0" w:color="auto"/>
        <w:bottom w:val="none" w:sz="0" w:space="0" w:color="auto"/>
        <w:right w:val="none" w:sz="0" w:space="0" w:color="auto"/>
      </w:divBdr>
    </w:div>
    <w:div w:id="1109619158">
      <w:bodyDiv w:val="1"/>
      <w:marLeft w:val="0"/>
      <w:marRight w:val="0"/>
      <w:marTop w:val="0"/>
      <w:marBottom w:val="0"/>
      <w:divBdr>
        <w:top w:val="none" w:sz="0" w:space="0" w:color="auto"/>
        <w:left w:val="none" w:sz="0" w:space="0" w:color="auto"/>
        <w:bottom w:val="none" w:sz="0" w:space="0" w:color="auto"/>
        <w:right w:val="none" w:sz="0" w:space="0" w:color="auto"/>
      </w:divBdr>
    </w:div>
    <w:div w:id="1204949406">
      <w:bodyDiv w:val="1"/>
      <w:marLeft w:val="0"/>
      <w:marRight w:val="0"/>
      <w:marTop w:val="0"/>
      <w:marBottom w:val="0"/>
      <w:divBdr>
        <w:top w:val="none" w:sz="0" w:space="0" w:color="auto"/>
        <w:left w:val="none" w:sz="0" w:space="0" w:color="auto"/>
        <w:bottom w:val="none" w:sz="0" w:space="0" w:color="auto"/>
        <w:right w:val="none" w:sz="0" w:space="0" w:color="auto"/>
      </w:divBdr>
    </w:div>
    <w:div w:id="1210453661">
      <w:bodyDiv w:val="1"/>
      <w:marLeft w:val="0"/>
      <w:marRight w:val="0"/>
      <w:marTop w:val="0"/>
      <w:marBottom w:val="0"/>
      <w:divBdr>
        <w:top w:val="none" w:sz="0" w:space="0" w:color="auto"/>
        <w:left w:val="none" w:sz="0" w:space="0" w:color="auto"/>
        <w:bottom w:val="none" w:sz="0" w:space="0" w:color="auto"/>
        <w:right w:val="none" w:sz="0" w:space="0" w:color="auto"/>
      </w:divBdr>
    </w:div>
    <w:div w:id="1225795837">
      <w:bodyDiv w:val="1"/>
      <w:marLeft w:val="0"/>
      <w:marRight w:val="0"/>
      <w:marTop w:val="0"/>
      <w:marBottom w:val="0"/>
      <w:divBdr>
        <w:top w:val="none" w:sz="0" w:space="0" w:color="auto"/>
        <w:left w:val="none" w:sz="0" w:space="0" w:color="auto"/>
        <w:bottom w:val="none" w:sz="0" w:space="0" w:color="auto"/>
        <w:right w:val="none" w:sz="0" w:space="0" w:color="auto"/>
      </w:divBdr>
    </w:div>
    <w:div w:id="1229538853">
      <w:bodyDiv w:val="1"/>
      <w:marLeft w:val="0"/>
      <w:marRight w:val="0"/>
      <w:marTop w:val="0"/>
      <w:marBottom w:val="0"/>
      <w:divBdr>
        <w:top w:val="none" w:sz="0" w:space="0" w:color="auto"/>
        <w:left w:val="none" w:sz="0" w:space="0" w:color="auto"/>
        <w:bottom w:val="none" w:sz="0" w:space="0" w:color="auto"/>
        <w:right w:val="none" w:sz="0" w:space="0" w:color="auto"/>
      </w:divBdr>
    </w:div>
    <w:div w:id="1279072196">
      <w:bodyDiv w:val="1"/>
      <w:marLeft w:val="0"/>
      <w:marRight w:val="0"/>
      <w:marTop w:val="0"/>
      <w:marBottom w:val="0"/>
      <w:divBdr>
        <w:top w:val="none" w:sz="0" w:space="0" w:color="auto"/>
        <w:left w:val="none" w:sz="0" w:space="0" w:color="auto"/>
        <w:bottom w:val="none" w:sz="0" w:space="0" w:color="auto"/>
        <w:right w:val="none" w:sz="0" w:space="0" w:color="auto"/>
      </w:divBdr>
    </w:div>
    <w:div w:id="1325625819">
      <w:bodyDiv w:val="1"/>
      <w:marLeft w:val="0"/>
      <w:marRight w:val="0"/>
      <w:marTop w:val="0"/>
      <w:marBottom w:val="0"/>
      <w:divBdr>
        <w:top w:val="none" w:sz="0" w:space="0" w:color="auto"/>
        <w:left w:val="none" w:sz="0" w:space="0" w:color="auto"/>
        <w:bottom w:val="none" w:sz="0" w:space="0" w:color="auto"/>
        <w:right w:val="none" w:sz="0" w:space="0" w:color="auto"/>
      </w:divBdr>
    </w:div>
    <w:div w:id="1441804200">
      <w:bodyDiv w:val="1"/>
      <w:marLeft w:val="0"/>
      <w:marRight w:val="0"/>
      <w:marTop w:val="0"/>
      <w:marBottom w:val="0"/>
      <w:divBdr>
        <w:top w:val="none" w:sz="0" w:space="0" w:color="auto"/>
        <w:left w:val="none" w:sz="0" w:space="0" w:color="auto"/>
        <w:bottom w:val="none" w:sz="0" w:space="0" w:color="auto"/>
        <w:right w:val="none" w:sz="0" w:space="0" w:color="auto"/>
      </w:divBdr>
    </w:div>
    <w:div w:id="1480877255">
      <w:bodyDiv w:val="1"/>
      <w:marLeft w:val="0"/>
      <w:marRight w:val="0"/>
      <w:marTop w:val="0"/>
      <w:marBottom w:val="0"/>
      <w:divBdr>
        <w:top w:val="none" w:sz="0" w:space="0" w:color="auto"/>
        <w:left w:val="none" w:sz="0" w:space="0" w:color="auto"/>
        <w:bottom w:val="none" w:sz="0" w:space="0" w:color="auto"/>
        <w:right w:val="none" w:sz="0" w:space="0" w:color="auto"/>
      </w:divBdr>
    </w:div>
    <w:div w:id="1522354546">
      <w:bodyDiv w:val="1"/>
      <w:marLeft w:val="0"/>
      <w:marRight w:val="0"/>
      <w:marTop w:val="0"/>
      <w:marBottom w:val="0"/>
      <w:divBdr>
        <w:top w:val="none" w:sz="0" w:space="0" w:color="auto"/>
        <w:left w:val="none" w:sz="0" w:space="0" w:color="auto"/>
        <w:bottom w:val="none" w:sz="0" w:space="0" w:color="auto"/>
        <w:right w:val="none" w:sz="0" w:space="0" w:color="auto"/>
      </w:divBdr>
    </w:div>
    <w:div w:id="1528251782">
      <w:bodyDiv w:val="1"/>
      <w:marLeft w:val="0"/>
      <w:marRight w:val="0"/>
      <w:marTop w:val="0"/>
      <w:marBottom w:val="0"/>
      <w:divBdr>
        <w:top w:val="none" w:sz="0" w:space="0" w:color="auto"/>
        <w:left w:val="none" w:sz="0" w:space="0" w:color="auto"/>
        <w:bottom w:val="none" w:sz="0" w:space="0" w:color="auto"/>
        <w:right w:val="none" w:sz="0" w:space="0" w:color="auto"/>
      </w:divBdr>
    </w:div>
    <w:div w:id="1561404108">
      <w:bodyDiv w:val="1"/>
      <w:marLeft w:val="0"/>
      <w:marRight w:val="0"/>
      <w:marTop w:val="0"/>
      <w:marBottom w:val="0"/>
      <w:divBdr>
        <w:top w:val="none" w:sz="0" w:space="0" w:color="auto"/>
        <w:left w:val="none" w:sz="0" w:space="0" w:color="auto"/>
        <w:bottom w:val="none" w:sz="0" w:space="0" w:color="auto"/>
        <w:right w:val="none" w:sz="0" w:space="0" w:color="auto"/>
      </w:divBdr>
    </w:div>
    <w:div w:id="1667392972">
      <w:bodyDiv w:val="1"/>
      <w:marLeft w:val="0"/>
      <w:marRight w:val="0"/>
      <w:marTop w:val="0"/>
      <w:marBottom w:val="0"/>
      <w:divBdr>
        <w:top w:val="none" w:sz="0" w:space="0" w:color="auto"/>
        <w:left w:val="none" w:sz="0" w:space="0" w:color="auto"/>
        <w:bottom w:val="none" w:sz="0" w:space="0" w:color="auto"/>
        <w:right w:val="none" w:sz="0" w:space="0" w:color="auto"/>
      </w:divBdr>
    </w:div>
    <w:div w:id="1696081891">
      <w:bodyDiv w:val="1"/>
      <w:marLeft w:val="0"/>
      <w:marRight w:val="0"/>
      <w:marTop w:val="0"/>
      <w:marBottom w:val="0"/>
      <w:divBdr>
        <w:top w:val="none" w:sz="0" w:space="0" w:color="auto"/>
        <w:left w:val="none" w:sz="0" w:space="0" w:color="auto"/>
        <w:bottom w:val="none" w:sz="0" w:space="0" w:color="auto"/>
        <w:right w:val="none" w:sz="0" w:space="0" w:color="auto"/>
      </w:divBdr>
    </w:div>
    <w:div w:id="1726641326">
      <w:bodyDiv w:val="1"/>
      <w:marLeft w:val="0"/>
      <w:marRight w:val="0"/>
      <w:marTop w:val="0"/>
      <w:marBottom w:val="0"/>
      <w:divBdr>
        <w:top w:val="none" w:sz="0" w:space="0" w:color="auto"/>
        <w:left w:val="none" w:sz="0" w:space="0" w:color="auto"/>
        <w:bottom w:val="none" w:sz="0" w:space="0" w:color="auto"/>
        <w:right w:val="none" w:sz="0" w:space="0" w:color="auto"/>
      </w:divBdr>
    </w:div>
    <w:div w:id="1781486847">
      <w:bodyDiv w:val="1"/>
      <w:marLeft w:val="0"/>
      <w:marRight w:val="0"/>
      <w:marTop w:val="0"/>
      <w:marBottom w:val="0"/>
      <w:divBdr>
        <w:top w:val="none" w:sz="0" w:space="0" w:color="auto"/>
        <w:left w:val="none" w:sz="0" w:space="0" w:color="auto"/>
        <w:bottom w:val="none" w:sz="0" w:space="0" w:color="auto"/>
        <w:right w:val="none" w:sz="0" w:space="0" w:color="auto"/>
      </w:divBdr>
    </w:div>
    <w:div w:id="1862090978">
      <w:bodyDiv w:val="1"/>
      <w:marLeft w:val="0"/>
      <w:marRight w:val="0"/>
      <w:marTop w:val="0"/>
      <w:marBottom w:val="0"/>
      <w:divBdr>
        <w:top w:val="none" w:sz="0" w:space="0" w:color="auto"/>
        <w:left w:val="none" w:sz="0" w:space="0" w:color="auto"/>
        <w:bottom w:val="none" w:sz="0" w:space="0" w:color="auto"/>
        <w:right w:val="none" w:sz="0" w:space="0" w:color="auto"/>
      </w:divBdr>
    </w:div>
    <w:div w:id="1921600980">
      <w:bodyDiv w:val="1"/>
      <w:marLeft w:val="0"/>
      <w:marRight w:val="0"/>
      <w:marTop w:val="0"/>
      <w:marBottom w:val="0"/>
      <w:divBdr>
        <w:top w:val="none" w:sz="0" w:space="0" w:color="auto"/>
        <w:left w:val="none" w:sz="0" w:space="0" w:color="auto"/>
        <w:bottom w:val="none" w:sz="0" w:space="0" w:color="auto"/>
        <w:right w:val="none" w:sz="0" w:space="0" w:color="auto"/>
      </w:divBdr>
    </w:div>
    <w:div w:id="1924491467">
      <w:bodyDiv w:val="1"/>
      <w:marLeft w:val="0"/>
      <w:marRight w:val="0"/>
      <w:marTop w:val="0"/>
      <w:marBottom w:val="0"/>
      <w:divBdr>
        <w:top w:val="none" w:sz="0" w:space="0" w:color="auto"/>
        <w:left w:val="none" w:sz="0" w:space="0" w:color="auto"/>
        <w:bottom w:val="none" w:sz="0" w:space="0" w:color="auto"/>
        <w:right w:val="none" w:sz="0" w:space="0" w:color="auto"/>
      </w:divBdr>
    </w:div>
    <w:div w:id="1957055402">
      <w:bodyDiv w:val="1"/>
      <w:marLeft w:val="0"/>
      <w:marRight w:val="0"/>
      <w:marTop w:val="0"/>
      <w:marBottom w:val="0"/>
      <w:divBdr>
        <w:top w:val="none" w:sz="0" w:space="0" w:color="auto"/>
        <w:left w:val="none" w:sz="0" w:space="0" w:color="auto"/>
        <w:bottom w:val="none" w:sz="0" w:space="0" w:color="auto"/>
        <w:right w:val="none" w:sz="0" w:space="0" w:color="auto"/>
      </w:divBdr>
    </w:div>
    <w:div w:id="1975020853">
      <w:bodyDiv w:val="1"/>
      <w:marLeft w:val="0"/>
      <w:marRight w:val="0"/>
      <w:marTop w:val="0"/>
      <w:marBottom w:val="0"/>
      <w:divBdr>
        <w:top w:val="none" w:sz="0" w:space="0" w:color="auto"/>
        <w:left w:val="none" w:sz="0" w:space="0" w:color="auto"/>
        <w:bottom w:val="none" w:sz="0" w:space="0" w:color="auto"/>
        <w:right w:val="none" w:sz="0" w:space="0" w:color="auto"/>
      </w:divBdr>
    </w:div>
    <w:div w:id="2002417796">
      <w:bodyDiv w:val="1"/>
      <w:marLeft w:val="0"/>
      <w:marRight w:val="0"/>
      <w:marTop w:val="0"/>
      <w:marBottom w:val="0"/>
      <w:divBdr>
        <w:top w:val="none" w:sz="0" w:space="0" w:color="auto"/>
        <w:left w:val="none" w:sz="0" w:space="0" w:color="auto"/>
        <w:bottom w:val="none" w:sz="0" w:space="0" w:color="auto"/>
        <w:right w:val="none" w:sz="0" w:space="0" w:color="auto"/>
      </w:divBdr>
    </w:div>
    <w:div w:id="20028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7</TotalTime>
  <Pages>17</Pages>
  <Words>5154</Words>
  <Characters>30552</Characters>
  <Application>Microsoft Office Word</Application>
  <DocSecurity>0</DocSecurity>
  <Lines>254</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Madsen</dc:creator>
  <cp:keywords/>
  <dc:description>2024103659 _x000d_
SPC pkt. 4.3, 4.4</dc:description>
  <cp:lastModifiedBy>Anastacia Madsen</cp:lastModifiedBy>
  <cp:revision>3</cp:revision>
  <cp:lastPrinted>2006-02-24T09:31:00Z</cp:lastPrinted>
  <dcterms:created xsi:type="dcterms:W3CDTF">2025-03-06T12:28:00Z</dcterms:created>
  <dcterms:modified xsi:type="dcterms:W3CDTF">2025-03-06T12:37:00Z</dcterms:modified>
</cp:coreProperties>
</file>