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660" w:rsidRPr="008F49E1" w:rsidRDefault="00D20660" w:rsidP="00D20660">
      <w:pPr>
        <w:rPr>
          <w:sz w:val="24"/>
          <w:szCs w:val="24"/>
        </w:rPr>
      </w:pPr>
      <w:r w:rsidRPr="009260DE">
        <w:rPr>
          <w:noProof/>
          <w:sz w:val="24"/>
          <w:szCs w:val="24"/>
          <w:lang w:eastAsia="da-DK"/>
        </w:rPr>
        <w:drawing>
          <wp:anchor distT="0" distB="0" distL="114300" distR="114300" simplePos="0" relativeHeight="251659264" behindDoc="0" locked="0" layoutInCell="1" allowOverlap="1" wp14:anchorId="015DC76D" wp14:editId="05B8531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20660" w:rsidRPr="00C84483" w:rsidRDefault="00D20660" w:rsidP="00D20660">
      <w:pPr>
        <w:pStyle w:val="Titel"/>
        <w:tabs>
          <w:tab w:val="right" w:pos="9356"/>
        </w:tabs>
        <w:jc w:val="left"/>
        <w:rPr>
          <w:b w:val="0"/>
          <w:szCs w:val="24"/>
          <w:lang w:eastAsia="en-US"/>
        </w:rPr>
      </w:pPr>
      <w:r w:rsidRPr="00C84483">
        <w:rPr>
          <w:b w:val="0"/>
          <w:szCs w:val="24"/>
          <w:lang w:eastAsia="en-US"/>
        </w:rPr>
        <w:tab/>
      </w:r>
      <w:r w:rsidR="00BF5A0C">
        <w:rPr>
          <w:szCs w:val="24"/>
        </w:rPr>
        <w:t>17. januar 2025</w:t>
      </w:r>
    </w:p>
    <w:p w:rsidR="00453626" w:rsidRPr="00C84483" w:rsidRDefault="00453626" w:rsidP="00D20660">
      <w:pPr>
        <w:pStyle w:val="Titel"/>
        <w:tabs>
          <w:tab w:val="left" w:pos="8222"/>
        </w:tabs>
        <w:jc w:val="left"/>
        <w:rPr>
          <w:b w:val="0"/>
          <w:szCs w:val="24"/>
        </w:rPr>
      </w:pPr>
    </w:p>
    <w:p w:rsidR="00163E2A" w:rsidRDefault="00163E2A" w:rsidP="00D20660">
      <w:pPr>
        <w:pStyle w:val="Titel"/>
        <w:jc w:val="left"/>
        <w:rPr>
          <w:b w:val="0"/>
          <w:szCs w:val="24"/>
        </w:rPr>
      </w:pPr>
    </w:p>
    <w:p w:rsidR="00D20660" w:rsidRPr="00C84483" w:rsidRDefault="00D20660" w:rsidP="00D20660">
      <w:pPr>
        <w:pStyle w:val="Titel"/>
        <w:jc w:val="left"/>
        <w:rPr>
          <w:b w:val="0"/>
          <w:szCs w:val="24"/>
        </w:rPr>
      </w:pPr>
    </w:p>
    <w:p w:rsidR="00D20660" w:rsidRPr="00C84483" w:rsidRDefault="00D20660" w:rsidP="00D20660">
      <w:pPr>
        <w:jc w:val="center"/>
        <w:rPr>
          <w:b/>
          <w:sz w:val="24"/>
          <w:szCs w:val="24"/>
        </w:rPr>
      </w:pPr>
      <w:r w:rsidRPr="00C84483">
        <w:rPr>
          <w:b/>
          <w:sz w:val="24"/>
          <w:szCs w:val="24"/>
        </w:rPr>
        <w:t>PRODUKTRESUMÉ</w:t>
      </w:r>
    </w:p>
    <w:p w:rsidR="00D20660" w:rsidRPr="00C84483" w:rsidRDefault="00D20660" w:rsidP="00D20660">
      <w:pPr>
        <w:jc w:val="center"/>
        <w:rPr>
          <w:b/>
          <w:sz w:val="24"/>
          <w:szCs w:val="24"/>
        </w:rPr>
      </w:pPr>
    </w:p>
    <w:p w:rsidR="00D20660" w:rsidRDefault="00D20660" w:rsidP="00D20660">
      <w:pPr>
        <w:jc w:val="center"/>
        <w:rPr>
          <w:b/>
          <w:sz w:val="24"/>
          <w:szCs w:val="24"/>
        </w:rPr>
      </w:pPr>
      <w:r w:rsidRPr="00C84483">
        <w:rPr>
          <w:b/>
          <w:sz w:val="24"/>
          <w:szCs w:val="24"/>
        </w:rPr>
        <w:t>for</w:t>
      </w:r>
    </w:p>
    <w:p w:rsidR="00D20660" w:rsidRPr="00C84483" w:rsidRDefault="00D20660" w:rsidP="00D20660">
      <w:pPr>
        <w:jc w:val="center"/>
        <w:rPr>
          <w:b/>
          <w:sz w:val="24"/>
          <w:szCs w:val="24"/>
        </w:rPr>
      </w:pPr>
    </w:p>
    <w:p w:rsidR="00D20660" w:rsidRPr="00C84483" w:rsidRDefault="00D20660" w:rsidP="00D20660">
      <w:pPr>
        <w:jc w:val="center"/>
        <w:rPr>
          <w:b/>
          <w:sz w:val="24"/>
          <w:szCs w:val="24"/>
        </w:rPr>
      </w:pPr>
      <w:r>
        <w:rPr>
          <w:b/>
          <w:sz w:val="24"/>
          <w:szCs w:val="24"/>
        </w:rPr>
        <w:t>Fentanyl "</w:t>
      </w:r>
      <w:proofErr w:type="spellStart"/>
      <w:r>
        <w:rPr>
          <w:b/>
          <w:sz w:val="24"/>
          <w:szCs w:val="24"/>
        </w:rPr>
        <w:t>Ethypharm</w:t>
      </w:r>
      <w:proofErr w:type="spellEnd"/>
      <w:r>
        <w:rPr>
          <w:b/>
          <w:sz w:val="24"/>
          <w:szCs w:val="24"/>
        </w:rPr>
        <w:t>", injektionsvæske, opløsning</w:t>
      </w:r>
    </w:p>
    <w:p w:rsidR="00D20660" w:rsidRPr="00C84483" w:rsidRDefault="00D20660" w:rsidP="00D20660">
      <w:pPr>
        <w:jc w:val="both"/>
        <w:rPr>
          <w:sz w:val="24"/>
          <w:szCs w:val="24"/>
        </w:rPr>
      </w:pPr>
    </w:p>
    <w:p w:rsidR="00D20660" w:rsidRPr="0094354B" w:rsidRDefault="00D20660" w:rsidP="00D20660">
      <w:pPr>
        <w:ind w:left="851" w:hanging="851"/>
        <w:jc w:val="both"/>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0.</w:t>
      </w:r>
      <w:r w:rsidRPr="00C84483">
        <w:rPr>
          <w:b/>
          <w:sz w:val="24"/>
          <w:szCs w:val="24"/>
        </w:rPr>
        <w:tab/>
        <w:t>D.SP.NR.</w:t>
      </w:r>
    </w:p>
    <w:p w:rsidR="00D20660" w:rsidRPr="0094354B" w:rsidRDefault="00D20660" w:rsidP="00D20660">
      <w:pPr>
        <w:tabs>
          <w:tab w:val="left" w:pos="851"/>
        </w:tabs>
        <w:ind w:left="851" w:hanging="851"/>
        <w:rPr>
          <w:sz w:val="24"/>
          <w:szCs w:val="24"/>
        </w:rPr>
      </w:pPr>
      <w:r>
        <w:rPr>
          <w:sz w:val="24"/>
          <w:szCs w:val="24"/>
        </w:rPr>
        <w:tab/>
      </w:r>
      <w:r w:rsidRPr="0094354B">
        <w:rPr>
          <w:sz w:val="24"/>
          <w:szCs w:val="24"/>
        </w:rPr>
        <w:t>31351</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1.</w:t>
      </w:r>
      <w:r w:rsidRPr="0094354B">
        <w:rPr>
          <w:b/>
          <w:sz w:val="24"/>
          <w:szCs w:val="24"/>
        </w:rPr>
        <w:tab/>
        <w:t>LÆGEMIDLETS NAVN</w:t>
      </w:r>
    </w:p>
    <w:p w:rsidR="00D20660" w:rsidRPr="0094354B" w:rsidRDefault="00D20660" w:rsidP="00D20660">
      <w:pPr>
        <w:tabs>
          <w:tab w:val="left" w:pos="851"/>
        </w:tabs>
        <w:ind w:left="851" w:hanging="851"/>
        <w:rPr>
          <w:sz w:val="24"/>
          <w:szCs w:val="24"/>
        </w:rPr>
      </w:pPr>
      <w:r>
        <w:rPr>
          <w:sz w:val="24"/>
          <w:szCs w:val="24"/>
        </w:rPr>
        <w:tab/>
      </w:r>
      <w:r w:rsidRPr="0094354B">
        <w:rPr>
          <w:sz w:val="24"/>
          <w:szCs w:val="24"/>
        </w:rPr>
        <w:t>Fentanyl "</w:t>
      </w:r>
      <w:proofErr w:type="spellStart"/>
      <w:r w:rsidRPr="0094354B">
        <w:rPr>
          <w:sz w:val="24"/>
          <w:szCs w:val="24"/>
        </w:rPr>
        <w:t>Ethypharm</w:t>
      </w:r>
      <w:proofErr w:type="spellEnd"/>
      <w:r w:rsidRPr="0094354B">
        <w:rPr>
          <w:sz w:val="24"/>
          <w:szCs w:val="24"/>
        </w:rPr>
        <w:t>"</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2.</w:t>
      </w:r>
      <w:r w:rsidRPr="0094354B">
        <w:rPr>
          <w:b/>
          <w:sz w:val="24"/>
          <w:szCs w:val="24"/>
        </w:rPr>
        <w:tab/>
        <w:t>KVALITATIV OG KVANTITATIV SAMMENSÆTNING</w:t>
      </w:r>
    </w:p>
    <w:p w:rsidR="00D20660" w:rsidRPr="0094354B" w:rsidRDefault="00D20660" w:rsidP="00D20660">
      <w:pPr>
        <w:pStyle w:val="Normalindrykning"/>
        <w:spacing w:after="0"/>
        <w:ind w:left="851"/>
        <w:contextualSpacing/>
        <w:rPr>
          <w:sz w:val="24"/>
          <w:szCs w:val="24"/>
        </w:rPr>
      </w:pPr>
      <w:r w:rsidRPr="0094354B">
        <w:rPr>
          <w:sz w:val="24"/>
          <w:szCs w:val="24"/>
        </w:rPr>
        <w:t>En ml injektionsvæske, opløsning, indeholder 78,5 mikrogram fentanylcitrat svarende til 50 mikrogram fentanyl.</w:t>
      </w:r>
    </w:p>
    <w:p w:rsidR="00D20660" w:rsidRPr="0094354B" w:rsidRDefault="00D20660" w:rsidP="00D20660">
      <w:pPr>
        <w:numPr>
          <w:ilvl w:val="0"/>
          <w:numId w:val="6"/>
        </w:numPr>
        <w:autoSpaceDE w:val="0"/>
        <w:autoSpaceDN w:val="0"/>
        <w:adjustRightInd w:val="0"/>
        <w:ind w:left="1276" w:hanging="425"/>
        <w:contextualSpacing/>
        <w:rPr>
          <w:sz w:val="24"/>
          <w:szCs w:val="24"/>
        </w:rPr>
      </w:pPr>
      <w:r w:rsidRPr="0094354B">
        <w:rPr>
          <w:sz w:val="24"/>
          <w:szCs w:val="24"/>
        </w:rPr>
        <w:t>2 ml ampul indeholder fentanylcitrat svarende til 100 mikrogram fentanyl.</w:t>
      </w:r>
    </w:p>
    <w:p w:rsidR="00D20660" w:rsidRPr="0094354B" w:rsidRDefault="00D20660" w:rsidP="00D20660">
      <w:pPr>
        <w:numPr>
          <w:ilvl w:val="0"/>
          <w:numId w:val="6"/>
        </w:numPr>
        <w:autoSpaceDE w:val="0"/>
        <w:autoSpaceDN w:val="0"/>
        <w:adjustRightInd w:val="0"/>
        <w:ind w:left="1276" w:hanging="425"/>
        <w:contextualSpacing/>
        <w:rPr>
          <w:sz w:val="24"/>
          <w:szCs w:val="24"/>
        </w:rPr>
      </w:pPr>
      <w:r w:rsidRPr="0094354B">
        <w:rPr>
          <w:sz w:val="24"/>
          <w:szCs w:val="24"/>
        </w:rPr>
        <w:t>10 ml ampul indeholder fentanylcitrat svarende til 500 mikrogram fentanyl.</w:t>
      </w:r>
    </w:p>
    <w:p w:rsidR="00D20660" w:rsidRPr="0094354B" w:rsidRDefault="00D20660" w:rsidP="00D20660">
      <w:pPr>
        <w:pStyle w:val="Normalindrykning"/>
        <w:spacing w:after="0"/>
        <w:ind w:left="851" w:hanging="851"/>
        <w:contextualSpacing/>
        <w:rPr>
          <w:sz w:val="24"/>
          <w:szCs w:val="24"/>
        </w:rPr>
      </w:pPr>
    </w:p>
    <w:p w:rsidR="00D20660" w:rsidRPr="0094354B" w:rsidRDefault="00D20660" w:rsidP="00D20660">
      <w:pPr>
        <w:pStyle w:val="Normalindrykning"/>
        <w:spacing w:after="0"/>
        <w:ind w:left="851"/>
        <w:contextualSpacing/>
        <w:rPr>
          <w:sz w:val="24"/>
          <w:szCs w:val="24"/>
        </w:rPr>
      </w:pPr>
      <w:r w:rsidRPr="0094354B">
        <w:rPr>
          <w:sz w:val="24"/>
          <w:szCs w:val="24"/>
        </w:rPr>
        <w:t>Hjælpestof</w:t>
      </w:r>
      <w:r>
        <w:rPr>
          <w:sz w:val="24"/>
          <w:szCs w:val="24"/>
        </w:rPr>
        <w:t>, som behandleren skal være opmærksom på</w:t>
      </w:r>
      <w:r w:rsidRPr="0094354B">
        <w:rPr>
          <w:sz w:val="24"/>
          <w:szCs w:val="24"/>
        </w:rPr>
        <w:t xml:space="preserve">: </w:t>
      </w:r>
    </w:p>
    <w:p w:rsidR="00D20660" w:rsidRPr="0094354B" w:rsidRDefault="00D20660" w:rsidP="00D20660">
      <w:pPr>
        <w:pStyle w:val="Normalindrykning"/>
        <w:spacing w:after="0"/>
        <w:ind w:left="851"/>
        <w:contextualSpacing/>
        <w:rPr>
          <w:sz w:val="24"/>
          <w:szCs w:val="24"/>
        </w:rPr>
      </w:pPr>
      <w:r w:rsidRPr="0094354B">
        <w:rPr>
          <w:sz w:val="24"/>
          <w:szCs w:val="24"/>
        </w:rPr>
        <w:t xml:space="preserve">Natrium 3,5 mg/ml. </w:t>
      </w:r>
    </w:p>
    <w:p w:rsidR="00D20660" w:rsidRDefault="00D20660" w:rsidP="00D20660">
      <w:pPr>
        <w:pStyle w:val="Normalindrykning"/>
        <w:spacing w:after="0"/>
        <w:ind w:left="851"/>
        <w:contextualSpacing/>
        <w:rPr>
          <w:sz w:val="24"/>
          <w:szCs w:val="24"/>
        </w:rPr>
      </w:pPr>
    </w:p>
    <w:p w:rsidR="00D20660" w:rsidRPr="0094354B" w:rsidRDefault="00D20660" w:rsidP="00D20660">
      <w:pPr>
        <w:pStyle w:val="Normalindrykning"/>
        <w:spacing w:after="0"/>
        <w:ind w:left="851"/>
        <w:contextualSpacing/>
        <w:rPr>
          <w:sz w:val="24"/>
          <w:szCs w:val="24"/>
        </w:rPr>
      </w:pPr>
      <w:r>
        <w:rPr>
          <w:sz w:val="24"/>
          <w:szCs w:val="24"/>
        </w:rPr>
        <w:t>Alle</w:t>
      </w:r>
      <w:r w:rsidRPr="0094354B">
        <w:rPr>
          <w:sz w:val="24"/>
          <w:szCs w:val="24"/>
        </w:rPr>
        <w:t xml:space="preserve"> hjælpestoffer </w:t>
      </w:r>
      <w:r>
        <w:rPr>
          <w:sz w:val="24"/>
          <w:szCs w:val="24"/>
        </w:rPr>
        <w:t>er anført under pkt.</w:t>
      </w:r>
      <w:r w:rsidRPr="0094354B">
        <w:rPr>
          <w:sz w:val="24"/>
          <w:szCs w:val="24"/>
        </w:rPr>
        <w:t xml:space="preserve"> 6.1.</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3.</w:t>
      </w:r>
      <w:r w:rsidRPr="0094354B">
        <w:rPr>
          <w:b/>
          <w:sz w:val="24"/>
          <w:szCs w:val="24"/>
        </w:rPr>
        <w:tab/>
        <w:t>LÆGEMIDDELFORM</w:t>
      </w:r>
    </w:p>
    <w:p w:rsidR="00D20660" w:rsidRPr="0094354B" w:rsidRDefault="00D20660" w:rsidP="00D20660">
      <w:pPr>
        <w:ind w:left="851"/>
        <w:contextualSpacing/>
        <w:jc w:val="both"/>
        <w:rPr>
          <w:sz w:val="24"/>
          <w:szCs w:val="24"/>
          <w:lang w:eastAsia="en-GB"/>
        </w:rPr>
      </w:pPr>
      <w:r w:rsidRPr="0094354B">
        <w:rPr>
          <w:sz w:val="24"/>
          <w:szCs w:val="24"/>
        </w:rPr>
        <w:t>Injektionsvæske, opløsning</w:t>
      </w:r>
    </w:p>
    <w:p w:rsidR="00D20660" w:rsidRPr="0094354B" w:rsidRDefault="00D20660" w:rsidP="00D20660">
      <w:pPr>
        <w:ind w:left="851"/>
        <w:contextualSpacing/>
        <w:jc w:val="both"/>
        <w:rPr>
          <w:sz w:val="24"/>
          <w:szCs w:val="24"/>
        </w:rPr>
      </w:pPr>
      <w:r w:rsidRPr="0094354B">
        <w:rPr>
          <w:sz w:val="24"/>
          <w:szCs w:val="24"/>
        </w:rPr>
        <w:t>Klar, farveløs opløsning</w:t>
      </w:r>
    </w:p>
    <w:p w:rsidR="00D20660" w:rsidRPr="0094354B" w:rsidRDefault="00D20660" w:rsidP="00D20660">
      <w:pPr>
        <w:pStyle w:val="Normalindrykning"/>
        <w:spacing w:after="0"/>
        <w:ind w:left="851"/>
        <w:contextualSpacing/>
        <w:rPr>
          <w:sz w:val="24"/>
          <w:szCs w:val="24"/>
        </w:rPr>
      </w:pPr>
      <w:r w:rsidRPr="0094354B">
        <w:rPr>
          <w:sz w:val="24"/>
          <w:szCs w:val="24"/>
        </w:rPr>
        <w:t>Opløsningen har en pH på mellem 4,0 og 6,5.</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4.</w:t>
      </w:r>
      <w:r w:rsidRPr="0094354B">
        <w:rPr>
          <w:b/>
          <w:sz w:val="24"/>
          <w:szCs w:val="24"/>
        </w:rPr>
        <w:tab/>
        <w:t>KLINISKE OPLYSNINGER</w:t>
      </w:r>
    </w:p>
    <w:p w:rsidR="00D20660" w:rsidRPr="0094354B" w:rsidRDefault="00D20660" w:rsidP="00D20660">
      <w:pPr>
        <w:tabs>
          <w:tab w:val="left" w:pos="851"/>
        </w:tabs>
        <w:ind w:left="851" w:hanging="851"/>
        <w:rPr>
          <w:b/>
          <w:sz w:val="24"/>
          <w:szCs w:val="24"/>
        </w:rPr>
      </w:pPr>
    </w:p>
    <w:p w:rsidR="00D20660" w:rsidRPr="0094354B" w:rsidRDefault="00D20660" w:rsidP="00D20660">
      <w:pPr>
        <w:tabs>
          <w:tab w:val="left" w:pos="851"/>
        </w:tabs>
        <w:ind w:left="851" w:hanging="851"/>
        <w:rPr>
          <w:b/>
          <w:sz w:val="24"/>
          <w:szCs w:val="24"/>
          <w:u w:val="single"/>
        </w:rPr>
      </w:pPr>
      <w:r w:rsidRPr="0094354B">
        <w:rPr>
          <w:b/>
          <w:sz w:val="24"/>
          <w:szCs w:val="24"/>
        </w:rPr>
        <w:t>4.1</w:t>
      </w:r>
      <w:r w:rsidRPr="0094354B">
        <w:rPr>
          <w:b/>
          <w:sz w:val="24"/>
          <w:szCs w:val="24"/>
        </w:rPr>
        <w:tab/>
        <w:t>Terapeutiske indikationer</w:t>
      </w:r>
    </w:p>
    <w:p w:rsidR="00D20660" w:rsidRPr="0094354B" w:rsidRDefault="00D20660" w:rsidP="00D20660">
      <w:pPr>
        <w:ind w:left="851"/>
        <w:contextualSpacing/>
        <w:rPr>
          <w:sz w:val="24"/>
          <w:szCs w:val="24"/>
          <w:lang w:eastAsia="en-GB"/>
        </w:rPr>
      </w:pPr>
      <w:r w:rsidRPr="0094354B">
        <w:rPr>
          <w:sz w:val="24"/>
          <w:szCs w:val="24"/>
        </w:rPr>
        <w:t xml:space="preserve">Fentanyl </w:t>
      </w:r>
      <w:r>
        <w:rPr>
          <w:sz w:val="24"/>
          <w:szCs w:val="24"/>
        </w:rPr>
        <w:t>"</w:t>
      </w:r>
      <w:proofErr w:type="spellStart"/>
      <w:r>
        <w:rPr>
          <w:sz w:val="24"/>
          <w:szCs w:val="24"/>
        </w:rPr>
        <w:t>Ethypharm</w:t>
      </w:r>
      <w:proofErr w:type="spellEnd"/>
      <w:r>
        <w:rPr>
          <w:sz w:val="24"/>
          <w:szCs w:val="24"/>
        </w:rPr>
        <w:t>"</w:t>
      </w:r>
      <w:r w:rsidRPr="0094354B">
        <w:rPr>
          <w:sz w:val="24"/>
          <w:szCs w:val="24"/>
        </w:rPr>
        <w:t xml:space="preserve"> er et </w:t>
      </w:r>
      <w:proofErr w:type="spellStart"/>
      <w:r w:rsidRPr="0094354B">
        <w:rPr>
          <w:sz w:val="24"/>
          <w:szCs w:val="24"/>
        </w:rPr>
        <w:t>opioidt</w:t>
      </w:r>
      <w:proofErr w:type="spellEnd"/>
      <w:r w:rsidRPr="0094354B">
        <w:rPr>
          <w:sz w:val="24"/>
          <w:szCs w:val="24"/>
        </w:rPr>
        <w:t xml:space="preserve"> </w:t>
      </w:r>
      <w:proofErr w:type="spellStart"/>
      <w:r w:rsidRPr="0094354B">
        <w:rPr>
          <w:sz w:val="24"/>
          <w:szCs w:val="24"/>
        </w:rPr>
        <w:t>analgetikum</w:t>
      </w:r>
      <w:proofErr w:type="spellEnd"/>
      <w:r w:rsidRPr="0094354B">
        <w:rPr>
          <w:sz w:val="24"/>
          <w:szCs w:val="24"/>
        </w:rPr>
        <w:t xml:space="preserve"> beregnet til voksne og børn:</w:t>
      </w:r>
    </w:p>
    <w:p w:rsidR="00D20660" w:rsidRPr="0094354B" w:rsidRDefault="00D20660" w:rsidP="00D20660">
      <w:pPr>
        <w:pStyle w:val="Normalindrykning"/>
        <w:numPr>
          <w:ilvl w:val="0"/>
          <w:numId w:val="7"/>
        </w:numPr>
        <w:spacing w:after="0"/>
        <w:ind w:left="1276" w:hanging="425"/>
        <w:contextualSpacing/>
        <w:rPr>
          <w:sz w:val="24"/>
          <w:szCs w:val="24"/>
        </w:rPr>
      </w:pPr>
      <w:r w:rsidRPr="0094354B">
        <w:rPr>
          <w:sz w:val="24"/>
          <w:szCs w:val="24"/>
        </w:rPr>
        <w:t>I lave doser til at give analgesi under korte kirurgiske procedurer.</w:t>
      </w:r>
    </w:p>
    <w:p w:rsidR="00D20660" w:rsidRPr="0094354B" w:rsidRDefault="00D20660" w:rsidP="00D20660">
      <w:pPr>
        <w:pStyle w:val="Normalindrykning"/>
        <w:numPr>
          <w:ilvl w:val="0"/>
          <w:numId w:val="7"/>
        </w:numPr>
        <w:spacing w:after="0"/>
        <w:ind w:left="1276" w:hanging="425"/>
        <w:contextualSpacing/>
        <w:rPr>
          <w:sz w:val="24"/>
          <w:szCs w:val="24"/>
        </w:rPr>
      </w:pPr>
      <w:r w:rsidRPr="0094354B">
        <w:rPr>
          <w:sz w:val="24"/>
          <w:szCs w:val="24"/>
        </w:rPr>
        <w:t xml:space="preserve">I høje doser som et analgetisk/respiratorisk </w:t>
      </w:r>
      <w:proofErr w:type="spellStart"/>
      <w:r w:rsidRPr="0094354B">
        <w:rPr>
          <w:sz w:val="24"/>
          <w:szCs w:val="24"/>
        </w:rPr>
        <w:t>depressivum</w:t>
      </w:r>
      <w:proofErr w:type="spellEnd"/>
      <w:r w:rsidRPr="0094354B">
        <w:rPr>
          <w:sz w:val="24"/>
          <w:szCs w:val="24"/>
        </w:rPr>
        <w:t xml:space="preserve"> til patienter med behov for assisteret ventilation.</w:t>
      </w:r>
    </w:p>
    <w:p w:rsidR="00D20660" w:rsidRPr="0094354B" w:rsidRDefault="00D20660" w:rsidP="00D20660">
      <w:pPr>
        <w:pStyle w:val="Normalindrykning"/>
        <w:numPr>
          <w:ilvl w:val="0"/>
          <w:numId w:val="7"/>
        </w:numPr>
        <w:spacing w:after="0"/>
        <w:ind w:left="1276" w:hanging="425"/>
        <w:contextualSpacing/>
        <w:rPr>
          <w:sz w:val="24"/>
          <w:szCs w:val="24"/>
        </w:rPr>
      </w:pPr>
      <w:r w:rsidRPr="0094354B">
        <w:rPr>
          <w:sz w:val="24"/>
          <w:szCs w:val="24"/>
        </w:rPr>
        <w:t>Til behandling af stærk smerte.</w:t>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20660" w:rsidRPr="0094354B" w:rsidRDefault="00D20660" w:rsidP="00D20660">
      <w:pPr>
        <w:ind w:left="851"/>
        <w:contextualSpacing/>
        <w:rPr>
          <w:sz w:val="24"/>
          <w:szCs w:val="24"/>
        </w:rPr>
      </w:pPr>
      <w:r w:rsidRPr="0094354B">
        <w:rPr>
          <w:sz w:val="24"/>
          <w:szCs w:val="24"/>
        </w:rPr>
        <w:lastRenderedPageBreak/>
        <w:t xml:space="preserve">Fentanyl injektionsvæske må kun anvendes, når luftvejene kan kontrolleres og kun af fagfolk, som kan kontrollere luftvejene (se </w:t>
      </w:r>
      <w:r>
        <w:rPr>
          <w:sz w:val="24"/>
          <w:szCs w:val="24"/>
        </w:rPr>
        <w:t>pkt.</w:t>
      </w:r>
      <w:r w:rsidRPr="0094354B">
        <w:rPr>
          <w:sz w:val="24"/>
          <w:szCs w:val="24"/>
        </w:rPr>
        <w:t xml:space="preserve"> 4.4).</w:t>
      </w:r>
    </w:p>
    <w:p w:rsidR="00D20660" w:rsidRPr="0094354B" w:rsidRDefault="00D20660" w:rsidP="00D20660">
      <w:pPr>
        <w:ind w:left="851" w:hanging="851"/>
        <w:rPr>
          <w:sz w:val="24"/>
          <w:szCs w:val="24"/>
        </w:rPr>
      </w:pPr>
    </w:p>
    <w:p w:rsidR="00D20660" w:rsidRPr="0094354B" w:rsidRDefault="00D20660" w:rsidP="00D20660">
      <w:pPr>
        <w:ind w:left="851"/>
        <w:contextualSpacing/>
        <w:rPr>
          <w:sz w:val="24"/>
          <w:szCs w:val="24"/>
        </w:rPr>
      </w:pPr>
      <w:r w:rsidRPr="0094354B">
        <w:rPr>
          <w:sz w:val="24"/>
          <w:szCs w:val="24"/>
        </w:rPr>
        <w:t>Dosis af fentanyl injektionsvæske bør fastlægges individuelt i henhold til alder, kropsvægt, fysisk tilstand, underliggende patologisk tilstand, brug af andre lægemidler samt kirurgi- og anæstesitype.</w:t>
      </w:r>
    </w:p>
    <w:p w:rsidR="00D20660" w:rsidRPr="0094354B" w:rsidRDefault="00D20660" w:rsidP="00D20660">
      <w:pPr>
        <w:ind w:left="851" w:hanging="851"/>
        <w:contextualSpacing/>
        <w:rPr>
          <w:sz w:val="24"/>
          <w:szCs w:val="24"/>
        </w:rPr>
      </w:pPr>
    </w:p>
    <w:p w:rsidR="00D20660" w:rsidRPr="0094354B" w:rsidRDefault="00D20660" w:rsidP="00D20660">
      <w:pPr>
        <w:ind w:left="851"/>
        <w:contextualSpacing/>
        <w:rPr>
          <w:b/>
          <w:sz w:val="24"/>
          <w:szCs w:val="24"/>
        </w:rPr>
      </w:pPr>
      <w:r w:rsidRPr="0094354B">
        <w:rPr>
          <w:b/>
          <w:sz w:val="24"/>
          <w:szCs w:val="24"/>
        </w:rPr>
        <w:t>Dosering</w:t>
      </w:r>
    </w:p>
    <w:p w:rsidR="00D20660" w:rsidRPr="0094354B" w:rsidRDefault="00D20660" w:rsidP="00D20660">
      <w:pPr>
        <w:ind w:left="851"/>
        <w:rPr>
          <w:i/>
          <w:sz w:val="24"/>
          <w:szCs w:val="24"/>
        </w:rPr>
      </w:pPr>
      <w:r w:rsidRPr="0094354B">
        <w:rPr>
          <w:i/>
          <w:sz w:val="24"/>
          <w:szCs w:val="24"/>
        </w:rPr>
        <w:t xml:space="preserve">Brug som </w:t>
      </w:r>
      <w:proofErr w:type="spellStart"/>
      <w:r w:rsidRPr="0094354B">
        <w:rPr>
          <w:i/>
          <w:sz w:val="24"/>
          <w:szCs w:val="24"/>
        </w:rPr>
        <w:t>analgetikum</w:t>
      </w:r>
      <w:proofErr w:type="spellEnd"/>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Voksne</w:t>
      </w:r>
    </w:p>
    <w:p w:rsidR="00D20660" w:rsidRPr="0094354B" w:rsidRDefault="00D20660" w:rsidP="00D20660">
      <w:pPr>
        <w:ind w:left="851"/>
        <w:contextualSpacing/>
        <w:rPr>
          <w:sz w:val="24"/>
          <w:szCs w:val="24"/>
        </w:rPr>
      </w:pPr>
      <w:r w:rsidRPr="0094354B">
        <w:rPr>
          <w:sz w:val="24"/>
          <w:szCs w:val="24"/>
        </w:rPr>
        <w:t>Den sædvanlige dosering er:</w:t>
      </w:r>
    </w:p>
    <w:p w:rsidR="00D20660" w:rsidRPr="0094354B" w:rsidRDefault="00D20660" w:rsidP="00D20660">
      <w:pPr>
        <w:ind w:left="851" w:hanging="851"/>
        <w:contextualSpacing/>
        <w:rPr>
          <w:sz w:val="24"/>
          <w:szCs w:val="24"/>
        </w:rPr>
      </w:pPr>
    </w:p>
    <w:tbl>
      <w:tblPr>
        <w:tblW w:w="6815" w:type="dxa"/>
        <w:tblInd w:w="817"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2268"/>
        <w:gridCol w:w="2279"/>
        <w:gridCol w:w="2268"/>
      </w:tblGrid>
      <w:tr w:rsidR="00D20660" w:rsidRPr="00176DA4" w:rsidTr="003B4BCE">
        <w:tc>
          <w:tcPr>
            <w:tcW w:w="2268" w:type="dxa"/>
            <w:tcBorders>
              <w:top w:val="double" w:sz="6" w:space="0" w:color="auto"/>
              <w:left w:val="double" w:sz="6" w:space="0" w:color="auto"/>
              <w:bottom w:val="single" w:sz="6" w:space="0" w:color="auto"/>
              <w:right w:val="single" w:sz="6" w:space="0" w:color="auto"/>
            </w:tcBorders>
          </w:tcPr>
          <w:p w:rsidR="00D20660" w:rsidRPr="00176DA4" w:rsidRDefault="00D20660" w:rsidP="003B4BCE">
            <w:pPr>
              <w:rPr>
                <w:sz w:val="24"/>
                <w:szCs w:val="24"/>
              </w:rPr>
            </w:pPr>
          </w:p>
        </w:tc>
        <w:tc>
          <w:tcPr>
            <w:tcW w:w="2279" w:type="dxa"/>
            <w:tcBorders>
              <w:top w:val="double" w:sz="6" w:space="0" w:color="auto"/>
              <w:left w:val="nil"/>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 xml:space="preserve">Initial  </w:t>
            </w:r>
          </w:p>
        </w:tc>
        <w:tc>
          <w:tcPr>
            <w:tcW w:w="2268" w:type="dxa"/>
            <w:tcBorders>
              <w:top w:val="double" w:sz="6" w:space="0" w:color="auto"/>
              <w:left w:val="nil"/>
              <w:bottom w:val="single" w:sz="6" w:space="0" w:color="auto"/>
              <w:right w:val="double" w:sz="6" w:space="0" w:color="auto"/>
            </w:tcBorders>
          </w:tcPr>
          <w:p w:rsidR="00D20660" w:rsidRPr="00176DA4" w:rsidRDefault="00D20660" w:rsidP="003B4BCE">
            <w:pPr>
              <w:rPr>
                <w:sz w:val="24"/>
                <w:szCs w:val="24"/>
              </w:rPr>
            </w:pPr>
            <w:r w:rsidRPr="00176DA4">
              <w:rPr>
                <w:sz w:val="24"/>
                <w:szCs w:val="24"/>
              </w:rPr>
              <w:t>Supplerende</w:t>
            </w:r>
          </w:p>
          <w:p w:rsidR="00D20660" w:rsidRPr="00176DA4" w:rsidRDefault="00D20660" w:rsidP="003B4BCE">
            <w:pPr>
              <w:rPr>
                <w:sz w:val="24"/>
                <w:szCs w:val="24"/>
              </w:rPr>
            </w:pPr>
          </w:p>
        </w:tc>
      </w:tr>
      <w:tr w:rsidR="00D20660" w:rsidRPr="00176DA4" w:rsidTr="003B4BCE">
        <w:tc>
          <w:tcPr>
            <w:tcW w:w="2268" w:type="dxa"/>
            <w:tcBorders>
              <w:top w:val="single" w:sz="6" w:space="0" w:color="auto"/>
              <w:left w:val="double" w:sz="6" w:space="0" w:color="auto"/>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Spontan respiration</w:t>
            </w:r>
          </w:p>
        </w:tc>
        <w:tc>
          <w:tcPr>
            <w:tcW w:w="2279" w:type="dxa"/>
            <w:tcBorders>
              <w:top w:val="single" w:sz="6" w:space="0" w:color="auto"/>
              <w:left w:val="nil"/>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50-200 mikrogram</w:t>
            </w:r>
          </w:p>
        </w:tc>
        <w:tc>
          <w:tcPr>
            <w:tcW w:w="2268" w:type="dxa"/>
            <w:tcBorders>
              <w:top w:val="single" w:sz="6" w:space="0" w:color="auto"/>
              <w:left w:val="nil"/>
              <w:bottom w:val="single" w:sz="6" w:space="0" w:color="auto"/>
              <w:right w:val="double" w:sz="6" w:space="0" w:color="auto"/>
            </w:tcBorders>
            <w:hideMark/>
          </w:tcPr>
          <w:p w:rsidR="00D20660" w:rsidRPr="00176DA4" w:rsidRDefault="00D20660" w:rsidP="003B4BCE">
            <w:pPr>
              <w:rPr>
                <w:sz w:val="24"/>
                <w:szCs w:val="24"/>
              </w:rPr>
            </w:pPr>
            <w:r w:rsidRPr="00176DA4">
              <w:rPr>
                <w:sz w:val="24"/>
                <w:szCs w:val="24"/>
              </w:rPr>
              <w:t>50 mikrogram</w:t>
            </w:r>
          </w:p>
        </w:tc>
      </w:tr>
      <w:tr w:rsidR="00D20660" w:rsidRPr="00176DA4" w:rsidTr="003B4BCE">
        <w:tc>
          <w:tcPr>
            <w:tcW w:w="2268" w:type="dxa"/>
            <w:tcBorders>
              <w:top w:val="single" w:sz="6" w:space="0" w:color="auto"/>
              <w:left w:val="double" w:sz="6" w:space="0" w:color="auto"/>
              <w:bottom w:val="double" w:sz="6" w:space="0" w:color="auto"/>
              <w:right w:val="single" w:sz="6" w:space="0" w:color="auto"/>
            </w:tcBorders>
            <w:hideMark/>
          </w:tcPr>
          <w:p w:rsidR="00D20660" w:rsidRPr="00176DA4" w:rsidRDefault="00D20660" w:rsidP="003B4BCE">
            <w:pPr>
              <w:rPr>
                <w:sz w:val="24"/>
                <w:szCs w:val="24"/>
              </w:rPr>
            </w:pPr>
            <w:r w:rsidRPr="00176DA4">
              <w:rPr>
                <w:sz w:val="24"/>
                <w:szCs w:val="24"/>
              </w:rPr>
              <w:t>Assisteret ventilation</w:t>
            </w:r>
          </w:p>
        </w:tc>
        <w:tc>
          <w:tcPr>
            <w:tcW w:w="2279" w:type="dxa"/>
            <w:tcBorders>
              <w:top w:val="single" w:sz="6" w:space="0" w:color="auto"/>
              <w:left w:val="nil"/>
              <w:bottom w:val="double" w:sz="6" w:space="0" w:color="auto"/>
              <w:right w:val="single" w:sz="6" w:space="0" w:color="auto"/>
            </w:tcBorders>
            <w:hideMark/>
          </w:tcPr>
          <w:p w:rsidR="00D20660" w:rsidRPr="00176DA4" w:rsidRDefault="00D20660" w:rsidP="003B4BCE">
            <w:pPr>
              <w:rPr>
                <w:sz w:val="24"/>
                <w:szCs w:val="24"/>
              </w:rPr>
            </w:pPr>
            <w:r w:rsidRPr="00176DA4">
              <w:rPr>
                <w:sz w:val="24"/>
                <w:szCs w:val="24"/>
              </w:rPr>
              <w:t>300-3500</w:t>
            </w:r>
            <w:r>
              <w:rPr>
                <w:sz w:val="24"/>
                <w:szCs w:val="24"/>
              </w:rPr>
              <w:t xml:space="preserve"> </w:t>
            </w:r>
            <w:r w:rsidRPr="00176DA4">
              <w:rPr>
                <w:sz w:val="24"/>
                <w:szCs w:val="24"/>
              </w:rPr>
              <w:t>mikrogram</w:t>
            </w:r>
          </w:p>
        </w:tc>
        <w:tc>
          <w:tcPr>
            <w:tcW w:w="2268" w:type="dxa"/>
            <w:tcBorders>
              <w:top w:val="single" w:sz="6" w:space="0" w:color="auto"/>
              <w:left w:val="nil"/>
              <w:bottom w:val="double" w:sz="6" w:space="0" w:color="auto"/>
              <w:right w:val="double" w:sz="6" w:space="0" w:color="auto"/>
            </w:tcBorders>
            <w:hideMark/>
          </w:tcPr>
          <w:p w:rsidR="00D20660" w:rsidRPr="00176DA4" w:rsidRDefault="00D20660" w:rsidP="003B4BCE">
            <w:pPr>
              <w:rPr>
                <w:sz w:val="24"/>
                <w:szCs w:val="24"/>
              </w:rPr>
            </w:pPr>
            <w:r w:rsidRPr="00176DA4">
              <w:rPr>
                <w:sz w:val="24"/>
                <w:szCs w:val="24"/>
              </w:rPr>
              <w:t xml:space="preserve">100-200 mikrogram </w:t>
            </w:r>
          </w:p>
        </w:tc>
      </w:tr>
    </w:tbl>
    <w:p w:rsidR="00D20660" w:rsidRPr="0094354B" w:rsidRDefault="00D20660" w:rsidP="00D20660">
      <w:pPr>
        <w:ind w:left="851" w:hanging="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Fentanyl </w:t>
      </w:r>
      <w:r>
        <w:rPr>
          <w:sz w:val="24"/>
          <w:szCs w:val="24"/>
        </w:rPr>
        <w:t>"</w:t>
      </w:r>
      <w:proofErr w:type="spellStart"/>
      <w:r>
        <w:rPr>
          <w:sz w:val="24"/>
          <w:szCs w:val="24"/>
        </w:rPr>
        <w:t>Ethypharm</w:t>
      </w:r>
      <w:proofErr w:type="spellEnd"/>
      <w:r>
        <w:rPr>
          <w:sz w:val="24"/>
          <w:szCs w:val="24"/>
        </w:rPr>
        <w:t>"</w:t>
      </w:r>
      <w:r w:rsidRPr="0094354B">
        <w:rPr>
          <w:sz w:val="24"/>
          <w:szCs w:val="24"/>
        </w:rPr>
        <w:t xml:space="preserve"> kan også gives som en intravenøs infusion. Ventilerede patienter kan gives en initialdosis Fentanyl </w:t>
      </w:r>
      <w:r>
        <w:rPr>
          <w:sz w:val="24"/>
          <w:szCs w:val="24"/>
        </w:rPr>
        <w:t>"</w:t>
      </w:r>
      <w:proofErr w:type="spellStart"/>
      <w:r>
        <w:rPr>
          <w:sz w:val="24"/>
          <w:szCs w:val="24"/>
        </w:rPr>
        <w:t>Ethypharm</w:t>
      </w:r>
      <w:proofErr w:type="spellEnd"/>
      <w:r>
        <w:rPr>
          <w:sz w:val="24"/>
          <w:szCs w:val="24"/>
        </w:rPr>
        <w:t>"</w:t>
      </w:r>
      <w:r w:rsidRPr="0094354B">
        <w:rPr>
          <w:sz w:val="24"/>
          <w:szCs w:val="24"/>
        </w:rPr>
        <w:t xml:space="preserve"> som en hurtig infusion på cirka 1 </w:t>
      </w:r>
      <w:r>
        <w:rPr>
          <w:sz w:val="24"/>
          <w:szCs w:val="24"/>
        </w:rPr>
        <w:t>mikrogram</w:t>
      </w:r>
      <w:r w:rsidRPr="0094354B">
        <w:rPr>
          <w:sz w:val="24"/>
          <w:szCs w:val="24"/>
        </w:rPr>
        <w:t xml:space="preserve">/kg/min i de første 10 minutter efterfulgt af en infusion på cirka 0,1 </w:t>
      </w:r>
      <w:r>
        <w:rPr>
          <w:sz w:val="24"/>
          <w:szCs w:val="24"/>
        </w:rPr>
        <w:t>mikrogram</w:t>
      </w:r>
      <w:r w:rsidRPr="0094354B">
        <w:rPr>
          <w:sz w:val="24"/>
          <w:szCs w:val="24"/>
        </w:rPr>
        <w:t xml:space="preserve">/kg/min. Alternativt kan initialdosis af Fentanyl </w:t>
      </w:r>
      <w:r>
        <w:rPr>
          <w:sz w:val="24"/>
          <w:szCs w:val="24"/>
        </w:rPr>
        <w:t>"</w:t>
      </w:r>
      <w:proofErr w:type="spellStart"/>
      <w:r>
        <w:rPr>
          <w:sz w:val="24"/>
          <w:szCs w:val="24"/>
        </w:rPr>
        <w:t>Ethypharm</w:t>
      </w:r>
      <w:proofErr w:type="spellEnd"/>
      <w:r>
        <w:rPr>
          <w:sz w:val="24"/>
          <w:szCs w:val="24"/>
        </w:rPr>
        <w:t>"</w:t>
      </w:r>
      <w:r w:rsidRPr="0094354B">
        <w:rPr>
          <w:sz w:val="24"/>
          <w:szCs w:val="24"/>
        </w:rPr>
        <w:t xml:space="preserve"> gives som en </w:t>
      </w:r>
      <w:proofErr w:type="spellStart"/>
      <w:r w:rsidRPr="0094354B">
        <w:rPr>
          <w:sz w:val="24"/>
          <w:szCs w:val="24"/>
        </w:rPr>
        <w:t>bolusdosis</w:t>
      </w:r>
      <w:proofErr w:type="spellEnd"/>
      <w:r w:rsidRPr="0094354B">
        <w:rPr>
          <w:sz w:val="24"/>
          <w:szCs w:val="24"/>
        </w:rPr>
        <w:t>. Infusionshastigheder bør titreres individuelt efter patientrespons; lavere infusionshastigheder kan være passende. Medmindre der planlægges ventilation efter operationen, skal infusionen være afsluttet cirka 40 minutter før operationsafslutning.</w:t>
      </w:r>
    </w:p>
    <w:p w:rsidR="00D20660" w:rsidRPr="0094354B" w:rsidRDefault="00D20660" w:rsidP="00D20660">
      <w:pPr>
        <w:ind w:left="851" w:hanging="851"/>
        <w:contextualSpacing/>
        <w:rPr>
          <w:sz w:val="24"/>
          <w:szCs w:val="24"/>
        </w:rPr>
      </w:pPr>
    </w:p>
    <w:p w:rsidR="00D20660" w:rsidRPr="0094354B" w:rsidRDefault="00D20660" w:rsidP="00D20660">
      <w:pPr>
        <w:pStyle w:val="Brdtekstindrykning2"/>
        <w:ind w:left="851"/>
        <w:jc w:val="left"/>
        <w:rPr>
          <w:color w:val="auto"/>
          <w:szCs w:val="24"/>
        </w:rPr>
      </w:pPr>
      <w:r w:rsidRPr="0094354B">
        <w:rPr>
          <w:color w:val="auto"/>
          <w:szCs w:val="24"/>
        </w:rPr>
        <w:t xml:space="preserve">Lavere infusionshastigheder, f.eks. 0,05-0,08 </w:t>
      </w:r>
      <w:r>
        <w:rPr>
          <w:color w:val="auto"/>
          <w:szCs w:val="24"/>
        </w:rPr>
        <w:t>mikrogram</w:t>
      </w:r>
      <w:r w:rsidRPr="0094354B">
        <w:rPr>
          <w:color w:val="auto"/>
          <w:szCs w:val="24"/>
        </w:rPr>
        <w:t xml:space="preserve">/kg/minut er nødvendige, hvis spontan ventilation skal kunne opretholdes. Der er blevet anvendt højere infusionshastigheder (op til 3 </w:t>
      </w:r>
      <w:r>
        <w:rPr>
          <w:color w:val="auto"/>
          <w:szCs w:val="24"/>
        </w:rPr>
        <w:t>mikrogram</w:t>
      </w:r>
      <w:r w:rsidRPr="0094354B">
        <w:rPr>
          <w:color w:val="auto"/>
          <w:szCs w:val="24"/>
        </w:rPr>
        <w:t>/kg/minut) i forbindelse med hjertekirurgi.</w:t>
      </w:r>
    </w:p>
    <w:p w:rsidR="00D20660" w:rsidRPr="0094354B" w:rsidRDefault="00D20660" w:rsidP="00D20660">
      <w:pPr>
        <w:ind w:left="851" w:hanging="851"/>
        <w:contextualSpacing/>
        <w:rPr>
          <w:sz w:val="24"/>
          <w:szCs w:val="24"/>
        </w:rPr>
      </w:pPr>
    </w:p>
    <w:p w:rsidR="00D20660" w:rsidRPr="0094354B" w:rsidRDefault="00D20660" w:rsidP="00D20660">
      <w:pPr>
        <w:ind w:left="851"/>
        <w:contextualSpacing/>
        <w:rPr>
          <w:i/>
          <w:sz w:val="24"/>
          <w:szCs w:val="24"/>
        </w:rPr>
      </w:pPr>
      <w:r w:rsidRPr="0094354B">
        <w:rPr>
          <w:i/>
          <w:sz w:val="24"/>
          <w:szCs w:val="24"/>
        </w:rPr>
        <w:t>Korte kirurgiske procedurer</w:t>
      </w:r>
    </w:p>
    <w:p w:rsidR="00D20660" w:rsidRPr="0094354B" w:rsidRDefault="00D20660" w:rsidP="00D20660">
      <w:pPr>
        <w:ind w:left="851"/>
        <w:contextualSpacing/>
        <w:rPr>
          <w:sz w:val="24"/>
          <w:szCs w:val="24"/>
        </w:rPr>
      </w:pPr>
      <w:r w:rsidRPr="0094354B">
        <w:rPr>
          <w:sz w:val="24"/>
          <w:szCs w:val="24"/>
        </w:rPr>
        <w:t xml:space="preserve">Efter intravenøs administration hos ikke-præmedicinerede voksne patienter kan det forventes, at 2 ml (100 </w:t>
      </w:r>
      <w:r>
        <w:rPr>
          <w:sz w:val="24"/>
          <w:szCs w:val="24"/>
        </w:rPr>
        <w:t>mikrogram</w:t>
      </w:r>
      <w:r w:rsidRPr="0094354B">
        <w:rPr>
          <w:sz w:val="24"/>
          <w:szCs w:val="24"/>
        </w:rPr>
        <w:t xml:space="preserve">) </w:t>
      </w:r>
      <w:r>
        <w:rPr>
          <w:sz w:val="24"/>
          <w:szCs w:val="24"/>
        </w:rPr>
        <w:t>f</w:t>
      </w:r>
      <w:r w:rsidRPr="0094354B">
        <w:rPr>
          <w:sz w:val="24"/>
          <w:szCs w:val="24"/>
        </w:rPr>
        <w:t xml:space="preserve">entanyl injektionsvæske giver tilstrækkelig analgesi i 10-20 minutter under kirurgiske procedurer med lav smerteintensitet. </w:t>
      </w:r>
    </w:p>
    <w:p w:rsidR="00D20660" w:rsidRPr="0094354B" w:rsidRDefault="00D20660" w:rsidP="00D20660">
      <w:pPr>
        <w:ind w:left="851" w:hanging="851"/>
        <w:contextualSpacing/>
        <w:rPr>
          <w:sz w:val="24"/>
          <w:szCs w:val="24"/>
        </w:rPr>
      </w:pPr>
    </w:p>
    <w:p w:rsidR="00D20660" w:rsidRPr="0094354B" w:rsidRDefault="00D20660" w:rsidP="00D20660">
      <w:pPr>
        <w:ind w:left="851"/>
        <w:contextualSpacing/>
        <w:rPr>
          <w:i/>
          <w:sz w:val="24"/>
          <w:szCs w:val="24"/>
        </w:rPr>
      </w:pPr>
      <w:r w:rsidRPr="0094354B">
        <w:rPr>
          <w:i/>
          <w:sz w:val="24"/>
          <w:szCs w:val="24"/>
        </w:rPr>
        <w:t>Moderat/langvarig kirurgisk procedure</w:t>
      </w:r>
    </w:p>
    <w:p w:rsidR="00D20660" w:rsidRPr="0094354B" w:rsidRDefault="00D20660" w:rsidP="00D20660">
      <w:pPr>
        <w:ind w:left="851"/>
        <w:contextualSpacing/>
        <w:rPr>
          <w:sz w:val="24"/>
          <w:szCs w:val="24"/>
        </w:rPr>
      </w:pPr>
      <w:r w:rsidRPr="0094354B">
        <w:rPr>
          <w:sz w:val="24"/>
          <w:szCs w:val="24"/>
        </w:rPr>
        <w:t xml:space="preserve">10 ml (500 </w:t>
      </w:r>
      <w:r>
        <w:rPr>
          <w:sz w:val="24"/>
          <w:szCs w:val="24"/>
        </w:rPr>
        <w:t>mikrogram</w:t>
      </w:r>
      <w:r w:rsidRPr="0094354B">
        <w:rPr>
          <w:sz w:val="24"/>
          <w:szCs w:val="24"/>
        </w:rPr>
        <w:t xml:space="preserve">) </w:t>
      </w:r>
      <w:r>
        <w:rPr>
          <w:sz w:val="24"/>
          <w:szCs w:val="24"/>
        </w:rPr>
        <w:t>f</w:t>
      </w:r>
      <w:r w:rsidRPr="0094354B">
        <w:rPr>
          <w:sz w:val="24"/>
          <w:szCs w:val="24"/>
        </w:rPr>
        <w:t xml:space="preserve">entanyl injektionsvæske injiceret som en </w:t>
      </w:r>
      <w:proofErr w:type="spellStart"/>
      <w:r w:rsidRPr="0094354B">
        <w:rPr>
          <w:sz w:val="24"/>
          <w:szCs w:val="24"/>
        </w:rPr>
        <w:t>bolusdosis</w:t>
      </w:r>
      <w:proofErr w:type="spellEnd"/>
      <w:r w:rsidRPr="0094354B">
        <w:rPr>
          <w:sz w:val="24"/>
          <w:szCs w:val="24"/>
        </w:rPr>
        <w:t xml:space="preserve"> giver en analgesieffekt med en varighed på cirka en time. Den opnåede analgesi er tilstrækkelig til kirurgi, som involverer moderat smertefulde procedu</w:t>
      </w:r>
      <w:r>
        <w:rPr>
          <w:sz w:val="24"/>
          <w:szCs w:val="24"/>
        </w:rPr>
        <w:t>rer. En dosis 50 mikrogram/kg f</w:t>
      </w:r>
      <w:r w:rsidRPr="0094354B">
        <w:rPr>
          <w:sz w:val="24"/>
          <w:szCs w:val="24"/>
        </w:rPr>
        <w:t>entanyl injektionsvæske giver høj grad af analgesi i cirka fire til seks timer til stærk kirurgisk stimulation.</w:t>
      </w:r>
    </w:p>
    <w:p w:rsidR="00D20660" w:rsidRPr="0094354B" w:rsidRDefault="00D20660" w:rsidP="00D20660">
      <w:pPr>
        <w:ind w:left="851" w:hanging="851"/>
        <w:contextualSpacing/>
        <w:rPr>
          <w:sz w:val="24"/>
          <w:szCs w:val="24"/>
        </w:rPr>
      </w:pPr>
    </w:p>
    <w:p w:rsidR="00D20660" w:rsidRPr="0094354B" w:rsidRDefault="00D20660" w:rsidP="00D20660">
      <w:pPr>
        <w:ind w:left="851"/>
        <w:contextualSpacing/>
        <w:rPr>
          <w:sz w:val="24"/>
          <w:szCs w:val="24"/>
        </w:rPr>
      </w:pPr>
      <w:r w:rsidRPr="0094354B">
        <w:rPr>
          <w:sz w:val="24"/>
          <w:szCs w:val="24"/>
        </w:rPr>
        <w:t>Doser over 200 mikrogram er kun til brug i anæstesi.</w:t>
      </w:r>
    </w:p>
    <w:p w:rsidR="00D20660" w:rsidRPr="0094354B" w:rsidRDefault="00D20660" w:rsidP="00D20660">
      <w:pPr>
        <w:ind w:left="851"/>
        <w:contextualSpacing/>
        <w:rPr>
          <w:sz w:val="24"/>
          <w:szCs w:val="24"/>
        </w:rPr>
      </w:pPr>
    </w:p>
    <w:p w:rsidR="00D20660" w:rsidRDefault="00D20660" w:rsidP="00D20660">
      <w:pPr>
        <w:ind w:left="851"/>
        <w:contextualSpacing/>
        <w:rPr>
          <w:sz w:val="24"/>
          <w:szCs w:val="24"/>
        </w:rPr>
      </w:pPr>
      <w:r w:rsidRPr="0094354B">
        <w:rPr>
          <w:i/>
          <w:iCs/>
          <w:sz w:val="24"/>
          <w:szCs w:val="24"/>
        </w:rPr>
        <w:t>Brug til ældre og svækkede patienter:</w:t>
      </w:r>
      <w:r w:rsidRPr="0094354B">
        <w:rPr>
          <w:sz w:val="24"/>
          <w:szCs w:val="24"/>
        </w:rPr>
        <w:t xml:space="preserve"> </w:t>
      </w:r>
    </w:p>
    <w:p w:rsidR="00D20660" w:rsidRPr="0094354B" w:rsidRDefault="00D20660" w:rsidP="00D20660">
      <w:pPr>
        <w:ind w:left="851"/>
        <w:contextualSpacing/>
        <w:rPr>
          <w:sz w:val="24"/>
          <w:szCs w:val="24"/>
        </w:rPr>
      </w:pPr>
      <w:r w:rsidRPr="0094354B">
        <w:rPr>
          <w:sz w:val="24"/>
          <w:szCs w:val="24"/>
        </w:rPr>
        <w:t>Det anbefales at reducere doseringen til ældre og svækkede patienter. Der skal tages højde for virkningen af initialdosis, når der fastlægges supplerende doser.</w:t>
      </w:r>
    </w:p>
    <w:p w:rsidR="00D20660" w:rsidRPr="0094354B" w:rsidRDefault="00D20660" w:rsidP="00D20660">
      <w:pPr>
        <w:ind w:left="851"/>
        <w:contextualSpacing/>
        <w:rPr>
          <w:sz w:val="24"/>
          <w:szCs w:val="24"/>
        </w:rPr>
      </w:pPr>
    </w:p>
    <w:p w:rsidR="00D20660" w:rsidRPr="0094354B" w:rsidRDefault="00D20660" w:rsidP="00D20660">
      <w:pPr>
        <w:pStyle w:val="Brdtekst"/>
        <w:spacing w:after="0"/>
        <w:ind w:left="851"/>
        <w:contextualSpacing/>
        <w:rPr>
          <w:i/>
        </w:rPr>
      </w:pPr>
      <w:r w:rsidRPr="0094354B">
        <w:rPr>
          <w:i/>
        </w:rPr>
        <w:t xml:space="preserve">Overvægtige patienter: </w:t>
      </w:r>
    </w:p>
    <w:p w:rsidR="00D20660" w:rsidRPr="0094354B" w:rsidRDefault="00D20660" w:rsidP="00D20660">
      <w:pPr>
        <w:pStyle w:val="Brdtekst"/>
        <w:spacing w:after="0"/>
        <w:ind w:left="851"/>
        <w:contextualSpacing/>
      </w:pPr>
      <w:r w:rsidRPr="0094354B">
        <w:t>Der er en risiko for overdosering ved overvægtige patienter, hvis dosis beregnes på basis af kropsvægten. Dosis til overvægtige patienter bør beregnes i henhold til deres ideelle BMI.</w:t>
      </w:r>
    </w:p>
    <w:p w:rsidR="00363661" w:rsidRDefault="00363661">
      <w:pPr>
        <w:rPr>
          <w:sz w:val="24"/>
          <w:szCs w:val="24"/>
        </w:rPr>
      </w:pPr>
      <w:r>
        <w:rPr>
          <w:sz w:val="24"/>
          <w:szCs w:val="24"/>
        </w:rPr>
        <w:lastRenderedPageBreak/>
        <w:br w:type="page"/>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Pædiatrisk population</w:t>
      </w:r>
    </w:p>
    <w:p w:rsidR="00D20660" w:rsidRPr="0094354B" w:rsidRDefault="00D20660" w:rsidP="00D20660">
      <w:pPr>
        <w:ind w:left="851"/>
        <w:contextualSpacing/>
        <w:rPr>
          <w:i/>
          <w:sz w:val="24"/>
          <w:szCs w:val="24"/>
        </w:rPr>
      </w:pPr>
    </w:p>
    <w:p w:rsidR="00D20660" w:rsidRPr="0094354B" w:rsidRDefault="00D20660" w:rsidP="00D20660">
      <w:pPr>
        <w:ind w:left="851"/>
        <w:contextualSpacing/>
        <w:rPr>
          <w:sz w:val="24"/>
          <w:szCs w:val="24"/>
        </w:rPr>
      </w:pPr>
      <w:r w:rsidRPr="0094354B">
        <w:rPr>
          <w:i/>
          <w:sz w:val="24"/>
          <w:szCs w:val="24"/>
        </w:rPr>
        <w:t>Børn i alderen 12 til 17 år</w:t>
      </w:r>
      <w:r w:rsidRPr="0094354B">
        <w:rPr>
          <w:sz w:val="24"/>
          <w:szCs w:val="24"/>
        </w:rPr>
        <w:t>: Følg voksendosis.</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Børn i alderen 2 til 11 år:</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Den sædvanlige dosering for børn er:</w:t>
      </w:r>
    </w:p>
    <w:p w:rsidR="00D20660" w:rsidRPr="0094354B" w:rsidRDefault="00D20660" w:rsidP="00D20660">
      <w:pPr>
        <w:ind w:left="851" w:hanging="851"/>
        <w:contextualSpacing/>
        <w:rPr>
          <w:sz w:val="24"/>
          <w:szCs w:val="24"/>
        </w:rPr>
      </w:pPr>
    </w:p>
    <w:tbl>
      <w:tblPr>
        <w:tblW w:w="4439" w:type="pct"/>
        <w:tblInd w:w="8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420"/>
        <w:gridCol w:w="1560"/>
        <w:gridCol w:w="2126"/>
        <w:gridCol w:w="2410"/>
      </w:tblGrid>
      <w:tr w:rsidR="00D20660" w:rsidRPr="00176DA4" w:rsidTr="000B5B6B">
        <w:tc>
          <w:tcPr>
            <w:tcW w:w="2420" w:type="dxa"/>
            <w:tcBorders>
              <w:top w:val="double" w:sz="6" w:space="0" w:color="auto"/>
              <w:left w:val="double" w:sz="6" w:space="0" w:color="auto"/>
              <w:bottom w:val="single" w:sz="6" w:space="0" w:color="auto"/>
              <w:right w:val="single" w:sz="6" w:space="0" w:color="auto"/>
            </w:tcBorders>
          </w:tcPr>
          <w:p w:rsidR="00D20660" w:rsidRPr="00176DA4" w:rsidRDefault="00D20660" w:rsidP="003B4BCE">
            <w:pPr>
              <w:rPr>
                <w:sz w:val="24"/>
                <w:szCs w:val="24"/>
              </w:rPr>
            </w:pPr>
          </w:p>
        </w:tc>
        <w:tc>
          <w:tcPr>
            <w:tcW w:w="1560" w:type="dxa"/>
            <w:tcBorders>
              <w:top w:val="double" w:sz="6" w:space="0" w:color="auto"/>
              <w:left w:val="single" w:sz="6" w:space="0" w:color="auto"/>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Alder</w:t>
            </w:r>
          </w:p>
        </w:tc>
        <w:tc>
          <w:tcPr>
            <w:tcW w:w="2126" w:type="dxa"/>
            <w:tcBorders>
              <w:top w:val="double" w:sz="6" w:space="0" w:color="auto"/>
              <w:left w:val="single" w:sz="6" w:space="0" w:color="auto"/>
              <w:bottom w:val="single" w:sz="6" w:space="0" w:color="auto"/>
              <w:right w:val="single" w:sz="6" w:space="0" w:color="auto"/>
            </w:tcBorders>
          </w:tcPr>
          <w:p w:rsidR="00D20660" w:rsidRPr="00176DA4" w:rsidRDefault="00D20660" w:rsidP="003B4BCE">
            <w:pPr>
              <w:rPr>
                <w:sz w:val="24"/>
                <w:szCs w:val="24"/>
              </w:rPr>
            </w:pPr>
            <w:r w:rsidRPr="00176DA4">
              <w:rPr>
                <w:sz w:val="24"/>
                <w:szCs w:val="24"/>
              </w:rPr>
              <w:t xml:space="preserve">Initial </w:t>
            </w:r>
          </w:p>
          <w:p w:rsidR="00D20660" w:rsidRPr="00176DA4" w:rsidRDefault="00D20660" w:rsidP="003B4BCE">
            <w:pPr>
              <w:rPr>
                <w:sz w:val="24"/>
                <w:szCs w:val="24"/>
              </w:rPr>
            </w:pPr>
          </w:p>
        </w:tc>
        <w:tc>
          <w:tcPr>
            <w:tcW w:w="2410" w:type="dxa"/>
            <w:tcBorders>
              <w:top w:val="double" w:sz="6" w:space="0" w:color="auto"/>
              <w:left w:val="single" w:sz="6" w:space="0" w:color="auto"/>
              <w:bottom w:val="single" w:sz="6" w:space="0" w:color="auto"/>
              <w:right w:val="double" w:sz="6" w:space="0" w:color="auto"/>
            </w:tcBorders>
          </w:tcPr>
          <w:p w:rsidR="00D20660" w:rsidRPr="00176DA4" w:rsidRDefault="00D20660" w:rsidP="003B4BCE">
            <w:pPr>
              <w:rPr>
                <w:sz w:val="24"/>
                <w:szCs w:val="24"/>
              </w:rPr>
            </w:pPr>
            <w:r w:rsidRPr="00176DA4">
              <w:rPr>
                <w:sz w:val="24"/>
                <w:szCs w:val="24"/>
              </w:rPr>
              <w:t xml:space="preserve">Supplerende </w:t>
            </w:r>
          </w:p>
          <w:p w:rsidR="00D20660" w:rsidRPr="00176DA4" w:rsidRDefault="00D20660" w:rsidP="003B4BCE">
            <w:pPr>
              <w:rPr>
                <w:sz w:val="24"/>
                <w:szCs w:val="24"/>
              </w:rPr>
            </w:pPr>
          </w:p>
        </w:tc>
      </w:tr>
      <w:tr w:rsidR="00D20660" w:rsidRPr="00176DA4" w:rsidTr="000B5B6B">
        <w:tc>
          <w:tcPr>
            <w:tcW w:w="2420" w:type="dxa"/>
            <w:tcBorders>
              <w:top w:val="single" w:sz="6" w:space="0" w:color="auto"/>
              <w:left w:val="double" w:sz="6" w:space="0" w:color="auto"/>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Spontan respiration</w:t>
            </w:r>
          </w:p>
        </w:tc>
        <w:tc>
          <w:tcPr>
            <w:tcW w:w="1560" w:type="dxa"/>
            <w:tcBorders>
              <w:top w:val="single" w:sz="6" w:space="0" w:color="auto"/>
              <w:left w:val="single" w:sz="6" w:space="0" w:color="auto"/>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2-11 år</w:t>
            </w:r>
          </w:p>
        </w:tc>
        <w:tc>
          <w:tcPr>
            <w:tcW w:w="2126" w:type="dxa"/>
            <w:tcBorders>
              <w:top w:val="single" w:sz="6" w:space="0" w:color="auto"/>
              <w:left w:val="single" w:sz="6" w:space="0" w:color="auto"/>
              <w:bottom w:val="single" w:sz="6" w:space="0" w:color="auto"/>
              <w:right w:val="single" w:sz="6" w:space="0" w:color="auto"/>
            </w:tcBorders>
            <w:hideMark/>
          </w:tcPr>
          <w:p w:rsidR="00D20660" w:rsidRPr="00176DA4" w:rsidRDefault="00D20660" w:rsidP="003B4BCE">
            <w:pPr>
              <w:rPr>
                <w:sz w:val="24"/>
                <w:szCs w:val="24"/>
              </w:rPr>
            </w:pPr>
            <w:r w:rsidRPr="00176DA4">
              <w:rPr>
                <w:sz w:val="24"/>
                <w:szCs w:val="24"/>
              </w:rPr>
              <w:t xml:space="preserve">1-3 </w:t>
            </w:r>
            <w:r>
              <w:rPr>
                <w:sz w:val="24"/>
                <w:szCs w:val="24"/>
              </w:rPr>
              <w:t>mikr</w:t>
            </w:r>
            <w:r w:rsidR="000B5B6B">
              <w:rPr>
                <w:sz w:val="24"/>
                <w:szCs w:val="24"/>
              </w:rPr>
              <w:t>o</w:t>
            </w:r>
            <w:r>
              <w:rPr>
                <w:sz w:val="24"/>
                <w:szCs w:val="24"/>
              </w:rPr>
              <w:t>gram</w:t>
            </w:r>
            <w:r w:rsidRPr="00176DA4">
              <w:rPr>
                <w:sz w:val="24"/>
                <w:szCs w:val="24"/>
              </w:rPr>
              <w:t>/kg</w:t>
            </w:r>
          </w:p>
        </w:tc>
        <w:tc>
          <w:tcPr>
            <w:tcW w:w="2410" w:type="dxa"/>
            <w:tcBorders>
              <w:top w:val="single" w:sz="6" w:space="0" w:color="auto"/>
              <w:left w:val="single" w:sz="6" w:space="0" w:color="auto"/>
              <w:bottom w:val="single" w:sz="6" w:space="0" w:color="auto"/>
              <w:right w:val="double" w:sz="6" w:space="0" w:color="auto"/>
            </w:tcBorders>
            <w:hideMark/>
          </w:tcPr>
          <w:p w:rsidR="00D20660" w:rsidRPr="00176DA4" w:rsidRDefault="00D20660" w:rsidP="003B4BCE">
            <w:pPr>
              <w:rPr>
                <w:sz w:val="24"/>
                <w:szCs w:val="24"/>
              </w:rPr>
            </w:pPr>
            <w:r w:rsidRPr="00176DA4">
              <w:rPr>
                <w:sz w:val="24"/>
                <w:szCs w:val="24"/>
              </w:rPr>
              <w:t xml:space="preserve">1-1,25 </w:t>
            </w:r>
            <w:r>
              <w:rPr>
                <w:sz w:val="24"/>
                <w:szCs w:val="24"/>
              </w:rPr>
              <w:t>mikrogram</w:t>
            </w:r>
            <w:r w:rsidRPr="00176DA4">
              <w:rPr>
                <w:sz w:val="24"/>
                <w:szCs w:val="24"/>
              </w:rPr>
              <w:t>/kg</w:t>
            </w:r>
          </w:p>
        </w:tc>
      </w:tr>
      <w:tr w:rsidR="00D20660" w:rsidRPr="00176DA4" w:rsidTr="000B5B6B">
        <w:tc>
          <w:tcPr>
            <w:tcW w:w="2420" w:type="dxa"/>
            <w:tcBorders>
              <w:top w:val="single" w:sz="6" w:space="0" w:color="auto"/>
              <w:left w:val="double" w:sz="6" w:space="0" w:color="auto"/>
              <w:bottom w:val="double" w:sz="6" w:space="0" w:color="auto"/>
              <w:right w:val="single" w:sz="6" w:space="0" w:color="auto"/>
            </w:tcBorders>
            <w:hideMark/>
          </w:tcPr>
          <w:p w:rsidR="00D20660" w:rsidRPr="00176DA4" w:rsidRDefault="00D20660" w:rsidP="003B4BCE">
            <w:pPr>
              <w:rPr>
                <w:sz w:val="24"/>
                <w:szCs w:val="24"/>
              </w:rPr>
            </w:pPr>
            <w:r w:rsidRPr="00176DA4">
              <w:rPr>
                <w:sz w:val="24"/>
                <w:szCs w:val="24"/>
              </w:rPr>
              <w:t>Assisteret ventilation</w:t>
            </w:r>
          </w:p>
        </w:tc>
        <w:tc>
          <w:tcPr>
            <w:tcW w:w="1560" w:type="dxa"/>
            <w:tcBorders>
              <w:top w:val="single" w:sz="6" w:space="0" w:color="auto"/>
              <w:left w:val="single" w:sz="6" w:space="0" w:color="auto"/>
              <w:bottom w:val="double" w:sz="6" w:space="0" w:color="auto"/>
              <w:right w:val="single" w:sz="6" w:space="0" w:color="auto"/>
            </w:tcBorders>
            <w:hideMark/>
          </w:tcPr>
          <w:p w:rsidR="00D20660" w:rsidRPr="00176DA4" w:rsidRDefault="00D20660" w:rsidP="003B4BCE">
            <w:pPr>
              <w:rPr>
                <w:sz w:val="24"/>
                <w:szCs w:val="24"/>
              </w:rPr>
            </w:pPr>
            <w:r w:rsidRPr="00176DA4">
              <w:rPr>
                <w:sz w:val="24"/>
                <w:szCs w:val="24"/>
              </w:rPr>
              <w:t>2-11 år</w:t>
            </w:r>
          </w:p>
        </w:tc>
        <w:tc>
          <w:tcPr>
            <w:tcW w:w="2126" w:type="dxa"/>
            <w:tcBorders>
              <w:top w:val="single" w:sz="6" w:space="0" w:color="auto"/>
              <w:left w:val="single" w:sz="6" w:space="0" w:color="auto"/>
              <w:bottom w:val="double" w:sz="6" w:space="0" w:color="auto"/>
              <w:right w:val="single" w:sz="6" w:space="0" w:color="auto"/>
            </w:tcBorders>
            <w:hideMark/>
          </w:tcPr>
          <w:p w:rsidR="00D20660" w:rsidRPr="00176DA4" w:rsidRDefault="00D20660" w:rsidP="003B4BCE">
            <w:pPr>
              <w:rPr>
                <w:sz w:val="24"/>
                <w:szCs w:val="24"/>
              </w:rPr>
            </w:pPr>
            <w:r w:rsidRPr="00176DA4">
              <w:rPr>
                <w:sz w:val="24"/>
                <w:szCs w:val="24"/>
              </w:rPr>
              <w:t xml:space="preserve">1-3 </w:t>
            </w:r>
            <w:r>
              <w:rPr>
                <w:sz w:val="24"/>
                <w:szCs w:val="24"/>
              </w:rPr>
              <w:t>mikr</w:t>
            </w:r>
            <w:r w:rsidR="000B5B6B">
              <w:rPr>
                <w:sz w:val="24"/>
                <w:szCs w:val="24"/>
              </w:rPr>
              <w:t>o</w:t>
            </w:r>
            <w:r>
              <w:rPr>
                <w:sz w:val="24"/>
                <w:szCs w:val="24"/>
              </w:rPr>
              <w:t>gram</w:t>
            </w:r>
            <w:r w:rsidRPr="00176DA4">
              <w:rPr>
                <w:sz w:val="24"/>
                <w:szCs w:val="24"/>
              </w:rPr>
              <w:t>/kg</w:t>
            </w:r>
          </w:p>
        </w:tc>
        <w:tc>
          <w:tcPr>
            <w:tcW w:w="2410" w:type="dxa"/>
            <w:tcBorders>
              <w:top w:val="single" w:sz="6" w:space="0" w:color="auto"/>
              <w:left w:val="single" w:sz="6" w:space="0" w:color="auto"/>
              <w:bottom w:val="double" w:sz="6" w:space="0" w:color="auto"/>
              <w:right w:val="double" w:sz="6" w:space="0" w:color="auto"/>
            </w:tcBorders>
          </w:tcPr>
          <w:p w:rsidR="00D20660" w:rsidRPr="00176DA4" w:rsidRDefault="00D20660" w:rsidP="003B4BCE">
            <w:pPr>
              <w:rPr>
                <w:sz w:val="24"/>
                <w:szCs w:val="24"/>
              </w:rPr>
            </w:pPr>
            <w:r w:rsidRPr="00176DA4">
              <w:rPr>
                <w:sz w:val="24"/>
                <w:szCs w:val="24"/>
              </w:rPr>
              <w:t xml:space="preserve">1-1,25 </w:t>
            </w:r>
            <w:r>
              <w:rPr>
                <w:sz w:val="24"/>
                <w:szCs w:val="24"/>
              </w:rPr>
              <w:t>mikrogram</w:t>
            </w:r>
            <w:r w:rsidRPr="00176DA4">
              <w:rPr>
                <w:sz w:val="24"/>
                <w:szCs w:val="24"/>
              </w:rPr>
              <w:t>/kg</w:t>
            </w:r>
          </w:p>
          <w:p w:rsidR="00D20660" w:rsidRPr="00176DA4" w:rsidRDefault="00D20660" w:rsidP="003B4BCE">
            <w:pPr>
              <w:rPr>
                <w:sz w:val="24"/>
                <w:szCs w:val="24"/>
              </w:rPr>
            </w:pPr>
          </w:p>
        </w:tc>
      </w:tr>
    </w:tbl>
    <w:p w:rsidR="00D20660" w:rsidRPr="0094354B" w:rsidRDefault="00D20660" w:rsidP="00D20660">
      <w:pPr>
        <w:ind w:left="851" w:hanging="851"/>
        <w:contextualSpacing/>
        <w:rPr>
          <w:sz w:val="24"/>
          <w:szCs w:val="24"/>
          <w:lang w:eastAsia="en-GB"/>
        </w:rPr>
      </w:pPr>
    </w:p>
    <w:p w:rsidR="00D20660" w:rsidRPr="0094354B" w:rsidRDefault="00D20660" w:rsidP="00D20660">
      <w:pPr>
        <w:ind w:left="851"/>
        <w:contextualSpacing/>
        <w:rPr>
          <w:i/>
          <w:sz w:val="24"/>
          <w:szCs w:val="24"/>
        </w:rPr>
      </w:pPr>
      <w:r w:rsidRPr="0094354B">
        <w:rPr>
          <w:i/>
          <w:sz w:val="24"/>
          <w:szCs w:val="24"/>
        </w:rPr>
        <w:t>Børn under 2 år:</w:t>
      </w:r>
    </w:p>
    <w:p w:rsidR="00D20660" w:rsidRPr="00DF411A" w:rsidRDefault="00D20660" w:rsidP="00D20660">
      <w:pPr>
        <w:ind w:left="851"/>
        <w:contextualSpacing/>
        <w:rPr>
          <w:sz w:val="24"/>
          <w:szCs w:val="24"/>
        </w:rPr>
      </w:pPr>
      <w:r w:rsidRPr="00DF411A">
        <w:rPr>
          <w:sz w:val="24"/>
          <w:szCs w:val="24"/>
        </w:rPr>
        <w:t xml:space="preserve">Sikkerhed og virkning af fentanyl injektionsvæske </w:t>
      </w:r>
      <w:r w:rsidRPr="00DF411A">
        <w:rPr>
          <w:iCs/>
          <w:sz w:val="24"/>
          <w:szCs w:val="24"/>
        </w:rPr>
        <w:t xml:space="preserve">hos børn </w:t>
      </w:r>
      <w:r w:rsidRPr="00DF411A">
        <w:rPr>
          <w:sz w:val="24"/>
          <w:szCs w:val="24"/>
        </w:rPr>
        <w:t>under 2 år er ikke klarlagt.</w:t>
      </w:r>
    </w:p>
    <w:p w:rsidR="00D20660" w:rsidRPr="0094354B" w:rsidRDefault="00D20660" w:rsidP="00D20660">
      <w:pPr>
        <w:ind w:left="851"/>
        <w:contextualSpacing/>
        <w:rPr>
          <w:i/>
          <w:sz w:val="24"/>
          <w:szCs w:val="24"/>
        </w:rPr>
      </w:pPr>
    </w:p>
    <w:p w:rsidR="00D20660" w:rsidRPr="0094354B" w:rsidRDefault="00D20660" w:rsidP="00D20660">
      <w:pPr>
        <w:ind w:left="851"/>
        <w:contextualSpacing/>
        <w:rPr>
          <w:i/>
          <w:sz w:val="24"/>
          <w:szCs w:val="24"/>
        </w:rPr>
      </w:pPr>
      <w:r w:rsidRPr="0094354B">
        <w:rPr>
          <w:i/>
          <w:sz w:val="24"/>
          <w:szCs w:val="24"/>
        </w:rPr>
        <w:t>Brug til børn:</w:t>
      </w:r>
    </w:p>
    <w:p w:rsidR="00D20660" w:rsidRPr="0094354B" w:rsidRDefault="00D20660" w:rsidP="00D20660">
      <w:pPr>
        <w:ind w:left="851"/>
        <w:contextualSpacing/>
        <w:rPr>
          <w:sz w:val="24"/>
          <w:szCs w:val="24"/>
        </w:rPr>
      </w:pPr>
      <w:r w:rsidRPr="0094354B">
        <w:rPr>
          <w:sz w:val="24"/>
          <w:szCs w:val="24"/>
        </w:rPr>
        <w:t>Analgesi under operation, forbedring af anæstesi med spontan respiration.</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Behandlinger, der omfatter analgesi til et barn med spontan vejrtrækning, bør kun anvendes som del af en anæstesibehandling, eller gives som en del af en sedations/analgesibehandling med erfarent sundhedspersonale i et miljø, der kan håndtere pludselig stivhed i brystvæggen, som kræver </w:t>
      </w:r>
      <w:proofErr w:type="spellStart"/>
      <w:r w:rsidRPr="0094354B">
        <w:rPr>
          <w:sz w:val="24"/>
          <w:szCs w:val="24"/>
        </w:rPr>
        <w:t>intubation</w:t>
      </w:r>
      <w:proofErr w:type="spellEnd"/>
      <w:r w:rsidRPr="0094354B">
        <w:rPr>
          <w:sz w:val="24"/>
          <w:szCs w:val="24"/>
        </w:rPr>
        <w:t xml:space="preserve">, eller apnø, som kræver luftvejsstøtte (se </w:t>
      </w:r>
      <w:r>
        <w:rPr>
          <w:sz w:val="24"/>
          <w:szCs w:val="24"/>
        </w:rPr>
        <w:t>pkt.</w:t>
      </w:r>
      <w:r w:rsidRPr="0094354B">
        <w:rPr>
          <w:sz w:val="24"/>
          <w:szCs w:val="24"/>
        </w:rPr>
        <w:t xml:space="preserve"> 4.4).</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Det er vigtigt ved fastlæggelse af den nødvendige dosis at vurdere den sandsynlige grad af kirurgisk stimulation, effekten af præmedicinering og procedurens varighed.</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pStyle w:val="Brdtekst"/>
        <w:spacing w:after="0"/>
        <w:ind w:left="851"/>
        <w:contextualSpacing/>
        <w:jc w:val="both"/>
        <w:rPr>
          <w:i/>
        </w:rPr>
      </w:pPr>
      <w:r w:rsidRPr="0094354B">
        <w:rPr>
          <w:i/>
        </w:rPr>
        <w:t xml:space="preserve">Nedsat nyrefunktion </w:t>
      </w:r>
    </w:p>
    <w:p w:rsidR="00D20660" w:rsidRPr="0094354B" w:rsidRDefault="00D20660" w:rsidP="00D20660">
      <w:pPr>
        <w:pStyle w:val="Brdtekst"/>
        <w:spacing w:after="0"/>
        <w:ind w:left="851"/>
        <w:contextualSpacing/>
        <w:jc w:val="both"/>
      </w:pPr>
      <w:r w:rsidRPr="0094354B">
        <w:t xml:space="preserve">Der skal overvejes reduceret dosis af fentanyl til patienter med nedsat nyrefunktion, og disse patienter skal observeres nøje for tegn på fentanyl-toksicitet (se </w:t>
      </w:r>
      <w:r>
        <w:t>pkt.</w:t>
      </w:r>
      <w:r w:rsidRPr="0094354B">
        <w:t xml:space="preserve"> 5.2).</w:t>
      </w:r>
    </w:p>
    <w:p w:rsidR="00D20660" w:rsidRPr="0094354B" w:rsidRDefault="00D20660" w:rsidP="00D20660">
      <w:pPr>
        <w:ind w:left="851"/>
        <w:contextualSpacing/>
        <w:rPr>
          <w:sz w:val="24"/>
          <w:szCs w:val="24"/>
          <w:u w:val="single"/>
        </w:rPr>
      </w:pPr>
    </w:p>
    <w:p w:rsidR="00D20660" w:rsidRPr="0094354B" w:rsidRDefault="00D20660" w:rsidP="00D20660">
      <w:pPr>
        <w:ind w:left="851"/>
        <w:contextualSpacing/>
        <w:rPr>
          <w:sz w:val="24"/>
          <w:szCs w:val="24"/>
          <w:u w:val="single"/>
        </w:rPr>
      </w:pPr>
      <w:r w:rsidRPr="0094354B">
        <w:rPr>
          <w:sz w:val="24"/>
          <w:szCs w:val="24"/>
          <w:u w:val="single"/>
        </w:rPr>
        <w:t>Administration</w:t>
      </w:r>
    </w:p>
    <w:p w:rsidR="00D20660" w:rsidRPr="0094354B" w:rsidRDefault="00D20660" w:rsidP="00D20660">
      <w:pPr>
        <w:ind w:left="851"/>
        <w:contextualSpacing/>
        <w:rPr>
          <w:sz w:val="24"/>
          <w:szCs w:val="24"/>
        </w:rPr>
      </w:pPr>
      <w:r w:rsidRPr="0094354B">
        <w:rPr>
          <w:sz w:val="24"/>
          <w:szCs w:val="24"/>
        </w:rPr>
        <w:t xml:space="preserve">Intravenøs administration, enten som en </w:t>
      </w:r>
      <w:proofErr w:type="spellStart"/>
      <w:r w:rsidRPr="0094354B">
        <w:rPr>
          <w:sz w:val="24"/>
          <w:szCs w:val="24"/>
        </w:rPr>
        <w:t>bolusdosis</w:t>
      </w:r>
      <w:proofErr w:type="spellEnd"/>
      <w:r w:rsidRPr="0094354B">
        <w:rPr>
          <w:sz w:val="24"/>
          <w:szCs w:val="24"/>
        </w:rPr>
        <w:t xml:space="preserve"> eller ved infusion, kan gives til både voksne og børn.</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4.3</w:t>
      </w:r>
      <w:r w:rsidRPr="0094354B">
        <w:rPr>
          <w:b/>
          <w:sz w:val="24"/>
          <w:szCs w:val="24"/>
        </w:rPr>
        <w:tab/>
        <w:t>Kontraindikationer</w:t>
      </w:r>
    </w:p>
    <w:p w:rsidR="00D20660" w:rsidRPr="0094354B" w:rsidRDefault="00D20660" w:rsidP="00D20660">
      <w:pPr>
        <w:numPr>
          <w:ilvl w:val="0"/>
          <w:numId w:val="8"/>
        </w:numPr>
        <w:autoSpaceDE w:val="0"/>
        <w:autoSpaceDN w:val="0"/>
        <w:adjustRightInd w:val="0"/>
        <w:ind w:left="1276" w:hanging="425"/>
        <w:contextualSpacing/>
        <w:rPr>
          <w:sz w:val="24"/>
          <w:szCs w:val="24"/>
          <w:lang w:eastAsia="en-GB"/>
        </w:rPr>
      </w:pPr>
      <w:r w:rsidRPr="0094354B">
        <w:rPr>
          <w:sz w:val="24"/>
          <w:szCs w:val="24"/>
        </w:rPr>
        <w:t xml:space="preserve">Overfølsomhed over for fentanylcitrat eller over for et eller flere af hjælpestofferne anført i </w:t>
      </w:r>
      <w:r>
        <w:rPr>
          <w:sz w:val="24"/>
          <w:szCs w:val="24"/>
        </w:rPr>
        <w:t>pkt.</w:t>
      </w:r>
      <w:r w:rsidRPr="0094354B">
        <w:rPr>
          <w:sz w:val="24"/>
          <w:szCs w:val="24"/>
        </w:rPr>
        <w:t xml:space="preserve"> 6.1.</w:t>
      </w:r>
    </w:p>
    <w:p w:rsidR="00D20660" w:rsidRPr="0094354B" w:rsidRDefault="00D20660" w:rsidP="00D20660">
      <w:pPr>
        <w:numPr>
          <w:ilvl w:val="0"/>
          <w:numId w:val="8"/>
        </w:numPr>
        <w:autoSpaceDE w:val="0"/>
        <w:autoSpaceDN w:val="0"/>
        <w:adjustRightInd w:val="0"/>
        <w:ind w:left="1276" w:hanging="425"/>
        <w:contextualSpacing/>
        <w:rPr>
          <w:sz w:val="24"/>
          <w:szCs w:val="24"/>
        </w:rPr>
      </w:pPr>
      <w:r w:rsidRPr="0094354B">
        <w:rPr>
          <w:sz w:val="24"/>
          <w:szCs w:val="24"/>
        </w:rPr>
        <w:t>Respirationsdepression uden mekanisk ventilation</w:t>
      </w:r>
    </w:p>
    <w:p w:rsidR="00D20660" w:rsidRPr="0094354B" w:rsidRDefault="00D20660" w:rsidP="00D20660">
      <w:pPr>
        <w:numPr>
          <w:ilvl w:val="0"/>
          <w:numId w:val="8"/>
        </w:numPr>
        <w:ind w:left="1276" w:hanging="425"/>
        <w:contextualSpacing/>
        <w:rPr>
          <w:sz w:val="24"/>
          <w:szCs w:val="24"/>
        </w:rPr>
      </w:pPr>
      <w:r w:rsidRPr="0094354B">
        <w:rPr>
          <w:sz w:val="24"/>
          <w:szCs w:val="24"/>
        </w:rPr>
        <w:t xml:space="preserve">Samtidig administration med </w:t>
      </w:r>
      <w:proofErr w:type="spellStart"/>
      <w:r w:rsidRPr="0094354B">
        <w:rPr>
          <w:sz w:val="24"/>
          <w:szCs w:val="24"/>
        </w:rPr>
        <w:t>monoaminoxidasehæmmere</w:t>
      </w:r>
      <w:proofErr w:type="spellEnd"/>
      <w:r w:rsidRPr="0094354B">
        <w:rPr>
          <w:sz w:val="24"/>
          <w:szCs w:val="24"/>
        </w:rPr>
        <w:t xml:space="preserve"> (MAO-</w:t>
      </w:r>
      <w:proofErr w:type="spellStart"/>
      <w:r w:rsidRPr="0094354B">
        <w:rPr>
          <w:sz w:val="24"/>
          <w:szCs w:val="24"/>
        </w:rPr>
        <w:t>hæmmere</w:t>
      </w:r>
      <w:proofErr w:type="spellEnd"/>
      <w:r w:rsidRPr="0094354B">
        <w:rPr>
          <w:sz w:val="24"/>
          <w:szCs w:val="24"/>
        </w:rPr>
        <w:t xml:space="preserve">) eller inden for 2 uger efter ophør af behandling med disse. </w:t>
      </w:r>
    </w:p>
    <w:p w:rsidR="00D20660" w:rsidRPr="0094354B" w:rsidRDefault="00D20660" w:rsidP="00D20660">
      <w:pPr>
        <w:numPr>
          <w:ilvl w:val="0"/>
          <w:numId w:val="8"/>
        </w:numPr>
        <w:ind w:left="1276" w:hanging="425"/>
        <w:contextualSpacing/>
        <w:rPr>
          <w:sz w:val="24"/>
          <w:szCs w:val="24"/>
        </w:rPr>
      </w:pPr>
      <w:r w:rsidRPr="0094354B">
        <w:rPr>
          <w:sz w:val="24"/>
          <w:szCs w:val="24"/>
        </w:rPr>
        <w:t xml:space="preserve">Kendt intolerance over for fentanylcitrat eller andre </w:t>
      </w:r>
      <w:proofErr w:type="spellStart"/>
      <w:r w:rsidRPr="0094354B">
        <w:rPr>
          <w:sz w:val="24"/>
          <w:szCs w:val="24"/>
        </w:rPr>
        <w:t>morfinomimetika</w:t>
      </w:r>
      <w:proofErr w:type="spellEnd"/>
      <w:r w:rsidRPr="0094354B">
        <w:rPr>
          <w:sz w:val="24"/>
          <w:szCs w:val="24"/>
        </w:rPr>
        <w:t>.</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4.4</w:t>
      </w:r>
      <w:r w:rsidRPr="0094354B">
        <w:rPr>
          <w:b/>
          <w:sz w:val="24"/>
          <w:szCs w:val="24"/>
        </w:rPr>
        <w:tab/>
        <w:t>Særlige advarsler og forsigtighedsregler vedrørende brugen</w:t>
      </w:r>
    </w:p>
    <w:p w:rsidR="00D20660" w:rsidRPr="0094354B" w:rsidRDefault="00D20660" w:rsidP="00D20660">
      <w:pPr>
        <w:ind w:left="851"/>
        <w:contextualSpacing/>
        <w:rPr>
          <w:sz w:val="24"/>
          <w:szCs w:val="24"/>
          <w:lang w:eastAsia="en-GB"/>
        </w:rPr>
      </w:pPr>
      <w:r w:rsidRPr="0094354B">
        <w:rPr>
          <w:sz w:val="24"/>
          <w:szCs w:val="24"/>
        </w:rPr>
        <w:t>Fentanyl må kun anvendes, når luftvejene kan kontrolleres og kun af fagfolk, som kan kontrollere luftvejene.</w:t>
      </w:r>
    </w:p>
    <w:p w:rsidR="000B5B6B" w:rsidRDefault="000B5B6B">
      <w:pPr>
        <w:rPr>
          <w:sz w:val="24"/>
          <w:szCs w:val="24"/>
        </w:rPr>
      </w:pPr>
      <w:r>
        <w:rPr>
          <w:sz w:val="24"/>
          <w:szCs w:val="24"/>
        </w:rPr>
        <w:br w:type="page"/>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Advarsler:</w:t>
      </w:r>
    </w:p>
    <w:p w:rsidR="00D20660" w:rsidRDefault="00D20660" w:rsidP="00D20660">
      <w:pPr>
        <w:ind w:left="851"/>
        <w:contextualSpacing/>
        <w:rPr>
          <w:sz w:val="24"/>
          <w:szCs w:val="24"/>
        </w:rPr>
      </w:pPr>
      <w:r w:rsidRPr="0094354B">
        <w:rPr>
          <w:sz w:val="24"/>
          <w:szCs w:val="24"/>
        </w:rPr>
        <w:t xml:space="preserve">Der er risiko for tolerance og afhængighed. Efter intravenøs administration af fentanyl kan blodtrykket kortvarigt falde, især hos </w:t>
      </w:r>
      <w:proofErr w:type="spellStart"/>
      <w:r w:rsidRPr="0094354B">
        <w:rPr>
          <w:sz w:val="24"/>
          <w:szCs w:val="24"/>
        </w:rPr>
        <w:t>hypovolæmiske</w:t>
      </w:r>
      <w:proofErr w:type="spellEnd"/>
      <w:r w:rsidRPr="0094354B">
        <w:rPr>
          <w:sz w:val="24"/>
          <w:szCs w:val="24"/>
        </w:rPr>
        <w:t xml:space="preserve"> patienter. Der skal træffes passende foranstaltninger til at opretholde et stabilt arterietryk.</w:t>
      </w:r>
    </w:p>
    <w:p w:rsidR="00D20660" w:rsidRPr="00667C2F" w:rsidRDefault="00D20660" w:rsidP="00667C2F">
      <w:pPr>
        <w:ind w:left="851"/>
        <w:rPr>
          <w:sz w:val="24"/>
          <w:szCs w:val="24"/>
        </w:rPr>
      </w:pPr>
    </w:p>
    <w:p w:rsidR="006C6D99" w:rsidRPr="00667C2F" w:rsidRDefault="006C6D99" w:rsidP="00667C2F">
      <w:pPr>
        <w:ind w:left="851"/>
        <w:rPr>
          <w:i/>
          <w:sz w:val="24"/>
          <w:szCs w:val="24"/>
        </w:rPr>
      </w:pPr>
      <w:r w:rsidRPr="00667C2F">
        <w:rPr>
          <w:i/>
          <w:sz w:val="24"/>
          <w:szCs w:val="24"/>
        </w:rPr>
        <w:t>Tolerans og opioidmisbrug (misbrug og afhængighed)</w:t>
      </w:r>
    </w:p>
    <w:p w:rsidR="006C6D99" w:rsidRPr="00667C2F" w:rsidRDefault="006C6D99" w:rsidP="00667C2F">
      <w:pPr>
        <w:ind w:left="851"/>
        <w:rPr>
          <w:sz w:val="24"/>
          <w:szCs w:val="24"/>
        </w:rPr>
      </w:pPr>
      <w:r w:rsidRPr="00667C2F">
        <w:rPr>
          <w:sz w:val="24"/>
          <w:szCs w:val="24"/>
        </w:rPr>
        <w:t xml:space="preserve">Der kan udvikles tolerance, fysisk afhængighed og psykisk afhængighed efter gentagen administration af opioider. </w:t>
      </w:r>
    </w:p>
    <w:p w:rsidR="006C6D99" w:rsidRPr="00667C2F" w:rsidRDefault="006C6D99" w:rsidP="00667C2F">
      <w:pPr>
        <w:ind w:left="851"/>
        <w:rPr>
          <w:sz w:val="24"/>
          <w:szCs w:val="24"/>
        </w:rPr>
      </w:pPr>
    </w:p>
    <w:p w:rsidR="006C6D99" w:rsidRPr="00667C2F" w:rsidRDefault="006C6D99" w:rsidP="00667C2F">
      <w:pPr>
        <w:ind w:left="851"/>
        <w:rPr>
          <w:sz w:val="24"/>
          <w:szCs w:val="24"/>
        </w:rPr>
      </w:pPr>
      <w:r w:rsidRPr="00667C2F">
        <w:rPr>
          <w:sz w:val="24"/>
          <w:szCs w:val="24"/>
        </w:rPr>
        <w:t>Gentagen brug af opioider kan føre til opioidmisbrug. Misbrug eller forsætlig fejlagtig anvendelse af opioider kan resultere i overdosering og/eller død. Risikoen for at udvikle opioidmisbrug er højere hos patienter med tidligere stofmisbrug (personligt eller hos forældre eller søskende) i anamnesen (herunder alkoholmisbrug), hos nuværende tobaksbrugere eller hos patienter med andre psykiske lidelser (personligt) i anamnesen (f.eks. svær depression, angst og personlighedsforstyrrelser).</w:t>
      </w:r>
    </w:p>
    <w:p w:rsidR="00D20660" w:rsidRPr="00667C2F" w:rsidRDefault="00D20660" w:rsidP="00667C2F">
      <w:pPr>
        <w:ind w:left="851"/>
        <w:rPr>
          <w:sz w:val="24"/>
          <w:szCs w:val="24"/>
        </w:rPr>
      </w:pPr>
      <w:r w:rsidRPr="00667C2F">
        <w:rPr>
          <w:sz w:val="24"/>
          <w:szCs w:val="24"/>
        </w:rPr>
        <w:t xml:space="preserve"> </w:t>
      </w:r>
    </w:p>
    <w:p w:rsidR="00D20660" w:rsidRPr="0042642B" w:rsidRDefault="00D20660" w:rsidP="00D20660">
      <w:pPr>
        <w:ind w:left="851"/>
        <w:contextualSpacing/>
        <w:rPr>
          <w:i/>
          <w:sz w:val="24"/>
          <w:szCs w:val="24"/>
        </w:rPr>
      </w:pPr>
      <w:r>
        <w:rPr>
          <w:i/>
          <w:sz w:val="24"/>
          <w:szCs w:val="24"/>
        </w:rPr>
        <w:t>Abstinenssyndrom:</w:t>
      </w:r>
    </w:p>
    <w:p w:rsidR="00D20660" w:rsidRPr="0042642B" w:rsidRDefault="00D20660" w:rsidP="00D20660">
      <w:pPr>
        <w:ind w:left="851"/>
        <w:contextualSpacing/>
        <w:rPr>
          <w:sz w:val="24"/>
          <w:szCs w:val="24"/>
        </w:rPr>
      </w:pPr>
      <w:r w:rsidRPr="0042642B">
        <w:rPr>
          <w:sz w:val="24"/>
          <w:szCs w:val="24"/>
        </w:rPr>
        <w:t xml:space="preserve">Gentagen administration med korte intervaller i længere perioder kan medføre udvikling af abstinenssyndrom efter behandlingsophør, hvilket kan manifestere sig i form af følgende bivirkninger: kvalme, opkastning, diarré, angst, kulderystelser, </w:t>
      </w:r>
      <w:proofErr w:type="spellStart"/>
      <w:r w:rsidRPr="0042642B">
        <w:rPr>
          <w:sz w:val="24"/>
          <w:szCs w:val="24"/>
        </w:rPr>
        <w:t>tremor</w:t>
      </w:r>
      <w:proofErr w:type="spellEnd"/>
      <w:r w:rsidRPr="0042642B">
        <w:rPr>
          <w:sz w:val="24"/>
          <w:szCs w:val="24"/>
        </w:rPr>
        <w:t xml:space="preserve"> og sveden. </w:t>
      </w:r>
    </w:p>
    <w:p w:rsidR="00D20660" w:rsidRPr="0042642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i/>
          <w:sz w:val="24"/>
          <w:szCs w:val="24"/>
        </w:rPr>
        <w:t>Respirationsdepression</w:t>
      </w:r>
      <w:r>
        <w:rPr>
          <w:i/>
          <w:sz w:val="24"/>
          <w:szCs w:val="24"/>
        </w:rPr>
        <w:t>:</w:t>
      </w:r>
    </w:p>
    <w:p w:rsidR="00D20660" w:rsidRPr="0094354B" w:rsidRDefault="00D20660" w:rsidP="00D20660">
      <w:pPr>
        <w:ind w:left="851"/>
        <w:contextualSpacing/>
        <w:rPr>
          <w:sz w:val="24"/>
          <w:szCs w:val="24"/>
        </w:rPr>
      </w:pPr>
      <w:r w:rsidRPr="0094354B">
        <w:rPr>
          <w:sz w:val="24"/>
          <w:szCs w:val="24"/>
        </w:rPr>
        <w:t>Som ved alle potente opioider ledsages dyb analgesi af betydelig respirationsdepression, som kan fortsætte ind i eller optræde igen i den tidlige postoperative periode. Efter store doser eller infusioner af fentanyl er det vigtigt at sørge for, at der er etableret passende spontan vejrtrækning, og at denne er stabil, før patienten sendes videre fra opvågningen.</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Der vil opstå signifikant respirationsdepression efter administration af fentanyl i doser over 200 </w:t>
      </w:r>
      <w:r>
        <w:rPr>
          <w:sz w:val="24"/>
          <w:szCs w:val="24"/>
        </w:rPr>
        <w:t>mikrogram</w:t>
      </w:r>
      <w:r w:rsidRPr="0094354B">
        <w:rPr>
          <w:sz w:val="24"/>
          <w:szCs w:val="24"/>
        </w:rPr>
        <w:t xml:space="preserve">. Denne virkning og andre farmakologiske virkninger af fentanyl kan modvirkes af særlige opioidantagonister (f.eks. </w:t>
      </w:r>
      <w:proofErr w:type="spellStart"/>
      <w:r w:rsidRPr="0094354B">
        <w:rPr>
          <w:sz w:val="24"/>
          <w:szCs w:val="24"/>
        </w:rPr>
        <w:t>naloxon</w:t>
      </w:r>
      <w:proofErr w:type="spellEnd"/>
      <w:r w:rsidRPr="0094354B">
        <w:rPr>
          <w:sz w:val="24"/>
          <w:szCs w:val="24"/>
        </w:rPr>
        <w:t>). Der kan være behov for yderligere antagonistdoser, da respirationsdepressionen kan vare længere end opioidantagonistens virkning.</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Genoplivningsudstyr og opioidantagonister bør være umiddelbart tilgængelige. </w:t>
      </w:r>
      <w:proofErr w:type="spellStart"/>
      <w:r w:rsidRPr="0094354B">
        <w:rPr>
          <w:sz w:val="24"/>
          <w:szCs w:val="24"/>
        </w:rPr>
        <w:t>Hyperventilering</w:t>
      </w:r>
      <w:proofErr w:type="spellEnd"/>
      <w:r w:rsidRPr="0094354B">
        <w:rPr>
          <w:sz w:val="24"/>
          <w:szCs w:val="24"/>
        </w:rPr>
        <w:t xml:space="preserve"> under anæstesi kan ændre patientens reaktion på CO</w:t>
      </w:r>
      <w:r w:rsidRPr="0094354B">
        <w:rPr>
          <w:sz w:val="24"/>
          <w:szCs w:val="24"/>
          <w:vertAlign w:val="subscript"/>
        </w:rPr>
        <w:t>2</w:t>
      </w:r>
      <w:r w:rsidRPr="0094354B">
        <w:rPr>
          <w:sz w:val="24"/>
          <w:szCs w:val="24"/>
        </w:rPr>
        <w:t xml:space="preserve">, hvilket kan påvirke vejrtrækningen efter operationen.  </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Administration under fødsel kan forårsage respirationsdepression hos det nyfødte barn.</w:t>
      </w:r>
    </w:p>
    <w:p w:rsidR="00D20660" w:rsidRPr="0094354B" w:rsidRDefault="00D20660" w:rsidP="00D20660">
      <w:pPr>
        <w:ind w:left="851"/>
        <w:contextualSpacing/>
        <w:rPr>
          <w:sz w:val="24"/>
          <w:szCs w:val="24"/>
        </w:rPr>
      </w:pPr>
    </w:p>
    <w:p w:rsidR="00D20660" w:rsidRPr="0094354B" w:rsidRDefault="00D20660" w:rsidP="00D20660">
      <w:pPr>
        <w:pStyle w:val="NormalWeb"/>
        <w:shd w:val="clear" w:color="auto" w:fill="FFFFFF"/>
        <w:spacing w:before="0" w:beforeAutospacing="0" w:after="0" w:afterAutospacing="0"/>
        <w:ind w:left="851"/>
        <w:contextualSpacing/>
        <w:rPr>
          <w:color w:val="000000"/>
        </w:rPr>
      </w:pPr>
      <w:r w:rsidRPr="0094354B">
        <w:rPr>
          <w:i/>
          <w:iCs/>
          <w:color w:val="000000"/>
        </w:rPr>
        <w:t>Risiko ved samtidig brug af sedativer som benzodiazepiner eller lignende lægemidler</w:t>
      </w:r>
    </w:p>
    <w:p w:rsidR="00D20660" w:rsidRPr="0094354B" w:rsidRDefault="00D20660" w:rsidP="00D20660">
      <w:pPr>
        <w:pStyle w:val="NormalWeb"/>
        <w:shd w:val="clear" w:color="auto" w:fill="FFFFFF"/>
        <w:spacing w:before="0" w:beforeAutospacing="0" w:after="0" w:afterAutospacing="0"/>
        <w:ind w:left="851"/>
        <w:contextualSpacing/>
        <w:rPr>
          <w:color w:val="000000"/>
        </w:rPr>
      </w:pPr>
      <w:r w:rsidRPr="0094354B">
        <w:rPr>
          <w:color w:val="000000"/>
        </w:rPr>
        <w:t>Samtidig brug af fentanyl og sedativer som benzodiazepiner eller lignende lægemidler kan medføre sedation, respirationsdepression og koma og kan være livstruende. Derfor bør samtidig ordination af lægemidlet og disse sedativer forbeholdes patienter, for hvem der ikke er andre behandlingsmuligheder. Hvis det besluttes at ordinere fentanyl samtidig med sedativer, bør der anvendes laveste effektive dosis, og varigheden for behandlingen bør være så kort som muligt.</w:t>
      </w:r>
    </w:p>
    <w:p w:rsidR="00D20660" w:rsidRPr="0094354B" w:rsidRDefault="00D20660" w:rsidP="00D20660">
      <w:pPr>
        <w:pStyle w:val="NormalWeb"/>
        <w:shd w:val="clear" w:color="auto" w:fill="FFFFFF"/>
        <w:spacing w:before="0" w:beforeAutospacing="0" w:after="0" w:afterAutospacing="0"/>
        <w:ind w:left="851"/>
        <w:contextualSpacing/>
        <w:rPr>
          <w:color w:val="000000"/>
        </w:rPr>
      </w:pPr>
      <w:r w:rsidRPr="0094354B">
        <w:rPr>
          <w:color w:val="000000"/>
        </w:rPr>
        <w:t>Patienterne skal følges tæt for at holde øje med tegn og symptomer på respirations</w:t>
      </w:r>
      <w:r>
        <w:rPr>
          <w:color w:val="000000"/>
        </w:rPr>
        <w:softHyphen/>
      </w:r>
      <w:r w:rsidRPr="0094354B">
        <w:rPr>
          <w:color w:val="000000"/>
        </w:rPr>
        <w:t xml:space="preserve">depression og sedation. I denne sammenhæng anbefales det på det kraftigste at informere patienter og eventuelle plejepersoner om, at de skal være opmærksom på disse symptomer (se </w:t>
      </w:r>
      <w:r>
        <w:rPr>
          <w:color w:val="000000"/>
        </w:rPr>
        <w:t>pkt.</w:t>
      </w:r>
      <w:r w:rsidRPr="0094354B">
        <w:rPr>
          <w:color w:val="000000"/>
        </w:rPr>
        <w:t xml:space="preserve"> 4.5).</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i/>
          <w:sz w:val="24"/>
          <w:szCs w:val="24"/>
        </w:rPr>
        <w:t>Hjertesygdom</w:t>
      </w:r>
    </w:p>
    <w:p w:rsidR="00D20660" w:rsidRPr="0094354B" w:rsidRDefault="00D20660" w:rsidP="00D20660">
      <w:pPr>
        <w:ind w:left="851"/>
        <w:contextualSpacing/>
        <w:rPr>
          <w:sz w:val="24"/>
          <w:szCs w:val="24"/>
        </w:rPr>
      </w:pPr>
      <w:r w:rsidRPr="0094354B">
        <w:rPr>
          <w:sz w:val="24"/>
          <w:szCs w:val="24"/>
        </w:rPr>
        <w:t xml:space="preserve">Bradykardi og muligvis </w:t>
      </w:r>
      <w:proofErr w:type="spellStart"/>
      <w:r w:rsidRPr="0094354B">
        <w:rPr>
          <w:sz w:val="24"/>
          <w:szCs w:val="24"/>
        </w:rPr>
        <w:t>asystoli</w:t>
      </w:r>
      <w:proofErr w:type="spellEnd"/>
      <w:r w:rsidRPr="0094354B">
        <w:rPr>
          <w:sz w:val="24"/>
          <w:szCs w:val="24"/>
        </w:rPr>
        <w:t xml:space="preserve"> kan forekomme, hvis patienten har modtaget en utilstrækkelig mængde </w:t>
      </w:r>
      <w:proofErr w:type="spellStart"/>
      <w:r w:rsidRPr="0094354B">
        <w:rPr>
          <w:sz w:val="24"/>
          <w:szCs w:val="24"/>
        </w:rPr>
        <w:t>antikolinergika</w:t>
      </w:r>
      <w:proofErr w:type="spellEnd"/>
      <w:r w:rsidRPr="0094354B">
        <w:rPr>
          <w:sz w:val="24"/>
          <w:szCs w:val="24"/>
        </w:rPr>
        <w:t>, eller hvis fentanyl kombineres med ikke-</w:t>
      </w:r>
      <w:proofErr w:type="spellStart"/>
      <w:r w:rsidRPr="0094354B">
        <w:rPr>
          <w:sz w:val="24"/>
          <w:szCs w:val="24"/>
        </w:rPr>
        <w:t>vagolytisk</w:t>
      </w:r>
      <w:proofErr w:type="spellEnd"/>
      <w:r w:rsidRPr="0094354B">
        <w:rPr>
          <w:sz w:val="24"/>
          <w:szCs w:val="24"/>
        </w:rPr>
        <w:t xml:space="preserve"> muskelafslappende middel. Bradykardi kan modvirkes med atropin.</w:t>
      </w:r>
    </w:p>
    <w:p w:rsidR="00D20660" w:rsidRPr="0094354B" w:rsidRDefault="00D20660" w:rsidP="00D20660">
      <w:pPr>
        <w:ind w:left="851"/>
        <w:contextualSpacing/>
        <w:rPr>
          <w:sz w:val="24"/>
          <w:szCs w:val="24"/>
        </w:rPr>
      </w:pPr>
    </w:p>
    <w:p w:rsidR="00D20660" w:rsidRPr="0094354B" w:rsidRDefault="00D20660" w:rsidP="00D20660">
      <w:pPr>
        <w:shd w:val="clear" w:color="auto" w:fill="FFFFFF"/>
        <w:ind w:left="851"/>
        <w:rPr>
          <w:i/>
          <w:spacing w:val="-1"/>
          <w:sz w:val="24"/>
          <w:szCs w:val="24"/>
        </w:rPr>
      </w:pPr>
      <w:r w:rsidRPr="0094354B">
        <w:rPr>
          <w:i/>
          <w:sz w:val="24"/>
          <w:szCs w:val="24"/>
        </w:rPr>
        <w:t xml:space="preserve">Muskelstivhed </w:t>
      </w:r>
    </w:p>
    <w:p w:rsidR="00D20660" w:rsidRPr="0094354B" w:rsidRDefault="00D20660" w:rsidP="00D20660">
      <w:pPr>
        <w:ind w:left="851"/>
        <w:contextualSpacing/>
        <w:rPr>
          <w:sz w:val="24"/>
          <w:szCs w:val="24"/>
        </w:rPr>
      </w:pPr>
      <w:r w:rsidRPr="0094354B">
        <w:rPr>
          <w:sz w:val="24"/>
          <w:szCs w:val="24"/>
        </w:rPr>
        <w:t>Der er risiko for muskelstivhed (morfinlignende virkning).</w:t>
      </w:r>
    </w:p>
    <w:p w:rsidR="00D20660" w:rsidRPr="0094354B" w:rsidRDefault="00D20660" w:rsidP="00D20660">
      <w:pPr>
        <w:ind w:left="851"/>
        <w:contextualSpacing/>
        <w:rPr>
          <w:sz w:val="24"/>
          <w:szCs w:val="24"/>
        </w:rPr>
      </w:pPr>
      <w:r w:rsidRPr="0094354B">
        <w:rPr>
          <w:sz w:val="24"/>
          <w:szCs w:val="24"/>
        </w:rPr>
        <w:t xml:space="preserve">Stivhed, som også kan omfatte </w:t>
      </w:r>
      <w:proofErr w:type="spellStart"/>
      <w:r w:rsidRPr="0094354B">
        <w:rPr>
          <w:sz w:val="24"/>
          <w:szCs w:val="24"/>
        </w:rPr>
        <w:t>thoraxmuskler</w:t>
      </w:r>
      <w:proofErr w:type="spellEnd"/>
      <w:r w:rsidRPr="0094354B">
        <w:rPr>
          <w:sz w:val="24"/>
          <w:szCs w:val="24"/>
        </w:rPr>
        <w:t>, kan undgås på følgende måde:</w:t>
      </w:r>
    </w:p>
    <w:p w:rsidR="00D20660" w:rsidRPr="0094354B" w:rsidRDefault="00D20660" w:rsidP="00D20660">
      <w:pPr>
        <w:ind w:left="851" w:hanging="851"/>
        <w:contextualSpacing/>
        <w:rPr>
          <w:sz w:val="24"/>
          <w:szCs w:val="24"/>
        </w:rPr>
      </w:pPr>
    </w:p>
    <w:p w:rsidR="00D20660" w:rsidRPr="0094354B" w:rsidRDefault="00D20660" w:rsidP="00D20660">
      <w:pPr>
        <w:ind w:left="1276" w:hanging="425"/>
        <w:contextualSpacing/>
        <w:rPr>
          <w:sz w:val="24"/>
          <w:szCs w:val="24"/>
        </w:rPr>
      </w:pPr>
      <w:r w:rsidRPr="0094354B">
        <w:rPr>
          <w:sz w:val="24"/>
          <w:szCs w:val="24"/>
        </w:rPr>
        <w:t>-</w:t>
      </w:r>
      <w:r w:rsidRPr="0094354B">
        <w:rPr>
          <w:sz w:val="24"/>
          <w:szCs w:val="24"/>
        </w:rPr>
        <w:tab/>
        <w:t>langsom intravenøs injektion (som regel tilstrækkelig til lavere doser)</w:t>
      </w:r>
    </w:p>
    <w:p w:rsidR="00D20660" w:rsidRPr="0094354B" w:rsidRDefault="00D20660" w:rsidP="00D20660">
      <w:pPr>
        <w:ind w:left="1276" w:hanging="425"/>
        <w:contextualSpacing/>
        <w:rPr>
          <w:sz w:val="24"/>
          <w:szCs w:val="24"/>
        </w:rPr>
      </w:pPr>
      <w:r w:rsidRPr="0094354B">
        <w:rPr>
          <w:sz w:val="24"/>
          <w:szCs w:val="24"/>
        </w:rPr>
        <w:t>-</w:t>
      </w:r>
      <w:r w:rsidRPr="0094354B">
        <w:rPr>
          <w:sz w:val="24"/>
          <w:szCs w:val="24"/>
        </w:rPr>
        <w:tab/>
        <w:t>præmedicinering med benzodiazepiner</w:t>
      </w:r>
    </w:p>
    <w:p w:rsidR="00D20660" w:rsidRPr="0094354B" w:rsidRDefault="00D20660" w:rsidP="00D20660">
      <w:pPr>
        <w:ind w:left="1276" w:hanging="425"/>
        <w:contextualSpacing/>
        <w:rPr>
          <w:sz w:val="24"/>
          <w:szCs w:val="24"/>
        </w:rPr>
      </w:pPr>
      <w:r w:rsidRPr="0094354B">
        <w:rPr>
          <w:sz w:val="24"/>
          <w:szCs w:val="24"/>
        </w:rPr>
        <w:t>-</w:t>
      </w:r>
      <w:r w:rsidRPr="0094354B">
        <w:rPr>
          <w:sz w:val="24"/>
          <w:szCs w:val="24"/>
        </w:rPr>
        <w:tab/>
        <w:t>brug af muskelafslappende midler.</w:t>
      </w:r>
    </w:p>
    <w:p w:rsidR="00D20660" w:rsidRPr="0094354B" w:rsidRDefault="00D20660" w:rsidP="00D20660">
      <w:pPr>
        <w:ind w:left="851" w:hanging="851"/>
        <w:contextualSpacing/>
        <w:rPr>
          <w:sz w:val="24"/>
          <w:szCs w:val="24"/>
        </w:rPr>
      </w:pPr>
    </w:p>
    <w:p w:rsidR="00D20660" w:rsidRPr="0094354B" w:rsidRDefault="00D20660" w:rsidP="00D20660">
      <w:pPr>
        <w:ind w:left="851"/>
        <w:contextualSpacing/>
        <w:rPr>
          <w:sz w:val="24"/>
          <w:szCs w:val="24"/>
        </w:rPr>
      </w:pPr>
      <w:r w:rsidRPr="0094354B">
        <w:rPr>
          <w:sz w:val="24"/>
          <w:szCs w:val="24"/>
        </w:rPr>
        <w:t>Der er risiko for ikke-epileptiske (</w:t>
      </w:r>
      <w:proofErr w:type="spellStart"/>
      <w:r w:rsidRPr="0094354B">
        <w:rPr>
          <w:sz w:val="24"/>
          <w:szCs w:val="24"/>
        </w:rPr>
        <w:t>myo</w:t>
      </w:r>
      <w:proofErr w:type="spellEnd"/>
      <w:r w:rsidRPr="0094354B">
        <w:rPr>
          <w:sz w:val="24"/>
          <w:szCs w:val="24"/>
        </w:rPr>
        <w:t>)klone bevægelser</w:t>
      </w:r>
      <w:r>
        <w:rPr>
          <w:sz w:val="24"/>
          <w:szCs w:val="24"/>
        </w:rPr>
        <w:t>.</w:t>
      </w:r>
    </w:p>
    <w:p w:rsidR="00D20660" w:rsidRPr="0094354B" w:rsidRDefault="00D20660" w:rsidP="00D20660">
      <w:pPr>
        <w:ind w:left="851" w:hanging="851"/>
        <w:contextualSpacing/>
        <w:rPr>
          <w:sz w:val="24"/>
          <w:szCs w:val="24"/>
        </w:rPr>
      </w:pPr>
    </w:p>
    <w:p w:rsidR="00D20660" w:rsidRPr="0094354B" w:rsidRDefault="00D20660" w:rsidP="00D20660">
      <w:pPr>
        <w:shd w:val="clear" w:color="auto" w:fill="FFFFFF"/>
        <w:ind w:left="851"/>
        <w:rPr>
          <w:i/>
          <w:spacing w:val="-1"/>
          <w:sz w:val="24"/>
          <w:szCs w:val="24"/>
        </w:rPr>
      </w:pPr>
      <w:r w:rsidRPr="0094354B">
        <w:rPr>
          <w:i/>
          <w:sz w:val="24"/>
          <w:szCs w:val="24"/>
        </w:rPr>
        <w:t>Særlige doseringsbetingelser</w:t>
      </w:r>
      <w:r>
        <w:rPr>
          <w:i/>
          <w:sz w:val="24"/>
          <w:szCs w:val="24"/>
        </w:rPr>
        <w:t>:</w:t>
      </w:r>
    </w:p>
    <w:p w:rsidR="00D20660" w:rsidRPr="0094354B" w:rsidRDefault="00D20660" w:rsidP="00D20660">
      <w:pPr>
        <w:ind w:left="851"/>
        <w:contextualSpacing/>
        <w:rPr>
          <w:sz w:val="24"/>
          <w:szCs w:val="24"/>
        </w:rPr>
      </w:pPr>
      <w:r w:rsidRPr="0094354B">
        <w:rPr>
          <w:sz w:val="24"/>
          <w:szCs w:val="24"/>
        </w:rPr>
        <w:t xml:space="preserve">Det bør undgås at anvende hurtige </w:t>
      </w:r>
      <w:proofErr w:type="spellStart"/>
      <w:r w:rsidRPr="0094354B">
        <w:rPr>
          <w:sz w:val="24"/>
          <w:szCs w:val="24"/>
        </w:rPr>
        <w:t>bolusinjektioner</w:t>
      </w:r>
      <w:proofErr w:type="spellEnd"/>
      <w:r w:rsidRPr="0094354B">
        <w:rPr>
          <w:sz w:val="24"/>
          <w:szCs w:val="24"/>
        </w:rPr>
        <w:t xml:space="preserve"> af opioider til patienter med kompromitteret intracerebral </w:t>
      </w:r>
      <w:proofErr w:type="spellStart"/>
      <w:r w:rsidRPr="0094354B">
        <w:rPr>
          <w:sz w:val="24"/>
          <w:szCs w:val="24"/>
        </w:rPr>
        <w:t>komplians</w:t>
      </w:r>
      <w:proofErr w:type="spellEnd"/>
      <w:r w:rsidRPr="0094354B">
        <w:rPr>
          <w:sz w:val="24"/>
          <w:szCs w:val="24"/>
        </w:rPr>
        <w:t>. Hos sådanne patienter har det forbigående fald i middelarterietrykket lejlighedsvis</w:t>
      </w:r>
      <w:r>
        <w:rPr>
          <w:sz w:val="24"/>
          <w:szCs w:val="24"/>
        </w:rPr>
        <w:t xml:space="preserve"> </w:t>
      </w:r>
      <w:r w:rsidRPr="0094354B">
        <w:rPr>
          <w:sz w:val="24"/>
          <w:szCs w:val="24"/>
        </w:rPr>
        <w:t xml:space="preserve">været ledsaget af forbigående reduktion af det cerebrale </w:t>
      </w:r>
      <w:proofErr w:type="spellStart"/>
      <w:r w:rsidRPr="0094354B">
        <w:rPr>
          <w:sz w:val="24"/>
          <w:szCs w:val="24"/>
        </w:rPr>
        <w:t>perfusionstryk</w:t>
      </w:r>
      <w:proofErr w:type="spellEnd"/>
      <w:r w:rsidRPr="0094354B">
        <w:rPr>
          <w:sz w:val="24"/>
          <w:szCs w:val="24"/>
        </w:rPr>
        <w:t>.</w:t>
      </w:r>
    </w:p>
    <w:p w:rsidR="00D20660" w:rsidRPr="0094354B" w:rsidRDefault="00D20660" w:rsidP="00D20660">
      <w:pPr>
        <w:autoSpaceDE w:val="0"/>
        <w:autoSpaceDN w:val="0"/>
        <w:adjustRightInd w:val="0"/>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Det anbefales at reducere doseringen til ældre og svækkede patienter.</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Ved ukontrolleret </w:t>
      </w:r>
      <w:proofErr w:type="spellStart"/>
      <w:r w:rsidRPr="0094354B">
        <w:rPr>
          <w:sz w:val="24"/>
          <w:szCs w:val="24"/>
        </w:rPr>
        <w:t>hypothyreoidisme</w:t>
      </w:r>
      <w:proofErr w:type="spellEnd"/>
      <w:r w:rsidRPr="0094354B">
        <w:rPr>
          <w:sz w:val="24"/>
          <w:szCs w:val="24"/>
        </w:rPr>
        <w:t>, lungesygdom, nedsat åndedrætskapacitet, alkoholisme og nedsat lever- eller nyrefunktion bør dosis titreres omhyggeligt, og det kan være nødvendigt med længerevarende postoperativ monitorering.</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Patienter på langvarig opioidbehandling eller med en historik med misbrug af opioider kan have behov for højere doser.</w:t>
      </w:r>
    </w:p>
    <w:p w:rsidR="00D20660" w:rsidRPr="0094354B" w:rsidRDefault="00D20660" w:rsidP="00D20660">
      <w:pPr>
        <w:ind w:left="851"/>
        <w:contextualSpacing/>
        <w:rPr>
          <w:sz w:val="24"/>
          <w:szCs w:val="24"/>
        </w:rPr>
      </w:pPr>
    </w:p>
    <w:p w:rsidR="00D20660" w:rsidRPr="0094354B" w:rsidRDefault="00D20660" w:rsidP="00D20660">
      <w:pPr>
        <w:autoSpaceDE w:val="0"/>
        <w:autoSpaceDN w:val="0"/>
        <w:adjustRightInd w:val="0"/>
        <w:ind w:left="851"/>
        <w:rPr>
          <w:sz w:val="24"/>
          <w:szCs w:val="24"/>
        </w:rPr>
      </w:pPr>
      <w:proofErr w:type="spellStart"/>
      <w:r w:rsidRPr="0094354B">
        <w:rPr>
          <w:i/>
          <w:sz w:val="24"/>
          <w:szCs w:val="24"/>
        </w:rPr>
        <w:t>Myasthenia</w:t>
      </w:r>
      <w:proofErr w:type="spellEnd"/>
      <w:r w:rsidRPr="0094354B">
        <w:rPr>
          <w:i/>
          <w:sz w:val="24"/>
          <w:szCs w:val="24"/>
        </w:rPr>
        <w:t xml:space="preserve"> </w:t>
      </w:r>
      <w:proofErr w:type="spellStart"/>
      <w:r w:rsidRPr="0094354B">
        <w:rPr>
          <w:i/>
          <w:sz w:val="24"/>
          <w:szCs w:val="24"/>
        </w:rPr>
        <w:t>gravis</w:t>
      </w:r>
      <w:proofErr w:type="spellEnd"/>
      <w:r>
        <w:rPr>
          <w:i/>
          <w:sz w:val="24"/>
          <w:szCs w:val="24"/>
        </w:rPr>
        <w:t>:</w:t>
      </w:r>
    </w:p>
    <w:p w:rsidR="00D20660" w:rsidRPr="0094354B" w:rsidRDefault="00D20660" w:rsidP="00D20660">
      <w:pPr>
        <w:autoSpaceDE w:val="0"/>
        <w:autoSpaceDN w:val="0"/>
        <w:adjustRightInd w:val="0"/>
        <w:ind w:left="851"/>
        <w:contextualSpacing/>
        <w:rPr>
          <w:spacing w:val="-1"/>
          <w:sz w:val="24"/>
          <w:szCs w:val="24"/>
        </w:rPr>
      </w:pPr>
      <w:r w:rsidRPr="0094354B">
        <w:rPr>
          <w:sz w:val="24"/>
          <w:szCs w:val="24"/>
        </w:rPr>
        <w:t xml:space="preserve">Hos patienter med </w:t>
      </w:r>
      <w:proofErr w:type="spellStart"/>
      <w:r w:rsidRPr="0094354B">
        <w:rPr>
          <w:sz w:val="24"/>
          <w:szCs w:val="24"/>
        </w:rPr>
        <w:t>myasthenia</w:t>
      </w:r>
      <w:proofErr w:type="spellEnd"/>
      <w:r w:rsidRPr="0094354B">
        <w:rPr>
          <w:sz w:val="24"/>
          <w:szCs w:val="24"/>
        </w:rPr>
        <w:t xml:space="preserve"> </w:t>
      </w:r>
      <w:proofErr w:type="spellStart"/>
      <w:r w:rsidRPr="0094354B">
        <w:rPr>
          <w:sz w:val="24"/>
          <w:szCs w:val="24"/>
        </w:rPr>
        <w:t>gravis</w:t>
      </w:r>
      <w:proofErr w:type="spellEnd"/>
      <w:r w:rsidRPr="0094354B">
        <w:rPr>
          <w:sz w:val="24"/>
          <w:szCs w:val="24"/>
        </w:rPr>
        <w:t xml:space="preserve"> skal der udvises særlig forsigtighed ved brug af visse </w:t>
      </w:r>
      <w:proofErr w:type="spellStart"/>
      <w:r w:rsidRPr="0094354B">
        <w:rPr>
          <w:sz w:val="24"/>
          <w:szCs w:val="24"/>
        </w:rPr>
        <w:t>antikolinergika</w:t>
      </w:r>
      <w:proofErr w:type="spellEnd"/>
      <w:r w:rsidRPr="0094354B">
        <w:rPr>
          <w:sz w:val="24"/>
          <w:szCs w:val="24"/>
        </w:rPr>
        <w:t xml:space="preserve"> og </w:t>
      </w:r>
      <w:proofErr w:type="spellStart"/>
      <w:r w:rsidRPr="0094354B">
        <w:rPr>
          <w:sz w:val="24"/>
          <w:szCs w:val="24"/>
        </w:rPr>
        <w:t>neuromuskulært</w:t>
      </w:r>
      <w:proofErr w:type="spellEnd"/>
      <w:r w:rsidRPr="0094354B">
        <w:rPr>
          <w:sz w:val="24"/>
          <w:szCs w:val="24"/>
        </w:rPr>
        <w:t xml:space="preserve"> blokerende midler før og under administration af generel anæstesi, som omfatter administration af intravenøs fentanyl.</w:t>
      </w:r>
    </w:p>
    <w:p w:rsidR="00D20660" w:rsidRPr="0094354B" w:rsidRDefault="00D20660" w:rsidP="00D20660">
      <w:pPr>
        <w:autoSpaceDE w:val="0"/>
        <w:autoSpaceDN w:val="0"/>
        <w:adjustRightInd w:val="0"/>
        <w:ind w:left="851"/>
        <w:contextualSpacing/>
        <w:rPr>
          <w:spacing w:val="-1"/>
          <w:sz w:val="24"/>
          <w:szCs w:val="24"/>
        </w:rPr>
      </w:pPr>
    </w:p>
    <w:p w:rsidR="00D20660" w:rsidRPr="0094354B" w:rsidRDefault="00D20660" w:rsidP="00D20660">
      <w:pPr>
        <w:ind w:left="851"/>
        <w:contextualSpacing/>
        <w:rPr>
          <w:i/>
          <w:sz w:val="24"/>
          <w:szCs w:val="24"/>
        </w:rPr>
      </w:pPr>
      <w:r w:rsidRPr="0094354B">
        <w:rPr>
          <w:i/>
          <w:sz w:val="24"/>
          <w:szCs w:val="24"/>
        </w:rPr>
        <w:t>Advarsler:</w:t>
      </w:r>
    </w:p>
    <w:p w:rsidR="00D20660" w:rsidRPr="0094354B" w:rsidRDefault="00D20660" w:rsidP="00D20660">
      <w:pPr>
        <w:ind w:left="851"/>
        <w:contextualSpacing/>
        <w:rPr>
          <w:sz w:val="24"/>
          <w:szCs w:val="24"/>
        </w:rPr>
      </w:pPr>
      <w:r w:rsidRPr="0094354B">
        <w:rPr>
          <w:sz w:val="24"/>
          <w:szCs w:val="24"/>
        </w:rPr>
        <w:t>Fentanyl bør kun administreres i et miljø, hvor luftvejene kan kontrolleres og kun af fagfolk, som kan kontrollere luftvejene.</w:t>
      </w:r>
    </w:p>
    <w:p w:rsidR="00D20660" w:rsidRPr="0094354B" w:rsidRDefault="00D20660" w:rsidP="00D20660">
      <w:pPr>
        <w:ind w:left="851"/>
        <w:contextualSpacing/>
        <w:rPr>
          <w:sz w:val="24"/>
          <w:szCs w:val="24"/>
        </w:rPr>
      </w:pPr>
    </w:p>
    <w:p w:rsidR="00D20660" w:rsidRPr="0094354B" w:rsidRDefault="00D20660" w:rsidP="00D20660">
      <w:pPr>
        <w:pStyle w:val="NormalWeb"/>
        <w:shd w:val="clear" w:color="auto" w:fill="FFFFFF"/>
        <w:spacing w:before="0" w:beforeAutospacing="0" w:after="0" w:afterAutospacing="0"/>
        <w:ind w:left="851"/>
        <w:contextualSpacing/>
        <w:rPr>
          <w:i/>
        </w:rPr>
      </w:pPr>
      <w:r w:rsidRPr="0094354B">
        <w:rPr>
          <w:i/>
        </w:rPr>
        <w:t xml:space="preserve">Interaktion med </w:t>
      </w:r>
      <w:proofErr w:type="spellStart"/>
      <w:r w:rsidRPr="0094354B">
        <w:rPr>
          <w:i/>
        </w:rPr>
        <w:t>neuroleptika</w:t>
      </w:r>
      <w:proofErr w:type="spellEnd"/>
      <w:r w:rsidRPr="0094354B">
        <w:rPr>
          <w:i/>
        </w:rPr>
        <w:t>:</w:t>
      </w:r>
    </w:p>
    <w:p w:rsidR="00D20660" w:rsidRPr="0094354B" w:rsidRDefault="00D20660" w:rsidP="00D20660">
      <w:pPr>
        <w:pStyle w:val="NormalWeb"/>
        <w:shd w:val="clear" w:color="auto" w:fill="FFFFFF"/>
        <w:spacing w:before="0" w:beforeAutospacing="0" w:after="0" w:afterAutospacing="0"/>
        <w:ind w:left="851"/>
        <w:contextualSpacing/>
      </w:pPr>
      <w:r w:rsidRPr="0094354B">
        <w:t xml:space="preserve">Hvis fentanyl administreres med et </w:t>
      </w:r>
      <w:proofErr w:type="spellStart"/>
      <w:r w:rsidRPr="0094354B">
        <w:t>neuroleptikum</w:t>
      </w:r>
      <w:proofErr w:type="spellEnd"/>
      <w:r w:rsidRPr="0094354B">
        <w:t xml:space="preserve">, skal brugeren være bekendt med hvert enkelt lægemiddels særlige egenskaber, især forskellen på varigheden af lægemidlernes virkning. Anvendelse af en sådan kombination medfører øget risiko for hypotension. </w:t>
      </w:r>
      <w:proofErr w:type="spellStart"/>
      <w:r w:rsidRPr="0094354B">
        <w:t>Neuroleptika</w:t>
      </w:r>
      <w:proofErr w:type="spellEnd"/>
      <w:r w:rsidRPr="0094354B">
        <w:t xml:space="preserve"> kan medføre ekstrapyramidale symptomer, som kan kontrolleres med lægemidler til </w:t>
      </w:r>
      <w:proofErr w:type="spellStart"/>
      <w:r w:rsidRPr="0094354B">
        <w:t>modvirkning</w:t>
      </w:r>
      <w:proofErr w:type="spellEnd"/>
      <w:r w:rsidRPr="0094354B">
        <w:t xml:space="preserve"> af Parkinsons sygdom.</w:t>
      </w:r>
    </w:p>
    <w:p w:rsidR="00D20660" w:rsidRDefault="00D20660" w:rsidP="00D20660">
      <w:pPr>
        <w:pStyle w:val="NormalWeb"/>
        <w:shd w:val="clear" w:color="auto" w:fill="FFFFFF"/>
        <w:spacing w:before="0" w:beforeAutospacing="0" w:after="0" w:afterAutospacing="0"/>
        <w:ind w:left="851"/>
        <w:contextualSpacing/>
        <w:rPr>
          <w:i/>
        </w:rPr>
      </w:pPr>
    </w:p>
    <w:p w:rsidR="00D20660" w:rsidRPr="0094354B" w:rsidRDefault="00D20660" w:rsidP="00D20660">
      <w:pPr>
        <w:pStyle w:val="NormalWeb"/>
        <w:shd w:val="clear" w:color="auto" w:fill="FFFFFF"/>
        <w:spacing w:before="0" w:beforeAutospacing="0" w:after="0" w:afterAutospacing="0"/>
        <w:ind w:left="851"/>
        <w:contextualSpacing/>
        <w:rPr>
          <w:i/>
        </w:rPr>
      </w:pPr>
      <w:r w:rsidRPr="0094354B">
        <w:rPr>
          <w:i/>
        </w:rPr>
        <w:t>Galdeblære:</w:t>
      </w:r>
    </w:p>
    <w:p w:rsidR="00D20660" w:rsidRPr="0094354B" w:rsidRDefault="00D20660" w:rsidP="00D20660">
      <w:pPr>
        <w:pStyle w:val="NormalWeb"/>
        <w:shd w:val="clear" w:color="auto" w:fill="FFFFFF"/>
        <w:spacing w:before="0" w:beforeAutospacing="0" w:after="0" w:afterAutospacing="0"/>
        <w:ind w:left="851"/>
        <w:contextualSpacing/>
      </w:pPr>
      <w:r w:rsidRPr="0094354B">
        <w:t xml:space="preserve">Som andre opioider kan administration af fentanyl på grund af </w:t>
      </w:r>
      <w:proofErr w:type="spellStart"/>
      <w:r w:rsidRPr="0094354B">
        <w:t>antikolinergisk</w:t>
      </w:r>
      <w:proofErr w:type="spellEnd"/>
      <w:r w:rsidRPr="0094354B">
        <w:t xml:space="preserve"> virkning føre til øget tryk i galdeblæren, og i enkelte tilfælde kan der observeres spasmer i </w:t>
      </w:r>
      <w:proofErr w:type="spellStart"/>
      <w:r w:rsidRPr="0094354B">
        <w:t>sphincter</w:t>
      </w:r>
      <w:proofErr w:type="spellEnd"/>
      <w:r w:rsidRPr="0094354B">
        <w:t xml:space="preserve"> </w:t>
      </w:r>
      <w:proofErr w:type="spellStart"/>
      <w:r w:rsidRPr="0094354B">
        <w:t>Oddi</w:t>
      </w:r>
      <w:proofErr w:type="spellEnd"/>
      <w:r w:rsidRPr="0094354B">
        <w:t>.</w:t>
      </w:r>
    </w:p>
    <w:p w:rsidR="00D20660" w:rsidRDefault="00D20660" w:rsidP="00D20660">
      <w:pPr>
        <w:pStyle w:val="NormalWeb"/>
        <w:shd w:val="clear" w:color="auto" w:fill="FFFFFF"/>
        <w:spacing w:before="0" w:beforeAutospacing="0" w:after="0" w:afterAutospacing="0"/>
        <w:ind w:left="851"/>
        <w:contextualSpacing/>
        <w:rPr>
          <w:i/>
        </w:rPr>
      </w:pPr>
    </w:p>
    <w:p w:rsidR="00D20660" w:rsidRPr="0094354B" w:rsidRDefault="00D20660" w:rsidP="00D20660">
      <w:pPr>
        <w:pStyle w:val="NormalWeb"/>
        <w:shd w:val="clear" w:color="auto" w:fill="FFFFFF"/>
        <w:spacing w:before="0" w:beforeAutospacing="0" w:after="0" w:afterAutospacing="0"/>
        <w:ind w:left="851"/>
        <w:contextualSpacing/>
        <w:rPr>
          <w:i/>
        </w:rPr>
      </w:pPr>
      <w:r w:rsidRPr="0094354B">
        <w:rPr>
          <w:i/>
        </w:rPr>
        <w:t>Serotoninsyndrom:</w:t>
      </w:r>
    </w:p>
    <w:p w:rsidR="00D20660" w:rsidRPr="0094354B" w:rsidRDefault="00D20660" w:rsidP="00D20660">
      <w:pPr>
        <w:pStyle w:val="NormalWeb"/>
        <w:shd w:val="clear" w:color="auto" w:fill="FFFFFF"/>
        <w:spacing w:before="0" w:beforeAutospacing="0" w:after="0" w:afterAutospacing="0"/>
        <w:ind w:left="851"/>
        <w:contextualSpacing/>
      </w:pPr>
      <w:r w:rsidRPr="0094354B">
        <w:t>Der rådes til forsigtighed, når fentanyl skal administreres samtidig med lægemidler, der påvirker de</w:t>
      </w:r>
      <w:r>
        <w:t xml:space="preserve"> </w:t>
      </w:r>
      <w:proofErr w:type="spellStart"/>
      <w:r w:rsidRPr="0094354B">
        <w:t>serotonerge</w:t>
      </w:r>
      <w:proofErr w:type="spellEnd"/>
      <w:r w:rsidRPr="0094354B">
        <w:t xml:space="preserve"> neurotransmittersystemer.</w:t>
      </w:r>
    </w:p>
    <w:p w:rsidR="00D20660" w:rsidRPr="0094354B" w:rsidRDefault="00D20660" w:rsidP="00D20660">
      <w:pPr>
        <w:pStyle w:val="NormalWeb"/>
        <w:shd w:val="clear" w:color="auto" w:fill="FFFFFF"/>
        <w:spacing w:before="0" w:beforeAutospacing="0" w:after="0" w:afterAutospacing="0"/>
        <w:ind w:left="851"/>
        <w:contextualSpacing/>
      </w:pPr>
      <w:r w:rsidRPr="0094354B">
        <w:t xml:space="preserve">Der er risiko for udvikling af det potentielt livstruende serotoninsyndrom ved samtidig brug af </w:t>
      </w:r>
      <w:proofErr w:type="spellStart"/>
      <w:r w:rsidRPr="0094354B">
        <w:t>serotonerge</w:t>
      </w:r>
      <w:proofErr w:type="spellEnd"/>
      <w:r w:rsidRPr="0094354B">
        <w:t xml:space="preserve"> lægemidler som selektive </w:t>
      </w:r>
      <w:proofErr w:type="spellStart"/>
      <w:r w:rsidRPr="0094354B">
        <w:t>serotoningenoptagshæmmere</w:t>
      </w:r>
      <w:proofErr w:type="spellEnd"/>
      <w:r w:rsidRPr="0094354B">
        <w:t xml:space="preserve"> (SSRI-præparater) og serotonin- og </w:t>
      </w:r>
      <w:proofErr w:type="spellStart"/>
      <w:r w:rsidRPr="0094354B">
        <w:t>noradrenalingenoptagshæmmere</w:t>
      </w:r>
      <w:proofErr w:type="spellEnd"/>
      <w:r w:rsidRPr="0094354B">
        <w:t xml:space="preserve"> (SNRI-præparater) og med lægemidler, som hæmmer serotoninmetabolismen (herunder </w:t>
      </w:r>
      <w:proofErr w:type="spellStart"/>
      <w:r w:rsidRPr="0094354B">
        <w:t>monoaminoxidasehæmmere</w:t>
      </w:r>
      <w:proofErr w:type="spellEnd"/>
      <w:r w:rsidRPr="0094354B">
        <w:t xml:space="preserve"> (MAO-</w:t>
      </w:r>
      <w:proofErr w:type="spellStart"/>
      <w:r w:rsidRPr="0094354B">
        <w:t>hæmmere</w:t>
      </w:r>
      <w:proofErr w:type="spellEnd"/>
      <w:r w:rsidRPr="0094354B">
        <w:t>). Dette kan forekomme ved de anbefalede doser.</w:t>
      </w:r>
    </w:p>
    <w:p w:rsidR="00D20660" w:rsidRPr="0094354B" w:rsidRDefault="00D20660" w:rsidP="00D20660">
      <w:pPr>
        <w:pStyle w:val="NormalWeb"/>
        <w:shd w:val="clear" w:color="auto" w:fill="FFFFFF"/>
        <w:spacing w:before="0" w:beforeAutospacing="0" w:after="0" w:afterAutospacing="0"/>
        <w:ind w:left="851"/>
        <w:contextualSpacing/>
      </w:pPr>
      <w:r w:rsidRPr="0094354B">
        <w:t xml:space="preserve">Serotoninsyndrom kan omfatte ændringer i mental status (f.eks. agitation, hallucinationer, koma), autonom ustabilitet (f.eks. </w:t>
      </w:r>
      <w:proofErr w:type="spellStart"/>
      <w:r w:rsidRPr="0094354B">
        <w:t>takykardi</w:t>
      </w:r>
      <w:proofErr w:type="spellEnd"/>
      <w:r w:rsidRPr="0094354B">
        <w:t xml:space="preserve">, labilt blodtryk, </w:t>
      </w:r>
      <w:proofErr w:type="spellStart"/>
      <w:r w:rsidRPr="0094354B">
        <w:t>hypertermi</w:t>
      </w:r>
      <w:proofErr w:type="spellEnd"/>
      <w:r w:rsidRPr="0094354B">
        <w:t xml:space="preserve">), </w:t>
      </w:r>
      <w:proofErr w:type="spellStart"/>
      <w:r w:rsidRPr="0094354B">
        <w:t>neuromuskulære</w:t>
      </w:r>
      <w:proofErr w:type="spellEnd"/>
      <w:r w:rsidRPr="0094354B">
        <w:t xml:space="preserve"> anomalier (f.eks. </w:t>
      </w:r>
      <w:proofErr w:type="spellStart"/>
      <w:r w:rsidRPr="0094354B">
        <w:t>hyperrefleksi</w:t>
      </w:r>
      <w:proofErr w:type="spellEnd"/>
      <w:r w:rsidRPr="0094354B">
        <w:t>, manglende koordination, rigiditet) og/eller mave-tarm-symptomer (f.eks. kvalme, opkastning, diarré).</w:t>
      </w:r>
    </w:p>
    <w:p w:rsidR="00D20660" w:rsidRPr="0094354B" w:rsidRDefault="00D20660" w:rsidP="00D20660">
      <w:pPr>
        <w:pStyle w:val="NormalWeb"/>
        <w:shd w:val="clear" w:color="auto" w:fill="FFFFFF"/>
        <w:spacing w:before="0" w:beforeAutospacing="0" w:after="0" w:afterAutospacing="0"/>
        <w:ind w:left="851"/>
        <w:contextualSpacing/>
      </w:pPr>
      <w:r w:rsidRPr="0094354B">
        <w:t>Hvis der er mistanke om serotoninsyndrom, bør det overvejes hurtig at seponere behandlingen med fentanyl.</w:t>
      </w:r>
    </w:p>
    <w:p w:rsidR="00D20660" w:rsidRPr="0094354B" w:rsidRDefault="00D20660" w:rsidP="00D20660">
      <w:pPr>
        <w:autoSpaceDE w:val="0"/>
        <w:autoSpaceDN w:val="0"/>
        <w:adjustRightInd w:val="0"/>
        <w:ind w:left="851"/>
        <w:contextualSpacing/>
        <w:rPr>
          <w:spacing w:val="-1"/>
          <w:sz w:val="24"/>
          <w:szCs w:val="24"/>
        </w:rPr>
      </w:pPr>
    </w:p>
    <w:p w:rsidR="00D20660" w:rsidRPr="0094354B" w:rsidRDefault="00D20660" w:rsidP="00D20660">
      <w:pPr>
        <w:ind w:left="851"/>
        <w:contextualSpacing/>
        <w:rPr>
          <w:i/>
          <w:sz w:val="24"/>
          <w:szCs w:val="24"/>
        </w:rPr>
      </w:pPr>
      <w:r w:rsidRPr="0094354B">
        <w:rPr>
          <w:i/>
          <w:sz w:val="24"/>
          <w:szCs w:val="24"/>
        </w:rPr>
        <w:t>Pædiatrisk population</w:t>
      </w:r>
      <w:r>
        <w:rPr>
          <w:i/>
          <w:sz w:val="24"/>
          <w:szCs w:val="24"/>
        </w:rPr>
        <w:t>:</w:t>
      </w:r>
    </w:p>
    <w:p w:rsidR="00D20660" w:rsidRPr="0094354B" w:rsidRDefault="00D20660" w:rsidP="00D20660">
      <w:pPr>
        <w:ind w:left="851"/>
        <w:contextualSpacing/>
        <w:rPr>
          <w:sz w:val="24"/>
          <w:szCs w:val="24"/>
        </w:rPr>
      </w:pPr>
      <w:r w:rsidRPr="0094354B">
        <w:rPr>
          <w:sz w:val="24"/>
          <w:szCs w:val="24"/>
        </w:rPr>
        <w:t>Behandlinger, der omfatter analgesi til et barn med spontan vejrtrækning, bør kun anvendes som del af en anæstesibehandling, eller gives som en del af en sedations/analgesi</w:t>
      </w:r>
      <w:r>
        <w:rPr>
          <w:sz w:val="24"/>
          <w:szCs w:val="24"/>
        </w:rPr>
        <w:softHyphen/>
      </w:r>
      <w:r>
        <w:rPr>
          <w:sz w:val="24"/>
          <w:szCs w:val="24"/>
        </w:rPr>
        <w:softHyphen/>
      </w:r>
      <w:r w:rsidRPr="0094354B">
        <w:rPr>
          <w:sz w:val="24"/>
          <w:szCs w:val="24"/>
        </w:rPr>
        <w:t xml:space="preserve">behandling med erfarent sundhedspersonale i et miljø, der kan håndtere pludselig stivhed i brystvæggen, som kræver </w:t>
      </w:r>
      <w:proofErr w:type="spellStart"/>
      <w:r w:rsidRPr="0094354B">
        <w:rPr>
          <w:sz w:val="24"/>
          <w:szCs w:val="24"/>
        </w:rPr>
        <w:t>intubation</w:t>
      </w:r>
      <w:proofErr w:type="spellEnd"/>
      <w:r w:rsidRPr="0094354B">
        <w:rPr>
          <w:sz w:val="24"/>
          <w:szCs w:val="24"/>
        </w:rPr>
        <w:t>, eller apnø, som kræver luftvejsstøtte.</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pStyle w:val="Normalindrykning"/>
        <w:spacing w:after="0"/>
        <w:ind w:left="851"/>
        <w:contextualSpacing/>
        <w:rPr>
          <w:sz w:val="24"/>
          <w:szCs w:val="24"/>
        </w:rPr>
      </w:pPr>
      <w:r w:rsidRPr="0094354B">
        <w:rPr>
          <w:sz w:val="24"/>
          <w:szCs w:val="24"/>
        </w:rPr>
        <w:t>Fentanyl injektionsvæske indeholder 3,5 mg natrium pr. ml opløsning, svarende til 0,18</w:t>
      </w:r>
      <w:r>
        <w:rPr>
          <w:sz w:val="24"/>
          <w:szCs w:val="24"/>
        </w:rPr>
        <w:t xml:space="preserve"> %</w:t>
      </w:r>
      <w:r w:rsidRPr="0094354B">
        <w:rPr>
          <w:sz w:val="24"/>
          <w:szCs w:val="24"/>
        </w:rPr>
        <w:t xml:space="preserve"> af WHO’s maksimale anbefalede daglige indtag på 2 g natrium for en voksen. Dette skal der tages højde for, hvis patienten er på en saltkontrolleret diæt.</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4.5</w:t>
      </w:r>
      <w:r w:rsidRPr="0094354B">
        <w:rPr>
          <w:b/>
          <w:sz w:val="24"/>
          <w:szCs w:val="24"/>
        </w:rPr>
        <w:tab/>
        <w:t>Interaktion med andre lægemidler og andre former for interaktion</w:t>
      </w:r>
    </w:p>
    <w:p w:rsidR="00D20660" w:rsidRDefault="00D20660" w:rsidP="00D20660">
      <w:pPr>
        <w:pStyle w:val="Normalindrykning"/>
        <w:spacing w:after="0"/>
        <w:ind w:left="851"/>
        <w:contextualSpacing/>
        <w:rPr>
          <w:i/>
          <w:sz w:val="24"/>
          <w:szCs w:val="24"/>
        </w:rPr>
      </w:pPr>
    </w:p>
    <w:p w:rsidR="00D20660" w:rsidRPr="00363661" w:rsidRDefault="00D20660" w:rsidP="00D20660">
      <w:pPr>
        <w:pStyle w:val="Normalindrykning"/>
        <w:spacing w:after="0"/>
        <w:ind w:left="851"/>
        <w:contextualSpacing/>
        <w:rPr>
          <w:sz w:val="24"/>
          <w:szCs w:val="24"/>
          <w:u w:val="single"/>
        </w:rPr>
      </w:pPr>
      <w:r w:rsidRPr="00363661">
        <w:rPr>
          <w:sz w:val="24"/>
          <w:szCs w:val="24"/>
          <w:u w:val="single"/>
        </w:rPr>
        <w:t>Andre lægemidlers virkning på fentanyl</w:t>
      </w:r>
    </w:p>
    <w:p w:rsidR="00D20660" w:rsidRPr="00363661" w:rsidRDefault="00D20660" w:rsidP="00D20660">
      <w:pPr>
        <w:pStyle w:val="NormalWeb"/>
        <w:shd w:val="clear" w:color="auto" w:fill="FFFFFF"/>
        <w:spacing w:before="0" w:beforeAutospacing="0" w:after="0" w:afterAutospacing="0"/>
        <w:ind w:left="851"/>
        <w:contextualSpacing/>
        <w:rPr>
          <w:color w:val="000000"/>
        </w:rPr>
      </w:pPr>
    </w:p>
    <w:p w:rsidR="00D20660" w:rsidRPr="00363661" w:rsidRDefault="00D20660" w:rsidP="00D20660">
      <w:pPr>
        <w:pStyle w:val="Normalindrykning"/>
        <w:spacing w:after="0"/>
        <w:ind w:left="851"/>
        <w:contextualSpacing/>
        <w:rPr>
          <w:i/>
          <w:sz w:val="24"/>
          <w:szCs w:val="24"/>
        </w:rPr>
      </w:pPr>
      <w:r w:rsidRPr="00363661">
        <w:rPr>
          <w:bCs/>
          <w:i/>
          <w:color w:val="000000"/>
          <w:sz w:val="24"/>
          <w:szCs w:val="24"/>
          <w:shd w:val="clear" w:color="auto" w:fill="FFFFFF"/>
        </w:rPr>
        <w:t xml:space="preserve">Andre centralnervesystemiske (CNS-) </w:t>
      </w:r>
      <w:proofErr w:type="spellStart"/>
      <w:r w:rsidRPr="00363661">
        <w:rPr>
          <w:bCs/>
          <w:i/>
          <w:color w:val="000000"/>
          <w:sz w:val="24"/>
          <w:szCs w:val="24"/>
          <w:shd w:val="clear" w:color="auto" w:fill="FFFFFF"/>
        </w:rPr>
        <w:t>depressiva</w:t>
      </w:r>
      <w:proofErr w:type="spellEnd"/>
    </w:p>
    <w:p w:rsidR="00D20660" w:rsidRPr="00363661" w:rsidRDefault="00D20660" w:rsidP="00D20660">
      <w:pPr>
        <w:ind w:left="851"/>
        <w:contextualSpacing/>
        <w:rPr>
          <w:sz w:val="24"/>
          <w:szCs w:val="24"/>
        </w:rPr>
      </w:pPr>
      <w:r w:rsidRPr="00363661">
        <w:rPr>
          <w:sz w:val="24"/>
          <w:szCs w:val="24"/>
        </w:rPr>
        <w:t xml:space="preserve">Brugen af opioid præmedicinering, barbiturater, benzodiazepiner, </w:t>
      </w:r>
      <w:proofErr w:type="spellStart"/>
      <w:r w:rsidRPr="00363661">
        <w:rPr>
          <w:sz w:val="24"/>
          <w:szCs w:val="24"/>
        </w:rPr>
        <w:t>neuroleptika</w:t>
      </w:r>
      <w:proofErr w:type="spellEnd"/>
      <w:r w:rsidRPr="00363661">
        <w:rPr>
          <w:sz w:val="24"/>
          <w:szCs w:val="24"/>
        </w:rPr>
        <w:t>, halogengasser</w:t>
      </w:r>
      <w:r w:rsidR="006C6D99" w:rsidRPr="00363661">
        <w:rPr>
          <w:sz w:val="24"/>
          <w:szCs w:val="24"/>
        </w:rPr>
        <w:t xml:space="preserve">, </w:t>
      </w:r>
      <w:proofErr w:type="spellStart"/>
      <w:r w:rsidR="006C6D99" w:rsidRPr="00363661">
        <w:rPr>
          <w:sz w:val="24"/>
          <w:szCs w:val="24"/>
        </w:rPr>
        <w:t>gabapentinoider</w:t>
      </w:r>
      <w:proofErr w:type="spellEnd"/>
      <w:r w:rsidR="006C6D99" w:rsidRPr="00363661">
        <w:rPr>
          <w:sz w:val="24"/>
          <w:szCs w:val="24"/>
        </w:rPr>
        <w:t xml:space="preserve"> (</w:t>
      </w:r>
      <w:proofErr w:type="spellStart"/>
      <w:r w:rsidR="006C6D99" w:rsidRPr="00363661">
        <w:rPr>
          <w:sz w:val="24"/>
          <w:szCs w:val="24"/>
        </w:rPr>
        <w:t>gabapentin</w:t>
      </w:r>
      <w:proofErr w:type="spellEnd"/>
      <w:r w:rsidR="006C6D99" w:rsidRPr="00363661">
        <w:rPr>
          <w:sz w:val="24"/>
          <w:szCs w:val="24"/>
        </w:rPr>
        <w:t xml:space="preserve"> og </w:t>
      </w:r>
      <w:proofErr w:type="spellStart"/>
      <w:r w:rsidR="006C6D99" w:rsidRPr="00363661">
        <w:rPr>
          <w:sz w:val="24"/>
          <w:szCs w:val="24"/>
        </w:rPr>
        <w:t>pregabalin</w:t>
      </w:r>
      <w:proofErr w:type="spellEnd"/>
      <w:r w:rsidR="006C6D99" w:rsidRPr="00363661">
        <w:rPr>
          <w:sz w:val="24"/>
          <w:szCs w:val="24"/>
        </w:rPr>
        <w:t xml:space="preserve">) </w:t>
      </w:r>
      <w:r w:rsidRPr="00363661">
        <w:rPr>
          <w:sz w:val="24"/>
          <w:szCs w:val="24"/>
        </w:rPr>
        <w:t xml:space="preserve">og andre non-selektive centralnervesystemiske </w:t>
      </w:r>
      <w:proofErr w:type="spellStart"/>
      <w:r w:rsidRPr="00363661">
        <w:rPr>
          <w:sz w:val="24"/>
          <w:szCs w:val="24"/>
        </w:rPr>
        <w:t>depressiva</w:t>
      </w:r>
      <w:proofErr w:type="spellEnd"/>
      <w:r w:rsidRPr="00363661">
        <w:rPr>
          <w:sz w:val="24"/>
          <w:szCs w:val="24"/>
        </w:rPr>
        <w:t xml:space="preserve"> (f.eks. alkohol) kan øge eller forlænge fentanyls respirationsdepression.</w:t>
      </w:r>
    </w:p>
    <w:p w:rsidR="00D20660" w:rsidRPr="00363661" w:rsidRDefault="00D20660" w:rsidP="00D20660">
      <w:pPr>
        <w:ind w:left="851"/>
        <w:contextualSpacing/>
        <w:rPr>
          <w:sz w:val="24"/>
          <w:szCs w:val="24"/>
        </w:rPr>
      </w:pPr>
    </w:p>
    <w:p w:rsidR="00D20660" w:rsidRPr="00363661" w:rsidRDefault="00D20660" w:rsidP="00D20660">
      <w:pPr>
        <w:ind w:left="851"/>
        <w:contextualSpacing/>
        <w:rPr>
          <w:sz w:val="24"/>
          <w:szCs w:val="24"/>
        </w:rPr>
      </w:pPr>
      <w:r w:rsidRPr="00363661">
        <w:rPr>
          <w:sz w:val="24"/>
          <w:szCs w:val="24"/>
        </w:rPr>
        <w:t xml:space="preserve">Når patienten har modtaget centralnervesystemiske </w:t>
      </w:r>
      <w:proofErr w:type="spellStart"/>
      <w:r w:rsidRPr="00363661">
        <w:rPr>
          <w:sz w:val="24"/>
          <w:szCs w:val="24"/>
        </w:rPr>
        <w:t>depressiva</w:t>
      </w:r>
      <w:proofErr w:type="spellEnd"/>
      <w:r w:rsidRPr="00363661">
        <w:rPr>
          <w:sz w:val="24"/>
          <w:szCs w:val="24"/>
        </w:rPr>
        <w:t>, vil den nødvendige dosis fentanyl være mindre end normalt.</w:t>
      </w:r>
    </w:p>
    <w:p w:rsidR="00D20660" w:rsidRPr="00363661" w:rsidRDefault="00D20660" w:rsidP="00D20660">
      <w:pPr>
        <w:ind w:left="851"/>
        <w:contextualSpacing/>
        <w:rPr>
          <w:sz w:val="24"/>
          <w:szCs w:val="24"/>
        </w:rPr>
      </w:pPr>
    </w:p>
    <w:p w:rsidR="00D20660" w:rsidRPr="00363661" w:rsidRDefault="00D20660" w:rsidP="00D20660">
      <w:pPr>
        <w:ind w:left="851"/>
        <w:contextualSpacing/>
        <w:rPr>
          <w:sz w:val="24"/>
          <w:szCs w:val="24"/>
        </w:rPr>
      </w:pPr>
      <w:r w:rsidRPr="00363661">
        <w:rPr>
          <w:sz w:val="24"/>
          <w:szCs w:val="24"/>
        </w:rPr>
        <w:t>Samtidig brug med fentanyl hos patienter med spontan vejrtrækning kan øge risikoen for respirationsdepression, dyb sedation, koma og dødsfald.</w:t>
      </w:r>
    </w:p>
    <w:p w:rsidR="00D20660" w:rsidRPr="00363661" w:rsidRDefault="00D20660" w:rsidP="00D20660">
      <w:pPr>
        <w:ind w:left="851"/>
        <w:contextualSpacing/>
        <w:rPr>
          <w:sz w:val="24"/>
          <w:szCs w:val="24"/>
        </w:rPr>
      </w:pPr>
    </w:p>
    <w:p w:rsidR="00D20660" w:rsidRPr="00363661" w:rsidRDefault="00D20660" w:rsidP="00D20660">
      <w:pPr>
        <w:ind w:left="851"/>
        <w:contextualSpacing/>
        <w:rPr>
          <w:i/>
          <w:sz w:val="24"/>
          <w:szCs w:val="24"/>
        </w:rPr>
      </w:pPr>
      <w:proofErr w:type="spellStart"/>
      <w:r w:rsidRPr="00363661">
        <w:rPr>
          <w:bCs/>
          <w:i/>
          <w:color w:val="000000"/>
          <w:sz w:val="24"/>
          <w:szCs w:val="24"/>
          <w:shd w:val="clear" w:color="auto" w:fill="FFFFFF"/>
        </w:rPr>
        <w:t>Cytokrom</w:t>
      </w:r>
      <w:proofErr w:type="spellEnd"/>
      <w:r w:rsidRPr="00363661">
        <w:rPr>
          <w:bCs/>
          <w:i/>
          <w:color w:val="000000"/>
          <w:sz w:val="24"/>
          <w:szCs w:val="24"/>
          <w:shd w:val="clear" w:color="auto" w:fill="FFFFFF"/>
        </w:rPr>
        <w:t xml:space="preserve"> P450 3A4 (CYP3A</w:t>
      </w:r>
      <w:proofErr w:type="gramStart"/>
      <w:r w:rsidRPr="00363661">
        <w:rPr>
          <w:bCs/>
          <w:i/>
          <w:color w:val="000000"/>
          <w:sz w:val="24"/>
          <w:szCs w:val="24"/>
          <w:shd w:val="clear" w:color="auto" w:fill="FFFFFF"/>
        </w:rPr>
        <w:t>4)-</w:t>
      </w:r>
      <w:proofErr w:type="spellStart"/>
      <w:proofErr w:type="gramEnd"/>
      <w:r w:rsidRPr="00363661">
        <w:rPr>
          <w:bCs/>
          <w:i/>
          <w:color w:val="000000"/>
          <w:sz w:val="24"/>
          <w:szCs w:val="24"/>
          <w:shd w:val="clear" w:color="auto" w:fill="FFFFFF"/>
        </w:rPr>
        <w:t>hæmmere</w:t>
      </w:r>
      <w:proofErr w:type="spellEnd"/>
    </w:p>
    <w:p w:rsidR="00D20660" w:rsidRPr="00363661" w:rsidRDefault="00D20660" w:rsidP="00D20660">
      <w:pPr>
        <w:ind w:left="851"/>
        <w:contextualSpacing/>
        <w:rPr>
          <w:sz w:val="24"/>
          <w:szCs w:val="24"/>
        </w:rPr>
      </w:pPr>
      <w:r w:rsidRPr="00363661">
        <w:rPr>
          <w:sz w:val="24"/>
          <w:szCs w:val="24"/>
        </w:rPr>
        <w:t xml:space="preserve">Fentanyl, et lægemiddel med høj </w:t>
      </w:r>
      <w:proofErr w:type="spellStart"/>
      <w:r w:rsidRPr="00363661">
        <w:rPr>
          <w:sz w:val="24"/>
          <w:szCs w:val="24"/>
        </w:rPr>
        <w:t>clearance</w:t>
      </w:r>
      <w:proofErr w:type="spellEnd"/>
      <w:r w:rsidRPr="00363661">
        <w:rPr>
          <w:sz w:val="24"/>
          <w:szCs w:val="24"/>
        </w:rPr>
        <w:t xml:space="preserve">, </w:t>
      </w:r>
      <w:proofErr w:type="spellStart"/>
      <w:r w:rsidRPr="00363661">
        <w:rPr>
          <w:sz w:val="24"/>
          <w:szCs w:val="24"/>
        </w:rPr>
        <w:t>metaboliseres</w:t>
      </w:r>
      <w:proofErr w:type="spellEnd"/>
      <w:r w:rsidRPr="00363661">
        <w:rPr>
          <w:sz w:val="24"/>
          <w:szCs w:val="24"/>
        </w:rPr>
        <w:t xml:space="preserve"> hurtigt og omfattende primært via CYP3A4. </w:t>
      </w:r>
    </w:p>
    <w:p w:rsidR="00D20660" w:rsidRPr="00363661" w:rsidRDefault="00D20660" w:rsidP="00D20660">
      <w:pPr>
        <w:ind w:left="851"/>
        <w:contextualSpacing/>
        <w:rPr>
          <w:sz w:val="24"/>
          <w:szCs w:val="24"/>
        </w:rPr>
      </w:pPr>
    </w:p>
    <w:p w:rsidR="00D20660" w:rsidRPr="00363661" w:rsidRDefault="00D20660" w:rsidP="00D20660">
      <w:pPr>
        <w:ind w:left="851"/>
        <w:contextualSpacing/>
        <w:rPr>
          <w:sz w:val="24"/>
          <w:szCs w:val="24"/>
        </w:rPr>
      </w:pPr>
      <w:proofErr w:type="spellStart"/>
      <w:r w:rsidRPr="00363661">
        <w:rPr>
          <w:sz w:val="24"/>
          <w:szCs w:val="24"/>
        </w:rPr>
        <w:t>Itraconazol</w:t>
      </w:r>
      <w:proofErr w:type="spellEnd"/>
      <w:r w:rsidRPr="00363661">
        <w:rPr>
          <w:sz w:val="24"/>
          <w:szCs w:val="24"/>
        </w:rPr>
        <w:t xml:space="preserve"> (en stærk CYP3A4-hæmmer) på 200mg/dag administreret oralt i 4 dage påvirkede ikke </w:t>
      </w:r>
      <w:proofErr w:type="spellStart"/>
      <w:r w:rsidRPr="00363661">
        <w:rPr>
          <w:sz w:val="24"/>
          <w:szCs w:val="24"/>
        </w:rPr>
        <w:t>i.v</w:t>
      </w:r>
      <w:proofErr w:type="spellEnd"/>
      <w:r w:rsidRPr="00363661">
        <w:rPr>
          <w:sz w:val="24"/>
          <w:szCs w:val="24"/>
        </w:rPr>
        <w:t xml:space="preserve">. fentanyls </w:t>
      </w:r>
      <w:proofErr w:type="spellStart"/>
      <w:r w:rsidRPr="00363661">
        <w:rPr>
          <w:sz w:val="24"/>
          <w:szCs w:val="24"/>
        </w:rPr>
        <w:t>farmakokinetiske</w:t>
      </w:r>
      <w:proofErr w:type="spellEnd"/>
      <w:r w:rsidRPr="00363661">
        <w:rPr>
          <w:sz w:val="24"/>
          <w:szCs w:val="24"/>
        </w:rPr>
        <w:t xml:space="preserve"> egenskaber markant.</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Oral </w:t>
      </w:r>
      <w:proofErr w:type="spellStart"/>
      <w:r w:rsidRPr="0094354B">
        <w:rPr>
          <w:sz w:val="24"/>
          <w:szCs w:val="24"/>
        </w:rPr>
        <w:t>ritonavir</w:t>
      </w:r>
      <w:proofErr w:type="spellEnd"/>
      <w:r w:rsidRPr="0094354B">
        <w:rPr>
          <w:sz w:val="24"/>
          <w:szCs w:val="24"/>
        </w:rPr>
        <w:t xml:space="preserve"> (en af de stærkeste CYP3A4-hæmmere) reducerede </w:t>
      </w:r>
      <w:proofErr w:type="spellStart"/>
      <w:r w:rsidRPr="0094354B">
        <w:rPr>
          <w:sz w:val="24"/>
          <w:szCs w:val="24"/>
        </w:rPr>
        <w:t>i.v</w:t>
      </w:r>
      <w:proofErr w:type="spellEnd"/>
      <w:r w:rsidRPr="0094354B">
        <w:rPr>
          <w:sz w:val="24"/>
          <w:szCs w:val="24"/>
        </w:rPr>
        <w:t xml:space="preserve">. fentanyls </w:t>
      </w:r>
      <w:proofErr w:type="spellStart"/>
      <w:r w:rsidRPr="0094354B">
        <w:rPr>
          <w:sz w:val="24"/>
          <w:szCs w:val="24"/>
        </w:rPr>
        <w:t>clearance</w:t>
      </w:r>
      <w:proofErr w:type="spellEnd"/>
      <w:r w:rsidRPr="0094354B">
        <w:rPr>
          <w:sz w:val="24"/>
          <w:szCs w:val="24"/>
        </w:rPr>
        <w:t xml:space="preserve"> med to tredjedele; </w:t>
      </w:r>
      <w:r>
        <w:rPr>
          <w:sz w:val="24"/>
          <w:szCs w:val="24"/>
        </w:rPr>
        <w:t>peak-</w:t>
      </w:r>
      <w:r w:rsidRPr="0094354B">
        <w:rPr>
          <w:sz w:val="24"/>
          <w:szCs w:val="24"/>
        </w:rPr>
        <w:t xml:space="preserve">koncentrationen i plasma blev dog ikke påvirket efter en enkelt dosis </w:t>
      </w:r>
      <w:proofErr w:type="spellStart"/>
      <w:r w:rsidRPr="0094354B">
        <w:rPr>
          <w:sz w:val="24"/>
          <w:szCs w:val="24"/>
        </w:rPr>
        <w:t>i.v</w:t>
      </w:r>
      <w:proofErr w:type="spellEnd"/>
      <w:r w:rsidRPr="0094354B">
        <w:rPr>
          <w:sz w:val="24"/>
          <w:szCs w:val="24"/>
        </w:rPr>
        <w:t xml:space="preserve">. fentanyl. </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Når fentanyl bruges i en enkelt dosis, er der ved samtidig anvendelse af stærke CYP3A4-hæmmere som </w:t>
      </w:r>
      <w:proofErr w:type="spellStart"/>
      <w:r w:rsidRPr="0094354B">
        <w:rPr>
          <w:sz w:val="24"/>
          <w:szCs w:val="24"/>
        </w:rPr>
        <w:t>ritonavir</w:t>
      </w:r>
      <w:proofErr w:type="spellEnd"/>
      <w:r w:rsidRPr="0094354B">
        <w:rPr>
          <w:sz w:val="24"/>
          <w:szCs w:val="24"/>
        </w:rPr>
        <w:t xml:space="preserve"> behov for særlig patientpleje og -observation. </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Samtidig administration af </w:t>
      </w:r>
      <w:proofErr w:type="spellStart"/>
      <w:r w:rsidRPr="0094354B">
        <w:rPr>
          <w:sz w:val="24"/>
          <w:szCs w:val="24"/>
        </w:rPr>
        <w:t>fluconazol</w:t>
      </w:r>
      <w:proofErr w:type="spellEnd"/>
      <w:r w:rsidRPr="0094354B">
        <w:rPr>
          <w:sz w:val="24"/>
          <w:szCs w:val="24"/>
        </w:rPr>
        <w:t xml:space="preserve"> eller </w:t>
      </w:r>
      <w:proofErr w:type="spellStart"/>
      <w:r w:rsidRPr="0094354B">
        <w:rPr>
          <w:sz w:val="24"/>
          <w:szCs w:val="24"/>
        </w:rPr>
        <w:t>voriconazol</w:t>
      </w:r>
      <w:proofErr w:type="spellEnd"/>
      <w:r w:rsidRPr="0094354B">
        <w:rPr>
          <w:sz w:val="24"/>
          <w:szCs w:val="24"/>
        </w:rPr>
        <w:t xml:space="preserve"> (moderate CYP3A4-hæmmere) og fentanyl kan resultere i øget eksponering for fentanyl.</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Ved vedvarende behandling med fentanyl og samtidig administration af CYP3A4-hæmmere kan det være nødvendigt med reduceret dosis af fentanyl for at undgå akkumulering, hvilket kan øge risikoen for langvarig eller forsinket respirationsdepression. </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Der kan forekomme bradykardi og muligvis hjertestop, når fentanyl kombineres med ikke-</w:t>
      </w:r>
      <w:proofErr w:type="spellStart"/>
      <w:r w:rsidRPr="0094354B">
        <w:rPr>
          <w:sz w:val="24"/>
          <w:szCs w:val="24"/>
        </w:rPr>
        <w:t>vagolytiske</w:t>
      </w:r>
      <w:proofErr w:type="spellEnd"/>
      <w:r w:rsidRPr="0094354B">
        <w:rPr>
          <w:sz w:val="24"/>
          <w:szCs w:val="24"/>
        </w:rPr>
        <w:t xml:space="preserve"> muskelafslappende midler. </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Samtidig brug af </w:t>
      </w:r>
      <w:proofErr w:type="spellStart"/>
      <w:r w:rsidRPr="0094354B">
        <w:rPr>
          <w:sz w:val="24"/>
          <w:szCs w:val="24"/>
        </w:rPr>
        <w:t>droperidol</w:t>
      </w:r>
      <w:proofErr w:type="spellEnd"/>
      <w:r w:rsidRPr="0094354B">
        <w:rPr>
          <w:sz w:val="24"/>
          <w:szCs w:val="24"/>
        </w:rPr>
        <w:t xml:space="preserve"> kan resultere i øget forekomst af hypotension.</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proofErr w:type="spellStart"/>
      <w:r w:rsidRPr="0094354B">
        <w:rPr>
          <w:i/>
          <w:sz w:val="24"/>
          <w:szCs w:val="24"/>
        </w:rPr>
        <w:t>Serotonerge</w:t>
      </w:r>
      <w:proofErr w:type="spellEnd"/>
      <w:r w:rsidRPr="0094354B">
        <w:rPr>
          <w:i/>
          <w:sz w:val="24"/>
          <w:szCs w:val="24"/>
        </w:rPr>
        <w:t xml:space="preserve"> lægemidler  </w:t>
      </w:r>
    </w:p>
    <w:p w:rsidR="00D20660" w:rsidRPr="0094354B" w:rsidRDefault="00D20660" w:rsidP="00D20660">
      <w:pPr>
        <w:ind w:left="851"/>
        <w:contextualSpacing/>
        <w:rPr>
          <w:sz w:val="24"/>
          <w:szCs w:val="24"/>
        </w:rPr>
      </w:pPr>
      <w:r w:rsidRPr="0094354B">
        <w:rPr>
          <w:sz w:val="24"/>
          <w:szCs w:val="24"/>
        </w:rPr>
        <w:t xml:space="preserve">Samtidig administration af fentanyl med et </w:t>
      </w:r>
      <w:proofErr w:type="spellStart"/>
      <w:r w:rsidRPr="0094354B">
        <w:rPr>
          <w:sz w:val="24"/>
          <w:szCs w:val="24"/>
        </w:rPr>
        <w:t>serotonergt</w:t>
      </w:r>
      <w:proofErr w:type="spellEnd"/>
      <w:r w:rsidRPr="0094354B">
        <w:rPr>
          <w:sz w:val="24"/>
          <w:szCs w:val="24"/>
        </w:rPr>
        <w:t xml:space="preserve"> lægemiddel, som f.eks. en selektiv </w:t>
      </w:r>
      <w:proofErr w:type="spellStart"/>
      <w:r w:rsidRPr="0094354B">
        <w:rPr>
          <w:sz w:val="24"/>
          <w:szCs w:val="24"/>
        </w:rPr>
        <w:t>serotoningenoptagshæmmer</w:t>
      </w:r>
      <w:proofErr w:type="spellEnd"/>
      <w:r w:rsidRPr="0094354B">
        <w:rPr>
          <w:sz w:val="24"/>
          <w:szCs w:val="24"/>
        </w:rPr>
        <w:t xml:space="preserve"> (SSRI) eller en serotonin-</w:t>
      </w:r>
      <w:proofErr w:type="spellStart"/>
      <w:r w:rsidRPr="0094354B">
        <w:rPr>
          <w:sz w:val="24"/>
          <w:szCs w:val="24"/>
        </w:rPr>
        <w:t>noradrenalingenoptagshæmmer</w:t>
      </w:r>
      <w:proofErr w:type="spellEnd"/>
      <w:r w:rsidRPr="0094354B">
        <w:rPr>
          <w:sz w:val="24"/>
          <w:szCs w:val="24"/>
        </w:rPr>
        <w:t xml:space="preserve"> (SNRI) eller en </w:t>
      </w:r>
      <w:proofErr w:type="spellStart"/>
      <w:r w:rsidRPr="0094354B">
        <w:rPr>
          <w:sz w:val="24"/>
          <w:szCs w:val="24"/>
        </w:rPr>
        <w:t>monoaminoxidasehæmmer</w:t>
      </w:r>
      <w:proofErr w:type="spellEnd"/>
      <w:r w:rsidRPr="0094354B">
        <w:rPr>
          <w:sz w:val="24"/>
          <w:szCs w:val="24"/>
        </w:rPr>
        <w:t xml:space="preserve"> (MAO-hæmmer), kan øge risikoen for serotoninsyndrom, en potentielt livstruende tilstand.</w:t>
      </w:r>
    </w:p>
    <w:p w:rsidR="00D20660" w:rsidRPr="0094354B" w:rsidRDefault="00D20660" w:rsidP="00D20660">
      <w:pPr>
        <w:ind w:left="851"/>
        <w:contextualSpacing/>
        <w:rPr>
          <w:sz w:val="24"/>
          <w:szCs w:val="24"/>
        </w:rPr>
      </w:pPr>
    </w:p>
    <w:p w:rsidR="00D20660" w:rsidRPr="002D0AD1" w:rsidRDefault="00D20660" w:rsidP="00D20660">
      <w:pPr>
        <w:ind w:left="851"/>
        <w:contextualSpacing/>
        <w:rPr>
          <w:sz w:val="24"/>
          <w:szCs w:val="24"/>
          <w:u w:val="single"/>
        </w:rPr>
      </w:pPr>
      <w:r w:rsidRPr="002D0AD1">
        <w:rPr>
          <w:sz w:val="24"/>
          <w:szCs w:val="24"/>
          <w:u w:val="single"/>
        </w:rPr>
        <w:t>Fentanyls virkning på andre lægemidler</w:t>
      </w:r>
    </w:p>
    <w:p w:rsidR="00D20660" w:rsidRPr="0094354B" w:rsidRDefault="00D20660" w:rsidP="00D20660">
      <w:pPr>
        <w:ind w:left="851"/>
        <w:contextualSpacing/>
        <w:rPr>
          <w:i/>
          <w:sz w:val="24"/>
          <w:szCs w:val="24"/>
        </w:rPr>
      </w:pPr>
    </w:p>
    <w:p w:rsidR="00D20660" w:rsidRPr="0094354B" w:rsidRDefault="00D20660" w:rsidP="00D20660">
      <w:pPr>
        <w:ind w:left="851"/>
        <w:contextualSpacing/>
        <w:rPr>
          <w:sz w:val="24"/>
          <w:szCs w:val="24"/>
        </w:rPr>
      </w:pPr>
      <w:r w:rsidRPr="0094354B">
        <w:rPr>
          <w:sz w:val="24"/>
          <w:szCs w:val="24"/>
        </w:rPr>
        <w:t>Efter administration af fentanyl skal dosis af andre CNS-</w:t>
      </w:r>
      <w:proofErr w:type="spellStart"/>
      <w:r w:rsidRPr="0094354B">
        <w:rPr>
          <w:sz w:val="24"/>
          <w:szCs w:val="24"/>
        </w:rPr>
        <w:t>depressiva</w:t>
      </w:r>
      <w:proofErr w:type="spellEnd"/>
      <w:r w:rsidRPr="0094354B">
        <w:rPr>
          <w:sz w:val="24"/>
          <w:szCs w:val="24"/>
        </w:rPr>
        <w:t xml:space="preserve"> reduceres. Det er særligt vigtigt efter kirurgi, da dyb analgesi ledsages af betydelig respirationsdepression, som kan fortsætte ind i eller optræde igen i den postoperative periode. Administration af et CNS-</w:t>
      </w:r>
      <w:proofErr w:type="spellStart"/>
      <w:r w:rsidRPr="0094354B">
        <w:rPr>
          <w:sz w:val="24"/>
          <w:szCs w:val="24"/>
        </w:rPr>
        <w:t>depressivum</w:t>
      </w:r>
      <w:proofErr w:type="spellEnd"/>
      <w:r w:rsidRPr="0094354B">
        <w:rPr>
          <w:sz w:val="24"/>
          <w:szCs w:val="24"/>
        </w:rPr>
        <w:t xml:space="preserve"> som benzodiazepin i denne periode kan øge risikoen for respirationsdepression uforholdsmæssigt meget.</w:t>
      </w:r>
    </w:p>
    <w:p w:rsidR="00D20660" w:rsidRPr="0094354B" w:rsidRDefault="00D20660" w:rsidP="00D20660">
      <w:pPr>
        <w:ind w:left="851"/>
        <w:contextualSpacing/>
        <w:rPr>
          <w:sz w:val="24"/>
          <w:szCs w:val="24"/>
        </w:rPr>
      </w:pPr>
      <w:r w:rsidRPr="0094354B">
        <w:rPr>
          <w:sz w:val="24"/>
          <w:szCs w:val="24"/>
        </w:rPr>
        <w:t xml:space="preserve">Plasmakoncentrationen af </w:t>
      </w:r>
      <w:proofErr w:type="spellStart"/>
      <w:r w:rsidRPr="0094354B">
        <w:rPr>
          <w:sz w:val="24"/>
          <w:szCs w:val="24"/>
        </w:rPr>
        <w:t>etomidat</w:t>
      </w:r>
      <w:proofErr w:type="spellEnd"/>
      <w:r w:rsidRPr="0094354B">
        <w:rPr>
          <w:sz w:val="24"/>
          <w:szCs w:val="24"/>
        </w:rPr>
        <w:t xml:space="preserve"> øgedes markant (med en faktor 2 til 3) ved kombination med fentanyl.</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Den samlede plasma-</w:t>
      </w:r>
      <w:proofErr w:type="spellStart"/>
      <w:r w:rsidRPr="0094354B">
        <w:rPr>
          <w:sz w:val="24"/>
          <w:szCs w:val="24"/>
        </w:rPr>
        <w:t>clearance</w:t>
      </w:r>
      <w:proofErr w:type="spellEnd"/>
      <w:r w:rsidRPr="0094354B">
        <w:rPr>
          <w:sz w:val="24"/>
          <w:szCs w:val="24"/>
        </w:rPr>
        <w:t xml:space="preserve"> og distributionsvolum</w:t>
      </w:r>
      <w:r>
        <w:rPr>
          <w:sz w:val="24"/>
          <w:szCs w:val="24"/>
        </w:rPr>
        <w:t>inet af</w:t>
      </w:r>
      <w:r w:rsidRPr="0094354B">
        <w:rPr>
          <w:sz w:val="24"/>
          <w:szCs w:val="24"/>
        </w:rPr>
        <w:t xml:space="preserve"> </w:t>
      </w:r>
      <w:proofErr w:type="spellStart"/>
      <w:r w:rsidRPr="0094354B">
        <w:rPr>
          <w:sz w:val="24"/>
          <w:szCs w:val="24"/>
        </w:rPr>
        <w:t>etomidat</w:t>
      </w:r>
      <w:proofErr w:type="spellEnd"/>
      <w:r w:rsidRPr="0094354B">
        <w:rPr>
          <w:sz w:val="24"/>
          <w:szCs w:val="24"/>
        </w:rPr>
        <w:t xml:space="preserve"> faldt med en faktor 2 til 3 uden ændring i halveringstiden ved administration med fentanyl.</w:t>
      </w:r>
    </w:p>
    <w:p w:rsidR="00D20660" w:rsidRPr="0094354B" w:rsidRDefault="00D20660" w:rsidP="00D20660">
      <w:pPr>
        <w:ind w:left="851"/>
        <w:contextualSpacing/>
        <w:rPr>
          <w:sz w:val="24"/>
          <w:szCs w:val="24"/>
        </w:rPr>
      </w:pPr>
    </w:p>
    <w:p w:rsidR="00D20660" w:rsidRPr="0094354B" w:rsidRDefault="00D20660" w:rsidP="00D20660">
      <w:pPr>
        <w:ind w:left="851"/>
        <w:contextualSpacing/>
        <w:rPr>
          <w:sz w:val="24"/>
          <w:szCs w:val="24"/>
        </w:rPr>
      </w:pPr>
      <w:r w:rsidRPr="0094354B">
        <w:rPr>
          <w:sz w:val="24"/>
          <w:szCs w:val="24"/>
        </w:rPr>
        <w:t xml:space="preserve">Samtidig administration af fentanyl og intravenøs </w:t>
      </w:r>
      <w:proofErr w:type="spellStart"/>
      <w:r w:rsidRPr="0094354B">
        <w:rPr>
          <w:sz w:val="24"/>
          <w:szCs w:val="24"/>
        </w:rPr>
        <w:t>midazolam</w:t>
      </w:r>
      <w:proofErr w:type="spellEnd"/>
      <w:r w:rsidRPr="0094354B">
        <w:rPr>
          <w:sz w:val="24"/>
          <w:szCs w:val="24"/>
        </w:rPr>
        <w:t xml:space="preserve"> medfører en stigning i plasmahalveringstiden og en reduktion af plasma-</w:t>
      </w:r>
      <w:proofErr w:type="spellStart"/>
      <w:r w:rsidRPr="0094354B">
        <w:rPr>
          <w:sz w:val="24"/>
          <w:szCs w:val="24"/>
        </w:rPr>
        <w:t>clearance</w:t>
      </w:r>
      <w:proofErr w:type="spellEnd"/>
      <w:r w:rsidRPr="0094354B">
        <w:rPr>
          <w:sz w:val="24"/>
          <w:szCs w:val="24"/>
        </w:rPr>
        <w:t xml:space="preserve"> for </w:t>
      </w:r>
      <w:proofErr w:type="spellStart"/>
      <w:r w:rsidRPr="0094354B">
        <w:rPr>
          <w:sz w:val="24"/>
          <w:szCs w:val="24"/>
        </w:rPr>
        <w:t>midazolam</w:t>
      </w:r>
      <w:proofErr w:type="spellEnd"/>
      <w:r w:rsidRPr="0094354B">
        <w:rPr>
          <w:sz w:val="24"/>
          <w:szCs w:val="24"/>
        </w:rPr>
        <w:t>. Når disse lægemidler administreres samtidig med fentanyl, bør deres dosis muligvis reduceres.</w:t>
      </w:r>
    </w:p>
    <w:p w:rsidR="00D20660" w:rsidRPr="0094354B" w:rsidRDefault="00D20660" w:rsidP="00D20660">
      <w:pPr>
        <w:pStyle w:val="NormalWeb"/>
        <w:shd w:val="clear" w:color="auto" w:fill="FFFFFF"/>
        <w:spacing w:before="0" w:beforeAutospacing="0" w:after="0" w:afterAutospacing="0"/>
        <w:ind w:left="851"/>
        <w:contextualSpacing/>
        <w:rPr>
          <w:b/>
          <w:bCs/>
          <w:color w:val="000000"/>
        </w:rPr>
      </w:pPr>
    </w:p>
    <w:p w:rsidR="00D20660" w:rsidRPr="0077753C" w:rsidRDefault="00D20660" w:rsidP="00D20660">
      <w:pPr>
        <w:pStyle w:val="NormalWeb"/>
        <w:shd w:val="clear" w:color="auto" w:fill="FFFFFF"/>
        <w:spacing w:before="0" w:beforeAutospacing="0" w:after="0" w:afterAutospacing="0"/>
        <w:ind w:left="851"/>
        <w:contextualSpacing/>
        <w:rPr>
          <w:i/>
          <w:color w:val="000000"/>
        </w:rPr>
      </w:pPr>
      <w:r w:rsidRPr="0077753C">
        <w:rPr>
          <w:bCs/>
          <w:i/>
          <w:color w:val="000000"/>
        </w:rPr>
        <w:t>Sedativer som benzodiazepiner eller lignende lægemidler</w:t>
      </w:r>
    </w:p>
    <w:p w:rsidR="00D20660" w:rsidRPr="0094354B" w:rsidRDefault="00D20660" w:rsidP="00D20660">
      <w:pPr>
        <w:pStyle w:val="NormalWeb"/>
        <w:shd w:val="clear" w:color="auto" w:fill="FFFFFF"/>
        <w:spacing w:before="0" w:beforeAutospacing="0" w:after="0" w:afterAutospacing="0"/>
        <w:ind w:left="851"/>
        <w:contextualSpacing/>
        <w:rPr>
          <w:color w:val="000000"/>
        </w:rPr>
      </w:pPr>
      <w:r w:rsidRPr="0094354B">
        <w:rPr>
          <w:color w:val="000000"/>
        </w:rPr>
        <w:t xml:space="preserve">Samtidig brug af opioider med sedativer som benzodiazepiner eller lignende lægemidler øger risikoen for sedation, respirationsdepression, koma og dødsfald på grund af den </w:t>
      </w:r>
      <w:proofErr w:type="spellStart"/>
      <w:r w:rsidRPr="0094354B">
        <w:rPr>
          <w:color w:val="000000"/>
        </w:rPr>
        <w:t>additive</w:t>
      </w:r>
      <w:proofErr w:type="spellEnd"/>
      <w:r w:rsidRPr="0094354B">
        <w:rPr>
          <w:color w:val="000000"/>
        </w:rPr>
        <w:t xml:space="preserve"> effekt af CNS-</w:t>
      </w:r>
      <w:proofErr w:type="spellStart"/>
      <w:r w:rsidRPr="0094354B">
        <w:rPr>
          <w:color w:val="000000"/>
        </w:rPr>
        <w:t>depressiva</w:t>
      </w:r>
      <w:proofErr w:type="spellEnd"/>
      <w:r w:rsidRPr="0094354B">
        <w:rPr>
          <w:color w:val="000000"/>
        </w:rPr>
        <w:t xml:space="preserve">. Dosis og varighed for samtidig brug bør begrænses (se </w:t>
      </w:r>
      <w:r>
        <w:rPr>
          <w:color w:val="000000"/>
        </w:rPr>
        <w:t>pkt.</w:t>
      </w:r>
      <w:r w:rsidRPr="0094354B">
        <w:rPr>
          <w:color w:val="000000"/>
        </w:rPr>
        <w:t xml:space="preserve"> 4.4).</w:t>
      </w:r>
    </w:p>
    <w:p w:rsidR="000B5B6B" w:rsidRDefault="000B5B6B">
      <w:pPr>
        <w:rPr>
          <w:sz w:val="24"/>
          <w:szCs w:val="24"/>
        </w:rPr>
      </w:pPr>
      <w:r>
        <w:rPr>
          <w:sz w:val="24"/>
          <w:szCs w:val="24"/>
        </w:rPr>
        <w:br w:type="page"/>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20660" w:rsidRPr="0077753C" w:rsidRDefault="00D20660" w:rsidP="00D20660">
      <w:pPr>
        <w:pStyle w:val="Normalindrykning"/>
        <w:spacing w:after="0"/>
        <w:ind w:left="851"/>
        <w:contextualSpacing/>
        <w:rPr>
          <w:sz w:val="24"/>
          <w:szCs w:val="24"/>
        </w:rPr>
      </w:pPr>
    </w:p>
    <w:p w:rsidR="00D20660" w:rsidRPr="0077753C" w:rsidRDefault="00D20660" w:rsidP="00D20660">
      <w:pPr>
        <w:pStyle w:val="Normalindrykning"/>
        <w:spacing w:after="0"/>
        <w:ind w:left="851"/>
        <w:contextualSpacing/>
        <w:rPr>
          <w:sz w:val="24"/>
          <w:szCs w:val="24"/>
          <w:u w:val="single"/>
        </w:rPr>
      </w:pPr>
      <w:r w:rsidRPr="0077753C">
        <w:rPr>
          <w:sz w:val="24"/>
          <w:szCs w:val="24"/>
          <w:u w:val="single"/>
        </w:rPr>
        <w:t>Graviditet</w:t>
      </w:r>
    </w:p>
    <w:p w:rsidR="00D20660" w:rsidRPr="0094354B" w:rsidRDefault="00D20660" w:rsidP="00D20660">
      <w:pPr>
        <w:pStyle w:val="Normalindrykning"/>
        <w:spacing w:after="0"/>
        <w:ind w:left="851"/>
        <w:contextualSpacing/>
        <w:rPr>
          <w:sz w:val="24"/>
          <w:szCs w:val="24"/>
        </w:rPr>
      </w:pPr>
      <w:r w:rsidRPr="0094354B">
        <w:rPr>
          <w:sz w:val="24"/>
          <w:szCs w:val="24"/>
        </w:rPr>
        <w:t xml:space="preserve">Data for anvendelse af fentanyl til gravide er utilstrækkelige. Fentanyl kan passere gennem moderkagen i den tidlige graviditet. Dyreforsøg har påvist en vis reproduktionstoksicitet (se </w:t>
      </w:r>
      <w:r>
        <w:rPr>
          <w:sz w:val="24"/>
          <w:szCs w:val="24"/>
        </w:rPr>
        <w:t>pkt.</w:t>
      </w:r>
      <w:r w:rsidRPr="0094354B">
        <w:rPr>
          <w:sz w:val="24"/>
          <w:szCs w:val="24"/>
        </w:rPr>
        <w:t xml:space="preserve"> 5.3). Den potentielle risiko for mennesker er ukendt. </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pStyle w:val="Normalindrykning"/>
        <w:spacing w:after="0"/>
        <w:ind w:left="851"/>
        <w:contextualSpacing/>
        <w:rPr>
          <w:sz w:val="24"/>
          <w:szCs w:val="24"/>
        </w:rPr>
      </w:pPr>
      <w:r w:rsidRPr="0094354B">
        <w:rPr>
          <w:sz w:val="24"/>
          <w:szCs w:val="24"/>
        </w:rPr>
        <w:t xml:space="preserve">Det anbefales ikke at anvende lægemidlet under fødslen (herunder kejsersnit), da fentanyl passerer placenta, og fosterets åndedrætscenter er særligt følsomt over for opioider. Hvis fentanyl anvendes på trods heraf, skal der være umiddelbar adgang til respiratorudstyr til moderen og spædbarnet, hvis dette bliver nødvendigt. Der skal altid være en </w:t>
      </w:r>
      <w:proofErr w:type="spellStart"/>
      <w:r w:rsidRPr="0094354B">
        <w:rPr>
          <w:sz w:val="24"/>
          <w:szCs w:val="24"/>
        </w:rPr>
        <w:t>antidot</w:t>
      </w:r>
      <w:proofErr w:type="spellEnd"/>
      <w:r w:rsidRPr="0094354B">
        <w:rPr>
          <w:sz w:val="24"/>
          <w:szCs w:val="24"/>
        </w:rPr>
        <w:t xml:space="preserve"> parat til barnet.</w:t>
      </w:r>
    </w:p>
    <w:p w:rsidR="00D20660" w:rsidRPr="0094354B" w:rsidRDefault="00D20660" w:rsidP="00D20660">
      <w:pPr>
        <w:pStyle w:val="Normalindrykning"/>
        <w:spacing w:after="0"/>
        <w:ind w:left="851"/>
        <w:contextualSpacing/>
        <w:rPr>
          <w:sz w:val="24"/>
          <w:szCs w:val="24"/>
        </w:rPr>
      </w:pPr>
    </w:p>
    <w:p w:rsidR="00D20660" w:rsidRPr="0077753C" w:rsidRDefault="00D20660" w:rsidP="00D20660">
      <w:pPr>
        <w:pStyle w:val="Normalindrykning"/>
        <w:spacing w:after="0"/>
        <w:ind w:left="851"/>
        <w:contextualSpacing/>
        <w:rPr>
          <w:sz w:val="24"/>
          <w:szCs w:val="24"/>
          <w:u w:val="single"/>
        </w:rPr>
      </w:pPr>
      <w:r w:rsidRPr="0077753C">
        <w:rPr>
          <w:sz w:val="24"/>
          <w:szCs w:val="24"/>
          <w:u w:val="single"/>
        </w:rPr>
        <w:t>Amning</w:t>
      </w:r>
    </w:p>
    <w:p w:rsidR="00D20660" w:rsidRPr="0094354B" w:rsidRDefault="00D20660" w:rsidP="00D20660">
      <w:pPr>
        <w:pStyle w:val="Normalindrykning"/>
        <w:spacing w:after="0"/>
        <w:ind w:left="851"/>
        <w:contextualSpacing/>
        <w:rPr>
          <w:sz w:val="24"/>
          <w:szCs w:val="24"/>
        </w:rPr>
      </w:pPr>
      <w:r w:rsidRPr="0094354B">
        <w:rPr>
          <w:sz w:val="24"/>
          <w:szCs w:val="24"/>
        </w:rPr>
        <w:t xml:space="preserve">Fentanyl udskilles i </w:t>
      </w:r>
      <w:r>
        <w:rPr>
          <w:sz w:val="24"/>
          <w:szCs w:val="24"/>
        </w:rPr>
        <w:t>moder</w:t>
      </w:r>
      <w:r w:rsidRPr="0094354B">
        <w:rPr>
          <w:sz w:val="24"/>
          <w:szCs w:val="24"/>
        </w:rPr>
        <w:t>mælk. Det anbefales derfor, at amning ikke igangsættes inden for 24 timer efter behandling. Risici/fordele ved amning efter anvendelse af fentanyl bør afvejes.</w:t>
      </w:r>
    </w:p>
    <w:p w:rsidR="00D20660" w:rsidRPr="0094354B" w:rsidRDefault="00D20660" w:rsidP="00D20660">
      <w:pPr>
        <w:pStyle w:val="Normalindrykning"/>
        <w:spacing w:after="0"/>
        <w:ind w:left="851"/>
        <w:contextualSpacing/>
        <w:rPr>
          <w:sz w:val="24"/>
          <w:szCs w:val="24"/>
        </w:rPr>
      </w:pPr>
    </w:p>
    <w:p w:rsidR="00D20660" w:rsidRPr="0077753C" w:rsidRDefault="00D20660" w:rsidP="00D20660">
      <w:pPr>
        <w:pStyle w:val="Normalindrykning"/>
        <w:spacing w:after="0"/>
        <w:ind w:left="851"/>
        <w:contextualSpacing/>
        <w:rPr>
          <w:sz w:val="24"/>
          <w:szCs w:val="24"/>
          <w:u w:val="single"/>
        </w:rPr>
      </w:pPr>
      <w:r w:rsidRPr="0077753C">
        <w:rPr>
          <w:sz w:val="24"/>
          <w:szCs w:val="24"/>
          <w:u w:val="single"/>
        </w:rPr>
        <w:t xml:space="preserve">Fertilitet </w:t>
      </w:r>
    </w:p>
    <w:p w:rsidR="00D20660" w:rsidRPr="0094354B" w:rsidRDefault="00D20660" w:rsidP="00D20660">
      <w:pPr>
        <w:pStyle w:val="Default"/>
        <w:ind w:left="851"/>
        <w:contextualSpacing/>
        <w:rPr>
          <w:rFonts w:eastAsia="Times New Roman"/>
          <w:color w:val="auto"/>
        </w:rPr>
      </w:pPr>
      <w:r w:rsidRPr="0094354B">
        <w:rPr>
          <w:color w:val="auto"/>
        </w:rPr>
        <w:t xml:space="preserve">Der er ingen tilgængelige humane fertilitetsdata. I dyreforsøg nedsattes mandlig fertilitet (se </w:t>
      </w:r>
      <w:r>
        <w:rPr>
          <w:color w:val="auto"/>
        </w:rPr>
        <w:t>pkt.</w:t>
      </w:r>
      <w:r w:rsidRPr="0094354B">
        <w:rPr>
          <w:color w:val="auto"/>
        </w:rPr>
        <w:t xml:space="preserve"> 5.3).</w:t>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20660" w:rsidRDefault="00D20660" w:rsidP="00D20660">
      <w:pPr>
        <w:ind w:left="851"/>
        <w:contextualSpacing/>
        <w:rPr>
          <w:sz w:val="24"/>
          <w:szCs w:val="24"/>
        </w:rPr>
      </w:pPr>
      <w:r>
        <w:rPr>
          <w:sz w:val="24"/>
          <w:szCs w:val="24"/>
        </w:rPr>
        <w:t>Ikke mærkning.</w:t>
      </w:r>
    </w:p>
    <w:p w:rsidR="00D20660" w:rsidRPr="0094354B" w:rsidRDefault="00D20660" w:rsidP="00D20660">
      <w:pPr>
        <w:ind w:left="851"/>
        <w:contextualSpacing/>
        <w:rPr>
          <w:sz w:val="24"/>
          <w:szCs w:val="24"/>
          <w:lang w:eastAsia="en-GB"/>
        </w:rPr>
      </w:pPr>
      <w:r w:rsidRPr="0094354B">
        <w:rPr>
          <w:sz w:val="24"/>
          <w:szCs w:val="24"/>
        </w:rPr>
        <w:t>Ved tidlig udskrivning bør patienter adviseres om ikke at køre eller betjene maskiner i 24 timer efter anvendelse af lægemidlet.</w:t>
      </w:r>
    </w:p>
    <w:p w:rsidR="00D20660" w:rsidRPr="0094354B" w:rsidRDefault="00D20660" w:rsidP="00D20660">
      <w:pPr>
        <w:ind w:left="851"/>
        <w:contextualSpacing/>
        <w:rPr>
          <w:sz w:val="24"/>
          <w:szCs w:val="24"/>
        </w:rPr>
      </w:pPr>
    </w:p>
    <w:p w:rsidR="00D20660" w:rsidRPr="0094354B" w:rsidRDefault="00D20660" w:rsidP="00D20660">
      <w:pPr>
        <w:pStyle w:val="Normalindrykning"/>
        <w:spacing w:after="0"/>
        <w:ind w:left="851"/>
        <w:contextualSpacing/>
        <w:jc w:val="both"/>
        <w:rPr>
          <w:iCs/>
          <w:sz w:val="24"/>
          <w:szCs w:val="24"/>
        </w:rPr>
      </w:pPr>
      <w:r w:rsidRPr="0094354B">
        <w:rPr>
          <w:iCs/>
          <w:sz w:val="24"/>
          <w:szCs w:val="24"/>
        </w:rPr>
        <w:t xml:space="preserve">Lægemidlet kan nedsætte den kognitive funktion og kan påvirke patientens evne til at færdes sikkert i trafikken. Ved ordination af dette lægemiddel bør patienter orienteres om følgende: </w:t>
      </w:r>
    </w:p>
    <w:p w:rsidR="00D20660" w:rsidRPr="0094354B" w:rsidRDefault="00D20660" w:rsidP="00D20660">
      <w:pPr>
        <w:pStyle w:val="Normalindrykning"/>
        <w:numPr>
          <w:ilvl w:val="0"/>
          <w:numId w:val="9"/>
        </w:numPr>
        <w:spacing w:after="0"/>
        <w:ind w:left="1276" w:hanging="425"/>
        <w:contextualSpacing/>
        <w:rPr>
          <w:sz w:val="24"/>
          <w:szCs w:val="24"/>
        </w:rPr>
      </w:pPr>
      <w:r w:rsidRPr="0094354B">
        <w:rPr>
          <w:iCs/>
          <w:sz w:val="24"/>
          <w:szCs w:val="24"/>
        </w:rPr>
        <w:t xml:space="preserve">Lægemidlet vil sandsynligvis påvirke din evne til at føre motorkøretøj. </w:t>
      </w:r>
    </w:p>
    <w:p w:rsidR="00D20660" w:rsidRPr="0094354B" w:rsidRDefault="00D20660" w:rsidP="00D20660">
      <w:pPr>
        <w:pStyle w:val="Normalindrykning"/>
        <w:numPr>
          <w:ilvl w:val="0"/>
          <w:numId w:val="9"/>
        </w:numPr>
        <w:spacing w:after="0"/>
        <w:ind w:left="1276" w:hanging="425"/>
        <w:contextualSpacing/>
        <w:rPr>
          <w:sz w:val="24"/>
          <w:szCs w:val="24"/>
        </w:rPr>
      </w:pPr>
      <w:r w:rsidRPr="0094354B">
        <w:rPr>
          <w:iCs/>
          <w:sz w:val="24"/>
          <w:szCs w:val="24"/>
        </w:rPr>
        <w:t xml:space="preserve">Kør ikke bil, før du er klar over, hvordan medicinen påvirker dig. </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4.8</w:t>
      </w:r>
      <w:r w:rsidRPr="0094354B">
        <w:rPr>
          <w:b/>
          <w:sz w:val="24"/>
          <w:szCs w:val="24"/>
        </w:rPr>
        <w:tab/>
        <w:t>Bivirkninger</w:t>
      </w:r>
    </w:p>
    <w:p w:rsidR="00D20660" w:rsidRPr="0094354B" w:rsidRDefault="00D20660" w:rsidP="00D20660">
      <w:pPr>
        <w:pStyle w:val="Normalindrykning"/>
        <w:spacing w:after="0"/>
        <w:ind w:left="851"/>
        <w:contextualSpacing/>
        <w:rPr>
          <w:sz w:val="24"/>
          <w:szCs w:val="24"/>
        </w:rPr>
      </w:pPr>
      <w:r w:rsidRPr="0094354B">
        <w:rPr>
          <w:sz w:val="24"/>
          <w:szCs w:val="24"/>
        </w:rPr>
        <w:t xml:space="preserve">Sikkerheden af fentanyl </w:t>
      </w:r>
      <w:proofErr w:type="spellStart"/>
      <w:r w:rsidRPr="0094354B">
        <w:rPr>
          <w:sz w:val="24"/>
          <w:szCs w:val="24"/>
        </w:rPr>
        <w:t>i.v</w:t>
      </w:r>
      <w:proofErr w:type="spellEnd"/>
      <w:r w:rsidRPr="0094354B">
        <w:rPr>
          <w:sz w:val="24"/>
          <w:szCs w:val="24"/>
        </w:rPr>
        <w:t xml:space="preserve">. blev evalueret hos 376 forsøgspersoner, som deltog i 20 kliniske studier til evaluering af fentanyl </w:t>
      </w:r>
      <w:proofErr w:type="spellStart"/>
      <w:r w:rsidRPr="0094354B">
        <w:rPr>
          <w:sz w:val="24"/>
          <w:szCs w:val="24"/>
        </w:rPr>
        <w:t>i.v</w:t>
      </w:r>
      <w:proofErr w:type="spellEnd"/>
      <w:r w:rsidRPr="0094354B">
        <w:rPr>
          <w:sz w:val="24"/>
          <w:szCs w:val="24"/>
        </w:rPr>
        <w:t xml:space="preserve">. som anæstesimiddel. Disse patienter tog mindst 1 dosis fentanyl </w:t>
      </w:r>
      <w:proofErr w:type="spellStart"/>
      <w:r w:rsidRPr="0094354B">
        <w:rPr>
          <w:sz w:val="24"/>
          <w:szCs w:val="24"/>
        </w:rPr>
        <w:t>i.v</w:t>
      </w:r>
      <w:proofErr w:type="spellEnd"/>
      <w:r w:rsidRPr="0094354B">
        <w:rPr>
          <w:sz w:val="24"/>
          <w:szCs w:val="24"/>
        </w:rPr>
        <w:t>. og leverede sikkerhedsdata. Baseret på samlede sikkerhedsdata fra disse kliniske studier var de mest almindeligt rapporterede (≥ 5</w:t>
      </w:r>
      <w:r>
        <w:rPr>
          <w:sz w:val="24"/>
          <w:szCs w:val="24"/>
        </w:rPr>
        <w:t xml:space="preserve"> %</w:t>
      </w:r>
      <w:r w:rsidRPr="0094354B">
        <w:rPr>
          <w:sz w:val="24"/>
          <w:szCs w:val="24"/>
        </w:rPr>
        <w:t xml:space="preserve"> tilfælde) bivirkninger (med</w:t>
      </w:r>
      <w:r>
        <w:rPr>
          <w:sz w:val="24"/>
          <w:szCs w:val="24"/>
        </w:rPr>
        <w:t xml:space="preserve"> %</w:t>
      </w:r>
      <w:r w:rsidRPr="0094354B">
        <w:rPr>
          <w:sz w:val="24"/>
          <w:szCs w:val="24"/>
        </w:rPr>
        <w:t xml:space="preserve"> tilfælde): kvalme (26,1); opkastning (18,6); muskelstivhed (10,4); hypotension (8,8); hypertension (8,8); bradykardi (6,1) og sedation (5,3).</w:t>
      </w:r>
    </w:p>
    <w:p w:rsidR="00D20660" w:rsidRPr="0094354B" w:rsidRDefault="00D20660" w:rsidP="00D20660">
      <w:pPr>
        <w:pStyle w:val="Normalindrykning"/>
        <w:spacing w:after="0"/>
        <w:ind w:left="851"/>
        <w:contextualSpacing/>
        <w:rPr>
          <w:sz w:val="24"/>
          <w:szCs w:val="24"/>
        </w:rPr>
      </w:pPr>
      <w:r w:rsidRPr="0094354B">
        <w:rPr>
          <w:sz w:val="24"/>
          <w:szCs w:val="24"/>
        </w:rPr>
        <w:t xml:space="preserve">Ud over ovenstående bivirkninger viser Tabel 1 bivirkninger, som er rapporteret ved brug af fentanyl </w:t>
      </w:r>
      <w:proofErr w:type="spellStart"/>
      <w:r w:rsidRPr="0094354B">
        <w:rPr>
          <w:sz w:val="24"/>
          <w:szCs w:val="24"/>
        </w:rPr>
        <w:t>i.v</w:t>
      </w:r>
      <w:proofErr w:type="spellEnd"/>
      <w:r w:rsidRPr="0094354B">
        <w:rPr>
          <w:sz w:val="24"/>
          <w:szCs w:val="24"/>
        </w:rPr>
        <w:t>. fra enten kliniske studier eller efter markedsføring.</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pStyle w:val="Normalindrykning"/>
        <w:spacing w:after="0"/>
        <w:ind w:left="851"/>
        <w:contextualSpacing/>
        <w:rPr>
          <w:sz w:val="24"/>
          <w:szCs w:val="24"/>
        </w:rPr>
      </w:pPr>
      <w:r w:rsidRPr="0094354B">
        <w:rPr>
          <w:sz w:val="24"/>
          <w:szCs w:val="24"/>
        </w:rPr>
        <w:t>De viste hyppighedskategorier bruger følgende konvention: Meget almindelig (≥1/10); almindelig (≥1/100 til &lt;1/10); ikke almindelig (≥1/1.000 til &lt;1/100); sjælden (≥1/10.000 til &lt;1/1000); meget sjælden (&lt;1/10.000); og ikke kendt (kan ikke estimeres ud fra forhåndenværende kliniske forsøgsdata).</w:t>
      </w:r>
    </w:p>
    <w:p w:rsidR="000B5B6B" w:rsidRDefault="000B5B6B">
      <w:pPr>
        <w:rPr>
          <w:sz w:val="24"/>
          <w:szCs w:val="24"/>
          <w:lang w:eastAsia="en-GB"/>
        </w:rPr>
      </w:pPr>
      <w:r>
        <w:rPr>
          <w:sz w:val="24"/>
          <w:szCs w:val="24"/>
        </w:rPr>
        <w:br w:type="page"/>
      </w:r>
    </w:p>
    <w:p w:rsidR="00D20660" w:rsidRPr="0094354B" w:rsidRDefault="00D20660" w:rsidP="00D20660">
      <w:pPr>
        <w:pStyle w:val="Normalindrykning"/>
        <w:spacing w:after="0"/>
        <w:ind w:left="851" w:hanging="851"/>
        <w:contextualSpacing/>
        <w:rPr>
          <w:sz w:val="24"/>
          <w:szCs w:val="24"/>
        </w:rPr>
      </w:pPr>
    </w:p>
    <w:p w:rsidR="00D20660" w:rsidRPr="0077753C" w:rsidRDefault="00D20660" w:rsidP="00D20660">
      <w:pPr>
        <w:pStyle w:val="Normalindrykning"/>
        <w:spacing w:after="0"/>
        <w:ind w:left="851" w:hanging="851"/>
        <w:contextualSpacing/>
        <w:rPr>
          <w:b/>
          <w:sz w:val="24"/>
          <w:szCs w:val="24"/>
        </w:rPr>
      </w:pPr>
      <w:r w:rsidRPr="0077753C">
        <w:rPr>
          <w:b/>
          <w:sz w:val="24"/>
          <w:szCs w:val="24"/>
        </w:rPr>
        <w:t>Tabel 1: 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369"/>
        <w:gridCol w:w="1463"/>
        <w:gridCol w:w="1997"/>
        <w:gridCol w:w="2519"/>
      </w:tblGrid>
      <w:tr w:rsidR="00D20660" w:rsidRPr="0042642B" w:rsidTr="00363661">
        <w:tc>
          <w:tcPr>
            <w:tcW w:w="1184" w:type="pct"/>
            <w:vMerge w:val="restar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Systemorganklasse</w:t>
            </w:r>
          </w:p>
        </w:tc>
        <w:tc>
          <w:tcPr>
            <w:tcW w:w="3816" w:type="pct"/>
            <w:gridSpan w:val="4"/>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Bivirkninger</w:t>
            </w:r>
          </w:p>
        </w:tc>
      </w:tr>
      <w:tr w:rsidR="00D20660" w:rsidRPr="0042642B" w:rsidTr="00363661">
        <w:tc>
          <w:tcPr>
            <w:tcW w:w="1184" w:type="pct"/>
            <w:vMerge/>
            <w:tcBorders>
              <w:top w:val="single" w:sz="4" w:space="0" w:color="auto"/>
              <w:left w:val="single" w:sz="4" w:space="0" w:color="auto"/>
              <w:bottom w:val="single" w:sz="4" w:space="0" w:color="auto"/>
              <w:right w:val="single" w:sz="4" w:space="0" w:color="auto"/>
            </w:tcBorders>
            <w:vAlign w:val="center"/>
            <w:hideMark/>
          </w:tcPr>
          <w:p w:rsidR="00D20660" w:rsidRPr="0042642B" w:rsidRDefault="00D20660" w:rsidP="003B4BCE">
            <w:pPr>
              <w:rPr>
                <w:b/>
                <w:sz w:val="22"/>
                <w:szCs w:val="22"/>
                <w:lang w:eastAsia="en-GB"/>
              </w:rPr>
            </w:pPr>
          </w:p>
        </w:tc>
        <w:tc>
          <w:tcPr>
            <w:tcW w:w="3816" w:type="pct"/>
            <w:gridSpan w:val="4"/>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Hyppighedskategori</w:t>
            </w:r>
          </w:p>
        </w:tc>
      </w:tr>
      <w:tr w:rsidR="00D20660" w:rsidRPr="0042642B" w:rsidTr="00363661">
        <w:trPr>
          <w:trHeight w:val="748"/>
        </w:trPr>
        <w:tc>
          <w:tcPr>
            <w:tcW w:w="1184" w:type="pct"/>
            <w:vMerge/>
            <w:tcBorders>
              <w:top w:val="single" w:sz="4" w:space="0" w:color="auto"/>
              <w:left w:val="single" w:sz="4" w:space="0" w:color="auto"/>
              <w:bottom w:val="single" w:sz="4" w:space="0" w:color="auto"/>
              <w:right w:val="single" w:sz="4" w:space="0" w:color="auto"/>
            </w:tcBorders>
            <w:vAlign w:val="center"/>
            <w:hideMark/>
          </w:tcPr>
          <w:p w:rsidR="00D20660" w:rsidRPr="0042642B" w:rsidRDefault="00D20660" w:rsidP="003B4BCE">
            <w:pPr>
              <w:rPr>
                <w:b/>
                <w:sz w:val="22"/>
                <w:szCs w:val="22"/>
                <w:lang w:eastAsia="en-GB"/>
              </w:rPr>
            </w:pPr>
          </w:p>
        </w:tc>
        <w:tc>
          <w:tcPr>
            <w:tcW w:w="711"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Meget almindelig (≥1/10)</w:t>
            </w: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Almindelig (≥1/100 til &lt;1/10)</w:t>
            </w: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Ikke almindelig (≥1/1.000 til &lt;1/100)</w:t>
            </w:r>
          </w:p>
        </w:tc>
        <w:tc>
          <w:tcPr>
            <w:tcW w:w="1309"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b/>
                <w:sz w:val="22"/>
                <w:szCs w:val="22"/>
              </w:rPr>
            </w:pPr>
            <w:r w:rsidRPr="0042642B">
              <w:rPr>
                <w:b/>
                <w:sz w:val="22"/>
                <w:szCs w:val="22"/>
              </w:rPr>
              <w:t>Ikke kendt</w:t>
            </w: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 xml:space="preserve">Immunsystemet </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037"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309"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 xml:space="preserve">Overfølsomhed (som </w:t>
            </w:r>
            <w:proofErr w:type="spellStart"/>
            <w:r w:rsidRPr="0042642B">
              <w:rPr>
                <w:sz w:val="22"/>
                <w:szCs w:val="22"/>
              </w:rPr>
              <w:t>anafylaktisk</w:t>
            </w:r>
            <w:proofErr w:type="spellEnd"/>
            <w:r w:rsidRPr="0042642B">
              <w:rPr>
                <w:sz w:val="22"/>
                <w:szCs w:val="22"/>
              </w:rPr>
              <w:t xml:space="preserve"> </w:t>
            </w:r>
            <w:proofErr w:type="spellStart"/>
            <w:r w:rsidRPr="0042642B">
              <w:rPr>
                <w:sz w:val="22"/>
                <w:szCs w:val="22"/>
              </w:rPr>
              <w:t>shock</w:t>
            </w:r>
            <w:proofErr w:type="spellEnd"/>
            <w:r w:rsidRPr="0042642B">
              <w:rPr>
                <w:sz w:val="22"/>
                <w:szCs w:val="22"/>
              </w:rPr>
              <w:t xml:space="preserve">, </w:t>
            </w:r>
            <w:proofErr w:type="spellStart"/>
            <w:r w:rsidRPr="0042642B">
              <w:rPr>
                <w:sz w:val="22"/>
                <w:szCs w:val="22"/>
              </w:rPr>
              <w:t>anafylaktisk</w:t>
            </w:r>
            <w:proofErr w:type="spellEnd"/>
            <w:r w:rsidRPr="0042642B">
              <w:rPr>
                <w:sz w:val="22"/>
                <w:szCs w:val="22"/>
              </w:rPr>
              <w:t xml:space="preserve"> reaktion, nældefeber)</w:t>
            </w: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Psykiske forstyrrelser</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Agitation</w:t>
            </w: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Eufori</w:t>
            </w:r>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r w:rsidRPr="0042642B">
              <w:rPr>
                <w:sz w:val="22"/>
                <w:szCs w:val="22"/>
              </w:rPr>
              <w:t>Delirium</w:t>
            </w: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 xml:space="preserve">Nervesystemet </w:t>
            </w:r>
          </w:p>
        </w:tc>
        <w:tc>
          <w:tcPr>
            <w:tcW w:w="711"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 xml:space="preserve">Muskelstivhed (som også kan omfatte </w:t>
            </w:r>
            <w:proofErr w:type="spellStart"/>
            <w:r w:rsidRPr="0042642B">
              <w:rPr>
                <w:sz w:val="22"/>
                <w:szCs w:val="22"/>
              </w:rPr>
              <w:t>thoraxmuskler</w:t>
            </w:r>
            <w:proofErr w:type="spellEnd"/>
            <w:r w:rsidRPr="0042642B">
              <w:rPr>
                <w:sz w:val="22"/>
                <w:szCs w:val="22"/>
              </w:rPr>
              <w:t>)</w:t>
            </w: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proofErr w:type="spellStart"/>
            <w:r w:rsidRPr="0042642B">
              <w:rPr>
                <w:sz w:val="22"/>
                <w:szCs w:val="22"/>
              </w:rPr>
              <w:t>Dyskinesi</w:t>
            </w:r>
            <w:proofErr w:type="spellEnd"/>
            <w:r w:rsidRPr="0042642B">
              <w:rPr>
                <w:sz w:val="22"/>
                <w:szCs w:val="22"/>
              </w:rPr>
              <w:t>;</w:t>
            </w:r>
          </w:p>
          <w:p w:rsidR="00D20660" w:rsidRPr="0042642B" w:rsidRDefault="00D20660" w:rsidP="003B4BCE">
            <w:pPr>
              <w:rPr>
                <w:sz w:val="22"/>
                <w:szCs w:val="22"/>
              </w:rPr>
            </w:pPr>
            <w:r w:rsidRPr="0042642B">
              <w:rPr>
                <w:sz w:val="22"/>
                <w:szCs w:val="22"/>
              </w:rPr>
              <w:t>Sedation;</w:t>
            </w:r>
          </w:p>
          <w:p w:rsidR="00D20660" w:rsidRPr="0042642B" w:rsidRDefault="00D20660" w:rsidP="003B4BCE">
            <w:pPr>
              <w:rPr>
                <w:sz w:val="22"/>
                <w:szCs w:val="22"/>
              </w:rPr>
            </w:pPr>
            <w:r w:rsidRPr="0042642B">
              <w:rPr>
                <w:sz w:val="22"/>
                <w:szCs w:val="22"/>
              </w:rPr>
              <w:t>Svimmelhed</w:t>
            </w: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Hovedpine</w:t>
            </w:r>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r w:rsidRPr="0042642B">
              <w:rPr>
                <w:sz w:val="22"/>
                <w:szCs w:val="22"/>
              </w:rPr>
              <w:t>Krampeanfald;</w:t>
            </w:r>
          </w:p>
          <w:p w:rsidR="00D20660" w:rsidRPr="0042642B" w:rsidRDefault="00D20660" w:rsidP="003B4BCE">
            <w:pPr>
              <w:rPr>
                <w:sz w:val="22"/>
                <w:szCs w:val="22"/>
              </w:rPr>
            </w:pPr>
            <w:r w:rsidRPr="0042642B">
              <w:rPr>
                <w:sz w:val="22"/>
                <w:szCs w:val="22"/>
              </w:rPr>
              <w:t>Manglende bevidsthed;</w:t>
            </w:r>
          </w:p>
          <w:p w:rsidR="00D20660" w:rsidRPr="0042642B" w:rsidRDefault="00D20660" w:rsidP="003B4BCE">
            <w:pPr>
              <w:rPr>
                <w:sz w:val="22"/>
                <w:szCs w:val="22"/>
              </w:rPr>
            </w:pPr>
            <w:proofErr w:type="spellStart"/>
            <w:r w:rsidRPr="0042642B">
              <w:rPr>
                <w:sz w:val="22"/>
                <w:szCs w:val="22"/>
              </w:rPr>
              <w:t>Myoclonus</w:t>
            </w:r>
            <w:proofErr w:type="spellEnd"/>
          </w:p>
          <w:p w:rsidR="00D20660" w:rsidRPr="0042642B" w:rsidRDefault="00D20660" w:rsidP="003B4BCE">
            <w:pPr>
              <w:rPr>
                <w:sz w:val="22"/>
                <w:szCs w:val="22"/>
              </w:rPr>
            </w:pP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 xml:space="preserve">Øjne </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Synsbesvær</w:t>
            </w:r>
          </w:p>
        </w:tc>
        <w:tc>
          <w:tcPr>
            <w:tcW w:w="1037"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Hjerte</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Bradykardi;</w:t>
            </w:r>
          </w:p>
          <w:p w:rsidR="00D20660" w:rsidRPr="0042642B" w:rsidRDefault="00D20660" w:rsidP="003B4BCE">
            <w:pPr>
              <w:rPr>
                <w:sz w:val="22"/>
                <w:szCs w:val="22"/>
              </w:rPr>
            </w:pPr>
            <w:proofErr w:type="spellStart"/>
            <w:r w:rsidRPr="0042642B">
              <w:rPr>
                <w:sz w:val="22"/>
                <w:szCs w:val="22"/>
              </w:rPr>
              <w:t>Takykardi</w:t>
            </w:r>
            <w:proofErr w:type="spellEnd"/>
            <w:r w:rsidRPr="0042642B">
              <w:rPr>
                <w:sz w:val="22"/>
                <w:szCs w:val="22"/>
              </w:rPr>
              <w:t>;</w:t>
            </w:r>
          </w:p>
          <w:p w:rsidR="00D20660" w:rsidRPr="0042642B" w:rsidRDefault="00D20660" w:rsidP="003B4BCE">
            <w:pPr>
              <w:rPr>
                <w:sz w:val="22"/>
                <w:szCs w:val="22"/>
              </w:rPr>
            </w:pPr>
            <w:proofErr w:type="spellStart"/>
            <w:r w:rsidRPr="0042642B">
              <w:rPr>
                <w:sz w:val="22"/>
                <w:szCs w:val="22"/>
              </w:rPr>
              <w:t>Arrytmi</w:t>
            </w:r>
            <w:proofErr w:type="spellEnd"/>
          </w:p>
        </w:tc>
        <w:tc>
          <w:tcPr>
            <w:tcW w:w="1037"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309"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Hjertestop</w:t>
            </w: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proofErr w:type="spellStart"/>
            <w:r w:rsidRPr="0042642B">
              <w:rPr>
                <w:sz w:val="22"/>
                <w:szCs w:val="22"/>
              </w:rPr>
              <w:t>Vaskulære</w:t>
            </w:r>
            <w:proofErr w:type="spellEnd"/>
            <w:r w:rsidRPr="0042642B">
              <w:rPr>
                <w:sz w:val="22"/>
                <w:szCs w:val="22"/>
              </w:rPr>
              <w:t xml:space="preserve"> sygdomme</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Hypotension;</w:t>
            </w:r>
          </w:p>
          <w:p w:rsidR="00D20660" w:rsidRPr="0042642B" w:rsidRDefault="00D20660" w:rsidP="003B4BCE">
            <w:pPr>
              <w:rPr>
                <w:sz w:val="22"/>
                <w:szCs w:val="22"/>
              </w:rPr>
            </w:pPr>
            <w:r w:rsidRPr="0042642B">
              <w:rPr>
                <w:sz w:val="22"/>
                <w:szCs w:val="22"/>
              </w:rPr>
              <w:t>Hypertension;</w:t>
            </w:r>
          </w:p>
          <w:p w:rsidR="00D20660" w:rsidRPr="0042642B" w:rsidRDefault="00D20660" w:rsidP="003B4BCE">
            <w:pPr>
              <w:rPr>
                <w:sz w:val="22"/>
                <w:szCs w:val="22"/>
              </w:rPr>
            </w:pPr>
            <w:r w:rsidRPr="0042642B">
              <w:rPr>
                <w:sz w:val="22"/>
                <w:szCs w:val="22"/>
              </w:rPr>
              <w:t>Venesmerte</w:t>
            </w: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proofErr w:type="spellStart"/>
            <w:r w:rsidRPr="0042642B">
              <w:rPr>
                <w:sz w:val="22"/>
                <w:szCs w:val="22"/>
              </w:rPr>
              <w:t>Phlebitis</w:t>
            </w:r>
            <w:proofErr w:type="spellEnd"/>
          </w:p>
          <w:p w:rsidR="00D20660" w:rsidRPr="0042642B" w:rsidRDefault="00D20660" w:rsidP="003B4BCE">
            <w:pPr>
              <w:rPr>
                <w:sz w:val="22"/>
                <w:szCs w:val="22"/>
              </w:rPr>
            </w:pPr>
            <w:r w:rsidRPr="0042642B">
              <w:rPr>
                <w:sz w:val="22"/>
                <w:szCs w:val="22"/>
              </w:rPr>
              <w:t>Blodtrykssvingninger</w:t>
            </w:r>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r>
      <w:tr w:rsidR="00D20660" w:rsidRPr="0042642B" w:rsidTr="00363661">
        <w:trPr>
          <w:trHeight w:val="971"/>
        </w:trPr>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 xml:space="preserve">Luftveje, thorax og </w:t>
            </w:r>
            <w:proofErr w:type="spellStart"/>
            <w:r w:rsidRPr="0042642B">
              <w:rPr>
                <w:sz w:val="22"/>
                <w:szCs w:val="22"/>
              </w:rPr>
              <w:t>mediastinum</w:t>
            </w:r>
            <w:proofErr w:type="spellEnd"/>
            <w:r w:rsidRPr="0042642B">
              <w:rPr>
                <w:sz w:val="22"/>
                <w:szCs w:val="22"/>
              </w:rPr>
              <w:t xml:space="preserve"> </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proofErr w:type="spellStart"/>
            <w:r w:rsidRPr="0042642B">
              <w:rPr>
                <w:sz w:val="22"/>
                <w:szCs w:val="22"/>
              </w:rPr>
              <w:t>Laryngospasme</w:t>
            </w:r>
            <w:proofErr w:type="spellEnd"/>
            <w:r w:rsidRPr="0042642B">
              <w:rPr>
                <w:sz w:val="22"/>
                <w:szCs w:val="22"/>
              </w:rPr>
              <w:t>;</w:t>
            </w:r>
          </w:p>
          <w:p w:rsidR="00D20660" w:rsidRPr="0042642B" w:rsidRDefault="00D20660" w:rsidP="003B4BCE">
            <w:pPr>
              <w:rPr>
                <w:sz w:val="22"/>
                <w:szCs w:val="22"/>
              </w:rPr>
            </w:pPr>
            <w:proofErr w:type="spellStart"/>
            <w:r w:rsidRPr="0042642B">
              <w:rPr>
                <w:sz w:val="22"/>
                <w:szCs w:val="22"/>
              </w:rPr>
              <w:t>Bronkospasme</w:t>
            </w:r>
            <w:proofErr w:type="spellEnd"/>
            <w:r w:rsidRPr="0042642B">
              <w:rPr>
                <w:sz w:val="22"/>
                <w:szCs w:val="22"/>
              </w:rPr>
              <w:t>;</w:t>
            </w:r>
          </w:p>
          <w:p w:rsidR="00D20660" w:rsidRPr="0042642B" w:rsidRDefault="00D20660" w:rsidP="003B4BCE">
            <w:pPr>
              <w:rPr>
                <w:sz w:val="22"/>
                <w:szCs w:val="22"/>
              </w:rPr>
            </w:pPr>
            <w:r w:rsidRPr="0042642B">
              <w:rPr>
                <w:sz w:val="22"/>
                <w:szCs w:val="22"/>
              </w:rPr>
              <w:t>Apnø</w:t>
            </w: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Hyperventilation;</w:t>
            </w:r>
          </w:p>
          <w:p w:rsidR="00D20660" w:rsidRPr="0042642B" w:rsidRDefault="00D20660" w:rsidP="003B4BCE">
            <w:pPr>
              <w:rPr>
                <w:sz w:val="22"/>
                <w:szCs w:val="22"/>
              </w:rPr>
            </w:pPr>
            <w:r w:rsidRPr="0042642B">
              <w:rPr>
                <w:sz w:val="22"/>
                <w:szCs w:val="22"/>
              </w:rPr>
              <w:t>Hikke</w:t>
            </w:r>
          </w:p>
        </w:tc>
        <w:tc>
          <w:tcPr>
            <w:tcW w:w="1309"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Respirationsdepression</w:t>
            </w:r>
          </w:p>
        </w:tc>
      </w:tr>
      <w:tr w:rsidR="00D20660" w:rsidRPr="0042642B" w:rsidTr="00363661">
        <w:trPr>
          <w:trHeight w:val="676"/>
        </w:trPr>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Mave-tarm-kanalen</w:t>
            </w:r>
          </w:p>
        </w:tc>
        <w:tc>
          <w:tcPr>
            <w:tcW w:w="711"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Kvalme;</w:t>
            </w:r>
          </w:p>
          <w:p w:rsidR="00D20660" w:rsidRPr="0042642B" w:rsidRDefault="00D20660" w:rsidP="003B4BCE">
            <w:pPr>
              <w:rPr>
                <w:sz w:val="22"/>
                <w:szCs w:val="22"/>
              </w:rPr>
            </w:pPr>
            <w:r w:rsidRPr="0042642B">
              <w:rPr>
                <w:sz w:val="22"/>
                <w:szCs w:val="22"/>
              </w:rPr>
              <w:t>Opkastning</w:t>
            </w:r>
          </w:p>
        </w:tc>
        <w:tc>
          <w:tcPr>
            <w:tcW w:w="760"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037" w:type="pct"/>
            <w:tcBorders>
              <w:top w:val="single" w:sz="4" w:space="0" w:color="auto"/>
              <w:left w:val="single" w:sz="4" w:space="0" w:color="auto"/>
              <w:bottom w:val="single" w:sz="4" w:space="0" w:color="auto"/>
              <w:right w:val="single" w:sz="4" w:space="0" w:color="auto"/>
            </w:tcBorders>
          </w:tcPr>
          <w:p w:rsidR="00D20660" w:rsidRPr="0042642B" w:rsidRDefault="00A20ADD" w:rsidP="003B4BCE">
            <w:pPr>
              <w:rPr>
                <w:sz w:val="22"/>
                <w:szCs w:val="22"/>
              </w:rPr>
            </w:pPr>
            <w:proofErr w:type="spellStart"/>
            <w:r>
              <w:t>Dysfagi</w:t>
            </w:r>
            <w:proofErr w:type="spellEnd"/>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Hud og subkutane væv</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Allergisk eksem</w:t>
            </w:r>
          </w:p>
        </w:tc>
        <w:tc>
          <w:tcPr>
            <w:tcW w:w="1037"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309"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proofErr w:type="spellStart"/>
            <w:r w:rsidRPr="0042642B">
              <w:rPr>
                <w:sz w:val="22"/>
                <w:szCs w:val="22"/>
              </w:rPr>
              <w:t>Pruritis</w:t>
            </w:r>
            <w:proofErr w:type="spellEnd"/>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Almene symptomer og reaktioner på administrationsstedet</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Kulderystelser;</w:t>
            </w:r>
          </w:p>
          <w:p w:rsidR="00D20660" w:rsidRPr="0042642B" w:rsidRDefault="00D20660" w:rsidP="003B4BCE">
            <w:pPr>
              <w:rPr>
                <w:sz w:val="22"/>
                <w:szCs w:val="22"/>
              </w:rPr>
            </w:pPr>
            <w:proofErr w:type="spellStart"/>
            <w:r w:rsidRPr="0042642B">
              <w:rPr>
                <w:sz w:val="22"/>
                <w:szCs w:val="22"/>
              </w:rPr>
              <w:t>Hypotermi</w:t>
            </w:r>
            <w:proofErr w:type="spellEnd"/>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r w:rsidRPr="0042642B">
              <w:rPr>
                <w:sz w:val="22"/>
                <w:szCs w:val="22"/>
              </w:rPr>
              <w:t>Lægemiddelabstinenssyndrom (se pkt. 4.4)</w:t>
            </w:r>
          </w:p>
        </w:tc>
      </w:tr>
      <w:tr w:rsidR="00D20660" w:rsidRPr="0042642B" w:rsidTr="00363661">
        <w:tc>
          <w:tcPr>
            <w:tcW w:w="1184"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Traumer, forgiftninger og behandlingskomplikationer</w:t>
            </w:r>
          </w:p>
        </w:tc>
        <w:tc>
          <w:tcPr>
            <w:tcW w:w="711"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c>
          <w:tcPr>
            <w:tcW w:w="760"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Postoperativ forvirring</w:t>
            </w:r>
          </w:p>
        </w:tc>
        <w:tc>
          <w:tcPr>
            <w:tcW w:w="1037" w:type="pct"/>
            <w:tcBorders>
              <w:top w:val="single" w:sz="4" w:space="0" w:color="auto"/>
              <w:left w:val="single" w:sz="4" w:space="0" w:color="auto"/>
              <w:bottom w:val="single" w:sz="4" w:space="0" w:color="auto"/>
              <w:right w:val="single" w:sz="4" w:space="0" w:color="auto"/>
            </w:tcBorders>
            <w:hideMark/>
          </w:tcPr>
          <w:p w:rsidR="00D20660" w:rsidRPr="0042642B" w:rsidRDefault="00D20660" w:rsidP="003B4BCE">
            <w:pPr>
              <w:rPr>
                <w:sz w:val="22"/>
                <w:szCs w:val="22"/>
              </w:rPr>
            </w:pPr>
            <w:r w:rsidRPr="0042642B">
              <w:rPr>
                <w:sz w:val="22"/>
                <w:szCs w:val="22"/>
              </w:rPr>
              <w:t>Luftvejskomplikationer som følge af anæstesi</w:t>
            </w:r>
          </w:p>
        </w:tc>
        <w:tc>
          <w:tcPr>
            <w:tcW w:w="1309" w:type="pct"/>
            <w:tcBorders>
              <w:top w:val="single" w:sz="4" w:space="0" w:color="auto"/>
              <w:left w:val="single" w:sz="4" w:space="0" w:color="auto"/>
              <w:bottom w:val="single" w:sz="4" w:space="0" w:color="auto"/>
              <w:right w:val="single" w:sz="4" w:space="0" w:color="auto"/>
            </w:tcBorders>
          </w:tcPr>
          <w:p w:rsidR="00D20660" w:rsidRPr="0042642B" w:rsidRDefault="00D20660" w:rsidP="003B4BCE">
            <w:pPr>
              <w:rPr>
                <w:sz w:val="22"/>
                <w:szCs w:val="22"/>
              </w:rPr>
            </w:pPr>
          </w:p>
        </w:tc>
      </w:tr>
    </w:tbl>
    <w:p w:rsidR="00D20660" w:rsidRPr="0094354B" w:rsidRDefault="00D20660" w:rsidP="00D20660">
      <w:pPr>
        <w:pStyle w:val="Normalindrykning"/>
        <w:spacing w:after="0"/>
        <w:ind w:left="851" w:hanging="851"/>
        <w:contextualSpacing/>
        <w:rPr>
          <w:sz w:val="24"/>
          <w:szCs w:val="24"/>
        </w:rPr>
      </w:pPr>
    </w:p>
    <w:p w:rsidR="00D20660" w:rsidRPr="00176DA4" w:rsidRDefault="00D20660" w:rsidP="00D20660">
      <w:pPr>
        <w:ind w:left="851"/>
        <w:rPr>
          <w:sz w:val="24"/>
          <w:szCs w:val="24"/>
        </w:rPr>
      </w:pPr>
      <w:r w:rsidRPr="00176DA4">
        <w:rPr>
          <w:sz w:val="24"/>
          <w:szCs w:val="24"/>
        </w:rPr>
        <w:t>Hvis der bruge</w:t>
      </w:r>
      <w:r w:rsidR="00667C2F">
        <w:rPr>
          <w:sz w:val="24"/>
          <w:szCs w:val="24"/>
        </w:rPr>
        <w:t>s</w:t>
      </w:r>
      <w:r w:rsidRPr="00176DA4">
        <w:rPr>
          <w:sz w:val="24"/>
          <w:szCs w:val="24"/>
        </w:rPr>
        <w:t xml:space="preserve"> et </w:t>
      </w:r>
      <w:proofErr w:type="spellStart"/>
      <w:r w:rsidRPr="00176DA4">
        <w:rPr>
          <w:sz w:val="24"/>
          <w:szCs w:val="24"/>
        </w:rPr>
        <w:t>neuroleptikum</w:t>
      </w:r>
      <w:proofErr w:type="spellEnd"/>
      <w:r w:rsidRPr="00176DA4">
        <w:rPr>
          <w:sz w:val="24"/>
          <w:szCs w:val="24"/>
        </w:rPr>
        <w:t xml:space="preserve"> bruges med fentanyl er der mulighed for at observere følgende bivirkninger: kulderystelser og/eller rystelser, rastløshed, postoperative hallucinatoriske episoder og ekstrapyramidale symptomer (se </w:t>
      </w:r>
      <w:r>
        <w:rPr>
          <w:sz w:val="24"/>
          <w:szCs w:val="24"/>
        </w:rPr>
        <w:t>pkt.</w:t>
      </w:r>
      <w:r w:rsidRPr="00176DA4">
        <w:rPr>
          <w:sz w:val="24"/>
          <w:szCs w:val="24"/>
        </w:rPr>
        <w:t xml:space="preserve"> 4.4).</w:t>
      </w:r>
    </w:p>
    <w:p w:rsidR="00D20660" w:rsidRPr="00176DA4" w:rsidRDefault="00D20660" w:rsidP="00D20660">
      <w:pPr>
        <w:ind w:left="851"/>
        <w:rPr>
          <w:sz w:val="24"/>
          <w:szCs w:val="24"/>
        </w:rPr>
      </w:pPr>
    </w:p>
    <w:p w:rsidR="00D20660" w:rsidRPr="00176DA4" w:rsidRDefault="00D20660" w:rsidP="00D20660">
      <w:pPr>
        <w:ind w:left="851"/>
        <w:rPr>
          <w:sz w:val="24"/>
          <w:szCs w:val="24"/>
          <w:u w:val="single"/>
        </w:rPr>
      </w:pPr>
      <w:r w:rsidRPr="00176DA4">
        <w:rPr>
          <w:sz w:val="24"/>
          <w:szCs w:val="24"/>
          <w:u w:val="single"/>
        </w:rPr>
        <w:t>Indberetning af formodede bivirkninger</w:t>
      </w:r>
    </w:p>
    <w:p w:rsidR="00D20660" w:rsidRPr="00176DA4" w:rsidRDefault="00D20660" w:rsidP="00D20660">
      <w:pPr>
        <w:ind w:left="851"/>
        <w:rPr>
          <w:sz w:val="24"/>
          <w:szCs w:val="24"/>
        </w:rPr>
      </w:pPr>
      <w:r w:rsidRPr="00176DA4">
        <w:rPr>
          <w:sz w:val="24"/>
          <w:szCs w:val="24"/>
        </w:rPr>
        <w:t>Når lægemidlet er godkendt, er indberetning af formodede bivirkninger vigtig. Det muliggør løbende overvågning af benefit/</w:t>
      </w:r>
      <w:proofErr w:type="spellStart"/>
      <w:r w:rsidRPr="00176DA4">
        <w:rPr>
          <w:sz w:val="24"/>
          <w:szCs w:val="24"/>
        </w:rPr>
        <w:t>risk</w:t>
      </w:r>
      <w:proofErr w:type="spellEnd"/>
      <w:r w:rsidRPr="00176DA4">
        <w:rPr>
          <w:sz w:val="24"/>
          <w:szCs w:val="24"/>
        </w:rPr>
        <w:t xml:space="preserve">-forholdet for lægemidlet. </w:t>
      </w:r>
      <w:r w:rsidR="00667C2F">
        <w:rPr>
          <w:sz w:val="24"/>
          <w:szCs w:val="24"/>
        </w:rPr>
        <w:t>S</w:t>
      </w:r>
      <w:r w:rsidRPr="00176DA4">
        <w:rPr>
          <w:sz w:val="24"/>
          <w:szCs w:val="24"/>
        </w:rPr>
        <w:t>undhedsperson</w:t>
      </w:r>
      <w:r w:rsidR="00667C2F">
        <w:rPr>
          <w:sz w:val="24"/>
          <w:szCs w:val="24"/>
        </w:rPr>
        <w:t>er</w:t>
      </w:r>
      <w:r w:rsidRPr="00176DA4">
        <w:rPr>
          <w:sz w:val="24"/>
          <w:szCs w:val="24"/>
        </w:rPr>
        <w:t xml:space="preserve"> anmodes om at indberette alle formodede bivirkninger via </w:t>
      </w:r>
    </w:p>
    <w:p w:rsidR="00D20660" w:rsidRPr="00176DA4" w:rsidRDefault="00D20660" w:rsidP="00D20660">
      <w:pPr>
        <w:ind w:left="851"/>
        <w:rPr>
          <w:sz w:val="24"/>
          <w:szCs w:val="24"/>
        </w:rPr>
      </w:pPr>
    </w:p>
    <w:p w:rsidR="00D20660" w:rsidRPr="00176DA4" w:rsidRDefault="00D20660" w:rsidP="00D20660">
      <w:pPr>
        <w:ind w:left="851"/>
        <w:rPr>
          <w:sz w:val="24"/>
          <w:szCs w:val="24"/>
        </w:rPr>
      </w:pPr>
      <w:r w:rsidRPr="00176DA4">
        <w:rPr>
          <w:sz w:val="24"/>
          <w:szCs w:val="24"/>
        </w:rPr>
        <w:t>Lægemiddelstyrelsen</w:t>
      </w:r>
    </w:p>
    <w:p w:rsidR="00D20660" w:rsidRPr="00176DA4" w:rsidRDefault="00D20660" w:rsidP="00D20660">
      <w:pPr>
        <w:ind w:left="851"/>
        <w:rPr>
          <w:sz w:val="24"/>
          <w:szCs w:val="24"/>
        </w:rPr>
      </w:pPr>
      <w:r w:rsidRPr="00176DA4">
        <w:rPr>
          <w:sz w:val="24"/>
          <w:szCs w:val="24"/>
        </w:rPr>
        <w:t>Axel Heides Gade 1</w:t>
      </w:r>
    </w:p>
    <w:p w:rsidR="00D20660" w:rsidRPr="00176DA4" w:rsidRDefault="00D20660" w:rsidP="00D20660">
      <w:pPr>
        <w:ind w:left="851"/>
        <w:rPr>
          <w:sz w:val="24"/>
          <w:szCs w:val="24"/>
        </w:rPr>
      </w:pPr>
      <w:r w:rsidRPr="00176DA4">
        <w:rPr>
          <w:sz w:val="24"/>
          <w:szCs w:val="24"/>
        </w:rPr>
        <w:t>2300 København S</w:t>
      </w:r>
    </w:p>
    <w:p w:rsidR="00D20660" w:rsidRPr="00BE753E" w:rsidRDefault="00D20660" w:rsidP="00D20660">
      <w:pPr>
        <w:ind w:left="851"/>
        <w:rPr>
          <w:sz w:val="24"/>
          <w:szCs w:val="24"/>
        </w:rPr>
      </w:pPr>
      <w:r w:rsidRPr="00BE753E">
        <w:rPr>
          <w:sz w:val="24"/>
          <w:szCs w:val="24"/>
        </w:rPr>
        <w:t xml:space="preserve">Websted: </w:t>
      </w:r>
      <w:hyperlink r:id="rId8" w:history="1">
        <w:r w:rsidRPr="00BE753E">
          <w:rPr>
            <w:rStyle w:val="Hyperlink"/>
            <w:sz w:val="24"/>
            <w:szCs w:val="24"/>
          </w:rPr>
          <w:t>www.meldenbivirkning.dk</w:t>
        </w:r>
      </w:hyperlink>
    </w:p>
    <w:p w:rsidR="00D20660" w:rsidRPr="00BE753E" w:rsidRDefault="00D20660" w:rsidP="00D20660">
      <w:pPr>
        <w:pStyle w:val="Sidehoved"/>
        <w:tabs>
          <w:tab w:val="left" w:pos="851"/>
        </w:tabs>
        <w:ind w:left="851" w:hanging="851"/>
        <w:rPr>
          <w:szCs w:val="24"/>
        </w:rPr>
      </w:pPr>
    </w:p>
    <w:p w:rsidR="00D20660" w:rsidRPr="0094354B" w:rsidRDefault="00D20660" w:rsidP="00D20660">
      <w:pPr>
        <w:tabs>
          <w:tab w:val="left" w:pos="851"/>
        </w:tabs>
        <w:ind w:left="851" w:hanging="851"/>
        <w:rPr>
          <w:b/>
          <w:sz w:val="24"/>
          <w:szCs w:val="24"/>
        </w:rPr>
      </w:pPr>
      <w:r w:rsidRPr="0094354B">
        <w:rPr>
          <w:b/>
          <w:sz w:val="24"/>
          <w:szCs w:val="24"/>
        </w:rPr>
        <w:t>4.9</w:t>
      </w:r>
      <w:r w:rsidRPr="0094354B">
        <w:rPr>
          <w:b/>
          <w:sz w:val="24"/>
          <w:szCs w:val="24"/>
        </w:rPr>
        <w:tab/>
        <w:t>Overdosering</w:t>
      </w:r>
    </w:p>
    <w:p w:rsidR="00D20660" w:rsidRDefault="00D20660" w:rsidP="00C44106">
      <w:pPr>
        <w:ind w:left="851"/>
        <w:contextualSpacing/>
        <w:rPr>
          <w:i/>
          <w:sz w:val="24"/>
          <w:szCs w:val="24"/>
        </w:rPr>
      </w:pPr>
    </w:p>
    <w:p w:rsidR="00D20660" w:rsidRPr="0094354B" w:rsidRDefault="00D20660" w:rsidP="00C44106">
      <w:pPr>
        <w:ind w:left="851"/>
        <w:contextualSpacing/>
        <w:rPr>
          <w:i/>
          <w:sz w:val="24"/>
          <w:szCs w:val="24"/>
          <w:lang w:eastAsia="en-GB"/>
        </w:rPr>
      </w:pPr>
      <w:r w:rsidRPr="0094354B">
        <w:rPr>
          <w:i/>
          <w:sz w:val="24"/>
          <w:szCs w:val="24"/>
        </w:rPr>
        <w:t>Sy</w:t>
      </w:r>
      <w:r>
        <w:rPr>
          <w:i/>
          <w:sz w:val="24"/>
          <w:szCs w:val="24"/>
        </w:rPr>
        <w:t>m</w:t>
      </w:r>
      <w:r w:rsidRPr="0094354B">
        <w:rPr>
          <w:i/>
          <w:sz w:val="24"/>
          <w:szCs w:val="24"/>
        </w:rPr>
        <w:t>ptomer og tegn:</w:t>
      </w:r>
    </w:p>
    <w:p w:rsidR="00D20660" w:rsidRPr="0094354B" w:rsidRDefault="00D20660" w:rsidP="00C44106">
      <w:pPr>
        <w:ind w:left="851"/>
        <w:rPr>
          <w:sz w:val="24"/>
          <w:szCs w:val="24"/>
        </w:rPr>
      </w:pPr>
    </w:p>
    <w:p w:rsidR="00C44106" w:rsidRDefault="00D20660" w:rsidP="00C44106">
      <w:pPr>
        <w:pStyle w:val="Brdtekst"/>
        <w:spacing w:after="0"/>
        <w:ind w:left="851" w:right="304"/>
        <w:rPr>
          <w:sz w:val="22"/>
          <w:lang w:eastAsia="en-US"/>
        </w:rPr>
      </w:pPr>
      <w:r w:rsidRPr="0094354B">
        <w:t xml:space="preserve">Symptomerne på fentanyloverdosering er generelt en udvidelse af fentanyls farmakologiske egenskaber. Afhængigt af den individuelle følsomhed bestemmes det kliniske billede af graden af respirationsdepression, hvilket varierer fra </w:t>
      </w:r>
      <w:proofErr w:type="spellStart"/>
      <w:r w:rsidRPr="0094354B">
        <w:t>bradypnø</w:t>
      </w:r>
      <w:proofErr w:type="spellEnd"/>
      <w:r w:rsidRPr="0094354B">
        <w:t xml:space="preserve"> til apnø</w:t>
      </w:r>
      <w:r w:rsidR="00A31C88">
        <w:t>.</w:t>
      </w:r>
      <w:r w:rsidR="00C44106">
        <w:rPr>
          <w:spacing w:val="-1"/>
        </w:rPr>
        <w:t xml:space="preserve"> </w:t>
      </w:r>
      <w:r w:rsidR="00C44106">
        <w:t xml:space="preserve">Der er observeret toksisk </w:t>
      </w:r>
      <w:proofErr w:type="spellStart"/>
      <w:r w:rsidR="00C44106">
        <w:t>leukoencefalopati</w:t>
      </w:r>
      <w:proofErr w:type="spellEnd"/>
      <w:r w:rsidR="00C44106">
        <w:t xml:space="preserve"> ved overdosering af fentanyl</w:t>
      </w:r>
      <w:r w:rsidR="00C44106">
        <w:rPr>
          <w:spacing w:val="-1"/>
        </w:rPr>
        <w:t>.</w:t>
      </w:r>
    </w:p>
    <w:p w:rsidR="00D20660" w:rsidRPr="00667C2F" w:rsidRDefault="00D20660" w:rsidP="00C44106">
      <w:pPr>
        <w:ind w:left="851"/>
        <w:rPr>
          <w:sz w:val="24"/>
          <w:szCs w:val="24"/>
        </w:rPr>
      </w:pPr>
    </w:p>
    <w:p w:rsidR="00D20660" w:rsidRPr="0094354B" w:rsidRDefault="00D20660" w:rsidP="00C44106">
      <w:pPr>
        <w:ind w:left="851"/>
        <w:contextualSpacing/>
        <w:rPr>
          <w:sz w:val="24"/>
          <w:szCs w:val="24"/>
        </w:rPr>
      </w:pPr>
      <w:r w:rsidRPr="0094354B">
        <w:rPr>
          <w:i/>
          <w:sz w:val="24"/>
          <w:szCs w:val="24"/>
        </w:rPr>
        <w:t>Behandling:</w:t>
      </w:r>
    </w:p>
    <w:p w:rsidR="00D20660" w:rsidRPr="0094354B" w:rsidRDefault="00D20660" w:rsidP="00C44106">
      <w:pPr>
        <w:ind w:left="851"/>
        <w:contextualSpacing/>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529"/>
      </w:tblGrid>
      <w:tr w:rsidR="00D20660" w:rsidRPr="00176DA4" w:rsidTr="003B4BCE">
        <w:tc>
          <w:tcPr>
            <w:tcW w:w="1854" w:type="pct"/>
            <w:tcBorders>
              <w:top w:val="single" w:sz="4" w:space="0" w:color="auto"/>
              <w:left w:val="single" w:sz="4" w:space="0" w:color="auto"/>
              <w:bottom w:val="single" w:sz="4" w:space="0" w:color="auto"/>
              <w:right w:val="single" w:sz="4" w:space="0" w:color="auto"/>
            </w:tcBorders>
            <w:hideMark/>
          </w:tcPr>
          <w:p w:rsidR="00D20660" w:rsidRPr="00176DA4" w:rsidRDefault="00D20660" w:rsidP="003B4BCE">
            <w:pPr>
              <w:rPr>
                <w:sz w:val="24"/>
                <w:szCs w:val="24"/>
              </w:rPr>
            </w:pPr>
            <w:proofErr w:type="spellStart"/>
            <w:r w:rsidRPr="00176DA4">
              <w:rPr>
                <w:sz w:val="24"/>
                <w:szCs w:val="24"/>
              </w:rPr>
              <w:t>Hypoventilation</w:t>
            </w:r>
            <w:proofErr w:type="spellEnd"/>
            <w:r w:rsidRPr="00176DA4">
              <w:rPr>
                <w:sz w:val="24"/>
                <w:szCs w:val="24"/>
              </w:rPr>
              <w:t xml:space="preserve"> eller apnø:</w:t>
            </w:r>
          </w:p>
        </w:tc>
        <w:tc>
          <w:tcPr>
            <w:tcW w:w="3146" w:type="pct"/>
            <w:tcBorders>
              <w:top w:val="single" w:sz="4" w:space="0" w:color="auto"/>
              <w:left w:val="single" w:sz="4" w:space="0" w:color="auto"/>
              <w:bottom w:val="single" w:sz="4" w:space="0" w:color="auto"/>
              <w:right w:val="single" w:sz="4" w:space="0" w:color="auto"/>
            </w:tcBorders>
          </w:tcPr>
          <w:p w:rsidR="00D20660" w:rsidRPr="00176DA4" w:rsidRDefault="00D20660" w:rsidP="003B4BCE">
            <w:pPr>
              <w:rPr>
                <w:sz w:val="24"/>
                <w:szCs w:val="24"/>
              </w:rPr>
            </w:pPr>
            <w:r w:rsidRPr="00176DA4">
              <w:rPr>
                <w:sz w:val="24"/>
                <w:szCs w:val="24"/>
              </w:rPr>
              <w:t>O</w:t>
            </w:r>
            <w:r w:rsidRPr="00176DA4">
              <w:rPr>
                <w:sz w:val="24"/>
                <w:szCs w:val="24"/>
                <w:vertAlign w:val="subscript"/>
              </w:rPr>
              <w:t>2</w:t>
            </w:r>
            <w:r w:rsidRPr="00176DA4">
              <w:rPr>
                <w:sz w:val="24"/>
                <w:szCs w:val="24"/>
              </w:rPr>
              <w:t>-administration, assisteret eller kontrolleret respiration.</w:t>
            </w:r>
          </w:p>
        </w:tc>
      </w:tr>
      <w:tr w:rsidR="00D20660" w:rsidRPr="00176DA4" w:rsidTr="003B4BCE">
        <w:tc>
          <w:tcPr>
            <w:tcW w:w="1854" w:type="pct"/>
            <w:tcBorders>
              <w:top w:val="single" w:sz="4" w:space="0" w:color="auto"/>
              <w:left w:val="single" w:sz="4" w:space="0" w:color="auto"/>
              <w:bottom w:val="single" w:sz="4" w:space="0" w:color="auto"/>
              <w:right w:val="single" w:sz="4" w:space="0" w:color="auto"/>
            </w:tcBorders>
            <w:hideMark/>
          </w:tcPr>
          <w:p w:rsidR="00D20660" w:rsidRPr="00176DA4" w:rsidRDefault="00D20660" w:rsidP="003B4BCE">
            <w:pPr>
              <w:rPr>
                <w:sz w:val="24"/>
                <w:szCs w:val="24"/>
              </w:rPr>
            </w:pPr>
            <w:r w:rsidRPr="00176DA4">
              <w:rPr>
                <w:sz w:val="24"/>
                <w:szCs w:val="24"/>
              </w:rPr>
              <w:t>Respirationsdepression:</w:t>
            </w:r>
          </w:p>
        </w:tc>
        <w:tc>
          <w:tcPr>
            <w:tcW w:w="3146" w:type="pct"/>
            <w:tcBorders>
              <w:top w:val="single" w:sz="4" w:space="0" w:color="auto"/>
              <w:left w:val="single" w:sz="4" w:space="0" w:color="auto"/>
              <w:bottom w:val="single" w:sz="4" w:space="0" w:color="auto"/>
              <w:right w:val="single" w:sz="4" w:space="0" w:color="auto"/>
            </w:tcBorders>
            <w:hideMark/>
          </w:tcPr>
          <w:p w:rsidR="00D20660" w:rsidRPr="00176DA4" w:rsidRDefault="00D20660" w:rsidP="003B4BCE">
            <w:pPr>
              <w:rPr>
                <w:sz w:val="24"/>
                <w:szCs w:val="24"/>
              </w:rPr>
            </w:pPr>
            <w:r w:rsidRPr="00176DA4">
              <w:rPr>
                <w:sz w:val="24"/>
                <w:szCs w:val="24"/>
              </w:rPr>
              <w:t xml:space="preserve">Specifik opioidantagonist (f.eks. </w:t>
            </w:r>
            <w:proofErr w:type="spellStart"/>
            <w:r w:rsidRPr="00176DA4">
              <w:rPr>
                <w:sz w:val="24"/>
                <w:szCs w:val="24"/>
              </w:rPr>
              <w:t>naloxon</w:t>
            </w:r>
            <w:proofErr w:type="spellEnd"/>
            <w:r w:rsidRPr="00176DA4">
              <w:rPr>
                <w:sz w:val="24"/>
                <w:szCs w:val="24"/>
              </w:rPr>
              <w:t>). Dette hindrer ikke brug af øjeblikkelige modforanstaltninger.</w:t>
            </w:r>
          </w:p>
          <w:p w:rsidR="00D20660" w:rsidRPr="00176DA4" w:rsidRDefault="00D20660" w:rsidP="003B4BCE">
            <w:pPr>
              <w:rPr>
                <w:sz w:val="24"/>
                <w:szCs w:val="24"/>
              </w:rPr>
            </w:pPr>
            <w:r w:rsidRPr="00176DA4">
              <w:rPr>
                <w:sz w:val="24"/>
                <w:szCs w:val="24"/>
              </w:rPr>
              <w:t>Respirationsdepressionen kan vare længere end antagonistens virkning; Der kan derfor være behov for yderligere antagonistdoser.</w:t>
            </w:r>
          </w:p>
        </w:tc>
      </w:tr>
      <w:tr w:rsidR="00D20660" w:rsidRPr="00176DA4" w:rsidTr="003B4BCE">
        <w:tc>
          <w:tcPr>
            <w:tcW w:w="1854" w:type="pct"/>
            <w:tcBorders>
              <w:top w:val="single" w:sz="4" w:space="0" w:color="auto"/>
              <w:left w:val="single" w:sz="4" w:space="0" w:color="auto"/>
              <w:bottom w:val="single" w:sz="4" w:space="0" w:color="auto"/>
              <w:right w:val="single" w:sz="4" w:space="0" w:color="auto"/>
            </w:tcBorders>
            <w:hideMark/>
          </w:tcPr>
          <w:p w:rsidR="00D20660" w:rsidRPr="00176DA4" w:rsidRDefault="00D20660" w:rsidP="003B4BCE">
            <w:pPr>
              <w:rPr>
                <w:sz w:val="24"/>
                <w:szCs w:val="24"/>
              </w:rPr>
            </w:pPr>
            <w:r w:rsidRPr="00176DA4">
              <w:rPr>
                <w:sz w:val="24"/>
                <w:szCs w:val="24"/>
              </w:rPr>
              <w:t>Muskulær rigiditet:</w:t>
            </w:r>
          </w:p>
        </w:tc>
        <w:tc>
          <w:tcPr>
            <w:tcW w:w="3146" w:type="pct"/>
            <w:tcBorders>
              <w:top w:val="single" w:sz="4" w:space="0" w:color="auto"/>
              <w:left w:val="single" w:sz="4" w:space="0" w:color="auto"/>
              <w:bottom w:val="single" w:sz="4" w:space="0" w:color="auto"/>
              <w:right w:val="single" w:sz="4" w:space="0" w:color="auto"/>
            </w:tcBorders>
            <w:hideMark/>
          </w:tcPr>
          <w:p w:rsidR="00D20660" w:rsidRPr="00176DA4" w:rsidRDefault="00D20660" w:rsidP="003B4BCE">
            <w:pPr>
              <w:rPr>
                <w:sz w:val="24"/>
                <w:szCs w:val="24"/>
              </w:rPr>
            </w:pPr>
            <w:r w:rsidRPr="00176DA4">
              <w:rPr>
                <w:sz w:val="24"/>
                <w:szCs w:val="24"/>
              </w:rPr>
              <w:t xml:space="preserve">Intravenøst </w:t>
            </w:r>
            <w:proofErr w:type="spellStart"/>
            <w:r w:rsidRPr="00176DA4">
              <w:rPr>
                <w:sz w:val="24"/>
                <w:szCs w:val="24"/>
              </w:rPr>
              <w:t>neuromuskulært</w:t>
            </w:r>
            <w:proofErr w:type="spellEnd"/>
            <w:r w:rsidRPr="00176DA4">
              <w:rPr>
                <w:sz w:val="24"/>
                <w:szCs w:val="24"/>
              </w:rPr>
              <w:t xml:space="preserve"> blokerende middel til at facilitere assisteret eller kontrolleret respiration.</w:t>
            </w:r>
          </w:p>
        </w:tc>
      </w:tr>
    </w:tbl>
    <w:p w:rsidR="00D20660" w:rsidRPr="0094354B" w:rsidRDefault="00D20660" w:rsidP="00D20660">
      <w:pPr>
        <w:ind w:left="851" w:hanging="851"/>
        <w:contextualSpacing/>
        <w:rPr>
          <w:sz w:val="24"/>
          <w:szCs w:val="24"/>
          <w:lang w:eastAsia="en-GB"/>
        </w:rPr>
      </w:pPr>
    </w:p>
    <w:p w:rsidR="00D20660" w:rsidRPr="0094354B" w:rsidRDefault="00D20660" w:rsidP="00D20660">
      <w:pPr>
        <w:ind w:left="851"/>
        <w:contextualSpacing/>
        <w:rPr>
          <w:sz w:val="24"/>
          <w:szCs w:val="24"/>
        </w:rPr>
      </w:pPr>
      <w:r w:rsidRPr="0094354B">
        <w:rPr>
          <w:sz w:val="24"/>
          <w:szCs w:val="24"/>
        </w:rPr>
        <w:t>P</w:t>
      </w:r>
      <w:r>
        <w:rPr>
          <w:sz w:val="24"/>
          <w:szCs w:val="24"/>
        </w:rPr>
        <w:t xml:space="preserve">atienten skal observeres nøje. </w:t>
      </w:r>
      <w:r w:rsidRPr="0094354B">
        <w:rPr>
          <w:sz w:val="24"/>
          <w:szCs w:val="24"/>
        </w:rPr>
        <w:t>Der skal opretholdes passende kropstemperatur og</w:t>
      </w:r>
      <w:r>
        <w:rPr>
          <w:sz w:val="24"/>
          <w:szCs w:val="24"/>
        </w:rPr>
        <w:t xml:space="preserve"> </w:t>
      </w:r>
      <w:r w:rsidRPr="0094354B">
        <w:rPr>
          <w:sz w:val="24"/>
          <w:szCs w:val="24"/>
        </w:rPr>
        <w:t xml:space="preserve">væskeindtagelse. Hvis der forekommer alvorlig eller vedvarende hypotension, bør </w:t>
      </w:r>
      <w:proofErr w:type="spellStart"/>
      <w:r w:rsidRPr="0094354B">
        <w:rPr>
          <w:sz w:val="24"/>
          <w:szCs w:val="24"/>
        </w:rPr>
        <w:t>hypovolæmi</w:t>
      </w:r>
      <w:proofErr w:type="spellEnd"/>
      <w:r w:rsidRPr="0094354B">
        <w:rPr>
          <w:sz w:val="24"/>
          <w:szCs w:val="24"/>
        </w:rPr>
        <w:t xml:space="preserve"> overvejes, og tilstanden bør behandles med relevant parenteral væskebehandling.</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4.10</w:t>
      </w:r>
      <w:r w:rsidRPr="0094354B">
        <w:rPr>
          <w:b/>
          <w:sz w:val="24"/>
          <w:szCs w:val="24"/>
        </w:rPr>
        <w:tab/>
        <w:t>Udlevering</w:t>
      </w:r>
    </w:p>
    <w:p w:rsidR="00D20660" w:rsidRPr="0094354B" w:rsidRDefault="00D20660" w:rsidP="00D20660">
      <w:pPr>
        <w:tabs>
          <w:tab w:val="num" w:pos="855"/>
        </w:tabs>
        <w:ind w:left="851" w:hanging="851"/>
        <w:rPr>
          <w:sz w:val="24"/>
          <w:szCs w:val="24"/>
          <w:lang w:eastAsia="da-DK"/>
        </w:rPr>
      </w:pPr>
      <w:r w:rsidRPr="0094354B">
        <w:rPr>
          <w:sz w:val="24"/>
          <w:szCs w:val="24"/>
        </w:rPr>
        <w:tab/>
        <w:t>A§4 (kopieringspligtigt)</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E6772" w:rsidRPr="00C84483" w:rsidRDefault="005E6772" w:rsidP="005E6772">
      <w:pPr>
        <w:tabs>
          <w:tab w:val="left" w:pos="851"/>
        </w:tabs>
        <w:ind w:left="851"/>
        <w:rPr>
          <w:sz w:val="24"/>
          <w:szCs w:val="24"/>
        </w:rPr>
      </w:pPr>
    </w:p>
    <w:p w:rsidR="005E6772" w:rsidRPr="00C84483" w:rsidRDefault="005E6772" w:rsidP="005E677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67C2F" w:rsidRDefault="00667C2F" w:rsidP="00667C2F">
      <w:pPr>
        <w:ind w:left="851"/>
        <w:contextualSpacing/>
        <w:rPr>
          <w:sz w:val="24"/>
          <w:szCs w:val="24"/>
        </w:rPr>
      </w:pPr>
      <w:proofErr w:type="spellStart"/>
      <w:r>
        <w:rPr>
          <w:sz w:val="24"/>
          <w:szCs w:val="24"/>
        </w:rPr>
        <w:t>Farmakoterapeutisk</w:t>
      </w:r>
      <w:proofErr w:type="spellEnd"/>
      <w:r>
        <w:rPr>
          <w:sz w:val="24"/>
          <w:szCs w:val="24"/>
        </w:rPr>
        <w:t xml:space="preserve"> klassifikation:</w:t>
      </w:r>
      <w:r w:rsidRPr="0094354B">
        <w:rPr>
          <w:sz w:val="24"/>
          <w:szCs w:val="24"/>
        </w:rPr>
        <w:t xml:space="preserve"> Generel anæstesi, </w:t>
      </w:r>
      <w:proofErr w:type="spellStart"/>
      <w:r w:rsidRPr="0094354B">
        <w:rPr>
          <w:sz w:val="24"/>
          <w:szCs w:val="24"/>
        </w:rPr>
        <w:t>opioidt</w:t>
      </w:r>
      <w:proofErr w:type="spellEnd"/>
      <w:r w:rsidRPr="0094354B">
        <w:rPr>
          <w:sz w:val="24"/>
          <w:szCs w:val="24"/>
        </w:rPr>
        <w:t xml:space="preserve"> </w:t>
      </w:r>
      <w:proofErr w:type="spellStart"/>
      <w:r w:rsidRPr="0094354B">
        <w:rPr>
          <w:sz w:val="24"/>
          <w:szCs w:val="24"/>
        </w:rPr>
        <w:t>anæstetikum</w:t>
      </w:r>
      <w:proofErr w:type="spellEnd"/>
      <w:r>
        <w:rPr>
          <w:sz w:val="24"/>
          <w:szCs w:val="24"/>
        </w:rPr>
        <w:t xml:space="preserve">, </w:t>
      </w:r>
      <w:r w:rsidRPr="0094354B">
        <w:rPr>
          <w:sz w:val="24"/>
          <w:szCs w:val="24"/>
        </w:rPr>
        <w:t>ATC-kode: N01AH01</w:t>
      </w:r>
      <w:r>
        <w:rPr>
          <w:sz w:val="24"/>
          <w:szCs w:val="24"/>
        </w:rPr>
        <w:t>.</w:t>
      </w:r>
    </w:p>
    <w:p w:rsidR="00667C2F" w:rsidRPr="0094354B" w:rsidRDefault="00667C2F" w:rsidP="00667C2F">
      <w:pPr>
        <w:ind w:left="851"/>
        <w:contextualSpacing/>
        <w:rPr>
          <w:sz w:val="24"/>
          <w:szCs w:val="24"/>
          <w:lang w:eastAsia="en-GB"/>
        </w:rPr>
      </w:pPr>
    </w:p>
    <w:p w:rsidR="00D20660" w:rsidRPr="0094354B" w:rsidRDefault="00D20660" w:rsidP="00D20660">
      <w:pPr>
        <w:ind w:left="851"/>
        <w:contextualSpacing/>
        <w:rPr>
          <w:sz w:val="24"/>
          <w:szCs w:val="24"/>
          <w:lang w:eastAsia="en-GB"/>
        </w:rPr>
      </w:pPr>
      <w:r w:rsidRPr="0094354B">
        <w:rPr>
          <w:sz w:val="24"/>
          <w:szCs w:val="24"/>
        </w:rPr>
        <w:t xml:space="preserve">Fentanyl er </w:t>
      </w:r>
      <w:proofErr w:type="gramStart"/>
      <w:r w:rsidRPr="0094354B">
        <w:rPr>
          <w:sz w:val="24"/>
          <w:szCs w:val="24"/>
        </w:rPr>
        <w:t>en syntetisk opiat</w:t>
      </w:r>
      <w:proofErr w:type="gramEnd"/>
      <w:r w:rsidRPr="0094354B">
        <w:rPr>
          <w:sz w:val="24"/>
          <w:szCs w:val="24"/>
        </w:rPr>
        <w:t xml:space="preserve"> med en klinisk potens på 50 til 100 gange morfins. Fentanyls virkning sætter hurtigt ind, og virkningsvarigheden er kort. En enkelt intravenøs dosis af 0,5-1 mg/70 kg kropsvægt giver umiddelbart en dyb tilstand af kirurgisk anæstesi, respirationsdepression, bradykardi og andre typiske morfinlignende effekter. </w:t>
      </w:r>
      <w:proofErr w:type="spellStart"/>
      <w:r w:rsidRPr="0094354B">
        <w:rPr>
          <w:sz w:val="24"/>
          <w:szCs w:val="24"/>
        </w:rPr>
        <w:t>Peakvirkning</w:t>
      </w:r>
      <w:r>
        <w:rPr>
          <w:sz w:val="24"/>
          <w:szCs w:val="24"/>
        </w:rPr>
        <w:t>ens</w:t>
      </w:r>
      <w:proofErr w:type="spellEnd"/>
      <w:r>
        <w:rPr>
          <w:sz w:val="24"/>
          <w:szCs w:val="24"/>
        </w:rPr>
        <w:t xml:space="preserve"> varighed</w:t>
      </w:r>
      <w:r w:rsidRPr="0094354B">
        <w:rPr>
          <w:sz w:val="24"/>
          <w:szCs w:val="24"/>
        </w:rPr>
        <w:t xml:space="preserve"> er cirka 30 minutter</w:t>
      </w:r>
      <w:r>
        <w:rPr>
          <w:sz w:val="24"/>
          <w:szCs w:val="24"/>
        </w:rPr>
        <w:t>.</w:t>
      </w:r>
      <w:r w:rsidRPr="0094354B">
        <w:rPr>
          <w:sz w:val="24"/>
          <w:szCs w:val="24"/>
        </w:rPr>
        <w:t xml:space="preserve"> Alle stærke morfinlignende lægemidler giver lindring mod smerte, respirationsdepression, </w:t>
      </w:r>
      <w:proofErr w:type="spellStart"/>
      <w:r w:rsidRPr="0094354B">
        <w:rPr>
          <w:sz w:val="24"/>
          <w:szCs w:val="24"/>
        </w:rPr>
        <w:t>emesis</w:t>
      </w:r>
      <w:proofErr w:type="spellEnd"/>
      <w:r w:rsidRPr="0094354B">
        <w:rPr>
          <w:sz w:val="24"/>
          <w:szCs w:val="24"/>
        </w:rPr>
        <w:t xml:space="preserve">, konstipation, fysisk afhængighed, visse </w:t>
      </w:r>
      <w:proofErr w:type="spellStart"/>
      <w:r w:rsidRPr="0094354B">
        <w:rPr>
          <w:sz w:val="24"/>
          <w:szCs w:val="24"/>
        </w:rPr>
        <w:t>vagusvirkninger</w:t>
      </w:r>
      <w:proofErr w:type="spellEnd"/>
      <w:r w:rsidRPr="0094354B">
        <w:rPr>
          <w:sz w:val="24"/>
          <w:szCs w:val="24"/>
        </w:rPr>
        <w:t xml:space="preserve"> og varierende grader af sedation. Fentanyl adskiller sig imidlertid fra morfin, ikke blot ved sin korte virkningsvarighed men også ved sin manglende kvalmefremkaldende og minimale </w:t>
      </w:r>
      <w:proofErr w:type="spellStart"/>
      <w:r w:rsidRPr="0094354B">
        <w:rPr>
          <w:sz w:val="24"/>
          <w:szCs w:val="24"/>
        </w:rPr>
        <w:t>hypotensive</w:t>
      </w:r>
      <w:proofErr w:type="spellEnd"/>
      <w:r w:rsidRPr="0094354B">
        <w:rPr>
          <w:sz w:val="24"/>
          <w:szCs w:val="24"/>
        </w:rPr>
        <w:t xml:space="preserve"> virkning hos dyr. </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5.2</w:t>
      </w:r>
      <w:r w:rsidRPr="0094354B">
        <w:rPr>
          <w:b/>
          <w:sz w:val="24"/>
          <w:szCs w:val="24"/>
        </w:rPr>
        <w:tab/>
      </w:r>
      <w:proofErr w:type="spellStart"/>
      <w:r w:rsidRPr="0094354B">
        <w:rPr>
          <w:b/>
          <w:sz w:val="24"/>
          <w:szCs w:val="24"/>
        </w:rPr>
        <w:t>Farmakokinetiske</w:t>
      </w:r>
      <w:proofErr w:type="spellEnd"/>
      <w:r w:rsidRPr="0094354B">
        <w:rPr>
          <w:b/>
          <w:sz w:val="24"/>
          <w:szCs w:val="24"/>
        </w:rPr>
        <w:t xml:space="preserve"> egenskaber</w:t>
      </w:r>
    </w:p>
    <w:p w:rsidR="00D20660" w:rsidRPr="0094354B" w:rsidRDefault="00D20660" w:rsidP="00D20660">
      <w:pPr>
        <w:ind w:left="851"/>
        <w:contextualSpacing/>
        <w:rPr>
          <w:sz w:val="24"/>
          <w:szCs w:val="24"/>
          <w:lang w:eastAsia="en-GB"/>
        </w:rPr>
      </w:pPr>
      <w:r w:rsidRPr="0094354B">
        <w:rPr>
          <w:sz w:val="24"/>
          <w:szCs w:val="24"/>
        </w:rPr>
        <w:t xml:space="preserve">Fentanyl er </w:t>
      </w:r>
      <w:proofErr w:type="gramStart"/>
      <w:r w:rsidRPr="0094354B">
        <w:rPr>
          <w:sz w:val="24"/>
          <w:szCs w:val="24"/>
        </w:rPr>
        <w:t>en syntetisk opioid</w:t>
      </w:r>
      <w:proofErr w:type="gramEnd"/>
      <w:r w:rsidRPr="0094354B">
        <w:rPr>
          <w:sz w:val="24"/>
          <w:szCs w:val="24"/>
        </w:rPr>
        <w:t xml:space="preserve"> med µ-agonist farmakologiske virkninger. </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 xml:space="preserve">Fordeling </w:t>
      </w:r>
    </w:p>
    <w:p w:rsidR="00D20660" w:rsidRPr="0094354B" w:rsidRDefault="00D20660" w:rsidP="00D20660">
      <w:pPr>
        <w:ind w:left="851"/>
        <w:contextualSpacing/>
        <w:rPr>
          <w:sz w:val="24"/>
          <w:szCs w:val="24"/>
        </w:rPr>
      </w:pPr>
      <w:r w:rsidRPr="0094354B">
        <w:rPr>
          <w:sz w:val="24"/>
          <w:szCs w:val="24"/>
        </w:rPr>
        <w:t xml:space="preserve">Efter intravenøs injektion falder fentanylplasmakoncentrationerne hurtigt, med sekventielle distributionshalveringstider på omkring 1 minut og 18 minutter, og en eliminationshalveringstid på 475 minutter. Fentanyl har en </w:t>
      </w:r>
      <w:proofErr w:type="spellStart"/>
      <w:r w:rsidRPr="0094354B">
        <w:rPr>
          <w:sz w:val="24"/>
          <w:szCs w:val="24"/>
        </w:rPr>
        <w:t>Vc</w:t>
      </w:r>
      <w:proofErr w:type="spellEnd"/>
      <w:r w:rsidRPr="0094354B">
        <w:rPr>
          <w:sz w:val="24"/>
          <w:szCs w:val="24"/>
        </w:rPr>
        <w:t xml:space="preserve"> (distributionsvolumen for det centrale </w:t>
      </w:r>
      <w:proofErr w:type="spellStart"/>
      <w:r w:rsidRPr="0094354B">
        <w:rPr>
          <w:sz w:val="24"/>
          <w:szCs w:val="24"/>
        </w:rPr>
        <w:t>kompartment</w:t>
      </w:r>
      <w:proofErr w:type="spellEnd"/>
      <w:r w:rsidRPr="0094354B">
        <w:rPr>
          <w:sz w:val="24"/>
          <w:szCs w:val="24"/>
        </w:rPr>
        <w:t xml:space="preserve">) på 13 liter, og en total </w:t>
      </w:r>
      <w:proofErr w:type="spellStart"/>
      <w:r w:rsidRPr="0094354B">
        <w:rPr>
          <w:sz w:val="24"/>
          <w:szCs w:val="24"/>
        </w:rPr>
        <w:t>Vdss</w:t>
      </w:r>
      <w:proofErr w:type="spellEnd"/>
      <w:r w:rsidRPr="0094354B">
        <w:rPr>
          <w:sz w:val="24"/>
          <w:szCs w:val="24"/>
        </w:rPr>
        <w:t xml:space="preserve"> (distributionsvolumen ved </w:t>
      </w:r>
      <w:proofErr w:type="spellStart"/>
      <w:r>
        <w:rPr>
          <w:sz w:val="24"/>
          <w:szCs w:val="24"/>
        </w:rPr>
        <w:t>steady-state</w:t>
      </w:r>
      <w:proofErr w:type="spellEnd"/>
      <w:r w:rsidRPr="0094354B">
        <w:rPr>
          <w:sz w:val="24"/>
          <w:szCs w:val="24"/>
        </w:rPr>
        <w:t>) på 339 liter. Plasmaproteinbindingen af fentanyl er cirka 84</w:t>
      </w:r>
      <w:r>
        <w:rPr>
          <w:sz w:val="24"/>
          <w:szCs w:val="24"/>
        </w:rPr>
        <w:t xml:space="preserve"> %</w:t>
      </w:r>
      <w:r w:rsidRPr="0094354B">
        <w:rPr>
          <w:sz w:val="24"/>
          <w:szCs w:val="24"/>
        </w:rPr>
        <w:t>.</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 xml:space="preserve">Metabolisme </w:t>
      </w:r>
    </w:p>
    <w:p w:rsidR="00D20660" w:rsidRPr="0094354B" w:rsidRDefault="00D20660" w:rsidP="00D20660">
      <w:pPr>
        <w:ind w:left="851"/>
        <w:contextualSpacing/>
        <w:rPr>
          <w:sz w:val="24"/>
          <w:szCs w:val="24"/>
        </w:rPr>
      </w:pPr>
      <w:r w:rsidRPr="0094354B">
        <w:rPr>
          <w:sz w:val="24"/>
          <w:szCs w:val="24"/>
        </w:rPr>
        <w:t xml:space="preserve">Fentanyl </w:t>
      </w:r>
      <w:proofErr w:type="spellStart"/>
      <w:r w:rsidRPr="0094354B">
        <w:rPr>
          <w:sz w:val="24"/>
          <w:szCs w:val="24"/>
        </w:rPr>
        <w:t>metaboliseres</w:t>
      </w:r>
      <w:proofErr w:type="spellEnd"/>
      <w:r w:rsidRPr="0094354B">
        <w:rPr>
          <w:sz w:val="24"/>
          <w:szCs w:val="24"/>
        </w:rPr>
        <w:t xml:space="preserve"> hurtigt, primært i leveren via CYP3A4. Hovedmetabolitten er norfentanyl. Fentanyl-</w:t>
      </w:r>
      <w:proofErr w:type="spellStart"/>
      <w:r w:rsidRPr="0094354B">
        <w:rPr>
          <w:sz w:val="24"/>
          <w:szCs w:val="24"/>
        </w:rPr>
        <w:t>clearance</w:t>
      </w:r>
      <w:proofErr w:type="spellEnd"/>
      <w:r w:rsidRPr="0094354B">
        <w:rPr>
          <w:sz w:val="24"/>
          <w:szCs w:val="24"/>
        </w:rPr>
        <w:t xml:space="preserve"> er 574 ml/min. </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 xml:space="preserve">Elimination </w:t>
      </w:r>
    </w:p>
    <w:p w:rsidR="00D20660" w:rsidRPr="0094354B" w:rsidRDefault="00D20660" w:rsidP="00D20660">
      <w:pPr>
        <w:ind w:left="851"/>
        <w:contextualSpacing/>
        <w:rPr>
          <w:sz w:val="24"/>
          <w:szCs w:val="24"/>
        </w:rPr>
      </w:pPr>
      <w:r w:rsidRPr="0094354B">
        <w:rPr>
          <w:sz w:val="24"/>
          <w:szCs w:val="24"/>
        </w:rPr>
        <w:t>Cirka 75</w:t>
      </w:r>
      <w:r>
        <w:rPr>
          <w:sz w:val="24"/>
          <w:szCs w:val="24"/>
        </w:rPr>
        <w:t xml:space="preserve"> %</w:t>
      </w:r>
      <w:r w:rsidRPr="0094354B">
        <w:rPr>
          <w:sz w:val="24"/>
          <w:szCs w:val="24"/>
        </w:rPr>
        <w:t xml:space="preserve"> af den administrerede dosis udskilles i urinen inden for 24 timer, og kun 10</w:t>
      </w:r>
      <w:r>
        <w:rPr>
          <w:sz w:val="24"/>
          <w:szCs w:val="24"/>
        </w:rPr>
        <w:t xml:space="preserve"> %</w:t>
      </w:r>
      <w:r w:rsidRPr="0094354B">
        <w:rPr>
          <w:sz w:val="24"/>
          <w:szCs w:val="24"/>
        </w:rPr>
        <w:t xml:space="preserve"> af dosen, som elimineres i urin, er </w:t>
      </w:r>
      <w:proofErr w:type="spellStart"/>
      <w:r w:rsidRPr="0094354B">
        <w:rPr>
          <w:sz w:val="24"/>
          <w:szCs w:val="24"/>
        </w:rPr>
        <w:t>uomdannet</w:t>
      </w:r>
      <w:proofErr w:type="spellEnd"/>
      <w:r w:rsidRPr="0094354B">
        <w:rPr>
          <w:sz w:val="24"/>
          <w:szCs w:val="24"/>
        </w:rPr>
        <w:t xml:space="preserve"> aktivt stof</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 xml:space="preserve">Særlige populationer </w:t>
      </w:r>
    </w:p>
    <w:p w:rsidR="00D20660" w:rsidRPr="0094354B" w:rsidRDefault="00D20660" w:rsidP="00D20660">
      <w:pPr>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 xml:space="preserve">Pædiatrisk population </w:t>
      </w:r>
    </w:p>
    <w:p w:rsidR="00D20660" w:rsidRPr="0094354B" w:rsidRDefault="00D20660" w:rsidP="00D20660">
      <w:pPr>
        <w:ind w:left="851"/>
        <w:contextualSpacing/>
        <w:rPr>
          <w:sz w:val="24"/>
          <w:szCs w:val="24"/>
        </w:rPr>
      </w:pPr>
      <w:r w:rsidRPr="0094354B">
        <w:rPr>
          <w:sz w:val="24"/>
          <w:szCs w:val="24"/>
        </w:rPr>
        <w:t>Plasmaproteinbindingen af fentanyl hos nyfødte er omtrent 62</w:t>
      </w:r>
      <w:r>
        <w:rPr>
          <w:sz w:val="24"/>
          <w:szCs w:val="24"/>
        </w:rPr>
        <w:t xml:space="preserve"> %</w:t>
      </w:r>
      <w:r w:rsidRPr="0094354B">
        <w:rPr>
          <w:sz w:val="24"/>
          <w:szCs w:val="24"/>
        </w:rPr>
        <w:t xml:space="preserve">, hvilket er lavere end hos voksne. </w:t>
      </w:r>
      <w:proofErr w:type="spellStart"/>
      <w:r w:rsidRPr="0094354B">
        <w:rPr>
          <w:sz w:val="24"/>
          <w:szCs w:val="24"/>
        </w:rPr>
        <w:t>Clearance</w:t>
      </w:r>
      <w:proofErr w:type="spellEnd"/>
      <w:r w:rsidRPr="0094354B">
        <w:rPr>
          <w:sz w:val="24"/>
          <w:szCs w:val="24"/>
        </w:rPr>
        <w:t xml:space="preserve"> og distributionsvolumen er højere hos spædbørn og børn. Det kan resultere i behov for øget dosis af fentanyl.</w:t>
      </w:r>
    </w:p>
    <w:p w:rsidR="00D20660" w:rsidRPr="0094354B" w:rsidRDefault="00D20660" w:rsidP="00D20660">
      <w:pPr>
        <w:ind w:left="851"/>
        <w:contextualSpacing/>
        <w:rPr>
          <w:sz w:val="24"/>
          <w:szCs w:val="24"/>
        </w:rPr>
      </w:pPr>
    </w:p>
    <w:p w:rsidR="00D20660" w:rsidRPr="0094354B" w:rsidRDefault="00D20660" w:rsidP="00D20660">
      <w:pPr>
        <w:pStyle w:val="Normalindrykning"/>
        <w:spacing w:after="0"/>
        <w:ind w:left="851"/>
        <w:contextualSpacing/>
        <w:rPr>
          <w:i/>
          <w:sz w:val="24"/>
          <w:szCs w:val="24"/>
        </w:rPr>
      </w:pPr>
      <w:r w:rsidRPr="0094354B">
        <w:rPr>
          <w:i/>
          <w:sz w:val="24"/>
          <w:szCs w:val="24"/>
        </w:rPr>
        <w:t xml:space="preserve">Nedsat nyrefunktion </w:t>
      </w:r>
    </w:p>
    <w:p w:rsidR="00D20660" w:rsidRPr="0094354B" w:rsidRDefault="00D20660" w:rsidP="00D20660">
      <w:pPr>
        <w:pStyle w:val="Normalindrykning"/>
        <w:spacing w:after="0"/>
        <w:ind w:left="851"/>
        <w:contextualSpacing/>
        <w:rPr>
          <w:sz w:val="24"/>
          <w:szCs w:val="24"/>
        </w:rPr>
      </w:pPr>
      <w:r w:rsidRPr="0094354B">
        <w:rPr>
          <w:sz w:val="24"/>
          <w:szCs w:val="24"/>
        </w:rPr>
        <w:t xml:space="preserve">Data fra et studie med administration af </w:t>
      </w:r>
      <w:proofErr w:type="spellStart"/>
      <w:r w:rsidRPr="0094354B">
        <w:rPr>
          <w:sz w:val="24"/>
          <w:szCs w:val="24"/>
        </w:rPr>
        <w:t>i.v</w:t>
      </w:r>
      <w:proofErr w:type="spellEnd"/>
      <w:r w:rsidRPr="0094354B">
        <w:rPr>
          <w:sz w:val="24"/>
          <w:szCs w:val="24"/>
        </w:rPr>
        <w:t>. fentanyl hos patienter under nyretransplantation peger på, at fentanyl-</w:t>
      </w:r>
      <w:proofErr w:type="spellStart"/>
      <w:r w:rsidRPr="0094354B">
        <w:rPr>
          <w:sz w:val="24"/>
          <w:szCs w:val="24"/>
        </w:rPr>
        <w:t>clearance</w:t>
      </w:r>
      <w:proofErr w:type="spellEnd"/>
      <w:r w:rsidRPr="0094354B">
        <w:rPr>
          <w:sz w:val="24"/>
          <w:szCs w:val="24"/>
        </w:rPr>
        <w:t xml:space="preserve"> muligvis ændres i denne patientpopulation. Hvis patienter med nedsat nyrefunktion modtager fentanyl, skal de observeres omhyggeligt for tegn på fentanyltoksicitet, og om nødvendigt skal dosis reduceres (se </w:t>
      </w:r>
      <w:r>
        <w:rPr>
          <w:sz w:val="24"/>
          <w:szCs w:val="24"/>
        </w:rPr>
        <w:t>pkt.</w:t>
      </w:r>
      <w:r w:rsidRPr="0094354B">
        <w:rPr>
          <w:sz w:val="24"/>
          <w:szCs w:val="24"/>
        </w:rPr>
        <w:t xml:space="preserve"> 4.2). </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ind w:left="851"/>
        <w:contextualSpacing/>
        <w:rPr>
          <w:i/>
          <w:sz w:val="24"/>
          <w:szCs w:val="24"/>
        </w:rPr>
      </w:pPr>
      <w:r w:rsidRPr="0094354B">
        <w:rPr>
          <w:i/>
          <w:sz w:val="24"/>
          <w:szCs w:val="24"/>
        </w:rPr>
        <w:t xml:space="preserve">Voksne patienter med forbrændinger </w:t>
      </w:r>
    </w:p>
    <w:p w:rsidR="00D20660" w:rsidRPr="0094354B" w:rsidRDefault="00D20660" w:rsidP="00D20660">
      <w:pPr>
        <w:ind w:left="851"/>
        <w:contextualSpacing/>
        <w:rPr>
          <w:sz w:val="24"/>
          <w:szCs w:val="24"/>
        </w:rPr>
      </w:pPr>
      <w:r w:rsidRPr="0094354B">
        <w:rPr>
          <w:sz w:val="24"/>
          <w:szCs w:val="24"/>
        </w:rPr>
        <w:t xml:space="preserve">En stigning i </w:t>
      </w:r>
      <w:proofErr w:type="spellStart"/>
      <w:r w:rsidRPr="0094354B">
        <w:rPr>
          <w:sz w:val="24"/>
          <w:szCs w:val="24"/>
        </w:rPr>
        <w:t>clearance</w:t>
      </w:r>
      <w:proofErr w:type="spellEnd"/>
      <w:r w:rsidRPr="0094354B">
        <w:rPr>
          <w:sz w:val="24"/>
          <w:szCs w:val="24"/>
        </w:rPr>
        <w:t xml:space="preserve"> på op til 44</w:t>
      </w:r>
      <w:r>
        <w:rPr>
          <w:sz w:val="24"/>
          <w:szCs w:val="24"/>
        </w:rPr>
        <w:t xml:space="preserve"> %</w:t>
      </w:r>
      <w:r w:rsidRPr="0094354B">
        <w:rPr>
          <w:sz w:val="24"/>
          <w:szCs w:val="24"/>
        </w:rPr>
        <w:t xml:space="preserve"> sammen med en højere distributionsvolumen resulterer i lavere fentanylplasmakoncentrationer. Det kan føre til behov for øget dosis af fentanyl.</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pStyle w:val="Normalindrykning"/>
        <w:spacing w:after="0"/>
        <w:ind w:left="851"/>
        <w:contextualSpacing/>
        <w:rPr>
          <w:i/>
          <w:sz w:val="24"/>
          <w:szCs w:val="24"/>
        </w:rPr>
      </w:pPr>
      <w:r w:rsidRPr="0094354B">
        <w:rPr>
          <w:i/>
          <w:sz w:val="24"/>
          <w:szCs w:val="24"/>
        </w:rPr>
        <w:t xml:space="preserve">Overvægtige patienter </w:t>
      </w:r>
    </w:p>
    <w:p w:rsidR="00D20660" w:rsidRPr="0094354B" w:rsidRDefault="00D20660" w:rsidP="00D20660">
      <w:pPr>
        <w:pStyle w:val="Normalindrykning"/>
        <w:spacing w:after="0"/>
        <w:ind w:left="851"/>
        <w:contextualSpacing/>
        <w:rPr>
          <w:sz w:val="24"/>
          <w:szCs w:val="24"/>
        </w:rPr>
      </w:pPr>
      <w:r w:rsidRPr="0094354B">
        <w:rPr>
          <w:sz w:val="24"/>
          <w:szCs w:val="24"/>
        </w:rPr>
        <w:t>Der er observeret stigning i fentanyl-</w:t>
      </w:r>
      <w:proofErr w:type="spellStart"/>
      <w:r w:rsidRPr="0094354B">
        <w:rPr>
          <w:sz w:val="24"/>
          <w:szCs w:val="24"/>
        </w:rPr>
        <w:t>clearance</w:t>
      </w:r>
      <w:proofErr w:type="spellEnd"/>
      <w:r w:rsidRPr="0094354B">
        <w:rPr>
          <w:sz w:val="24"/>
          <w:szCs w:val="24"/>
        </w:rPr>
        <w:t xml:space="preserve"> ved øget kropsvægt. Hos patienter med en BMI &gt;30 stiger fentanyl-</w:t>
      </w:r>
      <w:proofErr w:type="spellStart"/>
      <w:r w:rsidRPr="0094354B">
        <w:rPr>
          <w:sz w:val="24"/>
          <w:szCs w:val="24"/>
        </w:rPr>
        <w:t>clearance</w:t>
      </w:r>
      <w:proofErr w:type="spellEnd"/>
      <w:r w:rsidRPr="0094354B">
        <w:rPr>
          <w:sz w:val="24"/>
          <w:szCs w:val="24"/>
        </w:rPr>
        <w:t xml:space="preserve"> med omtrent 10</w:t>
      </w:r>
      <w:r>
        <w:rPr>
          <w:sz w:val="24"/>
          <w:szCs w:val="24"/>
        </w:rPr>
        <w:t xml:space="preserve"> %</w:t>
      </w:r>
      <w:r w:rsidRPr="0094354B">
        <w:rPr>
          <w:sz w:val="24"/>
          <w:szCs w:val="24"/>
        </w:rPr>
        <w:t xml:space="preserve"> pr. 10 kg stigning i fedtfri kropsmasse.</w:t>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20660" w:rsidRPr="0094354B" w:rsidRDefault="00D20660" w:rsidP="00D20660">
      <w:pPr>
        <w:pStyle w:val="Default"/>
        <w:ind w:left="851"/>
        <w:contextualSpacing/>
        <w:rPr>
          <w:rFonts w:eastAsia="Times New Roman"/>
          <w:color w:val="auto"/>
        </w:rPr>
      </w:pPr>
      <w:r w:rsidRPr="0094354B">
        <w:rPr>
          <w:color w:val="auto"/>
        </w:rPr>
        <w:t xml:space="preserve">Prækliniske data viser ingen særlig risiko for mennesker vurderet ud fra konventionelle studier af sikkerhedsfarmakologi, toksicitet efter gentagne doser, genotoksicitet og </w:t>
      </w:r>
      <w:proofErr w:type="spellStart"/>
      <w:r w:rsidRPr="0094354B">
        <w:rPr>
          <w:color w:val="auto"/>
        </w:rPr>
        <w:t>karcinogenicitet</w:t>
      </w:r>
      <w:proofErr w:type="spellEnd"/>
      <w:r w:rsidRPr="0094354B">
        <w:rPr>
          <w:color w:val="auto"/>
        </w:rPr>
        <w:t xml:space="preserve">. </w:t>
      </w:r>
    </w:p>
    <w:p w:rsidR="00D20660" w:rsidRPr="0094354B" w:rsidRDefault="00D20660" w:rsidP="00D20660">
      <w:pPr>
        <w:pStyle w:val="Default"/>
        <w:ind w:left="851"/>
        <w:contextualSpacing/>
        <w:rPr>
          <w:rFonts w:eastAsia="Times New Roman"/>
          <w:color w:val="auto"/>
        </w:rPr>
      </w:pPr>
    </w:p>
    <w:p w:rsidR="00D20660" w:rsidRPr="0094354B" w:rsidRDefault="00D20660" w:rsidP="00D20660">
      <w:pPr>
        <w:pStyle w:val="Default"/>
        <w:ind w:left="851"/>
        <w:contextualSpacing/>
        <w:rPr>
          <w:rFonts w:eastAsia="Times New Roman"/>
          <w:color w:val="auto"/>
        </w:rPr>
      </w:pPr>
      <w:r w:rsidRPr="0094354B">
        <w:rPr>
          <w:color w:val="auto"/>
        </w:rPr>
        <w:t xml:space="preserve">Tidlige </w:t>
      </w:r>
      <w:proofErr w:type="spellStart"/>
      <w:r w:rsidRPr="0094354B">
        <w:rPr>
          <w:color w:val="auto"/>
        </w:rPr>
        <w:t>embryoføtale</w:t>
      </w:r>
      <w:proofErr w:type="spellEnd"/>
      <w:r w:rsidRPr="0094354B">
        <w:rPr>
          <w:color w:val="auto"/>
        </w:rPr>
        <w:t xml:space="preserve"> toksicitetsudviklingsstudier med rotter og kaniner viste ingen stoffremkaldte misdannelser eller udviklingsafvigelser ved administration i </w:t>
      </w:r>
      <w:proofErr w:type="spellStart"/>
      <w:r w:rsidRPr="0094354B">
        <w:rPr>
          <w:color w:val="auto"/>
        </w:rPr>
        <w:t>organogeneseperioden</w:t>
      </w:r>
      <w:proofErr w:type="spellEnd"/>
      <w:r w:rsidRPr="0094354B">
        <w:rPr>
          <w:color w:val="auto"/>
        </w:rPr>
        <w:t xml:space="preserve">. </w:t>
      </w:r>
    </w:p>
    <w:p w:rsidR="00D20660" w:rsidRPr="0094354B" w:rsidRDefault="00D20660" w:rsidP="00D20660">
      <w:pPr>
        <w:pStyle w:val="Default"/>
        <w:ind w:left="851"/>
        <w:contextualSpacing/>
        <w:rPr>
          <w:rFonts w:eastAsia="Times New Roman"/>
          <w:color w:val="auto"/>
        </w:rPr>
      </w:pPr>
    </w:p>
    <w:p w:rsidR="00D20660" w:rsidRPr="0094354B" w:rsidRDefault="00D20660" w:rsidP="00D20660">
      <w:pPr>
        <w:pStyle w:val="Default"/>
        <w:ind w:left="851"/>
        <w:contextualSpacing/>
        <w:rPr>
          <w:rFonts w:eastAsia="Times New Roman"/>
          <w:color w:val="auto"/>
        </w:rPr>
      </w:pPr>
      <w:r w:rsidRPr="0094354B">
        <w:rPr>
          <w:color w:val="auto"/>
        </w:rPr>
        <w:t xml:space="preserve">I et fertilitets- og tidligt embryoudviklingsstudie med rotter blev der observeret en hankønsmedieret effekt ved høje doser (300 mikrogram/kg/dag, </w:t>
      </w:r>
      <w:proofErr w:type="spellStart"/>
      <w:r w:rsidRPr="0094354B">
        <w:rPr>
          <w:color w:val="auto"/>
        </w:rPr>
        <w:t>s.c</w:t>
      </w:r>
      <w:proofErr w:type="spellEnd"/>
      <w:r w:rsidRPr="0094354B">
        <w:rPr>
          <w:color w:val="auto"/>
        </w:rPr>
        <w:t xml:space="preserve">.), hvilket anses for at være sekundært i forhold til den sedative effekt af fentanyl i dyrestudier. </w:t>
      </w:r>
    </w:p>
    <w:p w:rsidR="00D20660" w:rsidRPr="0094354B" w:rsidRDefault="00D20660" w:rsidP="00D20660">
      <w:pPr>
        <w:pStyle w:val="Default"/>
        <w:ind w:left="851"/>
        <w:contextualSpacing/>
        <w:rPr>
          <w:rFonts w:eastAsia="Times New Roman"/>
          <w:color w:val="auto"/>
        </w:rPr>
      </w:pPr>
      <w:r w:rsidRPr="0094354B">
        <w:rPr>
          <w:color w:val="auto"/>
        </w:rPr>
        <w:t xml:space="preserve">I studier af præ- og </w:t>
      </w:r>
      <w:proofErr w:type="spellStart"/>
      <w:r w:rsidRPr="0094354B">
        <w:rPr>
          <w:color w:val="auto"/>
        </w:rPr>
        <w:t>postnatal</w:t>
      </w:r>
      <w:proofErr w:type="spellEnd"/>
      <w:r w:rsidRPr="0094354B">
        <w:rPr>
          <w:color w:val="auto"/>
        </w:rPr>
        <w:t xml:space="preserve"> udvikling hos rotter var overlevelsesprocenten hos afkommet reduceret signifikant ved doser, som forårsagede alvorlig </w:t>
      </w:r>
      <w:proofErr w:type="spellStart"/>
      <w:r w:rsidRPr="0094354B">
        <w:rPr>
          <w:color w:val="auto"/>
        </w:rPr>
        <w:t>maternel</w:t>
      </w:r>
      <w:proofErr w:type="spellEnd"/>
      <w:r w:rsidRPr="0094354B">
        <w:rPr>
          <w:color w:val="auto"/>
        </w:rPr>
        <w:t xml:space="preserve"> toksicitet. Yderligere fund i F1-unger ved </w:t>
      </w:r>
      <w:proofErr w:type="spellStart"/>
      <w:r w:rsidRPr="0094354B">
        <w:rPr>
          <w:color w:val="auto"/>
        </w:rPr>
        <w:t>maternelt</w:t>
      </w:r>
      <w:proofErr w:type="spellEnd"/>
      <w:r w:rsidRPr="0094354B">
        <w:rPr>
          <w:color w:val="auto"/>
        </w:rPr>
        <w:t xml:space="preserve"> toksiske doser var forsinket fysisk udvikling, forsinket udvikling af sensoriske funktioner, reflekser og adfærd. Disse virkninger kunne enten være indirekte effekter grundet ændret </w:t>
      </w:r>
      <w:proofErr w:type="spellStart"/>
      <w:r w:rsidRPr="0094354B">
        <w:rPr>
          <w:color w:val="auto"/>
        </w:rPr>
        <w:t>maternel</w:t>
      </w:r>
      <w:proofErr w:type="spellEnd"/>
      <w:r w:rsidRPr="0094354B">
        <w:rPr>
          <w:color w:val="auto"/>
        </w:rPr>
        <w:t xml:space="preserve"> omsorg og/eller nedsat </w:t>
      </w:r>
      <w:proofErr w:type="spellStart"/>
      <w:r w:rsidRPr="0094354B">
        <w:rPr>
          <w:color w:val="auto"/>
        </w:rPr>
        <w:t>ammefrekvens</w:t>
      </w:r>
      <w:proofErr w:type="spellEnd"/>
      <w:r w:rsidRPr="0094354B">
        <w:rPr>
          <w:color w:val="auto"/>
        </w:rPr>
        <w:t xml:space="preserve"> eller en direkte virkning af fentanyl på ungerne. </w:t>
      </w:r>
    </w:p>
    <w:p w:rsidR="00D20660" w:rsidRPr="0094354B" w:rsidRDefault="00D20660" w:rsidP="00D20660">
      <w:pPr>
        <w:pStyle w:val="Brdtekst"/>
        <w:spacing w:after="0"/>
        <w:ind w:left="851"/>
        <w:contextualSpacing/>
      </w:pPr>
    </w:p>
    <w:p w:rsidR="00D20660" w:rsidRPr="0094354B" w:rsidRDefault="00D20660" w:rsidP="00D20660">
      <w:pPr>
        <w:pStyle w:val="Brdtekst"/>
        <w:spacing w:after="0"/>
        <w:ind w:left="851"/>
        <w:contextualSpacing/>
      </w:pPr>
      <w:proofErr w:type="spellStart"/>
      <w:r w:rsidRPr="0094354B">
        <w:t>Karcinogenicitetsstudier</w:t>
      </w:r>
      <w:proofErr w:type="spellEnd"/>
      <w:r w:rsidRPr="0094354B">
        <w:t xml:space="preserve"> (26-ugers </w:t>
      </w:r>
      <w:proofErr w:type="spellStart"/>
      <w:r w:rsidRPr="0094354B">
        <w:t>dermal</w:t>
      </w:r>
      <w:proofErr w:type="spellEnd"/>
      <w:r w:rsidRPr="0094354B">
        <w:t xml:space="preserve"> alternativ </w:t>
      </w:r>
      <w:proofErr w:type="spellStart"/>
      <w:r w:rsidRPr="0094354B">
        <w:t>bioassay</w:t>
      </w:r>
      <w:proofErr w:type="spellEnd"/>
      <w:r w:rsidRPr="0094354B">
        <w:t xml:space="preserve"> på Tg.AC-transgene mus; 2-års subkutant </w:t>
      </w:r>
      <w:proofErr w:type="spellStart"/>
      <w:r w:rsidRPr="0094354B">
        <w:t>karcinogenicitetsstudie</w:t>
      </w:r>
      <w:proofErr w:type="spellEnd"/>
      <w:r w:rsidRPr="0094354B">
        <w:t xml:space="preserve"> på rotter) med fentanyl viste ingen resultater, der indikerer </w:t>
      </w:r>
      <w:proofErr w:type="spellStart"/>
      <w:r w:rsidRPr="0094354B">
        <w:t>onkogent</w:t>
      </w:r>
      <w:proofErr w:type="spellEnd"/>
      <w:r w:rsidRPr="0094354B">
        <w:t xml:space="preserve"> potentiale. Evaluering af hjernesnit fra </w:t>
      </w:r>
      <w:proofErr w:type="spellStart"/>
      <w:r w:rsidRPr="0094354B">
        <w:t>karcinogenicitetsstudiet</w:t>
      </w:r>
      <w:proofErr w:type="spellEnd"/>
      <w:r w:rsidRPr="0094354B">
        <w:t xml:space="preserve"> med rotter viste hjernelæsioner hos dyr, der fik administreret høje doser fentanylcitrat. Relevansen af disse fund for mennesker er ukendt.</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6.</w:t>
      </w:r>
      <w:r w:rsidRPr="0094354B">
        <w:rPr>
          <w:b/>
          <w:sz w:val="24"/>
          <w:szCs w:val="24"/>
        </w:rPr>
        <w:tab/>
        <w:t>FARMACEUTISKE OPLYSNINGER</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6.1</w:t>
      </w:r>
      <w:r w:rsidRPr="0094354B">
        <w:rPr>
          <w:b/>
          <w:sz w:val="24"/>
          <w:szCs w:val="24"/>
        </w:rPr>
        <w:tab/>
        <w:t>Hjælpestoffer</w:t>
      </w:r>
    </w:p>
    <w:p w:rsidR="00D20660" w:rsidRPr="0094354B" w:rsidRDefault="00D20660" w:rsidP="00D20660">
      <w:pPr>
        <w:ind w:left="851"/>
        <w:contextualSpacing/>
        <w:rPr>
          <w:sz w:val="24"/>
          <w:szCs w:val="24"/>
          <w:lang w:eastAsia="en-GB"/>
        </w:rPr>
      </w:pPr>
      <w:proofErr w:type="spellStart"/>
      <w:r>
        <w:rPr>
          <w:sz w:val="24"/>
          <w:szCs w:val="24"/>
        </w:rPr>
        <w:t>Natriumchlorid</w:t>
      </w:r>
      <w:proofErr w:type="spellEnd"/>
    </w:p>
    <w:p w:rsidR="00D20660" w:rsidRPr="0094354B" w:rsidRDefault="00D20660" w:rsidP="00D20660">
      <w:pPr>
        <w:ind w:left="851"/>
        <w:contextualSpacing/>
        <w:rPr>
          <w:sz w:val="24"/>
          <w:szCs w:val="24"/>
        </w:rPr>
      </w:pPr>
      <w:r w:rsidRPr="0094354B">
        <w:rPr>
          <w:sz w:val="24"/>
          <w:szCs w:val="24"/>
        </w:rPr>
        <w:t>Natriumhydroxid (til pH-justering)</w:t>
      </w:r>
    </w:p>
    <w:p w:rsidR="00D20660" w:rsidRPr="0094354B" w:rsidRDefault="00D20660" w:rsidP="00D20660">
      <w:pPr>
        <w:ind w:left="851"/>
        <w:contextualSpacing/>
        <w:rPr>
          <w:sz w:val="24"/>
          <w:szCs w:val="24"/>
        </w:rPr>
      </w:pPr>
      <w:r>
        <w:rPr>
          <w:sz w:val="24"/>
          <w:szCs w:val="24"/>
        </w:rPr>
        <w:t>Vand til injektionsvæsker</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6.2</w:t>
      </w:r>
      <w:r w:rsidRPr="0094354B">
        <w:rPr>
          <w:b/>
          <w:sz w:val="24"/>
          <w:szCs w:val="24"/>
        </w:rPr>
        <w:tab/>
        <w:t>Uforligeligheder</w:t>
      </w:r>
    </w:p>
    <w:p w:rsidR="00D20660" w:rsidRPr="0094354B" w:rsidRDefault="00D20660" w:rsidP="00D20660">
      <w:pPr>
        <w:ind w:left="851"/>
        <w:contextualSpacing/>
        <w:rPr>
          <w:sz w:val="24"/>
          <w:szCs w:val="24"/>
          <w:lang w:eastAsia="en-GB"/>
        </w:rPr>
      </w:pPr>
      <w:r w:rsidRPr="0094354B">
        <w:rPr>
          <w:sz w:val="24"/>
          <w:szCs w:val="24"/>
        </w:rPr>
        <w:t xml:space="preserve">Produktet er kemisk </w:t>
      </w:r>
      <w:proofErr w:type="spellStart"/>
      <w:r w:rsidRPr="0094354B">
        <w:rPr>
          <w:sz w:val="24"/>
          <w:szCs w:val="24"/>
        </w:rPr>
        <w:t>uforligeligt</w:t>
      </w:r>
      <w:proofErr w:type="spellEnd"/>
      <w:r w:rsidRPr="0094354B">
        <w:rPr>
          <w:sz w:val="24"/>
          <w:szCs w:val="24"/>
        </w:rPr>
        <w:t xml:space="preserve"> med induktionsmidlerne </w:t>
      </w:r>
      <w:proofErr w:type="spellStart"/>
      <w:r w:rsidRPr="0094354B">
        <w:rPr>
          <w:sz w:val="24"/>
          <w:szCs w:val="24"/>
        </w:rPr>
        <w:t>thiopenton</w:t>
      </w:r>
      <w:proofErr w:type="spellEnd"/>
      <w:r w:rsidRPr="0094354B">
        <w:rPr>
          <w:sz w:val="24"/>
          <w:szCs w:val="24"/>
        </w:rPr>
        <w:t xml:space="preserve"> og </w:t>
      </w:r>
      <w:proofErr w:type="spellStart"/>
      <w:r w:rsidRPr="0094354B">
        <w:rPr>
          <w:sz w:val="24"/>
          <w:szCs w:val="24"/>
        </w:rPr>
        <w:t>methohexital</w:t>
      </w:r>
      <w:proofErr w:type="spellEnd"/>
      <w:r w:rsidRPr="0094354B">
        <w:rPr>
          <w:sz w:val="24"/>
          <w:szCs w:val="24"/>
        </w:rPr>
        <w:t xml:space="preserve"> på grund af store forskelle i pH.</w:t>
      </w:r>
    </w:p>
    <w:p w:rsidR="00D20660" w:rsidRPr="0094354B" w:rsidRDefault="00D20660" w:rsidP="00D20660">
      <w:pPr>
        <w:ind w:left="851"/>
        <w:contextualSpacing/>
        <w:rPr>
          <w:sz w:val="24"/>
          <w:szCs w:val="24"/>
        </w:rPr>
      </w:pPr>
    </w:p>
    <w:p w:rsidR="00F06594" w:rsidRPr="002A2AE9" w:rsidRDefault="00F06594" w:rsidP="00F06594">
      <w:pPr>
        <w:ind w:left="851"/>
        <w:contextualSpacing/>
        <w:rPr>
          <w:sz w:val="24"/>
          <w:szCs w:val="24"/>
        </w:rPr>
      </w:pPr>
      <w:r w:rsidRPr="002A2AE9">
        <w:rPr>
          <w:sz w:val="24"/>
          <w:szCs w:val="24"/>
        </w:rPr>
        <w:t>Da der ikke foreligger studier af eventuelle uforligeligheder, må dette lægemiddel ikke blandes med andre lægemidler end</w:t>
      </w:r>
      <w:r w:rsidRPr="002A2AE9" w:rsidDel="00152C4F">
        <w:rPr>
          <w:sz w:val="24"/>
          <w:szCs w:val="24"/>
        </w:rPr>
        <w:t xml:space="preserve"> </w:t>
      </w:r>
      <w:r w:rsidRPr="002A2AE9">
        <w:rPr>
          <w:sz w:val="24"/>
          <w:szCs w:val="24"/>
        </w:rPr>
        <w:t xml:space="preserve">dem, der er nævnt i </w:t>
      </w:r>
      <w:r>
        <w:rPr>
          <w:sz w:val="24"/>
          <w:szCs w:val="24"/>
        </w:rPr>
        <w:t>pkt.</w:t>
      </w:r>
      <w:r w:rsidRPr="002A2AE9">
        <w:rPr>
          <w:sz w:val="24"/>
          <w:szCs w:val="24"/>
        </w:rPr>
        <w:t xml:space="preserve"> 6.6.</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6.3</w:t>
      </w:r>
      <w:r w:rsidRPr="0094354B">
        <w:rPr>
          <w:b/>
          <w:sz w:val="24"/>
          <w:szCs w:val="24"/>
        </w:rPr>
        <w:tab/>
        <w:t>Opbevaringstid</w:t>
      </w:r>
    </w:p>
    <w:p w:rsidR="00D20660" w:rsidRDefault="00D20660" w:rsidP="00D20660">
      <w:pPr>
        <w:ind w:left="851" w:hanging="851"/>
        <w:contextualSpacing/>
        <w:rPr>
          <w:sz w:val="24"/>
          <w:szCs w:val="24"/>
        </w:rPr>
      </w:pPr>
      <w:r w:rsidRPr="0094354B">
        <w:rPr>
          <w:sz w:val="24"/>
          <w:szCs w:val="24"/>
        </w:rPr>
        <w:tab/>
        <w:t>3 år</w:t>
      </w:r>
      <w:r>
        <w:rPr>
          <w:sz w:val="24"/>
          <w:szCs w:val="24"/>
        </w:rPr>
        <w:t>.</w:t>
      </w:r>
    </w:p>
    <w:p w:rsidR="00D20660" w:rsidRPr="0094354B" w:rsidRDefault="00D20660" w:rsidP="00D20660">
      <w:pPr>
        <w:ind w:left="851" w:hanging="851"/>
        <w:contextualSpacing/>
        <w:jc w:val="both"/>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6.4</w:t>
      </w:r>
      <w:r w:rsidRPr="0094354B">
        <w:rPr>
          <w:b/>
          <w:sz w:val="24"/>
          <w:szCs w:val="24"/>
        </w:rPr>
        <w:tab/>
        <w:t>Særlige opbevaringsforhold</w:t>
      </w:r>
    </w:p>
    <w:p w:rsidR="00D20660" w:rsidRPr="0094354B" w:rsidRDefault="00D20660" w:rsidP="00D20660">
      <w:pPr>
        <w:ind w:left="851"/>
        <w:contextualSpacing/>
        <w:rPr>
          <w:sz w:val="24"/>
          <w:szCs w:val="24"/>
          <w:lang w:eastAsia="en-GB"/>
        </w:rPr>
      </w:pPr>
      <w:r w:rsidRPr="0094354B">
        <w:rPr>
          <w:sz w:val="24"/>
          <w:szCs w:val="24"/>
        </w:rPr>
        <w:t>Beskyttes mod lys.</w:t>
      </w:r>
    </w:p>
    <w:p w:rsidR="00D20660" w:rsidRPr="0094354B" w:rsidRDefault="00D20660" w:rsidP="00D20660">
      <w:pPr>
        <w:ind w:left="851"/>
        <w:contextualSpacing/>
        <w:rPr>
          <w:sz w:val="24"/>
          <w:szCs w:val="24"/>
        </w:rPr>
      </w:pPr>
      <w:r w:rsidRPr="0094354B">
        <w:rPr>
          <w:sz w:val="24"/>
          <w:szCs w:val="24"/>
        </w:rPr>
        <w:t xml:space="preserve">Opbevares i </w:t>
      </w:r>
      <w:r>
        <w:rPr>
          <w:sz w:val="24"/>
          <w:szCs w:val="24"/>
        </w:rPr>
        <w:t xml:space="preserve">den originale </w:t>
      </w:r>
      <w:r w:rsidRPr="0094354B">
        <w:rPr>
          <w:sz w:val="24"/>
          <w:szCs w:val="24"/>
        </w:rPr>
        <w:t>yderpakning.</w:t>
      </w:r>
    </w:p>
    <w:p w:rsidR="00D20660" w:rsidRPr="0094354B" w:rsidRDefault="00D20660" w:rsidP="00D20660">
      <w:pPr>
        <w:ind w:left="851"/>
        <w:contextualSpacing/>
        <w:rPr>
          <w:sz w:val="24"/>
          <w:szCs w:val="24"/>
        </w:rPr>
      </w:pPr>
      <w:r w:rsidRPr="0094354B">
        <w:rPr>
          <w:sz w:val="24"/>
          <w:szCs w:val="24"/>
        </w:rPr>
        <w:t>Må ikke opbevares ved temperaturer over 25</w:t>
      </w:r>
      <w:r>
        <w:rPr>
          <w:sz w:val="24"/>
          <w:szCs w:val="24"/>
        </w:rPr>
        <w:t xml:space="preserve"> </w:t>
      </w:r>
      <w:r w:rsidRPr="0094354B">
        <w:rPr>
          <w:sz w:val="24"/>
          <w:szCs w:val="24"/>
        </w:rPr>
        <w:t>°C.</w:t>
      </w:r>
    </w:p>
    <w:p w:rsidR="00F06594" w:rsidRPr="00F55ECC" w:rsidRDefault="00F06594" w:rsidP="00F55ECC">
      <w:pPr>
        <w:ind w:left="851"/>
        <w:rPr>
          <w:sz w:val="24"/>
          <w:szCs w:val="24"/>
        </w:rPr>
      </w:pPr>
      <w:r w:rsidRPr="00F55ECC">
        <w:rPr>
          <w:sz w:val="24"/>
          <w:szCs w:val="24"/>
        </w:rPr>
        <w:t xml:space="preserve">Fra et mikrobiologisk synspunkt bør produktet anvendes med det samme. </w:t>
      </w:r>
    </w:p>
    <w:p w:rsidR="00F06594" w:rsidRPr="00F55ECC" w:rsidRDefault="00F06594" w:rsidP="00F55ECC">
      <w:pPr>
        <w:ind w:left="851"/>
        <w:rPr>
          <w:sz w:val="24"/>
          <w:szCs w:val="24"/>
        </w:rPr>
      </w:pPr>
      <w:r w:rsidRPr="00F55ECC">
        <w:rPr>
          <w:sz w:val="24"/>
          <w:szCs w:val="24"/>
        </w:rPr>
        <w:t>Hvis den ikke anvendes straks, er opbevaringstider og -betingelser før brug brugerens ansvar og vil normalt ikke være længere end 24 timer ved 2-8 °C, medmindre fortyndingen har fundet sted under kontrollerede validerede aseptiske forhold.</w:t>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20660" w:rsidRDefault="00D20660" w:rsidP="00D20660">
      <w:pPr>
        <w:ind w:left="851"/>
        <w:contextualSpacing/>
        <w:rPr>
          <w:sz w:val="24"/>
          <w:szCs w:val="24"/>
        </w:rPr>
      </w:pPr>
      <w:r w:rsidRPr="0094354B">
        <w:rPr>
          <w:sz w:val="24"/>
          <w:szCs w:val="24"/>
        </w:rPr>
        <w:t xml:space="preserve">2 ml eller 10 ml klare glasampuller, glastype I </w:t>
      </w:r>
      <w:proofErr w:type="spellStart"/>
      <w:r w:rsidRPr="0094354B">
        <w:rPr>
          <w:sz w:val="24"/>
          <w:szCs w:val="24"/>
        </w:rPr>
        <w:t>borosilikatglas</w:t>
      </w:r>
      <w:proofErr w:type="spellEnd"/>
      <w:r w:rsidRPr="0094354B">
        <w:rPr>
          <w:sz w:val="24"/>
          <w:szCs w:val="24"/>
        </w:rPr>
        <w:t>, pakket i papæsker</w:t>
      </w:r>
      <w:r>
        <w:rPr>
          <w:sz w:val="24"/>
          <w:szCs w:val="24"/>
        </w:rPr>
        <w:t>.</w:t>
      </w:r>
    </w:p>
    <w:p w:rsidR="00D20660" w:rsidRPr="0094354B" w:rsidRDefault="00D20660" w:rsidP="00D20660">
      <w:pPr>
        <w:ind w:left="851"/>
        <w:contextualSpacing/>
        <w:rPr>
          <w:sz w:val="24"/>
          <w:szCs w:val="24"/>
          <w:lang w:eastAsia="en-GB"/>
        </w:rPr>
      </w:pPr>
      <w:r>
        <w:rPr>
          <w:sz w:val="24"/>
          <w:szCs w:val="24"/>
        </w:rPr>
        <w:t xml:space="preserve">Pakningsstørrelser: </w:t>
      </w:r>
      <w:r w:rsidRPr="0094354B">
        <w:rPr>
          <w:sz w:val="24"/>
          <w:szCs w:val="24"/>
        </w:rPr>
        <w:t xml:space="preserve">10 </w:t>
      </w:r>
      <w:r>
        <w:rPr>
          <w:sz w:val="24"/>
          <w:szCs w:val="24"/>
        </w:rPr>
        <w:t>×</w:t>
      </w:r>
      <w:r w:rsidRPr="0094354B">
        <w:rPr>
          <w:sz w:val="24"/>
          <w:szCs w:val="24"/>
        </w:rPr>
        <w:t xml:space="preserve"> 2 ml eller 10 </w:t>
      </w:r>
      <w:r>
        <w:rPr>
          <w:sz w:val="24"/>
          <w:szCs w:val="24"/>
        </w:rPr>
        <w:t>×</w:t>
      </w:r>
      <w:r w:rsidRPr="0094354B">
        <w:rPr>
          <w:sz w:val="24"/>
          <w:szCs w:val="24"/>
        </w:rPr>
        <w:t xml:space="preserve"> 10 ml ampuller.</w:t>
      </w:r>
    </w:p>
    <w:p w:rsidR="00D20660" w:rsidRPr="0094354B" w:rsidRDefault="00D20660" w:rsidP="00D20660">
      <w:pPr>
        <w:pStyle w:val="Normalindrykning"/>
        <w:spacing w:after="0"/>
        <w:ind w:left="851"/>
        <w:contextualSpacing/>
        <w:rPr>
          <w:sz w:val="24"/>
          <w:szCs w:val="24"/>
        </w:rPr>
      </w:pPr>
    </w:p>
    <w:p w:rsidR="00D20660" w:rsidRPr="0094354B" w:rsidRDefault="00D20660" w:rsidP="00D20660">
      <w:pPr>
        <w:pStyle w:val="Normalindrykning"/>
        <w:spacing w:after="0"/>
        <w:ind w:left="851"/>
        <w:contextualSpacing/>
        <w:rPr>
          <w:sz w:val="24"/>
          <w:szCs w:val="24"/>
        </w:rPr>
      </w:pPr>
      <w:r w:rsidRPr="0094354B">
        <w:rPr>
          <w:sz w:val="24"/>
          <w:szCs w:val="24"/>
        </w:rPr>
        <w:t>Ikke alle pakningsstørrelser er nødvendigvis markedsført.</w:t>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20660" w:rsidRPr="0094354B" w:rsidRDefault="00D20660" w:rsidP="00D20660">
      <w:pPr>
        <w:ind w:left="851"/>
        <w:rPr>
          <w:sz w:val="24"/>
          <w:szCs w:val="24"/>
          <w:lang w:eastAsia="en-GB"/>
        </w:rPr>
      </w:pPr>
      <w:r w:rsidRPr="0094354B">
        <w:rPr>
          <w:sz w:val="24"/>
          <w:szCs w:val="24"/>
        </w:rPr>
        <w:t>Injektionsopløsningen må ikke bruges, hvis den indeholder partikler.</w:t>
      </w:r>
    </w:p>
    <w:p w:rsidR="00D20660" w:rsidRPr="0094354B" w:rsidRDefault="00D20660" w:rsidP="00D20660">
      <w:pPr>
        <w:ind w:left="851"/>
        <w:contextualSpacing/>
        <w:rPr>
          <w:sz w:val="24"/>
          <w:szCs w:val="24"/>
        </w:rPr>
      </w:pPr>
      <w:r w:rsidRPr="0094354B">
        <w:rPr>
          <w:sz w:val="24"/>
          <w:szCs w:val="24"/>
        </w:rPr>
        <w:t xml:space="preserve">Hvis opløsningen kun bruges delvist, skal den tilbageværende opløsning bortskaffes. </w:t>
      </w:r>
    </w:p>
    <w:p w:rsidR="00D20660" w:rsidRDefault="00D20660" w:rsidP="00D20660">
      <w:pPr>
        <w:tabs>
          <w:tab w:val="left" w:pos="851"/>
        </w:tabs>
        <w:ind w:left="851" w:hanging="851"/>
        <w:jc w:val="both"/>
        <w:rPr>
          <w:sz w:val="24"/>
          <w:szCs w:val="24"/>
        </w:rPr>
      </w:pPr>
    </w:p>
    <w:p w:rsidR="00F06594" w:rsidRPr="002A2AE9" w:rsidRDefault="00F06594" w:rsidP="00F06594">
      <w:pPr>
        <w:pStyle w:val="NormalWeb"/>
        <w:spacing w:before="0" w:beforeAutospacing="0" w:after="143" w:afterAutospacing="0"/>
        <w:ind w:left="851"/>
        <w:jc w:val="both"/>
      </w:pPr>
      <w:r w:rsidRPr="002A2AE9">
        <w:t xml:space="preserve">Fentanyl til infusion kan fremstilles ved fortynding med infusionsvæsker, der indeholder 5% </w:t>
      </w:r>
      <w:proofErr w:type="spellStart"/>
      <w:r w:rsidRPr="002A2AE9">
        <w:t>glucose</w:t>
      </w:r>
      <w:proofErr w:type="spellEnd"/>
      <w:r w:rsidRPr="002A2AE9">
        <w:t xml:space="preserve"> eller 0,9% </w:t>
      </w:r>
      <w:proofErr w:type="spellStart"/>
      <w:r w:rsidRPr="002A2AE9">
        <w:t>natriumchlorid</w:t>
      </w:r>
      <w:proofErr w:type="spellEnd"/>
      <w:r w:rsidRPr="002A2AE9">
        <w:t>.</w:t>
      </w:r>
    </w:p>
    <w:p w:rsidR="00F06594" w:rsidRPr="002A2AE9" w:rsidRDefault="00F06594" w:rsidP="00F06594">
      <w:pPr>
        <w:pStyle w:val="NormalWeb"/>
        <w:spacing w:before="0" w:beforeAutospacing="0" w:after="143" w:afterAutospacing="0"/>
        <w:ind w:left="851"/>
        <w:jc w:val="both"/>
      </w:pPr>
      <w:r w:rsidRPr="002A2AE9">
        <w:t>Fentanylinjektion kan fremstilles ved fortynding i følgende nominelle infusionsdoseringsstyrker: 5 mikrogram/ml og 25 mikrogram/ml til følgende infusioner: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91"/>
        <w:gridCol w:w="2261"/>
        <w:gridCol w:w="2127"/>
      </w:tblGrid>
      <w:tr w:rsidR="00F06594" w:rsidRPr="002A2AE9" w:rsidTr="00F55ECC">
        <w:tc>
          <w:tcPr>
            <w:tcW w:w="2268" w:type="dxa"/>
            <w:vMerge w:val="restart"/>
            <w:shd w:val="clear" w:color="auto" w:fill="auto"/>
          </w:tcPr>
          <w:p w:rsidR="00F06594" w:rsidRPr="002A2AE9" w:rsidRDefault="00F06594" w:rsidP="0089236D">
            <w:pPr>
              <w:spacing w:after="143"/>
              <w:rPr>
                <w:sz w:val="24"/>
                <w:szCs w:val="24"/>
                <w:lang w:eastAsia="en-GB"/>
              </w:rPr>
            </w:pPr>
            <w:r w:rsidRPr="002A2AE9">
              <w:rPr>
                <w:sz w:val="24"/>
                <w:szCs w:val="24"/>
                <w:lang w:eastAsia="en-GB"/>
              </w:rPr>
              <w:t xml:space="preserve">Nominel </w:t>
            </w:r>
            <w:r w:rsidR="00F55ECC">
              <w:rPr>
                <w:sz w:val="24"/>
                <w:szCs w:val="24"/>
                <w:lang w:eastAsia="en-GB"/>
              </w:rPr>
              <w:t>f</w:t>
            </w:r>
            <w:r w:rsidRPr="002A2AE9">
              <w:rPr>
                <w:sz w:val="24"/>
                <w:szCs w:val="24"/>
                <w:lang w:eastAsia="en-GB"/>
              </w:rPr>
              <w:t>entanyl-infusionsstyrke (koncentration af fortyndet produkt)</w:t>
            </w:r>
          </w:p>
        </w:tc>
        <w:tc>
          <w:tcPr>
            <w:tcW w:w="1991" w:type="dxa"/>
            <w:vMerge w:val="restart"/>
            <w:shd w:val="clear" w:color="auto" w:fill="auto"/>
          </w:tcPr>
          <w:p w:rsidR="00F06594" w:rsidRPr="002A2AE9" w:rsidRDefault="00F06594" w:rsidP="0089236D">
            <w:pPr>
              <w:spacing w:after="143"/>
              <w:rPr>
                <w:sz w:val="24"/>
                <w:szCs w:val="24"/>
                <w:lang w:eastAsia="en-GB"/>
              </w:rPr>
            </w:pPr>
            <w:r w:rsidRPr="002A2AE9">
              <w:rPr>
                <w:sz w:val="24"/>
                <w:szCs w:val="24"/>
                <w:lang w:eastAsia="en-GB"/>
              </w:rPr>
              <w:t>Nominel størrelse på infusionspose (ml)</w:t>
            </w:r>
          </w:p>
        </w:tc>
        <w:tc>
          <w:tcPr>
            <w:tcW w:w="4388" w:type="dxa"/>
            <w:gridSpan w:val="2"/>
            <w:shd w:val="clear" w:color="auto" w:fill="auto"/>
          </w:tcPr>
          <w:p w:rsidR="00F06594" w:rsidRPr="002A2AE9" w:rsidRDefault="00F06594" w:rsidP="0089236D">
            <w:pPr>
              <w:spacing w:after="143"/>
              <w:rPr>
                <w:sz w:val="24"/>
                <w:szCs w:val="24"/>
                <w:lang w:eastAsia="en-GB"/>
              </w:rPr>
            </w:pPr>
            <w:r w:rsidRPr="002A2AE9">
              <w:rPr>
                <w:sz w:val="24"/>
                <w:szCs w:val="24"/>
                <w:lang w:eastAsia="en-GB"/>
              </w:rPr>
              <w:t>Infusionsopløsning</w:t>
            </w:r>
          </w:p>
        </w:tc>
      </w:tr>
      <w:tr w:rsidR="00F06594" w:rsidRPr="00A20ADD" w:rsidTr="00F55ECC">
        <w:tc>
          <w:tcPr>
            <w:tcW w:w="2268" w:type="dxa"/>
            <w:vMerge/>
            <w:shd w:val="clear" w:color="auto" w:fill="auto"/>
          </w:tcPr>
          <w:p w:rsidR="00F06594" w:rsidRPr="002A2AE9" w:rsidRDefault="00F06594" w:rsidP="0089236D">
            <w:pPr>
              <w:spacing w:after="143"/>
              <w:rPr>
                <w:sz w:val="24"/>
                <w:szCs w:val="24"/>
                <w:lang w:eastAsia="en-GB"/>
              </w:rPr>
            </w:pPr>
          </w:p>
        </w:tc>
        <w:tc>
          <w:tcPr>
            <w:tcW w:w="1991" w:type="dxa"/>
            <w:vMerge/>
            <w:shd w:val="clear" w:color="auto" w:fill="auto"/>
          </w:tcPr>
          <w:p w:rsidR="00F06594" w:rsidRPr="002A2AE9" w:rsidRDefault="00F06594" w:rsidP="0089236D">
            <w:pPr>
              <w:spacing w:after="143"/>
              <w:rPr>
                <w:sz w:val="24"/>
                <w:szCs w:val="24"/>
                <w:lang w:eastAsia="en-GB"/>
              </w:rPr>
            </w:pPr>
          </w:p>
        </w:tc>
        <w:tc>
          <w:tcPr>
            <w:tcW w:w="2261" w:type="dxa"/>
            <w:shd w:val="clear" w:color="auto" w:fill="auto"/>
          </w:tcPr>
          <w:p w:rsidR="00F06594" w:rsidRPr="0089236D" w:rsidRDefault="00F06594" w:rsidP="0089236D">
            <w:pPr>
              <w:spacing w:after="143"/>
              <w:rPr>
                <w:sz w:val="24"/>
                <w:szCs w:val="24"/>
                <w:lang w:val="en-US" w:eastAsia="en-GB"/>
              </w:rPr>
            </w:pPr>
            <w:r w:rsidRPr="0089236D">
              <w:rPr>
                <w:sz w:val="24"/>
                <w:szCs w:val="24"/>
                <w:lang w:val="en-US" w:eastAsia="en-GB"/>
              </w:rPr>
              <w:t xml:space="preserve">0,9 % w/v </w:t>
            </w:r>
            <w:proofErr w:type="spellStart"/>
            <w:r w:rsidRPr="0089236D">
              <w:rPr>
                <w:sz w:val="24"/>
                <w:szCs w:val="24"/>
                <w:lang w:val="en-US" w:eastAsia="en-GB"/>
              </w:rPr>
              <w:t>natriumchlorid</w:t>
            </w:r>
            <w:proofErr w:type="spellEnd"/>
            <w:r w:rsidRPr="0089236D">
              <w:rPr>
                <w:sz w:val="24"/>
                <w:szCs w:val="24"/>
                <w:lang w:val="en-US" w:eastAsia="en-GB"/>
              </w:rPr>
              <w:t xml:space="preserve"> </w:t>
            </w:r>
            <w:proofErr w:type="spellStart"/>
            <w:r w:rsidRPr="0089236D">
              <w:rPr>
                <w:sz w:val="24"/>
                <w:szCs w:val="24"/>
                <w:lang w:val="en-US" w:eastAsia="en-GB"/>
              </w:rPr>
              <w:t>intravenøs</w:t>
            </w:r>
            <w:proofErr w:type="spellEnd"/>
            <w:r w:rsidRPr="0089236D">
              <w:rPr>
                <w:sz w:val="24"/>
                <w:szCs w:val="24"/>
                <w:lang w:val="en-US" w:eastAsia="en-GB"/>
              </w:rPr>
              <w:t xml:space="preserve"> infusion</w:t>
            </w:r>
          </w:p>
        </w:tc>
        <w:tc>
          <w:tcPr>
            <w:tcW w:w="2127" w:type="dxa"/>
            <w:shd w:val="clear" w:color="auto" w:fill="auto"/>
          </w:tcPr>
          <w:p w:rsidR="00F06594" w:rsidRPr="0089236D" w:rsidRDefault="00F06594" w:rsidP="0089236D">
            <w:pPr>
              <w:spacing w:after="143"/>
              <w:rPr>
                <w:sz w:val="24"/>
                <w:szCs w:val="24"/>
                <w:lang w:val="en-US" w:eastAsia="en-GB"/>
              </w:rPr>
            </w:pPr>
            <w:r w:rsidRPr="0089236D">
              <w:rPr>
                <w:sz w:val="24"/>
                <w:szCs w:val="24"/>
                <w:lang w:val="en-US" w:eastAsia="en-GB"/>
              </w:rPr>
              <w:t>Glu</w:t>
            </w:r>
            <w:r>
              <w:rPr>
                <w:sz w:val="24"/>
                <w:szCs w:val="24"/>
                <w:lang w:val="en-US" w:eastAsia="en-GB"/>
              </w:rPr>
              <w:t>c</w:t>
            </w:r>
            <w:r w:rsidRPr="0089236D">
              <w:rPr>
                <w:sz w:val="24"/>
                <w:szCs w:val="24"/>
                <w:lang w:val="en-US" w:eastAsia="en-GB"/>
              </w:rPr>
              <w:t xml:space="preserve">ose 5% w/v </w:t>
            </w:r>
            <w:proofErr w:type="spellStart"/>
            <w:r w:rsidRPr="0089236D">
              <w:rPr>
                <w:sz w:val="24"/>
                <w:szCs w:val="24"/>
                <w:lang w:val="en-US" w:eastAsia="en-GB"/>
              </w:rPr>
              <w:t>intravenøs</w:t>
            </w:r>
            <w:proofErr w:type="spellEnd"/>
            <w:r w:rsidRPr="0089236D">
              <w:rPr>
                <w:sz w:val="24"/>
                <w:szCs w:val="24"/>
                <w:lang w:val="en-US" w:eastAsia="en-GB"/>
              </w:rPr>
              <w:t xml:space="preserve"> infusion</w:t>
            </w:r>
          </w:p>
        </w:tc>
      </w:tr>
      <w:tr w:rsidR="00F06594" w:rsidRPr="002A2AE9" w:rsidTr="00F55ECC">
        <w:tc>
          <w:tcPr>
            <w:tcW w:w="2268"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t>25 mikrogram/ml</w:t>
            </w:r>
          </w:p>
        </w:tc>
        <w:tc>
          <w:tcPr>
            <w:tcW w:w="1991"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t>100</w:t>
            </w:r>
          </w:p>
        </w:tc>
        <w:tc>
          <w:tcPr>
            <w:tcW w:w="2261"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sym w:font="Wingdings" w:char="F0FC"/>
            </w:r>
          </w:p>
        </w:tc>
        <w:tc>
          <w:tcPr>
            <w:tcW w:w="2127"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sym w:font="Wingdings" w:char="F0FC"/>
            </w:r>
          </w:p>
        </w:tc>
      </w:tr>
      <w:tr w:rsidR="00F06594" w:rsidRPr="002A2AE9" w:rsidTr="00F55ECC">
        <w:tc>
          <w:tcPr>
            <w:tcW w:w="2268"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t>5 mikrogram/ml</w:t>
            </w:r>
          </w:p>
        </w:tc>
        <w:tc>
          <w:tcPr>
            <w:tcW w:w="1991"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t>500</w:t>
            </w:r>
          </w:p>
        </w:tc>
        <w:tc>
          <w:tcPr>
            <w:tcW w:w="2261"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sym w:font="Wingdings" w:char="F0FC"/>
            </w:r>
          </w:p>
        </w:tc>
        <w:tc>
          <w:tcPr>
            <w:tcW w:w="2127" w:type="dxa"/>
            <w:shd w:val="clear" w:color="auto" w:fill="auto"/>
          </w:tcPr>
          <w:p w:rsidR="00F06594" w:rsidRPr="002A2AE9" w:rsidRDefault="00F06594" w:rsidP="0089236D">
            <w:pPr>
              <w:spacing w:after="143"/>
              <w:rPr>
                <w:sz w:val="24"/>
                <w:szCs w:val="24"/>
                <w:lang w:eastAsia="en-GB"/>
              </w:rPr>
            </w:pPr>
            <w:r w:rsidRPr="002A2AE9">
              <w:rPr>
                <w:sz w:val="24"/>
                <w:szCs w:val="24"/>
                <w:lang w:eastAsia="en-GB"/>
              </w:rPr>
              <w:sym w:font="Wingdings" w:char="F0FC"/>
            </w:r>
          </w:p>
        </w:tc>
      </w:tr>
    </w:tbl>
    <w:p w:rsidR="00F55ECC" w:rsidRDefault="00F55ECC" w:rsidP="00F55ECC">
      <w:pPr>
        <w:pStyle w:val="NormalWeb"/>
        <w:spacing w:before="0" w:beforeAutospacing="0" w:after="0" w:afterAutospacing="0"/>
        <w:ind w:left="851"/>
      </w:pPr>
    </w:p>
    <w:p w:rsidR="00F06594" w:rsidRPr="002A2AE9" w:rsidRDefault="00F06594" w:rsidP="00F55ECC">
      <w:pPr>
        <w:pStyle w:val="NormalWeb"/>
        <w:spacing w:before="0" w:beforeAutospacing="0" w:after="0" w:afterAutospacing="0"/>
        <w:ind w:left="851"/>
      </w:pPr>
      <w:r w:rsidRPr="002A2AE9">
        <w:t xml:space="preserve">Fentanyl 50 mikrogram/ml i 5% </w:t>
      </w:r>
      <w:proofErr w:type="spellStart"/>
      <w:r w:rsidRPr="002A2AE9">
        <w:t>glucose</w:t>
      </w:r>
      <w:proofErr w:type="spellEnd"/>
      <w:r w:rsidRPr="002A2AE9">
        <w:t xml:space="preserve"> eller 0,9% </w:t>
      </w:r>
      <w:proofErr w:type="spellStart"/>
      <w:r w:rsidRPr="002A2AE9">
        <w:t>natriumchlorid</w:t>
      </w:r>
      <w:proofErr w:type="spellEnd"/>
      <w:r w:rsidRPr="002A2AE9">
        <w:t xml:space="preserve"> udviste intet tab på grund af </w:t>
      </w:r>
      <w:proofErr w:type="spellStart"/>
      <w:r w:rsidRPr="002A2AE9">
        <w:t>sorption</w:t>
      </w:r>
      <w:proofErr w:type="spellEnd"/>
      <w:r w:rsidRPr="002A2AE9">
        <w:t xml:space="preserve"> til PVC-infusionsopløsningsbeholdere.</w:t>
      </w:r>
    </w:p>
    <w:p w:rsidR="00F55ECC" w:rsidRDefault="00F55ECC" w:rsidP="00F55ECC">
      <w:pPr>
        <w:pStyle w:val="NormalWeb"/>
        <w:spacing w:before="0" w:beforeAutospacing="0" w:after="0" w:afterAutospacing="0"/>
        <w:ind w:left="851"/>
      </w:pPr>
    </w:p>
    <w:p w:rsidR="00F06594" w:rsidRPr="002A2AE9" w:rsidRDefault="00F06594" w:rsidP="00F55ECC">
      <w:pPr>
        <w:pStyle w:val="NormalWeb"/>
        <w:spacing w:before="0" w:beforeAutospacing="0" w:after="0" w:afterAutospacing="0"/>
        <w:ind w:left="851"/>
      </w:pPr>
      <w:r w:rsidRPr="002A2AE9">
        <w:t>Det fortyndede produkts kemiske og fysiske stabilitet efter brug er blevet påvist i 24 timer ved 25 °C og ved 2-8 °C.</w:t>
      </w:r>
    </w:p>
    <w:p w:rsidR="00F06594" w:rsidRPr="0094354B" w:rsidRDefault="00F06594" w:rsidP="00D20660">
      <w:pPr>
        <w:tabs>
          <w:tab w:val="left" w:pos="851"/>
        </w:tabs>
        <w:ind w:left="851" w:hanging="851"/>
        <w:jc w:val="both"/>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7.</w:t>
      </w:r>
      <w:r w:rsidRPr="0094354B">
        <w:rPr>
          <w:b/>
          <w:sz w:val="24"/>
          <w:szCs w:val="24"/>
        </w:rPr>
        <w:tab/>
        <w:t>INDEHAVER AF MARKEDSFØRINGSTILLADELSEN</w:t>
      </w:r>
    </w:p>
    <w:p w:rsidR="00D20660" w:rsidRPr="00363661" w:rsidRDefault="00D20660" w:rsidP="00D20660">
      <w:pPr>
        <w:ind w:left="851"/>
        <w:rPr>
          <w:sz w:val="24"/>
          <w:szCs w:val="24"/>
          <w:lang w:eastAsia="en-GB"/>
        </w:rPr>
      </w:pPr>
      <w:proofErr w:type="spellStart"/>
      <w:r w:rsidRPr="00363661">
        <w:rPr>
          <w:sz w:val="24"/>
          <w:szCs w:val="24"/>
        </w:rPr>
        <w:t>Ethypharm</w:t>
      </w:r>
      <w:proofErr w:type="spellEnd"/>
    </w:p>
    <w:p w:rsidR="00D20660" w:rsidRPr="00363661" w:rsidRDefault="00D20660" w:rsidP="00D20660">
      <w:pPr>
        <w:ind w:left="851"/>
        <w:rPr>
          <w:sz w:val="24"/>
          <w:szCs w:val="24"/>
        </w:rPr>
      </w:pPr>
      <w:r w:rsidRPr="00363661">
        <w:rPr>
          <w:sz w:val="24"/>
          <w:szCs w:val="24"/>
        </w:rPr>
        <w:t xml:space="preserve">194 </w:t>
      </w:r>
      <w:proofErr w:type="spellStart"/>
      <w:r w:rsidRPr="00363661">
        <w:rPr>
          <w:sz w:val="24"/>
          <w:szCs w:val="24"/>
        </w:rPr>
        <w:t>Bureaux</w:t>
      </w:r>
      <w:proofErr w:type="spellEnd"/>
      <w:r w:rsidRPr="00363661">
        <w:rPr>
          <w:sz w:val="24"/>
          <w:szCs w:val="24"/>
        </w:rPr>
        <w:t xml:space="preserve"> de la </w:t>
      </w:r>
      <w:proofErr w:type="spellStart"/>
      <w:r w:rsidRPr="00363661">
        <w:rPr>
          <w:sz w:val="24"/>
          <w:szCs w:val="24"/>
        </w:rPr>
        <w:t>Colline</w:t>
      </w:r>
      <w:proofErr w:type="spellEnd"/>
      <w:r w:rsidRPr="00363661">
        <w:rPr>
          <w:sz w:val="24"/>
          <w:szCs w:val="24"/>
        </w:rPr>
        <w:t xml:space="preserve">, </w:t>
      </w:r>
      <w:proofErr w:type="spellStart"/>
      <w:r w:rsidRPr="00363661">
        <w:rPr>
          <w:sz w:val="24"/>
          <w:szCs w:val="24"/>
        </w:rPr>
        <w:t>Bâtiment</w:t>
      </w:r>
      <w:proofErr w:type="spellEnd"/>
      <w:r w:rsidRPr="00363661">
        <w:rPr>
          <w:sz w:val="24"/>
          <w:szCs w:val="24"/>
        </w:rPr>
        <w:t xml:space="preserve"> D</w:t>
      </w:r>
    </w:p>
    <w:p w:rsidR="00D20660" w:rsidRPr="00363661" w:rsidRDefault="00D20660" w:rsidP="00D20660">
      <w:pPr>
        <w:ind w:left="851"/>
        <w:rPr>
          <w:sz w:val="24"/>
          <w:szCs w:val="24"/>
        </w:rPr>
      </w:pPr>
      <w:r w:rsidRPr="00363661">
        <w:rPr>
          <w:sz w:val="24"/>
          <w:szCs w:val="24"/>
        </w:rPr>
        <w:t>92213 Saint-Cloud CEDEX</w:t>
      </w:r>
    </w:p>
    <w:p w:rsidR="00D20660" w:rsidRPr="00363661" w:rsidRDefault="00D20660" w:rsidP="00D20660">
      <w:pPr>
        <w:ind w:left="851"/>
        <w:rPr>
          <w:sz w:val="24"/>
          <w:szCs w:val="24"/>
        </w:rPr>
      </w:pPr>
      <w:r w:rsidRPr="00363661">
        <w:rPr>
          <w:sz w:val="24"/>
          <w:szCs w:val="24"/>
        </w:rPr>
        <w:t>Frankrig</w:t>
      </w:r>
    </w:p>
    <w:p w:rsidR="00D20660" w:rsidRPr="0094354B" w:rsidRDefault="00D20660" w:rsidP="00D20660">
      <w:pPr>
        <w:tabs>
          <w:tab w:val="left" w:pos="851"/>
        </w:tabs>
        <w:ind w:left="851" w:hanging="851"/>
        <w:rPr>
          <w:sz w:val="24"/>
          <w:szCs w:val="24"/>
        </w:rPr>
      </w:pPr>
    </w:p>
    <w:p w:rsidR="005E6772" w:rsidRPr="00C84483" w:rsidRDefault="005E6772" w:rsidP="005E677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20660" w:rsidRPr="0094354B" w:rsidRDefault="00D20660" w:rsidP="00D20660">
      <w:pPr>
        <w:tabs>
          <w:tab w:val="left" w:pos="851"/>
        </w:tabs>
        <w:ind w:left="851" w:hanging="851"/>
        <w:rPr>
          <w:sz w:val="24"/>
          <w:szCs w:val="24"/>
        </w:rPr>
      </w:pPr>
      <w:r>
        <w:rPr>
          <w:sz w:val="24"/>
          <w:szCs w:val="24"/>
        </w:rPr>
        <w:tab/>
      </w:r>
      <w:r w:rsidRPr="0094354B">
        <w:rPr>
          <w:sz w:val="24"/>
          <w:szCs w:val="24"/>
        </w:rPr>
        <w:t>61779</w:t>
      </w:r>
    </w:p>
    <w:p w:rsidR="00D20660" w:rsidRPr="0094354B" w:rsidRDefault="00D20660" w:rsidP="00D20660">
      <w:pPr>
        <w:tabs>
          <w:tab w:val="left" w:pos="851"/>
        </w:tabs>
        <w:ind w:left="851" w:hanging="851"/>
        <w:jc w:val="both"/>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9.</w:t>
      </w:r>
      <w:r w:rsidRPr="0094354B">
        <w:rPr>
          <w:b/>
          <w:sz w:val="24"/>
          <w:szCs w:val="24"/>
        </w:rPr>
        <w:tab/>
        <w:t>DATO FOR FØRSTE MARKEDSFØRINGSTILLADELSE</w:t>
      </w:r>
    </w:p>
    <w:p w:rsidR="00D20660" w:rsidRPr="0094354B" w:rsidRDefault="00D20660" w:rsidP="00D20660">
      <w:pPr>
        <w:tabs>
          <w:tab w:val="left" w:pos="851"/>
        </w:tabs>
        <w:ind w:left="851" w:hanging="851"/>
        <w:rPr>
          <w:sz w:val="24"/>
          <w:szCs w:val="24"/>
        </w:rPr>
      </w:pPr>
      <w:r>
        <w:rPr>
          <w:sz w:val="24"/>
          <w:szCs w:val="24"/>
        </w:rPr>
        <w:tab/>
        <w:t>8. marts 2019</w:t>
      </w:r>
    </w:p>
    <w:p w:rsidR="00D20660" w:rsidRPr="0094354B" w:rsidRDefault="00D20660" w:rsidP="00D20660">
      <w:pPr>
        <w:tabs>
          <w:tab w:val="left" w:pos="851"/>
        </w:tabs>
        <w:ind w:left="851" w:hanging="851"/>
        <w:rPr>
          <w:sz w:val="24"/>
          <w:szCs w:val="24"/>
        </w:rPr>
      </w:pPr>
    </w:p>
    <w:p w:rsidR="00D20660" w:rsidRPr="0094354B" w:rsidRDefault="00D20660" w:rsidP="00D20660">
      <w:pPr>
        <w:tabs>
          <w:tab w:val="left" w:pos="851"/>
        </w:tabs>
        <w:ind w:left="851" w:hanging="851"/>
        <w:rPr>
          <w:b/>
          <w:sz w:val="24"/>
          <w:szCs w:val="24"/>
        </w:rPr>
      </w:pPr>
      <w:r w:rsidRPr="0094354B">
        <w:rPr>
          <w:b/>
          <w:sz w:val="24"/>
          <w:szCs w:val="24"/>
        </w:rPr>
        <w:t>10.</w:t>
      </w:r>
      <w:r w:rsidRPr="0094354B">
        <w:rPr>
          <w:b/>
          <w:sz w:val="24"/>
          <w:szCs w:val="24"/>
        </w:rPr>
        <w:tab/>
        <w:t>DATO FOR ÆNDRING AF TEKSTEN</w:t>
      </w:r>
    </w:p>
    <w:p w:rsidR="009260DE" w:rsidRPr="00D20660" w:rsidRDefault="00D20660" w:rsidP="00667C2F">
      <w:pPr>
        <w:tabs>
          <w:tab w:val="left" w:pos="851"/>
        </w:tabs>
        <w:ind w:left="851" w:hanging="851"/>
      </w:pPr>
      <w:r>
        <w:rPr>
          <w:sz w:val="24"/>
          <w:szCs w:val="24"/>
        </w:rPr>
        <w:tab/>
      </w:r>
      <w:r w:rsidR="00C22C35">
        <w:rPr>
          <w:sz w:val="24"/>
          <w:szCs w:val="24"/>
        </w:rPr>
        <w:t>17. januar 2025</w:t>
      </w:r>
      <w:bookmarkStart w:id="0" w:name="_GoBack"/>
      <w:bookmarkEnd w:id="0"/>
    </w:p>
    <w:sectPr w:rsidR="009260DE" w:rsidRPr="00D2066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660" w:rsidRDefault="00D20660">
      <w:r>
        <w:separator/>
      </w:r>
    </w:p>
  </w:endnote>
  <w:endnote w:type="continuationSeparator" w:id="0">
    <w:p w:rsidR="00D20660" w:rsidRDefault="00D2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63661">
      <w:rPr>
        <w:i/>
        <w:noProof/>
        <w:sz w:val="18"/>
        <w:szCs w:val="18"/>
      </w:rPr>
      <w:t>Fentanyl Ethypharm, injektionsvæske, opløsning 50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660" w:rsidRDefault="00D20660">
      <w:r>
        <w:separator/>
      </w:r>
    </w:p>
  </w:footnote>
  <w:footnote w:type="continuationSeparator" w:id="0">
    <w:p w:rsidR="00D20660" w:rsidRDefault="00D20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5F7"/>
    <w:multiLevelType w:val="hybridMultilevel"/>
    <w:tmpl w:val="07DAA4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D8F5DF6"/>
    <w:multiLevelType w:val="hybridMultilevel"/>
    <w:tmpl w:val="EB0E287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6754CE4"/>
    <w:multiLevelType w:val="hybridMultilevel"/>
    <w:tmpl w:val="089807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5155EEE"/>
    <w:multiLevelType w:val="hybridMultilevel"/>
    <w:tmpl w:val="331E83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60"/>
    <w:rsid w:val="00017ECD"/>
    <w:rsid w:val="000259B9"/>
    <w:rsid w:val="00041491"/>
    <w:rsid w:val="00050D16"/>
    <w:rsid w:val="00074F2A"/>
    <w:rsid w:val="000A1CA8"/>
    <w:rsid w:val="000A466B"/>
    <w:rsid w:val="000B058C"/>
    <w:rsid w:val="000B5B6B"/>
    <w:rsid w:val="000E4EE6"/>
    <w:rsid w:val="001454E2"/>
    <w:rsid w:val="00163E2A"/>
    <w:rsid w:val="00206CE8"/>
    <w:rsid w:val="0021526C"/>
    <w:rsid w:val="00283A2B"/>
    <w:rsid w:val="002B30AD"/>
    <w:rsid w:val="002C2C01"/>
    <w:rsid w:val="00363661"/>
    <w:rsid w:val="003A29AE"/>
    <w:rsid w:val="003A32D7"/>
    <w:rsid w:val="003B4074"/>
    <w:rsid w:val="003C769A"/>
    <w:rsid w:val="003F1838"/>
    <w:rsid w:val="00453626"/>
    <w:rsid w:val="0045746C"/>
    <w:rsid w:val="0049104B"/>
    <w:rsid w:val="004E3B12"/>
    <w:rsid w:val="00532310"/>
    <w:rsid w:val="00560ECC"/>
    <w:rsid w:val="00565F0F"/>
    <w:rsid w:val="00594A86"/>
    <w:rsid w:val="00596D86"/>
    <w:rsid w:val="005E6772"/>
    <w:rsid w:val="00637F5A"/>
    <w:rsid w:val="006560B1"/>
    <w:rsid w:val="00667C2F"/>
    <w:rsid w:val="006756DD"/>
    <w:rsid w:val="006C6D99"/>
    <w:rsid w:val="00737275"/>
    <w:rsid w:val="00740EEC"/>
    <w:rsid w:val="0078011A"/>
    <w:rsid w:val="00782AF4"/>
    <w:rsid w:val="00790EE7"/>
    <w:rsid w:val="007B6649"/>
    <w:rsid w:val="0081546F"/>
    <w:rsid w:val="00817A4E"/>
    <w:rsid w:val="0082576E"/>
    <w:rsid w:val="008773A8"/>
    <w:rsid w:val="00907F75"/>
    <w:rsid w:val="009260DE"/>
    <w:rsid w:val="0093258A"/>
    <w:rsid w:val="009C7BA3"/>
    <w:rsid w:val="009D1F5A"/>
    <w:rsid w:val="00A20ADD"/>
    <w:rsid w:val="00A31C88"/>
    <w:rsid w:val="00AB7190"/>
    <w:rsid w:val="00B003BF"/>
    <w:rsid w:val="00B373D7"/>
    <w:rsid w:val="00BB6232"/>
    <w:rsid w:val="00BE206E"/>
    <w:rsid w:val="00BE753E"/>
    <w:rsid w:val="00BF5A0C"/>
    <w:rsid w:val="00C22C35"/>
    <w:rsid w:val="00C36276"/>
    <w:rsid w:val="00C42586"/>
    <w:rsid w:val="00C44106"/>
    <w:rsid w:val="00C60CCD"/>
    <w:rsid w:val="00C84483"/>
    <w:rsid w:val="00C95551"/>
    <w:rsid w:val="00CB20D7"/>
    <w:rsid w:val="00CC6E8D"/>
    <w:rsid w:val="00D020B0"/>
    <w:rsid w:val="00D11748"/>
    <w:rsid w:val="00D20660"/>
    <w:rsid w:val="00D366CF"/>
    <w:rsid w:val="00D767BE"/>
    <w:rsid w:val="00E108AA"/>
    <w:rsid w:val="00E31812"/>
    <w:rsid w:val="00E3749A"/>
    <w:rsid w:val="00E7437F"/>
    <w:rsid w:val="00E865B8"/>
    <w:rsid w:val="00EC0B9B"/>
    <w:rsid w:val="00ED5E9F"/>
    <w:rsid w:val="00EF3873"/>
    <w:rsid w:val="00F06594"/>
    <w:rsid w:val="00F55ECC"/>
    <w:rsid w:val="00F66D4F"/>
    <w:rsid w:val="00FB6D01"/>
    <w:rsid w:val="00FC72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D2790"/>
  <w15:chartTrackingRefBased/>
  <w15:docId w15:val="{6CF0E265-5298-45A0-AAA2-1886510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D20660"/>
    <w:pPr>
      <w:spacing w:after="120"/>
      <w:ind w:left="720"/>
    </w:pPr>
    <w:rPr>
      <w:sz w:val="22"/>
      <w:lang w:eastAsia="en-GB"/>
    </w:rPr>
  </w:style>
  <w:style w:type="paragraph" w:styleId="Brdtekst">
    <w:name w:val="Body Text"/>
    <w:basedOn w:val="Normal"/>
    <w:link w:val="BrdtekstTegn"/>
    <w:semiHidden/>
    <w:unhideWhenUsed/>
    <w:rsid w:val="00D20660"/>
    <w:pPr>
      <w:spacing w:after="120"/>
    </w:pPr>
    <w:rPr>
      <w:sz w:val="24"/>
      <w:szCs w:val="24"/>
      <w:lang w:eastAsia="en-GB"/>
    </w:rPr>
  </w:style>
  <w:style w:type="character" w:customStyle="1" w:styleId="BrdtekstTegn">
    <w:name w:val="Brødtekst Tegn"/>
    <w:basedOn w:val="Standardskrifttypeiafsnit"/>
    <w:link w:val="Brdtekst"/>
    <w:semiHidden/>
    <w:rsid w:val="00D20660"/>
    <w:rPr>
      <w:sz w:val="24"/>
      <w:szCs w:val="24"/>
      <w:lang w:eastAsia="en-GB"/>
    </w:rPr>
  </w:style>
  <w:style w:type="paragraph" w:styleId="Brdtekstindrykning2">
    <w:name w:val="Body Text Indent 2"/>
    <w:basedOn w:val="Normal"/>
    <w:link w:val="Brdtekstindrykning2Tegn"/>
    <w:semiHidden/>
    <w:unhideWhenUsed/>
    <w:rsid w:val="00D20660"/>
    <w:pPr>
      <w:ind w:left="709"/>
      <w:jc w:val="both"/>
    </w:pPr>
    <w:rPr>
      <w:color w:val="FF00FF"/>
      <w:sz w:val="24"/>
    </w:rPr>
  </w:style>
  <w:style w:type="character" w:customStyle="1" w:styleId="Brdtekstindrykning2Tegn">
    <w:name w:val="Brødtekstindrykning 2 Tegn"/>
    <w:basedOn w:val="Standardskrifttypeiafsnit"/>
    <w:link w:val="Brdtekstindrykning2"/>
    <w:semiHidden/>
    <w:rsid w:val="00D20660"/>
    <w:rPr>
      <w:color w:val="FF00FF"/>
      <w:sz w:val="24"/>
      <w:lang w:eastAsia="en-US"/>
    </w:rPr>
  </w:style>
  <w:style w:type="paragraph" w:styleId="NormalWeb">
    <w:name w:val="Normal (Web)"/>
    <w:basedOn w:val="Normal"/>
    <w:uiPriority w:val="99"/>
    <w:semiHidden/>
    <w:unhideWhenUsed/>
    <w:rsid w:val="00D20660"/>
    <w:pPr>
      <w:spacing w:before="100" w:beforeAutospacing="1" w:after="100" w:afterAutospacing="1"/>
    </w:pPr>
    <w:rPr>
      <w:sz w:val="24"/>
      <w:szCs w:val="24"/>
      <w:lang w:eastAsia="en-GB"/>
    </w:rPr>
  </w:style>
  <w:style w:type="paragraph" w:customStyle="1" w:styleId="Default">
    <w:name w:val="Default"/>
    <w:rsid w:val="00D20660"/>
    <w:pPr>
      <w:autoSpaceDE w:val="0"/>
      <w:autoSpaceDN w:val="0"/>
      <w:adjustRightInd w:val="0"/>
    </w:pPr>
    <w:rPr>
      <w:rFonts w:eastAsia="SimSun"/>
      <w:color w:val="000000"/>
      <w:sz w:val="24"/>
      <w:szCs w:val="24"/>
      <w:lang w:eastAsia="en-GB"/>
    </w:rPr>
  </w:style>
  <w:style w:type="character" w:styleId="Hyperlink">
    <w:name w:val="Hyperlink"/>
    <w:semiHidden/>
    <w:unhideWhenUsed/>
    <w:rsid w:val="00D20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01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3578</Words>
  <Characters>24623</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2024104098, var. 10, pkt. 4.8</dc:description>
  <cp:lastModifiedBy>Gitte Jørgensen</cp:lastModifiedBy>
  <cp:revision>7</cp:revision>
  <cp:lastPrinted>2012-08-22T08:53:00Z</cp:lastPrinted>
  <dcterms:created xsi:type="dcterms:W3CDTF">2025-01-17T10:14:00Z</dcterms:created>
  <dcterms:modified xsi:type="dcterms:W3CDTF">2025-01-17T10:22:00Z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