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127A2" w14:textId="77777777" w:rsidR="00E724E8" w:rsidRPr="00955972" w:rsidRDefault="00E724E8" w:rsidP="00E724E8">
      <w:r>
        <w:rPr>
          <w:noProof/>
          <w:lang w:eastAsia="da-DK"/>
        </w:rPr>
        <w:drawing>
          <wp:inline distT="0" distB="0" distL="0" distR="0" wp14:anchorId="2FEA532F" wp14:editId="4B860A0A">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2AC08EB" w14:textId="703C04E9" w:rsidR="009260DE" w:rsidRDefault="009260DE" w:rsidP="009260DE">
      <w:pPr>
        <w:pStyle w:val="Titel"/>
        <w:jc w:val="left"/>
        <w:rPr>
          <w:b w:val="0"/>
          <w:szCs w:val="24"/>
        </w:rPr>
      </w:pPr>
    </w:p>
    <w:p w14:paraId="49955255" w14:textId="3FD02D46" w:rsidR="00E724E8" w:rsidRPr="00E724E8" w:rsidRDefault="00262C00" w:rsidP="00262C00">
      <w:pPr>
        <w:pStyle w:val="Titel"/>
        <w:tabs>
          <w:tab w:val="right" w:pos="9638"/>
        </w:tabs>
        <w:jc w:val="left"/>
        <w:rPr>
          <w:szCs w:val="24"/>
        </w:rPr>
      </w:pPr>
      <w:r>
        <w:rPr>
          <w:szCs w:val="24"/>
        </w:rPr>
        <w:tab/>
      </w:r>
      <w:r w:rsidR="00294941">
        <w:rPr>
          <w:szCs w:val="24"/>
        </w:rPr>
        <w:t>2</w:t>
      </w:r>
      <w:r w:rsidR="00E724E8" w:rsidRPr="00E724E8">
        <w:rPr>
          <w:szCs w:val="24"/>
        </w:rPr>
        <w:t xml:space="preserve">. </w:t>
      </w:r>
      <w:r w:rsidR="00294941">
        <w:rPr>
          <w:szCs w:val="24"/>
        </w:rPr>
        <w:t>december</w:t>
      </w:r>
      <w:r w:rsidR="00E724E8" w:rsidRPr="00E724E8">
        <w:rPr>
          <w:szCs w:val="24"/>
        </w:rPr>
        <w:t xml:space="preserve"> 202</w:t>
      </w:r>
      <w:r w:rsidR="00217346">
        <w:rPr>
          <w:szCs w:val="24"/>
        </w:rPr>
        <w:t>4</w:t>
      </w:r>
    </w:p>
    <w:p w14:paraId="36D874C2" w14:textId="2903FAD0" w:rsidR="00E724E8" w:rsidRDefault="00E724E8" w:rsidP="009260DE">
      <w:pPr>
        <w:pStyle w:val="Titel"/>
        <w:jc w:val="left"/>
        <w:rPr>
          <w:b w:val="0"/>
          <w:szCs w:val="24"/>
        </w:rPr>
      </w:pPr>
    </w:p>
    <w:p w14:paraId="18B9CA38" w14:textId="77777777" w:rsidR="00E724E8" w:rsidRPr="00FC16D0" w:rsidRDefault="00E724E8" w:rsidP="009260DE">
      <w:pPr>
        <w:pStyle w:val="Titel"/>
        <w:jc w:val="left"/>
        <w:rPr>
          <w:b w:val="0"/>
          <w:szCs w:val="24"/>
        </w:rPr>
      </w:pPr>
    </w:p>
    <w:p w14:paraId="7CDEFA8E" w14:textId="77777777" w:rsidR="009260DE" w:rsidRPr="00FC16D0" w:rsidRDefault="009260DE" w:rsidP="009260DE">
      <w:pPr>
        <w:jc w:val="center"/>
        <w:rPr>
          <w:b/>
          <w:sz w:val="24"/>
          <w:szCs w:val="24"/>
        </w:rPr>
      </w:pPr>
      <w:r w:rsidRPr="00FC16D0">
        <w:rPr>
          <w:b/>
          <w:sz w:val="24"/>
          <w:szCs w:val="24"/>
        </w:rPr>
        <w:t>PRODUKTRESUMÉ</w:t>
      </w:r>
    </w:p>
    <w:p w14:paraId="113F1BF7" w14:textId="77777777" w:rsidR="009260DE" w:rsidRPr="00FC16D0" w:rsidRDefault="009260DE" w:rsidP="009260DE">
      <w:pPr>
        <w:jc w:val="center"/>
        <w:rPr>
          <w:b/>
          <w:sz w:val="24"/>
          <w:szCs w:val="24"/>
        </w:rPr>
      </w:pPr>
    </w:p>
    <w:p w14:paraId="3D20884E" w14:textId="77777777" w:rsidR="009260DE" w:rsidRPr="00FC16D0" w:rsidRDefault="009260DE" w:rsidP="009260DE">
      <w:pPr>
        <w:jc w:val="center"/>
        <w:rPr>
          <w:b/>
          <w:sz w:val="24"/>
          <w:szCs w:val="24"/>
        </w:rPr>
      </w:pPr>
      <w:r w:rsidRPr="00FC16D0">
        <w:rPr>
          <w:b/>
          <w:sz w:val="24"/>
          <w:szCs w:val="24"/>
        </w:rPr>
        <w:t>for</w:t>
      </w:r>
    </w:p>
    <w:p w14:paraId="2419ED4F" w14:textId="77777777" w:rsidR="000B058C" w:rsidRPr="00FC16D0" w:rsidRDefault="000B058C" w:rsidP="009260DE">
      <w:pPr>
        <w:jc w:val="center"/>
        <w:rPr>
          <w:b/>
          <w:sz w:val="24"/>
          <w:szCs w:val="24"/>
        </w:rPr>
      </w:pPr>
    </w:p>
    <w:p w14:paraId="11B1A26E" w14:textId="7F1A66D3" w:rsidR="009260DE" w:rsidRPr="00FC16D0" w:rsidRDefault="00706313" w:rsidP="009260DE">
      <w:pPr>
        <w:jc w:val="center"/>
        <w:rPr>
          <w:b/>
          <w:sz w:val="24"/>
          <w:szCs w:val="24"/>
        </w:rPr>
      </w:pPr>
      <w:r w:rsidRPr="00FC16D0">
        <w:rPr>
          <w:b/>
          <w:sz w:val="24"/>
          <w:szCs w:val="24"/>
        </w:rPr>
        <w:t>Fentanyl "</w:t>
      </w:r>
      <w:proofErr w:type="spellStart"/>
      <w:r w:rsidRPr="00FC16D0">
        <w:rPr>
          <w:b/>
          <w:sz w:val="24"/>
          <w:szCs w:val="24"/>
        </w:rPr>
        <w:t>Kalceks</w:t>
      </w:r>
      <w:proofErr w:type="spellEnd"/>
      <w:r w:rsidRPr="00FC16D0">
        <w:rPr>
          <w:b/>
          <w:sz w:val="24"/>
          <w:szCs w:val="24"/>
        </w:rPr>
        <w:t>", injektionsvæske, opløsning</w:t>
      </w:r>
    </w:p>
    <w:p w14:paraId="66B10850" w14:textId="77777777" w:rsidR="009260DE" w:rsidRPr="00FC16D0" w:rsidRDefault="009260DE" w:rsidP="009260DE">
      <w:pPr>
        <w:jc w:val="both"/>
        <w:rPr>
          <w:sz w:val="24"/>
          <w:szCs w:val="24"/>
        </w:rPr>
      </w:pPr>
    </w:p>
    <w:p w14:paraId="3098C14D" w14:textId="77777777" w:rsidR="009260DE" w:rsidRPr="00FC16D0" w:rsidRDefault="009260DE" w:rsidP="009260DE">
      <w:pPr>
        <w:jc w:val="both"/>
        <w:rPr>
          <w:sz w:val="24"/>
          <w:szCs w:val="24"/>
        </w:rPr>
      </w:pPr>
    </w:p>
    <w:p w14:paraId="0514EA62" w14:textId="77777777" w:rsidR="00844F82" w:rsidRPr="00C84483" w:rsidRDefault="00844F82" w:rsidP="00844F82">
      <w:pPr>
        <w:tabs>
          <w:tab w:val="left" w:pos="851"/>
        </w:tabs>
        <w:ind w:left="851" w:hanging="851"/>
        <w:rPr>
          <w:b/>
          <w:sz w:val="24"/>
          <w:szCs w:val="24"/>
        </w:rPr>
      </w:pPr>
      <w:r w:rsidRPr="00C84483">
        <w:rPr>
          <w:b/>
          <w:sz w:val="24"/>
          <w:szCs w:val="24"/>
        </w:rPr>
        <w:t>0.</w:t>
      </w:r>
      <w:r w:rsidRPr="00C84483">
        <w:rPr>
          <w:b/>
          <w:sz w:val="24"/>
          <w:szCs w:val="24"/>
        </w:rPr>
        <w:tab/>
        <w:t>D.SP.NR.</w:t>
      </w:r>
    </w:p>
    <w:p w14:paraId="7CD937BE" w14:textId="2E762175" w:rsidR="009260DE" w:rsidRPr="00FC16D0" w:rsidRDefault="00706313" w:rsidP="009260DE">
      <w:pPr>
        <w:tabs>
          <w:tab w:val="left" w:pos="851"/>
        </w:tabs>
        <w:ind w:left="851"/>
        <w:rPr>
          <w:sz w:val="24"/>
          <w:szCs w:val="24"/>
        </w:rPr>
      </w:pPr>
      <w:r w:rsidRPr="00FC16D0">
        <w:rPr>
          <w:sz w:val="24"/>
          <w:szCs w:val="24"/>
        </w:rPr>
        <w:t>31994</w:t>
      </w:r>
    </w:p>
    <w:p w14:paraId="343C74AD" w14:textId="77777777" w:rsidR="009260DE" w:rsidRPr="00FC16D0" w:rsidRDefault="009260DE" w:rsidP="009260DE">
      <w:pPr>
        <w:tabs>
          <w:tab w:val="left" w:pos="851"/>
        </w:tabs>
        <w:ind w:left="851"/>
        <w:rPr>
          <w:sz w:val="24"/>
          <w:szCs w:val="24"/>
        </w:rPr>
      </w:pPr>
    </w:p>
    <w:p w14:paraId="0E54E60B" w14:textId="77777777" w:rsidR="009260DE" w:rsidRPr="00FC16D0" w:rsidRDefault="009260DE" w:rsidP="009260DE">
      <w:pPr>
        <w:tabs>
          <w:tab w:val="left" w:pos="851"/>
        </w:tabs>
        <w:ind w:left="851" w:hanging="851"/>
        <w:rPr>
          <w:b/>
          <w:sz w:val="24"/>
          <w:szCs w:val="24"/>
        </w:rPr>
      </w:pPr>
      <w:r w:rsidRPr="00FC16D0">
        <w:rPr>
          <w:b/>
          <w:sz w:val="24"/>
          <w:szCs w:val="24"/>
        </w:rPr>
        <w:t>1.</w:t>
      </w:r>
      <w:r w:rsidRPr="00FC16D0">
        <w:rPr>
          <w:b/>
          <w:sz w:val="24"/>
          <w:szCs w:val="24"/>
        </w:rPr>
        <w:tab/>
        <w:t>LÆGEMIDLETS NAVN</w:t>
      </w:r>
    </w:p>
    <w:p w14:paraId="6A09FBA0" w14:textId="4CCE867B" w:rsidR="009260DE" w:rsidRPr="00FC16D0" w:rsidRDefault="00706313" w:rsidP="009260DE">
      <w:pPr>
        <w:tabs>
          <w:tab w:val="left" w:pos="851"/>
        </w:tabs>
        <w:ind w:left="851"/>
        <w:rPr>
          <w:sz w:val="24"/>
          <w:szCs w:val="24"/>
        </w:rPr>
      </w:pPr>
      <w:r w:rsidRPr="00FC16D0">
        <w:rPr>
          <w:sz w:val="24"/>
          <w:szCs w:val="24"/>
        </w:rPr>
        <w:t>Fentanyl "</w:t>
      </w:r>
      <w:proofErr w:type="spellStart"/>
      <w:r w:rsidRPr="00FC16D0">
        <w:rPr>
          <w:sz w:val="24"/>
          <w:szCs w:val="24"/>
        </w:rPr>
        <w:t>Kalceks</w:t>
      </w:r>
      <w:proofErr w:type="spellEnd"/>
      <w:r w:rsidRPr="00FC16D0">
        <w:rPr>
          <w:sz w:val="24"/>
          <w:szCs w:val="24"/>
        </w:rPr>
        <w:t>"</w:t>
      </w:r>
    </w:p>
    <w:p w14:paraId="1C071BD8" w14:textId="77777777" w:rsidR="009260DE" w:rsidRPr="00FC16D0" w:rsidRDefault="009260DE" w:rsidP="009260DE">
      <w:pPr>
        <w:tabs>
          <w:tab w:val="left" w:pos="851"/>
        </w:tabs>
        <w:ind w:left="851"/>
        <w:rPr>
          <w:sz w:val="24"/>
          <w:szCs w:val="24"/>
        </w:rPr>
      </w:pPr>
    </w:p>
    <w:p w14:paraId="57C3E477" w14:textId="77777777" w:rsidR="009260DE" w:rsidRPr="00FC16D0" w:rsidRDefault="009260DE" w:rsidP="009260DE">
      <w:pPr>
        <w:tabs>
          <w:tab w:val="left" w:pos="851"/>
        </w:tabs>
        <w:ind w:left="851" w:hanging="851"/>
        <w:rPr>
          <w:b/>
          <w:sz w:val="24"/>
          <w:szCs w:val="24"/>
        </w:rPr>
      </w:pPr>
      <w:r w:rsidRPr="00FC16D0">
        <w:rPr>
          <w:b/>
          <w:sz w:val="24"/>
          <w:szCs w:val="24"/>
        </w:rPr>
        <w:t>2.</w:t>
      </w:r>
      <w:r w:rsidRPr="00FC16D0">
        <w:rPr>
          <w:b/>
          <w:sz w:val="24"/>
          <w:szCs w:val="24"/>
        </w:rPr>
        <w:tab/>
        <w:t>KVALITATIV OG KVANTITATIV SAMMENSÆTNING</w:t>
      </w:r>
    </w:p>
    <w:p w14:paraId="589D151E" w14:textId="77777777" w:rsidR="0063123D" w:rsidRPr="00FC16D0" w:rsidRDefault="0063123D" w:rsidP="0040485D">
      <w:pPr>
        <w:ind w:left="851"/>
        <w:rPr>
          <w:sz w:val="24"/>
          <w:szCs w:val="24"/>
          <w:lang w:eastAsia="en-GB"/>
        </w:rPr>
      </w:pPr>
      <w:r w:rsidRPr="00FC16D0">
        <w:rPr>
          <w:sz w:val="24"/>
          <w:szCs w:val="24"/>
        </w:rPr>
        <w:t>Hver ml opløsning indeholder 50 mikrogram fentanyl (som fentanylcitrat).</w:t>
      </w:r>
    </w:p>
    <w:p w14:paraId="1D3FFB3D" w14:textId="77777777" w:rsidR="0063123D" w:rsidRPr="00FC16D0" w:rsidRDefault="0063123D" w:rsidP="0040485D">
      <w:pPr>
        <w:ind w:left="851"/>
        <w:rPr>
          <w:sz w:val="24"/>
          <w:szCs w:val="24"/>
        </w:rPr>
      </w:pPr>
      <w:r w:rsidRPr="00FC16D0">
        <w:rPr>
          <w:sz w:val="24"/>
          <w:szCs w:val="24"/>
        </w:rPr>
        <w:t>Hver ampul på 2 ml indeholder 100 mikrogram fentanyl (som fentanylcitrat).</w:t>
      </w:r>
    </w:p>
    <w:p w14:paraId="3A9616BF" w14:textId="77777777" w:rsidR="0063123D" w:rsidRPr="00FC16D0" w:rsidRDefault="0063123D" w:rsidP="0040485D">
      <w:pPr>
        <w:ind w:left="851"/>
        <w:rPr>
          <w:sz w:val="24"/>
          <w:szCs w:val="24"/>
        </w:rPr>
      </w:pPr>
      <w:r w:rsidRPr="00FC16D0">
        <w:rPr>
          <w:sz w:val="24"/>
          <w:szCs w:val="24"/>
        </w:rPr>
        <w:t>Hver ampul på 10 ml indeholder 500 mikrogram fentanyl (som fentanylcitrat).</w:t>
      </w:r>
    </w:p>
    <w:p w14:paraId="2AF37115" w14:textId="77777777" w:rsidR="0063123D" w:rsidRPr="00FC16D0" w:rsidRDefault="0063123D" w:rsidP="0040485D">
      <w:pPr>
        <w:ind w:left="851"/>
        <w:rPr>
          <w:sz w:val="24"/>
          <w:szCs w:val="24"/>
        </w:rPr>
      </w:pPr>
    </w:p>
    <w:p w14:paraId="58460859" w14:textId="77777777" w:rsidR="0063123D" w:rsidRPr="00FC16D0" w:rsidRDefault="0063123D" w:rsidP="0040485D">
      <w:pPr>
        <w:ind w:left="851"/>
        <w:rPr>
          <w:sz w:val="24"/>
          <w:szCs w:val="24"/>
          <w:u w:val="single"/>
        </w:rPr>
      </w:pPr>
      <w:r w:rsidRPr="00FC16D0">
        <w:rPr>
          <w:sz w:val="24"/>
          <w:szCs w:val="24"/>
          <w:u w:val="single"/>
        </w:rPr>
        <w:t>Hjælpestof, som behandleren skal være opmærksom på</w:t>
      </w:r>
    </w:p>
    <w:p w14:paraId="11BB1062" w14:textId="77777777" w:rsidR="0063123D" w:rsidRPr="00FC16D0" w:rsidRDefault="0063123D" w:rsidP="0040485D">
      <w:pPr>
        <w:ind w:left="851"/>
        <w:rPr>
          <w:sz w:val="24"/>
          <w:szCs w:val="24"/>
        </w:rPr>
      </w:pPr>
      <w:r w:rsidRPr="00FC16D0">
        <w:rPr>
          <w:sz w:val="24"/>
          <w:szCs w:val="24"/>
        </w:rPr>
        <w:t>Hver ampul á 2 ml indeholder 7,08 mg (0,31 mmol) natrium.</w:t>
      </w:r>
    </w:p>
    <w:p w14:paraId="50702F1B" w14:textId="77777777" w:rsidR="0063123D" w:rsidRPr="00FC16D0" w:rsidRDefault="0063123D" w:rsidP="0040485D">
      <w:pPr>
        <w:ind w:left="851"/>
        <w:rPr>
          <w:sz w:val="24"/>
          <w:szCs w:val="24"/>
        </w:rPr>
      </w:pPr>
      <w:r w:rsidRPr="00FC16D0">
        <w:rPr>
          <w:sz w:val="24"/>
          <w:szCs w:val="24"/>
        </w:rPr>
        <w:t>Hver ampul á 10 ml indeholder 35,41 mg (1,54 mmol) natrium.</w:t>
      </w:r>
    </w:p>
    <w:p w14:paraId="7ACBFECA" w14:textId="77777777" w:rsidR="0063123D" w:rsidRPr="00FC16D0" w:rsidRDefault="0063123D" w:rsidP="0040485D">
      <w:pPr>
        <w:ind w:left="851"/>
        <w:rPr>
          <w:sz w:val="24"/>
          <w:szCs w:val="24"/>
        </w:rPr>
      </w:pPr>
    </w:p>
    <w:p w14:paraId="7EFA7F5E" w14:textId="77777777" w:rsidR="0063123D" w:rsidRPr="00FC16D0" w:rsidRDefault="0063123D" w:rsidP="0040485D">
      <w:pPr>
        <w:ind w:left="851"/>
        <w:rPr>
          <w:sz w:val="24"/>
          <w:szCs w:val="24"/>
        </w:rPr>
      </w:pPr>
      <w:r w:rsidRPr="00FC16D0">
        <w:rPr>
          <w:sz w:val="24"/>
          <w:szCs w:val="24"/>
        </w:rPr>
        <w:t>Alle hjælpestoffer er anført under pkt. 6.1.</w:t>
      </w:r>
    </w:p>
    <w:p w14:paraId="292E45BF" w14:textId="77777777" w:rsidR="009260DE" w:rsidRPr="00FC16D0" w:rsidRDefault="009260DE" w:rsidP="009260DE">
      <w:pPr>
        <w:tabs>
          <w:tab w:val="left" w:pos="851"/>
        </w:tabs>
        <w:ind w:left="851"/>
        <w:rPr>
          <w:sz w:val="24"/>
          <w:szCs w:val="24"/>
        </w:rPr>
      </w:pPr>
    </w:p>
    <w:p w14:paraId="6F3669DB" w14:textId="77777777" w:rsidR="009260DE" w:rsidRPr="00FC16D0" w:rsidRDefault="009260DE" w:rsidP="009260DE">
      <w:pPr>
        <w:tabs>
          <w:tab w:val="left" w:pos="851"/>
        </w:tabs>
        <w:ind w:left="851" w:hanging="851"/>
        <w:rPr>
          <w:b/>
          <w:sz w:val="24"/>
          <w:szCs w:val="24"/>
        </w:rPr>
      </w:pPr>
      <w:r w:rsidRPr="00FC16D0">
        <w:rPr>
          <w:b/>
          <w:sz w:val="24"/>
          <w:szCs w:val="24"/>
        </w:rPr>
        <w:t>3.</w:t>
      </w:r>
      <w:r w:rsidRPr="00FC16D0">
        <w:rPr>
          <w:b/>
          <w:sz w:val="24"/>
          <w:szCs w:val="24"/>
        </w:rPr>
        <w:tab/>
        <w:t>LÆGEMIDDELFORM</w:t>
      </w:r>
    </w:p>
    <w:p w14:paraId="36C4ED97" w14:textId="200EEE84" w:rsidR="0063123D" w:rsidRPr="00FC16D0" w:rsidRDefault="0063123D" w:rsidP="0040485D">
      <w:pPr>
        <w:ind w:left="851"/>
        <w:rPr>
          <w:sz w:val="24"/>
          <w:szCs w:val="24"/>
          <w:lang w:eastAsia="en-GB"/>
        </w:rPr>
      </w:pPr>
      <w:r w:rsidRPr="00FC16D0">
        <w:rPr>
          <w:sz w:val="24"/>
          <w:szCs w:val="24"/>
        </w:rPr>
        <w:t>Injektionsvæske, opløsning</w:t>
      </w:r>
    </w:p>
    <w:p w14:paraId="3BDB8A08" w14:textId="77777777" w:rsidR="0063123D" w:rsidRPr="00FC16D0" w:rsidRDefault="0063123D" w:rsidP="0040485D">
      <w:pPr>
        <w:ind w:left="851"/>
        <w:rPr>
          <w:sz w:val="24"/>
          <w:szCs w:val="24"/>
        </w:rPr>
      </w:pPr>
    </w:p>
    <w:p w14:paraId="704B1604" w14:textId="77777777" w:rsidR="0063123D" w:rsidRPr="00FC16D0" w:rsidRDefault="0063123D" w:rsidP="0040485D">
      <w:pPr>
        <w:ind w:left="851"/>
        <w:rPr>
          <w:sz w:val="24"/>
          <w:szCs w:val="24"/>
        </w:rPr>
      </w:pPr>
      <w:r w:rsidRPr="00FC16D0">
        <w:rPr>
          <w:sz w:val="24"/>
          <w:szCs w:val="24"/>
        </w:rPr>
        <w:t>Klar, farveløs injektionsvæske, opløsning, fri for synlige partikler.</w:t>
      </w:r>
    </w:p>
    <w:p w14:paraId="0B9891BD" w14:textId="77777777" w:rsidR="0063123D" w:rsidRPr="00FC16D0" w:rsidRDefault="0063123D" w:rsidP="0040485D">
      <w:pPr>
        <w:ind w:left="851"/>
        <w:rPr>
          <w:sz w:val="24"/>
          <w:szCs w:val="24"/>
        </w:rPr>
      </w:pPr>
      <w:r w:rsidRPr="00FC16D0">
        <w:rPr>
          <w:sz w:val="24"/>
          <w:szCs w:val="24"/>
        </w:rPr>
        <w:t>Opløsningens pH-værdi er fra 4,0 til 7,0.</w:t>
      </w:r>
    </w:p>
    <w:p w14:paraId="771BC3EB" w14:textId="77777777" w:rsidR="0063123D" w:rsidRPr="00262C00" w:rsidRDefault="0063123D" w:rsidP="0040485D">
      <w:pPr>
        <w:ind w:left="851"/>
        <w:rPr>
          <w:sz w:val="24"/>
          <w:szCs w:val="24"/>
          <w:lang w:val="nb-NO"/>
        </w:rPr>
      </w:pPr>
      <w:r w:rsidRPr="00262C00">
        <w:rPr>
          <w:sz w:val="24"/>
          <w:szCs w:val="24"/>
          <w:lang w:val="nb-NO"/>
        </w:rPr>
        <w:t>Osmolalitet er ca. 285 mOsmol/kg.</w:t>
      </w:r>
    </w:p>
    <w:p w14:paraId="1587DC9D" w14:textId="4CB0D414" w:rsidR="009260DE" w:rsidRPr="00262C00" w:rsidRDefault="009260DE" w:rsidP="009260DE">
      <w:pPr>
        <w:tabs>
          <w:tab w:val="left" w:pos="851"/>
        </w:tabs>
        <w:ind w:left="851"/>
        <w:rPr>
          <w:sz w:val="24"/>
          <w:szCs w:val="24"/>
          <w:lang w:val="nb-NO"/>
        </w:rPr>
      </w:pPr>
    </w:p>
    <w:p w14:paraId="3347A6E1" w14:textId="77777777" w:rsidR="009260DE" w:rsidRPr="00262C00" w:rsidRDefault="009260DE" w:rsidP="009260DE">
      <w:pPr>
        <w:tabs>
          <w:tab w:val="left" w:pos="851"/>
        </w:tabs>
        <w:ind w:left="851"/>
        <w:rPr>
          <w:sz w:val="24"/>
          <w:szCs w:val="24"/>
          <w:lang w:val="nb-NO"/>
        </w:rPr>
      </w:pPr>
    </w:p>
    <w:p w14:paraId="5ED9E26C" w14:textId="77777777" w:rsidR="009260DE" w:rsidRPr="00FC16D0" w:rsidRDefault="009260DE" w:rsidP="009260DE">
      <w:pPr>
        <w:tabs>
          <w:tab w:val="left" w:pos="851"/>
        </w:tabs>
        <w:ind w:left="851" w:hanging="851"/>
        <w:rPr>
          <w:b/>
          <w:sz w:val="24"/>
          <w:szCs w:val="24"/>
        </w:rPr>
      </w:pPr>
      <w:r w:rsidRPr="00FC16D0">
        <w:rPr>
          <w:b/>
          <w:sz w:val="24"/>
          <w:szCs w:val="24"/>
        </w:rPr>
        <w:t>4.</w:t>
      </w:r>
      <w:r w:rsidRPr="00FC16D0">
        <w:rPr>
          <w:b/>
          <w:sz w:val="24"/>
          <w:szCs w:val="24"/>
        </w:rPr>
        <w:tab/>
        <w:t>KLINISKE OPLYSNINGER</w:t>
      </w:r>
    </w:p>
    <w:p w14:paraId="67D03D85" w14:textId="77777777" w:rsidR="009260DE" w:rsidRPr="00FC16D0" w:rsidRDefault="009260DE" w:rsidP="009260DE">
      <w:pPr>
        <w:tabs>
          <w:tab w:val="left" w:pos="851"/>
        </w:tabs>
        <w:ind w:left="851"/>
        <w:rPr>
          <w:b/>
          <w:sz w:val="24"/>
          <w:szCs w:val="24"/>
        </w:rPr>
      </w:pPr>
    </w:p>
    <w:p w14:paraId="3AD513EC" w14:textId="77777777" w:rsidR="009260DE" w:rsidRPr="00FC16D0" w:rsidRDefault="009260DE" w:rsidP="009260DE">
      <w:pPr>
        <w:tabs>
          <w:tab w:val="left" w:pos="851"/>
        </w:tabs>
        <w:ind w:left="851" w:hanging="851"/>
        <w:rPr>
          <w:b/>
          <w:sz w:val="24"/>
          <w:szCs w:val="24"/>
          <w:u w:val="single"/>
        </w:rPr>
      </w:pPr>
      <w:r w:rsidRPr="00FC16D0">
        <w:rPr>
          <w:b/>
          <w:sz w:val="24"/>
          <w:szCs w:val="24"/>
        </w:rPr>
        <w:t>4.1</w:t>
      </w:r>
      <w:r w:rsidRPr="00FC16D0">
        <w:rPr>
          <w:b/>
          <w:sz w:val="24"/>
          <w:szCs w:val="24"/>
        </w:rPr>
        <w:tab/>
        <w:t>Terapeutiske indikationer</w:t>
      </w:r>
    </w:p>
    <w:p w14:paraId="62CAE8CC" w14:textId="5C11737D" w:rsidR="0063123D" w:rsidRPr="00FC16D0" w:rsidRDefault="0063123D" w:rsidP="0040485D">
      <w:pPr>
        <w:ind w:left="851"/>
        <w:rPr>
          <w:sz w:val="24"/>
          <w:szCs w:val="24"/>
          <w:lang w:eastAsia="en-GB"/>
        </w:rPr>
      </w:pPr>
      <w:r w:rsidRPr="00FC16D0">
        <w:rPr>
          <w:sz w:val="24"/>
          <w:szCs w:val="24"/>
        </w:rPr>
        <w:t xml:space="preserve">Fentanyl </w:t>
      </w:r>
      <w:r w:rsidR="00FA0940">
        <w:rPr>
          <w:sz w:val="24"/>
          <w:szCs w:val="24"/>
        </w:rPr>
        <w:t>"</w:t>
      </w:r>
      <w:proofErr w:type="spellStart"/>
      <w:r w:rsidR="00FA0940">
        <w:rPr>
          <w:sz w:val="24"/>
          <w:szCs w:val="24"/>
        </w:rPr>
        <w:t>Kalceks</w:t>
      </w:r>
      <w:proofErr w:type="spellEnd"/>
      <w:r w:rsidR="00FA0940">
        <w:rPr>
          <w:sz w:val="24"/>
          <w:szCs w:val="24"/>
        </w:rPr>
        <w:t>"</w:t>
      </w:r>
      <w:r w:rsidRPr="00FC16D0">
        <w:rPr>
          <w:sz w:val="24"/>
          <w:szCs w:val="24"/>
        </w:rPr>
        <w:t xml:space="preserve"> 50 mikrogram/ml er et anæstesi </w:t>
      </w:r>
      <w:proofErr w:type="spellStart"/>
      <w:r w:rsidRPr="00FC16D0">
        <w:rPr>
          <w:sz w:val="24"/>
          <w:szCs w:val="24"/>
        </w:rPr>
        <w:t>analgetikum</w:t>
      </w:r>
      <w:proofErr w:type="spellEnd"/>
      <w:r w:rsidRPr="00FC16D0">
        <w:rPr>
          <w:sz w:val="24"/>
          <w:szCs w:val="24"/>
        </w:rPr>
        <w:t>:</w:t>
      </w:r>
    </w:p>
    <w:p w14:paraId="1D51B766" w14:textId="77777777" w:rsidR="0063123D" w:rsidRPr="00FC16D0" w:rsidRDefault="0063123D" w:rsidP="0040485D">
      <w:pPr>
        <w:pStyle w:val="Listeafsnit"/>
        <w:numPr>
          <w:ilvl w:val="0"/>
          <w:numId w:val="10"/>
        </w:numPr>
        <w:ind w:left="1276" w:hanging="425"/>
        <w:rPr>
          <w:sz w:val="24"/>
          <w:szCs w:val="24"/>
        </w:rPr>
      </w:pPr>
      <w:r w:rsidRPr="00FC16D0">
        <w:rPr>
          <w:sz w:val="24"/>
          <w:szCs w:val="24"/>
        </w:rPr>
        <w:t>Opioid til brug som analgetisk supplement til generel anæstesi eller lokal anæstesi.</w:t>
      </w:r>
    </w:p>
    <w:p w14:paraId="62F57D00" w14:textId="77777777" w:rsidR="0063123D" w:rsidRPr="00FC16D0" w:rsidRDefault="0063123D" w:rsidP="0040485D">
      <w:pPr>
        <w:pStyle w:val="Listeafsnit"/>
        <w:numPr>
          <w:ilvl w:val="0"/>
          <w:numId w:val="10"/>
        </w:numPr>
        <w:ind w:left="1276" w:hanging="425"/>
        <w:rPr>
          <w:sz w:val="24"/>
          <w:szCs w:val="24"/>
        </w:rPr>
      </w:pPr>
      <w:r w:rsidRPr="00FC16D0">
        <w:rPr>
          <w:sz w:val="24"/>
          <w:szCs w:val="24"/>
        </w:rPr>
        <w:t xml:space="preserve">til administration i kombination med et </w:t>
      </w:r>
      <w:proofErr w:type="spellStart"/>
      <w:r w:rsidRPr="00FC16D0">
        <w:rPr>
          <w:sz w:val="24"/>
          <w:szCs w:val="24"/>
        </w:rPr>
        <w:t>neuroleptikum</w:t>
      </w:r>
      <w:proofErr w:type="spellEnd"/>
      <w:r w:rsidRPr="00FC16D0">
        <w:rPr>
          <w:sz w:val="24"/>
          <w:szCs w:val="24"/>
        </w:rPr>
        <w:t>.</w:t>
      </w:r>
    </w:p>
    <w:p w14:paraId="51885A8C" w14:textId="77777777" w:rsidR="009260DE" w:rsidRPr="00FC16D0" w:rsidRDefault="009260DE" w:rsidP="009260DE">
      <w:pPr>
        <w:tabs>
          <w:tab w:val="left" w:pos="851"/>
        </w:tabs>
        <w:ind w:left="851"/>
        <w:rPr>
          <w:sz w:val="24"/>
          <w:szCs w:val="24"/>
        </w:rPr>
      </w:pPr>
    </w:p>
    <w:p w14:paraId="09751B58" w14:textId="77777777" w:rsidR="00844F82" w:rsidRPr="00C84483" w:rsidRDefault="00844F82" w:rsidP="00844F8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423C5FD3" w14:textId="190DCBF4" w:rsidR="0063123D" w:rsidRPr="00FC16D0" w:rsidRDefault="0063123D" w:rsidP="0040485D">
      <w:pPr>
        <w:ind w:left="851"/>
        <w:rPr>
          <w:sz w:val="24"/>
          <w:szCs w:val="24"/>
          <w:lang w:eastAsia="en-GB"/>
        </w:rPr>
      </w:pPr>
      <w:r w:rsidRPr="00FC16D0">
        <w:rPr>
          <w:sz w:val="24"/>
          <w:szCs w:val="24"/>
        </w:rPr>
        <w:t xml:space="preserve">Fentanyl </w:t>
      </w:r>
      <w:r w:rsidR="00FA0940">
        <w:rPr>
          <w:sz w:val="24"/>
          <w:szCs w:val="24"/>
        </w:rPr>
        <w:t>"</w:t>
      </w:r>
      <w:proofErr w:type="spellStart"/>
      <w:r w:rsidR="00FA0940">
        <w:rPr>
          <w:sz w:val="24"/>
          <w:szCs w:val="24"/>
        </w:rPr>
        <w:t>Kalceks</w:t>
      </w:r>
      <w:proofErr w:type="spellEnd"/>
      <w:r w:rsidR="00FA0940">
        <w:rPr>
          <w:sz w:val="24"/>
          <w:szCs w:val="24"/>
        </w:rPr>
        <w:t>"</w:t>
      </w:r>
      <w:r w:rsidRPr="00FC16D0">
        <w:rPr>
          <w:sz w:val="24"/>
          <w:szCs w:val="24"/>
        </w:rPr>
        <w:t xml:space="preserve"> 50 mikrogram/ml må kun administreres på en afdeling, hvor luftvejene kan monitoreres, og kun af personale, der kan monitorere luftvejene (se pkt. 4.4).</w:t>
      </w:r>
    </w:p>
    <w:p w14:paraId="2134F892" w14:textId="77777777" w:rsidR="0063123D" w:rsidRPr="00FC16D0" w:rsidRDefault="0063123D" w:rsidP="0040485D">
      <w:pPr>
        <w:ind w:left="851"/>
        <w:rPr>
          <w:sz w:val="24"/>
          <w:szCs w:val="24"/>
        </w:rPr>
      </w:pPr>
    </w:p>
    <w:p w14:paraId="0830C77E" w14:textId="77777777" w:rsidR="0063123D" w:rsidRPr="00FC16D0" w:rsidRDefault="0063123D" w:rsidP="0040485D">
      <w:pPr>
        <w:ind w:left="851"/>
        <w:rPr>
          <w:sz w:val="24"/>
          <w:szCs w:val="24"/>
          <w:u w:val="single"/>
        </w:rPr>
      </w:pPr>
      <w:r w:rsidRPr="00FC16D0">
        <w:rPr>
          <w:sz w:val="24"/>
          <w:szCs w:val="24"/>
          <w:u w:val="single"/>
        </w:rPr>
        <w:lastRenderedPageBreak/>
        <w:t>Dosering</w:t>
      </w:r>
    </w:p>
    <w:p w14:paraId="5261E711" w14:textId="77777777" w:rsidR="0063123D" w:rsidRPr="00FC16D0" w:rsidRDefault="0063123D" w:rsidP="0040485D">
      <w:pPr>
        <w:ind w:left="851"/>
        <w:rPr>
          <w:sz w:val="24"/>
          <w:szCs w:val="24"/>
        </w:rPr>
      </w:pPr>
    </w:p>
    <w:p w14:paraId="10EA5D28" w14:textId="122D371A" w:rsidR="0063123D" w:rsidRPr="00FC16D0" w:rsidRDefault="0063123D" w:rsidP="0040485D">
      <w:pPr>
        <w:ind w:left="851"/>
        <w:rPr>
          <w:sz w:val="24"/>
          <w:szCs w:val="24"/>
        </w:rPr>
      </w:pPr>
      <w:r w:rsidRPr="00FC16D0">
        <w:rPr>
          <w:sz w:val="24"/>
          <w:szCs w:val="24"/>
        </w:rPr>
        <w:t xml:space="preserve">Fentanyl </w:t>
      </w:r>
      <w:r w:rsidR="00FA0940">
        <w:rPr>
          <w:sz w:val="24"/>
          <w:szCs w:val="24"/>
        </w:rPr>
        <w:t>"</w:t>
      </w:r>
      <w:proofErr w:type="spellStart"/>
      <w:r w:rsidR="00FA0940">
        <w:rPr>
          <w:sz w:val="24"/>
          <w:szCs w:val="24"/>
        </w:rPr>
        <w:t>Kalceks</w:t>
      </w:r>
      <w:proofErr w:type="spellEnd"/>
      <w:r w:rsidR="00FA0940">
        <w:rPr>
          <w:sz w:val="24"/>
          <w:szCs w:val="24"/>
        </w:rPr>
        <w:t>"</w:t>
      </w:r>
      <w:r w:rsidRPr="00FC16D0">
        <w:rPr>
          <w:sz w:val="24"/>
          <w:szCs w:val="24"/>
        </w:rPr>
        <w:t xml:space="preserve"> 50 mikrogram/ml skal doseres individuelt under hensyntagen til alder, legemsvægt, fysisk tilstand, underliggende patologisk tilstand, anden samtidig medicinering</w:t>
      </w:r>
      <w:r w:rsidR="00FC16D0">
        <w:rPr>
          <w:sz w:val="24"/>
          <w:szCs w:val="24"/>
        </w:rPr>
        <w:t xml:space="preserve"> </w:t>
      </w:r>
      <w:r w:rsidRPr="00FC16D0">
        <w:rPr>
          <w:sz w:val="24"/>
          <w:szCs w:val="24"/>
        </w:rPr>
        <w:t>såvel som arten af kirurgisk indgreb og</w:t>
      </w:r>
      <w:r w:rsidR="0040485D" w:rsidRPr="00FC16D0">
        <w:rPr>
          <w:sz w:val="24"/>
          <w:szCs w:val="24"/>
        </w:rPr>
        <w:t xml:space="preserve"> </w:t>
      </w:r>
      <w:r w:rsidRPr="00FC16D0">
        <w:rPr>
          <w:sz w:val="24"/>
          <w:szCs w:val="24"/>
        </w:rPr>
        <w:t>type af anæstesi.</w:t>
      </w:r>
    </w:p>
    <w:p w14:paraId="0A04832E" w14:textId="77777777" w:rsidR="0063123D" w:rsidRPr="00FC16D0" w:rsidRDefault="0063123D" w:rsidP="0040485D">
      <w:pPr>
        <w:ind w:left="851"/>
        <w:rPr>
          <w:sz w:val="24"/>
          <w:szCs w:val="24"/>
        </w:rPr>
      </w:pPr>
    </w:p>
    <w:p w14:paraId="6A291F4D" w14:textId="77777777" w:rsidR="0063123D" w:rsidRPr="00FC16D0" w:rsidRDefault="0063123D" w:rsidP="0040485D">
      <w:pPr>
        <w:ind w:left="851"/>
        <w:rPr>
          <w:i/>
          <w:sz w:val="24"/>
          <w:szCs w:val="24"/>
          <w:u w:val="single"/>
        </w:rPr>
      </w:pPr>
      <w:r w:rsidRPr="00FC16D0">
        <w:rPr>
          <w:i/>
          <w:sz w:val="24"/>
          <w:szCs w:val="24"/>
          <w:u w:val="single"/>
        </w:rPr>
        <w:t>Voksne</w:t>
      </w:r>
    </w:p>
    <w:p w14:paraId="46A2B187" w14:textId="2415A5A9" w:rsidR="0063123D" w:rsidRPr="00FC16D0" w:rsidRDefault="0063123D" w:rsidP="0040485D">
      <w:pPr>
        <w:ind w:left="851"/>
        <w:rPr>
          <w:sz w:val="24"/>
          <w:szCs w:val="24"/>
        </w:rPr>
      </w:pPr>
      <w:r w:rsidRPr="00FC16D0">
        <w:rPr>
          <w:sz w:val="24"/>
          <w:szCs w:val="24"/>
        </w:rPr>
        <w:t xml:space="preserve">Ved induktion injiceres normalt en </w:t>
      </w:r>
      <w:r w:rsidR="006A1F27">
        <w:rPr>
          <w:sz w:val="24"/>
          <w:szCs w:val="24"/>
        </w:rPr>
        <w:t>i</w:t>
      </w:r>
      <w:r w:rsidRPr="00FC16D0">
        <w:rPr>
          <w:sz w:val="24"/>
          <w:szCs w:val="24"/>
        </w:rPr>
        <w:t>nitialdosis på 200 til 600 mikrogram (2,8 til 8,5 mikrogram/kg) svarende til 4</w:t>
      </w:r>
      <w:r w:rsidRPr="00FC16D0">
        <w:rPr>
          <w:sz w:val="24"/>
          <w:szCs w:val="24"/>
        </w:rPr>
        <w:noBreakHyphen/>
        <w:t>12 ml intravenøst. Doser over 200 mikrogram må kun administreres med assisteret ventilation. Til vedligeholdelse af analgesi kan der efter 30 til 45 minutter administreres yderligere intravenøse doser på 50 til 200 mikrogram (0,7 til 2,8 mikrogram/kg), svarende til 1</w:t>
      </w:r>
      <w:r w:rsidRPr="00FC16D0">
        <w:rPr>
          <w:sz w:val="24"/>
          <w:szCs w:val="24"/>
        </w:rPr>
        <w:noBreakHyphen/>
        <w:t>4 ml.</w:t>
      </w:r>
    </w:p>
    <w:p w14:paraId="6A8158BD" w14:textId="77777777" w:rsidR="0063123D" w:rsidRPr="00FC16D0" w:rsidRDefault="0063123D" w:rsidP="0040485D">
      <w:pPr>
        <w:ind w:left="851"/>
        <w:rPr>
          <w:sz w:val="24"/>
          <w:szCs w:val="24"/>
        </w:rPr>
      </w:pPr>
    </w:p>
    <w:p w14:paraId="7F363C8C" w14:textId="77777777" w:rsidR="0063123D" w:rsidRPr="00FC16D0" w:rsidRDefault="0063123D" w:rsidP="0040485D">
      <w:pPr>
        <w:ind w:left="851"/>
        <w:rPr>
          <w:sz w:val="24"/>
          <w:szCs w:val="24"/>
          <w:u w:val="single"/>
        </w:rPr>
      </w:pPr>
      <w:r w:rsidRPr="00FC16D0">
        <w:rPr>
          <w:bCs/>
          <w:i/>
          <w:iCs/>
          <w:sz w:val="24"/>
          <w:szCs w:val="24"/>
          <w:u w:val="single"/>
        </w:rPr>
        <w:t>Pædiatrisk population</w:t>
      </w:r>
    </w:p>
    <w:p w14:paraId="5EBDCAA8" w14:textId="77777777" w:rsidR="0063123D" w:rsidRPr="00FC16D0" w:rsidRDefault="0063123D" w:rsidP="0040485D">
      <w:pPr>
        <w:ind w:left="851"/>
        <w:rPr>
          <w:i/>
          <w:sz w:val="24"/>
          <w:szCs w:val="24"/>
        </w:rPr>
      </w:pPr>
      <w:r w:rsidRPr="00FC16D0">
        <w:rPr>
          <w:i/>
          <w:sz w:val="24"/>
          <w:szCs w:val="24"/>
        </w:rPr>
        <w:t>Unge i alderen 12 til 17 år</w:t>
      </w:r>
    </w:p>
    <w:p w14:paraId="32147C5A" w14:textId="77777777" w:rsidR="0063123D" w:rsidRPr="00FC16D0" w:rsidRDefault="0063123D" w:rsidP="0040485D">
      <w:pPr>
        <w:ind w:left="851"/>
        <w:rPr>
          <w:sz w:val="24"/>
          <w:szCs w:val="24"/>
        </w:rPr>
      </w:pPr>
      <w:r w:rsidRPr="00FC16D0">
        <w:rPr>
          <w:sz w:val="24"/>
          <w:szCs w:val="24"/>
        </w:rPr>
        <w:t>Følg voksendosering.</w:t>
      </w:r>
    </w:p>
    <w:p w14:paraId="56F3630F" w14:textId="77777777" w:rsidR="0063123D" w:rsidRPr="00FC16D0" w:rsidRDefault="0063123D" w:rsidP="0040485D">
      <w:pPr>
        <w:ind w:left="851"/>
        <w:rPr>
          <w:sz w:val="24"/>
          <w:szCs w:val="24"/>
        </w:rPr>
      </w:pPr>
    </w:p>
    <w:p w14:paraId="522C1289" w14:textId="77777777" w:rsidR="0063123D" w:rsidRPr="00FC16D0" w:rsidRDefault="0063123D" w:rsidP="0040485D">
      <w:pPr>
        <w:ind w:left="851"/>
        <w:rPr>
          <w:i/>
          <w:sz w:val="24"/>
          <w:szCs w:val="24"/>
        </w:rPr>
      </w:pPr>
      <w:r w:rsidRPr="00FC16D0">
        <w:rPr>
          <w:i/>
          <w:sz w:val="24"/>
          <w:szCs w:val="24"/>
        </w:rPr>
        <w:t>Børn i alderen 2 til 11 år</w:t>
      </w:r>
    </w:p>
    <w:p w14:paraId="7FCFF4AC" w14:textId="77777777" w:rsidR="0063123D" w:rsidRPr="00FC16D0" w:rsidRDefault="0063123D" w:rsidP="0040485D">
      <w:pPr>
        <w:ind w:left="851"/>
        <w:rPr>
          <w:sz w:val="24"/>
          <w:szCs w:val="24"/>
        </w:rPr>
      </w:pPr>
      <w:r w:rsidRPr="00FC16D0">
        <w:rPr>
          <w:sz w:val="24"/>
          <w:szCs w:val="24"/>
        </w:rPr>
        <w:t>En dosis på 1,25</w:t>
      </w:r>
      <w:r w:rsidRPr="00FC16D0">
        <w:rPr>
          <w:sz w:val="24"/>
          <w:szCs w:val="24"/>
        </w:rPr>
        <w:noBreakHyphen/>
        <w:t>2,5 mikrogram/kg eller 0,25</w:t>
      </w:r>
      <w:r w:rsidRPr="00FC16D0">
        <w:rPr>
          <w:sz w:val="24"/>
          <w:szCs w:val="24"/>
        </w:rPr>
        <w:noBreakHyphen/>
        <w:t>0,5 ml pr. 10 kg legemsvægt anbefales generelt til induktion hos børn. Til vedligeholdelse af analgesi kan der for hver 30 til 45 minutter administreres yderligere intravenøse doser på 0,25 ml pr. 10 kg.</w:t>
      </w:r>
    </w:p>
    <w:p w14:paraId="67EA61B1" w14:textId="77777777" w:rsidR="0063123D" w:rsidRPr="00FC16D0" w:rsidRDefault="0063123D" w:rsidP="0040485D">
      <w:pPr>
        <w:ind w:left="851"/>
        <w:rPr>
          <w:sz w:val="24"/>
          <w:szCs w:val="24"/>
        </w:rPr>
      </w:pPr>
    </w:p>
    <w:p w14:paraId="25B2C335" w14:textId="77777777" w:rsidR="0063123D" w:rsidRPr="00FC16D0" w:rsidRDefault="0063123D" w:rsidP="0040485D">
      <w:pPr>
        <w:ind w:left="851"/>
        <w:rPr>
          <w:i/>
          <w:sz w:val="24"/>
          <w:szCs w:val="24"/>
        </w:rPr>
      </w:pPr>
      <w:r w:rsidRPr="00FC16D0">
        <w:rPr>
          <w:i/>
          <w:sz w:val="24"/>
          <w:szCs w:val="24"/>
        </w:rPr>
        <w:t>Børn under 2 år</w:t>
      </w:r>
    </w:p>
    <w:p w14:paraId="55F77E0D" w14:textId="77777777" w:rsidR="0063123D" w:rsidRPr="00FC16D0" w:rsidRDefault="0063123D" w:rsidP="0040485D">
      <w:pPr>
        <w:ind w:left="851"/>
        <w:rPr>
          <w:sz w:val="24"/>
          <w:szCs w:val="24"/>
        </w:rPr>
      </w:pPr>
      <w:r w:rsidRPr="00FC16D0">
        <w:rPr>
          <w:sz w:val="24"/>
          <w:szCs w:val="24"/>
        </w:rPr>
        <w:t>Der er ingen erfaring med fentanyl til børn under 2 år.</w:t>
      </w:r>
    </w:p>
    <w:p w14:paraId="12ABA299" w14:textId="77777777" w:rsidR="0063123D" w:rsidRPr="00FC16D0" w:rsidRDefault="0063123D" w:rsidP="0040485D">
      <w:pPr>
        <w:ind w:left="851"/>
        <w:rPr>
          <w:sz w:val="24"/>
          <w:szCs w:val="24"/>
        </w:rPr>
      </w:pPr>
    </w:p>
    <w:p w14:paraId="5D89944F" w14:textId="77777777" w:rsidR="0063123D" w:rsidRPr="00FC16D0" w:rsidRDefault="0063123D" w:rsidP="0040485D">
      <w:pPr>
        <w:ind w:left="851"/>
        <w:rPr>
          <w:sz w:val="24"/>
          <w:szCs w:val="24"/>
        </w:rPr>
      </w:pPr>
      <w:r w:rsidRPr="00FC16D0">
        <w:rPr>
          <w:i/>
          <w:sz w:val="24"/>
          <w:szCs w:val="24"/>
        </w:rPr>
        <w:t>Børn</w:t>
      </w:r>
    </w:p>
    <w:p w14:paraId="020B748B" w14:textId="77777777" w:rsidR="0063123D" w:rsidRPr="00FC16D0" w:rsidRDefault="0063123D" w:rsidP="0040485D">
      <w:pPr>
        <w:ind w:left="851"/>
        <w:rPr>
          <w:sz w:val="24"/>
          <w:szCs w:val="24"/>
        </w:rPr>
      </w:pPr>
      <w:r w:rsidRPr="00FC16D0">
        <w:rPr>
          <w:sz w:val="24"/>
          <w:szCs w:val="24"/>
        </w:rPr>
        <w:t xml:space="preserve">Teknikker, som omfatter analgesi hos børn med spontan vejrtrækning, bør kun anvendes som del af en anæstesiteknik eller gives som del af en sedations-/analgesiteknik af erfarent personale på en afdeling, der kan behandle pludselig muskelrigiditet (der kræver </w:t>
      </w:r>
      <w:proofErr w:type="spellStart"/>
      <w:r w:rsidRPr="00FC16D0">
        <w:rPr>
          <w:sz w:val="24"/>
          <w:szCs w:val="24"/>
        </w:rPr>
        <w:t>intubation</w:t>
      </w:r>
      <w:proofErr w:type="spellEnd"/>
      <w:r w:rsidRPr="00FC16D0">
        <w:rPr>
          <w:sz w:val="24"/>
          <w:szCs w:val="24"/>
        </w:rPr>
        <w:t>) eller apnø (der kræver ventilation) (se pkt. 4.4).</w:t>
      </w:r>
    </w:p>
    <w:p w14:paraId="0C82A3CF" w14:textId="77777777" w:rsidR="0063123D" w:rsidRPr="00FC16D0" w:rsidRDefault="0063123D" w:rsidP="0040485D">
      <w:pPr>
        <w:ind w:left="851"/>
        <w:rPr>
          <w:sz w:val="24"/>
          <w:szCs w:val="24"/>
        </w:rPr>
      </w:pPr>
    </w:p>
    <w:p w14:paraId="0AD2EF3B" w14:textId="77777777" w:rsidR="0063123D" w:rsidRPr="00FC16D0" w:rsidRDefault="0063123D" w:rsidP="0040485D">
      <w:pPr>
        <w:ind w:left="851"/>
        <w:rPr>
          <w:sz w:val="24"/>
          <w:szCs w:val="24"/>
        </w:rPr>
      </w:pPr>
      <w:r w:rsidRPr="00FC16D0">
        <w:rPr>
          <w:i/>
          <w:sz w:val="24"/>
          <w:szCs w:val="24"/>
        </w:rPr>
        <w:t>Ældre</w:t>
      </w:r>
    </w:p>
    <w:p w14:paraId="5930694A" w14:textId="77777777" w:rsidR="0063123D" w:rsidRPr="00FC16D0" w:rsidRDefault="0063123D" w:rsidP="0040485D">
      <w:pPr>
        <w:ind w:left="851"/>
        <w:rPr>
          <w:sz w:val="24"/>
          <w:szCs w:val="24"/>
        </w:rPr>
      </w:pPr>
      <w:r w:rsidRPr="00FC16D0">
        <w:rPr>
          <w:sz w:val="24"/>
          <w:szCs w:val="24"/>
        </w:rPr>
        <w:t>Som med andre opioider bør startdosis reduceres for ældre (&gt;65 år) og svækkede patienter. Virkningen af initialdosis skal tages i betragtning ved beregning af yderligere doser.</w:t>
      </w:r>
    </w:p>
    <w:p w14:paraId="314415AD" w14:textId="77777777" w:rsidR="0063123D" w:rsidRPr="00FC16D0" w:rsidRDefault="0063123D" w:rsidP="0040485D">
      <w:pPr>
        <w:ind w:left="851"/>
        <w:rPr>
          <w:sz w:val="24"/>
          <w:szCs w:val="24"/>
        </w:rPr>
      </w:pPr>
    </w:p>
    <w:p w14:paraId="1C005FF9" w14:textId="77777777" w:rsidR="0063123D" w:rsidRPr="00FC16D0" w:rsidRDefault="0063123D" w:rsidP="0040485D">
      <w:pPr>
        <w:ind w:left="851"/>
        <w:rPr>
          <w:i/>
          <w:sz w:val="24"/>
          <w:szCs w:val="24"/>
        </w:rPr>
      </w:pPr>
      <w:r w:rsidRPr="00FC16D0">
        <w:rPr>
          <w:i/>
          <w:sz w:val="24"/>
          <w:szCs w:val="24"/>
        </w:rPr>
        <w:t>Patienter med nedsat nyrefunktion</w:t>
      </w:r>
    </w:p>
    <w:p w14:paraId="556E89EE" w14:textId="197AAF8A" w:rsidR="0063123D" w:rsidRPr="00FC16D0" w:rsidRDefault="0063123D" w:rsidP="0040485D">
      <w:pPr>
        <w:ind w:left="851"/>
        <w:rPr>
          <w:sz w:val="24"/>
          <w:szCs w:val="24"/>
        </w:rPr>
      </w:pPr>
      <w:r w:rsidRPr="00FC16D0">
        <w:rPr>
          <w:sz w:val="24"/>
          <w:szCs w:val="24"/>
        </w:rPr>
        <w:t xml:space="preserve">Det skal overvejes at reducere dosis af Fentanyl </w:t>
      </w:r>
      <w:r w:rsidR="00FA0940">
        <w:rPr>
          <w:sz w:val="24"/>
          <w:szCs w:val="24"/>
        </w:rPr>
        <w:t>"</w:t>
      </w:r>
      <w:proofErr w:type="spellStart"/>
      <w:r w:rsidR="00FA0940">
        <w:rPr>
          <w:sz w:val="24"/>
          <w:szCs w:val="24"/>
        </w:rPr>
        <w:t>Kalceks</w:t>
      </w:r>
      <w:proofErr w:type="spellEnd"/>
      <w:r w:rsidR="00FA0940">
        <w:rPr>
          <w:sz w:val="24"/>
          <w:szCs w:val="24"/>
        </w:rPr>
        <w:t>"</w:t>
      </w:r>
      <w:r w:rsidRPr="00FC16D0">
        <w:rPr>
          <w:sz w:val="24"/>
          <w:szCs w:val="24"/>
        </w:rPr>
        <w:t xml:space="preserve"> 50 mikrogram/ml til patienter med nedsat nyrefunktion og disse patienter skal holdes under nøje observation for tegn på fentanyl-toksicitet (se pkt. 5.2).</w:t>
      </w:r>
    </w:p>
    <w:p w14:paraId="0CAE4B54" w14:textId="77777777" w:rsidR="0063123D" w:rsidRPr="00FC16D0" w:rsidRDefault="0063123D" w:rsidP="0040485D">
      <w:pPr>
        <w:ind w:left="851"/>
        <w:rPr>
          <w:sz w:val="24"/>
          <w:szCs w:val="24"/>
        </w:rPr>
      </w:pPr>
    </w:p>
    <w:p w14:paraId="158C7D28" w14:textId="77777777" w:rsidR="0063123D" w:rsidRPr="00FC16D0" w:rsidRDefault="0063123D" w:rsidP="0040485D">
      <w:pPr>
        <w:ind w:left="851"/>
        <w:rPr>
          <w:i/>
          <w:sz w:val="24"/>
          <w:szCs w:val="24"/>
        </w:rPr>
      </w:pPr>
      <w:r w:rsidRPr="00FC16D0">
        <w:rPr>
          <w:i/>
          <w:sz w:val="24"/>
          <w:szCs w:val="24"/>
        </w:rPr>
        <w:t>Adipøse patienter</w:t>
      </w:r>
    </w:p>
    <w:p w14:paraId="49AA1E61" w14:textId="1277B2E1" w:rsidR="0063123D" w:rsidRPr="00FC16D0" w:rsidRDefault="0063123D" w:rsidP="0040485D">
      <w:pPr>
        <w:ind w:left="851"/>
        <w:rPr>
          <w:sz w:val="24"/>
          <w:szCs w:val="24"/>
        </w:rPr>
      </w:pPr>
      <w:r w:rsidRPr="00FC16D0">
        <w:rPr>
          <w:sz w:val="24"/>
          <w:szCs w:val="24"/>
        </w:rPr>
        <w:t>Der er risiko for overdosering hos adipøse patienter, hvis dosis udregnes baseret på legemsvægt. Adipøse patienter (BMI &gt;30 kg/m</w:t>
      </w:r>
      <w:r w:rsidRPr="00FC16D0">
        <w:rPr>
          <w:sz w:val="24"/>
          <w:szCs w:val="24"/>
          <w:vertAlign w:val="superscript"/>
        </w:rPr>
        <w:t>2</w:t>
      </w:r>
      <w:r w:rsidRPr="00FC16D0">
        <w:rPr>
          <w:sz w:val="24"/>
          <w:szCs w:val="24"/>
        </w:rPr>
        <w:t>) skal doseres baseret på en estimeret idealvægt</w:t>
      </w:r>
      <w:r w:rsidR="00FC16D0">
        <w:rPr>
          <w:sz w:val="24"/>
          <w:szCs w:val="24"/>
        </w:rPr>
        <w:t xml:space="preserve"> </w:t>
      </w:r>
      <w:r w:rsidRPr="00FC16D0">
        <w:rPr>
          <w:sz w:val="24"/>
          <w:szCs w:val="24"/>
        </w:rPr>
        <w:t xml:space="preserve">(lean body </w:t>
      </w:r>
      <w:proofErr w:type="spellStart"/>
      <w:r w:rsidRPr="00FC16D0">
        <w:rPr>
          <w:sz w:val="24"/>
          <w:szCs w:val="24"/>
        </w:rPr>
        <w:t>mass</w:t>
      </w:r>
      <w:proofErr w:type="spellEnd"/>
      <w:r w:rsidRPr="00FC16D0">
        <w:rPr>
          <w:sz w:val="24"/>
          <w:szCs w:val="24"/>
        </w:rPr>
        <w:t>) i stedet for legemsvægt alene. Yderligere titrering bør ske med forsigtighed, baseret på virkning (se pkt. 5.2).</w:t>
      </w:r>
    </w:p>
    <w:p w14:paraId="1E5C4795" w14:textId="77777777" w:rsidR="0063123D" w:rsidRPr="00FC16D0" w:rsidRDefault="0063123D" w:rsidP="0040485D">
      <w:pPr>
        <w:ind w:left="851"/>
        <w:rPr>
          <w:sz w:val="24"/>
          <w:szCs w:val="24"/>
        </w:rPr>
      </w:pPr>
    </w:p>
    <w:p w14:paraId="5532D886" w14:textId="77777777" w:rsidR="0063123D" w:rsidRPr="00FC16D0" w:rsidRDefault="0063123D" w:rsidP="0040485D">
      <w:pPr>
        <w:ind w:left="851"/>
        <w:rPr>
          <w:sz w:val="24"/>
          <w:szCs w:val="24"/>
          <w:u w:val="single"/>
        </w:rPr>
      </w:pPr>
      <w:r w:rsidRPr="00FC16D0">
        <w:rPr>
          <w:sz w:val="24"/>
          <w:szCs w:val="24"/>
          <w:u w:val="single"/>
        </w:rPr>
        <w:t>Administration</w:t>
      </w:r>
    </w:p>
    <w:p w14:paraId="709804EF" w14:textId="77777777" w:rsidR="0063123D" w:rsidRPr="00FC16D0" w:rsidRDefault="0063123D" w:rsidP="0040485D">
      <w:pPr>
        <w:ind w:left="851"/>
        <w:rPr>
          <w:sz w:val="24"/>
          <w:szCs w:val="24"/>
        </w:rPr>
      </w:pPr>
      <w:r w:rsidRPr="00FC16D0">
        <w:rPr>
          <w:sz w:val="24"/>
          <w:szCs w:val="24"/>
        </w:rPr>
        <w:t>Administreres langsomt– i løbet af 1 til 2 minutter - intravenøst.</w:t>
      </w:r>
    </w:p>
    <w:p w14:paraId="0021DBB4" w14:textId="03349BAE" w:rsidR="007A2076" w:rsidRDefault="007A2076">
      <w:pPr>
        <w:rPr>
          <w:sz w:val="24"/>
          <w:szCs w:val="24"/>
        </w:rPr>
      </w:pPr>
      <w:r>
        <w:rPr>
          <w:sz w:val="24"/>
          <w:szCs w:val="24"/>
        </w:rPr>
        <w:br w:type="page"/>
      </w:r>
    </w:p>
    <w:p w14:paraId="14451218" w14:textId="77777777" w:rsidR="009260DE" w:rsidRPr="00FC16D0" w:rsidRDefault="009260DE" w:rsidP="009260DE">
      <w:pPr>
        <w:tabs>
          <w:tab w:val="left" w:pos="851"/>
        </w:tabs>
        <w:ind w:left="851"/>
        <w:rPr>
          <w:sz w:val="24"/>
          <w:szCs w:val="24"/>
        </w:rPr>
      </w:pPr>
    </w:p>
    <w:p w14:paraId="2DF63CB1" w14:textId="77777777" w:rsidR="009260DE" w:rsidRPr="00FC16D0" w:rsidRDefault="009260DE" w:rsidP="009260DE">
      <w:pPr>
        <w:tabs>
          <w:tab w:val="left" w:pos="851"/>
        </w:tabs>
        <w:ind w:left="851" w:hanging="851"/>
        <w:rPr>
          <w:b/>
          <w:sz w:val="24"/>
          <w:szCs w:val="24"/>
        </w:rPr>
      </w:pPr>
      <w:r w:rsidRPr="00FC16D0">
        <w:rPr>
          <w:b/>
          <w:sz w:val="24"/>
          <w:szCs w:val="24"/>
        </w:rPr>
        <w:t>4.3</w:t>
      </w:r>
      <w:r w:rsidRPr="00FC16D0">
        <w:rPr>
          <w:b/>
          <w:sz w:val="24"/>
          <w:szCs w:val="24"/>
        </w:rPr>
        <w:tab/>
        <w:t>Kontraindikationer</w:t>
      </w:r>
    </w:p>
    <w:p w14:paraId="21AE43BD" w14:textId="77777777" w:rsidR="0063123D" w:rsidRPr="00FC16D0" w:rsidRDefault="0063123D" w:rsidP="0040485D">
      <w:pPr>
        <w:pStyle w:val="Listeafsnit"/>
        <w:numPr>
          <w:ilvl w:val="0"/>
          <w:numId w:val="11"/>
        </w:numPr>
        <w:ind w:left="1276" w:hanging="425"/>
        <w:rPr>
          <w:sz w:val="24"/>
          <w:szCs w:val="24"/>
          <w:lang w:eastAsia="en-GB"/>
        </w:rPr>
      </w:pPr>
      <w:r w:rsidRPr="00FC16D0">
        <w:rPr>
          <w:sz w:val="24"/>
          <w:szCs w:val="24"/>
        </w:rPr>
        <w:t>Overfølsomhed over for det aktive stof eller over for et eller flere af hjælpestofferne anført i pkt. 6.1 eller andre opioider.</w:t>
      </w:r>
    </w:p>
    <w:p w14:paraId="356971BE" w14:textId="77777777" w:rsidR="0063123D" w:rsidRPr="00FC16D0" w:rsidRDefault="0063123D" w:rsidP="0040485D">
      <w:pPr>
        <w:pStyle w:val="Listeafsnit"/>
        <w:numPr>
          <w:ilvl w:val="0"/>
          <w:numId w:val="11"/>
        </w:numPr>
        <w:ind w:left="1276" w:hanging="425"/>
        <w:rPr>
          <w:sz w:val="24"/>
          <w:szCs w:val="24"/>
        </w:rPr>
      </w:pPr>
      <w:r w:rsidRPr="00FC16D0">
        <w:rPr>
          <w:sz w:val="24"/>
          <w:szCs w:val="24"/>
        </w:rPr>
        <w:t xml:space="preserve">Dårlig lungefunktion uden mekanisk ventilation. Dette skyldes den respirationsdepressive virkning, der er specifik for </w:t>
      </w:r>
      <w:proofErr w:type="spellStart"/>
      <w:r w:rsidRPr="00FC16D0">
        <w:rPr>
          <w:sz w:val="24"/>
          <w:szCs w:val="24"/>
        </w:rPr>
        <w:t>morfinomimetika</w:t>
      </w:r>
      <w:proofErr w:type="spellEnd"/>
      <w:r w:rsidRPr="00FC16D0">
        <w:rPr>
          <w:sz w:val="24"/>
          <w:szCs w:val="24"/>
        </w:rPr>
        <w:t>.</w:t>
      </w:r>
    </w:p>
    <w:p w14:paraId="74050F5C" w14:textId="77777777" w:rsidR="009260DE" w:rsidRPr="00FC16D0" w:rsidRDefault="009260DE" w:rsidP="009260DE">
      <w:pPr>
        <w:tabs>
          <w:tab w:val="left" w:pos="851"/>
        </w:tabs>
        <w:ind w:left="851"/>
        <w:rPr>
          <w:sz w:val="24"/>
          <w:szCs w:val="24"/>
        </w:rPr>
      </w:pPr>
    </w:p>
    <w:p w14:paraId="012B3057" w14:textId="77777777" w:rsidR="009260DE" w:rsidRPr="00FC16D0" w:rsidRDefault="009260DE" w:rsidP="009260DE">
      <w:pPr>
        <w:tabs>
          <w:tab w:val="left" w:pos="851"/>
        </w:tabs>
        <w:ind w:left="851" w:hanging="851"/>
        <w:rPr>
          <w:b/>
          <w:sz w:val="24"/>
          <w:szCs w:val="24"/>
        </w:rPr>
      </w:pPr>
      <w:r w:rsidRPr="00FC16D0">
        <w:rPr>
          <w:b/>
          <w:sz w:val="24"/>
          <w:szCs w:val="24"/>
        </w:rPr>
        <w:t>4.4</w:t>
      </w:r>
      <w:r w:rsidRPr="00FC16D0">
        <w:rPr>
          <w:b/>
          <w:sz w:val="24"/>
          <w:szCs w:val="24"/>
        </w:rPr>
        <w:tab/>
        <w:t>Særlige advarsler og forsigtighedsregler vedrørende brugen</w:t>
      </w:r>
    </w:p>
    <w:p w14:paraId="7B7E8E74" w14:textId="77777777" w:rsidR="0063123D" w:rsidRPr="00FC16D0" w:rsidRDefault="0063123D" w:rsidP="0040485D">
      <w:pPr>
        <w:pStyle w:val="Listeafsnit"/>
        <w:numPr>
          <w:ilvl w:val="0"/>
          <w:numId w:val="12"/>
        </w:numPr>
        <w:ind w:left="1276" w:hanging="425"/>
        <w:rPr>
          <w:sz w:val="24"/>
          <w:szCs w:val="24"/>
          <w:lang w:eastAsia="en-GB"/>
        </w:rPr>
      </w:pPr>
      <w:r w:rsidRPr="00FC16D0">
        <w:rPr>
          <w:sz w:val="24"/>
          <w:szCs w:val="24"/>
        </w:rPr>
        <w:t>Fentanyl må kun administreres på en afdeling, hvor luftvejene kan monitoreres, og af personale, der kan monitorere luftvejene.</w:t>
      </w:r>
    </w:p>
    <w:p w14:paraId="412BF439" w14:textId="77E1141E" w:rsidR="0063123D" w:rsidRPr="00FC16D0" w:rsidRDefault="0063123D" w:rsidP="0040485D">
      <w:pPr>
        <w:pStyle w:val="Listeafsnit"/>
        <w:numPr>
          <w:ilvl w:val="0"/>
          <w:numId w:val="12"/>
        </w:numPr>
        <w:ind w:left="1276" w:hanging="425"/>
        <w:rPr>
          <w:sz w:val="24"/>
          <w:szCs w:val="24"/>
        </w:rPr>
      </w:pPr>
      <w:r w:rsidRPr="00FC16D0">
        <w:rPr>
          <w:sz w:val="24"/>
          <w:szCs w:val="24"/>
        </w:rPr>
        <w:t xml:space="preserve">Som for alle potente opioider gælder, at fentanyl kan fremkalde respirationsdepression, der er dosisrelateret. Der kan forekomme markant respirationsdepression ved administration i doser over 200 mikrogram fentanyl (4 ml). Administration af </w:t>
      </w:r>
      <w:proofErr w:type="spellStart"/>
      <w:r w:rsidRPr="00FC16D0">
        <w:rPr>
          <w:sz w:val="24"/>
          <w:szCs w:val="24"/>
        </w:rPr>
        <w:t>naloxon</w:t>
      </w:r>
      <w:proofErr w:type="spellEnd"/>
      <w:r w:rsidRPr="00FC16D0">
        <w:rPr>
          <w:sz w:val="24"/>
          <w:szCs w:val="24"/>
        </w:rPr>
        <w:t>, en specifik opioidantagonist, kan modvirke denne effekt. Det kan være nødvendigt at give yderligere doser af opioidantagonisten, da respirationsdepression kan vare længere end virkningen af opioidantagonisten. Dyb analgesi er ledsaget af udtalt respirationsdepression, som kan vare ved eller gentage sig i hele den postoperative periode. Derfor skal patienter forblive under tilsvarende observation. Genoplivningsudstyr og opioidantagonister skal være let tilgængelige. Hyperventilation under anæstesien kan forandre patientens respons på CO</w:t>
      </w:r>
      <w:r w:rsidRPr="00FC16D0">
        <w:rPr>
          <w:sz w:val="24"/>
          <w:szCs w:val="24"/>
          <w:vertAlign w:val="subscript"/>
        </w:rPr>
        <w:t>2</w:t>
      </w:r>
      <w:r w:rsidRPr="00FC16D0">
        <w:rPr>
          <w:sz w:val="24"/>
          <w:szCs w:val="24"/>
        </w:rPr>
        <w:t xml:space="preserve"> og således påvirke åndedrættet postoperativt. </w:t>
      </w:r>
    </w:p>
    <w:p w14:paraId="4E4500C1" w14:textId="77777777" w:rsidR="0063123D" w:rsidRPr="00FC16D0" w:rsidRDefault="0063123D" w:rsidP="0040485D">
      <w:pPr>
        <w:pStyle w:val="Listeafsnit"/>
        <w:numPr>
          <w:ilvl w:val="0"/>
          <w:numId w:val="12"/>
        </w:numPr>
        <w:ind w:left="1276" w:hanging="425"/>
        <w:rPr>
          <w:sz w:val="24"/>
          <w:szCs w:val="24"/>
        </w:rPr>
      </w:pPr>
      <w:r w:rsidRPr="00FC16D0">
        <w:rPr>
          <w:sz w:val="24"/>
          <w:szCs w:val="24"/>
        </w:rPr>
        <w:t xml:space="preserve">Der kan opstå muskelrigiditet, og som et resultat heraf, kan der også forekomme respirationsdepression. Forekomsten kan reduceres ved langsom intravenøs injektion (det er normalt tilstrækkeligt ved lave doser). Reaktionen kan behandles med kunstig ventilation, præmedicinering med benzodiazepiner og om nødvendigt indgivelse af </w:t>
      </w:r>
      <w:proofErr w:type="spellStart"/>
      <w:r w:rsidRPr="00FC16D0">
        <w:rPr>
          <w:sz w:val="24"/>
          <w:szCs w:val="24"/>
        </w:rPr>
        <w:t>muskelrelaxantia</w:t>
      </w:r>
      <w:proofErr w:type="spellEnd"/>
      <w:r w:rsidRPr="00FC16D0">
        <w:rPr>
          <w:sz w:val="24"/>
          <w:szCs w:val="24"/>
        </w:rPr>
        <w:t>.</w:t>
      </w:r>
    </w:p>
    <w:p w14:paraId="483AC1FB" w14:textId="77777777" w:rsidR="0063123D" w:rsidRPr="00FC16D0" w:rsidRDefault="0063123D" w:rsidP="0040485D">
      <w:pPr>
        <w:pStyle w:val="Listeafsnit"/>
        <w:numPr>
          <w:ilvl w:val="0"/>
          <w:numId w:val="12"/>
        </w:numPr>
        <w:ind w:left="1276" w:hanging="425"/>
        <w:rPr>
          <w:sz w:val="24"/>
          <w:szCs w:val="24"/>
        </w:rPr>
      </w:pPr>
      <w:r w:rsidRPr="00FC16D0">
        <w:rPr>
          <w:sz w:val="24"/>
          <w:szCs w:val="24"/>
        </w:rPr>
        <w:t xml:space="preserve">Forekomsten af </w:t>
      </w:r>
      <w:proofErr w:type="spellStart"/>
      <w:r w:rsidRPr="00FC16D0">
        <w:rPr>
          <w:sz w:val="24"/>
          <w:szCs w:val="24"/>
        </w:rPr>
        <w:t>anafylaktiske</w:t>
      </w:r>
      <w:proofErr w:type="spellEnd"/>
      <w:r w:rsidRPr="00FC16D0">
        <w:rPr>
          <w:sz w:val="24"/>
          <w:szCs w:val="24"/>
        </w:rPr>
        <w:t xml:space="preserve"> reaktioner skal tages i betragtning ved indgivelse af fentanyl.</w:t>
      </w:r>
    </w:p>
    <w:p w14:paraId="11309A2B" w14:textId="77777777" w:rsidR="0063123D" w:rsidRPr="00FC16D0" w:rsidRDefault="0063123D" w:rsidP="0040485D">
      <w:pPr>
        <w:pStyle w:val="Listeafsnit"/>
        <w:numPr>
          <w:ilvl w:val="0"/>
          <w:numId w:val="12"/>
        </w:numPr>
        <w:ind w:left="1276" w:hanging="425"/>
        <w:rPr>
          <w:sz w:val="24"/>
          <w:szCs w:val="24"/>
        </w:rPr>
      </w:pPr>
      <w:r w:rsidRPr="00FC16D0">
        <w:rPr>
          <w:sz w:val="24"/>
          <w:szCs w:val="24"/>
        </w:rPr>
        <w:t xml:space="preserve">Der kan forekomme ikke-epileptiske, </w:t>
      </w:r>
      <w:proofErr w:type="spellStart"/>
      <w:r w:rsidRPr="00FC16D0">
        <w:rPr>
          <w:sz w:val="24"/>
          <w:szCs w:val="24"/>
        </w:rPr>
        <w:t>myokloniske</w:t>
      </w:r>
      <w:proofErr w:type="spellEnd"/>
      <w:r w:rsidRPr="00FC16D0">
        <w:rPr>
          <w:sz w:val="24"/>
          <w:szCs w:val="24"/>
        </w:rPr>
        <w:t xml:space="preserve"> reaktioner.</w:t>
      </w:r>
    </w:p>
    <w:p w14:paraId="10973140" w14:textId="0FD4DA7C" w:rsidR="0063123D" w:rsidRPr="00FC16D0" w:rsidRDefault="0063123D" w:rsidP="0040485D">
      <w:pPr>
        <w:pStyle w:val="Listeafsnit"/>
        <w:numPr>
          <w:ilvl w:val="0"/>
          <w:numId w:val="12"/>
        </w:numPr>
        <w:ind w:left="1276" w:hanging="425"/>
        <w:rPr>
          <w:sz w:val="24"/>
          <w:szCs w:val="24"/>
        </w:rPr>
      </w:pPr>
      <w:r w:rsidRPr="00FC16D0">
        <w:rPr>
          <w:sz w:val="24"/>
          <w:szCs w:val="24"/>
        </w:rPr>
        <w:t xml:space="preserve">Der kan forekomme bradykardi og hjertestop, hvis patienten har fået en for lav dosis </w:t>
      </w:r>
      <w:proofErr w:type="spellStart"/>
      <w:r w:rsidRPr="00FC16D0">
        <w:rPr>
          <w:sz w:val="24"/>
          <w:szCs w:val="24"/>
        </w:rPr>
        <w:t>antikolinergikum</w:t>
      </w:r>
      <w:proofErr w:type="spellEnd"/>
      <w:r w:rsidRPr="00FC16D0">
        <w:rPr>
          <w:sz w:val="24"/>
          <w:szCs w:val="24"/>
        </w:rPr>
        <w:t xml:space="preserve">, eller hvis Fentanyl </w:t>
      </w:r>
      <w:r w:rsidR="00FA0940">
        <w:rPr>
          <w:sz w:val="24"/>
          <w:szCs w:val="24"/>
        </w:rPr>
        <w:t>"</w:t>
      </w:r>
      <w:proofErr w:type="spellStart"/>
      <w:r w:rsidR="00FA0940">
        <w:rPr>
          <w:sz w:val="24"/>
          <w:szCs w:val="24"/>
        </w:rPr>
        <w:t>Kalceks</w:t>
      </w:r>
      <w:proofErr w:type="spellEnd"/>
      <w:r w:rsidR="00FA0940">
        <w:rPr>
          <w:sz w:val="24"/>
          <w:szCs w:val="24"/>
        </w:rPr>
        <w:t>"</w:t>
      </w:r>
      <w:r w:rsidRPr="00FC16D0">
        <w:rPr>
          <w:sz w:val="24"/>
          <w:szCs w:val="24"/>
        </w:rPr>
        <w:t xml:space="preserve"> 50 mikrogram/ml kombineres med non-</w:t>
      </w:r>
      <w:proofErr w:type="spellStart"/>
      <w:r w:rsidRPr="00FC16D0">
        <w:rPr>
          <w:sz w:val="24"/>
          <w:szCs w:val="24"/>
        </w:rPr>
        <w:t>vagolytiske</w:t>
      </w:r>
      <w:proofErr w:type="spellEnd"/>
      <w:r w:rsidRPr="00FC16D0">
        <w:rPr>
          <w:sz w:val="24"/>
          <w:szCs w:val="24"/>
        </w:rPr>
        <w:t xml:space="preserve"> </w:t>
      </w:r>
      <w:proofErr w:type="spellStart"/>
      <w:r w:rsidRPr="00FC16D0">
        <w:rPr>
          <w:sz w:val="24"/>
          <w:szCs w:val="24"/>
        </w:rPr>
        <w:t>muskelrelaxantia</w:t>
      </w:r>
      <w:proofErr w:type="spellEnd"/>
      <w:r w:rsidRPr="00FC16D0">
        <w:rPr>
          <w:sz w:val="24"/>
          <w:szCs w:val="24"/>
        </w:rPr>
        <w:t>. Bradykardi kan behandles med atropin.</w:t>
      </w:r>
    </w:p>
    <w:p w14:paraId="13491E9F" w14:textId="77777777" w:rsidR="0063123D" w:rsidRPr="00FC16D0" w:rsidRDefault="0063123D" w:rsidP="0040485D">
      <w:pPr>
        <w:pStyle w:val="Listeafsnit"/>
        <w:numPr>
          <w:ilvl w:val="0"/>
          <w:numId w:val="12"/>
        </w:numPr>
        <w:ind w:left="1276" w:hanging="425"/>
        <w:rPr>
          <w:sz w:val="24"/>
          <w:szCs w:val="24"/>
        </w:rPr>
      </w:pPr>
      <w:r w:rsidRPr="00FC16D0">
        <w:rPr>
          <w:sz w:val="24"/>
          <w:szCs w:val="24"/>
        </w:rPr>
        <w:t xml:space="preserve">Opioider kan forårsage hypotension, især hos </w:t>
      </w:r>
      <w:proofErr w:type="spellStart"/>
      <w:r w:rsidRPr="00FC16D0">
        <w:rPr>
          <w:sz w:val="24"/>
          <w:szCs w:val="24"/>
        </w:rPr>
        <w:t>hypovolæmiske</w:t>
      </w:r>
      <w:proofErr w:type="spellEnd"/>
      <w:r w:rsidRPr="00FC16D0">
        <w:rPr>
          <w:sz w:val="24"/>
          <w:szCs w:val="24"/>
        </w:rPr>
        <w:t xml:space="preserve"> patienter. Der skal træffes passende foranstaltninger til opretholdelse af et stabilt arterielt tryk.</w:t>
      </w:r>
    </w:p>
    <w:p w14:paraId="77288057" w14:textId="0F7F37ED" w:rsidR="0063123D" w:rsidRPr="00FC16D0" w:rsidRDefault="0063123D" w:rsidP="0040485D">
      <w:pPr>
        <w:pStyle w:val="Listeafsnit"/>
        <w:numPr>
          <w:ilvl w:val="0"/>
          <w:numId w:val="12"/>
        </w:numPr>
        <w:ind w:left="1276" w:hanging="425"/>
        <w:rPr>
          <w:sz w:val="24"/>
          <w:szCs w:val="24"/>
        </w:rPr>
      </w:pPr>
      <w:r w:rsidRPr="00FC16D0">
        <w:rPr>
          <w:sz w:val="24"/>
          <w:szCs w:val="24"/>
        </w:rPr>
        <w:t xml:space="preserve">Brugen af hurtige </w:t>
      </w:r>
      <w:proofErr w:type="spellStart"/>
      <w:r w:rsidRPr="00FC16D0">
        <w:rPr>
          <w:sz w:val="24"/>
          <w:szCs w:val="24"/>
        </w:rPr>
        <w:t>bolusinjektioner</w:t>
      </w:r>
      <w:proofErr w:type="spellEnd"/>
      <w:r w:rsidRPr="00FC16D0">
        <w:rPr>
          <w:sz w:val="24"/>
          <w:szCs w:val="24"/>
        </w:rPr>
        <w:t xml:space="preserve"> af opioider skal undgås. Hos patienter med kompromitteret cerebralt kredsløb kan det forbigående fald i </w:t>
      </w:r>
      <w:r w:rsidR="00217346" w:rsidRPr="00FC16D0">
        <w:rPr>
          <w:sz w:val="24"/>
          <w:szCs w:val="24"/>
        </w:rPr>
        <w:t>gennemsnitligt arterielt tryk</w:t>
      </w:r>
      <w:r w:rsidRPr="00FC16D0">
        <w:rPr>
          <w:sz w:val="24"/>
          <w:szCs w:val="24"/>
        </w:rPr>
        <w:t xml:space="preserve"> være ledsaget af en kortvarig reduktion i cerebralt </w:t>
      </w:r>
      <w:proofErr w:type="spellStart"/>
      <w:r w:rsidRPr="00FC16D0">
        <w:rPr>
          <w:sz w:val="24"/>
          <w:szCs w:val="24"/>
        </w:rPr>
        <w:t>perfusionstryk</w:t>
      </w:r>
      <w:proofErr w:type="spellEnd"/>
      <w:r w:rsidRPr="00FC16D0">
        <w:rPr>
          <w:sz w:val="24"/>
          <w:szCs w:val="24"/>
        </w:rPr>
        <w:t>.</w:t>
      </w:r>
    </w:p>
    <w:p w14:paraId="67D08DDA" w14:textId="77777777" w:rsidR="0063123D" w:rsidRPr="00FC16D0" w:rsidRDefault="0063123D" w:rsidP="0040485D">
      <w:pPr>
        <w:pStyle w:val="Listeafsnit"/>
        <w:numPr>
          <w:ilvl w:val="0"/>
          <w:numId w:val="12"/>
        </w:numPr>
        <w:ind w:left="1276" w:hanging="425"/>
        <w:rPr>
          <w:sz w:val="24"/>
          <w:szCs w:val="24"/>
        </w:rPr>
      </w:pPr>
      <w:r w:rsidRPr="00FC16D0">
        <w:rPr>
          <w:sz w:val="24"/>
          <w:szCs w:val="24"/>
        </w:rPr>
        <w:t>Patienter, der får kronisk behandling med opioider, eller som er afhængige af opioider, kan have behov for højere doser.</w:t>
      </w:r>
    </w:p>
    <w:p w14:paraId="46DED4F6" w14:textId="77777777" w:rsidR="0063123D" w:rsidRPr="00FC16D0" w:rsidRDefault="0063123D" w:rsidP="0040485D">
      <w:pPr>
        <w:pStyle w:val="Listeafsnit"/>
        <w:numPr>
          <w:ilvl w:val="0"/>
          <w:numId w:val="12"/>
        </w:numPr>
        <w:ind w:left="1276" w:hanging="425"/>
        <w:rPr>
          <w:sz w:val="24"/>
          <w:szCs w:val="24"/>
        </w:rPr>
      </w:pPr>
      <w:r w:rsidRPr="00FC16D0">
        <w:rPr>
          <w:sz w:val="24"/>
          <w:szCs w:val="24"/>
        </w:rPr>
        <w:t xml:space="preserve">Dosisreduktion anbefales til ældre og svækkede patienter. Opioider skal titreres omhyggeligt til patienter med en eller flere af følgende underliggende tilstande: ukontrolleret </w:t>
      </w:r>
      <w:proofErr w:type="spellStart"/>
      <w:r w:rsidRPr="00FC16D0">
        <w:rPr>
          <w:sz w:val="24"/>
          <w:szCs w:val="24"/>
        </w:rPr>
        <w:t>hypotyreose</w:t>
      </w:r>
      <w:proofErr w:type="spellEnd"/>
      <w:r w:rsidRPr="00FC16D0">
        <w:rPr>
          <w:sz w:val="24"/>
          <w:szCs w:val="24"/>
        </w:rPr>
        <w:t>, lungesygdom, nedsat lungefunktion eller alkoholisme. Hos patienter med leverfunktionsforstyrrelser tilrådes forsigtig dosering på grund af en mulig svækkelse af stofskiftet. Patienter med nedsat nyrefunktion skal monitoreres omhyggeligt for tegn på fentanyl-toksicitet. Fentanyls fordelingsvolumen kan ændres som følge af dialyse, hvilket kan have indflydelse på serumkoncentrationen. Disse patienter skal observeres i en længere periode postoperativt.</w:t>
      </w:r>
    </w:p>
    <w:p w14:paraId="6D9CC95D" w14:textId="55B1DC28" w:rsidR="0063123D" w:rsidRPr="00FC16D0" w:rsidRDefault="0063123D" w:rsidP="0040485D">
      <w:pPr>
        <w:pStyle w:val="Listeafsnit"/>
        <w:numPr>
          <w:ilvl w:val="0"/>
          <w:numId w:val="12"/>
        </w:numPr>
        <w:ind w:left="1276" w:hanging="425"/>
        <w:rPr>
          <w:sz w:val="24"/>
          <w:szCs w:val="24"/>
        </w:rPr>
      </w:pPr>
      <w:r w:rsidRPr="00FC16D0">
        <w:rPr>
          <w:sz w:val="24"/>
          <w:szCs w:val="24"/>
        </w:rPr>
        <w:t xml:space="preserve">Hvis Fentanyl </w:t>
      </w:r>
      <w:r w:rsidR="00FA0940">
        <w:rPr>
          <w:sz w:val="24"/>
          <w:szCs w:val="24"/>
        </w:rPr>
        <w:t>"</w:t>
      </w:r>
      <w:proofErr w:type="spellStart"/>
      <w:r w:rsidR="00FA0940">
        <w:rPr>
          <w:sz w:val="24"/>
          <w:szCs w:val="24"/>
        </w:rPr>
        <w:t>Kalceks</w:t>
      </w:r>
      <w:proofErr w:type="spellEnd"/>
      <w:r w:rsidR="00FA0940">
        <w:rPr>
          <w:sz w:val="24"/>
          <w:szCs w:val="24"/>
        </w:rPr>
        <w:t>"</w:t>
      </w:r>
      <w:r w:rsidRPr="00FC16D0">
        <w:rPr>
          <w:sz w:val="24"/>
          <w:szCs w:val="24"/>
        </w:rPr>
        <w:t xml:space="preserve"> 50 mikrogram/ml administreres sammen med </w:t>
      </w:r>
      <w:proofErr w:type="spellStart"/>
      <w:r w:rsidRPr="00FC16D0">
        <w:rPr>
          <w:sz w:val="24"/>
          <w:szCs w:val="24"/>
        </w:rPr>
        <w:t>neuroleptika</w:t>
      </w:r>
      <w:proofErr w:type="spellEnd"/>
      <w:r w:rsidRPr="00FC16D0">
        <w:rPr>
          <w:sz w:val="24"/>
          <w:szCs w:val="24"/>
        </w:rPr>
        <w:t xml:space="preserve">, skal lægen tage hensyn til begge lægemidlers specifikke egenskaber, især de forskellige virkningsvarigheder. Risikoen for hypotension er større, når en sådan kombination administreres. </w:t>
      </w:r>
      <w:proofErr w:type="spellStart"/>
      <w:r w:rsidRPr="00FC16D0">
        <w:rPr>
          <w:sz w:val="24"/>
          <w:szCs w:val="24"/>
        </w:rPr>
        <w:t>Neuroleptika</w:t>
      </w:r>
      <w:proofErr w:type="spellEnd"/>
      <w:r w:rsidRPr="00FC16D0">
        <w:rPr>
          <w:sz w:val="24"/>
          <w:szCs w:val="24"/>
        </w:rPr>
        <w:t xml:space="preserve"> kan forårsage ekstrapyramidale symptomer, der kan </w:t>
      </w:r>
      <w:r w:rsidRPr="00FC16D0">
        <w:rPr>
          <w:sz w:val="24"/>
          <w:szCs w:val="24"/>
        </w:rPr>
        <w:lastRenderedPageBreak/>
        <w:t xml:space="preserve">modvirkes med </w:t>
      </w:r>
      <w:proofErr w:type="spellStart"/>
      <w:r w:rsidRPr="00FC16D0">
        <w:rPr>
          <w:sz w:val="24"/>
          <w:szCs w:val="24"/>
        </w:rPr>
        <w:t>antiparkinson</w:t>
      </w:r>
      <w:proofErr w:type="spellEnd"/>
      <w:r w:rsidRPr="00FC16D0">
        <w:rPr>
          <w:sz w:val="24"/>
          <w:szCs w:val="24"/>
        </w:rPr>
        <w:t xml:space="preserve">-medikamenter. Kombination med </w:t>
      </w:r>
      <w:proofErr w:type="spellStart"/>
      <w:r w:rsidRPr="00FC16D0">
        <w:rPr>
          <w:sz w:val="24"/>
          <w:szCs w:val="24"/>
        </w:rPr>
        <w:t>antiparkinson</w:t>
      </w:r>
      <w:proofErr w:type="spellEnd"/>
      <w:r w:rsidRPr="00FC16D0">
        <w:rPr>
          <w:sz w:val="24"/>
          <w:szCs w:val="24"/>
        </w:rPr>
        <w:t xml:space="preserve">-medikamenter kan øge risikoen for </w:t>
      </w:r>
      <w:proofErr w:type="spellStart"/>
      <w:r w:rsidRPr="00FC16D0">
        <w:rPr>
          <w:sz w:val="24"/>
          <w:szCs w:val="24"/>
        </w:rPr>
        <w:t>tardiv</w:t>
      </w:r>
      <w:proofErr w:type="spellEnd"/>
      <w:r w:rsidRPr="00FC16D0">
        <w:rPr>
          <w:sz w:val="24"/>
          <w:szCs w:val="24"/>
        </w:rPr>
        <w:t xml:space="preserve"> </w:t>
      </w:r>
      <w:proofErr w:type="spellStart"/>
      <w:r w:rsidRPr="00FC16D0">
        <w:rPr>
          <w:sz w:val="24"/>
          <w:szCs w:val="24"/>
        </w:rPr>
        <w:t>dyskinesi</w:t>
      </w:r>
      <w:proofErr w:type="spellEnd"/>
      <w:r w:rsidRPr="00FC16D0">
        <w:rPr>
          <w:sz w:val="24"/>
          <w:szCs w:val="24"/>
        </w:rPr>
        <w:t>.</w:t>
      </w:r>
    </w:p>
    <w:p w14:paraId="32E5F97C" w14:textId="77777777" w:rsidR="0063123D" w:rsidRPr="00FC16D0" w:rsidRDefault="0063123D" w:rsidP="0040485D">
      <w:pPr>
        <w:pStyle w:val="Listeafsnit"/>
        <w:numPr>
          <w:ilvl w:val="0"/>
          <w:numId w:val="12"/>
        </w:numPr>
        <w:ind w:left="1276" w:hanging="425"/>
        <w:rPr>
          <w:sz w:val="24"/>
          <w:szCs w:val="24"/>
        </w:rPr>
      </w:pPr>
      <w:r w:rsidRPr="00FC16D0">
        <w:rPr>
          <w:sz w:val="24"/>
          <w:szCs w:val="24"/>
        </w:rPr>
        <w:t xml:space="preserve">Som med andre opioider kan administration af fentanyl føre til forhøjet galdegangstryk og i nogle tilfælde spasmer i </w:t>
      </w:r>
      <w:proofErr w:type="spellStart"/>
      <w:r w:rsidRPr="00FC16D0">
        <w:rPr>
          <w:sz w:val="24"/>
          <w:szCs w:val="24"/>
        </w:rPr>
        <w:t>Sphincter</w:t>
      </w:r>
      <w:proofErr w:type="spellEnd"/>
      <w:r w:rsidRPr="00FC16D0">
        <w:rPr>
          <w:sz w:val="24"/>
          <w:szCs w:val="24"/>
        </w:rPr>
        <w:t xml:space="preserve"> </w:t>
      </w:r>
      <w:proofErr w:type="spellStart"/>
      <w:r w:rsidRPr="00FC16D0">
        <w:rPr>
          <w:sz w:val="24"/>
          <w:szCs w:val="24"/>
        </w:rPr>
        <w:t>Oddi</w:t>
      </w:r>
      <w:proofErr w:type="spellEnd"/>
      <w:r w:rsidRPr="00FC16D0">
        <w:rPr>
          <w:sz w:val="24"/>
          <w:szCs w:val="24"/>
        </w:rPr>
        <w:t xml:space="preserve"> på grund af lægemidlets </w:t>
      </w:r>
      <w:proofErr w:type="spellStart"/>
      <w:r w:rsidRPr="00FC16D0">
        <w:rPr>
          <w:sz w:val="24"/>
          <w:szCs w:val="24"/>
        </w:rPr>
        <w:t>antikolinerge</w:t>
      </w:r>
      <w:proofErr w:type="spellEnd"/>
      <w:r w:rsidRPr="00FC16D0">
        <w:rPr>
          <w:sz w:val="24"/>
          <w:szCs w:val="24"/>
        </w:rPr>
        <w:t xml:space="preserve"> virkning.</w:t>
      </w:r>
    </w:p>
    <w:p w14:paraId="3BA0D7E6" w14:textId="77777777" w:rsidR="0063123D" w:rsidRPr="00FC16D0" w:rsidRDefault="0063123D" w:rsidP="0040485D">
      <w:pPr>
        <w:pStyle w:val="Listeafsnit"/>
        <w:numPr>
          <w:ilvl w:val="0"/>
          <w:numId w:val="12"/>
        </w:numPr>
        <w:ind w:left="1276" w:hanging="425"/>
        <w:rPr>
          <w:sz w:val="24"/>
          <w:szCs w:val="24"/>
        </w:rPr>
      </w:pPr>
      <w:r w:rsidRPr="00FC16D0">
        <w:rPr>
          <w:sz w:val="24"/>
          <w:szCs w:val="24"/>
        </w:rPr>
        <w:t xml:space="preserve">Hos patienter med </w:t>
      </w:r>
      <w:proofErr w:type="spellStart"/>
      <w:r w:rsidRPr="00FC16D0">
        <w:rPr>
          <w:sz w:val="24"/>
          <w:szCs w:val="24"/>
        </w:rPr>
        <w:t>myasthenia</w:t>
      </w:r>
      <w:proofErr w:type="spellEnd"/>
      <w:r w:rsidRPr="00FC16D0">
        <w:rPr>
          <w:sz w:val="24"/>
          <w:szCs w:val="24"/>
        </w:rPr>
        <w:t xml:space="preserve"> </w:t>
      </w:r>
      <w:proofErr w:type="spellStart"/>
      <w:r w:rsidRPr="00FC16D0">
        <w:rPr>
          <w:sz w:val="24"/>
          <w:szCs w:val="24"/>
        </w:rPr>
        <w:t>gravis</w:t>
      </w:r>
      <w:proofErr w:type="spellEnd"/>
      <w:r w:rsidRPr="00FC16D0">
        <w:rPr>
          <w:sz w:val="24"/>
          <w:szCs w:val="24"/>
        </w:rPr>
        <w:t xml:space="preserve"> bør anvendelse af visse </w:t>
      </w:r>
      <w:proofErr w:type="spellStart"/>
      <w:r w:rsidRPr="00FC16D0">
        <w:rPr>
          <w:sz w:val="24"/>
          <w:szCs w:val="24"/>
        </w:rPr>
        <w:t>antikolinerge</w:t>
      </w:r>
      <w:proofErr w:type="spellEnd"/>
      <w:r w:rsidRPr="00FC16D0">
        <w:rPr>
          <w:sz w:val="24"/>
          <w:szCs w:val="24"/>
        </w:rPr>
        <w:t xml:space="preserve"> midler og </w:t>
      </w:r>
      <w:proofErr w:type="spellStart"/>
      <w:r w:rsidRPr="00FC16D0">
        <w:rPr>
          <w:sz w:val="24"/>
          <w:szCs w:val="24"/>
        </w:rPr>
        <w:t>neuromuskulære</w:t>
      </w:r>
      <w:proofErr w:type="spellEnd"/>
      <w:r w:rsidRPr="00FC16D0">
        <w:rPr>
          <w:sz w:val="24"/>
          <w:szCs w:val="24"/>
        </w:rPr>
        <w:t xml:space="preserve"> </w:t>
      </w:r>
      <w:proofErr w:type="spellStart"/>
      <w:r w:rsidRPr="00FC16D0">
        <w:rPr>
          <w:sz w:val="24"/>
          <w:szCs w:val="24"/>
        </w:rPr>
        <w:t>blokkere</w:t>
      </w:r>
      <w:proofErr w:type="spellEnd"/>
      <w:r w:rsidRPr="00FC16D0">
        <w:rPr>
          <w:sz w:val="24"/>
          <w:szCs w:val="24"/>
        </w:rPr>
        <w:t xml:space="preserve"> overvejes nøje før og under administration af generel anæstesi, der omfatter intravenøs administration af fentanyl.</w:t>
      </w:r>
    </w:p>
    <w:p w14:paraId="248761D5" w14:textId="7C5C9C6B" w:rsidR="0063123D" w:rsidRPr="00FC16D0" w:rsidRDefault="0063123D" w:rsidP="0040485D">
      <w:pPr>
        <w:pStyle w:val="Listeafsnit"/>
        <w:numPr>
          <w:ilvl w:val="0"/>
          <w:numId w:val="12"/>
        </w:numPr>
        <w:ind w:left="1276" w:hanging="425"/>
        <w:rPr>
          <w:sz w:val="24"/>
          <w:szCs w:val="24"/>
        </w:rPr>
      </w:pPr>
      <w:r w:rsidRPr="00FC16D0">
        <w:rPr>
          <w:sz w:val="24"/>
          <w:szCs w:val="24"/>
        </w:rPr>
        <w:t xml:space="preserve">Forsigtighed tilrådes, hvis Fentanyl </w:t>
      </w:r>
      <w:r w:rsidR="00FA0940">
        <w:rPr>
          <w:sz w:val="24"/>
          <w:szCs w:val="24"/>
        </w:rPr>
        <w:t>"</w:t>
      </w:r>
      <w:proofErr w:type="spellStart"/>
      <w:r w:rsidR="00FA0940">
        <w:rPr>
          <w:sz w:val="24"/>
          <w:szCs w:val="24"/>
        </w:rPr>
        <w:t>Kalceks</w:t>
      </w:r>
      <w:proofErr w:type="spellEnd"/>
      <w:r w:rsidR="00FA0940">
        <w:rPr>
          <w:sz w:val="24"/>
          <w:szCs w:val="24"/>
        </w:rPr>
        <w:t>"</w:t>
      </w:r>
      <w:r w:rsidRPr="00FC16D0">
        <w:rPr>
          <w:sz w:val="24"/>
          <w:szCs w:val="24"/>
        </w:rPr>
        <w:t xml:space="preserve"> 50 mikrogram/ml administreres sammen med lægemidler, der påvirker den </w:t>
      </w:r>
      <w:proofErr w:type="spellStart"/>
      <w:r w:rsidRPr="00FC16D0">
        <w:rPr>
          <w:sz w:val="24"/>
          <w:szCs w:val="24"/>
        </w:rPr>
        <w:t>serotonerge</w:t>
      </w:r>
      <w:proofErr w:type="spellEnd"/>
      <w:r w:rsidRPr="00FC16D0">
        <w:rPr>
          <w:sz w:val="24"/>
          <w:szCs w:val="24"/>
        </w:rPr>
        <w:t xml:space="preserve"> </w:t>
      </w:r>
      <w:proofErr w:type="spellStart"/>
      <w:r w:rsidRPr="00FC16D0">
        <w:rPr>
          <w:sz w:val="24"/>
          <w:szCs w:val="24"/>
        </w:rPr>
        <w:t>neurotransmission</w:t>
      </w:r>
      <w:proofErr w:type="spellEnd"/>
      <w:r w:rsidRPr="00FC16D0">
        <w:rPr>
          <w:sz w:val="24"/>
          <w:szCs w:val="24"/>
        </w:rPr>
        <w:t>.</w:t>
      </w:r>
    </w:p>
    <w:p w14:paraId="78C0E298" w14:textId="77777777" w:rsidR="0063123D" w:rsidRPr="00FC16D0" w:rsidRDefault="0063123D" w:rsidP="0040485D">
      <w:pPr>
        <w:pStyle w:val="Listeafsnit"/>
        <w:numPr>
          <w:ilvl w:val="0"/>
          <w:numId w:val="12"/>
        </w:numPr>
        <w:ind w:left="1276" w:hanging="425"/>
        <w:rPr>
          <w:sz w:val="24"/>
          <w:szCs w:val="24"/>
        </w:rPr>
      </w:pPr>
      <w:r w:rsidRPr="00FC16D0">
        <w:rPr>
          <w:sz w:val="24"/>
          <w:szCs w:val="24"/>
        </w:rPr>
        <w:t xml:space="preserve">Der kan forekomme udvikling af et potentielt livstruende serotoninsyndrom ved samtidig anvendelse af </w:t>
      </w:r>
      <w:proofErr w:type="spellStart"/>
      <w:r w:rsidRPr="00FC16D0">
        <w:rPr>
          <w:sz w:val="24"/>
          <w:szCs w:val="24"/>
        </w:rPr>
        <w:t>serotonerge</w:t>
      </w:r>
      <w:proofErr w:type="spellEnd"/>
      <w:r w:rsidRPr="00FC16D0">
        <w:rPr>
          <w:sz w:val="24"/>
          <w:szCs w:val="24"/>
        </w:rPr>
        <w:t xml:space="preserve"> lægemidler såsom selektive </w:t>
      </w:r>
      <w:proofErr w:type="spellStart"/>
      <w:r w:rsidRPr="00FC16D0">
        <w:rPr>
          <w:sz w:val="24"/>
          <w:szCs w:val="24"/>
        </w:rPr>
        <w:t>serotoningenoptagshæmmere</w:t>
      </w:r>
      <w:proofErr w:type="spellEnd"/>
      <w:r w:rsidRPr="00FC16D0">
        <w:rPr>
          <w:sz w:val="24"/>
          <w:szCs w:val="24"/>
        </w:rPr>
        <w:t xml:space="preserve"> (SSRI) og serotonin- og </w:t>
      </w:r>
      <w:proofErr w:type="spellStart"/>
      <w:r w:rsidRPr="00FC16D0">
        <w:rPr>
          <w:sz w:val="24"/>
          <w:szCs w:val="24"/>
        </w:rPr>
        <w:t>noradrenalingenoptagshæmmere</w:t>
      </w:r>
      <w:proofErr w:type="spellEnd"/>
      <w:r w:rsidRPr="00FC16D0">
        <w:rPr>
          <w:sz w:val="24"/>
          <w:szCs w:val="24"/>
        </w:rPr>
        <w:t xml:space="preserve"> (SNRI), og ved samtidig anvendelse af lægemidler der nedsætter metabolismen af serotonin – herunder </w:t>
      </w:r>
      <w:proofErr w:type="spellStart"/>
      <w:r w:rsidRPr="00FC16D0">
        <w:rPr>
          <w:sz w:val="24"/>
          <w:szCs w:val="24"/>
        </w:rPr>
        <w:t>monoaminooxidasehæmmere</w:t>
      </w:r>
      <w:proofErr w:type="spellEnd"/>
      <w:r w:rsidRPr="00FC16D0">
        <w:rPr>
          <w:sz w:val="24"/>
          <w:szCs w:val="24"/>
        </w:rPr>
        <w:t xml:space="preserve"> (MAO-</w:t>
      </w:r>
      <w:proofErr w:type="spellStart"/>
      <w:r w:rsidRPr="00FC16D0">
        <w:rPr>
          <w:sz w:val="24"/>
          <w:szCs w:val="24"/>
        </w:rPr>
        <w:t>hæmmere</w:t>
      </w:r>
      <w:proofErr w:type="spellEnd"/>
      <w:r w:rsidRPr="00FC16D0">
        <w:rPr>
          <w:sz w:val="24"/>
          <w:szCs w:val="24"/>
        </w:rPr>
        <w:t>). Dette kan forekomme med de anbefalede doser.</w:t>
      </w:r>
    </w:p>
    <w:p w14:paraId="1AC1E698" w14:textId="2BCE6349" w:rsidR="0063123D" w:rsidRPr="00FC16D0" w:rsidRDefault="0063123D" w:rsidP="00392679">
      <w:pPr>
        <w:pStyle w:val="Listeafsnit"/>
        <w:ind w:left="1276"/>
        <w:rPr>
          <w:sz w:val="24"/>
          <w:szCs w:val="24"/>
        </w:rPr>
      </w:pPr>
      <w:r w:rsidRPr="00FC16D0">
        <w:rPr>
          <w:sz w:val="24"/>
          <w:szCs w:val="24"/>
        </w:rPr>
        <w:t>Serotoninsyndrom kan omfatte ændringer i mental tilstand (</w:t>
      </w:r>
      <w:r w:rsidR="003377B4">
        <w:rPr>
          <w:sz w:val="24"/>
          <w:szCs w:val="24"/>
        </w:rPr>
        <w:t>f.eks.</w:t>
      </w:r>
      <w:r w:rsidRPr="00FC16D0">
        <w:rPr>
          <w:sz w:val="24"/>
          <w:szCs w:val="24"/>
        </w:rPr>
        <w:t xml:space="preserve"> agitation, hallucinationer, koma), autonom ustabilitet (</w:t>
      </w:r>
      <w:r w:rsidR="003377B4">
        <w:rPr>
          <w:sz w:val="24"/>
          <w:szCs w:val="24"/>
        </w:rPr>
        <w:t>f.eks.</w:t>
      </w:r>
      <w:r w:rsidRPr="00FC16D0">
        <w:rPr>
          <w:sz w:val="24"/>
          <w:szCs w:val="24"/>
        </w:rPr>
        <w:t xml:space="preserve"> </w:t>
      </w:r>
      <w:proofErr w:type="spellStart"/>
      <w:r w:rsidRPr="00FC16D0">
        <w:rPr>
          <w:sz w:val="24"/>
          <w:szCs w:val="24"/>
        </w:rPr>
        <w:t>takykardi</w:t>
      </w:r>
      <w:proofErr w:type="spellEnd"/>
      <w:r w:rsidRPr="00FC16D0">
        <w:rPr>
          <w:sz w:val="24"/>
          <w:szCs w:val="24"/>
        </w:rPr>
        <w:t xml:space="preserve">, labilt blodtryk, </w:t>
      </w:r>
      <w:proofErr w:type="spellStart"/>
      <w:r w:rsidRPr="00FC16D0">
        <w:rPr>
          <w:sz w:val="24"/>
          <w:szCs w:val="24"/>
        </w:rPr>
        <w:t>hypertermi</w:t>
      </w:r>
      <w:proofErr w:type="spellEnd"/>
      <w:r w:rsidRPr="00FC16D0">
        <w:rPr>
          <w:sz w:val="24"/>
          <w:szCs w:val="24"/>
        </w:rPr>
        <w:t xml:space="preserve">), </w:t>
      </w:r>
      <w:proofErr w:type="spellStart"/>
      <w:r w:rsidRPr="00FC16D0">
        <w:rPr>
          <w:sz w:val="24"/>
          <w:szCs w:val="24"/>
        </w:rPr>
        <w:t>neuromuskulære</w:t>
      </w:r>
      <w:proofErr w:type="spellEnd"/>
      <w:r w:rsidRPr="00FC16D0">
        <w:rPr>
          <w:sz w:val="24"/>
          <w:szCs w:val="24"/>
        </w:rPr>
        <w:t xml:space="preserve"> forstyrrelser (</w:t>
      </w:r>
      <w:r w:rsidR="003377B4">
        <w:rPr>
          <w:sz w:val="24"/>
          <w:szCs w:val="24"/>
        </w:rPr>
        <w:t>f.eks.</w:t>
      </w:r>
      <w:r w:rsidRPr="00FC16D0">
        <w:rPr>
          <w:sz w:val="24"/>
          <w:szCs w:val="24"/>
        </w:rPr>
        <w:t xml:space="preserve"> </w:t>
      </w:r>
      <w:proofErr w:type="spellStart"/>
      <w:r w:rsidRPr="00FC16D0">
        <w:rPr>
          <w:sz w:val="24"/>
          <w:szCs w:val="24"/>
        </w:rPr>
        <w:t>hyperrefleksi</w:t>
      </w:r>
      <w:proofErr w:type="spellEnd"/>
      <w:r w:rsidRPr="00FC16D0">
        <w:rPr>
          <w:sz w:val="24"/>
          <w:szCs w:val="24"/>
        </w:rPr>
        <w:t xml:space="preserve">, ringe koordination, rigiditet) og/eller </w:t>
      </w:r>
      <w:proofErr w:type="spellStart"/>
      <w:r w:rsidRPr="00FC16D0">
        <w:rPr>
          <w:sz w:val="24"/>
          <w:szCs w:val="24"/>
        </w:rPr>
        <w:t>gastrointestinale</w:t>
      </w:r>
      <w:proofErr w:type="spellEnd"/>
      <w:r w:rsidRPr="00FC16D0">
        <w:rPr>
          <w:sz w:val="24"/>
          <w:szCs w:val="24"/>
        </w:rPr>
        <w:t xml:space="preserve"> symptomer (</w:t>
      </w:r>
      <w:r w:rsidR="003377B4">
        <w:rPr>
          <w:sz w:val="24"/>
          <w:szCs w:val="24"/>
        </w:rPr>
        <w:t>f.eks.</w:t>
      </w:r>
      <w:r w:rsidRPr="00FC16D0">
        <w:rPr>
          <w:sz w:val="24"/>
          <w:szCs w:val="24"/>
        </w:rPr>
        <w:t xml:space="preserve"> kvalme, opkastning, diarré).</w:t>
      </w:r>
    </w:p>
    <w:p w14:paraId="1BB814FC" w14:textId="29A6C4BD" w:rsidR="0063123D" w:rsidRPr="00FC16D0" w:rsidRDefault="0063123D" w:rsidP="00392679">
      <w:pPr>
        <w:pStyle w:val="Listeafsnit"/>
        <w:ind w:left="1276"/>
        <w:rPr>
          <w:sz w:val="24"/>
          <w:szCs w:val="24"/>
        </w:rPr>
      </w:pPr>
      <w:r w:rsidRPr="00FC16D0">
        <w:rPr>
          <w:sz w:val="24"/>
          <w:szCs w:val="24"/>
        </w:rPr>
        <w:t xml:space="preserve">Ved mistanke om serotoninsyndrom bør hurtig </w:t>
      </w:r>
      <w:proofErr w:type="spellStart"/>
      <w:r w:rsidRPr="00FC16D0">
        <w:rPr>
          <w:sz w:val="24"/>
          <w:szCs w:val="24"/>
        </w:rPr>
        <w:t>seponering</w:t>
      </w:r>
      <w:proofErr w:type="spellEnd"/>
      <w:r w:rsidRPr="00FC16D0">
        <w:rPr>
          <w:sz w:val="24"/>
          <w:szCs w:val="24"/>
        </w:rPr>
        <w:t xml:space="preserve"> af behandling med Fentanyl </w:t>
      </w:r>
      <w:r w:rsidR="00FA0940">
        <w:rPr>
          <w:sz w:val="24"/>
          <w:szCs w:val="24"/>
        </w:rPr>
        <w:t>"</w:t>
      </w:r>
      <w:proofErr w:type="spellStart"/>
      <w:r w:rsidR="00FA0940">
        <w:rPr>
          <w:sz w:val="24"/>
          <w:szCs w:val="24"/>
        </w:rPr>
        <w:t>Kalceks</w:t>
      </w:r>
      <w:proofErr w:type="spellEnd"/>
      <w:r w:rsidR="00FA0940">
        <w:rPr>
          <w:sz w:val="24"/>
          <w:szCs w:val="24"/>
        </w:rPr>
        <w:t>"</w:t>
      </w:r>
      <w:r w:rsidRPr="00FC16D0">
        <w:rPr>
          <w:sz w:val="24"/>
          <w:szCs w:val="24"/>
        </w:rPr>
        <w:t xml:space="preserve"> 50 mikrogram/ml overvejes.</w:t>
      </w:r>
    </w:p>
    <w:p w14:paraId="0009D121" w14:textId="77777777" w:rsidR="0063123D" w:rsidRPr="00FC16D0" w:rsidRDefault="0063123D" w:rsidP="0063123D">
      <w:pPr>
        <w:autoSpaceDE w:val="0"/>
        <w:autoSpaceDN w:val="0"/>
        <w:adjustRightInd w:val="0"/>
        <w:rPr>
          <w:sz w:val="24"/>
          <w:szCs w:val="24"/>
        </w:rPr>
      </w:pPr>
    </w:p>
    <w:p w14:paraId="185031E9" w14:textId="77777777" w:rsidR="00383993" w:rsidRPr="00993DFF" w:rsidRDefault="00383993" w:rsidP="00383993">
      <w:pPr>
        <w:ind w:left="851"/>
        <w:rPr>
          <w:sz w:val="24"/>
          <w:szCs w:val="24"/>
          <w:u w:val="single"/>
        </w:rPr>
      </w:pPr>
      <w:r w:rsidRPr="00993DFF">
        <w:rPr>
          <w:sz w:val="24"/>
          <w:szCs w:val="24"/>
          <w:u w:val="single"/>
        </w:rPr>
        <w:t>Tolerans og opioidmisbrug (misbrug og afhængighed)</w:t>
      </w:r>
    </w:p>
    <w:p w14:paraId="5797821F" w14:textId="77777777" w:rsidR="00383993" w:rsidRPr="00FC16D0" w:rsidRDefault="00383993" w:rsidP="00383993">
      <w:pPr>
        <w:ind w:left="851"/>
        <w:rPr>
          <w:sz w:val="24"/>
          <w:szCs w:val="24"/>
        </w:rPr>
      </w:pPr>
      <w:r w:rsidRPr="00FC16D0">
        <w:rPr>
          <w:sz w:val="24"/>
          <w:szCs w:val="24"/>
        </w:rPr>
        <w:t>Der kan udvikles tolerance, fysisk afhængighed og psykisk afhængighed efter gentagen administration af opioider.</w:t>
      </w:r>
    </w:p>
    <w:p w14:paraId="6A67CE3A" w14:textId="77777777" w:rsidR="00383993" w:rsidRDefault="00383993" w:rsidP="00383993">
      <w:pPr>
        <w:ind w:left="851"/>
        <w:rPr>
          <w:sz w:val="24"/>
          <w:szCs w:val="24"/>
        </w:rPr>
      </w:pPr>
      <w:r w:rsidRPr="00C024FC">
        <w:rPr>
          <w:sz w:val="24"/>
          <w:szCs w:val="24"/>
        </w:rPr>
        <w:t>Gentagen brug af opioider kan føre til opioidmisbrug. Misbrug eller forsætlig fejlagtig anvendelse af opioider kan resultere i overdosering og/eller død. Risikoen for at udvikle opioidmisbrug er højere hos patienter med tidligere stofmisbrug (personligt eller hos forældre</w:t>
      </w:r>
      <w:r>
        <w:rPr>
          <w:sz w:val="24"/>
          <w:szCs w:val="24"/>
        </w:rPr>
        <w:t xml:space="preserve"> </w:t>
      </w:r>
      <w:r w:rsidRPr="00C024FC">
        <w:rPr>
          <w:sz w:val="24"/>
          <w:szCs w:val="24"/>
        </w:rPr>
        <w:t>eller søskende) i anamnesen (herunder alkoholmisbrug), hos nuværende tobaksbrugere eller hos patienter med andre psykiske lidelser (personligt) i anamnesen (f.eks. svær depression, angst og personlighedsforstyrrelser).</w:t>
      </w:r>
    </w:p>
    <w:p w14:paraId="2B5D0C31" w14:textId="77777777" w:rsidR="0063123D" w:rsidRPr="00FC16D0" w:rsidRDefault="0063123D" w:rsidP="0040485D">
      <w:pPr>
        <w:ind w:left="851"/>
        <w:rPr>
          <w:sz w:val="24"/>
          <w:szCs w:val="24"/>
        </w:rPr>
      </w:pPr>
    </w:p>
    <w:p w14:paraId="2BA976DD" w14:textId="77777777" w:rsidR="0063123D" w:rsidRPr="00360931" w:rsidRDefault="0063123D" w:rsidP="0040485D">
      <w:pPr>
        <w:ind w:left="851"/>
        <w:rPr>
          <w:sz w:val="24"/>
          <w:szCs w:val="24"/>
          <w:u w:val="single"/>
        </w:rPr>
      </w:pPr>
      <w:r w:rsidRPr="00360931">
        <w:rPr>
          <w:sz w:val="24"/>
          <w:szCs w:val="24"/>
          <w:u w:val="single"/>
        </w:rPr>
        <w:t>Abstinenssyndrom</w:t>
      </w:r>
    </w:p>
    <w:p w14:paraId="1F41C591" w14:textId="77777777" w:rsidR="0063123D" w:rsidRPr="00FC16D0" w:rsidRDefault="0063123D" w:rsidP="0040485D">
      <w:pPr>
        <w:ind w:left="851"/>
        <w:rPr>
          <w:sz w:val="24"/>
          <w:szCs w:val="24"/>
        </w:rPr>
      </w:pPr>
      <w:r w:rsidRPr="00FC16D0">
        <w:rPr>
          <w:sz w:val="24"/>
          <w:szCs w:val="24"/>
        </w:rPr>
        <w:t xml:space="preserve">Gentagen administration med korte intervaller i længere perioder kan medføre udvikling af abstinenssyndrom efter behandlingsophør, hvilket kan manifestere sig i form af følgende bivirkninger: kvalme, opkastning, diarré, angst, kulderystelser, </w:t>
      </w:r>
      <w:proofErr w:type="spellStart"/>
      <w:r w:rsidRPr="00FC16D0">
        <w:rPr>
          <w:sz w:val="24"/>
          <w:szCs w:val="24"/>
        </w:rPr>
        <w:t>tremor</w:t>
      </w:r>
      <w:proofErr w:type="spellEnd"/>
      <w:r w:rsidRPr="00FC16D0">
        <w:rPr>
          <w:sz w:val="24"/>
          <w:szCs w:val="24"/>
        </w:rPr>
        <w:t xml:space="preserve"> og sveden.</w:t>
      </w:r>
    </w:p>
    <w:p w14:paraId="394517E1" w14:textId="77777777" w:rsidR="0063123D" w:rsidRPr="00FC16D0" w:rsidRDefault="0063123D" w:rsidP="0040485D">
      <w:pPr>
        <w:ind w:left="851"/>
        <w:rPr>
          <w:sz w:val="24"/>
          <w:szCs w:val="24"/>
        </w:rPr>
      </w:pPr>
    </w:p>
    <w:p w14:paraId="2AB1E22A" w14:textId="77777777" w:rsidR="0063123D" w:rsidRPr="00FC16D0" w:rsidRDefault="0063123D" w:rsidP="0040485D">
      <w:pPr>
        <w:ind w:left="851"/>
        <w:rPr>
          <w:i/>
          <w:sz w:val="24"/>
          <w:szCs w:val="24"/>
        </w:rPr>
      </w:pPr>
      <w:r w:rsidRPr="00FC16D0">
        <w:rPr>
          <w:i/>
          <w:sz w:val="24"/>
          <w:szCs w:val="24"/>
        </w:rPr>
        <w:t>Pædiatrisk population</w:t>
      </w:r>
    </w:p>
    <w:p w14:paraId="053E2D6B" w14:textId="77777777" w:rsidR="0063123D" w:rsidRPr="00FC16D0" w:rsidRDefault="0063123D" w:rsidP="0040485D">
      <w:pPr>
        <w:ind w:left="851"/>
        <w:rPr>
          <w:sz w:val="24"/>
          <w:szCs w:val="24"/>
        </w:rPr>
      </w:pPr>
      <w:r w:rsidRPr="00FC16D0">
        <w:rPr>
          <w:sz w:val="24"/>
          <w:szCs w:val="24"/>
        </w:rPr>
        <w:t xml:space="preserve">Teknikker, som omfatter analgesi hos børn med spontan vejrtrækning, bør kun anvendes som del af en anæstesiteknik eller gives som del af en sedations-/analgesiteknik af erfarent personale på en afdeling, der kan behandle pludselig muskelrigiditet (der kræver </w:t>
      </w:r>
      <w:proofErr w:type="spellStart"/>
      <w:r w:rsidRPr="00FC16D0">
        <w:rPr>
          <w:sz w:val="24"/>
          <w:szCs w:val="24"/>
        </w:rPr>
        <w:t>intubation</w:t>
      </w:r>
      <w:proofErr w:type="spellEnd"/>
      <w:r w:rsidRPr="00FC16D0">
        <w:rPr>
          <w:sz w:val="24"/>
          <w:szCs w:val="24"/>
        </w:rPr>
        <w:t>) eller apnø (der kræver ventilation).</w:t>
      </w:r>
    </w:p>
    <w:p w14:paraId="3D611246" w14:textId="77777777" w:rsidR="0063123D" w:rsidRPr="00FC16D0" w:rsidRDefault="0063123D" w:rsidP="0040485D">
      <w:pPr>
        <w:ind w:left="851"/>
        <w:rPr>
          <w:sz w:val="24"/>
          <w:szCs w:val="24"/>
        </w:rPr>
      </w:pPr>
    </w:p>
    <w:p w14:paraId="5006EE4E" w14:textId="77777777" w:rsidR="0063123D" w:rsidRPr="00FC16D0" w:rsidRDefault="0063123D" w:rsidP="0040485D">
      <w:pPr>
        <w:ind w:left="851"/>
        <w:rPr>
          <w:i/>
          <w:sz w:val="24"/>
          <w:szCs w:val="24"/>
        </w:rPr>
      </w:pPr>
      <w:r w:rsidRPr="00FC16D0">
        <w:rPr>
          <w:i/>
          <w:sz w:val="24"/>
          <w:szCs w:val="24"/>
        </w:rPr>
        <w:t>Hjælpestoffer</w:t>
      </w:r>
    </w:p>
    <w:p w14:paraId="34F10F3D" w14:textId="77777777" w:rsidR="0063123D" w:rsidRPr="00FC16D0" w:rsidRDefault="0063123D" w:rsidP="0040485D">
      <w:pPr>
        <w:ind w:left="851"/>
        <w:rPr>
          <w:sz w:val="24"/>
          <w:szCs w:val="24"/>
        </w:rPr>
      </w:pPr>
      <w:r w:rsidRPr="00FC16D0">
        <w:rPr>
          <w:sz w:val="24"/>
          <w:szCs w:val="24"/>
        </w:rPr>
        <w:t>Dette lægemiddel indeholder:</w:t>
      </w:r>
    </w:p>
    <w:p w14:paraId="1EE25607" w14:textId="77777777" w:rsidR="0063123D" w:rsidRPr="00FC16D0" w:rsidRDefault="0063123D" w:rsidP="0040485D">
      <w:pPr>
        <w:ind w:left="851"/>
        <w:rPr>
          <w:sz w:val="24"/>
          <w:szCs w:val="24"/>
        </w:rPr>
      </w:pPr>
      <w:r w:rsidRPr="00FC16D0">
        <w:rPr>
          <w:sz w:val="24"/>
          <w:szCs w:val="24"/>
        </w:rPr>
        <w:t>7,08 mg natrium pr. 2 ml ampul, dvs. det er i det væsentlige 'natriumfrit'.</w:t>
      </w:r>
    </w:p>
    <w:p w14:paraId="6C0B0D3A" w14:textId="77777777" w:rsidR="0063123D" w:rsidRPr="00FC16D0" w:rsidRDefault="0063123D" w:rsidP="0040485D">
      <w:pPr>
        <w:ind w:left="851"/>
        <w:rPr>
          <w:sz w:val="24"/>
          <w:szCs w:val="24"/>
        </w:rPr>
      </w:pPr>
      <w:r w:rsidRPr="00FC16D0">
        <w:rPr>
          <w:sz w:val="24"/>
          <w:szCs w:val="24"/>
        </w:rPr>
        <w:t xml:space="preserve">35,41 mg natrium pr. 10 ml ampul, svarende til 1,78 % af </w:t>
      </w:r>
      <w:proofErr w:type="spellStart"/>
      <w:r w:rsidRPr="00FC16D0">
        <w:rPr>
          <w:sz w:val="24"/>
          <w:szCs w:val="24"/>
        </w:rPr>
        <w:t>WHOs</w:t>
      </w:r>
      <w:proofErr w:type="spellEnd"/>
      <w:r w:rsidRPr="00FC16D0">
        <w:rPr>
          <w:sz w:val="24"/>
          <w:szCs w:val="24"/>
        </w:rPr>
        <w:t xml:space="preserve"> anbefalede maksimale daglige indtagelse af 2 g natrium for en voksen.</w:t>
      </w:r>
    </w:p>
    <w:p w14:paraId="62D0504D" w14:textId="27C3BD8A" w:rsidR="003377B4" w:rsidRDefault="003377B4">
      <w:pPr>
        <w:rPr>
          <w:sz w:val="24"/>
          <w:szCs w:val="24"/>
        </w:rPr>
      </w:pPr>
      <w:r>
        <w:rPr>
          <w:sz w:val="24"/>
          <w:szCs w:val="24"/>
        </w:rPr>
        <w:br w:type="page"/>
      </w:r>
    </w:p>
    <w:p w14:paraId="1B4B1EB1" w14:textId="77777777" w:rsidR="009260DE" w:rsidRPr="00FC16D0" w:rsidRDefault="009260DE" w:rsidP="009260DE">
      <w:pPr>
        <w:tabs>
          <w:tab w:val="left" w:pos="851"/>
        </w:tabs>
        <w:ind w:left="851"/>
        <w:rPr>
          <w:sz w:val="24"/>
          <w:szCs w:val="24"/>
        </w:rPr>
      </w:pPr>
    </w:p>
    <w:p w14:paraId="6CA57EE6" w14:textId="77777777" w:rsidR="009260DE" w:rsidRPr="00FC16D0" w:rsidRDefault="009260DE" w:rsidP="009260DE">
      <w:pPr>
        <w:tabs>
          <w:tab w:val="left" w:pos="851"/>
        </w:tabs>
        <w:ind w:left="851" w:hanging="851"/>
        <w:rPr>
          <w:b/>
          <w:sz w:val="24"/>
          <w:szCs w:val="24"/>
        </w:rPr>
      </w:pPr>
      <w:r w:rsidRPr="00FC16D0">
        <w:rPr>
          <w:b/>
          <w:sz w:val="24"/>
          <w:szCs w:val="24"/>
        </w:rPr>
        <w:t>4.5</w:t>
      </w:r>
      <w:r w:rsidRPr="00FC16D0">
        <w:rPr>
          <w:b/>
          <w:sz w:val="24"/>
          <w:szCs w:val="24"/>
        </w:rPr>
        <w:tab/>
        <w:t>Interaktion med andre lægemidler og andre former for interaktion</w:t>
      </w:r>
    </w:p>
    <w:p w14:paraId="5408132D" w14:textId="77777777" w:rsidR="008906D6" w:rsidRDefault="008906D6" w:rsidP="0040485D">
      <w:pPr>
        <w:ind w:left="851"/>
        <w:rPr>
          <w:sz w:val="24"/>
          <w:szCs w:val="24"/>
        </w:rPr>
      </w:pPr>
    </w:p>
    <w:p w14:paraId="07E0FA1E" w14:textId="7359B881" w:rsidR="00642E1C" w:rsidRPr="00360931" w:rsidRDefault="00642E1C" w:rsidP="0040485D">
      <w:pPr>
        <w:ind w:left="851"/>
        <w:rPr>
          <w:i/>
          <w:sz w:val="24"/>
          <w:szCs w:val="24"/>
          <w:lang w:eastAsia="en-GB"/>
        </w:rPr>
      </w:pPr>
      <w:r w:rsidRPr="00360931">
        <w:rPr>
          <w:i/>
          <w:sz w:val="24"/>
          <w:szCs w:val="24"/>
        </w:rPr>
        <w:t>Andre lægemidlers virkning på fentanyl</w:t>
      </w:r>
    </w:p>
    <w:p w14:paraId="5CE7FE44" w14:textId="77777777" w:rsidR="00642E1C" w:rsidRPr="00FC16D0" w:rsidRDefault="00642E1C" w:rsidP="0040485D">
      <w:pPr>
        <w:ind w:left="851"/>
        <w:rPr>
          <w:sz w:val="24"/>
          <w:szCs w:val="24"/>
        </w:rPr>
      </w:pPr>
    </w:p>
    <w:p w14:paraId="4B126316" w14:textId="77777777" w:rsidR="00642E1C" w:rsidRPr="00360931" w:rsidRDefault="00642E1C" w:rsidP="0040485D">
      <w:pPr>
        <w:ind w:left="851"/>
        <w:rPr>
          <w:i/>
          <w:sz w:val="24"/>
          <w:szCs w:val="24"/>
        </w:rPr>
      </w:pPr>
      <w:r w:rsidRPr="00360931">
        <w:rPr>
          <w:i/>
          <w:sz w:val="24"/>
          <w:szCs w:val="24"/>
        </w:rPr>
        <w:t>MAO-</w:t>
      </w:r>
      <w:proofErr w:type="spellStart"/>
      <w:r w:rsidRPr="00360931">
        <w:rPr>
          <w:i/>
          <w:sz w:val="24"/>
          <w:szCs w:val="24"/>
        </w:rPr>
        <w:t>hæmmere</w:t>
      </w:r>
      <w:proofErr w:type="spellEnd"/>
      <w:r w:rsidRPr="00360931">
        <w:rPr>
          <w:i/>
          <w:sz w:val="24"/>
          <w:szCs w:val="24"/>
        </w:rPr>
        <w:t xml:space="preserve"> og andre </w:t>
      </w:r>
      <w:proofErr w:type="spellStart"/>
      <w:r w:rsidRPr="00360931">
        <w:rPr>
          <w:i/>
          <w:sz w:val="24"/>
          <w:szCs w:val="24"/>
        </w:rPr>
        <w:t>serotonergiske</w:t>
      </w:r>
      <w:proofErr w:type="spellEnd"/>
      <w:r w:rsidRPr="00360931">
        <w:rPr>
          <w:i/>
          <w:sz w:val="24"/>
          <w:szCs w:val="24"/>
        </w:rPr>
        <w:t xml:space="preserve"> lægemidler</w:t>
      </w:r>
    </w:p>
    <w:p w14:paraId="1B702633" w14:textId="244F3F87" w:rsidR="00642E1C" w:rsidRPr="00FC16D0" w:rsidRDefault="00642E1C" w:rsidP="0040485D">
      <w:pPr>
        <w:ind w:left="851"/>
        <w:rPr>
          <w:sz w:val="24"/>
          <w:szCs w:val="24"/>
        </w:rPr>
      </w:pPr>
      <w:r w:rsidRPr="00FC16D0">
        <w:rPr>
          <w:sz w:val="24"/>
          <w:szCs w:val="24"/>
        </w:rPr>
        <w:t>Samtidig administration af fentanyl- og MAO-</w:t>
      </w:r>
      <w:proofErr w:type="spellStart"/>
      <w:r w:rsidRPr="00FC16D0">
        <w:rPr>
          <w:sz w:val="24"/>
          <w:szCs w:val="24"/>
        </w:rPr>
        <w:t>hæmmere</w:t>
      </w:r>
      <w:proofErr w:type="spellEnd"/>
      <w:r w:rsidRPr="00FC16D0">
        <w:rPr>
          <w:sz w:val="24"/>
          <w:szCs w:val="24"/>
        </w:rPr>
        <w:t xml:space="preserve"> kan føre til </w:t>
      </w:r>
      <w:proofErr w:type="spellStart"/>
      <w:r w:rsidRPr="00FC16D0">
        <w:rPr>
          <w:sz w:val="24"/>
          <w:szCs w:val="24"/>
        </w:rPr>
        <w:t>paroxysmal</w:t>
      </w:r>
      <w:proofErr w:type="spellEnd"/>
      <w:r w:rsidRPr="00FC16D0">
        <w:rPr>
          <w:sz w:val="24"/>
          <w:szCs w:val="24"/>
        </w:rPr>
        <w:t xml:space="preserve"> CNS-stimulering og hypertension. Samtidig administration skal undgås, og når det er muligt, skal behandlingen med MAO-</w:t>
      </w:r>
      <w:proofErr w:type="spellStart"/>
      <w:r w:rsidRPr="00FC16D0">
        <w:rPr>
          <w:sz w:val="24"/>
          <w:szCs w:val="24"/>
        </w:rPr>
        <w:t>hæmmere</w:t>
      </w:r>
      <w:proofErr w:type="spellEnd"/>
      <w:r w:rsidRPr="00FC16D0">
        <w:rPr>
          <w:sz w:val="24"/>
          <w:szCs w:val="24"/>
        </w:rPr>
        <w:t xml:space="preserve"> seponeres i mindst 2 uger før initiering af behandling med Fentanyl </w:t>
      </w:r>
      <w:r w:rsidR="00FA0940">
        <w:rPr>
          <w:sz w:val="24"/>
          <w:szCs w:val="24"/>
        </w:rPr>
        <w:t>"</w:t>
      </w:r>
      <w:proofErr w:type="spellStart"/>
      <w:r w:rsidR="00FA0940">
        <w:rPr>
          <w:sz w:val="24"/>
          <w:szCs w:val="24"/>
        </w:rPr>
        <w:t>Kalceks</w:t>
      </w:r>
      <w:proofErr w:type="spellEnd"/>
      <w:r w:rsidR="00FA0940">
        <w:rPr>
          <w:sz w:val="24"/>
          <w:szCs w:val="24"/>
        </w:rPr>
        <w:t>"</w:t>
      </w:r>
      <w:r w:rsidRPr="00FC16D0">
        <w:rPr>
          <w:sz w:val="24"/>
          <w:szCs w:val="24"/>
        </w:rPr>
        <w:t xml:space="preserve"> 50 mikrogram/ml.</w:t>
      </w:r>
    </w:p>
    <w:p w14:paraId="387638E3" w14:textId="77777777" w:rsidR="00642E1C" w:rsidRPr="00FC16D0" w:rsidRDefault="00642E1C" w:rsidP="0040485D">
      <w:pPr>
        <w:ind w:left="851"/>
        <w:rPr>
          <w:sz w:val="24"/>
          <w:szCs w:val="24"/>
        </w:rPr>
      </w:pPr>
      <w:r w:rsidRPr="00FC16D0">
        <w:rPr>
          <w:sz w:val="24"/>
          <w:szCs w:val="24"/>
        </w:rPr>
        <w:t xml:space="preserve">Samtidig administration af fentanyl og et </w:t>
      </w:r>
      <w:proofErr w:type="spellStart"/>
      <w:r w:rsidRPr="00FC16D0">
        <w:rPr>
          <w:sz w:val="24"/>
          <w:szCs w:val="24"/>
        </w:rPr>
        <w:t>serotonergt</w:t>
      </w:r>
      <w:proofErr w:type="spellEnd"/>
      <w:r w:rsidRPr="00FC16D0">
        <w:rPr>
          <w:sz w:val="24"/>
          <w:szCs w:val="24"/>
        </w:rPr>
        <w:t xml:space="preserve"> lægemiddel såsom en SSRI, SNRI eller MAO-hæmmer kan øge risikoen for serotoninsyndrom, som er en potentielt livstruende tilstand.</w:t>
      </w:r>
    </w:p>
    <w:p w14:paraId="2A712572" w14:textId="60C18EFC" w:rsidR="00642E1C" w:rsidRPr="00FC16D0" w:rsidRDefault="00642E1C" w:rsidP="0040485D">
      <w:pPr>
        <w:ind w:left="851"/>
        <w:rPr>
          <w:sz w:val="24"/>
          <w:szCs w:val="24"/>
        </w:rPr>
      </w:pPr>
      <w:r w:rsidRPr="00FC16D0">
        <w:rPr>
          <w:sz w:val="24"/>
          <w:szCs w:val="24"/>
        </w:rPr>
        <w:t xml:space="preserve">Hvis samtidig brug af Fentanyl </w:t>
      </w:r>
      <w:r w:rsidR="00FA0940">
        <w:rPr>
          <w:sz w:val="24"/>
          <w:szCs w:val="24"/>
        </w:rPr>
        <w:t>"</w:t>
      </w:r>
      <w:proofErr w:type="spellStart"/>
      <w:r w:rsidR="00FA0940">
        <w:rPr>
          <w:sz w:val="24"/>
          <w:szCs w:val="24"/>
        </w:rPr>
        <w:t>Kalceks</w:t>
      </w:r>
      <w:proofErr w:type="spellEnd"/>
      <w:r w:rsidR="00FA0940">
        <w:rPr>
          <w:sz w:val="24"/>
          <w:szCs w:val="24"/>
        </w:rPr>
        <w:t>"</w:t>
      </w:r>
      <w:r w:rsidRPr="00FC16D0">
        <w:rPr>
          <w:sz w:val="24"/>
          <w:szCs w:val="24"/>
        </w:rPr>
        <w:t xml:space="preserve"> 50 mikrogram/ml med en SSRI, SNRI eller MAO-</w:t>
      </w:r>
      <w:proofErr w:type="spellStart"/>
      <w:r w:rsidRPr="00FC16D0">
        <w:rPr>
          <w:sz w:val="24"/>
          <w:szCs w:val="24"/>
        </w:rPr>
        <w:t>hæmmere</w:t>
      </w:r>
      <w:proofErr w:type="spellEnd"/>
      <w:r w:rsidRPr="00FC16D0">
        <w:rPr>
          <w:sz w:val="24"/>
          <w:szCs w:val="24"/>
        </w:rPr>
        <w:t xml:space="preserve"> ikke kan undgås, skal patienten monitoreres for symptomer på serotoninsyndrom under samtidig brug.</w:t>
      </w:r>
    </w:p>
    <w:p w14:paraId="51B65D1B" w14:textId="77777777" w:rsidR="00642E1C" w:rsidRPr="00FC16D0" w:rsidRDefault="00642E1C" w:rsidP="0040485D">
      <w:pPr>
        <w:ind w:left="851"/>
        <w:rPr>
          <w:sz w:val="24"/>
          <w:szCs w:val="24"/>
        </w:rPr>
      </w:pPr>
    </w:p>
    <w:p w14:paraId="5C1EB4B7" w14:textId="21E4D01B" w:rsidR="00642E1C" w:rsidRPr="00FC16D0" w:rsidRDefault="00383993" w:rsidP="0040485D">
      <w:pPr>
        <w:ind w:left="851"/>
        <w:rPr>
          <w:sz w:val="24"/>
          <w:szCs w:val="24"/>
        </w:rPr>
      </w:pPr>
      <w:r w:rsidRPr="00FC16D0">
        <w:rPr>
          <w:sz w:val="24"/>
          <w:szCs w:val="24"/>
        </w:rPr>
        <w:t xml:space="preserve">Barbiturater, benzodiazepiner, </w:t>
      </w:r>
      <w:proofErr w:type="spellStart"/>
      <w:r w:rsidRPr="00FC16D0">
        <w:rPr>
          <w:sz w:val="24"/>
          <w:szCs w:val="24"/>
        </w:rPr>
        <w:t>neuroleptika</w:t>
      </w:r>
      <w:proofErr w:type="spellEnd"/>
      <w:r w:rsidRPr="00FC16D0">
        <w:rPr>
          <w:sz w:val="24"/>
          <w:szCs w:val="24"/>
        </w:rPr>
        <w:t xml:space="preserve">, </w:t>
      </w:r>
      <w:proofErr w:type="spellStart"/>
      <w:r w:rsidRPr="00FC16D0">
        <w:rPr>
          <w:sz w:val="24"/>
          <w:szCs w:val="24"/>
        </w:rPr>
        <w:t>halogenerede</w:t>
      </w:r>
      <w:proofErr w:type="spellEnd"/>
      <w:r w:rsidRPr="00FC16D0">
        <w:rPr>
          <w:sz w:val="24"/>
          <w:szCs w:val="24"/>
        </w:rPr>
        <w:t xml:space="preserve"> gasser</w:t>
      </w:r>
      <w:r>
        <w:rPr>
          <w:sz w:val="24"/>
          <w:szCs w:val="24"/>
        </w:rPr>
        <w:t>,</w:t>
      </w:r>
      <w:r w:rsidRPr="00FC16D0">
        <w:rPr>
          <w:sz w:val="24"/>
          <w:szCs w:val="24"/>
        </w:rPr>
        <w:t xml:space="preserve"> </w:t>
      </w:r>
      <w:proofErr w:type="spellStart"/>
      <w:r w:rsidRPr="00200699">
        <w:rPr>
          <w:sz w:val="24"/>
          <w:szCs w:val="24"/>
        </w:rPr>
        <w:t>gabapentinoider</w:t>
      </w:r>
      <w:proofErr w:type="spellEnd"/>
      <w:r w:rsidRPr="00200699">
        <w:rPr>
          <w:sz w:val="24"/>
          <w:szCs w:val="24"/>
        </w:rPr>
        <w:t xml:space="preserve"> (</w:t>
      </w:r>
      <w:proofErr w:type="spellStart"/>
      <w:r w:rsidRPr="00200699">
        <w:rPr>
          <w:sz w:val="24"/>
          <w:szCs w:val="24"/>
        </w:rPr>
        <w:t>gabapentin</w:t>
      </w:r>
      <w:proofErr w:type="spellEnd"/>
      <w:r w:rsidRPr="00200699">
        <w:rPr>
          <w:sz w:val="24"/>
          <w:szCs w:val="24"/>
        </w:rPr>
        <w:t xml:space="preserve"> og </w:t>
      </w:r>
      <w:proofErr w:type="spellStart"/>
      <w:r w:rsidRPr="00200699">
        <w:rPr>
          <w:sz w:val="24"/>
          <w:szCs w:val="24"/>
        </w:rPr>
        <w:t>pregabalin</w:t>
      </w:r>
      <w:proofErr w:type="spellEnd"/>
      <w:r w:rsidRPr="00200699">
        <w:rPr>
          <w:sz w:val="24"/>
          <w:szCs w:val="24"/>
        </w:rPr>
        <w:t>)</w:t>
      </w:r>
      <w:r>
        <w:rPr>
          <w:sz w:val="24"/>
          <w:szCs w:val="24"/>
        </w:rPr>
        <w:t xml:space="preserve"> </w:t>
      </w:r>
      <w:r w:rsidRPr="00FC16D0">
        <w:rPr>
          <w:sz w:val="24"/>
          <w:szCs w:val="24"/>
        </w:rPr>
        <w:t>eller andre lægemidler,</w:t>
      </w:r>
      <w:r>
        <w:rPr>
          <w:sz w:val="24"/>
          <w:szCs w:val="24"/>
        </w:rPr>
        <w:t xml:space="preserve"> </w:t>
      </w:r>
      <w:r w:rsidR="00642E1C" w:rsidRPr="00FC16D0">
        <w:rPr>
          <w:sz w:val="24"/>
          <w:szCs w:val="24"/>
        </w:rPr>
        <w:t xml:space="preserve">der udøver en ikke-selektiv depressiv effekt på centralnervesystemet (inklusive alkohol), kan forstærke den </w:t>
      </w:r>
      <w:proofErr w:type="spellStart"/>
      <w:r w:rsidR="00642E1C" w:rsidRPr="00FC16D0">
        <w:rPr>
          <w:sz w:val="24"/>
          <w:szCs w:val="24"/>
        </w:rPr>
        <w:t>respirationsdeppressive</w:t>
      </w:r>
      <w:proofErr w:type="spellEnd"/>
      <w:r w:rsidR="00642E1C" w:rsidRPr="00FC16D0">
        <w:rPr>
          <w:sz w:val="24"/>
          <w:szCs w:val="24"/>
        </w:rPr>
        <w:t xml:space="preserve"> effekt af opioider. Hvis patienten har fået sådanne lægemidler, vil det være nødvendigt med en lavere dosis fentanyl end normalt.</w:t>
      </w:r>
    </w:p>
    <w:p w14:paraId="2107BD81" w14:textId="77777777" w:rsidR="00642E1C" w:rsidRPr="00FC16D0" w:rsidRDefault="00642E1C" w:rsidP="0040485D">
      <w:pPr>
        <w:ind w:left="851"/>
        <w:rPr>
          <w:sz w:val="24"/>
          <w:szCs w:val="24"/>
        </w:rPr>
      </w:pPr>
    </w:p>
    <w:p w14:paraId="40FDBC5B" w14:textId="77777777" w:rsidR="00642E1C" w:rsidRPr="00FC16D0" w:rsidRDefault="00642E1C" w:rsidP="0040485D">
      <w:pPr>
        <w:ind w:left="851"/>
        <w:rPr>
          <w:sz w:val="24"/>
          <w:szCs w:val="24"/>
        </w:rPr>
      </w:pPr>
      <w:r w:rsidRPr="00FC16D0">
        <w:rPr>
          <w:sz w:val="24"/>
          <w:szCs w:val="24"/>
        </w:rPr>
        <w:t xml:space="preserve">Fentanyl er et lægemiddel med høj </w:t>
      </w:r>
      <w:proofErr w:type="spellStart"/>
      <w:r w:rsidRPr="00FC16D0">
        <w:rPr>
          <w:sz w:val="24"/>
          <w:szCs w:val="24"/>
        </w:rPr>
        <w:t>clearance</w:t>
      </w:r>
      <w:proofErr w:type="spellEnd"/>
      <w:r w:rsidRPr="00FC16D0">
        <w:rPr>
          <w:sz w:val="24"/>
          <w:szCs w:val="24"/>
        </w:rPr>
        <w:t xml:space="preserve">, der </w:t>
      </w:r>
      <w:proofErr w:type="spellStart"/>
      <w:r w:rsidRPr="00FC16D0">
        <w:rPr>
          <w:sz w:val="24"/>
          <w:szCs w:val="24"/>
        </w:rPr>
        <w:t>metaboliseres</w:t>
      </w:r>
      <w:proofErr w:type="spellEnd"/>
      <w:r w:rsidRPr="00FC16D0">
        <w:rPr>
          <w:sz w:val="24"/>
          <w:szCs w:val="24"/>
        </w:rPr>
        <w:t xml:space="preserve"> hurtigt og i udstrakt grad via CYP3A4. </w:t>
      </w:r>
      <w:proofErr w:type="spellStart"/>
      <w:r w:rsidRPr="00FC16D0">
        <w:rPr>
          <w:sz w:val="24"/>
          <w:szCs w:val="24"/>
        </w:rPr>
        <w:t>Itraconazol</w:t>
      </w:r>
      <w:proofErr w:type="spellEnd"/>
      <w:r w:rsidRPr="00FC16D0">
        <w:rPr>
          <w:sz w:val="24"/>
          <w:szCs w:val="24"/>
        </w:rPr>
        <w:t xml:space="preserve"> (en potent CYP3A4-hæmmer), som blev givet oralt over 4 dage i en dosis på 200 mg/dag, havde ingen markant virkning på farmakokinetikken af intravenøs fentanyl. Oral </w:t>
      </w:r>
      <w:proofErr w:type="spellStart"/>
      <w:r w:rsidRPr="00FC16D0">
        <w:rPr>
          <w:sz w:val="24"/>
          <w:szCs w:val="24"/>
        </w:rPr>
        <w:t>ritonavir</w:t>
      </w:r>
      <w:proofErr w:type="spellEnd"/>
      <w:r w:rsidRPr="00FC16D0">
        <w:rPr>
          <w:sz w:val="24"/>
          <w:szCs w:val="24"/>
        </w:rPr>
        <w:t xml:space="preserve"> (en af de mest potente CYP3A4-hæmmere) reducerede </w:t>
      </w:r>
      <w:proofErr w:type="spellStart"/>
      <w:r w:rsidRPr="00FC16D0">
        <w:rPr>
          <w:sz w:val="24"/>
          <w:szCs w:val="24"/>
        </w:rPr>
        <w:t>clearancen</w:t>
      </w:r>
      <w:proofErr w:type="spellEnd"/>
      <w:r w:rsidRPr="00FC16D0">
        <w:rPr>
          <w:sz w:val="24"/>
          <w:szCs w:val="24"/>
        </w:rPr>
        <w:t xml:space="preserve"> af intravenøst administreret fentanyl med to tredjedele; den maksimale plasmakoncentration blev dog ikke påvirket efter en enkelt dosis intravenøst administreret fentanyl.</w:t>
      </w:r>
    </w:p>
    <w:p w14:paraId="612FB544" w14:textId="77777777" w:rsidR="00642E1C" w:rsidRPr="00FC16D0" w:rsidRDefault="00642E1C" w:rsidP="0040485D">
      <w:pPr>
        <w:ind w:left="851"/>
        <w:rPr>
          <w:sz w:val="24"/>
          <w:szCs w:val="24"/>
        </w:rPr>
      </w:pPr>
    </w:p>
    <w:p w14:paraId="7E49D31B" w14:textId="77777777" w:rsidR="00642E1C" w:rsidRPr="00FC16D0" w:rsidRDefault="00642E1C" w:rsidP="0040485D">
      <w:pPr>
        <w:ind w:left="851"/>
        <w:rPr>
          <w:sz w:val="24"/>
          <w:szCs w:val="24"/>
        </w:rPr>
      </w:pPr>
      <w:r w:rsidRPr="00FC16D0">
        <w:rPr>
          <w:sz w:val="24"/>
          <w:szCs w:val="24"/>
        </w:rPr>
        <w:t xml:space="preserve">Samtidig administration af </w:t>
      </w:r>
      <w:proofErr w:type="spellStart"/>
      <w:r w:rsidRPr="00FC16D0">
        <w:rPr>
          <w:sz w:val="24"/>
          <w:szCs w:val="24"/>
        </w:rPr>
        <w:t>fluconazol</w:t>
      </w:r>
      <w:proofErr w:type="spellEnd"/>
      <w:r w:rsidRPr="00FC16D0">
        <w:rPr>
          <w:sz w:val="24"/>
          <w:szCs w:val="24"/>
        </w:rPr>
        <w:t xml:space="preserve"> eller </w:t>
      </w:r>
      <w:proofErr w:type="spellStart"/>
      <w:r w:rsidRPr="00FC16D0">
        <w:rPr>
          <w:sz w:val="24"/>
          <w:szCs w:val="24"/>
        </w:rPr>
        <w:t>voriconazol</w:t>
      </w:r>
      <w:proofErr w:type="spellEnd"/>
      <w:r w:rsidRPr="00FC16D0">
        <w:rPr>
          <w:sz w:val="24"/>
          <w:szCs w:val="24"/>
        </w:rPr>
        <w:t xml:space="preserve"> og fentanyl kan øge eksponeringen for fentanyl med ca. 25 til 40 %. Under samtidig brug af </w:t>
      </w:r>
      <w:proofErr w:type="spellStart"/>
      <w:r w:rsidRPr="00FC16D0">
        <w:rPr>
          <w:sz w:val="24"/>
          <w:szCs w:val="24"/>
        </w:rPr>
        <w:t>fluconazol</w:t>
      </w:r>
      <w:proofErr w:type="spellEnd"/>
      <w:r w:rsidRPr="00FC16D0">
        <w:rPr>
          <w:sz w:val="24"/>
          <w:szCs w:val="24"/>
        </w:rPr>
        <w:t xml:space="preserve"> eller </w:t>
      </w:r>
      <w:proofErr w:type="spellStart"/>
      <w:r w:rsidRPr="00FC16D0">
        <w:rPr>
          <w:sz w:val="24"/>
          <w:szCs w:val="24"/>
        </w:rPr>
        <w:t>voriconazol</w:t>
      </w:r>
      <w:proofErr w:type="spellEnd"/>
      <w:r w:rsidRPr="00FC16D0">
        <w:rPr>
          <w:sz w:val="24"/>
          <w:szCs w:val="24"/>
        </w:rPr>
        <w:t xml:space="preserve"> og fentanyl skal patienter monitoreres nøje og fentanyl-dosis skal justeres efter behov.</w:t>
      </w:r>
    </w:p>
    <w:p w14:paraId="7134B81A" w14:textId="77777777" w:rsidR="00642E1C" w:rsidRPr="00FC16D0" w:rsidRDefault="00642E1C" w:rsidP="0040485D">
      <w:pPr>
        <w:ind w:left="851"/>
        <w:rPr>
          <w:sz w:val="24"/>
          <w:szCs w:val="24"/>
        </w:rPr>
      </w:pPr>
    </w:p>
    <w:p w14:paraId="0E87C30C" w14:textId="77777777" w:rsidR="00642E1C" w:rsidRPr="00FC16D0" w:rsidRDefault="00642E1C" w:rsidP="0040485D">
      <w:pPr>
        <w:ind w:left="851"/>
        <w:rPr>
          <w:sz w:val="24"/>
          <w:szCs w:val="24"/>
        </w:rPr>
      </w:pPr>
      <w:r w:rsidRPr="00FC16D0">
        <w:rPr>
          <w:sz w:val="24"/>
          <w:szCs w:val="24"/>
        </w:rPr>
        <w:t xml:space="preserve">Når fentanyl administreres som enkeltdosis, er det nødvendigt med særlig varetagelse og observation af patienten ved samtidig brug af potente CYP3A4-hæmmere, såsom </w:t>
      </w:r>
      <w:proofErr w:type="spellStart"/>
      <w:r w:rsidRPr="00FC16D0">
        <w:rPr>
          <w:sz w:val="24"/>
          <w:szCs w:val="24"/>
        </w:rPr>
        <w:t>ritonavir</w:t>
      </w:r>
      <w:proofErr w:type="spellEnd"/>
      <w:r w:rsidRPr="00FC16D0">
        <w:rPr>
          <w:sz w:val="24"/>
          <w:szCs w:val="24"/>
        </w:rPr>
        <w:t>. Ved kontinuerlig administration kan det være nødvendigt at reducere fentanyl-dosis for at forhindre akkumulering af fentanyl, hvilket kan føre til en øget risiko for langvarig eller forsinket respirationsdepression.</w:t>
      </w:r>
    </w:p>
    <w:p w14:paraId="095251BE" w14:textId="77777777" w:rsidR="00642E1C" w:rsidRPr="00FC16D0" w:rsidRDefault="00642E1C" w:rsidP="0040485D">
      <w:pPr>
        <w:ind w:left="851"/>
        <w:rPr>
          <w:sz w:val="24"/>
          <w:szCs w:val="24"/>
        </w:rPr>
      </w:pPr>
    </w:p>
    <w:p w14:paraId="3616AA36" w14:textId="77777777" w:rsidR="00642E1C" w:rsidRPr="00360931" w:rsidRDefault="00642E1C" w:rsidP="0040485D">
      <w:pPr>
        <w:ind w:left="851"/>
        <w:rPr>
          <w:i/>
          <w:sz w:val="24"/>
          <w:szCs w:val="24"/>
        </w:rPr>
      </w:pPr>
      <w:proofErr w:type="spellStart"/>
      <w:r w:rsidRPr="00360931">
        <w:rPr>
          <w:i/>
          <w:sz w:val="24"/>
          <w:szCs w:val="24"/>
        </w:rPr>
        <w:t>Cytochrome</w:t>
      </w:r>
      <w:proofErr w:type="spellEnd"/>
      <w:r w:rsidRPr="00360931">
        <w:rPr>
          <w:i/>
          <w:sz w:val="24"/>
          <w:szCs w:val="24"/>
        </w:rPr>
        <w:t xml:space="preserve"> P450 3A4 (CYP3A</w:t>
      </w:r>
      <w:proofErr w:type="gramStart"/>
      <w:r w:rsidRPr="00360931">
        <w:rPr>
          <w:i/>
          <w:sz w:val="24"/>
          <w:szCs w:val="24"/>
        </w:rPr>
        <w:t>4)-</w:t>
      </w:r>
      <w:proofErr w:type="gramEnd"/>
      <w:r w:rsidRPr="00360931">
        <w:rPr>
          <w:i/>
          <w:sz w:val="24"/>
          <w:szCs w:val="24"/>
        </w:rPr>
        <w:t>induktorer</w:t>
      </w:r>
    </w:p>
    <w:p w14:paraId="1E8C9856" w14:textId="55E01DB8" w:rsidR="00642E1C" w:rsidRPr="00FC16D0" w:rsidRDefault="00642E1C" w:rsidP="0040485D">
      <w:pPr>
        <w:ind w:left="851"/>
        <w:rPr>
          <w:sz w:val="24"/>
          <w:szCs w:val="24"/>
        </w:rPr>
      </w:pPr>
      <w:r w:rsidRPr="00FC16D0">
        <w:rPr>
          <w:sz w:val="24"/>
          <w:szCs w:val="24"/>
        </w:rPr>
        <w:t>Fentanyl-injektion sammen med stærke CYP3A4-inducere (</w:t>
      </w:r>
      <w:r w:rsidR="003377B4">
        <w:rPr>
          <w:sz w:val="24"/>
          <w:szCs w:val="24"/>
        </w:rPr>
        <w:t>f.eks.</w:t>
      </w:r>
      <w:r w:rsidRPr="00FC16D0">
        <w:rPr>
          <w:sz w:val="24"/>
          <w:szCs w:val="24"/>
        </w:rPr>
        <w:t xml:space="preserve"> </w:t>
      </w:r>
      <w:proofErr w:type="spellStart"/>
      <w:r w:rsidRPr="00FC16D0">
        <w:rPr>
          <w:sz w:val="24"/>
          <w:szCs w:val="24"/>
        </w:rPr>
        <w:t>carbamazepin</w:t>
      </w:r>
      <w:proofErr w:type="spellEnd"/>
      <w:r w:rsidRPr="00FC16D0">
        <w:rPr>
          <w:sz w:val="24"/>
          <w:szCs w:val="24"/>
        </w:rPr>
        <w:t xml:space="preserve">, </w:t>
      </w:r>
      <w:proofErr w:type="spellStart"/>
      <w:r w:rsidRPr="00FC16D0">
        <w:rPr>
          <w:sz w:val="24"/>
          <w:szCs w:val="24"/>
        </w:rPr>
        <w:t>phenytoin</w:t>
      </w:r>
      <w:proofErr w:type="spellEnd"/>
      <w:r w:rsidRPr="00FC16D0">
        <w:rPr>
          <w:sz w:val="24"/>
          <w:szCs w:val="24"/>
        </w:rPr>
        <w:t>) kan sænke fentanyls plasmakoncentrationer og dermed reducere dets virkning. Patienten skal monitoreres nøje for tegn på nedsat smertestillende virkning, hvis fentanyl anvendes sammen med en stærk CYP3A4-inducer. Forøgelse af fentanyl-dosis bør også overvejes om nødvendigt.</w:t>
      </w:r>
    </w:p>
    <w:p w14:paraId="12BCCFFF" w14:textId="77777777" w:rsidR="00642E1C" w:rsidRPr="00FC16D0" w:rsidRDefault="00642E1C" w:rsidP="0040485D">
      <w:pPr>
        <w:ind w:left="851"/>
        <w:rPr>
          <w:sz w:val="24"/>
          <w:szCs w:val="24"/>
        </w:rPr>
      </w:pPr>
    </w:p>
    <w:p w14:paraId="70841850" w14:textId="77777777" w:rsidR="00642E1C" w:rsidRPr="00360931" w:rsidRDefault="00642E1C" w:rsidP="0040485D">
      <w:pPr>
        <w:ind w:left="851"/>
        <w:rPr>
          <w:i/>
          <w:sz w:val="24"/>
          <w:szCs w:val="24"/>
        </w:rPr>
      </w:pPr>
      <w:r w:rsidRPr="00360931">
        <w:rPr>
          <w:i/>
          <w:sz w:val="24"/>
          <w:szCs w:val="24"/>
        </w:rPr>
        <w:t>Fentanyls virkning på andre lægemidler</w:t>
      </w:r>
    </w:p>
    <w:p w14:paraId="16A5BB7D" w14:textId="6D80FDDD" w:rsidR="00642E1C" w:rsidRPr="00FC16D0" w:rsidRDefault="00642E1C" w:rsidP="0040485D">
      <w:pPr>
        <w:ind w:left="851"/>
        <w:rPr>
          <w:sz w:val="24"/>
          <w:szCs w:val="24"/>
        </w:rPr>
      </w:pPr>
      <w:r w:rsidRPr="00FC16D0">
        <w:rPr>
          <w:sz w:val="24"/>
          <w:szCs w:val="24"/>
        </w:rPr>
        <w:t xml:space="preserve">Samtidig brug af andre lægemidler med en </w:t>
      </w:r>
      <w:proofErr w:type="spellStart"/>
      <w:r w:rsidRPr="00FC16D0">
        <w:rPr>
          <w:sz w:val="24"/>
          <w:szCs w:val="24"/>
        </w:rPr>
        <w:t>deppressiv</w:t>
      </w:r>
      <w:proofErr w:type="spellEnd"/>
      <w:r w:rsidRPr="00FC16D0">
        <w:rPr>
          <w:sz w:val="24"/>
          <w:szCs w:val="24"/>
        </w:rPr>
        <w:t xml:space="preserve"> effekt på centralnervesystemet, inklusive opioider, sedativer, </w:t>
      </w:r>
      <w:proofErr w:type="spellStart"/>
      <w:r w:rsidRPr="00FC16D0">
        <w:rPr>
          <w:sz w:val="24"/>
          <w:szCs w:val="24"/>
        </w:rPr>
        <w:t>hypnotika</w:t>
      </w:r>
      <w:proofErr w:type="spellEnd"/>
      <w:r w:rsidRPr="00FC16D0">
        <w:rPr>
          <w:sz w:val="24"/>
          <w:szCs w:val="24"/>
        </w:rPr>
        <w:t xml:space="preserve">, midler til generel anæstesi, </w:t>
      </w:r>
      <w:proofErr w:type="spellStart"/>
      <w:r w:rsidRPr="00FC16D0">
        <w:rPr>
          <w:sz w:val="24"/>
          <w:szCs w:val="24"/>
        </w:rPr>
        <w:t>phenothiaziner</w:t>
      </w:r>
      <w:proofErr w:type="spellEnd"/>
      <w:r w:rsidRPr="00FC16D0">
        <w:rPr>
          <w:sz w:val="24"/>
          <w:szCs w:val="24"/>
        </w:rPr>
        <w:t xml:space="preserve">, beroligende midler, </w:t>
      </w:r>
      <w:proofErr w:type="spellStart"/>
      <w:r w:rsidRPr="00FC16D0">
        <w:rPr>
          <w:sz w:val="24"/>
          <w:szCs w:val="24"/>
        </w:rPr>
        <w:t>muskelrelaxantia</w:t>
      </w:r>
      <w:proofErr w:type="spellEnd"/>
      <w:r w:rsidRPr="00FC16D0">
        <w:rPr>
          <w:sz w:val="24"/>
          <w:szCs w:val="24"/>
        </w:rPr>
        <w:t xml:space="preserve">, sløvende antihistaminer og alkoholiske drikkevarer, kan </w:t>
      </w:r>
      <w:r w:rsidRPr="00FC16D0">
        <w:rPr>
          <w:sz w:val="24"/>
          <w:szCs w:val="24"/>
        </w:rPr>
        <w:lastRenderedPageBreak/>
        <w:t xml:space="preserve">have en additiv depressiv virkning; </w:t>
      </w:r>
      <w:proofErr w:type="spellStart"/>
      <w:r w:rsidRPr="00FC16D0">
        <w:rPr>
          <w:sz w:val="24"/>
          <w:szCs w:val="24"/>
        </w:rPr>
        <w:t>hypoventilation</w:t>
      </w:r>
      <w:proofErr w:type="spellEnd"/>
      <w:r w:rsidRPr="00FC16D0">
        <w:rPr>
          <w:sz w:val="24"/>
          <w:szCs w:val="24"/>
        </w:rPr>
        <w:t>, hypotension og dyb sedation eller koma kan forekomme i sådanne tilfælde. Samtidig brug af fentanyl med et af de ovennævnte midler kræver derfor særlig omhu og observation af patienten.</w:t>
      </w:r>
    </w:p>
    <w:p w14:paraId="6F1658CA" w14:textId="77777777" w:rsidR="00642E1C" w:rsidRPr="00FC16D0" w:rsidRDefault="00642E1C" w:rsidP="0040485D">
      <w:pPr>
        <w:ind w:left="851"/>
        <w:rPr>
          <w:sz w:val="24"/>
          <w:szCs w:val="24"/>
        </w:rPr>
      </w:pPr>
    </w:p>
    <w:p w14:paraId="475927EE" w14:textId="77777777" w:rsidR="00642E1C" w:rsidRPr="00FC16D0" w:rsidRDefault="00642E1C" w:rsidP="0040485D">
      <w:pPr>
        <w:ind w:left="851"/>
        <w:rPr>
          <w:sz w:val="24"/>
          <w:szCs w:val="24"/>
        </w:rPr>
      </w:pPr>
      <w:r w:rsidRPr="00FC16D0">
        <w:rPr>
          <w:sz w:val="24"/>
          <w:szCs w:val="24"/>
        </w:rPr>
        <w:t xml:space="preserve">Plasmakoncentrationen af </w:t>
      </w:r>
      <w:proofErr w:type="spellStart"/>
      <w:r w:rsidRPr="00FC16D0">
        <w:rPr>
          <w:sz w:val="24"/>
          <w:szCs w:val="24"/>
        </w:rPr>
        <w:t>etomidat</w:t>
      </w:r>
      <w:proofErr w:type="spellEnd"/>
      <w:r w:rsidRPr="00FC16D0">
        <w:rPr>
          <w:sz w:val="24"/>
          <w:szCs w:val="24"/>
        </w:rPr>
        <w:t xml:space="preserve"> forøges betydeligt (med faktor 2-3), hvis lægemidlet gives samtidigt med fentanyl. </w:t>
      </w:r>
      <w:proofErr w:type="spellStart"/>
      <w:r w:rsidRPr="00FC16D0">
        <w:rPr>
          <w:sz w:val="24"/>
          <w:szCs w:val="24"/>
        </w:rPr>
        <w:t>Etomidats</w:t>
      </w:r>
      <w:proofErr w:type="spellEnd"/>
      <w:r w:rsidRPr="00FC16D0">
        <w:rPr>
          <w:sz w:val="24"/>
          <w:szCs w:val="24"/>
        </w:rPr>
        <w:t xml:space="preserve"> samlede </w:t>
      </w:r>
      <w:proofErr w:type="spellStart"/>
      <w:r w:rsidRPr="00FC16D0">
        <w:rPr>
          <w:sz w:val="24"/>
          <w:szCs w:val="24"/>
        </w:rPr>
        <w:t>plasmaclearance</w:t>
      </w:r>
      <w:proofErr w:type="spellEnd"/>
      <w:r w:rsidRPr="00FC16D0">
        <w:rPr>
          <w:sz w:val="24"/>
          <w:szCs w:val="24"/>
        </w:rPr>
        <w:t xml:space="preserve"> og fordelingsvolumen mindskes med faktor 2-3 ved samtidig indgift af fentanyl; elimineringshalveringstiden forandrer sig ikke.</w:t>
      </w:r>
    </w:p>
    <w:p w14:paraId="425DBAB0" w14:textId="77777777" w:rsidR="00642E1C" w:rsidRPr="00FC16D0" w:rsidRDefault="00642E1C" w:rsidP="0040485D">
      <w:pPr>
        <w:ind w:left="851"/>
        <w:rPr>
          <w:sz w:val="24"/>
          <w:szCs w:val="24"/>
        </w:rPr>
      </w:pPr>
    </w:p>
    <w:p w14:paraId="20CFDAFD" w14:textId="77777777" w:rsidR="00642E1C" w:rsidRPr="00FC16D0" w:rsidRDefault="00642E1C" w:rsidP="0040485D">
      <w:pPr>
        <w:ind w:left="851"/>
        <w:rPr>
          <w:sz w:val="24"/>
          <w:szCs w:val="24"/>
        </w:rPr>
      </w:pPr>
      <w:r w:rsidRPr="00FC16D0">
        <w:rPr>
          <w:sz w:val="24"/>
          <w:szCs w:val="24"/>
        </w:rPr>
        <w:t xml:space="preserve">Samtidig anvendelse af fentanyl og intravenøst administreret </w:t>
      </w:r>
      <w:proofErr w:type="spellStart"/>
      <w:r w:rsidRPr="00FC16D0">
        <w:rPr>
          <w:sz w:val="24"/>
          <w:szCs w:val="24"/>
        </w:rPr>
        <w:t>midazolam</w:t>
      </w:r>
      <w:proofErr w:type="spellEnd"/>
      <w:r w:rsidRPr="00FC16D0">
        <w:rPr>
          <w:sz w:val="24"/>
          <w:szCs w:val="24"/>
        </w:rPr>
        <w:t xml:space="preserve"> resulterer i en forlængelse af den terminale plasmahalveringstid og et fald af </w:t>
      </w:r>
      <w:proofErr w:type="spellStart"/>
      <w:r w:rsidRPr="00FC16D0">
        <w:rPr>
          <w:sz w:val="24"/>
          <w:szCs w:val="24"/>
        </w:rPr>
        <w:t>midazolams</w:t>
      </w:r>
      <w:proofErr w:type="spellEnd"/>
      <w:r w:rsidRPr="00FC16D0">
        <w:rPr>
          <w:sz w:val="24"/>
          <w:szCs w:val="24"/>
        </w:rPr>
        <w:t xml:space="preserve"> </w:t>
      </w:r>
      <w:proofErr w:type="spellStart"/>
      <w:r w:rsidRPr="00FC16D0">
        <w:rPr>
          <w:sz w:val="24"/>
          <w:szCs w:val="24"/>
        </w:rPr>
        <w:t>plasmaclearance</w:t>
      </w:r>
      <w:proofErr w:type="spellEnd"/>
      <w:r w:rsidRPr="00FC16D0">
        <w:rPr>
          <w:sz w:val="24"/>
          <w:szCs w:val="24"/>
        </w:rPr>
        <w:t xml:space="preserve">. Eksponeringen for </w:t>
      </w:r>
      <w:proofErr w:type="spellStart"/>
      <w:r w:rsidRPr="00FC16D0">
        <w:rPr>
          <w:sz w:val="24"/>
          <w:szCs w:val="24"/>
        </w:rPr>
        <w:t>midazolam</w:t>
      </w:r>
      <w:proofErr w:type="spellEnd"/>
      <w:r w:rsidRPr="00FC16D0">
        <w:rPr>
          <w:sz w:val="24"/>
          <w:szCs w:val="24"/>
        </w:rPr>
        <w:t xml:space="preserve"> øges med ca. 50 %. Interaktionsmekanismen er </w:t>
      </w:r>
      <w:proofErr w:type="spellStart"/>
      <w:r w:rsidRPr="00FC16D0">
        <w:rPr>
          <w:sz w:val="24"/>
          <w:szCs w:val="24"/>
        </w:rPr>
        <w:t>kompetitiv</w:t>
      </w:r>
      <w:proofErr w:type="spellEnd"/>
      <w:r w:rsidRPr="00FC16D0">
        <w:rPr>
          <w:sz w:val="24"/>
          <w:szCs w:val="24"/>
        </w:rPr>
        <w:t xml:space="preserve"> hæmning af CYP3A4 (se pkt. 5.2). Når </w:t>
      </w:r>
      <w:proofErr w:type="spellStart"/>
      <w:r w:rsidRPr="00FC16D0">
        <w:rPr>
          <w:sz w:val="24"/>
          <w:szCs w:val="24"/>
        </w:rPr>
        <w:t>midazolam</w:t>
      </w:r>
      <w:proofErr w:type="spellEnd"/>
      <w:r w:rsidRPr="00FC16D0">
        <w:rPr>
          <w:sz w:val="24"/>
          <w:szCs w:val="24"/>
        </w:rPr>
        <w:t xml:space="preserve"> administreres samtidig med fentanyl, skal </w:t>
      </w:r>
      <w:proofErr w:type="spellStart"/>
      <w:r w:rsidRPr="00FC16D0">
        <w:rPr>
          <w:sz w:val="24"/>
          <w:szCs w:val="24"/>
        </w:rPr>
        <w:t>midazolamdosis</w:t>
      </w:r>
      <w:proofErr w:type="spellEnd"/>
      <w:r w:rsidRPr="00FC16D0">
        <w:rPr>
          <w:sz w:val="24"/>
          <w:szCs w:val="24"/>
        </w:rPr>
        <w:t xml:space="preserve"> eventuelt reduceres.</w:t>
      </w:r>
    </w:p>
    <w:p w14:paraId="03224329" w14:textId="77777777" w:rsidR="009260DE" w:rsidRPr="00FC16D0" w:rsidRDefault="009260DE" w:rsidP="009260DE">
      <w:pPr>
        <w:tabs>
          <w:tab w:val="left" w:pos="851"/>
        </w:tabs>
        <w:ind w:left="851"/>
        <w:rPr>
          <w:sz w:val="24"/>
          <w:szCs w:val="24"/>
        </w:rPr>
      </w:pPr>
    </w:p>
    <w:p w14:paraId="5506CF55" w14:textId="77777777" w:rsidR="00844F82" w:rsidRPr="00C84483" w:rsidRDefault="00844F82" w:rsidP="00844F82">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0ECDFF35" w14:textId="77777777" w:rsidR="00642E1C" w:rsidRPr="00FC16D0" w:rsidRDefault="00642E1C" w:rsidP="00642E1C">
      <w:pPr>
        <w:rPr>
          <w:sz w:val="24"/>
          <w:szCs w:val="24"/>
          <w:u w:val="single"/>
          <w:lang w:eastAsia="en-GB"/>
        </w:rPr>
      </w:pPr>
    </w:p>
    <w:p w14:paraId="0FC45D9D" w14:textId="77777777" w:rsidR="00642E1C" w:rsidRPr="008906D6" w:rsidRDefault="00642E1C" w:rsidP="0040485D">
      <w:pPr>
        <w:ind w:left="851"/>
        <w:rPr>
          <w:sz w:val="24"/>
          <w:szCs w:val="24"/>
          <w:u w:val="single"/>
        </w:rPr>
      </w:pPr>
      <w:r w:rsidRPr="008906D6">
        <w:rPr>
          <w:sz w:val="24"/>
          <w:szCs w:val="24"/>
          <w:u w:val="single"/>
        </w:rPr>
        <w:t>Graviditet</w:t>
      </w:r>
    </w:p>
    <w:p w14:paraId="7B47FCD7" w14:textId="4FFCEA3D" w:rsidR="00642E1C" w:rsidRPr="00FC16D0" w:rsidRDefault="00642E1C" w:rsidP="0040485D">
      <w:pPr>
        <w:ind w:left="851"/>
        <w:rPr>
          <w:sz w:val="24"/>
          <w:szCs w:val="24"/>
        </w:rPr>
      </w:pPr>
      <w:r w:rsidRPr="00FC16D0">
        <w:rPr>
          <w:sz w:val="24"/>
          <w:szCs w:val="24"/>
        </w:rPr>
        <w:t xml:space="preserve">Der er utilstrækkelige data fra anvendelse af Fentanyl </w:t>
      </w:r>
      <w:r w:rsidR="00FA0940">
        <w:rPr>
          <w:sz w:val="24"/>
          <w:szCs w:val="24"/>
        </w:rPr>
        <w:t>"</w:t>
      </w:r>
      <w:proofErr w:type="spellStart"/>
      <w:r w:rsidR="00FA0940">
        <w:rPr>
          <w:sz w:val="24"/>
          <w:szCs w:val="24"/>
        </w:rPr>
        <w:t>Kalceks</w:t>
      </w:r>
      <w:proofErr w:type="spellEnd"/>
      <w:r w:rsidR="00FA0940">
        <w:rPr>
          <w:sz w:val="24"/>
          <w:szCs w:val="24"/>
        </w:rPr>
        <w:t>"</w:t>
      </w:r>
      <w:r w:rsidRPr="00FC16D0">
        <w:rPr>
          <w:sz w:val="24"/>
          <w:szCs w:val="24"/>
        </w:rPr>
        <w:t xml:space="preserve"> 50 mikrogram/ml under graviditet til at kunne vurdere den potentielle risiko for skade på mennesker. Fentanyl kan passere placenta i den tidlige graviditet og under fødslen. Der er kun set begrænset evidens på reproduktionstoksicitet i dyreforsøg (se pkt. 5.3). Den potentielle risiko for mennesker er ukendt. Fentanyl bør kun anvendes på tvingende indikation under graviditet.</w:t>
      </w:r>
    </w:p>
    <w:p w14:paraId="13BBB5C6" w14:textId="77777777" w:rsidR="00642E1C" w:rsidRPr="00FC16D0" w:rsidRDefault="00642E1C" w:rsidP="0040485D">
      <w:pPr>
        <w:ind w:left="851"/>
        <w:rPr>
          <w:sz w:val="24"/>
          <w:szCs w:val="24"/>
        </w:rPr>
      </w:pPr>
    </w:p>
    <w:p w14:paraId="2339358A" w14:textId="77777777" w:rsidR="00642E1C" w:rsidRPr="00FC16D0" w:rsidRDefault="00642E1C" w:rsidP="0040485D">
      <w:pPr>
        <w:ind w:left="851"/>
        <w:rPr>
          <w:sz w:val="24"/>
          <w:szCs w:val="24"/>
        </w:rPr>
      </w:pPr>
      <w:r w:rsidRPr="00FC16D0">
        <w:rPr>
          <w:sz w:val="24"/>
          <w:szCs w:val="24"/>
        </w:rPr>
        <w:t>Det frarådes at anvende fentanyl under fødsel (inklusive kejsersnit), da fentanyl passerer placenta og muligvis kan undertrykke spontan respiration hos den nyfødte umiddelbart efter fødslen. Hvis fentanyl anvendes, skal udstyr til assisteret ventilation altid være umiddelbart tilgængeligt i tilfælde af, at behovet opstår hos mor og barn. Der skal altid være en opioidantagonist parat til barnet.</w:t>
      </w:r>
    </w:p>
    <w:p w14:paraId="64C7A2FB" w14:textId="77777777" w:rsidR="00642E1C" w:rsidRPr="00FC16D0" w:rsidRDefault="00642E1C" w:rsidP="0040485D">
      <w:pPr>
        <w:ind w:left="851"/>
        <w:rPr>
          <w:sz w:val="24"/>
          <w:szCs w:val="24"/>
        </w:rPr>
      </w:pPr>
    </w:p>
    <w:p w14:paraId="59C46BB2" w14:textId="77777777" w:rsidR="00642E1C" w:rsidRPr="008906D6" w:rsidRDefault="00642E1C" w:rsidP="0040485D">
      <w:pPr>
        <w:ind w:left="851"/>
        <w:rPr>
          <w:sz w:val="24"/>
          <w:szCs w:val="24"/>
          <w:u w:val="single"/>
        </w:rPr>
      </w:pPr>
      <w:r w:rsidRPr="008906D6">
        <w:rPr>
          <w:sz w:val="24"/>
          <w:szCs w:val="24"/>
          <w:u w:val="single"/>
        </w:rPr>
        <w:t>Amning</w:t>
      </w:r>
    </w:p>
    <w:p w14:paraId="5F6476CF" w14:textId="77777777" w:rsidR="00642E1C" w:rsidRPr="00FC16D0" w:rsidRDefault="00642E1C" w:rsidP="0040485D">
      <w:pPr>
        <w:ind w:left="851"/>
        <w:rPr>
          <w:sz w:val="24"/>
          <w:szCs w:val="24"/>
        </w:rPr>
      </w:pPr>
      <w:r w:rsidRPr="00FC16D0">
        <w:rPr>
          <w:sz w:val="24"/>
          <w:szCs w:val="24"/>
        </w:rPr>
        <w:t>Fentanyl udskilles i modermælk. Det frarådes derfor at amme i det første døgn efter administration af fentanyl eller at bruge udpumpet modermælk i denne periode. Den tilhørende risiko bør opvejes mod de mulige skadelige virkninger.</w:t>
      </w:r>
    </w:p>
    <w:p w14:paraId="2C2ED9AA" w14:textId="77777777" w:rsidR="00642E1C" w:rsidRPr="00FC16D0" w:rsidRDefault="00642E1C" w:rsidP="0040485D">
      <w:pPr>
        <w:ind w:left="851"/>
        <w:rPr>
          <w:sz w:val="24"/>
          <w:szCs w:val="24"/>
        </w:rPr>
      </w:pPr>
    </w:p>
    <w:p w14:paraId="1C6108E8" w14:textId="77777777" w:rsidR="00642E1C" w:rsidRPr="008906D6" w:rsidRDefault="00642E1C" w:rsidP="0040485D">
      <w:pPr>
        <w:ind w:left="851"/>
        <w:rPr>
          <w:sz w:val="24"/>
          <w:szCs w:val="24"/>
          <w:u w:val="single"/>
        </w:rPr>
      </w:pPr>
      <w:r w:rsidRPr="008906D6">
        <w:rPr>
          <w:sz w:val="24"/>
          <w:szCs w:val="24"/>
          <w:u w:val="single"/>
        </w:rPr>
        <w:t>Fertilitet</w:t>
      </w:r>
    </w:p>
    <w:p w14:paraId="519F5DF5" w14:textId="77777777" w:rsidR="00642E1C" w:rsidRPr="00FC16D0" w:rsidRDefault="00642E1C" w:rsidP="0040485D">
      <w:pPr>
        <w:ind w:left="851"/>
        <w:rPr>
          <w:sz w:val="24"/>
          <w:szCs w:val="24"/>
        </w:rPr>
      </w:pPr>
      <w:r w:rsidRPr="00FC16D0">
        <w:rPr>
          <w:sz w:val="24"/>
          <w:szCs w:val="24"/>
        </w:rPr>
        <w:t xml:space="preserve">Der foreligger ingen kliniske data vedrørende fentanyls virkning på fertiliteten hos mænd eller kvinder. I dyreforsøg har visse undersøgelser vist nedsat fertilitet hos hundyr ved </w:t>
      </w:r>
      <w:proofErr w:type="spellStart"/>
      <w:r w:rsidRPr="00FC16D0">
        <w:rPr>
          <w:sz w:val="24"/>
          <w:szCs w:val="24"/>
        </w:rPr>
        <w:t>maternelt</w:t>
      </w:r>
      <w:proofErr w:type="spellEnd"/>
      <w:r w:rsidRPr="00FC16D0">
        <w:rPr>
          <w:sz w:val="24"/>
          <w:szCs w:val="24"/>
        </w:rPr>
        <w:t xml:space="preserve"> toksiske doser (se pkt. 5.3).</w:t>
      </w:r>
    </w:p>
    <w:p w14:paraId="5CAC5221" w14:textId="77777777" w:rsidR="009260DE" w:rsidRPr="00FC16D0" w:rsidRDefault="009260DE" w:rsidP="009260DE">
      <w:pPr>
        <w:tabs>
          <w:tab w:val="left" w:pos="851"/>
        </w:tabs>
        <w:ind w:left="851"/>
        <w:rPr>
          <w:sz w:val="24"/>
          <w:szCs w:val="24"/>
        </w:rPr>
      </w:pPr>
    </w:p>
    <w:p w14:paraId="799E6C9E" w14:textId="77777777" w:rsidR="00844F82" w:rsidRPr="00C84483" w:rsidRDefault="00844F82" w:rsidP="00844F8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102C34C9" w14:textId="24BC813D" w:rsidR="008906D6" w:rsidRDefault="00360931" w:rsidP="0040485D">
      <w:pPr>
        <w:autoSpaceDE w:val="0"/>
        <w:autoSpaceDN w:val="0"/>
        <w:adjustRightInd w:val="0"/>
        <w:ind w:left="851"/>
        <w:rPr>
          <w:sz w:val="24"/>
          <w:szCs w:val="24"/>
        </w:rPr>
      </w:pPr>
      <w:r>
        <w:rPr>
          <w:sz w:val="24"/>
          <w:szCs w:val="24"/>
        </w:rPr>
        <w:t>Ikke m</w:t>
      </w:r>
      <w:r w:rsidR="008906D6">
        <w:rPr>
          <w:sz w:val="24"/>
          <w:szCs w:val="24"/>
        </w:rPr>
        <w:t>ærkning.</w:t>
      </w:r>
    </w:p>
    <w:p w14:paraId="3BCE2249" w14:textId="54023B6D" w:rsidR="00642E1C" w:rsidRPr="00FC16D0" w:rsidRDefault="00642E1C" w:rsidP="0040485D">
      <w:pPr>
        <w:autoSpaceDE w:val="0"/>
        <w:autoSpaceDN w:val="0"/>
        <w:adjustRightInd w:val="0"/>
        <w:ind w:left="851"/>
        <w:rPr>
          <w:sz w:val="24"/>
          <w:szCs w:val="24"/>
          <w:lang w:eastAsia="en-GB"/>
        </w:rPr>
      </w:pPr>
      <w:r w:rsidRPr="00FC16D0">
        <w:rPr>
          <w:sz w:val="24"/>
          <w:szCs w:val="24"/>
        </w:rPr>
        <w:t xml:space="preserve">Patienter bør ikke køre eller bruge maskiner i nogen tid (mindst 24 timer) efter administration af Fentanyl </w:t>
      </w:r>
      <w:r w:rsidR="00FA0940">
        <w:rPr>
          <w:sz w:val="24"/>
          <w:szCs w:val="24"/>
        </w:rPr>
        <w:t>"</w:t>
      </w:r>
      <w:proofErr w:type="spellStart"/>
      <w:r w:rsidR="00FA0940">
        <w:rPr>
          <w:sz w:val="24"/>
          <w:szCs w:val="24"/>
        </w:rPr>
        <w:t>Kalceks</w:t>
      </w:r>
      <w:proofErr w:type="spellEnd"/>
      <w:r w:rsidR="00FA0940">
        <w:rPr>
          <w:sz w:val="24"/>
          <w:szCs w:val="24"/>
        </w:rPr>
        <w:t>"</w:t>
      </w:r>
      <w:r w:rsidRPr="00FC16D0">
        <w:rPr>
          <w:sz w:val="24"/>
          <w:szCs w:val="24"/>
        </w:rPr>
        <w:t xml:space="preserve"> 50 mikrogram/ml.</w:t>
      </w:r>
    </w:p>
    <w:p w14:paraId="3DC90CC4" w14:textId="77777777" w:rsidR="009260DE" w:rsidRPr="00FC16D0" w:rsidRDefault="009260DE" w:rsidP="009260DE">
      <w:pPr>
        <w:tabs>
          <w:tab w:val="left" w:pos="851"/>
        </w:tabs>
        <w:ind w:left="851"/>
        <w:rPr>
          <w:sz w:val="24"/>
          <w:szCs w:val="24"/>
        </w:rPr>
      </w:pPr>
    </w:p>
    <w:p w14:paraId="64FB87EE" w14:textId="77777777" w:rsidR="009260DE" w:rsidRPr="00FC16D0" w:rsidRDefault="009260DE" w:rsidP="009260DE">
      <w:pPr>
        <w:tabs>
          <w:tab w:val="left" w:pos="851"/>
        </w:tabs>
        <w:ind w:left="851" w:hanging="851"/>
        <w:rPr>
          <w:b/>
          <w:sz w:val="24"/>
          <w:szCs w:val="24"/>
        </w:rPr>
      </w:pPr>
      <w:r w:rsidRPr="00FC16D0">
        <w:rPr>
          <w:b/>
          <w:sz w:val="24"/>
          <w:szCs w:val="24"/>
        </w:rPr>
        <w:t>4.8</w:t>
      </w:r>
      <w:r w:rsidRPr="00FC16D0">
        <w:rPr>
          <w:b/>
          <w:sz w:val="24"/>
          <w:szCs w:val="24"/>
        </w:rPr>
        <w:tab/>
        <w:t>Bivirkninger</w:t>
      </w:r>
    </w:p>
    <w:p w14:paraId="5A4893EA" w14:textId="77777777" w:rsidR="00642E1C" w:rsidRPr="00FC16D0" w:rsidRDefault="00642E1C" w:rsidP="0040485D">
      <w:pPr>
        <w:ind w:left="851"/>
        <w:rPr>
          <w:sz w:val="24"/>
          <w:szCs w:val="24"/>
          <w:lang w:eastAsia="en-GB"/>
        </w:rPr>
      </w:pPr>
      <w:r w:rsidRPr="00FC16D0">
        <w:rPr>
          <w:sz w:val="24"/>
          <w:szCs w:val="24"/>
        </w:rPr>
        <w:t xml:space="preserve">Fentanyls sikkerhed blev evalueret hos 376 personer, der deltog i 20 kliniske undersøgelser, hvor fentanyl blev vurderet som </w:t>
      </w:r>
      <w:proofErr w:type="spellStart"/>
      <w:r w:rsidRPr="00FC16D0">
        <w:rPr>
          <w:sz w:val="24"/>
          <w:szCs w:val="24"/>
        </w:rPr>
        <w:t>anæstetika</w:t>
      </w:r>
      <w:proofErr w:type="spellEnd"/>
      <w:r w:rsidRPr="00FC16D0">
        <w:rPr>
          <w:sz w:val="24"/>
          <w:szCs w:val="24"/>
        </w:rPr>
        <w:t xml:space="preserve">. Disse forsøgspersoner fik mindst én dosis fentanyl og frembragte sikkerhedsdata. Baseret på de samlede sikkerhedsdata fra disse kliniske undersøgelser var de mest almindeligt rapporterede bivirkninger (≥5 % </w:t>
      </w:r>
      <w:proofErr w:type="spellStart"/>
      <w:r w:rsidRPr="00FC16D0">
        <w:rPr>
          <w:sz w:val="24"/>
          <w:szCs w:val="24"/>
        </w:rPr>
        <w:t>incidens</w:t>
      </w:r>
      <w:proofErr w:type="spellEnd"/>
      <w:r w:rsidRPr="00FC16D0">
        <w:rPr>
          <w:sz w:val="24"/>
          <w:szCs w:val="24"/>
        </w:rPr>
        <w:t xml:space="preserve">): </w:t>
      </w:r>
      <w:r w:rsidRPr="00FC16D0">
        <w:rPr>
          <w:sz w:val="24"/>
          <w:szCs w:val="24"/>
        </w:rPr>
        <w:lastRenderedPageBreak/>
        <w:t>kvalme (26,1 %), opkastning (18,6 %), muskelrigiditet (10,4 %), hypotension (8,8 %), hypertension (8,8 %), bradykardi (6,1 %) og sedation (5,3 %).</w:t>
      </w:r>
    </w:p>
    <w:p w14:paraId="2D5F548C" w14:textId="77777777" w:rsidR="00642E1C" w:rsidRPr="00FC16D0" w:rsidRDefault="00642E1C" w:rsidP="0040485D">
      <w:pPr>
        <w:ind w:left="851"/>
        <w:rPr>
          <w:sz w:val="24"/>
          <w:szCs w:val="24"/>
        </w:rPr>
      </w:pPr>
    </w:p>
    <w:p w14:paraId="3D3B3ED9" w14:textId="1EE92B04" w:rsidR="00642E1C" w:rsidRPr="00FC16D0" w:rsidRDefault="00642E1C" w:rsidP="0040485D">
      <w:pPr>
        <w:ind w:left="851"/>
        <w:rPr>
          <w:sz w:val="24"/>
          <w:szCs w:val="24"/>
        </w:rPr>
      </w:pPr>
      <w:r w:rsidRPr="00FC16D0">
        <w:rPr>
          <w:sz w:val="24"/>
          <w:szCs w:val="24"/>
        </w:rPr>
        <w:t xml:space="preserve">Disse bivirkninger (sammen med ovenstående bivirkninger) fra kliniske undersøgelser og data efter markedsføring er inddelt efter systemorganklasse og defineret som følger: </w:t>
      </w:r>
      <w:r w:rsidR="00AE4B52">
        <w:rPr>
          <w:sz w:val="24"/>
          <w:szCs w:val="24"/>
        </w:rPr>
        <w:t>M</w:t>
      </w:r>
      <w:r w:rsidRPr="00FC16D0">
        <w:rPr>
          <w:sz w:val="24"/>
          <w:szCs w:val="24"/>
        </w:rPr>
        <w:t>eget almindelige (≥1/10), almindelige (≥1/100 til &lt;1/10), ikke almindelige (≥1/1.000 til &lt;1/100), sjældne (≥1/10.000 til &lt;1/1.000), meget sjældne (&lt;1/10.000) og ikke kendte (kan ikke estimeres ud fra forhåndenværende data).</w:t>
      </w:r>
    </w:p>
    <w:p w14:paraId="24E6E952" w14:textId="77777777" w:rsidR="00642E1C" w:rsidRPr="00FC16D0" w:rsidRDefault="00642E1C" w:rsidP="0040485D">
      <w:pPr>
        <w:ind w:left="851"/>
        <w:rPr>
          <w:sz w:val="24"/>
          <w:szCs w:val="24"/>
        </w:rPr>
      </w:pPr>
    </w:p>
    <w:p w14:paraId="4991A423" w14:textId="77777777" w:rsidR="00642E1C" w:rsidRPr="00FC16D0" w:rsidRDefault="00642E1C" w:rsidP="0040485D">
      <w:pPr>
        <w:ind w:left="851"/>
        <w:rPr>
          <w:sz w:val="24"/>
          <w:szCs w:val="24"/>
        </w:rPr>
      </w:pPr>
      <w:r w:rsidRPr="00FC16D0">
        <w:rPr>
          <w:sz w:val="24"/>
          <w:szCs w:val="24"/>
        </w:rPr>
        <w:t>Inden for hver enkelt hyppighedsgruppe er bivirkningerne opstillet efter, hvor alvorlige de er.</w:t>
      </w:r>
    </w:p>
    <w:p w14:paraId="7352B924" w14:textId="77777777" w:rsidR="00642E1C" w:rsidRPr="00FC16D0" w:rsidRDefault="00642E1C" w:rsidP="0040485D">
      <w:pPr>
        <w:ind w:left="851"/>
        <w:rPr>
          <w:sz w:val="24"/>
          <w:szCs w:val="24"/>
        </w:rPr>
      </w:pPr>
    </w:p>
    <w:p w14:paraId="47957F88" w14:textId="0545849D" w:rsidR="00642E1C" w:rsidRPr="00E65D6D" w:rsidRDefault="00642E1C" w:rsidP="0040485D">
      <w:pPr>
        <w:ind w:left="851"/>
        <w:rPr>
          <w:sz w:val="24"/>
          <w:szCs w:val="24"/>
          <w:u w:val="single"/>
        </w:rPr>
      </w:pPr>
      <w:r w:rsidRPr="00E65D6D">
        <w:rPr>
          <w:sz w:val="24"/>
          <w:szCs w:val="24"/>
          <w:u w:val="single"/>
        </w:rPr>
        <w:t>Tabel 1</w:t>
      </w:r>
      <w:r w:rsidR="007E6DCF">
        <w:rPr>
          <w:sz w:val="24"/>
          <w:szCs w:val="24"/>
          <w:u w:val="single"/>
        </w:rPr>
        <w:t>:</w:t>
      </w:r>
      <w:r w:rsidRPr="00E65D6D">
        <w:rPr>
          <w:sz w:val="24"/>
          <w:szCs w:val="24"/>
          <w:u w:val="single"/>
        </w:rPr>
        <w:t xml:space="preserve"> Bivirkninger indberettet med fentanyl</w:t>
      </w:r>
    </w:p>
    <w:p w14:paraId="4D4A5C26" w14:textId="77777777" w:rsidR="00642E1C" w:rsidRPr="00FC16D0" w:rsidRDefault="00642E1C" w:rsidP="00642E1C">
      <w:pPr>
        <w:pStyle w:val="Normalindrykning"/>
        <w:ind w:left="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396"/>
        <w:gridCol w:w="1585"/>
        <w:gridCol w:w="1573"/>
        <w:gridCol w:w="2665"/>
      </w:tblGrid>
      <w:tr w:rsidR="00642E1C" w:rsidRPr="00665DAB" w14:paraId="37D68527" w14:textId="77777777" w:rsidTr="0040485D">
        <w:tc>
          <w:tcPr>
            <w:tcW w:w="1251" w:type="pct"/>
            <w:vMerge w:val="restart"/>
            <w:tcBorders>
              <w:top w:val="single" w:sz="4" w:space="0" w:color="auto"/>
              <w:left w:val="single" w:sz="4" w:space="0" w:color="auto"/>
              <w:bottom w:val="single" w:sz="4" w:space="0" w:color="auto"/>
              <w:right w:val="single" w:sz="4" w:space="0" w:color="auto"/>
            </w:tcBorders>
            <w:hideMark/>
          </w:tcPr>
          <w:p w14:paraId="38BDEC2E" w14:textId="77777777" w:rsidR="00642E1C" w:rsidRPr="00E65D6D" w:rsidRDefault="00642E1C" w:rsidP="0040485D">
            <w:pPr>
              <w:rPr>
                <w:b/>
                <w:sz w:val="22"/>
                <w:szCs w:val="22"/>
              </w:rPr>
            </w:pPr>
            <w:r w:rsidRPr="00E65D6D">
              <w:rPr>
                <w:b/>
                <w:sz w:val="22"/>
                <w:szCs w:val="22"/>
              </w:rPr>
              <w:t>Systemorganklasse</w:t>
            </w:r>
          </w:p>
        </w:tc>
        <w:tc>
          <w:tcPr>
            <w:tcW w:w="3749" w:type="pct"/>
            <w:gridSpan w:val="4"/>
            <w:tcBorders>
              <w:top w:val="single" w:sz="4" w:space="0" w:color="auto"/>
              <w:left w:val="single" w:sz="4" w:space="0" w:color="auto"/>
              <w:bottom w:val="single" w:sz="4" w:space="0" w:color="auto"/>
              <w:right w:val="single" w:sz="4" w:space="0" w:color="auto"/>
            </w:tcBorders>
            <w:hideMark/>
          </w:tcPr>
          <w:p w14:paraId="691A7A66" w14:textId="77777777" w:rsidR="00642E1C" w:rsidRPr="00E65D6D" w:rsidRDefault="00642E1C" w:rsidP="00E65D6D">
            <w:pPr>
              <w:jc w:val="center"/>
              <w:rPr>
                <w:b/>
                <w:sz w:val="22"/>
                <w:szCs w:val="22"/>
              </w:rPr>
            </w:pPr>
            <w:r w:rsidRPr="00E65D6D">
              <w:rPr>
                <w:b/>
                <w:sz w:val="22"/>
                <w:szCs w:val="22"/>
              </w:rPr>
              <w:t>Bivirkninger</w:t>
            </w:r>
          </w:p>
        </w:tc>
      </w:tr>
      <w:tr w:rsidR="00642E1C" w:rsidRPr="00665DAB" w14:paraId="591F6812" w14:textId="77777777" w:rsidTr="0040485D">
        <w:tc>
          <w:tcPr>
            <w:tcW w:w="1251" w:type="pct"/>
            <w:vMerge/>
            <w:tcBorders>
              <w:top w:val="single" w:sz="4" w:space="0" w:color="auto"/>
              <w:left w:val="single" w:sz="4" w:space="0" w:color="auto"/>
              <w:bottom w:val="single" w:sz="4" w:space="0" w:color="auto"/>
              <w:right w:val="single" w:sz="4" w:space="0" w:color="auto"/>
            </w:tcBorders>
            <w:vAlign w:val="center"/>
            <w:hideMark/>
          </w:tcPr>
          <w:p w14:paraId="3BBF0ACD" w14:textId="77777777" w:rsidR="00642E1C" w:rsidRPr="00E65D6D" w:rsidRDefault="00642E1C" w:rsidP="0040485D">
            <w:pPr>
              <w:rPr>
                <w:b/>
                <w:sz w:val="22"/>
                <w:szCs w:val="22"/>
                <w:lang w:eastAsia="en-GB"/>
              </w:rPr>
            </w:pPr>
          </w:p>
        </w:tc>
        <w:tc>
          <w:tcPr>
            <w:tcW w:w="3749" w:type="pct"/>
            <w:gridSpan w:val="4"/>
            <w:tcBorders>
              <w:top w:val="single" w:sz="4" w:space="0" w:color="auto"/>
              <w:left w:val="single" w:sz="4" w:space="0" w:color="auto"/>
              <w:bottom w:val="single" w:sz="4" w:space="0" w:color="auto"/>
              <w:right w:val="single" w:sz="4" w:space="0" w:color="auto"/>
            </w:tcBorders>
            <w:hideMark/>
          </w:tcPr>
          <w:p w14:paraId="2B0E27F3" w14:textId="77777777" w:rsidR="00642E1C" w:rsidRPr="00E65D6D" w:rsidRDefault="00642E1C" w:rsidP="00E65D6D">
            <w:pPr>
              <w:jc w:val="center"/>
              <w:rPr>
                <w:b/>
                <w:sz w:val="22"/>
                <w:szCs w:val="22"/>
              </w:rPr>
            </w:pPr>
            <w:r w:rsidRPr="00E65D6D">
              <w:rPr>
                <w:b/>
                <w:sz w:val="22"/>
                <w:szCs w:val="22"/>
              </w:rPr>
              <w:t>Hyppighed</w:t>
            </w:r>
          </w:p>
        </w:tc>
      </w:tr>
      <w:tr w:rsidR="00642E1C" w:rsidRPr="00665DAB" w14:paraId="5B24B3A8" w14:textId="77777777" w:rsidTr="0040485D">
        <w:tc>
          <w:tcPr>
            <w:tcW w:w="1251" w:type="pct"/>
            <w:vMerge/>
            <w:tcBorders>
              <w:top w:val="single" w:sz="4" w:space="0" w:color="auto"/>
              <w:left w:val="single" w:sz="4" w:space="0" w:color="auto"/>
              <w:bottom w:val="single" w:sz="4" w:space="0" w:color="auto"/>
              <w:right w:val="single" w:sz="4" w:space="0" w:color="auto"/>
            </w:tcBorders>
            <w:vAlign w:val="center"/>
            <w:hideMark/>
          </w:tcPr>
          <w:p w14:paraId="24E86FBB" w14:textId="77777777" w:rsidR="00642E1C" w:rsidRPr="00E65D6D" w:rsidRDefault="00642E1C" w:rsidP="0040485D">
            <w:pPr>
              <w:rPr>
                <w:b/>
                <w:sz w:val="22"/>
                <w:szCs w:val="22"/>
                <w:lang w:eastAsia="en-GB"/>
              </w:rPr>
            </w:pPr>
          </w:p>
        </w:tc>
        <w:tc>
          <w:tcPr>
            <w:tcW w:w="725" w:type="pct"/>
            <w:tcBorders>
              <w:top w:val="single" w:sz="4" w:space="0" w:color="auto"/>
              <w:left w:val="single" w:sz="4" w:space="0" w:color="auto"/>
              <w:bottom w:val="single" w:sz="4" w:space="0" w:color="auto"/>
              <w:right w:val="single" w:sz="4" w:space="0" w:color="auto"/>
            </w:tcBorders>
            <w:hideMark/>
          </w:tcPr>
          <w:p w14:paraId="04130FB6" w14:textId="77777777" w:rsidR="00642E1C" w:rsidRPr="00E65D6D" w:rsidRDefault="00642E1C" w:rsidP="00E65D6D">
            <w:pPr>
              <w:jc w:val="center"/>
              <w:rPr>
                <w:b/>
                <w:sz w:val="22"/>
                <w:szCs w:val="22"/>
              </w:rPr>
            </w:pPr>
            <w:r w:rsidRPr="00E65D6D">
              <w:rPr>
                <w:b/>
                <w:sz w:val="22"/>
                <w:szCs w:val="22"/>
              </w:rPr>
              <w:t>Meget almindelig</w:t>
            </w:r>
          </w:p>
        </w:tc>
        <w:tc>
          <w:tcPr>
            <w:tcW w:w="823" w:type="pct"/>
            <w:tcBorders>
              <w:top w:val="single" w:sz="4" w:space="0" w:color="auto"/>
              <w:left w:val="single" w:sz="4" w:space="0" w:color="auto"/>
              <w:bottom w:val="single" w:sz="4" w:space="0" w:color="auto"/>
              <w:right w:val="single" w:sz="4" w:space="0" w:color="auto"/>
            </w:tcBorders>
            <w:hideMark/>
          </w:tcPr>
          <w:p w14:paraId="6A4E6420" w14:textId="77777777" w:rsidR="00642E1C" w:rsidRPr="00E65D6D" w:rsidRDefault="00642E1C" w:rsidP="00E65D6D">
            <w:pPr>
              <w:jc w:val="center"/>
              <w:rPr>
                <w:b/>
                <w:sz w:val="22"/>
                <w:szCs w:val="22"/>
              </w:rPr>
            </w:pPr>
            <w:r w:rsidRPr="00E65D6D">
              <w:rPr>
                <w:b/>
                <w:sz w:val="22"/>
                <w:szCs w:val="22"/>
              </w:rPr>
              <w:t>Almindelig</w:t>
            </w:r>
          </w:p>
        </w:tc>
        <w:tc>
          <w:tcPr>
            <w:tcW w:w="817" w:type="pct"/>
            <w:tcBorders>
              <w:top w:val="single" w:sz="4" w:space="0" w:color="auto"/>
              <w:left w:val="single" w:sz="4" w:space="0" w:color="auto"/>
              <w:bottom w:val="single" w:sz="4" w:space="0" w:color="auto"/>
              <w:right w:val="single" w:sz="4" w:space="0" w:color="auto"/>
            </w:tcBorders>
            <w:hideMark/>
          </w:tcPr>
          <w:p w14:paraId="5C640381" w14:textId="77777777" w:rsidR="00642E1C" w:rsidRPr="00E65D6D" w:rsidRDefault="00642E1C" w:rsidP="00E65D6D">
            <w:pPr>
              <w:jc w:val="center"/>
              <w:rPr>
                <w:b/>
                <w:sz w:val="22"/>
                <w:szCs w:val="22"/>
              </w:rPr>
            </w:pPr>
            <w:r w:rsidRPr="00E65D6D">
              <w:rPr>
                <w:b/>
                <w:sz w:val="22"/>
                <w:szCs w:val="22"/>
              </w:rPr>
              <w:t>Ikke almindelig</w:t>
            </w:r>
          </w:p>
        </w:tc>
        <w:tc>
          <w:tcPr>
            <w:tcW w:w="1383" w:type="pct"/>
            <w:tcBorders>
              <w:top w:val="single" w:sz="4" w:space="0" w:color="auto"/>
              <w:left w:val="single" w:sz="4" w:space="0" w:color="auto"/>
              <w:bottom w:val="single" w:sz="4" w:space="0" w:color="auto"/>
              <w:right w:val="single" w:sz="4" w:space="0" w:color="auto"/>
            </w:tcBorders>
            <w:hideMark/>
          </w:tcPr>
          <w:p w14:paraId="03E74A94" w14:textId="77777777" w:rsidR="00642E1C" w:rsidRPr="00E65D6D" w:rsidRDefault="00642E1C" w:rsidP="00E65D6D">
            <w:pPr>
              <w:jc w:val="center"/>
              <w:rPr>
                <w:b/>
                <w:sz w:val="22"/>
                <w:szCs w:val="22"/>
              </w:rPr>
            </w:pPr>
            <w:r w:rsidRPr="00E65D6D">
              <w:rPr>
                <w:b/>
                <w:sz w:val="22"/>
                <w:szCs w:val="22"/>
              </w:rPr>
              <w:t>Ikke kendt</w:t>
            </w:r>
          </w:p>
        </w:tc>
      </w:tr>
      <w:tr w:rsidR="00642E1C" w:rsidRPr="00665DAB" w14:paraId="4769390B" w14:textId="77777777" w:rsidTr="0040485D">
        <w:tc>
          <w:tcPr>
            <w:tcW w:w="1251" w:type="pct"/>
            <w:tcBorders>
              <w:top w:val="single" w:sz="4" w:space="0" w:color="auto"/>
              <w:left w:val="single" w:sz="4" w:space="0" w:color="auto"/>
              <w:bottom w:val="single" w:sz="4" w:space="0" w:color="auto"/>
              <w:right w:val="single" w:sz="4" w:space="0" w:color="auto"/>
            </w:tcBorders>
            <w:hideMark/>
          </w:tcPr>
          <w:p w14:paraId="2A0D0E19" w14:textId="77777777" w:rsidR="00642E1C" w:rsidRPr="00E65D6D" w:rsidRDefault="00642E1C" w:rsidP="0040485D">
            <w:pPr>
              <w:rPr>
                <w:b/>
                <w:sz w:val="22"/>
                <w:szCs w:val="22"/>
              </w:rPr>
            </w:pPr>
            <w:r w:rsidRPr="00E65D6D">
              <w:rPr>
                <w:b/>
                <w:sz w:val="22"/>
                <w:szCs w:val="22"/>
              </w:rPr>
              <w:t>Immunsystemet</w:t>
            </w:r>
          </w:p>
        </w:tc>
        <w:tc>
          <w:tcPr>
            <w:tcW w:w="725" w:type="pct"/>
            <w:tcBorders>
              <w:top w:val="single" w:sz="4" w:space="0" w:color="auto"/>
              <w:left w:val="single" w:sz="4" w:space="0" w:color="auto"/>
              <w:bottom w:val="single" w:sz="4" w:space="0" w:color="auto"/>
              <w:right w:val="single" w:sz="4" w:space="0" w:color="auto"/>
            </w:tcBorders>
          </w:tcPr>
          <w:p w14:paraId="51E2954B" w14:textId="77777777" w:rsidR="00642E1C" w:rsidRPr="00665DAB" w:rsidRDefault="00642E1C" w:rsidP="0040485D">
            <w:pPr>
              <w:rPr>
                <w:sz w:val="22"/>
                <w:szCs w:val="22"/>
              </w:rPr>
            </w:pPr>
          </w:p>
        </w:tc>
        <w:tc>
          <w:tcPr>
            <w:tcW w:w="823" w:type="pct"/>
            <w:tcBorders>
              <w:top w:val="single" w:sz="4" w:space="0" w:color="auto"/>
              <w:left w:val="single" w:sz="4" w:space="0" w:color="auto"/>
              <w:bottom w:val="single" w:sz="4" w:space="0" w:color="auto"/>
              <w:right w:val="single" w:sz="4" w:space="0" w:color="auto"/>
            </w:tcBorders>
          </w:tcPr>
          <w:p w14:paraId="7C8651A2" w14:textId="77777777" w:rsidR="00642E1C" w:rsidRPr="00665DAB" w:rsidRDefault="00642E1C" w:rsidP="0040485D">
            <w:pPr>
              <w:rPr>
                <w:sz w:val="22"/>
                <w:szCs w:val="22"/>
              </w:rPr>
            </w:pPr>
          </w:p>
        </w:tc>
        <w:tc>
          <w:tcPr>
            <w:tcW w:w="817" w:type="pct"/>
            <w:tcBorders>
              <w:top w:val="single" w:sz="4" w:space="0" w:color="auto"/>
              <w:left w:val="single" w:sz="4" w:space="0" w:color="auto"/>
              <w:bottom w:val="single" w:sz="4" w:space="0" w:color="auto"/>
              <w:right w:val="single" w:sz="4" w:space="0" w:color="auto"/>
            </w:tcBorders>
          </w:tcPr>
          <w:p w14:paraId="47F6A990" w14:textId="77777777" w:rsidR="00642E1C" w:rsidRPr="00665DAB" w:rsidRDefault="00642E1C" w:rsidP="0040485D">
            <w:pPr>
              <w:rPr>
                <w:sz w:val="22"/>
                <w:szCs w:val="22"/>
              </w:rPr>
            </w:pPr>
          </w:p>
        </w:tc>
        <w:tc>
          <w:tcPr>
            <w:tcW w:w="1383" w:type="pct"/>
            <w:tcBorders>
              <w:top w:val="single" w:sz="4" w:space="0" w:color="auto"/>
              <w:left w:val="single" w:sz="4" w:space="0" w:color="auto"/>
              <w:bottom w:val="single" w:sz="4" w:space="0" w:color="auto"/>
              <w:right w:val="single" w:sz="4" w:space="0" w:color="auto"/>
            </w:tcBorders>
            <w:hideMark/>
          </w:tcPr>
          <w:p w14:paraId="5CD3E0F0" w14:textId="77777777" w:rsidR="00642E1C" w:rsidRPr="00665DAB" w:rsidRDefault="00642E1C" w:rsidP="0040485D">
            <w:pPr>
              <w:rPr>
                <w:sz w:val="22"/>
                <w:szCs w:val="22"/>
              </w:rPr>
            </w:pPr>
            <w:r w:rsidRPr="00665DAB">
              <w:rPr>
                <w:sz w:val="22"/>
                <w:szCs w:val="22"/>
              </w:rPr>
              <w:t xml:space="preserve">Overfølsomhed (inklusive </w:t>
            </w:r>
            <w:proofErr w:type="spellStart"/>
            <w:r w:rsidRPr="00665DAB">
              <w:rPr>
                <w:sz w:val="22"/>
                <w:szCs w:val="22"/>
              </w:rPr>
              <w:t>anafylaktisk</w:t>
            </w:r>
            <w:proofErr w:type="spellEnd"/>
            <w:r w:rsidRPr="00665DAB">
              <w:rPr>
                <w:sz w:val="22"/>
                <w:szCs w:val="22"/>
              </w:rPr>
              <w:t xml:space="preserve"> chok, </w:t>
            </w:r>
            <w:proofErr w:type="spellStart"/>
            <w:r w:rsidRPr="00665DAB">
              <w:rPr>
                <w:sz w:val="22"/>
                <w:szCs w:val="22"/>
              </w:rPr>
              <w:t>anafylaktisk</w:t>
            </w:r>
            <w:proofErr w:type="spellEnd"/>
            <w:r w:rsidRPr="00665DAB">
              <w:rPr>
                <w:sz w:val="22"/>
                <w:szCs w:val="22"/>
              </w:rPr>
              <w:t xml:space="preserve"> reaktion, </w:t>
            </w:r>
            <w:proofErr w:type="spellStart"/>
            <w:r w:rsidRPr="00665DAB">
              <w:rPr>
                <w:sz w:val="22"/>
                <w:szCs w:val="22"/>
              </w:rPr>
              <w:t>urticaria</w:t>
            </w:r>
            <w:proofErr w:type="spellEnd"/>
            <w:r w:rsidRPr="00665DAB">
              <w:rPr>
                <w:sz w:val="22"/>
                <w:szCs w:val="22"/>
              </w:rPr>
              <w:t>)</w:t>
            </w:r>
          </w:p>
        </w:tc>
      </w:tr>
      <w:tr w:rsidR="00642E1C" w:rsidRPr="00665DAB" w14:paraId="1B3DD275" w14:textId="77777777" w:rsidTr="0040485D">
        <w:tc>
          <w:tcPr>
            <w:tcW w:w="1251" w:type="pct"/>
            <w:tcBorders>
              <w:top w:val="single" w:sz="4" w:space="0" w:color="auto"/>
              <w:left w:val="single" w:sz="4" w:space="0" w:color="auto"/>
              <w:bottom w:val="single" w:sz="4" w:space="0" w:color="auto"/>
              <w:right w:val="single" w:sz="4" w:space="0" w:color="auto"/>
            </w:tcBorders>
            <w:hideMark/>
          </w:tcPr>
          <w:p w14:paraId="2ABE3D61" w14:textId="77777777" w:rsidR="00642E1C" w:rsidRPr="00E65D6D" w:rsidRDefault="00642E1C" w:rsidP="0040485D">
            <w:pPr>
              <w:rPr>
                <w:b/>
                <w:sz w:val="22"/>
                <w:szCs w:val="22"/>
              </w:rPr>
            </w:pPr>
            <w:r w:rsidRPr="00E65D6D">
              <w:rPr>
                <w:b/>
                <w:sz w:val="22"/>
                <w:szCs w:val="22"/>
              </w:rPr>
              <w:t>Psykiske forstyrrelser</w:t>
            </w:r>
          </w:p>
        </w:tc>
        <w:tc>
          <w:tcPr>
            <w:tcW w:w="725" w:type="pct"/>
            <w:tcBorders>
              <w:top w:val="single" w:sz="4" w:space="0" w:color="auto"/>
              <w:left w:val="single" w:sz="4" w:space="0" w:color="auto"/>
              <w:bottom w:val="single" w:sz="4" w:space="0" w:color="auto"/>
              <w:right w:val="single" w:sz="4" w:space="0" w:color="auto"/>
            </w:tcBorders>
          </w:tcPr>
          <w:p w14:paraId="5F4578AB" w14:textId="77777777" w:rsidR="00642E1C" w:rsidRPr="00665DAB" w:rsidRDefault="00642E1C" w:rsidP="0040485D">
            <w:pPr>
              <w:rPr>
                <w:sz w:val="22"/>
                <w:szCs w:val="22"/>
              </w:rPr>
            </w:pPr>
          </w:p>
        </w:tc>
        <w:tc>
          <w:tcPr>
            <w:tcW w:w="823" w:type="pct"/>
            <w:tcBorders>
              <w:top w:val="single" w:sz="4" w:space="0" w:color="auto"/>
              <w:left w:val="single" w:sz="4" w:space="0" w:color="auto"/>
              <w:bottom w:val="single" w:sz="4" w:space="0" w:color="auto"/>
              <w:right w:val="single" w:sz="4" w:space="0" w:color="auto"/>
            </w:tcBorders>
          </w:tcPr>
          <w:p w14:paraId="07332E70" w14:textId="77777777" w:rsidR="00642E1C" w:rsidRPr="00665DAB" w:rsidRDefault="00642E1C" w:rsidP="0040485D">
            <w:pPr>
              <w:rPr>
                <w:sz w:val="22"/>
                <w:szCs w:val="22"/>
              </w:rPr>
            </w:pPr>
          </w:p>
        </w:tc>
        <w:tc>
          <w:tcPr>
            <w:tcW w:w="817" w:type="pct"/>
            <w:tcBorders>
              <w:top w:val="single" w:sz="4" w:space="0" w:color="auto"/>
              <w:left w:val="single" w:sz="4" w:space="0" w:color="auto"/>
              <w:bottom w:val="single" w:sz="4" w:space="0" w:color="auto"/>
              <w:right w:val="single" w:sz="4" w:space="0" w:color="auto"/>
            </w:tcBorders>
            <w:hideMark/>
          </w:tcPr>
          <w:p w14:paraId="51892AE5" w14:textId="77777777" w:rsidR="00642E1C" w:rsidRPr="00665DAB" w:rsidRDefault="00642E1C" w:rsidP="0040485D">
            <w:pPr>
              <w:rPr>
                <w:sz w:val="22"/>
                <w:szCs w:val="22"/>
              </w:rPr>
            </w:pPr>
            <w:r w:rsidRPr="00665DAB">
              <w:rPr>
                <w:sz w:val="22"/>
                <w:szCs w:val="22"/>
              </w:rPr>
              <w:t>Eufori</w:t>
            </w:r>
          </w:p>
        </w:tc>
        <w:tc>
          <w:tcPr>
            <w:tcW w:w="1383" w:type="pct"/>
            <w:tcBorders>
              <w:top w:val="single" w:sz="4" w:space="0" w:color="auto"/>
              <w:left w:val="single" w:sz="4" w:space="0" w:color="auto"/>
              <w:bottom w:val="single" w:sz="4" w:space="0" w:color="auto"/>
              <w:right w:val="single" w:sz="4" w:space="0" w:color="auto"/>
            </w:tcBorders>
            <w:hideMark/>
          </w:tcPr>
          <w:p w14:paraId="163F737A" w14:textId="77777777" w:rsidR="00642E1C" w:rsidRPr="00665DAB" w:rsidRDefault="00642E1C" w:rsidP="0040485D">
            <w:pPr>
              <w:rPr>
                <w:sz w:val="22"/>
                <w:szCs w:val="22"/>
              </w:rPr>
            </w:pPr>
            <w:r w:rsidRPr="00665DAB">
              <w:rPr>
                <w:sz w:val="22"/>
                <w:szCs w:val="22"/>
              </w:rPr>
              <w:t>Delirium</w:t>
            </w:r>
          </w:p>
        </w:tc>
      </w:tr>
      <w:tr w:rsidR="00642E1C" w:rsidRPr="00665DAB" w14:paraId="2D8F361C" w14:textId="77777777" w:rsidTr="0040485D">
        <w:tc>
          <w:tcPr>
            <w:tcW w:w="1251" w:type="pct"/>
            <w:tcBorders>
              <w:top w:val="single" w:sz="4" w:space="0" w:color="auto"/>
              <w:left w:val="single" w:sz="4" w:space="0" w:color="auto"/>
              <w:bottom w:val="single" w:sz="4" w:space="0" w:color="auto"/>
              <w:right w:val="single" w:sz="4" w:space="0" w:color="auto"/>
            </w:tcBorders>
            <w:hideMark/>
          </w:tcPr>
          <w:p w14:paraId="2DBFA2C1" w14:textId="77777777" w:rsidR="00642E1C" w:rsidRPr="00E65D6D" w:rsidRDefault="00642E1C" w:rsidP="0040485D">
            <w:pPr>
              <w:rPr>
                <w:b/>
                <w:sz w:val="22"/>
                <w:szCs w:val="22"/>
              </w:rPr>
            </w:pPr>
            <w:r w:rsidRPr="00E65D6D">
              <w:rPr>
                <w:b/>
                <w:sz w:val="22"/>
                <w:szCs w:val="22"/>
              </w:rPr>
              <w:t>Nervesystemet</w:t>
            </w:r>
          </w:p>
        </w:tc>
        <w:tc>
          <w:tcPr>
            <w:tcW w:w="725" w:type="pct"/>
            <w:tcBorders>
              <w:top w:val="single" w:sz="4" w:space="0" w:color="auto"/>
              <w:left w:val="single" w:sz="4" w:space="0" w:color="auto"/>
              <w:bottom w:val="single" w:sz="4" w:space="0" w:color="auto"/>
              <w:right w:val="single" w:sz="4" w:space="0" w:color="auto"/>
            </w:tcBorders>
          </w:tcPr>
          <w:p w14:paraId="2BD38E32" w14:textId="77777777" w:rsidR="00642E1C" w:rsidRPr="00665DAB" w:rsidRDefault="00642E1C" w:rsidP="0040485D">
            <w:pPr>
              <w:rPr>
                <w:sz w:val="22"/>
                <w:szCs w:val="22"/>
              </w:rPr>
            </w:pPr>
          </w:p>
        </w:tc>
        <w:tc>
          <w:tcPr>
            <w:tcW w:w="823" w:type="pct"/>
            <w:tcBorders>
              <w:top w:val="single" w:sz="4" w:space="0" w:color="auto"/>
              <w:left w:val="single" w:sz="4" w:space="0" w:color="auto"/>
              <w:bottom w:val="single" w:sz="4" w:space="0" w:color="auto"/>
              <w:right w:val="single" w:sz="4" w:space="0" w:color="auto"/>
            </w:tcBorders>
            <w:hideMark/>
          </w:tcPr>
          <w:p w14:paraId="6E02E3F6" w14:textId="77777777" w:rsidR="00642E1C" w:rsidRPr="00665DAB" w:rsidRDefault="00642E1C" w:rsidP="0040485D">
            <w:pPr>
              <w:rPr>
                <w:sz w:val="22"/>
                <w:szCs w:val="22"/>
              </w:rPr>
            </w:pPr>
            <w:proofErr w:type="spellStart"/>
            <w:r w:rsidRPr="00665DAB">
              <w:rPr>
                <w:sz w:val="22"/>
                <w:szCs w:val="22"/>
              </w:rPr>
              <w:t>Dyskinesi</w:t>
            </w:r>
            <w:proofErr w:type="spellEnd"/>
          </w:p>
          <w:p w14:paraId="7FF03F5C" w14:textId="77777777" w:rsidR="00642E1C" w:rsidRPr="00665DAB" w:rsidRDefault="00642E1C" w:rsidP="0040485D">
            <w:pPr>
              <w:rPr>
                <w:sz w:val="22"/>
                <w:szCs w:val="22"/>
              </w:rPr>
            </w:pPr>
            <w:r w:rsidRPr="00665DAB">
              <w:rPr>
                <w:sz w:val="22"/>
                <w:szCs w:val="22"/>
              </w:rPr>
              <w:t>Sedation</w:t>
            </w:r>
          </w:p>
          <w:p w14:paraId="3EBBBB4F" w14:textId="77777777" w:rsidR="00642E1C" w:rsidRPr="00665DAB" w:rsidRDefault="00642E1C" w:rsidP="0040485D">
            <w:pPr>
              <w:rPr>
                <w:sz w:val="22"/>
                <w:szCs w:val="22"/>
              </w:rPr>
            </w:pPr>
            <w:r w:rsidRPr="00665DAB">
              <w:rPr>
                <w:sz w:val="22"/>
                <w:szCs w:val="22"/>
              </w:rPr>
              <w:t>Svimmelhed</w:t>
            </w:r>
          </w:p>
        </w:tc>
        <w:tc>
          <w:tcPr>
            <w:tcW w:w="817" w:type="pct"/>
            <w:tcBorders>
              <w:top w:val="single" w:sz="4" w:space="0" w:color="auto"/>
              <w:left w:val="single" w:sz="4" w:space="0" w:color="auto"/>
              <w:bottom w:val="single" w:sz="4" w:space="0" w:color="auto"/>
              <w:right w:val="single" w:sz="4" w:space="0" w:color="auto"/>
            </w:tcBorders>
            <w:hideMark/>
          </w:tcPr>
          <w:p w14:paraId="430DAE86" w14:textId="77777777" w:rsidR="00642E1C" w:rsidRPr="00665DAB" w:rsidRDefault="00642E1C" w:rsidP="0040485D">
            <w:pPr>
              <w:rPr>
                <w:sz w:val="22"/>
                <w:szCs w:val="22"/>
              </w:rPr>
            </w:pPr>
            <w:r w:rsidRPr="00665DAB">
              <w:rPr>
                <w:sz w:val="22"/>
                <w:szCs w:val="22"/>
              </w:rPr>
              <w:t>Hovedpine</w:t>
            </w:r>
          </w:p>
        </w:tc>
        <w:tc>
          <w:tcPr>
            <w:tcW w:w="1383" w:type="pct"/>
            <w:tcBorders>
              <w:top w:val="single" w:sz="4" w:space="0" w:color="auto"/>
              <w:left w:val="single" w:sz="4" w:space="0" w:color="auto"/>
              <w:bottom w:val="single" w:sz="4" w:space="0" w:color="auto"/>
              <w:right w:val="single" w:sz="4" w:space="0" w:color="auto"/>
            </w:tcBorders>
            <w:hideMark/>
          </w:tcPr>
          <w:p w14:paraId="7EED28F0" w14:textId="77777777" w:rsidR="00642E1C" w:rsidRPr="00665DAB" w:rsidRDefault="00642E1C" w:rsidP="0040485D">
            <w:pPr>
              <w:rPr>
                <w:sz w:val="22"/>
                <w:szCs w:val="22"/>
              </w:rPr>
            </w:pPr>
            <w:r w:rsidRPr="00665DAB">
              <w:rPr>
                <w:sz w:val="22"/>
                <w:szCs w:val="22"/>
              </w:rPr>
              <w:t>Kramper</w:t>
            </w:r>
          </w:p>
          <w:p w14:paraId="6B486C5B" w14:textId="77777777" w:rsidR="00642E1C" w:rsidRPr="00665DAB" w:rsidRDefault="00642E1C" w:rsidP="0040485D">
            <w:pPr>
              <w:rPr>
                <w:sz w:val="22"/>
                <w:szCs w:val="22"/>
              </w:rPr>
            </w:pPr>
            <w:r w:rsidRPr="00665DAB">
              <w:rPr>
                <w:sz w:val="22"/>
                <w:szCs w:val="22"/>
              </w:rPr>
              <w:t>Bevidsthedstab</w:t>
            </w:r>
          </w:p>
          <w:p w14:paraId="5471D1EC" w14:textId="77777777" w:rsidR="00642E1C" w:rsidRPr="00665DAB" w:rsidRDefault="00642E1C" w:rsidP="0040485D">
            <w:pPr>
              <w:rPr>
                <w:sz w:val="22"/>
                <w:szCs w:val="22"/>
              </w:rPr>
            </w:pPr>
            <w:proofErr w:type="spellStart"/>
            <w:r w:rsidRPr="00665DAB">
              <w:rPr>
                <w:sz w:val="22"/>
                <w:szCs w:val="22"/>
              </w:rPr>
              <w:t>Myoklonus</w:t>
            </w:r>
            <w:proofErr w:type="spellEnd"/>
          </w:p>
        </w:tc>
      </w:tr>
      <w:tr w:rsidR="00642E1C" w:rsidRPr="00665DAB" w14:paraId="11DBAEBF" w14:textId="77777777" w:rsidTr="0040485D">
        <w:tc>
          <w:tcPr>
            <w:tcW w:w="1251" w:type="pct"/>
            <w:tcBorders>
              <w:top w:val="single" w:sz="4" w:space="0" w:color="auto"/>
              <w:left w:val="single" w:sz="4" w:space="0" w:color="auto"/>
              <w:bottom w:val="single" w:sz="4" w:space="0" w:color="auto"/>
              <w:right w:val="single" w:sz="4" w:space="0" w:color="auto"/>
            </w:tcBorders>
            <w:hideMark/>
          </w:tcPr>
          <w:p w14:paraId="6A1B8ECF" w14:textId="77777777" w:rsidR="00642E1C" w:rsidRPr="00E65D6D" w:rsidRDefault="00642E1C" w:rsidP="0040485D">
            <w:pPr>
              <w:rPr>
                <w:b/>
                <w:sz w:val="22"/>
                <w:szCs w:val="22"/>
              </w:rPr>
            </w:pPr>
            <w:r w:rsidRPr="00E65D6D">
              <w:rPr>
                <w:b/>
                <w:sz w:val="22"/>
                <w:szCs w:val="22"/>
              </w:rPr>
              <w:t>Øjne</w:t>
            </w:r>
          </w:p>
        </w:tc>
        <w:tc>
          <w:tcPr>
            <w:tcW w:w="725" w:type="pct"/>
            <w:tcBorders>
              <w:top w:val="single" w:sz="4" w:space="0" w:color="auto"/>
              <w:left w:val="single" w:sz="4" w:space="0" w:color="auto"/>
              <w:bottom w:val="single" w:sz="4" w:space="0" w:color="auto"/>
              <w:right w:val="single" w:sz="4" w:space="0" w:color="auto"/>
            </w:tcBorders>
          </w:tcPr>
          <w:p w14:paraId="3E4295B5" w14:textId="77777777" w:rsidR="00642E1C" w:rsidRPr="00665DAB" w:rsidRDefault="00642E1C" w:rsidP="0040485D">
            <w:pPr>
              <w:rPr>
                <w:sz w:val="22"/>
                <w:szCs w:val="22"/>
              </w:rPr>
            </w:pPr>
          </w:p>
        </w:tc>
        <w:tc>
          <w:tcPr>
            <w:tcW w:w="823" w:type="pct"/>
            <w:tcBorders>
              <w:top w:val="single" w:sz="4" w:space="0" w:color="auto"/>
              <w:left w:val="single" w:sz="4" w:space="0" w:color="auto"/>
              <w:bottom w:val="single" w:sz="4" w:space="0" w:color="auto"/>
              <w:right w:val="single" w:sz="4" w:space="0" w:color="auto"/>
            </w:tcBorders>
            <w:hideMark/>
          </w:tcPr>
          <w:p w14:paraId="1B7619EC" w14:textId="77777777" w:rsidR="00642E1C" w:rsidRPr="00665DAB" w:rsidRDefault="00642E1C" w:rsidP="0040485D">
            <w:pPr>
              <w:rPr>
                <w:sz w:val="22"/>
                <w:szCs w:val="22"/>
              </w:rPr>
            </w:pPr>
            <w:r w:rsidRPr="00665DAB">
              <w:rPr>
                <w:sz w:val="22"/>
                <w:szCs w:val="22"/>
              </w:rPr>
              <w:t>Synsforstyrrelser</w:t>
            </w:r>
          </w:p>
        </w:tc>
        <w:tc>
          <w:tcPr>
            <w:tcW w:w="817" w:type="pct"/>
            <w:tcBorders>
              <w:top w:val="single" w:sz="4" w:space="0" w:color="auto"/>
              <w:left w:val="single" w:sz="4" w:space="0" w:color="auto"/>
              <w:bottom w:val="single" w:sz="4" w:space="0" w:color="auto"/>
              <w:right w:val="single" w:sz="4" w:space="0" w:color="auto"/>
            </w:tcBorders>
          </w:tcPr>
          <w:p w14:paraId="1CCD2C0F" w14:textId="77777777" w:rsidR="00642E1C" w:rsidRPr="00665DAB" w:rsidRDefault="00642E1C" w:rsidP="0040485D">
            <w:pPr>
              <w:rPr>
                <w:sz w:val="22"/>
                <w:szCs w:val="22"/>
              </w:rPr>
            </w:pPr>
          </w:p>
        </w:tc>
        <w:tc>
          <w:tcPr>
            <w:tcW w:w="1383" w:type="pct"/>
            <w:tcBorders>
              <w:top w:val="single" w:sz="4" w:space="0" w:color="auto"/>
              <w:left w:val="single" w:sz="4" w:space="0" w:color="auto"/>
              <w:bottom w:val="single" w:sz="4" w:space="0" w:color="auto"/>
              <w:right w:val="single" w:sz="4" w:space="0" w:color="auto"/>
            </w:tcBorders>
          </w:tcPr>
          <w:p w14:paraId="061FED35" w14:textId="77777777" w:rsidR="00642E1C" w:rsidRPr="00665DAB" w:rsidRDefault="00642E1C" w:rsidP="0040485D">
            <w:pPr>
              <w:rPr>
                <w:sz w:val="22"/>
                <w:szCs w:val="22"/>
              </w:rPr>
            </w:pPr>
          </w:p>
        </w:tc>
      </w:tr>
      <w:tr w:rsidR="00642E1C" w:rsidRPr="00665DAB" w14:paraId="270EA7AB" w14:textId="77777777" w:rsidTr="0040485D">
        <w:tc>
          <w:tcPr>
            <w:tcW w:w="1251" w:type="pct"/>
            <w:tcBorders>
              <w:top w:val="single" w:sz="4" w:space="0" w:color="auto"/>
              <w:left w:val="single" w:sz="4" w:space="0" w:color="auto"/>
              <w:bottom w:val="single" w:sz="4" w:space="0" w:color="auto"/>
              <w:right w:val="single" w:sz="4" w:space="0" w:color="auto"/>
            </w:tcBorders>
            <w:hideMark/>
          </w:tcPr>
          <w:p w14:paraId="33CB9A79" w14:textId="77777777" w:rsidR="00642E1C" w:rsidRPr="00E65D6D" w:rsidRDefault="00642E1C" w:rsidP="0040485D">
            <w:pPr>
              <w:rPr>
                <w:b/>
                <w:sz w:val="22"/>
                <w:szCs w:val="22"/>
              </w:rPr>
            </w:pPr>
            <w:r w:rsidRPr="00E65D6D">
              <w:rPr>
                <w:b/>
                <w:sz w:val="22"/>
                <w:szCs w:val="22"/>
              </w:rPr>
              <w:t>Hjerte</w:t>
            </w:r>
          </w:p>
        </w:tc>
        <w:tc>
          <w:tcPr>
            <w:tcW w:w="725" w:type="pct"/>
            <w:tcBorders>
              <w:top w:val="single" w:sz="4" w:space="0" w:color="auto"/>
              <w:left w:val="single" w:sz="4" w:space="0" w:color="auto"/>
              <w:bottom w:val="single" w:sz="4" w:space="0" w:color="auto"/>
              <w:right w:val="single" w:sz="4" w:space="0" w:color="auto"/>
            </w:tcBorders>
          </w:tcPr>
          <w:p w14:paraId="24F1D991" w14:textId="77777777" w:rsidR="00642E1C" w:rsidRPr="00665DAB" w:rsidRDefault="00642E1C" w:rsidP="0040485D">
            <w:pPr>
              <w:rPr>
                <w:sz w:val="22"/>
                <w:szCs w:val="22"/>
              </w:rPr>
            </w:pPr>
          </w:p>
        </w:tc>
        <w:tc>
          <w:tcPr>
            <w:tcW w:w="823" w:type="pct"/>
            <w:tcBorders>
              <w:top w:val="single" w:sz="4" w:space="0" w:color="auto"/>
              <w:left w:val="single" w:sz="4" w:space="0" w:color="auto"/>
              <w:bottom w:val="single" w:sz="4" w:space="0" w:color="auto"/>
              <w:right w:val="single" w:sz="4" w:space="0" w:color="auto"/>
            </w:tcBorders>
            <w:hideMark/>
          </w:tcPr>
          <w:p w14:paraId="6D345FB2" w14:textId="77777777" w:rsidR="00642E1C" w:rsidRPr="00665DAB" w:rsidRDefault="00642E1C" w:rsidP="0040485D">
            <w:pPr>
              <w:rPr>
                <w:sz w:val="22"/>
                <w:szCs w:val="22"/>
              </w:rPr>
            </w:pPr>
            <w:r w:rsidRPr="00665DAB">
              <w:rPr>
                <w:sz w:val="22"/>
                <w:szCs w:val="22"/>
              </w:rPr>
              <w:t>Bradykardi</w:t>
            </w:r>
          </w:p>
          <w:p w14:paraId="0D482F92" w14:textId="77777777" w:rsidR="00642E1C" w:rsidRPr="00665DAB" w:rsidRDefault="00642E1C" w:rsidP="0040485D">
            <w:pPr>
              <w:rPr>
                <w:sz w:val="22"/>
                <w:szCs w:val="22"/>
              </w:rPr>
            </w:pPr>
            <w:proofErr w:type="spellStart"/>
            <w:r w:rsidRPr="00665DAB">
              <w:rPr>
                <w:sz w:val="22"/>
                <w:szCs w:val="22"/>
              </w:rPr>
              <w:t>Takykardi</w:t>
            </w:r>
            <w:proofErr w:type="spellEnd"/>
          </w:p>
          <w:p w14:paraId="2555A9EA" w14:textId="77777777" w:rsidR="00642E1C" w:rsidRPr="00665DAB" w:rsidRDefault="00642E1C" w:rsidP="0040485D">
            <w:pPr>
              <w:rPr>
                <w:sz w:val="22"/>
                <w:szCs w:val="22"/>
              </w:rPr>
            </w:pPr>
            <w:proofErr w:type="spellStart"/>
            <w:r w:rsidRPr="00665DAB">
              <w:rPr>
                <w:sz w:val="22"/>
                <w:szCs w:val="22"/>
              </w:rPr>
              <w:t>Arytmi</w:t>
            </w:r>
            <w:proofErr w:type="spellEnd"/>
          </w:p>
        </w:tc>
        <w:tc>
          <w:tcPr>
            <w:tcW w:w="817" w:type="pct"/>
            <w:tcBorders>
              <w:top w:val="single" w:sz="4" w:space="0" w:color="auto"/>
              <w:left w:val="single" w:sz="4" w:space="0" w:color="auto"/>
              <w:bottom w:val="single" w:sz="4" w:space="0" w:color="auto"/>
              <w:right w:val="single" w:sz="4" w:space="0" w:color="auto"/>
            </w:tcBorders>
          </w:tcPr>
          <w:p w14:paraId="6264407C" w14:textId="77777777" w:rsidR="00642E1C" w:rsidRPr="00665DAB" w:rsidRDefault="00642E1C" w:rsidP="0040485D">
            <w:pPr>
              <w:rPr>
                <w:sz w:val="22"/>
                <w:szCs w:val="22"/>
              </w:rPr>
            </w:pPr>
          </w:p>
        </w:tc>
        <w:tc>
          <w:tcPr>
            <w:tcW w:w="1383" w:type="pct"/>
            <w:tcBorders>
              <w:top w:val="single" w:sz="4" w:space="0" w:color="auto"/>
              <w:left w:val="single" w:sz="4" w:space="0" w:color="auto"/>
              <w:bottom w:val="single" w:sz="4" w:space="0" w:color="auto"/>
              <w:right w:val="single" w:sz="4" w:space="0" w:color="auto"/>
            </w:tcBorders>
            <w:hideMark/>
          </w:tcPr>
          <w:p w14:paraId="3B0AC404" w14:textId="77777777" w:rsidR="00642E1C" w:rsidRPr="00665DAB" w:rsidRDefault="00642E1C" w:rsidP="0040485D">
            <w:pPr>
              <w:rPr>
                <w:sz w:val="22"/>
                <w:szCs w:val="22"/>
              </w:rPr>
            </w:pPr>
            <w:r w:rsidRPr="00665DAB">
              <w:rPr>
                <w:sz w:val="22"/>
                <w:szCs w:val="22"/>
              </w:rPr>
              <w:t>Hjertestop</w:t>
            </w:r>
          </w:p>
        </w:tc>
      </w:tr>
      <w:tr w:rsidR="00642E1C" w:rsidRPr="00665DAB" w14:paraId="7888195E" w14:textId="77777777" w:rsidTr="0040485D">
        <w:tc>
          <w:tcPr>
            <w:tcW w:w="1251" w:type="pct"/>
            <w:tcBorders>
              <w:top w:val="single" w:sz="4" w:space="0" w:color="auto"/>
              <w:left w:val="single" w:sz="4" w:space="0" w:color="auto"/>
              <w:bottom w:val="single" w:sz="4" w:space="0" w:color="auto"/>
              <w:right w:val="single" w:sz="4" w:space="0" w:color="auto"/>
            </w:tcBorders>
            <w:hideMark/>
          </w:tcPr>
          <w:p w14:paraId="78431945" w14:textId="77777777" w:rsidR="00642E1C" w:rsidRPr="00E65D6D" w:rsidRDefault="00642E1C" w:rsidP="0040485D">
            <w:pPr>
              <w:rPr>
                <w:b/>
                <w:sz w:val="22"/>
                <w:szCs w:val="22"/>
              </w:rPr>
            </w:pPr>
            <w:proofErr w:type="spellStart"/>
            <w:r w:rsidRPr="00E65D6D">
              <w:rPr>
                <w:b/>
                <w:sz w:val="22"/>
                <w:szCs w:val="22"/>
              </w:rPr>
              <w:t>Vaskulære</w:t>
            </w:r>
            <w:proofErr w:type="spellEnd"/>
            <w:r w:rsidRPr="00E65D6D">
              <w:rPr>
                <w:b/>
                <w:sz w:val="22"/>
                <w:szCs w:val="22"/>
              </w:rPr>
              <w:t xml:space="preserve"> sygdomme</w:t>
            </w:r>
          </w:p>
        </w:tc>
        <w:tc>
          <w:tcPr>
            <w:tcW w:w="725" w:type="pct"/>
            <w:tcBorders>
              <w:top w:val="single" w:sz="4" w:space="0" w:color="auto"/>
              <w:left w:val="single" w:sz="4" w:space="0" w:color="auto"/>
              <w:bottom w:val="single" w:sz="4" w:space="0" w:color="auto"/>
              <w:right w:val="single" w:sz="4" w:space="0" w:color="auto"/>
            </w:tcBorders>
          </w:tcPr>
          <w:p w14:paraId="412D5737" w14:textId="77777777" w:rsidR="00642E1C" w:rsidRPr="00665DAB" w:rsidRDefault="00642E1C" w:rsidP="0040485D">
            <w:pPr>
              <w:rPr>
                <w:sz w:val="22"/>
                <w:szCs w:val="22"/>
              </w:rPr>
            </w:pPr>
          </w:p>
        </w:tc>
        <w:tc>
          <w:tcPr>
            <w:tcW w:w="823" w:type="pct"/>
            <w:tcBorders>
              <w:top w:val="single" w:sz="4" w:space="0" w:color="auto"/>
              <w:left w:val="single" w:sz="4" w:space="0" w:color="auto"/>
              <w:bottom w:val="single" w:sz="4" w:space="0" w:color="auto"/>
              <w:right w:val="single" w:sz="4" w:space="0" w:color="auto"/>
            </w:tcBorders>
            <w:hideMark/>
          </w:tcPr>
          <w:p w14:paraId="0377A93C" w14:textId="77777777" w:rsidR="00642E1C" w:rsidRPr="00665DAB" w:rsidRDefault="00642E1C" w:rsidP="0040485D">
            <w:pPr>
              <w:rPr>
                <w:sz w:val="22"/>
                <w:szCs w:val="22"/>
              </w:rPr>
            </w:pPr>
            <w:r w:rsidRPr="00665DAB">
              <w:rPr>
                <w:sz w:val="22"/>
                <w:szCs w:val="22"/>
              </w:rPr>
              <w:t>Hypotension</w:t>
            </w:r>
          </w:p>
          <w:p w14:paraId="20A40484" w14:textId="77777777" w:rsidR="00642E1C" w:rsidRPr="00665DAB" w:rsidRDefault="00642E1C" w:rsidP="0040485D">
            <w:pPr>
              <w:rPr>
                <w:sz w:val="22"/>
                <w:szCs w:val="22"/>
              </w:rPr>
            </w:pPr>
            <w:r w:rsidRPr="00665DAB">
              <w:rPr>
                <w:sz w:val="22"/>
                <w:szCs w:val="22"/>
              </w:rPr>
              <w:t>Hypertension</w:t>
            </w:r>
          </w:p>
          <w:p w14:paraId="4F4E0BC0" w14:textId="77777777" w:rsidR="00642E1C" w:rsidRPr="00665DAB" w:rsidRDefault="00642E1C" w:rsidP="0040485D">
            <w:pPr>
              <w:rPr>
                <w:sz w:val="22"/>
                <w:szCs w:val="22"/>
              </w:rPr>
            </w:pPr>
            <w:r w:rsidRPr="00665DAB">
              <w:rPr>
                <w:sz w:val="22"/>
                <w:szCs w:val="22"/>
              </w:rPr>
              <w:t>Venesmerter</w:t>
            </w:r>
          </w:p>
        </w:tc>
        <w:tc>
          <w:tcPr>
            <w:tcW w:w="817" w:type="pct"/>
            <w:tcBorders>
              <w:top w:val="single" w:sz="4" w:space="0" w:color="auto"/>
              <w:left w:val="single" w:sz="4" w:space="0" w:color="auto"/>
              <w:bottom w:val="single" w:sz="4" w:space="0" w:color="auto"/>
              <w:right w:val="single" w:sz="4" w:space="0" w:color="auto"/>
            </w:tcBorders>
            <w:hideMark/>
          </w:tcPr>
          <w:p w14:paraId="0025AFC0" w14:textId="77777777" w:rsidR="00642E1C" w:rsidRPr="00665DAB" w:rsidRDefault="00642E1C" w:rsidP="0040485D">
            <w:pPr>
              <w:rPr>
                <w:sz w:val="22"/>
                <w:szCs w:val="22"/>
              </w:rPr>
            </w:pPr>
            <w:proofErr w:type="spellStart"/>
            <w:r w:rsidRPr="00665DAB">
              <w:rPr>
                <w:sz w:val="22"/>
                <w:szCs w:val="22"/>
              </w:rPr>
              <w:t>Flebitis</w:t>
            </w:r>
            <w:proofErr w:type="spellEnd"/>
          </w:p>
          <w:p w14:paraId="40D41AE9" w14:textId="77777777" w:rsidR="00642E1C" w:rsidRPr="00665DAB" w:rsidRDefault="00642E1C" w:rsidP="0040485D">
            <w:pPr>
              <w:rPr>
                <w:sz w:val="22"/>
                <w:szCs w:val="22"/>
              </w:rPr>
            </w:pPr>
            <w:r w:rsidRPr="00665DAB">
              <w:rPr>
                <w:sz w:val="22"/>
                <w:szCs w:val="22"/>
              </w:rPr>
              <w:t>Blodtryks-svingninger</w:t>
            </w:r>
          </w:p>
        </w:tc>
        <w:tc>
          <w:tcPr>
            <w:tcW w:w="1383" w:type="pct"/>
            <w:tcBorders>
              <w:top w:val="single" w:sz="4" w:space="0" w:color="auto"/>
              <w:left w:val="single" w:sz="4" w:space="0" w:color="auto"/>
              <w:bottom w:val="single" w:sz="4" w:space="0" w:color="auto"/>
              <w:right w:val="single" w:sz="4" w:space="0" w:color="auto"/>
            </w:tcBorders>
          </w:tcPr>
          <w:p w14:paraId="24194566" w14:textId="77777777" w:rsidR="00642E1C" w:rsidRPr="00665DAB" w:rsidRDefault="00642E1C" w:rsidP="0040485D">
            <w:pPr>
              <w:rPr>
                <w:sz w:val="22"/>
                <w:szCs w:val="22"/>
              </w:rPr>
            </w:pPr>
          </w:p>
        </w:tc>
      </w:tr>
      <w:tr w:rsidR="00642E1C" w:rsidRPr="00665DAB" w14:paraId="7515E332" w14:textId="77777777" w:rsidTr="0040485D">
        <w:tc>
          <w:tcPr>
            <w:tcW w:w="1251" w:type="pct"/>
            <w:tcBorders>
              <w:top w:val="single" w:sz="4" w:space="0" w:color="auto"/>
              <w:left w:val="single" w:sz="4" w:space="0" w:color="auto"/>
              <w:bottom w:val="single" w:sz="4" w:space="0" w:color="auto"/>
              <w:right w:val="single" w:sz="4" w:space="0" w:color="auto"/>
            </w:tcBorders>
            <w:hideMark/>
          </w:tcPr>
          <w:p w14:paraId="184217A6" w14:textId="77777777" w:rsidR="00642E1C" w:rsidRPr="00E65D6D" w:rsidRDefault="00642E1C" w:rsidP="0040485D">
            <w:pPr>
              <w:rPr>
                <w:b/>
                <w:sz w:val="22"/>
                <w:szCs w:val="22"/>
              </w:rPr>
            </w:pPr>
            <w:r w:rsidRPr="00E65D6D">
              <w:rPr>
                <w:b/>
                <w:sz w:val="22"/>
                <w:szCs w:val="22"/>
              </w:rPr>
              <w:t xml:space="preserve">Luftveje, thorax og </w:t>
            </w:r>
            <w:proofErr w:type="spellStart"/>
            <w:r w:rsidRPr="00E65D6D">
              <w:rPr>
                <w:b/>
                <w:sz w:val="22"/>
                <w:szCs w:val="22"/>
              </w:rPr>
              <w:t>mediastinum</w:t>
            </w:r>
            <w:proofErr w:type="spellEnd"/>
          </w:p>
        </w:tc>
        <w:tc>
          <w:tcPr>
            <w:tcW w:w="725" w:type="pct"/>
            <w:tcBorders>
              <w:top w:val="single" w:sz="4" w:space="0" w:color="auto"/>
              <w:left w:val="single" w:sz="4" w:space="0" w:color="auto"/>
              <w:bottom w:val="single" w:sz="4" w:space="0" w:color="auto"/>
              <w:right w:val="single" w:sz="4" w:space="0" w:color="auto"/>
            </w:tcBorders>
          </w:tcPr>
          <w:p w14:paraId="3A91EF61" w14:textId="77777777" w:rsidR="00642E1C" w:rsidRPr="00665DAB" w:rsidRDefault="00642E1C" w:rsidP="0040485D">
            <w:pPr>
              <w:rPr>
                <w:sz w:val="22"/>
                <w:szCs w:val="22"/>
              </w:rPr>
            </w:pPr>
          </w:p>
        </w:tc>
        <w:tc>
          <w:tcPr>
            <w:tcW w:w="823" w:type="pct"/>
            <w:tcBorders>
              <w:top w:val="single" w:sz="4" w:space="0" w:color="auto"/>
              <w:left w:val="single" w:sz="4" w:space="0" w:color="auto"/>
              <w:bottom w:val="single" w:sz="4" w:space="0" w:color="auto"/>
              <w:right w:val="single" w:sz="4" w:space="0" w:color="auto"/>
            </w:tcBorders>
            <w:hideMark/>
          </w:tcPr>
          <w:p w14:paraId="0B993F4C" w14:textId="77777777" w:rsidR="00642E1C" w:rsidRPr="00665DAB" w:rsidRDefault="00642E1C" w:rsidP="0040485D">
            <w:pPr>
              <w:rPr>
                <w:sz w:val="22"/>
                <w:szCs w:val="22"/>
              </w:rPr>
            </w:pPr>
            <w:proofErr w:type="spellStart"/>
            <w:r w:rsidRPr="00665DAB">
              <w:rPr>
                <w:sz w:val="22"/>
                <w:szCs w:val="22"/>
              </w:rPr>
              <w:t>Laryngospasmer</w:t>
            </w:r>
            <w:proofErr w:type="spellEnd"/>
          </w:p>
          <w:p w14:paraId="111DFF09" w14:textId="77777777" w:rsidR="00642E1C" w:rsidRPr="00665DAB" w:rsidRDefault="00642E1C" w:rsidP="0040485D">
            <w:pPr>
              <w:rPr>
                <w:sz w:val="22"/>
                <w:szCs w:val="22"/>
              </w:rPr>
            </w:pPr>
            <w:proofErr w:type="spellStart"/>
            <w:r w:rsidRPr="00665DAB">
              <w:rPr>
                <w:sz w:val="22"/>
                <w:szCs w:val="22"/>
              </w:rPr>
              <w:t>Bronkospasmer</w:t>
            </w:r>
            <w:proofErr w:type="spellEnd"/>
          </w:p>
          <w:p w14:paraId="46CDA721" w14:textId="77777777" w:rsidR="00642E1C" w:rsidRPr="00665DAB" w:rsidRDefault="00642E1C" w:rsidP="0040485D">
            <w:pPr>
              <w:rPr>
                <w:sz w:val="22"/>
                <w:szCs w:val="22"/>
              </w:rPr>
            </w:pPr>
            <w:r w:rsidRPr="00665DAB">
              <w:rPr>
                <w:sz w:val="22"/>
                <w:szCs w:val="22"/>
              </w:rPr>
              <w:t>Apnø</w:t>
            </w:r>
          </w:p>
        </w:tc>
        <w:tc>
          <w:tcPr>
            <w:tcW w:w="817" w:type="pct"/>
            <w:tcBorders>
              <w:top w:val="single" w:sz="4" w:space="0" w:color="auto"/>
              <w:left w:val="single" w:sz="4" w:space="0" w:color="auto"/>
              <w:bottom w:val="single" w:sz="4" w:space="0" w:color="auto"/>
              <w:right w:val="single" w:sz="4" w:space="0" w:color="auto"/>
            </w:tcBorders>
            <w:hideMark/>
          </w:tcPr>
          <w:p w14:paraId="5A9172EE" w14:textId="77777777" w:rsidR="00642E1C" w:rsidRPr="00665DAB" w:rsidRDefault="00642E1C" w:rsidP="0040485D">
            <w:pPr>
              <w:rPr>
                <w:sz w:val="22"/>
                <w:szCs w:val="22"/>
              </w:rPr>
            </w:pPr>
            <w:r w:rsidRPr="00665DAB">
              <w:rPr>
                <w:sz w:val="22"/>
                <w:szCs w:val="22"/>
              </w:rPr>
              <w:t>Hyperventilation</w:t>
            </w:r>
          </w:p>
          <w:p w14:paraId="18F2FB6A" w14:textId="77777777" w:rsidR="00642E1C" w:rsidRPr="00665DAB" w:rsidRDefault="00642E1C" w:rsidP="0040485D">
            <w:pPr>
              <w:rPr>
                <w:sz w:val="22"/>
                <w:szCs w:val="22"/>
              </w:rPr>
            </w:pPr>
            <w:r w:rsidRPr="00665DAB">
              <w:rPr>
                <w:sz w:val="22"/>
                <w:szCs w:val="22"/>
              </w:rPr>
              <w:t>Hikke</w:t>
            </w:r>
          </w:p>
        </w:tc>
        <w:tc>
          <w:tcPr>
            <w:tcW w:w="1383" w:type="pct"/>
            <w:tcBorders>
              <w:top w:val="single" w:sz="4" w:space="0" w:color="auto"/>
              <w:left w:val="single" w:sz="4" w:space="0" w:color="auto"/>
              <w:bottom w:val="single" w:sz="4" w:space="0" w:color="auto"/>
              <w:right w:val="single" w:sz="4" w:space="0" w:color="auto"/>
            </w:tcBorders>
            <w:hideMark/>
          </w:tcPr>
          <w:p w14:paraId="3CA3DB03" w14:textId="77777777" w:rsidR="00642E1C" w:rsidRPr="00665DAB" w:rsidRDefault="00642E1C" w:rsidP="0040485D">
            <w:pPr>
              <w:rPr>
                <w:sz w:val="22"/>
                <w:szCs w:val="22"/>
              </w:rPr>
            </w:pPr>
            <w:r w:rsidRPr="00665DAB">
              <w:rPr>
                <w:sz w:val="22"/>
                <w:szCs w:val="22"/>
              </w:rPr>
              <w:t>Respirationsdepression</w:t>
            </w:r>
          </w:p>
        </w:tc>
      </w:tr>
      <w:tr w:rsidR="00642E1C" w:rsidRPr="00665DAB" w14:paraId="088912C9" w14:textId="77777777" w:rsidTr="0040485D">
        <w:tc>
          <w:tcPr>
            <w:tcW w:w="1251" w:type="pct"/>
            <w:tcBorders>
              <w:top w:val="single" w:sz="4" w:space="0" w:color="auto"/>
              <w:left w:val="single" w:sz="4" w:space="0" w:color="auto"/>
              <w:bottom w:val="single" w:sz="4" w:space="0" w:color="auto"/>
              <w:right w:val="single" w:sz="4" w:space="0" w:color="auto"/>
            </w:tcBorders>
            <w:hideMark/>
          </w:tcPr>
          <w:p w14:paraId="63B9DE96" w14:textId="77777777" w:rsidR="00642E1C" w:rsidRPr="00E65D6D" w:rsidRDefault="00642E1C" w:rsidP="0040485D">
            <w:pPr>
              <w:rPr>
                <w:b/>
                <w:sz w:val="22"/>
                <w:szCs w:val="22"/>
              </w:rPr>
            </w:pPr>
            <w:r w:rsidRPr="00E65D6D">
              <w:rPr>
                <w:b/>
                <w:sz w:val="22"/>
                <w:szCs w:val="22"/>
              </w:rPr>
              <w:t>Mave-tarm-kanalen</w:t>
            </w:r>
          </w:p>
        </w:tc>
        <w:tc>
          <w:tcPr>
            <w:tcW w:w="725" w:type="pct"/>
            <w:tcBorders>
              <w:top w:val="single" w:sz="4" w:space="0" w:color="auto"/>
              <w:left w:val="single" w:sz="4" w:space="0" w:color="auto"/>
              <w:bottom w:val="single" w:sz="4" w:space="0" w:color="auto"/>
              <w:right w:val="single" w:sz="4" w:space="0" w:color="auto"/>
            </w:tcBorders>
            <w:hideMark/>
          </w:tcPr>
          <w:p w14:paraId="6C9D1035" w14:textId="77777777" w:rsidR="00642E1C" w:rsidRPr="00665DAB" w:rsidRDefault="00642E1C" w:rsidP="0040485D">
            <w:pPr>
              <w:rPr>
                <w:sz w:val="22"/>
                <w:szCs w:val="22"/>
              </w:rPr>
            </w:pPr>
            <w:r w:rsidRPr="00665DAB">
              <w:rPr>
                <w:sz w:val="22"/>
                <w:szCs w:val="22"/>
              </w:rPr>
              <w:t>Kvalme</w:t>
            </w:r>
          </w:p>
          <w:p w14:paraId="6083BAC9" w14:textId="77777777" w:rsidR="00642E1C" w:rsidRPr="00665DAB" w:rsidRDefault="00642E1C" w:rsidP="0040485D">
            <w:pPr>
              <w:rPr>
                <w:sz w:val="22"/>
                <w:szCs w:val="22"/>
              </w:rPr>
            </w:pPr>
            <w:r w:rsidRPr="00665DAB">
              <w:rPr>
                <w:sz w:val="22"/>
                <w:szCs w:val="22"/>
              </w:rPr>
              <w:t>Opkastning</w:t>
            </w:r>
          </w:p>
        </w:tc>
        <w:tc>
          <w:tcPr>
            <w:tcW w:w="823" w:type="pct"/>
            <w:tcBorders>
              <w:top w:val="single" w:sz="4" w:space="0" w:color="auto"/>
              <w:left w:val="single" w:sz="4" w:space="0" w:color="auto"/>
              <w:bottom w:val="single" w:sz="4" w:space="0" w:color="auto"/>
              <w:right w:val="single" w:sz="4" w:space="0" w:color="auto"/>
            </w:tcBorders>
          </w:tcPr>
          <w:p w14:paraId="38A1A2D6" w14:textId="77777777" w:rsidR="00642E1C" w:rsidRPr="00665DAB" w:rsidRDefault="00642E1C" w:rsidP="0040485D">
            <w:pPr>
              <w:rPr>
                <w:sz w:val="22"/>
                <w:szCs w:val="22"/>
              </w:rPr>
            </w:pPr>
          </w:p>
        </w:tc>
        <w:tc>
          <w:tcPr>
            <w:tcW w:w="817" w:type="pct"/>
            <w:tcBorders>
              <w:top w:val="single" w:sz="4" w:space="0" w:color="auto"/>
              <w:left w:val="single" w:sz="4" w:space="0" w:color="auto"/>
              <w:bottom w:val="single" w:sz="4" w:space="0" w:color="auto"/>
              <w:right w:val="single" w:sz="4" w:space="0" w:color="auto"/>
            </w:tcBorders>
          </w:tcPr>
          <w:p w14:paraId="2BF0C236" w14:textId="6A25C31D" w:rsidR="00642E1C" w:rsidRPr="00665DAB" w:rsidRDefault="00294941" w:rsidP="0040485D">
            <w:pPr>
              <w:rPr>
                <w:sz w:val="22"/>
                <w:szCs w:val="22"/>
              </w:rPr>
            </w:pPr>
            <w:r>
              <w:rPr>
                <w:sz w:val="22"/>
                <w:szCs w:val="22"/>
                <w:lang w:val="lv-LV"/>
              </w:rPr>
              <w:t>Dysfagi</w:t>
            </w:r>
          </w:p>
        </w:tc>
        <w:tc>
          <w:tcPr>
            <w:tcW w:w="1383" w:type="pct"/>
            <w:tcBorders>
              <w:top w:val="single" w:sz="4" w:space="0" w:color="auto"/>
              <w:left w:val="single" w:sz="4" w:space="0" w:color="auto"/>
              <w:bottom w:val="single" w:sz="4" w:space="0" w:color="auto"/>
              <w:right w:val="single" w:sz="4" w:space="0" w:color="auto"/>
            </w:tcBorders>
          </w:tcPr>
          <w:p w14:paraId="4E575C9F" w14:textId="77777777" w:rsidR="00642E1C" w:rsidRPr="00665DAB" w:rsidRDefault="00642E1C" w:rsidP="0040485D">
            <w:pPr>
              <w:rPr>
                <w:sz w:val="22"/>
                <w:szCs w:val="22"/>
              </w:rPr>
            </w:pPr>
          </w:p>
        </w:tc>
      </w:tr>
      <w:tr w:rsidR="00642E1C" w:rsidRPr="00665DAB" w14:paraId="2AA55A3B" w14:textId="77777777" w:rsidTr="0040485D">
        <w:tc>
          <w:tcPr>
            <w:tcW w:w="1251" w:type="pct"/>
            <w:tcBorders>
              <w:top w:val="single" w:sz="4" w:space="0" w:color="auto"/>
              <w:left w:val="single" w:sz="4" w:space="0" w:color="auto"/>
              <w:bottom w:val="single" w:sz="4" w:space="0" w:color="auto"/>
              <w:right w:val="single" w:sz="4" w:space="0" w:color="auto"/>
            </w:tcBorders>
            <w:hideMark/>
          </w:tcPr>
          <w:p w14:paraId="0DA26664" w14:textId="77777777" w:rsidR="00642E1C" w:rsidRPr="00E65D6D" w:rsidRDefault="00642E1C" w:rsidP="0040485D">
            <w:pPr>
              <w:rPr>
                <w:b/>
                <w:sz w:val="22"/>
                <w:szCs w:val="22"/>
              </w:rPr>
            </w:pPr>
            <w:r w:rsidRPr="00E65D6D">
              <w:rPr>
                <w:b/>
                <w:sz w:val="22"/>
                <w:szCs w:val="22"/>
              </w:rPr>
              <w:t>Hud og subkutane væv</w:t>
            </w:r>
          </w:p>
        </w:tc>
        <w:tc>
          <w:tcPr>
            <w:tcW w:w="725" w:type="pct"/>
            <w:tcBorders>
              <w:top w:val="single" w:sz="4" w:space="0" w:color="auto"/>
              <w:left w:val="single" w:sz="4" w:space="0" w:color="auto"/>
              <w:bottom w:val="single" w:sz="4" w:space="0" w:color="auto"/>
              <w:right w:val="single" w:sz="4" w:space="0" w:color="auto"/>
            </w:tcBorders>
          </w:tcPr>
          <w:p w14:paraId="2A3EB4BD" w14:textId="77777777" w:rsidR="00642E1C" w:rsidRPr="00665DAB" w:rsidRDefault="00642E1C" w:rsidP="0040485D">
            <w:pPr>
              <w:rPr>
                <w:sz w:val="22"/>
                <w:szCs w:val="22"/>
              </w:rPr>
            </w:pPr>
          </w:p>
        </w:tc>
        <w:tc>
          <w:tcPr>
            <w:tcW w:w="823" w:type="pct"/>
            <w:tcBorders>
              <w:top w:val="single" w:sz="4" w:space="0" w:color="auto"/>
              <w:left w:val="single" w:sz="4" w:space="0" w:color="auto"/>
              <w:bottom w:val="single" w:sz="4" w:space="0" w:color="auto"/>
              <w:right w:val="single" w:sz="4" w:space="0" w:color="auto"/>
            </w:tcBorders>
            <w:hideMark/>
          </w:tcPr>
          <w:p w14:paraId="42A88928" w14:textId="77777777" w:rsidR="00642E1C" w:rsidRPr="00665DAB" w:rsidRDefault="00642E1C" w:rsidP="0040485D">
            <w:pPr>
              <w:rPr>
                <w:sz w:val="22"/>
                <w:szCs w:val="22"/>
              </w:rPr>
            </w:pPr>
            <w:r w:rsidRPr="00665DAB">
              <w:rPr>
                <w:sz w:val="22"/>
                <w:szCs w:val="22"/>
              </w:rPr>
              <w:t xml:space="preserve">Allergisk </w:t>
            </w:r>
            <w:proofErr w:type="spellStart"/>
            <w:r w:rsidRPr="00665DAB">
              <w:rPr>
                <w:sz w:val="22"/>
                <w:szCs w:val="22"/>
              </w:rPr>
              <w:t>dermatitis</w:t>
            </w:r>
            <w:proofErr w:type="spellEnd"/>
          </w:p>
        </w:tc>
        <w:tc>
          <w:tcPr>
            <w:tcW w:w="817" w:type="pct"/>
            <w:tcBorders>
              <w:top w:val="single" w:sz="4" w:space="0" w:color="auto"/>
              <w:left w:val="single" w:sz="4" w:space="0" w:color="auto"/>
              <w:bottom w:val="single" w:sz="4" w:space="0" w:color="auto"/>
              <w:right w:val="single" w:sz="4" w:space="0" w:color="auto"/>
            </w:tcBorders>
          </w:tcPr>
          <w:p w14:paraId="56A29CD8" w14:textId="77777777" w:rsidR="00642E1C" w:rsidRPr="00665DAB" w:rsidRDefault="00642E1C" w:rsidP="0040485D">
            <w:pPr>
              <w:rPr>
                <w:sz w:val="22"/>
                <w:szCs w:val="22"/>
              </w:rPr>
            </w:pPr>
          </w:p>
        </w:tc>
        <w:tc>
          <w:tcPr>
            <w:tcW w:w="1383" w:type="pct"/>
            <w:tcBorders>
              <w:top w:val="single" w:sz="4" w:space="0" w:color="auto"/>
              <w:left w:val="single" w:sz="4" w:space="0" w:color="auto"/>
              <w:bottom w:val="single" w:sz="4" w:space="0" w:color="auto"/>
              <w:right w:val="single" w:sz="4" w:space="0" w:color="auto"/>
            </w:tcBorders>
            <w:hideMark/>
          </w:tcPr>
          <w:p w14:paraId="3767F817" w14:textId="77777777" w:rsidR="00642E1C" w:rsidRPr="00665DAB" w:rsidRDefault="00642E1C" w:rsidP="0040485D">
            <w:pPr>
              <w:rPr>
                <w:sz w:val="22"/>
                <w:szCs w:val="22"/>
              </w:rPr>
            </w:pPr>
            <w:proofErr w:type="spellStart"/>
            <w:r w:rsidRPr="00665DAB">
              <w:rPr>
                <w:sz w:val="22"/>
                <w:szCs w:val="22"/>
              </w:rPr>
              <w:t>Pruritus</w:t>
            </w:r>
            <w:proofErr w:type="spellEnd"/>
          </w:p>
        </w:tc>
      </w:tr>
      <w:tr w:rsidR="00642E1C" w:rsidRPr="00665DAB" w14:paraId="2B949C96" w14:textId="77777777" w:rsidTr="0040485D">
        <w:tc>
          <w:tcPr>
            <w:tcW w:w="1251" w:type="pct"/>
            <w:tcBorders>
              <w:top w:val="single" w:sz="4" w:space="0" w:color="auto"/>
              <w:left w:val="single" w:sz="4" w:space="0" w:color="auto"/>
              <w:bottom w:val="single" w:sz="4" w:space="0" w:color="auto"/>
              <w:right w:val="single" w:sz="4" w:space="0" w:color="auto"/>
            </w:tcBorders>
            <w:hideMark/>
          </w:tcPr>
          <w:p w14:paraId="2483550A" w14:textId="77777777" w:rsidR="00642E1C" w:rsidRPr="00E65D6D" w:rsidRDefault="00642E1C" w:rsidP="0040485D">
            <w:pPr>
              <w:rPr>
                <w:b/>
                <w:sz w:val="22"/>
                <w:szCs w:val="22"/>
              </w:rPr>
            </w:pPr>
            <w:r w:rsidRPr="00E65D6D">
              <w:rPr>
                <w:b/>
                <w:sz w:val="22"/>
                <w:szCs w:val="22"/>
              </w:rPr>
              <w:t>Knogler, led, muskler og bindevæv</w:t>
            </w:r>
          </w:p>
        </w:tc>
        <w:tc>
          <w:tcPr>
            <w:tcW w:w="725" w:type="pct"/>
            <w:tcBorders>
              <w:top w:val="single" w:sz="4" w:space="0" w:color="auto"/>
              <w:left w:val="single" w:sz="4" w:space="0" w:color="auto"/>
              <w:bottom w:val="single" w:sz="4" w:space="0" w:color="auto"/>
              <w:right w:val="single" w:sz="4" w:space="0" w:color="auto"/>
            </w:tcBorders>
            <w:hideMark/>
          </w:tcPr>
          <w:p w14:paraId="5D621EAC" w14:textId="77777777" w:rsidR="00642E1C" w:rsidRPr="00665DAB" w:rsidRDefault="00642E1C" w:rsidP="0040485D">
            <w:pPr>
              <w:rPr>
                <w:sz w:val="22"/>
                <w:szCs w:val="22"/>
              </w:rPr>
            </w:pPr>
            <w:r w:rsidRPr="00665DAB">
              <w:rPr>
                <w:sz w:val="22"/>
                <w:szCs w:val="22"/>
              </w:rPr>
              <w:t>Muskelstivhed</w:t>
            </w:r>
          </w:p>
        </w:tc>
        <w:tc>
          <w:tcPr>
            <w:tcW w:w="823" w:type="pct"/>
            <w:tcBorders>
              <w:top w:val="single" w:sz="4" w:space="0" w:color="auto"/>
              <w:left w:val="single" w:sz="4" w:space="0" w:color="auto"/>
              <w:bottom w:val="single" w:sz="4" w:space="0" w:color="auto"/>
              <w:right w:val="single" w:sz="4" w:space="0" w:color="auto"/>
            </w:tcBorders>
          </w:tcPr>
          <w:p w14:paraId="183F959D" w14:textId="77777777" w:rsidR="00642E1C" w:rsidRPr="00665DAB" w:rsidRDefault="00642E1C" w:rsidP="0040485D">
            <w:pPr>
              <w:rPr>
                <w:sz w:val="22"/>
                <w:szCs w:val="22"/>
              </w:rPr>
            </w:pPr>
          </w:p>
        </w:tc>
        <w:tc>
          <w:tcPr>
            <w:tcW w:w="817" w:type="pct"/>
            <w:tcBorders>
              <w:top w:val="single" w:sz="4" w:space="0" w:color="auto"/>
              <w:left w:val="single" w:sz="4" w:space="0" w:color="auto"/>
              <w:bottom w:val="single" w:sz="4" w:space="0" w:color="auto"/>
              <w:right w:val="single" w:sz="4" w:space="0" w:color="auto"/>
            </w:tcBorders>
          </w:tcPr>
          <w:p w14:paraId="5A5B5571" w14:textId="77777777" w:rsidR="00642E1C" w:rsidRPr="00665DAB" w:rsidRDefault="00642E1C" w:rsidP="0040485D">
            <w:pPr>
              <w:rPr>
                <w:sz w:val="22"/>
                <w:szCs w:val="22"/>
              </w:rPr>
            </w:pPr>
          </w:p>
        </w:tc>
        <w:tc>
          <w:tcPr>
            <w:tcW w:w="1383" w:type="pct"/>
            <w:tcBorders>
              <w:top w:val="single" w:sz="4" w:space="0" w:color="auto"/>
              <w:left w:val="single" w:sz="4" w:space="0" w:color="auto"/>
              <w:bottom w:val="single" w:sz="4" w:space="0" w:color="auto"/>
              <w:right w:val="single" w:sz="4" w:space="0" w:color="auto"/>
            </w:tcBorders>
          </w:tcPr>
          <w:p w14:paraId="7CE9ACBC" w14:textId="77777777" w:rsidR="00642E1C" w:rsidRPr="00665DAB" w:rsidRDefault="00642E1C" w:rsidP="0040485D">
            <w:pPr>
              <w:rPr>
                <w:sz w:val="22"/>
                <w:szCs w:val="22"/>
              </w:rPr>
            </w:pPr>
          </w:p>
        </w:tc>
      </w:tr>
      <w:tr w:rsidR="00642E1C" w:rsidRPr="00665DAB" w14:paraId="7BA6C7DE" w14:textId="77777777" w:rsidTr="0040485D">
        <w:tc>
          <w:tcPr>
            <w:tcW w:w="1251" w:type="pct"/>
            <w:tcBorders>
              <w:top w:val="single" w:sz="4" w:space="0" w:color="auto"/>
              <w:left w:val="single" w:sz="4" w:space="0" w:color="auto"/>
              <w:bottom w:val="single" w:sz="4" w:space="0" w:color="auto"/>
              <w:right w:val="single" w:sz="4" w:space="0" w:color="auto"/>
            </w:tcBorders>
            <w:hideMark/>
          </w:tcPr>
          <w:p w14:paraId="7F47FCBB" w14:textId="77777777" w:rsidR="00642E1C" w:rsidRPr="00E65D6D" w:rsidRDefault="00642E1C" w:rsidP="0040485D">
            <w:pPr>
              <w:rPr>
                <w:b/>
                <w:sz w:val="22"/>
                <w:szCs w:val="22"/>
              </w:rPr>
            </w:pPr>
            <w:r w:rsidRPr="00E65D6D">
              <w:rPr>
                <w:b/>
                <w:sz w:val="22"/>
                <w:szCs w:val="22"/>
              </w:rPr>
              <w:t>Almene symptomer og reaktioner på administrationsstedet</w:t>
            </w:r>
          </w:p>
        </w:tc>
        <w:tc>
          <w:tcPr>
            <w:tcW w:w="725" w:type="pct"/>
            <w:tcBorders>
              <w:top w:val="single" w:sz="4" w:space="0" w:color="auto"/>
              <w:left w:val="single" w:sz="4" w:space="0" w:color="auto"/>
              <w:bottom w:val="single" w:sz="4" w:space="0" w:color="auto"/>
              <w:right w:val="single" w:sz="4" w:space="0" w:color="auto"/>
            </w:tcBorders>
          </w:tcPr>
          <w:p w14:paraId="07B794C3" w14:textId="77777777" w:rsidR="00642E1C" w:rsidRPr="00665DAB" w:rsidRDefault="00642E1C" w:rsidP="0040485D">
            <w:pPr>
              <w:rPr>
                <w:sz w:val="22"/>
                <w:szCs w:val="22"/>
              </w:rPr>
            </w:pPr>
          </w:p>
        </w:tc>
        <w:tc>
          <w:tcPr>
            <w:tcW w:w="823" w:type="pct"/>
            <w:tcBorders>
              <w:top w:val="single" w:sz="4" w:space="0" w:color="auto"/>
              <w:left w:val="single" w:sz="4" w:space="0" w:color="auto"/>
              <w:bottom w:val="single" w:sz="4" w:space="0" w:color="auto"/>
              <w:right w:val="single" w:sz="4" w:space="0" w:color="auto"/>
            </w:tcBorders>
          </w:tcPr>
          <w:p w14:paraId="28D2B603" w14:textId="77777777" w:rsidR="00642E1C" w:rsidRPr="00665DAB" w:rsidRDefault="00642E1C" w:rsidP="0040485D">
            <w:pPr>
              <w:rPr>
                <w:sz w:val="22"/>
                <w:szCs w:val="22"/>
              </w:rPr>
            </w:pPr>
          </w:p>
        </w:tc>
        <w:tc>
          <w:tcPr>
            <w:tcW w:w="817" w:type="pct"/>
            <w:tcBorders>
              <w:top w:val="single" w:sz="4" w:space="0" w:color="auto"/>
              <w:left w:val="single" w:sz="4" w:space="0" w:color="auto"/>
              <w:bottom w:val="single" w:sz="4" w:space="0" w:color="auto"/>
              <w:right w:val="single" w:sz="4" w:space="0" w:color="auto"/>
            </w:tcBorders>
            <w:hideMark/>
          </w:tcPr>
          <w:p w14:paraId="369D5B45" w14:textId="77777777" w:rsidR="00642E1C" w:rsidRPr="00665DAB" w:rsidRDefault="00642E1C" w:rsidP="0040485D">
            <w:pPr>
              <w:rPr>
                <w:sz w:val="22"/>
                <w:szCs w:val="22"/>
              </w:rPr>
            </w:pPr>
            <w:r w:rsidRPr="00665DAB">
              <w:rPr>
                <w:sz w:val="22"/>
                <w:szCs w:val="22"/>
              </w:rPr>
              <w:t>Kuldegysninger</w:t>
            </w:r>
          </w:p>
          <w:p w14:paraId="4DC33929" w14:textId="77777777" w:rsidR="00642E1C" w:rsidRPr="00665DAB" w:rsidRDefault="00642E1C" w:rsidP="0040485D">
            <w:pPr>
              <w:rPr>
                <w:sz w:val="22"/>
                <w:szCs w:val="22"/>
              </w:rPr>
            </w:pPr>
            <w:proofErr w:type="spellStart"/>
            <w:r w:rsidRPr="00665DAB">
              <w:rPr>
                <w:sz w:val="22"/>
                <w:szCs w:val="22"/>
              </w:rPr>
              <w:t>Hypotermi</w:t>
            </w:r>
            <w:proofErr w:type="spellEnd"/>
          </w:p>
        </w:tc>
        <w:tc>
          <w:tcPr>
            <w:tcW w:w="1383" w:type="pct"/>
            <w:tcBorders>
              <w:top w:val="single" w:sz="4" w:space="0" w:color="auto"/>
              <w:left w:val="single" w:sz="4" w:space="0" w:color="auto"/>
              <w:bottom w:val="single" w:sz="4" w:space="0" w:color="auto"/>
              <w:right w:val="single" w:sz="4" w:space="0" w:color="auto"/>
            </w:tcBorders>
            <w:hideMark/>
          </w:tcPr>
          <w:p w14:paraId="5574C497" w14:textId="77777777" w:rsidR="00642E1C" w:rsidRPr="00665DAB" w:rsidRDefault="00642E1C" w:rsidP="0040485D">
            <w:pPr>
              <w:rPr>
                <w:sz w:val="22"/>
                <w:szCs w:val="22"/>
              </w:rPr>
            </w:pPr>
            <w:r w:rsidRPr="00665DAB">
              <w:rPr>
                <w:sz w:val="22"/>
                <w:szCs w:val="22"/>
              </w:rPr>
              <w:t>Lægemiddelabstinenssyndrom (se pkt. 4.4)</w:t>
            </w:r>
          </w:p>
        </w:tc>
      </w:tr>
      <w:tr w:rsidR="00642E1C" w:rsidRPr="00665DAB" w14:paraId="55FD0B2C" w14:textId="77777777" w:rsidTr="0040485D">
        <w:tc>
          <w:tcPr>
            <w:tcW w:w="1251" w:type="pct"/>
            <w:tcBorders>
              <w:top w:val="single" w:sz="4" w:space="0" w:color="auto"/>
              <w:left w:val="single" w:sz="4" w:space="0" w:color="auto"/>
              <w:bottom w:val="single" w:sz="4" w:space="0" w:color="auto"/>
              <w:right w:val="single" w:sz="4" w:space="0" w:color="auto"/>
            </w:tcBorders>
            <w:hideMark/>
          </w:tcPr>
          <w:p w14:paraId="484E88E2" w14:textId="77777777" w:rsidR="00642E1C" w:rsidRPr="00E65D6D" w:rsidRDefault="00642E1C" w:rsidP="0040485D">
            <w:pPr>
              <w:rPr>
                <w:b/>
                <w:sz w:val="22"/>
                <w:szCs w:val="22"/>
              </w:rPr>
            </w:pPr>
            <w:r w:rsidRPr="00E65D6D">
              <w:rPr>
                <w:b/>
                <w:sz w:val="22"/>
                <w:szCs w:val="22"/>
              </w:rPr>
              <w:t>Traumer, forgiftninger og behandlingskomplikationer</w:t>
            </w:r>
          </w:p>
        </w:tc>
        <w:tc>
          <w:tcPr>
            <w:tcW w:w="725" w:type="pct"/>
            <w:tcBorders>
              <w:top w:val="single" w:sz="4" w:space="0" w:color="auto"/>
              <w:left w:val="single" w:sz="4" w:space="0" w:color="auto"/>
              <w:bottom w:val="single" w:sz="4" w:space="0" w:color="auto"/>
              <w:right w:val="single" w:sz="4" w:space="0" w:color="auto"/>
            </w:tcBorders>
          </w:tcPr>
          <w:p w14:paraId="07E61C0C" w14:textId="77777777" w:rsidR="00642E1C" w:rsidRPr="00665DAB" w:rsidRDefault="00642E1C" w:rsidP="0040485D">
            <w:pPr>
              <w:rPr>
                <w:sz w:val="22"/>
                <w:szCs w:val="22"/>
              </w:rPr>
            </w:pPr>
          </w:p>
        </w:tc>
        <w:tc>
          <w:tcPr>
            <w:tcW w:w="823" w:type="pct"/>
            <w:tcBorders>
              <w:top w:val="single" w:sz="4" w:space="0" w:color="auto"/>
              <w:left w:val="single" w:sz="4" w:space="0" w:color="auto"/>
              <w:bottom w:val="single" w:sz="4" w:space="0" w:color="auto"/>
              <w:right w:val="single" w:sz="4" w:space="0" w:color="auto"/>
            </w:tcBorders>
            <w:hideMark/>
          </w:tcPr>
          <w:p w14:paraId="21CEB8F3" w14:textId="77777777" w:rsidR="00642E1C" w:rsidRPr="00665DAB" w:rsidRDefault="00642E1C" w:rsidP="0040485D">
            <w:pPr>
              <w:rPr>
                <w:sz w:val="22"/>
                <w:szCs w:val="22"/>
              </w:rPr>
            </w:pPr>
            <w:r w:rsidRPr="00665DAB">
              <w:rPr>
                <w:sz w:val="22"/>
                <w:szCs w:val="22"/>
              </w:rPr>
              <w:t>Postoperativ konfusion</w:t>
            </w:r>
          </w:p>
          <w:p w14:paraId="129A0BC9" w14:textId="77777777" w:rsidR="00642E1C" w:rsidRPr="00665DAB" w:rsidRDefault="00642E1C" w:rsidP="0040485D">
            <w:pPr>
              <w:rPr>
                <w:sz w:val="22"/>
                <w:szCs w:val="22"/>
              </w:rPr>
            </w:pPr>
            <w:r w:rsidRPr="00665DAB">
              <w:rPr>
                <w:sz w:val="22"/>
                <w:szCs w:val="22"/>
              </w:rPr>
              <w:t>Neurologisk anæstetisk komplikation</w:t>
            </w:r>
          </w:p>
        </w:tc>
        <w:tc>
          <w:tcPr>
            <w:tcW w:w="817" w:type="pct"/>
            <w:tcBorders>
              <w:top w:val="single" w:sz="4" w:space="0" w:color="auto"/>
              <w:left w:val="single" w:sz="4" w:space="0" w:color="auto"/>
              <w:bottom w:val="single" w:sz="4" w:space="0" w:color="auto"/>
              <w:right w:val="single" w:sz="4" w:space="0" w:color="auto"/>
            </w:tcBorders>
            <w:hideMark/>
          </w:tcPr>
          <w:p w14:paraId="3AC2D8C4" w14:textId="77777777" w:rsidR="00642E1C" w:rsidRPr="00665DAB" w:rsidRDefault="00642E1C" w:rsidP="0040485D">
            <w:pPr>
              <w:rPr>
                <w:sz w:val="22"/>
                <w:szCs w:val="22"/>
              </w:rPr>
            </w:pPr>
            <w:r w:rsidRPr="00665DAB">
              <w:rPr>
                <w:sz w:val="22"/>
                <w:szCs w:val="22"/>
              </w:rPr>
              <w:t>Luftvejs-komplikationer ved anæstesi</w:t>
            </w:r>
          </w:p>
          <w:p w14:paraId="60029A43" w14:textId="77777777" w:rsidR="00642E1C" w:rsidRPr="00665DAB" w:rsidRDefault="00642E1C" w:rsidP="0040485D">
            <w:pPr>
              <w:rPr>
                <w:sz w:val="22"/>
                <w:szCs w:val="22"/>
              </w:rPr>
            </w:pPr>
            <w:r w:rsidRPr="00665DAB">
              <w:rPr>
                <w:sz w:val="22"/>
                <w:szCs w:val="22"/>
              </w:rPr>
              <w:t>Postoperativ agitation</w:t>
            </w:r>
          </w:p>
          <w:p w14:paraId="5EE4EBFB" w14:textId="77777777" w:rsidR="00642E1C" w:rsidRPr="00665DAB" w:rsidRDefault="00642E1C" w:rsidP="0040485D">
            <w:pPr>
              <w:rPr>
                <w:sz w:val="22"/>
                <w:szCs w:val="22"/>
              </w:rPr>
            </w:pPr>
            <w:r w:rsidRPr="00665DAB">
              <w:rPr>
                <w:sz w:val="22"/>
                <w:szCs w:val="22"/>
              </w:rPr>
              <w:t>Procedure-komplikationer</w:t>
            </w:r>
          </w:p>
        </w:tc>
        <w:tc>
          <w:tcPr>
            <w:tcW w:w="1383" w:type="pct"/>
            <w:tcBorders>
              <w:top w:val="single" w:sz="4" w:space="0" w:color="auto"/>
              <w:left w:val="single" w:sz="4" w:space="0" w:color="auto"/>
              <w:bottom w:val="single" w:sz="4" w:space="0" w:color="auto"/>
              <w:right w:val="single" w:sz="4" w:space="0" w:color="auto"/>
            </w:tcBorders>
          </w:tcPr>
          <w:p w14:paraId="0F3DEEC1" w14:textId="77777777" w:rsidR="00642E1C" w:rsidRPr="00665DAB" w:rsidRDefault="00642E1C" w:rsidP="0040485D">
            <w:pPr>
              <w:rPr>
                <w:sz w:val="22"/>
                <w:szCs w:val="22"/>
              </w:rPr>
            </w:pPr>
          </w:p>
        </w:tc>
      </w:tr>
    </w:tbl>
    <w:p w14:paraId="67A28580" w14:textId="77777777" w:rsidR="00642E1C" w:rsidRPr="00FC16D0" w:rsidRDefault="00642E1C" w:rsidP="0040485D">
      <w:pPr>
        <w:ind w:left="851"/>
        <w:rPr>
          <w:sz w:val="24"/>
          <w:szCs w:val="24"/>
        </w:rPr>
      </w:pPr>
    </w:p>
    <w:p w14:paraId="60E87CA1" w14:textId="77777777" w:rsidR="00642E1C" w:rsidRPr="00FC16D0" w:rsidRDefault="00642E1C" w:rsidP="0040485D">
      <w:pPr>
        <w:ind w:left="851"/>
        <w:rPr>
          <w:sz w:val="24"/>
          <w:szCs w:val="24"/>
        </w:rPr>
      </w:pPr>
      <w:r w:rsidRPr="00FC16D0">
        <w:rPr>
          <w:sz w:val="24"/>
          <w:szCs w:val="24"/>
        </w:rPr>
        <w:t xml:space="preserve">Der er indberettet tilfælde af serotoninsyndrom, når lægemidler med fentanyl blev administreret samtidigt med potente </w:t>
      </w:r>
      <w:proofErr w:type="spellStart"/>
      <w:r w:rsidRPr="00FC16D0">
        <w:rPr>
          <w:sz w:val="24"/>
          <w:szCs w:val="24"/>
        </w:rPr>
        <w:t>serotonergiske</w:t>
      </w:r>
      <w:proofErr w:type="spellEnd"/>
      <w:r w:rsidRPr="00FC16D0">
        <w:rPr>
          <w:sz w:val="24"/>
          <w:szCs w:val="24"/>
        </w:rPr>
        <w:t xml:space="preserve"> midler (se pkt. 4.4 og 4.5).</w:t>
      </w:r>
    </w:p>
    <w:p w14:paraId="5202135D" w14:textId="77777777" w:rsidR="00642E1C" w:rsidRPr="00FC16D0" w:rsidRDefault="00642E1C" w:rsidP="0040485D">
      <w:pPr>
        <w:ind w:left="851"/>
        <w:rPr>
          <w:sz w:val="24"/>
          <w:szCs w:val="24"/>
        </w:rPr>
      </w:pPr>
    </w:p>
    <w:p w14:paraId="34ADBFB0" w14:textId="77777777" w:rsidR="00642E1C" w:rsidRPr="00665DAB" w:rsidRDefault="00642E1C" w:rsidP="0040485D">
      <w:pPr>
        <w:ind w:left="851"/>
        <w:rPr>
          <w:sz w:val="24"/>
          <w:szCs w:val="24"/>
          <w:u w:val="single"/>
        </w:rPr>
      </w:pPr>
      <w:r w:rsidRPr="00665DAB">
        <w:rPr>
          <w:sz w:val="24"/>
          <w:szCs w:val="24"/>
          <w:u w:val="single"/>
        </w:rPr>
        <w:t>Indberetning af formodede bivirkninger</w:t>
      </w:r>
    </w:p>
    <w:p w14:paraId="089F81CE" w14:textId="77777777" w:rsidR="00642E1C" w:rsidRPr="00FC16D0" w:rsidRDefault="00642E1C" w:rsidP="0040485D">
      <w:pPr>
        <w:ind w:left="851"/>
        <w:rPr>
          <w:sz w:val="24"/>
          <w:szCs w:val="24"/>
        </w:rPr>
      </w:pPr>
      <w:r w:rsidRPr="00FC16D0">
        <w:rPr>
          <w:sz w:val="24"/>
          <w:szCs w:val="24"/>
        </w:rPr>
        <w:t>Når lægemidlet er godkendt, er indberetning af formodede bivirkninger vigtig. Det muliggør løbende overvågning af benefit/</w:t>
      </w:r>
      <w:proofErr w:type="spellStart"/>
      <w:r w:rsidRPr="00FC16D0">
        <w:rPr>
          <w:sz w:val="24"/>
          <w:szCs w:val="24"/>
        </w:rPr>
        <w:t>risk</w:t>
      </w:r>
      <w:proofErr w:type="spellEnd"/>
      <w:r w:rsidRPr="00FC16D0">
        <w:rPr>
          <w:sz w:val="24"/>
          <w:szCs w:val="24"/>
        </w:rPr>
        <w:t xml:space="preserve">-forholdet for lægemidlet. Sundhedspersoner anmodes om at indberette alle formodede bivirkninger via </w:t>
      </w:r>
    </w:p>
    <w:p w14:paraId="6A437E85" w14:textId="77777777" w:rsidR="00642E1C" w:rsidRPr="00FC16D0" w:rsidRDefault="00642E1C" w:rsidP="0040485D">
      <w:pPr>
        <w:ind w:left="851"/>
        <w:rPr>
          <w:sz w:val="24"/>
          <w:szCs w:val="24"/>
        </w:rPr>
      </w:pPr>
      <w:r w:rsidRPr="00FC16D0">
        <w:rPr>
          <w:sz w:val="24"/>
          <w:szCs w:val="24"/>
        </w:rPr>
        <w:br/>
        <w:t>Lægemiddelstyrelsen</w:t>
      </w:r>
    </w:p>
    <w:p w14:paraId="3A59A77B" w14:textId="77777777" w:rsidR="00642E1C" w:rsidRPr="00FC16D0" w:rsidRDefault="00642E1C" w:rsidP="0040485D">
      <w:pPr>
        <w:ind w:left="851"/>
        <w:rPr>
          <w:sz w:val="24"/>
          <w:szCs w:val="24"/>
        </w:rPr>
      </w:pPr>
      <w:r w:rsidRPr="00FC16D0">
        <w:rPr>
          <w:sz w:val="24"/>
          <w:szCs w:val="24"/>
        </w:rPr>
        <w:t>Axel Heides Gade 1</w:t>
      </w:r>
    </w:p>
    <w:p w14:paraId="1C7AFA7E" w14:textId="77777777" w:rsidR="00642E1C" w:rsidRPr="00FC16D0" w:rsidRDefault="00642E1C" w:rsidP="0040485D">
      <w:pPr>
        <w:ind w:left="851"/>
        <w:rPr>
          <w:sz w:val="24"/>
          <w:szCs w:val="24"/>
        </w:rPr>
      </w:pPr>
      <w:r w:rsidRPr="00FC16D0">
        <w:rPr>
          <w:sz w:val="24"/>
          <w:szCs w:val="24"/>
        </w:rPr>
        <w:t>DK-2300 København S</w:t>
      </w:r>
    </w:p>
    <w:p w14:paraId="34E88153" w14:textId="77777777" w:rsidR="00642E1C" w:rsidRPr="00FC16D0" w:rsidRDefault="00642E1C" w:rsidP="0040485D">
      <w:pPr>
        <w:ind w:left="851"/>
        <w:rPr>
          <w:rFonts w:eastAsia="Calibri"/>
          <w:sz w:val="24"/>
          <w:szCs w:val="24"/>
        </w:rPr>
      </w:pPr>
      <w:r w:rsidRPr="00FC16D0">
        <w:rPr>
          <w:sz w:val="24"/>
          <w:szCs w:val="24"/>
        </w:rPr>
        <w:t xml:space="preserve">Websted: </w:t>
      </w:r>
      <w:hyperlink r:id="rId8" w:history="1">
        <w:r w:rsidRPr="00FC16D0">
          <w:rPr>
            <w:rStyle w:val="Hyperlink"/>
            <w:sz w:val="24"/>
            <w:szCs w:val="24"/>
          </w:rPr>
          <w:t>www.meldenbivirkning.dk</w:t>
        </w:r>
      </w:hyperlink>
      <w:r w:rsidRPr="00FC16D0">
        <w:rPr>
          <w:sz w:val="24"/>
          <w:szCs w:val="24"/>
        </w:rPr>
        <w:t xml:space="preserve"> </w:t>
      </w:r>
    </w:p>
    <w:p w14:paraId="64784EA5" w14:textId="77777777" w:rsidR="009260DE" w:rsidRPr="00FC16D0" w:rsidRDefault="009260DE" w:rsidP="009260DE">
      <w:pPr>
        <w:pStyle w:val="Sidehoved"/>
        <w:tabs>
          <w:tab w:val="left" w:pos="851"/>
        </w:tabs>
        <w:ind w:left="851"/>
        <w:rPr>
          <w:szCs w:val="24"/>
        </w:rPr>
      </w:pPr>
    </w:p>
    <w:p w14:paraId="766DE954" w14:textId="77777777" w:rsidR="009260DE" w:rsidRPr="00FC16D0" w:rsidRDefault="009260DE" w:rsidP="009260DE">
      <w:pPr>
        <w:tabs>
          <w:tab w:val="left" w:pos="851"/>
        </w:tabs>
        <w:ind w:left="851" w:hanging="851"/>
        <w:rPr>
          <w:b/>
          <w:sz w:val="24"/>
          <w:szCs w:val="24"/>
        </w:rPr>
      </w:pPr>
      <w:r w:rsidRPr="00FC16D0">
        <w:rPr>
          <w:b/>
          <w:sz w:val="24"/>
          <w:szCs w:val="24"/>
        </w:rPr>
        <w:t>4.9</w:t>
      </w:r>
      <w:r w:rsidRPr="00FC16D0">
        <w:rPr>
          <w:b/>
          <w:sz w:val="24"/>
          <w:szCs w:val="24"/>
        </w:rPr>
        <w:tab/>
        <w:t>Overdosering</w:t>
      </w:r>
    </w:p>
    <w:p w14:paraId="35D81AB9" w14:textId="77777777" w:rsidR="00E65D6D" w:rsidRDefault="00E65D6D" w:rsidP="0040485D">
      <w:pPr>
        <w:ind w:left="851"/>
        <w:rPr>
          <w:sz w:val="24"/>
          <w:szCs w:val="24"/>
        </w:rPr>
      </w:pPr>
    </w:p>
    <w:p w14:paraId="3459FBA8" w14:textId="62A6D8CD" w:rsidR="00642E1C" w:rsidRPr="00E65D6D" w:rsidRDefault="00642E1C" w:rsidP="0040485D">
      <w:pPr>
        <w:ind w:left="851"/>
        <w:rPr>
          <w:i/>
          <w:sz w:val="24"/>
          <w:szCs w:val="24"/>
          <w:lang w:eastAsia="en-GB"/>
        </w:rPr>
      </w:pPr>
      <w:r w:rsidRPr="00E65D6D">
        <w:rPr>
          <w:i/>
          <w:sz w:val="24"/>
          <w:szCs w:val="24"/>
        </w:rPr>
        <w:t>Tegn og symptomer</w:t>
      </w:r>
    </w:p>
    <w:p w14:paraId="7B1826E2" w14:textId="3ADA415F" w:rsidR="00642E1C" w:rsidRDefault="00642E1C" w:rsidP="0040485D">
      <w:pPr>
        <w:ind w:left="851"/>
        <w:rPr>
          <w:sz w:val="24"/>
          <w:szCs w:val="24"/>
        </w:rPr>
      </w:pPr>
      <w:r w:rsidRPr="00FC16D0">
        <w:rPr>
          <w:sz w:val="24"/>
          <w:szCs w:val="24"/>
        </w:rPr>
        <w:t xml:space="preserve">Overdosering viser sig som en forlængelse af fentanyls farmakologiske virkning. Der kan forekomme respirationsdepression, som kan variere fra </w:t>
      </w:r>
      <w:proofErr w:type="spellStart"/>
      <w:r w:rsidRPr="00FC16D0">
        <w:rPr>
          <w:sz w:val="24"/>
          <w:szCs w:val="24"/>
        </w:rPr>
        <w:t>bradypnø</w:t>
      </w:r>
      <w:proofErr w:type="spellEnd"/>
      <w:r w:rsidRPr="00FC16D0">
        <w:rPr>
          <w:sz w:val="24"/>
          <w:szCs w:val="24"/>
        </w:rPr>
        <w:t xml:space="preserve"> til apnø.</w:t>
      </w:r>
    </w:p>
    <w:p w14:paraId="620AB60C" w14:textId="024A99F7" w:rsidR="00217346" w:rsidRPr="00FC16D0" w:rsidRDefault="00217346" w:rsidP="00217346">
      <w:pPr>
        <w:ind w:left="851"/>
        <w:rPr>
          <w:sz w:val="24"/>
          <w:szCs w:val="24"/>
        </w:rPr>
      </w:pPr>
      <w:r>
        <w:rPr>
          <w:sz w:val="24"/>
          <w:szCs w:val="24"/>
        </w:rPr>
        <w:t xml:space="preserve">Der er observeret toksisk </w:t>
      </w:r>
      <w:proofErr w:type="spellStart"/>
      <w:r>
        <w:rPr>
          <w:sz w:val="24"/>
          <w:szCs w:val="24"/>
        </w:rPr>
        <w:t>leukoencefalopati</w:t>
      </w:r>
      <w:proofErr w:type="spellEnd"/>
      <w:r>
        <w:rPr>
          <w:sz w:val="24"/>
          <w:szCs w:val="24"/>
        </w:rPr>
        <w:t xml:space="preserve"> ved overdosering af fentanyl.</w:t>
      </w:r>
    </w:p>
    <w:p w14:paraId="6898978C" w14:textId="77777777" w:rsidR="00642E1C" w:rsidRPr="00FC16D0" w:rsidRDefault="00642E1C" w:rsidP="0040485D">
      <w:pPr>
        <w:ind w:left="851"/>
        <w:rPr>
          <w:sz w:val="24"/>
          <w:szCs w:val="24"/>
        </w:rPr>
      </w:pPr>
    </w:p>
    <w:p w14:paraId="40FAC1FB" w14:textId="77777777" w:rsidR="00642E1C" w:rsidRPr="00E65D6D" w:rsidRDefault="00642E1C" w:rsidP="0040485D">
      <w:pPr>
        <w:ind w:left="851"/>
        <w:rPr>
          <w:i/>
          <w:sz w:val="24"/>
          <w:szCs w:val="24"/>
        </w:rPr>
      </w:pPr>
      <w:r w:rsidRPr="00E65D6D">
        <w:rPr>
          <w:i/>
          <w:sz w:val="24"/>
          <w:szCs w:val="24"/>
        </w:rPr>
        <w:t>Behandling</w:t>
      </w:r>
    </w:p>
    <w:p w14:paraId="6EF09824" w14:textId="77777777" w:rsidR="00642E1C" w:rsidRPr="00FC16D0" w:rsidRDefault="00642E1C" w:rsidP="0040485D">
      <w:pPr>
        <w:ind w:left="851"/>
        <w:rPr>
          <w:sz w:val="24"/>
          <w:szCs w:val="24"/>
        </w:rPr>
      </w:pPr>
      <w:r w:rsidRPr="00FC16D0">
        <w:rPr>
          <w:sz w:val="24"/>
          <w:szCs w:val="24"/>
        </w:rPr>
        <w:t xml:space="preserve">I tilfælde af </w:t>
      </w:r>
      <w:proofErr w:type="spellStart"/>
      <w:r w:rsidRPr="00FC16D0">
        <w:rPr>
          <w:sz w:val="24"/>
          <w:szCs w:val="24"/>
        </w:rPr>
        <w:t>hypoventilation</w:t>
      </w:r>
      <w:proofErr w:type="spellEnd"/>
      <w:r w:rsidRPr="00FC16D0">
        <w:rPr>
          <w:sz w:val="24"/>
          <w:szCs w:val="24"/>
        </w:rPr>
        <w:t xml:space="preserve"> eller apnø skal der gives ilt, og om nødvendigt med ventilation efter behov. Respirationsdepression kan behandles med en opioidantagonist. Dette udelukker ikke mere direkte modforanstaltninger.</w:t>
      </w:r>
    </w:p>
    <w:p w14:paraId="1F0994BE" w14:textId="77777777" w:rsidR="00642E1C" w:rsidRPr="00FC16D0" w:rsidRDefault="00642E1C" w:rsidP="0040485D">
      <w:pPr>
        <w:ind w:left="851"/>
        <w:rPr>
          <w:sz w:val="24"/>
          <w:szCs w:val="24"/>
        </w:rPr>
      </w:pPr>
      <w:r w:rsidRPr="00FC16D0">
        <w:rPr>
          <w:sz w:val="24"/>
          <w:szCs w:val="24"/>
        </w:rPr>
        <w:t xml:space="preserve">Opioidantagonistens kortere virkningsvarighed sammenlignet med fentanyl bør tages i betragtning. Det kan være nødvendigt med gentagen administration af opioidantagonisten. Hvis respirationsdepressionen er forbundet med muskelrigiditet, kan </w:t>
      </w:r>
      <w:proofErr w:type="spellStart"/>
      <w:r w:rsidRPr="00FC16D0">
        <w:rPr>
          <w:sz w:val="24"/>
          <w:szCs w:val="24"/>
        </w:rPr>
        <w:t>muskelrelaxantia</w:t>
      </w:r>
      <w:proofErr w:type="spellEnd"/>
      <w:r w:rsidRPr="00FC16D0">
        <w:rPr>
          <w:sz w:val="24"/>
          <w:szCs w:val="24"/>
        </w:rPr>
        <w:t xml:space="preserve"> – om nødvendigt – administreres for at fremme vejrtrækningen.</w:t>
      </w:r>
    </w:p>
    <w:p w14:paraId="4D9BF3A5" w14:textId="77777777" w:rsidR="00642E1C" w:rsidRPr="00FC16D0" w:rsidRDefault="00642E1C" w:rsidP="0040485D">
      <w:pPr>
        <w:ind w:left="851"/>
        <w:rPr>
          <w:sz w:val="24"/>
          <w:szCs w:val="24"/>
        </w:rPr>
      </w:pPr>
      <w:r w:rsidRPr="00FC16D0">
        <w:rPr>
          <w:sz w:val="24"/>
          <w:szCs w:val="24"/>
        </w:rPr>
        <w:t xml:space="preserve">Patienten skal forblive under omhyggelig observation. Legemstemperatur og tilstrækkeligt væskeindtag skal opretholdes. Ved svær eller vedvarende hypotension skal </w:t>
      </w:r>
      <w:proofErr w:type="spellStart"/>
      <w:r w:rsidRPr="00FC16D0">
        <w:rPr>
          <w:sz w:val="24"/>
          <w:szCs w:val="24"/>
        </w:rPr>
        <w:t>hypovolæmi</w:t>
      </w:r>
      <w:proofErr w:type="spellEnd"/>
      <w:r w:rsidRPr="00FC16D0">
        <w:rPr>
          <w:sz w:val="24"/>
          <w:szCs w:val="24"/>
        </w:rPr>
        <w:t xml:space="preserve"> overvejes. I dette tilfælde skal der gives passende parenteral væsketilførsel.</w:t>
      </w:r>
    </w:p>
    <w:p w14:paraId="364B4790" w14:textId="77777777" w:rsidR="009260DE" w:rsidRPr="00FC16D0" w:rsidRDefault="009260DE" w:rsidP="009260DE">
      <w:pPr>
        <w:tabs>
          <w:tab w:val="left" w:pos="851"/>
        </w:tabs>
        <w:ind w:left="851"/>
        <w:rPr>
          <w:sz w:val="24"/>
          <w:szCs w:val="24"/>
        </w:rPr>
      </w:pPr>
    </w:p>
    <w:p w14:paraId="01052B5E" w14:textId="77777777" w:rsidR="009260DE" w:rsidRPr="00FC16D0" w:rsidRDefault="009260DE" w:rsidP="009260DE">
      <w:pPr>
        <w:tabs>
          <w:tab w:val="left" w:pos="851"/>
        </w:tabs>
        <w:ind w:left="851" w:hanging="851"/>
        <w:rPr>
          <w:b/>
          <w:sz w:val="24"/>
          <w:szCs w:val="24"/>
        </w:rPr>
      </w:pPr>
      <w:r w:rsidRPr="00FC16D0">
        <w:rPr>
          <w:b/>
          <w:sz w:val="24"/>
          <w:szCs w:val="24"/>
        </w:rPr>
        <w:t>4.10</w:t>
      </w:r>
      <w:r w:rsidRPr="00FC16D0">
        <w:rPr>
          <w:b/>
          <w:sz w:val="24"/>
          <w:szCs w:val="24"/>
        </w:rPr>
        <w:tab/>
        <w:t>Udlevering</w:t>
      </w:r>
    </w:p>
    <w:p w14:paraId="3E5D76A3" w14:textId="4998EC01" w:rsidR="009260DE" w:rsidRPr="00FC16D0" w:rsidRDefault="0040485D" w:rsidP="009260DE">
      <w:pPr>
        <w:tabs>
          <w:tab w:val="left" w:pos="851"/>
        </w:tabs>
        <w:ind w:left="851"/>
        <w:rPr>
          <w:sz w:val="24"/>
          <w:szCs w:val="24"/>
        </w:rPr>
      </w:pPr>
      <w:r w:rsidRPr="00FC16D0">
        <w:rPr>
          <w:sz w:val="24"/>
          <w:szCs w:val="24"/>
        </w:rPr>
        <w:t>A§4 - kopieringspligtigt</w:t>
      </w:r>
    </w:p>
    <w:p w14:paraId="229D1B9E" w14:textId="77777777" w:rsidR="009260DE" w:rsidRPr="00FC16D0" w:rsidRDefault="009260DE" w:rsidP="009260DE">
      <w:pPr>
        <w:tabs>
          <w:tab w:val="left" w:pos="851"/>
        </w:tabs>
        <w:ind w:left="851"/>
        <w:rPr>
          <w:sz w:val="24"/>
          <w:szCs w:val="24"/>
        </w:rPr>
      </w:pPr>
    </w:p>
    <w:p w14:paraId="00393785" w14:textId="77777777" w:rsidR="009260DE" w:rsidRPr="00FC16D0" w:rsidRDefault="009260DE" w:rsidP="009260DE">
      <w:pPr>
        <w:tabs>
          <w:tab w:val="left" w:pos="851"/>
        </w:tabs>
        <w:ind w:left="851"/>
        <w:rPr>
          <w:sz w:val="24"/>
          <w:szCs w:val="24"/>
        </w:rPr>
      </w:pPr>
    </w:p>
    <w:p w14:paraId="6E8C6959" w14:textId="77777777" w:rsidR="00844F82" w:rsidRPr="00C84483" w:rsidRDefault="00844F82" w:rsidP="00844F82">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BB27684" w14:textId="77777777" w:rsidR="00844F82" w:rsidRPr="00C84483" w:rsidRDefault="00844F82" w:rsidP="00844F82">
      <w:pPr>
        <w:tabs>
          <w:tab w:val="left" w:pos="851"/>
        </w:tabs>
        <w:ind w:left="851"/>
        <w:rPr>
          <w:sz w:val="24"/>
          <w:szCs w:val="24"/>
        </w:rPr>
      </w:pPr>
    </w:p>
    <w:p w14:paraId="2879711C" w14:textId="77777777" w:rsidR="00844F82" w:rsidRPr="00C84483" w:rsidRDefault="00844F82" w:rsidP="00844F8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6D9EF99" w14:textId="070058D6" w:rsidR="00844F82" w:rsidRPr="00844F82" w:rsidRDefault="00844F82" w:rsidP="00844F82">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A</w:t>
      </w:r>
      <w:r w:rsidRPr="00FC16D0">
        <w:rPr>
          <w:sz w:val="24"/>
          <w:szCs w:val="24"/>
        </w:rPr>
        <w:t>næstetika</w:t>
      </w:r>
      <w:proofErr w:type="spellEnd"/>
      <w:r w:rsidRPr="00FC16D0">
        <w:rPr>
          <w:sz w:val="24"/>
          <w:szCs w:val="24"/>
        </w:rPr>
        <w:t>, opioid-</w:t>
      </w:r>
      <w:proofErr w:type="spellStart"/>
      <w:r w:rsidRPr="00FC16D0">
        <w:rPr>
          <w:sz w:val="24"/>
          <w:szCs w:val="24"/>
        </w:rPr>
        <w:t>anæstetika</w:t>
      </w:r>
      <w:proofErr w:type="spellEnd"/>
      <w:r>
        <w:rPr>
          <w:sz w:val="24"/>
          <w:szCs w:val="24"/>
        </w:rPr>
        <w:t xml:space="preserve">, </w:t>
      </w:r>
      <w:r w:rsidRPr="00FC16D0">
        <w:rPr>
          <w:sz w:val="24"/>
          <w:szCs w:val="24"/>
        </w:rPr>
        <w:t>ATC-kode: N01AH01</w:t>
      </w:r>
      <w:r>
        <w:rPr>
          <w:sz w:val="24"/>
          <w:szCs w:val="24"/>
        </w:rPr>
        <w:t>.</w:t>
      </w:r>
    </w:p>
    <w:p w14:paraId="67A73E6E" w14:textId="77777777" w:rsidR="00844F82" w:rsidRDefault="00844F82" w:rsidP="0040485D">
      <w:pPr>
        <w:ind w:left="851"/>
        <w:rPr>
          <w:sz w:val="24"/>
          <w:szCs w:val="24"/>
        </w:rPr>
      </w:pPr>
    </w:p>
    <w:p w14:paraId="5C8BA8E8" w14:textId="41C96EAA" w:rsidR="00642E1C" w:rsidRPr="00FC16D0" w:rsidRDefault="00642E1C" w:rsidP="0040485D">
      <w:pPr>
        <w:ind w:left="851"/>
        <w:rPr>
          <w:sz w:val="24"/>
          <w:szCs w:val="24"/>
          <w:lang w:eastAsia="en-GB"/>
        </w:rPr>
      </w:pPr>
      <w:r w:rsidRPr="00FC16D0">
        <w:rPr>
          <w:sz w:val="24"/>
          <w:szCs w:val="24"/>
        </w:rPr>
        <w:t>Fentanyl er et syntetisk opioid med μ -</w:t>
      </w:r>
      <w:proofErr w:type="spellStart"/>
      <w:r w:rsidRPr="00FC16D0">
        <w:rPr>
          <w:sz w:val="24"/>
          <w:szCs w:val="24"/>
        </w:rPr>
        <w:t>agonistiske</w:t>
      </w:r>
      <w:proofErr w:type="spellEnd"/>
      <w:r w:rsidRPr="00FC16D0">
        <w:rPr>
          <w:sz w:val="24"/>
          <w:szCs w:val="24"/>
        </w:rPr>
        <w:t xml:space="preserve"> farmakologiske egenskaber.</w:t>
      </w:r>
    </w:p>
    <w:p w14:paraId="74DBBD92" w14:textId="2D3ED700" w:rsidR="00642E1C" w:rsidRPr="00FC16D0" w:rsidRDefault="00642E1C" w:rsidP="0040485D">
      <w:pPr>
        <w:ind w:left="851"/>
        <w:rPr>
          <w:sz w:val="24"/>
          <w:szCs w:val="24"/>
        </w:rPr>
      </w:pPr>
      <w:r w:rsidRPr="00FC16D0">
        <w:rPr>
          <w:sz w:val="24"/>
          <w:szCs w:val="24"/>
        </w:rPr>
        <w:t>Fentanyl er et potent opioid-</w:t>
      </w:r>
      <w:proofErr w:type="spellStart"/>
      <w:r w:rsidRPr="00FC16D0">
        <w:rPr>
          <w:sz w:val="24"/>
          <w:szCs w:val="24"/>
        </w:rPr>
        <w:t>analgetikum</w:t>
      </w:r>
      <w:proofErr w:type="spellEnd"/>
      <w:r w:rsidRPr="00FC16D0">
        <w:rPr>
          <w:sz w:val="24"/>
          <w:szCs w:val="24"/>
        </w:rPr>
        <w:t xml:space="preserve">. Fentanyl kan anvendes som analgetisk supplement til generel bedøvelse eller som eneste </w:t>
      </w:r>
      <w:proofErr w:type="spellStart"/>
      <w:r w:rsidRPr="00FC16D0">
        <w:rPr>
          <w:sz w:val="24"/>
          <w:szCs w:val="24"/>
        </w:rPr>
        <w:t>anæstetikum</w:t>
      </w:r>
      <w:proofErr w:type="spellEnd"/>
      <w:r w:rsidRPr="00FC16D0">
        <w:rPr>
          <w:sz w:val="24"/>
          <w:szCs w:val="24"/>
        </w:rPr>
        <w:t>. En dosis på 100 mikrogram (2 ml) har en analgetisk virkning, svarende til en dosis på 10 mg morfin. Fentanyl</w:t>
      </w:r>
      <w:r w:rsidR="00665DAB">
        <w:rPr>
          <w:sz w:val="24"/>
          <w:szCs w:val="24"/>
        </w:rPr>
        <w:t xml:space="preserve"> </w:t>
      </w:r>
      <w:r w:rsidRPr="00FC16D0">
        <w:rPr>
          <w:sz w:val="24"/>
          <w:szCs w:val="24"/>
        </w:rPr>
        <w:t>har en hurtigt indsættende virkning. Den maksimale analgetiske effekt og den respirationsdepressive virkning opnås i løbet af få minutter. Den analgetiske virknings gennemsnitlige varighed er ca. 30 minutter efter en enkeltdosis på op til 100 mikrogram. Analgesiens styrke er dosisafhængig og kan tilpasses det kirurgiske indgrebs smertebelastning.</w:t>
      </w:r>
    </w:p>
    <w:p w14:paraId="18FC9DB8" w14:textId="6E588307" w:rsidR="00AE4B52" w:rsidRDefault="00AE4B52">
      <w:pPr>
        <w:rPr>
          <w:sz w:val="24"/>
          <w:szCs w:val="24"/>
        </w:rPr>
      </w:pPr>
      <w:r>
        <w:rPr>
          <w:sz w:val="24"/>
          <w:szCs w:val="24"/>
        </w:rPr>
        <w:br w:type="page"/>
      </w:r>
    </w:p>
    <w:p w14:paraId="54A78819" w14:textId="77777777" w:rsidR="009260DE" w:rsidRPr="00FC16D0" w:rsidRDefault="009260DE" w:rsidP="009260DE">
      <w:pPr>
        <w:tabs>
          <w:tab w:val="left" w:pos="851"/>
        </w:tabs>
        <w:ind w:left="851"/>
        <w:rPr>
          <w:sz w:val="24"/>
          <w:szCs w:val="24"/>
        </w:rPr>
      </w:pPr>
    </w:p>
    <w:p w14:paraId="2E3B4B33" w14:textId="77777777" w:rsidR="009260DE" w:rsidRPr="00FC16D0" w:rsidRDefault="009260DE" w:rsidP="009260DE">
      <w:pPr>
        <w:tabs>
          <w:tab w:val="left" w:pos="851"/>
        </w:tabs>
        <w:ind w:left="851" w:hanging="851"/>
        <w:rPr>
          <w:b/>
          <w:sz w:val="24"/>
          <w:szCs w:val="24"/>
        </w:rPr>
      </w:pPr>
      <w:r w:rsidRPr="00FC16D0">
        <w:rPr>
          <w:b/>
          <w:sz w:val="24"/>
          <w:szCs w:val="24"/>
        </w:rPr>
        <w:t>5.2</w:t>
      </w:r>
      <w:r w:rsidRPr="00FC16D0">
        <w:rPr>
          <w:b/>
          <w:sz w:val="24"/>
          <w:szCs w:val="24"/>
        </w:rPr>
        <w:tab/>
      </w:r>
      <w:proofErr w:type="spellStart"/>
      <w:r w:rsidRPr="00FC16D0">
        <w:rPr>
          <w:b/>
          <w:sz w:val="24"/>
          <w:szCs w:val="24"/>
        </w:rPr>
        <w:t>Farmakokinetiske</w:t>
      </w:r>
      <w:proofErr w:type="spellEnd"/>
      <w:r w:rsidRPr="00FC16D0">
        <w:rPr>
          <w:b/>
          <w:sz w:val="24"/>
          <w:szCs w:val="24"/>
        </w:rPr>
        <w:t xml:space="preserve"> egenskaber</w:t>
      </w:r>
    </w:p>
    <w:p w14:paraId="33FE4BBE" w14:textId="77777777" w:rsidR="00E65D6D" w:rsidRDefault="00E65D6D" w:rsidP="00934194">
      <w:pPr>
        <w:ind w:left="851"/>
        <w:rPr>
          <w:sz w:val="24"/>
          <w:szCs w:val="24"/>
        </w:rPr>
      </w:pPr>
    </w:p>
    <w:p w14:paraId="28ECEBA5" w14:textId="3E85F46A" w:rsidR="00642E1C" w:rsidRPr="00E65D6D" w:rsidRDefault="00642E1C" w:rsidP="00934194">
      <w:pPr>
        <w:ind w:left="851"/>
        <w:rPr>
          <w:sz w:val="24"/>
          <w:szCs w:val="24"/>
          <w:u w:val="single"/>
          <w:lang w:eastAsia="en-GB"/>
        </w:rPr>
      </w:pPr>
      <w:r w:rsidRPr="00E65D6D">
        <w:rPr>
          <w:sz w:val="24"/>
          <w:szCs w:val="24"/>
          <w:u w:val="single"/>
        </w:rPr>
        <w:t>Fordeling</w:t>
      </w:r>
    </w:p>
    <w:p w14:paraId="2418D230" w14:textId="77777777" w:rsidR="00642E1C" w:rsidRPr="00262C00" w:rsidRDefault="00642E1C" w:rsidP="00934194">
      <w:pPr>
        <w:ind w:left="851"/>
        <w:rPr>
          <w:sz w:val="24"/>
          <w:szCs w:val="24"/>
          <w:lang w:val="nb-NO"/>
        </w:rPr>
      </w:pPr>
      <w:r w:rsidRPr="00FC16D0">
        <w:rPr>
          <w:sz w:val="24"/>
          <w:szCs w:val="24"/>
        </w:rPr>
        <w:t xml:space="preserve">Efter intravenøs injektion falder plasmakoncentrationen af fentanyl hurtigt med på hinanden følgende halveringstider på ca. 1 min. og ca. 15 min. og en terminal halveringstid på ca. 8 timer. </w:t>
      </w:r>
      <w:r w:rsidRPr="00262C00">
        <w:rPr>
          <w:sz w:val="24"/>
          <w:szCs w:val="24"/>
          <w:lang w:val="nb-NO"/>
        </w:rPr>
        <w:t>Fordelingsvolumen i det centrale kompartment (V</w:t>
      </w:r>
      <w:r w:rsidRPr="00262C00">
        <w:rPr>
          <w:sz w:val="24"/>
          <w:szCs w:val="24"/>
          <w:vertAlign w:val="subscript"/>
          <w:lang w:val="nb-NO"/>
        </w:rPr>
        <w:t>c</w:t>
      </w:r>
      <w:r w:rsidRPr="00262C00">
        <w:rPr>
          <w:sz w:val="24"/>
          <w:szCs w:val="24"/>
          <w:lang w:val="nb-NO"/>
        </w:rPr>
        <w:t>) er ca. 15 liter, og det totale fordelingsvolumen (V</w:t>
      </w:r>
      <w:r w:rsidRPr="00262C00">
        <w:rPr>
          <w:sz w:val="24"/>
          <w:szCs w:val="24"/>
          <w:vertAlign w:val="subscript"/>
          <w:lang w:val="nb-NO"/>
        </w:rPr>
        <w:t>dss</w:t>
      </w:r>
      <w:r w:rsidRPr="00262C00">
        <w:rPr>
          <w:sz w:val="24"/>
          <w:szCs w:val="24"/>
          <w:lang w:val="nb-NO"/>
        </w:rPr>
        <w:t>) er ca. 400 liter. Fentanyls binding til plasmaproteiner er ca. 84 %.</w:t>
      </w:r>
    </w:p>
    <w:p w14:paraId="67444C95" w14:textId="77777777" w:rsidR="00642E1C" w:rsidRPr="00262C00" w:rsidRDefault="00642E1C" w:rsidP="00934194">
      <w:pPr>
        <w:ind w:left="851"/>
        <w:rPr>
          <w:sz w:val="24"/>
          <w:szCs w:val="24"/>
          <w:lang w:val="nb-NO"/>
        </w:rPr>
      </w:pPr>
    </w:p>
    <w:p w14:paraId="423AE578" w14:textId="77777777" w:rsidR="00642E1C" w:rsidRPr="00E65D6D" w:rsidRDefault="00642E1C" w:rsidP="00934194">
      <w:pPr>
        <w:ind w:left="851"/>
        <w:rPr>
          <w:sz w:val="24"/>
          <w:szCs w:val="24"/>
          <w:u w:val="single"/>
        </w:rPr>
      </w:pPr>
      <w:r w:rsidRPr="00E65D6D">
        <w:rPr>
          <w:sz w:val="24"/>
          <w:szCs w:val="24"/>
          <w:u w:val="single"/>
        </w:rPr>
        <w:t>Biotransformation</w:t>
      </w:r>
    </w:p>
    <w:p w14:paraId="6881F14D" w14:textId="77777777" w:rsidR="00642E1C" w:rsidRPr="00FC16D0" w:rsidRDefault="00642E1C" w:rsidP="00934194">
      <w:pPr>
        <w:ind w:left="851"/>
        <w:rPr>
          <w:sz w:val="24"/>
          <w:szCs w:val="24"/>
        </w:rPr>
      </w:pPr>
      <w:r w:rsidRPr="00FC16D0">
        <w:rPr>
          <w:sz w:val="24"/>
          <w:szCs w:val="24"/>
        </w:rPr>
        <w:t xml:space="preserve">Fentanyl </w:t>
      </w:r>
      <w:proofErr w:type="spellStart"/>
      <w:r w:rsidRPr="00FC16D0">
        <w:rPr>
          <w:sz w:val="24"/>
          <w:szCs w:val="24"/>
        </w:rPr>
        <w:t>metaboliseres</w:t>
      </w:r>
      <w:proofErr w:type="spellEnd"/>
      <w:r w:rsidRPr="00FC16D0">
        <w:rPr>
          <w:sz w:val="24"/>
          <w:szCs w:val="24"/>
        </w:rPr>
        <w:t xml:space="preserve"> hurtigt, hovedsageligt i leveren via CYP3A4. Fentanyl har ingen aktive metabolitter. Hovedmetabolitten er norfentanyl. </w:t>
      </w:r>
      <w:proofErr w:type="spellStart"/>
      <w:r w:rsidRPr="00FC16D0">
        <w:rPr>
          <w:sz w:val="24"/>
          <w:szCs w:val="24"/>
        </w:rPr>
        <w:t>Clearance</w:t>
      </w:r>
      <w:proofErr w:type="spellEnd"/>
      <w:r w:rsidRPr="00FC16D0">
        <w:rPr>
          <w:sz w:val="24"/>
          <w:szCs w:val="24"/>
        </w:rPr>
        <w:t xml:space="preserve"> er ca. 600 ml/min. </w:t>
      </w:r>
      <w:r w:rsidRPr="00FC16D0">
        <w:rPr>
          <w:i/>
          <w:sz w:val="24"/>
          <w:szCs w:val="24"/>
        </w:rPr>
        <w:t xml:space="preserve">In </w:t>
      </w:r>
      <w:proofErr w:type="spellStart"/>
      <w:r w:rsidRPr="00FC16D0">
        <w:rPr>
          <w:i/>
          <w:sz w:val="24"/>
          <w:szCs w:val="24"/>
        </w:rPr>
        <w:t>vitro</w:t>
      </w:r>
      <w:proofErr w:type="spellEnd"/>
      <w:r w:rsidRPr="00FC16D0">
        <w:rPr>
          <w:i/>
          <w:sz w:val="24"/>
          <w:szCs w:val="24"/>
        </w:rPr>
        <w:t>-</w:t>
      </w:r>
      <w:r w:rsidRPr="00FC16D0">
        <w:rPr>
          <w:sz w:val="24"/>
          <w:szCs w:val="24"/>
        </w:rPr>
        <w:t xml:space="preserve">undersøgelser med </w:t>
      </w:r>
      <w:proofErr w:type="spellStart"/>
      <w:r w:rsidRPr="00FC16D0">
        <w:rPr>
          <w:sz w:val="24"/>
          <w:szCs w:val="24"/>
        </w:rPr>
        <w:t>midazolam</w:t>
      </w:r>
      <w:proofErr w:type="spellEnd"/>
      <w:r w:rsidRPr="00FC16D0">
        <w:rPr>
          <w:sz w:val="24"/>
          <w:szCs w:val="24"/>
        </w:rPr>
        <w:t xml:space="preserve"> som substrat afslørede, at fentanyl hæmmede CYP3A4.</w:t>
      </w:r>
    </w:p>
    <w:p w14:paraId="5C130677" w14:textId="77777777" w:rsidR="00642E1C" w:rsidRPr="00FC16D0" w:rsidRDefault="00642E1C" w:rsidP="00934194">
      <w:pPr>
        <w:ind w:left="851"/>
        <w:rPr>
          <w:sz w:val="24"/>
          <w:szCs w:val="24"/>
        </w:rPr>
      </w:pPr>
    </w:p>
    <w:p w14:paraId="60EBE7DC" w14:textId="77777777" w:rsidR="00642E1C" w:rsidRPr="00E65D6D" w:rsidRDefault="00642E1C" w:rsidP="00934194">
      <w:pPr>
        <w:ind w:left="851"/>
        <w:rPr>
          <w:sz w:val="24"/>
          <w:szCs w:val="24"/>
          <w:u w:val="single"/>
        </w:rPr>
      </w:pPr>
      <w:r w:rsidRPr="00E65D6D">
        <w:rPr>
          <w:sz w:val="24"/>
          <w:szCs w:val="24"/>
          <w:u w:val="single"/>
        </w:rPr>
        <w:t>Elimination</w:t>
      </w:r>
    </w:p>
    <w:p w14:paraId="552ABA96" w14:textId="77777777" w:rsidR="00642E1C" w:rsidRPr="00FC16D0" w:rsidRDefault="00642E1C" w:rsidP="00934194">
      <w:pPr>
        <w:ind w:left="851"/>
        <w:rPr>
          <w:sz w:val="24"/>
          <w:szCs w:val="24"/>
        </w:rPr>
      </w:pPr>
      <w:r w:rsidRPr="00FC16D0">
        <w:rPr>
          <w:sz w:val="24"/>
          <w:szCs w:val="24"/>
        </w:rPr>
        <w:t xml:space="preserve">Cirka 75 % af den indgivne dosis udskilles i urinen inden for 24 timer. Kun 10 % af den i urinen eliminerede dosis findes som </w:t>
      </w:r>
      <w:proofErr w:type="spellStart"/>
      <w:r w:rsidRPr="00FC16D0">
        <w:rPr>
          <w:sz w:val="24"/>
          <w:szCs w:val="24"/>
        </w:rPr>
        <w:t>uomdannet</w:t>
      </w:r>
      <w:proofErr w:type="spellEnd"/>
      <w:r w:rsidRPr="00FC16D0">
        <w:rPr>
          <w:sz w:val="24"/>
          <w:szCs w:val="24"/>
        </w:rPr>
        <w:t xml:space="preserve"> lægemiddel.</w:t>
      </w:r>
    </w:p>
    <w:p w14:paraId="6344FA43" w14:textId="77777777" w:rsidR="00642E1C" w:rsidRPr="00FC16D0" w:rsidRDefault="00642E1C" w:rsidP="00934194">
      <w:pPr>
        <w:ind w:left="851"/>
        <w:rPr>
          <w:sz w:val="24"/>
          <w:szCs w:val="24"/>
        </w:rPr>
      </w:pPr>
    </w:p>
    <w:p w14:paraId="6841BA26" w14:textId="77777777" w:rsidR="00642E1C" w:rsidRPr="00FC16D0" w:rsidRDefault="00642E1C" w:rsidP="00934194">
      <w:pPr>
        <w:ind w:left="851"/>
        <w:rPr>
          <w:b/>
          <w:sz w:val="24"/>
          <w:szCs w:val="24"/>
        </w:rPr>
      </w:pPr>
      <w:r w:rsidRPr="00FC16D0">
        <w:rPr>
          <w:b/>
          <w:sz w:val="24"/>
          <w:szCs w:val="24"/>
        </w:rPr>
        <w:t>Særlige populationer</w:t>
      </w:r>
    </w:p>
    <w:p w14:paraId="3C8F2D87" w14:textId="77777777" w:rsidR="00642E1C" w:rsidRPr="00FC16D0" w:rsidRDefault="00642E1C" w:rsidP="00934194">
      <w:pPr>
        <w:ind w:left="851"/>
        <w:rPr>
          <w:sz w:val="24"/>
          <w:szCs w:val="24"/>
        </w:rPr>
      </w:pPr>
    </w:p>
    <w:p w14:paraId="5BD27932" w14:textId="77777777" w:rsidR="00642E1C" w:rsidRPr="00E65D6D" w:rsidRDefault="00642E1C" w:rsidP="00934194">
      <w:pPr>
        <w:ind w:left="851"/>
        <w:rPr>
          <w:sz w:val="24"/>
          <w:szCs w:val="24"/>
          <w:u w:val="single"/>
        </w:rPr>
      </w:pPr>
      <w:r w:rsidRPr="00E65D6D">
        <w:rPr>
          <w:sz w:val="24"/>
          <w:szCs w:val="24"/>
          <w:u w:val="single"/>
        </w:rPr>
        <w:t>Børn</w:t>
      </w:r>
    </w:p>
    <w:p w14:paraId="3480553F" w14:textId="3A1CF7EE" w:rsidR="00642E1C" w:rsidRPr="00FC16D0" w:rsidRDefault="00642E1C" w:rsidP="00934194">
      <w:pPr>
        <w:ind w:left="851"/>
        <w:rPr>
          <w:sz w:val="24"/>
          <w:szCs w:val="24"/>
        </w:rPr>
      </w:pPr>
      <w:r w:rsidRPr="00FC16D0">
        <w:rPr>
          <w:sz w:val="24"/>
          <w:szCs w:val="24"/>
        </w:rPr>
        <w:t>Efter intravenøs administration er fentanyls plasmaproteinbinding lavere hos nyfødte end hos voksne. Hos for tidligt fødte børn er det højere (ca. 77</w:t>
      </w:r>
      <w:r w:rsidR="00AE4B52">
        <w:rPr>
          <w:sz w:val="24"/>
          <w:szCs w:val="24"/>
        </w:rPr>
        <w:t xml:space="preserve"> </w:t>
      </w:r>
      <w:r w:rsidRPr="00FC16D0">
        <w:rPr>
          <w:sz w:val="24"/>
          <w:szCs w:val="24"/>
        </w:rPr>
        <w:t xml:space="preserve">%) end hos børn født til tiden (ca. 62 %). </w:t>
      </w:r>
      <w:proofErr w:type="spellStart"/>
      <w:r w:rsidRPr="00FC16D0">
        <w:rPr>
          <w:sz w:val="24"/>
          <w:szCs w:val="24"/>
        </w:rPr>
        <w:t>Clearance</w:t>
      </w:r>
      <w:proofErr w:type="spellEnd"/>
      <w:r w:rsidRPr="00FC16D0">
        <w:rPr>
          <w:sz w:val="24"/>
          <w:szCs w:val="24"/>
        </w:rPr>
        <w:t xml:space="preserve"> pr. kg legemsvægt og det totale fordelingsvolumen efter intravenøs administration af fentanyl er højere hos spædbørn og børn end hos voksne. Dette kan føre til behov for en højere fentanyldosis pr. kg. Den terminale halveringstid er længere hos nyfødte. CYP3A4-aktivitet er meget lav ved fødslen, men øger </w:t>
      </w:r>
      <w:proofErr w:type="spellStart"/>
      <w:r w:rsidRPr="00FC16D0">
        <w:rPr>
          <w:sz w:val="24"/>
          <w:szCs w:val="24"/>
        </w:rPr>
        <w:t>postpartum</w:t>
      </w:r>
      <w:proofErr w:type="spellEnd"/>
      <w:r w:rsidRPr="00FC16D0">
        <w:rPr>
          <w:sz w:val="24"/>
          <w:szCs w:val="24"/>
        </w:rPr>
        <w:t xml:space="preserve"> til at nå 30</w:t>
      </w:r>
      <w:r w:rsidRPr="00FC16D0">
        <w:rPr>
          <w:sz w:val="24"/>
          <w:szCs w:val="24"/>
        </w:rPr>
        <w:noBreakHyphen/>
        <w:t xml:space="preserve">40 % af voksenniveauet 1 måned </w:t>
      </w:r>
      <w:proofErr w:type="spellStart"/>
      <w:r w:rsidRPr="00FC16D0">
        <w:rPr>
          <w:sz w:val="24"/>
          <w:szCs w:val="24"/>
        </w:rPr>
        <w:t>postpartum</w:t>
      </w:r>
      <w:proofErr w:type="spellEnd"/>
      <w:r w:rsidRPr="00FC16D0">
        <w:rPr>
          <w:sz w:val="24"/>
          <w:szCs w:val="24"/>
        </w:rPr>
        <w:t xml:space="preserve">. Værdier for </w:t>
      </w:r>
      <w:proofErr w:type="spellStart"/>
      <w:r w:rsidRPr="00FC16D0">
        <w:rPr>
          <w:sz w:val="24"/>
          <w:szCs w:val="24"/>
        </w:rPr>
        <w:t>clearance</w:t>
      </w:r>
      <w:proofErr w:type="spellEnd"/>
      <w:r w:rsidRPr="00FC16D0">
        <w:rPr>
          <w:sz w:val="24"/>
          <w:szCs w:val="24"/>
        </w:rPr>
        <w:t xml:space="preserve">, </w:t>
      </w:r>
      <w:proofErr w:type="spellStart"/>
      <w:r w:rsidRPr="00FC16D0">
        <w:rPr>
          <w:i/>
          <w:iCs/>
          <w:sz w:val="24"/>
          <w:szCs w:val="24"/>
        </w:rPr>
        <w:t>steady-state</w:t>
      </w:r>
      <w:proofErr w:type="spellEnd"/>
      <w:r w:rsidRPr="00FC16D0">
        <w:rPr>
          <w:sz w:val="24"/>
          <w:szCs w:val="24"/>
        </w:rPr>
        <w:t xml:space="preserve"> fordelingsvolumen og terminal halveringstid for børn i forskellige aldre er angivet i nedenstående tabel.</w:t>
      </w:r>
    </w:p>
    <w:p w14:paraId="3A5322CF" w14:textId="77777777" w:rsidR="00642E1C" w:rsidRPr="00FC16D0" w:rsidRDefault="00642E1C" w:rsidP="00934194">
      <w:pPr>
        <w:ind w:left="851"/>
        <w:rPr>
          <w:sz w:val="24"/>
          <w:szCs w:val="24"/>
        </w:rPr>
      </w:pPr>
    </w:p>
    <w:p w14:paraId="226B3FA2" w14:textId="60C1C8E9" w:rsidR="00642E1C" w:rsidRPr="00E65D6D" w:rsidRDefault="00642E1C" w:rsidP="00934194">
      <w:pPr>
        <w:ind w:left="851"/>
        <w:rPr>
          <w:sz w:val="24"/>
          <w:szCs w:val="24"/>
          <w:u w:val="single"/>
        </w:rPr>
      </w:pPr>
      <w:r w:rsidRPr="00E65D6D">
        <w:rPr>
          <w:sz w:val="24"/>
          <w:szCs w:val="24"/>
          <w:u w:val="single"/>
        </w:rPr>
        <w:t>Tabel 2</w:t>
      </w:r>
      <w:r w:rsidR="007E6DCF">
        <w:rPr>
          <w:sz w:val="24"/>
          <w:szCs w:val="24"/>
          <w:u w:val="single"/>
        </w:rPr>
        <w:t>:</w:t>
      </w:r>
      <w:r w:rsidRPr="00E65D6D">
        <w:rPr>
          <w:sz w:val="24"/>
          <w:szCs w:val="24"/>
          <w:u w:val="single"/>
        </w:rPr>
        <w:t xml:space="preserve"> </w:t>
      </w:r>
      <w:proofErr w:type="spellStart"/>
      <w:r w:rsidRPr="00E65D6D">
        <w:rPr>
          <w:sz w:val="24"/>
          <w:szCs w:val="24"/>
          <w:u w:val="single"/>
        </w:rPr>
        <w:t>Clearance</w:t>
      </w:r>
      <w:proofErr w:type="spellEnd"/>
      <w:r w:rsidRPr="00E65D6D">
        <w:rPr>
          <w:sz w:val="24"/>
          <w:szCs w:val="24"/>
          <w:u w:val="single"/>
        </w:rPr>
        <w:t xml:space="preserve">, </w:t>
      </w:r>
      <w:proofErr w:type="spellStart"/>
      <w:r w:rsidRPr="00E65D6D">
        <w:rPr>
          <w:i/>
          <w:iCs/>
          <w:sz w:val="24"/>
          <w:szCs w:val="24"/>
          <w:u w:val="single"/>
        </w:rPr>
        <w:t>steady-state</w:t>
      </w:r>
      <w:proofErr w:type="spellEnd"/>
      <w:r w:rsidRPr="00E65D6D">
        <w:rPr>
          <w:sz w:val="24"/>
          <w:szCs w:val="24"/>
          <w:u w:val="single"/>
        </w:rPr>
        <w:t xml:space="preserve"> fordelingsvolumen og terminal halveringstid hos børn</w:t>
      </w:r>
    </w:p>
    <w:p w14:paraId="0774FAEE" w14:textId="77777777" w:rsidR="00642E1C" w:rsidRPr="00FC16D0" w:rsidRDefault="00642E1C" w:rsidP="00642E1C">
      <w:pPr>
        <w:pStyle w:val="Normalindrykning"/>
        <w:ind w:left="0"/>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90"/>
        <w:gridCol w:w="1890"/>
        <w:gridCol w:w="1890"/>
      </w:tblGrid>
      <w:tr w:rsidR="00642E1C" w:rsidRPr="00FC16D0" w14:paraId="6ED36864" w14:textId="77777777" w:rsidTr="00934194">
        <w:tc>
          <w:tcPr>
            <w:tcW w:w="2552" w:type="dxa"/>
            <w:tcBorders>
              <w:top w:val="single" w:sz="4" w:space="0" w:color="auto"/>
              <w:left w:val="single" w:sz="4" w:space="0" w:color="auto"/>
              <w:bottom w:val="single" w:sz="4" w:space="0" w:color="auto"/>
              <w:right w:val="single" w:sz="4" w:space="0" w:color="auto"/>
            </w:tcBorders>
          </w:tcPr>
          <w:p w14:paraId="2DCB1E1B" w14:textId="77777777" w:rsidR="00642E1C" w:rsidRPr="00FC16D0" w:rsidRDefault="00642E1C" w:rsidP="00934194">
            <w:pPr>
              <w:rPr>
                <w:sz w:val="24"/>
                <w:szCs w:val="24"/>
              </w:rPr>
            </w:pPr>
          </w:p>
        </w:tc>
        <w:tc>
          <w:tcPr>
            <w:tcW w:w="1890" w:type="dxa"/>
            <w:tcBorders>
              <w:top w:val="single" w:sz="4" w:space="0" w:color="auto"/>
              <w:left w:val="single" w:sz="4" w:space="0" w:color="auto"/>
              <w:bottom w:val="single" w:sz="4" w:space="0" w:color="auto"/>
              <w:right w:val="single" w:sz="4" w:space="0" w:color="auto"/>
            </w:tcBorders>
            <w:hideMark/>
          </w:tcPr>
          <w:p w14:paraId="644EBAA3" w14:textId="77777777" w:rsidR="00642E1C" w:rsidRPr="00FC16D0" w:rsidRDefault="00642E1C" w:rsidP="00934194">
            <w:pPr>
              <w:rPr>
                <w:sz w:val="24"/>
                <w:szCs w:val="24"/>
              </w:rPr>
            </w:pPr>
            <w:r w:rsidRPr="00FC16D0">
              <w:rPr>
                <w:sz w:val="24"/>
                <w:szCs w:val="24"/>
              </w:rPr>
              <w:t>CI</w:t>
            </w:r>
          </w:p>
          <w:p w14:paraId="3B5AEE56" w14:textId="77777777" w:rsidR="00642E1C" w:rsidRPr="00FC16D0" w:rsidRDefault="00642E1C" w:rsidP="00934194">
            <w:pPr>
              <w:rPr>
                <w:sz w:val="24"/>
                <w:szCs w:val="24"/>
              </w:rPr>
            </w:pPr>
            <w:r w:rsidRPr="00FC16D0">
              <w:rPr>
                <w:sz w:val="24"/>
                <w:szCs w:val="24"/>
              </w:rPr>
              <w:t>(ml/kg/</w:t>
            </w:r>
            <w:proofErr w:type="gramStart"/>
            <w:r w:rsidRPr="00FC16D0">
              <w:rPr>
                <w:sz w:val="24"/>
                <w:szCs w:val="24"/>
              </w:rPr>
              <w:t>min)*</w:t>
            </w:r>
            <w:proofErr w:type="gramEnd"/>
          </w:p>
        </w:tc>
        <w:tc>
          <w:tcPr>
            <w:tcW w:w="1890" w:type="dxa"/>
            <w:tcBorders>
              <w:top w:val="single" w:sz="4" w:space="0" w:color="auto"/>
              <w:left w:val="single" w:sz="4" w:space="0" w:color="auto"/>
              <w:bottom w:val="single" w:sz="4" w:space="0" w:color="auto"/>
              <w:right w:val="single" w:sz="4" w:space="0" w:color="auto"/>
            </w:tcBorders>
            <w:hideMark/>
          </w:tcPr>
          <w:p w14:paraId="2A761B08" w14:textId="77777777" w:rsidR="00642E1C" w:rsidRPr="00FC16D0" w:rsidRDefault="00642E1C" w:rsidP="00934194">
            <w:pPr>
              <w:rPr>
                <w:sz w:val="24"/>
                <w:szCs w:val="24"/>
              </w:rPr>
            </w:pPr>
            <w:proofErr w:type="spellStart"/>
            <w:r w:rsidRPr="00FC16D0">
              <w:rPr>
                <w:sz w:val="24"/>
                <w:szCs w:val="24"/>
              </w:rPr>
              <w:t>V</w:t>
            </w:r>
            <w:r w:rsidRPr="00FC16D0">
              <w:rPr>
                <w:sz w:val="24"/>
                <w:szCs w:val="24"/>
                <w:vertAlign w:val="subscript"/>
              </w:rPr>
              <w:t>ss</w:t>
            </w:r>
            <w:proofErr w:type="spellEnd"/>
          </w:p>
          <w:p w14:paraId="0FF7C7D1" w14:textId="77777777" w:rsidR="00642E1C" w:rsidRPr="00FC16D0" w:rsidRDefault="00642E1C" w:rsidP="00934194">
            <w:pPr>
              <w:rPr>
                <w:sz w:val="24"/>
                <w:szCs w:val="24"/>
              </w:rPr>
            </w:pPr>
            <w:r w:rsidRPr="00FC16D0">
              <w:rPr>
                <w:sz w:val="24"/>
                <w:szCs w:val="24"/>
              </w:rPr>
              <w:t>(l/</w:t>
            </w:r>
            <w:proofErr w:type="gramStart"/>
            <w:r w:rsidRPr="00FC16D0">
              <w:rPr>
                <w:sz w:val="24"/>
                <w:szCs w:val="24"/>
              </w:rPr>
              <w:t>kg)*</w:t>
            </w:r>
            <w:proofErr w:type="gramEnd"/>
          </w:p>
        </w:tc>
        <w:tc>
          <w:tcPr>
            <w:tcW w:w="1890" w:type="dxa"/>
            <w:tcBorders>
              <w:top w:val="single" w:sz="4" w:space="0" w:color="auto"/>
              <w:left w:val="single" w:sz="4" w:space="0" w:color="auto"/>
              <w:bottom w:val="single" w:sz="4" w:space="0" w:color="auto"/>
              <w:right w:val="single" w:sz="4" w:space="0" w:color="auto"/>
            </w:tcBorders>
            <w:hideMark/>
          </w:tcPr>
          <w:p w14:paraId="2FB96276" w14:textId="77777777" w:rsidR="00642E1C" w:rsidRPr="00FC16D0" w:rsidRDefault="00642E1C" w:rsidP="00934194">
            <w:pPr>
              <w:rPr>
                <w:sz w:val="24"/>
                <w:szCs w:val="24"/>
              </w:rPr>
            </w:pPr>
            <w:r w:rsidRPr="00FC16D0">
              <w:rPr>
                <w:sz w:val="24"/>
                <w:szCs w:val="24"/>
              </w:rPr>
              <w:t>Beta T½</w:t>
            </w:r>
          </w:p>
          <w:p w14:paraId="760311EB" w14:textId="77777777" w:rsidR="00642E1C" w:rsidRPr="00FC16D0" w:rsidRDefault="00642E1C" w:rsidP="00934194">
            <w:pPr>
              <w:rPr>
                <w:sz w:val="24"/>
                <w:szCs w:val="24"/>
              </w:rPr>
            </w:pPr>
            <w:r w:rsidRPr="00FC16D0">
              <w:rPr>
                <w:sz w:val="24"/>
                <w:szCs w:val="24"/>
              </w:rPr>
              <w:t>(timer)</w:t>
            </w:r>
          </w:p>
        </w:tc>
      </w:tr>
      <w:tr w:rsidR="00642E1C" w:rsidRPr="00FC16D0" w14:paraId="4120CF88" w14:textId="77777777" w:rsidTr="00934194">
        <w:tc>
          <w:tcPr>
            <w:tcW w:w="2552" w:type="dxa"/>
            <w:tcBorders>
              <w:top w:val="single" w:sz="4" w:space="0" w:color="auto"/>
              <w:left w:val="single" w:sz="4" w:space="0" w:color="auto"/>
              <w:bottom w:val="single" w:sz="4" w:space="0" w:color="auto"/>
              <w:right w:val="single" w:sz="4" w:space="0" w:color="auto"/>
            </w:tcBorders>
            <w:hideMark/>
          </w:tcPr>
          <w:p w14:paraId="3F58C6A1" w14:textId="77777777" w:rsidR="00642E1C" w:rsidRPr="00FC16D0" w:rsidRDefault="00642E1C" w:rsidP="00934194">
            <w:pPr>
              <w:rPr>
                <w:sz w:val="24"/>
                <w:szCs w:val="24"/>
              </w:rPr>
            </w:pPr>
            <w:r w:rsidRPr="00FC16D0">
              <w:rPr>
                <w:sz w:val="24"/>
                <w:szCs w:val="24"/>
              </w:rPr>
              <w:t>Spædbørn</w:t>
            </w:r>
          </w:p>
          <w:p w14:paraId="4BC8E388" w14:textId="77777777" w:rsidR="00642E1C" w:rsidRPr="00FC16D0" w:rsidRDefault="00642E1C" w:rsidP="00934194">
            <w:pPr>
              <w:rPr>
                <w:sz w:val="24"/>
                <w:szCs w:val="24"/>
              </w:rPr>
            </w:pPr>
            <w:r w:rsidRPr="00FC16D0">
              <w:rPr>
                <w:sz w:val="24"/>
                <w:szCs w:val="24"/>
              </w:rPr>
              <w:t xml:space="preserve">1-26 dage </w:t>
            </w:r>
            <w:proofErr w:type="spellStart"/>
            <w:r w:rsidRPr="00FC16D0">
              <w:rPr>
                <w:sz w:val="24"/>
                <w:szCs w:val="24"/>
              </w:rPr>
              <w:t>postpartum</w:t>
            </w:r>
            <w:proofErr w:type="spellEnd"/>
          </w:p>
        </w:tc>
        <w:tc>
          <w:tcPr>
            <w:tcW w:w="1890" w:type="dxa"/>
            <w:tcBorders>
              <w:top w:val="single" w:sz="4" w:space="0" w:color="auto"/>
              <w:left w:val="single" w:sz="4" w:space="0" w:color="auto"/>
              <w:bottom w:val="single" w:sz="4" w:space="0" w:color="auto"/>
              <w:right w:val="single" w:sz="4" w:space="0" w:color="auto"/>
            </w:tcBorders>
            <w:vAlign w:val="center"/>
            <w:hideMark/>
          </w:tcPr>
          <w:p w14:paraId="74CDB876" w14:textId="77777777" w:rsidR="00642E1C" w:rsidRPr="00FC16D0" w:rsidRDefault="00642E1C" w:rsidP="00934194">
            <w:pPr>
              <w:rPr>
                <w:sz w:val="24"/>
                <w:szCs w:val="24"/>
              </w:rPr>
            </w:pPr>
            <w:r w:rsidRPr="00FC16D0">
              <w:rPr>
                <w:sz w:val="24"/>
                <w:szCs w:val="24"/>
              </w:rPr>
              <w:t xml:space="preserve">3,4 </w:t>
            </w:r>
            <w:r w:rsidRPr="00FC16D0">
              <w:rPr>
                <w:sz w:val="24"/>
                <w:szCs w:val="24"/>
              </w:rPr>
              <w:noBreakHyphen/>
              <w:t xml:space="preserve"> 58,7</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32A81D4" w14:textId="77777777" w:rsidR="00642E1C" w:rsidRPr="00FC16D0" w:rsidRDefault="00642E1C" w:rsidP="00934194">
            <w:pPr>
              <w:rPr>
                <w:sz w:val="24"/>
                <w:szCs w:val="24"/>
              </w:rPr>
            </w:pPr>
            <w:r w:rsidRPr="00FC16D0">
              <w:rPr>
                <w:sz w:val="24"/>
                <w:szCs w:val="24"/>
              </w:rPr>
              <w:t xml:space="preserve">1,3 </w:t>
            </w:r>
            <w:r w:rsidRPr="00FC16D0">
              <w:rPr>
                <w:sz w:val="24"/>
                <w:szCs w:val="24"/>
              </w:rPr>
              <w:noBreakHyphen/>
              <w:t xml:space="preserve"> 30,3</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0C35856" w14:textId="77777777" w:rsidR="00642E1C" w:rsidRPr="00FC16D0" w:rsidRDefault="00642E1C" w:rsidP="00934194">
            <w:pPr>
              <w:rPr>
                <w:sz w:val="24"/>
                <w:szCs w:val="24"/>
              </w:rPr>
            </w:pPr>
            <w:r w:rsidRPr="00FC16D0">
              <w:rPr>
                <w:sz w:val="24"/>
                <w:szCs w:val="24"/>
              </w:rPr>
              <w:t xml:space="preserve">1,3 </w:t>
            </w:r>
            <w:r w:rsidRPr="00FC16D0">
              <w:rPr>
                <w:sz w:val="24"/>
                <w:szCs w:val="24"/>
              </w:rPr>
              <w:noBreakHyphen/>
              <w:t xml:space="preserve"> 15,9</w:t>
            </w:r>
          </w:p>
        </w:tc>
      </w:tr>
      <w:tr w:rsidR="00642E1C" w:rsidRPr="00FC16D0" w14:paraId="22ABBDD2" w14:textId="77777777" w:rsidTr="00934194">
        <w:tc>
          <w:tcPr>
            <w:tcW w:w="2552" w:type="dxa"/>
            <w:tcBorders>
              <w:top w:val="single" w:sz="4" w:space="0" w:color="auto"/>
              <w:left w:val="single" w:sz="4" w:space="0" w:color="auto"/>
              <w:bottom w:val="single" w:sz="4" w:space="0" w:color="auto"/>
              <w:right w:val="single" w:sz="4" w:space="0" w:color="auto"/>
            </w:tcBorders>
            <w:hideMark/>
          </w:tcPr>
          <w:p w14:paraId="22C66AA7" w14:textId="77777777" w:rsidR="00642E1C" w:rsidRPr="00FC16D0" w:rsidRDefault="00642E1C" w:rsidP="00934194">
            <w:pPr>
              <w:rPr>
                <w:sz w:val="24"/>
                <w:szCs w:val="24"/>
              </w:rPr>
            </w:pPr>
            <w:r w:rsidRPr="00FC16D0">
              <w:rPr>
                <w:sz w:val="24"/>
                <w:szCs w:val="24"/>
              </w:rPr>
              <w:t>Spædbørn</w:t>
            </w:r>
          </w:p>
          <w:p w14:paraId="30F63EC4" w14:textId="77777777" w:rsidR="00642E1C" w:rsidRPr="00FC16D0" w:rsidRDefault="00642E1C" w:rsidP="00934194">
            <w:pPr>
              <w:rPr>
                <w:sz w:val="24"/>
                <w:szCs w:val="24"/>
              </w:rPr>
            </w:pPr>
            <w:r w:rsidRPr="00FC16D0">
              <w:rPr>
                <w:sz w:val="24"/>
                <w:szCs w:val="24"/>
              </w:rPr>
              <w:t>48</w:t>
            </w:r>
            <w:r w:rsidRPr="00FC16D0">
              <w:rPr>
                <w:sz w:val="24"/>
                <w:szCs w:val="24"/>
              </w:rPr>
              <w:noBreakHyphen/>
              <w:t xml:space="preserve">71 dage </w:t>
            </w:r>
            <w:proofErr w:type="spellStart"/>
            <w:r w:rsidRPr="00FC16D0">
              <w:rPr>
                <w:sz w:val="24"/>
                <w:szCs w:val="24"/>
              </w:rPr>
              <w:t>postpartum</w:t>
            </w:r>
            <w:proofErr w:type="spellEnd"/>
          </w:p>
        </w:tc>
        <w:tc>
          <w:tcPr>
            <w:tcW w:w="1890" w:type="dxa"/>
            <w:tcBorders>
              <w:top w:val="single" w:sz="4" w:space="0" w:color="auto"/>
              <w:left w:val="single" w:sz="4" w:space="0" w:color="auto"/>
              <w:bottom w:val="single" w:sz="4" w:space="0" w:color="auto"/>
              <w:right w:val="single" w:sz="4" w:space="0" w:color="auto"/>
            </w:tcBorders>
            <w:vAlign w:val="center"/>
            <w:hideMark/>
          </w:tcPr>
          <w:p w14:paraId="71D2C496" w14:textId="77777777" w:rsidR="00642E1C" w:rsidRPr="00FC16D0" w:rsidRDefault="00642E1C" w:rsidP="00934194">
            <w:pPr>
              <w:rPr>
                <w:sz w:val="24"/>
                <w:szCs w:val="24"/>
              </w:rPr>
            </w:pPr>
            <w:r w:rsidRPr="00FC16D0">
              <w:rPr>
                <w:sz w:val="24"/>
                <w:szCs w:val="24"/>
              </w:rPr>
              <w:t xml:space="preserve">21,9 </w:t>
            </w:r>
            <w:r w:rsidRPr="00FC16D0">
              <w:rPr>
                <w:sz w:val="24"/>
                <w:szCs w:val="24"/>
              </w:rPr>
              <w:noBreakHyphen/>
              <w:t xml:space="preserve"> 32,3</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DCC9119" w14:textId="77777777" w:rsidR="00642E1C" w:rsidRPr="00FC16D0" w:rsidRDefault="00642E1C" w:rsidP="00934194">
            <w:pPr>
              <w:rPr>
                <w:sz w:val="24"/>
                <w:szCs w:val="24"/>
              </w:rPr>
            </w:pPr>
            <w:r w:rsidRPr="00FC16D0">
              <w:rPr>
                <w:sz w:val="24"/>
                <w:szCs w:val="24"/>
              </w:rPr>
              <w:t xml:space="preserve">6,0 </w:t>
            </w:r>
            <w:r w:rsidRPr="00FC16D0">
              <w:rPr>
                <w:sz w:val="24"/>
                <w:szCs w:val="24"/>
              </w:rPr>
              <w:noBreakHyphen/>
              <w:t xml:space="preserve"> 9,5</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BE7476B" w14:textId="77777777" w:rsidR="00642E1C" w:rsidRPr="00FC16D0" w:rsidRDefault="00642E1C" w:rsidP="00934194">
            <w:pPr>
              <w:rPr>
                <w:sz w:val="24"/>
                <w:szCs w:val="24"/>
              </w:rPr>
            </w:pPr>
            <w:r w:rsidRPr="00FC16D0">
              <w:rPr>
                <w:sz w:val="24"/>
                <w:szCs w:val="24"/>
              </w:rPr>
              <w:t xml:space="preserve">3,1 </w:t>
            </w:r>
            <w:r w:rsidRPr="00FC16D0">
              <w:rPr>
                <w:sz w:val="24"/>
                <w:szCs w:val="24"/>
              </w:rPr>
              <w:noBreakHyphen/>
              <w:t xml:space="preserve"> 15,5</w:t>
            </w:r>
          </w:p>
        </w:tc>
      </w:tr>
      <w:tr w:rsidR="00642E1C" w:rsidRPr="00FC16D0" w14:paraId="4282C60A" w14:textId="77777777" w:rsidTr="00934194">
        <w:tc>
          <w:tcPr>
            <w:tcW w:w="2552" w:type="dxa"/>
            <w:tcBorders>
              <w:top w:val="single" w:sz="4" w:space="0" w:color="auto"/>
              <w:left w:val="single" w:sz="4" w:space="0" w:color="auto"/>
              <w:bottom w:val="single" w:sz="4" w:space="0" w:color="auto"/>
              <w:right w:val="single" w:sz="4" w:space="0" w:color="auto"/>
            </w:tcBorders>
            <w:hideMark/>
          </w:tcPr>
          <w:p w14:paraId="319DF523" w14:textId="77777777" w:rsidR="00642E1C" w:rsidRPr="00FC16D0" w:rsidRDefault="00642E1C" w:rsidP="00934194">
            <w:pPr>
              <w:rPr>
                <w:sz w:val="24"/>
                <w:szCs w:val="24"/>
              </w:rPr>
            </w:pPr>
            <w:r w:rsidRPr="00FC16D0">
              <w:rPr>
                <w:sz w:val="24"/>
                <w:szCs w:val="24"/>
              </w:rPr>
              <w:t>Børn</w:t>
            </w:r>
          </w:p>
          <w:p w14:paraId="13D1FD02" w14:textId="77777777" w:rsidR="00642E1C" w:rsidRPr="00FC16D0" w:rsidRDefault="00642E1C" w:rsidP="00934194">
            <w:pPr>
              <w:rPr>
                <w:sz w:val="24"/>
                <w:szCs w:val="24"/>
              </w:rPr>
            </w:pPr>
            <w:r w:rsidRPr="00FC16D0">
              <w:rPr>
                <w:sz w:val="24"/>
                <w:szCs w:val="24"/>
              </w:rPr>
              <w:t>3,17 ± 0,68 år</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9E3FF87" w14:textId="77777777" w:rsidR="00642E1C" w:rsidRPr="00FC16D0" w:rsidRDefault="00642E1C" w:rsidP="00934194">
            <w:pPr>
              <w:rPr>
                <w:sz w:val="24"/>
                <w:szCs w:val="24"/>
              </w:rPr>
            </w:pPr>
            <w:r w:rsidRPr="00FC16D0">
              <w:rPr>
                <w:sz w:val="24"/>
                <w:szCs w:val="24"/>
              </w:rPr>
              <w:t>11,5 ± 4,19</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ACEDB06" w14:textId="77777777" w:rsidR="00642E1C" w:rsidRPr="00FC16D0" w:rsidRDefault="00642E1C" w:rsidP="00934194">
            <w:pPr>
              <w:rPr>
                <w:sz w:val="24"/>
                <w:szCs w:val="24"/>
              </w:rPr>
            </w:pPr>
            <w:r w:rsidRPr="00FC16D0">
              <w:rPr>
                <w:sz w:val="24"/>
                <w:szCs w:val="24"/>
              </w:rPr>
              <w:t>3,06 ± 1,02</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CB54E1F" w14:textId="77777777" w:rsidR="00642E1C" w:rsidRPr="00FC16D0" w:rsidRDefault="00642E1C" w:rsidP="00934194">
            <w:pPr>
              <w:rPr>
                <w:sz w:val="24"/>
                <w:szCs w:val="24"/>
              </w:rPr>
            </w:pPr>
            <w:r w:rsidRPr="00FC16D0">
              <w:rPr>
                <w:sz w:val="24"/>
                <w:szCs w:val="24"/>
              </w:rPr>
              <w:t>4,1 ± 1,3</w:t>
            </w:r>
          </w:p>
        </w:tc>
      </w:tr>
      <w:tr w:rsidR="00642E1C" w:rsidRPr="00FC16D0" w14:paraId="42F618D0" w14:textId="77777777" w:rsidTr="00934194">
        <w:tc>
          <w:tcPr>
            <w:tcW w:w="2552" w:type="dxa"/>
            <w:tcBorders>
              <w:top w:val="single" w:sz="4" w:space="0" w:color="auto"/>
              <w:left w:val="single" w:sz="4" w:space="0" w:color="auto"/>
              <w:bottom w:val="single" w:sz="4" w:space="0" w:color="auto"/>
              <w:right w:val="single" w:sz="4" w:space="0" w:color="auto"/>
            </w:tcBorders>
            <w:hideMark/>
          </w:tcPr>
          <w:p w14:paraId="2DF4521D" w14:textId="77777777" w:rsidR="00642E1C" w:rsidRPr="00FC16D0" w:rsidRDefault="00642E1C" w:rsidP="00934194">
            <w:pPr>
              <w:rPr>
                <w:sz w:val="24"/>
                <w:szCs w:val="24"/>
              </w:rPr>
            </w:pPr>
            <w:r w:rsidRPr="00FC16D0">
              <w:rPr>
                <w:sz w:val="24"/>
                <w:szCs w:val="24"/>
              </w:rPr>
              <w:t>Unge</w:t>
            </w:r>
          </w:p>
          <w:p w14:paraId="10FEEC45" w14:textId="77777777" w:rsidR="00642E1C" w:rsidRPr="00FC16D0" w:rsidRDefault="00642E1C" w:rsidP="00934194">
            <w:pPr>
              <w:rPr>
                <w:sz w:val="24"/>
                <w:szCs w:val="24"/>
              </w:rPr>
            </w:pPr>
            <w:r w:rsidRPr="00FC16D0">
              <w:rPr>
                <w:sz w:val="24"/>
                <w:szCs w:val="24"/>
              </w:rPr>
              <w:t>12 ± 1,73 år</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EBABC5B" w14:textId="77777777" w:rsidR="00642E1C" w:rsidRPr="00FC16D0" w:rsidRDefault="00642E1C" w:rsidP="00934194">
            <w:pPr>
              <w:rPr>
                <w:sz w:val="24"/>
                <w:szCs w:val="24"/>
              </w:rPr>
            </w:pPr>
            <w:r w:rsidRPr="00FC16D0">
              <w:rPr>
                <w:sz w:val="24"/>
                <w:szCs w:val="24"/>
              </w:rPr>
              <w:t>7,05 ± 1,24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CD8A5C1" w14:textId="77777777" w:rsidR="00642E1C" w:rsidRPr="00FC16D0" w:rsidRDefault="00642E1C" w:rsidP="00934194">
            <w:pPr>
              <w:rPr>
                <w:sz w:val="24"/>
                <w:szCs w:val="24"/>
              </w:rPr>
            </w:pPr>
            <w:r w:rsidRPr="00FC16D0">
              <w:rPr>
                <w:sz w:val="24"/>
                <w:szCs w:val="24"/>
              </w:rPr>
              <w:t>1,92 ± 1,04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E5BCDE2" w14:textId="77777777" w:rsidR="00642E1C" w:rsidRPr="00FC16D0" w:rsidRDefault="00642E1C" w:rsidP="00934194">
            <w:pPr>
              <w:rPr>
                <w:sz w:val="24"/>
                <w:szCs w:val="24"/>
              </w:rPr>
            </w:pPr>
            <w:r w:rsidRPr="00FC16D0">
              <w:rPr>
                <w:sz w:val="24"/>
                <w:szCs w:val="24"/>
              </w:rPr>
              <w:t>3,5 ± 1,2</w:t>
            </w:r>
          </w:p>
        </w:tc>
      </w:tr>
    </w:tbl>
    <w:p w14:paraId="7622C8DD" w14:textId="77777777" w:rsidR="00642E1C" w:rsidRPr="00FC16D0" w:rsidRDefault="00642E1C" w:rsidP="00934194">
      <w:pPr>
        <w:autoSpaceDE w:val="0"/>
        <w:autoSpaceDN w:val="0"/>
        <w:adjustRightInd w:val="0"/>
        <w:ind w:left="851"/>
        <w:rPr>
          <w:i/>
          <w:sz w:val="24"/>
          <w:szCs w:val="24"/>
          <w:lang w:eastAsia="en-GB"/>
        </w:rPr>
      </w:pPr>
      <w:r w:rsidRPr="00FC16D0">
        <w:rPr>
          <w:i/>
          <w:sz w:val="24"/>
          <w:szCs w:val="24"/>
        </w:rPr>
        <w:t xml:space="preserve">* Værdier for </w:t>
      </w:r>
      <w:proofErr w:type="spellStart"/>
      <w:r w:rsidRPr="00FC16D0">
        <w:rPr>
          <w:i/>
          <w:sz w:val="24"/>
          <w:szCs w:val="24"/>
        </w:rPr>
        <w:t>steady-state</w:t>
      </w:r>
      <w:proofErr w:type="spellEnd"/>
      <w:r w:rsidRPr="00FC16D0">
        <w:rPr>
          <w:i/>
          <w:sz w:val="24"/>
          <w:szCs w:val="24"/>
        </w:rPr>
        <w:t xml:space="preserve"> </w:t>
      </w:r>
      <w:proofErr w:type="spellStart"/>
      <w:r w:rsidRPr="00FC16D0">
        <w:rPr>
          <w:i/>
          <w:sz w:val="24"/>
          <w:szCs w:val="24"/>
        </w:rPr>
        <w:t>clearance</w:t>
      </w:r>
      <w:proofErr w:type="spellEnd"/>
      <w:r w:rsidRPr="00FC16D0">
        <w:rPr>
          <w:i/>
          <w:sz w:val="24"/>
          <w:szCs w:val="24"/>
        </w:rPr>
        <w:t xml:space="preserve"> og fordelingsvolumen blev normaliseret for legemsvægt</w:t>
      </w:r>
    </w:p>
    <w:p w14:paraId="2F80B64E" w14:textId="77777777" w:rsidR="00642E1C" w:rsidRPr="00FC16D0" w:rsidRDefault="00642E1C" w:rsidP="00642E1C">
      <w:pPr>
        <w:pStyle w:val="Normalindrykning"/>
        <w:ind w:left="0"/>
        <w:rPr>
          <w:i/>
          <w:sz w:val="24"/>
          <w:szCs w:val="24"/>
        </w:rPr>
      </w:pPr>
    </w:p>
    <w:p w14:paraId="77DE9717" w14:textId="77777777" w:rsidR="00642E1C" w:rsidRPr="007E6DCF" w:rsidRDefault="00642E1C" w:rsidP="00934194">
      <w:pPr>
        <w:ind w:left="851"/>
        <w:rPr>
          <w:i/>
          <w:sz w:val="24"/>
          <w:szCs w:val="24"/>
        </w:rPr>
      </w:pPr>
      <w:r w:rsidRPr="007E6DCF">
        <w:rPr>
          <w:i/>
          <w:sz w:val="24"/>
          <w:szCs w:val="24"/>
        </w:rPr>
        <w:t>Nedsat nyrefunktion</w:t>
      </w:r>
    </w:p>
    <w:p w14:paraId="31573582" w14:textId="6CF21E79" w:rsidR="00642E1C" w:rsidRPr="00FC16D0" w:rsidRDefault="00642E1C" w:rsidP="00934194">
      <w:pPr>
        <w:ind w:left="851"/>
        <w:rPr>
          <w:sz w:val="24"/>
          <w:szCs w:val="24"/>
        </w:rPr>
      </w:pPr>
      <w:r w:rsidRPr="00FC16D0">
        <w:rPr>
          <w:sz w:val="24"/>
          <w:szCs w:val="24"/>
        </w:rPr>
        <w:t xml:space="preserve">Data fra en undersøgelse, hvor fentanyl blev administreret intravenøst til patienter under nyretransplantation, tyder på, at fentanyls </w:t>
      </w:r>
      <w:proofErr w:type="spellStart"/>
      <w:r w:rsidRPr="00FC16D0">
        <w:rPr>
          <w:sz w:val="24"/>
          <w:szCs w:val="24"/>
        </w:rPr>
        <w:t>clearance</w:t>
      </w:r>
      <w:proofErr w:type="spellEnd"/>
      <w:r w:rsidRPr="00FC16D0">
        <w:rPr>
          <w:sz w:val="24"/>
          <w:szCs w:val="24"/>
        </w:rPr>
        <w:t xml:space="preserve"> muligvis er reduceret i denne patientpopulation. Hvis patienter med nedsat nyrefunktion får Fentanyl </w:t>
      </w:r>
      <w:r w:rsidR="00FA0940">
        <w:rPr>
          <w:sz w:val="24"/>
          <w:szCs w:val="24"/>
        </w:rPr>
        <w:t>"</w:t>
      </w:r>
      <w:proofErr w:type="spellStart"/>
      <w:r w:rsidR="00FA0940">
        <w:rPr>
          <w:sz w:val="24"/>
          <w:szCs w:val="24"/>
        </w:rPr>
        <w:t>Kalceks</w:t>
      </w:r>
      <w:proofErr w:type="spellEnd"/>
      <w:r w:rsidR="00FA0940">
        <w:rPr>
          <w:sz w:val="24"/>
          <w:szCs w:val="24"/>
        </w:rPr>
        <w:t>"</w:t>
      </w:r>
      <w:r w:rsidRPr="00FC16D0">
        <w:rPr>
          <w:sz w:val="24"/>
          <w:szCs w:val="24"/>
        </w:rPr>
        <w:t xml:space="preserve"> 50 mikrogram/ml, skal de observeres nøje, og dosis skal om nødvendigt reduceres (se pkt. 4.2).</w:t>
      </w:r>
    </w:p>
    <w:p w14:paraId="79AC8248" w14:textId="77777777" w:rsidR="00642E1C" w:rsidRPr="00FC16D0" w:rsidRDefault="00642E1C" w:rsidP="00934194">
      <w:pPr>
        <w:ind w:left="851"/>
        <w:rPr>
          <w:sz w:val="24"/>
          <w:szCs w:val="24"/>
        </w:rPr>
      </w:pPr>
    </w:p>
    <w:p w14:paraId="6A0EFDFD" w14:textId="77777777" w:rsidR="00642E1C" w:rsidRPr="007E6DCF" w:rsidRDefault="00642E1C" w:rsidP="00934194">
      <w:pPr>
        <w:ind w:left="851"/>
        <w:rPr>
          <w:i/>
          <w:sz w:val="24"/>
          <w:szCs w:val="24"/>
        </w:rPr>
      </w:pPr>
      <w:r w:rsidRPr="007E6DCF">
        <w:rPr>
          <w:i/>
          <w:sz w:val="24"/>
          <w:szCs w:val="24"/>
        </w:rPr>
        <w:t>Voksne patienter med forbrændinger</w:t>
      </w:r>
    </w:p>
    <w:p w14:paraId="5C32BA3C" w14:textId="77777777" w:rsidR="00642E1C" w:rsidRPr="00FC16D0" w:rsidRDefault="00642E1C" w:rsidP="00934194">
      <w:pPr>
        <w:ind w:left="851"/>
        <w:rPr>
          <w:sz w:val="24"/>
          <w:szCs w:val="24"/>
        </w:rPr>
      </w:pPr>
      <w:r w:rsidRPr="00FC16D0">
        <w:rPr>
          <w:sz w:val="24"/>
          <w:szCs w:val="24"/>
        </w:rPr>
        <w:t xml:space="preserve">Efter en </w:t>
      </w:r>
      <w:proofErr w:type="spellStart"/>
      <w:r w:rsidRPr="00FC16D0">
        <w:rPr>
          <w:sz w:val="24"/>
          <w:szCs w:val="24"/>
        </w:rPr>
        <w:t>bolus</w:t>
      </w:r>
      <w:proofErr w:type="spellEnd"/>
      <w:r w:rsidRPr="00FC16D0">
        <w:rPr>
          <w:sz w:val="24"/>
          <w:szCs w:val="24"/>
        </w:rPr>
        <w:t xml:space="preserve"> eller en kortvarig intravenøs infusion af fentanyl øges </w:t>
      </w:r>
      <w:proofErr w:type="spellStart"/>
      <w:r w:rsidRPr="00FC16D0">
        <w:rPr>
          <w:sz w:val="24"/>
          <w:szCs w:val="24"/>
        </w:rPr>
        <w:t>clearance</w:t>
      </w:r>
      <w:proofErr w:type="spellEnd"/>
      <w:r w:rsidRPr="00FC16D0">
        <w:rPr>
          <w:sz w:val="24"/>
          <w:szCs w:val="24"/>
        </w:rPr>
        <w:t xml:space="preserve"> med maksimalt 44 % sammen med et større fordelingsvolumen. Dette resulterer i lavere plasmakoncentrationer af fentanyl. Dette kan medføre et behov for en øget dosis af fentanyl.</w:t>
      </w:r>
    </w:p>
    <w:p w14:paraId="211F7C25" w14:textId="77777777" w:rsidR="00642E1C" w:rsidRPr="00FC16D0" w:rsidRDefault="00642E1C" w:rsidP="00934194">
      <w:pPr>
        <w:ind w:left="851"/>
        <w:rPr>
          <w:sz w:val="24"/>
          <w:szCs w:val="24"/>
        </w:rPr>
      </w:pPr>
    </w:p>
    <w:p w14:paraId="4FEA63F1" w14:textId="77777777" w:rsidR="00642E1C" w:rsidRPr="007E6DCF" w:rsidRDefault="00642E1C" w:rsidP="00934194">
      <w:pPr>
        <w:ind w:left="851"/>
        <w:rPr>
          <w:i/>
          <w:sz w:val="24"/>
          <w:szCs w:val="24"/>
        </w:rPr>
      </w:pPr>
      <w:r w:rsidRPr="007E6DCF">
        <w:rPr>
          <w:i/>
          <w:sz w:val="24"/>
          <w:szCs w:val="24"/>
        </w:rPr>
        <w:t>Adipøse patienter</w:t>
      </w:r>
    </w:p>
    <w:p w14:paraId="6E08FFD8" w14:textId="77777777" w:rsidR="00642E1C" w:rsidRPr="00FC16D0" w:rsidRDefault="00642E1C" w:rsidP="00934194">
      <w:pPr>
        <w:ind w:left="851"/>
        <w:rPr>
          <w:sz w:val="24"/>
          <w:szCs w:val="24"/>
        </w:rPr>
      </w:pPr>
      <w:r w:rsidRPr="00FC16D0">
        <w:rPr>
          <w:sz w:val="24"/>
          <w:szCs w:val="24"/>
        </w:rPr>
        <w:t xml:space="preserve">Der ses en stigning i fentanyls totale </w:t>
      </w:r>
      <w:proofErr w:type="spellStart"/>
      <w:r w:rsidRPr="00FC16D0">
        <w:rPr>
          <w:sz w:val="24"/>
          <w:szCs w:val="24"/>
        </w:rPr>
        <w:t>clearance</w:t>
      </w:r>
      <w:proofErr w:type="spellEnd"/>
      <w:r w:rsidRPr="00FC16D0">
        <w:rPr>
          <w:sz w:val="24"/>
          <w:szCs w:val="24"/>
        </w:rPr>
        <w:t xml:space="preserve"> hos patienter med øget legemsvægt. Hos patienter med en BMI &gt;30 kg/m</w:t>
      </w:r>
      <w:r w:rsidRPr="00FC16D0">
        <w:rPr>
          <w:sz w:val="24"/>
          <w:szCs w:val="24"/>
          <w:vertAlign w:val="superscript"/>
        </w:rPr>
        <w:t>2</w:t>
      </w:r>
      <w:r w:rsidRPr="00FC16D0">
        <w:rPr>
          <w:sz w:val="24"/>
          <w:szCs w:val="24"/>
        </w:rPr>
        <w:t xml:space="preserve"> stiger fentanyls </w:t>
      </w:r>
      <w:proofErr w:type="spellStart"/>
      <w:r w:rsidRPr="00FC16D0">
        <w:rPr>
          <w:sz w:val="24"/>
          <w:szCs w:val="24"/>
        </w:rPr>
        <w:t>clearance</w:t>
      </w:r>
      <w:proofErr w:type="spellEnd"/>
      <w:r w:rsidRPr="00FC16D0">
        <w:rPr>
          <w:sz w:val="24"/>
          <w:szCs w:val="24"/>
        </w:rPr>
        <w:t xml:space="preserve"> med ca. 10 % for hver stigning på 10 kg over idealvægten.</w:t>
      </w:r>
    </w:p>
    <w:p w14:paraId="03029E46" w14:textId="77777777" w:rsidR="009260DE" w:rsidRPr="00FC16D0" w:rsidRDefault="009260DE" w:rsidP="009260DE">
      <w:pPr>
        <w:tabs>
          <w:tab w:val="left" w:pos="851"/>
        </w:tabs>
        <w:ind w:left="851"/>
        <w:rPr>
          <w:sz w:val="24"/>
          <w:szCs w:val="24"/>
        </w:rPr>
      </w:pPr>
    </w:p>
    <w:p w14:paraId="321EAFB1" w14:textId="77777777" w:rsidR="00844F82" w:rsidRPr="00C84483" w:rsidRDefault="00844F82" w:rsidP="00844F82">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6D5B9975" w14:textId="77777777" w:rsidR="00642E1C" w:rsidRPr="00FC16D0" w:rsidRDefault="00642E1C" w:rsidP="00934194">
      <w:pPr>
        <w:autoSpaceDE w:val="0"/>
        <w:autoSpaceDN w:val="0"/>
        <w:adjustRightInd w:val="0"/>
        <w:ind w:left="851"/>
        <w:rPr>
          <w:sz w:val="24"/>
          <w:szCs w:val="24"/>
          <w:lang w:eastAsia="en-GB"/>
        </w:rPr>
      </w:pPr>
      <w:r w:rsidRPr="00FC16D0">
        <w:rPr>
          <w:sz w:val="24"/>
          <w:szCs w:val="24"/>
        </w:rPr>
        <w:t xml:space="preserve">Fentanyl har ligesom andre opioider </w:t>
      </w:r>
      <w:r w:rsidRPr="00FC16D0">
        <w:rPr>
          <w:i/>
          <w:iCs/>
          <w:sz w:val="24"/>
          <w:szCs w:val="24"/>
        </w:rPr>
        <w:t>in-</w:t>
      </w:r>
      <w:proofErr w:type="spellStart"/>
      <w:r w:rsidRPr="00FC16D0">
        <w:rPr>
          <w:i/>
          <w:iCs/>
          <w:sz w:val="24"/>
          <w:szCs w:val="24"/>
        </w:rPr>
        <w:t>vitro</w:t>
      </w:r>
      <w:proofErr w:type="spellEnd"/>
      <w:r w:rsidRPr="00FC16D0">
        <w:rPr>
          <w:sz w:val="24"/>
          <w:szCs w:val="24"/>
        </w:rPr>
        <w:t xml:space="preserve"> en mutagen virkning på pattedyrceller, men kun ved </w:t>
      </w:r>
      <w:proofErr w:type="spellStart"/>
      <w:r w:rsidRPr="00FC16D0">
        <w:rPr>
          <w:sz w:val="24"/>
          <w:szCs w:val="24"/>
        </w:rPr>
        <w:t>cytotoksiske</w:t>
      </w:r>
      <w:proofErr w:type="spellEnd"/>
      <w:r w:rsidRPr="00FC16D0">
        <w:rPr>
          <w:sz w:val="24"/>
          <w:szCs w:val="24"/>
        </w:rPr>
        <w:t xml:space="preserve"> koncentrationer sammen med metabolisk aktivering. Fentanyl viste ingen </w:t>
      </w:r>
      <w:proofErr w:type="spellStart"/>
      <w:r w:rsidRPr="00FC16D0">
        <w:rPr>
          <w:sz w:val="24"/>
          <w:szCs w:val="24"/>
        </w:rPr>
        <w:t>mutagenicitet</w:t>
      </w:r>
      <w:proofErr w:type="spellEnd"/>
      <w:r w:rsidRPr="00FC16D0">
        <w:rPr>
          <w:sz w:val="24"/>
          <w:szCs w:val="24"/>
        </w:rPr>
        <w:t xml:space="preserve"> i </w:t>
      </w:r>
      <w:r w:rsidRPr="00FC16D0">
        <w:rPr>
          <w:i/>
          <w:sz w:val="24"/>
          <w:szCs w:val="24"/>
        </w:rPr>
        <w:t>in-</w:t>
      </w:r>
      <w:proofErr w:type="spellStart"/>
      <w:r w:rsidRPr="00FC16D0">
        <w:rPr>
          <w:i/>
          <w:sz w:val="24"/>
          <w:szCs w:val="24"/>
        </w:rPr>
        <w:t>vivo</w:t>
      </w:r>
      <w:proofErr w:type="spellEnd"/>
      <w:r w:rsidRPr="00FC16D0">
        <w:rPr>
          <w:sz w:val="24"/>
          <w:szCs w:val="24"/>
        </w:rPr>
        <w:t xml:space="preserve"> undersøgelser med gnavere og bakterietest.</w:t>
      </w:r>
    </w:p>
    <w:p w14:paraId="6E1B079A" w14:textId="77777777" w:rsidR="00642E1C" w:rsidRPr="00FC16D0" w:rsidRDefault="00642E1C" w:rsidP="00934194">
      <w:pPr>
        <w:autoSpaceDE w:val="0"/>
        <w:autoSpaceDN w:val="0"/>
        <w:adjustRightInd w:val="0"/>
        <w:ind w:left="851"/>
        <w:rPr>
          <w:sz w:val="24"/>
          <w:szCs w:val="24"/>
        </w:rPr>
      </w:pPr>
      <w:r w:rsidRPr="00FC16D0">
        <w:rPr>
          <w:sz w:val="24"/>
          <w:szCs w:val="24"/>
        </w:rPr>
        <w:t xml:space="preserve">I et toårigt </w:t>
      </w:r>
      <w:proofErr w:type="spellStart"/>
      <w:r w:rsidRPr="00FC16D0">
        <w:rPr>
          <w:sz w:val="24"/>
          <w:szCs w:val="24"/>
        </w:rPr>
        <w:t>karcinogenicitetsstudie</w:t>
      </w:r>
      <w:proofErr w:type="spellEnd"/>
      <w:r w:rsidRPr="00FC16D0">
        <w:rPr>
          <w:sz w:val="24"/>
          <w:szCs w:val="24"/>
        </w:rPr>
        <w:t xml:space="preserve"> udført på rotter var fentanyl ikke associeret med en øget </w:t>
      </w:r>
      <w:proofErr w:type="spellStart"/>
      <w:r w:rsidRPr="00FC16D0">
        <w:rPr>
          <w:sz w:val="24"/>
          <w:szCs w:val="24"/>
        </w:rPr>
        <w:t>incidens</w:t>
      </w:r>
      <w:proofErr w:type="spellEnd"/>
      <w:r w:rsidRPr="00FC16D0">
        <w:rPr>
          <w:sz w:val="24"/>
          <w:szCs w:val="24"/>
        </w:rPr>
        <w:t xml:space="preserve"> af tumorer.</w:t>
      </w:r>
    </w:p>
    <w:p w14:paraId="1DFF8094" w14:textId="77777777" w:rsidR="00642E1C" w:rsidRPr="00FC16D0" w:rsidRDefault="00642E1C" w:rsidP="00934194">
      <w:pPr>
        <w:autoSpaceDE w:val="0"/>
        <w:autoSpaceDN w:val="0"/>
        <w:adjustRightInd w:val="0"/>
        <w:ind w:left="851"/>
        <w:rPr>
          <w:sz w:val="24"/>
          <w:szCs w:val="24"/>
        </w:rPr>
      </w:pPr>
    </w:p>
    <w:p w14:paraId="6DF47B50" w14:textId="77777777" w:rsidR="00642E1C" w:rsidRPr="00FC16D0" w:rsidRDefault="00642E1C" w:rsidP="00934194">
      <w:pPr>
        <w:autoSpaceDE w:val="0"/>
        <w:autoSpaceDN w:val="0"/>
        <w:adjustRightInd w:val="0"/>
        <w:ind w:left="851"/>
        <w:rPr>
          <w:sz w:val="24"/>
          <w:szCs w:val="24"/>
        </w:rPr>
      </w:pPr>
      <w:r w:rsidRPr="00FC16D0">
        <w:rPr>
          <w:sz w:val="24"/>
          <w:szCs w:val="24"/>
        </w:rPr>
        <w:t xml:space="preserve">Visse forsøg med hunrotter viste en nedsat fertilitet såvel som embryomortalitet. Disse fund var forbundet med </w:t>
      </w:r>
      <w:proofErr w:type="spellStart"/>
      <w:r w:rsidRPr="00FC16D0">
        <w:rPr>
          <w:sz w:val="24"/>
          <w:szCs w:val="24"/>
        </w:rPr>
        <w:t>maternel</w:t>
      </w:r>
      <w:proofErr w:type="spellEnd"/>
      <w:r w:rsidRPr="00FC16D0">
        <w:rPr>
          <w:sz w:val="24"/>
          <w:szCs w:val="24"/>
        </w:rPr>
        <w:t xml:space="preserve"> toksicitet og ikke som sådan forbundet med lægemidlets direkte virkning på embryoet under udvikling. Der var ingen tegn på </w:t>
      </w:r>
      <w:proofErr w:type="spellStart"/>
      <w:r w:rsidRPr="00FC16D0">
        <w:rPr>
          <w:sz w:val="24"/>
          <w:szCs w:val="24"/>
        </w:rPr>
        <w:t>teratogene</w:t>
      </w:r>
      <w:proofErr w:type="spellEnd"/>
      <w:r w:rsidRPr="00FC16D0">
        <w:rPr>
          <w:sz w:val="24"/>
          <w:szCs w:val="24"/>
        </w:rPr>
        <w:t xml:space="preserve"> virkninger.</w:t>
      </w:r>
    </w:p>
    <w:p w14:paraId="66485311" w14:textId="77777777" w:rsidR="009260DE" w:rsidRPr="00FC16D0" w:rsidRDefault="009260DE" w:rsidP="009260DE">
      <w:pPr>
        <w:tabs>
          <w:tab w:val="left" w:pos="851"/>
        </w:tabs>
        <w:ind w:left="851"/>
        <w:rPr>
          <w:sz w:val="24"/>
          <w:szCs w:val="24"/>
        </w:rPr>
      </w:pPr>
    </w:p>
    <w:p w14:paraId="7FA7970D" w14:textId="77777777" w:rsidR="009260DE" w:rsidRPr="00FC16D0" w:rsidRDefault="009260DE" w:rsidP="009260DE">
      <w:pPr>
        <w:tabs>
          <w:tab w:val="left" w:pos="851"/>
        </w:tabs>
        <w:ind w:left="851"/>
        <w:rPr>
          <w:sz w:val="24"/>
          <w:szCs w:val="24"/>
        </w:rPr>
      </w:pPr>
    </w:p>
    <w:p w14:paraId="5B5AD2CB" w14:textId="77777777" w:rsidR="009260DE" w:rsidRPr="00FC16D0" w:rsidRDefault="009260DE" w:rsidP="009260DE">
      <w:pPr>
        <w:tabs>
          <w:tab w:val="left" w:pos="851"/>
        </w:tabs>
        <w:ind w:left="851" w:hanging="851"/>
        <w:rPr>
          <w:b/>
          <w:sz w:val="24"/>
          <w:szCs w:val="24"/>
        </w:rPr>
      </w:pPr>
      <w:r w:rsidRPr="00FC16D0">
        <w:rPr>
          <w:b/>
          <w:sz w:val="24"/>
          <w:szCs w:val="24"/>
        </w:rPr>
        <w:t>6.</w:t>
      </w:r>
      <w:r w:rsidRPr="00FC16D0">
        <w:rPr>
          <w:b/>
          <w:sz w:val="24"/>
          <w:szCs w:val="24"/>
        </w:rPr>
        <w:tab/>
        <w:t>FARMACEUTISKE OPLYSNINGER</w:t>
      </w:r>
    </w:p>
    <w:p w14:paraId="4655A65D" w14:textId="77777777" w:rsidR="009260DE" w:rsidRPr="00FC16D0" w:rsidRDefault="009260DE" w:rsidP="009260DE">
      <w:pPr>
        <w:tabs>
          <w:tab w:val="left" w:pos="851"/>
        </w:tabs>
        <w:ind w:left="851"/>
        <w:rPr>
          <w:sz w:val="24"/>
          <w:szCs w:val="24"/>
        </w:rPr>
      </w:pPr>
    </w:p>
    <w:p w14:paraId="5EDC17D9" w14:textId="77777777" w:rsidR="009260DE" w:rsidRPr="00FC16D0" w:rsidRDefault="009260DE" w:rsidP="009260DE">
      <w:pPr>
        <w:tabs>
          <w:tab w:val="left" w:pos="851"/>
        </w:tabs>
        <w:ind w:left="851" w:hanging="851"/>
        <w:rPr>
          <w:b/>
          <w:sz w:val="24"/>
          <w:szCs w:val="24"/>
        </w:rPr>
      </w:pPr>
      <w:r w:rsidRPr="00FC16D0">
        <w:rPr>
          <w:b/>
          <w:sz w:val="24"/>
          <w:szCs w:val="24"/>
        </w:rPr>
        <w:t>6.1</w:t>
      </w:r>
      <w:r w:rsidRPr="00FC16D0">
        <w:rPr>
          <w:b/>
          <w:sz w:val="24"/>
          <w:szCs w:val="24"/>
        </w:rPr>
        <w:tab/>
        <w:t>Hjælpestoffer</w:t>
      </w:r>
    </w:p>
    <w:p w14:paraId="3DE2C69C" w14:textId="77777777" w:rsidR="00642E1C" w:rsidRPr="00FC16D0" w:rsidRDefault="00642E1C" w:rsidP="00934194">
      <w:pPr>
        <w:pStyle w:val="Normalindrykning"/>
        <w:ind w:left="851"/>
        <w:rPr>
          <w:sz w:val="24"/>
          <w:szCs w:val="24"/>
        </w:rPr>
      </w:pPr>
      <w:proofErr w:type="spellStart"/>
      <w:r w:rsidRPr="00FC16D0">
        <w:rPr>
          <w:sz w:val="24"/>
          <w:szCs w:val="24"/>
        </w:rPr>
        <w:t>Natriumchlorid</w:t>
      </w:r>
      <w:proofErr w:type="spellEnd"/>
    </w:p>
    <w:p w14:paraId="3FEA13E8" w14:textId="2D12729E" w:rsidR="00642E1C" w:rsidRPr="00FC16D0" w:rsidRDefault="00AC4D3A" w:rsidP="00934194">
      <w:pPr>
        <w:pStyle w:val="Normalindrykning"/>
        <w:ind w:left="851"/>
        <w:rPr>
          <w:sz w:val="24"/>
          <w:szCs w:val="24"/>
        </w:rPr>
      </w:pPr>
      <w:r w:rsidRPr="00D93AB0">
        <w:rPr>
          <w:sz w:val="24"/>
          <w:szCs w:val="24"/>
        </w:rPr>
        <w:t>Natriumhydroxid</w:t>
      </w:r>
      <w:r w:rsidRPr="00FC16D0">
        <w:rPr>
          <w:sz w:val="24"/>
          <w:szCs w:val="24"/>
        </w:rPr>
        <w:t xml:space="preserve"> </w:t>
      </w:r>
      <w:r w:rsidR="00642E1C" w:rsidRPr="00FC16D0">
        <w:rPr>
          <w:sz w:val="24"/>
          <w:szCs w:val="24"/>
        </w:rPr>
        <w:t>(til pH-justering)</w:t>
      </w:r>
    </w:p>
    <w:p w14:paraId="120A7ED4" w14:textId="77777777" w:rsidR="00642E1C" w:rsidRPr="00FC16D0" w:rsidRDefault="00642E1C" w:rsidP="00934194">
      <w:pPr>
        <w:pStyle w:val="Normalindrykning"/>
        <w:ind w:left="851"/>
        <w:rPr>
          <w:sz w:val="24"/>
          <w:szCs w:val="24"/>
        </w:rPr>
      </w:pPr>
      <w:r w:rsidRPr="00FC16D0">
        <w:rPr>
          <w:sz w:val="24"/>
          <w:szCs w:val="24"/>
        </w:rPr>
        <w:t>Vand til injektionsvæsker</w:t>
      </w:r>
    </w:p>
    <w:p w14:paraId="5947772B" w14:textId="77777777" w:rsidR="009260DE" w:rsidRPr="00FC16D0" w:rsidRDefault="009260DE" w:rsidP="009260DE">
      <w:pPr>
        <w:tabs>
          <w:tab w:val="left" w:pos="851"/>
        </w:tabs>
        <w:ind w:left="851"/>
        <w:rPr>
          <w:sz w:val="24"/>
          <w:szCs w:val="24"/>
        </w:rPr>
      </w:pPr>
    </w:p>
    <w:p w14:paraId="25B3A256" w14:textId="77777777" w:rsidR="009260DE" w:rsidRPr="00FC16D0" w:rsidRDefault="009260DE" w:rsidP="009260DE">
      <w:pPr>
        <w:tabs>
          <w:tab w:val="left" w:pos="851"/>
        </w:tabs>
        <w:ind w:left="851" w:hanging="851"/>
        <w:rPr>
          <w:b/>
          <w:sz w:val="24"/>
          <w:szCs w:val="24"/>
        </w:rPr>
      </w:pPr>
      <w:r w:rsidRPr="00FC16D0">
        <w:rPr>
          <w:b/>
          <w:sz w:val="24"/>
          <w:szCs w:val="24"/>
        </w:rPr>
        <w:t>6.2</w:t>
      </w:r>
      <w:r w:rsidRPr="00FC16D0">
        <w:rPr>
          <w:b/>
          <w:sz w:val="24"/>
          <w:szCs w:val="24"/>
        </w:rPr>
        <w:tab/>
        <w:t>Uforligeligheder</w:t>
      </w:r>
    </w:p>
    <w:p w14:paraId="37ADE8D8" w14:textId="77777777" w:rsidR="00642E1C" w:rsidRPr="00FC16D0" w:rsidRDefault="00642E1C" w:rsidP="00934194">
      <w:pPr>
        <w:pStyle w:val="Normalindrykning"/>
        <w:ind w:left="851"/>
        <w:rPr>
          <w:sz w:val="24"/>
          <w:szCs w:val="24"/>
        </w:rPr>
      </w:pPr>
      <w:r w:rsidRPr="00FC16D0">
        <w:rPr>
          <w:sz w:val="24"/>
          <w:szCs w:val="24"/>
        </w:rPr>
        <w:t>Dette lægemiddel må ikke blandes med andre lægemidler.</w:t>
      </w:r>
    </w:p>
    <w:p w14:paraId="586A1CD9" w14:textId="77777777" w:rsidR="009260DE" w:rsidRPr="00FC16D0" w:rsidRDefault="009260DE" w:rsidP="009260DE">
      <w:pPr>
        <w:tabs>
          <w:tab w:val="left" w:pos="851"/>
        </w:tabs>
        <w:ind w:left="851"/>
        <w:rPr>
          <w:sz w:val="24"/>
          <w:szCs w:val="24"/>
        </w:rPr>
      </w:pPr>
    </w:p>
    <w:p w14:paraId="79E19768" w14:textId="77777777" w:rsidR="009260DE" w:rsidRPr="00FC16D0" w:rsidRDefault="009260DE" w:rsidP="009260DE">
      <w:pPr>
        <w:tabs>
          <w:tab w:val="left" w:pos="851"/>
        </w:tabs>
        <w:ind w:left="851" w:hanging="851"/>
        <w:rPr>
          <w:b/>
          <w:sz w:val="24"/>
          <w:szCs w:val="24"/>
        </w:rPr>
      </w:pPr>
      <w:r w:rsidRPr="00FC16D0">
        <w:rPr>
          <w:b/>
          <w:sz w:val="24"/>
          <w:szCs w:val="24"/>
        </w:rPr>
        <w:t>6.3</w:t>
      </w:r>
      <w:r w:rsidRPr="00FC16D0">
        <w:rPr>
          <w:b/>
          <w:sz w:val="24"/>
          <w:szCs w:val="24"/>
        </w:rPr>
        <w:tab/>
        <w:t>Opbevaringstid</w:t>
      </w:r>
    </w:p>
    <w:p w14:paraId="282B9691" w14:textId="3CE12000" w:rsidR="00642E1C" w:rsidRDefault="00642E1C" w:rsidP="00934194">
      <w:pPr>
        <w:pStyle w:val="Normalindrykning"/>
        <w:ind w:left="851"/>
        <w:rPr>
          <w:sz w:val="24"/>
          <w:szCs w:val="24"/>
        </w:rPr>
      </w:pPr>
      <w:r w:rsidRPr="00FC16D0">
        <w:rPr>
          <w:sz w:val="24"/>
          <w:szCs w:val="24"/>
        </w:rPr>
        <w:t>4 år.</w:t>
      </w:r>
    </w:p>
    <w:p w14:paraId="23956B61" w14:textId="364537BD" w:rsidR="00383993" w:rsidRDefault="00383993" w:rsidP="00934194">
      <w:pPr>
        <w:pStyle w:val="Normalindrykning"/>
        <w:ind w:left="851"/>
        <w:rPr>
          <w:sz w:val="24"/>
          <w:szCs w:val="24"/>
        </w:rPr>
      </w:pPr>
    </w:p>
    <w:p w14:paraId="52F51DAA" w14:textId="77777777" w:rsidR="00383993" w:rsidRPr="00FC16D0" w:rsidRDefault="00383993" w:rsidP="00383993">
      <w:pPr>
        <w:tabs>
          <w:tab w:val="left" w:pos="851"/>
        </w:tabs>
        <w:ind w:left="851"/>
        <w:rPr>
          <w:sz w:val="24"/>
          <w:szCs w:val="24"/>
          <w:lang w:eastAsia="en-GB"/>
        </w:rPr>
      </w:pPr>
      <w:r w:rsidRPr="007878E5">
        <w:rPr>
          <w:sz w:val="24"/>
          <w:szCs w:val="24"/>
          <w:lang w:eastAsia="en-GB"/>
        </w:rPr>
        <w:t xml:space="preserve">Efter </w:t>
      </w:r>
      <w:r w:rsidRPr="00AD4E01">
        <w:rPr>
          <w:sz w:val="24"/>
          <w:szCs w:val="24"/>
          <w:lang w:eastAsia="en-GB"/>
        </w:rPr>
        <w:t>anbrud</w:t>
      </w:r>
      <w:r w:rsidRPr="007878E5">
        <w:rPr>
          <w:sz w:val="24"/>
          <w:szCs w:val="24"/>
          <w:lang w:eastAsia="en-GB"/>
        </w:rPr>
        <w:t xml:space="preserve">: </w:t>
      </w:r>
      <w:r>
        <w:rPr>
          <w:sz w:val="24"/>
          <w:szCs w:val="24"/>
          <w:lang w:eastAsia="en-GB"/>
        </w:rPr>
        <w:t>l</w:t>
      </w:r>
      <w:r w:rsidRPr="001B7FDB">
        <w:rPr>
          <w:sz w:val="24"/>
          <w:szCs w:val="24"/>
          <w:lang w:eastAsia="en-GB"/>
        </w:rPr>
        <w:t>ægemidlet skal anvendes umiddelbart</w:t>
      </w:r>
      <w:r>
        <w:rPr>
          <w:sz w:val="24"/>
          <w:szCs w:val="24"/>
          <w:lang w:eastAsia="en-GB"/>
        </w:rPr>
        <w:t>.</w:t>
      </w:r>
    </w:p>
    <w:p w14:paraId="1861BB56" w14:textId="77777777" w:rsidR="009260DE" w:rsidRPr="00FC16D0" w:rsidRDefault="009260DE" w:rsidP="009260DE">
      <w:pPr>
        <w:tabs>
          <w:tab w:val="left" w:pos="851"/>
        </w:tabs>
        <w:ind w:left="851"/>
        <w:rPr>
          <w:sz w:val="24"/>
          <w:szCs w:val="24"/>
        </w:rPr>
      </w:pPr>
    </w:p>
    <w:p w14:paraId="785C936D" w14:textId="77777777" w:rsidR="009260DE" w:rsidRPr="00FC16D0" w:rsidRDefault="009260DE" w:rsidP="009260DE">
      <w:pPr>
        <w:tabs>
          <w:tab w:val="left" w:pos="851"/>
        </w:tabs>
        <w:ind w:left="851" w:hanging="851"/>
        <w:rPr>
          <w:b/>
          <w:sz w:val="24"/>
          <w:szCs w:val="24"/>
        </w:rPr>
      </w:pPr>
      <w:r w:rsidRPr="00FC16D0">
        <w:rPr>
          <w:b/>
          <w:sz w:val="24"/>
          <w:szCs w:val="24"/>
        </w:rPr>
        <w:t>6.4</w:t>
      </w:r>
      <w:r w:rsidRPr="00FC16D0">
        <w:rPr>
          <w:b/>
          <w:sz w:val="24"/>
          <w:szCs w:val="24"/>
        </w:rPr>
        <w:tab/>
        <w:t>Særlige opbevaringsforhold</w:t>
      </w:r>
    </w:p>
    <w:p w14:paraId="4BE1CCCA" w14:textId="77777777" w:rsidR="00642E1C" w:rsidRPr="00FC16D0" w:rsidRDefault="00642E1C" w:rsidP="00934194">
      <w:pPr>
        <w:pStyle w:val="Normalindrykning"/>
        <w:ind w:left="851"/>
        <w:rPr>
          <w:sz w:val="24"/>
          <w:szCs w:val="24"/>
        </w:rPr>
      </w:pPr>
      <w:r w:rsidRPr="00FC16D0">
        <w:rPr>
          <w:sz w:val="24"/>
          <w:szCs w:val="24"/>
        </w:rPr>
        <w:t>Opbevares i den originale yderpakning for at beskytte mod lys. Må ikke nedfryses.</w:t>
      </w:r>
    </w:p>
    <w:p w14:paraId="55D01468" w14:textId="77777777" w:rsidR="009260DE" w:rsidRPr="00FC16D0" w:rsidRDefault="009260DE" w:rsidP="009260DE">
      <w:pPr>
        <w:tabs>
          <w:tab w:val="left" w:pos="851"/>
        </w:tabs>
        <w:ind w:left="851"/>
        <w:rPr>
          <w:sz w:val="24"/>
          <w:szCs w:val="24"/>
        </w:rPr>
      </w:pPr>
    </w:p>
    <w:p w14:paraId="61AB6C1A" w14:textId="77777777" w:rsidR="00844F82" w:rsidRPr="00C84483" w:rsidRDefault="00844F82" w:rsidP="00844F82">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829F160" w14:textId="77777777" w:rsidR="00642E1C" w:rsidRPr="00FC16D0" w:rsidRDefault="00642E1C" w:rsidP="00934194">
      <w:pPr>
        <w:pStyle w:val="Normalindrykning"/>
        <w:ind w:left="851"/>
        <w:rPr>
          <w:sz w:val="24"/>
          <w:szCs w:val="24"/>
        </w:rPr>
      </w:pPr>
      <w:r w:rsidRPr="00FC16D0">
        <w:rPr>
          <w:sz w:val="24"/>
          <w:szCs w:val="24"/>
        </w:rPr>
        <w:t>10 glasampuller á 2 ml</w:t>
      </w:r>
    </w:p>
    <w:p w14:paraId="5C1DD8FF" w14:textId="77777777" w:rsidR="00642E1C" w:rsidRPr="00FC16D0" w:rsidRDefault="00642E1C" w:rsidP="00934194">
      <w:pPr>
        <w:pStyle w:val="Normalindrykning"/>
        <w:ind w:left="851"/>
        <w:rPr>
          <w:sz w:val="24"/>
          <w:szCs w:val="24"/>
        </w:rPr>
      </w:pPr>
      <w:r w:rsidRPr="00FC16D0">
        <w:rPr>
          <w:sz w:val="24"/>
          <w:szCs w:val="24"/>
        </w:rPr>
        <w:t>10 glasampuller á 10 ml</w:t>
      </w:r>
    </w:p>
    <w:p w14:paraId="001AA8C6" w14:textId="77777777" w:rsidR="00642E1C" w:rsidRPr="00FC16D0" w:rsidRDefault="00642E1C" w:rsidP="00934194">
      <w:pPr>
        <w:pStyle w:val="Normalindrykning"/>
        <w:ind w:left="851"/>
        <w:rPr>
          <w:sz w:val="24"/>
          <w:szCs w:val="24"/>
        </w:rPr>
      </w:pPr>
    </w:p>
    <w:p w14:paraId="19C96A41" w14:textId="77777777" w:rsidR="00642E1C" w:rsidRPr="00FC16D0" w:rsidRDefault="00642E1C" w:rsidP="00934194">
      <w:pPr>
        <w:pStyle w:val="Normalindrykning"/>
        <w:ind w:left="851"/>
        <w:rPr>
          <w:sz w:val="24"/>
          <w:szCs w:val="24"/>
        </w:rPr>
      </w:pPr>
      <w:r w:rsidRPr="00FC16D0">
        <w:rPr>
          <w:sz w:val="24"/>
          <w:szCs w:val="24"/>
        </w:rPr>
        <w:t>Ikke alle pakningsstørrelser er nødvendigvis markedsført.</w:t>
      </w:r>
    </w:p>
    <w:p w14:paraId="1CAD046F" w14:textId="77777777" w:rsidR="009260DE" w:rsidRPr="00FC16D0" w:rsidRDefault="009260DE" w:rsidP="009260DE">
      <w:pPr>
        <w:tabs>
          <w:tab w:val="left" w:pos="851"/>
        </w:tabs>
        <w:ind w:left="851"/>
        <w:rPr>
          <w:sz w:val="24"/>
          <w:szCs w:val="24"/>
        </w:rPr>
      </w:pPr>
    </w:p>
    <w:p w14:paraId="441954CC" w14:textId="77777777" w:rsidR="00844F82" w:rsidRPr="00C84483" w:rsidRDefault="00844F82" w:rsidP="00844F82">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773879B7" w14:textId="77777777" w:rsidR="00642E1C" w:rsidRPr="00FC16D0" w:rsidRDefault="00642E1C" w:rsidP="00934194">
      <w:pPr>
        <w:pStyle w:val="Ingenafstand"/>
        <w:ind w:left="851"/>
        <w:rPr>
          <w:sz w:val="24"/>
          <w:szCs w:val="24"/>
        </w:rPr>
      </w:pPr>
      <w:r w:rsidRPr="00FC16D0">
        <w:rPr>
          <w:sz w:val="24"/>
          <w:szCs w:val="24"/>
        </w:rPr>
        <w:t>Kun til engangsbrug. Hvis der kun anvendes en del af en ampul, så kasseres den resterende opløsning.</w:t>
      </w:r>
    </w:p>
    <w:p w14:paraId="4CA25219" w14:textId="77777777" w:rsidR="00642E1C" w:rsidRPr="00FC16D0" w:rsidRDefault="00642E1C" w:rsidP="00934194">
      <w:pPr>
        <w:pStyle w:val="Ingenafstand"/>
        <w:ind w:left="851"/>
        <w:rPr>
          <w:sz w:val="24"/>
          <w:szCs w:val="24"/>
        </w:rPr>
      </w:pPr>
    </w:p>
    <w:p w14:paraId="0A346339" w14:textId="77777777" w:rsidR="00642E1C" w:rsidRPr="00FC16D0" w:rsidRDefault="00642E1C" w:rsidP="00934194">
      <w:pPr>
        <w:pStyle w:val="Ingenafstand"/>
        <w:ind w:left="851"/>
        <w:rPr>
          <w:sz w:val="24"/>
          <w:szCs w:val="24"/>
        </w:rPr>
      </w:pPr>
      <w:r w:rsidRPr="00FC16D0">
        <w:rPr>
          <w:sz w:val="24"/>
          <w:szCs w:val="24"/>
        </w:rPr>
        <w:lastRenderedPageBreak/>
        <w:t>Brug fingerbeskyttelse ved åbning af en ampul.</w:t>
      </w:r>
    </w:p>
    <w:p w14:paraId="16CF48E4" w14:textId="77777777" w:rsidR="00642E1C" w:rsidRPr="00FC16D0" w:rsidRDefault="00642E1C" w:rsidP="00934194">
      <w:pPr>
        <w:pStyle w:val="Ingenafstand"/>
        <w:ind w:left="851"/>
        <w:rPr>
          <w:sz w:val="24"/>
          <w:szCs w:val="24"/>
        </w:rPr>
      </w:pPr>
    </w:p>
    <w:p w14:paraId="292C1BBC" w14:textId="77777777" w:rsidR="00642E1C" w:rsidRPr="00FC16D0" w:rsidRDefault="00642E1C" w:rsidP="00934194">
      <w:pPr>
        <w:pStyle w:val="Ingenafstand"/>
        <w:ind w:left="851"/>
        <w:rPr>
          <w:sz w:val="24"/>
          <w:szCs w:val="24"/>
        </w:rPr>
      </w:pPr>
      <w:r w:rsidRPr="00FC16D0">
        <w:rPr>
          <w:sz w:val="24"/>
          <w:szCs w:val="24"/>
        </w:rPr>
        <w:t>Ikke anvendt lægemiddel samt affald heraf skal bortskaffes i henhold til lokale retningslinjer.</w:t>
      </w:r>
    </w:p>
    <w:p w14:paraId="5B83224C" w14:textId="77777777" w:rsidR="009260DE" w:rsidRPr="00FC16D0" w:rsidRDefault="009260DE" w:rsidP="009260DE">
      <w:pPr>
        <w:tabs>
          <w:tab w:val="left" w:pos="851"/>
        </w:tabs>
        <w:ind w:left="851"/>
        <w:jc w:val="both"/>
        <w:rPr>
          <w:sz w:val="24"/>
          <w:szCs w:val="24"/>
        </w:rPr>
      </w:pPr>
    </w:p>
    <w:p w14:paraId="50C7B771" w14:textId="77777777" w:rsidR="009260DE" w:rsidRPr="00FC16D0" w:rsidRDefault="009260DE" w:rsidP="009260DE">
      <w:pPr>
        <w:tabs>
          <w:tab w:val="left" w:pos="851"/>
        </w:tabs>
        <w:ind w:left="851" w:hanging="851"/>
        <w:rPr>
          <w:b/>
          <w:sz w:val="24"/>
          <w:szCs w:val="24"/>
        </w:rPr>
      </w:pPr>
      <w:r w:rsidRPr="00FC16D0">
        <w:rPr>
          <w:b/>
          <w:sz w:val="24"/>
          <w:szCs w:val="24"/>
        </w:rPr>
        <w:t>7.</w:t>
      </w:r>
      <w:r w:rsidRPr="00FC16D0">
        <w:rPr>
          <w:b/>
          <w:sz w:val="24"/>
          <w:szCs w:val="24"/>
        </w:rPr>
        <w:tab/>
        <w:t>INDEHAVER AF MARKEDSFØRINGSTILLADELSEN</w:t>
      </w:r>
    </w:p>
    <w:p w14:paraId="50876894" w14:textId="77777777" w:rsidR="00642E1C" w:rsidRPr="00FC16D0" w:rsidRDefault="00642E1C" w:rsidP="00934194">
      <w:pPr>
        <w:autoSpaceDE w:val="0"/>
        <w:autoSpaceDN w:val="0"/>
        <w:adjustRightInd w:val="0"/>
        <w:spacing w:line="240" w:lineRule="atLeast"/>
        <w:ind w:left="851"/>
        <w:rPr>
          <w:color w:val="000000"/>
          <w:sz w:val="24"/>
          <w:szCs w:val="24"/>
          <w:lang w:eastAsia="en-GB"/>
        </w:rPr>
      </w:pPr>
      <w:r w:rsidRPr="00FC16D0">
        <w:rPr>
          <w:color w:val="000000"/>
          <w:sz w:val="24"/>
          <w:szCs w:val="24"/>
        </w:rPr>
        <w:t xml:space="preserve">AS </w:t>
      </w:r>
      <w:proofErr w:type="spellStart"/>
      <w:r w:rsidRPr="00FC16D0">
        <w:rPr>
          <w:color w:val="000000"/>
          <w:sz w:val="24"/>
          <w:szCs w:val="24"/>
        </w:rPr>
        <w:t>Kalceks</w:t>
      </w:r>
      <w:proofErr w:type="spellEnd"/>
    </w:p>
    <w:p w14:paraId="748F8DBB" w14:textId="77777777" w:rsidR="00383993" w:rsidRPr="00FC16D0" w:rsidRDefault="00383993" w:rsidP="00383993">
      <w:pPr>
        <w:ind w:left="851"/>
        <w:rPr>
          <w:sz w:val="24"/>
          <w:szCs w:val="24"/>
        </w:rPr>
      </w:pPr>
      <w:proofErr w:type="spellStart"/>
      <w:r w:rsidRPr="00FC16D0">
        <w:rPr>
          <w:sz w:val="24"/>
          <w:szCs w:val="24"/>
        </w:rPr>
        <w:t>Krustpils</w:t>
      </w:r>
      <w:proofErr w:type="spellEnd"/>
      <w:r w:rsidRPr="00FC16D0">
        <w:rPr>
          <w:sz w:val="24"/>
          <w:szCs w:val="24"/>
        </w:rPr>
        <w:t xml:space="preserve"> </w:t>
      </w:r>
      <w:proofErr w:type="spellStart"/>
      <w:r w:rsidRPr="00FC16D0">
        <w:rPr>
          <w:sz w:val="24"/>
          <w:szCs w:val="24"/>
        </w:rPr>
        <w:t>iela</w:t>
      </w:r>
      <w:proofErr w:type="spellEnd"/>
      <w:r w:rsidRPr="00FC16D0">
        <w:rPr>
          <w:sz w:val="24"/>
          <w:szCs w:val="24"/>
        </w:rPr>
        <w:t xml:space="preserve"> </w:t>
      </w:r>
      <w:r>
        <w:rPr>
          <w:sz w:val="24"/>
          <w:szCs w:val="24"/>
        </w:rPr>
        <w:t>71E</w:t>
      </w:r>
    </w:p>
    <w:p w14:paraId="73E0A066" w14:textId="77777777" w:rsidR="00642E1C" w:rsidRPr="00FC16D0" w:rsidRDefault="00642E1C" w:rsidP="00934194">
      <w:pPr>
        <w:ind w:left="851"/>
        <w:rPr>
          <w:sz w:val="24"/>
          <w:szCs w:val="24"/>
        </w:rPr>
      </w:pPr>
      <w:r w:rsidRPr="00FC16D0">
        <w:rPr>
          <w:sz w:val="24"/>
          <w:szCs w:val="24"/>
        </w:rPr>
        <w:t>LV</w:t>
      </w:r>
      <w:r w:rsidRPr="00FC16D0">
        <w:rPr>
          <w:sz w:val="24"/>
          <w:szCs w:val="24"/>
        </w:rPr>
        <w:noBreakHyphen/>
        <w:t xml:space="preserve">1057 </w:t>
      </w:r>
      <w:proofErr w:type="spellStart"/>
      <w:r w:rsidRPr="00FC16D0">
        <w:rPr>
          <w:sz w:val="24"/>
          <w:szCs w:val="24"/>
        </w:rPr>
        <w:t>Rīga</w:t>
      </w:r>
      <w:proofErr w:type="spellEnd"/>
    </w:p>
    <w:p w14:paraId="0B766FDB" w14:textId="77777777" w:rsidR="00642E1C" w:rsidRPr="00FC16D0" w:rsidRDefault="00642E1C" w:rsidP="00934194">
      <w:pPr>
        <w:ind w:left="851"/>
        <w:rPr>
          <w:sz w:val="24"/>
          <w:szCs w:val="24"/>
          <w:lang w:eastAsia="da-DK"/>
        </w:rPr>
      </w:pPr>
      <w:r w:rsidRPr="00FC16D0">
        <w:rPr>
          <w:sz w:val="24"/>
          <w:szCs w:val="24"/>
        </w:rPr>
        <w:t>Letland</w:t>
      </w:r>
    </w:p>
    <w:p w14:paraId="4A99FC7B" w14:textId="77777777" w:rsidR="009260DE" w:rsidRPr="00FC16D0" w:rsidRDefault="009260DE" w:rsidP="009260DE">
      <w:pPr>
        <w:tabs>
          <w:tab w:val="left" w:pos="851"/>
        </w:tabs>
        <w:ind w:left="851"/>
        <w:rPr>
          <w:sz w:val="24"/>
          <w:szCs w:val="24"/>
        </w:rPr>
      </w:pPr>
    </w:p>
    <w:p w14:paraId="41BA7AB8" w14:textId="77777777" w:rsidR="00844F82" w:rsidRPr="00C84483" w:rsidRDefault="00844F82" w:rsidP="00844F8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5F5D7325" w14:textId="603989E4" w:rsidR="009260DE" w:rsidRPr="00FC16D0" w:rsidRDefault="002F25EE" w:rsidP="009260DE">
      <w:pPr>
        <w:tabs>
          <w:tab w:val="left" w:pos="851"/>
        </w:tabs>
        <w:ind w:left="851"/>
        <w:rPr>
          <w:sz w:val="24"/>
          <w:szCs w:val="24"/>
        </w:rPr>
      </w:pPr>
      <w:r w:rsidRPr="00FC16D0">
        <w:rPr>
          <w:sz w:val="24"/>
          <w:szCs w:val="24"/>
        </w:rPr>
        <w:t>64160</w:t>
      </w:r>
    </w:p>
    <w:p w14:paraId="1F173786" w14:textId="77777777" w:rsidR="009260DE" w:rsidRPr="00FC16D0" w:rsidRDefault="009260DE" w:rsidP="009260DE">
      <w:pPr>
        <w:tabs>
          <w:tab w:val="left" w:pos="851"/>
        </w:tabs>
        <w:ind w:left="851"/>
        <w:jc w:val="both"/>
        <w:rPr>
          <w:sz w:val="24"/>
          <w:szCs w:val="24"/>
        </w:rPr>
      </w:pPr>
    </w:p>
    <w:p w14:paraId="58B9C46E" w14:textId="77777777" w:rsidR="009260DE" w:rsidRPr="00FC16D0" w:rsidRDefault="009260DE" w:rsidP="009260DE">
      <w:pPr>
        <w:tabs>
          <w:tab w:val="left" w:pos="851"/>
        </w:tabs>
        <w:ind w:left="851" w:hanging="851"/>
        <w:rPr>
          <w:b/>
          <w:sz w:val="24"/>
          <w:szCs w:val="24"/>
        </w:rPr>
      </w:pPr>
      <w:r w:rsidRPr="00FC16D0">
        <w:rPr>
          <w:b/>
          <w:sz w:val="24"/>
          <w:szCs w:val="24"/>
        </w:rPr>
        <w:t>9.</w:t>
      </w:r>
      <w:r w:rsidRPr="00FC16D0">
        <w:rPr>
          <w:b/>
          <w:sz w:val="24"/>
          <w:szCs w:val="24"/>
        </w:rPr>
        <w:tab/>
        <w:t>DATO FOR FØRSTE MARKEDSFØRINGSTILLADELSE</w:t>
      </w:r>
    </w:p>
    <w:p w14:paraId="69B18501" w14:textId="60DF5968" w:rsidR="009260DE" w:rsidRPr="00FC16D0" w:rsidRDefault="00D46B7F" w:rsidP="009260DE">
      <w:pPr>
        <w:tabs>
          <w:tab w:val="left" w:pos="851"/>
        </w:tabs>
        <w:ind w:left="851"/>
        <w:rPr>
          <w:sz w:val="24"/>
          <w:szCs w:val="24"/>
        </w:rPr>
      </w:pPr>
      <w:r w:rsidRPr="00FC16D0">
        <w:rPr>
          <w:sz w:val="24"/>
          <w:szCs w:val="24"/>
        </w:rPr>
        <w:t>6. august 2020</w:t>
      </w:r>
    </w:p>
    <w:p w14:paraId="5A48576C" w14:textId="77777777" w:rsidR="009260DE" w:rsidRPr="00FC16D0" w:rsidRDefault="009260DE" w:rsidP="009260DE">
      <w:pPr>
        <w:tabs>
          <w:tab w:val="left" w:pos="851"/>
        </w:tabs>
        <w:ind w:left="851"/>
        <w:rPr>
          <w:sz w:val="24"/>
          <w:szCs w:val="24"/>
        </w:rPr>
      </w:pPr>
    </w:p>
    <w:p w14:paraId="244E9ED5" w14:textId="77777777" w:rsidR="009260DE" w:rsidRPr="00FC16D0" w:rsidRDefault="009260DE" w:rsidP="009260DE">
      <w:pPr>
        <w:tabs>
          <w:tab w:val="left" w:pos="851"/>
        </w:tabs>
        <w:ind w:left="851" w:hanging="851"/>
        <w:rPr>
          <w:b/>
          <w:sz w:val="24"/>
          <w:szCs w:val="24"/>
        </w:rPr>
      </w:pPr>
      <w:r w:rsidRPr="00FC16D0">
        <w:rPr>
          <w:b/>
          <w:sz w:val="24"/>
          <w:szCs w:val="24"/>
        </w:rPr>
        <w:t>10.</w:t>
      </w:r>
      <w:r w:rsidRPr="00FC16D0">
        <w:rPr>
          <w:b/>
          <w:sz w:val="24"/>
          <w:szCs w:val="24"/>
        </w:rPr>
        <w:tab/>
        <w:t>DATO FOR ÆNDRING AF TEKSTEN</w:t>
      </w:r>
    </w:p>
    <w:p w14:paraId="773007A0" w14:textId="185B64DC" w:rsidR="009260DE" w:rsidRPr="00FC16D0" w:rsidRDefault="00294941" w:rsidP="009260DE">
      <w:pPr>
        <w:tabs>
          <w:tab w:val="left" w:pos="851"/>
        </w:tabs>
        <w:ind w:left="851"/>
        <w:rPr>
          <w:sz w:val="24"/>
          <w:szCs w:val="24"/>
        </w:rPr>
      </w:pPr>
      <w:r>
        <w:rPr>
          <w:sz w:val="24"/>
          <w:szCs w:val="24"/>
        </w:rPr>
        <w:t>2</w:t>
      </w:r>
      <w:r w:rsidR="00844F82">
        <w:rPr>
          <w:sz w:val="24"/>
          <w:szCs w:val="24"/>
        </w:rPr>
        <w:t xml:space="preserve">. </w:t>
      </w:r>
      <w:r>
        <w:rPr>
          <w:sz w:val="24"/>
          <w:szCs w:val="24"/>
        </w:rPr>
        <w:t>december</w:t>
      </w:r>
      <w:bookmarkStart w:id="0" w:name="_GoBack"/>
      <w:bookmarkEnd w:id="0"/>
      <w:r w:rsidR="00844F82">
        <w:rPr>
          <w:sz w:val="24"/>
          <w:szCs w:val="24"/>
        </w:rPr>
        <w:t xml:space="preserve"> 202</w:t>
      </w:r>
      <w:r w:rsidR="00217346">
        <w:rPr>
          <w:sz w:val="24"/>
          <w:szCs w:val="24"/>
        </w:rPr>
        <w:t>4</w:t>
      </w:r>
    </w:p>
    <w:sectPr w:rsidR="009260DE" w:rsidRPr="00FC16D0" w:rsidSect="00E724E8">
      <w:footerReference w:type="default" r:id="rId9"/>
      <w:footerReference w:type="first" r:id="rId10"/>
      <w:pgSz w:w="11906" w:h="16838"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4165F" w14:textId="77777777" w:rsidR="00583441" w:rsidRDefault="00583441">
      <w:r>
        <w:separator/>
      </w:r>
    </w:p>
  </w:endnote>
  <w:endnote w:type="continuationSeparator" w:id="0">
    <w:p w14:paraId="55575F72" w14:textId="77777777" w:rsidR="00583441" w:rsidRDefault="0058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3882" w14:textId="77777777" w:rsidR="000259B9" w:rsidRDefault="000259B9">
    <w:pPr>
      <w:pStyle w:val="Sidefod"/>
      <w:pBdr>
        <w:bottom w:val="single" w:sz="6" w:space="1" w:color="auto"/>
      </w:pBdr>
    </w:pPr>
  </w:p>
  <w:p w14:paraId="500ABA41" w14:textId="77777777" w:rsidR="000259B9" w:rsidRDefault="000259B9" w:rsidP="00C42586">
    <w:pPr>
      <w:pStyle w:val="Sidefod"/>
      <w:tabs>
        <w:tab w:val="clear" w:pos="4819"/>
        <w:tab w:val="left" w:pos="8505"/>
      </w:tabs>
      <w:rPr>
        <w:i/>
        <w:sz w:val="18"/>
        <w:szCs w:val="18"/>
      </w:rPr>
    </w:pPr>
  </w:p>
  <w:p w14:paraId="46982016" w14:textId="025DE89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23D0F">
      <w:rPr>
        <w:i/>
        <w:noProof/>
        <w:sz w:val="18"/>
        <w:szCs w:val="18"/>
      </w:rPr>
      <w:t>Fentanyl Kalceks, injektionsvæske, opløsning 50 mikrogram-ml.docx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EBCB" w14:textId="77777777" w:rsidR="00844F82" w:rsidRDefault="00844F82" w:rsidP="00844F82">
    <w:pPr>
      <w:pStyle w:val="Sidefod"/>
      <w:pBdr>
        <w:bottom w:val="single" w:sz="6" w:space="1" w:color="auto"/>
      </w:pBdr>
    </w:pPr>
  </w:p>
  <w:p w14:paraId="023EBCF1" w14:textId="77777777" w:rsidR="00844F82" w:rsidRDefault="00844F82" w:rsidP="00844F82">
    <w:pPr>
      <w:pStyle w:val="Sidefod"/>
      <w:tabs>
        <w:tab w:val="clear" w:pos="4819"/>
        <w:tab w:val="left" w:pos="8505"/>
      </w:tabs>
      <w:rPr>
        <w:i/>
        <w:sz w:val="18"/>
        <w:szCs w:val="18"/>
      </w:rPr>
    </w:pPr>
  </w:p>
  <w:p w14:paraId="09F769C4" w14:textId="7E980CF8" w:rsidR="00844F82" w:rsidRPr="00844F82" w:rsidRDefault="00844F82" w:rsidP="00844F82">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23D0F">
      <w:rPr>
        <w:i/>
        <w:noProof/>
        <w:sz w:val="18"/>
        <w:szCs w:val="18"/>
      </w:rPr>
      <w:t>Fentanyl Kalceks, injektionsvæske, opløsning 50 mikrogram-ml.docx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7E109" w14:textId="77777777" w:rsidR="00583441" w:rsidRDefault="00583441">
      <w:r>
        <w:separator/>
      </w:r>
    </w:p>
  </w:footnote>
  <w:footnote w:type="continuationSeparator" w:id="0">
    <w:p w14:paraId="4E284698" w14:textId="77777777" w:rsidR="00583441" w:rsidRDefault="00583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C17F4"/>
    <w:multiLevelType w:val="hybridMultilevel"/>
    <w:tmpl w:val="50D207DA"/>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40105F6"/>
    <w:multiLevelType w:val="hybridMultilevel"/>
    <w:tmpl w:val="BDEE0DCA"/>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248B33FC"/>
    <w:multiLevelType w:val="hybridMultilevel"/>
    <w:tmpl w:val="0EE2639A"/>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FAE3C17"/>
    <w:multiLevelType w:val="hybridMultilevel"/>
    <w:tmpl w:val="0024A96A"/>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1260EF5"/>
    <w:multiLevelType w:val="hybridMultilevel"/>
    <w:tmpl w:val="1298900A"/>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4CA235FF"/>
    <w:multiLevelType w:val="hybridMultilevel"/>
    <w:tmpl w:val="77CC58C8"/>
    <w:lvl w:ilvl="0" w:tplc="5A5CF712">
      <w:start w:val="1"/>
      <w:numFmt w:val="bullet"/>
      <w:lvlText w:val="-"/>
      <w:lvlJc w:val="left"/>
      <w:pPr>
        <w:ind w:left="720" w:hanging="360"/>
      </w:pPr>
      <w:rPr>
        <w:rFonts w:ascii="Courier New" w:hAnsi="Courier New" w:cs="Times New Roman" w:hint="default"/>
      </w:rPr>
    </w:lvl>
    <w:lvl w:ilvl="1" w:tplc="95008502">
      <w:start w:val="1"/>
      <w:numFmt w:val="bullet"/>
      <w:lvlText w:val="o"/>
      <w:lvlJc w:val="left"/>
      <w:pPr>
        <w:ind w:left="1440" w:hanging="360"/>
      </w:pPr>
      <w:rPr>
        <w:rFonts w:ascii="Courier New" w:hAnsi="Courier New" w:cs="Courier New" w:hint="default"/>
      </w:rPr>
    </w:lvl>
    <w:lvl w:ilvl="2" w:tplc="343C2ABE">
      <w:start w:val="1"/>
      <w:numFmt w:val="bullet"/>
      <w:lvlText w:val=""/>
      <w:lvlJc w:val="left"/>
      <w:pPr>
        <w:ind w:left="2160" w:hanging="360"/>
      </w:pPr>
      <w:rPr>
        <w:rFonts w:ascii="Wingdings" w:hAnsi="Wingdings" w:hint="default"/>
      </w:rPr>
    </w:lvl>
    <w:lvl w:ilvl="3" w:tplc="2D185AB0">
      <w:start w:val="1"/>
      <w:numFmt w:val="bullet"/>
      <w:lvlText w:val=""/>
      <w:lvlJc w:val="left"/>
      <w:pPr>
        <w:ind w:left="2880" w:hanging="360"/>
      </w:pPr>
      <w:rPr>
        <w:rFonts w:ascii="Symbol" w:hAnsi="Symbol" w:hint="default"/>
      </w:rPr>
    </w:lvl>
    <w:lvl w:ilvl="4" w:tplc="8982E460">
      <w:start w:val="1"/>
      <w:numFmt w:val="bullet"/>
      <w:lvlText w:val="o"/>
      <w:lvlJc w:val="left"/>
      <w:pPr>
        <w:ind w:left="3600" w:hanging="360"/>
      </w:pPr>
      <w:rPr>
        <w:rFonts w:ascii="Courier New" w:hAnsi="Courier New" w:cs="Courier New" w:hint="default"/>
      </w:rPr>
    </w:lvl>
    <w:lvl w:ilvl="5" w:tplc="C6D8E040">
      <w:start w:val="1"/>
      <w:numFmt w:val="bullet"/>
      <w:lvlText w:val=""/>
      <w:lvlJc w:val="left"/>
      <w:pPr>
        <w:ind w:left="4320" w:hanging="360"/>
      </w:pPr>
      <w:rPr>
        <w:rFonts w:ascii="Wingdings" w:hAnsi="Wingdings" w:hint="default"/>
      </w:rPr>
    </w:lvl>
    <w:lvl w:ilvl="6" w:tplc="7A989960">
      <w:start w:val="1"/>
      <w:numFmt w:val="bullet"/>
      <w:lvlText w:val=""/>
      <w:lvlJc w:val="left"/>
      <w:pPr>
        <w:ind w:left="5040" w:hanging="360"/>
      </w:pPr>
      <w:rPr>
        <w:rFonts w:ascii="Symbol" w:hAnsi="Symbol" w:hint="default"/>
      </w:rPr>
    </w:lvl>
    <w:lvl w:ilvl="7" w:tplc="86B8BC84">
      <w:start w:val="1"/>
      <w:numFmt w:val="bullet"/>
      <w:lvlText w:val="o"/>
      <w:lvlJc w:val="left"/>
      <w:pPr>
        <w:ind w:left="5760" w:hanging="360"/>
      </w:pPr>
      <w:rPr>
        <w:rFonts w:ascii="Courier New" w:hAnsi="Courier New" w:cs="Courier New" w:hint="default"/>
      </w:rPr>
    </w:lvl>
    <w:lvl w:ilvl="8" w:tplc="9DD229B6">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8"/>
  </w:num>
  <w:num w:numId="9">
    <w:abstractNumId w:val="2"/>
  </w:num>
  <w:num w:numId="10">
    <w:abstractNumId w:val="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41"/>
    <w:rsid w:val="000259B9"/>
    <w:rsid w:val="00041491"/>
    <w:rsid w:val="00050D16"/>
    <w:rsid w:val="00074F2A"/>
    <w:rsid w:val="000A1CA8"/>
    <w:rsid w:val="000A466B"/>
    <w:rsid w:val="000B058C"/>
    <w:rsid w:val="000E4EE6"/>
    <w:rsid w:val="00116B39"/>
    <w:rsid w:val="001454E2"/>
    <w:rsid w:val="001A5A4B"/>
    <w:rsid w:val="00206CE8"/>
    <w:rsid w:val="0021526C"/>
    <w:rsid w:val="00217346"/>
    <w:rsid w:val="00247C9A"/>
    <w:rsid w:val="00262C00"/>
    <w:rsid w:val="00283A2B"/>
    <w:rsid w:val="00294941"/>
    <w:rsid w:val="002B30AD"/>
    <w:rsid w:val="002C2C01"/>
    <w:rsid w:val="002F25EE"/>
    <w:rsid w:val="003377B4"/>
    <w:rsid w:val="00360931"/>
    <w:rsid w:val="00383993"/>
    <w:rsid w:val="00392679"/>
    <w:rsid w:val="003A29AE"/>
    <w:rsid w:val="003A32D7"/>
    <w:rsid w:val="003B4074"/>
    <w:rsid w:val="003C769A"/>
    <w:rsid w:val="003F1838"/>
    <w:rsid w:val="0040485D"/>
    <w:rsid w:val="0045746C"/>
    <w:rsid w:val="0049104B"/>
    <w:rsid w:val="004E3B12"/>
    <w:rsid w:val="00532310"/>
    <w:rsid w:val="0053392D"/>
    <w:rsid w:val="00565F0F"/>
    <w:rsid w:val="005745C3"/>
    <w:rsid w:val="00583441"/>
    <w:rsid w:val="00594A86"/>
    <w:rsid w:val="00596D86"/>
    <w:rsid w:val="0063123D"/>
    <w:rsid w:val="0063536C"/>
    <w:rsid w:val="00637F5A"/>
    <w:rsid w:val="00642E1C"/>
    <w:rsid w:val="006560B1"/>
    <w:rsid w:val="00665DAB"/>
    <w:rsid w:val="006756DD"/>
    <w:rsid w:val="006A1F27"/>
    <w:rsid w:val="00706313"/>
    <w:rsid w:val="00737275"/>
    <w:rsid w:val="00740EEC"/>
    <w:rsid w:val="0078011A"/>
    <w:rsid w:val="00782AF4"/>
    <w:rsid w:val="00790EE7"/>
    <w:rsid w:val="007A2076"/>
    <w:rsid w:val="007B17B8"/>
    <w:rsid w:val="007B6649"/>
    <w:rsid w:val="007E6DCF"/>
    <w:rsid w:val="0082576E"/>
    <w:rsid w:val="00844F82"/>
    <w:rsid w:val="008906D6"/>
    <w:rsid w:val="00907F75"/>
    <w:rsid w:val="009260DE"/>
    <w:rsid w:val="0093258A"/>
    <w:rsid w:val="00934194"/>
    <w:rsid w:val="009402FC"/>
    <w:rsid w:val="009C7BA3"/>
    <w:rsid w:val="009D1F5A"/>
    <w:rsid w:val="00AC4D3A"/>
    <w:rsid w:val="00AE4B52"/>
    <w:rsid w:val="00B003BF"/>
    <w:rsid w:val="00B16AAA"/>
    <w:rsid w:val="00B373D7"/>
    <w:rsid w:val="00BB4D54"/>
    <w:rsid w:val="00C36276"/>
    <w:rsid w:val="00C42586"/>
    <w:rsid w:val="00C60CCD"/>
    <w:rsid w:val="00C820EE"/>
    <w:rsid w:val="00C84483"/>
    <w:rsid w:val="00C95551"/>
    <w:rsid w:val="00CB20D7"/>
    <w:rsid w:val="00D020B0"/>
    <w:rsid w:val="00D11748"/>
    <w:rsid w:val="00D366CF"/>
    <w:rsid w:val="00D46B7F"/>
    <w:rsid w:val="00DA4D4E"/>
    <w:rsid w:val="00E108AA"/>
    <w:rsid w:val="00E3749A"/>
    <w:rsid w:val="00E65D6D"/>
    <w:rsid w:val="00E724E8"/>
    <w:rsid w:val="00E7437F"/>
    <w:rsid w:val="00E865B8"/>
    <w:rsid w:val="00EC0B9B"/>
    <w:rsid w:val="00EC63AB"/>
    <w:rsid w:val="00ED5E9F"/>
    <w:rsid w:val="00EE7D04"/>
    <w:rsid w:val="00F23D0F"/>
    <w:rsid w:val="00F66D4F"/>
    <w:rsid w:val="00FA0940"/>
    <w:rsid w:val="00FB6D01"/>
    <w:rsid w:val="00FC16D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32A95B"/>
  <w15:chartTrackingRefBased/>
  <w15:docId w15:val="{03634B9F-2B29-49D4-8624-53A65DC8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63123D"/>
    <w:pPr>
      <w:ind w:left="425"/>
    </w:pPr>
    <w:rPr>
      <w:sz w:val="22"/>
      <w:lang w:eastAsia="en-GB"/>
    </w:rPr>
  </w:style>
  <w:style w:type="paragraph" w:styleId="Almindeligtekst">
    <w:name w:val="Plain Text"/>
    <w:basedOn w:val="Normal"/>
    <w:link w:val="AlmindeligtekstTegn"/>
    <w:semiHidden/>
    <w:unhideWhenUsed/>
    <w:rsid w:val="0063123D"/>
    <w:rPr>
      <w:rFonts w:ascii="Courier New" w:hAnsi="Courier New"/>
      <w:sz w:val="20"/>
      <w:lang w:eastAsia="en-GB"/>
    </w:rPr>
  </w:style>
  <w:style w:type="character" w:customStyle="1" w:styleId="AlmindeligtekstTegn">
    <w:name w:val="Almindelig tekst Tegn"/>
    <w:basedOn w:val="Standardskrifttypeiafsnit"/>
    <w:link w:val="Almindeligtekst"/>
    <w:semiHidden/>
    <w:rsid w:val="0063123D"/>
    <w:rPr>
      <w:rFonts w:ascii="Courier New" w:hAnsi="Courier New"/>
      <w:lang w:eastAsia="en-GB"/>
    </w:rPr>
  </w:style>
  <w:style w:type="paragraph" w:styleId="Ingenafstand">
    <w:name w:val="No Spacing"/>
    <w:uiPriority w:val="1"/>
    <w:qFormat/>
    <w:rsid w:val="0063123D"/>
    <w:rPr>
      <w:sz w:val="22"/>
      <w:lang w:eastAsia="en-GB"/>
    </w:rPr>
  </w:style>
  <w:style w:type="paragraph" w:customStyle="1" w:styleId="Default">
    <w:name w:val="Default"/>
    <w:rsid w:val="0063123D"/>
    <w:pPr>
      <w:autoSpaceDE w:val="0"/>
      <w:autoSpaceDN w:val="0"/>
      <w:adjustRightInd w:val="0"/>
    </w:pPr>
    <w:rPr>
      <w:rFonts w:ascii="Arial" w:hAnsi="Arial" w:cs="Arial"/>
      <w:color w:val="000000"/>
      <w:sz w:val="24"/>
      <w:szCs w:val="24"/>
      <w:lang w:eastAsia="en-GB"/>
    </w:rPr>
  </w:style>
  <w:style w:type="character" w:styleId="Hyperlink">
    <w:name w:val="Hyperlink"/>
    <w:semiHidden/>
    <w:unhideWhenUsed/>
    <w:rsid w:val="00642E1C"/>
    <w:rPr>
      <w:color w:val="0563C1"/>
      <w:u w:val="single"/>
    </w:rPr>
  </w:style>
  <w:style w:type="paragraph" w:styleId="Listeafsnit">
    <w:name w:val="List Paragraph"/>
    <w:basedOn w:val="Normal"/>
    <w:uiPriority w:val="34"/>
    <w:qFormat/>
    <w:rsid w:val="00404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63778">
      <w:bodyDiv w:val="1"/>
      <w:marLeft w:val="0"/>
      <w:marRight w:val="0"/>
      <w:marTop w:val="0"/>
      <w:marBottom w:val="0"/>
      <w:divBdr>
        <w:top w:val="none" w:sz="0" w:space="0" w:color="auto"/>
        <w:left w:val="none" w:sz="0" w:space="0" w:color="auto"/>
        <w:bottom w:val="none" w:sz="0" w:space="0" w:color="auto"/>
        <w:right w:val="none" w:sz="0" w:space="0" w:color="auto"/>
      </w:divBdr>
    </w:div>
    <w:div w:id="153885866">
      <w:bodyDiv w:val="1"/>
      <w:marLeft w:val="0"/>
      <w:marRight w:val="0"/>
      <w:marTop w:val="0"/>
      <w:marBottom w:val="0"/>
      <w:divBdr>
        <w:top w:val="none" w:sz="0" w:space="0" w:color="auto"/>
        <w:left w:val="none" w:sz="0" w:space="0" w:color="auto"/>
        <w:bottom w:val="none" w:sz="0" w:space="0" w:color="auto"/>
        <w:right w:val="none" w:sz="0" w:space="0" w:color="auto"/>
      </w:divBdr>
    </w:div>
    <w:div w:id="1553448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6820437">
      <w:bodyDiv w:val="1"/>
      <w:marLeft w:val="0"/>
      <w:marRight w:val="0"/>
      <w:marTop w:val="0"/>
      <w:marBottom w:val="0"/>
      <w:divBdr>
        <w:top w:val="none" w:sz="0" w:space="0" w:color="auto"/>
        <w:left w:val="none" w:sz="0" w:space="0" w:color="auto"/>
        <w:bottom w:val="none" w:sz="0" w:space="0" w:color="auto"/>
        <w:right w:val="none" w:sz="0" w:space="0" w:color="auto"/>
      </w:divBdr>
    </w:div>
    <w:div w:id="314183763">
      <w:bodyDiv w:val="1"/>
      <w:marLeft w:val="0"/>
      <w:marRight w:val="0"/>
      <w:marTop w:val="0"/>
      <w:marBottom w:val="0"/>
      <w:divBdr>
        <w:top w:val="none" w:sz="0" w:space="0" w:color="auto"/>
        <w:left w:val="none" w:sz="0" w:space="0" w:color="auto"/>
        <w:bottom w:val="none" w:sz="0" w:space="0" w:color="auto"/>
        <w:right w:val="none" w:sz="0" w:space="0" w:color="auto"/>
      </w:divBdr>
    </w:div>
    <w:div w:id="473909506">
      <w:bodyDiv w:val="1"/>
      <w:marLeft w:val="0"/>
      <w:marRight w:val="0"/>
      <w:marTop w:val="0"/>
      <w:marBottom w:val="0"/>
      <w:divBdr>
        <w:top w:val="none" w:sz="0" w:space="0" w:color="auto"/>
        <w:left w:val="none" w:sz="0" w:space="0" w:color="auto"/>
        <w:bottom w:val="none" w:sz="0" w:space="0" w:color="auto"/>
        <w:right w:val="none" w:sz="0" w:space="0" w:color="auto"/>
      </w:divBdr>
    </w:div>
    <w:div w:id="521167312">
      <w:bodyDiv w:val="1"/>
      <w:marLeft w:val="0"/>
      <w:marRight w:val="0"/>
      <w:marTop w:val="0"/>
      <w:marBottom w:val="0"/>
      <w:divBdr>
        <w:top w:val="none" w:sz="0" w:space="0" w:color="auto"/>
        <w:left w:val="none" w:sz="0" w:space="0" w:color="auto"/>
        <w:bottom w:val="none" w:sz="0" w:space="0" w:color="auto"/>
        <w:right w:val="none" w:sz="0" w:space="0" w:color="auto"/>
      </w:divBdr>
    </w:div>
    <w:div w:id="630601162">
      <w:bodyDiv w:val="1"/>
      <w:marLeft w:val="0"/>
      <w:marRight w:val="0"/>
      <w:marTop w:val="0"/>
      <w:marBottom w:val="0"/>
      <w:divBdr>
        <w:top w:val="none" w:sz="0" w:space="0" w:color="auto"/>
        <w:left w:val="none" w:sz="0" w:space="0" w:color="auto"/>
        <w:bottom w:val="none" w:sz="0" w:space="0" w:color="auto"/>
        <w:right w:val="none" w:sz="0" w:space="0" w:color="auto"/>
      </w:divBdr>
    </w:div>
    <w:div w:id="651644196">
      <w:bodyDiv w:val="1"/>
      <w:marLeft w:val="0"/>
      <w:marRight w:val="0"/>
      <w:marTop w:val="0"/>
      <w:marBottom w:val="0"/>
      <w:divBdr>
        <w:top w:val="none" w:sz="0" w:space="0" w:color="auto"/>
        <w:left w:val="none" w:sz="0" w:space="0" w:color="auto"/>
        <w:bottom w:val="none" w:sz="0" w:space="0" w:color="auto"/>
        <w:right w:val="none" w:sz="0" w:space="0" w:color="auto"/>
      </w:divBdr>
    </w:div>
    <w:div w:id="699937444">
      <w:bodyDiv w:val="1"/>
      <w:marLeft w:val="0"/>
      <w:marRight w:val="0"/>
      <w:marTop w:val="0"/>
      <w:marBottom w:val="0"/>
      <w:divBdr>
        <w:top w:val="none" w:sz="0" w:space="0" w:color="auto"/>
        <w:left w:val="none" w:sz="0" w:space="0" w:color="auto"/>
        <w:bottom w:val="none" w:sz="0" w:space="0" w:color="auto"/>
        <w:right w:val="none" w:sz="0" w:space="0" w:color="auto"/>
      </w:divBdr>
    </w:div>
    <w:div w:id="929503172">
      <w:bodyDiv w:val="1"/>
      <w:marLeft w:val="0"/>
      <w:marRight w:val="0"/>
      <w:marTop w:val="0"/>
      <w:marBottom w:val="0"/>
      <w:divBdr>
        <w:top w:val="none" w:sz="0" w:space="0" w:color="auto"/>
        <w:left w:val="none" w:sz="0" w:space="0" w:color="auto"/>
        <w:bottom w:val="none" w:sz="0" w:space="0" w:color="auto"/>
        <w:right w:val="none" w:sz="0" w:space="0" w:color="auto"/>
      </w:divBdr>
    </w:div>
    <w:div w:id="938953441">
      <w:bodyDiv w:val="1"/>
      <w:marLeft w:val="0"/>
      <w:marRight w:val="0"/>
      <w:marTop w:val="0"/>
      <w:marBottom w:val="0"/>
      <w:divBdr>
        <w:top w:val="none" w:sz="0" w:space="0" w:color="auto"/>
        <w:left w:val="none" w:sz="0" w:space="0" w:color="auto"/>
        <w:bottom w:val="none" w:sz="0" w:space="0" w:color="auto"/>
        <w:right w:val="none" w:sz="0" w:space="0" w:color="auto"/>
      </w:divBdr>
    </w:div>
    <w:div w:id="1166937316">
      <w:bodyDiv w:val="1"/>
      <w:marLeft w:val="0"/>
      <w:marRight w:val="0"/>
      <w:marTop w:val="0"/>
      <w:marBottom w:val="0"/>
      <w:divBdr>
        <w:top w:val="none" w:sz="0" w:space="0" w:color="auto"/>
        <w:left w:val="none" w:sz="0" w:space="0" w:color="auto"/>
        <w:bottom w:val="none" w:sz="0" w:space="0" w:color="auto"/>
        <w:right w:val="none" w:sz="0" w:space="0" w:color="auto"/>
      </w:divBdr>
    </w:div>
    <w:div w:id="1243098235">
      <w:bodyDiv w:val="1"/>
      <w:marLeft w:val="0"/>
      <w:marRight w:val="0"/>
      <w:marTop w:val="0"/>
      <w:marBottom w:val="0"/>
      <w:divBdr>
        <w:top w:val="none" w:sz="0" w:space="0" w:color="auto"/>
        <w:left w:val="none" w:sz="0" w:space="0" w:color="auto"/>
        <w:bottom w:val="none" w:sz="0" w:space="0" w:color="auto"/>
        <w:right w:val="none" w:sz="0" w:space="0" w:color="auto"/>
      </w:divBdr>
    </w:div>
    <w:div w:id="1455900824">
      <w:bodyDiv w:val="1"/>
      <w:marLeft w:val="0"/>
      <w:marRight w:val="0"/>
      <w:marTop w:val="0"/>
      <w:marBottom w:val="0"/>
      <w:divBdr>
        <w:top w:val="none" w:sz="0" w:space="0" w:color="auto"/>
        <w:left w:val="none" w:sz="0" w:space="0" w:color="auto"/>
        <w:bottom w:val="none" w:sz="0" w:space="0" w:color="auto"/>
        <w:right w:val="none" w:sz="0" w:space="0" w:color="auto"/>
      </w:divBdr>
    </w:div>
    <w:div w:id="1466116100">
      <w:bodyDiv w:val="1"/>
      <w:marLeft w:val="0"/>
      <w:marRight w:val="0"/>
      <w:marTop w:val="0"/>
      <w:marBottom w:val="0"/>
      <w:divBdr>
        <w:top w:val="none" w:sz="0" w:space="0" w:color="auto"/>
        <w:left w:val="none" w:sz="0" w:space="0" w:color="auto"/>
        <w:bottom w:val="none" w:sz="0" w:space="0" w:color="auto"/>
        <w:right w:val="none" w:sz="0" w:space="0" w:color="auto"/>
      </w:divBdr>
    </w:div>
    <w:div w:id="1581210841">
      <w:bodyDiv w:val="1"/>
      <w:marLeft w:val="0"/>
      <w:marRight w:val="0"/>
      <w:marTop w:val="0"/>
      <w:marBottom w:val="0"/>
      <w:divBdr>
        <w:top w:val="none" w:sz="0" w:space="0" w:color="auto"/>
        <w:left w:val="none" w:sz="0" w:space="0" w:color="auto"/>
        <w:bottom w:val="none" w:sz="0" w:space="0" w:color="auto"/>
        <w:right w:val="none" w:sz="0" w:space="0" w:color="auto"/>
      </w:divBdr>
    </w:div>
    <w:div w:id="1614022326">
      <w:bodyDiv w:val="1"/>
      <w:marLeft w:val="0"/>
      <w:marRight w:val="0"/>
      <w:marTop w:val="0"/>
      <w:marBottom w:val="0"/>
      <w:divBdr>
        <w:top w:val="none" w:sz="0" w:space="0" w:color="auto"/>
        <w:left w:val="none" w:sz="0" w:space="0" w:color="auto"/>
        <w:bottom w:val="none" w:sz="0" w:space="0" w:color="auto"/>
        <w:right w:val="none" w:sz="0" w:space="0" w:color="auto"/>
      </w:divBdr>
    </w:div>
    <w:div w:id="1655840522">
      <w:bodyDiv w:val="1"/>
      <w:marLeft w:val="0"/>
      <w:marRight w:val="0"/>
      <w:marTop w:val="0"/>
      <w:marBottom w:val="0"/>
      <w:divBdr>
        <w:top w:val="none" w:sz="0" w:space="0" w:color="auto"/>
        <w:left w:val="none" w:sz="0" w:space="0" w:color="auto"/>
        <w:bottom w:val="none" w:sz="0" w:space="0" w:color="auto"/>
        <w:right w:val="none" w:sz="0" w:space="0" w:color="auto"/>
      </w:divBdr>
    </w:div>
    <w:div w:id="1908878825">
      <w:bodyDiv w:val="1"/>
      <w:marLeft w:val="0"/>
      <w:marRight w:val="0"/>
      <w:marTop w:val="0"/>
      <w:marBottom w:val="0"/>
      <w:divBdr>
        <w:top w:val="none" w:sz="0" w:space="0" w:color="auto"/>
        <w:left w:val="none" w:sz="0" w:space="0" w:color="auto"/>
        <w:bottom w:val="none" w:sz="0" w:space="0" w:color="auto"/>
        <w:right w:val="none" w:sz="0" w:space="0" w:color="auto"/>
      </w:divBdr>
    </w:div>
    <w:div w:id="1914773710">
      <w:bodyDiv w:val="1"/>
      <w:marLeft w:val="0"/>
      <w:marRight w:val="0"/>
      <w:marTop w:val="0"/>
      <w:marBottom w:val="0"/>
      <w:divBdr>
        <w:top w:val="none" w:sz="0" w:space="0" w:color="auto"/>
        <w:left w:val="none" w:sz="0" w:space="0" w:color="auto"/>
        <w:bottom w:val="none" w:sz="0" w:space="0" w:color="auto"/>
        <w:right w:val="none" w:sz="0" w:space="0" w:color="auto"/>
      </w:divBdr>
    </w:div>
    <w:div w:id="2054500314">
      <w:bodyDiv w:val="1"/>
      <w:marLeft w:val="0"/>
      <w:marRight w:val="0"/>
      <w:marTop w:val="0"/>
      <w:marBottom w:val="0"/>
      <w:divBdr>
        <w:top w:val="none" w:sz="0" w:space="0" w:color="auto"/>
        <w:left w:val="none" w:sz="0" w:space="0" w:color="auto"/>
        <w:bottom w:val="none" w:sz="0" w:space="0" w:color="auto"/>
        <w:right w:val="none" w:sz="0" w:space="0" w:color="auto"/>
      </w:divBdr>
    </w:div>
    <w:div w:id="214558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3311</Words>
  <Characters>21787</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2024034280_x000d_
SPC pkt. 4.8</dc:description>
  <cp:lastModifiedBy>Victoria Alexsandra Ringgaard</cp:lastModifiedBy>
  <cp:revision>3</cp:revision>
  <cp:lastPrinted>2012-08-22T08:53:00Z</cp:lastPrinted>
  <dcterms:created xsi:type="dcterms:W3CDTF">2024-11-28T13:15:00Z</dcterms:created>
  <dcterms:modified xsi:type="dcterms:W3CDTF">2024-11-28T13:17:00Z</dcterms:modified>
</cp:coreProperties>
</file>