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5B87791" wp14:editId="24D10A0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D20791">
        <w:rPr>
          <w:szCs w:val="24"/>
        </w:rPr>
        <w:t>1</w:t>
      </w:r>
      <w:r w:rsidR="00EF25D5">
        <w:rPr>
          <w:szCs w:val="24"/>
        </w:rPr>
        <w:t xml:space="preserve">. </w:t>
      </w:r>
      <w:r w:rsidR="00D20791">
        <w:rPr>
          <w:szCs w:val="24"/>
        </w:rPr>
        <w:t>juni 2023</w:t>
      </w:r>
    </w:p>
    <w:p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D20791" w:rsidRDefault="00D20791" w:rsidP="009260DE">
      <w:pPr>
        <w:jc w:val="center"/>
        <w:rPr>
          <w:b/>
          <w:sz w:val="24"/>
          <w:szCs w:val="24"/>
        </w:rPr>
      </w:pP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</w:p>
    <w:p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0B058C" w:rsidRPr="00C84483" w:rsidRDefault="000B058C" w:rsidP="009260DE">
      <w:pPr>
        <w:jc w:val="center"/>
        <w:rPr>
          <w:b/>
          <w:sz w:val="24"/>
          <w:szCs w:val="24"/>
        </w:rPr>
      </w:pPr>
    </w:p>
    <w:p w:rsidR="009260DE" w:rsidRPr="00C84483" w:rsidRDefault="00570B5C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Fenylefrin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Abcur</w:t>
      </w:r>
      <w:proofErr w:type="spellEnd"/>
      <w:r>
        <w:rPr>
          <w:b/>
          <w:sz w:val="24"/>
          <w:szCs w:val="24"/>
        </w:rPr>
        <w:t>", injektionsvæske, opløsning</w:t>
      </w: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260DE" w:rsidRPr="00C84483" w:rsidRDefault="00F961A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32452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9260DE" w:rsidRPr="00C84483" w:rsidRDefault="00F961A1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Fenylefrin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Abcur</w:t>
      </w:r>
      <w:proofErr w:type="spellEnd"/>
      <w:r>
        <w:rPr>
          <w:sz w:val="24"/>
          <w:szCs w:val="24"/>
        </w:rPr>
        <w:t>"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197ACD" w:rsidRDefault="00197ACD" w:rsidP="00197ACD">
      <w:pPr>
        <w:tabs>
          <w:tab w:val="left" w:pos="851"/>
        </w:tabs>
        <w:ind w:left="851"/>
        <w:rPr>
          <w:sz w:val="24"/>
          <w:szCs w:val="24"/>
        </w:rPr>
      </w:pPr>
      <w:r w:rsidRPr="00197ACD">
        <w:rPr>
          <w:sz w:val="24"/>
          <w:szCs w:val="24"/>
        </w:rPr>
        <w:t xml:space="preserve">1 ml injektionsvæske, opløsning, indeholder </w:t>
      </w:r>
      <w:proofErr w:type="spellStart"/>
      <w:r w:rsidRPr="00197ACD">
        <w:rPr>
          <w:sz w:val="24"/>
          <w:szCs w:val="24"/>
        </w:rPr>
        <w:t>phenylephrinhydrochlorid</w:t>
      </w:r>
      <w:proofErr w:type="spellEnd"/>
      <w:r w:rsidRPr="00197ACD">
        <w:rPr>
          <w:sz w:val="24"/>
          <w:szCs w:val="24"/>
        </w:rPr>
        <w:t xml:space="preserve"> svarende til 0,1 mg </w:t>
      </w:r>
      <w:proofErr w:type="spellStart"/>
      <w:r w:rsidRPr="00197ACD">
        <w:rPr>
          <w:sz w:val="24"/>
          <w:szCs w:val="24"/>
        </w:rPr>
        <w:t>phenylephrin</w:t>
      </w:r>
      <w:proofErr w:type="spellEnd"/>
      <w:r w:rsidRPr="00197ACD">
        <w:rPr>
          <w:sz w:val="24"/>
          <w:szCs w:val="24"/>
        </w:rPr>
        <w:t>.</w:t>
      </w:r>
    </w:p>
    <w:p w:rsidR="00E07138" w:rsidRPr="00197ACD" w:rsidRDefault="00E07138" w:rsidP="00197ACD">
      <w:pPr>
        <w:tabs>
          <w:tab w:val="left" w:pos="851"/>
        </w:tabs>
        <w:ind w:left="851"/>
        <w:rPr>
          <w:sz w:val="24"/>
          <w:szCs w:val="24"/>
        </w:rPr>
      </w:pPr>
    </w:p>
    <w:p w:rsidR="00197ACD" w:rsidRPr="00197ACD" w:rsidRDefault="00197ACD" w:rsidP="00197ACD">
      <w:pPr>
        <w:tabs>
          <w:tab w:val="left" w:pos="851"/>
        </w:tabs>
        <w:ind w:left="851"/>
        <w:rPr>
          <w:sz w:val="24"/>
          <w:szCs w:val="24"/>
        </w:rPr>
      </w:pPr>
      <w:r w:rsidRPr="00197ACD">
        <w:rPr>
          <w:sz w:val="24"/>
          <w:szCs w:val="24"/>
        </w:rPr>
        <w:t xml:space="preserve">1 ampul på 5 ml indeholder </w:t>
      </w:r>
      <w:proofErr w:type="spellStart"/>
      <w:r w:rsidRPr="00197ACD">
        <w:rPr>
          <w:sz w:val="24"/>
          <w:szCs w:val="24"/>
        </w:rPr>
        <w:t>phenylephrinhydrochlorid</w:t>
      </w:r>
      <w:proofErr w:type="spellEnd"/>
      <w:r w:rsidRPr="00197ACD">
        <w:rPr>
          <w:sz w:val="24"/>
          <w:szCs w:val="24"/>
        </w:rPr>
        <w:t xml:space="preserve"> svarende til 0,5 mg </w:t>
      </w:r>
      <w:proofErr w:type="spellStart"/>
      <w:r w:rsidRPr="00197ACD">
        <w:rPr>
          <w:sz w:val="24"/>
          <w:szCs w:val="24"/>
        </w:rPr>
        <w:t>phenylephrin</w:t>
      </w:r>
      <w:proofErr w:type="spellEnd"/>
      <w:r w:rsidRPr="00197ACD">
        <w:rPr>
          <w:sz w:val="24"/>
          <w:szCs w:val="24"/>
        </w:rPr>
        <w:t>.</w:t>
      </w:r>
    </w:p>
    <w:p w:rsidR="00197ACD" w:rsidRPr="00197ACD" w:rsidRDefault="00197ACD" w:rsidP="00197ACD">
      <w:pPr>
        <w:tabs>
          <w:tab w:val="left" w:pos="851"/>
        </w:tabs>
        <w:ind w:left="851"/>
        <w:rPr>
          <w:sz w:val="24"/>
          <w:szCs w:val="24"/>
        </w:rPr>
      </w:pPr>
      <w:r w:rsidRPr="00197ACD">
        <w:rPr>
          <w:sz w:val="24"/>
          <w:szCs w:val="24"/>
        </w:rPr>
        <w:t xml:space="preserve">1 ampul på 10 ml indeholder </w:t>
      </w:r>
      <w:proofErr w:type="spellStart"/>
      <w:r w:rsidRPr="00197ACD">
        <w:rPr>
          <w:sz w:val="24"/>
          <w:szCs w:val="24"/>
        </w:rPr>
        <w:t>phenylephrinhydrochlorid</w:t>
      </w:r>
      <w:proofErr w:type="spellEnd"/>
      <w:r w:rsidRPr="00197ACD">
        <w:rPr>
          <w:sz w:val="24"/>
          <w:szCs w:val="24"/>
        </w:rPr>
        <w:t xml:space="preserve"> svarende til 1,0 mg </w:t>
      </w:r>
      <w:proofErr w:type="spellStart"/>
      <w:r w:rsidRPr="00197ACD">
        <w:rPr>
          <w:sz w:val="24"/>
          <w:szCs w:val="24"/>
        </w:rPr>
        <w:t>phenylephrin</w:t>
      </w:r>
      <w:proofErr w:type="spellEnd"/>
      <w:r w:rsidRPr="00197ACD">
        <w:rPr>
          <w:sz w:val="24"/>
          <w:szCs w:val="24"/>
        </w:rPr>
        <w:t>.</w:t>
      </w:r>
    </w:p>
    <w:p w:rsidR="00197ACD" w:rsidRPr="00197ACD" w:rsidRDefault="00197ACD" w:rsidP="00197ACD">
      <w:pPr>
        <w:tabs>
          <w:tab w:val="left" w:pos="851"/>
        </w:tabs>
        <w:ind w:left="851"/>
        <w:rPr>
          <w:sz w:val="24"/>
          <w:szCs w:val="24"/>
        </w:rPr>
      </w:pPr>
      <w:r w:rsidRPr="00197ACD">
        <w:rPr>
          <w:sz w:val="24"/>
          <w:szCs w:val="24"/>
        </w:rPr>
        <w:t xml:space="preserve">1 ampul på 20 ml indeholder </w:t>
      </w:r>
      <w:proofErr w:type="spellStart"/>
      <w:r w:rsidRPr="00197ACD">
        <w:rPr>
          <w:sz w:val="24"/>
          <w:szCs w:val="24"/>
        </w:rPr>
        <w:t>phenylephrinhydrochlorid</w:t>
      </w:r>
      <w:proofErr w:type="spellEnd"/>
      <w:r w:rsidRPr="00197ACD">
        <w:rPr>
          <w:sz w:val="24"/>
          <w:szCs w:val="24"/>
        </w:rPr>
        <w:t xml:space="preserve"> svarende til 2,0 mg </w:t>
      </w:r>
      <w:proofErr w:type="spellStart"/>
      <w:r w:rsidRPr="00197ACD">
        <w:rPr>
          <w:sz w:val="24"/>
          <w:szCs w:val="24"/>
        </w:rPr>
        <w:t>phenylephrin</w:t>
      </w:r>
      <w:proofErr w:type="spellEnd"/>
      <w:r w:rsidRPr="00197ACD">
        <w:rPr>
          <w:sz w:val="24"/>
          <w:szCs w:val="24"/>
        </w:rPr>
        <w:t>.</w:t>
      </w:r>
    </w:p>
    <w:p w:rsidR="00197ACD" w:rsidRPr="00197ACD" w:rsidRDefault="00197ACD" w:rsidP="00197ACD">
      <w:pPr>
        <w:tabs>
          <w:tab w:val="left" w:pos="851"/>
        </w:tabs>
        <w:ind w:left="851"/>
        <w:rPr>
          <w:sz w:val="24"/>
          <w:szCs w:val="24"/>
        </w:rPr>
      </w:pPr>
      <w:r w:rsidRPr="00197ACD">
        <w:rPr>
          <w:sz w:val="24"/>
          <w:szCs w:val="24"/>
        </w:rPr>
        <w:t xml:space="preserve">1 hætteglas på 50 ml indeholder </w:t>
      </w:r>
      <w:proofErr w:type="spellStart"/>
      <w:r w:rsidRPr="00197ACD">
        <w:rPr>
          <w:sz w:val="24"/>
          <w:szCs w:val="24"/>
        </w:rPr>
        <w:t>phenylephrinhydrochlorid</w:t>
      </w:r>
      <w:proofErr w:type="spellEnd"/>
      <w:r w:rsidRPr="00197ACD">
        <w:rPr>
          <w:sz w:val="24"/>
          <w:szCs w:val="24"/>
        </w:rPr>
        <w:t xml:space="preserve"> svarende til 5,0 mg </w:t>
      </w:r>
      <w:proofErr w:type="spellStart"/>
      <w:r w:rsidRPr="00197ACD">
        <w:rPr>
          <w:sz w:val="24"/>
          <w:szCs w:val="24"/>
        </w:rPr>
        <w:t>phenyl</w:t>
      </w:r>
      <w:r w:rsidR="00E07138">
        <w:rPr>
          <w:sz w:val="24"/>
          <w:szCs w:val="24"/>
        </w:rPr>
        <w:t>-</w:t>
      </w:r>
      <w:r w:rsidRPr="00197ACD">
        <w:rPr>
          <w:sz w:val="24"/>
          <w:szCs w:val="24"/>
        </w:rPr>
        <w:t>ephrin</w:t>
      </w:r>
      <w:proofErr w:type="spellEnd"/>
      <w:r w:rsidRPr="00197ACD">
        <w:rPr>
          <w:sz w:val="24"/>
          <w:szCs w:val="24"/>
        </w:rPr>
        <w:t>.</w:t>
      </w:r>
    </w:p>
    <w:p w:rsidR="00197ACD" w:rsidRPr="00197ACD" w:rsidRDefault="00197ACD" w:rsidP="00197ACD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</w:p>
    <w:p w:rsidR="00197ACD" w:rsidRPr="00E07138" w:rsidRDefault="00197ACD" w:rsidP="00197AC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07138">
        <w:rPr>
          <w:sz w:val="24"/>
          <w:szCs w:val="24"/>
          <w:u w:val="single"/>
        </w:rPr>
        <w:t>Hjælpestoffer, som behandleren skal være opmærksom på</w:t>
      </w:r>
    </w:p>
    <w:p w:rsidR="00197ACD" w:rsidRPr="00197ACD" w:rsidRDefault="00197ACD" w:rsidP="00197ACD">
      <w:pPr>
        <w:tabs>
          <w:tab w:val="left" w:pos="851"/>
        </w:tabs>
        <w:ind w:left="851"/>
        <w:rPr>
          <w:sz w:val="24"/>
          <w:szCs w:val="24"/>
        </w:rPr>
      </w:pPr>
      <w:r w:rsidRPr="00197ACD">
        <w:rPr>
          <w:sz w:val="24"/>
          <w:szCs w:val="24"/>
        </w:rPr>
        <w:t>1 hætteglas på 50 ml indeholder 8 mmol (185 mg) natrium.</w:t>
      </w:r>
    </w:p>
    <w:p w:rsidR="00197ACD" w:rsidRPr="00197ACD" w:rsidRDefault="00197ACD" w:rsidP="00197ACD">
      <w:pPr>
        <w:tabs>
          <w:tab w:val="left" w:pos="851"/>
        </w:tabs>
        <w:ind w:left="851"/>
        <w:rPr>
          <w:sz w:val="24"/>
          <w:szCs w:val="24"/>
        </w:rPr>
      </w:pPr>
      <w:r w:rsidRPr="00197ACD">
        <w:rPr>
          <w:sz w:val="24"/>
          <w:szCs w:val="24"/>
        </w:rPr>
        <w:t>1 ampul på 20 ml indeholder 3,2 mmol (74 mg) natrium.</w:t>
      </w:r>
    </w:p>
    <w:p w:rsidR="00197ACD" w:rsidRPr="00197ACD" w:rsidRDefault="00197ACD" w:rsidP="00197ACD">
      <w:pPr>
        <w:tabs>
          <w:tab w:val="left" w:pos="851"/>
        </w:tabs>
        <w:ind w:left="851"/>
        <w:rPr>
          <w:sz w:val="24"/>
          <w:szCs w:val="24"/>
        </w:rPr>
      </w:pPr>
      <w:r w:rsidRPr="00197ACD">
        <w:rPr>
          <w:sz w:val="24"/>
          <w:szCs w:val="24"/>
        </w:rPr>
        <w:t>1 ampul på 10 ml indeholder 1,6 mmol (37 mg) natrium.</w:t>
      </w:r>
    </w:p>
    <w:p w:rsidR="00197ACD" w:rsidRPr="00197ACD" w:rsidRDefault="00197ACD" w:rsidP="00197ACD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197ACD">
        <w:rPr>
          <w:sz w:val="24"/>
          <w:szCs w:val="24"/>
        </w:rPr>
        <w:t xml:space="preserve">1 ampul på 5 ml indeholder 0,8 mmol (18,5 mg) natrium. </w:t>
      </w:r>
    </w:p>
    <w:p w:rsidR="00197ACD" w:rsidRPr="00197ACD" w:rsidRDefault="00197ACD" w:rsidP="00197ACD">
      <w:pPr>
        <w:tabs>
          <w:tab w:val="left" w:pos="851"/>
        </w:tabs>
        <w:ind w:left="851"/>
        <w:rPr>
          <w:sz w:val="24"/>
          <w:szCs w:val="24"/>
        </w:rPr>
      </w:pPr>
      <w:r w:rsidRPr="00197ACD">
        <w:rPr>
          <w:sz w:val="24"/>
          <w:szCs w:val="24"/>
        </w:rPr>
        <w:t>Alle hjælpestoffer er anført under pkt. 6.1.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B43E1B" w:rsidRPr="00B43E1B" w:rsidRDefault="00B43E1B" w:rsidP="00B43E1B">
      <w:pPr>
        <w:tabs>
          <w:tab w:val="left" w:pos="851"/>
        </w:tabs>
        <w:ind w:left="851"/>
        <w:rPr>
          <w:sz w:val="24"/>
          <w:szCs w:val="24"/>
        </w:rPr>
      </w:pPr>
      <w:r w:rsidRPr="00B43E1B">
        <w:rPr>
          <w:sz w:val="24"/>
          <w:szCs w:val="24"/>
        </w:rPr>
        <w:t>Injektionsvæske, opløsning</w:t>
      </w:r>
    </w:p>
    <w:p w:rsidR="00B43E1B" w:rsidRPr="00B43E1B" w:rsidRDefault="00B43E1B" w:rsidP="00B43E1B">
      <w:pPr>
        <w:tabs>
          <w:tab w:val="left" w:pos="851"/>
        </w:tabs>
        <w:ind w:left="851"/>
        <w:rPr>
          <w:sz w:val="24"/>
          <w:szCs w:val="24"/>
        </w:rPr>
      </w:pPr>
    </w:p>
    <w:p w:rsidR="00B43E1B" w:rsidRPr="00B43E1B" w:rsidRDefault="00B43E1B" w:rsidP="00B43E1B">
      <w:pPr>
        <w:tabs>
          <w:tab w:val="left" w:pos="851"/>
        </w:tabs>
        <w:ind w:left="851"/>
        <w:rPr>
          <w:sz w:val="24"/>
          <w:szCs w:val="24"/>
        </w:rPr>
      </w:pPr>
      <w:r w:rsidRPr="00B43E1B">
        <w:rPr>
          <w:sz w:val="24"/>
          <w:szCs w:val="24"/>
        </w:rPr>
        <w:t>Udseende: Klar, farveløs opløsning.</w:t>
      </w:r>
    </w:p>
    <w:p w:rsidR="00B43E1B" w:rsidRPr="00B43E1B" w:rsidRDefault="00B43E1B" w:rsidP="00B43E1B">
      <w:pPr>
        <w:tabs>
          <w:tab w:val="left" w:pos="851"/>
        </w:tabs>
        <w:ind w:left="851"/>
        <w:rPr>
          <w:sz w:val="24"/>
          <w:szCs w:val="24"/>
        </w:rPr>
      </w:pPr>
      <w:r w:rsidRPr="00B43E1B">
        <w:rPr>
          <w:sz w:val="24"/>
          <w:szCs w:val="24"/>
        </w:rPr>
        <w:t>pH: 4,5-6,5</w:t>
      </w:r>
      <w:r>
        <w:rPr>
          <w:sz w:val="24"/>
          <w:szCs w:val="24"/>
        </w:rPr>
        <w:t>.</w:t>
      </w:r>
    </w:p>
    <w:p w:rsidR="00B43E1B" w:rsidRPr="00B43E1B" w:rsidRDefault="00B43E1B" w:rsidP="00B43E1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43E1B">
        <w:rPr>
          <w:sz w:val="24"/>
          <w:szCs w:val="24"/>
        </w:rPr>
        <w:t>Osmolalitet</w:t>
      </w:r>
      <w:proofErr w:type="spellEnd"/>
      <w:r w:rsidRPr="00B43E1B">
        <w:rPr>
          <w:sz w:val="24"/>
          <w:szCs w:val="24"/>
        </w:rPr>
        <w:t xml:space="preserve">: 280-320 </w:t>
      </w:r>
      <w:proofErr w:type="spellStart"/>
      <w:r w:rsidRPr="00B43E1B">
        <w:rPr>
          <w:sz w:val="24"/>
          <w:szCs w:val="24"/>
        </w:rPr>
        <w:t>mOsm</w:t>
      </w:r>
      <w:proofErr w:type="spellEnd"/>
      <w:r w:rsidRPr="00B43E1B">
        <w:rPr>
          <w:sz w:val="24"/>
          <w:szCs w:val="24"/>
        </w:rPr>
        <w:t>/kg</w:t>
      </w:r>
      <w:r>
        <w:rPr>
          <w:sz w:val="24"/>
          <w:szCs w:val="24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F077D6" w:rsidRPr="00F077D6" w:rsidRDefault="00F077D6" w:rsidP="00F077D6">
      <w:pPr>
        <w:tabs>
          <w:tab w:val="left" w:pos="851"/>
        </w:tabs>
        <w:ind w:left="851"/>
        <w:rPr>
          <w:sz w:val="24"/>
          <w:szCs w:val="24"/>
        </w:rPr>
      </w:pPr>
      <w:r w:rsidRPr="00F077D6">
        <w:rPr>
          <w:sz w:val="24"/>
          <w:szCs w:val="24"/>
        </w:rPr>
        <w:t xml:space="preserve">Behandling af hypotension under generel anæstesi.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A05B3D">
        <w:rPr>
          <w:b/>
          <w:sz w:val="24"/>
          <w:szCs w:val="24"/>
        </w:rPr>
        <w:t>administration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A05B3D" w:rsidRPr="00A05B3D" w:rsidRDefault="00A05B3D" w:rsidP="00A05B3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05B3D">
        <w:rPr>
          <w:sz w:val="24"/>
          <w:szCs w:val="24"/>
          <w:u w:val="single"/>
        </w:rPr>
        <w:t>Dosering</w:t>
      </w:r>
    </w:p>
    <w:p w:rsidR="00A05B3D" w:rsidRDefault="00A05B3D" w:rsidP="00A05B3D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A05B3D" w:rsidRPr="00A05B3D" w:rsidRDefault="00A05B3D" w:rsidP="00A05B3D">
      <w:pPr>
        <w:tabs>
          <w:tab w:val="left" w:pos="851"/>
        </w:tabs>
        <w:ind w:left="851"/>
        <w:rPr>
          <w:i/>
          <w:sz w:val="24"/>
          <w:szCs w:val="24"/>
        </w:rPr>
      </w:pPr>
      <w:r w:rsidRPr="00A05B3D">
        <w:rPr>
          <w:i/>
          <w:sz w:val="24"/>
          <w:szCs w:val="24"/>
        </w:rPr>
        <w:t>Voksne</w:t>
      </w:r>
    </w:p>
    <w:p w:rsidR="00A05B3D" w:rsidRDefault="00A05B3D" w:rsidP="00A05B3D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i/>
          <w:sz w:val="24"/>
          <w:szCs w:val="24"/>
        </w:rPr>
        <w:t xml:space="preserve">Intravenøs </w:t>
      </w:r>
      <w:proofErr w:type="spellStart"/>
      <w:r>
        <w:rPr>
          <w:i/>
          <w:sz w:val="24"/>
          <w:szCs w:val="24"/>
        </w:rPr>
        <w:t>bolusinjektion</w:t>
      </w:r>
      <w:proofErr w:type="spellEnd"/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sædvanlige dosis er 50 mikrogram, som kan gentages, indtil ønsket effekt er opnået. I tilfælde af svær hypotension kan doserne øges uden at de overstiger 100 mikrogram i en </w:t>
      </w:r>
      <w:proofErr w:type="spellStart"/>
      <w:r>
        <w:rPr>
          <w:sz w:val="24"/>
          <w:szCs w:val="24"/>
        </w:rPr>
        <w:t>bolusdosis</w:t>
      </w:r>
      <w:proofErr w:type="spellEnd"/>
      <w:r>
        <w:rPr>
          <w:sz w:val="24"/>
          <w:szCs w:val="24"/>
        </w:rPr>
        <w:t>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Kontinuerlig intravenøs infusion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indledende dosishastighed er 25 til 50 mikrogram/min. Dosis kan øges eller nedsættes, så det systoliske blodtryk holdes nær baselineværdierne Dosishastigheder mellem 25 og 100 mikrogram/min er fundet effektive. </w:t>
      </w:r>
    </w:p>
    <w:p w:rsidR="00A05B3D" w:rsidRDefault="00A05B3D" w:rsidP="00A05B3D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A05B3D" w:rsidRPr="00A05B3D" w:rsidRDefault="00A05B3D" w:rsidP="00A05B3D">
      <w:pPr>
        <w:tabs>
          <w:tab w:val="left" w:pos="851"/>
        </w:tabs>
        <w:ind w:left="851"/>
        <w:rPr>
          <w:i/>
          <w:sz w:val="24"/>
          <w:szCs w:val="24"/>
        </w:rPr>
      </w:pPr>
      <w:r w:rsidRPr="00A05B3D">
        <w:rPr>
          <w:i/>
          <w:sz w:val="24"/>
          <w:szCs w:val="24"/>
        </w:rPr>
        <w:t>Nedsat nyrefunktion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 med nedsat nyrefunktion kan det være nødvendigt at nedsætte dosis af </w:t>
      </w: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>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Pr="00A05B3D" w:rsidRDefault="00A05B3D" w:rsidP="00A05B3D">
      <w:pPr>
        <w:tabs>
          <w:tab w:val="left" w:pos="851"/>
        </w:tabs>
        <w:ind w:left="851"/>
        <w:rPr>
          <w:i/>
          <w:sz w:val="24"/>
          <w:szCs w:val="24"/>
        </w:rPr>
      </w:pPr>
      <w:r w:rsidRPr="00A05B3D">
        <w:rPr>
          <w:i/>
          <w:sz w:val="24"/>
          <w:szCs w:val="24"/>
        </w:rPr>
        <w:t>Nedsat leverfunktion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 med levercirrose kan det være nødvendigt med højere dosis af </w:t>
      </w: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>.</w:t>
      </w:r>
    </w:p>
    <w:p w:rsidR="00A05B3D" w:rsidRDefault="00A05B3D" w:rsidP="00A05B3D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A05B3D" w:rsidRPr="00A05B3D" w:rsidRDefault="00A05B3D" w:rsidP="00A05B3D">
      <w:pPr>
        <w:tabs>
          <w:tab w:val="left" w:pos="851"/>
        </w:tabs>
        <w:ind w:left="851"/>
        <w:rPr>
          <w:i/>
          <w:sz w:val="24"/>
          <w:szCs w:val="24"/>
        </w:rPr>
      </w:pPr>
      <w:r w:rsidRPr="00A05B3D">
        <w:rPr>
          <w:i/>
          <w:sz w:val="24"/>
          <w:szCs w:val="24"/>
        </w:rPr>
        <w:t>Ældre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Forsigtighed bør udvises ved behandling af ældre. 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Pr="00A05B3D" w:rsidRDefault="00A05B3D" w:rsidP="00A05B3D">
      <w:pPr>
        <w:tabs>
          <w:tab w:val="left" w:pos="851"/>
          <w:tab w:val="left" w:pos="3525"/>
        </w:tabs>
        <w:ind w:left="851"/>
        <w:rPr>
          <w:i/>
          <w:iCs/>
          <w:sz w:val="24"/>
          <w:szCs w:val="24"/>
        </w:rPr>
      </w:pPr>
      <w:r w:rsidRPr="00A05B3D">
        <w:rPr>
          <w:i/>
          <w:iCs/>
          <w:sz w:val="24"/>
          <w:szCs w:val="24"/>
        </w:rPr>
        <w:t>Pædiatrisk population</w:t>
      </w:r>
    </w:p>
    <w:p w:rsidR="00A05B3D" w:rsidRDefault="00A05B3D" w:rsidP="00A05B3D">
      <w:pPr>
        <w:ind w:left="851"/>
        <w:rPr>
          <w:szCs w:val="22"/>
        </w:rPr>
      </w:pPr>
      <w:proofErr w:type="spellStart"/>
      <w:r>
        <w:rPr>
          <w:sz w:val="24"/>
          <w:szCs w:val="24"/>
        </w:rPr>
        <w:t>Phenylephrins</w:t>
      </w:r>
      <w:proofErr w:type="spellEnd"/>
      <w:r>
        <w:rPr>
          <w:sz w:val="24"/>
          <w:szCs w:val="24"/>
        </w:rPr>
        <w:t xml:space="preserve"> </w:t>
      </w:r>
      <w:r>
        <w:rPr>
          <w:szCs w:val="22"/>
        </w:rPr>
        <w:t>sikkerhed og virkning hos børn er ikke klarlagt. Der foreligger ingen data.</w:t>
      </w:r>
    </w:p>
    <w:p w:rsidR="00A05B3D" w:rsidRDefault="00A05B3D" w:rsidP="00A05B3D">
      <w:pPr>
        <w:tabs>
          <w:tab w:val="left" w:pos="851"/>
          <w:tab w:val="left" w:pos="3525"/>
        </w:tabs>
        <w:ind w:left="851"/>
        <w:rPr>
          <w:sz w:val="24"/>
          <w:szCs w:val="24"/>
        </w:rPr>
      </w:pPr>
    </w:p>
    <w:p w:rsidR="00A05B3D" w:rsidRDefault="00A05B3D" w:rsidP="00A05B3D">
      <w:pPr>
        <w:suppressAutoHyphens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Administration</w:t>
      </w:r>
    </w:p>
    <w:p w:rsidR="00A05B3D" w:rsidRDefault="00A05B3D" w:rsidP="00A05B3D">
      <w:pPr>
        <w:pStyle w:val="AmmCorpsTexte"/>
        <w:spacing w:after="0"/>
        <w:ind w:left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Parenteral administration. </w:t>
      </w:r>
      <w:r>
        <w:rPr>
          <w:rFonts w:ascii="Times New Roman" w:hAnsi="Times New Roman"/>
          <w:color w:val="000000"/>
          <w:sz w:val="24"/>
          <w:szCs w:val="24"/>
        </w:rPr>
        <w:t xml:space="preserve">Intravenøs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bolusinjektion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eller intravenøs infusion.</w:t>
      </w:r>
    </w:p>
    <w:p w:rsidR="00A05B3D" w:rsidRDefault="00A05B3D" w:rsidP="00A05B3D">
      <w:pPr>
        <w:pStyle w:val="AmmCorpsTexte"/>
        <w:spacing w:after="0"/>
        <w:ind w:left="851"/>
        <w:rPr>
          <w:rFonts w:ascii="Times New Roman" w:hAnsi="Times New Roman"/>
          <w:snapToGrid w:val="0"/>
          <w:sz w:val="24"/>
          <w:szCs w:val="24"/>
        </w:rPr>
      </w:pPr>
    </w:p>
    <w:p w:rsidR="00A05B3D" w:rsidRDefault="00A05B3D" w:rsidP="00A05B3D">
      <w:pPr>
        <w:ind w:left="851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Fenylefrin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color w:val="000000"/>
          <w:sz w:val="24"/>
          <w:szCs w:val="24"/>
        </w:rPr>
        <w:t>Abcur</w:t>
      </w:r>
      <w:proofErr w:type="spellEnd"/>
      <w:r>
        <w:rPr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bør kun administreres af sundhedspersonale</w:t>
      </w:r>
      <w:r>
        <w:rPr>
          <w:snapToGrid w:val="0"/>
          <w:sz w:val="24"/>
          <w:szCs w:val="24"/>
        </w:rPr>
        <w:t xml:space="preserve"> med tilstrækkelig uddannelse og erfaring, der er relevant for sikker brug af </w:t>
      </w:r>
      <w:proofErr w:type="spellStart"/>
      <w:r>
        <w:rPr>
          <w:snapToGrid w:val="0"/>
          <w:sz w:val="24"/>
          <w:szCs w:val="24"/>
        </w:rPr>
        <w:t>phenylephrin</w:t>
      </w:r>
      <w:proofErr w:type="spellEnd"/>
      <w:r>
        <w:rPr>
          <w:snapToGrid w:val="0"/>
          <w:sz w:val="24"/>
          <w:szCs w:val="24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Overfølsomhed over for det aktive stof eller over for et eller flere af hjælpestofferne anført i pkt. 6.1.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 xml:space="preserve"> må ikke anvendes til patienter med svær hypertension eller perifer kredsløbssygdom. Dette kan medføre iskæmi med risiko for gangræn eller </w:t>
      </w:r>
      <w:proofErr w:type="spellStart"/>
      <w:r>
        <w:rPr>
          <w:sz w:val="24"/>
          <w:szCs w:val="24"/>
        </w:rPr>
        <w:t>vaskulær</w:t>
      </w:r>
      <w:proofErr w:type="spellEnd"/>
      <w:r>
        <w:rPr>
          <w:sz w:val="24"/>
          <w:szCs w:val="24"/>
        </w:rPr>
        <w:t xml:space="preserve"> trombose.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 xml:space="preserve"> må ikke anvendes til patienter med svær </w:t>
      </w:r>
      <w:proofErr w:type="spellStart"/>
      <w:r>
        <w:rPr>
          <w:sz w:val="24"/>
          <w:szCs w:val="24"/>
        </w:rPr>
        <w:t>hyperthyroidisme</w:t>
      </w:r>
      <w:proofErr w:type="spellEnd"/>
      <w:r>
        <w:rPr>
          <w:sz w:val="24"/>
          <w:szCs w:val="24"/>
        </w:rPr>
        <w:t>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kombination med indirekte </w:t>
      </w:r>
      <w:proofErr w:type="spellStart"/>
      <w:r>
        <w:rPr>
          <w:bCs/>
          <w:sz w:val="24"/>
          <w:szCs w:val="24"/>
        </w:rPr>
        <w:t>sympatomimetika</w:t>
      </w:r>
      <w:proofErr w:type="spell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efedrin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methylphenidat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pseudoefedrin</w:t>
      </w:r>
      <w:proofErr w:type="spellEnd"/>
      <w:r>
        <w:rPr>
          <w:bCs/>
          <w:sz w:val="24"/>
          <w:szCs w:val="24"/>
        </w:rPr>
        <w:t xml:space="preserve">): </w:t>
      </w:r>
      <w:r>
        <w:rPr>
          <w:sz w:val="24"/>
          <w:szCs w:val="24"/>
        </w:rPr>
        <w:t xml:space="preserve">Risiko for </w:t>
      </w:r>
      <w:proofErr w:type="spellStart"/>
      <w:r>
        <w:rPr>
          <w:sz w:val="24"/>
          <w:szCs w:val="24"/>
        </w:rPr>
        <w:t>vasokonstriktion</w:t>
      </w:r>
      <w:proofErr w:type="spellEnd"/>
      <w:r>
        <w:rPr>
          <w:sz w:val="24"/>
          <w:szCs w:val="24"/>
        </w:rPr>
        <w:t xml:space="preserve"> og / eller </w:t>
      </w:r>
      <w:proofErr w:type="spellStart"/>
      <w:r>
        <w:rPr>
          <w:sz w:val="24"/>
          <w:szCs w:val="24"/>
        </w:rPr>
        <w:t>hypertensiv</w:t>
      </w:r>
      <w:proofErr w:type="spellEnd"/>
      <w:r>
        <w:rPr>
          <w:sz w:val="24"/>
          <w:szCs w:val="24"/>
        </w:rPr>
        <w:t xml:space="preserve"> krise.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kombination med alfa-</w:t>
      </w:r>
      <w:proofErr w:type="spellStart"/>
      <w:r>
        <w:rPr>
          <w:sz w:val="24"/>
          <w:szCs w:val="24"/>
        </w:rPr>
        <w:t>sympatomimetika</w:t>
      </w:r>
      <w:proofErr w:type="spellEnd"/>
      <w:r>
        <w:rPr>
          <w:sz w:val="24"/>
          <w:szCs w:val="24"/>
        </w:rPr>
        <w:t xml:space="preserve"> (til oral og/eller nasal anvendelse) (</w:t>
      </w:r>
      <w:proofErr w:type="spellStart"/>
      <w:r>
        <w:rPr>
          <w:sz w:val="24"/>
          <w:szCs w:val="24"/>
        </w:rPr>
        <w:t>etilefrin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midodrin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naphazolin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oxymetazolin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synephrin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tetryzolin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tuaminoheptan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tymazolin</w:t>
      </w:r>
      <w:proofErr w:type="spellEnd"/>
      <w:r>
        <w:rPr>
          <w:sz w:val="24"/>
          <w:szCs w:val="24"/>
        </w:rPr>
        <w:t>):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Risiko for </w:t>
      </w:r>
      <w:proofErr w:type="spellStart"/>
      <w:r>
        <w:rPr>
          <w:sz w:val="24"/>
          <w:szCs w:val="24"/>
        </w:rPr>
        <w:t>vasokonstriktion</w:t>
      </w:r>
      <w:proofErr w:type="spellEnd"/>
      <w:r>
        <w:rPr>
          <w:sz w:val="24"/>
          <w:szCs w:val="24"/>
        </w:rPr>
        <w:t xml:space="preserve"> og eller </w:t>
      </w:r>
      <w:proofErr w:type="spellStart"/>
      <w:r>
        <w:rPr>
          <w:sz w:val="24"/>
          <w:szCs w:val="24"/>
        </w:rPr>
        <w:t>hypertensiv</w:t>
      </w:r>
      <w:proofErr w:type="spellEnd"/>
      <w:r>
        <w:rPr>
          <w:sz w:val="24"/>
          <w:szCs w:val="24"/>
        </w:rPr>
        <w:t xml:space="preserve"> krise.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kombination med non-selektive </w:t>
      </w:r>
      <w:proofErr w:type="spellStart"/>
      <w:r>
        <w:rPr>
          <w:sz w:val="24"/>
          <w:szCs w:val="24"/>
        </w:rPr>
        <w:t>monoaminooxidasehæmmere</w:t>
      </w:r>
      <w:proofErr w:type="spellEnd"/>
      <w:r>
        <w:rPr>
          <w:sz w:val="24"/>
          <w:szCs w:val="24"/>
        </w:rPr>
        <w:t xml:space="preserve"> (MAO-</w:t>
      </w:r>
      <w:proofErr w:type="spellStart"/>
      <w:r>
        <w:rPr>
          <w:sz w:val="24"/>
          <w:szCs w:val="24"/>
        </w:rPr>
        <w:t>hæmmere</w:t>
      </w:r>
      <w:proofErr w:type="spellEnd"/>
      <w:r>
        <w:rPr>
          <w:sz w:val="24"/>
          <w:szCs w:val="24"/>
        </w:rPr>
        <w:t xml:space="preserve">) eller inden for 2 uger efter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disse: Risiko for </w:t>
      </w:r>
      <w:proofErr w:type="spellStart"/>
      <w:r>
        <w:rPr>
          <w:sz w:val="24"/>
          <w:szCs w:val="24"/>
        </w:rPr>
        <w:t>hypertensiv</w:t>
      </w:r>
      <w:proofErr w:type="spellEnd"/>
      <w:r>
        <w:rPr>
          <w:sz w:val="24"/>
          <w:szCs w:val="24"/>
        </w:rPr>
        <w:t xml:space="preserve"> krise eller potentiel fatal </w:t>
      </w:r>
      <w:proofErr w:type="spellStart"/>
      <w:r>
        <w:rPr>
          <w:sz w:val="24"/>
          <w:szCs w:val="24"/>
        </w:rPr>
        <w:t>hypertermi</w:t>
      </w:r>
      <w:proofErr w:type="spellEnd"/>
      <w:r>
        <w:rPr>
          <w:sz w:val="24"/>
          <w:szCs w:val="24"/>
        </w:rPr>
        <w:t xml:space="preserve"> (se pkt. 4.5).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Det arterielle blodtryk skal overvåges under behandlingen.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 xml:space="preserve"> skal administreres med særlig forsigtighed til patienter med:</w:t>
      </w:r>
    </w:p>
    <w:p w:rsidR="00A05B3D" w:rsidRDefault="00A05B3D" w:rsidP="00A05B3D">
      <w:pPr>
        <w:numPr>
          <w:ilvl w:val="0"/>
          <w:numId w:val="8"/>
        </w:numPr>
        <w:tabs>
          <w:tab w:val="clear" w:pos="360"/>
          <w:tab w:val="left" w:pos="1134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>diabetes</w:t>
      </w:r>
    </w:p>
    <w:p w:rsidR="00A05B3D" w:rsidRDefault="00A05B3D" w:rsidP="00A05B3D">
      <w:pPr>
        <w:numPr>
          <w:ilvl w:val="0"/>
          <w:numId w:val="8"/>
        </w:numPr>
        <w:tabs>
          <w:tab w:val="clear" w:pos="360"/>
          <w:tab w:val="left" w:pos="1134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>arteriel hypertension</w:t>
      </w:r>
    </w:p>
    <w:p w:rsidR="00A05B3D" w:rsidRDefault="00A05B3D" w:rsidP="00A05B3D">
      <w:pPr>
        <w:numPr>
          <w:ilvl w:val="0"/>
          <w:numId w:val="8"/>
        </w:numPr>
        <w:tabs>
          <w:tab w:val="clear" w:pos="360"/>
          <w:tab w:val="left" w:pos="1134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 xml:space="preserve">ukontrolleret </w:t>
      </w:r>
      <w:proofErr w:type="spellStart"/>
      <w:r>
        <w:rPr>
          <w:sz w:val="24"/>
          <w:szCs w:val="24"/>
        </w:rPr>
        <w:t>hypertyreose</w:t>
      </w:r>
      <w:proofErr w:type="spellEnd"/>
    </w:p>
    <w:p w:rsidR="00A05B3D" w:rsidRDefault="00A05B3D" w:rsidP="00A05B3D">
      <w:pPr>
        <w:numPr>
          <w:ilvl w:val="0"/>
          <w:numId w:val="8"/>
        </w:numPr>
        <w:tabs>
          <w:tab w:val="clear" w:pos="360"/>
          <w:tab w:val="left" w:pos="1134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>koronararteriesygdom og kroniske hjertelidelser</w:t>
      </w:r>
    </w:p>
    <w:p w:rsidR="00A05B3D" w:rsidRDefault="00A05B3D" w:rsidP="00A05B3D">
      <w:pPr>
        <w:numPr>
          <w:ilvl w:val="0"/>
          <w:numId w:val="8"/>
        </w:numPr>
        <w:tabs>
          <w:tab w:val="clear" w:pos="360"/>
          <w:tab w:val="left" w:pos="1134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>bradykardi</w:t>
      </w:r>
    </w:p>
    <w:p w:rsidR="00A05B3D" w:rsidRDefault="00A05B3D" w:rsidP="00A05B3D">
      <w:pPr>
        <w:numPr>
          <w:ilvl w:val="0"/>
          <w:numId w:val="8"/>
        </w:numPr>
        <w:tabs>
          <w:tab w:val="clear" w:pos="360"/>
          <w:tab w:val="left" w:pos="1134"/>
        </w:tabs>
        <w:ind w:left="851" w:firstLine="0"/>
        <w:rPr>
          <w:sz w:val="24"/>
          <w:szCs w:val="24"/>
        </w:rPr>
      </w:pPr>
      <w:r>
        <w:rPr>
          <w:sz w:val="24"/>
          <w:szCs w:val="24"/>
        </w:rPr>
        <w:t>partielt hjerteblok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 xml:space="preserve"> kan medføre fald i hjertets minutvolumen. Derfor skal der udvises yderste forsigtighed ved administration til patienter med </w:t>
      </w:r>
      <w:proofErr w:type="spellStart"/>
      <w:r>
        <w:rPr>
          <w:sz w:val="24"/>
          <w:szCs w:val="24"/>
        </w:rPr>
        <w:t>ateriosklerose</w:t>
      </w:r>
      <w:proofErr w:type="spellEnd"/>
      <w:r>
        <w:rPr>
          <w:sz w:val="24"/>
          <w:szCs w:val="24"/>
        </w:rPr>
        <w:t xml:space="preserve">, til ældre og til patienter med nedsat cerebral- eller </w:t>
      </w:r>
      <w:proofErr w:type="spellStart"/>
      <w:r>
        <w:rPr>
          <w:sz w:val="24"/>
          <w:szCs w:val="24"/>
        </w:rPr>
        <w:t>koronar</w:t>
      </w:r>
      <w:proofErr w:type="spellEnd"/>
      <w:r>
        <w:rPr>
          <w:sz w:val="24"/>
          <w:szCs w:val="24"/>
        </w:rPr>
        <w:t xml:space="preserve"> cirkulation.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 med alvorligt hjertesvigt eller </w:t>
      </w:r>
      <w:proofErr w:type="spellStart"/>
      <w:r>
        <w:rPr>
          <w:sz w:val="24"/>
          <w:szCs w:val="24"/>
        </w:rPr>
        <w:t>kardiogent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shock</w:t>
      </w:r>
      <w:proofErr w:type="spellEnd"/>
      <w:r>
        <w:rPr>
          <w:sz w:val="24"/>
          <w:szCs w:val="24"/>
        </w:rPr>
        <w:t xml:space="preserve"> kan </w:t>
      </w: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 xml:space="preserve"> forværre hjertesvigtet som følge af den inducerede </w:t>
      </w:r>
      <w:proofErr w:type="spellStart"/>
      <w:r>
        <w:rPr>
          <w:sz w:val="24"/>
          <w:szCs w:val="24"/>
        </w:rPr>
        <w:t>vasokonstriktion</w:t>
      </w:r>
      <w:proofErr w:type="spellEnd"/>
      <w:r>
        <w:rPr>
          <w:sz w:val="24"/>
          <w:szCs w:val="24"/>
        </w:rPr>
        <w:t xml:space="preserve"> (øget </w:t>
      </w:r>
      <w:proofErr w:type="spellStart"/>
      <w:r>
        <w:rPr>
          <w:sz w:val="24"/>
          <w:szCs w:val="24"/>
        </w:rPr>
        <w:t>afterload</w:t>
      </w:r>
      <w:proofErr w:type="spellEnd"/>
      <w:r>
        <w:rPr>
          <w:sz w:val="24"/>
          <w:szCs w:val="24"/>
        </w:rPr>
        <w:t>).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Hyppig overvågning af vitale tegn og kriterier for lavere systemisk blodtryk med henblik på dosisreduktion eller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 xml:space="preserve"> skal overvejes hos patienter med medicinske tilstande som nedsat hjerteminutvolumen eller perifer </w:t>
      </w:r>
      <w:proofErr w:type="spellStart"/>
      <w:r>
        <w:rPr>
          <w:sz w:val="24"/>
          <w:szCs w:val="24"/>
        </w:rPr>
        <w:t>vaskulær</w:t>
      </w:r>
      <w:proofErr w:type="spellEnd"/>
      <w:r>
        <w:rPr>
          <w:sz w:val="24"/>
          <w:szCs w:val="24"/>
        </w:rPr>
        <w:t xml:space="preserve"> sygdom.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Hos patienter med nedsat nyrefunktion kan lavere dosis være nødvendig.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 med levercirrose kan højere dosis af </w:t>
      </w: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 xml:space="preserve"> være nødvendig.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frarådes at administrere dette lægemiddel sammen med følgende produkter på grund af risikoen for </w:t>
      </w:r>
      <w:proofErr w:type="spellStart"/>
      <w:r>
        <w:rPr>
          <w:sz w:val="24"/>
          <w:szCs w:val="24"/>
        </w:rPr>
        <w:t>vasokonstriktion</w:t>
      </w:r>
      <w:proofErr w:type="spellEnd"/>
      <w:r>
        <w:rPr>
          <w:sz w:val="24"/>
          <w:szCs w:val="24"/>
        </w:rPr>
        <w:t xml:space="preserve"> og/eller </w:t>
      </w:r>
      <w:proofErr w:type="spellStart"/>
      <w:r>
        <w:rPr>
          <w:sz w:val="24"/>
          <w:szCs w:val="24"/>
        </w:rPr>
        <w:t>hypertensiv</w:t>
      </w:r>
      <w:proofErr w:type="spellEnd"/>
      <w:r>
        <w:rPr>
          <w:sz w:val="24"/>
          <w:szCs w:val="24"/>
        </w:rPr>
        <w:t xml:space="preserve"> krise knyttet til dets indirekte </w:t>
      </w:r>
      <w:proofErr w:type="spellStart"/>
      <w:r>
        <w:rPr>
          <w:sz w:val="24"/>
          <w:szCs w:val="24"/>
        </w:rPr>
        <w:t>sympatomimetiske</w:t>
      </w:r>
      <w:proofErr w:type="spellEnd"/>
      <w:r>
        <w:rPr>
          <w:sz w:val="24"/>
          <w:szCs w:val="24"/>
        </w:rPr>
        <w:t xml:space="preserve"> aktivitet (se pkt. 4.5):</w:t>
      </w:r>
    </w:p>
    <w:p w:rsidR="00A05B3D" w:rsidRDefault="00A05B3D" w:rsidP="00A05B3D">
      <w:pPr>
        <w:numPr>
          <w:ilvl w:val="0"/>
          <w:numId w:val="9"/>
        </w:numPr>
        <w:tabs>
          <w:tab w:val="clear" w:pos="720"/>
          <w:tab w:val="left" w:pos="851"/>
        </w:tabs>
        <w:ind w:left="1134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dopaminerge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ergotalkaloider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bromocriptin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cabergolin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lisurid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pergolid</w:t>
      </w:r>
      <w:proofErr w:type="spellEnd"/>
      <w:r>
        <w:rPr>
          <w:sz w:val="24"/>
          <w:szCs w:val="24"/>
        </w:rPr>
        <w:t xml:space="preserve">) eller </w:t>
      </w:r>
      <w:proofErr w:type="spellStart"/>
      <w:r>
        <w:rPr>
          <w:sz w:val="24"/>
          <w:szCs w:val="24"/>
        </w:rPr>
        <w:t>vasokonstriktorer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dihydroergotamin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ergotamin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methylergometrin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methysergid</w:t>
      </w:r>
      <w:proofErr w:type="spellEnd"/>
      <w:r>
        <w:rPr>
          <w:sz w:val="24"/>
          <w:szCs w:val="24"/>
        </w:rPr>
        <w:t>)</w:t>
      </w:r>
    </w:p>
    <w:p w:rsidR="00A05B3D" w:rsidRDefault="00A05B3D" w:rsidP="00A05B3D">
      <w:pPr>
        <w:numPr>
          <w:ilvl w:val="0"/>
          <w:numId w:val="9"/>
        </w:numPr>
        <w:tabs>
          <w:tab w:val="clear" w:pos="720"/>
          <w:tab w:val="left" w:pos="851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i kombination med </w:t>
      </w:r>
      <w:proofErr w:type="spellStart"/>
      <w:r>
        <w:rPr>
          <w:sz w:val="24"/>
          <w:szCs w:val="24"/>
        </w:rPr>
        <w:t>linezolid</w:t>
      </w:r>
      <w:proofErr w:type="spellEnd"/>
    </w:p>
    <w:p w:rsidR="00A05B3D" w:rsidRDefault="00A05B3D" w:rsidP="00A05B3D">
      <w:pPr>
        <w:ind w:left="851"/>
        <w:rPr>
          <w:sz w:val="24"/>
          <w:szCs w:val="24"/>
        </w:rPr>
      </w:pPr>
    </w:p>
    <w:p w:rsidR="00A05B3D" w:rsidRDefault="00A05B3D" w:rsidP="00A05B3D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 xml:space="preserve"> anbefales ikke til personer med smalt forkammer eller akut snævervinklet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i anamnesen. </w:t>
      </w:r>
    </w:p>
    <w:p w:rsidR="00A05B3D" w:rsidRDefault="00A05B3D" w:rsidP="00A05B3D">
      <w:pPr>
        <w:pStyle w:val="ammlistepuces1"/>
        <w:numPr>
          <w:ilvl w:val="0"/>
          <w:numId w:val="9"/>
        </w:numPr>
        <w:spacing w:before="0" w:beforeAutospacing="0" w:after="0" w:afterAutospacing="0"/>
        <w:ind w:left="1134" w:hanging="283"/>
        <w:jc w:val="both"/>
        <w:rPr>
          <w:snapToGrid w:val="0"/>
        </w:rPr>
      </w:pPr>
      <w:r>
        <w:t xml:space="preserve">Brug af </w:t>
      </w:r>
      <w:proofErr w:type="spellStart"/>
      <w:r>
        <w:t>Fenylefrin</w:t>
      </w:r>
      <w:proofErr w:type="spellEnd"/>
      <w:r>
        <w:t xml:space="preserve"> "</w:t>
      </w:r>
      <w:proofErr w:type="spellStart"/>
      <w:r>
        <w:t>Abcur</w:t>
      </w:r>
      <w:proofErr w:type="spellEnd"/>
      <w:r>
        <w:t xml:space="preserve">" hos patienter med smalt forkammer, akut snævervinklet </w:t>
      </w:r>
      <w:proofErr w:type="spellStart"/>
      <w:r>
        <w:t>glaukom</w:t>
      </w:r>
      <w:proofErr w:type="spellEnd"/>
      <w:r>
        <w:t xml:space="preserve"> i anamnesen og/eller utilstrækkelig pupildilatation kan øge risikoen for både </w:t>
      </w:r>
      <w:proofErr w:type="spellStart"/>
      <w:r>
        <w:t>iridocele</w:t>
      </w:r>
      <w:proofErr w:type="spellEnd"/>
      <w:r>
        <w:t xml:space="preserve"> og </w:t>
      </w:r>
      <w:proofErr w:type="spellStart"/>
      <w:r>
        <w:t>floppy</w:t>
      </w:r>
      <w:proofErr w:type="spellEnd"/>
      <w:r>
        <w:t xml:space="preserve"> iris syndrom.</w:t>
      </w:r>
    </w:p>
    <w:p w:rsidR="00A05B3D" w:rsidRDefault="00A05B3D" w:rsidP="00A05B3D">
      <w:pPr>
        <w:ind w:left="851"/>
        <w:rPr>
          <w:sz w:val="24"/>
          <w:szCs w:val="24"/>
        </w:rPr>
      </w:pPr>
    </w:p>
    <w:p w:rsidR="00A05B3D" w:rsidRDefault="00A05B3D" w:rsidP="00A05B3D">
      <w:pPr>
        <w:ind w:left="851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Hjælpestoffer</w:t>
      </w:r>
    </w:p>
    <w:p w:rsidR="00A05B3D" w:rsidRDefault="00A05B3D" w:rsidP="00A05B3D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 hætteglas på 50 ml indeholder 185 mg natrium svarende til 9,3 % af den WHO anbefalede </w:t>
      </w:r>
      <w:proofErr w:type="gramStart"/>
      <w:r>
        <w:rPr>
          <w:sz w:val="24"/>
          <w:szCs w:val="24"/>
        </w:rPr>
        <w:t>maximale</w:t>
      </w:r>
      <w:proofErr w:type="gramEnd"/>
      <w:r>
        <w:rPr>
          <w:sz w:val="24"/>
          <w:szCs w:val="24"/>
        </w:rPr>
        <w:t xml:space="preserve"> daglige indtagelse af 2 g natrium for en voksen.</w:t>
      </w:r>
    </w:p>
    <w:p w:rsidR="00A05B3D" w:rsidRDefault="00A05B3D" w:rsidP="00A05B3D">
      <w:pPr>
        <w:ind w:left="851"/>
        <w:rPr>
          <w:rFonts w:eastAsia="Calibri"/>
          <w:sz w:val="24"/>
          <w:szCs w:val="24"/>
        </w:rPr>
      </w:pPr>
    </w:p>
    <w:p w:rsidR="00A05B3D" w:rsidRDefault="00A05B3D" w:rsidP="00A05B3D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 ampul på 20 ml indeholder 74 mg natrium svarende til 3,7 % af den WHO anbefalede </w:t>
      </w:r>
      <w:proofErr w:type="gramStart"/>
      <w:r>
        <w:rPr>
          <w:sz w:val="24"/>
          <w:szCs w:val="24"/>
        </w:rPr>
        <w:t>maximale</w:t>
      </w:r>
      <w:proofErr w:type="gramEnd"/>
      <w:r>
        <w:rPr>
          <w:sz w:val="24"/>
          <w:szCs w:val="24"/>
        </w:rPr>
        <w:t xml:space="preserve"> daglige indtagelse af 2 g natrium for en voksen.</w:t>
      </w:r>
    </w:p>
    <w:p w:rsidR="00A05B3D" w:rsidRDefault="00A05B3D" w:rsidP="00A05B3D">
      <w:pPr>
        <w:ind w:left="851"/>
        <w:rPr>
          <w:rFonts w:eastAsia="Calibri"/>
          <w:sz w:val="24"/>
          <w:szCs w:val="24"/>
        </w:rPr>
      </w:pPr>
    </w:p>
    <w:p w:rsidR="00A05B3D" w:rsidRDefault="00A05B3D" w:rsidP="00A05B3D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 ampul på 10 ml indeholder 37 mg natrium svarende til 1,9% af den WHO anbefalede </w:t>
      </w:r>
      <w:proofErr w:type="gramStart"/>
      <w:r>
        <w:rPr>
          <w:sz w:val="24"/>
          <w:szCs w:val="24"/>
        </w:rPr>
        <w:t>maximale</w:t>
      </w:r>
      <w:proofErr w:type="gramEnd"/>
      <w:r>
        <w:rPr>
          <w:sz w:val="24"/>
          <w:szCs w:val="24"/>
        </w:rPr>
        <w:t xml:space="preserve"> daglige indtagelse af 2 g natrium for en voksen.</w:t>
      </w:r>
    </w:p>
    <w:p w:rsidR="00A05B3D" w:rsidRDefault="00A05B3D" w:rsidP="00A05B3D">
      <w:pPr>
        <w:ind w:left="851"/>
        <w:rPr>
          <w:sz w:val="24"/>
          <w:szCs w:val="24"/>
        </w:rPr>
      </w:pPr>
    </w:p>
    <w:p w:rsidR="00A05B3D" w:rsidRDefault="00A05B3D" w:rsidP="00A05B3D">
      <w:pPr>
        <w:pStyle w:val="EMEAEnBodyText"/>
        <w:autoSpaceDE w:val="0"/>
        <w:autoSpaceDN w:val="0"/>
        <w:adjustRightInd w:val="0"/>
        <w:spacing w:before="0" w:after="0"/>
        <w:ind w:left="851"/>
        <w:rPr>
          <w:bCs/>
          <w:sz w:val="24"/>
          <w:szCs w:val="24"/>
          <w:u w:val="single"/>
        </w:rPr>
      </w:pPr>
      <w:r>
        <w:rPr>
          <w:sz w:val="24"/>
          <w:szCs w:val="24"/>
        </w:rPr>
        <w:t>1 ampul på 5 ml indeholder 0,8 mmol (23 mg) natrium, dvs. den er i det væsentlige natriumfri.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451D01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180A82" w:rsidRPr="00180A82" w:rsidRDefault="00180A82" w:rsidP="00451D01">
      <w:pPr>
        <w:keepNext/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keepNext/>
        <w:tabs>
          <w:tab w:val="left" w:pos="851"/>
        </w:tabs>
        <w:ind w:left="851"/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>Kombinationer, der er kontraindicerede (se pkt. 4.3)</w:t>
      </w:r>
    </w:p>
    <w:p w:rsidR="00A05B3D" w:rsidRDefault="00A05B3D" w:rsidP="00A05B3D">
      <w:pPr>
        <w:keepNext/>
        <w:tabs>
          <w:tab w:val="left" w:pos="851"/>
        </w:tabs>
        <w:ind w:left="851"/>
        <w:rPr>
          <w:bCs/>
          <w:iCs/>
          <w:sz w:val="24"/>
          <w:szCs w:val="24"/>
          <w:u w:val="single"/>
        </w:rPr>
      </w:pPr>
    </w:p>
    <w:p w:rsidR="00A05B3D" w:rsidRDefault="00A05B3D" w:rsidP="00A05B3D">
      <w:pPr>
        <w:keepNext/>
        <w:tabs>
          <w:tab w:val="left" w:pos="851"/>
        </w:tabs>
        <w:ind w:left="851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Indirekte </w:t>
      </w:r>
      <w:proofErr w:type="spellStart"/>
      <w:r>
        <w:rPr>
          <w:bCs/>
          <w:i/>
          <w:sz w:val="24"/>
          <w:szCs w:val="24"/>
        </w:rPr>
        <w:t>sympatomimetika</w:t>
      </w:r>
      <w:proofErr w:type="spellEnd"/>
      <w:r>
        <w:rPr>
          <w:bCs/>
          <w:i/>
          <w:sz w:val="24"/>
          <w:szCs w:val="24"/>
        </w:rPr>
        <w:t xml:space="preserve"> (</w:t>
      </w:r>
      <w:proofErr w:type="spellStart"/>
      <w:r>
        <w:rPr>
          <w:bCs/>
          <w:i/>
          <w:sz w:val="24"/>
          <w:szCs w:val="24"/>
        </w:rPr>
        <w:t>efedrin</w:t>
      </w:r>
      <w:proofErr w:type="spellEnd"/>
      <w:r>
        <w:rPr>
          <w:bCs/>
          <w:i/>
          <w:sz w:val="24"/>
          <w:szCs w:val="24"/>
        </w:rPr>
        <w:t xml:space="preserve">, </w:t>
      </w:r>
      <w:proofErr w:type="spellStart"/>
      <w:r>
        <w:rPr>
          <w:bCs/>
          <w:i/>
          <w:sz w:val="24"/>
          <w:szCs w:val="24"/>
        </w:rPr>
        <w:t>methylphenidat</w:t>
      </w:r>
      <w:proofErr w:type="spellEnd"/>
      <w:r>
        <w:rPr>
          <w:bCs/>
          <w:i/>
          <w:sz w:val="24"/>
          <w:szCs w:val="24"/>
        </w:rPr>
        <w:t xml:space="preserve">, </w:t>
      </w:r>
      <w:proofErr w:type="spellStart"/>
      <w:r>
        <w:rPr>
          <w:bCs/>
          <w:i/>
          <w:sz w:val="24"/>
          <w:szCs w:val="24"/>
        </w:rPr>
        <w:t>pseudoefedrin</w:t>
      </w:r>
      <w:proofErr w:type="spellEnd"/>
      <w:r>
        <w:rPr>
          <w:bCs/>
          <w:i/>
          <w:sz w:val="24"/>
          <w:szCs w:val="24"/>
        </w:rPr>
        <w:t>)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Risiko for </w:t>
      </w:r>
      <w:proofErr w:type="spellStart"/>
      <w:r>
        <w:rPr>
          <w:sz w:val="24"/>
          <w:szCs w:val="24"/>
        </w:rPr>
        <w:t>vasokonstriktion</w:t>
      </w:r>
      <w:proofErr w:type="spellEnd"/>
      <w:r>
        <w:rPr>
          <w:sz w:val="24"/>
          <w:szCs w:val="24"/>
        </w:rPr>
        <w:t xml:space="preserve"> og/eller </w:t>
      </w:r>
      <w:proofErr w:type="spellStart"/>
      <w:r>
        <w:rPr>
          <w:sz w:val="24"/>
          <w:szCs w:val="24"/>
        </w:rPr>
        <w:t>hypertensiv</w:t>
      </w:r>
      <w:proofErr w:type="spellEnd"/>
      <w:r>
        <w:rPr>
          <w:sz w:val="24"/>
          <w:szCs w:val="24"/>
        </w:rPr>
        <w:t xml:space="preserve"> krise.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Alfa-</w:t>
      </w:r>
      <w:proofErr w:type="spellStart"/>
      <w:r>
        <w:rPr>
          <w:i/>
          <w:sz w:val="24"/>
          <w:szCs w:val="24"/>
        </w:rPr>
        <w:t>sympatomimetika</w:t>
      </w:r>
      <w:proofErr w:type="spellEnd"/>
      <w:r>
        <w:rPr>
          <w:i/>
          <w:sz w:val="24"/>
          <w:szCs w:val="24"/>
        </w:rPr>
        <w:t xml:space="preserve"> (til oral og/eller nasal anvendelse) (</w:t>
      </w:r>
      <w:proofErr w:type="spellStart"/>
      <w:r>
        <w:rPr>
          <w:i/>
          <w:sz w:val="24"/>
          <w:szCs w:val="24"/>
        </w:rPr>
        <w:t>etilefrin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midodrin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naphazolin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oxymetazolin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synephrin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tetryzolin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tuaminoheptan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tymazolin</w:t>
      </w:r>
      <w:proofErr w:type="spellEnd"/>
      <w:r>
        <w:rPr>
          <w:i/>
          <w:sz w:val="24"/>
          <w:szCs w:val="24"/>
        </w:rPr>
        <w:t>)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Risiko for </w:t>
      </w:r>
      <w:proofErr w:type="spellStart"/>
      <w:r>
        <w:rPr>
          <w:sz w:val="24"/>
          <w:szCs w:val="24"/>
        </w:rPr>
        <w:t>vasokonstriktion</w:t>
      </w:r>
      <w:proofErr w:type="spellEnd"/>
      <w:r>
        <w:rPr>
          <w:sz w:val="24"/>
          <w:szCs w:val="24"/>
        </w:rPr>
        <w:t xml:space="preserve"> og/eller </w:t>
      </w:r>
      <w:proofErr w:type="spellStart"/>
      <w:r>
        <w:rPr>
          <w:sz w:val="24"/>
          <w:szCs w:val="24"/>
        </w:rPr>
        <w:t>hypertensiv</w:t>
      </w:r>
      <w:proofErr w:type="spellEnd"/>
      <w:r>
        <w:rPr>
          <w:sz w:val="24"/>
          <w:szCs w:val="24"/>
        </w:rPr>
        <w:t xml:space="preserve"> krise.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P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 w:rsidRPr="00A05B3D">
        <w:rPr>
          <w:sz w:val="24"/>
          <w:szCs w:val="24"/>
        </w:rPr>
        <w:t xml:space="preserve">Non-selektive </w:t>
      </w:r>
      <w:proofErr w:type="spellStart"/>
      <w:r w:rsidRPr="00A05B3D">
        <w:rPr>
          <w:sz w:val="24"/>
          <w:szCs w:val="24"/>
        </w:rPr>
        <w:t>monoamino</w:t>
      </w:r>
      <w:r>
        <w:rPr>
          <w:sz w:val="24"/>
          <w:szCs w:val="24"/>
        </w:rPr>
        <w:t>o</w:t>
      </w:r>
      <w:r w:rsidRPr="00A05B3D">
        <w:rPr>
          <w:sz w:val="24"/>
          <w:szCs w:val="24"/>
        </w:rPr>
        <w:t>xidasehæmmere</w:t>
      </w:r>
      <w:proofErr w:type="spellEnd"/>
      <w:r w:rsidRPr="00A05B3D">
        <w:rPr>
          <w:sz w:val="24"/>
          <w:szCs w:val="24"/>
        </w:rPr>
        <w:t xml:space="preserve"> (MAO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hæmmere</w:t>
      </w:r>
      <w:proofErr w:type="spellEnd"/>
      <w:r w:rsidRPr="00A05B3D">
        <w:rPr>
          <w:sz w:val="24"/>
          <w:szCs w:val="24"/>
        </w:rPr>
        <w:t>) (</w:t>
      </w:r>
      <w:proofErr w:type="spellStart"/>
      <w:r w:rsidRPr="00A05B3D">
        <w:rPr>
          <w:sz w:val="24"/>
          <w:szCs w:val="24"/>
        </w:rPr>
        <w:t>iproniazid</w:t>
      </w:r>
      <w:proofErr w:type="spellEnd"/>
      <w:r w:rsidRPr="00A05B3D">
        <w:rPr>
          <w:sz w:val="24"/>
          <w:szCs w:val="24"/>
        </w:rPr>
        <w:t xml:space="preserve">, </w:t>
      </w:r>
      <w:proofErr w:type="spellStart"/>
      <w:r w:rsidRPr="00A05B3D">
        <w:rPr>
          <w:sz w:val="24"/>
          <w:szCs w:val="24"/>
        </w:rPr>
        <w:t>nialamid</w:t>
      </w:r>
      <w:proofErr w:type="spellEnd"/>
      <w:r w:rsidRPr="00A05B3D">
        <w:rPr>
          <w:sz w:val="24"/>
          <w:szCs w:val="24"/>
        </w:rPr>
        <w:t xml:space="preserve">): </w:t>
      </w:r>
      <w:proofErr w:type="spellStart"/>
      <w:r w:rsidRPr="00A05B3D">
        <w:rPr>
          <w:sz w:val="24"/>
          <w:szCs w:val="24"/>
        </w:rPr>
        <w:t>Paroksysmal</w:t>
      </w:r>
      <w:proofErr w:type="spellEnd"/>
      <w:r w:rsidRPr="00A05B3D">
        <w:rPr>
          <w:sz w:val="24"/>
          <w:szCs w:val="24"/>
        </w:rPr>
        <w:t xml:space="preserve"> hypertension, </w:t>
      </w:r>
      <w:r>
        <w:rPr>
          <w:sz w:val="24"/>
          <w:szCs w:val="24"/>
        </w:rPr>
        <w:t xml:space="preserve">potentiel fatal </w:t>
      </w:r>
      <w:proofErr w:type="spellStart"/>
      <w:r w:rsidRPr="00A05B3D">
        <w:rPr>
          <w:sz w:val="24"/>
          <w:szCs w:val="24"/>
        </w:rPr>
        <w:t>hypertermi</w:t>
      </w:r>
      <w:proofErr w:type="spellEnd"/>
      <w:r w:rsidRPr="00A05B3D">
        <w:rPr>
          <w:sz w:val="24"/>
          <w:szCs w:val="24"/>
        </w:rPr>
        <w:t>. Som følge af den lange virkningsvarighed for MAO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hæmmere</w:t>
      </w:r>
      <w:proofErr w:type="spellEnd"/>
      <w:r w:rsidRPr="00A05B3D">
        <w:rPr>
          <w:sz w:val="24"/>
          <w:szCs w:val="24"/>
        </w:rPr>
        <w:t xml:space="preserve"> er denne interaktion stadig mulig 15 dage efter </w:t>
      </w:r>
      <w:proofErr w:type="spellStart"/>
      <w:r w:rsidRPr="00A05B3D">
        <w:rPr>
          <w:sz w:val="24"/>
          <w:szCs w:val="24"/>
        </w:rPr>
        <w:t>seponering</w:t>
      </w:r>
      <w:proofErr w:type="spellEnd"/>
      <w:r w:rsidRPr="00A05B3D">
        <w:rPr>
          <w:sz w:val="24"/>
          <w:szCs w:val="24"/>
        </w:rPr>
        <w:t xml:space="preserve"> af MAO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hæmmere</w:t>
      </w:r>
      <w:proofErr w:type="spellEnd"/>
      <w:r w:rsidRPr="00A05B3D">
        <w:rPr>
          <w:sz w:val="24"/>
          <w:szCs w:val="24"/>
        </w:rPr>
        <w:t>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  <w:u w:val="single"/>
        </w:rPr>
        <w:t>Kombinationer, der frarådes (se pkt. 4.4)</w:t>
      </w:r>
    </w:p>
    <w:p w:rsidR="00A05B3D" w:rsidRDefault="00A05B3D" w:rsidP="00A05B3D">
      <w:pPr>
        <w:tabs>
          <w:tab w:val="left" w:pos="851"/>
        </w:tabs>
        <w:ind w:left="851"/>
        <w:rPr>
          <w:bCs/>
          <w:iCs/>
          <w:sz w:val="24"/>
          <w:szCs w:val="24"/>
          <w:u w:val="single"/>
        </w:rPr>
      </w:pPr>
    </w:p>
    <w:p w:rsidR="00A05B3D" w:rsidRDefault="00A05B3D" w:rsidP="00A05B3D">
      <w:pPr>
        <w:tabs>
          <w:tab w:val="left" w:pos="851"/>
        </w:tabs>
        <w:ind w:left="851"/>
        <w:rPr>
          <w:bCs/>
          <w:i/>
          <w:sz w:val="24"/>
          <w:szCs w:val="24"/>
          <w:lang w:val="en-US"/>
        </w:rPr>
      </w:pPr>
      <w:proofErr w:type="spellStart"/>
      <w:r>
        <w:rPr>
          <w:bCs/>
          <w:i/>
          <w:sz w:val="24"/>
          <w:szCs w:val="24"/>
          <w:lang w:val="en-US"/>
        </w:rPr>
        <w:t>Dopaminerge</w:t>
      </w:r>
      <w:proofErr w:type="spellEnd"/>
      <w:r>
        <w:rPr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bCs/>
          <w:i/>
          <w:sz w:val="24"/>
          <w:szCs w:val="24"/>
          <w:lang w:val="en-US"/>
        </w:rPr>
        <w:t>ergotalkaloider</w:t>
      </w:r>
      <w:proofErr w:type="spellEnd"/>
      <w:r>
        <w:rPr>
          <w:bCs/>
          <w:i/>
          <w:sz w:val="24"/>
          <w:szCs w:val="24"/>
          <w:lang w:val="en-US"/>
        </w:rPr>
        <w:t xml:space="preserve"> (</w:t>
      </w:r>
      <w:proofErr w:type="spellStart"/>
      <w:r>
        <w:rPr>
          <w:bCs/>
          <w:i/>
          <w:sz w:val="24"/>
          <w:szCs w:val="24"/>
          <w:lang w:val="en-US"/>
        </w:rPr>
        <w:t>bromocriptin</w:t>
      </w:r>
      <w:proofErr w:type="spellEnd"/>
      <w:r>
        <w:rPr>
          <w:bCs/>
          <w:i/>
          <w:sz w:val="24"/>
          <w:szCs w:val="24"/>
          <w:lang w:val="en-US"/>
        </w:rPr>
        <w:t xml:space="preserve">, </w:t>
      </w:r>
      <w:proofErr w:type="spellStart"/>
      <w:r>
        <w:rPr>
          <w:bCs/>
          <w:i/>
          <w:sz w:val="24"/>
          <w:szCs w:val="24"/>
          <w:lang w:val="en-US"/>
        </w:rPr>
        <w:t>cabergolin</w:t>
      </w:r>
      <w:proofErr w:type="spellEnd"/>
      <w:r>
        <w:rPr>
          <w:bCs/>
          <w:i/>
          <w:sz w:val="24"/>
          <w:szCs w:val="24"/>
          <w:lang w:val="en-US"/>
        </w:rPr>
        <w:t xml:space="preserve">, </w:t>
      </w:r>
      <w:proofErr w:type="spellStart"/>
      <w:r>
        <w:rPr>
          <w:bCs/>
          <w:i/>
          <w:sz w:val="24"/>
          <w:szCs w:val="24"/>
          <w:lang w:val="en-US"/>
        </w:rPr>
        <w:t>lisurid</w:t>
      </w:r>
      <w:proofErr w:type="spellEnd"/>
      <w:r>
        <w:rPr>
          <w:bCs/>
          <w:i/>
          <w:sz w:val="24"/>
          <w:szCs w:val="24"/>
          <w:lang w:val="en-US"/>
        </w:rPr>
        <w:t xml:space="preserve">, </w:t>
      </w:r>
      <w:proofErr w:type="spellStart"/>
      <w:r>
        <w:rPr>
          <w:bCs/>
          <w:i/>
          <w:sz w:val="24"/>
          <w:szCs w:val="24"/>
          <w:lang w:val="en-US"/>
        </w:rPr>
        <w:t>pergolid</w:t>
      </w:r>
      <w:proofErr w:type="spellEnd"/>
      <w:r>
        <w:rPr>
          <w:bCs/>
          <w:i/>
          <w:sz w:val="24"/>
          <w:szCs w:val="24"/>
          <w:lang w:val="en-US"/>
        </w:rPr>
        <w:t>)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Risiko for </w:t>
      </w:r>
      <w:proofErr w:type="spellStart"/>
      <w:r>
        <w:rPr>
          <w:sz w:val="24"/>
          <w:szCs w:val="24"/>
        </w:rPr>
        <w:t>vasokonstriktion</w:t>
      </w:r>
      <w:proofErr w:type="spellEnd"/>
      <w:r>
        <w:rPr>
          <w:sz w:val="24"/>
          <w:szCs w:val="24"/>
        </w:rPr>
        <w:t xml:space="preserve"> og/eller </w:t>
      </w:r>
      <w:proofErr w:type="spellStart"/>
      <w:r>
        <w:rPr>
          <w:sz w:val="24"/>
          <w:szCs w:val="24"/>
        </w:rPr>
        <w:t>hypertensiv</w:t>
      </w:r>
      <w:proofErr w:type="spellEnd"/>
      <w:r>
        <w:rPr>
          <w:sz w:val="24"/>
          <w:szCs w:val="24"/>
        </w:rPr>
        <w:t xml:space="preserve"> krise.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bCs/>
          <w:i/>
          <w:sz w:val="24"/>
          <w:szCs w:val="24"/>
        </w:rPr>
      </w:pPr>
      <w:proofErr w:type="spellStart"/>
      <w:r>
        <w:rPr>
          <w:bCs/>
          <w:i/>
          <w:sz w:val="24"/>
          <w:szCs w:val="24"/>
        </w:rPr>
        <w:t>Vasokonstringerende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ergotalkaloider</w:t>
      </w:r>
      <w:proofErr w:type="spellEnd"/>
      <w:r>
        <w:rPr>
          <w:bCs/>
          <w:i/>
          <w:sz w:val="24"/>
          <w:szCs w:val="24"/>
        </w:rPr>
        <w:t xml:space="preserve"> (</w:t>
      </w:r>
      <w:proofErr w:type="spellStart"/>
      <w:r>
        <w:rPr>
          <w:bCs/>
          <w:i/>
          <w:sz w:val="24"/>
          <w:szCs w:val="24"/>
        </w:rPr>
        <w:t>dihydroergotamin</w:t>
      </w:r>
      <w:proofErr w:type="spellEnd"/>
      <w:r>
        <w:rPr>
          <w:bCs/>
          <w:i/>
          <w:sz w:val="24"/>
          <w:szCs w:val="24"/>
        </w:rPr>
        <w:t xml:space="preserve">, </w:t>
      </w:r>
      <w:proofErr w:type="spellStart"/>
      <w:r>
        <w:rPr>
          <w:bCs/>
          <w:i/>
          <w:sz w:val="24"/>
          <w:szCs w:val="24"/>
        </w:rPr>
        <w:t>ergotamin</w:t>
      </w:r>
      <w:proofErr w:type="spellEnd"/>
      <w:r>
        <w:rPr>
          <w:bCs/>
          <w:i/>
          <w:sz w:val="24"/>
          <w:szCs w:val="24"/>
        </w:rPr>
        <w:t xml:space="preserve">, </w:t>
      </w:r>
      <w:proofErr w:type="spellStart"/>
      <w:r>
        <w:rPr>
          <w:bCs/>
          <w:i/>
          <w:sz w:val="24"/>
          <w:szCs w:val="24"/>
        </w:rPr>
        <w:t>methylergometrin</w:t>
      </w:r>
      <w:proofErr w:type="spellEnd"/>
      <w:r>
        <w:rPr>
          <w:bCs/>
          <w:i/>
          <w:sz w:val="24"/>
          <w:szCs w:val="24"/>
        </w:rPr>
        <w:t xml:space="preserve">, </w:t>
      </w:r>
      <w:proofErr w:type="spellStart"/>
      <w:r>
        <w:rPr>
          <w:bCs/>
          <w:i/>
          <w:sz w:val="24"/>
          <w:szCs w:val="24"/>
        </w:rPr>
        <w:t>methysergid</w:t>
      </w:r>
      <w:proofErr w:type="spellEnd"/>
      <w:r>
        <w:rPr>
          <w:bCs/>
          <w:i/>
          <w:sz w:val="24"/>
          <w:szCs w:val="24"/>
        </w:rPr>
        <w:t>)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Risiko for </w:t>
      </w:r>
      <w:proofErr w:type="spellStart"/>
      <w:r>
        <w:rPr>
          <w:sz w:val="24"/>
          <w:szCs w:val="24"/>
        </w:rPr>
        <w:t>vasokonstriktion</w:t>
      </w:r>
      <w:proofErr w:type="spellEnd"/>
      <w:r>
        <w:rPr>
          <w:sz w:val="24"/>
          <w:szCs w:val="24"/>
        </w:rPr>
        <w:t xml:space="preserve"> og/eller </w:t>
      </w:r>
      <w:proofErr w:type="spellStart"/>
      <w:r>
        <w:rPr>
          <w:sz w:val="24"/>
          <w:szCs w:val="24"/>
        </w:rPr>
        <w:t>hypertensiv</w:t>
      </w:r>
      <w:proofErr w:type="spellEnd"/>
      <w:r>
        <w:rPr>
          <w:sz w:val="24"/>
          <w:szCs w:val="24"/>
        </w:rPr>
        <w:t xml:space="preserve"> krise.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bCs/>
          <w:i/>
          <w:sz w:val="24"/>
          <w:szCs w:val="24"/>
        </w:rPr>
      </w:pPr>
      <w:proofErr w:type="spellStart"/>
      <w:r>
        <w:rPr>
          <w:bCs/>
          <w:i/>
          <w:sz w:val="24"/>
          <w:szCs w:val="24"/>
        </w:rPr>
        <w:t>Linezolid</w:t>
      </w:r>
      <w:proofErr w:type="spellEnd"/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Risiko for </w:t>
      </w:r>
      <w:proofErr w:type="spellStart"/>
      <w:r>
        <w:rPr>
          <w:sz w:val="24"/>
          <w:szCs w:val="24"/>
        </w:rPr>
        <w:t>vasokonstriktion</w:t>
      </w:r>
      <w:proofErr w:type="spellEnd"/>
      <w:r>
        <w:rPr>
          <w:sz w:val="24"/>
          <w:szCs w:val="24"/>
        </w:rPr>
        <w:t xml:space="preserve"> og/eller </w:t>
      </w:r>
      <w:proofErr w:type="spellStart"/>
      <w:r>
        <w:rPr>
          <w:sz w:val="24"/>
          <w:szCs w:val="24"/>
        </w:rPr>
        <w:t>hypertensiv</w:t>
      </w:r>
      <w:proofErr w:type="spellEnd"/>
      <w:r>
        <w:rPr>
          <w:sz w:val="24"/>
          <w:szCs w:val="24"/>
        </w:rPr>
        <w:t xml:space="preserve"> krise.</w:t>
      </w:r>
    </w:p>
    <w:p w:rsidR="00A05B3D" w:rsidRDefault="00A05B3D" w:rsidP="00A05B3D">
      <w:pPr>
        <w:tabs>
          <w:tab w:val="left" w:pos="851"/>
        </w:tabs>
        <w:ind w:left="851"/>
        <w:rPr>
          <w:b/>
          <w:i/>
          <w:sz w:val="24"/>
          <w:szCs w:val="24"/>
        </w:rPr>
      </w:pP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Kombinationer, der kræver forholdsregler ved brug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</w:p>
    <w:p w:rsidR="00A05B3D" w:rsidRPr="00A05B3D" w:rsidRDefault="00A05B3D" w:rsidP="00A05B3D">
      <w:pPr>
        <w:tabs>
          <w:tab w:val="left" w:pos="851"/>
        </w:tabs>
        <w:ind w:left="851"/>
        <w:rPr>
          <w:iCs/>
          <w:sz w:val="24"/>
          <w:szCs w:val="24"/>
          <w:lang w:val="nl-NL"/>
        </w:rPr>
      </w:pPr>
      <w:r w:rsidRPr="00A05B3D">
        <w:rPr>
          <w:iCs/>
          <w:sz w:val="24"/>
          <w:szCs w:val="24"/>
          <w:lang w:val="nl-NL"/>
        </w:rPr>
        <w:t>Selektive (moclobemid, toloxaton) MAO-hæmmere</w:t>
      </w:r>
    </w:p>
    <w:p w:rsidR="00180A82" w:rsidRP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Risiko for forlænget virkning af</w:t>
      </w:r>
      <w:r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</w:rPr>
        <w:t>phenylephrin</w:t>
      </w:r>
      <w:proofErr w:type="spellEnd"/>
      <w:r>
        <w:rPr>
          <w:sz w:val="24"/>
          <w:szCs w:val="24"/>
        </w:rPr>
        <w:t xml:space="preserve"> kan ikke udelukkes. </w:t>
      </w:r>
    </w:p>
    <w:p w:rsidR="00180A82" w:rsidRPr="00180A82" w:rsidRDefault="00180A82" w:rsidP="00180A82">
      <w:pPr>
        <w:tabs>
          <w:tab w:val="left" w:pos="851"/>
        </w:tabs>
        <w:ind w:left="851"/>
        <w:rPr>
          <w:sz w:val="24"/>
          <w:szCs w:val="24"/>
          <w:lang w:val="fr-FR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A05B3D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A54A44" w:rsidRPr="00A54A44" w:rsidRDefault="00A54A44" w:rsidP="00A54A44">
      <w:pPr>
        <w:tabs>
          <w:tab w:val="left" w:pos="851"/>
        </w:tabs>
        <w:ind w:left="851"/>
        <w:rPr>
          <w:b/>
          <w:sz w:val="24"/>
          <w:szCs w:val="24"/>
          <w:u w:val="single"/>
        </w:rPr>
      </w:pPr>
    </w:p>
    <w:p w:rsidR="00A54A44" w:rsidRPr="00A54A44" w:rsidRDefault="00A54A44" w:rsidP="00A54A4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54A44">
        <w:rPr>
          <w:sz w:val="24"/>
          <w:szCs w:val="24"/>
          <w:u w:val="single"/>
        </w:rPr>
        <w:t>Graviditet</w:t>
      </w:r>
    </w:p>
    <w:p w:rsidR="00A54A44" w:rsidRPr="00A54A44" w:rsidRDefault="00A54A44" w:rsidP="00A54A44">
      <w:pPr>
        <w:tabs>
          <w:tab w:val="left" w:pos="851"/>
        </w:tabs>
        <w:ind w:left="851"/>
        <w:rPr>
          <w:sz w:val="24"/>
          <w:szCs w:val="24"/>
        </w:rPr>
      </w:pPr>
      <w:r w:rsidRPr="00A54A44">
        <w:rPr>
          <w:sz w:val="24"/>
          <w:szCs w:val="24"/>
        </w:rPr>
        <w:t xml:space="preserve">Der foreligger ikke tilstrækkelige data om brugen af </w:t>
      </w:r>
      <w:proofErr w:type="spellStart"/>
      <w:r w:rsidRPr="00A54A44">
        <w:rPr>
          <w:sz w:val="24"/>
          <w:szCs w:val="24"/>
        </w:rPr>
        <w:t>Fenylefrin</w:t>
      </w:r>
      <w:proofErr w:type="spellEnd"/>
      <w:r w:rsidRPr="00A54A44">
        <w:rPr>
          <w:sz w:val="24"/>
          <w:szCs w:val="24"/>
        </w:rPr>
        <w:t xml:space="preserve"> "</w:t>
      </w:r>
      <w:proofErr w:type="spellStart"/>
      <w:r w:rsidRPr="00A54A44">
        <w:rPr>
          <w:sz w:val="24"/>
          <w:szCs w:val="24"/>
        </w:rPr>
        <w:t>Abcur</w:t>
      </w:r>
      <w:proofErr w:type="spellEnd"/>
      <w:r w:rsidRPr="00A54A44">
        <w:rPr>
          <w:sz w:val="24"/>
          <w:szCs w:val="24"/>
        </w:rPr>
        <w:t>" hos gravide kvinder. Der foreligger ikke tilstrækkelige dyreforsøg vedrørende effekt på drægtighed, embryonal/</w:t>
      </w:r>
      <w:proofErr w:type="spellStart"/>
      <w:r w:rsidRPr="00A54A44">
        <w:rPr>
          <w:sz w:val="24"/>
          <w:szCs w:val="24"/>
        </w:rPr>
        <w:t>føtal</w:t>
      </w:r>
      <w:proofErr w:type="spellEnd"/>
      <w:r w:rsidRPr="00A54A44">
        <w:rPr>
          <w:sz w:val="24"/>
          <w:szCs w:val="24"/>
        </w:rPr>
        <w:t xml:space="preserve"> udvikling, fødsel og udvikling efter fødslen. Den potentielle risiko for mennesker kendes ikke.</w:t>
      </w:r>
      <w:r w:rsidRPr="00A54A44">
        <w:rPr>
          <w:sz w:val="24"/>
          <w:szCs w:val="24"/>
        </w:rPr>
        <w:br/>
      </w:r>
      <w:proofErr w:type="spellStart"/>
      <w:r w:rsidRPr="00A54A44">
        <w:rPr>
          <w:sz w:val="24"/>
          <w:szCs w:val="24"/>
        </w:rPr>
        <w:t>Phenylephrin</w:t>
      </w:r>
      <w:proofErr w:type="spellEnd"/>
      <w:r w:rsidRPr="00A54A44">
        <w:rPr>
          <w:sz w:val="24"/>
          <w:szCs w:val="24"/>
        </w:rPr>
        <w:t xml:space="preserve"> må kun anvendes på tvingende indikation under graviditet.</w:t>
      </w:r>
    </w:p>
    <w:p w:rsidR="00A54A44" w:rsidRPr="00A54A44" w:rsidRDefault="00A54A44" w:rsidP="00A54A44">
      <w:pPr>
        <w:tabs>
          <w:tab w:val="left" w:pos="851"/>
        </w:tabs>
        <w:ind w:left="851"/>
        <w:rPr>
          <w:sz w:val="24"/>
          <w:szCs w:val="24"/>
        </w:rPr>
      </w:pPr>
    </w:p>
    <w:p w:rsidR="00A54A44" w:rsidRPr="00A54A44" w:rsidRDefault="00A54A44" w:rsidP="00A54A4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54A44">
        <w:rPr>
          <w:sz w:val="24"/>
          <w:szCs w:val="24"/>
          <w:u w:val="single"/>
        </w:rPr>
        <w:t>Amning</w:t>
      </w:r>
    </w:p>
    <w:p w:rsidR="00A54A44" w:rsidRPr="00A54A44" w:rsidRDefault="00A54A44" w:rsidP="00A54A44">
      <w:pPr>
        <w:tabs>
          <w:tab w:val="left" w:pos="851"/>
        </w:tabs>
        <w:ind w:left="851"/>
        <w:rPr>
          <w:sz w:val="24"/>
          <w:szCs w:val="24"/>
        </w:rPr>
      </w:pPr>
      <w:r w:rsidRPr="00A54A44">
        <w:rPr>
          <w:sz w:val="24"/>
          <w:szCs w:val="24"/>
        </w:rPr>
        <w:t xml:space="preserve">Der udskilles små mængder </w:t>
      </w:r>
      <w:proofErr w:type="spellStart"/>
      <w:r w:rsidRPr="00A54A44">
        <w:rPr>
          <w:sz w:val="24"/>
          <w:szCs w:val="24"/>
        </w:rPr>
        <w:t>phenylephrin</w:t>
      </w:r>
      <w:proofErr w:type="spellEnd"/>
      <w:r w:rsidRPr="00A54A44">
        <w:rPr>
          <w:sz w:val="24"/>
          <w:szCs w:val="24"/>
        </w:rPr>
        <w:t xml:space="preserve"> i modermælk.</w:t>
      </w:r>
    </w:p>
    <w:p w:rsidR="00A54A44" w:rsidRPr="00A54A44" w:rsidRDefault="00A54A44" w:rsidP="00A54A44">
      <w:pPr>
        <w:tabs>
          <w:tab w:val="left" w:pos="851"/>
        </w:tabs>
        <w:ind w:left="851"/>
        <w:rPr>
          <w:sz w:val="24"/>
          <w:szCs w:val="24"/>
        </w:rPr>
      </w:pPr>
    </w:p>
    <w:p w:rsidR="00A54A44" w:rsidRDefault="00A54A44" w:rsidP="00A54A44">
      <w:pPr>
        <w:tabs>
          <w:tab w:val="left" w:pos="851"/>
        </w:tabs>
        <w:ind w:left="851"/>
        <w:rPr>
          <w:sz w:val="24"/>
          <w:szCs w:val="24"/>
        </w:rPr>
      </w:pPr>
      <w:r w:rsidRPr="00A54A44">
        <w:rPr>
          <w:sz w:val="24"/>
          <w:szCs w:val="24"/>
        </w:rPr>
        <w:lastRenderedPageBreak/>
        <w:t xml:space="preserve">Administration af </w:t>
      </w:r>
      <w:proofErr w:type="spellStart"/>
      <w:r w:rsidRPr="00A54A44">
        <w:rPr>
          <w:sz w:val="24"/>
          <w:szCs w:val="24"/>
        </w:rPr>
        <w:t>vasokonstriktorer</w:t>
      </w:r>
      <w:proofErr w:type="spellEnd"/>
      <w:r w:rsidRPr="00A54A44">
        <w:rPr>
          <w:sz w:val="24"/>
          <w:szCs w:val="24"/>
        </w:rPr>
        <w:t xml:space="preserve"> til moderen udsætter spædbarnet for risiko for </w:t>
      </w:r>
      <w:proofErr w:type="spellStart"/>
      <w:r w:rsidRPr="00A54A44">
        <w:rPr>
          <w:sz w:val="24"/>
          <w:szCs w:val="24"/>
        </w:rPr>
        <w:t>kardiovaskulære</w:t>
      </w:r>
      <w:proofErr w:type="spellEnd"/>
      <w:r w:rsidRPr="00A54A44">
        <w:rPr>
          <w:sz w:val="24"/>
          <w:szCs w:val="24"/>
        </w:rPr>
        <w:t xml:space="preserve"> og neurologiske virkninger. </w:t>
      </w:r>
      <w:proofErr w:type="spellStart"/>
      <w:r w:rsidRPr="00A54A44">
        <w:rPr>
          <w:sz w:val="24"/>
          <w:szCs w:val="24"/>
        </w:rPr>
        <w:t>Fenylefrin</w:t>
      </w:r>
      <w:proofErr w:type="spellEnd"/>
      <w:r w:rsidRPr="00A54A44">
        <w:rPr>
          <w:sz w:val="24"/>
          <w:szCs w:val="24"/>
        </w:rPr>
        <w:t xml:space="preserve"> "</w:t>
      </w:r>
      <w:proofErr w:type="spellStart"/>
      <w:r w:rsidRPr="00A54A44">
        <w:rPr>
          <w:sz w:val="24"/>
          <w:szCs w:val="24"/>
        </w:rPr>
        <w:t>Abcur</w:t>
      </w:r>
      <w:proofErr w:type="spellEnd"/>
      <w:r w:rsidRPr="00A54A44">
        <w:rPr>
          <w:sz w:val="24"/>
          <w:szCs w:val="24"/>
        </w:rPr>
        <w:t>" bør ikke anvendes under amning, medmindre de potentielle fordele opvejer den potentielle risiko.</w:t>
      </w:r>
    </w:p>
    <w:p w:rsidR="00B2378E" w:rsidRDefault="00B2378E" w:rsidP="00A54A44">
      <w:pPr>
        <w:tabs>
          <w:tab w:val="left" w:pos="851"/>
        </w:tabs>
        <w:ind w:left="851"/>
        <w:rPr>
          <w:sz w:val="24"/>
          <w:szCs w:val="24"/>
        </w:rPr>
      </w:pPr>
    </w:p>
    <w:p w:rsidR="00B2378E" w:rsidRPr="00A54A44" w:rsidRDefault="00B2378E" w:rsidP="00B2378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54A44">
        <w:rPr>
          <w:sz w:val="24"/>
          <w:szCs w:val="24"/>
          <w:u w:val="single"/>
        </w:rPr>
        <w:t>Fertilitet</w:t>
      </w:r>
    </w:p>
    <w:p w:rsidR="00B2378E" w:rsidRPr="00A54A44" w:rsidRDefault="00B2378E" w:rsidP="00B2378E">
      <w:pPr>
        <w:tabs>
          <w:tab w:val="left" w:pos="851"/>
        </w:tabs>
        <w:ind w:left="851"/>
        <w:rPr>
          <w:sz w:val="24"/>
          <w:szCs w:val="24"/>
        </w:rPr>
      </w:pPr>
      <w:r w:rsidRPr="00A54A44">
        <w:rPr>
          <w:sz w:val="24"/>
          <w:szCs w:val="24"/>
        </w:rPr>
        <w:t xml:space="preserve">Der foreligger ikke data om fertilitet efter eksponering for </w:t>
      </w:r>
      <w:proofErr w:type="spellStart"/>
      <w:r w:rsidRPr="00A54A44">
        <w:rPr>
          <w:sz w:val="24"/>
          <w:szCs w:val="24"/>
        </w:rPr>
        <w:t>phenylephrin</w:t>
      </w:r>
      <w:proofErr w:type="spellEnd"/>
      <w:r w:rsidRPr="00A54A44">
        <w:rPr>
          <w:sz w:val="24"/>
          <w:szCs w:val="24"/>
        </w:rPr>
        <w:t xml:space="preserve"> (se pkt. 5.3).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Virkninger på evnen til at føre motorkøretøj </w:t>
      </w:r>
      <w:r w:rsidR="00A05B3D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A54A44" w:rsidRPr="00A54A44" w:rsidRDefault="00A54A44" w:rsidP="00A54A44">
      <w:pPr>
        <w:tabs>
          <w:tab w:val="left" w:pos="851"/>
        </w:tabs>
        <w:ind w:left="851"/>
        <w:rPr>
          <w:sz w:val="24"/>
          <w:szCs w:val="24"/>
        </w:rPr>
      </w:pPr>
      <w:r w:rsidRPr="00A54A44">
        <w:rPr>
          <w:sz w:val="24"/>
          <w:szCs w:val="24"/>
        </w:rPr>
        <w:t>Ikke mærkning.</w:t>
      </w:r>
    </w:p>
    <w:p w:rsidR="00A54A44" w:rsidRPr="00A54A44" w:rsidRDefault="00A54A44" w:rsidP="00A54A44">
      <w:pPr>
        <w:tabs>
          <w:tab w:val="left" w:pos="851"/>
        </w:tabs>
        <w:ind w:left="851"/>
        <w:rPr>
          <w:sz w:val="24"/>
          <w:szCs w:val="24"/>
        </w:rPr>
      </w:pPr>
      <w:r w:rsidRPr="00A54A44">
        <w:rPr>
          <w:sz w:val="24"/>
          <w:szCs w:val="24"/>
        </w:rPr>
        <w:t>Behandling med dette lægemiddel er ikke forenelig med at føre motorkøretøj eller betjene maskiner.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</w:rPr>
      </w:pPr>
      <w:r w:rsidRPr="00531FC7">
        <w:rPr>
          <w:sz w:val="24"/>
          <w:szCs w:val="24"/>
        </w:rPr>
        <w:t xml:space="preserve">For dette lægemiddel er der ingen moderne klinisk dokumentation som grundlag for at vurdere hyppigheden af bivirkningerne. De fleste bivirkninger af </w:t>
      </w:r>
      <w:proofErr w:type="spellStart"/>
      <w:r w:rsidRPr="00531FC7">
        <w:rPr>
          <w:sz w:val="24"/>
          <w:szCs w:val="24"/>
        </w:rPr>
        <w:t>phenylephrin</w:t>
      </w:r>
      <w:proofErr w:type="spellEnd"/>
      <w:r w:rsidRPr="00531FC7">
        <w:rPr>
          <w:sz w:val="24"/>
          <w:szCs w:val="24"/>
        </w:rPr>
        <w:t xml:space="preserve"> er dosisafhængige og er en følge af den forventelige </w:t>
      </w:r>
      <w:proofErr w:type="spellStart"/>
      <w:r w:rsidRPr="00531FC7">
        <w:rPr>
          <w:sz w:val="24"/>
          <w:szCs w:val="24"/>
        </w:rPr>
        <w:t>farmakodynamiske</w:t>
      </w:r>
      <w:proofErr w:type="spellEnd"/>
      <w:r w:rsidRPr="00531FC7">
        <w:rPr>
          <w:sz w:val="24"/>
          <w:szCs w:val="24"/>
        </w:rPr>
        <w:t xml:space="preserve"> profil. </w:t>
      </w: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</w:rPr>
      </w:pP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31FC7">
        <w:rPr>
          <w:sz w:val="24"/>
          <w:szCs w:val="24"/>
          <w:u w:val="single"/>
        </w:rPr>
        <w:t>Psykiske forstyrrelser</w:t>
      </w: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</w:rPr>
      </w:pPr>
      <w:r w:rsidRPr="00531FC7">
        <w:rPr>
          <w:sz w:val="24"/>
          <w:szCs w:val="24"/>
        </w:rPr>
        <w:t>Irritabilitet, agitation</w:t>
      </w: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</w:rPr>
      </w:pP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31FC7">
        <w:rPr>
          <w:sz w:val="24"/>
          <w:szCs w:val="24"/>
          <w:u w:val="single"/>
        </w:rPr>
        <w:t>Nervesystemet</w:t>
      </w: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</w:rPr>
      </w:pPr>
      <w:r w:rsidRPr="00531FC7">
        <w:rPr>
          <w:sz w:val="24"/>
          <w:szCs w:val="24"/>
        </w:rPr>
        <w:t>Hovedpine</w:t>
      </w: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</w:rPr>
      </w:pP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31FC7">
        <w:rPr>
          <w:sz w:val="24"/>
          <w:szCs w:val="24"/>
          <w:u w:val="single"/>
        </w:rPr>
        <w:t>Hjerte</w:t>
      </w: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</w:rPr>
      </w:pPr>
      <w:r w:rsidRPr="00531FC7">
        <w:rPr>
          <w:sz w:val="24"/>
          <w:szCs w:val="24"/>
        </w:rPr>
        <w:t xml:space="preserve">Refleksbradykardi, </w:t>
      </w:r>
      <w:proofErr w:type="spellStart"/>
      <w:r w:rsidRPr="00531FC7">
        <w:rPr>
          <w:sz w:val="24"/>
          <w:szCs w:val="24"/>
        </w:rPr>
        <w:t>arytmi</w:t>
      </w:r>
      <w:proofErr w:type="spellEnd"/>
      <w:r w:rsidRPr="00531FC7">
        <w:rPr>
          <w:sz w:val="24"/>
          <w:szCs w:val="24"/>
        </w:rPr>
        <w:t>, anginasmerter</w:t>
      </w:r>
    </w:p>
    <w:p w:rsidR="00531FC7" w:rsidRPr="00531FC7" w:rsidRDefault="00531FC7" w:rsidP="00531FC7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531FC7">
        <w:rPr>
          <w:sz w:val="24"/>
          <w:szCs w:val="24"/>
          <w:u w:val="single"/>
        </w:rPr>
        <w:t>Vaskulære</w:t>
      </w:r>
      <w:proofErr w:type="spellEnd"/>
      <w:r w:rsidRPr="00531FC7">
        <w:rPr>
          <w:sz w:val="24"/>
          <w:szCs w:val="24"/>
          <w:u w:val="single"/>
        </w:rPr>
        <w:t xml:space="preserve"> sygdomme</w:t>
      </w: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</w:rPr>
      </w:pPr>
      <w:r w:rsidRPr="00531FC7">
        <w:rPr>
          <w:sz w:val="24"/>
          <w:szCs w:val="24"/>
        </w:rPr>
        <w:t>Hypertension</w:t>
      </w: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</w:rPr>
      </w:pP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31FC7">
        <w:rPr>
          <w:sz w:val="24"/>
          <w:szCs w:val="24"/>
        </w:rPr>
        <w:t>Ekstravasation</w:t>
      </w:r>
      <w:proofErr w:type="spellEnd"/>
      <w:r w:rsidRPr="00531FC7">
        <w:rPr>
          <w:sz w:val="24"/>
          <w:szCs w:val="24"/>
        </w:rPr>
        <w:t xml:space="preserve"> af </w:t>
      </w:r>
      <w:proofErr w:type="spellStart"/>
      <w:r w:rsidRPr="00531FC7">
        <w:rPr>
          <w:sz w:val="24"/>
          <w:szCs w:val="24"/>
        </w:rPr>
        <w:t>Fenylefrin</w:t>
      </w:r>
      <w:proofErr w:type="spellEnd"/>
      <w:r w:rsidRPr="00531FC7">
        <w:rPr>
          <w:sz w:val="24"/>
          <w:szCs w:val="24"/>
        </w:rPr>
        <w:t xml:space="preserve"> "</w:t>
      </w:r>
      <w:proofErr w:type="spellStart"/>
      <w:r w:rsidRPr="00531FC7">
        <w:rPr>
          <w:sz w:val="24"/>
          <w:szCs w:val="24"/>
        </w:rPr>
        <w:t>Abcur</w:t>
      </w:r>
      <w:proofErr w:type="spellEnd"/>
      <w:r w:rsidRPr="00531FC7">
        <w:rPr>
          <w:sz w:val="24"/>
          <w:szCs w:val="24"/>
        </w:rPr>
        <w:t xml:space="preserve">" kan forårsage vævsnekrose. Der bør anvendes </w:t>
      </w:r>
      <w:proofErr w:type="spellStart"/>
      <w:r w:rsidRPr="00531FC7">
        <w:rPr>
          <w:sz w:val="24"/>
          <w:szCs w:val="24"/>
        </w:rPr>
        <w:t>phentolamin</w:t>
      </w:r>
      <w:proofErr w:type="spellEnd"/>
      <w:r w:rsidRPr="00531FC7">
        <w:rPr>
          <w:sz w:val="24"/>
          <w:szCs w:val="24"/>
        </w:rPr>
        <w:t xml:space="preserve"> til at reversere iskæmi sekundær til en alfa-antagonist.</w:t>
      </w: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</w:rPr>
      </w:pPr>
    </w:p>
    <w:p w:rsidR="00531FC7" w:rsidRDefault="00531FC7" w:rsidP="00531FC7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Indberetning af formodede bivirkninger</w:t>
      </w:r>
    </w:p>
    <w:p w:rsidR="00531FC7" w:rsidRDefault="00531FC7" w:rsidP="00531FC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  <w:lang w:eastAsia="da-DK"/>
        </w:rPr>
        <w:t>risk</w:t>
      </w:r>
      <w:proofErr w:type="spellEnd"/>
      <w:r>
        <w:rPr>
          <w:sz w:val="24"/>
          <w:szCs w:val="24"/>
          <w:lang w:eastAsia="da-DK"/>
        </w:rPr>
        <w:t>-forholdet for lægemidlet. Sundhedspersoner anmodes om at indberette alle formodede bivirkninger via:</w:t>
      </w:r>
    </w:p>
    <w:p w:rsidR="00531FC7" w:rsidRDefault="00531FC7" w:rsidP="00531FC7">
      <w:pPr>
        <w:ind w:left="851"/>
        <w:rPr>
          <w:sz w:val="24"/>
          <w:szCs w:val="24"/>
          <w:lang w:eastAsia="da-DK"/>
        </w:rPr>
      </w:pPr>
    </w:p>
    <w:p w:rsidR="00531FC7" w:rsidRDefault="00531FC7" w:rsidP="00531FC7">
      <w:pPr>
        <w:ind w:left="851"/>
        <w:rPr>
          <w:sz w:val="24"/>
          <w:szCs w:val="24"/>
          <w:lang w:eastAsia="da-DK"/>
        </w:rPr>
      </w:pPr>
      <w:bookmarkStart w:id="0" w:name="_Hlk79581812"/>
      <w:r>
        <w:rPr>
          <w:sz w:val="24"/>
          <w:szCs w:val="24"/>
          <w:lang w:eastAsia="da-DK"/>
        </w:rPr>
        <w:t>Lægemiddelstyrelsen</w:t>
      </w:r>
    </w:p>
    <w:p w:rsidR="00531FC7" w:rsidRDefault="00531FC7" w:rsidP="00531FC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:rsidR="00531FC7" w:rsidRDefault="00531FC7" w:rsidP="00531FC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:rsidR="00531FC7" w:rsidRDefault="00531FC7" w:rsidP="00531FC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Websted: </w:t>
      </w:r>
      <w:r>
        <w:rPr>
          <w:sz w:val="24"/>
          <w:lang w:eastAsia="da-DK"/>
        </w:rPr>
        <w:t>www.meldenbivirkning.dk</w:t>
      </w:r>
      <w:bookmarkEnd w:id="0"/>
    </w:p>
    <w:p w:rsidR="009260DE" w:rsidRPr="00A10294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</w:rPr>
      </w:pPr>
      <w:r w:rsidRPr="00531FC7">
        <w:rPr>
          <w:sz w:val="24"/>
          <w:szCs w:val="24"/>
        </w:rPr>
        <w:t xml:space="preserve">Overdosis kan medføre </w:t>
      </w:r>
      <w:proofErr w:type="spellStart"/>
      <w:r w:rsidRPr="00531FC7">
        <w:rPr>
          <w:sz w:val="24"/>
          <w:szCs w:val="24"/>
        </w:rPr>
        <w:t>ventrikulære</w:t>
      </w:r>
      <w:proofErr w:type="spellEnd"/>
      <w:r w:rsidRPr="00531FC7">
        <w:rPr>
          <w:sz w:val="24"/>
          <w:szCs w:val="24"/>
        </w:rPr>
        <w:t xml:space="preserve"> </w:t>
      </w:r>
      <w:proofErr w:type="spellStart"/>
      <w:r w:rsidRPr="00531FC7">
        <w:rPr>
          <w:sz w:val="24"/>
          <w:szCs w:val="24"/>
        </w:rPr>
        <w:t>ekstrasystoler</w:t>
      </w:r>
      <w:proofErr w:type="spellEnd"/>
      <w:r w:rsidRPr="00531FC7">
        <w:rPr>
          <w:sz w:val="24"/>
          <w:szCs w:val="24"/>
        </w:rPr>
        <w:t xml:space="preserve"> og korte </w:t>
      </w:r>
      <w:proofErr w:type="spellStart"/>
      <w:r w:rsidRPr="00531FC7">
        <w:rPr>
          <w:sz w:val="24"/>
          <w:szCs w:val="24"/>
        </w:rPr>
        <w:t>paroksystiske</w:t>
      </w:r>
      <w:proofErr w:type="spellEnd"/>
      <w:r w:rsidRPr="00531FC7">
        <w:rPr>
          <w:sz w:val="24"/>
          <w:szCs w:val="24"/>
        </w:rPr>
        <w:t xml:space="preserve"> episoder af </w:t>
      </w:r>
      <w:proofErr w:type="spellStart"/>
      <w:r w:rsidRPr="00531FC7">
        <w:rPr>
          <w:sz w:val="24"/>
          <w:szCs w:val="24"/>
        </w:rPr>
        <w:t>ventrikulær</w:t>
      </w:r>
      <w:proofErr w:type="spellEnd"/>
      <w:r w:rsidRPr="00531FC7">
        <w:rPr>
          <w:sz w:val="24"/>
          <w:szCs w:val="24"/>
        </w:rPr>
        <w:t xml:space="preserve"> </w:t>
      </w:r>
      <w:proofErr w:type="spellStart"/>
      <w:r w:rsidRPr="00531FC7">
        <w:rPr>
          <w:sz w:val="24"/>
          <w:szCs w:val="24"/>
        </w:rPr>
        <w:t>takykardi</w:t>
      </w:r>
      <w:proofErr w:type="spellEnd"/>
      <w:r w:rsidRPr="00531FC7">
        <w:rPr>
          <w:sz w:val="24"/>
          <w:szCs w:val="24"/>
        </w:rPr>
        <w:t>. Når der opstår væsentlig blodtryksstigning, kan refleksbradykardi forventes.</w:t>
      </w:r>
    </w:p>
    <w:p w:rsidR="00531FC7" w:rsidRPr="00531FC7" w:rsidRDefault="00531FC7" w:rsidP="00531FC7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531FC7" w:rsidRPr="00531FC7" w:rsidRDefault="00531FC7" w:rsidP="00531FC7">
      <w:pPr>
        <w:tabs>
          <w:tab w:val="left" w:pos="851"/>
        </w:tabs>
        <w:ind w:left="851"/>
        <w:rPr>
          <w:sz w:val="24"/>
          <w:szCs w:val="24"/>
        </w:rPr>
      </w:pPr>
      <w:r w:rsidRPr="00531FC7">
        <w:rPr>
          <w:sz w:val="24"/>
          <w:szCs w:val="24"/>
        </w:rPr>
        <w:t xml:space="preserve">Overdosis af </w:t>
      </w:r>
      <w:proofErr w:type="spellStart"/>
      <w:r w:rsidRPr="00531FC7">
        <w:rPr>
          <w:sz w:val="24"/>
          <w:szCs w:val="24"/>
        </w:rPr>
        <w:t>phenylephrin</w:t>
      </w:r>
      <w:proofErr w:type="spellEnd"/>
      <w:r w:rsidRPr="00531FC7">
        <w:rPr>
          <w:sz w:val="24"/>
          <w:szCs w:val="24"/>
        </w:rPr>
        <w:t xml:space="preserve"> kan medføre </w:t>
      </w:r>
      <w:proofErr w:type="spellStart"/>
      <w:r w:rsidRPr="00531FC7">
        <w:rPr>
          <w:sz w:val="24"/>
          <w:szCs w:val="24"/>
        </w:rPr>
        <w:t>hypertensive</w:t>
      </w:r>
      <w:proofErr w:type="spellEnd"/>
      <w:r w:rsidRPr="00531FC7">
        <w:rPr>
          <w:sz w:val="24"/>
          <w:szCs w:val="24"/>
        </w:rPr>
        <w:t xml:space="preserve"> kriser.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9260DE" w:rsidRPr="00C84483" w:rsidRDefault="00531FC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40A2" w:rsidRPr="00A05B3D" w:rsidRDefault="009260DE" w:rsidP="00A05B3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A05B3D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9240A2">
        <w:rPr>
          <w:sz w:val="24"/>
          <w:szCs w:val="24"/>
        </w:rPr>
        <w:t>Adrenerge</w:t>
      </w:r>
      <w:proofErr w:type="spellEnd"/>
      <w:r w:rsidRPr="009240A2">
        <w:rPr>
          <w:sz w:val="24"/>
          <w:szCs w:val="24"/>
        </w:rPr>
        <w:t xml:space="preserve"> og </w:t>
      </w:r>
      <w:proofErr w:type="spellStart"/>
      <w:r w:rsidRPr="009240A2">
        <w:rPr>
          <w:sz w:val="24"/>
          <w:szCs w:val="24"/>
        </w:rPr>
        <w:t>dopaminerge</w:t>
      </w:r>
      <w:proofErr w:type="spellEnd"/>
      <w:r w:rsidRPr="009240A2">
        <w:rPr>
          <w:sz w:val="24"/>
          <w:szCs w:val="24"/>
        </w:rPr>
        <w:t xml:space="preserve"> midler.</w:t>
      </w:r>
      <w:r w:rsidRPr="00A05B3D">
        <w:rPr>
          <w:sz w:val="24"/>
          <w:szCs w:val="24"/>
        </w:rPr>
        <w:t xml:space="preserve"> </w:t>
      </w:r>
    </w:p>
    <w:p w:rsidR="00A05B3D" w:rsidRPr="009240A2" w:rsidRDefault="00A05B3D" w:rsidP="00A05B3D">
      <w:pPr>
        <w:tabs>
          <w:tab w:val="left" w:pos="851"/>
        </w:tabs>
        <w:ind w:left="851"/>
        <w:rPr>
          <w:sz w:val="24"/>
          <w:szCs w:val="24"/>
        </w:rPr>
      </w:pPr>
      <w:r w:rsidRPr="009240A2">
        <w:rPr>
          <w:sz w:val="24"/>
          <w:szCs w:val="24"/>
        </w:rPr>
        <w:t>ATC-kode: C</w:t>
      </w:r>
      <w:r>
        <w:rPr>
          <w:sz w:val="24"/>
          <w:szCs w:val="24"/>
        </w:rPr>
        <w:t xml:space="preserve"> </w:t>
      </w:r>
      <w:r w:rsidRPr="009240A2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9240A2">
        <w:rPr>
          <w:sz w:val="24"/>
          <w:szCs w:val="24"/>
        </w:rPr>
        <w:t>CA</w:t>
      </w:r>
      <w:r>
        <w:rPr>
          <w:sz w:val="24"/>
          <w:szCs w:val="24"/>
        </w:rPr>
        <w:t xml:space="preserve"> </w:t>
      </w:r>
      <w:r w:rsidRPr="009240A2">
        <w:rPr>
          <w:sz w:val="24"/>
          <w:szCs w:val="24"/>
        </w:rPr>
        <w:t>06.</w:t>
      </w:r>
    </w:p>
    <w:p w:rsidR="00A05B3D" w:rsidRDefault="00A05B3D" w:rsidP="0047514C">
      <w:pPr>
        <w:tabs>
          <w:tab w:val="left" w:pos="851"/>
        </w:tabs>
        <w:ind w:left="851"/>
        <w:rPr>
          <w:sz w:val="24"/>
          <w:szCs w:val="24"/>
        </w:rPr>
      </w:pPr>
    </w:p>
    <w:p w:rsidR="0047514C" w:rsidRPr="0047514C" w:rsidRDefault="0047514C" w:rsidP="0047514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7514C">
        <w:rPr>
          <w:sz w:val="24"/>
          <w:szCs w:val="24"/>
        </w:rPr>
        <w:t>Phenylephrin</w:t>
      </w:r>
      <w:proofErr w:type="spellEnd"/>
      <w:r w:rsidRPr="0047514C">
        <w:rPr>
          <w:sz w:val="24"/>
          <w:szCs w:val="24"/>
        </w:rPr>
        <w:t xml:space="preserve"> er en potent </w:t>
      </w:r>
      <w:proofErr w:type="spellStart"/>
      <w:r w:rsidRPr="0047514C">
        <w:rPr>
          <w:sz w:val="24"/>
          <w:szCs w:val="24"/>
        </w:rPr>
        <w:t>vasokonstriktor</w:t>
      </w:r>
      <w:proofErr w:type="spellEnd"/>
      <w:r w:rsidRPr="0047514C">
        <w:rPr>
          <w:sz w:val="24"/>
          <w:szCs w:val="24"/>
        </w:rPr>
        <w:t xml:space="preserve">, der næsten fuldstændigt virker ved at stimulere alfa-1-adrenerge receptorer. En sådan arteriel </w:t>
      </w:r>
      <w:proofErr w:type="spellStart"/>
      <w:r w:rsidRPr="0047514C">
        <w:rPr>
          <w:sz w:val="24"/>
          <w:szCs w:val="24"/>
        </w:rPr>
        <w:t>vasokonstriktion</w:t>
      </w:r>
      <w:proofErr w:type="spellEnd"/>
      <w:r w:rsidRPr="0047514C">
        <w:rPr>
          <w:sz w:val="24"/>
          <w:szCs w:val="24"/>
        </w:rPr>
        <w:t xml:space="preserve"> er også ledsaget af venøs </w:t>
      </w:r>
      <w:proofErr w:type="spellStart"/>
      <w:r w:rsidRPr="0047514C">
        <w:rPr>
          <w:sz w:val="24"/>
          <w:szCs w:val="24"/>
        </w:rPr>
        <w:t>vasokonstriktion</w:t>
      </w:r>
      <w:proofErr w:type="spellEnd"/>
      <w:r w:rsidRPr="0047514C">
        <w:rPr>
          <w:sz w:val="24"/>
          <w:szCs w:val="24"/>
        </w:rPr>
        <w:t xml:space="preserve">. Dette medfører blodtryksstigning og refleksbradykardi. Den potente arterielle </w:t>
      </w:r>
      <w:proofErr w:type="spellStart"/>
      <w:r w:rsidRPr="0047514C">
        <w:rPr>
          <w:sz w:val="24"/>
          <w:szCs w:val="24"/>
        </w:rPr>
        <w:t>vasokonstriktion</w:t>
      </w:r>
      <w:proofErr w:type="spellEnd"/>
      <w:r w:rsidRPr="0047514C">
        <w:rPr>
          <w:sz w:val="24"/>
          <w:szCs w:val="24"/>
        </w:rPr>
        <w:t xml:space="preserve"> øger modstanden mod den </w:t>
      </w:r>
      <w:proofErr w:type="spellStart"/>
      <w:r w:rsidRPr="0047514C">
        <w:rPr>
          <w:sz w:val="24"/>
          <w:szCs w:val="24"/>
        </w:rPr>
        <w:t>ventrikulære</w:t>
      </w:r>
      <w:proofErr w:type="spellEnd"/>
      <w:r w:rsidRPr="0047514C">
        <w:rPr>
          <w:sz w:val="24"/>
          <w:szCs w:val="24"/>
        </w:rPr>
        <w:t xml:space="preserve"> uddrivning (øget </w:t>
      </w:r>
      <w:proofErr w:type="spellStart"/>
      <w:r w:rsidRPr="0047514C">
        <w:rPr>
          <w:sz w:val="24"/>
          <w:szCs w:val="24"/>
        </w:rPr>
        <w:t>afterload</w:t>
      </w:r>
      <w:proofErr w:type="spellEnd"/>
      <w:r w:rsidRPr="0047514C">
        <w:rPr>
          <w:sz w:val="24"/>
          <w:szCs w:val="24"/>
        </w:rPr>
        <w:t>) resulterende i et fald i minutvolumen. Hos raske personer er dette mindre udtalt, men eksisterende hjertesvigt kan forværres.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B2378E" w:rsidRPr="00B2378E" w:rsidRDefault="00B2378E" w:rsidP="00B2378E">
      <w:pPr>
        <w:pStyle w:val="ammcorpstexte0"/>
        <w:spacing w:before="0" w:beforeAutospacing="0" w:after="0" w:afterAutospacing="0"/>
        <w:ind w:left="851"/>
        <w:rPr>
          <w:snapToGrid w:val="0"/>
        </w:rPr>
      </w:pPr>
    </w:p>
    <w:p w:rsidR="00B2378E" w:rsidRPr="00B2378E" w:rsidRDefault="00B2378E" w:rsidP="00B2378E">
      <w:pPr>
        <w:pStyle w:val="ammcorpstexte0"/>
        <w:spacing w:before="0" w:beforeAutospacing="0" w:after="0" w:afterAutospacing="0"/>
        <w:ind w:left="851"/>
        <w:rPr>
          <w:snapToGrid w:val="0"/>
          <w:u w:val="single"/>
        </w:rPr>
      </w:pPr>
      <w:r w:rsidRPr="00B2378E">
        <w:rPr>
          <w:snapToGrid w:val="0"/>
          <w:u w:val="single"/>
        </w:rPr>
        <w:t>Fordeling</w:t>
      </w:r>
    </w:p>
    <w:p w:rsidR="00B2378E" w:rsidRPr="00B2378E" w:rsidRDefault="00B2378E" w:rsidP="00B2378E">
      <w:pPr>
        <w:pStyle w:val="ammcorpstexte0"/>
        <w:spacing w:before="0" w:beforeAutospacing="0" w:after="0" w:afterAutospacing="0"/>
        <w:ind w:left="851"/>
        <w:rPr>
          <w:snapToGrid w:val="0"/>
        </w:rPr>
      </w:pPr>
      <w:r w:rsidRPr="00B2378E">
        <w:rPr>
          <w:snapToGrid w:val="0"/>
        </w:rPr>
        <w:t>Virkningsvarigheden er 20 minutter efter intravenøs administration.</w:t>
      </w:r>
    </w:p>
    <w:p w:rsidR="00B2378E" w:rsidRPr="00B2378E" w:rsidRDefault="00B2378E" w:rsidP="00B2378E">
      <w:pPr>
        <w:pStyle w:val="ammcorpstexte0"/>
        <w:spacing w:before="0" w:beforeAutospacing="0" w:after="0" w:afterAutospacing="0"/>
        <w:ind w:left="851"/>
        <w:rPr>
          <w:snapToGrid w:val="0"/>
        </w:rPr>
      </w:pPr>
    </w:p>
    <w:p w:rsidR="00B2378E" w:rsidRPr="00B2378E" w:rsidRDefault="00B2378E" w:rsidP="00B2378E">
      <w:pPr>
        <w:pStyle w:val="ammcorpstexte0"/>
        <w:spacing w:before="0" w:beforeAutospacing="0" w:after="0" w:afterAutospacing="0"/>
        <w:ind w:left="851"/>
        <w:rPr>
          <w:snapToGrid w:val="0"/>
        </w:rPr>
      </w:pPr>
      <w:r w:rsidRPr="00B2378E">
        <w:rPr>
          <w:snapToGrid w:val="0"/>
        </w:rPr>
        <w:t>Fordelingsvoluminet efter en enkeltdosis er 340 liter.</w:t>
      </w:r>
    </w:p>
    <w:p w:rsidR="00B2378E" w:rsidRPr="00B2378E" w:rsidRDefault="00B2378E" w:rsidP="00B2378E">
      <w:pPr>
        <w:ind w:left="851"/>
        <w:rPr>
          <w:sz w:val="24"/>
          <w:szCs w:val="24"/>
        </w:rPr>
      </w:pPr>
    </w:p>
    <w:p w:rsidR="00B2378E" w:rsidRPr="00B2378E" w:rsidRDefault="00B2378E" w:rsidP="00B2378E">
      <w:pPr>
        <w:ind w:left="851"/>
        <w:rPr>
          <w:sz w:val="24"/>
          <w:szCs w:val="24"/>
        </w:rPr>
      </w:pPr>
      <w:r w:rsidRPr="00B2378E">
        <w:rPr>
          <w:sz w:val="24"/>
          <w:szCs w:val="24"/>
        </w:rPr>
        <w:t>Plasmaproteinbindingen er ukendt.</w:t>
      </w:r>
    </w:p>
    <w:p w:rsidR="00B2378E" w:rsidRPr="00B2378E" w:rsidRDefault="00B2378E" w:rsidP="00B2378E">
      <w:pPr>
        <w:pStyle w:val="ammcorpstexte0"/>
        <w:spacing w:before="0" w:beforeAutospacing="0" w:after="0" w:afterAutospacing="0"/>
        <w:ind w:left="851"/>
        <w:rPr>
          <w:snapToGrid w:val="0"/>
        </w:rPr>
      </w:pPr>
    </w:p>
    <w:p w:rsidR="00B2378E" w:rsidRPr="00B2378E" w:rsidRDefault="00B2378E" w:rsidP="00B2378E">
      <w:pPr>
        <w:pStyle w:val="ammcorpstexte0"/>
        <w:spacing w:before="0" w:beforeAutospacing="0" w:after="0" w:afterAutospacing="0"/>
        <w:ind w:left="851"/>
        <w:rPr>
          <w:snapToGrid w:val="0"/>
          <w:u w:val="single"/>
        </w:rPr>
      </w:pPr>
      <w:r w:rsidRPr="00B2378E">
        <w:rPr>
          <w:snapToGrid w:val="0"/>
          <w:u w:val="single"/>
        </w:rPr>
        <w:t>Elimination</w:t>
      </w:r>
    </w:p>
    <w:p w:rsidR="00B2378E" w:rsidRPr="00B2378E" w:rsidRDefault="00B2378E" w:rsidP="00B2378E">
      <w:pPr>
        <w:pStyle w:val="ammcorpstexte0"/>
        <w:spacing w:before="0" w:beforeAutospacing="0" w:after="0" w:afterAutospacing="0"/>
        <w:ind w:left="851"/>
        <w:rPr>
          <w:snapToGrid w:val="0"/>
        </w:rPr>
      </w:pPr>
      <w:proofErr w:type="spellStart"/>
      <w:r w:rsidRPr="00B2378E">
        <w:rPr>
          <w:snapToGrid w:val="0"/>
        </w:rPr>
        <w:t>Phenylephrin</w:t>
      </w:r>
      <w:proofErr w:type="spellEnd"/>
      <w:r w:rsidRPr="00B2378E">
        <w:rPr>
          <w:snapToGrid w:val="0"/>
        </w:rPr>
        <w:t xml:space="preserve"> udskilles hovedsagelig gennem nyrerne som m-</w:t>
      </w:r>
      <w:proofErr w:type="spellStart"/>
      <w:r w:rsidRPr="00B2378E">
        <w:rPr>
          <w:snapToGrid w:val="0"/>
        </w:rPr>
        <w:t>hydroxymandelsyre</w:t>
      </w:r>
      <w:proofErr w:type="spellEnd"/>
      <w:r w:rsidRPr="00B2378E">
        <w:rPr>
          <w:snapToGrid w:val="0"/>
        </w:rPr>
        <w:t xml:space="preserve"> og </w:t>
      </w:r>
      <w:proofErr w:type="spellStart"/>
      <w:r w:rsidRPr="00B2378E">
        <w:rPr>
          <w:snapToGrid w:val="0"/>
        </w:rPr>
        <w:t>phenolkonjugater</w:t>
      </w:r>
      <w:proofErr w:type="spellEnd"/>
      <w:r w:rsidRPr="00B2378E">
        <w:rPr>
          <w:snapToGrid w:val="0"/>
        </w:rPr>
        <w:t>.</w:t>
      </w:r>
    </w:p>
    <w:p w:rsidR="00B2378E" w:rsidRPr="00B2378E" w:rsidRDefault="00B2378E" w:rsidP="00B2378E">
      <w:pPr>
        <w:pStyle w:val="ammcorpstexte0"/>
        <w:spacing w:before="0" w:beforeAutospacing="0" w:after="0" w:afterAutospacing="0"/>
        <w:ind w:left="851"/>
        <w:rPr>
          <w:snapToGrid w:val="0"/>
        </w:rPr>
      </w:pPr>
    </w:p>
    <w:p w:rsidR="00B2378E" w:rsidRPr="00B2378E" w:rsidRDefault="00B2378E" w:rsidP="00B2378E">
      <w:pPr>
        <w:pStyle w:val="ammcorpstexte0"/>
        <w:spacing w:before="0" w:beforeAutospacing="0" w:after="0" w:afterAutospacing="0"/>
        <w:ind w:left="851"/>
        <w:rPr>
          <w:snapToGrid w:val="0"/>
        </w:rPr>
      </w:pPr>
      <w:r w:rsidRPr="00B2378E">
        <w:rPr>
          <w:snapToGrid w:val="0"/>
        </w:rPr>
        <w:t>Eliminationshalveringstiden er ca. 2-3 timer.</w:t>
      </w:r>
    </w:p>
    <w:p w:rsidR="00B2378E" w:rsidRPr="00B2378E" w:rsidRDefault="00B2378E" w:rsidP="00B2378E">
      <w:pPr>
        <w:ind w:left="851"/>
        <w:rPr>
          <w:sz w:val="24"/>
          <w:szCs w:val="24"/>
        </w:rPr>
      </w:pPr>
    </w:p>
    <w:p w:rsidR="00B2378E" w:rsidRPr="00B2378E" w:rsidRDefault="00B2378E" w:rsidP="00B2378E">
      <w:pPr>
        <w:ind w:left="851"/>
        <w:rPr>
          <w:sz w:val="24"/>
          <w:szCs w:val="24"/>
        </w:rPr>
      </w:pPr>
      <w:r w:rsidRPr="00B2378E">
        <w:rPr>
          <w:sz w:val="24"/>
          <w:szCs w:val="24"/>
        </w:rPr>
        <w:t xml:space="preserve">Der er ingen tilgængelige data om farmakokinetikken af </w:t>
      </w:r>
      <w:proofErr w:type="spellStart"/>
      <w:r w:rsidRPr="00B2378E">
        <w:rPr>
          <w:sz w:val="24"/>
          <w:szCs w:val="24"/>
        </w:rPr>
        <w:t>phenylephrin</w:t>
      </w:r>
      <w:proofErr w:type="spellEnd"/>
      <w:r w:rsidRPr="00B2378E">
        <w:rPr>
          <w:sz w:val="24"/>
          <w:szCs w:val="24"/>
        </w:rPr>
        <w:t xml:space="preserve"> hos særlige populationer.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A05B3D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AB75A3" w:rsidRPr="00AB75A3" w:rsidRDefault="00AB75A3" w:rsidP="00AB75A3">
      <w:pPr>
        <w:tabs>
          <w:tab w:val="left" w:pos="851"/>
        </w:tabs>
        <w:ind w:left="851"/>
        <w:rPr>
          <w:sz w:val="24"/>
          <w:szCs w:val="24"/>
        </w:rPr>
      </w:pPr>
      <w:r w:rsidRPr="00AB75A3">
        <w:rPr>
          <w:sz w:val="24"/>
          <w:szCs w:val="24"/>
        </w:rPr>
        <w:t xml:space="preserve">Ingen </w:t>
      </w:r>
      <w:r w:rsidR="00B2378E">
        <w:rPr>
          <w:sz w:val="24"/>
          <w:szCs w:val="24"/>
        </w:rPr>
        <w:t>non-</w:t>
      </w:r>
      <w:r w:rsidRPr="00AB75A3">
        <w:rPr>
          <w:sz w:val="24"/>
          <w:szCs w:val="24"/>
        </w:rPr>
        <w:t>kliniske data anses for relevante for den kliniske sikkerhed bortset fra de data, der indgår i andre afsnit af produktresuméet.</w:t>
      </w:r>
    </w:p>
    <w:p w:rsidR="00AB75A3" w:rsidRPr="00AB75A3" w:rsidRDefault="00AB75A3" w:rsidP="00AB75A3">
      <w:pPr>
        <w:tabs>
          <w:tab w:val="left" w:pos="851"/>
        </w:tabs>
        <w:ind w:left="851"/>
        <w:rPr>
          <w:sz w:val="24"/>
          <w:szCs w:val="24"/>
        </w:rPr>
      </w:pPr>
    </w:p>
    <w:p w:rsidR="00AB75A3" w:rsidRPr="00AB75A3" w:rsidRDefault="00AB75A3" w:rsidP="00AB75A3">
      <w:pPr>
        <w:tabs>
          <w:tab w:val="left" w:pos="851"/>
        </w:tabs>
        <w:ind w:left="851"/>
        <w:rPr>
          <w:b/>
          <w:sz w:val="24"/>
          <w:szCs w:val="24"/>
        </w:rPr>
      </w:pPr>
      <w:r w:rsidRPr="00AB75A3">
        <w:rPr>
          <w:sz w:val="24"/>
          <w:szCs w:val="24"/>
        </w:rPr>
        <w:t xml:space="preserve">Der foreligger ingen </w:t>
      </w:r>
      <w:r w:rsidR="00B2378E">
        <w:rPr>
          <w:sz w:val="24"/>
          <w:szCs w:val="24"/>
        </w:rPr>
        <w:t>non-</w:t>
      </w:r>
      <w:r w:rsidRPr="00AB75A3">
        <w:rPr>
          <w:sz w:val="24"/>
          <w:szCs w:val="24"/>
        </w:rPr>
        <w:t xml:space="preserve">kliniske data om fertilitet eller virkninger på reproduktionen efter eksponering for </w:t>
      </w:r>
      <w:proofErr w:type="spellStart"/>
      <w:r w:rsidRPr="00AB75A3">
        <w:rPr>
          <w:sz w:val="24"/>
          <w:szCs w:val="24"/>
        </w:rPr>
        <w:t>phenylephrin</w:t>
      </w:r>
      <w:proofErr w:type="spellEnd"/>
      <w:r w:rsidRPr="00AB75A3">
        <w:rPr>
          <w:sz w:val="24"/>
          <w:szCs w:val="24"/>
        </w:rPr>
        <w:t xml:space="preserve">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6873EB" w:rsidRPr="006873EB" w:rsidRDefault="006873EB" w:rsidP="006873E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873EB">
        <w:rPr>
          <w:sz w:val="24"/>
          <w:szCs w:val="24"/>
        </w:rPr>
        <w:t>Natriumchlorid</w:t>
      </w:r>
      <w:proofErr w:type="spellEnd"/>
    </w:p>
    <w:p w:rsidR="006873EB" w:rsidRPr="006873EB" w:rsidRDefault="006873EB" w:rsidP="006873EB">
      <w:pPr>
        <w:tabs>
          <w:tab w:val="left" w:pos="851"/>
        </w:tabs>
        <w:ind w:left="851"/>
        <w:rPr>
          <w:sz w:val="24"/>
          <w:szCs w:val="24"/>
        </w:rPr>
      </w:pPr>
      <w:r w:rsidRPr="006873EB">
        <w:rPr>
          <w:sz w:val="24"/>
          <w:szCs w:val="24"/>
        </w:rPr>
        <w:t>Natriumcitrat</w:t>
      </w:r>
    </w:p>
    <w:p w:rsidR="006873EB" w:rsidRPr="006873EB" w:rsidRDefault="006873EB" w:rsidP="006873EB">
      <w:pPr>
        <w:tabs>
          <w:tab w:val="left" w:pos="851"/>
        </w:tabs>
        <w:ind w:left="851"/>
        <w:rPr>
          <w:sz w:val="24"/>
          <w:szCs w:val="24"/>
        </w:rPr>
      </w:pPr>
      <w:r w:rsidRPr="006873EB">
        <w:rPr>
          <w:sz w:val="24"/>
          <w:szCs w:val="24"/>
        </w:rPr>
        <w:t xml:space="preserve">Citronsyre </w:t>
      </w:r>
    </w:p>
    <w:p w:rsidR="006873EB" w:rsidRPr="006873EB" w:rsidRDefault="006873EB" w:rsidP="006873EB">
      <w:pPr>
        <w:tabs>
          <w:tab w:val="left" w:pos="851"/>
        </w:tabs>
        <w:ind w:left="851"/>
        <w:rPr>
          <w:sz w:val="24"/>
          <w:szCs w:val="24"/>
        </w:rPr>
      </w:pPr>
      <w:r w:rsidRPr="006873EB">
        <w:rPr>
          <w:sz w:val="24"/>
          <w:szCs w:val="24"/>
        </w:rPr>
        <w:t>Vand til injektionsvæsker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6873EB" w:rsidRPr="006873EB" w:rsidRDefault="006873EB" w:rsidP="006873E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873EB">
        <w:rPr>
          <w:sz w:val="24"/>
          <w:szCs w:val="24"/>
        </w:rPr>
        <w:t>Phenylephrin</w:t>
      </w:r>
      <w:proofErr w:type="spellEnd"/>
      <w:r w:rsidRPr="006873EB">
        <w:rPr>
          <w:sz w:val="24"/>
          <w:szCs w:val="24"/>
        </w:rPr>
        <w:t xml:space="preserve"> er uforeneligt med alkaliske opløsninger, jernsalte og andre metaller.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6873EB" w:rsidRPr="006873EB" w:rsidRDefault="006873EB" w:rsidP="006873EB">
      <w:pPr>
        <w:tabs>
          <w:tab w:val="left" w:pos="851"/>
        </w:tabs>
        <w:ind w:left="851"/>
        <w:rPr>
          <w:sz w:val="24"/>
          <w:szCs w:val="24"/>
        </w:rPr>
      </w:pPr>
      <w:r w:rsidRPr="006873EB">
        <w:rPr>
          <w:sz w:val="24"/>
          <w:szCs w:val="24"/>
        </w:rPr>
        <w:t>3 år</w:t>
      </w:r>
      <w:r>
        <w:rPr>
          <w:sz w:val="24"/>
          <w:szCs w:val="24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3B7FE0" w:rsidRPr="003B7FE0" w:rsidRDefault="003B7FE0" w:rsidP="003B7FE0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3B7FE0">
        <w:rPr>
          <w:sz w:val="24"/>
          <w:szCs w:val="24"/>
        </w:rPr>
        <w:t>Dette lægemiddel kræver ingen særlige forholdsregler vedrørende opbevaringen.</w:t>
      </w:r>
      <w:r w:rsidRPr="003B7FE0">
        <w:rPr>
          <w:i/>
          <w:sz w:val="24"/>
          <w:szCs w:val="24"/>
        </w:rPr>
        <w:t xml:space="preserve">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A24F61" w:rsidRDefault="00A24F61" w:rsidP="003B7FE0">
      <w:pPr>
        <w:tabs>
          <w:tab w:val="left" w:pos="851"/>
        </w:tabs>
        <w:ind w:left="851"/>
        <w:rPr>
          <w:sz w:val="24"/>
          <w:szCs w:val="24"/>
        </w:rPr>
      </w:pPr>
    </w:p>
    <w:p w:rsidR="003B7FE0" w:rsidRPr="00A24F61" w:rsidRDefault="003B7FE0" w:rsidP="003B7FE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24F61">
        <w:rPr>
          <w:sz w:val="24"/>
          <w:szCs w:val="24"/>
          <w:u w:val="single"/>
        </w:rPr>
        <w:t>5 ml, 10 ml og 20 ml glasampuller</w:t>
      </w:r>
      <w:r w:rsidR="00A24F61" w:rsidRPr="00A24F61">
        <w:rPr>
          <w:sz w:val="24"/>
          <w:szCs w:val="24"/>
          <w:u w:val="single"/>
        </w:rPr>
        <w:t>,</w:t>
      </w:r>
      <w:r w:rsidRPr="00A24F61">
        <w:rPr>
          <w:sz w:val="24"/>
          <w:szCs w:val="24"/>
          <w:u w:val="single"/>
        </w:rPr>
        <w:t xml:space="preserve"> i æske</w:t>
      </w:r>
    </w:p>
    <w:p w:rsidR="003B7FE0" w:rsidRPr="003B7FE0" w:rsidRDefault="003B7FE0" w:rsidP="003B7FE0">
      <w:pPr>
        <w:tabs>
          <w:tab w:val="left" w:pos="851"/>
        </w:tabs>
        <w:ind w:left="851"/>
        <w:rPr>
          <w:sz w:val="24"/>
          <w:szCs w:val="24"/>
        </w:rPr>
      </w:pPr>
      <w:r w:rsidRPr="003B7FE0">
        <w:rPr>
          <w:sz w:val="24"/>
          <w:szCs w:val="24"/>
        </w:rPr>
        <w:t xml:space="preserve">Pakningsstørrelser: 5, 10, 20, 50 </w:t>
      </w:r>
      <w:r w:rsidR="00A24F61">
        <w:rPr>
          <w:sz w:val="24"/>
          <w:szCs w:val="24"/>
        </w:rPr>
        <w:t>og</w:t>
      </w:r>
      <w:r w:rsidRPr="003B7FE0">
        <w:rPr>
          <w:sz w:val="24"/>
          <w:szCs w:val="24"/>
        </w:rPr>
        <w:t xml:space="preserve"> 100 ampuller.</w:t>
      </w:r>
    </w:p>
    <w:p w:rsidR="003B7FE0" w:rsidRPr="003B7FE0" w:rsidRDefault="003B7FE0" w:rsidP="003B7FE0">
      <w:pPr>
        <w:tabs>
          <w:tab w:val="left" w:pos="851"/>
        </w:tabs>
        <w:ind w:left="851"/>
        <w:rPr>
          <w:sz w:val="24"/>
          <w:szCs w:val="24"/>
        </w:rPr>
      </w:pPr>
    </w:p>
    <w:p w:rsidR="003B7FE0" w:rsidRPr="00A24F61" w:rsidRDefault="003B7FE0" w:rsidP="003B7FE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24F61">
        <w:rPr>
          <w:sz w:val="24"/>
          <w:szCs w:val="24"/>
          <w:u w:val="single"/>
        </w:rPr>
        <w:t>50 ml hætteglas</w:t>
      </w:r>
      <w:r w:rsidR="00A24F61" w:rsidRPr="00A24F61">
        <w:rPr>
          <w:sz w:val="24"/>
          <w:szCs w:val="24"/>
          <w:u w:val="single"/>
        </w:rPr>
        <w:t>,</w:t>
      </w:r>
      <w:r w:rsidRPr="00A24F61">
        <w:rPr>
          <w:sz w:val="24"/>
          <w:szCs w:val="24"/>
          <w:u w:val="single"/>
        </w:rPr>
        <w:t xml:space="preserve"> i æske</w:t>
      </w:r>
    </w:p>
    <w:p w:rsidR="003B7FE0" w:rsidRPr="003B7FE0" w:rsidRDefault="003B7FE0" w:rsidP="003B7FE0">
      <w:pPr>
        <w:tabs>
          <w:tab w:val="left" w:pos="851"/>
        </w:tabs>
        <w:ind w:left="851"/>
        <w:rPr>
          <w:sz w:val="24"/>
          <w:szCs w:val="24"/>
        </w:rPr>
      </w:pPr>
      <w:r w:rsidRPr="003B7FE0">
        <w:rPr>
          <w:sz w:val="24"/>
          <w:szCs w:val="24"/>
        </w:rPr>
        <w:t xml:space="preserve">Pakningsstørrelser: 1, 12, 24 </w:t>
      </w:r>
      <w:r w:rsidR="00A24F61">
        <w:rPr>
          <w:sz w:val="24"/>
          <w:szCs w:val="24"/>
        </w:rPr>
        <w:t>og</w:t>
      </w:r>
      <w:r w:rsidRPr="003B7FE0">
        <w:rPr>
          <w:sz w:val="24"/>
          <w:szCs w:val="24"/>
        </w:rPr>
        <w:t xml:space="preserve"> 48 hætteglas.</w:t>
      </w:r>
    </w:p>
    <w:p w:rsidR="003B7FE0" w:rsidRPr="003B7FE0" w:rsidRDefault="003B7FE0" w:rsidP="003B7FE0">
      <w:pPr>
        <w:tabs>
          <w:tab w:val="left" w:pos="851"/>
        </w:tabs>
        <w:ind w:left="851"/>
        <w:rPr>
          <w:sz w:val="24"/>
          <w:szCs w:val="24"/>
        </w:rPr>
      </w:pPr>
    </w:p>
    <w:p w:rsidR="003B7FE0" w:rsidRPr="003B7FE0" w:rsidRDefault="003B7FE0" w:rsidP="003B7FE0">
      <w:pPr>
        <w:tabs>
          <w:tab w:val="left" w:pos="851"/>
        </w:tabs>
        <w:ind w:left="851"/>
        <w:rPr>
          <w:sz w:val="24"/>
          <w:szCs w:val="24"/>
        </w:rPr>
      </w:pPr>
      <w:r w:rsidRPr="003B7FE0">
        <w:rPr>
          <w:sz w:val="24"/>
          <w:szCs w:val="24"/>
        </w:rPr>
        <w:t>Ikke alle pakningsstørrelser er nødvendigvis markedsført.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A05B3D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2E7313" w:rsidRPr="002E7313" w:rsidRDefault="002E7313" w:rsidP="002E7313">
      <w:pPr>
        <w:tabs>
          <w:tab w:val="left" w:pos="851"/>
        </w:tabs>
        <w:ind w:left="851"/>
        <w:rPr>
          <w:sz w:val="24"/>
          <w:szCs w:val="24"/>
        </w:rPr>
      </w:pPr>
      <w:r w:rsidRPr="002E7313">
        <w:rPr>
          <w:sz w:val="24"/>
          <w:szCs w:val="24"/>
        </w:rPr>
        <w:t>Ingen særlige krav</w:t>
      </w:r>
      <w:r w:rsidR="008D7D2C">
        <w:rPr>
          <w:sz w:val="24"/>
          <w:szCs w:val="24"/>
        </w:rPr>
        <w:t>.</w:t>
      </w:r>
    </w:p>
    <w:p w:rsidR="002E7313" w:rsidRPr="002E7313" w:rsidRDefault="002E7313" w:rsidP="002E7313">
      <w:pPr>
        <w:tabs>
          <w:tab w:val="left" w:pos="851"/>
        </w:tabs>
        <w:ind w:left="851"/>
        <w:rPr>
          <w:sz w:val="24"/>
          <w:szCs w:val="24"/>
        </w:rPr>
      </w:pPr>
    </w:p>
    <w:p w:rsidR="002E7313" w:rsidRPr="002E7313" w:rsidRDefault="002E7313" w:rsidP="002E7313">
      <w:pPr>
        <w:tabs>
          <w:tab w:val="left" w:pos="851"/>
        </w:tabs>
        <w:ind w:left="851"/>
        <w:rPr>
          <w:sz w:val="24"/>
          <w:szCs w:val="24"/>
        </w:rPr>
      </w:pPr>
      <w:r w:rsidRPr="002E7313">
        <w:rPr>
          <w:sz w:val="24"/>
          <w:szCs w:val="24"/>
        </w:rPr>
        <w:t>Ikke anvendt lægemiddel samt affald heraf skal bortskaffes i henhold til lokale retningslinjer.</w:t>
      </w:r>
    </w:p>
    <w:p w:rsidR="009260DE" w:rsidRPr="00C8448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8D7D2C" w:rsidRPr="008D7D2C" w:rsidRDefault="008D7D2C" w:rsidP="008D7D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8D7D2C">
        <w:rPr>
          <w:sz w:val="24"/>
          <w:szCs w:val="24"/>
        </w:rPr>
        <w:t>Abcur</w:t>
      </w:r>
      <w:proofErr w:type="spellEnd"/>
      <w:r w:rsidRPr="008D7D2C">
        <w:rPr>
          <w:sz w:val="24"/>
          <w:szCs w:val="24"/>
        </w:rPr>
        <w:t xml:space="preserve"> AB</w:t>
      </w:r>
    </w:p>
    <w:p w:rsidR="008D7D2C" w:rsidRPr="008D7D2C" w:rsidRDefault="008D7D2C" w:rsidP="008D7D2C">
      <w:pPr>
        <w:tabs>
          <w:tab w:val="left" w:pos="851"/>
        </w:tabs>
        <w:ind w:left="851"/>
        <w:rPr>
          <w:sz w:val="24"/>
          <w:szCs w:val="24"/>
        </w:rPr>
      </w:pPr>
      <w:r w:rsidRPr="008D7D2C">
        <w:rPr>
          <w:sz w:val="24"/>
          <w:szCs w:val="24"/>
        </w:rPr>
        <w:t>Boks 1452</w:t>
      </w:r>
    </w:p>
    <w:p w:rsidR="008D7D2C" w:rsidRDefault="008D7D2C" w:rsidP="008D7D2C">
      <w:pPr>
        <w:tabs>
          <w:tab w:val="left" w:pos="851"/>
        </w:tabs>
        <w:ind w:left="851"/>
        <w:rPr>
          <w:sz w:val="24"/>
          <w:szCs w:val="24"/>
        </w:rPr>
      </w:pPr>
      <w:r w:rsidRPr="008D7D2C">
        <w:rPr>
          <w:sz w:val="24"/>
          <w:szCs w:val="24"/>
        </w:rPr>
        <w:t>251 14 Helsingborg</w:t>
      </w:r>
    </w:p>
    <w:p w:rsidR="008D7D2C" w:rsidRPr="008D7D2C" w:rsidRDefault="008D7D2C" w:rsidP="008D7D2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Sverige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A05B3D">
        <w:rPr>
          <w:b/>
          <w:sz w:val="24"/>
          <w:szCs w:val="24"/>
        </w:rPr>
        <w:t>-</w:t>
      </w:r>
      <w:bookmarkStart w:id="1" w:name="_GoBack"/>
      <w:bookmarkEnd w:id="1"/>
      <w:r w:rsidRPr="00C84483">
        <w:rPr>
          <w:b/>
          <w:sz w:val="24"/>
          <w:szCs w:val="24"/>
        </w:rPr>
        <w:t>NUMRE)</w:t>
      </w:r>
    </w:p>
    <w:p w:rsidR="009260DE" w:rsidRPr="00C84483" w:rsidRDefault="008D7D2C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65959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260DE" w:rsidRPr="00C84483" w:rsidRDefault="00045813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september 2021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D20791" w:rsidRPr="00C84483" w:rsidRDefault="00D20791" w:rsidP="00D2079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juni 2023</w:t>
      </w:r>
    </w:p>
    <w:p w:rsidR="00D20791" w:rsidRPr="00C84483" w:rsidRDefault="00D20791" w:rsidP="00D20791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D20791">
      <w:pPr>
        <w:tabs>
          <w:tab w:val="left" w:pos="851"/>
        </w:tabs>
        <w:ind w:left="851"/>
        <w:rPr>
          <w:sz w:val="24"/>
          <w:szCs w:val="24"/>
        </w:rPr>
      </w:pPr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B5C" w:rsidRDefault="00570B5C">
      <w:r>
        <w:separator/>
      </w:r>
    </w:p>
  </w:endnote>
  <w:endnote w:type="continuationSeparator" w:id="0">
    <w:p w:rsidR="00570B5C" w:rsidRDefault="0057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B6733">
      <w:rPr>
        <w:i/>
        <w:noProof/>
        <w:sz w:val="18"/>
        <w:szCs w:val="18"/>
      </w:rPr>
      <w:t>Fenylefrin Abcur, injektionsvæske, opløsning 0,1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B5C" w:rsidRDefault="00570B5C">
      <w:r>
        <w:separator/>
      </w:r>
    </w:p>
  </w:footnote>
  <w:footnote w:type="continuationSeparator" w:id="0">
    <w:p w:rsidR="00570B5C" w:rsidRDefault="0057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F9F354F"/>
    <w:multiLevelType w:val="hybridMultilevel"/>
    <w:tmpl w:val="B22A924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C7936B3"/>
    <w:multiLevelType w:val="hybridMultilevel"/>
    <w:tmpl w:val="E54E76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C"/>
    <w:rsid w:val="000259B9"/>
    <w:rsid w:val="00041491"/>
    <w:rsid w:val="00045813"/>
    <w:rsid w:val="00050D16"/>
    <w:rsid w:val="000730CA"/>
    <w:rsid w:val="000745A1"/>
    <w:rsid w:val="00074F2A"/>
    <w:rsid w:val="000A1CA8"/>
    <w:rsid w:val="000A466B"/>
    <w:rsid w:val="000B058C"/>
    <w:rsid w:val="000E4EE6"/>
    <w:rsid w:val="001454E2"/>
    <w:rsid w:val="00180A82"/>
    <w:rsid w:val="00197ACD"/>
    <w:rsid w:val="00206CE8"/>
    <w:rsid w:val="0021526C"/>
    <w:rsid w:val="00283A2B"/>
    <w:rsid w:val="002B30AD"/>
    <w:rsid w:val="002B6733"/>
    <w:rsid w:val="002C2C01"/>
    <w:rsid w:val="002E7313"/>
    <w:rsid w:val="003A29AE"/>
    <w:rsid w:val="003A32D7"/>
    <w:rsid w:val="003B4074"/>
    <w:rsid w:val="003B7FE0"/>
    <w:rsid w:val="003C769A"/>
    <w:rsid w:val="003F1838"/>
    <w:rsid w:val="003F4865"/>
    <w:rsid w:val="00451D01"/>
    <w:rsid w:val="0045746C"/>
    <w:rsid w:val="0047514C"/>
    <w:rsid w:val="0049104B"/>
    <w:rsid w:val="004E3B12"/>
    <w:rsid w:val="004F3ED3"/>
    <w:rsid w:val="00524CB8"/>
    <w:rsid w:val="00531FC7"/>
    <w:rsid w:val="00532310"/>
    <w:rsid w:val="00565F0F"/>
    <w:rsid w:val="00570B5C"/>
    <w:rsid w:val="00594A86"/>
    <w:rsid w:val="00596D86"/>
    <w:rsid w:val="005B0C52"/>
    <w:rsid w:val="00637F5A"/>
    <w:rsid w:val="006560B1"/>
    <w:rsid w:val="006605CB"/>
    <w:rsid w:val="006756DD"/>
    <w:rsid w:val="006873EB"/>
    <w:rsid w:val="006A233A"/>
    <w:rsid w:val="00737275"/>
    <w:rsid w:val="00740EEC"/>
    <w:rsid w:val="0078011A"/>
    <w:rsid w:val="00782AF4"/>
    <w:rsid w:val="00790EE7"/>
    <w:rsid w:val="007B6649"/>
    <w:rsid w:val="0082576E"/>
    <w:rsid w:val="008D7D2C"/>
    <w:rsid w:val="00907F75"/>
    <w:rsid w:val="009240A2"/>
    <w:rsid w:val="009260DE"/>
    <w:rsid w:val="0093258A"/>
    <w:rsid w:val="009C7BA3"/>
    <w:rsid w:val="009D1F5A"/>
    <w:rsid w:val="00A05B3D"/>
    <w:rsid w:val="00A10294"/>
    <w:rsid w:val="00A24F61"/>
    <w:rsid w:val="00A54A44"/>
    <w:rsid w:val="00A63864"/>
    <w:rsid w:val="00AB75A3"/>
    <w:rsid w:val="00B003BF"/>
    <w:rsid w:val="00B2378E"/>
    <w:rsid w:val="00B373D7"/>
    <w:rsid w:val="00B43E1B"/>
    <w:rsid w:val="00BD4A16"/>
    <w:rsid w:val="00C36276"/>
    <w:rsid w:val="00C42586"/>
    <w:rsid w:val="00C60307"/>
    <w:rsid w:val="00C60CCD"/>
    <w:rsid w:val="00C84483"/>
    <w:rsid w:val="00C95551"/>
    <w:rsid w:val="00CB20D7"/>
    <w:rsid w:val="00CE4209"/>
    <w:rsid w:val="00D020B0"/>
    <w:rsid w:val="00D11748"/>
    <w:rsid w:val="00D20791"/>
    <w:rsid w:val="00D366CF"/>
    <w:rsid w:val="00D50399"/>
    <w:rsid w:val="00D516FA"/>
    <w:rsid w:val="00E07138"/>
    <w:rsid w:val="00E108AA"/>
    <w:rsid w:val="00E3749A"/>
    <w:rsid w:val="00E7437F"/>
    <w:rsid w:val="00E865B8"/>
    <w:rsid w:val="00EC0B9B"/>
    <w:rsid w:val="00ED5E9F"/>
    <w:rsid w:val="00EF25D5"/>
    <w:rsid w:val="00F077D6"/>
    <w:rsid w:val="00F66D4F"/>
    <w:rsid w:val="00F94C26"/>
    <w:rsid w:val="00F961A1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92269"/>
  <w15:chartTrackingRefBased/>
  <w15:docId w15:val="{FB93D780-6E82-48A2-B60E-869BED29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B3D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AmmCorpsTexte">
    <w:name w:val="AmmCorpsTexte"/>
    <w:basedOn w:val="Normal"/>
    <w:rsid w:val="00EF25D5"/>
    <w:pPr>
      <w:spacing w:after="120"/>
      <w:jc w:val="both"/>
    </w:pPr>
    <w:rPr>
      <w:rFonts w:ascii="Arial" w:hAnsi="Arial"/>
      <w:sz w:val="20"/>
      <w:lang w:eastAsia="fr-FR"/>
    </w:rPr>
  </w:style>
  <w:style w:type="paragraph" w:customStyle="1" w:styleId="EMEAEnBodyText">
    <w:name w:val="EMEA En Body Text"/>
    <w:basedOn w:val="Normal"/>
    <w:rsid w:val="00EF25D5"/>
    <w:pPr>
      <w:spacing w:before="120" w:after="120"/>
      <w:jc w:val="both"/>
    </w:pPr>
    <w:rPr>
      <w:sz w:val="22"/>
    </w:rPr>
  </w:style>
  <w:style w:type="paragraph" w:customStyle="1" w:styleId="ammlistepuces1">
    <w:name w:val="ammlistepuces1"/>
    <w:basedOn w:val="Normal"/>
    <w:rsid w:val="00EF25D5"/>
    <w:pPr>
      <w:spacing w:before="100" w:beforeAutospacing="1" w:after="100" w:afterAutospacing="1"/>
    </w:pPr>
    <w:rPr>
      <w:sz w:val="24"/>
      <w:szCs w:val="24"/>
      <w:lang w:eastAsia="fr-FR"/>
    </w:rPr>
  </w:style>
  <w:style w:type="paragraph" w:customStyle="1" w:styleId="ammcorpstexte0">
    <w:name w:val="ammcorpstexte"/>
    <w:basedOn w:val="Normal"/>
    <w:rsid w:val="00B2378E"/>
    <w:pPr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1459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Victoria Becker</dc:creator>
  <cp:keywords/>
  <dc:description>2022093739_x000d_
SPC pkt. 4.2, 4.3, 4.4, 4.5</dc:description>
  <cp:lastModifiedBy>Victoria Becker</cp:lastModifiedBy>
  <cp:revision>4</cp:revision>
  <cp:lastPrinted>2012-08-22T08:53:00Z</cp:lastPrinted>
  <dcterms:created xsi:type="dcterms:W3CDTF">2023-05-30T09:40:00Z</dcterms:created>
  <dcterms:modified xsi:type="dcterms:W3CDTF">2023-05-30T09:50:00Z</dcterms:modified>
</cp:coreProperties>
</file>