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ED0C72">
        <w:rPr>
          <w:szCs w:val="24"/>
        </w:rPr>
        <w:t>23. november 2023</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A37D81" w:rsidP="009260DE">
      <w:pPr>
        <w:jc w:val="center"/>
        <w:rPr>
          <w:b/>
          <w:sz w:val="24"/>
          <w:szCs w:val="24"/>
        </w:rPr>
      </w:pPr>
      <w:proofErr w:type="spellStart"/>
      <w:r>
        <w:rPr>
          <w:b/>
          <w:sz w:val="24"/>
          <w:szCs w:val="24"/>
        </w:rPr>
        <w:t>Fesoterodin</w:t>
      </w:r>
      <w:proofErr w:type="spellEnd"/>
      <w:r>
        <w:rPr>
          <w:b/>
          <w:sz w:val="24"/>
          <w:szCs w:val="24"/>
        </w:rPr>
        <w:t xml:space="preserve"> "</w:t>
      </w:r>
      <w:proofErr w:type="spellStart"/>
      <w:r>
        <w:rPr>
          <w:b/>
          <w:sz w:val="24"/>
          <w:szCs w:val="24"/>
        </w:rPr>
        <w:t>Accord</w:t>
      </w:r>
      <w:proofErr w:type="spellEnd"/>
      <w:r>
        <w:rPr>
          <w:b/>
          <w:sz w:val="24"/>
          <w:szCs w:val="24"/>
        </w:rPr>
        <w:t>", depottabletter 4 mg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5672B6" w:rsidP="009260DE">
      <w:pPr>
        <w:tabs>
          <w:tab w:val="left" w:pos="851"/>
        </w:tabs>
        <w:ind w:left="851"/>
        <w:rPr>
          <w:sz w:val="24"/>
          <w:szCs w:val="24"/>
        </w:rPr>
      </w:pPr>
      <w:r>
        <w:rPr>
          <w:sz w:val="24"/>
          <w:szCs w:val="24"/>
        </w:rPr>
        <w:t>32021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615560" w:rsidP="009260DE">
      <w:pPr>
        <w:tabs>
          <w:tab w:val="left" w:pos="851"/>
        </w:tabs>
        <w:ind w:left="851"/>
        <w:rPr>
          <w:sz w:val="24"/>
          <w:szCs w:val="24"/>
        </w:rPr>
      </w:pPr>
      <w:proofErr w:type="spellStart"/>
      <w:r>
        <w:rPr>
          <w:sz w:val="24"/>
          <w:szCs w:val="24"/>
        </w:rPr>
        <w:t>Fesoterodin</w:t>
      </w:r>
      <w:proofErr w:type="spellEnd"/>
      <w:r>
        <w:rPr>
          <w:sz w:val="24"/>
          <w:szCs w:val="24"/>
        </w:rPr>
        <w:t xml:space="preserve"> "</w:t>
      </w:r>
      <w:proofErr w:type="spellStart"/>
      <w:r>
        <w:rPr>
          <w:sz w:val="24"/>
          <w:szCs w:val="24"/>
        </w:rPr>
        <w:t>Accord</w:t>
      </w:r>
      <w:proofErr w:type="spellEnd"/>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A0907" w:rsidRDefault="00EA0907" w:rsidP="00EA0907">
      <w:pPr>
        <w:ind w:left="851"/>
        <w:rPr>
          <w:sz w:val="24"/>
          <w:szCs w:val="24"/>
        </w:rPr>
      </w:pPr>
      <w:r>
        <w:rPr>
          <w:sz w:val="24"/>
          <w:szCs w:val="24"/>
        </w:rPr>
        <w:t xml:space="preserve">Hver depottablet indeholder 4 mg </w:t>
      </w:r>
      <w:proofErr w:type="spellStart"/>
      <w:r>
        <w:rPr>
          <w:sz w:val="24"/>
          <w:szCs w:val="24"/>
        </w:rPr>
        <w:t>fesoterodinfumarat</w:t>
      </w:r>
      <w:proofErr w:type="spellEnd"/>
      <w:r>
        <w:rPr>
          <w:sz w:val="24"/>
          <w:szCs w:val="24"/>
        </w:rPr>
        <w:t xml:space="preserve"> svarende til 3,1 mg </w:t>
      </w:r>
      <w:proofErr w:type="spellStart"/>
      <w:r>
        <w:rPr>
          <w:sz w:val="24"/>
          <w:szCs w:val="24"/>
        </w:rPr>
        <w:t>fesoterodin</w:t>
      </w:r>
      <w:proofErr w:type="spellEnd"/>
      <w:r>
        <w:rPr>
          <w:sz w:val="24"/>
          <w:szCs w:val="24"/>
        </w:rPr>
        <w:t>.</w:t>
      </w:r>
    </w:p>
    <w:p w:rsidR="00EA0907" w:rsidRDefault="00EA0907" w:rsidP="00EA0907">
      <w:pPr>
        <w:ind w:left="851"/>
        <w:rPr>
          <w:sz w:val="24"/>
          <w:szCs w:val="24"/>
        </w:rPr>
      </w:pPr>
    </w:p>
    <w:p w:rsidR="00EA0907" w:rsidRPr="00615560" w:rsidRDefault="00EA0907" w:rsidP="00EA0907">
      <w:pPr>
        <w:ind w:left="851"/>
        <w:rPr>
          <w:sz w:val="24"/>
          <w:szCs w:val="24"/>
          <w:u w:val="single"/>
        </w:rPr>
      </w:pPr>
      <w:r w:rsidRPr="00615560">
        <w:rPr>
          <w:sz w:val="24"/>
          <w:szCs w:val="24"/>
          <w:u w:val="single"/>
        </w:rPr>
        <w:t>Hjælpestoffer, som behandleren skal være opmærksom på</w:t>
      </w:r>
    </w:p>
    <w:p w:rsidR="00EA0907" w:rsidRDefault="00EA0907" w:rsidP="00EA0907">
      <w:pPr>
        <w:ind w:left="851"/>
        <w:rPr>
          <w:sz w:val="24"/>
          <w:szCs w:val="24"/>
        </w:rPr>
      </w:pPr>
      <w:r>
        <w:rPr>
          <w:sz w:val="24"/>
          <w:szCs w:val="24"/>
        </w:rPr>
        <w:t xml:space="preserve">Hver 4 mg depottablet indeholder 0,3 mg </w:t>
      </w:r>
      <w:proofErr w:type="spellStart"/>
      <w:r>
        <w:rPr>
          <w:sz w:val="24"/>
          <w:szCs w:val="24"/>
        </w:rPr>
        <w:t>sojalecithin</w:t>
      </w:r>
      <w:proofErr w:type="spellEnd"/>
      <w:r>
        <w:rPr>
          <w:sz w:val="24"/>
          <w:szCs w:val="24"/>
        </w:rPr>
        <w:t xml:space="preserve"> og 70 mg </w:t>
      </w:r>
      <w:proofErr w:type="spellStart"/>
      <w:r>
        <w:rPr>
          <w:sz w:val="24"/>
          <w:szCs w:val="24"/>
        </w:rPr>
        <w:t>lactose</w:t>
      </w:r>
      <w:proofErr w:type="spellEnd"/>
      <w:r>
        <w:rPr>
          <w:sz w:val="24"/>
          <w:szCs w:val="24"/>
        </w:rPr>
        <w:t>.</w:t>
      </w:r>
    </w:p>
    <w:p w:rsidR="00EA0907" w:rsidRDefault="00EA0907" w:rsidP="00EA0907">
      <w:pPr>
        <w:ind w:left="851"/>
        <w:rPr>
          <w:sz w:val="24"/>
          <w:szCs w:val="24"/>
        </w:rPr>
      </w:pPr>
    </w:p>
    <w:p w:rsidR="00EA0907" w:rsidRDefault="00EA0907" w:rsidP="00EA0907">
      <w:pPr>
        <w:ind w:left="851"/>
        <w:rPr>
          <w:sz w:val="24"/>
          <w:szCs w:val="24"/>
        </w:rPr>
      </w:pPr>
      <w:r>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615560" w:rsidRDefault="00615560" w:rsidP="00615560">
      <w:pPr>
        <w:ind w:left="851"/>
        <w:rPr>
          <w:sz w:val="24"/>
          <w:szCs w:val="24"/>
        </w:rPr>
      </w:pPr>
      <w:r>
        <w:rPr>
          <w:sz w:val="24"/>
          <w:szCs w:val="24"/>
        </w:rPr>
        <w:t>Depottabletter</w:t>
      </w:r>
    </w:p>
    <w:p w:rsidR="00615560" w:rsidRDefault="00615560" w:rsidP="00615560">
      <w:pPr>
        <w:ind w:left="851"/>
        <w:rPr>
          <w:sz w:val="24"/>
          <w:szCs w:val="24"/>
          <w:u w:val="single"/>
        </w:rPr>
      </w:pPr>
    </w:p>
    <w:p w:rsidR="00615560" w:rsidRDefault="00615560" w:rsidP="00615560">
      <w:pPr>
        <w:ind w:left="851"/>
        <w:rPr>
          <w:sz w:val="24"/>
          <w:szCs w:val="24"/>
        </w:rPr>
      </w:pPr>
      <w:r>
        <w:rPr>
          <w:sz w:val="24"/>
          <w:szCs w:val="24"/>
        </w:rPr>
        <w:t>Gule, ovale, filmovertrukne tabletter, der er præget med "F ׀" på den ene side og glatte på den anden side. Tabletten måler ca. 13,2×6,7 mm.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15560" w:rsidRPr="00615560" w:rsidRDefault="00615560" w:rsidP="00615560">
      <w:pPr>
        <w:tabs>
          <w:tab w:val="left" w:pos="851"/>
        </w:tabs>
        <w:ind w:left="851"/>
        <w:rPr>
          <w:sz w:val="24"/>
          <w:szCs w:val="24"/>
        </w:rPr>
      </w:pPr>
      <w:proofErr w:type="spellStart"/>
      <w:r w:rsidRPr="00615560">
        <w:rPr>
          <w:sz w:val="24"/>
          <w:szCs w:val="24"/>
        </w:rPr>
        <w:t>Fesoterodin</w:t>
      </w:r>
      <w:proofErr w:type="spellEnd"/>
      <w:r w:rsidRPr="00615560">
        <w:rPr>
          <w:sz w:val="24"/>
          <w:szCs w:val="24"/>
        </w:rPr>
        <w:t xml:space="preserve"> "</w:t>
      </w:r>
      <w:proofErr w:type="spellStart"/>
      <w:r w:rsidRPr="00615560">
        <w:rPr>
          <w:sz w:val="24"/>
          <w:szCs w:val="24"/>
        </w:rPr>
        <w:t>Accord</w:t>
      </w:r>
      <w:proofErr w:type="spellEnd"/>
      <w:r w:rsidRPr="00615560">
        <w:rPr>
          <w:sz w:val="24"/>
          <w:szCs w:val="24"/>
        </w:rPr>
        <w:t xml:space="preserve">" er indiceret til voksne til behandling af de symptomer (hyppig vandladning og/eller </w:t>
      </w:r>
      <w:proofErr w:type="spellStart"/>
      <w:r w:rsidRPr="00615560">
        <w:rPr>
          <w:sz w:val="24"/>
          <w:szCs w:val="24"/>
        </w:rPr>
        <w:t>imperiøs</w:t>
      </w:r>
      <w:proofErr w:type="spellEnd"/>
      <w:r w:rsidRPr="00615560">
        <w:rPr>
          <w:sz w:val="24"/>
          <w:szCs w:val="24"/>
        </w:rPr>
        <w:t xml:space="preserve"> vandladningstrang og/eller </w:t>
      </w:r>
      <w:proofErr w:type="spellStart"/>
      <w:r w:rsidRPr="00615560">
        <w:rPr>
          <w:sz w:val="24"/>
          <w:szCs w:val="24"/>
        </w:rPr>
        <w:t>urgeinkontinens</w:t>
      </w:r>
      <w:proofErr w:type="spellEnd"/>
      <w:r w:rsidRPr="00615560">
        <w:rPr>
          <w:sz w:val="24"/>
          <w:szCs w:val="24"/>
        </w:rPr>
        <w:t>), som kan forekomme med overaktiv blære.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ED0C72">
        <w:rPr>
          <w:b/>
          <w:sz w:val="24"/>
          <w:szCs w:val="24"/>
        </w:rPr>
        <w:t>administration</w:t>
      </w:r>
    </w:p>
    <w:p w:rsidR="00615560" w:rsidRDefault="00615560" w:rsidP="00615560">
      <w:pPr>
        <w:ind w:left="851"/>
        <w:rPr>
          <w:sz w:val="24"/>
          <w:szCs w:val="24"/>
          <w:u w:val="single"/>
        </w:rPr>
      </w:pPr>
    </w:p>
    <w:p w:rsidR="00615560" w:rsidRPr="001A41D7" w:rsidRDefault="00615560" w:rsidP="00615560">
      <w:pPr>
        <w:ind w:left="851"/>
        <w:rPr>
          <w:b/>
          <w:sz w:val="24"/>
          <w:szCs w:val="24"/>
        </w:rPr>
      </w:pPr>
      <w:r w:rsidRPr="001A41D7">
        <w:rPr>
          <w:b/>
          <w:sz w:val="24"/>
          <w:szCs w:val="24"/>
        </w:rPr>
        <w:t>Dosering</w:t>
      </w:r>
    </w:p>
    <w:p w:rsidR="00615560" w:rsidRDefault="00615560" w:rsidP="00615560">
      <w:pPr>
        <w:ind w:left="851"/>
        <w:rPr>
          <w:sz w:val="24"/>
          <w:szCs w:val="24"/>
        </w:rPr>
      </w:pPr>
    </w:p>
    <w:p w:rsidR="00615560" w:rsidRPr="001A41D7" w:rsidRDefault="00615560" w:rsidP="00615560">
      <w:pPr>
        <w:ind w:left="851"/>
        <w:rPr>
          <w:sz w:val="24"/>
          <w:szCs w:val="24"/>
          <w:u w:val="single"/>
        </w:rPr>
      </w:pPr>
      <w:r w:rsidRPr="001A41D7">
        <w:rPr>
          <w:sz w:val="24"/>
          <w:szCs w:val="24"/>
          <w:u w:val="single"/>
        </w:rPr>
        <w:t>Voksne (herunder ældre)</w:t>
      </w:r>
    </w:p>
    <w:p w:rsidR="00615560" w:rsidRDefault="00615560" w:rsidP="00615560">
      <w:pPr>
        <w:ind w:left="851"/>
        <w:rPr>
          <w:sz w:val="24"/>
          <w:szCs w:val="24"/>
        </w:rPr>
      </w:pPr>
      <w:r>
        <w:rPr>
          <w:sz w:val="24"/>
          <w:szCs w:val="24"/>
        </w:rPr>
        <w:t>Den anbefalede startdosis er 4 mg én gang dagligt. På basis af individuelt respons kan dosis øges til 8 mg én gang dagligt.</w:t>
      </w:r>
    </w:p>
    <w:p w:rsidR="00615560" w:rsidRDefault="00615560" w:rsidP="00615560">
      <w:pPr>
        <w:ind w:left="851"/>
        <w:rPr>
          <w:sz w:val="24"/>
          <w:szCs w:val="24"/>
        </w:rPr>
      </w:pPr>
      <w:r>
        <w:rPr>
          <w:sz w:val="24"/>
          <w:szCs w:val="24"/>
        </w:rPr>
        <w:lastRenderedPageBreak/>
        <w:t>Den maksimale daglige dosis er 8 mg.</w:t>
      </w:r>
    </w:p>
    <w:p w:rsidR="00615560" w:rsidRDefault="00615560" w:rsidP="00615560">
      <w:pPr>
        <w:ind w:left="851"/>
        <w:rPr>
          <w:sz w:val="24"/>
          <w:szCs w:val="24"/>
        </w:rPr>
      </w:pPr>
    </w:p>
    <w:p w:rsidR="00615560" w:rsidRDefault="00615560" w:rsidP="00615560">
      <w:pPr>
        <w:ind w:left="851"/>
        <w:rPr>
          <w:sz w:val="24"/>
          <w:szCs w:val="24"/>
        </w:rPr>
      </w:pPr>
      <w:r>
        <w:rPr>
          <w:sz w:val="24"/>
          <w:szCs w:val="24"/>
        </w:rPr>
        <w:t>Fuld behandlingseffekt blev set efter mellem 2 og 8 uger. Det anbefales derfor, at virkningen hos den enkelte patient reevalueres efter 8 ugers behandling.</w:t>
      </w:r>
    </w:p>
    <w:p w:rsidR="00615560" w:rsidRDefault="00615560" w:rsidP="00615560">
      <w:pPr>
        <w:ind w:left="851"/>
        <w:rPr>
          <w:sz w:val="24"/>
          <w:szCs w:val="24"/>
        </w:rPr>
      </w:pPr>
    </w:p>
    <w:p w:rsidR="00615560" w:rsidRDefault="00615560" w:rsidP="00615560">
      <w:pPr>
        <w:ind w:left="851"/>
        <w:rPr>
          <w:sz w:val="24"/>
          <w:szCs w:val="24"/>
        </w:rPr>
      </w:pPr>
      <w:r>
        <w:rPr>
          <w:sz w:val="24"/>
          <w:szCs w:val="24"/>
        </w:rPr>
        <w:t xml:space="preserve">Den maksimale daglige dosis </w:t>
      </w:r>
      <w:proofErr w:type="spellStart"/>
      <w:r>
        <w:rPr>
          <w:rFonts w:eastAsiaTheme="minorHAnsi"/>
          <w:sz w:val="24"/>
          <w:szCs w:val="24"/>
        </w:rPr>
        <w:t>Fesoterodin</w:t>
      </w:r>
      <w:proofErr w:type="spellEnd"/>
      <w:r>
        <w:rPr>
          <w:rFonts w:eastAsiaTheme="minorHAnsi"/>
          <w:sz w:val="24"/>
          <w:szCs w:val="24"/>
        </w:rPr>
        <w:t xml:space="preserve"> "</w:t>
      </w:r>
      <w:proofErr w:type="spellStart"/>
      <w:r>
        <w:rPr>
          <w:rFonts w:eastAsiaTheme="minorHAnsi"/>
          <w:sz w:val="24"/>
          <w:szCs w:val="24"/>
        </w:rPr>
        <w:t>Accord</w:t>
      </w:r>
      <w:proofErr w:type="spellEnd"/>
      <w:r>
        <w:rPr>
          <w:rFonts w:eastAsiaTheme="minorHAnsi"/>
          <w:sz w:val="24"/>
          <w:szCs w:val="24"/>
        </w:rPr>
        <w:t>"</w:t>
      </w:r>
      <w:r>
        <w:rPr>
          <w:sz w:val="24"/>
          <w:szCs w:val="24"/>
        </w:rPr>
        <w:t xml:space="preserve"> hos patienter med normal nyre- og leverfunktion, der samtidig behandles med potente CYP3A4-hæmmere, bør være 4 mg én gang dagligt (se pkt. 4.5).</w:t>
      </w:r>
    </w:p>
    <w:p w:rsidR="00615560" w:rsidRDefault="00615560" w:rsidP="00615560">
      <w:pPr>
        <w:ind w:left="851"/>
        <w:rPr>
          <w:sz w:val="24"/>
          <w:szCs w:val="24"/>
        </w:rPr>
      </w:pPr>
    </w:p>
    <w:p w:rsidR="00615560" w:rsidRPr="001A41D7" w:rsidRDefault="00615560" w:rsidP="00615560">
      <w:pPr>
        <w:ind w:left="851"/>
        <w:rPr>
          <w:iCs/>
          <w:sz w:val="24"/>
          <w:szCs w:val="24"/>
          <w:u w:val="single"/>
        </w:rPr>
      </w:pPr>
      <w:r w:rsidRPr="001A41D7">
        <w:rPr>
          <w:iCs/>
          <w:sz w:val="24"/>
          <w:szCs w:val="24"/>
          <w:u w:val="single"/>
        </w:rPr>
        <w:t>Særlige populationer</w:t>
      </w:r>
    </w:p>
    <w:p w:rsidR="00615560" w:rsidRDefault="00615560" w:rsidP="00615560">
      <w:pPr>
        <w:ind w:left="851"/>
        <w:rPr>
          <w:sz w:val="24"/>
          <w:szCs w:val="24"/>
        </w:rPr>
      </w:pPr>
    </w:p>
    <w:p w:rsidR="00615560" w:rsidRPr="001A41D7" w:rsidRDefault="00615560" w:rsidP="00615560">
      <w:pPr>
        <w:ind w:left="851"/>
        <w:rPr>
          <w:i/>
          <w:iCs/>
          <w:sz w:val="24"/>
          <w:szCs w:val="24"/>
        </w:rPr>
      </w:pPr>
      <w:r w:rsidRPr="001A41D7">
        <w:rPr>
          <w:i/>
          <w:iCs/>
          <w:sz w:val="24"/>
          <w:szCs w:val="24"/>
        </w:rPr>
        <w:t>Nedsat nyre- og leverfunktion</w:t>
      </w:r>
    </w:p>
    <w:p w:rsidR="00615560" w:rsidRDefault="00615560" w:rsidP="00615560">
      <w:pPr>
        <w:ind w:left="851"/>
        <w:rPr>
          <w:sz w:val="24"/>
          <w:szCs w:val="24"/>
        </w:rPr>
      </w:pPr>
      <w:r>
        <w:rPr>
          <w:sz w:val="24"/>
          <w:szCs w:val="24"/>
        </w:rPr>
        <w:t>Følgende tabel angiver dosisrekommandationer for patienter med nedsat nyre- og leverfunktion, både med og uden samtidig behandling med potente CYP3A4-hæmmere (se pkt. 4.3, 4.4, 4.5 og 5.2).</w:t>
      </w:r>
    </w:p>
    <w:p w:rsidR="00615560" w:rsidRDefault="00615560" w:rsidP="00615560">
      <w:pPr>
        <w:pStyle w:val="Brdtekst"/>
        <w:rPr>
          <w:sz w:val="24"/>
          <w:szCs w:val="24"/>
          <w:lang w:val="da-DK"/>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86"/>
        <w:gridCol w:w="1662"/>
        <w:gridCol w:w="1908"/>
        <w:gridCol w:w="1889"/>
        <w:gridCol w:w="1983"/>
      </w:tblGrid>
      <w:tr w:rsidR="00615560" w:rsidTr="00615560">
        <w:trPr>
          <w:trHeight w:val="251"/>
        </w:trPr>
        <w:tc>
          <w:tcPr>
            <w:tcW w:w="1998" w:type="pct"/>
            <w:gridSpan w:val="2"/>
            <w:vMerge w:val="restart"/>
            <w:tcBorders>
              <w:top w:val="single" w:sz="4" w:space="0" w:color="000000"/>
              <w:left w:val="single" w:sz="4" w:space="0" w:color="000000"/>
              <w:bottom w:val="single" w:sz="4" w:space="0" w:color="000000"/>
              <w:right w:val="single" w:sz="4" w:space="0" w:color="000000"/>
            </w:tcBorders>
          </w:tcPr>
          <w:p w:rsidR="00615560" w:rsidRDefault="00615560">
            <w:pPr>
              <w:pStyle w:val="TableParagraph"/>
              <w:spacing w:line="240" w:lineRule="auto"/>
              <w:rPr>
                <w:lang w:val="da-DK"/>
              </w:rPr>
            </w:pPr>
          </w:p>
        </w:tc>
        <w:tc>
          <w:tcPr>
            <w:tcW w:w="3002" w:type="pct"/>
            <w:gridSpan w:val="3"/>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proofErr w:type="gramStart"/>
            <w:r>
              <w:rPr>
                <w:spacing w:val="-7"/>
                <w:lang w:val="da-DK"/>
              </w:rPr>
              <w:t>M</w:t>
            </w:r>
            <w:r>
              <w:rPr>
                <w:lang w:val="da-DK"/>
              </w:rPr>
              <w:t>od</w:t>
            </w:r>
            <w:r>
              <w:rPr>
                <w:spacing w:val="-4"/>
                <w:lang w:val="da-DK"/>
              </w:rPr>
              <w:t>e</w:t>
            </w:r>
            <w:r>
              <w:rPr>
                <w:spacing w:val="4"/>
                <w:lang w:val="da-DK"/>
              </w:rPr>
              <w:t>r</w:t>
            </w:r>
            <w:r>
              <w:rPr>
                <w:spacing w:val="-4"/>
                <w:lang w:val="da-DK"/>
              </w:rPr>
              <w:t>a</w:t>
            </w:r>
            <w:r>
              <w:rPr>
                <w:spacing w:val="1"/>
                <w:lang w:val="da-DK"/>
              </w:rPr>
              <w:t>te</w:t>
            </w:r>
            <w:r>
              <w:rPr>
                <w:spacing w:val="1"/>
                <w:vertAlign w:val="superscript"/>
                <w:lang w:val="da-DK"/>
              </w:rPr>
              <w:t>(</w:t>
            </w:r>
            <w:proofErr w:type="gramEnd"/>
            <w:r>
              <w:rPr>
                <w:spacing w:val="1"/>
                <w:vertAlign w:val="superscript"/>
                <w:lang w:val="da-DK"/>
              </w:rPr>
              <w:t>3)</w:t>
            </w:r>
            <w:r>
              <w:rPr>
                <w:spacing w:val="1"/>
                <w:lang w:val="da-DK"/>
              </w:rPr>
              <w:t xml:space="preserve"> </w:t>
            </w:r>
            <w:r>
              <w:rPr>
                <w:lang w:val="da-DK"/>
              </w:rPr>
              <w:t>eller</w:t>
            </w:r>
            <w:r>
              <w:rPr>
                <w:spacing w:val="25"/>
                <w:lang w:val="da-DK"/>
              </w:rPr>
              <w:t xml:space="preserve"> </w:t>
            </w:r>
            <w:r>
              <w:rPr>
                <w:lang w:val="da-DK"/>
              </w:rPr>
              <w:t>po</w:t>
            </w:r>
            <w:r>
              <w:rPr>
                <w:spacing w:val="1"/>
                <w:lang w:val="da-DK"/>
              </w:rPr>
              <w:t>t</w:t>
            </w:r>
            <w:r>
              <w:rPr>
                <w:spacing w:val="-4"/>
                <w:lang w:val="da-DK"/>
              </w:rPr>
              <w:t>e</w:t>
            </w:r>
            <w:r>
              <w:rPr>
                <w:lang w:val="da-DK"/>
              </w:rPr>
              <w:t>n</w:t>
            </w:r>
            <w:r>
              <w:rPr>
                <w:spacing w:val="2"/>
                <w:lang w:val="da-DK"/>
              </w:rPr>
              <w:t>te</w:t>
            </w:r>
            <w:r>
              <w:rPr>
                <w:spacing w:val="2"/>
                <w:vertAlign w:val="superscript"/>
                <w:lang w:val="da-DK"/>
              </w:rPr>
              <w:t>(4)</w:t>
            </w:r>
            <w:r>
              <w:rPr>
                <w:spacing w:val="2"/>
                <w:lang w:val="da-DK"/>
              </w:rPr>
              <w:t xml:space="preserve"> </w:t>
            </w:r>
            <w:r>
              <w:rPr>
                <w:lang w:val="da-DK"/>
              </w:rPr>
              <w:t>CYP3A4-hæmmere</w:t>
            </w:r>
          </w:p>
        </w:tc>
      </w:tr>
      <w:tr w:rsidR="00615560" w:rsidTr="00615560">
        <w:trPr>
          <w:trHeight w:val="254"/>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rsidR="00615560" w:rsidRDefault="00615560">
            <w:pPr>
              <w:rPr>
                <w:sz w:val="22"/>
                <w:szCs w:val="22"/>
              </w:rPr>
            </w:pPr>
          </w:p>
        </w:tc>
        <w:tc>
          <w:tcPr>
            <w:tcW w:w="991"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Ingen</w:t>
            </w:r>
          </w:p>
        </w:tc>
        <w:tc>
          <w:tcPr>
            <w:tcW w:w="981"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Moderat</w:t>
            </w:r>
            <w:r>
              <w:rPr>
                <w:vertAlign w:val="superscript"/>
                <w:lang w:val="da-DK"/>
              </w:rPr>
              <w:t>3</w:t>
            </w:r>
          </w:p>
        </w:tc>
        <w:tc>
          <w:tcPr>
            <w:tcW w:w="1030"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Potent</w:t>
            </w:r>
            <w:r>
              <w:rPr>
                <w:vertAlign w:val="superscript"/>
                <w:lang w:val="da-DK"/>
              </w:rPr>
              <w:t>4</w:t>
            </w:r>
          </w:p>
        </w:tc>
      </w:tr>
      <w:tr w:rsidR="00615560" w:rsidTr="00615560">
        <w:trPr>
          <w:trHeight w:val="251"/>
        </w:trPr>
        <w:tc>
          <w:tcPr>
            <w:tcW w:w="1135"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Nedsat nyrefunktion</w:t>
            </w:r>
            <w:r>
              <w:rPr>
                <w:vertAlign w:val="superscript"/>
                <w:lang w:val="da-DK"/>
              </w:rPr>
              <w:t>1</w:t>
            </w:r>
          </w:p>
        </w:tc>
        <w:tc>
          <w:tcPr>
            <w:tcW w:w="863"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Let</w:t>
            </w:r>
          </w:p>
        </w:tc>
        <w:tc>
          <w:tcPr>
            <w:tcW w:w="991"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4→8 mg</w:t>
            </w:r>
            <w:r>
              <w:rPr>
                <w:vertAlign w:val="superscript"/>
                <w:lang w:val="da-DK"/>
              </w:rPr>
              <w:t>2</w:t>
            </w:r>
          </w:p>
        </w:tc>
        <w:tc>
          <w:tcPr>
            <w:tcW w:w="981"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4 mg</w:t>
            </w:r>
          </w:p>
        </w:tc>
        <w:tc>
          <w:tcPr>
            <w:tcW w:w="1030"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Bør undgås</w:t>
            </w:r>
          </w:p>
        </w:tc>
      </w:tr>
      <w:tr w:rsidR="00615560" w:rsidTr="00615560">
        <w:trPr>
          <w:trHeight w:val="254"/>
        </w:trPr>
        <w:tc>
          <w:tcPr>
            <w:tcW w:w="1135" w:type="pct"/>
            <w:tcBorders>
              <w:top w:val="single" w:sz="4" w:space="0" w:color="000000"/>
              <w:left w:val="single" w:sz="4" w:space="0" w:color="000000"/>
              <w:bottom w:val="single" w:sz="4" w:space="0" w:color="000000"/>
              <w:right w:val="single" w:sz="4" w:space="0" w:color="000000"/>
            </w:tcBorders>
          </w:tcPr>
          <w:p w:rsidR="00615560" w:rsidRDefault="00615560">
            <w:pPr>
              <w:pStyle w:val="TableParagraph"/>
              <w:spacing w:line="240" w:lineRule="auto"/>
              <w:rPr>
                <w:lang w:val="da-DK"/>
              </w:rPr>
            </w:pPr>
          </w:p>
        </w:tc>
        <w:tc>
          <w:tcPr>
            <w:tcW w:w="863"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Moderat</w:t>
            </w:r>
          </w:p>
        </w:tc>
        <w:tc>
          <w:tcPr>
            <w:tcW w:w="991"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4→8 mg</w:t>
            </w:r>
            <w:r>
              <w:rPr>
                <w:vertAlign w:val="superscript"/>
                <w:lang w:val="da-DK"/>
              </w:rPr>
              <w:t>2</w:t>
            </w:r>
          </w:p>
        </w:tc>
        <w:tc>
          <w:tcPr>
            <w:tcW w:w="981"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4 mg</w:t>
            </w:r>
          </w:p>
        </w:tc>
        <w:tc>
          <w:tcPr>
            <w:tcW w:w="1030"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Kontraindiceret</w:t>
            </w:r>
          </w:p>
        </w:tc>
      </w:tr>
      <w:tr w:rsidR="00615560" w:rsidTr="00615560">
        <w:trPr>
          <w:trHeight w:val="251"/>
        </w:trPr>
        <w:tc>
          <w:tcPr>
            <w:tcW w:w="1135" w:type="pct"/>
            <w:tcBorders>
              <w:top w:val="single" w:sz="4" w:space="0" w:color="000000"/>
              <w:left w:val="single" w:sz="4" w:space="0" w:color="000000"/>
              <w:bottom w:val="single" w:sz="4" w:space="0" w:color="000000"/>
              <w:right w:val="single" w:sz="4" w:space="0" w:color="000000"/>
            </w:tcBorders>
          </w:tcPr>
          <w:p w:rsidR="00615560" w:rsidRDefault="00615560">
            <w:pPr>
              <w:pStyle w:val="TableParagraph"/>
              <w:spacing w:line="240" w:lineRule="auto"/>
              <w:rPr>
                <w:lang w:val="da-DK"/>
              </w:rPr>
            </w:pPr>
          </w:p>
        </w:tc>
        <w:tc>
          <w:tcPr>
            <w:tcW w:w="863"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Svær</w:t>
            </w:r>
          </w:p>
        </w:tc>
        <w:tc>
          <w:tcPr>
            <w:tcW w:w="991"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4 mg</w:t>
            </w:r>
          </w:p>
        </w:tc>
        <w:tc>
          <w:tcPr>
            <w:tcW w:w="981"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Bør undgås</w:t>
            </w:r>
          </w:p>
        </w:tc>
        <w:tc>
          <w:tcPr>
            <w:tcW w:w="1030"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Kontraindiceret</w:t>
            </w:r>
          </w:p>
        </w:tc>
      </w:tr>
      <w:tr w:rsidR="00615560" w:rsidTr="00615560">
        <w:trPr>
          <w:trHeight w:val="253"/>
        </w:trPr>
        <w:tc>
          <w:tcPr>
            <w:tcW w:w="1135"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Nedsat leverfunktion</w:t>
            </w:r>
          </w:p>
        </w:tc>
        <w:tc>
          <w:tcPr>
            <w:tcW w:w="863"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Let</w:t>
            </w:r>
          </w:p>
        </w:tc>
        <w:tc>
          <w:tcPr>
            <w:tcW w:w="991"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4→8 mg</w:t>
            </w:r>
            <w:r>
              <w:rPr>
                <w:vertAlign w:val="superscript"/>
                <w:lang w:val="da-DK"/>
              </w:rPr>
              <w:t>2</w:t>
            </w:r>
          </w:p>
        </w:tc>
        <w:tc>
          <w:tcPr>
            <w:tcW w:w="981"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4 mg</w:t>
            </w:r>
          </w:p>
        </w:tc>
        <w:tc>
          <w:tcPr>
            <w:tcW w:w="1030"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Bør undgås</w:t>
            </w:r>
          </w:p>
        </w:tc>
      </w:tr>
      <w:tr w:rsidR="00615560" w:rsidTr="00615560">
        <w:trPr>
          <w:trHeight w:val="254"/>
        </w:trPr>
        <w:tc>
          <w:tcPr>
            <w:tcW w:w="1135" w:type="pct"/>
            <w:tcBorders>
              <w:top w:val="single" w:sz="4" w:space="0" w:color="000000"/>
              <w:left w:val="single" w:sz="4" w:space="0" w:color="000000"/>
              <w:bottom w:val="single" w:sz="4" w:space="0" w:color="000000"/>
              <w:right w:val="single" w:sz="4" w:space="0" w:color="000000"/>
            </w:tcBorders>
          </w:tcPr>
          <w:p w:rsidR="00615560" w:rsidRDefault="00615560">
            <w:pPr>
              <w:pStyle w:val="TableParagraph"/>
              <w:spacing w:line="240" w:lineRule="auto"/>
              <w:rPr>
                <w:lang w:val="da-DK"/>
              </w:rPr>
            </w:pPr>
          </w:p>
        </w:tc>
        <w:tc>
          <w:tcPr>
            <w:tcW w:w="863"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Moderat</w:t>
            </w:r>
          </w:p>
        </w:tc>
        <w:tc>
          <w:tcPr>
            <w:tcW w:w="991"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4 mg</w:t>
            </w:r>
          </w:p>
        </w:tc>
        <w:tc>
          <w:tcPr>
            <w:tcW w:w="981"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Bør undgås</w:t>
            </w:r>
          </w:p>
        </w:tc>
        <w:tc>
          <w:tcPr>
            <w:tcW w:w="1030" w:type="pct"/>
            <w:tcBorders>
              <w:top w:val="single" w:sz="4" w:space="0" w:color="000000"/>
              <w:left w:val="single" w:sz="4" w:space="0" w:color="000000"/>
              <w:bottom w:val="single" w:sz="4" w:space="0" w:color="000000"/>
              <w:right w:val="single" w:sz="4" w:space="0" w:color="000000"/>
            </w:tcBorders>
            <w:hideMark/>
          </w:tcPr>
          <w:p w:rsidR="00615560" w:rsidRDefault="00615560">
            <w:pPr>
              <w:pStyle w:val="TableParagraph"/>
              <w:spacing w:line="240" w:lineRule="auto"/>
              <w:rPr>
                <w:lang w:val="da-DK"/>
              </w:rPr>
            </w:pPr>
            <w:r>
              <w:rPr>
                <w:lang w:val="da-DK"/>
              </w:rPr>
              <w:t>Kontraindiceret</w:t>
            </w:r>
          </w:p>
        </w:tc>
      </w:tr>
      <w:tr w:rsidR="00615560" w:rsidTr="00615560">
        <w:trPr>
          <w:trHeight w:val="1012"/>
        </w:trPr>
        <w:tc>
          <w:tcPr>
            <w:tcW w:w="5000" w:type="pct"/>
            <w:gridSpan w:val="5"/>
            <w:tcBorders>
              <w:top w:val="single" w:sz="4" w:space="0" w:color="000000"/>
              <w:left w:val="single" w:sz="4" w:space="0" w:color="000000"/>
              <w:bottom w:val="single" w:sz="4" w:space="0" w:color="000000"/>
              <w:right w:val="single" w:sz="4" w:space="0" w:color="000000"/>
            </w:tcBorders>
            <w:hideMark/>
          </w:tcPr>
          <w:p w:rsidR="00615560" w:rsidRDefault="00615560" w:rsidP="00615560">
            <w:pPr>
              <w:pStyle w:val="TableParagraph"/>
              <w:numPr>
                <w:ilvl w:val="0"/>
                <w:numId w:val="6"/>
              </w:numPr>
              <w:spacing w:line="240" w:lineRule="auto"/>
              <w:ind w:left="284" w:hanging="284"/>
              <w:rPr>
                <w:lang w:val="da-DK"/>
              </w:rPr>
            </w:pPr>
            <w:r>
              <w:rPr>
                <w:lang w:val="da-DK"/>
              </w:rPr>
              <w:t>Let: GFR = 50-80 ml/min; moderat: GFR = 30-50 ml/min; svær GFR ≤30</w:t>
            </w:r>
            <w:r>
              <w:rPr>
                <w:spacing w:val="-15"/>
                <w:lang w:val="da-DK"/>
              </w:rPr>
              <w:t xml:space="preserve"> </w:t>
            </w:r>
            <w:r>
              <w:rPr>
                <w:lang w:val="da-DK"/>
              </w:rPr>
              <w:t>ml/min</w:t>
            </w:r>
          </w:p>
          <w:p w:rsidR="00615560" w:rsidRDefault="00615560" w:rsidP="00615560">
            <w:pPr>
              <w:pStyle w:val="TableParagraph"/>
              <w:numPr>
                <w:ilvl w:val="0"/>
                <w:numId w:val="6"/>
              </w:numPr>
              <w:spacing w:line="240" w:lineRule="auto"/>
              <w:ind w:left="284" w:hanging="284"/>
              <w:rPr>
                <w:lang w:val="da-DK"/>
              </w:rPr>
            </w:pPr>
            <w:r>
              <w:rPr>
                <w:lang w:val="da-DK"/>
              </w:rPr>
              <w:t>Dosis øges forsigtigt. Se pkt. 4.4, 4.5 og</w:t>
            </w:r>
            <w:r>
              <w:rPr>
                <w:spacing w:val="-10"/>
                <w:lang w:val="da-DK"/>
              </w:rPr>
              <w:t xml:space="preserve"> </w:t>
            </w:r>
            <w:r>
              <w:rPr>
                <w:lang w:val="da-DK"/>
              </w:rPr>
              <w:t>5.2</w:t>
            </w:r>
          </w:p>
          <w:p w:rsidR="00615560" w:rsidRDefault="00615560" w:rsidP="00615560">
            <w:pPr>
              <w:pStyle w:val="TableParagraph"/>
              <w:numPr>
                <w:ilvl w:val="0"/>
                <w:numId w:val="6"/>
              </w:numPr>
              <w:spacing w:line="240" w:lineRule="auto"/>
              <w:ind w:left="284" w:hanging="284"/>
              <w:rPr>
                <w:lang w:val="da-DK"/>
              </w:rPr>
            </w:pPr>
            <w:r>
              <w:rPr>
                <w:lang w:val="da-DK"/>
              </w:rPr>
              <w:t>Moderate CYP3A4-hæmmere. Se pkt.</w:t>
            </w:r>
            <w:r>
              <w:rPr>
                <w:spacing w:val="-4"/>
                <w:lang w:val="da-DK"/>
              </w:rPr>
              <w:t xml:space="preserve"> </w:t>
            </w:r>
            <w:r>
              <w:rPr>
                <w:lang w:val="da-DK"/>
              </w:rPr>
              <w:t>4.5</w:t>
            </w:r>
          </w:p>
          <w:p w:rsidR="00615560" w:rsidRDefault="00615560" w:rsidP="00615560">
            <w:pPr>
              <w:pStyle w:val="TableParagraph"/>
              <w:numPr>
                <w:ilvl w:val="0"/>
                <w:numId w:val="6"/>
              </w:numPr>
              <w:spacing w:line="240" w:lineRule="auto"/>
              <w:ind w:left="284" w:hanging="284"/>
              <w:rPr>
                <w:lang w:val="da-DK"/>
              </w:rPr>
            </w:pPr>
            <w:r>
              <w:rPr>
                <w:lang w:val="da-DK"/>
              </w:rPr>
              <w:t>Potente CYP3A4-hæmmere. Se pkt. 4.3, 4.4 og</w:t>
            </w:r>
            <w:r>
              <w:rPr>
                <w:spacing w:val="-12"/>
                <w:lang w:val="da-DK"/>
              </w:rPr>
              <w:t xml:space="preserve"> </w:t>
            </w:r>
            <w:r>
              <w:rPr>
                <w:lang w:val="da-DK"/>
              </w:rPr>
              <w:t>4.5</w:t>
            </w:r>
          </w:p>
        </w:tc>
      </w:tr>
    </w:tbl>
    <w:p w:rsidR="00615560" w:rsidRDefault="00615560" w:rsidP="001A41D7">
      <w:pPr>
        <w:pStyle w:val="Brdtekst"/>
        <w:ind w:left="851"/>
        <w:rPr>
          <w:sz w:val="24"/>
          <w:szCs w:val="24"/>
          <w:lang w:val="da-DK"/>
        </w:rPr>
      </w:pPr>
    </w:p>
    <w:p w:rsidR="00615560" w:rsidRDefault="00615560" w:rsidP="001A41D7">
      <w:pPr>
        <w:ind w:left="851"/>
        <w:rPr>
          <w:sz w:val="24"/>
          <w:szCs w:val="24"/>
        </w:rPr>
      </w:pPr>
      <w:proofErr w:type="spellStart"/>
      <w:r>
        <w:rPr>
          <w:rFonts w:eastAsiaTheme="minorHAnsi"/>
          <w:sz w:val="24"/>
          <w:szCs w:val="24"/>
        </w:rPr>
        <w:t>Fesoterodin</w:t>
      </w:r>
      <w:proofErr w:type="spellEnd"/>
      <w:r>
        <w:rPr>
          <w:rFonts w:eastAsiaTheme="minorHAnsi"/>
          <w:sz w:val="24"/>
          <w:szCs w:val="24"/>
        </w:rPr>
        <w:t xml:space="preserve"> "</w:t>
      </w:r>
      <w:proofErr w:type="spellStart"/>
      <w:r>
        <w:rPr>
          <w:rFonts w:eastAsiaTheme="minorHAnsi"/>
          <w:sz w:val="24"/>
          <w:szCs w:val="24"/>
        </w:rPr>
        <w:t>Accord</w:t>
      </w:r>
      <w:proofErr w:type="spellEnd"/>
      <w:r>
        <w:rPr>
          <w:rFonts w:eastAsiaTheme="minorHAnsi"/>
          <w:sz w:val="24"/>
          <w:szCs w:val="24"/>
        </w:rPr>
        <w:t>"</w:t>
      </w:r>
      <w:r>
        <w:rPr>
          <w:sz w:val="24"/>
          <w:szCs w:val="24"/>
        </w:rPr>
        <w:t xml:space="preserve"> er kontraindiceret til patienter med svært nedsat leverfunktion (se pkt. 4.3)</w:t>
      </w:r>
    </w:p>
    <w:p w:rsidR="00615560" w:rsidRDefault="00615560" w:rsidP="001A41D7">
      <w:pPr>
        <w:ind w:left="851"/>
        <w:rPr>
          <w:sz w:val="24"/>
          <w:szCs w:val="24"/>
        </w:rPr>
      </w:pPr>
    </w:p>
    <w:p w:rsidR="00615560" w:rsidRDefault="00615560" w:rsidP="001A41D7">
      <w:pPr>
        <w:ind w:left="851"/>
        <w:rPr>
          <w:i/>
          <w:sz w:val="24"/>
          <w:szCs w:val="24"/>
        </w:rPr>
      </w:pPr>
      <w:r>
        <w:rPr>
          <w:i/>
          <w:sz w:val="24"/>
          <w:szCs w:val="24"/>
        </w:rPr>
        <w:t>Pædiatrisk population</w:t>
      </w:r>
    </w:p>
    <w:p w:rsidR="00ED0C72" w:rsidRPr="00ED0C72" w:rsidRDefault="00ED0C72" w:rsidP="00ED0C72">
      <w:pPr>
        <w:ind w:left="851"/>
        <w:rPr>
          <w:sz w:val="24"/>
          <w:szCs w:val="24"/>
        </w:rPr>
      </w:pPr>
      <w:proofErr w:type="spellStart"/>
      <w:r w:rsidRPr="00ED0C72">
        <w:rPr>
          <w:rFonts w:eastAsiaTheme="minorHAnsi"/>
          <w:sz w:val="24"/>
          <w:szCs w:val="24"/>
        </w:rPr>
        <w:t>Fesoterodin</w:t>
      </w:r>
      <w:proofErr w:type="spellEnd"/>
      <w:r w:rsidRPr="00ED0C72">
        <w:rPr>
          <w:rFonts w:eastAsiaTheme="minorHAnsi"/>
          <w:sz w:val="24"/>
          <w:szCs w:val="24"/>
        </w:rPr>
        <w:t xml:space="preserve"> "</w:t>
      </w:r>
      <w:proofErr w:type="spellStart"/>
      <w:r w:rsidRPr="00ED0C72">
        <w:rPr>
          <w:rFonts w:eastAsiaTheme="minorHAnsi"/>
          <w:sz w:val="24"/>
          <w:szCs w:val="24"/>
        </w:rPr>
        <w:t>Accord"</w:t>
      </w:r>
      <w:r w:rsidRPr="00ED0C72">
        <w:rPr>
          <w:sz w:val="24"/>
          <w:szCs w:val="24"/>
        </w:rPr>
        <w:t>s</w:t>
      </w:r>
      <w:proofErr w:type="spellEnd"/>
      <w:r w:rsidRPr="00ED0C72">
        <w:rPr>
          <w:sz w:val="24"/>
          <w:szCs w:val="24"/>
        </w:rPr>
        <w:t xml:space="preserve"> sikkerhed og virkning hos børn i alderen under 6 år er ikke klarlagt. Der foreligger ingen data.</w:t>
      </w:r>
    </w:p>
    <w:p w:rsidR="00ED0C72" w:rsidRPr="00ED0C72" w:rsidRDefault="00ED0C72" w:rsidP="00ED0C72">
      <w:pPr>
        <w:ind w:left="851"/>
        <w:rPr>
          <w:sz w:val="24"/>
          <w:szCs w:val="24"/>
        </w:rPr>
      </w:pPr>
    </w:p>
    <w:p w:rsidR="00ED0C72" w:rsidRPr="00ED0C72" w:rsidRDefault="00ED0C72" w:rsidP="00ED0C72">
      <w:pPr>
        <w:pStyle w:val="Brdtekst"/>
        <w:ind w:left="851" w:right="176"/>
        <w:rPr>
          <w:sz w:val="24"/>
          <w:szCs w:val="24"/>
          <w:lang w:val="da-DK"/>
        </w:rPr>
      </w:pPr>
      <w:proofErr w:type="spellStart"/>
      <w:r w:rsidRPr="00ED0C72">
        <w:rPr>
          <w:sz w:val="24"/>
          <w:szCs w:val="24"/>
          <w:lang w:val="da-DK"/>
        </w:rPr>
        <w:t>Fesoterodine</w:t>
      </w:r>
      <w:proofErr w:type="spellEnd"/>
      <w:r w:rsidRPr="00ED0C72">
        <w:rPr>
          <w:sz w:val="24"/>
          <w:szCs w:val="24"/>
          <w:lang w:val="da-DK"/>
        </w:rPr>
        <w:t xml:space="preserve"> ”</w:t>
      </w:r>
      <w:proofErr w:type="spellStart"/>
      <w:r w:rsidRPr="00ED0C72">
        <w:rPr>
          <w:sz w:val="24"/>
          <w:szCs w:val="24"/>
          <w:lang w:val="da-DK"/>
        </w:rPr>
        <w:t>Accord”s</w:t>
      </w:r>
      <w:proofErr w:type="spellEnd"/>
      <w:r w:rsidRPr="00ED0C72">
        <w:rPr>
          <w:sz w:val="24"/>
          <w:szCs w:val="24"/>
          <w:lang w:val="da-DK"/>
        </w:rPr>
        <w:t xml:space="preserve"> sikkerhed og virkning hos børn i alderen 6 år til 17 år er ikke klarlagt. De foreliggende data er beskrevet i pkt. 5.1 og 5.2, men der kan ikke gives nogen anbefalinger vedrørende dosering.</w:t>
      </w:r>
    </w:p>
    <w:p w:rsidR="00615560" w:rsidRPr="00ED0C72" w:rsidRDefault="00615560" w:rsidP="001A41D7">
      <w:pPr>
        <w:ind w:left="851"/>
        <w:rPr>
          <w:sz w:val="24"/>
          <w:szCs w:val="24"/>
          <w:lang w:val="sv-SE"/>
        </w:rPr>
      </w:pPr>
    </w:p>
    <w:p w:rsidR="00615560" w:rsidRPr="001A41D7" w:rsidRDefault="00615560" w:rsidP="001A41D7">
      <w:pPr>
        <w:ind w:left="851"/>
        <w:rPr>
          <w:b/>
          <w:sz w:val="24"/>
          <w:szCs w:val="24"/>
        </w:rPr>
      </w:pPr>
      <w:r w:rsidRPr="001A41D7">
        <w:rPr>
          <w:b/>
          <w:sz w:val="24"/>
          <w:szCs w:val="24"/>
        </w:rPr>
        <w:t>Administration</w:t>
      </w:r>
    </w:p>
    <w:p w:rsidR="00615560" w:rsidRDefault="00615560" w:rsidP="001A41D7">
      <w:pPr>
        <w:ind w:left="851"/>
        <w:rPr>
          <w:sz w:val="24"/>
          <w:szCs w:val="24"/>
        </w:rPr>
      </w:pPr>
      <w:r>
        <w:rPr>
          <w:sz w:val="24"/>
          <w:szCs w:val="24"/>
        </w:rPr>
        <w:t xml:space="preserve">Tabletterne skal tages én gang dagligt sammen med væske. Da det aktive stof frigives langsomt, skal depottabletterne synkes hele. </w:t>
      </w:r>
      <w:proofErr w:type="spellStart"/>
      <w:r>
        <w:rPr>
          <w:rFonts w:eastAsiaTheme="minorHAnsi"/>
          <w:sz w:val="24"/>
          <w:szCs w:val="24"/>
        </w:rPr>
        <w:t>Fesoterodin</w:t>
      </w:r>
      <w:proofErr w:type="spellEnd"/>
      <w:r>
        <w:rPr>
          <w:rFonts w:eastAsiaTheme="minorHAnsi"/>
          <w:sz w:val="24"/>
          <w:szCs w:val="24"/>
        </w:rPr>
        <w:t xml:space="preserve"> "</w:t>
      </w:r>
      <w:proofErr w:type="spellStart"/>
      <w:r>
        <w:rPr>
          <w:rFonts w:eastAsiaTheme="minorHAnsi"/>
          <w:sz w:val="24"/>
          <w:szCs w:val="24"/>
        </w:rPr>
        <w:t>Accord</w:t>
      </w:r>
      <w:proofErr w:type="spellEnd"/>
      <w:r>
        <w:rPr>
          <w:rFonts w:eastAsiaTheme="minorHAnsi"/>
          <w:sz w:val="24"/>
          <w:szCs w:val="24"/>
        </w:rPr>
        <w:t>"</w:t>
      </w:r>
      <w:r>
        <w:rPr>
          <w:sz w:val="24"/>
          <w:szCs w:val="24"/>
        </w:rPr>
        <w:t xml:space="preserve"> kan tages med eller uden mad.</w:t>
      </w:r>
    </w:p>
    <w:p w:rsidR="00615560" w:rsidRDefault="00615560" w:rsidP="001A41D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1A41D7" w:rsidRPr="001A41D7" w:rsidRDefault="001A41D7" w:rsidP="001A41D7">
      <w:pPr>
        <w:numPr>
          <w:ilvl w:val="0"/>
          <w:numId w:val="7"/>
        </w:numPr>
        <w:tabs>
          <w:tab w:val="left" w:pos="851"/>
        </w:tabs>
        <w:ind w:left="851" w:hanging="284"/>
        <w:rPr>
          <w:sz w:val="24"/>
          <w:szCs w:val="24"/>
        </w:rPr>
      </w:pPr>
      <w:r w:rsidRPr="001A41D7">
        <w:rPr>
          <w:sz w:val="24"/>
          <w:szCs w:val="24"/>
        </w:rPr>
        <w:t>Overfølsomhed over for det aktive stof eller over for et eller flere af hjælpestofferne anført i punkt 6.1 eller over for jordnødder eller soja.</w:t>
      </w:r>
    </w:p>
    <w:p w:rsidR="001A41D7" w:rsidRPr="001A41D7" w:rsidRDefault="001A41D7" w:rsidP="001A41D7">
      <w:pPr>
        <w:numPr>
          <w:ilvl w:val="0"/>
          <w:numId w:val="7"/>
        </w:numPr>
        <w:tabs>
          <w:tab w:val="left" w:pos="851"/>
        </w:tabs>
        <w:ind w:left="851" w:hanging="284"/>
        <w:rPr>
          <w:sz w:val="24"/>
          <w:szCs w:val="24"/>
          <w:lang w:val="en-US"/>
        </w:rPr>
      </w:pPr>
      <w:proofErr w:type="spellStart"/>
      <w:r w:rsidRPr="001A41D7">
        <w:rPr>
          <w:sz w:val="24"/>
          <w:szCs w:val="24"/>
          <w:lang w:val="en-US"/>
        </w:rPr>
        <w:t>Urinretention</w:t>
      </w:r>
      <w:proofErr w:type="spellEnd"/>
    </w:p>
    <w:p w:rsidR="001A41D7" w:rsidRPr="001A41D7" w:rsidRDefault="001A41D7" w:rsidP="001A41D7">
      <w:pPr>
        <w:numPr>
          <w:ilvl w:val="0"/>
          <w:numId w:val="7"/>
        </w:numPr>
        <w:tabs>
          <w:tab w:val="left" w:pos="851"/>
        </w:tabs>
        <w:ind w:left="851" w:hanging="284"/>
        <w:rPr>
          <w:sz w:val="24"/>
          <w:szCs w:val="24"/>
          <w:lang w:val="en-US"/>
        </w:rPr>
      </w:pPr>
      <w:proofErr w:type="spellStart"/>
      <w:r w:rsidRPr="001A41D7">
        <w:rPr>
          <w:sz w:val="24"/>
          <w:szCs w:val="24"/>
          <w:lang w:val="en-US"/>
        </w:rPr>
        <w:t>Ventrikelretention</w:t>
      </w:r>
      <w:proofErr w:type="spellEnd"/>
    </w:p>
    <w:p w:rsidR="001A41D7" w:rsidRPr="001A41D7" w:rsidRDefault="001A41D7" w:rsidP="001A41D7">
      <w:pPr>
        <w:numPr>
          <w:ilvl w:val="0"/>
          <w:numId w:val="7"/>
        </w:numPr>
        <w:tabs>
          <w:tab w:val="left" w:pos="851"/>
        </w:tabs>
        <w:ind w:left="851" w:hanging="284"/>
        <w:rPr>
          <w:sz w:val="24"/>
          <w:szCs w:val="24"/>
          <w:lang w:val="en-US"/>
        </w:rPr>
      </w:pPr>
      <w:proofErr w:type="spellStart"/>
      <w:r w:rsidRPr="001A41D7">
        <w:rPr>
          <w:sz w:val="24"/>
          <w:szCs w:val="24"/>
          <w:lang w:val="en-US"/>
        </w:rPr>
        <w:t>Ukontrolleret</w:t>
      </w:r>
      <w:proofErr w:type="spellEnd"/>
      <w:r w:rsidRPr="001A41D7">
        <w:rPr>
          <w:sz w:val="24"/>
          <w:szCs w:val="24"/>
          <w:lang w:val="en-US"/>
        </w:rPr>
        <w:t xml:space="preserve"> </w:t>
      </w:r>
      <w:proofErr w:type="spellStart"/>
      <w:r w:rsidRPr="001A41D7">
        <w:rPr>
          <w:sz w:val="24"/>
          <w:szCs w:val="24"/>
          <w:lang w:val="en-US"/>
        </w:rPr>
        <w:t>snævervinklet</w:t>
      </w:r>
      <w:proofErr w:type="spellEnd"/>
      <w:r w:rsidRPr="001A41D7">
        <w:rPr>
          <w:sz w:val="24"/>
          <w:szCs w:val="24"/>
          <w:lang w:val="en-US"/>
        </w:rPr>
        <w:t xml:space="preserve"> </w:t>
      </w:r>
      <w:proofErr w:type="spellStart"/>
      <w:r w:rsidRPr="001A41D7">
        <w:rPr>
          <w:sz w:val="24"/>
          <w:szCs w:val="24"/>
          <w:lang w:val="en-US"/>
        </w:rPr>
        <w:t>glaukom</w:t>
      </w:r>
      <w:proofErr w:type="spellEnd"/>
    </w:p>
    <w:p w:rsidR="001A41D7" w:rsidRPr="001A41D7" w:rsidRDefault="001A41D7" w:rsidP="001A41D7">
      <w:pPr>
        <w:numPr>
          <w:ilvl w:val="0"/>
          <w:numId w:val="7"/>
        </w:numPr>
        <w:tabs>
          <w:tab w:val="left" w:pos="851"/>
        </w:tabs>
        <w:ind w:left="851" w:hanging="284"/>
        <w:rPr>
          <w:sz w:val="24"/>
          <w:szCs w:val="24"/>
          <w:lang w:val="en-US"/>
        </w:rPr>
      </w:pPr>
      <w:r w:rsidRPr="001A41D7">
        <w:rPr>
          <w:sz w:val="24"/>
          <w:szCs w:val="24"/>
          <w:lang w:val="en-US"/>
        </w:rPr>
        <w:t>Myasthenia gravis</w:t>
      </w:r>
    </w:p>
    <w:p w:rsidR="001A41D7" w:rsidRPr="001A41D7" w:rsidRDefault="001A41D7" w:rsidP="001A41D7">
      <w:pPr>
        <w:numPr>
          <w:ilvl w:val="0"/>
          <w:numId w:val="7"/>
        </w:numPr>
        <w:tabs>
          <w:tab w:val="left" w:pos="851"/>
        </w:tabs>
        <w:ind w:left="851" w:hanging="284"/>
        <w:rPr>
          <w:sz w:val="24"/>
          <w:szCs w:val="24"/>
        </w:rPr>
      </w:pPr>
      <w:r w:rsidRPr="001A41D7">
        <w:rPr>
          <w:sz w:val="24"/>
          <w:szCs w:val="24"/>
        </w:rPr>
        <w:t xml:space="preserve">Svært nedsat leverfunktion (Child </w:t>
      </w:r>
      <w:proofErr w:type="spellStart"/>
      <w:r w:rsidRPr="001A41D7">
        <w:rPr>
          <w:sz w:val="24"/>
          <w:szCs w:val="24"/>
        </w:rPr>
        <w:t>Pugh</w:t>
      </w:r>
      <w:proofErr w:type="spellEnd"/>
      <w:r w:rsidRPr="001A41D7">
        <w:rPr>
          <w:sz w:val="24"/>
          <w:szCs w:val="24"/>
        </w:rPr>
        <w:t xml:space="preserve"> C)</w:t>
      </w:r>
    </w:p>
    <w:p w:rsidR="001A41D7" w:rsidRPr="001A41D7" w:rsidRDefault="001A41D7" w:rsidP="001A41D7">
      <w:pPr>
        <w:numPr>
          <w:ilvl w:val="0"/>
          <w:numId w:val="7"/>
        </w:numPr>
        <w:tabs>
          <w:tab w:val="left" w:pos="851"/>
        </w:tabs>
        <w:ind w:left="851" w:hanging="284"/>
        <w:rPr>
          <w:sz w:val="24"/>
          <w:szCs w:val="24"/>
        </w:rPr>
      </w:pPr>
      <w:r w:rsidRPr="001A41D7">
        <w:rPr>
          <w:sz w:val="24"/>
          <w:szCs w:val="24"/>
        </w:rPr>
        <w:lastRenderedPageBreak/>
        <w:t>Samtidig brug af potente CYP3A4-hæmmere hos patienter med svært nedsat lever- eller nyrefunktion</w:t>
      </w:r>
    </w:p>
    <w:p w:rsidR="001A41D7" w:rsidRPr="001A41D7" w:rsidRDefault="001A41D7" w:rsidP="001A41D7">
      <w:pPr>
        <w:numPr>
          <w:ilvl w:val="0"/>
          <w:numId w:val="7"/>
        </w:numPr>
        <w:tabs>
          <w:tab w:val="left" w:pos="851"/>
        </w:tabs>
        <w:ind w:left="851" w:hanging="284"/>
        <w:rPr>
          <w:sz w:val="24"/>
          <w:szCs w:val="24"/>
          <w:lang w:val="en-US"/>
        </w:rPr>
      </w:pPr>
      <w:proofErr w:type="spellStart"/>
      <w:r w:rsidRPr="001A41D7">
        <w:rPr>
          <w:sz w:val="24"/>
          <w:szCs w:val="24"/>
          <w:lang w:val="en-US"/>
        </w:rPr>
        <w:t>Svær</w:t>
      </w:r>
      <w:proofErr w:type="spellEnd"/>
      <w:r w:rsidRPr="001A41D7">
        <w:rPr>
          <w:sz w:val="24"/>
          <w:szCs w:val="24"/>
          <w:lang w:val="en-US"/>
        </w:rPr>
        <w:t xml:space="preserve"> colitis </w:t>
      </w:r>
      <w:proofErr w:type="spellStart"/>
      <w:r w:rsidRPr="001A41D7">
        <w:rPr>
          <w:sz w:val="24"/>
          <w:szCs w:val="24"/>
          <w:lang w:val="en-US"/>
        </w:rPr>
        <w:t>ulcerosa</w:t>
      </w:r>
      <w:proofErr w:type="spellEnd"/>
    </w:p>
    <w:p w:rsidR="001A41D7" w:rsidRPr="001A41D7" w:rsidRDefault="001A41D7" w:rsidP="001A41D7">
      <w:pPr>
        <w:numPr>
          <w:ilvl w:val="0"/>
          <w:numId w:val="7"/>
        </w:numPr>
        <w:tabs>
          <w:tab w:val="left" w:pos="851"/>
        </w:tabs>
        <w:ind w:left="851" w:hanging="284"/>
        <w:rPr>
          <w:sz w:val="24"/>
          <w:szCs w:val="24"/>
          <w:lang w:val="en-US"/>
        </w:rPr>
      </w:pPr>
      <w:proofErr w:type="spellStart"/>
      <w:r w:rsidRPr="001A41D7">
        <w:rPr>
          <w:sz w:val="24"/>
          <w:szCs w:val="24"/>
          <w:lang w:val="en-US"/>
        </w:rPr>
        <w:t>Toksisk</w:t>
      </w:r>
      <w:proofErr w:type="spellEnd"/>
      <w:r w:rsidRPr="001A41D7">
        <w:rPr>
          <w:sz w:val="24"/>
          <w:szCs w:val="24"/>
          <w:lang w:val="en-US"/>
        </w:rPr>
        <w:t xml:space="preserve"> megacolon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A41D7" w:rsidRPr="001A41D7" w:rsidRDefault="001A41D7" w:rsidP="001A41D7">
      <w:pPr>
        <w:tabs>
          <w:tab w:val="left" w:pos="851"/>
        </w:tabs>
        <w:ind w:left="851"/>
        <w:rPr>
          <w:sz w:val="24"/>
          <w:szCs w:val="24"/>
        </w:rPr>
      </w:pPr>
      <w:proofErr w:type="spellStart"/>
      <w:r w:rsidRPr="001A41D7">
        <w:rPr>
          <w:sz w:val="24"/>
          <w:szCs w:val="24"/>
        </w:rPr>
        <w:t>Fesoterodin</w:t>
      </w:r>
      <w:proofErr w:type="spellEnd"/>
      <w:r w:rsidRPr="001A41D7">
        <w:rPr>
          <w:sz w:val="24"/>
          <w:szCs w:val="24"/>
        </w:rPr>
        <w:t xml:space="preserve"> "</w:t>
      </w:r>
      <w:proofErr w:type="spellStart"/>
      <w:r w:rsidRPr="001A41D7">
        <w:rPr>
          <w:sz w:val="24"/>
          <w:szCs w:val="24"/>
        </w:rPr>
        <w:t>Accord</w:t>
      </w:r>
      <w:proofErr w:type="spellEnd"/>
      <w:r w:rsidRPr="001A41D7">
        <w:rPr>
          <w:sz w:val="24"/>
          <w:szCs w:val="24"/>
        </w:rPr>
        <w:t>" bør anvendes med forsigtighed til patienter med:</w:t>
      </w:r>
    </w:p>
    <w:p w:rsidR="001A41D7" w:rsidRPr="001A41D7" w:rsidRDefault="001A41D7" w:rsidP="00D61012">
      <w:pPr>
        <w:numPr>
          <w:ilvl w:val="0"/>
          <w:numId w:val="8"/>
        </w:numPr>
        <w:tabs>
          <w:tab w:val="left" w:pos="851"/>
        </w:tabs>
        <w:ind w:left="1134" w:hanging="283"/>
        <w:rPr>
          <w:sz w:val="24"/>
          <w:szCs w:val="24"/>
        </w:rPr>
      </w:pPr>
      <w:r w:rsidRPr="001A41D7">
        <w:rPr>
          <w:sz w:val="24"/>
          <w:szCs w:val="24"/>
        </w:rPr>
        <w:t xml:space="preserve">klinisk signifikant blæreobstruktion og deraf følgende risiko for urinretention (f.eks. klinisk signifikant forstørret prostata på grund af benign </w:t>
      </w:r>
      <w:proofErr w:type="spellStart"/>
      <w:r w:rsidRPr="001A41D7">
        <w:rPr>
          <w:sz w:val="24"/>
          <w:szCs w:val="24"/>
        </w:rPr>
        <w:t>prostatahyperplasi</w:t>
      </w:r>
      <w:proofErr w:type="spellEnd"/>
      <w:r w:rsidRPr="001A41D7">
        <w:rPr>
          <w:sz w:val="24"/>
          <w:szCs w:val="24"/>
        </w:rPr>
        <w:t>, se pkt. 4.3)</w:t>
      </w:r>
    </w:p>
    <w:p w:rsidR="001A41D7" w:rsidRPr="001A41D7" w:rsidRDefault="001A41D7" w:rsidP="00D61012">
      <w:pPr>
        <w:numPr>
          <w:ilvl w:val="0"/>
          <w:numId w:val="8"/>
        </w:numPr>
        <w:tabs>
          <w:tab w:val="left" w:pos="851"/>
        </w:tabs>
        <w:ind w:left="1134" w:hanging="283"/>
        <w:rPr>
          <w:sz w:val="24"/>
          <w:szCs w:val="24"/>
        </w:rPr>
      </w:pPr>
      <w:proofErr w:type="spellStart"/>
      <w:r w:rsidRPr="001A41D7">
        <w:rPr>
          <w:sz w:val="24"/>
          <w:szCs w:val="24"/>
        </w:rPr>
        <w:t>gastrointestinale</w:t>
      </w:r>
      <w:proofErr w:type="spellEnd"/>
      <w:r w:rsidRPr="001A41D7">
        <w:rPr>
          <w:sz w:val="24"/>
          <w:szCs w:val="24"/>
        </w:rPr>
        <w:t xml:space="preserve"> obstruktive lidelser (f.eks. </w:t>
      </w:r>
      <w:proofErr w:type="spellStart"/>
      <w:r w:rsidRPr="001A41D7">
        <w:rPr>
          <w:sz w:val="24"/>
          <w:szCs w:val="24"/>
        </w:rPr>
        <w:t>pylorusstenose</w:t>
      </w:r>
      <w:proofErr w:type="spellEnd"/>
      <w:r w:rsidRPr="001A41D7">
        <w:rPr>
          <w:sz w:val="24"/>
          <w:szCs w:val="24"/>
        </w:rPr>
        <w:t>)</w:t>
      </w:r>
    </w:p>
    <w:p w:rsidR="001A41D7" w:rsidRPr="001A41D7" w:rsidRDefault="001A41D7" w:rsidP="00D61012">
      <w:pPr>
        <w:numPr>
          <w:ilvl w:val="0"/>
          <w:numId w:val="8"/>
        </w:numPr>
        <w:tabs>
          <w:tab w:val="left" w:pos="851"/>
        </w:tabs>
        <w:ind w:left="1134" w:hanging="283"/>
        <w:rPr>
          <w:sz w:val="24"/>
          <w:szCs w:val="24"/>
        </w:rPr>
      </w:pPr>
      <w:proofErr w:type="spellStart"/>
      <w:r w:rsidRPr="001A41D7">
        <w:rPr>
          <w:sz w:val="24"/>
          <w:szCs w:val="24"/>
        </w:rPr>
        <w:t>gastro-øsofageal</w:t>
      </w:r>
      <w:proofErr w:type="spellEnd"/>
      <w:r w:rsidRPr="001A41D7">
        <w:rPr>
          <w:sz w:val="24"/>
          <w:szCs w:val="24"/>
        </w:rPr>
        <w:t xml:space="preserve"> </w:t>
      </w:r>
      <w:proofErr w:type="spellStart"/>
      <w:r w:rsidRPr="001A41D7">
        <w:rPr>
          <w:sz w:val="24"/>
          <w:szCs w:val="24"/>
        </w:rPr>
        <w:t>refluks</w:t>
      </w:r>
      <w:proofErr w:type="spellEnd"/>
      <w:r w:rsidRPr="001A41D7">
        <w:rPr>
          <w:sz w:val="24"/>
          <w:szCs w:val="24"/>
        </w:rPr>
        <w:t xml:space="preserve"> og/eller samtidig indtagelse af lægemidler (som orale </w:t>
      </w:r>
      <w:proofErr w:type="spellStart"/>
      <w:r w:rsidRPr="001A41D7">
        <w:rPr>
          <w:sz w:val="24"/>
          <w:szCs w:val="24"/>
        </w:rPr>
        <w:t>bisfosfonater</w:t>
      </w:r>
      <w:proofErr w:type="spellEnd"/>
      <w:r w:rsidRPr="001A41D7">
        <w:rPr>
          <w:sz w:val="24"/>
          <w:szCs w:val="24"/>
        </w:rPr>
        <w:t xml:space="preserve">), som kan forårsage eller forværre </w:t>
      </w:r>
      <w:proofErr w:type="spellStart"/>
      <w:r w:rsidRPr="001A41D7">
        <w:rPr>
          <w:sz w:val="24"/>
          <w:szCs w:val="24"/>
        </w:rPr>
        <w:t>oesophagitis</w:t>
      </w:r>
      <w:proofErr w:type="spellEnd"/>
    </w:p>
    <w:p w:rsidR="001A41D7" w:rsidRPr="001A41D7" w:rsidRDefault="001A41D7" w:rsidP="00D61012">
      <w:pPr>
        <w:numPr>
          <w:ilvl w:val="0"/>
          <w:numId w:val="8"/>
        </w:numPr>
        <w:tabs>
          <w:tab w:val="left" w:pos="851"/>
        </w:tabs>
        <w:ind w:left="1134" w:hanging="283"/>
        <w:rPr>
          <w:sz w:val="24"/>
          <w:szCs w:val="24"/>
          <w:lang w:val="en-US"/>
        </w:rPr>
      </w:pPr>
      <w:proofErr w:type="spellStart"/>
      <w:r w:rsidRPr="001A41D7">
        <w:rPr>
          <w:sz w:val="24"/>
          <w:szCs w:val="24"/>
          <w:lang w:val="en-US"/>
        </w:rPr>
        <w:t>reduceret</w:t>
      </w:r>
      <w:proofErr w:type="spellEnd"/>
      <w:r w:rsidRPr="001A41D7">
        <w:rPr>
          <w:sz w:val="24"/>
          <w:szCs w:val="24"/>
          <w:lang w:val="en-US"/>
        </w:rPr>
        <w:t xml:space="preserve"> gastrointestinal </w:t>
      </w:r>
      <w:proofErr w:type="spellStart"/>
      <w:r w:rsidRPr="001A41D7">
        <w:rPr>
          <w:sz w:val="24"/>
          <w:szCs w:val="24"/>
          <w:lang w:val="en-US"/>
        </w:rPr>
        <w:t>motilitet</w:t>
      </w:r>
      <w:proofErr w:type="spellEnd"/>
    </w:p>
    <w:p w:rsidR="001A41D7" w:rsidRPr="001A41D7" w:rsidRDefault="001A41D7" w:rsidP="00D61012">
      <w:pPr>
        <w:numPr>
          <w:ilvl w:val="0"/>
          <w:numId w:val="8"/>
        </w:numPr>
        <w:tabs>
          <w:tab w:val="left" w:pos="851"/>
        </w:tabs>
        <w:ind w:left="1134" w:hanging="283"/>
        <w:rPr>
          <w:sz w:val="24"/>
          <w:szCs w:val="24"/>
          <w:lang w:val="en-US"/>
        </w:rPr>
      </w:pPr>
      <w:proofErr w:type="spellStart"/>
      <w:r w:rsidRPr="001A41D7">
        <w:rPr>
          <w:sz w:val="24"/>
          <w:szCs w:val="24"/>
          <w:lang w:val="en-US"/>
        </w:rPr>
        <w:t>autonom</w:t>
      </w:r>
      <w:proofErr w:type="spellEnd"/>
      <w:r w:rsidRPr="001A41D7">
        <w:rPr>
          <w:sz w:val="24"/>
          <w:szCs w:val="24"/>
          <w:lang w:val="en-US"/>
        </w:rPr>
        <w:t xml:space="preserve"> </w:t>
      </w:r>
      <w:proofErr w:type="spellStart"/>
      <w:r w:rsidRPr="001A41D7">
        <w:rPr>
          <w:sz w:val="24"/>
          <w:szCs w:val="24"/>
          <w:lang w:val="en-US"/>
        </w:rPr>
        <w:t>neuropati</w:t>
      </w:r>
      <w:proofErr w:type="spellEnd"/>
    </w:p>
    <w:p w:rsidR="001A41D7" w:rsidRPr="001A41D7" w:rsidRDefault="001A41D7" w:rsidP="00D61012">
      <w:pPr>
        <w:numPr>
          <w:ilvl w:val="0"/>
          <w:numId w:val="8"/>
        </w:numPr>
        <w:tabs>
          <w:tab w:val="left" w:pos="851"/>
        </w:tabs>
        <w:ind w:left="1134" w:hanging="283"/>
        <w:rPr>
          <w:sz w:val="24"/>
          <w:szCs w:val="24"/>
          <w:lang w:val="en-US"/>
        </w:rPr>
      </w:pPr>
      <w:proofErr w:type="spellStart"/>
      <w:r w:rsidRPr="001A41D7">
        <w:rPr>
          <w:sz w:val="24"/>
          <w:szCs w:val="24"/>
          <w:lang w:val="en-US"/>
        </w:rPr>
        <w:t>velbehandlet</w:t>
      </w:r>
      <w:proofErr w:type="spellEnd"/>
      <w:r w:rsidRPr="001A41D7">
        <w:rPr>
          <w:sz w:val="24"/>
          <w:szCs w:val="24"/>
          <w:lang w:val="en-US"/>
        </w:rPr>
        <w:t xml:space="preserve"> </w:t>
      </w:r>
      <w:proofErr w:type="spellStart"/>
      <w:r w:rsidRPr="001A41D7">
        <w:rPr>
          <w:sz w:val="24"/>
          <w:szCs w:val="24"/>
          <w:lang w:val="en-US"/>
        </w:rPr>
        <w:t>snævervinklet</w:t>
      </w:r>
      <w:proofErr w:type="spellEnd"/>
      <w:r w:rsidRPr="001A41D7">
        <w:rPr>
          <w:sz w:val="24"/>
          <w:szCs w:val="24"/>
          <w:lang w:val="en-US"/>
        </w:rPr>
        <w:t xml:space="preserve"> </w:t>
      </w:r>
      <w:proofErr w:type="spellStart"/>
      <w:r w:rsidRPr="001A41D7">
        <w:rPr>
          <w:sz w:val="24"/>
          <w:szCs w:val="24"/>
          <w:lang w:val="en-US"/>
        </w:rPr>
        <w:t>glaukom</w:t>
      </w:r>
      <w:proofErr w:type="spellEnd"/>
    </w:p>
    <w:p w:rsidR="001A41D7" w:rsidRPr="001A41D7" w:rsidRDefault="001A41D7" w:rsidP="001A41D7">
      <w:pPr>
        <w:tabs>
          <w:tab w:val="left" w:pos="851"/>
        </w:tabs>
        <w:ind w:left="851"/>
        <w:rPr>
          <w:sz w:val="24"/>
          <w:szCs w:val="24"/>
        </w:rPr>
      </w:pPr>
    </w:p>
    <w:p w:rsidR="001A41D7" w:rsidRPr="001A41D7" w:rsidRDefault="001A41D7" w:rsidP="001A41D7">
      <w:pPr>
        <w:tabs>
          <w:tab w:val="left" w:pos="851"/>
        </w:tabs>
        <w:ind w:left="851"/>
        <w:rPr>
          <w:sz w:val="24"/>
          <w:szCs w:val="24"/>
        </w:rPr>
      </w:pPr>
      <w:r w:rsidRPr="001A41D7">
        <w:rPr>
          <w:sz w:val="24"/>
          <w:szCs w:val="24"/>
        </w:rPr>
        <w:t xml:space="preserve">Der bør udvises forsigtighed ved behandling af eller </w:t>
      </w:r>
      <w:proofErr w:type="spellStart"/>
      <w:r w:rsidRPr="001A41D7">
        <w:rPr>
          <w:sz w:val="24"/>
          <w:szCs w:val="24"/>
        </w:rPr>
        <w:t>optitrering</w:t>
      </w:r>
      <w:proofErr w:type="spellEnd"/>
      <w:r w:rsidRPr="001A41D7">
        <w:rPr>
          <w:sz w:val="24"/>
          <w:szCs w:val="24"/>
        </w:rPr>
        <w:t xml:space="preserve"> af dosis til patienter, der forventes at være mere eksponerede for den aktive metabolit (se pkt. 5.1):</w:t>
      </w:r>
    </w:p>
    <w:p w:rsidR="001A41D7" w:rsidRPr="001A41D7" w:rsidRDefault="001A41D7" w:rsidP="00D61012">
      <w:pPr>
        <w:numPr>
          <w:ilvl w:val="0"/>
          <w:numId w:val="9"/>
        </w:numPr>
        <w:tabs>
          <w:tab w:val="left" w:pos="851"/>
        </w:tabs>
        <w:ind w:left="1134" w:hanging="283"/>
        <w:rPr>
          <w:sz w:val="24"/>
          <w:szCs w:val="24"/>
        </w:rPr>
      </w:pPr>
      <w:r w:rsidRPr="001A41D7">
        <w:rPr>
          <w:sz w:val="24"/>
          <w:szCs w:val="24"/>
        </w:rPr>
        <w:t>nedsat leverfunktion (se pkt. 4.2, 4.3 og 5.2)</w:t>
      </w:r>
    </w:p>
    <w:p w:rsidR="001A41D7" w:rsidRPr="001A41D7" w:rsidRDefault="001A41D7" w:rsidP="00D61012">
      <w:pPr>
        <w:numPr>
          <w:ilvl w:val="0"/>
          <w:numId w:val="9"/>
        </w:numPr>
        <w:tabs>
          <w:tab w:val="left" w:pos="851"/>
        </w:tabs>
        <w:ind w:left="1134" w:hanging="283"/>
        <w:rPr>
          <w:sz w:val="24"/>
          <w:szCs w:val="24"/>
        </w:rPr>
      </w:pPr>
      <w:r w:rsidRPr="001A41D7">
        <w:rPr>
          <w:sz w:val="24"/>
          <w:szCs w:val="24"/>
        </w:rPr>
        <w:t>nedsat nyrefunktion (se pkt. 4.2, 4.3 og 5.2)</w:t>
      </w:r>
    </w:p>
    <w:p w:rsidR="001A41D7" w:rsidRPr="001A41D7" w:rsidRDefault="001A41D7" w:rsidP="00D61012">
      <w:pPr>
        <w:numPr>
          <w:ilvl w:val="0"/>
          <w:numId w:val="9"/>
        </w:numPr>
        <w:tabs>
          <w:tab w:val="left" w:pos="851"/>
        </w:tabs>
        <w:ind w:left="1134" w:hanging="283"/>
        <w:rPr>
          <w:sz w:val="24"/>
          <w:szCs w:val="24"/>
        </w:rPr>
      </w:pPr>
      <w:r w:rsidRPr="001A41D7">
        <w:rPr>
          <w:sz w:val="24"/>
          <w:szCs w:val="24"/>
        </w:rPr>
        <w:t>samtidig behandling med potent eller moderat CYP3A4-hæmmer (se pkt. 4.2 og 4.5)</w:t>
      </w:r>
    </w:p>
    <w:p w:rsidR="001A41D7" w:rsidRPr="001A41D7" w:rsidRDefault="001A41D7" w:rsidP="00D61012">
      <w:pPr>
        <w:numPr>
          <w:ilvl w:val="0"/>
          <w:numId w:val="9"/>
        </w:numPr>
        <w:tabs>
          <w:tab w:val="left" w:pos="851"/>
        </w:tabs>
        <w:ind w:left="1134" w:hanging="283"/>
        <w:rPr>
          <w:sz w:val="24"/>
          <w:szCs w:val="24"/>
        </w:rPr>
      </w:pPr>
      <w:r w:rsidRPr="001A41D7">
        <w:rPr>
          <w:sz w:val="24"/>
          <w:szCs w:val="24"/>
        </w:rPr>
        <w:t>samtidig behandling med potent CYP2D6-hæmmer (se pkt. 4.5 og 5.2).</w:t>
      </w:r>
    </w:p>
    <w:p w:rsidR="001A41D7" w:rsidRPr="001A41D7" w:rsidRDefault="001A41D7" w:rsidP="001A41D7">
      <w:pPr>
        <w:tabs>
          <w:tab w:val="left" w:pos="851"/>
        </w:tabs>
        <w:ind w:left="851"/>
        <w:rPr>
          <w:sz w:val="24"/>
          <w:szCs w:val="24"/>
        </w:rPr>
      </w:pPr>
    </w:p>
    <w:p w:rsidR="001A41D7" w:rsidRPr="001A41D7" w:rsidRDefault="001A41D7" w:rsidP="001A41D7">
      <w:pPr>
        <w:tabs>
          <w:tab w:val="left" w:pos="851"/>
        </w:tabs>
        <w:ind w:left="851"/>
        <w:rPr>
          <w:sz w:val="24"/>
          <w:szCs w:val="24"/>
        </w:rPr>
      </w:pPr>
      <w:r w:rsidRPr="001A41D7">
        <w:rPr>
          <w:sz w:val="24"/>
          <w:szCs w:val="24"/>
          <w:u w:val="single"/>
        </w:rPr>
        <w:t>Dosisøgning</w:t>
      </w:r>
    </w:p>
    <w:p w:rsidR="001A41D7" w:rsidRPr="001A41D7" w:rsidRDefault="001A41D7" w:rsidP="001A41D7">
      <w:pPr>
        <w:tabs>
          <w:tab w:val="left" w:pos="851"/>
        </w:tabs>
        <w:ind w:left="851"/>
        <w:rPr>
          <w:sz w:val="24"/>
          <w:szCs w:val="24"/>
        </w:rPr>
      </w:pPr>
      <w:r w:rsidRPr="001A41D7">
        <w:rPr>
          <w:sz w:val="24"/>
          <w:szCs w:val="24"/>
        </w:rPr>
        <w:t xml:space="preserve">Patienter med en kombination af disse faktorer må forventes at være yderligere eksponerede for den aktive metabolit. Dosisafhængige </w:t>
      </w:r>
      <w:proofErr w:type="spellStart"/>
      <w:r w:rsidRPr="001A41D7">
        <w:rPr>
          <w:sz w:val="24"/>
          <w:szCs w:val="24"/>
        </w:rPr>
        <w:t>antimuskarine</w:t>
      </w:r>
      <w:proofErr w:type="spellEnd"/>
      <w:r w:rsidRPr="001A41D7">
        <w:rPr>
          <w:sz w:val="24"/>
          <w:szCs w:val="24"/>
        </w:rPr>
        <w:t xml:space="preserve"> bivirkninger må forventes at forekomme. I populationer, hvor dosis kan øges til 8 mg én gang dagligt, skal øgningen af dosis ledsages af en evaluering af den enkeltes respons og tolerance.</w:t>
      </w:r>
    </w:p>
    <w:p w:rsidR="001A41D7" w:rsidRPr="001A41D7" w:rsidRDefault="001A41D7" w:rsidP="001A41D7">
      <w:pPr>
        <w:tabs>
          <w:tab w:val="left" w:pos="851"/>
        </w:tabs>
        <w:ind w:left="851"/>
        <w:rPr>
          <w:sz w:val="24"/>
          <w:szCs w:val="24"/>
        </w:rPr>
      </w:pPr>
    </w:p>
    <w:p w:rsidR="001A41D7" w:rsidRPr="001A41D7" w:rsidRDefault="001A41D7" w:rsidP="001A41D7">
      <w:pPr>
        <w:tabs>
          <w:tab w:val="left" w:pos="851"/>
        </w:tabs>
        <w:ind w:left="851"/>
        <w:rPr>
          <w:sz w:val="24"/>
          <w:szCs w:val="24"/>
        </w:rPr>
      </w:pPr>
      <w:r w:rsidRPr="001A41D7">
        <w:rPr>
          <w:sz w:val="24"/>
          <w:szCs w:val="24"/>
        </w:rPr>
        <w:t xml:space="preserve">Organiske årsager skal udelukkes, før en behandling med </w:t>
      </w:r>
      <w:proofErr w:type="spellStart"/>
      <w:r w:rsidRPr="001A41D7">
        <w:rPr>
          <w:sz w:val="24"/>
          <w:szCs w:val="24"/>
        </w:rPr>
        <w:t>antimuskarine</w:t>
      </w:r>
      <w:proofErr w:type="spellEnd"/>
      <w:r w:rsidRPr="001A41D7">
        <w:rPr>
          <w:sz w:val="24"/>
          <w:szCs w:val="24"/>
        </w:rPr>
        <w:t xml:space="preserve"> lægemidler overvejes. Sikkerhed og virkning er endnu ikke fastlagt hos patienter med en </w:t>
      </w:r>
      <w:proofErr w:type="spellStart"/>
      <w:r w:rsidRPr="001A41D7">
        <w:rPr>
          <w:sz w:val="24"/>
          <w:szCs w:val="24"/>
        </w:rPr>
        <w:t>neurogen</w:t>
      </w:r>
      <w:proofErr w:type="spellEnd"/>
      <w:r w:rsidRPr="001A41D7">
        <w:rPr>
          <w:sz w:val="24"/>
          <w:szCs w:val="24"/>
        </w:rPr>
        <w:t xml:space="preserve"> årsag til </w:t>
      </w:r>
      <w:proofErr w:type="spellStart"/>
      <w:r w:rsidRPr="001A41D7">
        <w:rPr>
          <w:sz w:val="24"/>
          <w:szCs w:val="24"/>
        </w:rPr>
        <w:t>detrusoroveraktivitet</w:t>
      </w:r>
      <w:proofErr w:type="spellEnd"/>
      <w:r w:rsidRPr="001A41D7">
        <w:rPr>
          <w:sz w:val="24"/>
          <w:szCs w:val="24"/>
        </w:rPr>
        <w:t>.</w:t>
      </w:r>
    </w:p>
    <w:p w:rsidR="001A41D7" w:rsidRPr="001A41D7" w:rsidRDefault="001A41D7" w:rsidP="001A41D7">
      <w:pPr>
        <w:tabs>
          <w:tab w:val="left" w:pos="851"/>
        </w:tabs>
        <w:ind w:left="851"/>
        <w:rPr>
          <w:sz w:val="24"/>
          <w:szCs w:val="24"/>
        </w:rPr>
      </w:pPr>
    </w:p>
    <w:p w:rsidR="001A41D7" w:rsidRPr="001A41D7" w:rsidRDefault="001A41D7" w:rsidP="001A41D7">
      <w:pPr>
        <w:tabs>
          <w:tab w:val="left" w:pos="851"/>
        </w:tabs>
        <w:ind w:left="851"/>
        <w:rPr>
          <w:sz w:val="24"/>
          <w:szCs w:val="24"/>
        </w:rPr>
      </w:pPr>
      <w:r w:rsidRPr="001A41D7">
        <w:rPr>
          <w:sz w:val="24"/>
          <w:szCs w:val="24"/>
        </w:rPr>
        <w:t xml:space="preserve">Andre årsager til hyppig vandladning (behandling af hjertesvigt eller nyresygdom) bør vurderes, før der behandles med </w:t>
      </w:r>
      <w:proofErr w:type="spellStart"/>
      <w:r w:rsidRPr="001A41D7">
        <w:rPr>
          <w:sz w:val="24"/>
          <w:szCs w:val="24"/>
        </w:rPr>
        <w:t>fesoterodin</w:t>
      </w:r>
      <w:proofErr w:type="spellEnd"/>
      <w:r w:rsidRPr="001A41D7">
        <w:rPr>
          <w:sz w:val="24"/>
          <w:szCs w:val="24"/>
        </w:rPr>
        <w:t>. Hvis der er urinvejsinfektion, bør relevant medicinsk/antibakteriel behandling indledes.</w:t>
      </w:r>
    </w:p>
    <w:p w:rsidR="001A41D7" w:rsidRPr="001A41D7" w:rsidRDefault="001A41D7" w:rsidP="001A41D7">
      <w:pPr>
        <w:tabs>
          <w:tab w:val="left" w:pos="851"/>
        </w:tabs>
        <w:ind w:left="851"/>
        <w:rPr>
          <w:sz w:val="24"/>
          <w:szCs w:val="24"/>
        </w:rPr>
      </w:pPr>
    </w:p>
    <w:p w:rsidR="001A41D7" w:rsidRPr="001A41D7" w:rsidRDefault="001A41D7" w:rsidP="001A41D7">
      <w:pPr>
        <w:tabs>
          <w:tab w:val="left" w:pos="851"/>
        </w:tabs>
        <w:ind w:left="851"/>
        <w:rPr>
          <w:sz w:val="24"/>
          <w:szCs w:val="24"/>
        </w:rPr>
      </w:pPr>
      <w:proofErr w:type="spellStart"/>
      <w:r w:rsidRPr="001A41D7">
        <w:rPr>
          <w:sz w:val="24"/>
          <w:szCs w:val="24"/>
          <w:u w:val="single"/>
        </w:rPr>
        <w:t>Angioødem</w:t>
      </w:r>
      <w:proofErr w:type="spellEnd"/>
    </w:p>
    <w:p w:rsidR="001A41D7" w:rsidRPr="001A41D7" w:rsidRDefault="001A41D7" w:rsidP="001A41D7">
      <w:pPr>
        <w:tabs>
          <w:tab w:val="left" w:pos="851"/>
        </w:tabs>
        <w:ind w:left="851"/>
        <w:rPr>
          <w:sz w:val="24"/>
          <w:szCs w:val="24"/>
        </w:rPr>
      </w:pPr>
      <w:r w:rsidRPr="001A41D7">
        <w:rPr>
          <w:sz w:val="24"/>
          <w:szCs w:val="24"/>
        </w:rPr>
        <w:t xml:space="preserve">Der er set </w:t>
      </w:r>
      <w:proofErr w:type="spellStart"/>
      <w:r w:rsidRPr="001A41D7">
        <w:rPr>
          <w:sz w:val="24"/>
          <w:szCs w:val="24"/>
        </w:rPr>
        <w:t>angioødem</w:t>
      </w:r>
      <w:proofErr w:type="spellEnd"/>
      <w:r w:rsidRPr="001A41D7">
        <w:rPr>
          <w:sz w:val="24"/>
          <w:szCs w:val="24"/>
        </w:rPr>
        <w:t xml:space="preserve"> ved brug af </w:t>
      </w:r>
      <w:proofErr w:type="spellStart"/>
      <w:r w:rsidRPr="001A41D7">
        <w:rPr>
          <w:sz w:val="24"/>
          <w:szCs w:val="24"/>
        </w:rPr>
        <w:t>fesoterodin</w:t>
      </w:r>
      <w:proofErr w:type="spellEnd"/>
      <w:r w:rsidRPr="001A41D7">
        <w:rPr>
          <w:sz w:val="24"/>
          <w:szCs w:val="24"/>
        </w:rPr>
        <w:t xml:space="preserve">, i nogle tilfælde opstået efter den første dosis. Hvis </w:t>
      </w:r>
      <w:proofErr w:type="spellStart"/>
      <w:r w:rsidRPr="001A41D7">
        <w:rPr>
          <w:sz w:val="24"/>
          <w:szCs w:val="24"/>
        </w:rPr>
        <w:t>angioødem</w:t>
      </w:r>
      <w:proofErr w:type="spellEnd"/>
      <w:r w:rsidRPr="001A41D7">
        <w:rPr>
          <w:sz w:val="24"/>
          <w:szCs w:val="24"/>
        </w:rPr>
        <w:t xml:space="preserve"> opstår, skal behandlingen med </w:t>
      </w:r>
      <w:proofErr w:type="spellStart"/>
      <w:r w:rsidRPr="001A41D7">
        <w:rPr>
          <w:sz w:val="24"/>
          <w:szCs w:val="24"/>
        </w:rPr>
        <w:t>fesoterodin</w:t>
      </w:r>
      <w:proofErr w:type="spellEnd"/>
      <w:r w:rsidRPr="001A41D7">
        <w:rPr>
          <w:sz w:val="24"/>
          <w:szCs w:val="24"/>
        </w:rPr>
        <w:t xml:space="preserve"> seponeres og passende behandling straks påbegyndes.</w:t>
      </w:r>
    </w:p>
    <w:p w:rsidR="001A41D7" w:rsidRPr="001A41D7" w:rsidRDefault="001A41D7" w:rsidP="001A41D7">
      <w:pPr>
        <w:tabs>
          <w:tab w:val="left" w:pos="851"/>
        </w:tabs>
        <w:ind w:left="851"/>
        <w:rPr>
          <w:sz w:val="24"/>
          <w:szCs w:val="24"/>
        </w:rPr>
      </w:pPr>
    </w:p>
    <w:p w:rsidR="001A41D7" w:rsidRPr="001A41D7" w:rsidRDefault="001A41D7" w:rsidP="001A41D7">
      <w:pPr>
        <w:tabs>
          <w:tab w:val="left" w:pos="851"/>
        </w:tabs>
        <w:ind w:left="851"/>
        <w:rPr>
          <w:sz w:val="24"/>
          <w:szCs w:val="24"/>
        </w:rPr>
      </w:pPr>
      <w:r w:rsidRPr="001A41D7">
        <w:rPr>
          <w:sz w:val="24"/>
          <w:szCs w:val="24"/>
          <w:u w:val="single"/>
        </w:rPr>
        <w:t>Stærke CYP3A4-induktorer</w:t>
      </w:r>
    </w:p>
    <w:p w:rsidR="001A41D7" w:rsidRPr="001A41D7" w:rsidRDefault="001A41D7" w:rsidP="001A41D7">
      <w:pPr>
        <w:tabs>
          <w:tab w:val="left" w:pos="851"/>
        </w:tabs>
        <w:ind w:left="851"/>
        <w:rPr>
          <w:sz w:val="24"/>
          <w:szCs w:val="24"/>
        </w:rPr>
      </w:pPr>
      <w:r w:rsidRPr="001A41D7">
        <w:rPr>
          <w:sz w:val="24"/>
          <w:szCs w:val="24"/>
        </w:rPr>
        <w:t xml:space="preserve">Samtidig brug af </w:t>
      </w:r>
      <w:proofErr w:type="spellStart"/>
      <w:r w:rsidRPr="001A41D7">
        <w:rPr>
          <w:sz w:val="24"/>
          <w:szCs w:val="24"/>
        </w:rPr>
        <w:t>fesoterodin</w:t>
      </w:r>
      <w:proofErr w:type="spellEnd"/>
      <w:r w:rsidRPr="001A41D7">
        <w:rPr>
          <w:sz w:val="24"/>
          <w:szCs w:val="24"/>
        </w:rPr>
        <w:t xml:space="preserve"> og en stærk CYP3A4-induktor (dvs. </w:t>
      </w:r>
      <w:proofErr w:type="spellStart"/>
      <w:r w:rsidRPr="001A41D7">
        <w:rPr>
          <w:sz w:val="24"/>
          <w:szCs w:val="24"/>
        </w:rPr>
        <w:t>carbamazepin</w:t>
      </w:r>
      <w:proofErr w:type="spellEnd"/>
      <w:r w:rsidRPr="001A41D7">
        <w:rPr>
          <w:sz w:val="24"/>
          <w:szCs w:val="24"/>
        </w:rPr>
        <w:t xml:space="preserve">, </w:t>
      </w:r>
      <w:proofErr w:type="spellStart"/>
      <w:r w:rsidRPr="001A41D7">
        <w:rPr>
          <w:sz w:val="24"/>
          <w:szCs w:val="24"/>
        </w:rPr>
        <w:t>rifampicin</w:t>
      </w:r>
      <w:proofErr w:type="spellEnd"/>
      <w:r w:rsidRPr="001A41D7">
        <w:rPr>
          <w:sz w:val="24"/>
          <w:szCs w:val="24"/>
        </w:rPr>
        <w:t xml:space="preserve">, </w:t>
      </w:r>
      <w:proofErr w:type="spellStart"/>
      <w:r w:rsidRPr="001A41D7">
        <w:rPr>
          <w:sz w:val="24"/>
          <w:szCs w:val="24"/>
        </w:rPr>
        <w:t>phenobarbital</w:t>
      </w:r>
      <w:proofErr w:type="spellEnd"/>
      <w:r w:rsidRPr="001A41D7">
        <w:rPr>
          <w:sz w:val="24"/>
          <w:szCs w:val="24"/>
        </w:rPr>
        <w:t xml:space="preserve">, </w:t>
      </w:r>
      <w:proofErr w:type="spellStart"/>
      <w:r w:rsidRPr="001A41D7">
        <w:rPr>
          <w:sz w:val="24"/>
          <w:szCs w:val="24"/>
        </w:rPr>
        <w:t>phenytoin</w:t>
      </w:r>
      <w:proofErr w:type="spellEnd"/>
      <w:r w:rsidRPr="001A41D7">
        <w:rPr>
          <w:sz w:val="24"/>
          <w:szCs w:val="24"/>
        </w:rPr>
        <w:t>, prikbladet perikon) frarådes (se pkt. 4.5).</w:t>
      </w:r>
    </w:p>
    <w:p w:rsidR="001A41D7" w:rsidRPr="001A41D7" w:rsidRDefault="001A41D7" w:rsidP="001A41D7">
      <w:pPr>
        <w:tabs>
          <w:tab w:val="left" w:pos="851"/>
        </w:tabs>
        <w:ind w:left="851"/>
        <w:rPr>
          <w:sz w:val="24"/>
          <w:szCs w:val="24"/>
        </w:rPr>
      </w:pPr>
    </w:p>
    <w:p w:rsidR="001A41D7" w:rsidRPr="001A41D7" w:rsidRDefault="001A41D7" w:rsidP="001A41D7">
      <w:pPr>
        <w:tabs>
          <w:tab w:val="left" w:pos="851"/>
        </w:tabs>
        <w:ind w:left="851"/>
        <w:rPr>
          <w:sz w:val="24"/>
          <w:szCs w:val="24"/>
        </w:rPr>
      </w:pPr>
      <w:r w:rsidRPr="001A41D7">
        <w:rPr>
          <w:sz w:val="24"/>
          <w:szCs w:val="24"/>
          <w:u w:val="single"/>
        </w:rPr>
        <w:t>QT-forlængelse</w:t>
      </w:r>
    </w:p>
    <w:p w:rsidR="001A41D7" w:rsidRPr="001A41D7" w:rsidRDefault="001A41D7" w:rsidP="001A41D7">
      <w:pPr>
        <w:tabs>
          <w:tab w:val="left" w:pos="851"/>
        </w:tabs>
        <w:ind w:left="851"/>
        <w:rPr>
          <w:sz w:val="24"/>
          <w:szCs w:val="24"/>
        </w:rPr>
      </w:pPr>
      <w:proofErr w:type="spellStart"/>
      <w:r w:rsidRPr="001A41D7">
        <w:rPr>
          <w:sz w:val="24"/>
          <w:szCs w:val="24"/>
        </w:rPr>
        <w:t>Fesoterodin</w:t>
      </w:r>
      <w:proofErr w:type="spellEnd"/>
      <w:r w:rsidRPr="001A41D7">
        <w:rPr>
          <w:sz w:val="24"/>
          <w:szCs w:val="24"/>
        </w:rPr>
        <w:t xml:space="preserve"> "</w:t>
      </w:r>
      <w:proofErr w:type="spellStart"/>
      <w:r w:rsidRPr="001A41D7">
        <w:rPr>
          <w:sz w:val="24"/>
          <w:szCs w:val="24"/>
        </w:rPr>
        <w:t>Accord</w:t>
      </w:r>
      <w:proofErr w:type="spellEnd"/>
      <w:r w:rsidRPr="001A41D7">
        <w:rPr>
          <w:sz w:val="24"/>
          <w:szCs w:val="24"/>
        </w:rPr>
        <w:t xml:space="preserve">" bør anvendes med forsigtighed til patienter med risiko for QT-forlængelse (f.eks. </w:t>
      </w:r>
      <w:proofErr w:type="spellStart"/>
      <w:r w:rsidRPr="001A41D7">
        <w:rPr>
          <w:sz w:val="24"/>
          <w:szCs w:val="24"/>
        </w:rPr>
        <w:t>hypokaliæmi</w:t>
      </w:r>
      <w:proofErr w:type="spellEnd"/>
      <w:r w:rsidRPr="001A41D7">
        <w:rPr>
          <w:sz w:val="24"/>
          <w:szCs w:val="24"/>
        </w:rPr>
        <w:t xml:space="preserve">, bradykardi og samtidig behandling med lægemidler, der forlænger QT-intervallet) og relevante forud bestående hjertekarsygdomme (f.eks. </w:t>
      </w:r>
      <w:proofErr w:type="spellStart"/>
      <w:r w:rsidRPr="001A41D7">
        <w:rPr>
          <w:sz w:val="24"/>
          <w:szCs w:val="24"/>
        </w:rPr>
        <w:lastRenderedPageBreak/>
        <w:t>myokardieiskæmi</w:t>
      </w:r>
      <w:proofErr w:type="spellEnd"/>
      <w:r w:rsidRPr="001A41D7">
        <w:rPr>
          <w:sz w:val="24"/>
          <w:szCs w:val="24"/>
        </w:rPr>
        <w:t xml:space="preserve">, </w:t>
      </w:r>
      <w:proofErr w:type="spellStart"/>
      <w:r w:rsidRPr="001A41D7">
        <w:rPr>
          <w:sz w:val="24"/>
          <w:szCs w:val="24"/>
        </w:rPr>
        <w:t>arytmi</w:t>
      </w:r>
      <w:proofErr w:type="spellEnd"/>
      <w:r w:rsidRPr="001A41D7">
        <w:rPr>
          <w:sz w:val="24"/>
          <w:szCs w:val="24"/>
        </w:rPr>
        <w:t xml:space="preserve">, </w:t>
      </w:r>
      <w:proofErr w:type="spellStart"/>
      <w:r w:rsidRPr="001A41D7">
        <w:rPr>
          <w:sz w:val="24"/>
          <w:szCs w:val="24"/>
        </w:rPr>
        <w:t>venstresidig</w:t>
      </w:r>
      <w:proofErr w:type="spellEnd"/>
      <w:r w:rsidRPr="001A41D7">
        <w:rPr>
          <w:sz w:val="24"/>
          <w:szCs w:val="24"/>
        </w:rPr>
        <w:t xml:space="preserve"> hjerteinsufficiens, se pkt. 4.8). Dette gør sig især gældende ved brug af potente CYP3A4-hæmmere (se pkt. 4.2, 4.5 og 5.1).</w:t>
      </w:r>
    </w:p>
    <w:p w:rsidR="001A41D7" w:rsidRPr="001A41D7" w:rsidRDefault="001A41D7" w:rsidP="001A41D7">
      <w:pPr>
        <w:tabs>
          <w:tab w:val="left" w:pos="851"/>
        </w:tabs>
        <w:ind w:left="851"/>
        <w:rPr>
          <w:sz w:val="24"/>
          <w:szCs w:val="24"/>
        </w:rPr>
      </w:pPr>
    </w:p>
    <w:p w:rsidR="001A41D7" w:rsidRPr="001A41D7" w:rsidRDefault="001A41D7" w:rsidP="001A41D7">
      <w:pPr>
        <w:tabs>
          <w:tab w:val="left" w:pos="851"/>
        </w:tabs>
        <w:ind w:left="851"/>
        <w:rPr>
          <w:sz w:val="24"/>
          <w:szCs w:val="24"/>
        </w:rPr>
      </w:pPr>
      <w:proofErr w:type="spellStart"/>
      <w:r w:rsidRPr="001A41D7">
        <w:rPr>
          <w:sz w:val="24"/>
          <w:szCs w:val="24"/>
          <w:u w:val="single"/>
        </w:rPr>
        <w:t>Lactose</w:t>
      </w:r>
      <w:proofErr w:type="spellEnd"/>
    </w:p>
    <w:p w:rsidR="001A41D7" w:rsidRPr="001A41D7" w:rsidRDefault="001A41D7" w:rsidP="001A41D7">
      <w:pPr>
        <w:tabs>
          <w:tab w:val="left" w:pos="851"/>
        </w:tabs>
        <w:ind w:left="851"/>
        <w:rPr>
          <w:sz w:val="24"/>
          <w:szCs w:val="24"/>
        </w:rPr>
      </w:pPr>
      <w:proofErr w:type="spellStart"/>
      <w:r w:rsidRPr="001A41D7">
        <w:rPr>
          <w:sz w:val="24"/>
          <w:szCs w:val="24"/>
        </w:rPr>
        <w:t>Fesoterodin</w:t>
      </w:r>
      <w:proofErr w:type="spellEnd"/>
      <w:r w:rsidRPr="001A41D7">
        <w:rPr>
          <w:sz w:val="24"/>
          <w:szCs w:val="24"/>
        </w:rPr>
        <w:t xml:space="preserve"> "</w:t>
      </w:r>
      <w:proofErr w:type="spellStart"/>
      <w:r w:rsidRPr="001A41D7">
        <w:rPr>
          <w:sz w:val="24"/>
          <w:szCs w:val="24"/>
        </w:rPr>
        <w:t>Accord</w:t>
      </w:r>
      <w:proofErr w:type="spellEnd"/>
      <w:r w:rsidRPr="001A41D7">
        <w:rPr>
          <w:sz w:val="24"/>
          <w:szCs w:val="24"/>
        </w:rPr>
        <w:t xml:space="preserve">" depottabletter indeholder </w:t>
      </w:r>
      <w:proofErr w:type="spellStart"/>
      <w:r w:rsidRPr="001A41D7">
        <w:rPr>
          <w:sz w:val="24"/>
          <w:szCs w:val="24"/>
        </w:rPr>
        <w:t>lactose</w:t>
      </w:r>
      <w:proofErr w:type="spellEnd"/>
      <w:r w:rsidRPr="001A41D7">
        <w:rPr>
          <w:sz w:val="24"/>
          <w:szCs w:val="24"/>
        </w:rPr>
        <w:t xml:space="preserve">. Bør ikke anvendes til patienter med hereditær </w:t>
      </w:r>
      <w:proofErr w:type="spellStart"/>
      <w:r w:rsidRPr="001A41D7">
        <w:rPr>
          <w:sz w:val="24"/>
          <w:szCs w:val="24"/>
        </w:rPr>
        <w:t>galactoseintolerans</w:t>
      </w:r>
      <w:proofErr w:type="spellEnd"/>
      <w:r w:rsidRPr="001A41D7">
        <w:rPr>
          <w:sz w:val="24"/>
          <w:szCs w:val="24"/>
        </w:rPr>
        <w:t xml:space="preserve">, total </w:t>
      </w:r>
      <w:proofErr w:type="spellStart"/>
      <w:r w:rsidRPr="001A41D7">
        <w:rPr>
          <w:sz w:val="24"/>
          <w:szCs w:val="24"/>
        </w:rPr>
        <w:t>lactasemangel</w:t>
      </w:r>
      <w:proofErr w:type="spellEnd"/>
      <w:r w:rsidRPr="001A41D7">
        <w:rPr>
          <w:sz w:val="24"/>
          <w:szCs w:val="24"/>
        </w:rPr>
        <w:t xml:space="preserve"> eller </w:t>
      </w:r>
      <w:proofErr w:type="spellStart"/>
      <w:r w:rsidRPr="001A41D7">
        <w:rPr>
          <w:sz w:val="24"/>
          <w:szCs w:val="24"/>
        </w:rPr>
        <w:t>glucose</w:t>
      </w:r>
      <w:proofErr w:type="spellEnd"/>
      <w:r w:rsidRPr="001A41D7">
        <w:rPr>
          <w:sz w:val="24"/>
          <w:szCs w:val="24"/>
        </w:rPr>
        <w:t>/</w:t>
      </w:r>
      <w:proofErr w:type="spellStart"/>
      <w:r w:rsidRPr="001A41D7">
        <w:rPr>
          <w:sz w:val="24"/>
          <w:szCs w:val="24"/>
        </w:rPr>
        <w:t>galactose</w:t>
      </w:r>
      <w:r w:rsidRPr="001A41D7">
        <w:rPr>
          <w:sz w:val="24"/>
          <w:szCs w:val="24"/>
        </w:rPr>
        <w:softHyphen/>
        <w:t>malabsorption</w:t>
      </w:r>
      <w:proofErr w:type="spellEnd"/>
      <w:r w:rsidRPr="001A41D7">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D92656" w:rsidRPr="00D92656" w:rsidRDefault="00D92656" w:rsidP="00D92656">
      <w:pPr>
        <w:tabs>
          <w:tab w:val="left" w:pos="851"/>
        </w:tabs>
        <w:ind w:left="851"/>
        <w:rPr>
          <w:sz w:val="24"/>
          <w:szCs w:val="24"/>
        </w:rPr>
      </w:pPr>
    </w:p>
    <w:p w:rsidR="00D92656" w:rsidRPr="00D92656" w:rsidRDefault="00D92656" w:rsidP="00D92656">
      <w:pPr>
        <w:tabs>
          <w:tab w:val="left" w:pos="851"/>
        </w:tabs>
        <w:ind w:left="851"/>
        <w:rPr>
          <w:sz w:val="24"/>
          <w:szCs w:val="24"/>
          <w:u w:val="single"/>
        </w:rPr>
      </w:pPr>
      <w:r w:rsidRPr="00D92656">
        <w:rPr>
          <w:sz w:val="24"/>
          <w:szCs w:val="24"/>
          <w:u w:val="single"/>
        </w:rPr>
        <w:t>Farmakologiske interaktioner</w:t>
      </w:r>
    </w:p>
    <w:p w:rsidR="00D92656" w:rsidRPr="00D92656" w:rsidRDefault="00D92656" w:rsidP="00D92656">
      <w:pPr>
        <w:tabs>
          <w:tab w:val="left" w:pos="851"/>
        </w:tabs>
        <w:ind w:left="851"/>
        <w:rPr>
          <w:sz w:val="24"/>
          <w:szCs w:val="24"/>
        </w:rPr>
      </w:pPr>
      <w:r w:rsidRPr="00D92656">
        <w:rPr>
          <w:sz w:val="24"/>
          <w:szCs w:val="24"/>
        </w:rPr>
        <w:t xml:space="preserve">Der bør udvises forsigtighed ved samtidig administration af </w:t>
      </w:r>
      <w:proofErr w:type="spellStart"/>
      <w:r w:rsidRPr="00D92656">
        <w:rPr>
          <w:sz w:val="24"/>
          <w:szCs w:val="24"/>
        </w:rPr>
        <w:t>fesoterodin</w:t>
      </w:r>
      <w:proofErr w:type="spellEnd"/>
      <w:r w:rsidRPr="00D92656">
        <w:rPr>
          <w:sz w:val="24"/>
          <w:szCs w:val="24"/>
        </w:rPr>
        <w:t xml:space="preserve"> og andre lægemidler, som har </w:t>
      </w:r>
      <w:proofErr w:type="spellStart"/>
      <w:r w:rsidRPr="00D92656">
        <w:rPr>
          <w:sz w:val="24"/>
          <w:szCs w:val="24"/>
        </w:rPr>
        <w:t>antimuskarine</w:t>
      </w:r>
      <w:proofErr w:type="spellEnd"/>
      <w:r w:rsidRPr="00D92656">
        <w:rPr>
          <w:sz w:val="24"/>
          <w:szCs w:val="24"/>
        </w:rPr>
        <w:t xml:space="preserve"> eller </w:t>
      </w:r>
      <w:proofErr w:type="spellStart"/>
      <w:r w:rsidRPr="00D92656">
        <w:rPr>
          <w:sz w:val="24"/>
          <w:szCs w:val="24"/>
        </w:rPr>
        <w:t>antikolinerge</w:t>
      </w:r>
      <w:proofErr w:type="spellEnd"/>
      <w:r w:rsidRPr="00D92656">
        <w:rPr>
          <w:sz w:val="24"/>
          <w:szCs w:val="24"/>
        </w:rPr>
        <w:t xml:space="preserve"> egenskaber (f.eks. </w:t>
      </w:r>
      <w:proofErr w:type="spellStart"/>
      <w:r w:rsidRPr="00D92656">
        <w:rPr>
          <w:sz w:val="24"/>
          <w:szCs w:val="24"/>
        </w:rPr>
        <w:t>amantadin</w:t>
      </w:r>
      <w:proofErr w:type="spellEnd"/>
      <w:r w:rsidRPr="00D92656">
        <w:rPr>
          <w:sz w:val="24"/>
          <w:szCs w:val="24"/>
        </w:rPr>
        <w:t xml:space="preserve">, tricykliske </w:t>
      </w:r>
      <w:proofErr w:type="spellStart"/>
      <w:r w:rsidRPr="00D92656">
        <w:rPr>
          <w:sz w:val="24"/>
          <w:szCs w:val="24"/>
        </w:rPr>
        <w:t>antidepressiva</w:t>
      </w:r>
      <w:proofErr w:type="spellEnd"/>
      <w:r w:rsidRPr="00D92656">
        <w:rPr>
          <w:sz w:val="24"/>
          <w:szCs w:val="24"/>
        </w:rPr>
        <w:t xml:space="preserve">, visse </w:t>
      </w:r>
      <w:proofErr w:type="spellStart"/>
      <w:r w:rsidRPr="00D92656">
        <w:rPr>
          <w:sz w:val="24"/>
          <w:szCs w:val="24"/>
        </w:rPr>
        <w:t>neuroleptika</w:t>
      </w:r>
      <w:proofErr w:type="spellEnd"/>
      <w:r w:rsidRPr="00D92656">
        <w:rPr>
          <w:sz w:val="24"/>
          <w:szCs w:val="24"/>
        </w:rPr>
        <w:t>), da dette kan medføre mere udtalte terapeutiske virkninger og bivirkninger (f.eks. forstoppelse, mundtørhed, døsighed, urinretention).</w:t>
      </w:r>
    </w:p>
    <w:p w:rsidR="00D92656" w:rsidRPr="00D92656" w:rsidRDefault="00D92656" w:rsidP="00D92656">
      <w:pPr>
        <w:tabs>
          <w:tab w:val="left" w:pos="851"/>
        </w:tabs>
        <w:ind w:left="851"/>
        <w:rPr>
          <w:sz w:val="24"/>
          <w:szCs w:val="24"/>
        </w:rPr>
      </w:pPr>
      <w:proofErr w:type="spellStart"/>
      <w:r w:rsidRPr="00D92656">
        <w:rPr>
          <w:sz w:val="24"/>
          <w:szCs w:val="24"/>
        </w:rPr>
        <w:t>Fesoterodin</w:t>
      </w:r>
      <w:proofErr w:type="spellEnd"/>
      <w:r w:rsidRPr="00D92656">
        <w:rPr>
          <w:sz w:val="24"/>
          <w:szCs w:val="24"/>
        </w:rPr>
        <w:t xml:space="preserve"> kan nedsætte virkningen af lægemidler, der stimulerer </w:t>
      </w:r>
      <w:proofErr w:type="spellStart"/>
      <w:r w:rsidRPr="00D92656">
        <w:rPr>
          <w:sz w:val="24"/>
          <w:szCs w:val="24"/>
        </w:rPr>
        <w:t>motiliteten</w:t>
      </w:r>
      <w:proofErr w:type="spellEnd"/>
      <w:r w:rsidRPr="00D92656">
        <w:rPr>
          <w:sz w:val="24"/>
          <w:szCs w:val="24"/>
        </w:rPr>
        <w:t xml:space="preserve"> af mavetarmkanalen, f.eks. </w:t>
      </w:r>
      <w:proofErr w:type="spellStart"/>
      <w:r w:rsidRPr="00D92656">
        <w:rPr>
          <w:sz w:val="24"/>
          <w:szCs w:val="24"/>
        </w:rPr>
        <w:t>metoclopramid</w:t>
      </w:r>
      <w:proofErr w:type="spellEnd"/>
      <w:r w:rsidRPr="00D92656">
        <w:rPr>
          <w:sz w:val="24"/>
          <w:szCs w:val="24"/>
        </w:rPr>
        <w:t>.</w:t>
      </w:r>
    </w:p>
    <w:p w:rsidR="00D92656" w:rsidRPr="00D92656" w:rsidRDefault="00D92656" w:rsidP="00D92656">
      <w:pPr>
        <w:tabs>
          <w:tab w:val="left" w:pos="851"/>
        </w:tabs>
        <w:ind w:left="851"/>
        <w:rPr>
          <w:sz w:val="24"/>
          <w:szCs w:val="24"/>
        </w:rPr>
      </w:pPr>
    </w:p>
    <w:p w:rsidR="00D92656" w:rsidRPr="00D92656" w:rsidRDefault="00D92656" w:rsidP="00D92656">
      <w:pPr>
        <w:tabs>
          <w:tab w:val="left" w:pos="851"/>
        </w:tabs>
        <w:ind w:left="851"/>
        <w:rPr>
          <w:sz w:val="24"/>
          <w:szCs w:val="24"/>
          <w:u w:val="single"/>
        </w:rPr>
      </w:pPr>
      <w:proofErr w:type="spellStart"/>
      <w:r w:rsidRPr="00D92656">
        <w:rPr>
          <w:sz w:val="24"/>
          <w:szCs w:val="24"/>
          <w:u w:val="single"/>
        </w:rPr>
        <w:t>Farmakokinetiske</w:t>
      </w:r>
      <w:proofErr w:type="spellEnd"/>
      <w:r w:rsidRPr="00D92656">
        <w:rPr>
          <w:sz w:val="24"/>
          <w:szCs w:val="24"/>
          <w:u w:val="single"/>
        </w:rPr>
        <w:t xml:space="preserve"> interaktioner</w:t>
      </w:r>
    </w:p>
    <w:p w:rsidR="00D92656" w:rsidRPr="00D92656" w:rsidRDefault="00D92656" w:rsidP="00D92656">
      <w:pPr>
        <w:tabs>
          <w:tab w:val="left" w:pos="851"/>
        </w:tabs>
        <w:ind w:left="851"/>
        <w:rPr>
          <w:sz w:val="24"/>
          <w:szCs w:val="24"/>
        </w:rPr>
      </w:pPr>
      <w:r w:rsidRPr="00D92656">
        <w:rPr>
          <w:i/>
          <w:sz w:val="24"/>
          <w:szCs w:val="24"/>
        </w:rPr>
        <w:t xml:space="preserve">In </w:t>
      </w:r>
      <w:proofErr w:type="spellStart"/>
      <w:r w:rsidRPr="00D92656">
        <w:rPr>
          <w:i/>
          <w:sz w:val="24"/>
          <w:szCs w:val="24"/>
        </w:rPr>
        <w:t>vitro</w:t>
      </w:r>
      <w:proofErr w:type="spellEnd"/>
      <w:r w:rsidRPr="00D92656">
        <w:rPr>
          <w:sz w:val="24"/>
          <w:szCs w:val="24"/>
        </w:rPr>
        <w:t xml:space="preserve">-data viser, at </w:t>
      </w:r>
      <w:proofErr w:type="spellStart"/>
      <w:r w:rsidRPr="00D92656">
        <w:rPr>
          <w:sz w:val="24"/>
          <w:szCs w:val="24"/>
        </w:rPr>
        <w:t>fesoterodins</w:t>
      </w:r>
      <w:proofErr w:type="spellEnd"/>
      <w:r w:rsidRPr="00D92656">
        <w:rPr>
          <w:sz w:val="24"/>
          <w:szCs w:val="24"/>
        </w:rPr>
        <w:t xml:space="preserve"> aktive metabolit ikke hæmmer CYP1A2, 2B6, 2C8, 2C9, 2C19, 2D6, 2E1 eller 3A4 eller inducerer CYP1A2, 2B6, 2C9, 2C19 eller 3A4 ved klinisk relevante plasma-koncentrationer. Det er derfor ikke sandsynligt, at </w:t>
      </w:r>
      <w:proofErr w:type="spellStart"/>
      <w:r w:rsidRPr="00D92656">
        <w:rPr>
          <w:sz w:val="24"/>
          <w:szCs w:val="24"/>
        </w:rPr>
        <w:t>fesoterodin</w:t>
      </w:r>
      <w:proofErr w:type="spellEnd"/>
      <w:r w:rsidRPr="00D92656">
        <w:rPr>
          <w:sz w:val="24"/>
          <w:szCs w:val="24"/>
        </w:rPr>
        <w:t xml:space="preserve"> ændrer </w:t>
      </w:r>
      <w:proofErr w:type="spellStart"/>
      <w:r w:rsidRPr="00D92656">
        <w:rPr>
          <w:sz w:val="24"/>
          <w:szCs w:val="24"/>
        </w:rPr>
        <w:t>clearance</w:t>
      </w:r>
      <w:proofErr w:type="spellEnd"/>
      <w:r w:rsidRPr="00D92656">
        <w:rPr>
          <w:sz w:val="24"/>
          <w:szCs w:val="24"/>
        </w:rPr>
        <w:t xml:space="preserve"> af lægemidler, som </w:t>
      </w:r>
      <w:proofErr w:type="spellStart"/>
      <w:r w:rsidRPr="00D92656">
        <w:rPr>
          <w:sz w:val="24"/>
          <w:szCs w:val="24"/>
        </w:rPr>
        <w:t>metaboliseres</w:t>
      </w:r>
      <w:proofErr w:type="spellEnd"/>
      <w:r w:rsidRPr="00D92656">
        <w:rPr>
          <w:sz w:val="24"/>
          <w:szCs w:val="24"/>
        </w:rPr>
        <w:t xml:space="preserve"> af disse enzymer.</w:t>
      </w:r>
    </w:p>
    <w:p w:rsidR="00D92656" w:rsidRPr="00D92656" w:rsidRDefault="00D92656" w:rsidP="00D92656">
      <w:pPr>
        <w:tabs>
          <w:tab w:val="left" w:pos="851"/>
        </w:tabs>
        <w:ind w:left="851"/>
        <w:rPr>
          <w:sz w:val="24"/>
          <w:szCs w:val="24"/>
        </w:rPr>
      </w:pPr>
    </w:p>
    <w:p w:rsidR="00D92656" w:rsidRPr="00D92656" w:rsidRDefault="00D92656" w:rsidP="00D92656">
      <w:pPr>
        <w:tabs>
          <w:tab w:val="left" w:pos="851"/>
        </w:tabs>
        <w:ind w:left="851"/>
        <w:rPr>
          <w:i/>
          <w:sz w:val="24"/>
          <w:szCs w:val="24"/>
          <w:u w:val="single"/>
        </w:rPr>
      </w:pPr>
      <w:r w:rsidRPr="00D92656">
        <w:rPr>
          <w:i/>
          <w:sz w:val="24"/>
          <w:szCs w:val="24"/>
          <w:u w:val="single"/>
        </w:rPr>
        <w:t>CYP3A4-hæmmere</w:t>
      </w:r>
    </w:p>
    <w:p w:rsidR="00D92656" w:rsidRPr="00D92656" w:rsidRDefault="00D92656" w:rsidP="00D92656">
      <w:pPr>
        <w:tabs>
          <w:tab w:val="left" w:pos="851"/>
        </w:tabs>
        <w:ind w:left="851"/>
        <w:rPr>
          <w:i/>
          <w:sz w:val="24"/>
          <w:szCs w:val="24"/>
        </w:rPr>
      </w:pPr>
    </w:p>
    <w:p w:rsidR="00D92656" w:rsidRPr="00D92656" w:rsidRDefault="00D92656" w:rsidP="00D92656">
      <w:pPr>
        <w:tabs>
          <w:tab w:val="left" w:pos="851"/>
        </w:tabs>
        <w:ind w:left="851"/>
        <w:rPr>
          <w:i/>
          <w:sz w:val="24"/>
          <w:szCs w:val="24"/>
        </w:rPr>
      </w:pPr>
      <w:r w:rsidRPr="00D92656">
        <w:rPr>
          <w:i/>
          <w:sz w:val="24"/>
          <w:szCs w:val="24"/>
        </w:rPr>
        <w:t>Potente CYP3A4-hæmmere</w:t>
      </w:r>
    </w:p>
    <w:p w:rsidR="00D92656" w:rsidRPr="00D92656" w:rsidRDefault="00D92656" w:rsidP="00D92656">
      <w:pPr>
        <w:tabs>
          <w:tab w:val="left" w:pos="851"/>
        </w:tabs>
        <w:ind w:left="851"/>
        <w:rPr>
          <w:sz w:val="24"/>
          <w:szCs w:val="24"/>
        </w:rPr>
      </w:pPr>
      <w:r w:rsidRPr="00D92656">
        <w:rPr>
          <w:sz w:val="24"/>
          <w:szCs w:val="24"/>
        </w:rPr>
        <w:t xml:space="preserve">Efter hæmning af CYP3A4 ved samtidig administration af </w:t>
      </w:r>
      <w:proofErr w:type="spellStart"/>
      <w:r w:rsidRPr="00D92656">
        <w:rPr>
          <w:sz w:val="24"/>
          <w:szCs w:val="24"/>
        </w:rPr>
        <w:t>ketoconazol</w:t>
      </w:r>
      <w:proofErr w:type="spellEnd"/>
      <w:r w:rsidRPr="00D92656">
        <w:rPr>
          <w:sz w:val="24"/>
          <w:szCs w:val="24"/>
        </w:rPr>
        <w:t xml:space="preserve"> 200 mg to gange dagligt blev </w:t>
      </w:r>
      <w:proofErr w:type="spellStart"/>
      <w:r w:rsidRPr="00D92656">
        <w:rPr>
          <w:sz w:val="24"/>
          <w:szCs w:val="24"/>
        </w:rPr>
        <w:t>C</w:t>
      </w:r>
      <w:r w:rsidRPr="00D92656">
        <w:rPr>
          <w:sz w:val="24"/>
          <w:szCs w:val="24"/>
          <w:vertAlign w:val="subscript"/>
        </w:rPr>
        <w:t>max</w:t>
      </w:r>
      <w:proofErr w:type="spellEnd"/>
      <w:r w:rsidRPr="00D92656">
        <w:rPr>
          <w:sz w:val="24"/>
          <w:szCs w:val="24"/>
        </w:rPr>
        <w:t xml:space="preserve"> og AUC for </w:t>
      </w:r>
      <w:proofErr w:type="spellStart"/>
      <w:r w:rsidRPr="00D92656">
        <w:rPr>
          <w:sz w:val="24"/>
          <w:szCs w:val="24"/>
        </w:rPr>
        <w:t>fesoterodins</w:t>
      </w:r>
      <w:proofErr w:type="spellEnd"/>
      <w:r w:rsidRPr="00D92656">
        <w:rPr>
          <w:sz w:val="24"/>
          <w:szCs w:val="24"/>
        </w:rPr>
        <w:t xml:space="preserve"> aktive metabolit øget med henholdsvis 2,0 og 2,3 gange hos hurtige CYP2D6-omsættere og 2,1 og 2,5 gange hos langsomme CYP2D6-omsættere. Derfor bør maksimaldosis af </w:t>
      </w:r>
      <w:proofErr w:type="spellStart"/>
      <w:r w:rsidRPr="00D92656">
        <w:rPr>
          <w:sz w:val="24"/>
          <w:szCs w:val="24"/>
        </w:rPr>
        <w:t>fesoterodin</w:t>
      </w:r>
      <w:proofErr w:type="spellEnd"/>
      <w:r w:rsidRPr="00D92656">
        <w:rPr>
          <w:sz w:val="24"/>
          <w:szCs w:val="24"/>
        </w:rPr>
        <w:t xml:space="preserve"> begrænses til 4 mg ved samtidig brug af potente CYP3A4-hæmmere (f.eks. </w:t>
      </w:r>
      <w:proofErr w:type="spellStart"/>
      <w:r w:rsidRPr="00D92656">
        <w:rPr>
          <w:sz w:val="24"/>
          <w:szCs w:val="24"/>
        </w:rPr>
        <w:t>atazanavir</w:t>
      </w:r>
      <w:proofErr w:type="spellEnd"/>
      <w:r w:rsidRPr="00D92656">
        <w:rPr>
          <w:sz w:val="24"/>
          <w:szCs w:val="24"/>
        </w:rPr>
        <w:t xml:space="preserve">, </w:t>
      </w:r>
      <w:proofErr w:type="spellStart"/>
      <w:r w:rsidRPr="00D92656">
        <w:rPr>
          <w:sz w:val="24"/>
          <w:szCs w:val="24"/>
        </w:rPr>
        <w:t>clarithromycin</w:t>
      </w:r>
      <w:proofErr w:type="spellEnd"/>
      <w:r w:rsidRPr="00D92656">
        <w:rPr>
          <w:sz w:val="24"/>
          <w:szCs w:val="24"/>
        </w:rPr>
        <w:t xml:space="preserve">, </w:t>
      </w:r>
      <w:proofErr w:type="spellStart"/>
      <w:r w:rsidRPr="00D92656">
        <w:rPr>
          <w:sz w:val="24"/>
          <w:szCs w:val="24"/>
        </w:rPr>
        <w:t>indinavir</w:t>
      </w:r>
      <w:proofErr w:type="spellEnd"/>
      <w:r w:rsidRPr="00D92656">
        <w:rPr>
          <w:sz w:val="24"/>
          <w:szCs w:val="24"/>
        </w:rPr>
        <w:t xml:space="preserve">, </w:t>
      </w:r>
      <w:proofErr w:type="spellStart"/>
      <w:r w:rsidRPr="00D92656">
        <w:rPr>
          <w:sz w:val="24"/>
          <w:szCs w:val="24"/>
        </w:rPr>
        <w:t>itraconazol</w:t>
      </w:r>
      <w:proofErr w:type="spellEnd"/>
      <w:r w:rsidRPr="00D92656">
        <w:rPr>
          <w:sz w:val="24"/>
          <w:szCs w:val="24"/>
        </w:rPr>
        <w:t xml:space="preserve">, </w:t>
      </w:r>
      <w:proofErr w:type="spellStart"/>
      <w:r w:rsidRPr="00D92656">
        <w:rPr>
          <w:sz w:val="24"/>
          <w:szCs w:val="24"/>
        </w:rPr>
        <w:t>ketoconazol</w:t>
      </w:r>
      <w:proofErr w:type="spellEnd"/>
      <w:r w:rsidRPr="00D92656">
        <w:rPr>
          <w:sz w:val="24"/>
          <w:szCs w:val="24"/>
        </w:rPr>
        <w:t xml:space="preserve">, </w:t>
      </w:r>
      <w:proofErr w:type="spellStart"/>
      <w:r w:rsidRPr="00D92656">
        <w:rPr>
          <w:sz w:val="24"/>
          <w:szCs w:val="24"/>
        </w:rPr>
        <w:t>nefazodon</w:t>
      </w:r>
      <w:proofErr w:type="spellEnd"/>
      <w:r w:rsidRPr="00D92656">
        <w:rPr>
          <w:sz w:val="24"/>
          <w:szCs w:val="24"/>
        </w:rPr>
        <w:t xml:space="preserve">, </w:t>
      </w:r>
      <w:proofErr w:type="spellStart"/>
      <w:r w:rsidRPr="00D92656">
        <w:rPr>
          <w:sz w:val="24"/>
          <w:szCs w:val="24"/>
        </w:rPr>
        <w:t>nelfinavir</w:t>
      </w:r>
      <w:proofErr w:type="spellEnd"/>
      <w:r w:rsidRPr="00D92656">
        <w:rPr>
          <w:sz w:val="24"/>
          <w:szCs w:val="24"/>
        </w:rPr>
        <w:t xml:space="preserve">, </w:t>
      </w:r>
      <w:proofErr w:type="spellStart"/>
      <w:r w:rsidRPr="00D92656">
        <w:rPr>
          <w:sz w:val="24"/>
          <w:szCs w:val="24"/>
        </w:rPr>
        <w:t>ritonavir</w:t>
      </w:r>
      <w:proofErr w:type="spellEnd"/>
      <w:r w:rsidRPr="00D92656">
        <w:rPr>
          <w:sz w:val="24"/>
          <w:szCs w:val="24"/>
        </w:rPr>
        <w:t xml:space="preserve"> (og alle </w:t>
      </w:r>
      <w:proofErr w:type="spellStart"/>
      <w:r w:rsidRPr="00D92656">
        <w:rPr>
          <w:sz w:val="24"/>
          <w:szCs w:val="24"/>
        </w:rPr>
        <w:t>ritonavir</w:t>
      </w:r>
      <w:proofErr w:type="spellEnd"/>
      <w:r w:rsidRPr="00D92656">
        <w:rPr>
          <w:sz w:val="24"/>
          <w:szCs w:val="24"/>
        </w:rPr>
        <w:t xml:space="preserve">-boostede </w:t>
      </w:r>
      <w:proofErr w:type="spellStart"/>
      <w:r w:rsidRPr="00D92656">
        <w:rPr>
          <w:sz w:val="24"/>
          <w:szCs w:val="24"/>
        </w:rPr>
        <w:t>protease</w:t>
      </w:r>
      <w:proofErr w:type="spellEnd"/>
      <w:r w:rsidRPr="00D92656">
        <w:rPr>
          <w:sz w:val="24"/>
          <w:szCs w:val="24"/>
        </w:rPr>
        <w:t xml:space="preserve">-hæmmer-regimer), </w:t>
      </w:r>
      <w:proofErr w:type="spellStart"/>
      <w:r w:rsidRPr="00D92656">
        <w:rPr>
          <w:sz w:val="24"/>
          <w:szCs w:val="24"/>
        </w:rPr>
        <w:t>saquinovir</w:t>
      </w:r>
      <w:proofErr w:type="spellEnd"/>
      <w:r w:rsidRPr="00D92656">
        <w:rPr>
          <w:sz w:val="24"/>
          <w:szCs w:val="24"/>
        </w:rPr>
        <w:t xml:space="preserve"> og </w:t>
      </w:r>
      <w:proofErr w:type="spellStart"/>
      <w:r w:rsidRPr="00D92656">
        <w:rPr>
          <w:sz w:val="24"/>
          <w:szCs w:val="24"/>
        </w:rPr>
        <w:t>telithromycin</w:t>
      </w:r>
      <w:proofErr w:type="spellEnd"/>
      <w:r w:rsidRPr="00D92656">
        <w:rPr>
          <w:sz w:val="24"/>
          <w:szCs w:val="24"/>
        </w:rPr>
        <w:t xml:space="preserve"> (se pkt. 4.2 og 4.4).</w:t>
      </w:r>
    </w:p>
    <w:p w:rsidR="00D92656" w:rsidRPr="00D92656" w:rsidRDefault="00D92656" w:rsidP="00D92656">
      <w:pPr>
        <w:tabs>
          <w:tab w:val="left" w:pos="851"/>
        </w:tabs>
        <w:ind w:left="851"/>
        <w:rPr>
          <w:sz w:val="24"/>
          <w:szCs w:val="24"/>
        </w:rPr>
      </w:pPr>
    </w:p>
    <w:p w:rsidR="00D92656" w:rsidRPr="00D92656" w:rsidRDefault="00D92656" w:rsidP="00D92656">
      <w:pPr>
        <w:tabs>
          <w:tab w:val="left" w:pos="851"/>
        </w:tabs>
        <w:ind w:left="851"/>
        <w:rPr>
          <w:i/>
          <w:sz w:val="24"/>
          <w:szCs w:val="24"/>
        </w:rPr>
      </w:pPr>
      <w:r w:rsidRPr="00D92656">
        <w:rPr>
          <w:i/>
          <w:sz w:val="24"/>
          <w:szCs w:val="24"/>
        </w:rPr>
        <w:t>Moderate CYP3A4-hæmmere</w:t>
      </w:r>
    </w:p>
    <w:p w:rsidR="00D92656" w:rsidRPr="00D92656" w:rsidRDefault="00D92656" w:rsidP="00D92656">
      <w:pPr>
        <w:tabs>
          <w:tab w:val="left" w:pos="851"/>
        </w:tabs>
        <w:ind w:left="851"/>
        <w:rPr>
          <w:sz w:val="24"/>
          <w:szCs w:val="24"/>
        </w:rPr>
      </w:pPr>
      <w:r w:rsidRPr="00D92656">
        <w:rPr>
          <w:sz w:val="24"/>
          <w:szCs w:val="24"/>
        </w:rPr>
        <w:t xml:space="preserve">Efter blokering af CYP3A4 på grund af samtidig administration af den moderate CYP3A4-hæmmer </w:t>
      </w:r>
      <w:proofErr w:type="spellStart"/>
      <w:r w:rsidRPr="00D92656">
        <w:rPr>
          <w:sz w:val="24"/>
          <w:szCs w:val="24"/>
        </w:rPr>
        <w:t>fluconazol</w:t>
      </w:r>
      <w:proofErr w:type="spellEnd"/>
      <w:r w:rsidRPr="00D92656">
        <w:rPr>
          <w:sz w:val="24"/>
          <w:szCs w:val="24"/>
        </w:rPr>
        <w:t xml:space="preserve"> 200 mg to gange dagligt i 2 dage, blev </w:t>
      </w:r>
      <w:proofErr w:type="spellStart"/>
      <w:r w:rsidRPr="00D92656">
        <w:rPr>
          <w:sz w:val="24"/>
          <w:szCs w:val="24"/>
        </w:rPr>
        <w:t>C</w:t>
      </w:r>
      <w:r w:rsidRPr="00D92656">
        <w:rPr>
          <w:sz w:val="24"/>
          <w:szCs w:val="24"/>
          <w:vertAlign w:val="subscript"/>
        </w:rPr>
        <w:t>max</w:t>
      </w:r>
      <w:proofErr w:type="spellEnd"/>
      <w:r w:rsidRPr="00D92656">
        <w:rPr>
          <w:sz w:val="24"/>
          <w:szCs w:val="24"/>
        </w:rPr>
        <w:t xml:space="preserve"> og AUC af den aktive metabolit af </w:t>
      </w:r>
      <w:proofErr w:type="spellStart"/>
      <w:r w:rsidRPr="00D92656">
        <w:rPr>
          <w:sz w:val="24"/>
          <w:szCs w:val="24"/>
        </w:rPr>
        <w:t>fesoterodin</w:t>
      </w:r>
      <w:proofErr w:type="spellEnd"/>
      <w:r w:rsidRPr="00D92656">
        <w:rPr>
          <w:sz w:val="24"/>
          <w:szCs w:val="24"/>
        </w:rPr>
        <w:t xml:space="preserve"> øget med henholdsvis ca. 19 % og 27 %. Dosisjustering anbefales ikke ved tilstedeværelse af moderate CYP3A4-hæmmere (f.eks. </w:t>
      </w:r>
      <w:proofErr w:type="spellStart"/>
      <w:r w:rsidRPr="00D92656">
        <w:rPr>
          <w:sz w:val="24"/>
          <w:szCs w:val="24"/>
        </w:rPr>
        <w:t>erythromycin</w:t>
      </w:r>
      <w:proofErr w:type="spellEnd"/>
      <w:r w:rsidRPr="00D92656">
        <w:rPr>
          <w:sz w:val="24"/>
          <w:szCs w:val="24"/>
        </w:rPr>
        <w:t xml:space="preserve">, </w:t>
      </w:r>
      <w:proofErr w:type="spellStart"/>
      <w:r w:rsidRPr="00D92656">
        <w:rPr>
          <w:sz w:val="24"/>
          <w:szCs w:val="24"/>
        </w:rPr>
        <w:t>fluconazol</w:t>
      </w:r>
      <w:proofErr w:type="spellEnd"/>
      <w:r w:rsidRPr="00D92656">
        <w:rPr>
          <w:sz w:val="24"/>
          <w:szCs w:val="24"/>
        </w:rPr>
        <w:t xml:space="preserve">, </w:t>
      </w:r>
      <w:proofErr w:type="spellStart"/>
      <w:r w:rsidRPr="00D92656">
        <w:rPr>
          <w:sz w:val="24"/>
          <w:szCs w:val="24"/>
        </w:rPr>
        <w:t>diltiazem</w:t>
      </w:r>
      <w:proofErr w:type="spellEnd"/>
      <w:r w:rsidRPr="00D92656">
        <w:rPr>
          <w:sz w:val="24"/>
          <w:szCs w:val="24"/>
        </w:rPr>
        <w:t xml:space="preserve">, </w:t>
      </w:r>
      <w:proofErr w:type="spellStart"/>
      <w:r w:rsidRPr="00D92656">
        <w:rPr>
          <w:sz w:val="24"/>
          <w:szCs w:val="24"/>
        </w:rPr>
        <w:t>verapamil</w:t>
      </w:r>
      <w:proofErr w:type="spellEnd"/>
      <w:r w:rsidRPr="00D92656">
        <w:rPr>
          <w:sz w:val="24"/>
          <w:szCs w:val="24"/>
        </w:rPr>
        <w:t xml:space="preserve"> og grapefrugtjuice).</w:t>
      </w:r>
    </w:p>
    <w:p w:rsidR="00D92656" w:rsidRPr="00D92656" w:rsidRDefault="00D92656" w:rsidP="00D92656">
      <w:pPr>
        <w:tabs>
          <w:tab w:val="left" w:pos="851"/>
        </w:tabs>
        <w:ind w:left="851"/>
        <w:rPr>
          <w:sz w:val="24"/>
          <w:szCs w:val="24"/>
        </w:rPr>
      </w:pPr>
    </w:p>
    <w:p w:rsidR="00D92656" w:rsidRPr="00D92656" w:rsidRDefault="00D92656" w:rsidP="00D92656">
      <w:pPr>
        <w:tabs>
          <w:tab w:val="left" w:pos="851"/>
        </w:tabs>
        <w:ind w:left="851"/>
        <w:rPr>
          <w:i/>
          <w:sz w:val="24"/>
          <w:szCs w:val="24"/>
        </w:rPr>
      </w:pPr>
      <w:r w:rsidRPr="00D92656">
        <w:rPr>
          <w:i/>
          <w:sz w:val="24"/>
          <w:szCs w:val="24"/>
        </w:rPr>
        <w:t>Svage CYP3A4-hæmmere</w:t>
      </w:r>
    </w:p>
    <w:p w:rsidR="00D92656" w:rsidRPr="00D92656" w:rsidRDefault="00D92656" w:rsidP="00D92656">
      <w:pPr>
        <w:tabs>
          <w:tab w:val="left" w:pos="851"/>
        </w:tabs>
        <w:ind w:left="851"/>
        <w:rPr>
          <w:sz w:val="24"/>
          <w:szCs w:val="24"/>
        </w:rPr>
      </w:pPr>
      <w:r w:rsidRPr="00D92656">
        <w:rPr>
          <w:sz w:val="24"/>
          <w:szCs w:val="24"/>
        </w:rPr>
        <w:t xml:space="preserve">Virkningen af svage CYP3A4-hæmmere (f.eks. </w:t>
      </w:r>
      <w:proofErr w:type="spellStart"/>
      <w:r w:rsidRPr="00D92656">
        <w:rPr>
          <w:sz w:val="24"/>
          <w:szCs w:val="24"/>
        </w:rPr>
        <w:t>cimetidin</w:t>
      </w:r>
      <w:proofErr w:type="spellEnd"/>
      <w:r w:rsidRPr="00D92656">
        <w:rPr>
          <w:sz w:val="24"/>
          <w:szCs w:val="24"/>
        </w:rPr>
        <w:t xml:space="preserve">) er ikke undersøgt. Det forventes ikke at overstige virkningen af moderate </w:t>
      </w:r>
      <w:proofErr w:type="spellStart"/>
      <w:r w:rsidRPr="00D92656">
        <w:rPr>
          <w:sz w:val="24"/>
          <w:szCs w:val="24"/>
        </w:rPr>
        <w:t>hæmmere</w:t>
      </w:r>
      <w:proofErr w:type="spellEnd"/>
      <w:r w:rsidRPr="00D92656">
        <w:rPr>
          <w:sz w:val="24"/>
          <w:szCs w:val="24"/>
        </w:rPr>
        <w:t>.</w:t>
      </w:r>
    </w:p>
    <w:p w:rsidR="00D92656" w:rsidRPr="00D92656" w:rsidRDefault="00D92656" w:rsidP="00D92656">
      <w:pPr>
        <w:tabs>
          <w:tab w:val="left" w:pos="851"/>
        </w:tabs>
        <w:ind w:left="851"/>
        <w:rPr>
          <w:sz w:val="24"/>
          <w:szCs w:val="24"/>
        </w:rPr>
      </w:pPr>
    </w:p>
    <w:p w:rsidR="00D92656" w:rsidRPr="007B61AB" w:rsidRDefault="00D92656" w:rsidP="00D92656">
      <w:pPr>
        <w:tabs>
          <w:tab w:val="left" w:pos="851"/>
        </w:tabs>
        <w:ind w:left="851"/>
        <w:rPr>
          <w:i/>
          <w:sz w:val="24"/>
          <w:szCs w:val="24"/>
          <w:u w:val="single"/>
        </w:rPr>
      </w:pPr>
      <w:r w:rsidRPr="007B61AB">
        <w:rPr>
          <w:i/>
          <w:sz w:val="24"/>
          <w:szCs w:val="24"/>
          <w:u w:val="single"/>
        </w:rPr>
        <w:t>CYP3A4-induktorer</w:t>
      </w:r>
    </w:p>
    <w:p w:rsidR="00D92656" w:rsidRPr="00D92656" w:rsidRDefault="00D92656" w:rsidP="00D92656">
      <w:pPr>
        <w:tabs>
          <w:tab w:val="left" w:pos="851"/>
        </w:tabs>
        <w:ind w:left="851"/>
        <w:rPr>
          <w:sz w:val="24"/>
          <w:szCs w:val="24"/>
        </w:rPr>
      </w:pPr>
      <w:r w:rsidRPr="00D92656">
        <w:rPr>
          <w:sz w:val="24"/>
          <w:szCs w:val="24"/>
        </w:rPr>
        <w:t xml:space="preserve">Efter induktion af CYP3A4 ved samtidig administration af </w:t>
      </w:r>
      <w:proofErr w:type="spellStart"/>
      <w:r w:rsidRPr="00D92656">
        <w:rPr>
          <w:sz w:val="24"/>
          <w:szCs w:val="24"/>
        </w:rPr>
        <w:t>rifampicin</w:t>
      </w:r>
      <w:proofErr w:type="spellEnd"/>
      <w:r w:rsidRPr="00D92656">
        <w:rPr>
          <w:sz w:val="24"/>
          <w:szCs w:val="24"/>
        </w:rPr>
        <w:t xml:space="preserve"> 600 mg én gang dagligt faldt </w:t>
      </w:r>
      <w:proofErr w:type="spellStart"/>
      <w:r w:rsidRPr="00D92656">
        <w:rPr>
          <w:sz w:val="24"/>
          <w:szCs w:val="24"/>
        </w:rPr>
        <w:t>C</w:t>
      </w:r>
      <w:r w:rsidRPr="00D92656">
        <w:rPr>
          <w:sz w:val="24"/>
          <w:szCs w:val="24"/>
          <w:vertAlign w:val="subscript"/>
        </w:rPr>
        <w:t>max</w:t>
      </w:r>
      <w:proofErr w:type="spellEnd"/>
      <w:r w:rsidRPr="00D92656">
        <w:rPr>
          <w:sz w:val="24"/>
          <w:szCs w:val="24"/>
        </w:rPr>
        <w:t xml:space="preserve"> og AUC for </w:t>
      </w:r>
      <w:proofErr w:type="spellStart"/>
      <w:r w:rsidRPr="00D92656">
        <w:rPr>
          <w:sz w:val="24"/>
          <w:szCs w:val="24"/>
        </w:rPr>
        <w:t>fesoterodins</w:t>
      </w:r>
      <w:proofErr w:type="spellEnd"/>
      <w:r w:rsidRPr="00D92656">
        <w:rPr>
          <w:sz w:val="24"/>
          <w:szCs w:val="24"/>
        </w:rPr>
        <w:t xml:space="preserve"> aktive metabolit med henholdsvis cirka 70 % og 75 % efter oral administration af 8 mg </w:t>
      </w:r>
      <w:proofErr w:type="spellStart"/>
      <w:r w:rsidRPr="00D92656">
        <w:rPr>
          <w:sz w:val="24"/>
          <w:szCs w:val="24"/>
        </w:rPr>
        <w:t>fesoterodin</w:t>
      </w:r>
      <w:proofErr w:type="spellEnd"/>
      <w:r w:rsidRPr="00D92656">
        <w:rPr>
          <w:sz w:val="24"/>
          <w:szCs w:val="24"/>
        </w:rPr>
        <w:t>.</w:t>
      </w:r>
    </w:p>
    <w:p w:rsidR="00D92656" w:rsidRPr="00D92656" w:rsidRDefault="00D92656" w:rsidP="00D92656">
      <w:pPr>
        <w:tabs>
          <w:tab w:val="left" w:pos="851"/>
        </w:tabs>
        <w:ind w:left="851"/>
        <w:rPr>
          <w:sz w:val="24"/>
          <w:szCs w:val="24"/>
        </w:rPr>
      </w:pPr>
    </w:p>
    <w:p w:rsidR="00D92656" w:rsidRPr="00D92656" w:rsidRDefault="00D92656" w:rsidP="00D92656">
      <w:pPr>
        <w:tabs>
          <w:tab w:val="left" w:pos="851"/>
        </w:tabs>
        <w:ind w:left="851"/>
        <w:rPr>
          <w:sz w:val="24"/>
          <w:szCs w:val="24"/>
        </w:rPr>
      </w:pPr>
      <w:r w:rsidRPr="00D92656">
        <w:rPr>
          <w:sz w:val="24"/>
          <w:szCs w:val="24"/>
        </w:rPr>
        <w:t xml:space="preserve">Induktion af CYP3A4 kan føre til subterapeutiske plasmaniveauer. Samtidig brug af CYP3A4-induktorer (f.eks. </w:t>
      </w:r>
      <w:proofErr w:type="spellStart"/>
      <w:r w:rsidRPr="00D92656">
        <w:rPr>
          <w:sz w:val="24"/>
          <w:szCs w:val="24"/>
        </w:rPr>
        <w:t>carbamazepin</w:t>
      </w:r>
      <w:proofErr w:type="spellEnd"/>
      <w:r w:rsidRPr="00D92656">
        <w:rPr>
          <w:sz w:val="24"/>
          <w:szCs w:val="24"/>
        </w:rPr>
        <w:t xml:space="preserve">, </w:t>
      </w:r>
      <w:proofErr w:type="spellStart"/>
      <w:r w:rsidRPr="00D92656">
        <w:rPr>
          <w:sz w:val="24"/>
          <w:szCs w:val="24"/>
        </w:rPr>
        <w:t>rifampicin</w:t>
      </w:r>
      <w:proofErr w:type="spellEnd"/>
      <w:r w:rsidRPr="00D92656">
        <w:rPr>
          <w:sz w:val="24"/>
          <w:szCs w:val="24"/>
        </w:rPr>
        <w:t xml:space="preserve">, </w:t>
      </w:r>
      <w:proofErr w:type="spellStart"/>
      <w:r w:rsidRPr="00D92656">
        <w:rPr>
          <w:sz w:val="24"/>
          <w:szCs w:val="24"/>
        </w:rPr>
        <w:t>phenobarbital</w:t>
      </w:r>
      <w:proofErr w:type="spellEnd"/>
      <w:r w:rsidRPr="00D92656">
        <w:rPr>
          <w:sz w:val="24"/>
          <w:szCs w:val="24"/>
        </w:rPr>
        <w:t xml:space="preserve">, </w:t>
      </w:r>
      <w:proofErr w:type="spellStart"/>
      <w:r w:rsidRPr="00D92656">
        <w:rPr>
          <w:sz w:val="24"/>
          <w:szCs w:val="24"/>
        </w:rPr>
        <w:t>phenytoin</w:t>
      </w:r>
      <w:proofErr w:type="spellEnd"/>
      <w:r w:rsidRPr="00D92656">
        <w:rPr>
          <w:sz w:val="24"/>
          <w:szCs w:val="24"/>
        </w:rPr>
        <w:t>, perikon) frarådes (se pkt. 4.4).</w:t>
      </w:r>
    </w:p>
    <w:p w:rsidR="00D92656" w:rsidRPr="00D92656" w:rsidRDefault="00D92656" w:rsidP="00D92656">
      <w:pPr>
        <w:tabs>
          <w:tab w:val="left" w:pos="851"/>
        </w:tabs>
        <w:ind w:left="851"/>
        <w:rPr>
          <w:sz w:val="24"/>
          <w:szCs w:val="24"/>
        </w:rPr>
      </w:pPr>
    </w:p>
    <w:p w:rsidR="00D92656" w:rsidRPr="007B61AB" w:rsidRDefault="00D92656" w:rsidP="00D92656">
      <w:pPr>
        <w:tabs>
          <w:tab w:val="left" w:pos="851"/>
        </w:tabs>
        <w:ind w:left="851"/>
        <w:rPr>
          <w:i/>
          <w:sz w:val="24"/>
          <w:szCs w:val="24"/>
          <w:u w:val="single"/>
        </w:rPr>
      </w:pPr>
      <w:r w:rsidRPr="007B61AB">
        <w:rPr>
          <w:i/>
          <w:sz w:val="24"/>
          <w:szCs w:val="24"/>
          <w:u w:val="single"/>
        </w:rPr>
        <w:t>CYP2D6-hæmmere</w:t>
      </w:r>
    </w:p>
    <w:p w:rsidR="00D92656" w:rsidRPr="00D92656" w:rsidRDefault="00D92656" w:rsidP="00D92656">
      <w:pPr>
        <w:tabs>
          <w:tab w:val="left" w:pos="851"/>
        </w:tabs>
        <w:ind w:left="851"/>
        <w:rPr>
          <w:sz w:val="24"/>
          <w:szCs w:val="24"/>
        </w:rPr>
      </w:pPr>
      <w:r w:rsidRPr="00D92656">
        <w:rPr>
          <w:sz w:val="24"/>
          <w:szCs w:val="24"/>
        </w:rPr>
        <w:t xml:space="preserve">Interaktion med CYP2D6-hæmmere er ikke klinisk undersøgt. Gennemsnitlig </w:t>
      </w:r>
      <w:proofErr w:type="spellStart"/>
      <w:r w:rsidRPr="00D92656">
        <w:rPr>
          <w:sz w:val="24"/>
          <w:szCs w:val="24"/>
        </w:rPr>
        <w:t>C</w:t>
      </w:r>
      <w:r w:rsidRPr="00D92656">
        <w:rPr>
          <w:sz w:val="24"/>
          <w:szCs w:val="24"/>
          <w:vertAlign w:val="subscript"/>
        </w:rPr>
        <w:t>max</w:t>
      </w:r>
      <w:proofErr w:type="spellEnd"/>
      <w:r w:rsidRPr="00D92656">
        <w:rPr>
          <w:sz w:val="24"/>
          <w:szCs w:val="24"/>
        </w:rPr>
        <w:t xml:space="preserve"> og AUC for den aktive metabolit er hhv. 1,7 og 2 gange højere hos langsomme CYP2D6-omsættere og hurtige </w:t>
      </w:r>
      <w:proofErr w:type="spellStart"/>
      <w:r w:rsidRPr="00D92656">
        <w:rPr>
          <w:sz w:val="24"/>
          <w:szCs w:val="24"/>
        </w:rPr>
        <w:t>omsættere</w:t>
      </w:r>
      <w:proofErr w:type="spellEnd"/>
      <w:r w:rsidRPr="00D92656">
        <w:rPr>
          <w:sz w:val="24"/>
          <w:szCs w:val="24"/>
        </w:rPr>
        <w:t>. Samtidig anvendelse af en potent CYP2D6-hæmmere kan resultere i øget eksponering og bivirkninger. Dosisreduktion til 4 mg kan blive nødvendig (se pkt. 4.4).</w:t>
      </w:r>
    </w:p>
    <w:p w:rsidR="00D92656" w:rsidRPr="00D92656" w:rsidRDefault="00D92656" w:rsidP="00D92656">
      <w:pPr>
        <w:tabs>
          <w:tab w:val="left" w:pos="851"/>
        </w:tabs>
        <w:ind w:left="851"/>
        <w:rPr>
          <w:sz w:val="24"/>
          <w:szCs w:val="24"/>
        </w:rPr>
      </w:pPr>
    </w:p>
    <w:p w:rsidR="00D92656" w:rsidRPr="007B61AB" w:rsidRDefault="00D92656" w:rsidP="00D92656">
      <w:pPr>
        <w:tabs>
          <w:tab w:val="left" w:pos="851"/>
        </w:tabs>
        <w:ind w:left="851"/>
        <w:rPr>
          <w:i/>
          <w:sz w:val="24"/>
          <w:szCs w:val="24"/>
          <w:u w:val="single"/>
        </w:rPr>
      </w:pPr>
      <w:r w:rsidRPr="007B61AB">
        <w:rPr>
          <w:i/>
          <w:sz w:val="24"/>
          <w:szCs w:val="24"/>
          <w:u w:val="single"/>
        </w:rPr>
        <w:t>P-piller</w:t>
      </w:r>
    </w:p>
    <w:p w:rsidR="00D92656" w:rsidRPr="00D92656" w:rsidRDefault="00D92656" w:rsidP="00D92656">
      <w:pPr>
        <w:tabs>
          <w:tab w:val="left" w:pos="851"/>
        </w:tabs>
        <w:ind w:left="851"/>
        <w:rPr>
          <w:sz w:val="24"/>
          <w:szCs w:val="24"/>
        </w:rPr>
      </w:pPr>
      <w:proofErr w:type="spellStart"/>
      <w:r w:rsidRPr="00D92656">
        <w:rPr>
          <w:sz w:val="24"/>
          <w:szCs w:val="24"/>
        </w:rPr>
        <w:t>Fesoterodin</w:t>
      </w:r>
      <w:proofErr w:type="spellEnd"/>
      <w:r w:rsidRPr="00D92656">
        <w:rPr>
          <w:sz w:val="24"/>
          <w:szCs w:val="24"/>
        </w:rPr>
        <w:t xml:space="preserve"> hæmmer ikke P-pillers undertrykkelse af ovulation. Ved brug af </w:t>
      </w:r>
      <w:proofErr w:type="spellStart"/>
      <w:r w:rsidRPr="00D92656">
        <w:rPr>
          <w:sz w:val="24"/>
          <w:szCs w:val="24"/>
        </w:rPr>
        <w:t>fesoterodin</w:t>
      </w:r>
      <w:proofErr w:type="spellEnd"/>
      <w:r w:rsidRPr="00D92656">
        <w:rPr>
          <w:sz w:val="24"/>
          <w:szCs w:val="24"/>
        </w:rPr>
        <w:t xml:space="preserve"> er der ingen ændringer i plasmakoncentrationerne for kombinations-P-piller, som indeholder </w:t>
      </w:r>
      <w:proofErr w:type="spellStart"/>
      <w:r w:rsidRPr="00D92656">
        <w:rPr>
          <w:sz w:val="24"/>
          <w:szCs w:val="24"/>
        </w:rPr>
        <w:t>ethinylestradiol</w:t>
      </w:r>
      <w:proofErr w:type="spellEnd"/>
      <w:r w:rsidRPr="00D92656">
        <w:rPr>
          <w:sz w:val="24"/>
          <w:szCs w:val="24"/>
        </w:rPr>
        <w:t xml:space="preserve"> og </w:t>
      </w:r>
      <w:proofErr w:type="spellStart"/>
      <w:r w:rsidRPr="00D92656">
        <w:rPr>
          <w:sz w:val="24"/>
          <w:szCs w:val="24"/>
        </w:rPr>
        <w:t>levonorgestrel</w:t>
      </w:r>
      <w:proofErr w:type="spellEnd"/>
      <w:r w:rsidRPr="00D92656">
        <w:rPr>
          <w:sz w:val="24"/>
          <w:szCs w:val="24"/>
        </w:rPr>
        <w:t>.</w:t>
      </w:r>
    </w:p>
    <w:p w:rsidR="00D92656" w:rsidRPr="00D92656" w:rsidRDefault="00D92656" w:rsidP="00D92656">
      <w:pPr>
        <w:tabs>
          <w:tab w:val="left" w:pos="851"/>
        </w:tabs>
        <w:ind w:left="851"/>
        <w:rPr>
          <w:sz w:val="24"/>
          <w:szCs w:val="24"/>
        </w:rPr>
      </w:pPr>
    </w:p>
    <w:p w:rsidR="00D92656" w:rsidRPr="007B61AB" w:rsidRDefault="00D92656" w:rsidP="00D92656">
      <w:pPr>
        <w:tabs>
          <w:tab w:val="left" w:pos="851"/>
        </w:tabs>
        <w:ind w:left="851"/>
        <w:rPr>
          <w:i/>
          <w:sz w:val="24"/>
          <w:szCs w:val="24"/>
          <w:u w:val="single"/>
        </w:rPr>
      </w:pPr>
      <w:proofErr w:type="spellStart"/>
      <w:r w:rsidRPr="007B61AB">
        <w:rPr>
          <w:i/>
          <w:sz w:val="24"/>
          <w:szCs w:val="24"/>
          <w:u w:val="single"/>
        </w:rPr>
        <w:t>Warfarin</w:t>
      </w:r>
      <w:proofErr w:type="spellEnd"/>
    </w:p>
    <w:p w:rsidR="00D92656" w:rsidRPr="00D92656" w:rsidRDefault="00D92656" w:rsidP="00D92656">
      <w:pPr>
        <w:tabs>
          <w:tab w:val="left" w:pos="851"/>
        </w:tabs>
        <w:ind w:left="851"/>
        <w:rPr>
          <w:sz w:val="24"/>
          <w:szCs w:val="24"/>
        </w:rPr>
      </w:pPr>
      <w:r w:rsidRPr="00D92656">
        <w:rPr>
          <w:sz w:val="24"/>
          <w:szCs w:val="24"/>
        </w:rPr>
        <w:t xml:space="preserve">Et klinisk forsøg med raske forsøgspersoner har vist, at </w:t>
      </w:r>
      <w:proofErr w:type="spellStart"/>
      <w:r w:rsidRPr="00D92656">
        <w:rPr>
          <w:sz w:val="24"/>
          <w:szCs w:val="24"/>
        </w:rPr>
        <w:t>fesoterodin</w:t>
      </w:r>
      <w:proofErr w:type="spellEnd"/>
      <w:r w:rsidRPr="00D92656">
        <w:rPr>
          <w:sz w:val="24"/>
          <w:szCs w:val="24"/>
        </w:rPr>
        <w:t xml:space="preserve"> 8 mg én gang dagligt ikke har nogen signifikant virkning på farmakokinetikken eller den koagulations</w:t>
      </w:r>
      <w:r w:rsidRPr="00D92656">
        <w:rPr>
          <w:sz w:val="24"/>
          <w:szCs w:val="24"/>
        </w:rPr>
        <w:softHyphen/>
        <w:t xml:space="preserve">hæmmende virkning af en enkelt dosis </w:t>
      </w:r>
      <w:proofErr w:type="spellStart"/>
      <w:r w:rsidRPr="00D92656">
        <w:rPr>
          <w:sz w:val="24"/>
          <w:szCs w:val="24"/>
        </w:rPr>
        <w:t>warfarin</w:t>
      </w:r>
      <w:proofErr w:type="spellEnd"/>
      <w:r w:rsidRPr="00D92656">
        <w:rPr>
          <w:sz w:val="24"/>
          <w:szCs w:val="24"/>
        </w:rPr>
        <w:t>.</w:t>
      </w:r>
    </w:p>
    <w:p w:rsidR="00D92656" w:rsidRPr="00D92656" w:rsidRDefault="00D92656" w:rsidP="00D92656">
      <w:pPr>
        <w:tabs>
          <w:tab w:val="left" w:pos="851"/>
        </w:tabs>
        <w:ind w:left="851"/>
        <w:rPr>
          <w:sz w:val="24"/>
          <w:szCs w:val="24"/>
        </w:rPr>
      </w:pPr>
    </w:p>
    <w:p w:rsidR="00D92656" w:rsidRPr="00D92656" w:rsidRDefault="00D92656" w:rsidP="00D92656">
      <w:pPr>
        <w:tabs>
          <w:tab w:val="left" w:pos="851"/>
        </w:tabs>
        <w:ind w:left="851"/>
        <w:rPr>
          <w:sz w:val="24"/>
          <w:szCs w:val="24"/>
          <w:u w:val="single"/>
        </w:rPr>
      </w:pPr>
      <w:r w:rsidRPr="00D92656">
        <w:rPr>
          <w:sz w:val="24"/>
          <w:szCs w:val="24"/>
          <w:u w:val="single"/>
        </w:rPr>
        <w:t>Pædiatrisk population</w:t>
      </w:r>
    </w:p>
    <w:p w:rsidR="00D92656" w:rsidRPr="00D92656" w:rsidRDefault="00D92656" w:rsidP="00D92656">
      <w:pPr>
        <w:tabs>
          <w:tab w:val="left" w:pos="851"/>
        </w:tabs>
        <w:ind w:left="851"/>
        <w:rPr>
          <w:sz w:val="24"/>
          <w:szCs w:val="24"/>
        </w:rPr>
      </w:pPr>
      <w:r w:rsidRPr="00D92656">
        <w:rPr>
          <w:sz w:val="24"/>
          <w:szCs w:val="24"/>
        </w:rPr>
        <w:t>Interaktionsstudier er kun udført hos voksne.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ED0C72">
        <w:rPr>
          <w:b/>
          <w:sz w:val="24"/>
          <w:szCs w:val="24"/>
        </w:rPr>
        <w:t>Fertilitet, g</w:t>
      </w:r>
      <w:r w:rsidRPr="00C84483">
        <w:rPr>
          <w:b/>
          <w:sz w:val="24"/>
          <w:szCs w:val="24"/>
        </w:rPr>
        <w:t>raviditet og amning</w:t>
      </w:r>
    </w:p>
    <w:p w:rsidR="00045287" w:rsidRPr="00045287" w:rsidRDefault="00045287" w:rsidP="00045287">
      <w:pPr>
        <w:tabs>
          <w:tab w:val="left" w:pos="851"/>
        </w:tabs>
        <w:ind w:left="851"/>
        <w:rPr>
          <w:sz w:val="24"/>
          <w:szCs w:val="24"/>
        </w:rPr>
      </w:pPr>
    </w:p>
    <w:p w:rsidR="00045287" w:rsidRPr="00045287" w:rsidRDefault="00045287" w:rsidP="00045287">
      <w:pPr>
        <w:tabs>
          <w:tab w:val="left" w:pos="851"/>
        </w:tabs>
        <w:ind w:left="851"/>
        <w:rPr>
          <w:sz w:val="24"/>
          <w:szCs w:val="24"/>
          <w:u w:val="single"/>
        </w:rPr>
      </w:pPr>
      <w:r w:rsidRPr="00045287">
        <w:rPr>
          <w:sz w:val="24"/>
          <w:szCs w:val="24"/>
          <w:u w:val="single"/>
        </w:rPr>
        <w:t>Graviditet</w:t>
      </w:r>
    </w:p>
    <w:p w:rsidR="00045287" w:rsidRPr="00045287" w:rsidRDefault="00045287" w:rsidP="00045287">
      <w:pPr>
        <w:tabs>
          <w:tab w:val="left" w:pos="851"/>
        </w:tabs>
        <w:ind w:left="851"/>
        <w:rPr>
          <w:sz w:val="24"/>
          <w:szCs w:val="24"/>
        </w:rPr>
      </w:pPr>
      <w:r w:rsidRPr="00045287">
        <w:rPr>
          <w:sz w:val="24"/>
          <w:szCs w:val="24"/>
        </w:rPr>
        <w:t xml:space="preserve">Der foreligger ikke tilstrækkelige data om brugen af </w:t>
      </w:r>
      <w:proofErr w:type="spellStart"/>
      <w:r w:rsidRPr="00045287">
        <w:rPr>
          <w:sz w:val="24"/>
          <w:szCs w:val="24"/>
        </w:rPr>
        <w:t>fesoterodin</w:t>
      </w:r>
      <w:proofErr w:type="spellEnd"/>
      <w:r w:rsidRPr="00045287">
        <w:rPr>
          <w:sz w:val="24"/>
          <w:szCs w:val="24"/>
        </w:rPr>
        <w:t xml:space="preserve"> hos gravide kvinder. Reproduktive toksicitetsforsøg med </w:t>
      </w:r>
      <w:proofErr w:type="spellStart"/>
      <w:r w:rsidRPr="00045287">
        <w:rPr>
          <w:sz w:val="24"/>
          <w:szCs w:val="24"/>
        </w:rPr>
        <w:t>fesoterodin</w:t>
      </w:r>
      <w:proofErr w:type="spellEnd"/>
      <w:r w:rsidRPr="00045287">
        <w:rPr>
          <w:sz w:val="24"/>
          <w:szCs w:val="24"/>
        </w:rPr>
        <w:t xml:space="preserve"> i dyr viser lettere </w:t>
      </w:r>
      <w:proofErr w:type="spellStart"/>
      <w:r w:rsidRPr="00045287">
        <w:rPr>
          <w:sz w:val="24"/>
          <w:szCs w:val="24"/>
        </w:rPr>
        <w:t>embroyotoksicitet</w:t>
      </w:r>
      <w:proofErr w:type="spellEnd"/>
      <w:r w:rsidRPr="00045287">
        <w:rPr>
          <w:sz w:val="24"/>
          <w:szCs w:val="24"/>
        </w:rPr>
        <w:t xml:space="preserve">. I dyrereproduktionsstudier resulterede oral administration af </w:t>
      </w:r>
      <w:proofErr w:type="spellStart"/>
      <w:r w:rsidRPr="00045287">
        <w:rPr>
          <w:sz w:val="24"/>
          <w:szCs w:val="24"/>
        </w:rPr>
        <w:t>fesoterodin</w:t>
      </w:r>
      <w:proofErr w:type="spellEnd"/>
      <w:r w:rsidRPr="00045287">
        <w:rPr>
          <w:sz w:val="24"/>
          <w:szCs w:val="24"/>
        </w:rPr>
        <w:t xml:space="preserve"> til gravide mus og kaniner under </w:t>
      </w:r>
      <w:proofErr w:type="spellStart"/>
      <w:r w:rsidRPr="00045287">
        <w:rPr>
          <w:sz w:val="24"/>
          <w:szCs w:val="24"/>
        </w:rPr>
        <w:t>organogenese</w:t>
      </w:r>
      <w:proofErr w:type="spellEnd"/>
      <w:r w:rsidRPr="00045287">
        <w:rPr>
          <w:sz w:val="24"/>
          <w:szCs w:val="24"/>
        </w:rPr>
        <w:t xml:space="preserve"> i </w:t>
      </w:r>
      <w:proofErr w:type="spellStart"/>
      <w:r w:rsidRPr="00045287">
        <w:rPr>
          <w:sz w:val="24"/>
          <w:szCs w:val="24"/>
        </w:rPr>
        <w:t>føtotoksicitet</w:t>
      </w:r>
      <w:proofErr w:type="spellEnd"/>
      <w:r w:rsidRPr="00045287">
        <w:rPr>
          <w:sz w:val="24"/>
          <w:szCs w:val="24"/>
        </w:rPr>
        <w:t xml:space="preserve"> ved </w:t>
      </w:r>
      <w:proofErr w:type="spellStart"/>
      <w:r w:rsidRPr="00045287">
        <w:rPr>
          <w:sz w:val="24"/>
          <w:szCs w:val="24"/>
        </w:rPr>
        <w:t>maternelle</w:t>
      </w:r>
      <w:proofErr w:type="spellEnd"/>
      <w:r w:rsidRPr="00045287">
        <w:rPr>
          <w:sz w:val="24"/>
          <w:szCs w:val="24"/>
        </w:rPr>
        <w:t xml:space="preserve"> eksponeringer, som var henholdsvis 6 og 3 gange den maksimale anbefalede humane dosis (MRHD - Maximum </w:t>
      </w:r>
      <w:proofErr w:type="spellStart"/>
      <w:r w:rsidRPr="00045287">
        <w:rPr>
          <w:sz w:val="24"/>
          <w:szCs w:val="24"/>
        </w:rPr>
        <w:t>Recommended</w:t>
      </w:r>
      <w:proofErr w:type="spellEnd"/>
      <w:r w:rsidRPr="00045287">
        <w:rPr>
          <w:sz w:val="24"/>
          <w:szCs w:val="24"/>
        </w:rPr>
        <w:t xml:space="preserve"> Human Dose) baseret på AUC (se pkt. 5.3). Den potentielle risiko for mennesker er ukendt. </w:t>
      </w:r>
      <w:proofErr w:type="spellStart"/>
      <w:r w:rsidRPr="00045287">
        <w:rPr>
          <w:sz w:val="24"/>
          <w:szCs w:val="24"/>
        </w:rPr>
        <w:t>Fesoterodin</w:t>
      </w:r>
      <w:proofErr w:type="spellEnd"/>
      <w:r w:rsidRPr="00045287">
        <w:rPr>
          <w:sz w:val="24"/>
          <w:szCs w:val="24"/>
        </w:rPr>
        <w:t xml:space="preserve"> "</w:t>
      </w:r>
      <w:proofErr w:type="spellStart"/>
      <w:r w:rsidRPr="00045287">
        <w:rPr>
          <w:sz w:val="24"/>
          <w:szCs w:val="24"/>
        </w:rPr>
        <w:t>Accord</w:t>
      </w:r>
      <w:proofErr w:type="spellEnd"/>
      <w:r w:rsidRPr="00045287">
        <w:rPr>
          <w:sz w:val="24"/>
          <w:szCs w:val="24"/>
        </w:rPr>
        <w:t>" bør ikke bruges under graviditet.</w:t>
      </w:r>
    </w:p>
    <w:p w:rsidR="00045287" w:rsidRPr="00045287" w:rsidRDefault="00045287" w:rsidP="00045287">
      <w:pPr>
        <w:tabs>
          <w:tab w:val="left" w:pos="851"/>
        </w:tabs>
        <w:ind w:left="851"/>
        <w:rPr>
          <w:sz w:val="24"/>
          <w:szCs w:val="24"/>
        </w:rPr>
      </w:pPr>
    </w:p>
    <w:p w:rsidR="00045287" w:rsidRPr="00045287" w:rsidRDefault="00045287" w:rsidP="00045287">
      <w:pPr>
        <w:tabs>
          <w:tab w:val="left" w:pos="851"/>
        </w:tabs>
        <w:ind w:left="851"/>
        <w:rPr>
          <w:sz w:val="24"/>
          <w:szCs w:val="24"/>
          <w:u w:val="single"/>
        </w:rPr>
      </w:pPr>
      <w:r w:rsidRPr="00045287">
        <w:rPr>
          <w:sz w:val="24"/>
          <w:szCs w:val="24"/>
          <w:u w:val="single"/>
        </w:rPr>
        <w:t>Amning</w:t>
      </w:r>
    </w:p>
    <w:p w:rsidR="00045287" w:rsidRPr="00045287" w:rsidRDefault="00045287" w:rsidP="00045287">
      <w:pPr>
        <w:tabs>
          <w:tab w:val="left" w:pos="851"/>
        </w:tabs>
        <w:ind w:left="851"/>
        <w:rPr>
          <w:sz w:val="24"/>
          <w:szCs w:val="24"/>
        </w:rPr>
      </w:pPr>
      <w:r w:rsidRPr="00045287">
        <w:rPr>
          <w:sz w:val="24"/>
          <w:szCs w:val="24"/>
        </w:rPr>
        <w:t xml:space="preserve">Det er ukendt, om </w:t>
      </w:r>
      <w:proofErr w:type="spellStart"/>
      <w:r w:rsidRPr="00045287">
        <w:rPr>
          <w:sz w:val="24"/>
          <w:szCs w:val="24"/>
        </w:rPr>
        <w:t>fesoterodin</w:t>
      </w:r>
      <w:proofErr w:type="spellEnd"/>
      <w:r w:rsidRPr="00045287">
        <w:rPr>
          <w:sz w:val="24"/>
          <w:szCs w:val="24"/>
        </w:rPr>
        <w:t xml:space="preserve">/metabolitter udskilles i modermælk. Derfor bør </w:t>
      </w:r>
      <w:proofErr w:type="spellStart"/>
      <w:r w:rsidRPr="00045287">
        <w:rPr>
          <w:sz w:val="24"/>
          <w:szCs w:val="24"/>
        </w:rPr>
        <w:t>Fesoterodin</w:t>
      </w:r>
      <w:proofErr w:type="spellEnd"/>
      <w:r w:rsidRPr="00045287">
        <w:rPr>
          <w:sz w:val="24"/>
          <w:szCs w:val="24"/>
        </w:rPr>
        <w:t xml:space="preserve"> "</w:t>
      </w:r>
      <w:proofErr w:type="spellStart"/>
      <w:r w:rsidRPr="00045287">
        <w:rPr>
          <w:sz w:val="24"/>
          <w:szCs w:val="24"/>
        </w:rPr>
        <w:t>Accord</w:t>
      </w:r>
      <w:proofErr w:type="spellEnd"/>
      <w:r w:rsidRPr="00045287">
        <w:rPr>
          <w:sz w:val="24"/>
          <w:szCs w:val="24"/>
        </w:rPr>
        <w:t>" ikke bruges til kvinder</w:t>
      </w:r>
      <w:r w:rsidR="00514A29">
        <w:rPr>
          <w:sz w:val="24"/>
          <w:szCs w:val="24"/>
        </w:rPr>
        <w:t>,</w:t>
      </w:r>
      <w:r w:rsidRPr="00045287">
        <w:rPr>
          <w:sz w:val="24"/>
          <w:szCs w:val="24"/>
        </w:rPr>
        <w:t xml:space="preserve"> der ammer.</w:t>
      </w:r>
    </w:p>
    <w:p w:rsidR="00045287" w:rsidRPr="00045287" w:rsidRDefault="00045287" w:rsidP="00045287">
      <w:pPr>
        <w:tabs>
          <w:tab w:val="left" w:pos="851"/>
        </w:tabs>
        <w:ind w:left="851"/>
        <w:rPr>
          <w:sz w:val="24"/>
          <w:szCs w:val="24"/>
        </w:rPr>
      </w:pPr>
    </w:p>
    <w:p w:rsidR="00045287" w:rsidRPr="00045287" w:rsidRDefault="00045287" w:rsidP="00045287">
      <w:pPr>
        <w:tabs>
          <w:tab w:val="left" w:pos="851"/>
        </w:tabs>
        <w:ind w:left="851"/>
        <w:rPr>
          <w:sz w:val="24"/>
          <w:szCs w:val="24"/>
          <w:u w:val="single"/>
        </w:rPr>
      </w:pPr>
      <w:r w:rsidRPr="00045287">
        <w:rPr>
          <w:sz w:val="24"/>
          <w:szCs w:val="24"/>
          <w:u w:val="single"/>
        </w:rPr>
        <w:t>Fertilitet</w:t>
      </w:r>
    </w:p>
    <w:p w:rsidR="00045287" w:rsidRPr="00045287" w:rsidRDefault="00045287" w:rsidP="00045287">
      <w:pPr>
        <w:tabs>
          <w:tab w:val="left" w:pos="851"/>
        </w:tabs>
        <w:ind w:left="851"/>
        <w:rPr>
          <w:sz w:val="24"/>
          <w:szCs w:val="24"/>
        </w:rPr>
      </w:pPr>
      <w:r w:rsidRPr="00045287">
        <w:rPr>
          <w:sz w:val="24"/>
          <w:szCs w:val="24"/>
        </w:rPr>
        <w:t xml:space="preserve">Der er ikke udført kliniske forsøg med henblik på vurdering af </w:t>
      </w:r>
      <w:proofErr w:type="spellStart"/>
      <w:r w:rsidRPr="00045287">
        <w:rPr>
          <w:sz w:val="24"/>
          <w:szCs w:val="24"/>
        </w:rPr>
        <w:t>fesoterodins</w:t>
      </w:r>
      <w:proofErr w:type="spellEnd"/>
      <w:r w:rsidRPr="00045287">
        <w:rPr>
          <w:sz w:val="24"/>
          <w:szCs w:val="24"/>
        </w:rPr>
        <w:t xml:space="preserve"> virkning på fertilitet hos mennesker. Fund fra mus ved eksponeringer, der var ca. 5 til 19 gange højere end MRHD, viser en påvirkning af hunnens fertilitet. De kliniske betydninger af disse fund er dog ikke kendt (se pkt. 5.3). Kvinder i den fertile alder skal oplyses om de manglende data vedrørende fertilitet hos mennesker, og </w:t>
      </w:r>
      <w:proofErr w:type="spellStart"/>
      <w:r w:rsidRPr="00045287">
        <w:rPr>
          <w:sz w:val="24"/>
          <w:szCs w:val="24"/>
        </w:rPr>
        <w:t>Fesoterodin</w:t>
      </w:r>
      <w:proofErr w:type="spellEnd"/>
      <w:r w:rsidRPr="00045287">
        <w:rPr>
          <w:sz w:val="24"/>
          <w:szCs w:val="24"/>
        </w:rPr>
        <w:t xml:space="preserve"> "</w:t>
      </w:r>
      <w:proofErr w:type="spellStart"/>
      <w:r w:rsidRPr="00045287">
        <w:rPr>
          <w:sz w:val="24"/>
          <w:szCs w:val="24"/>
        </w:rPr>
        <w:t>Accord</w:t>
      </w:r>
      <w:proofErr w:type="spellEnd"/>
      <w:r w:rsidRPr="00045287">
        <w:rPr>
          <w:sz w:val="24"/>
          <w:szCs w:val="24"/>
        </w:rPr>
        <w:t>" bør kun gives efter overvejelse af individuelle risici og fordele.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ED0C72">
        <w:rPr>
          <w:b/>
          <w:sz w:val="24"/>
          <w:szCs w:val="24"/>
        </w:rPr>
        <w:t>og</w:t>
      </w:r>
      <w:r w:rsidRPr="00C84483">
        <w:rPr>
          <w:b/>
          <w:sz w:val="24"/>
          <w:szCs w:val="24"/>
        </w:rPr>
        <w:t xml:space="preserve"> betjene maskiner</w:t>
      </w:r>
    </w:p>
    <w:p w:rsidR="00327707" w:rsidRDefault="00327707" w:rsidP="00327707">
      <w:pPr>
        <w:ind w:left="851"/>
        <w:rPr>
          <w:sz w:val="24"/>
          <w:szCs w:val="24"/>
        </w:rPr>
      </w:pPr>
      <w:r>
        <w:rPr>
          <w:sz w:val="24"/>
          <w:szCs w:val="24"/>
        </w:rPr>
        <w:t>Ikke mærkning.</w:t>
      </w:r>
    </w:p>
    <w:p w:rsidR="00327707" w:rsidRDefault="00327707" w:rsidP="00327707">
      <w:pPr>
        <w:ind w:left="851"/>
        <w:rPr>
          <w:sz w:val="24"/>
          <w:szCs w:val="24"/>
        </w:rPr>
      </w:pPr>
      <w:proofErr w:type="spellStart"/>
      <w:r>
        <w:rPr>
          <w:rFonts w:eastAsiaTheme="minorHAnsi"/>
          <w:sz w:val="24"/>
          <w:szCs w:val="24"/>
        </w:rPr>
        <w:lastRenderedPageBreak/>
        <w:t>Fesoterodin</w:t>
      </w:r>
      <w:proofErr w:type="spellEnd"/>
      <w:r>
        <w:rPr>
          <w:rFonts w:eastAsiaTheme="minorHAnsi"/>
          <w:sz w:val="24"/>
          <w:szCs w:val="24"/>
        </w:rPr>
        <w:t xml:space="preserve"> "</w:t>
      </w:r>
      <w:proofErr w:type="spellStart"/>
      <w:r>
        <w:rPr>
          <w:rFonts w:eastAsiaTheme="minorHAnsi"/>
          <w:sz w:val="24"/>
          <w:szCs w:val="24"/>
        </w:rPr>
        <w:t>Accord</w:t>
      </w:r>
      <w:proofErr w:type="spellEnd"/>
      <w:r>
        <w:rPr>
          <w:rFonts w:eastAsiaTheme="minorHAnsi"/>
          <w:sz w:val="24"/>
          <w:szCs w:val="24"/>
        </w:rPr>
        <w:t>"</w:t>
      </w:r>
      <w:r>
        <w:rPr>
          <w:sz w:val="24"/>
          <w:szCs w:val="24"/>
        </w:rPr>
        <w:t xml:space="preserve"> påvirker i mindre grad evnen til at føre motorkøretøj og betjene maskiner.</w:t>
      </w:r>
    </w:p>
    <w:p w:rsidR="00327707" w:rsidRDefault="00327707" w:rsidP="00327707">
      <w:pPr>
        <w:ind w:left="851"/>
        <w:rPr>
          <w:sz w:val="24"/>
          <w:szCs w:val="24"/>
        </w:rPr>
      </w:pPr>
    </w:p>
    <w:p w:rsidR="00327707" w:rsidRDefault="00327707" w:rsidP="00327707">
      <w:pPr>
        <w:ind w:left="851"/>
        <w:rPr>
          <w:sz w:val="24"/>
          <w:szCs w:val="24"/>
        </w:rPr>
      </w:pPr>
      <w:r>
        <w:rPr>
          <w:sz w:val="24"/>
          <w:szCs w:val="24"/>
        </w:rPr>
        <w:t>Der skal udvises forsigtighed, når der føres motorkøretøj eller betjenes maskiner på grund af mulige bivirkninger som tågesyn, svimmelhed eller søvnighed (se pkt. 4.8).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27707" w:rsidRDefault="00327707" w:rsidP="00327707">
      <w:pPr>
        <w:ind w:left="851"/>
        <w:rPr>
          <w:sz w:val="24"/>
          <w:szCs w:val="24"/>
        </w:rPr>
      </w:pPr>
    </w:p>
    <w:p w:rsidR="00327707" w:rsidRDefault="00327707" w:rsidP="00327707">
      <w:pPr>
        <w:ind w:left="851"/>
        <w:rPr>
          <w:sz w:val="24"/>
          <w:szCs w:val="24"/>
          <w:u w:val="single"/>
        </w:rPr>
      </w:pPr>
      <w:r>
        <w:rPr>
          <w:sz w:val="24"/>
          <w:szCs w:val="24"/>
          <w:u w:val="single"/>
        </w:rPr>
        <w:t>Sammendrag af sikkerhedsprofilen</w:t>
      </w:r>
    </w:p>
    <w:p w:rsidR="00327707" w:rsidRDefault="00327707" w:rsidP="00327707">
      <w:pPr>
        <w:ind w:left="851"/>
        <w:rPr>
          <w:sz w:val="24"/>
          <w:szCs w:val="24"/>
        </w:rPr>
      </w:pPr>
      <w:r>
        <w:rPr>
          <w:sz w:val="24"/>
          <w:szCs w:val="24"/>
        </w:rPr>
        <w:t xml:space="preserve">Sikkerheden af </w:t>
      </w:r>
      <w:proofErr w:type="spellStart"/>
      <w:r>
        <w:rPr>
          <w:sz w:val="24"/>
          <w:szCs w:val="24"/>
        </w:rPr>
        <w:t>fesoterodin</w:t>
      </w:r>
      <w:proofErr w:type="spellEnd"/>
      <w:r>
        <w:rPr>
          <w:sz w:val="24"/>
          <w:szCs w:val="24"/>
        </w:rPr>
        <w:t xml:space="preserve"> blev vurderet i placebokontrollerede kliniske forsøg med i alt 2.859 patienter med overaktiv blære, hvoraf 780 fik placebo.</w:t>
      </w:r>
    </w:p>
    <w:p w:rsidR="00327707" w:rsidRDefault="00327707" w:rsidP="00327707">
      <w:pPr>
        <w:ind w:left="851"/>
        <w:rPr>
          <w:sz w:val="24"/>
          <w:szCs w:val="24"/>
        </w:rPr>
      </w:pPr>
    </w:p>
    <w:p w:rsidR="00327707" w:rsidRDefault="00327707" w:rsidP="00327707">
      <w:pPr>
        <w:ind w:left="851"/>
        <w:rPr>
          <w:sz w:val="24"/>
          <w:szCs w:val="24"/>
        </w:rPr>
      </w:pPr>
      <w:r>
        <w:rPr>
          <w:sz w:val="24"/>
          <w:szCs w:val="24"/>
        </w:rPr>
        <w:t xml:space="preserve">På grund af </w:t>
      </w:r>
      <w:proofErr w:type="spellStart"/>
      <w:r>
        <w:rPr>
          <w:sz w:val="24"/>
          <w:szCs w:val="24"/>
        </w:rPr>
        <w:t>fesoterodins</w:t>
      </w:r>
      <w:proofErr w:type="spellEnd"/>
      <w:r>
        <w:rPr>
          <w:sz w:val="24"/>
          <w:szCs w:val="24"/>
        </w:rPr>
        <w:t xml:space="preserve"> farmakologiske egenskaber kan behandlingen give lette til moderate </w:t>
      </w:r>
      <w:proofErr w:type="spellStart"/>
      <w:r>
        <w:rPr>
          <w:sz w:val="24"/>
          <w:szCs w:val="24"/>
        </w:rPr>
        <w:t>anti-muskarine</w:t>
      </w:r>
      <w:proofErr w:type="spellEnd"/>
      <w:r>
        <w:rPr>
          <w:sz w:val="24"/>
          <w:szCs w:val="24"/>
        </w:rPr>
        <w:t xml:space="preserve"> virkninger som mundtørhed, tørre øjne, dyspepsi og forstoppelse. Urinretention kan opstå i sjældne tilfælde.</w:t>
      </w:r>
    </w:p>
    <w:p w:rsidR="00327707" w:rsidRDefault="00327707" w:rsidP="00327707">
      <w:pPr>
        <w:ind w:left="851"/>
        <w:rPr>
          <w:sz w:val="24"/>
          <w:szCs w:val="24"/>
        </w:rPr>
      </w:pPr>
    </w:p>
    <w:p w:rsidR="00327707" w:rsidRDefault="00327707" w:rsidP="00327707">
      <w:pPr>
        <w:ind w:left="851"/>
        <w:rPr>
          <w:sz w:val="24"/>
          <w:szCs w:val="24"/>
        </w:rPr>
      </w:pPr>
      <w:r>
        <w:rPr>
          <w:sz w:val="24"/>
          <w:szCs w:val="24"/>
        </w:rPr>
        <w:t xml:space="preserve">Mundtørhed, som er den eneste meget almindelige bivirkning, forekom med en frekvens på 28,8 % i </w:t>
      </w:r>
      <w:proofErr w:type="spellStart"/>
      <w:r>
        <w:rPr>
          <w:sz w:val="24"/>
          <w:szCs w:val="24"/>
        </w:rPr>
        <w:t>fesoterodin</w:t>
      </w:r>
      <w:proofErr w:type="spellEnd"/>
      <w:r>
        <w:rPr>
          <w:sz w:val="24"/>
          <w:szCs w:val="24"/>
        </w:rPr>
        <w:t xml:space="preserve">-gruppen sammenlignet med 8,5 % i placebogruppen. Hovedparten af bivirkningerne forekom i løbet af den første måned af behandlingen, med undtagelse af urinretention med mere end 200 ml </w:t>
      </w:r>
      <w:proofErr w:type="spellStart"/>
      <w:r>
        <w:rPr>
          <w:sz w:val="24"/>
          <w:szCs w:val="24"/>
        </w:rPr>
        <w:t>residualurin</w:t>
      </w:r>
      <w:proofErr w:type="spellEnd"/>
      <w:r>
        <w:rPr>
          <w:sz w:val="24"/>
          <w:szCs w:val="24"/>
        </w:rPr>
        <w:t>, der kunne forekomme efter længere tids behandling og forekom hyppigere hos mænd end hos kvinder.</w:t>
      </w:r>
    </w:p>
    <w:p w:rsidR="00327707" w:rsidRDefault="00327707" w:rsidP="00327707">
      <w:pPr>
        <w:ind w:left="851"/>
        <w:rPr>
          <w:sz w:val="24"/>
          <w:szCs w:val="24"/>
        </w:rPr>
      </w:pPr>
    </w:p>
    <w:p w:rsidR="00327707" w:rsidRDefault="00327707" w:rsidP="00327707">
      <w:pPr>
        <w:ind w:left="851"/>
        <w:rPr>
          <w:sz w:val="24"/>
          <w:szCs w:val="24"/>
          <w:u w:val="single"/>
        </w:rPr>
      </w:pPr>
      <w:r>
        <w:rPr>
          <w:sz w:val="24"/>
          <w:szCs w:val="24"/>
          <w:u w:val="single"/>
        </w:rPr>
        <w:t>Bivirkningstabel</w:t>
      </w:r>
    </w:p>
    <w:p w:rsidR="00327707" w:rsidRDefault="00327707" w:rsidP="00327707">
      <w:pPr>
        <w:ind w:left="851"/>
        <w:rPr>
          <w:sz w:val="24"/>
          <w:szCs w:val="24"/>
        </w:rPr>
      </w:pPr>
      <w:r>
        <w:rPr>
          <w:sz w:val="24"/>
          <w:szCs w:val="24"/>
        </w:rPr>
        <w:t xml:space="preserve">Nedenstående tabel viser hyppigheden af bivirkninger, som forekom under behandlingen i placebo-kontrollerede kliniske undersøgelser og efter markedsføring. Bivirkningerne er anført i denne tabel, og frekvenser er defineret som følger: </w:t>
      </w:r>
      <w:r w:rsidR="0012074A">
        <w:rPr>
          <w:sz w:val="24"/>
          <w:szCs w:val="24"/>
        </w:rPr>
        <w:t>M</w:t>
      </w:r>
      <w:r>
        <w:rPr>
          <w:sz w:val="24"/>
          <w:szCs w:val="24"/>
        </w:rPr>
        <w:t>eget almindelig (≥1/10), almindelig (≥1/100 til &lt;1/10), ikke almindelig (≥1/1.000 til &lt;1/100), sjælden (≥1/1.0000 til &lt;1/1.000).</w:t>
      </w:r>
    </w:p>
    <w:p w:rsidR="00327707" w:rsidRDefault="00327707" w:rsidP="00327707">
      <w:pPr>
        <w:ind w:left="851"/>
        <w:rPr>
          <w:sz w:val="24"/>
          <w:szCs w:val="24"/>
        </w:rPr>
      </w:pPr>
    </w:p>
    <w:p w:rsidR="00327707" w:rsidRDefault="00327707" w:rsidP="00327707">
      <w:pPr>
        <w:ind w:left="851"/>
        <w:rPr>
          <w:sz w:val="24"/>
          <w:szCs w:val="24"/>
        </w:rPr>
      </w:pPr>
      <w:r>
        <w:rPr>
          <w:sz w:val="24"/>
          <w:szCs w:val="24"/>
        </w:rPr>
        <w:t>Inden for hver enkelt frekvensgruppe er bivirkningerne opstillet efter, hvor alvorlige de er. De alvorligste bivirkninger er anført først.</w:t>
      </w:r>
    </w:p>
    <w:p w:rsidR="00327707" w:rsidRDefault="00327707" w:rsidP="00327707">
      <w:pPr>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56"/>
        <w:gridCol w:w="1800"/>
        <w:gridCol w:w="1870"/>
        <w:gridCol w:w="1801"/>
        <w:gridCol w:w="1801"/>
      </w:tblGrid>
      <w:tr w:rsidR="00327707" w:rsidTr="00327707">
        <w:trPr>
          <w:trHeight w:val="505"/>
        </w:trPr>
        <w:tc>
          <w:tcPr>
            <w:tcW w:w="1231"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b/>
                <w:sz w:val="24"/>
                <w:szCs w:val="24"/>
                <w:lang w:val="da-DK"/>
              </w:rPr>
            </w:pPr>
            <w:r>
              <w:rPr>
                <w:b/>
                <w:sz w:val="24"/>
                <w:szCs w:val="24"/>
                <w:lang w:val="da-DK"/>
              </w:rPr>
              <w:t>Systemorganklasse</w:t>
            </w: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b/>
                <w:sz w:val="24"/>
                <w:szCs w:val="24"/>
                <w:lang w:val="da-DK"/>
              </w:rPr>
            </w:pPr>
            <w:r>
              <w:rPr>
                <w:b/>
                <w:sz w:val="24"/>
                <w:szCs w:val="24"/>
                <w:lang w:val="da-DK"/>
              </w:rPr>
              <w:t>Meget almindelig</w:t>
            </w: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b/>
                <w:sz w:val="24"/>
                <w:szCs w:val="24"/>
                <w:lang w:val="da-DK"/>
              </w:rPr>
            </w:pPr>
            <w:r>
              <w:rPr>
                <w:b/>
                <w:sz w:val="24"/>
                <w:szCs w:val="24"/>
                <w:lang w:val="da-DK"/>
              </w:rPr>
              <w:t>Almindelig</w:t>
            </w: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b/>
                <w:sz w:val="24"/>
                <w:szCs w:val="24"/>
                <w:lang w:val="da-DK"/>
              </w:rPr>
            </w:pPr>
            <w:r>
              <w:rPr>
                <w:b/>
                <w:sz w:val="24"/>
                <w:szCs w:val="24"/>
                <w:lang w:val="da-DK"/>
              </w:rPr>
              <w:t>Ikke almindelig</w:t>
            </w: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b/>
                <w:sz w:val="24"/>
                <w:szCs w:val="24"/>
                <w:lang w:val="da-DK"/>
              </w:rPr>
            </w:pPr>
            <w:r>
              <w:rPr>
                <w:b/>
                <w:sz w:val="24"/>
                <w:szCs w:val="24"/>
                <w:lang w:val="da-DK"/>
              </w:rPr>
              <w:t>Sjælden</w:t>
            </w:r>
          </w:p>
        </w:tc>
      </w:tr>
      <w:tr w:rsidR="00327707" w:rsidTr="00327707">
        <w:trPr>
          <w:trHeight w:val="547"/>
        </w:trPr>
        <w:tc>
          <w:tcPr>
            <w:tcW w:w="1231"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Infektioner og parasitære sygdomme</w:t>
            </w: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Urinvejsinfektion</w:t>
            </w: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r>
      <w:tr w:rsidR="00327707" w:rsidTr="00327707">
        <w:trPr>
          <w:trHeight w:val="257"/>
        </w:trPr>
        <w:tc>
          <w:tcPr>
            <w:tcW w:w="1231"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Psykiske forstyrrelser</w:t>
            </w: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Søvnløshed</w:t>
            </w: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Konfusion</w:t>
            </w:r>
          </w:p>
        </w:tc>
      </w:tr>
      <w:tr w:rsidR="00327707" w:rsidTr="00327707">
        <w:trPr>
          <w:trHeight w:val="505"/>
        </w:trPr>
        <w:tc>
          <w:tcPr>
            <w:tcW w:w="1231"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Nervesystemet</w:t>
            </w: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Svimmelhed, hovedpine</w:t>
            </w: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proofErr w:type="spellStart"/>
            <w:r>
              <w:rPr>
                <w:sz w:val="24"/>
                <w:szCs w:val="24"/>
                <w:lang w:val="da-DK"/>
              </w:rPr>
              <w:t>Dysgeusi</w:t>
            </w:r>
            <w:proofErr w:type="spellEnd"/>
            <w:r>
              <w:rPr>
                <w:sz w:val="24"/>
                <w:szCs w:val="24"/>
                <w:lang w:val="da-DK"/>
              </w:rPr>
              <w:t>, søvnighed</w:t>
            </w: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r>
      <w:tr w:rsidR="00327707" w:rsidTr="00327707">
        <w:trPr>
          <w:trHeight w:val="251"/>
        </w:trPr>
        <w:tc>
          <w:tcPr>
            <w:tcW w:w="1231"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Øjne</w:t>
            </w: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Tørre øjne</w:t>
            </w: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Sløret syn</w:t>
            </w: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r>
      <w:tr w:rsidR="00327707" w:rsidTr="00327707">
        <w:trPr>
          <w:trHeight w:val="253"/>
        </w:trPr>
        <w:tc>
          <w:tcPr>
            <w:tcW w:w="1231"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Øre og labyrint</w:t>
            </w: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proofErr w:type="spellStart"/>
            <w:r>
              <w:rPr>
                <w:sz w:val="24"/>
                <w:szCs w:val="24"/>
                <w:lang w:val="da-DK"/>
              </w:rPr>
              <w:t>Vertigo</w:t>
            </w:r>
            <w:proofErr w:type="spellEnd"/>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r>
      <w:tr w:rsidR="00327707" w:rsidTr="00327707">
        <w:trPr>
          <w:trHeight w:val="506"/>
        </w:trPr>
        <w:tc>
          <w:tcPr>
            <w:tcW w:w="1231"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Hjerte</w:t>
            </w: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proofErr w:type="spellStart"/>
            <w:r>
              <w:rPr>
                <w:sz w:val="24"/>
                <w:szCs w:val="24"/>
                <w:lang w:val="da-DK"/>
              </w:rPr>
              <w:t>Takykardi</w:t>
            </w:r>
            <w:proofErr w:type="spellEnd"/>
            <w:r>
              <w:rPr>
                <w:sz w:val="24"/>
                <w:szCs w:val="24"/>
                <w:lang w:val="da-DK"/>
              </w:rPr>
              <w:t xml:space="preserve">, </w:t>
            </w:r>
            <w:proofErr w:type="spellStart"/>
            <w:r>
              <w:rPr>
                <w:sz w:val="24"/>
                <w:szCs w:val="24"/>
                <w:lang w:val="da-DK"/>
              </w:rPr>
              <w:t>palpitationer</w:t>
            </w:r>
            <w:proofErr w:type="spellEnd"/>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r>
      <w:tr w:rsidR="00327707" w:rsidTr="00327707">
        <w:trPr>
          <w:trHeight w:val="757"/>
        </w:trPr>
        <w:tc>
          <w:tcPr>
            <w:tcW w:w="1231"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 xml:space="preserve">Luftveje, thorax og </w:t>
            </w:r>
            <w:proofErr w:type="spellStart"/>
            <w:r>
              <w:rPr>
                <w:sz w:val="24"/>
                <w:szCs w:val="24"/>
                <w:lang w:val="da-DK"/>
              </w:rPr>
              <w:t>mediastinum</w:t>
            </w:r>
            <w:proofErr w:type="spellEnd"/>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Tørhed i svælget</w:t>
            </w: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Smerter i hals og svælg, hoste, tørhed i næsen</w:t>
            </w: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r>
      <w:tr w:rsidR="00327707" w:rsidTr="00327707">
        <w:trPr>
          <w:trHeight w:val="1075"/>
        </w:trPr>
        <w:tc>
          <w:tcPr>
            <w:tcW w:w="1231"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Mave-tarm-kanalen</w:t>
            </w: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Mundtørhed</w:t>
            </w: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proofErr w:type="spellStart"/>
            <w:r>
              <w:rPr>
                <w:sz w:val="24"/>
                <w:szCs w:val="24"/>
                <w:lang w:val="da-DK"/>
              </w:rPr>
              <w:t>Abdominalsmerter</w:t>
            </w:r>
            <w:proofErr w:type="spellEnd"/>
            <w:r>
              <w:rPr>
                <w:sz w:val="24"/>
                <w:szCs w:val="24"/>
                <w:lang w:val="da-DK"/>
              </w:rPr>
              <w:t>, diarré, dyspepsi, forstoppelse, kvalme</w:t>
            </w: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 xml:space="preserve">Ubehag i maven, </w:t>
            </w:r>
            <w:proofErr w:type="spellStart"/>
            <w:r>
              <w:rPr>
                <w:sz w:val="24"/>
                <w:szCs w:val="24"/>
                <w:lang w:val="da-DK"/>
              </w:rPr>
              <w:t>flatulens</w:t>
            </w:r>
            <w:proofErr w:type="spellEnd"/>
            <w:r>
              <w:rPr>
                <w:sz w:val="24"/>
                <w:szCs w:val="24"/>
                <w:lang w:val="da-DK"/>
              </w:rPr>
              <w:t xml:space="preserve">, </w:t>
            </w:r>
            <w:proofErr w:type="spellStart"/>
            <w:r>
              <w:rPr>
                <w:sz w:val="24"/>
                <w:szCs w:val="24"/>
                <w:lang w:val="da-DK"/>
              </w:rPr>
              <w:t>gastroøsofageal</w:t>
            </w:r>
            <w:proofErr w:type="spellEnd"/>
            <w:r>
              <w:rPr>
                <w:sz w:val="24"/>
                <w:szCs w:val="24"/>
                <w:lang w:val="da-DK"/>
              </w:rPr>
              <w:t xml:space="preserve"> </w:t>
            </w:r>
            <w:proofErr w:type="spellStart"/>
            <w:r>
              <w:rPr>
                <w:sz w:val="24"/>
                <w:szCs w:val="24"/>
                <w:lang w:val="da-DK"/>
              </w:rPr>
              <w:t>refluks</w:t>
            </w:r>
            <w:proofErr w:type="spellEnd"/>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r>
      <w:tr w:rsidR="00327707" w:rsidTr="00327707">
        <w:trPr>
          <w:trHeight w:val="505"/>
        </w:trPr>
        <w:tc>
          <w:tcPr>
            <w:tcW w:w="1231"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lastRenderedPageBreak/>
              <w:t>Lever og galdeveje</w:t>
            </w: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Øget ALAT, øget GGT</w:t>
            </w: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r>
      <w:tr w:rsidR="00327707" w:rsidTr="00327707">
        <w:trPr>
          <w:trHeight w:val="506"/>
        </w:trPr>
        <w:tc>
          <w:tcPr>
            <w:tcW w:w="1231"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Hud og subkutane væv</w:t>
            </w: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 xml:space="preserve">Udslæt, tør hud, </w:t>
            </w:r>
            <w:proofErr w:type="spellStart"/>
            <w:r>
              <w:rPr>
                <w:sz w:val="24"/>
                <w:szCs w:val="24"/>
                <w:lang w:val="da-DK"/>
              </w:rPr>
              <w:t>pruritus</w:t>
            </w:r>
            <w:proofErr w:type="spellEnd"/>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proofErr w:type="spellStart"/>
            <w:r>
              <w:rPr>
                <w:sz w:val="24"/>
                <w:szCs w:val="24"/>
                <w:lang w:val="da-DK"/>
              </w:rPr>
              <w:t>Angioødem</w:t>
            </w:r>
            <w:proofErr w:type="spellEnd"/>
            <w:r>
              <w:rPr>
                <w:sz w:val="24"/>
                <w:szCs w:val="24"/>
                <w:lang w:val="da-DK"/>
              </w:rPr>
              <w:t xml:space="preserve">, </w:t>
            </w:r>
            <w:proofErr w:type="spellStart"/>
            <w:r>
              <w:rPr>
                <w:sz w:val="24"/>
                <w:szCs w:val="24"/>
                <w:lang w:val="da-DK"/>
              </w:rPr>
              <w:t>urticaria</w:t>
            </w:r>
            <w:proofErr w:type="spellEnd"/>
          </w:p>
        </w:tc>
      </w:tr>
      <w:tr w:rsidR="00327707" w:rsidTr="00327707">
        <w:trPr>
          <w:trHeight w:val="1770"/>
        </w:trPr>
        <w:tc>
          <w:tcPr>
            <w:tcW w:w="1231"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Nyrer og urinveje</w:t>
            </w: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proofErr w:type="spellStart"/>
            <w:r>
              <w:rPr>
                <w:sz w:val="24"/>
                <w:szCs w:val="24"/>
                <w:lang w:val="da-DK"/>
              </w:rPr>
              <w:t>Dysuri</w:t>
            </w:r>
            <w:proofErr w:type="spellEnd"/>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 xml:space="preserve">Urinretention (herunder følelse af </w:t>
            </w:r>
            <w:proofErr w:type="spellStart"/>
            <w:r>
              <w:rPr>
                <w:sz w:val="24"/>
                <w:szCs w:val="24"/>
                <w:lang w:val="da-DK"/>
              </w:rPr>
              <w:t>resturin</w:t>
            </w:r>
            <w:proofErr w:type="spellEnd"/>
            <w:r>
              <w:rPr>
                <w:sz w:val="24"/>
                <w:szCs w:val="24"/>
                <w:lang w:val="da-DK"/>
              </w:rPr>
              <w:t xml:space="preserve">, </w:t>
            </w:r>
            <w:proofErr w:type="spellStart"/>
            <w:r>
              <w:rPr>
                <w:sz w:val="24"/>
                <w:szCs w:val="24"/>
                <w:lang w:val="da-DK"/>
              </w:rPr>
              <w:t>miktionslidelser</w:t>
            </w:r>
            <w:proofErr w:type="spellEnd"/>
            <w:r>
              <w:rPr>
                <w:sz w:val="24"/>
                <w:szCs w:val="24"/>
                <w:lang w:val="da-DK"/>
              </w:rPr>
              <w:t>), igangsætnings-besvær ved vandladning</w:t>
            </w: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r>
      <w:tr w:rsidR="00327707" w:rsidTr="00327707">
        <w:trPr>
          <w:trHeight w:val="815"/>
        </w:trPr>
        <w:tc>
          <w:tcPr>
            <w:tcW w:w="1231"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Almene symptomer og reaktioner på administrationsstedet</w:t>
            </w: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c>
          <w:tcPr>
            <w:tcW w:w="942" w:type="pct"/>
            <w:tcBorders>
              <w:top w:val="single" w:sz="4" w:space="0" w:color="000000"/>
              <w:left w:val="single" w:sz="4" w:space="0" w:color="000000"/>
              <w:bottom w:val="single" w:sz="4" w:space="0" w:color="000000"/>
              <w:right w:val="single" w:sz="4" w:space="0" w:color="000000"/>
            </w:tcBorders>
            <w:hideMark/>
          </w:tcPr>
          <w:p w:rsidR="00327707" w:rsidRDefault="00327707">
            <w:pPr>
              <w:pStyle w:val="TableParagraph"/>
              <w:spacing w:line="240" w:lineRule="auto"/>
              <w:rPr>
                <w:sz w:val="24"/>
                <w:szCs w:val="24"/>
                <w:lang w:val="da-DK"/>
              </w:rPr>
            </w:pPr>
            <w:r>
              <w:rPr>
                <w:sz w:val="24"/>
                <w:szCs w:val="24"/>
                <w:lang w:val="da-DK"/>
              </w:rPr>
              <w:t>Træthed</w:t>
            </w:r>
          </w:p>
        </w:tc>
        <w:tc>
          <w:tcPr>
            <w:tcW w:w="942" w:type="pct"/>
            <w:tcBorders>
              <w:top w:val="single" w:sz="4" w:space="0" w:color="000000"/>
              <w:left w:val="single" w:sz="4" w:space="0" w:color="000000"/>
              <w:bottom w:val="single" w:sz="4" w:space="0" w:color="000000"/>
              <w:right w:val="single" w:sz="4" w:space="0" w:color="000000"/>
            </w:tcBorders>
          </w:tcPr>
          <w:p w:rsidR="00327707" w:rsidRDefault="00327707">
            <w:pPr>
              <w:pStyle w:val="TableParagraph"/>
              <w:spacing w:line="240" w:lineRule="auto"/>
              <w:rPr>
                <w:sz w:val="24"/>
                <w:szCs w:val="24"/>
                <w:lang w:val="da-DK"/>
              </w:rPr>
            </w:pPr>
          </w:p>
        </w:tc>
      </w:tr>
    </w:tbl>
    <w:p w:rsidR="00327707" w:rsidRDefault="00327707" w:rsidP="00327707">
      <w:pPr>
        <w:pStyle w:val="Brdtekst"/>
        <w:rPr>
          <w:sz w:val="24"/>
          <w:szCs w:val="24"/>
          <w:lang w:val="da-DK"/>
        </w:rPr>
      </w:pPr>
    </w:p>
    <w:p w:rsidR="00327707" w:rsidRDefault="00327707" w:rsidP="00327707">
      <w:pPr>
        <w:ind w:left="851"/>
        <w:rPr>
          <w:sz w:val="24"/>
          <w:szCs w:val="24"/>
          <w:u w:val="single"/>
        </w:rPr>
      </w:pPr>
      <w:r>
        <w:rPr>
          <w:sz w:val="24"/>
          <w:szCs w:val="24"/>
          <w:u w:val="single"/>
        </w:rPr>
        <w:t>Beskrivelse af udvalgte bivirkninger</w:t>
      </w:r>
    </w:p>
    <w:p w:rsidR="00327707" w:rsidRDefault="00327707" w:rsidP="00327707">
      <w:pPr>
        <w:ind w:left="851"/>
        <w:rPr>
          <w:sz w:val="24"/>
          <w:szCs w:val="24"/>
        </w:rPr>
      </w:pPr>
      <w:r>
        <w:rPr>
          <w:sz w:val="24"/>
          <w:szCs w:val="24"/>
        </w:rPr>
        <w:t xml:space="preserve">I kliniske forsøg med </w:t>
      </w:r>
      <w:proofErr w:type="spellStart"/>
      <w:r>
        <w:rPr>
          <w:sz w:val="24"/>
          <w:szCs w:val="24"/>
        </w:rPr>
        <w:t>fesoterodin</w:t>
      </w:r>
      <w:proofErr w:type="spellEnd"/>
      <w:r>
        <w:rPr>
          <w:sz w:val="24"/>
          <w:szCs w:val="24"/>
        </w:rPr>
        <w:t xml:space="preserve"> blev der rapporteret om tilfælde af markant forhøjede leverenzymer med samme hyppighedsfrekvens som i placebogruppen. Sammenhængen med </w:t>
      </w:r>
      <w:proofErr w:type="spellStart"/>
      <w:r>
        <w:rPr>
          <w:sz w:val="24"/>
          <w:szCs w:val="24"/>
        </w:rPr>
        <w:t>fesoterodinbehandlingen</w:t>
      </w:r>
      <w:proofErr w:type="spellEnd"/>
      <w:r>
        <w:rPr>
          <w:sz w:val="24"/>
          <w:szCs w:val="24"/>
        </w:rPr>
        <w:t xml:space="preserve"> er uklar.</w:t>
      </w:r>
    </w:p>
    <w:p w:rsidR="00327707" w:rsidRDefault="00327707" w:rsidP="00327707">
      <w:pPr>
        <w:ind w:left="851"/>
        <w:rPr>
          <w:sz w:val="24"/>
          <w:szCs w:val="24"/>
        </w:rPr>
      </w:pPr>
    </w:p>
    <w:p w:rsidR="00327707" w:rsidRDefault="00327707" w:rsidP="00327707">
      <w:pPr>
        <w:ind w:left="851"/>
        <w:rPr>
          <w:sz w:val="24"/>
          <w:szCs w:val="24"/>
        </w:rPr>
      </w:pPr>
      <w:r>
        <w:rPr>
          <w:sz w:val="24"/>
          <w:szCs w:val="24"/>
        </w:rPr>
        <w:t xml:space="preserve">Der blev taget elektrokardiogram af 782 patienter, som blev behandlet med 4 mg </w:t>
      </w:r>
      <w:proofErr w:type="spellStart"/>
      <w:r>
        <w:rPr>
          <w:sz w:val="24"/>
          <w:szCs w:val="24"/>
        </w:rPr>
        <w:t>fesoterodin</w:t>
      </w:r>
      <w:proofErr w:type="spellEnd"/>
      <w:r>
        <w:rPr>
          <w:sz w:val="24"/>
          <w:szCs w:val="24"/>
        </w:rPr>
        <w:t xml:space="preserve">, af 785 patienter, som blev behandlet med 8 mg </w:t>
      </w:r>
      <w:proofErr w:type="spellStart"/>
      <w:r>
        <w:rPr>
          <w:sz w:val="24"/>
          <w:szCs w:val="24"/>
        </w:rPr>
        <w:t>fesoterodin</w:t>
      </w:r>
      <w:proofErr w:type="spellEnd"/>
      <w:r>
        <w:rPr>
          <w:sz w:val="24"/>
          <w:szCs w:val="24"/>
        </w:rPr>
        <w:t xml:space="preserve">, af 222 patienter, som blev behandlet med 12 mg </w:t>
      </w:r>
      <w:proofErr w:type="spellStart"/>
      <w:r>
        <w:rPr>
          <w:sz w:val="24"/>
          <w:szCs w:val="24"/>
        </w:rPr>
        <w:t>fesoterodin</w:t>
      </w:r>
      <w:proofErr w:type="spellEnd"/>
      <w:r>
        <w:rPr>
          <w:sz w:val="24"/>
          <w:szCs w:val="24"/>
        </w:rPr>
        <w:t xml:space="preserve">, og af 780 personer, som fik placebo. Hos de patienter, som blev behandlet med </w:t>
      </w:r>
      <w:proofErr w:type="spellStart"/>
      <w:r>
        <w:rPr>
          <w:sz w:val="24"/>
          <w:szCs w:val="24"/>
        </w:rPr>
        <w:t>fesoterodin</w:t>
      </w:r>
      <w:proofErr w:type="spellEnd"/>
      <w:r>
        <w:rPr>
          <w:sz w:val="24"/>
          <w:szCs w:val="24"/>
        </w:rPr>
        <w:t xml:space="preserve">, adskilte QT-intervallet korrigeret for hjertefrekvens sig ikke fra det, der blev målt hos patienterne, som fik placebo. </w:t>
      </w:r>
      <w:proofErr w:type="spellStart"/>
      <w:r>
        <w:rPr>
          <w:sz w:val="24"/>
          <w:szCs w:val="24"/>
        </w:rPr>
        <w:t>Incidensen</w:t>
      </w:r>
      <w:proofErr w:type="spellEnd"/>
      <w:r>
        <w:rPr>
          <w:sz w:val="24"/>
          <w:szCs w:val="24"/>
        </w:rPr>
        <w:t xml:space="preserve"> af </w:t>
      </w:r>
      <w:proofErr w:type="spellStart"/>
      <w:r>
        <w:rPr>
          <w:sz w:val="24"/>
          <w:szCs w:val="24"/>
        </w:rPr>
        <w:t>QTc</w:t>
      </w:r>
      <w:proofErr w:type="spellEnd"/>
      <w:r>
        <w:rPr>
          <w:sz w:val="24"/>
          <w:szCs w:val="24"/>
        </w:rPr>
        <w:t xml:space="preserve"> ≥500 ms post baseline eller af </w:t>
      </w:r>
      <w:proofErr w:type="spellStart"/>
      <w:r>
        <w:rPr>
          <w:sz w:val="24"/>
          <w:szCs w:val="24"/>
        </w:rPr>
        <w:t>QTc</w:t>
      </w:r>
      <w:proofErr w:type="spellEnd"/>
      <w:r>
        <w:rPr>
          <w:sz w:val="24"/>
          <w:szCs w:val="24"/>
        </w:rPr>
        <w:t xml:space="preserve">-stigning på ≥60 ms er henholdsvis 1,9 %, 1,3 %, 1,4 % og 1,5 %, for </w:t>
      </w:r>
      <w:proofErr w:type="spellStart"/>
      <w:r>
        <w:rPr>
          <w:sz w:val="24"/>
          <w:szCs w:val="24"/>
        </w:rPr>
        <w:t>fesoterodin</w:t>
      </w:r>
      <w:proofErr w:type="spellEnd"/>
      <w:r>
        <w:rPr>
          <w:sz w:val="24"/>
          <w:szCs w:val="24"/>
        </w:rPr>
        <w:t xml:space="preserve"> 4 mg, 8 mg, 12 mg og placebo. Den kliniske relevans af disse resultater afhænger af den enkelte patients risikofaktorer og følsomhed (se pkt. 4.4).</w:t>
      </w:r>
    </w:p>
    <w:p w:rsidR="00327707" w:rsidRDefault="00327707" w:rsidP="00327707">
      <w:pPr>
        <w:ind w:left="851"/>
        <w:rPr>
          <w:sz w:val="24"/>
          <w:szCs w:val="24"/>
        </w:rPr>
      </w:pPr>
    </w:p>
    <w:p w:rsidR="00327707" w:rsidRDefault="00327707" w:rsidP="00327707">
      <w:pPr>
        <w:ind w:left="851"/>
        <w:rPr>
          <w:sz w:val="24"/>
          <w:szCs w:val="24"/>
        </w:rPr>
      </w:pPr>
      <w:r>
        <w:rPr>
          <w:sz w:val="24"/>
          <w:szCs w:val="24"/>
        </w:rPr>
        <w:t xml:space="preserve">Efter markedsføring er der set tilfælde af urinretention, hvor kateterindføring har været nødvendig, normalt inden for den første uge af behandlingen med </w:t>
      </w:r>
      <w:proofErr w:type="spellStart"/>
      <w:r>
        <w:rPr>
          <w:sz w:val="24"/>
          <w:szCs w:val="24"/>
        </w:rPr>
        <w:t>fesoterodin</w:t>
      </w:r>
      <w:proofErr w:type="spellEnd"/>
      <w:r>
        <w:rPr>
          <w:sz w:val="24"/>
          <w:szCs w:val="24"/>
        </w:rPr>
        <w:t xml:space="preserve">. Det har hovedsageligt været tale om ældre mandlige patienter (&gt;65 år), som tidligere har haft </w:t>
      </w:r>
      <w:proofErr w:type="spellStart"/>
      <w:r>
        <w:rPr>
          <w:sz w:val="24"/>
          <w:szCs w:val="24"/>
        </w:rPr>
        <w:t>prostatahyperplasi</w:t>
      </w:r>
      <w:proofErr w:type="spellEnd"/>
      <w:r>
        <w:rPr>
          <w:sz w:val="24"/>
          <w:szCs w:val="24"/>
        </w:rPr>
        <w:t xml:space="preserve"> (se pkt. 4.4).</w:t>
      </w:r>
    </w:p>
    <w:p w:rsidR="00327707" w:rsidRDefault="00327707" w:rsidP="00327707">
      <w:pPr>
        <w:ind w:left="851"/>
        <w:rPr>
          <w:sz w:val="24"/>
          <w:szCs w:val="24"/>
        </w:rPr>
      </w:pPr>
    </w:p>
    <w:p w:rsidR="00327707" w:rsidRDefault="00327707" w:rsidP="00327707">
      <w:pPr>
        <w:ind w:left="851"/>
        <w:rPr>
          <w:sz w:val="24"/>
          <w:szCs w:val="24"/>
          <w:u w:val="single"/>
        </w:rPr>
      </w:pPr>
      <w:r>
        <w:rPr>
          <w:sz w:val="24"/>
          <w:szCs w:val="24"/>
          <w:u w:val="single"/>
        </w:rPr>
        <w:t>Indberetning af formodede bivirkninger</w:t>
      </w:r>
    </w:p>
    <w:p w:rsidR="00327707" w:rsidRDefault="00327707" w:rsidP="00327707">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327707" w:rsidRDefault="00327707" w:rsidP="00327707">
      <w:pPr>
        <w:ind w:left="851"/>
        <w:rPr>
          <w:sz w:val="24"/>
          <w:szCs w:val="24"/>
        </w:rPr>
      </w:pPr>
    </w:p>
    <w:p w:rsidR="00327707" w:rsidRDefault="00327707" w:rsidP="00327707">
      <w:pPr>
        <w:ind w:left="851"/>
        <w:rPr>
          <w:sz w:val="24"/>
          <w:szCs w:val="24"/>
        </w:rPr>
      </w:pPr>
      <w:r>
        <w:rPr>
          <w:sz w:val="24"/>
          <w:szCs w:val="24"/>
        </w:rPr>
        <w:t>Lægemiddelstyrelsen</w:t>
      </w:r>
    </w:p>
    <w:p w:rsidR="00327707" w:rsidRDefault="00327707" w:rsidP="00327707">
      <w:pPr>
        <w:ind w:left="851"/>
        <w:rPr>
          <w:sz w:val="24"/>
          <w:szCs w:val="24"/>
        </w:rPr>
      </w:pPr>
      <w:r>
        <w:rPr>
          <w:sz w:val="24"/>
          <w:szCs w:val="24"/>
        </w:rPr>
        <w:t>Axel Heides Gade 1</w:t>
      </w:r>
    </w:p>
    <w:p w:rsidR="00327707" w:rsidRDefault="00327707" w:rsidP="00327707">
      <w:pPr>
        <w:ind w:left="851"/>
        <w:rPr>
          <w:sz w:val="24"/>
          <w:szCs w:val="24"/>
        </w:rPr>
      </w:pPr>
      <w:r>
        <w:rPr>
          <w:sz w:val="24"/>
          <w:szCs w:val="24"/>
        </w:rPr>
        <w:t>DK-2300 København S</w:t>
      </w:r>
    </w:p>
    <w:p w:rsidR="00327707" w:rsidRDefault="00327707" w:rsidP="00327707">
      <w:pPr>
        <w:ind w:left="851"/>
        <w:rPr>
          <w:sz w:val="24"/>
          <w:szCs w:val="24"/>
        </w:rPr>
      </w:pPr>
      <w:r>
        <w:rPr>
          <w:sz w:val="24"/>
          <w:szCs w:val="24"/>
        </w:rPr>
        <w:t xml:space="preserve">Websted: </w:t>
      </w:r>
      <w:r w:rsidRPr="00327707">
        <w:rPr>
          <w:sz w:val="24"/>
          <w:szCs w:val="24"/>
        </w:rPr>
        <w:t>www.meldenbivirkning.dk</w:t>
      </w:r>
    </w:p>
    <w:p w:rsidR="009260DE" w:rsidRPr="00A10294" w:rsidRDefault="009260DE" w:rsidP="00A1029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240AC5" w:rsidRPr="00240AC5" w:rsidRDefault="00240AC5" w:rsidP="00240AC5">
      <w:pPr>
        <w:tabs>
          <w:tab w:val="left" w:pos="851"/>
        </w:tabs>
        <w:ind w:left="851"/>
        <w:rPr>
          <w:sz w:val="24"/>
          <w:szCs w:val="24"/>
        </w:rPr>
      </w:pPr>
      <w:r w:rsidRPr="00240AC5">
        <w:rPr>
          <w:sz w:val="24"/>
          <w:szCs w:val="24"/>
        </w:rPr>
        <w:t xml:space="preserve">Overdosering med </w:t>
      </w:r>
      <w:proofErr w:type="spellStart"/>
      <w:r w:rsidRPr="00240AC5">
        <w:rPr>
          <w:sz w:val="24"/>
          <w:szCs w:val="24"/>
        </w:rPr>
        <w:t>antimuskarine</w:t>
      </w:r>
      <w:proofErr w:type="spellEnd"/>
      <w:r w:rsidRPr="00240AC5">
        <w:rPr>
          <w:sz w:val="24"/>
          <w:szCs w:val="24"/>
        </w:rPr>
        <w:t xml:space="preserve"> stoffer, herunder </w:t>
      </w:r>
      <w:proofErr w:type="spellStart"/>
      <w:r w:rsidRPr="00240AC5">
        <w:rPr>
          <w:sz w:val="24"/>
          <w:szCs w:val="24"/>
        </w:rPr>
        <w:t>fesoterodin</w:t>
      </w:r>
      <w:proofErr w:type="spellEnd"/>
      <w:r w:rsidRPr="00240AC5">
        <w:rPr>
          <w:sz w:val="24"/>
          <w:szCs w:val="24"/>
        </w:rPr>
        <w:t xml:space="preserve">, kan resultere i svære </w:t>
      </w:r>
      <w:proofErr w:type="spellStart"/>
      <w:r w:rsidRPr="00240AC5">
        <w:rPr>
          <w:sz w:val="24"/>
          <w:szCs w:val="24"/>
        </w:rPr>
        <w:t>antikolinerge</w:t>
      </w:r>
      <w:proofErr w:type="spellEnd"/>
      <w:r w:rsidRPr="00240AC5">
        <w:rPr>
          <w:sz w:val="24"/>
          <w:szCs w:val="24"/>
        </w:rPr>
        <w:t xml:space="preserve"> virkninger. Behandlingen bør være symptomatisk og understøttende. I tilfælde af overdosering anbefales EKG-monitorering, og der bør træffes standardmæssige understøttende foranstaltninger til håndtering af QT-forlængelse. </w:t>
      </w:r>
      <w:proofErr w:type="spellStart"/>
      <w:r w:rsidRPr="00240AC5">
        <w:rPr>
          <w:sz w:val="24"/>
          <w:szCs w:val="24"/>
        </w:rPr>
        <w:t>Fesoterodin</w:t>
      </w:r>
      <w:proofErr w:type="spellEnd"/>
      <w:r w:rsidRPr="00240AC5">
        <w:rPr>
          <w:sz w:val="24"/>
          <w:szCs w:val="24"/>
        </w:rPr>
        <w:t xml:space="preserve"> er i kliniske undersøgelser administreret sikkert ved doser på op til 28 mg/dag.</w:t>
      </w:r>
    </w:p>
    <w:p w:rsidR="00240AC5" w:rsidRPr="00240AC5" w:rsidRDefault="00240AC5" w:rsidP="00240AC5">
      <w:pPr>
        <w:tabs>
          <w:tab w:val="left" w:pos="851"/>
        </w:tabs>
        <w:ind w:left="851"/>
        <w:rPr>
          <w:sz w:val="24"/>
          <w:szCs w:val="24"/>
        </w:rPr>
      </w:pPr>
    </w:p>
    <w:p w:rsidR="00240AC5" w:rsidRPr="00240AC5" w:rsidRDefault="00240AC5" w:rsidP="00240AC5">
      <w:pPr>
        <w:tabs>
          <w:tab w:val="left" w:pos="851"/>
        </w:tabs>
        <w:ind w:left="851"/>
        <w:rPr>
          <w:sz w:val="24"/>
          <w:szCs w:val="24"/>
        </w:rPr>
      </w:pPr>
      <w:r w:rsidRPr="00240AC5">
        <w:rPr>
          <w:sz w:val="24"/>
          <w:szCs w:val="24"/>
        </w:rPr>
        <w:t xml:space="preserve">I tilfælde af overdosering af </w:t>
      </w:r>
      <w:proofErr w:type="spellStart"/>
      <w:r w:rsidRPr="00240AC5">
        <w:rPr>
          <w:sz w:val="24"/>
          <w:szCs w:val="24"/>
        </w:rPr>
        <w:t>fesoterodin</w:t>
      </w:r>
      <w:proofErr w:type="spellEnd"/>
      <w:r w:rsidRPr="00240AC5">
        <w:rPr>
          <w:sz w:val="24"/>
          <w:szCs w:val="24"/>
        </w:rPr>
        <w:t xml:space="preserve"> bør patienter behandles med udskylning af mavesækken og aktivt kul. Symptomer behandles som følger:</w:t>
      </w:r>
    </w:p>
    <w:p w:rsidR="00240AC5" w:rsidRPr="00240AC5" w:rsidRDefault="00240AC5" w:rsidP="00240AC5">
      <w:pPr>
        <w:numPr>
          <w:ilvl w:val="0"/>
          <w:numId w:val="10"/>
        </w:numPr>
        <w:tabs>
          <w:tab w:val="left" w:pos="851"/>
        </w:tabs>
        <w:ind w:left="1134" w:hanging="283"/>
        <w:rPr>
          <w:sz w:val="24"/>
          <w:szCs w:val="24"/>
        </w:rPr>
      </w:pPr>
      <w:r w:rsidRPr="00240AC5">
        <w:rPr>
          <w:sz w:val="24"/>
          <w:szCs w:val="24"/>
        </w:rPr>
        <w:t xml:space="preserve">svære </w:t>
      </w:r>
      <w:proofErr w:type="spellStart"/>
      <w:r w:rsidRPr="00240AC5">
        <w:rPr>
          <w:sz w:val="24"/>
          <w:szCs w:val="24"/>
        </w:rPr>
        <w:t>antikolinerge</w:t>
      </w:r>
      <w:proofErr w:type="spellEnd"/>
      <w:r w:rsidRPr="00240AC5">
        <w:rPr>
          <w:sz w:val="24"/>
          <w:szCs w:val="24"/>
        </w:rPr>
        <w:t xml:space="preserve"> virkninger (f.eks. hallucinationer, svær ekscitation) med </w:t>
      </w:r>
      <w:proofErr w:type="spellStart"/>
      <w:r w:rsidRPr="00240AC5">
        <w:rPr>
          <w:sz w:val="24"/>
          <w:szCs w:val="24"/>
        </w:rPr>
        <w:t>fysostigmin</w:t>
      </w:r>
      <w:proofErr w:type="spellEnd"/>
    </w:p>
    <w:p w:rsidR="00240AC5" w:rsidRPr="00240AC5" w:rsidRDefault="00240AC5" w:rsidP="00240AC5">
      <w:pPr>
        <w:numPr>
          <w:ilvl w:val="0"/>
          <w:numId w:val="10"/>
        </w:numPr>
        <w:tabs>
          <w:tab w:val="left" w:pos="851"/>
        </w:tabs>
        <w:ind w:left="1134" w:hanging="283"/>
        <w:rPr>
          <w:sz w:val="24"/>
          <w:szCs w:val="24"/>
        </w:rPr>
      </w:pPr>
      <w:r w:rsidRPr="00240AC5">
        <w:rPr>
          <w:sz w:val="24"/>
          <w:szCs w:val="24"/>
        </w:rPr>
        <w:t>kramper og udtalt ekscitation med benzodiazepiner</w:t>
      </w:r>
    </w:p>
    <w:p w:rsidR="00240AC5" w:rsidRPr="00240AC5" w:rsidRDefault="00240AC5" w:rsidP="00240AC5">
      <w:pPr>
        <w:numPr>
          <w:ilvl w:val="0"/>
          <w:numId w:val="10"/>
        </w:numPr>
        <w:tabs>
          <w:tab w:val="left" w:pos="851"/>
        </w:tabs>
        <w:ind w:left="1134" w:hanging="283"/>
        <w:rPr>
          <w:sz w:val="24"/>
          <w:szCs w:val="24"/>
          <w:lang w:val="en-US"/>
        </w:rPr>
      </w:pPr>
      <w:proofErr w:type="spellStart"/>
      <w:r w:rsidRPr="00240AC5">
        <w:rPr>
          <w:sz w:val="24"/>
          <w:szCs w:val="24"/>
          <w:lang w:val="en-US"/>
        </w:rPr>
        <w:t>nedsat</w:t>
      </w:r>
      <w:proofErr w:type="spellEnd"/>
      <w:r w:rsidRPr="00240AC5">
        <w:rPr>
          <w:sz w:val="24"/>
          <w:szCs w:val="24"/>
          <w:lang w:val="en-US"/>
        </w:rPr>
        <w:t xml:space="preserve"> </w:t>
      </w:r>
      <w:proofErr w:type="spellStart"/>
      <w:r w:rsidRPr="00240AC5">
        <w:rPr>
          <w:sz w:val="24"/>
          <w:szCs w:val="24"/>
          <w:lang w:val="en-US"/>
        </w:rPr>
        <w:t>åndedrætsfunktion</w:t>
      </w:r>
      <w:proofErr w:type="spellEnd"/>
      <w:r w:rsidRPr="00240AC5">
        <w:rPr>
          <w:sz w:val="24"/>
          <w:szCs w:val="24"/>
          <w:lang w:val="en-US"/>
        </w:rPr>
        <w:t xml:space="preserve"> med </w:t>
      </w:r>
      <w:proofErr w:type="spellStart"/>
      <w:r w:rsidRPr="00240AC5">
        <w:rPr>
          <w:sz w:val="24"/>
          <w:szCs w:val="24"/>
          <w:lang w:val="en-US"/>
        </w:rPr>
        <w:t>kunstig</w:t>
      </w:r>
      <w:proofErr w:type="spellEnd"/>
      <w:r w:rsidRPr="00240AC5">
        <w:rPr>
          <w:sz w:val="24"/>
          <w:szCs w:val="24"/>
          <w:lang w:val="en-US"/>
        </w:rPr>
        <w:t xml:space="preserve"> respiration</w:t>
      </w:r>
    </w:p>
    <w:p w:rsidR="00240AC5" w:rsidRPr="00240AC5" w:rsidRDefault="00240AC5" w:rsidP="00240AC5">
      <w:pPr>
        <w:numPr>
          <w:ilvl w:val="0"/>
          <w:numId w:val="10"/>
        </w:numPr>
        <w:tabs>
          <w:tab w:val="left" w:pos="851"/>
        </w:tabs>
        <w:ind w:left="1134" w:hanging="283"/>
        <w:rPr>
          <w:sz w:val="24"/>
          <w:szCs w:val="24"/>
          <w:lang w:val="en-US"/>
        </w:rPr>
      </w:pPr>
      <w:proofErr w:type="spellStart"/>
      <w:r w:rsidRPr="00240AC5">
        <w:rPr>
          <w:sz w:val="24"/>
          <w:szCs w:val="24"/>
          <w:lang w:val="en-US"/>
        </w:rPr>
        <w:t>takykardi</w:t>
      </w:r>
      <w:proofErr w:type="spellEnd"/>
      <w:r w:rsidRPr="00240AC5">
        <w:rPr>
          <w:sz w:val="24"/>
          <w:szCs w:val="24"/>
          <w:lang w:val="en-US"/>
        </w:rPr>
        <w:t xml:space="preserve"> med </w:t>
      </w:r>
      <w:proofErr w:type="spellStart"/>
      <w:r w:rsidRPr="00240AC5">
        <w:rPr>
          <w:sz w:val="24"/>
          <w:szCs w:val="24"/>
          <w:lang w:val="en-US"/>
        </w:rPr>
        <w:t>betablokkere</w:t>
      </w:r>
      <w:proofErr w:type="spellEnd"/>
    </w:p>
    <w:p w:rsidR="00240AC5" w:rsidRPr="00240AC5" w:rsidRDefault="00240AC5" w:rsidP="00240AC5">
      <w:pPr>
        <w:numPr>
          <w:ilvl w:val="0"/>
          <w:numId w:val="10"/>
        </w:numPr>
        <w:tabs>
          <w:tab w:val="left" w:pos="851"/>
        </w:tabs>
        <w:ind w:left="1134" w:hanging="283"/>
        <w:rPr>
          <w:sz w:val="24"/>
          <w:szCs w:val="24"/>
          <w:lang w:val="en-US"/>
        </w:rPr>
      </w:pPr>
      <w:proofErr w:type="spellStart"/>
      <w:r w:rsidRPr="00240AC5">
        <w:rPr>
          <w:sz w:val="24"/>
          <w:szCs w:val="24"/>
          <w:lang w:val="en-US"/>
        </w:rPr>
        <w:t>urinretention</w:t>
      </w:r>
      <w:proofErr w:type="spellEnd"/>
      <w:r w:rsidRPr="00240AC5">
        <w:rPr>
          <w:sz w:val="24"/>
          <w:szCs w:val="24"/>
          <w:lang w:val="en-US"/>
        </w:rPr>
        <w:t xml:space="preserve"> med </w:t>
      </w:r>
      <w:proofErr w:type="spellStart"/>
      <w:r w:rsidRPr="00240AC5">
        <w:rPr>
          <w:sz w:val="24"/>
          <w:szCs w:val="24"/>
          <w:lang w:val="en-US"/>
        </w:rPr>
        <w:t>anlæggelse</w:t>
      </w:r>
      <w:proofErr w:type="spellEnd"/>
      <w:r w:rsidRPr="00240AC5">
        <w:rPr>
          <w:sz w:val="24"/>
          <w:szCs w:val="24"/>
          <w:lang w:val="en-US"/>
        </w:rPr>
        <w:t xml:space="preserve"> </w:t>
      </w:r>
      <w:proofErr w:type="spellStart"/>
      <w:r w:rsidRPr="00240AC5">
        <w:rPr>
          <w:sz w:val="24"/>
          <w:szCs w:val="24"/>
          <w:lang w:val="en-US"/>
        </w:rPr>
        <w:t>af</w:t>
      </w:r>
      <w:proofErr w:type="spellEnd"/>
      <w:r w:rsidRPr="00240AC5">
        <w:rPr>
          <w:sz w:val="24"/>
          <w:szCs w:val="24"/>
          <w:lang w:val="en-US"/>
        </w:rPr>
        <w:t xml:space="preserve"> </w:t>
      </w:r>
      <w:proofErr w:type="spellStart"/>
      <w:r w:rsidRPr="00240AC5">
        <w:rPr>
          <w:sz w:val="24"/>
          <w:szCs w:val="24"/>
          <w:lang w:val="en-US"/>
        </w:rPr>
        <w:t>kateter</w:t>
      </w:r>
      <w:proofErr w:type="spellEnd"/>
    </w:p>
    <w:p w:rsidR="00240AC5" w:rsidRPr="00240AC5" w:rsidRDefault="00240AC5" w:rsidP="00240AC5">
      <w:pPr>
        <w:numPr>
          <w:ilvl w:val="0"/>
          <w:numId w:val="10"/>
        </w:numPr>
        <w:tabs>
          <w:tab w:val="left" w:pos="851"/>
        </w:tabs>
        <w:ind w:left="1134" w:hanging="283"/>
        <w:rPr>
          <w:sz w:val="24"/>
          <w:szCs w:val="24"/>
        </w:rPr>
      </w:pPr>
      <w:proofErr w:type="spellStart"/>
      <w:r w:rsidRPr="00240AC5">
        <w:rPr>
          <w:sz w:val="24"/>
          <w:szCs w:val="24"/>
        </w:rPr>
        <w:t>mydriasis</w:t>
      </w:r>
      <w:proofErr w:type="spellEnd"/>
      <w:r w:rsidRPr="00240AC5">
        <w:rPr>
          <w:sz w:val="24"/>
          <w:szCs w:val="24"/>
        </w:rPr>
        <w:t xml:space="preserve"> med </w:t>
      </w:r>
      <w:proofErr w:type="spellStart"/>
      <w:r w:rsidRPr="00240AC5">
        <w:rPr>
          <w:sz w:val="24"/>
          <w:szCs w:val="24"/>
        </w:rPr>
        <w:t>pilocarpin</w:t>
      </w:r>
      <w:proofErr w:type="spellEnd"/>
      <w:r w:rsidRPr="00240AC5">
        <w:rPr>
          <w:sz w:val="24"/>
          <w:szCs w:val="24"/>
        </w:rPr>
        <w:t>-øjendråber og/eller patienten placeres i et mørkt rum.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360EFC"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ED0C72" w:rsidRPr="00D913E4" w:rsidRDefault="00ED0C72" w:rsidP="00ED0C72">
      <w:pPr>
        <w:tabs>
          <w:tab w:val="left" w:pos="851"/>
        </w:tabs>
        <w:ind w:left="851" w:hanging="851"/>
        <w:rPr>
          <w:sz w:val="24"/>
          <w:szCs w:val="24"/>
        </w:rPr>
      </w:pPr>
      <w:r w:rsidRPr="00ED0C72">
        <w:rPr>
          <w:sz w:val="24"/>
          <w:szCs w:val="24"/>
        </w:rPr>
        <w:tab/>
      </w:r>
      <w:proofErr w:type="spellStart"/>
      <w:r w:rsidRPr="00ED0C72">
        <w:rPr>
          <w:sz w:val="24"/>
          <w:szCs w:val="24"/>
        </w:rPr>
        <w:t>Farmakoterapeutisk</w:t>
      </w:r>
      <w:proofErr w:type="spellEnd"/>
      <w:r w:rsidRPr="00ED0C72">
        <w:rPr>
          <w:sz w:val="24"/>
          <w:szCs w:val="24"/>
        </w:rPr>
        <w:t xml:space="preserve"> klassifikation</w:t>
      </w:r>
      <w:r>
        <w:rPr>
          <w:sz w:val="24"/>
          <w:szCs w:val="24"/>
        </w:rPr>
        <w:t xml:space="preserve">: </w:t>
      </w:r>
      <w:r w:rsidRPr="00D913E4">
        <w:rPr>
          <w:sz w:val="24"/>
          <w:szCs w:val="24"/>
        </w:rPr>
        <w:t xml:space="preserve">Urologisk </w:t>
      </w:r>
      <w:proofErr w:type="spellStart"/>
      <w:r w:rsidRPr="00D913E4">
        <w:rPr>
          <w:sz w:val="24"/>
          <w:szCs w:val="24"/>
        </w:rPr>
        <w:t>spasmolytikum</w:t>
      </w:r>
      <w:proofErr w:type="spellEnd"/>
      <w:r w:rsidRPr="00D913E4">
        <w:rPr>
          <w:sz w:val="24"/>
          <w:szCs w:val="24"/>
        </w:rPr>
        <w:t>.</w:t>
      </w:r>
      <w:r>
        <w:rPr>
          <w:sz w:val="24"/>
          <w:szCs w:val="24"/>
        </w:rPr>
        <w:t xml:space="preserve"> </w:t>
      </w:r>
      <w:r w:rsidRPr="00D913E4">
        <w:rPr>
          <w:sz w:val="24"/>
          <w:szCs w:val="24"/>
        </w:rPr>
        <w:t>ATC-kode: G</w:t>
      </w:r>
      <w:r>
        <w:rPr>
          <w:sz w:val="24"/>
          <w:szCs w:val="24"/>
        </w:rPr>
        <w:t xml:space="preserve"> </w:t>
      </w:r>
      <w:r w:rsidRPr="00D913E4">
        <w:rPr>
          <w:sz w:val="24"/>
          <w:szCs w:val="24"/>
        </w:rPr>
        <w:t>04</w:t>
      </w:r>
      <w:r>
        <w:rPr>
          <w:sz w:val="24"/>
          <w:szCs w:val="24"/>
        </w:rPr>
        <w:t xml:space="preserve"> </w:t>
      </w:r>
      <w:r w:rsidRPr="00D913E4">
        <w:rPr>
          <w:sz w:val="24"/>
          <w:szCs w:val="24"/>
        </w:rPr>
        <w:t>BD</w:t>
      </w:r>
      <w:r>
        <w:rPr>
          <w:sz w:val="24"/>
          <w:szCs w:val="24"/>
        </w:rPr>
        <w:t xml:space="preserve"> 1</w:t>
      </w:r>
      <w:r w:rsidRPr="00D913E4">
        <w:rPr>
          <w:sz w:val="24"/>
          <w:szCs w:val="24"/>
        </w:rPr>
        <w:t>1.</w:t>
      </w:r>
    </w:p>
    <w:p w:rsidR="00ED0C72" w:rsidRDefault="00ED0C72" w:rsidP="00260E76">
      <w:pPr>
        <w:ind w:left="851"/>
        <w:rPr>
          <w:sz w:val="24"/>
          <w:szCs w:val="24"/>
        </w:rPr>
      </w:pPr>
    </w:p>
    <w:p w:rsidR="00260E76" w:rsidRDefault="00260E76" w:rsidP="00260E76">
      <w:pPr>
        <w:ind w:left="851"/>
        <w:rPr>
          <w:sz w:val="24"/>
          <w:szCs w:val="24"/>
          <w:u w:val="single"/>
        </w:rPr>
      </w:pPr>
      <w:r>
        <w:rPr>
          <w:sz w:val="24"/>
          <w:szCs w:val="24"/>
          <w:u w:val="single"/>
        </w:rPr>
        <w:t>Virkningsmekanisme</w:t>
      </w:r>
    </w:p>
    <w:p w:rsidR="00260E76" w:rsidRDefault="00260E76" w:rsidP="00260E76">
      <w:pPr>
        <w:ind w:left="851"/>
        <w:rPr>
          <w:sz w:val="24"/>
          <w:szCs w:val="24"/>
        </w:rPr>
      </w:pPr>
      <w:proofErr w:type="spellStart"/>
      <w:r>
        <w:rPr>
          <w:sz w:val="24"/>
          <w:szCs w:val="24"/>
        </w:rPr>
        <w:t>Fesoterodin</w:t>
      </w:r>
      <w:proofErr w:type="spellEnd"/>
      <w:r>
        <w:rPr>
          <w:sz w:val="24"/>
          <w:szCs w:val="24"/>
        </w:rPr>
        <w:t xml:space="preserve"> er en </w:t>
      </w:r>
      <w:proofErr w:type="spellStart"/>
      <w:r>
        <w:rPr>
          <w:sz w:val="24"/>
          <w:szCs w:val="24"/>
        </w:rPr>
        <w:t>kompetitiv</w:t>
      </w:r>
      <w:proofErr w:type="spellEnd"/>
      <w:r>
        <w:rPr>
          <w:sz w:val="24"/>
          <w:szCs w:val="24"/>
        </w:rPr>
        <w:t xml:space="preserve">, specifik </w:t>
      </w:r>
      <w:proofErr w:type="spellStart"/>
      <w:r>
        <w:rPr>
          <w:sz w:val="24"/>
          <w:szCs w:val="24"/>
        </w:rPr>
        <w:t>muskarin</w:t>
      </w:r>
      <w:proofErr w:type="spellEnd"/>
      <w:r>
        <w:rPr>
          <w:sz w:val="24"/>
          <w:szCs w:val="24"/>
        </w:rPr>
        <w:t xml:space="preserve">-receptorantagonist. Den hydrolyseres hurtigt og omfattende via ikke-specifikke </w:t>
      </w:r>
      <w:proofErr w:type="spellStart"/>
      <w:r>
        <w:rPr>
          <w:sz w:val="24"/>
          <w:szCs w:val="24"/>
        </w:rPr>
        <w:t>plasmaesteraser</w:t>
      </w:r>
      <w:proofErr w:type="spellEnd"/>
      <w:r>
        <w:rPr>
          <w:sz w:val="24"/>
          <w:szCs w:val="24"/>
        </w:rPr>
        <w:t xml:space="preserve"> til et 5-hydroxymethylderivat, den primære aktive metabolit, som er </w:t>
      </w:r>
      <w:proofErr w:type="spellStart"/>
      <w:r>
        <w:rPr>
          <w:sz w:val="24"/>
          <w:szCs w:val="24"/>
        </w:rPr>
        <w:t>fesoterodins</w:t>
      </w:r>
      <w:proofErr w:type="spellEnd"/>
      <w:r>
        <w:rPr>
          <w:sz w:val="24"/>
          <w:szCs w:val="24"/>
        </w:rPr>
        <w:t xml:space="preserve"> primære, aktive farmakologiske princip.</w:t>
      </w:r>
    </w:p>
    <w:p w:rsidR="00260E76" w:rsidRDefault="00260E76" w:rsidP="00260E76">
      <w:pPr>
        <w:ind w:left="851"/>
        <w:rPr>
          <w:sz w:val="24"/>
          <w:szCs w:val="24"/>
        </w:rPr>
      </w:pPr>
    </w:p>
    <w:p w:rsidR="00260E76" w:rsidRDefault="00260E76" w:rsidP="00260E76">
      <w:pPr>
        <w:ind w:left="851"/>
        <w:rPr>
          <w:sz w:val="24"/>
          <w:szCs w:val="24"/>
          <w:u w:val="single"/>
        </w:rPr>
      </w:pPr>
      <w:r>
        <w:rPr>
          <w:sz w:val="24"/>
          <w:szCs w:val="24"/>
          <w:u w:val="single"/>
        </w:rPr>
        <w:t>Klinisk vurdering og sikkerhed</w:t>
      </w:r>
    </w:p>
    <w:p w:rsidR="00260E76" w:rsidRDefault="00260E76" w:rsidP="00260E76">
      <w:pPr>
        <w:ind w:left="851"/>
        <w:rPr>
          <w:sz w:val="24"/>
          <w:szCs w:val="24"/>
        </w:rPr>
      </w:pPr>
      <w:r>
        <w:rPr>
          <w:sz w:val="24"/>
          <w:szCs w:val="24"/>
        </w:rPr>
        <w:t xml:space="preserve">Virkningen af fast doseret </w:t>
      </w:r>
      <w:proofErr w:type="spellStart"/>
      <w:r>
        <w:rPr>
          <w:sz w:val="24"/>
          <w:szCs w:val="24"/>
        </w:rPr>
        <w:t>fesoterodin</w:t>
      </w:r>
      <w:proofErr w:type="spellEnd"/>
      <w:r>
        <w:rPr>
          <w:sz w:val="24"/>
          <w:szCs w:val="24"/>
        </w:rPr>
        <w:t xml:space="preserve"> 4 mg og 8 mg blev evalueret i to randomiserede, dobbeltblinde, placebokontrollerede fase 3-undersøgelser af 12-ugers varighed. Undersøgelserne omfattede kvindelige (79 %) og mandlige (21 %) patienter med en gennemsnitsalder på 58 år (mellem 19-91 år). I alt 33 % af patienterne var ≥65 år og 11% var ≥75 år.</w:t>
      </w:r>
    </w:p>
    <w:p w:rsidR="00260E76" w:rsidRDefault="00260E76" w:rsidP="00260E76">
      <w:pPr>
        <w:ind w:left="851"/>
        <w:rPr>
          <w:sz w:val="24"/>
          <w:szCs w:val="24"/>
        </w:rPr>
      </w:pPr>
    </w:p>
    <w:p w:rsidR="00260E76" w:rsidRDefault="00260E76" w:rsidP="00260E76">
      <w:pPr>
        <w:ind w:left="851"/>
        <w:rPr>
          <w:sz w:val="24"/>
          <w:szCs w:val="24"/>
        </w:rPr>
      </w:pPr>
      <w:r>
        <w:rPr>
          <w:sz w:val="24"/>
          <w:szCs w:val="24"/>
        </w:rPr>
        <w:t xml:space="preserve">De patienter, der blev behandlet med </w:t>
      </w:r>
      <w:proofErr w:type="spellStart"/>
      <w:r>
        <w:rPr>
          <w:sz w:val="24"/>
          <w:szCs w:val="24"/>
        </w:rPr>
        <w:t>fesoterodin</w:t>
      </w:r>
      <w:proofErr w:type="spellEnd"/>
      <w:r>
        <w:rPr>
          <w:sz w:val="24"/>
          <w:szCs w:val="24"/>
        </w:rPr>
        <w:t xml:space="preserve"> havde statistisk signifikant gennemsnitlig reduktion i antallet af vandladninger pr. 24 timer og i antallet af episoder med </w:t>
      </w:r>
      <w:proofErr w:type="spellStart"/>
      <w:r>
        <w:rPr>
          <w:sz w:val="24"/>
          <w:szCs w:val="24"/>
        </w:rPr>
        <w:t>urgeinkontinens</w:t>
      </w:r>
      <w:proofErr w:type="spellEnd"/>
      <w:r>
        <w:rPr>
          <w:sz w:val="24"/>
          <w:szCs w:val="24"/>
        </w:rPr>
        <w:t xml:space="preserve"> pr. 24 timer ved behandlingens afslutning sammenlignet med patienterne, der fik placebo. Ligeså var responsraten (procentvis andel af patienter, som rapporterede, at deres tilstand var "meget forbedret" eller "forbedret" ved hjælp af en 4-punkts skala til vurdering af behandlingen) signifikant større med </w:t>
      </w:r>
      <w:proofErr w:type="spellStart"/>
      <w:r>
        <w:rPr>
          <w:sz w:val="24"/>
          <w:szCs w:val="24"/>
        </w:rPr>
        <w:t>fesoterodin</w:t>
      </w:r>
      <w:proofErr w:type="spellEnd"/>
      <w:r>
        <w:rPr>
          <w:sz w:val="24"/>
          <w:szCs w:val="24"/>
        </w:rPr>
        <w:t xml:space="preserve"> sammenlignet med placebo. Desuden forbedrede </w:t>
      </w:r>
      <w:proofErr w:type="spellStart"/>
      <w:r>
        <w:rPr>
          <w:sz w:val="24"/>
          <w:szCs w:val="24"/>
        </w:rPr>
        <w:t>fesoterodin</w:t>
      </w:r>
      <w:proofErr w:type="spellEnd"/>
      <w:r>
        <w:rPr>
          <w:sz w:val="24"/>
          <w:szCs w:val="24"/>
        </w:rPr>
        <w:t xml:space="preserve"> den gennemsnitlige ændring i den udtømte mængde pr. vandladning, og den gennemsnitlige ændring i antallet af </w:t>
      </w:r>
      <w:proofErr w:type="spellStart"/>
      <w:r>
        <w:rPr>
          <w:sz w:val="24"/>
          <w:szCs w:val="24"/>
        </w:rPr>
        <w:t>kontinente</w:t>
      </w:r>
      <w:proofErr w:type="spellEnd"/>
      <w:r>
        <w:rPr>
          <w:sz w:val="24"/>
          <w:szCs w:val="24"/>
        </w:rPr>
        <w:t xml:space="preserve"> dage pr. uge (se tabel 1 nedenfor).</w:t>
      </w:r>
    </w:p>
    <w:p w:rsidR="00260E76" w:rsidRDefault="00260E76" w:rsidP="00260E76">
      <w:pPr>
        <w:ind w:left="851"/>
        <w:rPr>
          <w:sz w:val="24"/>
          <w:szCs w:val="24"/>
        </w:rPr>
      </w:pPr>
    </w:p>
    <w:p w:rsidR="002B132D" w:rsidRDefault="002B132D">
      <w:pPr>
        <w:rPr>
          <w:b/>
          <w:bCs/>
          <w:sz w:val="24"/>
          <w:szCs w:val="24"/>
        </w:rPr>
      </w:pPr>
      <w:r>
        <w:rPr>
          <w:b/>
          <w:bCs/>
          <w:sz w:val="24"/>
          <w:szCs w:val="24"/>
        </w:rPr>
        <w:br w:type="page"/>
      </w:r>
    </w:p>
    <w:p w:rsidR="00260E76" w:rsidRDefault="00260E76" w:rsidP="00260E76">
      <w:pPr>
        <w:ind w:left="851"/>
        <w:rPr>
          <w:b/>
          <w:sz w:val="24"/>
          <w:szCs w:val="24"/>
        </w:rPr>
      </w:pPr>
      <w:r>
        <w:rPr>
          <w:b/>
          <w:bCs/>
          <w:sz w:val="24"/>
          <w:szCs w:val="24"/>
        </w:rPr>
        <w:t>Tabel 1: Gennemsnitlig ændring fra baseline til behandlingsafslutning for primære og udvalgte sekundære endepunkter.</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04"/>
        <w:gridCol w:w="1163"/>
        <w:gridCol w:w="1163"/>
        <w:gridCol w:w="1161"/>
        <w:gridCol w:w="1084"/>
        <w:gridCol w:w="1221"/>
        <w:gridCol w:w="1163"/>
        <w:gridCol w:w="1169"/>
      </w:tblGrid>
      <w:tr w:rsidR="00260E76" w:rsidTr="00260E76">
        <w:trPr>
          <w:trHeight w:val="254"/>
        </w:trPr>
        <w:tc>
          <w:tcPr>
            <w:tcW w:w="781"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2374" w:type="pct"/>
            <w:gridSpan w:val="4"/>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Forsøg 1</w:t>
            </w:r>
          </w:p>
        </w:tc>
        <w:tc>
          <w:tcPr>
            <w:tcW w:w="1845" w:type="pct"/>
            <w:gridSpan w:val="3"/>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Forsøg 2</w:t>
            </w:r>
          </w:p>
        </w:tc>
      </w:tr>
      <w:tr w:rsidR="00260E76" w:rsidTr="00260E76">
        <w:trPr>
          <w:trHeight w:val="505"/>
        </w:trPr>
        <w:tc>
          <w:tcPr>
            <w:tcW w:w="781"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Parameter</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Placebo</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ind w:hanging="15"/>
              <w:rPr>
                <w:lang w:val="da-DK"/>
              </w:rPr>
            </w:pPr>
            <w:proofErr w:type="spellStart"/>
            <w:r>
              <w:rPr>
                <w:lang w:val="da-DK"/>
              </w:rPr>
              <w:t>Fesoterodin</w:t>
            </w:r>
            <w:proofErr w:type="spellEnd"/>
            <w:r>
              <w:rPr>
                <w:lang w:val="da-DK"/>
              </w:rPr>
              <w:t xml:space="preserve"> 4 mg</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proofErr w:type="spellStart"/>
            <w:r>
              <w:rPr>
                <w:lang w:val="da-DK"/>
              </w:rPr>
              <w:t>Fesoterodin</w:t>
            </w:r>
            <w:proofErr w:type="spellEnd"/>
            <w:r>
              <w:rPr>
                <w:lang w:val="da-DK"/>
              </w:rPr>
              <w:t xml:space="preserve"> 8 mg</w:t>
            </w:r>
          </w:p>
        </w:tc>
        <w:tc>
          <w:tcPr>
            <w:tcW w:w="56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 xml:space="preserve">Aktiv </w:t>
            </w:r>
            <w:proofErr w:type="spellStart"/>
            <w:r>
              <w:rPr>
                <w:lang w:val="da-DK"/>
              </w:rPr>
              <w:t>komparator</w:t>
            </w:r>
            <w:proofErr w:type="spellEnd"/>
          </w:p>
        </w:tc>
        <w:tc>
          <w:tcPr>
            <w:tcW w:w="63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Placebo</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proofErr w:type="spellStart"/>
            <w:r>
              <w:rPr>
                <w:lang w:val="da-DK"/>
              </w:rPr>
              <w:t>Fesoterodin</w:t>
            </w:r>
            <w:proofErr w:type="spellEnd"/>
            <w:r>
              <w:rPr>
                <w:lang w:val="da-DK"/>
              </w:rPr>
              <w:t xml:space="preserve"> 4 mg</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proofErr w:type="spellStart"/>
            <w:r>
              <w:rPr>
                <w:lang w:val="da-DK"/>
              </w:rPr>
              <w:t>Fesoterodin</w:t>
            </w:r>
            <w:proofErr w:type="spellEnd"/>
            <w:r>
              <w:rPr>
                <w:lang w:val="da-DK"/>
              </w:rPr>
              <w:t xml:space="preserve"> 8 mg</w:t>
            </w:r>
          </w:p>
        </w:tc>
      </w:tr>
      <w:tr w:rsidR="00260E76" w:rsidTr="00260E76">
        <w:trPr>
          <w:trHeight w:val="251"/>
        </w:trPr>
        <w:tc>
          <w:tcPr>
            <w:tcW w:w="5000" w:type="pct"/>
            <w:gridSpan w:val="8"/>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Antal vandladninger pr. 24 timer #</w:t>
            </w:r>
          </w:p>
        </w:tc>
      </w:tr>
      <w:tr w:rsidR="00260E76" w:rsidTr="00260E76">
        <w:trPr>
          <w:trHeight w:val="254"/>
        </w:trPr>
        <w:tc>
          <w:tcPr>
            <w:tcW w:w="781"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N=279</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N=265</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N=276</w:t>
            </w:r>
          </w:p>
        </w:tc>
        <w:tc>
          <w:tcPr>
            <w:tcW w:w="56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N=283</w:t>
            </w:r>
          </w:p>
        </w:tc>
        <w:tc>
          <w:tcPr>
            <w:tcW w:w="63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N=266</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N=267</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N=267</w:t>
            </w:r>
          </w:p>
        </w:tc>
      </w:tr>
      <w:tr w:rsidR="00260E76" w:rsidTr="00260E76">
        <w:trPr>
          <w:trHeight w:val="253"/>
        </w:trPr>
        <w:tc>
          <w:tcPr>
            <w:tcW w:w="781"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Baseline</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12,0</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11,6</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11,9</w:t>
            </w:r>
          </w:p>
        </w:tc>
        <w:tc>
          <w:tcPr>
            <w:tcW w:w="56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11,5</w:t>
            </w:r>
          </w:p>
        </w:tc>
        <w:tc>
          <w:tcPr>
            <w:tcW w:w="63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12,2</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12,9</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12,0</w:t>
            </w:r>
          </w:p>
        </w:tc>
      </w:tr>
      <w:tr w:rsidR="00260E76" w:rsidTr="00260E76">
        <w:trPr>
          <w:trHeight w:val="506"/>
        </w:trPr>
        <w:tc>
          <w:tcPr>
            <w:tcW w:w="781"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Ændring fra baseline</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-1,02</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-1,74</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-1,94</w:t>
            </w:r>
          </w:p>
        </w:tc>
        <w:tc>
          <w:tcPr>
            <w:tcW w:w="56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-1,69</w:t>
            </w:r>
          </w:p>
        </w:tc>
        <w:tc>
          <w:tcPr>
            <w:tcW w:w="63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-1,02</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-1,86</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-1,94</w:t>
            </w:r>
          </w:p>
        </w:tc>
      </w:tr>
      <w:tr w:rsidR="00260E76" w:rsidTr="00260E76">
        <w:trPr>
          <w:trHeight w:val="251"/>
        </w:trPr>
        <w:tc>
          <w:tcPr>
            <w:tcW w:w="781"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proofErr w:type="spellStart"/>
            <w:r>
              <w:rPr>
                <w:lang w:val="da-DK"/>
              </w:rPr>
              <w:t>p-værdi</w:t>
            </w:r>
            <w:proofErr w:type="spellEnd"/>
          </w:p>
        </w:tc>
        <w:tc>
          <w:tcPr>
            <w:tcW w:w="604"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&lt;0,001</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&lt;0,001</w:t>
            </w:r>
          </w:p>
        </w:tc>
        <w:tc>
          <w:tcPr>
            <w:tcW w:w="563"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34"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0,032</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&lt;0,001</w:t>
            </w:r>
          </w:p>
        </w:tc>
      </w:tr>
      <w:tr w:rsidR="00260E76" w:rsidTr="00260E76">
        <w:trPr>
          <w:trHeight w:val="254"/>
        </w:trPr>
        <w:tc>
          <w:tcPr>
            <w:tcW w:w="5000" w:type="pct"/>
            <w:gridSpan w:val="8"/>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Respondentrate (behandlingsrespons) #</w:t>
            </w:r>
          </w:p>
        </w:tc>
      </w:tr>
      <w:tr w:rsidR="00260E76" w:rsidTr="00260E76">
        <w:trPr>
          <w:trHeight w:val="251"/>
        </w:trPr>
        <w:tc>
          <w:tcPr>
            <w:tcW w:w="781"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N=279</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N=265</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N=276</w:t>
            </w:r>
          </w:p>
        </w:tc>
        <w:tc>
          <w:tcPr>
            <w:tcW w:w="56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N=283</w:t>
            </w:r>
          </w:p>
        </w:tc>
        <w:tc>
          <w:tcPr>
            <w:tcW w:w="63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N=266</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N=267</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N=267</w:t>
            </w:r>
          </w:p>
        </w:tc>
      </w:tr>
      <w:tr w:rsidR="00260E76" w:rsidTr="00260E76">
        <w:trPr>
          <w:trHeight w:val="254"/>
        </w:trPr>
        <w:tc>
          <w:tcPr>
            <w:tcW w:w="781"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Respondentrate</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53,4%</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74,7%</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79,0%</w:t>
            </w:r>
          </w:p>
        </w:tc>
        <w:tc>
          <w:tcPr>
            <w:tcW w:w="56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72,4%</w:t>
            </w:r>
          </w:p>
        </w:tc>
        <w:tc>
          <w:tcPr>
            <w:tcW w:w="63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45,1%</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63,7%</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74,2%</w:t>
            </w:r>
          </w:p>
        </w:tc>
      </w:tr>
      <w:tr w:rsidR="00260E76" w:rsidTr="00260E76">
        <w:trPr>
          <w:trHeight w:val="251"/>
        </w:trPr>
        <w:tc>
          <w:tcPr>
            <w:tcW w:w="781"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proofErr w:type="spellStart"/>
            <w:r>
              <w:rPr>
                <w:lang w:val="da-DK"/>
              </w:rPr>
              <w:t>p-værdi</w:t>
            </w:r>
            <w:proofErr w:type="spellEnd"/>
          </w:p>
        </w:tc>
        <w:tc>
          <w:tcPr>
            <w:tcW w:w="604"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&lt;0,001</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&lt;0,001</w:t>
            </w:r>
          </w:p>
        </w:tc>
        <w:tc>
          <w:tcPr>
            <w:tcW w:w="563"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34"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&lt;0,001</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&lt;0,001</w:t>
            </w:r>
          </w:p>
        </w:tc>
      </w:tr>
      <w:tr w:rsidR="00260E76" w:rsidTr="00260E76">
        <w:trPr>
          <w:trHeight w:val="253"/>
        </w:trPr>
        <w:tc>
          <w:tcPr>
            <w:tcW w:w="5000" w:type="pct"/>
            <w:gridSpan w:val="8"/>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 xml:space="preserve">Antal episoder med </w:t>
            </w:r>
            <w:proofErr w:type="spellStart"/>
            <w:r>
              <w:rPr>
                <w:lang w:val="da-DK"/>
              </w:rPr>
              <w:t>urgeinkontinens</w:t>
            </w:r>
            <w:proofErr w:type="spellEnd"/>
            <w:r>
              <w:rPr>
                <w:lang w:val="da-DK"/>
              </w:rPr>
              <w:t xml:space="preserve"> pr. 24 timer</w:t>
            </w:r>
          </w:p>
        </w:tc>
      </w:tr>
      <w:tr w:rsidR="00260E76" w:rsidTr="00260E76">
        <w:trPr>
          <w:trHeight w:val="254"/>
        </w:trPr>
        <w:tc>
          <w:tcPr>
            <w:tcW w:w="781"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N=211</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N=199</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N=223</w:t>
            </w:r>
          </w:p>
        </w:tc>
        <w:tc>
          <w:tcPr>
            <w:tcW w:w="56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N=223</w:t>
            </w:r>
          </w:p>
        </w:tc>
        <w:tc>
          <w:tcPr>
            <w:tcW w:w="63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N=205</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N=228</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N=218</w:t>
            </w:r>
          </w:p>
        </w:tc>
      </w:tr>
      <w:tr w:rsidR="00260E76" w:rsidTr="00260E76">
        <w:trPr>
          <w:trHeight w:val="251"/>
        </w:trPr>
        <w:tc>
          <w:tcPr>
            <w:tcW w:w="781"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Baseline</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3,7</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3,8</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3,7</w:t>
            </w:r>
          </w:p>
        </w:tc>
        <w:tc>
          <w:tcPr>
            <w:tcW w:w="56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3,8</w:t>
            </w:r>
          </w:p>
        </w:tc>
        <w:tc>
          <w:tcPr>
            <w:tcW w:w="63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3,7</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3,9</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3,9</w:t>
            </w:r>
          </w:p>
        </w:tc>
      </w:tr>
      <w:tr w:rsidR="00260E76" w:rsidTr="00260E76">
        <w:trPr>
          <w:trHeight w:val="506"/>
        </w:trPr>
        <w:tc>
          <w:tcPr>
            <w:tcW w:w="781"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Ændring fra baseline</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-1,20</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-2,06</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-2,27</w:t>
            </w:r>
          </w:p>
        </w:tc>
        <w:tc>
          <w:tcPr>
            <w:tcW w:w="56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-1,83</w:t>
            </w:r>
          </w:p>
        </w:tc>
        <w:tc>
          <w:tcPr>
            <w:tcW w:w="63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-1,00</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-1,77</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-2,42</w:t>
            </w:r>
          </w:p>
        </w:tc>
      </w:tr>
      <w:tr w:rsidR="00260E76" w:rsidTr="00260E76">
        <w:trPr>
          <w:trHeight w:val="253"/>
        </w:trPr>
        <w:tc>
          <w:tcPr>
            <w:tcW w:w="781"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proofErr w:type="spellStart"/>
            <w:r>
              <w:rPr>
                <w:lang w:val="da-DK"/>
              </w:rPr>
              <w:t>p-værdi</w:t>
            </w:r>
            <w:proofErr w:type="spellEnd"/>
          </w:p>
        </w:tc>
        <w:tc>
          <w:tcPr>
            <w:tcW w:w="604"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0,001</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&lt;0,001</w:t>
            </w:r>
          </w:p>
        </w:tc>
        <w:tc>
          <w:tcPr>
            <w:tcW w:w="563"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34"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0,003</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&lt;0,001</w:t>
            </w:r>
          </w:p>
        </w:tc>
      </w:tr>
      <w:tr w:rsidR="00260E76" w:rsidTr="00260E76">
        <w:trPr>
          <w:trHeight w:val="251"/>
        </w:trPr>
        <w:tc>
          <w:tcPr>
            <w:tcW w:w="5000" w:type="pct"/>
            <w:gridSpan w:val="8"/>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 xml:space="preserve">Antal </w:t>
            </w:r>
            <w:proofErr w:type="spellStart"/>
            <w:r>
              <w:rPr>
                <w:lang w:val="da-DK"/>
              </w:rPr>
              <w:t>kontinente</w:t>
            </w:r>
            <w:proofErr w:type="spellEnd"/>
            <w:r>
              <w:rPr>
                <w:lang w:val="da-DK"/>
              </w:rPr>
              <w:t xml:space="preserve"> dage pr. uge</w:t>
            </w:r>
          </w:p>
        </w:tc>
      </w:tr>
      <w:tr w:rsidR="00260E76" w:rsidTr="00260E76">
        <w:trPr>
          <w:trHeight w:val="253"/>
        </w:trPr>
        <w:tc>
          <w:tcPr>
            <w:tcW w:w="781"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N=211</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N=199</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N=223</w:t>
            </w:r>
          </w:p>
        </w:tc>
        <w:tc>
          <w:tcPr>
            <w:tcW w:w="56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N=223</w:t>
            </w:r>
          </w:p>
        </w:tc>
        <w:tc>
          <w:tcPr>
            <w:tcW w:w="63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N=205</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N=228</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N=218</w:t>
            </w:r>
          </w:p>
        </w:tc>
      </w:tr>
      <w:tr w:rsidR="00260E76" w:rsidTr="00260E76">
        <w:trPr>
          <w:trHeight w:val="251"/>
        </w:trPr>
        <w:tc>
          <w:tcPr>
            <w:tcW w:w="781"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Baseline</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0,8</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0,8</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0,6</w:t>
            </w:r>
          </w:p>
        </w:tc>
        <w:tc>
          <w:tcPr>
            <w:tcW w:w="56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0,6</w:t>
            </w:r>
          </w:p>
        </w:tc>
        <w:tc>
          <w:tcPr>
            <w:tcW w:w="63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0,6</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0,7</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0,7</w:t>
            </w:r>
          </w:p>
        </w:tc>
      </w:tr>
      <w:tr w:rsidR="00260E76" w:rsidTr="00260E76">
        <w:trPr>
          <w:trHeight w:val="506"/>
        </w:trPr>
        <w:tc>
          <w:tcPr>
            <w:tcW w:w="781"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Ændring fra baseline</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2,1</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2,8</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3,4</w:t>
            </w:r>
          </w:p>
        </w:tc>
        <w:tc>
          <w:tcPr>
            <w:tcW w:w="56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2,5</w:t>
            </w:r>
          </w:p>
        </w:tc>
        <w:tc>
          <w:tcPr>
            <w:tcW w:w="63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1,4</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2,4</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2,8</w:t>
            </w:r>
          </w:p>
        </w:tc>
      </w:tr>
      <w:tr w:rsidR="00260E76" w:rsidTr="00260E76">
        <w:trPr>
          <w:trHeight w:val="253"/>
        </w:trPr>
        <w:tc>
          <w:tcPr>
            <w:tcW w:w="781"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proofErr w:type="spellStart"/>
            <w:r>
              <w:rPr>
                <w:lang w:val="da-DK"/>
              </w:rPr>
              <w:t>p-værdi</w:t>
            </w:r>
            <w:proofErr w:type="spellEnd"/>
          </w:p>
        </w:tc>
        <w:tc>
          <w:tcPr>
            <w:tcW w:w="604"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0,007</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&lt;0,001</w:t>
            </w:r>
          </w:p>
        </w:tc>
        <w:tc>
          <w:tcPr>
            <w:tcW w:w="563"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34"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&lt;0,001</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&lt;0,001</w:t>
            </w:r>
          </w:p>
        </w:tc>
      </w:tr>
      <w:tr w:rsidR="00260E76" w:rsidTr="00260E76">
        <w:trPr>
          <w:trHeight w:val="253"/>
        </w:trPr>
        <w:tc>
          <w:tcPr>
            <w:tcW w:w="5000" w:type="pct"/>
            <w:gridSpan w:val="8"/>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Udtømt mængde pr. vandladning (ml)</w:t>
            </w:r>
          </w:p>
        </w:tc>
      </w:tr>
      <w:tr w:rsidR="00260E76" w:rsidTr="00260E76">
        <w:trPr>
          <w:trHeight w:val="251"/>
        </w:trPr>
        <w:tc>
          <w:tcPr>
            <w:tcW w:w="781"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N=279</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N=265</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N=276</w:t>
            </w:r>
          </w:p>
        </w:tc>
        <w:tc>
          <w:tcPr>
            <w:tcW w:w="56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N=283</w:t>
            </w:r>
          </w:p>
        </w:tc>
        <w:tc>
          <w:tcPr>
            <w:tcW w:w="63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N=266</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N=267</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N=267</w:t>
            </w:r>
          </w:p>
        </w:tc>
      </w:tr>
      <w:tr w:rsidR="00260E76" w:rsidTr="00260E76">
        <w:trPr>
          <w:trHeight w:val="253"/>
        </w:trPr>
        <w:tc>
          <w:tcPr>
            <w:tcW w:w="781"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Baseline</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150</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160</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154</w:t>
            </w:r>
          </w:p>
        </w:tc>
        <w:tc>
          <w:tcPr>
            <w:tcW w:w="56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154</w:t>
            </w:r>
          </w:p>
        </w:tc>
        <w:tc>
          <w:tcPr>
            <w:tcW w:w="63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159</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152</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156</w:t>
            </w:r>
          </w:p>
        </w:tc>
      </w:tr>
      <w:tr w:rsidR="00260E76" w:rsidTr="00260E76">
        <w:trPr>
          <w:trHeight w:val="506"/>
        </w:trPr>
        <w:tc>
          <w:tcPr>
            <w:tcW w:w="781"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Ændring fra baseline</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10</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27</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33</w:t>
            </w:r>
          </w:p>
        </w:tc>
        <w:tc>
          <w:tcPr>
            <w:tcW w:w="56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24</w:t>
            </w:r>
          </w:p>
        </w:tc>
        <w:tc>
          <w:tcPr>
            <w:tcW w:w="63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8</w:t>
            </w: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17</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33</w:t>
            </w:r>
          </w:p>
        </w:tc>
      </w:tr>
      <w:tr w:rsidR="00260E76" w:rsidTr="00260E76">
        <w:trPr>
          <w:trHeight w:val="251"/>
        </w:trPr>
        <w:tc>
          <w:tcPr>
            <w:tcW w:w="781"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proofErr w:type="spellStart"/>
            <w:r>
              <w:rPr>
                <w:lang w:val="da-DK"/>
              </w:rPr>
              <w:t>p-værdi</w:t>
            </w:r>
            <w:proofErr w:type="spellEnd"/>
          </w:p>
        </w:tc>
        <w:tc>
          <w:tcPr>
            <w:tcW w:w="604"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&lt;0,001</w:t>
            </w:r>
          </w:p>
        </w:tc>
        <w:tc>
          <w:tcPr>
            <w:tcW w:w="603"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&lt;0,001</w:t>
            </w:r>
          </w:p>
        </w:tc>
        <w:tc>
          <w:tcPr>
            <w:tcW w:w="563"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34" w:type="pct"/>
            <w:tcBorders>
              <w:top w:val="single" w:sz="4" w:space="0" w:color="000000"/>
              <w:left w:val="single" w:sz="4" w:space="0" w:color="000000"/>
              <w:bottom w:val="single" w:sz="4" w:space="0" w:color="000000"/>
              <w:right w:val="single" w:sz="4" w:space="0" w:color="000000"/>
            </w:tcBorders>
          </w:tcPr>
          <w:p w:rsidR="00260E76" w:rsidRDefault="00260E76">
            <w:pPr>
              <w:pStyle w:val="TableParagraph"/>
              <w:spacing w:line="240" w:lineRule="auto"/>
              <w:rPr>
                <w:lang w:val="da-DK"/>
              </w:rPr>
            </w:pPr>
          </w:p>
        </w:tc>
        <w:tc>
          <w:tcPr>
            <w:tcW w:w="604"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0,150</w:t>
            </w:r>
          </w:p>
        </w:tc>
        <w:tc>
          <w:tcPr>
            <w:tcW w:w="607" w:type="pct"/>
            <w:tcBorders>
              <w:top w:val="single" w:sz="4" w:space="0" w:color="000000"/>
              <w:left w:val="single" w:sz="4" w:space="0" w:color="000000"/>
              <w:bottom w:val="single" w:sz="4" w:space="0" w:color="000000"/>
              <w:right w:val="single" w:sz="4" w:space="0" w:color="000000"/>
            </w:tcBorders>
            <w:hideMark/>
          </w:tcPr>
          <w:p w:rsidR="00260E76" w:rsidRDefault="00260E76">
            <w:pPr>
              <w:pStyle w:val="TableParagraph"/>
              <w:spacing w:line="240" w:lineRule="auto"/>
              <w:rPr>
                <w:lang w:val="da-DK"/>
              </w:rPr>
            </w:pPr>
            <w:r>
              <w:rPr>
                <w:lang w:val="da-DK"/>
              </w:rPr>
              <w:t>&lt;0,001</w:t>
            </w:r>
          </w:p>
        </w:tc>
      </w:tr>
    </w:tbl>
    <w:p w:rsidR="00260E76" w:rsidRDefault="00260E76" w:rsidP="00260E76">
      <w:pPr>
        <w:pStyle w:val="Brdtekst"/>
        <w:rPr>
          <w:sz w:val="24"/>
          <w:szCs w:val="24"/>
          <w:lang w:val="da-DK"/>
        </w:rPr>
      </w:pPr>
      <w:r>
        <w:rPr>
          <w:sz w:val="24"/>
          <w:szCs w:val="24"/>
          <w:lang w:val="da-DK"/>
        </w:rPr>
        <w:t># primære endepunkter</w:t>
      </w:r>
    </w:p>
    <w:p w:rsidR="00260E76" w:rsidRDefault="00260E76" w:rsidP="00260E76">
      <w:pPr>
        <w:pStyle w:val="Brdtekst"/>
        <w:rPr>
          <w:sz w:val="24"/>
          <w:szCs w:val="24"/>
          <w:lang w:val="da-DK"/>
        </w:rPr>
      </w:pPr>
    </w:p>
    <w:p w:rsidR="00260E76" w:rsidRDefault="00260E76" w:rsidP="00260E76">
      <w:pPr>
        <w:ind w:left="851"/>
        <w:rPr>
          <w:sz w:val="24"/>
          <w:szCs w:val="24"/>
          <w:u w:val="single"/>
        </w:rPr>
      </w:pPr>
      <w:r>
        <w:rPr>
          <w:sz w:val="24"/>
          <w:szCs w:val="24"/>
          <w:u w:val="single"/>
        </w:rPr>
        <w:t>Kardiologisk elektrofysiologi</w:t>
      </w:r>
    </w:p>
    <w:p w:rsidR="00260E76" w:rsidRDefault="00260E76" w:rsidP="00260E76">
      <w:pPr>
        <w:ind w:left="851"/>
        <w:rPr>
          <w:sz w:val="24"/>
          <w:szCs w:val="24"/>
        </w:rPr>
      </w:pPr>
      <w:r>
        <w:rPr>
          <w:sz w:val="24"/>
          <w:szCs w:val="24"/>
        </w:rPr>
        <w:t xml:space="preserve">Virkningen af </w:t>
      </w:r>
      <w:proofErr w:type="spellStart"/>
      <w:r>
        <w:rPr>
          <w:sz w:val="24"/>
          <w:szCs w:val="24"/>
        </w:rPr>
        <w:t>fesoterodin</w:t>
      </w:r>
      <w:proofErr w:type="spellEnd"/>
      <w:r>
        <w:rPr>
          <w:sz w:val="24"/>
          <w:szCs w:val="24"/>
        </w:rPr>
        <w:t xml:space="preserve"> 4 mg og 28 mg på QT-intervallet blev grundigt evalueret i et dobbeltblindt, randomiseret, placebo- og positivkontrolleret (</w:t>
      </w:r>
      <w:proofErr w:type="spellStart"/>
      <w:r>
        <w:rPr>
          <w:sz w:val="24"/>
          <w:szCs w:val="24"/>
        </w:rPr>
        <w:t>moxifloxacin</w:t>
      </w:r>
      <w:proofErr w:type="spellEnd"/>
      <w:r>
        <w:rPr>
          <w:sz w:val="24"/>
          <w:szCs w:val="24"/>
        </w:rPr>
        <w:t xml:space="preserve"> 400 mg) parallelgruppeforsøg med behandling én gang dagligt i en periode på 3 dage hos 261 mandlige og kvindelige forsøgspersoner i alderen 45 til 65 år. Ændring i </w:t>
      </w:r>
      <w:proofErr w:type="spellStart"/>
      <w:r>
        <w:rPr>
          <w:sz w:val="24"/>
          <w:szCs w:val="24"/>
        </w:rPr>
        <w:t>QTc</w:t>
      </w:r>
      <w:proofErr w:type="spellEnd"/>
      <w:r>
        <w:rPr>
          <w:sz w:val="24"/>
          <w:szCs w:val="24"/>
        </w:rPr>
        <w:t xml:space="preserve"> fra baseline baseret på </w:t>
      </w:r>
      <w:proofErr w:type="spellStart"/>
      <w:r>
        <w:rPr>
          <w:sz w:val="24"/>
          <w:szCs w:val="24"/>
        </w:rPr>
        <w:t>Fridericia</w:t>
      </w:r>
      <w:proofErr w:type="spellEnd"/>
      <w:r>
        <w:rPr>
          <w:sz w:val="24"/>
          <w:szCs w:val="24"/>
        </w:rPr>
        <w:t xml:space="preserve"> korrektionsmetoden viste ingen forskelle mellem den aktive behandling og placebogruppen.</w:t>
      </w:r>
    </w:p>
    <w:p w:rsidR="00ED0C72" w:rsidRPr="00ED0C72" w:rsidRDefault="00ED0C72" w:rsidP="00ED0C72">
      <w:pPr>
        <w:ind w:left="851"/>
        <w:rPr>
          <w:sz w:val="24"/>
          <w:szCs w:val="24"/>
        </w:rPr>
      </w:pPr>
    </w:p>
    <w:p w:rsidR="00ED0C72" w:rsidRPr="00ED0C72" w:rsidRDefault="00ED0C72" w:rsidP="00ED0C72">
      <w:pPr>
        <w:pStyle w:val="Brdtekst"/>
        <w:ind w:left="851"/>
        <w:rPr>
          <w:sz w:val="24"/>
          <w:szCs w:val="24"/>
          <w:lang w:val="sv-SE"/>
        </w:rPr>
      </w:pPr>
      <w:bookmarkStart w:id="0" w:name="_Hlk152935592"/>
      <w:proofErr w:type="spellStart"/>
      <w:r w:rsidRPr="00ED0C72">
        <w:rPr>
          <w:sz w:val="24"/>
          <w:szCs w:val="24"/>
          <w:u w:val="single"/>
          <w:lang w:val="sv-SE"/>
        </w:rPr>
        <w:t>Pædiatrisk</w:t>
      </w:r>
      <w:proofErr w:type="spellEnd"/>
      <w:r w:rsidRPr="00ED0C72">
        <w:rPr>
          <w:sz w:val="24"/>
          <w:szCs w:val="24"/>
          <w:u w:val="single"/>
          <w:lang w:val="sv-SE"/>
        </w:rPr>
        <w:t xml:space="preserve"> population</w:t>
      </w:r>
    </w:p>
    <w:p w:rsidR="00ED0C72" w:rsidRPr="00ED0C72" w:rsidRDefault="00ED0C72" w:rsidP="00ED0C72">
      <w:pPr>
        <w:pStyle w:val="Brdtekst"/>
        <w:spacing w:before="1"/>
        <w:ind w:left="851"/>
        <w:rPr>
          <w:sz w:val="24"/>
          <w:szCs w:val="24"/>
          <w:lang w:val="da-DK"/>
        </w:rPr>
      </w:pPr>
      <w:proofErr w:type="spellStart"/>
      <w:r w:rsidRPr="00ED0C72">
        <w:rPr>
          <w:sz w:val="24"/>
          <w:szCs w:val="24"/>
          <w:lang w:val="da-DK"/>
        </w:rPr>
        <w:t>Fesoterodin</w:t>
      </w:r>
      <w:proofErr w:type="spellEnd"/>
      <w:r w:rsidRPr="00ED0C72">
        <w:rPr>
          <w:sz w:val="24"/>
          <w:szCs w:val="24"/>
          <w:lang w:val="da-DK"/>
        </w:rPr>
        <w:t xml:space="preserve"> blev evalueret i et åbent, randomiseret forsøg, der bestod af en 12-ugers virkningsfase efterfulgt af en 12-ugers sikkerhedsforlængelsesfase, hos pædiatriske patienter i alderen fra 6 år til 17 år med </w:t>
      </w:r>
      <w:proofErr w:type="spellStart"/>
      <w:r w:rsidRPr="00ED0C72">
        <w:rPr>
          <w:sz w:val="24"/>
          <w:szCs w:val="24"/>
          <w:lang w:val="da-DK"/>
        </w:rPr>
        <w:t>neurogen</w:t>
      </w:r>
      <w:proofErr w:type="spellEnd"/>
      <w:r w:rsidRPr="00ED0C72">
        <w:rPr>
          <w:sz w:val="24"/>
          <w:szCs w:val="24"/>
          <w:lang w:val="da-DK"/>
        </w:rPr>
        <w:t xml:space="preserve"> </w:t>
      </w:r>
      <w:proofErr w:type="spellStart"/>
      <w:r w:rsidRPr="00ED0C72">
        <w:rPr>
          <w:sz w:val="24"/>
          <w:szCs w:val="24"/>
          <w:lang w:val="da-DK"/>
        </w:rPr>
        <w:t>detrusoroveraktivitet</w:t>
      </w:r>
      <w:proofErr w:type="spellEnd"/>
      <w:r w:rsidRPr="00ED0C72">
        <w:rPr>
          <w:sz w:val="24"/>
          <w:szCs w:val="24"/>
          <w:lang w:val="da-DK"/>
        </w:rPr>
        <w:t xml:space="preserve">. To kohorter blev undersøgt. I kohorte 1 fik 124 patienter, som vejede &gt; 25 kg, en fast dosis af </w:t>
      </w:r>
      <w:proofErr w:type="spellStart"/>
      <w:r w:rsidRPr="00ED0C72">
        <w:rPr>
          <w:sz w:val="24"/>
          <w:szCs w:val="24"/>
          <w:lang w:val="da-DK"/>
        </w:rPr>
        <w:t>fesoterodin</w:t>
      </w:r>
      <w:proofErr w:type="spellEnd"/>
      <w:r w:rsidRPr="00ED0C72">
        <w:rPr>
          <w:sz w:val="24"/>
          <w:szCs w:val="24"/>
          <w:lang w:val="da-DK"/>
        </w:rPr>
        <w:t xml:space="preserve"> 4 mg eller 8 mg tabletter én gang dagligt eller </w:t>
      </w:r>
      <w:proofErr w:type="spellStart"/>
      <w:r w:rsidRPr="00ED0C72">
        <w:rPr>
          <w:sz w:val="24"/>
          <w:szCs w:val="24"/>
          <w:lang w:val="da-DK"/>
        </w:rPr>
        <w:t>oxybutynin</w:t>
      </w:r>
      <w:proofErr w:type="spellEnd"/>
      <w:r w:rsidRPr="00ED0C72">
        <w:rPr>
          <w:sz w:val="24"/>
          <w:szCs w:val="24"/>
          <w:lang w:val="da-DK"/>
        </w:rPr>
        <w:t xml:space="preserve"> XL-tabletter som aktiv </w:t>
      </w:r>
      <w:proofErr w:type="spellStart"/>
      <w:r w:rsidRPr="00ED0C72">
        <w:rPr>
          <w:sz w:val="24"/>
          <w:szCs w:val="24"/>
          <w:lang w:val="da-DK"/>
        </w:rPr>
        <w:t>komparator</w:t>
      </w:r>
      <w:proofErr w:type="spellEnd"/>
      <w:r w:rsidRPr="00ED0C72">
        <w:rPr>
          <w:sz w:val="24"/>
          <w:szCs w:val="24"/>
          <w:lang w:val="da-DK"/>
        </w:rPr>
        <w:t xml:space="preserve">. I sikkerhedsforlængelsesfasen blev de patienter, der var blevet randomiseret til aktive </w:t>
      </w:r>
      <w:proofErr w:type="spellStart"/>
      <w:r w:rsidRPr="00ED0C72">
        <w:rPr>
          <w:sz w:val="24"/>
          <w:szCs w:val="24"/>
          <w:lang w:val="da-DK"/>
        </w:rPr>
        <w:t>komparatortabletter</w:t>
      </w:r>
      <w:proofErr w:type="spellEnd"/>
      <w:r w:rsidRPr="00ED0C72">
        <w:rPr>
          <w:sz w:val="24"/>
          <w:szCs w:val="24"/>
          <w:lang w:val="da-DK"/>
        </w:rPr>
        <w:t xml:space="preserve">, skiftet over til </w:t>
      </w:r>
      <w:proofErr w:type="spellStart"/>
      <w:r w:rsidRPr="00ED0C72">
        <w:rPr>
          <w:sz w:val="24"/>
          <w:szCs w:val="24"/>
          <w:lang w:val="da-DK"/>
        </w:rPr>
        <w:t>fesoterodin</w:t>
      </w:r>
      <w:proofErr w:type="spellEnd"/>
      <w:r w:rsidRPr="00ED0C72">
        <w:rPr>
          <w:sz w:val="24"/>
          <w:szCs w:val="24"/>
          <w:lang w:val="da-DK"/>
        </w:rPr>
        <w:t xml:space="preserve"> 4 mg eller 8 mg tabletter (tildelt af </w:t>
      </w:r>
      <w:proofErr w:type="spellStart"/>
      <w:r w:rsidRPr="00ED0C72">
        <w:rPr>
          <w:sz w:val="24"/>
          <w:szCs w:val="24"/>
          <w:lang w:val="da-DK"/>
        </w:rPr>
        <w:t>investigator</w:t>
      </w:r>
      <w:proofErr w:type="spellEnd"/>
      <w:r w:rsidRPr="00ED0C72">
        <w:rPr>
          <w:sz w:val="24"/>
          <w:szCs w:val="24"/>
          <w:lang w:val="da-DK"/>
        </w:rPr>
        <w:t>). I kohorte 2 fik 57 patienter, som vejede ≤ 25 kg, en fast dosis af</w:t>
      </w:r>
    </w:p>
    <w:p w:rsidR="00ED0C72" w:rsidRPr="00ED0C72" w:rsidRDefault="00ED0C72" w:rsidP="00ED0C72">
      <w:pPr>
        <w:pStyle w:val="Brdtekst"/>
        <w:ind w:left="851"/>
        <w:rPr>
          <w:sz w:val="24"/>
          <w:szCs w:val="24"/>
          <w:lang w:val="da-DK"/>
        </w:rPr>
      </w:pPr>
      <w:proofErr w:type="spellStart"/>
      <w:r w:rsidRPr="00ED0C72">
        <w:rPr>
          <w:sz w:val="24"/>
          <w:szCs w:val="24"/>
          <w:lang w:val="da-DK"/>
        </w:rPr>
        <w:t>fesoterodin</w:t>
      </w:r>
      <w:proofErr w:type="spellEnd"/>
      <w:r w:rsidRPr="00ED0C72">
        <w:rPr>
          <w:sz w:val="24"/>
          <w:szCs w:val="24"/>
          <w:lang w:val="da-DK"/>
        </w:rPr>
        <w:t xml:space="preserve"> 2 mg or 4 mg i forsøgsformulering som granulat i kapsel (</w:t>
      </w:r>
      <w:proofErr w:type="spellStart"/>
      <w:r w:rsidRPr="00ED0C72">
        <w:rPr>
          <w:sz w:val="24"/>
          <w:szCs w:val="24"/>
          <w:lang w:val="da-DK"/>
        </w:rPr>
        <w:t>beads</w:t>
      </w:r>
      <w:proofErr w:type="spellEnd"/>
      <w:r w:rsidRPr="00ED0C72">
        <w:rPr>
          <w:sz w:val="24"/>
          <w:szCs w:val="24"/>
          <w:lang w:val="da-DK"/>
        </w:rPr>
        <w:t>-in-</w:t>
      </w:r>
      <w:proofErr w:type="spellStart"/>
      <w:r w:rsidRPr="00ED0C72">
        <w:rPr>
          <w:sz w:val="24"/>
          <w:szCs w:val="24"/>
          <w:lang w:val="da-DK"/>
        </w:rPr>
        <w:t>capsule</w:t>
      </w:r>
      <w:proofErr w:type="spellEnd"/>
      <w:r w:rsidRPr="00ED0C72">
        <w:rPr>
          <w:sz w:val="24"/>
          <w:szCs w:val="24"/>
          <w:lang w:val="da-DK"/>
        </w:rPr>
        <w:t xml:space="preserve">, BIC) én gang dagligt. I sikkerhedsforlængelsesfasen fortsatte patienterne med den dosis </w:t>
      </w:r>
      <w:proofErr w:type="spellStart"/>
      <w:r w:rsidRPr="00ED0C72">
        <w:rPr>
          <w:sz w:val="24"/>
          <w:szCs w:val="24"/>
          <w:lang w:val="da-DK"/>
        </w:rPr>
        <w:t>fesoterodin</w:t>
      </w:r>
      <w:proofErr w:type="spellEnd"/>
      <w:r w:rsidRPr="00ED0C72">
        <w:rPr>
          <w:sz w:val="24"/>
          <w:szCs w:val="24"/>
          <w:lang w:val="da-DK"/>
        </w:rPr>
        <w:t xml:space="preserve">, de var blevet randomiseret til. For at kunne deltage i forsøget var det et krav, at patienterne havde stabil neurologisk sygdom og klinisk eller urodynamisk påvist </w:t>
      </w:r>
      <w:proofErr w:type="spellStart"/>
      <w:r w:rsidRPr="00ED0C72">
        <w:rPr>
          <w:sz w:val="24"/>
          <w:szCs w:val="24"/>
          <w:lang w:val="da-DK"/>
        </w:rPr>
        <w:t>neurogen</w:t>
      </w:r>
      <w:proofErr w:type="spellEnd"/>
      <w:r w:rsidRPr="00ED0C72">
        <w:rPr>
          <w:sz w:val="24"/>
          <w:szCs w:val="24"/>
          <w:lang w:val="da-DK"/>
        </w:rPr>
        <w:t xml:space="preserve"> </w:t>
      </w:r>
      <w:proofErr w:type="spellStart"/>
      <w:r w:rsidRPr="00ED0C72">
        <w:rPr>
          <w:sz w:val="24"/>
          <w:szCs w:val="24"/>
          <w:lang w:val="da-DK"/>
        </w:rPr>
        <w:t>detrusoroveraktivitet</w:t>
      </w:r>
      <w:proofErr w:type="spellEnd"/>
      <w:r w:rsidRPr="00ED0C72">
        <w:rPr>
          <w:sz w:val="24"/>
          <w:szCs w:val="24"/>
          <w:lang w:val="da-DK"/>
        </w:rPr>
        <w:t xml:space="preserve"> (se pkt. 4.2).</w:t>
      </w:r>
    </w:p>
    <w:p w:rsidR="00ED0C72" w:rsidRPr="00ED0C72" w:rsidRDefault="00ED0C72" w:rsidP="00ED0C72">
      <w:pPr>
        <w:pStyle w:val="Brdtekst"/>
        <w:spacing w:before="10"/>
        <w:ind w:left="851"/>
        <w:rPr>
          <w:sz w:val="24"/>
          <w:szCs w:val="24"/>
          <w:lang w:val="da-DK"/>
        </w:rPr>
      </w:pPr>
    </w:p>
    <w:p w:rsidR="00ED0C72" w:rsidRPr="00ED0C72" w:rsidRDefault="00ED0C72" w:rsidP="00ED0C72">
      <w:pPr>
        <w:pStyle w:val="Brdtekst"/>
        <w:spacing w:before="1"/>
        <w:ind w:left="851"/>
        <w:rPr>
          <w:sz w:val="24"/>
          <w:szCs w:val="24"/>
          <w:lang w:val="da-DK"/>
        </w:rPr>
      </w:pPr>
      <w:r w:rsidRPr="00ED0C72">
        <w:rPr>
          <w:sz w:val="24"/>
          <w:szCs w:val="24"/>
          <w:lang w:val="da-DK"/>
        </w:rPr>
        <w:t xml:space="preserve">Det primære virkningsendepunkt for begge kohorter var middelændringen fra baseline i maksimal </w:t>
      </w:r>
      <w:proofErr w:type="spellStart"/>
      <w:r w:rsidRPr="00ED0C72">
        <w:rPr>
          <w:sz w:val="24"/>
          <w:szCs w:val="24"/>
          <w:lang w:val="da-DK"/>
        </w:rPr>
        <w:t>cystometrisk</w:t>
      </w:r>
      <w:proofErr w:type="spellEnd"/>
      <w:r w:rsidRPr="00ED0C72">
        <w:rPr>
          <w:sz w:val="24"/>
          <w:szCs w:val="24"/>
          <w:lang w:val="da-DK"/>
        </w:rPr>
        <w:t xml:space="preserve"> blærekapacitet (MCBC) ved uge 12. Behandling med </w:t>
      </w:r>
      <w:proofErr w:type="spellStart"/>
      <w:r w:rsidRPr="00ED0C72">
        <w:rPr>
          <w:sz w:val="24"/>
          <w:szCs w:val="24"/>
          <w:lang w:val="da-DK"/>
        </w:rPr>
        <w:t>fesoterodin</w:t>
      </w:r>
      <w:proofErr w:type="spellEnd"/>
      <w:r w:rsidRPr="00ED0C72">
        <w:rPr>
          <w:sz w:val="24"/>
          <w:szCs w:val="24"/>
          <w:lang w:val="da-DK"/>
        </w:rPr>
        <w:t xml:space="preserve"> 4 mg eller 8 mg tabletter resulterede i forbedringer fra baseline til uge 12 for det primære virkningsendepunkt, MCBC, hos pædiatriske patienter i kohorte 1, med numerisk større </w:t>
      </w:r>
      <w:r w:rsidRPr="00ED0C72">
        <w:rPr>
          <w:sz w:val="24"/>
          <w:szCs w:val="24"/>
          <w:lang w:val="da-DK"/>
        </w:rPr>
        <w:lastRenderedPageBreak/>
        <w:t xml:space="preserve">ændringer fra baseline for </w:t>
      </w:r>
      <w:proofErr w:type="spellStart"/>
      <w:r w:rsidRPr="00ED0C72">
        <w:rPr>
          <w:sz w:val="24"/>
          <w:szCs w:val="24"/>
          <w:lang w:val="da-DK"/>
        </w:rPr>
        <w:t>fesoterodin</w:t>
      </w:r>
      <w:proofErr w:type="spellEnd"/>
      <w:r w:rsidRPr="00ED0C72">
        <w:rPr>
          <w:sz w:val="24"/>
          <w:szCs w:val="24"/>
          <w:lang w:val="da-DK"/>
        </w:rPr>
        <w:t xml:space="preserve"> 8 mg tabletter end for </w:t>
      </w:r>
      <w:proofErr w:type="spellStart"/>
      <w:r w:rsidRPr="00ED0C72">
        <w:rPr>
          <w:sz w:val="24"/>
          <w:szCs w:val="24"/>
          <w:lang w:val="da-DK"/>
        </w:rPr>
        <w:t>fesoterodin</w:t>
      </w:r>
      <w:proofErr w:type="spellEnd"/>
      <w:r w:rsidRPr="00ED0C72">
        <w:rPr>
          <w:sz w:val="24"/>
          <w:szCs w:val="24"/>
          <w:lang w:val="da-DK"/>
        </w:rPr>
        <w:t xml:space="preserve"> 4 mg tabletter. Behandling med </w:t>
      </w:r>
      <w:proofErr w:type="spellStart"/>
      <w:r w:rsidRPr="00ED0C72">
        <w:rPr>
          <w:sz w:val="24"/>
          <w:szCs w:val="24"/>
          <w:lang w:val="da-DK"/>
        </w:rPr>
        <w:t>fesoterodin</w:t>
      </w:r>
      <w:proofErr w:type="spellEnd"/>
      <w:r w:rsidRPr="00ED0C72">
        <w:rPr>
          <w:sz w:val="24"/>
          <w:szCs w:val="24"/>
          <w:lang w:val="da-DK"/>
        </w:rPr>
        <w:t xml:space="preserve"> 2 mg og 4 mg BIC resulterede i forbedringer fra baseline til uge 12 for det primære virkningsendepunkt, MCBC, hos pædiatriske patienter i kohorte 2, med numerisk større ændringer fra baseline for </w:t>
      </w:r>
      <w:proofErr w:type="spellStart"/>
      <w:r w:rsidRPr="00ED0C72">
        <w:rPr>
          <w:sz w:val="24"/>
          <w:szCs w:val="24"/>
          <w:lang w:val="da-DK"/>
        </w:rPr>
        <w:t>fesoterodin</w:t>
      </w:r>
      <w:proofErr w:type="spellEnd"/>
      <w:r w:rsidRPr="00ED0C72">
        <w:rPr>
          <w:sz w:val="24"/>
          <w:szCs w:val="24"/>
          <w:lang w:val="da-DK"/>
        </w:rPr>
        <w:t xml:space="preserve"> 4 mg BIC end for </w:t>
      </w:r>
      <w:proofErr w:type="spellStart"/>
      <w:r w:rsidRPr="00ED0C72">
        <w:rPr>
          <w:sz w:val="24"/>
          <w:szCs w:val="24"/>
          <w:lang w:val="da-DK"/>
        </w:rPr>
        <w:t>fesoterodin</w:t>
      </w:r>
      <w:proofErr w:type="spellEnd"/>
      <w:r w:rsidRPr="00ED0C72">
        <w:rPr>
          <w:sz w:val="24"/>
          <w:szCs w:val="24"/>
          <w:lang w:val="da-DK"/>
        </w:rPr>
        <w:t xml:space="preserve"> 2 mg BIC.</w:t>
      </w:r>
    </w:p>
    <w:p w:rsidR="00ED0C72" w:rsidRPr="00ED0C72" w:rsidRDefault="00ED0C72" w:rsidP="00ED0C72">
      <w:pPr>
        <w:pStyle w:val="Overskrift1"/>
        <w:tabs>
          <w:tab w:val="left" w:pos="1308"/>
        </w:tabs>
        <w:ind w:left="851" w:right="738"/>
        <w:rPr>
          <w:rFonts w:ascii="Times New Roman" w:hAnsi="Times New Roman"/>
          <w:sz w:val="24"/>
          <w:szCs w:val="24"/>
        </w:rPr>
      </w:pPr>
      <w:r w:rsidRPr="00ED0C72">
        <w:rPr>
          <w:rFonts w:ascii="Times New Roman" w:hAnsi="Times New Roman"/>
          <w:sz w:val="24"/>
          <w:szCs w:val="24"/>
        </w:rPr>
        <w:t>Tabel</w:t>
      </w:r>
      <w:r w:rsidRPr="00ED0C72">
        <w:rPr>
          <w:rFonts w:ascii="Times New Roman" w:hAnsi="Times New Roman"/>
          <w:spacing w:val="-1"/>
          <w:sz w:val="24"/>
          <w:szCs w:val="24"/>
        </w:rPr>
        <w:t xml:space="preserve"> </w:t>
      </w:r>
      <w:r w:rsidRPr="00ED0C72">
        <w:rPr>
          <w:rFonts w:ascii="Times New Roman" w:hAnsi="Times New Roman"/>
          <w:sz w:val="24"/>
          <w:szCs w:val="24"/>
        </w:rPr>
        <w:t>2:</w:t>
      </w:r>
      <w:r>
        <w:rPr>
          <w:rFonts w:ascii="Times New Roman" w:hAnsi="Times New Roman"/>
          <w:sz w:val="24"/>
          <w:szCs w:val="24"/>
        </w:rPr>
        <w:t xml:space="preserve"> </w:t>
      </w:r>
      <w:r w:rsidRPr="00ED0C72">
        <w:rPr>
          <w:rFonts w:ascii="Times New Roman" w:hAnsi="Times New Roman"/>
          <w:sz w:val="24"/>
          <w:szCs w:val="24"/>
        </w:rPr>
        <w:t>Middelværdi for baseline og ændring fra baseline til uge 12 i</w:t>
      </w:r>
      <w:r w:rsidRPr="00ED0C72">
        <w:rPr>
          <w:rFonts w:ascii="Times New Roman" w:hAnsi="Times New Roman"/>
          <w:spacing w:val="-35"/>
          <w:sz w:val="24"/>
          <w:szCs w:val="24"/>
        </w:rPr>
        <w:t xml:space="preserve"> </w:t>
      </w:r>
      <w:r w:rsidRPr="00ED0C72">
        <w:rPr>
          <w:rFonts w:ascii="Times New Roman" w:hAnsi="Times New Roman"/>
          <w:sz w:val="24"/>
          <w:szCs w:val="24"/>
        </w:rPr>
        <w:t>maksimal</w:t>
      </w:r>
      <w:r w:rsidRPr="00ED0C72">
        <w:rPr>
          <w:rFonts w:ascii="Times New Roman" w:hAnsi="Times New Roman"/>
          <w:spacing w:val="-5"/>
          <w:sz w:val="24"/>
          <w:szCs w:val="24"/>
        </w:rPr>
        <w:t xml:space="preserve"> </w:t>
      </w:r>
      <w:proofErr w:type="spellStart"/>
      <w:r w:rsidRPr="00ED0C72">
        <w:rPr>
          <w:rFonts w:ascii="Times New Roman" w:hAnsi="Times New Roman"/>
          <w:sz w:val="24"/>
          <w:szCs w:val="24"/>
        </w:rPr>
        <w:t>cystometrisk</w:t>
      </w:r>
      <w:proofErr w:type="spellEnd"/>
      <w:r w:rsidRPr="00ED0C72">
        <w:rPr>
          <w:rFonts w:ascii="Times New Roman" w:hAnsi="Times New Roman"/>
          <w:sz w:val="24"/>
          <w:szCs w:val="24"/>
        </w:rPr>
        <w:t xml:space="preserve"> blærekapacitet</w:t>
      </w:r>
      <w:r w:rsidRPr="00ED0C72">
        <w:rPr>
          <w:rFonts w:ascii="Times New Roman" w:hAnsi="Times New Roman"/>
          <w:spacing w:val="-9"/>
          <w:sz w:val="24"/>
          <w:szCs w:val="24"/>
        </w:rPr>
        <w:t xml:space="preserve"> </w:t>
      </w:r>
      <w:r w:rsidRPr="00ED0C72">
        <w:rPr>
          <w:rFonts w:ascii="Times New Roman" w:hAnsi="Times New Roman"/>
          <w:sz w:val="24"/>
          <w:szCs w:val="24"/>
        </w:rPr>
        <w:t>(ml)</w:t>
      </w: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2"/>
        <w:gridCol w:w="1764"/>
        <w:gridCol w:w="1678"/>
        <w:gridCol w:w="1682"/>
        <w:gridCol w:w="1541"/>
        <w:gridCol w:w="1538"/>
      </w:tblGrid>
      <w:tr w:rsidR="00ED0C72" w:rsidTr="00ED0C72">
        <w:trPr>
          <w:trHeight w:hRule="exact" w:val="516"/>
        </w:trPr>
        <w:tc>
          <w:tcPr>
            <w:tcW w:w="1512" w:type="dxa"/>
            <w:tcBorders>
              <w:top w:val="single" w:sz="4" w:space="0" w:color="000000"/>
              <w:left w:val="single" w:sz="4" w:space="0" w:color="000000"/>
              <w:bottom w:val="single" w:sz="4" w:space="0" w:color="000000"/>
              <w:right w:val="single" w:sz="4" w:space="0" w:color="000000"/>
            </w:tcBorders>
          </w:tcPr>
          <w:p w:rsidR="00ED0C72" w:rsidRDefault="00ED0C72"/>
        </w:tc>
        <w:tc>
          <w:tcPr>
            <w:tcW w:w="5124" w:type="dxa"/>
            <w:gridSpan w:val="3"/>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spacing w:line="240" w:lineRule="auto"/>
              <w:ind w:left="1620" w:right="1595" w:firstLine="465"/>
              <w:rPr>
                <w:b/>
              </w:rPr>
            </w:pPr>
            <w:proofErr w:type="spellStart"/>
            <w:r>
              <w:rPr>
                <w:b/>
              </w:rPr>
              <w:t>Kohorte</w:t>
            </w:r>
            <w:proofErr w:type="spellEnd"/>
            <w:r>
              <w:rPr>
                <w:b/>
              </w:rPr>
              <w:t xml:space="preserve"> 1 (</w:t>
            </w:r>
            <w:proofErr w:type="spellStart"/>
            <w:r>
              <w:rPr>
                <w:b/>
              </w:rPr>
              <w:t>kropsvægt</w:t>
            </w:r>
            <w:proofErr w:type="spellEnd"/>
            <w:r>
              <w:rPr>
                <w:b/>
              </w:rPr>
              <w:t xml:space="preserve"> &gt; 25 kg)</w:t>
            </w:r>
          </w:p>
        </w:tc>
        <w:tc>
          <w:tcPr>
            <w:tcW w:w="3079" w:type="dxa"/>
            <w:gridSpan w:val="2"/>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spacing w:line="240" w:lineRule="auto"/>
              <w:ind w:left="599" w:right="575" w:firstLine="463"/>
              <w:rPr>
                <w:b/>
              </w:rPr>
            </w:pPr>
            <w:proofErr w:type="spellStart"/>
            <w:r>
              <w:rPr>
                <w:b/>
              </w:rPr>
              <w:t>Kohorte</w:t>
            </w:r>
            <w:proofErr w:type="spellEnd"/>
            <w:r>
              <w:rPr>
                <w:b/>
              </w:rPr>
              <w:t xml:space="preserve"> 2 (</w:t>
            </w:r>
            <w:proofErr w:type="spellStart"/>
            <w:r>
              <w:rPr>
                <w:b/>
              </w:rPr>
              <w:t>kropsvægt</w:t>
            </w:r>
            <w:proofErr w:type="spellEnd"/>
            <w:r>
              <w:rPr>
                <w:b/>
              </w:rPr>
              <w:t xml:space="preserve"> ≤ 25 kg)</w:t>
            </w:r>
          </w:p>
        </w:tc>
      </w:tr>
      <w:tr w:rsidR="00ED0C72" w:rsidTr="00ED0C72">
        <w:trPr>
          <w:trHeight w:hRule="exact" w:val="264"/>
        </w:trPr>
        <w:tc>
          <w:tcPr>
            <w:tcW w:w="1512" w:type="dxa"/>
            <w:tcBorders>
              <w:top w:val="single" w:sz="4" w:space="0" w:color="000000"/>
              <w:left w:val="single" w:sz="4" w:space="0" w:color="000000"/>
              <w:bottom w:val="single" w:sz="4" w:space="0" w:color="000000"/>
              <w:right w:val="single" w:sz="4" w:space="0" w:color="000000"/>
            </w:tcBorders>
          </w:tcPr>
          <w:p w:rsidR="00ED0C72" w:rsidRDefault="00ED0C72"/>
        </w:tc>
        <w:tc>
          <w:tcPr>
            <w:tcW w:w="1764" w:type="dxa"/>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ind w:left="93" w:right="87"/>
              <w:rPr>
                <w:b/>
              </w:rPr>
            </w:pPr>
            <w:proofErr w:type="spellStart"/>
            <w:r>
              <w:rPr>
                <w:b/>
              </w:rPr>
              <w:t>Feso</w:t>
            </w:r>
            <w:proofErr w:type="spellEnd"/>
            <w:r>
              <w:rPr>
                <w:b/>
              </w:rPr>
              <w:t xml:space="preserve"> 4 mg tablet</w:t>
            </w:r>
          </w:p>
        </w:tc>
        <w:tc>
          <w:tcPr>
            <w:tcW w:w="1678" w:type="dxa"/>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ind w:left="47" w:right="46"/>
              <w:rPr>
                <w:b/>
              </w:rPr>
            </w:pPr>
            <w:proofErr w:type="spellStart"/>
            <w:r>
              <w:rPr>
                <w:b/>
              </w:rPr>
              <w:t>Feso</w:t>
            </w:r>
            <w:proofErr w:type="spellEnd"/>
            <w:r>
              <w:rPr>
                <w:b/>
              </w:rPr>
              <w:t xml:space="preserve"> 8 mg tablet</w:t>
            </w:r>
          </w:p>
        </w:tc>
        <w:tc>
          <w:tcPr>
            <w:tcW w:w="1682" w:type="dxa"/>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ind w:left="75" w:right="72"/>
              <w:rPr>
                <w:b/>
              </w:rPr>
            </w:pPr>
            <w:r>
              <w:rPr>
                <w:b/>
              </w:rPr>
              <w:t>Oxybutynin XL</w:t>
            </w:r>
          </w:p>
        </w:tc>
        <w:tc>
          <w:tcPr>
            <w:tcW w:w="1541" w:type="dxa"/>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ind w:left="56" w:right="48"/>
              <w:rPr>
                <w:b/>
              </w:rPr>
            </w:pPr>
            <w:proofErr w:type="spellStart"/>
            <w:r>
              <w:rPr>
                <w:b/>
              </w:rPr>
              <w:t>Feso</w:t>
            </w:r>
            <w:proofErr w:type="spellEnd"/>
            <w:r>
              <w:rPr>
                <w:b/>
              </w:rPr>
              <w:t xml:space="preserve"> 2 mg BIC</w:t>
            </w:r>
          </w:p>
        </w:tc>
        <w:tc>
          <w:tcPr>
            <w:tcW w:w="1538" w:type="dxa"/>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ind w:left="53" w:right="47"/>
              <w:rPr>
                <w:b/>
              </w:rPr>
            </w:pPr>
            <w:proofErr w:type="spellStart"/>
            <w:r>
              <w:rPr>
                <w:b/>
              </w:rPr>
              <w:t>Feso</w:t>
            </w:r>
            <w:proofErr w:type="spellEnd"/>
            <w:r>
              <w:rPr>
                <w:b/>
              </w:rPr>
              <w:t xml:space="preserve"> 4 mg BIC</w:t>
            </w:r>
          </w:p>
        </w:tc>
      </w:tr>
      <w:tr w:rsidR="00ED0C72" w:rsidTr="00ED0C72">
        <w:trPr>
          <w:trHeight w:hRule="exact" w:val="262"/>
        </w:trPr>
        <w:tc>
          <w:tcPr>
            <w:tcW w:w="1512" w:type="dxa"/>
            <w:tcBorders>
              <w:top w:val="single" w:sz="4" w:space="0" w:color="000000"/>
              <w:left w:val="single" w:sz="4" w:space="0" w:color="000000"/>
              <w:bottom w:val="single" w:sz="4" w:space="0" w:color="000000"/>
              <w:right w:val="single" w:sz="4" w:space="0" w:color="000000"/>
            </w:tcBorders>
          </w:tcPr>
          <w:p w:rsidR="00ED0C72" w:rsidRDefault="00ED0C72"/>
        </w:tc>
        <w:tc>
          <w:tcPr>
            <w:tcW w:w="1764" w:type="dxa"/>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ind w:left="89" w:right="87"/>
              <w:rPr>
                <w:b/>
              </w:rPr>
            </w:pPr>
            <w:r>
              <w:rPr>
                <w:b/>
              </w:rPr>
              <w:t>N = 41</w:t>
            </w:r>
          </w:p>
        </w:tc>
        <w:tc>
          <w:tcPr>
            <w:tcW w:w="1678" w:type="dxa"/>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ind w:left="47" w:right="45"/>
              <w:rPr>
                <w:b/>
              </w:rPr>
            </w:pPr>
            <w:r>
              <w:rPr>
                <w:b/>
              </w:rPr>
              <w:t>N = 41</w:t>
            </w:r>
          </w:p>
        </w:tc>
        <w:tc>
          <w:tcPr>
            <w:tcW w:w="1682" w:type="dxa"/>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ind w:left="74" w:right="72"/>
              <w:rPr>
                <w:b/>
              </w:rPr>
            </w:pPr>
            <w:r>
              <w:rPr>
                <w:b/>
              </w:rPr>
              <w:t>N = 38</w:t>
            </w:r>
          </w:p>
        </w:tc>
        <w:tc>
          <w:tcPr>
            <w:tcW w:w="1541" w:type="dxa"/>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ind w:left="52" w:right="48"/>
              <w:rPr>
                <w:b/>
              </w:rPr>
            </w:pPr>
            <w:r>
              <w:rPr>
                <w:b/>
              </w:rPr>
              <w:t>N = 25</w:t>
            </w:r>
          </w:p>
        </w:tc>
        <w:tc>
          <w:tcPr>
            <w:tcW w:w="1538" w:type="dxa"/>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ind w:left="49" w:right="47"/>
              <w:rPr>
                <w:b/>
              </w:rPr>
            </w:pPr>
            <w:r>
              <w:rPr>
                <w:b/>
              </w:rPr>
              <w:t>N = 28</w:t>
            </w:r>
          </w:p>
        </w:tc>
      </w:tr>
      <w:tr w:rsidR="00ED0C72" w:rsidTr="00ED0C72">
        <w:trPr>
          <w:trHeight w:hRule="exact" w:val="264"/>
        </w:trPr>
        <w:tc>
          <w:tcPr>
            <w:tcW w:w="1512" w:type="dxa"/>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ind w:left="52"/>
            </w:pPr>
            <w:r>
              <w:t>Baseline</w:t>
            </w:r>
          </w:p>
        </w:tc>
        <w:tc>
          <w:tcPr>
            <w:tcW w:w="1764" w:type="dxa"/>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ind w:left="91" w:right="87"/>
            </w:pPr>
            <w:r>
              <w:t>195,1</w:t>
            </w:r>
          </w:p>
        </w:tc>
        <w:tc>
          <w:tcPr>
            <w:tcW w:w="1678" w:type="dxa"/>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ind w:left="47" w:right="43"/>
            </w:pPr>
            <w:r>
              <w:t>173,3</w:t>
            </w:r>
          </w:p>
        </w:tc>
        <w:tc>
          <w:tcPr>
            <w:tcW w:w="1682" w:type="dxa"/>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ind w:left="75" w:right="71"/>
            </w:pPr>
            <w:r>
              <w:t>164,1</w:t>
            </w:r>
          </w:p>
        </w:tc>
        <w:tc>
          <w:tcPr>
            <w:tcW w:w="1541" w:type="dxa"/>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ind w:left="55" w:right="48"/>
            </w:pPr>
            <w:r>
              <w:t>131,4</w:t>
            </w:r>
          </w:p>
        </w:tc>
        <w:tc>
          <w:tcPr>
            <w:tcW w:w="1538" w:type="dxa"/>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ind w:left="51" w:right="47"/>
            </w:pPr>
            <w:r>
              <w:t>126,7</w:t>
            </w:r>
          </w:p>
        </w:tc>
      </w:tr>
      <w:tr w:rsidR="00ED0C72" w:rsidTr="00ED0C72">
        <w:trPr>
          <w:trHeight w:hRule="exact" w:val="768"/>
        </w:trPr>
        <w:tc>
          <w:tcPr>
            <w:tcW w:w="1512" w:type="dxa"/>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spacing w:line="235" w:lineRule="auto"/>
              <w:ind w:left="52" w:right="377"/>
              <w:rPr>
                <w:sz w:val="14"/>
                <w:lang w:val="da-DK"/>
              </w:rPr>
            </w:pPr>
            <w:r>
              <w:rPr>
                <w:lang w:val="da-DK"/>
              </w:rPr>
              <w:t xml:space="preserve">Ændring fra </w:t>
            </w:r>
            <w:proofErr w:type="gramStart"/>
            <w:r>
              <w:rPr>
                <w:lang w:val="da-DK"/>
              </w:rPr>
              <w:t>baseline  (</w:t>
            </w:r>
            <w:proofErr w:type="gramEnd"/>
            <w:r>
              <w:rPr>
                <w:lang w:val="da-DK"/>
              </w:rPr>
              <w:t>95 %</w:t>
            </w:r>
            <w:r>
              <w:rPr>
                <w:spacing w:val="-5"/>
                <w:lang w:val="da-DK"/>
              </w:rPr>
              <w:t xml:space="preserve"> </w:t>
            </w:r>
            <w:r>
              <w:rPr>
                <w:lang w:val="da-DK"/>
              </w:rPr>
              <w:t>CI)</w:t>
            </w:r>
            <w:r>
              <w:rPr>
                <w:position w:val="8"/>
                <w:sz w:val="14"/>
                <w:lang w:val="da-DK"/>
              </w:rPr>
              <w:t>a</w:t>
            </w:r>
          </w:p>
        </w:tc>
        <w:tc>
          <w:tcPr>
            <w:tcW w:w="1764" w:type="dxa"/>
            <w:tcBorders>
              <w:top w:val="single" w:sz="4" w:space="0" w:color="000000"/>
              <w:left w:val="single" w:sz="4" w:space="0" w:color="000000"/>
              <w:bottom w:val="single" w:sz="4" w:space="0" w:color="000000"/>
              <w:right w:val="single" w:sz="4" w:space="0" w:color="000000"/>
            </w:tcBorders>
          </w:tcPr>
          <w:p w:rsidR="00ED0C72" w:rsidRDefault="00ED0C72">
            <w:pPr>
              <w:pStyle w:val="TableParagraph"/>
              <w:spacing w:before="9" w:line="240" w:lineRule="auto"/>
              <w:rPr>
                <w:b/>
                <w:sz w:val="21"/>
                <w:lang w:val="da-DK"/>
              </w:rPr>
            </w:pPr>
          </w:p>
          <w:p w:rsidR="00ED0C72" w:rsidRDefault="00ED0C72">
            <w:pPr>
              <w:pStyle w:val="TableParagraph"/>
              <w:spacing w:line="240" w:lineRule="auto"/>
              <w:ind w:left="91" w:right="87"/>
            </w:pPr>
            <w:r>
              <w:t>58,12</w:t>
            </w:r>
          </w:p>
          <w:p w:rsidR="00ED0C72" w:rsidRDefault="00ED0C72">
            <w:pPr>
              <w:pStyle w:val="TableParagraph"/>
              <w:spacing w:before="1" w:line="240" w:lineRule="auto"/>
              <w:ind w:left="89" w:right="87"/>
            </w:pPr>
            <w:r>
              <w:t>(28,84; 87,39)</w:t>
            </w:r>
          </w:p>
        </w:tc>
        <w:tc>
          <w:tcPr>
            <w:tcW w:w="1678" w:type="dxa"/>
            <w:tcBorders>
              <w:top w:val="single" w:sz="4" w:space="0" w:color="000000"/>
              <w:left w:val="single" w:sz="4" w:space="0" w:color="000000"/>
              <w:bottom w:val="single" w:sz="4" w:space="0" w:color="000000"/>
              <w:right w:val="single" w:sz="4" w:space="0" w:color="000000"/>
            </w:tcBorders>
          </w:tcPr>
          <w:p w:rsidR="00ED0C72" w:rsidRDefault="00ED0C72">
            <w:pPr>
              <w:pStyle w:val="TableParagraph"/>
              <w:spacing w:before="9" w:line="240" w:lineRule="auto"/>
              <w:rPr>
                <w:b/>
                <w:sz w:val="21"/>
              </w:rPr>
            </w:pPr>
          </w:p>
          <w:p w:rsidR="00ED0C72" w:rsidRDefault="00ED0C72">
            <w:pPr>
              <w:pStyle w:val="TableParagraph"/>
              <w:spacing w:line="240" w:lineRule="auto"/>
              <w:ind w:left="47" w:right="43"/>
            </w:pPr>
            <w:r>
              <w:t>83,36</w:t>
            </w:r>
          </w:p>
          <w:p w:rsidR="00ED0C72" w:rsidRDefault="00ED0C72">
            <w:pPr>
              <w:pStyle w:val="TableParagraph"/>
              <w:spacing w:before="1" w:line="240" w:lineRule="auto"/>
              <w:ind w:left="46" w:right="46"/>
            </w:pPr>
            <w:r>
              <w:t>(54,22;112,49)</w:t>
            </w:r>
          </w:p>
        </w:tc>
        <w:tc>
          <w:tcPr>
            <w:tcW w:w="1682" w:type="dxa"/>
            <w:tcBorders>
              <w:top w:val="single" w:sz="4" w:space="0" w:color="000000"/>
              <w:left w:val="single" w:sz="4" w:space="0" w:color="000000"/>
              <w:bottom w:val="single" w:sz="4" w:space="0" w:color="000000"/>
              <w:right w:val="single" w:sz="4" w:space="0" w:color="000000"/>
            </w:tcBorders>
          </w:tcPr>
          <w:p w:rsidR="00ED0C72" w:rsidRDefault="00ED0C72">
            <w:pPr>
              <w:pStyle w:val="TableParagraph"/>
              <w:spacing w:before="9" w:line="240" w:lineRule="auto"/>
              <w:rPr>
                <w:b/>
                <w:sz w:val="21"/>
              </w:rPr>
            </w:pPr>
          </w:p>
          <w:p w:rsidR="00ED0C72" w:rsidRDefault="00ED0C72">
            <w:pPr>
              <w:pStyle w:val="TableParagraph"/>
              <w:spacing w:line="240" w:lineRule="auto"/>
              <w:ind w:left="168" w:right="72"/>
            </w:pPr>
            <w:r>
              <w:t>87,17</w:t>
            </w:r>
          </w:p>
          <w:p w:rsidR="00ED0C72" w:rsidRDefault="00ED0C72">
            <w:pPr>
              <w:pStyle w:val="TableParagraph"/>
              <w:spacing w:before="1" w:line="240" w:lineRule="auto"/>
              <w:ind w:left="167" w:right="72"/>
            </w:pPr>
            <w:r>
              <w:t>(56,82; 117,53)</w:t>
            </w:r>
          </w:p>
        </w:tc>
        <w:tc>
          <w:tcPr>
            <w:tcW w:w="1541" w:type="dxa"/>
            <w:tcBorders>
              <w:top w:val="single" w:sz="4" w:space="0" w:color="000000"/>
              <w:left w:val="single" w:sz="4" w:space="0" w:color="000000"/>
              <w:bottom w:val="single" w:sz="4" w:space="0" w:color="000000"/>
              <w:right w:val="single" w:sz="4" w:space="0" w:color="000000"/>
            </w:tcBorders>
          </w:tcPr>
          <w:p w:rsidR="00ED0C72" w:rsidRDefault="00ED0C72">
            <w:pPr>
              <w:pStyle w:val="TableParagraph"/>
              <w:spacing w:before="9" w:line="240" w:lineRule="auto"/>
              <w:rPr>
                <w:b/>
                <w:sz w:val="21"/>
              </w:rPr>
            </w:pPr>
          </w:p>
          <w:p w:rsidR="00ED0C72" w:rsidRDefault="00ED0C72">
            <w:pPr>
              <w:pStyle w:val="TableParagraph"/>
              <w:spacing w:line="240" w:lineRule="auto"/>
              <w:ind w:left="55" w:right="48"/>
            </w:pPr>
            <w:r>
              <w:t>23,49</w:t>
            </w:r>
          </w:p>
          <w:p w:rsidR="00ED0C72" w:rsidRDefault="00ED0C72">
            <w:pPr>
              <w:pStyle w:val="TableParagraph"/>
              <w:spacing w:before="1" w:line="240" w:lineRule="auto"/>
              <w:ind w:left="53" w:right="48"/>
            </w:pPr>
            <w:r>
              <w:t>(3,03; 43,95)</w:t>
            </w:r>
          </w:p>
        </w:tc>
        <w:tc>
          <w:tcPr>
            <w:tcW w:w="1538" w:type="dxa"/>
            <w:tcBorders>
              <w:top w:val="single" w:sz="4" w:space="0" w:color="000000"/>
              <w:left w:val="single" w:sz="4" w:space="0" w:color="000000"/>
              <w:bottom w:val="single" w:sz="4" w:space="0" w:color="000000"/>
              <w:right w:val="single" w:sz="4" w:space="0" w:color="000000"/>
            </w:tcBorders>
          </w:tcPr>
          <w:p w:rsidR="00ED0C72" w:rsidRDefault="00ED0C72">
            <w:pPr>
              <w:pStyle w:val="TableParagraph"/>
              <w:spacing w:before="9" w:line="240" w:lineRule="auto"/>
              <w:rPr>
                <w:b/>
                <w:sz w:val="21"/>
              </w:rPr>
            </w:pPr>
          </w:p>
          <w:p w:rsidR="00ED0C72" w:rsidRDefault="00ED0C72">
            <w:pPr>
              <w:pStyle w:val="TableParagraph"/>
              <w:spacing w:line="240" w:lineRule="auto"/>
              <w:ind w:left="51" w:right="47"/>
            </w:pPr>
            <w:r>
              <w:t>40,17</w:t>
            </w:r>
          </w:p>
          <w:p w:rsidR="00ED0C72" w:rsidRDefault="00ED0C72">
            <w:pPr>
              <w:pStyle w:val="TableParagraph"/>
              <w:spacing w:before="1" w:line="240" w:lineRule="auto"/>
              <w:ind w:left="49" w:right="47"/>
            </w:pPr>
            <w:r>
              <w:t>(20,84; 59,50)</w:t>
            </w:r>
          </w:p>
        </w:tc>
      </w:tr>
      <w:tr w:rsidR="00ED0C72" w:rsidTr="00ED0C72">
        <w:trPr>
          <w:trHeight w:hRule="exact" w:val="516"/>
        </w:trPr>
        <w:tc>
          <w:tcPr>
            <w:tcW w:w="1512" w:type="dxa"/>
            <w:tcBorders>
              <w:top w:val="single" w:sz="4" w:space="0" w:color="000000"/>
              <w:left w:val="single" w:sz="4" w:space="0" w:color="000000"/>
              <w:bottom w:val="single" w:sz="4" w:space="0" w:color="000000"/>
              <w:right w:val="single" w:sz="4" w:space="0" w:color="000000"/>
            </w:tcBorders>
            <w:hideMark/>
          </w:tcPr>
          <w:p w:rsidR="00ED0C72" w:rsidRDefault="00ED0C72">
            <w:pPr>
              <w:pStyle w:val="TableParagraph"/>
              <w:spacing w:before="1" w:line="254" w:lineRule="exact"/>
              <w:ind w:left="52" w:right="440"/>
              <w:rPr>
                <w:sz w:val="14"/>
              </w:rPr>
            </w:pPr>
            <w:r>
              <w:t>p-</w:t>
            </w:r>
            <w:proofErr w:type="spellStart"/>
            <w:r>
              <w:t>værdi</w:t>
            </w:r>
            <w:proofErr w:type="spellEnd"/>
            <w:r>
              <w:t xml:space="preserve"> vs. baseline</w:t>
            </w:r>
            <w:r>
              <w:rPr>
                <w:position w:val="8"/>
                <w:sz w:val="14"/>
              </w:rPr>
              <w:t>a</w:t>
            </w:r>
          </w:p>
        </w:tc>
        <w:tc>
          <w:tcPr>
            <w:tcW w:w="1764" w:type="dxa"/>
            <w:tcBorders>
              <w:top w:val="single" w:sz="4" w:space="0" w:color="000000"/>
              <w:left w:val="single" w:sz="4" w:space="0" w:color="000000"/>
              <w:bottom w:val="single" w:sz="4" w:space="0" w:color="000000"/>
              <w:right w:val="single" w:sz="4" w:space="0" w:color="000000"/>
            </w:tcBorders>
          </w:tcPr>
          <w:p w:rsidR="00ED0C72" w:rsidRDefault="00ED0C72">
            <w:pPr>
              <w:pStyle w:val="TableParagraph"/>
              <w:spacing w:line="240" w:lineRule="auto"/>
              <w:rPr>
                <w:b/>
              </w:rPr>
            </w:pPr>
          </w:p>
          <w:p w:rsidR="00ED0C72" w:rsidRDefault="00ED0C72">
            <w:pPr>
              <w:pStyle w:val="TableParagraph"/>
              <w:spacing w:line="240" w:lineRule="auto"/>
              <w:ind w:left="91" w:right="87"/>
            </w:pPr>
            <w:r>
              <w:t>0,0001</w:t>
            </w:r>
          </w:p>
        </w:tc>
        <w:tc>
          <w:tcPr>
            <w:tcW w:w="1678" w:type="dxa"/>
            <w:tcBorders>
              <w:top w:val="single" w:sz="4" w:space="0" w:color="000000"/>
              <w:left w:val="single" w:sz="4" w:space="0" w:color="000000"/>
              <w:bottom w:val="single" w:sz="4" w:space="0" w:color="000000"/>
              <w:right w:val="single" w:sz="4" w:space="0" w:color="000000"/>
            </w:tcBorders>
          </w:tcPr>
          <w:p w:rsidR="00ED0C72" w:rsidRDefault="00ED0C72">
            <w:pPr>
              <w:pStyle w:val="TableParagraph"/>
              <w:spacing w:line="240" w:lineRule="auto"/>
              <w:rPr>
                <w:b/>
              </w:rPr>
            </w:pPr>
          </w:p>
          <w:p w:rsidR="00ED0C72" w:rsidRDefault="00ED0C72">
            <w:pPr>
              <w:pStyle w:val="TableParagraph"/>
              <w:spacing w:line="240" w:lineRule="auto"/>
              <w:ind w:left="47" w:right="45"/>
            </w:pPr>
            <w:r>
              <w:t>&lt; 0,0001</w:t>
            </w:r>
          </w:p>
        </w:tc>
        <w:tc>
          <w:tcPr>
            <w:tcW w:w="1682" w:type="dxa"/>
            <w:tcBorders>
              <w:top w:val="single" w:sz="4" w:space="0" w:color="000000"/>
              <w:left w:val="single" w:sz="4" w:space="0" w:color="000000"/>
              <w:bottom w:val="single" w:sz="4" w:space="0" w:color="000000"/>
              <w:right w:val="single" w:sz="4" w:space="0" w:color="000000"/>
            </w:tcBorders>
          </w:tcPr>
          <w:p w:rsidR="00ED0C72" w:rsidRDefault="00ED0C72">
            <w:pPr>
              <w:pStyle w:val="TableParagraph"/>
              <w:spacing w:line="240" w:lineRule="auto"/>
              <w:rPr>
                <w:b/>
              </w:rPr>
            </w:pPr>
          </w:p>
          <w:p w:rsidR="00ED0C72" w:rsidRDefault="00ED0C72">
            <w:pPr>
              <w:pStyle w:val="TableParagraph"/>
              <w:spacing w:line="240" w:lineRule="auto"/>
              <w:ind w:left="74" w:right="72"/>
            </w:pPr>
            <w:r>
              <w:t>&lt; 0,0001</w:t>
            </w:r>
          </w:p>
        </w:tc>
        <w:tc>
          <w:tcPr>
            <w:tcW w:w="1541" w:type="dxa"/>
            <w:tcBorders>
              <w:top w:val="single" w:sz="4" w:space="0" w:color="000000"/>
              <w:left w:val="single" w:sz="4" w:space="0" w:color="000000"/>
              <w:bottom w:val="single" w:sz="4" w:space="0" w:color="000000"/>
              <w:right w:val="single" w:sz="4" w:space="0" w:color="000000"/>
            </w:tcBorders>
          </w:tcPr>
          <w:p w:rsidR="00ED0C72" w:rsidRDefault="00ED0C72">
            <w:pPr>
              <w:pStyle w:val="TableParagraph"/>
              <w:spacing w:before="6" w:line="240" w:lineRule="auto"/>
              <w:rPr>
                <w:b/>
                <w:sz w:val="21"/>
              </w:rPr>
            </w:pPr>
          </w:p>
          <w:p w:rsidR="00ED0C72" w:rsidRDefault="00ED0C72">
            <w:pPr>
              <w:pStyle w:val="TableParagraph"/>
              <w:spacing w:line="240" w:lineRule="auto"/>
              <w:ind w:left="50" w:right="48"/>
              <w:rPr>
                <w:sz w:val="14"/>
              </w:rPr>
            </w:pPr>
            <w:r>
              <w:t>--</w:t>
            </w:r>
            <w:r>
              <w:rPr>
                <w:position w:val="8"/>
                <w:sz w:val="14"/>
              </w:rPr>
              <w:t>b</w:t>
            </w:r>
          </w:p>
        </w:tc>
        <w:tc>
          <w:tcPr>
            <w:tcW w:w="1538" w:type="dxa"/>
            <w:tcBorders>
              <w:top w:val="single" w:sz="4" w:space="0" w:color="000000"/>
              <w:left w:val="single" w:sz="4" w:space="0" w:color="000000"/>
              <w:bottom w:val="single" w:sz="4" w:space="0" w:color="000000"/>
              <w:right w:val="single" w:sz="4" w:space="0" w:color="000000"/>
            </w:tcBorders>
          </w:tcPr>
          <w:p w:rsidR="00ED0C72" w:rsidRDefault="00ED0C72">
            <w:pPr>
              <w:pStyle w:val="TableParagraph"/>
              <w:spacing w:before="6" w:line="240" w:lineRule="auto"/>
              <w:rPr>
                <w:b/>
                <w:sz w:val="21"/>
              </w:rPr>
            </w:pPr>
          </w:p>
          <w:p w:rsidR="00ED0C72" w:rsidRDefault="00ED0C72">
            <w:pPr>
              <w:pStyle w:val="TableParagraph"/>
              <w:spacing w:line="240" w:lineRule="auto"/>
              <w:ind w:left="47" w:right="47"/>
              <w:rPr>
                <w:sz w:val="14"/>
              </w:rPr>
            </w:pPr>
            <w:r>
              <w:t>--</w:t>
            </w:r>
            <w:r>
              <w:rPr>
                <w:position w:val="8"/>
                <w:sz w:val="14"/>
              </w:rPr>
              <w:t>b</w:t>
            </w:r>
          </w:p>
        </w:tc>
      </w:tr>
    </w:tbl>
    <w:p w:rsidR="00ED0C72" w:rsidRPr="00ED0C72" w:rsidRDefault="00ED0C72" w:rsidP="00ED0C72">
      <w:pPr>
        <w:pStyle w:val="Brdtekst"/>
        <w:ind w:left="173" w:right="910"/>
        <w:rPr>
          <w:sz w:val="20"/>
          <w:szCs w:val="20"/>
          <w:lang w:val="da-DK"/>
        </w:rPr>
      </w:pPr>
      <w:r w:rsidRPr="00ED0C72">
        <w:rPr>
          <w:sz w:val="20"/>
          <w:szCs w:val="20"/>
          <w:lang w:val="da-DK"/>
        </w:rPr>
        <w:t>Forkortelser: BIC = granulat i kapsel (</w:t>
      </w:r>
      <w:proofErr w:type="spellStart"/>
      <w:r w:rsidRPr="00ED0C72">
        <w:rPr>
          <w:sz w:val="20"/>
          <w:szCs w:val="20"/>
          <w:lang w:val="da-DK"/>
        </w:rPr>
        <w:t>beads</w:t>
      </w:r>
      <w:proofErr w:type="spellEnd"/>
      <w:r w:rsidRPr="00ED0C72">
        <w:rPr>
          <w:sz w:val="20"/>
          <w:szCs w:val="20"/>
          <w:lang w:val="da-DK"/>
        </w:rPr>
        <w:t>-in-</w:t>
      </w:r>
      <w:proofErr w:type="spellStart"/>
      <w:r w:rsidRPr="00ED0C72">
        <w:rPr>
          <w:sz w:val="20"/>
          <w:szCs w:val="20"/>
          <w:lang w:val="da-DK"/>
        </w:rPr>
        <w:t>capsule</w:t>
      </w:r>
      <w:proofErr w:type="spellEnd"/>
      <w:r w:rsidRPr="00ED0C72">
        <w:rPr>
          <w:sz w:val="20"/>
          <w:szCs w:val="20"/>
          <w:lang w:val="da-DK"/>
        </w:rPr>
        <w:t xml:space="preserve">); CI = konfidensinterval; </w:t>
      </w:r>
      <w:proofErr w:type="spellStart"/>
      <w:r w:rsidRPr="00ED0C72">
        <w:rPr>
          <w:sz w:val="20"/>
          <w:szCs w:val="20"/>
          <w:lang w:val="da-DK"/>
        </w:rPr>
        <w:t>Feso</w:t>
      </w:r>
      <w:proofErr w:type="spellEnd"/>
      <w:r w:rsidRPr="00ED0C72">
        <w:rPr>
          <w:sz w:val="20"/>
          <w:szCs w:val="20"/>
          <w:lang w:val="da-DK"/>
        </w:rPr>
        <w:t xml:space="preserve"> = </w:t>
      </w:r>
      <w:proofErr w:type="spellStart"/>
      <w:r w:rsidRPr="00ED0C72">
        <w:rPr>
          <w:sz w:val="20"/>
          <w:szCs w:val="20"/>
          <w:lang w:val="da-DK"/>
        </w:rPr>
        <w:t>fesoterodin</w:t>
      </w:r>
      <w:proofErr w:type="spellEnd"/>
      <w:r w:rsidRPr="00ED0C72">
        <w:rPr>
          <w:sz w:val="20"/>
          <w:szCs w:val="20"/>
          <w:lang w:val="da-DK"/>
        </w:rPr>
        <w:t>, N = antal patienter, uden manglende baselinemåling; vs. = versus.</w:t>
      </w:r>
    </w:p>
    <w:p w:rsidR="00ED0C72" w:rsidRPr="00ED0C72" w:rsidRDefault="00ED0C72" w:rsidP="00ED0C72">
      <w:pPr>
        <w:pStyle w:val="Brdtekst"/>
        <w:spacing w:line="252" w:lineRule="exact"/>
        <w:ind w:left="173"/>
        <w:rPr>
          <w:sz w:val="20"/>
          <w:szCs w:val="20"/>
          <w:lang w:val="da-DK"/>
        </w:rPr>
      </w:pPr>
      <w:r w:rsidRPr="00ED0C72">
        <w:rPr>
          <w:sz w:val="20"/>
          <w:szCs w:val="20"/>
          <w:lang w:val="da-DK"/>
        </w:rPr>
        <w:t>Baseline defineres som den seneste tilgængelige måling forud for opstart af behandling.</w:t>
      </w:r>
    </w:p>
    <w:p w:rsidR="00ED0C72" w:rsidRPr="00ED0C72" w:rsidRDefault="00ED0C72" w:rsidP="00ED0C72">
      <w:pPr>
        <w:pStyle w:val="Listeafsnit"/>
        <w:numPr>
          <w:ilvl w:val="0"/>
          <w:numId w:val="11"/>
        </w:numPr>
        <w:spacing w:before="1"/>
        <w:ind w:left="567" w:right="1258" w:hanging="425"/>
        <w:jc w:val="both"/>
        <w:rPr>
          <w:sz w:val="20"/>
          <w:szCs w:val="20"/>
          <w:lang w:val="da-DK"/>
        </w:rPr>
      </w:pPr>
      <w:r w:rsidRPr="00ED0C72">
        <w:rPr>
          <w:sz w:val="20"/>
          <w:szCs w:val="20"/>
          <w:lang w:val="da-DK"/>
        </w:rPr>
        <w:t xml:space="preserve">Baseret på en analyse af </w:t>
      </w:r>
      <w:proofErr w:type="spellStart"/>
      <w:r w:rsidRPr="00ED0C72">
        <w:rPr>
          <w:sz w:val="20"/>
          <w:szCs w:val="20"/>
          <w:lang w:val="da-DK"/>
        </w:rPr>
        <w:t>kovariansmodel</w:t>
      </w:r>
      <w:proofErr w:type="spellEnd"/>
      <w:r w:rsidRPr="00ED0C72">
        <w:rPr>
          <w:sz w:val="20"/>
          <w:szCs w:val="20"/>
          <w:lang w:val="da-DK"/>
        </w:rPr>
        <w:t xml:space="preserve"> med behandlingsgruppe, maksimal </w:t>
      </w:r>
      <w:proofErr w:type="spellStart"/>
      <w:r w:rsidRPr="00ED0C72">
        <w:rPr>
          <w:sz w:val="20"/>
          <w:szCs w:val="20"/>
          <w:lang w:val="da-DK"/>
        </w:rPr>
        <w:t>cystometrisk</w:t>
      </w:r>
      <w:proofErr w:type="spellEnd"/>
      <w:r w:rsidRPr="00ED0C72">
        <w:rPr>
          <w:sz w:val="20"/>
          <w:szCs w:val="20"/>
          <w:lang w:val="da-DK"/>
        </w:rPr>
        <w:t xml:space="preserve"> blærekapacitet ved baseline og vægt ved baseline som </w:t>
      </w:r>
      <w:proofErr w:type="spellStart"/>
      <w:r w:rsidRPr="00ED0C72">
        <w:rPr>
          <w:sz w:val="20"/>
          <w:szCs w:val="20"/>
          <w:lang w:val="da-DK"/>
        </w:rPr>
        <w:t>kovariater</w:t>
      </w:r>
      <w:proofErr w:type="spellEnd"/>
      <w:r w:rsidRPr="00ED0C72">
        <w:rPr>
          <w:sz w:val="20"/>
          <w:szCs w:val="20"/>
          <w:lang w:val="da-DK"/>
        </w:rPr>
        <w:t xml:space="preserve">. Last observation </w:t>
      </w:r>
      <w:proofErr w:type="spellStart"/>
      <w:r w:rsidRPr="00ED0C72">
        <w:rPr>
          <w:sz w:val="20"/>
          <w:szCs w:val="20"/>
          <w:lang w:val="da-DK"/>
        </w:rPr>
        <w:t>carried</w:t>
      </w:r>
      <w:proofErr w:type="spellEnd"/>
      <w:r w:rsidRPr="00ED0C72">
        <w:rPr>
          <w:sz w:val="20"/>
          <w:szCs w:val="20"/>
          <w:lang w:val="da-DK"/>
        </w:rPr>
        <w:t xml:space="preserve"> forward/baselineobservation</w:t>
      </w:r>
      <w:r w:rsidRPr="00ED0C72">
        <w:rPr>
          <w:spacing w:val="-5"/>
          <w:sz w:val="20"/>
          <w:szCs w:val="20"/>
          <w:lang w:val="da-DK"/>
        </w:rPr>
        <w:t xml:space="preserve"> </w:t>
      </w:r>
      <w:r w:rsidRPr="00ED0C72">
        <w:rPr>
          <w:sz w:val="20"/>
          <w:szCs w:val="20"/>
          <w:lang w:val="da-DK"/>
        </w:rPr>
        <w:t>blev</w:t>
      </w:r>
      <w:r w:rsidRPr="00ED0C72">
        <w:rPr>
          <w:spacing w:val="-5"/>
          <w:sz w:val="20"/>
          <w:szCs w:val="20"/>
          <w:lang w:val="da-DK"/>
        </w:rPr>
        <w:t xml:space="preserve"> </w:t>
      </w:r>
      <w:r w:rsidRPr="00ED0C72">
        <w:rPr>
          <w:sz w:val="20"/>
          <w:szCs w:val="20"/>
          <w:lang w:val="da-DK"/>
        </w:rPr>
        <w:t>anvendt</w:t>
      </w:r>
      <w:r w:rsidRPr="00ED0C72">
        <w:rPr>
          <w:spacing w:val="-5"/>
          <w:sz w:val="20"/>
          <w:szCs w:val="20"/>
          <w:lang w:val="da-DK"/>
        </w:rPr>
        <w:t xml:space="preserve"> </w:t>
      </w:r>
      <w:r w:rsidRPr="00ED0C72">
        <w:rPr>
          <w:sz w:val="20"/>
          <w:szCs w:val="20"/>
          <w:lang w:val="da-DK"/>
        </w:rPr>
        <w:t>til</w:t>
      </w:r>
      <w:r w:rsidRPr="00ED0C72">
        <w:rPr>
          <w:spacing w:val="-7"/>
          <w:sz w:val="20"/>
          <w:szCs w:val="20"/>
          <w:lang w:val="da-DK"/>
        </w:rPr>
        <w:t xml:space="preserve"> </w:t>
      </w:r>
      <w:r w:rsidRPr="00ED0C72">
        <w:rPr>
          <w:sz w:val="20"/>
          <w:szCs w:val="20"/>
          <w:lang w:val="da-DK"/>
        </w:rPr>
        <w:t>tildeling</w:t>
      </w:r>
      <w:r w:rsidRPr="00ED0C72">
        <w:rPr>
          <w:spacing w:val="-9"/>
          <w:sz w:val="20"/>
          <w:szCs w:val="20"/>
          <w:lang w:val="da-DK"/>
        </w:rPr>
        <w:t xml:space="preserve"> </w:t>
      </w:r>
      <w:r w:rsidRPr="00ED0C72">
        <w:rPr>
          <w:sz w:val="20"/>
          <w:szCs w:val="20"/>
          <w:lang w:val="da-DK"/>
        </w:rPr>
        <w:t>af</w:t>
      </w:r>
      <w:r w:rsidRPr="00ED0C72">
        <w:rPr>
          <w:spacing w:val="-5"/>
          <w:sz w:val="20"/>
          <w:szCs w:val="20"/>
          <w:lang w:val="da-DK"/>
        </w:rPr>
        <w:t xml:space="preserve"> </w:t>
      </w:r>
      <w:r w:rsidRPr="00ED0C72">
        <w:rPr>
          <w:sz w:val="20"/>
          <w:szCs w:val="20"/>
          <w:lang w:val="da-DK"/>
        </w:rPr>
        <w:t>manglende</w:t>
      </w:r>
      <w:r w:rsidRPr="00ED0C72">
        <w:rPr>
          <w:spacing w:val="-5"/>
          <w:sz w:val="20"/>
          <w:szCs w:val="20"/>
          <w:lang w:val="da-DK"/>
        </w:rPr>
        <w:t xml:space="preserve"> </w:t>
      </w:r>
      <w:r w:rsidRPr="00ED0C72">
        <w:rPr>
          <w:sz w:val="20"/>
          <w:szCs w:val="20"/>
          <w:lang w:val="da-DK"/>
        </w:rPr>
        <w:t>værdier.</w:t>
      </w:r>
    </w:p>
    <w:p w:rsidR="00ED0C72" w:rsidRPr="00ED0C72" w:rsidRDefault="00ED0C72" w:rsidP="00ED0C72">
      <w:pPr>
        <w:pStyle w:val="Listeafsnit"/>
        <w:numPr>
          <w:ilvl w:val="0"/>
          <w:numId w:val="11"/>
        </w:numPr>
        <w:spacing w:before="1"/>
        <w:ind w:left="567" w:hanging="425"/>
        <w:rPr>
          <w:sz w:val="20"/>
          <w:szCs w:val="20"/>
          <w:lang w:val="da-DK"/>
        </w:rPr>
      </w:pPr>
      <w:r w:rsidRPr="00ED0C72">
        <w:rPr>
          <w:sz w:val="20"/>
          <w:szCs w:val="20"/>
          <w:lang w:val="da-DK"/>
        </w:rPr>
        <w:t>Der</w:t>
      </w:r>
      <w:r w:rsidRPr="00ED0C72">
        <w:rPr>
          <w:spacing w:val="-4"/>
          <w:sz w:val="20"/>
          <w:szCs w:val="20"/>
          <w:lang w:val="da-DK"/>
        </w:rPr>
        <w:t xml:space="preserve"> </w:t>
      </w:r>
      <w:r w:rsidRPr="00ED0C72">
        <w:rPr>
          <w:sz w:val="20"/>
          <w:szCs w:val="20"/>
          <w:lang w:val="da-DK"/>
        </w:rPr>
        <w:t>var</w:t>
      </w:r>
      <w:r w:rsidRPr="00ED0C72">
        <w:rPr>
          <w:spacing w:val="-4"/>
          <w:sz w:val="20"/>
          <w:szCs w:val="20"/>
          <w:lang w:val="da-DK"/>
        </w:rPr>
        <w:t xml:space="preserve"> </w:t>
      </w:r>
      <w:r w:rsidRPr="00ED0C72">
        <w:rPr>
          <w:sz w:val="20"/>
          <w:szCs w:val="20"/>
          <w:lang w:val="da-DK"/>
        </w:rPr>
        <w:t>ikke</w:t>
      </w:r>
      <w:r w:rsidRPr="00ED0C72">
        <w:rPr>
          <w:spacing w:val="-4"/>
          <w:sz w:val="20"/>
          <w:szCs w:val="20"/>
          <w:lang w:val="da-DK"/>
        </w:rPr>
        <w:t xml:space="preserve"> </w:t>
      </w:r>
      <w:r w:rsidRPr="00ED0C72">
        <w:rPr>
          <w:sz w:val="20"/>
          <w:szCs w:val="20"/>
          <w:lang w:val="da-DK"/>
        </w:rPr>
        <w:t>planlagt</w:t>
      </w:r>
      <w:r w:rsidRPr="00ED0C72">
        <w:rPr>
          <w:spacing w:val="-4"/>
          <w:sz w:val="20"/>
          <w:szCs w:val="20"/>
          <w:lang w:val="da-DK"/>
        </w:rPr>
        <w:t xml:space="preserve"> </w:t>
      </w:r>
      <w:r w:rsidRPr="00ED0C72">
        <w:rPr>
          <w:sz w:val="20"/>
          <w:szCs w:val="20"/>
          <w:lang w:val="da-DK"/>
        </w:rPr>
        <w:t>nogen</w:t>
      </w:r>
      <w:r w:rsidRPr="00ED0C72">
        <w:rPr>
          <w:spacing w:val="-4"/>
          <w:sz w:val="20"/>
          <w:szCs w:val="20"/>
          <w:lang w:val="da-DK"/>
        </w:rPr>
        <w:t xml:space="preserve"> </w:t>
      </w:r>
      <w:r w:rsidRPr="00ED0C72">
        <w:rPr>
          <w:sz w:val="20"/>
          <w:szCs w:val="20"/>
          <w:lang w:val="da-DK"/>
        </w:rPr>
        <w:t>hypoteseprøvning</w:t>
      </w:r>
      <w:r w:rsidRPr="00ED0C72">
        <w:rPr>
          <w:spacing w:val="-7"/>
          <w:sz w:val="20"/>
          <w:szCs w:val="20"/>
          <w:lang w:val="da-DK"/>
        </w:rPr>
        <w:t xml:space="preserve"> </w:t>
      </w:r>
      <w:r w:rsidRPr="00ED0C72">
        <w:rPr>
          <w:sz w:val="20"/>
          <w:szCs w:val="20"/>
          <w:lang w:val="da-DK"/>
        </w:rPr>
        <w:t>for</w:t>
      </w:r>
      <w:r w:rsidRPr="00ED0C72">
        <w:rPr>
          <w:spacing w:val="-3"/>
          <w:sz w:val="20"/>
          <w:szCs w:val="20"/>
          <w:lang w:val="da-DK"/>
        </w:rPr>
        <w:t xml:space="preserve"> </w:t>
      </w:r>
      <w:r w:rsidRPr="00ED0C72">
        <w:rPr>
          <w:sz w:val="20"/>
          <w:szCs w:val="20"/>
          <w:lang w:val="da-DK"/>
        </w:rPr>
        <w:t>kohorte</w:t>
      </w:r>
      <w:r w:rsidRPr="00ED0C72">
        <w:rPr>
          <w:spacing w:val="-5"/>
          <w:sz w:val="20"/>
          <w:szCs w:val="20"/>
          <w:lang w:val="da-DK"/>
        </w:rPr>
        <w:t xml:space="preserve"> </w:t>
      </w:r>
      <w:r w:rsidRPr="00ED0C72">
        <w:rPr>
          <w:sz w:val="20"/>
          <w:szCs w:val="20"/>
          <w:lang w:val="da-DK"/>
        </w:rPr>
        <w:t>2.</w:t>
      </w:r>
      <w:r w:rsidRPr="00ED0C72">
        <w:rPr>
          <w:spacing w:val="-4"/>
          <w:sz w:val="20"/>
          <w:szCs w:val="20"/>
          <w:lang w:val="da-DK"/>
        </w:rPr>
        <w:t xml:space="preserve"> </w:t>
      </w:r>
      <w:r w:rsidRPr="00ED0C72">
        <w:rPr>
          <w:sz w:val="20"/>
          <w:szCs w:val="20"/>
          <w:lang w:val="da-DK"/>
        </w:rPr>
        <w:t>Der</w:t>
      </w:r>
      <w:r w:rsidRPr="00ED0C72">
        <w:rPr>
          <w:spacing w:val="-4"/>
          <w:sz w:val="20"/>
          <w:szCs w:val="20"/>
          <w:lang w:val="da-DK"/>
        </w:rPr>
        <w:t xml:space="preserve"> </w:t>
      </w:r>
      <w:r w:rsidRPr="00ED0C72">
        <w:rPr>
          <w:sz w:val="20"/>
          <w:szCs w:val="20"/>
          <w:lang w:val="da-DK"/>
        </w:rPr>
        <w:t>præsenteres</w:t>
      </w:r>
      <w:r w:rsidRPr="00ED0C72">
        <w:rPr>
          <w:spacing w:val="-4"/>
          <w:sz w:val="20"/>
          <w:szCs w:val="20"/>
          <w:lang w:val="da-DK"/>
        </w:rPr>
        <w:t xml:space="preserve"> </w:t>
      </w:r>
      <w:r w:rsidRPr="00ED0C72">
        <w:rPr>
          <w:sz w:val="20"/>
          <w:szCs w:val="20"/>
          <w:lang w:val="da-DK"/>
        </w:rPr>
        <w:t>derfor</w:t>
      </w:r>
      <w:r w:rsidRPr="00ED0C72">
        <w:rPr>
          <w:spacing w:val="-2"/>
          <w:sz w:val="20"/>
          <w:szCs w:val="20"/>
          <w:lang w:val="da-DK"/>
        </w:rPr>
        <w:t xml:space="preserve"> </w:t>
      </w:r>
      <w:r w:rsidRPr="00ED0C72">
        <w:rPr>
          <w:sz w:val="20"/>
          <w:szCs w:val="20"/>
          <w:lang w:val="da-DK"/>
        </w:rPr>
        <w:t>ingen</w:t>
      </w:r>
      <w:r w:rsidRPr="00ED0C72">
        <w:rPr>
          <w:spacing w:val="-3"/>
          <w:sz w:val="20"/>
          <w:szCs w:val="20"/>
          <w:lang w:val="da-DK"/>
        </w:rPr>
        <w:t xml:space="preserve"> </w:t>
      </w:r>
      <w:proofErr w:type="spellStart"/>
      <w:r w:rsidRPr="00ED0C72">
        <w:rPr>
          <w:sz w:val="20"/>
          <w:szCs w:val="20"/>
          <w:lang w:val="da-DK"/>
        </w:rPr>
        <w:t>p-værdier</w:t>
      </w:r>
      <w:proofErr w:type="spellEnd"/>
      <w:r w:rsidRPr="00ED0C72">
        <w:rPr>
          <w:sz w:val="20"/>
          <w:szCs w:val="20"/>
          <w:lang w:val="da-DK"/>
        </w:rPr>
        <w:t>.</w:t>
      </w:r>
    </w:p>
    <w:p w:rsidR="00ED0C72" w:rsidRPr="00ED0C72" w:rsidRDefault="00ED0C72" w:rsidP="00ED0C72">
      <w:pPr>
        <w:ind w:left="851"/>
        <w:rPr>
          <w:sz w:val="24"/>
          <w:szCs w:val="24"/>
        </w:rPr>
      </w:pPr>
    </w:p>
    <w:p w:rsidR="00ED0C72" w:rsidRPr="00ED0C72" w:rsidRDefault="00ED0C72" w:rsidP="00ED0C72">
      <w:pPr>
        <w:ind w:left="851"/>
        <w:rPr>
          <w:i/>
          <w:sz w:val="24"/>
          <w:szCs w:val="24"/>
        </w:rPr>
      </w:pPr>
      <w:r w:rsidRPr="00ED0C72">
        <w:rPr>
          <w:i/>
          <w:sz w:val="24"/>
          <w:szCs w:val="24"/>
        </w:rPr>
        <w:t>Sekundære endepunkter</w:t>
      </w:r>
    </w:p>
    <w:p w:rsidR="00ED0C72" w:rsidRPr="00ED0C72" w:rsidRDefault="00ED0C72" w:rsidP="00ED0C72">
      <w:pPr>
        <w:pStyle w:val="Brdtekst"/>
        <w:ind w:left="851" w:right="-1"/>
        <w:rPr>
          <w:sz w:val="24"/>
          <w:szCs w:val="24"/>
          <w:lang w:val="da-DK"/>
        </w:rPr>
      </w:pPr>
      <w:r w:rsidRPr="00ED0C72">
        <w:rPr>
          <w:sz w:val="24"/>
          <w:szCs w:val="24"/>
          <w:lang w:val="da-DK"/>
        </w:rPr>
        <w:t xml:space="preserve">Behandling med </w:t>
      </w:r>
      <w:proofErr w:type="spellStart"/>
      <w:r w:rsidRPr="00ED0C72">
        <w:rPr>
          <w:sz w:val="24"/>
          <w:szCs w:val="24"/>
          <w:lang w:val="da-DK"/>
        </w:rPr>
        <w:t>fesoterodin</w:t>
      </w:r>
      <w:proofErr w:type="spellEnd"/>
      <w:r w:rsidRPr="00ED0C72">
        <w:rPr>
          <w:sz w:val="24"/>
          <w:szCs w:val="24"/>
          <w:lang w:val="da-DK"/>
        </w:rPr>
        <w:t xml:space="preserve"> 4 mg eller 8 mg tabletter resulterede i statistisk signifikante forbedringer i urodynamisk måling af det sekundære endepunkt, blærevolumen, ved første ufrivillige </w:t>
      </w:r>
      <w:proofErr w:type="spellStart"/>
      <w:r w:rsidRPr="00ED0C72">
        <w:rPr>
          <w:sz w:val="24"/>
          <w:szCs w:val="24"/>
          <w:lang w:val="da-DK"/>
        </w:rPr>
        <w:t>detrusorkontraktion</w:t>
      </w:r>
      <w:proofErr w:type="spellEnd"/>
      <w:r w:rsidRPr="00ED0C72">
        <w:rPr>
          <w:sz w:val="24"/>
          <w:szCs w:val="24"/>
          <w:lang w:val="da-DK"/>
        </w:rPr>
        <w:t>.</w:t>
      </w:r>
    </w:p>
    <w:p w:rsidR="00ED0C72" w:rsidRPr="00ED0C72" w:rsidRDefault="00ED0C72" w:rsidP="00ED0C72">
      <w:pPr>
        <w:pStyle w:val="Brdtekst"/>
        <w:ind w:left="851" w:right="-1"/>
        <w:rPr>
          <w:sz w:val="24"/>
          <w:szCs w:val="24"/>
          <w:lang w:val="da-DK"/>
        </w:rPr>
      </w:pPr>
      <w:r w:rsidRPr="00ED0C72">
        <w:rPr>
          <w:sz w:val="24"/>
          <w:szCs w:val="24"/>
          <w:lang w:val="da-DK"/>
        </w:rPr>
        <w:t xml:space="preserve">De hyppigst indberettede bivirkninger i virkningsfasen var </w:t>
      </w:r>
      <w:proofErr w:type="spellStart"/>
      <w:r w:rsidRPr="00ED0C72">
        <w:rPr>
          <w:sz w:val="24"/>
          <w:szCs w:val="24"/>
          <w:lang w:val="da-DK"/>
        </w:rPr>
        <w:t>diaré</w:t>
      </w:r>
      <w:proofErr w:type="spellEnd"/>
      <w:r w:rsidRPr="00ED0C72">
        <w:rPr>
          <w:sz w:val="24"/>
          <w:szCs w:val="24"/>
          <w:lang w:val="da-DK"/>
        </w:rPr>
        <w:t xml:space="preserve">, mundtørhed, forstoppelse, </w:t>
      </w:r>
      <w:proofErr w:type="spellStart"/>
      <w:r w:rsidRPr="00ED0C72">
        <w:rPr>
          <w:sz w:val="24"/>
          <w:szCs w:val="24"/>
          <w:lang w:val="da-DK"/>
        </w:rPr>
        <w:t>abdominalsmerter</w:t>
      </w:r>
      <w:proofErr w:type="spellEnd"/>
      <w:r w:rsidRPr="00ED0C72">
        <w:rPr>
          <w:sz w:val="24"/>
          <w:szCs w:val="24"/>
          <w:lang w:val="da-DK"/>
        </w:rPr>
        <w:t xml:space="preserve"> (herunder smerter i øvre abdomen) og hovedpine. Disse milde til moderate bivirkninger er i overensstemmelse med </w:t>
      </w:r>
      <w:proofErr w:type="spellStart"/>
      <w:r w:rsidRPr="00ED0C72">
        <w:rPr>
          <w:sz w:val="24"/>
          <w:szCs w:val="24"/>
          <w:lang w:val="da-DK"/>
        </w:rPr>
        <w:t>fesoterodins</w:t>
      </w:r>
      <w:proofErr w:type="spellEnd"/>
      <w:r w:rsidRPr="00ED0C72">
        <w:rPr>
          <w:sz w:val="24"/>
          <w:szCs w:val="24"/>
          <w:lang w:val="da-DK"/>
        </w:rPr>
        <w:t xml:space="preserve"> farmakologiske, </w:t>
      </w:r>
      <w:proofErr w:type="spellStart"/>
      <w:r w:rsidRPr="00ED0C72">
        <w:rPr>
          <w:sz w:val="24"/>
          <w:szCs w:val="24"/>
          <w:lang w:val="da-DK"/>
        </w:rPr>
        <w:t>antimuskarine</w:t>
      </w:r>
      <w:proofErr w:type="spellEnd"/>
      <w:r w:rsidRPr="00ED0C72">
        <w:rPr>
          <w:sz w:val="24"/>
          <w:szCs w:val="24"/>
          <w:lang w:val="da-DK"/>
        </w:rPr>
        <w:t xml:space="preserve"> egenskaber. Hos patienter, som fik </w:t>
      </w:r>
      <w:proofErr w:type="spellStart"/>
      <w:r w:rsidRPr="00ED0C72">
        <w:rPr>
          <w:sz w:val="24"/>
          <w:szCs w:val="24"/>
          <w:lang w:val="da-DK"/>
        </w:rPr>
        <w:t>Fesoterodin</w:t>
      </w:r>
      <w:proofErr w:type="spellEnd"/>
      <w:r w:rsidRPr="00ED0C72">
        <w:rPr>
          <w:sz w:val="24"/>
          <w:szCs w:val="24"/>
          <w:lang w:val="da-DK"/>
        </w:rPr>
        <w:t xml:space="preserve"> "</w:t>
      </w:r>
      <w:proofErr w:type="spellStart"/>
      <w:r w:rsidRPr="00ED0C72">
        <w:rPr>
          <w:sz w:val="24"/>
          <w:szCs w:val="24"/>
          <w:lang w:val="da-DK"/>
        </w:rPr>
        <w:t>Accord</w:t>
      </w:r>
      <w:proofErr w:type="spellEnd"/>
      <w:r w:rsidRPr="00ED0C72">
        <w:rPr>
          <w:sz w:val="24"/>
          <w:szCs w:val="24"/>
          <w:lang w:val="da-DK"/>
        </w:rPr>
        <w:t xml:space="preserve">", sås der øget hjertefrekvens, som ikke var associeret med kliniske symptomer. Generelt svarede sikkerhedsprofilen hos pædiatriske patienter med </w:t>
      </w:r>
      <w:proofErr w:type="spellStart"/>
      <w:r w:rsidRPr="00ED0C72">
        <w:rPr>
          <w:sz w:val="24"/>
          <w:szCs w:val="24"/>
          <w:lang w:val="da-DK"/>
        </w:rPr>
        <w:t>neurogen</w:t>
      </w:r>
      <w:proofErr w:type="spellEnd"/>
      <w:r w:rsidRPr="00ED0C72">
        <w:rPr>
          <w:sz w:val="24"/>
          <w:szCs w:val="24"/>
          <w:lang w:val="da-DK"/>
        </w:rPr>
        <w:t xml:space="preserve"> </w:t>
      </w:r>
      <w:proofErr w:type="spellStart"/>
      <w:r w:rsidRPr="00ED0C72">
        <w:rPr>
          <w:sz w:val="24"/>
          <w:szCs w:val="24"/>
          <w:lang w:val="da-DK"/>
        </w:rPr>
        <w:t>detrusoroveraktivitet</w:t>
      </w:r>
      <w:proofErr w:type="spellEnd"/>
      <w:r w:rsidRPr="00ED0C72">
        <w:rPr>
          <w:sz w:val="24"/>
          <w:szCs w:val="24"/>
          <w:lang w:val="da-DK"/>
        </w:rPr>
        <w:t xml:space="preserve"> til den, der sås hos voksne med overaktiv blære.</w:t>
      </w:r>
      <w:bookmarkEnd w:id="0"/>
    </w:p>
    <w:p w:rsidR="009260DE" w:rsidRPr="00ED0C72" w:rsidRDefault="009260DE" w:rsidP="00ED0C7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60E76" w:rsidRPr="00260E76" w:rsidRDefault="00260E76" w:rsidP="00260E76">
      <w:pPr>
        <w:tabs>
          <w:tab w:val="left" w:pos="851"/>
        </w:tabs>
        <w:ind w:left="851"/>
        <w:rPr>
          <w:sz w:val="24"/>
          <w:szCs w:val="24"/>
        </w:rPr>
      </w:pPr>
    </w:p>
    <w:p w:rsidR="00260E76" w:rsidRPr="00260E76" w:rsidRDefault="00260E76" w:rsidP="00260E76">
      <w:pPr>
        <w:tabs>
          <w:tab w:val="left" w:pos="851"/>
        </w:tabs>
        <w:ind w:left="851"/>
        <w:rPr>
          <w:sz w:val="24"/>
          <w:szCs w:val="24"/>
          <w:u w:val="single"/>
        </w:rPr>
      </w:pPr>
      <w:r w:rsidRPr="00260E76">
        <w:rPr>
          <w:sz w:val="24"/>
          <w:szCs w:val="24"/>
          <w:u w:val="single"/>
        </w:rPr>
        <w:t>Absorption</w:t>
      </w:r>
    </w:p>
    <w:p w:rsidR="00260E76" w:rsidRPr="00260E76" w:rsidRDefault="00260E76" w:rsidP="00260E76">
      <w:pPr>
        <w:tabs>
          <w:tab w:val="left" w:pos="851"/>
        </w:tabs>
        <w:ind w:left="851"/>
        <w:rPr>
          <w:sz w:val="24"/>
          <w:szCs w:val="24"/>
        </w:rPr>
      </w:pPr>
      <w:r w:rsidRPr="00260E76">
        <w:rPr>
          <w:sz w:val="24"/>
          <w:szCs w:val="24"/>
        </w:rPr>
        <w:t xml:space="preserve">På grund af hurtig og omfattende hydrolyse af ikke-specifikke </w:t>
      </w:r>
      <w:proofErr w:type="spellStart"/>
      <w:r w:rsidRPr="00260E76">
        <w:rPr>
          <w:sz w:val="24"/>
          <w:szCs w:val="24"/>
        </w:rPr>
        <w:t>plasmaesteraser</w:t>
      </w:r>
      <w:proofErr w:type="spellEnd"/>
      <w:r w:rsidRPr="00260E76">
        <w:rPr>
          <w:sz w:val="24"/>
          <w:szCs w:val="24"/>
        </w:rPr>
        <w:t xml:space="preserve">, blev </w:t>
      </w:r>
      <w:proofErr w:type="spellStart"/>
      <w:r w:rsidRPr="00260E76">
        <w:rPr>
          <w:sz w:val="24"/>
          <w:szCs w:val="24"/>
        </w:rPr>
        <w:t>fesoterodin</w:t>
      </w:r>
      <w:proofErr w:type="spellEnd"/>
      <w:r w:rsidRPr="00260E76">
        <w:rPr>
          <w:sz w:val="24"/>
          <w:szCs w:val="24"/>
        </w:rPr>
        <w:t xml:space="preserve"> ikke påvist i plasma efter oral administration.</w:t>
      </w:r>
    </w:p>
    <w:p w:rsidR="00260E76" w:rsidRPr="00260E76" w:rsidRDefault="00260E76" w:rsidP="00544563">
      <w:pPr>
        <w:tabs>
          <w:tab w:val="left" w:pos="851"/>
        </w:tabs>
        <w:ind w:left="851"/>
        <w:rPr>
          <w:sz w:val="24"/>
          <w:szCs w:val="24"/>
        </w:rPr>
      </w:pPr>
    </w:p>
    <w:p w:rsidR="00544563" w:rsidRDefault="00544563" w:rsidP="00544563">
      <w:pPr>
        <w:pStyle w:val="Brdtekst"/>
        <w:ind w:left="851"/>
        <w:rPr>
          <w:lang w:val="sv-SE"/>
        </w:rPr>
      </w:pPr>
      <w:r>
        <w:rPr>
          <w:sz w:val="24"/>
          <w:szCs w:val="24"/>
          <w:lang w:val="sv-SE"/>
        </w:rPr>
        <w:t xml:space="preserve">Den aktive metabolits </w:t>
      </w:r>
      <w:proofErr w:type="spellStart"/>
      <w:r>
        <w:rPr>
          <w:sz w:val="24"/>
          <w:szCs w:val="24"/>
          <w:lang w:val="sv-SE"/>
        </w:rPr>
        <w:t>biotilgængelighed</w:t>
      </w:r>
      <w:proofErr w:type="spellEnd"/>
      <w:r>
        <w:rPr>
          <w:sz w:val="24"/>
          <w:szCs w:val="24"/>
          <w:lang w:val="sv-SE"/>
        </w:rPr>
        <w:t xml:space="preserve"> er 52 %. Efter oral administration </w:t>
      </w:r>
      <w:proofErr w:type="spellStart"/>
      <w:r>
        <w:rPr>
          <w:sz w:val="24"/>
          <w:szCs w:val="24"/>
          <w:lang w:val="sv-SE"/>
        </w:rPr>
        <w:t>af</w:t>
      </w:r>
      <w:proofErr w:type="spellEnd"/>
      <w:r>
        <w:rPr>
          <w:sz w:val="24"/>
          <w:szCs w:val="24"/>
          <w:lang w:val="sv-SE"/>
        </w:rPr>
        <w:t xml:space="preserve"> </w:t>
      </w:r>
      <w:proofErr w:type="spellStart"/>
      <w:r>
        <w:rPr>
          <w:sz w:val="24"/>
          <w:szCs w:val="24"/>
          <w:lang w:val="sv-SE"/>
        </w:rPr>
        <w:t>fesoterodin</w:t>
      </w:r>
      <w:proofErr w:type="spellEnd"/>
      <w:r>
        <w:rPr>
          <w:sz w:val="24"/>
          <w:szCs w:val="24"/>
          <w:lang w:val="sv-SE"/>
        </w:rPr>
        <w:t xml:space="preserve"> som enkelt- eller flerdosis i doser </w:t>
      </w:r>
      <w:proofErr w:type="spellStart"/>
      <w:r>
        <w:rPr>
          <w:sz w:val="24"/>
          <w:szCs w:val="24"/>
          <w:lang w:val="sv-SE"/>
        </w:rPr>
        <w:t>fra</w:t>
      </w:r>
      <w:proofErr w:type="spellEnd"/>
      <w:r>
        <w:rPr>
          <w:sz w:val="24"/>
          <w:szCs w:val="24"/>
          <w:lang w:val="sv-SE"/>
        </w:rPr>
        <w:t xml:space="preserve"> 4 mg til 28 mg er </w:t>
      </w:r>
      <w:proofErr w:type="spellStart"/>
      <w:r>
        <w:rPr>
          <w:sz w:val="24"/>
          <w:szCs w:val="24"/>
          <w:lang w:val="sv-SE"/>
        </w:rPr>
        <w:t>plasmakoncentrationerne</w:t>
      </w:r>
      <w:proofErr w:type="spellEnd"/>
      <w:r>
        <w:rPr>
          <w:sz w:val="24"/>
          <w:szCs w:val="24"/>
          <w:lang w:val="sv-SE"/>
        </w:rPr>
        <w:t xml:space="preserve"> </w:t>
      </w:r>
      <w:proofErr w:type="spellStart"/>
      <w:r>
        <w:rPr>
          <w:sz w:val="24"/>
          <w:szCs w:val="24"/>
          <w:lang w:val="sv-SE"/>
        </w:rPr>
        <w:t>af</w:t>
      </w:r>
      <w:proofErr w:type="spellEnd"/>
      <w:r>
        <w:rPr>
          <w:sz w:val="24"/>
          <w:szCs w:val="24"/>
          <w:lang w:val="sv-SE"/>
        </w:rPr>
        <w:t xml:space="preserve"> den aktive </w:t>
      </w:r>
      <w:proofErr w:type="gramStart"/>
      <w:r>
        <w:rPr>
          <w:sz w:val="24"/>
          <w:szCs w:val="24"/>
          <w:lang w:val="sv-SE"/>
        </w:rPr>
        <w:t>metabolit proportional</w:t>
      </w:r>
      <w:proofErr w:type="gramEnd"/>
      <w:r>
        <w:rPr>
          <w:sz w:val="24"/>
          <w:szCs w:val="24"/>
          <w:lang w:val="sv-SE"/>
        </w:rPr>
        <w:t xml:space="preserve"> med dosis. </w:t>
      </w:r>
      <w:proofErr w:type="spellStart"/>
      <w:r>
        <w:rPr>
          <w:lang w:val="sv-SE"/>
        </w:rPr>
        <w:t>Steady-state-eksponeringen</w:t>
      </w:r>
      <w:proofErr w:type="spellEnd"/>
      <w:r>
        <w:rPr>
          <w:lang w:val="sv-SE"/>
        </w:rPr>
        <w:t xml:space="preserve"> for 5-HMT hos raske </w:t>
      </w:r>
      <w:proofErr w:type="spellStart"/>
      <w:r>
        <w:rPr>
          <w:lang w:val="sv-SE"/>
        </w:rPr>
        <w:t>voksne</w:t>
      </w:r>
      <w:proofErr w:type="spellEnd"/>
      <w:r>
        <w:rPr>
          <w:lang w:val="sv-SE"/>
        </w:rPr>
        <w:t xml:space="preserve"> </w:t>
      </w:r>
      <w:proofErr w:type="spellStart"/>
      <w:r>
        <w:rPr>
          <w:lang w:val="sv-SE"/>
        </w:rPr>
        <w:t>forsøgspersoner</w:t>
      </w:r>
      <w:proofErr w:type="spellEnd"/>
      <w:r>
        <w:rPr>
          <w:lang w:val="sv-SE"/>
        </w:rPr>
        <w:t xml:space="preserve"> efter </w:t>
      </w:r>
      <w:proofErr w:type="spellStart"/>
      <w:r>
        <w:rPr>
          <w:lang w:val="sv-SE"/>
        </w:rPr>
        <w:t>fesoterodin</w:t>
      </w:r>
      <w:proofErr w:type="spellEnd"/>
      <w:r>
        <w:rPr>
          <w:lang w:val="sv-SE"/>
        </w:rPr>
        <w:t xml:space="preserve"> 4 mg </w:t>
      </w:r>
      <w:proofErr w:type="spellStart"/>
      <w:r>
        <w:rPr>
          <w:lang w:val="sv-SE"/>
        </w:rPr>
        <w:t>og</w:t>
      </w:r>
      <w:proofErr w:type="spellEnd"/>
      <w:r>
        <w:rPr>
          <w:lang w:val="sv-SE"/>
        </w:rPr>
        <w:t xml:space="preserve"> 8 mg tabletter </w:t>
      </w:r>
      <w:proofErr w:type="spellStart"/>
      <w:r>
        <w:rPr>
          <w:lang w:val="sv-SE"/>
        </w:rPr>
        <w:t>én</w:t>
      </w:r>
      <w:proofErr w:type="spellEnd"/>
      <w:r>
        <w:rPr>
          <w:lang w:val="sv-SE"/>
        </w:rPr>
        <w:t xml:space="preserve"> </w:t>
      </w:r>
      <w:proofErr w:type="spellStart"/>
      <w:r>
        <w:rPr>
          <w:lang w:val="sv-SE"/>
        </w:rPr>
        <w:t>gang</w:t>
      </w:r>
      <w:proofErr w:type="spellEnd"/>
      <w:r>
        <w:rPr>
          <w:lang w:val="sv-SE"/>
        </w:rPr>
        <w:t xml:space="preserve"> dagligt </w:t>
      </w:r>
      <w:proofErr w:type="spellStart"/>
      <w:r>
        <w:rPr>
          <w:lang w:val="sv-SE"/>
        </w:rPr>
        <w:t>fremgår</w:t>
      </w:r>
      <w:proofErr w:type="spellEnd"/>
      <w:r>
        <w:rPr>
          <w:lang w:val="sv-SE"/>
        </w:rPr>
        <w:t xml:space="preserve"> </w:t>
      </w:r>
      <w:proofErr w:type="spellStart"/>
      <w:r>
        <w:rPr>
          <w:lang w:val="sv-SE"/>
        </w:rPr>
        <w:t>af</w:t>
      </w:r>
      <w:proofErr w:type="spellEnd"/>
      <w:r>
        <w:rPr>
          <w:lang w:val="sv-SE"/>
        </w:rPr>
        <w:t xml:space="preserve"> </w:t>
      </w:r>
      <w:proofErr w:type="spellStart"/>
      <w:r>
        <w:rPr>
          <w:lang w:val="sv-SE"/>
        </w:rPr>
        <w:t>tabel</w:t>
      </w:r>
      <w:proofErr w:type="spellEnd"/>
      <w:r>
        <w:rPr>
          <w:lang w:val="sv-SE"/>
        </w:rPr>
        <w:t xml:space="preserve"> 3.</w:t>
      </w:r>
    </w:p>
    <w:p w:rsidR="00544563" w:rsidRDefault="00544563" w:rsidP="00544563">
      <w:pPr>
        <w:pStyle w:val="Brdtekst"/>
        <w:spacing w:before="11"/>
        <w:rPr>
          <w:sz w:val="21"/>
          <w:lang w:val="sv-SE"/>
        </w:rPr>
      </w:pPr>
    </w:p>
    <w:p w:rsidR="00544563" w:rsidRDefault="00544563" w:rsidP="00544563">
      <w:pPr>
        <w:pStyle w:val="Overskrift1"/>
        <w:ind w:left="851" w:right="892"/>
        <w:jc w:val="both"/>
        <w:rPr>
          <w:rFonts w:ascii="Times New Roman" w:hAnsi="Times New Roman"/>
          <w:sz w:val="22"/>
          <w:szCs w:val="16"/>
          <w:lang w:val="sv-SE"/>
        </w:rPr>
      </w:pPr>
      <w:proofErr w:type="spellStart"/>
      <w:r>
        <w:rPr>
          <w:rFonts w:ascii="Times New Roman" w:hAnsi="Times New Roman"/>
          <w:sz w:val="22"/>
          <w:szCs w:val="16"/>
          <w:lang w:val="sv-SE"/>
        </w:rPr>
        <w:lastRenderedPageBreak/>
        <w:t>Tabel</w:t>
      </w:r>
      <w:proofErr w:type="spellEnd"/>
      <w:r>
        <w:rPr>
          <w:rFonts w:ascii="Times New Roman" w:hAnsi="Times New Roman"/>
          <w:sz w:val="22"/>
          <w:szCs w:val="16"/>
          <w:lang w:val="sv-SE"/>
        </w:rPr>
        <w:t xml:space="preserve"> 3:  </w:t>
      </w:r>
      <w:proofErr w:type="spellStart"/>
      <w:r>
        <w:rPr>
          <w:rFonts w:ascii="Times New Roman" w:hAnsi="Times New Roman"/>
          <w:sz w:val="22"/>
          <w:szCs w:val="16"/>
          <w:lang w:val="sv-SE"/>
        </w:rPr>
        <w:t>Oversigt</w:t>
      </w:r>
      <w:proofErr w:type="spellEnd"/>
      <w:r>
        <w:rPr>
          <w:rFonts w:ascii="Times New Roman" w:hAnsi="Times New Roman"/>
          <w:sz w:val="22"/>
          <w:szCs w:val="16"/>
          <w:lang w:val="sv-SE"/>
        </w:rPr>
        <w:t xml:space="preserve"> over geometriske </w:t>
      </w:r>
      <w:proofErr w:type="spellStart"/>
      <w:r>
        <w:rPr>
          <w:rFonts w:ascii="Times New Roman" w:hAnsi="Times New Roman"/>
          <w:sz w:val="22"/>
          <w:szCs w:val="16"/>
          <w:lang w:val="sv-SE"/>
        </w:rPr>
        <w:t>middelværdier</w:t>
      </w:r>
      <w:proofErr w:type="spellEnd"/>
      <w:r>
        <w:rPr>
          <w:rFonts w:ascii="Times New Roman" w:hAnsi="Times New Roman"/>
          <w:sz w:val="22"/>
          <w:szCs w:val="16"/>
          <w:lang w:val="sv-SE"/>
        </w:rPr>
        <w:t xml:space="preserve"> [% CV] for farmakokinetiske </w:t>
      </w:r>
      <w:proofErr w:type="spellStart"/>
      <w:r>
        <w:rPr>
          <w:rFonts w:ascii="Times New Roman" w:hAnsi="Times New Roman"/>
          <w:sz w:val="22"/>
          <w:szCs w:val="16"/>
          <w:lang w:val="sv-SE"/>
        </w:rPr>
        <w:t>parametre</w:t>
      </w:r>
      <w:proofErr w:type="spellEnd"/>
      <w:r>
        <w:rPr>
          <w:rFonts w:ascii="Times New Roman" w:hAnsi="Times New Roman"/>
          <w:sz w:val="22"/>
          <w:szCs w:val="16"/>
          <w:lang w:val="sv-SE"/>
        </w:rPr>
        <w:t xml:space="preserve"> for den aktive metabolit efter </w:t>
      </w:r>
      <w:proofErr w:type="spellStart"/>
      <w:r>
        <w:rPr>
          <w:rFonts w:ascii="Times New Roman" w:hAnsi="Times New Roman"/>
          <w:sz w:val="22"/>
          <w:szCs w:val="16"/>
          <w:lang w:val="sv-SE"/>
        </w:rPr>
        <w:t>steady</w:t>
      </w:r>
      <w:proofErr w:type="spellEnd"/>
      <w:r>
        <w:rPr>
          <w:rFonts w:ascii="Times New Roman" w:hAnsi="Times New Roman"/>
          <w:sz w:val="22"/>
          <w:szCs w:val="16"/>
          <w:lang w:val="sv-SE"/>
        </w:rPr>
        <w:t>-</w:t>
      </w:r>
      <w:proofErr w:type="spellStart"/>
      <w:r>
        <w:rPr>
          <w:rFonts w:ascii="Times New Roman" w:hAnsi="Times New Roman"/>
          <w:sz w:val="22"/>
          <w:szCs w:val="16"/>
          <w:lang w:val="sv-SE"/>
        </w:rPr>
        <w:t>state</w:t>
      </w:r>
      <w:proofErr w:type="spellEnd"/>
      <w:r>
        <w:rPr>
          <w:rFonts w:ascii="Times New Roman" w:hAnsi="Times New Roman"/>
          <w:sz w:val="22"/>
          <w:szCs w:val="16"/>
          <w:lang w:val="sv-SE"/>
        </w:rPr>
        <w:t xml:space="preserve">-dosering </w:t>
      </w:r>
      <w:proofErr w:type="spellStart"/>
      <w:r>
        <w:rPr>
          <w:rFonts w:ascii="Times New Roman" w:hAnsi="Times New Roman"/>
          <w:sz w:val="22"/>
          <w:szCs w:val="16"/>
          <w:lang w:val="sv-SE"/>
        </w:rPr>
        <w:t>af</w:t>
      </w:r>
      <w:proofErr w:type="spellEnd"/>
      <w:r>
        <w:rPr>
          <w:rFonts w:ascii="Times New Roman" w:hAnsi="Times New Roman"/>
          <w:sz w:val="22"/>
          <w:szCs w:val="16"/>
          <w:lang w:val="sv-SE"/>
        </w:rPr>
        <w:t xml:space="preserve"> </w:t>
      </w:r>
      <w:proofErr w:type="spellStart"/>
      <w:r>
        <w:rPr>
          <w:rFonts w:ascii="Times New Roman" w:hAnsi="Times New Roman"/>
          <w:sz w:val="22"/>
          <w:szCs w:val="16"/>
          <w:lang w:val="sv-SE"/>
        </w:rPr>
        <w:t>fesoterodin</w:t>
      </w:r>
      <w:proofErr w:type="spellEnd"/>
      <w:r>
        <w:rPr>
          <w:rFonts w:ascii="Times New Roman" w:hAnsi="Times New Roman"/>
          <w:sz w:val="22"/>
          <w:szCs w:val="16"/>
          <w:lang w:val="sv-SE"/>
        </w:rPr>
        <w:t xml:space="preserve"> hos raske </w:t>
      </w:r>
      <w:proofErr w:type="spellStart"/>
      <w:r>
        <w:rPr>
          <w:rFonts w:ascii="Times New Roman" w:hAnsi="Times New Roman"/>
          <w:sz w:val="22"/>
          <w:szCs w:val="16"/>
          <w:lang w:val="sv-SE"/>
        </w:rPr>
        <w:t>voksne</w:t>
      </w:r>
      <w:proofErr w:type="spellEnd"/>
      <w:r>
        <w:rPr>
          <w:rFonts w:ascii="Times New Roman" w:hAnsi="Times New Roman"/>
          <w:sz w:val="22"/>
          <w:szCs w:val="16"/>
          <w:lang w:val="sv-SE"/>
        </w:rPr>
        <w:t xml:space="preserve"> </w:t>
      </w:r>
      <w:proofErr w:type="spellStart"/>
      <w:r>
        <w:rPr>
          <w:rFonts w:ascii="Times New Roman" w:hAnsi="Times New Roman"/>
          <w:sz w:val="22"/>
          <w:szCs w:val="16"/>
          <w:lang w:val="sv-SE"/>
        </w:rPr>
        <w:t>forsøgspersoner</w:t>
      </w:r>
      <w:proofErr w:type="spellEnd"/>
      <w:r>
        <w:rPr>
          <w:rFonts w:ascii="Times New Roman" w:hAnsi="Times New Roman"/>
          <w:sz w:val="22"/>
          <w:szCs w:val="16"/>
          <w:lang w:val="sv-SE"/>
        </w:rPr>
        <w:t xml:space="preserve"> i </w:t>
      </w:r>
      <w:proofErr w:type="spellStart"/>
      <w:r>
        <w:rPr>
          <w:rFonts w:ascii="Times New Roman" w:hAnsi="Times New Roman"/>
          <w:sz w:val="22"/>
          <w:szCs w:val="16"/>
          <w:lang w:val="sv-SE"/>
        </w:rPr>
        <w:t>alderen</w:t>
      </w:r>
      <w:proofErr w:type="spellEnd"/>
      <w:r>
        <w:rPr>
          <w:rFonts w:ascii="Times New Roman" w:hAnsi="Times New Roman"/>
          <w:sz w:val="22"/>
          <w:szCs w:val="16"/>
          <w:lang w:val="sv-SE"/>
        </w:rPr>
        <w:t xml:space="preserve"> 18 år til 50 år</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2"/>
        <w:gridCol w:w="811"/>
        <w:gridCol w:w="1709"/>
        <w:gridCol w:w="4409"/>
      </w:tblGrid>
      <w:tr w:rsidR="00544563" w:rsidRPr="00544563" w:rsidTr="00544563">
        <w:trPr>
          <w:trHeight w:hRule="exact" w:val="264"/>
        </w:trPr>
        <w:tc>
          <w:tcPr>
            <w:tcW w:w="2162" w:type="dxa"/>
            <w:tcBorders>
              <w:top w:val="single" w:sz="4" w:space="0" w:color="000000"/>
              <w:left w:val="single" w:sz="4" w:space="0" w:color="000000"/>
              <w:bottom w:val="single" w:sz="4" w:space="0" w:color="000000"/>
              <w:right w:val="single" w:sz="4" w:space="0" w:color="000000"/>
            </w:tcBorders>
            <w:hideMark/>
          </w:tcPr>
          <w:p w:rsidR="00544563" w:rsidRDefault="00544563">
            <w:pPr>
              <w:pStyle w:val="TableParagraph"/>
              <w:ind w:left="38" w:right="34"/>
              <w:rPr>
                <w:b/>
              </w:rPr>
            </w:pPr>
            <w:proofErr w:type="spellStart"/>
            <w:r>
              <w:rPr>
                <w:b/>
              </w:rPr>
              <w:t>Dosering</w:t>
            </w:r>
            <w:proofErr w:type="spellEnd"/>
            <w:r>
              <w:rPr>
                <w:b/>
              </w:rPr>
              <w:t>/</w:t>
            </w:r>
            <w:proofErr w:type="spellStart"/>
            <w:r>
              <w:rPr>
                <w:b/>
              </w:rPr>
              <w:t>formulering</w:t>
            </w:r>
            <w:proofErr w:type="spellEnd"/>
          </w:p>
        </w:tc>
        <w:tc>
          <w:tcPr>
            <w:tcW w:w="811" w:type="dxa"/>
            <w:tcBorders>
              <w:top w:val="single" w:sz="4" w:space="0" w:color="000000"/>
              <w:left w:val="single" w:sz="4" w:space="0" w:color="000000"/>
              <w:bottom w:val="single" w:sz="4" w:space="0" w:color="000000"/>
              <w:right w:val="single" w:sz="4" w:space="0" w:color="000000"/>
            </w:tcBorders>
            <w:hideMark/>
          </w:tcPr>
          <w:p w:rsidR="00544563" w:rsidRDefault="00544563">
            <w:pPr>
              <w:pStyle w:val="TableParagraph"/>
              <w:ind w:left="1"/>
              <w:rPr>
                <w:b/>
              </w:rPr>
            </w:pPr>
            <w:r>
              <w:rPr>
                <w:b/>
              </w:rPr>
              <w:t>N</w:t>
            </w:r>
          </w:p>
        </w:tc>
        <w:tc>
          <w:tcPr>
            <w:tcW w:w="1709" w:type="dxa"/>
            <w:tcBorders>
              <w:top w:val="single" w:sz="4" w:space="0" w:color="000000"/>
              <w:left w:val="single" w:sz="4" w:space="0" w:color="000000"/>
              <w:bottom w:val="single" w:sz="4" w:space="0" w:color="000000"/>
              <w:right w:val="single" w:sz="4" w:space="0" w:color="000000"/>
            </w:tcBorders>
            <w:hideMark/>
          </w:tcPr>
          <w:p w:rsidR="00544563" w:rsidRDefault="00544563">
            <w:pPr>
              <w:pStyle w:val="TableParagraph"/>
              <w:spacing w:line="253" w:lineRule="exact"/>
              <w:ind w:left="190" w:right="190"/>
              <w:rPr>
                <w:b/>
              </w:rPr>
            </w:pPr>
            <w:proofErr w:type="gramStart"/>
            <w:r>
              <w:rPr>
                <w:b/>
                <w:position w:val="2"/>
              </w:rPr>
              <w:t>C</w:t>
            </w:r>
            <w:proofErr w:type="spellStart"/>
            <w:r>
              <w:rPr>
                <w:b/>
                <w:sz w:val="14"/>
              </w:rPr>
              <w:t>max,ss</w:t>
            </w:r>
            <w:proofErr w:type="spellEnd"/>
            <w:proofErr w:type="gramEnd"/>
            <w:r>
              <w:rPr>
                <w:b/>
                <w:sz w:val="14"/>
              </w:rPr>
              <w:t xml:space="preserve"> </w:t>
            </w:r>
            <w:r>
              <w:rPr>
                <w:b/>
                <w:position w:val="2"/>
              </w:rPr>
              <w:t>(ng/ml)</w:t>
            </w:r>
          </w:p>
        </w:tc>
        <w:tc>
          <w:tcPr>
            <w:tcW w:w="4409" w:type="dxa"/>
            <w:tcBorders>
              <w:top w:val="single" w:sz="4" w:space="0" w:color="000000"/>
              <w:left w:val="single" w:sz="4" w:space="0" w:color="000000"/>
              <w:bottom w:val="single" w:sz="4" w:space="0" w:color="000000"/>
              <w:right w:val="single" w:sz="4" w:space="0" w:color="000000"/>
            </w:tcBorders>
            <w:hideMark/>
          </w:tcPr>
          <w:p w:rsidR="00544563" w:rsidRPr="00544563" w:rsidRDefault="00544563">
            <w:pPr>
              <w:pStyle w:val="TableParagraph"/>
              <w:spacing w:line="253" w:lineRule="exact"/>
              <w:ind w:left="1322" w:right="1319"/>
              <w:rPr>
                <w:b/>
                <w:lang w:val="de-DE"/>
              </w:rPr>
            </w:pPr>
            <w:proofErr w:type="gramStart"/>
            <w:r w:rsidRPr="00544563">
              <w:rPr>
                <w:b/>
                <w:position w:val="2"/>
                <w:lang w:val="de-DE"/>
              </w:rPr>
              <w:t>AUC</w:t>
            </w:r>
            <w:proofErr w:type="spellStart"/>
            <w:r w:rsidRPr="00544563">
              <w:rPr>
                <w:b/>
                <w:sz w:val="14"/>
                <w:lang w:val="de-DE"/>
              </w:rPr>
              <w:t>tau,ss</w:t>
            </w:r>
            <w:proofErr w:type="spellEnd"/>
            <w:proofErr w:type="gramEnd"/>
            <w:r w:rsidRPr="00544563">
              <w:rPr>
                <w:b/>
                <w:sz w:val="14"/>
                <w:lang w:val="de-DE"/>
              </w:rPr>
              <w:t xml:space="preserve"> </w:t>
            </w:r>
            <w:r w:rsidRPr="00544563">
              <w:rPr>
                <w:b/>
                <w:position w:val="2"/>
                <w:lang w:val="de-DE"/>
              </w:rPr>
              <w:t>(</w:t>
            </w:r>
            <w:proofErr w:type="spellStart"/>
            <w:r w:rsidRPr="00544563">
              <w:rPr>
                <w:b/>
                <w:position w:val="2"/>
                <w:lang w:val="de-DE"/>
              </w:rPr>
              <w:t>ng</w:t>
            </w:r>
            <w:proofErr w:type="spellEnd"/>
            <w:r w:rsidRPr="00544563">
              <w:rPr>
                <w:b/>
                <w:position w:val="2"/>
                <w:lang w:val="de-DE"/>
              </w:rPr>
              <w:t>*t/ml)</w:t>
            </w:r>
          </w:p>
        </w:tc>
      </w:tr>
      <w:tr w:rsidR="00544563" w:rsidTr="00544563">
        <w:trPr>
          <w:trHeight w:hRule="exact" w:val="262"/>
        </w:trPr>
        <w:tc>
          <w:tcPr>
            <w:tcW w:w="2162" w:type="dxa"/>
            <w:tcBorders>
              <w:top w:val="single" w:sz="4" w:space="0" w:color="000000"/>
              <w:left w:val="single" w:sz="4" w:space="0" w:color="000000"/>
              <w:bottom w:val="single" w:sz="4" w:space="0" w:color="000000"/>
              <w:right w:val="single" w:sz="4" w:space="0" w:color="000000"/>
            </w:tcBorders>
            <w:hideMark/>
          </w:tcPr>
          <w:p w:rsidR="00544563" w:rsidRDefault="00544563">
            <w:pPr>
              <w:pStyle w:val="TableParagraph"/>
              <w:ind w:left="38" w:right="34"/>
            </w:pPr>
            <w:r>
              <w:t>4 mg QD/tablet</w:t>
            </w:r>
          </w:p>
        </w:tc>
        <w:tc>
          <w:tcPr>
            <w:tcW w:w="811" w:type="dxa"/>
            <w:tcBorders>
              <w:top w:val="single" w:sz="4" w:space="0" w:color="000000"/>
              <w:left w:val="single" w:sz="4" w:space="0" w:color="000000"/>
              <w:bottom w:val="single" w:sz="4" w:space="0" w:color="000000"/>
              <w:right w:val="single" w:sz="4" w:space="0" w:color="000000"/>
            </w:tcBorders>
            <w:hideMark/>
          </w:tcPr>
          <w:p w:rsidR="00544563" w:rsidRDefault="00544563">
            <w:pPr>
              <w:pStyle w:val="TableParagraph"/>
            </w:pPr>
            <w:r>
              <w:t>6</w:t>
            </w:r>
          </w:p>
        </w:tc>
        <w:tc>
          <w:tcPr>
            <w:tcW w:w="1709" w:type="dxa"/>
            <w:tcBorders>
              <w:top w:val="single" w:sz="4" w:space="0" w:color="000000"/>
              <w:left w:val="single" w:sz="4" w:space="0" w:color="000000"/>
              <w:bottom w:val="single" w:sz="4" w:space="0" w:color="000000"/>
              <w:right w:val="single" w:sz="4" w:space="0" w:color="000000"/>
            </w:tcBorders>
            <w:hideMark/>
          </w:tcPr>
          <w:p w:rsidR="00544563" w:rsidRDefault="00544563">
            <w:pPr>
              <w:pStyle w:val="TableParagraph"/>
              <w:ind w:left="190" w:right="190"/>
            </w:pPr>
            <w:r>
              <w:t>1,71 (74,9)</w:t>
            </w:r>
          </w:p>
        </w:tc>
        <w:tc>
          <w:tcPr>
            <w:tcW w:w="4409" w:type="dxa"/>
            <w:tcBorders>
              <w:top w:val="single" w:sz="4" w:space="0" w:color="000000"/>
              <w:left w:val="single" w:sz="4" w:space="0" w:color="000000"/>
              <w:bottom w:val="single" w:sz="4" w:space="0" w:color="000000"/>
              <w:right w:val="single" w:sz="4" w:space="0" w:color="000000"/>
            </w:tcBorders>
            <w:hideMark/>
          </w:tcPr>
          <w:p w:rsidR="00544563" w:rsidRDefault="00544563">
            <w:pPr>
              <w:pStyle w:val="TableParagraph"/>
              <w:ind w:left="1320" w:right="1319"/>
            </w:pPr>
            <w:r>
              <w:t>16,39 (69,8)</w:t>
            </w:r>
          </w:p>
        </w:tc>
      </w:tr>
      <w:tr w:rsidR="00544563" w:rsidTr="00544563">
        <w:trPr>
          <w:trHeight w:hRule="exact" w:val="264"/>
        </w:trPr>
        <w:tc>
          <w:tcPr>
            <w:tcW w:w="2162" w:type="dxa"/>
            <w:tcBorders>
              <w:top w:val="single" w:sz="4" w:space="0" w:color="000000"/>
              <w:left w:val="single" w:sz="4" w:space="0" w:color="000000"/>
              <w:bottom w:val="single" w:sz="4" w:space="0" w:color="000000"/>
              <w:right w:val="single" w:sz="4" w:space="0" w:color="000000"/>
            </w:tcBorders>
            <w:hideMark/>
          </w:tcPr>
          <w:p w:rsidR="00544563" w:rsidRDefault="00544563">
            <w:pPr>
              <w:pStyle w:val="TableParagraph"/>
              <w:spacing w:before="1" w:line="240" w:lineRule="auto"/>
              <w:ind w:left="38" w:right="34"/>
            </w:pPr>
            <w:r>
              <w:t>8 mg QD/tablet</w:t>
            </w:r>
          </w:p>
        </w:tc>
        <w:tc>
          <w:tcPr>
            <w:tcW w:w="811" w:type="dxa"/>
            <w:tcBorders>
              <w:top w:val="single" w:sz="4" w:space="0" w:color="000000"/>
              <w:left w:val="single" w:sz="4" w:space="0" w:color="000000"/>
              <w:bottom w:val="single" w:sz="4" w:space="0" w:color="000000"/>
              <w:right w:val="single" w:sz="4" w:space="0" w:color="000000"/>
            </w:tcBorders>
            <w:hideMark/>
          </w:tcPr>
          <w:p w:rsidR="00544563" w:rsidRDefault="00544563">
            <w:pPr>
              <w:pStyle w:val="TableParagraph"/>
              <w:spacing w:before="1" w:line="240" w:lineRule="auto"/>
            </w:pPr>
            <w:r>
              <w:t>6</w:t>
            </w:r>
          </w:p>
        </w:tc>
        <w:tc>
          <w:tcPr>
            <w:tcW w:w="1709" w:type="dxa"/>
            <w:tcBorders>
              <w:top w:val="single" w:sz="4" w:space="0" w:color="000000"/>
              <w:left w:val="single" w:sz="4" w:space="0" w:color="000000"/>
              <w:bottom w:val="single" w:sz="4" w:space="0" w:color="000000"/>
              <w:right w:val="single" w:sz="4" w:space="0" w:color="000000"/>
            </w:tcBorders>
            <w:hideMark/>
          </w:tcPr>
          <w:p w:rsidR="00544563" w:rsidRDefault="00544563">
            <w:pPr>
              <w:pStyle w:val="TableParagraph"/>
              <w:spacing w:before="1" w:line="240" w:lineRule="auto"/>
              <w:ind w:left="190" w:right="190"/>
            </w:pPr>
            <w:r>
              <w:t>4,66 (43,3)</w:t>
            </w:r>
          </w:p>
        </w:tc>
        <w:tc>
          <w:tcPr>
            <w:tcW w:w="4409" w:type="dxa"/>
            <w:tcBorders>
              <w:top w:val="single" w:sz="4" w:space="0" w:color="000000"/>
              <w:left w:val="single" w:sz="4" w:space="0" w:color="000000"/>
              <w:bottom w:val="single" w:sz="4" w:space="0" w:color="000000"/>
              <w:right w:val="single" w:sz="4" w:space="0" w:color="000000"/>
            </w:tcBorders>
            <w:hideMark/>
          </w:tcPr>
          <w:p w:rsidR="00544563" w:rsidRDefault="00544563">
            <w:pPr>
              <w:pStyle w:val="TableParagraph"/>
              <w:spacing w:before="1" w:line="240" w:lineRule="auto"/>
              <w:ind w:left="1320" w:right="1319"/>
            </w:pPr>
            <w:r>
              <w:t>46,51 (46,8)</w:t>
            </w:r>
          </w:p>
        </w:tc>
      </w:tr>
    </w:tbl>
    <w:p w:rsidR="00544563" w:rsidRDefault="00544563" w:rsidP="00544563">
      <w:pPr>
        <w:spacing w:line="223" w:lineRule="exact"/>
        <w:ind w:left="123"/>
        <w:rPr>
          <w:sz w:val="20"/>
          <w:lang w:val="sv-SE"/>
        </w:rPr>
      </w:pPr>
      <w:proofErr w:type="spellStart"/>
      <w:r>
        <w:rPr>
          <w:position w:val="2"/>
          <w:sz w:val="20"/>
          <w:lang w:val="sv-SE"/>
        </w:rPr>
        <w:t>Forkortelser</w:t>
      </w:r>
      <w:proofErr w:type="spellEnd"/>
      <w:r>
        <w:rPr>
          <w:position w:val="2"/>
          <w:sz w:val="20"/>
          <w:lang w:val="sv-SE"/>
        </w:rPr>
        <w:t xml:space="preserve">: </w:t>
      </w:r>
      <w:proofErr w:type="gramStart"/>
      <w:r>
        <w:rPr>
          <w:position w:val="2"/>
          <w:sz w:val="20"/>
          <w:lang w:val="sv-SE"/>
        </w:rPr>
        <w:t>AUC</w:t>
      </w:r>
      <w:proofErr w:type="spellStart"/>
      <w:r>
        <w:rPr>
          <w:sz w:val="13"/>
          <w:lang w:val="sv-SE"/>
        </w:rPr>
        <w:t>tau,ss</w:t>
      </w:r>
      <w:proofErr w:type="spellEnd"/>
      <w:proofErr w:type="gramEnd"/>
      <w:r>
        <w:rPr>
          <w:sz w:val="13"/>
          <w:lang w:val="sv-SE"/>
        </w:rPr>
        <w:t xml:space="preserve"> </w:t>
      </w:r>
      <w:r>
        <w:rPr>
          <w:position w:val="2"/>
          <w:sz w:val="20"/>
          <w:lang w:val="sv-SE"/>
        </w:rPr>
        <w:t xml:space="preserve">= </w:t>
      </w:r>
      <w:proofErr w:type="spellStart"/>
      <w:r>
        <w:rPr>
          <w:position w:val="2"/>
          <w:sz w:val="20"/>
          <w:lang w:val="sv-SE"/>
        </w:rPr>
        <w:t>steady</w:t>
      </w:r>
      <w:proofErr w:type="spellEnd"/>
      <w:r>
        <w:rPr>
          <w:position w:val="2"/>
          <w:sz w:val="20"/>
          <w:lang w:val="sv-SE"/>
        </w:rPr>
        <w:t>-</w:t>
      </w:r>
      <w:proofErr w:type="spellStart"/>
      <w:r>
        <w:rPr>
          <w:position w:val="2"/>
          <w:sz w:val="20"/>
          <w:lang w:val="sv-SE"/>
        </w:rPr>
        <w:t>state</w:t>
      </w:r>
      <w:proofErr w:type="spellEnd"/>
      <w:r>
        <w:rPr>
          <w:position w:val="2"/>
          <w:sz w:val="20"/>
          <w:lang w:val="sv-SE"/>
        </w:rPr>
        <w:t xml:space="preserve">-område under </w:t>
      </w:r>
      <w:proofErr w:type="spellStart"/>
      <w:r>
        <w:rPr>
          <w:position w:val="2"/>
          <w:sz w:val="20"/>
          <w:lang w:val="sv-SE"/>
        </w:rPr>
        <w:t>kurven</w:t>
      </w:r>
      <w:proofErr w:type="spellEnd"/>
      <w:r>
        <w:rPr>
          <w:position w:val="2"/>
          <w:sz w:val="20"/>
          <w:lang w:val="sv-SE"/>
        </w:rPr>
        <w:t xml:space="preserve"> for koncentration/tid for doseringsintervallet på</w:t>
      </w:r>
    </w:p>
    <w:p w:rsidR="00544563" w:rsidRDefault="00544563" w:rsidP="00544563">
      <w:pPr>
        <w:spacing w:before="35" w:line="212" w:lineRule="exact"/>
        <w:ind w:left="123"/>
        <w:rPr>
          <w:sz w:val="20"/>
          <w:lang w:val="sv-SE"/>
        </w:rPr>
      </w:pPr>
      <w:r>
        <w:rPr>
          <w:position w:val="2"/>
          <w:sz w:val="20"/>
          <w:lang w:val="sv-SE"/>
        </w:rPr>
        <w:t xml:space="preserve">24 timer; </w:t>
      </w:r>
      <w:proofErr w:type="gramStart"/>
      <w:r>
        <w:rPr>
          <w:position w:val="2"/>
          <w:sz w:val="20"/>
          <w:lang w:val="sv-SE"/>
        </w:rPr>
        <w:t>C</w:t>
      </w:r>
      <w:proofErr w:type="spellStart"/>
      <w:r>
        <w:rPr>
          <w:sz w:val="13"/>
          <w:lang w:val="sv-SE"/>
        </w:rPr>
        <w:t>max,ss</w:t>
      </w:r>
      <w:proofErr w:type="spellEnd"/>
      <w:proofErr w:type="gramEnd"/>
      <w:r>
        <w:rPr>
          <w:sz w:val="13"/>
          <w:lang w:val="sv-SE"/>
        </w:rPr>
        <w:t xml:space="preserve"> </w:t>
      </w:r>
      <w:r>
        <w:rPr>
          <w:position w:val="2"/>
          <w:sz w:val="20"/>
          <w:lang w:val="sv-SE"/>
        </w:rPr>
        <w:t xml:space="preserve">= </w:t>
      </w:r>
      <w:proofErr w:type="spellStart"/>
      <w:r>
        <w:rPr>
          <w:position w:val="2"/>
          <w:sz w:val="20"/>
          <w:lang w:val="sv-SE"/>
        </w:rPr>
        <w:t>steady-state</w:t>
      </w:r>
      <w:proofErr w:type="spellEnd"/>
      <w:r>
        <w:rPr>
          <w:position w:val="2"/>
          <w:sz w:val="20"/>
          <w:lang w:val="sv-SE"/>
        </w:rPr>
        <w:t xml:space="preserve"> </w:t>
      </w:r>
      <w:proofErr w:type="spellStart"/>
      <w:r>
        <w:rPr>
          <w:position w:val="2"/>
          <w:sz w:val="20"/>
          <w:lang w:val="sv-SE"/>
        </w:rPr>
        <w:t>maks</w:t>
      </w:r>
      <w:proofErr w:type="spellEnd"/>
      <w:r>
        <w:rPr>
          <w:position w:val="2"/>
          <w:sz w:val="20"/>
          <w:lang w:val="sv-SE"/>
        </w:rPr>
        <w:t xml:space="preserve">. plasmakoncentration; CV = variationskoefficient; N = antal patienter med </w:t>
      </w:r>
      <w:r>
        <w:rPr>
          <w:sz w:val="20"/>
          <w:lang w:val="sv-SE"/>
        </w:rPr>
        <w:t xml:space="preserve">farmakokinetiske data; QD = </w:t>
      </w:r>
      <w:proofErr w:type="spellStart"/>
      <w:r>
        <w:rPr>
          <w:sz w:val="20"/>
          <w:lang w:val="sv-SE"/>
        </w:rPr>
        <w:t>én</w:t>
      </w:r>
      <w:proofErr w:type="spellEnd"/>
      <w:r>
        <w:rPr>
          <w:sz w:val="20"/>
          <w:lang w:val="sv-SE"/>
        </w:rPr>
        <w:t xml:space="preserve"> </w:t>
      </w:r>
      <w:proofErr w:type="spellStart"/>
      <w:r>
        <w:rPr>
          <w:sz w:val="20"/>
          <w:lang w:val="sv-SE"/>
        </w:rPr>
        <w:t>gang</w:t>
      </w:r>
      <w:proofErr w:type="spellEnd"/>
      <w:r>
        <w:rPr>
          <w:sz w:val="20"/>
          <w:lang w:val="sv-SE"/>
        </w:rPr>
        <w:t xml:space="preserve"> dagligt.</w:t>
      </w:r>
    </w:p>
    <w:p w:rsidR="00544563" w:rsidRPr="00544563" w:rsidRDefault="00544563" w:rsidP="00260E76">
      <w:pPr>
        <w:tabs>
          <w:tab w:val="left" w:pos="851"/>
        </w:tabs>
        <w:ind w:left="851"/>
        <w:rPr>
          <w:sz w:val="24"/>
          <w:szCs w:val="24"/>
          <w:lang w:val="sv-SE"/>
        </w:rPr>
      </w:pPr>
    </w:p>
    <w:p w:rsidR="00260E76" w:rsidRPr="00260E76" w:rsidRDefault="00260E76" w:rsidP="00260E76">
      <w:pPr>
        <w:tabs>
          <w:tab w:val="left" w:pos="851"/>
        </w:tabs>
        <w:ind w:left="851"/>
        <w:rPr>
          <w:sz w:val="24"/>
          <w:szCs w:val="24"/>
        </w:rPr>
      </w:pPr>
      <w:r w:rsidRPr="00260E76">
        <w:rPr>
          <w:sz w:val="24"/>
          <w:szCs w:val="24"/>
        </w:rPr>
        <w:t xml:space="preserve">Der opnås maksimal plasmakoncentration efter cirka 5 timer. Det terapeutiske plasmaniveau opnås efter første administration af </w:t>
      </w:r>
      <w:proofErr w:type="spellStart"/>
      <w:r w:rsidRPr="00260E76">
        <w:rPr>
          <w:sz w:val="24"/>
          <w:szCs w:val="24"/>
        </w:rPr>
        <w:t>fesoterodin</w:t>
      </w:r>
      <w:proofErr w:type="spellEnd"/>
      <w:r w:rsidRPr="00260E76">
        <w:rPr>
          <w:sz w:val="24"/>
          <w:szCs w:val="24"/>
        </w:rPr>
        <w:t>. Der forekommer ingen akkumulation efter administration af flere doser.</w:t>
      </w:r>
    </w:p>
    <w:p w:rsidR="00260E76" w:rsidRPr="00260E76" w:rsidRDefault="00260E76" w:rsidP="00260E76">
      <w:pPr>
        <w:tabs>
          <w:tab w:val="left" w:pos="851"/>
        </w:tabs>
        <w:ind w:left="851"/>
        <w:rPr>
          <w:sz w:val="24"/>
          <w:szCs w:val="24"/>
        </w:rPr>
      </w:pPr>
    </w:p>
    <w:p w:rsidR="00260E76" w:rsidRPr="00260E76" w:rsidRDefault="00260E76" w:rsidP="00260E76">
      <w:pPr>
        <w:tabs>
          <w:tab w:val="left" w:pos="851"/>
        </w:tabs>
        <w:ind w:left="851"/>
        <w:rPr>
          <w:sz w:val="24"/>
          <w:szCs w:val="24"/>
          <w:u w:val="single"/>
        </w:rPr>
      </w:pPr>
      <w:r w:rsidRPr="00260E76">
        <w:rPr>
          <w:sz w:val="24"/>
          <w:szCs w:val="24"/>
          <w:u w:val="single"/>
        </w:rPr>
        <w:t>Fordeling</w:t>
      </w:r>
    </w:p>
    <w:p w:rsidR="00260E76" w:rsidRPr="00260E76" w:rsidRDefault="00260E76" w:rsidP="00260E76">
      <w:pPr>
        <w:tabs>
          <w:tab w:val="left" w:pos="851"/>
        </w:tabs>
        <w:ind w:left="851"/>
        <w:rPr>
          <w:sz w:val="24"/>
          <w:szCs w:val="24"/>
        </w:rPr>
      </w:pPr>
      <w:r w:rsidRPr="00260E76">
        <w:rPr>
          <w:sz w:val="24"/>
          <w:szCs w:val="24"/>
        </w:rPr>
        <w:t xml:space="preserve">Den aktive metabolits plasma-proteinbinding er lav med cirka 50 % bundet til albumin og alpha-1-syre-glycoprotein. Gennemsnitlig </w:t>
      </w:r>
      <w:proofErr w:type="spellStart"/>
      <w:r w:rsidRPr="00260E76">
        <w:rPr>
          <w:sz w:val="24"/>
          <w:szCs w:val="24"/>
        </w:rPr>
        <w:t>steady-state</w:t>
      </w:r>
      <w:proofErr w:type="spellEnd"/>
      <w:r w:rsidRPr="00260E76">
        <w:rPr>
          <w:sz w:val="24"/>
          <w:szCs w:val="24"/>
        </w:rPr>
        <w:t xml:space="preserve"> for fordelingsvolumen efter intravenøs infusion af den aktive metabolit er 169 l.</w:t>
      </w:r>
    </w:p>
    <w:p w:rsidR="00260E76" w:rsidRPr="00260E76" w:rsidRDefault="00260E76" w:rsidP="00544563">
      <w:pPr>
        <w:rPr>
          <w:sz w:val="24"/>
          <w:szCs w:val="24"/>
        </w:rPr>
      </w:pPr>
    </w:p>
    <w:p w:rsidR="00260E76" w:rsidRPr="00260E76" w:rsidRDefault="00260E76" w:rsidP="00260E76">
      <w:pPr>
        <w:tabs>
          <w:tab w:val="left" w:pos="851"/>
        </w:tabs>
        <w:ind w:left="851"/>
        <w:rPr>
          <w:sz w:val="24"/>
          <w:szCs w:val="24"/>
          <w:u w:val="single"/>
        </w:rPr>
      </w:pPr>
      <w:r w:rsidRPr="00260E76">
        <w:rPr>
          <w:sz w:val="24"/>
          <w:szCs w:val="24"/>
          <w:u w:val="single"/>
        </w:rPr>
        <w:t>Biotransformation</w:t>
      </w:r>
    </w:p>
    <w:p w:rsidR="00260E76" w:rsidRPr="00260E76" w:rsidRDefault="00260E76" w:rsidP="00260E76">
      <w:pPr>
        <w:tabs>
          <w:tab w:val="left" w:pos="851"/>
        </w:tabs>
        <w:ind w:left="851"/>
        <w:rPr>
          <w:sz w:val="24"/>
          <w:szCs w:val="24"/>
        </w:rPr>
      </w:pPr>
      <w:r w:rsidRPr="00260E76">
        <w:rPr>
          <w:sz w:val="24"/>
          <w:szCs w:val="24"/>
        </w:rPr>
        <w:t xml:space="preserve">Efter oral administration bliver </w:t>
      </w:r>
      <w:proofErr w:type="spellStart"/>
      <w:r w:rsidRPr="00260E76">
        <w:rPr>
          <w:sz w:val="24"/>
          <w:szCs w:val="24"/>
        </w:rPr>
        <w:t>fesoterodin</w:t>
      </w:r>
      <w:proofErr w:type="spellEnd"/>
      <w:r w:rsidRPr="00260E76">
        <w:rPr>
          <w:sz w:val="24"/>
          <w:szCs w:val="24"/>
        </w:rPr>
        <w:t xml:space="preserve"> hurtigt og omfattende hydrolyseret til den aktive metabolit. Den aktive metabolit </w:t>
      </w:r>
      <w:proofErr w:type="spellStart"/>
      <w:r w:rsidRPr="00260E76">
        <w:rPr>
          <w:sz w:val="24"/>
          <w:szCs w:val="24"/>
        </w:rPr>
        <w:t>metaboliseres</w:t>
      </w:r>
      <w:proofErr w:type="spellEnd"/>
      <w:r w:rsidRPr="00260E76">
        <w:rPr>
          <w:sz w:val="24"/>
          <w:szCs w:val="24"/>
        </w:rPr>
        <w:t xml:space="preserve"> yderligere i leveren til </w:t>
      </w:r>
      <w:proofErr w:type="spellStart"/>
      <w:r w:rsidRPr="00260E76">
        <w:rPr>
          <w:sz w:val="24"/>
          <w:szCs w:val="24"/>
        </w:rPr>
        <w:t>carboxyl</w:t>
      </w:r>
      <w:proofErr w:type="spellEnd"/>
      <w:r w:rsidRPr="00260E76">
        <w:rPr>
          <w:sz w:val="24"/>
          <w:szCs w:val="24"/>
        </w:rPr>
        <w:t xml:space="preserve">-, </w:t>
      </w:r>
      <w:proofErr w:type="spellStart"/>
      <w:r w:rsidRPr="00260E76">
        <w:rPr>
          <w:sz w:val="24"/>
          <w:szCs w:val="24"/>
        </w:rPr>
        <w:t>carboxyl</w:t>
      </w:r>
      <w:proofErr w:type="spellEnd"/>
      <w:r w:rsidRPr="00260E76">
        <w:rPr>
          <w:sz w:val="24"/>
          <w:szCs w:val="24"/>
        </w:rPr>
        <w:t>-N-</w:t>
      </w:r>
      <w:proofErr w:type="spellStart"/>
      <w:r w:rsidRPr="00260E76">
        <w:rPr>
          <w:sz w:val="24"/>
          <w:szCs w:val="24"/>
        </w:rPr>
        <w:t>desisopropyl</w:t>
      </w:r>
      <w:proofErr w:type="spellEnd"/>
      <w:r w:rsidRPr="00260E76">
        <w:rPr>
          <w:sz w:val="24"/>
          <w:szCs w:val="24"/>
        </w:rPr>
        <w:t>- og N-</w:t>
      </w:r>
      <w:proofErr w:type="spellStart"/>
      <w:r w:rsidRPr="00260E76">
        <w:rPr>
          <w:sz w:val="24"/>
          <w:szCs w:val="24"/>
        </w:rPr>
        <w:t>desisopropylmetabolitter</w:t>
      </w:r>
      <w:proofErr w:type="spellEnd"/>
      <w:r w:rsidRPr="00260E76">
        <w:rPr>
          <w:sz w:val="24"/>
          <w:szCs w:val="24"/>
        </w:rPr>
        <w:t xml:space="preserve"> med involvering af CYP2D6 og CYP3A4. Ingen af disse metabolitter bidrager væsentligt til </w:t>
      </w:r>
      <w:proofErr w:type="spellStart"/>
      <w:r w:rsidRPr="00260E76">
        <w:rPr>
          <w:sz w:val="24"/>
          <w:szCs w:val="24"/>
        </w:rPr>
        <w:t>fesoterodins</w:t>
      </w:r>
      <w:proofErr w:type="spellEnd"/>
      <w:r w:rsidRPr="00260E76">
        <w:rPr>
          <w:sz w:val="24"/>
          <w:szCs w:val="24"/>
        </w:rPr>
        <w:t xml:space="preserve"> </w:t>
      </w:r>
      <w:proofErr w:type="spellStart"/>
      <w:r w:rsidRPr="00260E76">
        <w:rPr>
          <w:sz w:val="24"/>
          <w:szCs w:val="24"/>
        </w:rPr>
        <w:t>antimuskarine</w:t>
      </w:r>
      <w:proofErr w:type="spellEnd"/>
      <w:r w:rsidRPr="00260E76">
        <w:rPr>
          <w:sz w:val="24"/>
          <w:szCs w:val="24"/>
        </w:rPr>
        <w:t xml:space="preserve"> aktivitet. Den aktive metabolits gennemsnitlige </w:t>
      </w:r>
      <w:proofErr w:type="spellStart"/>
      <w:r w:rsidRPr="00260E76">
        <w:rPr>
          <w:sz w:val="24"/>
          <w:szCs w:val="24"/>
        </w:rPr>
        <w:t>C</w:t>
      </w:r>
      <w:r w:rsidRPr="00260E76">
        <w:rPr>
          <w:sz w:val="24"/>
          <w:szCs w:val="24"/>
          <w:vertAlign w:val="subscript"/>
        </w:rPr>
        <w:t>max</w:t>
      </w:r>
      <w:proofErr w:type="spellEnd"/>
      <w:r w:rsidRPr="00260E76">
        <w:rPr>
          <w:sz w:val="24"/>
          <w:szCs w:val="24"/>
        </w:rPr>
        <w:t xml:space="preserve"> og AUC er op til henholdsvis 1,7 og 2 gange højere hos langsomme CYP2D6-omsættere sammenlign- et med hurtige </w:t>
      </w:r>
      <w:proofErr w:type="spellStart"/>
      <w:r w:rsidRPr="00260E76">
        <w:rPr>
          <w:sz w:val="24"/>
          <w:szCs w:val="24"/>
        </w:rPr>
        <w:t>omsættere</w:t>
      </w:r>
      <w:proofErr w:type="spellEnd"/>
      <w:r w:rsidRPr="00260E76">
        <w:rPr>
          <w:sz w:val="24"/>
          <w:szCs w:val="24"/>
        </w:rPr>
        <w:t>.</w:t>
      </w:r>
    </w:p>
    <w:p w:rsidR="00260E76" w:rsidRPr="00260E76" w:rsidRDefault="00260E76" w:rsidP="00260E76">
      <w:pPr>
        <w:tabs>
          <w:tab w:val="left" w:pos="851"/>
        </w:tabs>
        <w:ind w:left="851"/>
        <w:rPr>
          <w:sz w:val="24"/>
          <w:szCs w:val="24"/>
        </w:rPr>
      </w:pPr>
    </w:p>
    <w:p w:rsidR="00260E76" w:rsidRPr="00260E76" w:rsidRDefault="00260E76" w:rsidP="00260E76">
      <w:pPr>
        <w:tabs>
          <w:tab w:val="left" w:pos="851"/>
        </w:tabs>
        <w:ind w:left="851"/>
        <w:rPr>
          <w:sz w:val="24"/>
          <w:szCs w:val="24"/>
          <w:u w:val="single"/>
        </w:rPr>
      </w:pPr>
      <w:r w:rsidRPr="00260E76">
        <w:rPr>
          <w:sz w:val="24"/>
          <w:szCs w:val="24"/>
          <w:u w:val="single"/>
        </w:rPr>
        <w:t>Elimination</w:t>
      </w:r>
    </w:p>
    <w:p w:rsidR="00260E76" w:rsidRPr="00260E76" w:rsidRDefault="00260E76" w:rsidP="00260E76">
      <w:pPr>
        <w:tabs>
          <w:tab w:val="left" w:pos="851"/>
        </w:tabs>
        <w:ind w:left="851"/>
        <w:rPr>
          <w:sz w:val="24"/>
          <w:szCs w:val="24"/>
        </w:rPr>
      </w:pPr>
      <w:proofErr w:type="spellStart"/>
      <w:r w:rsidRPr="00260E76">
        <w:rPr>
          <w:sz w:val="24"/>
          <w:szCs w:val="24"/>
        </w:rPr>
        <w:t>Hepatisk</w:t>
      </w:r>
      <w:proofErr w:type="spellEnd"/>
      <w:r w:rsidRPr="00260E76">
        <w:rPr>
          <w:sz w:val="24"/>
          <w:szCs w:val="24"/>
        </w:rPr>
        <w:t xml:space="preserve"> </w:t>
      </w:r>
      <w:proofErr w:type="spellStart"/>
      <w:r w:rsidRPr="00260E76">
        <w:rPr>
          <w:sz w:val="24"/>
          <w:szCs w:val="24"/>
        </w:rPr>
        <w:t>metabolisering</w:t>
      </w:r>
      <w:proofErr w:type="spellEnd"/>
      <w:r w:rsidRPr="00260E76">
        <w:rPr>
          <w:sz w:val="24"/>
          <w:szCs w:val="24"/>
        </w:rPr>
        <w:t xml:space="preserve"> og </w:t>
      </w:r>
      <w:proofErr w:type="spellStart"/>
      <w:r w:rsidRPr="00260E76">
        <w:rPr>
          <w:sz w:val="24"/>
          <w:szCs w:val="24"/>
        </w:rPr>
        <w:t>renal</w:t>
      </w:r>
      <w:proofErr w:type="spellEnd"/>
      <w:r w:rsidRPr="00260E76">
        <w:rPr>
          <w:sz w:val="24"/>
          <w:szCs w:val="24"/>
        </w:rPr>
        <w:t xml:space="preserve"> udskillelse bidrager væsentligt til eliminationen af den aktive metabolit. Efter oral administration af </w:t>
      </w:r>
      <w:proofErr w:type="spellStart"/>
      <w:r w:rsidRPr="00260E76">
        <w:rPr>
          <w:sz w:val="24"/>
          <w:szCs w:val="24"/>
        </w:rPr>
        <w:t>fesoterodin</w:t>
      </w:r>
      <w:proofErr w:type="spellEnd"/>
      <w:r w:rsidRPr="00260E76">
        <w:rPr>
          <w:sz w:val="24"/>
          <w:szCs w:val="24"/>
        </w:rPr>
        <w:t xml:space="preserve"> blev cirka 70 % af den administrerede dosis genfundet i urinen som den aktive metabolit (16 %), </w:t>
      </w:r>
      <w:proofErr w:type="spellStart"/>
      <w:r w:rsidRPr="00260E76">
        <w:rPr>
          <w:sz w:val="24"/>
          <w:szCs w:val="24"/>
        </w:rPr>
        <w:t>carboxylmetabolitten</w:t>
      </w:r>
      <w:proofErr w:type="spellEnd"/>
      <w:r w:rsidRPr="00260E76">
        <w:rPr>
          <w:sz w:val="24"/>
          <w:szCs w:val="24"/>
        </w:rPr>
        <w:t xml:space="preserve"> (34 %), </w:t>
      </w:r>
      <w:proofErr w:type="spellStart"/>
      <w:r w:rsidRPr="00260E76">
        <w:rPr>
          <w:sz w:val="24"/>
          <w:szCs w:val="24"/>
        </w:rPr>
        <w:t>carboxyl</w:t>
      </w:r>
      <w:proofErr w:type="spellEnd"/>
      <w:r w:rsidRPr="00260E76">
        <w:rPr>
          <w:sz w:val="24"/>
          <w:szCs w:val="24"/>
        </w:rPr>
        <w:t>-N-</w:t>
      </w:r>
      <w:proofErr w:type="spellStart"/>
      <w:r w:rsidRPr="00260E76">
        <w:rPr>
          <w:sz w:val="24"/>
          <w:szCs w:val="24"/>
        </w:rPr>
        <w:t>desisopropyl</w:t>
      </w:r>
      <w:proofErr w:type="spellEnd"/>
      <w:r w:rsidRPr="00260E76">
        <w:rPr>
          <w:sz w:val="24"/>
          <w:szCs w:val="24"/>
        </w:rPr>
        <w:t xml:space="preserve">-meta- </w:t>
      </w:r>
      <w:proofErr w:type="spellStart"/>
      <w:r w:rsidRPr="00260E76">
        <w:rPr>
          <w:sz w:val="24"/>
          <w:szCs w:val="24"/>
        </w:rPr>
        <w:t>bolitten</w:t>
      </w:r>
      <w:proofErr w:type="spellEnd"/>
      <w:r w:rsidRPr="00260E76">
        <w:rPr>
          <w:sz w:val="24"/>
          <w:szCs w:val="24"/>
        </w:rPr>
        <w:t xml:space="preserve"> (18 %), eller N-</w:t>
      </w:r>
      <w:proofErr w:type="spellStart"/>
      <w:r w:rsidRPr="00260E76">
        <w:rPr>
          <w:sz w:val="24"/>
          <w:szCs w:val="24"/>
        </w:rPr>
        <w:t>desisopropyl</w:t>
      </w:r>
      <w:proofErr w:type="spellEnd"/>
      <w:r w:rsidRPr="00260E76">
        <w:rPr>
          <w:sz w:val="24"/>
          <w:szCs w:val="24"/>
        </w:rPr>
        <w:t>-metabolitten (1 %), og en mindre mængde (7 %) blev genfundet i fæces. Den terminale halveringstid af den aktive metabolit efter oral administration er cirka 7 timer og er betinget af absorptionshastighed.</w:t>
      </w:r>
    </w:p>
    <w:p w:rsidR="00260E76" w:rsidRPr="00260E76" w:rsidRDefault="00260E76" w:rsidP="00260E76">
      <w:pPr>
        <w:tabs>
          <w:tab w:val="left" w:pos="851"/>
        </w:tabs>
        <w:ind w:left="851"/>
        <w:rPr>
          <w:sz w:val="24"/>
          <w:szCs w:val="24"/>
        </w:rPr>
      </w:pPr>
    </w:p>
    <w:p w:rsidR="00260E76" w:rsidRPr="00260E76" w:rsidRDefault="00260E76" w:rsidP="00260E76">
      <w:pPr>
        <w:tabs>
          <w:tab w:val="left" w:pos="851"/>
        </w:tabs>
        <w:ind w:left="851"/>
        <w:rPr>
          <w:sz w:val="24"/>
          <w:szCs w:val="24"/>
          <w:u w:val="single"/>
        </w:rPr>
      </w:pPr>
      <w:r w:rsidRPr="00260E76">
        <w:rPr>
          <w:sz w:val="24"/>
          <w:szCs w:val="24"/>
          <w:u w:val="single"/>
        </w:rPr>
        <w:t>Alder og køn</w:t>
      </w:r>
    </w:p>
    <w:p w:rsidR="00260E76" w:rsidRPr="00260E76" w:rsidRDefault="00260E76" w:rsidP="00260E76">
      <w:pPr>
        <w:tabs>
          <w:tab w:val="left" w:pos="851"/>
        </w:tabs>
        <w:ind w:left="851"/>
        <w:rPr>
          <w:sz w:val="24"/>
          <w:szCs w:val="24"/>
        </w:rPr>
      </w:pPr>
      <w:r w:rsidRPr="00260E76">
        <w:rPr>
          <w:sz w:val="24"/>
          <w:szCs w:val="24"/>
        </w:rPr>
        <w:t xml:space="preserve">Der anbefales ingen dosisjustering for disse underpopulationer. Alder og køn påvirker ikke </w:t>
      </w:r>
      <w:proofErr w:type="spellStart"/>
      <w:r w:rsidRPr="00260E76">
        <w:rPr>
          <w:sz w:val="24"/>
          <w:szCs w:val="24"/>
        </w:rPr>
        <w:t>fesoterodins</w:t>
      </w:r>
      <w:proofErr w:type="spellEnd"/>
      <w:r w:rsidRPr="00260E76">
        <w:rPr>
          <w:sz w:val="24"/>
          <w:szCs w:val="24"/>
        </w:rPr>
        <w:t xml:space="preserve"> farmakokinetik signifikant.</w:t>
      </w:r>
    </w:p>
    <w:p w:rsidR="00260E76" w:rsidRPr="00260E76" w:rsidRDefault="00260E76" w:rsidP="00260E76">
      <w:pPr>
        <w:tabs>
          <w:tab w:val="left" w:pos="851"/>
        </w:tabs>
        <w:ind w:left="851"/>
        <w:rPr>
          <w:sz w:val="24"/>
          <w:szCs w:val="24"/>
        </w:rPr>
      </w:pPr>
    </w:p>
    <w:p w:rsidR="00260E76" w:rsidRPr="00544563" w:rsidRDefault="00260E76" w:rsidP="00260E76">
      <w:pPr>
        <w:tabs>
          <w:tab w:val="left" w:pos="851"/>
        </w:tabs>
        <w:ind w:left="851"/>
        <w:rPr>
          <w:sz w:val="24"/>
          <w:szCs w:val="24"/>
          <w:u w:val="single"/>
        </w:rPr>
      </w:pPr>
      <w:r w:rsidRPr="00544563">
        <w:rPr>
          <w:sz w:val="24"/>
          <w:szCs w:val="24"/>
          <w:u w:val="single"/>
        </w:rPr>
        <w:t>Pædiatrisk population</w:t>
      </w:r>
    </w:p>
    <w:p w:rsidR="00544563" w:rsidRPr="00544563" w:rsidRDefault="00544563" w:rsidP="00544563">
      <w:pPr>
        <w:pStyle w:val="Brdtekst"/>
        <w:spacing w:before="3" w:line="235" w:lineRule="auto"/>
        <w:ind w:left="851" w:right="154"/>
        <w:rPr>
          <w:sz w:val="24"/>
          <w:szCs w:val="24"/>
          <w:lang w:val="da-DK"/>
        </w:rPr>
      </w:pPr>
      <w:r w:rsidRPr="00544563">
        <w:rPr>
          <w:sz w:val="24"/>
          <w:szCs w:val="24"/>
          <w:lang w:val="da-DK"/>
        </w:rPr>
        <w:t xml:space="preserve">Hos pædiatriske patienter i alderen fra 6 år til 17 år med </w:t>
      </w:r>
      <w:proofErr w:type="spellStart"/>
      <w:r w:rsidRPr="00544563">
        <w:rPr>
          <w:sz w:val="24"/>
          <w:szCs w:val="24"/>
          <w:lang w:val="da-DK"/>
        </w:rPr>
        <w:t>neurogen</w:t>
      </w:r>
      <w:proofErr w:type="spellEnd"/>
      <w:r w:rsidRPr="00544563">
        <w:rPr>
          <w:sz w:val="24"/>
          <w:szCs w:val="24"/>
          <w:lang w:val="da-DK"/>
        </w:rPr>
        <w:t xml:space="preserve"> </w:t>
      </w:r>
      <w:proofErr w:type="spellStart"/>
      <w:r w:rsidRPr="00544563">
        <w:rPr>
          <w:sz w:val="24"/>
          <w:szCs w:val="24"/>
          <w:lang w:val="da-DK"/>
        </w:rPr>
        <w:t>detrusoroveraktivitet</w:t>
      </w:r>
      <w:proofErr w:type="spellEnd"/>
      <w:r w:rsidRPr="00544563">
        <w:rPr>
          <w:sz w:val="24"/>
          <w:szCs w:val="24"/>
          <w:lang w:val="da-DK"/>
        </w:rPr>
        <w:t xml:space="preserve"> og en vægt på 35 kg med status som hurtige CYP2D6-omsættere, der får </w:t>
      </w:r>
      <w:proofErr w:type="spellStart"/>
      <w:r w:rsidRPr="00544563">
        <w:rPr>
          <w:sz w:val="24"/>
          <w:szCs w:val="24"/>
          <w:lang w:val="da-DK"/>
        </w:rPr>
        <w:t>fesoterodintabletter</w:t>
      </w:r>
      <w:proofErr w:type="spellEnd"/>
      <w:r w:rsidRPr="00544563">
        <w:rPr>
          <w:sz w:val="24"/>
          <w:szCs w:val="24"/>
          <w:lang w:val="da-DK"/>
        </w:rPr>
        <w:t xml:space="preserve">, estimeres middelværdierne for tilsyneladende oral </w:t>
      </w:r>
      <w:proofErr w:type="spellStart"/>
      <w:r w:rsidRPr="00544563">
        <w:rPr>
          <w:sz w:val="24"/>
          <w:szCs w:val="24"/>
          <w:lang w:val="da-DK"/>
        </w:rPr>
        <w:t>clearance</w:t>
      </w:r>
      <w:proofErr w:type="spellEnd"/>
      <w:r w:rsidRPr="00544563">
        <w:rPr>
          <w:sz w:val="24"/>
          <w:szCs w:val="24"/>
          <w:lang w:val="da-DK"/>
        </w:rPr>
        <w:t xml:space="preserve">, fordelingsvolumen og absorptionsratekonstant for </w:t>
      </w:r>
      <w:r w:rsidRPr="00544563">
        <w:rPr>
          <w:position w:val="2"/>
          <w:sz w:val="24"/>
          <w:szCs w:val="24"/>
          <w:lang w:val="da-DK"/>
        </w:rPr>
        <w:t>5-HMT til at være henholdsvis cirka 72 l/t, 68 l og 0,09 t</w:t>
      </w:r>
      <w:r w:rsidRPr="00544563">
        <w:rPr>
          <w:position w:val="10"/>
          <w:sz w:val="24"/>
          <w:szCs w:val="24"/>
          <w:lang w:val="da-DK"/>
        </w:rPr>
        <w:t>-1</w:t>
      </w:r>
      <w:r w:rsidRPr="00544563">
        <w:rPr>
          <w:position w:val="2"/>
          <w:sz w:val="24"/>
          <w:szCs w:val="24"/>
          <w:lang w:val="da-DK"/>
        </w:rPr>
        <w:t>. T</w:t>
      </w:r>
      <w:r w:rsidRPr="00544563">
        <w:rPr>
          <w:sz w:val="24"/>
          <w:szCs w:val="24"/>
          <w:lang w:val="da-DK"/>
        </w:rPr>
        <w:t xml:space="preserve">max </w:t>
      </w:r>
      <w:r w:rsidRPr="00544563">
        <w:rPr>
          <w:position w:val="2"/>
          <w:sz w:val="24"/>
          <w:szCs w:val="24"/>
          <w:lang w:val="da-DK"/>
        </w:rPr>
        <w:t xml:space="preserve">og halveringstid for 5-HMT estimeres </w:t>
      </w:r>
      <w:r w:rsidRPr="00544563">
        <w:rPr>
          <w:sz w:val="24"/>
          <w:szCs w:val="24"/>
          <w:lang w:val="da-DK"/>
        </w:rPr>
        <w:t xml:space="preserve">til at være henholdsvis cirka 2,55 t og 7,73 t. Som hos voksne estimeredes 5-HMT-eksponeringen hos langsomme CYP2D6-omsættere til at være cirka 2 gange højere sammenlignet med hurtige </w:t>
      </w:r>
      <w:proofErr w:type="spellStart"/>
      <w:r w:rsidRPr="00544563">
        <w:rPr>
          <w:sz w:val="24"/>
          <w:szCs w:val="24"/>
          <w:lang w:val="da-DK"/>
        </w:rPr>
        <w:t>omsættere</w:t>
      </w:r>
      <w:proofErr w:type="spellEnd"/>
      <w:r w:rsidRPr="00544563">
        <w:rPr>
          <w:sz w:val="24"/>
          <w:szCs w:val="24"/>
          <w:lang w:val="da-DK"/>
        </w:rPr>
        <w:t>.</w:t>
      </w:r>
    </w:p>
    <w:p w:rsidR="00544563" w:rsidRPr="00544563" w:rsidRDefault="00544563" w:rsidP="00544563">
      <w:pPr>
        <w:pStyle w:val="Brdtekst"/>
        <w:rPr>
          <w:sz w:val="24"/>
          <w:szCs w:val="24"/>
          <w:lang w:val="da-DK"/>
        </w:rPr>
      </w:pPr>
    </w:p>
    <w:p w:rsidR="00544563" w:rsidRPr="00544563" w:rsidRDefault="00544563" w:rsidP="00544563">
      <w:pPr>
        <w:pStyle w:val="Brdtekst"/>
        <w:widowControl/>
        <w:spacing w:before="1"/>
        <w:ind w:left="851" w:right="947"/>
        <w:rPr>
          <w:sz w:val="24"/>
          <w:szCs w:val="24"/>
          <w:lang w:val="da-DK"/>
        </w:rPr>
      </w:pPr>
      <w:r w:rsidRPr="00544563">
        <w:rPr>
          <w:sz w:val="24"/>
          <w:szCs w:val="24"/>
          <w:lang w:val="da-DK"/>
        </w:rPr>
        <w:t xml:space="preserve">Post-hoc-estimaterne af </w:t>
      </w:r>
      <w:proofErr w:type="spellStart"/>
      <w:r w:rsidRPr="00544563">
        <w:rPr>
          <w:sz w:val="24"/>
          <w:szCs w:val="24"/>
          <w:lang w:val="da-DK"/>
        </w:rPr>
        <w:t>steady</w:t>
      </w:r>
      <w:proofErr w:type="spellEnd"/>
      <w:r w:rsidRPr="00544563">
        <w:rPr>
          <w:sz w:val="24"/>
          <w:szCs w:val="24"/>
          <w:lang w:val="da-DK"/>
        </w:rPr>
        <w:t xml:space="preserve">-state-eksponeringer for 5-HMT hos pædiatriske patienter efter </w:t>
      </w:r>
      <w:proofErr w:type="spellStart"/>
      <w:r w:rsidRPr="00544563">
        <w:rPr>
          <w:sz w:val="24"/>
          <w:szCs w:val="24"/>
          <w:lang w:val="da-DK"/>
        </w:rPr>
        <w:t>fesoterodin</w:t>
      </w:r>
      <w:proofErr w:type="spellEnd"/>
      <w:r w:rsidRPr="00544563">
        <w:rPr>
          <w:sz w:val="24"/>
          <w:szCs w:val="24"/>
          <w:lang w:val="da-DK"/>
        </w:rPr>
        <w:t xml:space="preserve"> 4 mg og 8 mg tabletter én gang dagligt fremgår af tabel 4.</w:t>
      </w:r>
    </w:p>
    <w:p w:rsidR="00544563" w:rsidRPr="00544563" w:rsidRDefault="00544563" w:rsidP="00544563">
      <w:pPr>
        <w:pStyle w:val="Overskrift1"/>
        <w:tabs>
          <w:tab w:val="left" w:pos="1467"/>
        </w:tabs>
        <w:ind w:left="331" w:right="265"/>
        <w:rPr>
          <w:rFonts w:ascii="Times New Roman" w:hAnsi="Times New Roman"/>
          <w:sz w:val="24"/>
          <w:szCs w:val="24"/>
        </w:rPr>
      </w:pPr>
      <w:r w:rsidRPr="00544563">
        <w:rPr>
          <w:rFonts w:ascii="Times New Roman" w:hAnsi="Times New Roman"/>
          <w:sz w:val="24"/>
          <w:szCs w:val="24"/>
        </w:rPr>
        <w:t>Tabel</w:t>
      </w:r>
      <w:r w:rsidRPr="00544563">
        <w:rPr>
          <w:rFonts w:ascii="Times New Roman" w:hAnsi="Times New Roman"/>
          <w:spacing w:val="-1"/>
          <w:sz w:val="24"/>
          <w:szCs w:val="24"/>
        </w:rPr>
        <w:t xml:space="preserve"> </w:t>
      </w:r>
      <w:r w:rsidRPr="00544563">
        <w:rPr>
          <w:rFonts w:ascii="Times New Roman" w:hAnsi="Times New Roman"/>
          <w:sz w:val="24"/>
          <w:szCs w:val="24"/>
        </w:rPr>
        <w:t>4: Oversigt over geometriske middelværdier [% CV]</w:t>
      </w:r>
      <w:r w:rsidRPr="00544563">
        <w:rPr>
          <w:rFonts w:ascii="Times New Roman" w:hAnsi="Times New Roman"/>
          <w:spacing w:val="-26"/>
          <w:sz w:val="24"/>
          <w:szCs w:val="24"/>
        </w:rPr>
        <w:t xml:space="preserve"> </w:t>
      </w:r>
      <w:r w:rsidRPr="00544563">
        <w:rPr>
          <w:rFonts w:ascii="Times New Roman" w:hAnsi="Times New Roman"/>
          <w:sz w:val="24"/>
          <w:szCs w:val="24"/>
        </w:rPr>
        <w:t>for</w:t>
      </w:r>
      <w:r w:rsidRPr="00544563">
        <w:rPr>
          <w:rFonts w:ascii="Times New Roman" w:hAnsi="Times New Roman"/>
          <w:spacing w:val="-5"/>
          <w:sz w:val="24"/>
          <w:szCs w:val="24"/>
        </w:rPr>
        <w:t xml:space="preserve"> </w:t>
      </w:r>
      <w:proofErr w:type="spellStart"/>
      <w:r w:rsidRPr="00544563">
        <w:rPr>
          <w:rFonts w:ascii="Times New Roman" w:hAnsi="Times New Roman"/>
          <w:sz w:val="24"/>
          <w:szCs w:val="24"/>
        </w:rPr>
        <w:t>farmakokinetiske</w:t>
      </w:r>
      <w:proofErr w:type="spellEnd"/>
      <w:r w:rsidRPr="00544563">
        <w:rPr>
          <w:rFonts w:ascii="Times New Roman" w:hAnsi="Times New Roman"/>
          <w:sz w:val="24"/>
          <w:szCs w:val="24"/>
        </w:rPr>
        <w:t xml:space="preserve"> parametre for den aktive metabolit efter </w:t>
      </w:r>
      <w:proofErr w:type="spellStart"/>
      <w:r w:rsidRPr="00544563">
        <w:rPr>
          <w:rFonts w:ascii="Times New Roman" w:hAnsi="Times New Roman"/>
          <w:sz w:val="24"/>
          <w:szCs w:val="24"/>
        </w:rPr>
        <w:t>steady</w:t>
      </w:r>
      <w:proofErr w:type="spellEnd"/>
      <w:r w:rsidRPr="00544563">
        <w:rPr>
          <w:rFonts w:ascii="Times New Roman" w:hAnsi="Times New Roman"/>
          <w:sz w:val="24"/>
          <w:szCs w:val="24"/>
        </w:rPr>
        <w:t xml:space="preserve">-state-dosering af </w:t>
      </w:r>
      <w:proofErr w:type="spellStart"/>
      <w:r w:rsidRPr="00544563">
        <w:rPr>
          <w:rFonts w:ascii="Times New Roman" w:hAnsi="Times New Roman"/>
          <w:sz w:val="24"/>
          <w:szCs w:val="24"/>
        </w:rPr>
        <w:t>fesoterodin</w:t>
      </w:r>
      <w:proofErr w:type="spellEnd"/>
      <w:r w:rsidRPr="00544563">
        <w:rPr>
          <w:rFonts w:ascii="Times New Roman" w:hAnsi="Times New Roman"/>
          <w:sz w:val="24"/>
          <w:szCs w:val="24"/>
        </w:rPr>
        <w:t xml:space="preserve"> hos pædiatriske patienter med NDO eller OAB og en vægt &gt; 25</w:t>
      </w:r>
      <w:r w:rsidRPr="00544563">
        <w:rPr>
          <w:rFonts w:ascii="Times New Roman" w:hAnsi="Times New Roman"/>
          <w:spacing w:val="-16"/>
          <w:sz w:val="24"/>
          <w:szCs w:val="24"/>
        </w:rPr>
        <w:t xml:space="preserve"> </w:t>
      </w:r>
      <w:r w:rsidRPr="00544563">
        <w:rPr>
          <w:rFonts w:ascii="Times New Roman" w:hAnsi="Times New Roman"/>
          <w:sz w:val="24"/>
          <w:szCs w:val="24"/>
        </w:rPr>
        <w:t>kg</w:t>
      </w: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5"/>
        <w:gridCol w:w="2129"/>
        <w:gridCol w:w="682"/>
        <w:gridCol w:w="1543"/>
        <w:gridCol w:w="2566"/>
      </w:tblGrid>
      <w:tr w:rsidR="00544563" w:rsidRPr="00544563" w:rsidTr="00544563">
        <w:trPr>
          <w:trHeight w:hRule="exact" w:val="516"/>
        </w:trPr>
        <w:tc>
          <w:tcPr>
            <w:tcW w:w="2045" w:type="dxa"/>
            <w:tcBorders>
              <w:top w:val="single" w:sz="4" w:space="0" w:color="000000"/>
              <w:left w:val="single" w:sz="4" w:space="0" w:color="000000"/>
              <w:bottom w:val="single" w:sz="4" w:space="0" w:color="000000"/>
              <w:right w:val="single" w:sz="4" w:space="0" w:color="000000"/>
            </w:tcBorders>
          </w:tcPr>
          <w:p w:rsidR="00544563" w:rsidRPr="00544563" w:rsidRDefault="00544563">
            <w:pPr>
              <w:pStyle w:val="TableParagraph"/>
              <w:spacing w:line="240" w:lineRule="auto"/>
              <w:rPr>
                <w:b/>
                <w:lang w:val="da-DK"/>
              </w:rPr>
            </w:pPr>
          </w:p>
          <w:p w:rsidR="00544563" w:rsidRPr="00544563" w:rsidRDefault="00544563">
            <w:pPr>
              <w:pStyle w:val="TableParagraph"/>
              <w:spacing w:line="240" w:lineRule="auto"/>
              <w:ind w:left="103"/>
              <w:rPr>
                <w:b/>
                <w:lang w:val="da-DK"/>
              </w:rPr>
            </w:pPr>
            <w:r w:rsidRPr="00544563">
              <w:rPr>
                <w:b/>
                <w:lang w:val="da-DK"/>
              </w:rPr>
              <w:t>Alder</w:t>
            </w:r>
          </w:p>
        </w:tc>
        <w:tc>
          <w:tcPr>
            <w:tcW w:w="2129" w:type="dxa"/>
            <w:tcBorders>
              <w:top w:val="single" w:sz="4" w:space="0" w:color="000000"/>
              <w:left w:val="single" w:sz="4" w:space="0" w:color="000000"/>
              <w:bottom w:val="single" w:sz="4" w:space="0" w:color="000000"/>
              <w:right w:val="single" w:sz="4" w:space="0" w:color="000000"/>
            </w:tcBorders>
          </w:tcPr>
          <w:p w:rsidR="00544563" w:rsidRPr="00544563" w:rsidRDefault="00544563">
            <w:pPr>
              <w:pStyle w:val="TableParagraph"/>
              <w:spacing w:line="240" w:lineRule="auto"/>
              <w:rPr>
                <w:b/>
                <w:lang w:val="da-DK"/>
              </w:rPr>
            </w:pPr>
          </w:p>
          <w:p w:rsidR="00544563" w:rsidRPr="00544563" w:rsidRDefault="00544563">
            <w:pPr>
              <w:pStyle w:val="TableParagraph"/>
              <w:spacing w:line="240" w:lineRule="auto"/>
              <w:ind w:left="19" w:right="19"/>
              <w:rPr>
                <w:b/>
                <w:lang w:val="da-DK"/>
              </w:rPr>
            </w:pPr>
            <w:r w:rsidRPr="00544563">
              <w:rPr>
                <w:b/>
                <w:lang w:val="da-DK"/>
              </w:rPr>
              <w:t>Dosering/formulering</w:t>
            </w:r>
          </w:p>
        </w:tc>
        <w:tc>
          <w:tcPr>
            <w:tcW w:w="682" w:type="dxa"/>
            <w:tcBorders>
              <w:top w:val="single" w:sz="4" w:space="0" w:color="000000"/>
              <w:left w:val="single" w:sz="4" w:space="0" w:color="000000"/>
              <w:bottom w:val="single" w:sz="4" w:space="0" w:color="000000"/>
              <w:right w:val="single" w:sz="4" w:space="0" w:color="000000"/>
            </w:tcBorders>
          </w:tcPr>
          <w:p w:rsidR="00544563" w:rsidRPr="00544563" w:rsidRDefault="00544563">
            <w:pPr>
              <w:pStyle w:val="TableParagraph"/>
              <w:spacing w:line="240" w:lineRule="auto"/>
              <w:rPr>
                <w:b/>
                <w:lang w:val="da-DK"/>
              </w:rPr>
            </w:pPr>
          </w:p>
          <w:p w:rsidR="00544563" w:rsidRPr="00544563" w:rsidRDefault="00544563">
            <w:pPr>
              <w:pStyle w:val="TableParagraph"/>
              <w:spacing w:line="240" w:lineRule="auto"/>
              <w:ind w:left="5"/>
              <w:rPr>
                <w:b/>
                <w:lang w:val="da-DK"/>
              </w:rPr>
            </w:pPr>
            <w:r w:rsidRPr="00544563">
              <w:rPr>
                <w:b/>
                <w:lang w:val="da-DK"/>
              </w:rPr>
              <w:t>N</w:t>
            </w:r>
          </w:p>
        </w:tc>
        <w:tc>
          <w:tcPr>
            <w:tcW w:w="1543" w:type="dxa"/>
            <w:tcBorders>
              <w:top w:val="single" w:sz="4" w:space="0" w:color="000000"/>
              <w:left w:val="single" w:sz="4" w:space="0" w:color="000000"/>
              <w:bottom w:val="single" w:sz="4" w:space="0" w:color="000000"/>
              <w:right w:val="single" w:sz="4" w:space="0" w:color="000000"/>
            </w:tcBorders>
          </w:tcPr>
          <w:p w:rsidR="00544563" w:rsidRPr="00544563" w:rsidRDefault="00544563">
            <w:pPr>
              <w:pStyle w:val="TableParagraph"/>
              <w:spacing w:before="10" w:line="240" w:lineRule="auto"/>
              <w:rPr>
                <w:b/>
                <w:sz w:val="21"/>
                <w:lang w:val="da-DK"/>
              </w:rPr>
            </w:pPr>
          </w:p>
          <w:p w:rsidR="00544563" w:rsidRPr="00544563" w:rsidRDefault="00544563">
            <w:pPr>
              <w:pStyle w:val="TableParagraph"/>
              <w:spacing w:line="240" w:lineRule="auto"/>
              <w:ind w:left="110" w:right="104"/>
              <w:rPr>
                <w:b/>
                <w:lang w:val="da-DK"/>
              </w:rPr>
            </w:pPr>
            <w:proofErr w:type="gramStart"/>
            <w:r w:rsidRPr="00544563">
              <w:rPr>
                <w:b/>
                <w:position w:val="2"/>
                <w:lang w:val="da-DK"/>
              </w:rPr>
              <w:t>C</w:t>
            </w:r>
            <w:proofErr w:type="spellStart"/>
            <w:r w:rsidRPr="00544563">
              <w:rPr>
                <w:b/>
                <w:sz w:val="14"/>
                <w:lang w:val="da-DK"/>
              </w:rPr>
              <w:t>max,ss</w:t>
            </w:r>
            <w:proofErr w:type="spellEnd"/>
            <w:proofErr w:type="gramEnd"/>
            <w:r w:rsidRPr="00544563">
              <w:rPr>
                <w:b/>
                <w:sz w:val="14"/>
                <w:lang w:val="da-DK"/>
              </w:rPr>
              <w:t xml:space="preserve"> </w:t>
            </w:r>
            <w:r w:rsidRPr="00544563">
              <w:rPr>
                <w:b/>
                <w:position w:val="2"/>
                <w:lang w:val="da-DK"/>
              </w:rPr>
              <w:t>(</w:t>
            </w:r>
            <w:proofErr w:type="spellStart"/>
            <w:r w:rsidRPr="00544563">
              <w:rPr>
                <w:b/>
                <w:position w:val="2"/>
                <w:lang w:val="da-DK"/>
              </w:rPr>
              <w:t>ng</w:t>
            </w:r>
            <w:proofErr w:type="spellEnd"/>
            <w:r w:rsidRPr="00544563">
              <w:rPr>
                <w:b/>
                <w:position w:val="2"/>
                <w:lang w:val="da-DK"/>
              </w:rPr>
              <w:t>/ml)</w:t>
            </w:r>
          </w:p>
        </w:tc>
        <w:tc>
          <w:tcPr>
            <w:tcW w:w="2566" w:type="dxa"/>
            <w:tcBorders>
              <w:top w:val="single" w:sz="4" w:space="0" w:color="000000"/>
              <w:left w:val="single" w:sz="4" w:space="0" w:color="000000"/>
              <w:bottom w:val="single" w:sz="4" w:space="0" w:color="000000"/>
              <w:right w:val="single" w:sz="4" w:space="0" w:color="000000"/>
            </w:tcBorders>
            <w:hideMark/>
          </w:tcPr>
          <w:p w:rsidR="00544563" w:rsidRPr="00544563" w:rsidRDefault="00544563">
            <w:pPr>
              <w:pStyle w:val="TableParagraph"/>
              <w:spacing w:before="34" w:line="236" w:lineRule="exact"/>
              <w:ind w:left="844" w:right="824" w:firstLine="26"/>
              <w:rPr>
                <w:b/>
                <w:lang w:val="da-DK"/>
              </w:rPr>
            </w:pPr>
            <w:proofErr w:type="gramStart"/>
            <w:r w:rsidRPr="00544563">
              <w:rPr>
                <w:b/>
                <w:position w:val="2"/>
                <w:lang w:val="da-DK"/>
              </w:rPr>
              <w:t>AUC</w:t>
            </w:r>
            <w:proofErr w:type="spellStart"/>
            <w:r w:rsidRPr="00544563">
              <w:rPr>
                <w:b/>
                <w:sz w:val="14"/>
                <w:lang w:val="da-DK"/>
              </w:rPr>
              <w:t>tau,ss</w:t>
            </w:r>
            <w:proofErr w:type="spellEnd"/>
            <w:proofErr w:type="gramEnd"/>
            <w:r w:rsidRPr="00544563">
              <w:rPr>
                <w:b/>
                <w:sz w:val="14"/>
                <w:lang w:val="da-DK"/>
              </w:rPr>
              <w:t xml:space="preserve"> </w:t>
            </w:r>
            <w:r w:rsidRPr="00544563">
              <w:rPr>
                <w:b/>
                <w:lang w:val="da-DK"/>
              </w:rPr>
              <w:t>(</w:t>
            </w:r>
            <w:proofErr w:type="spellStart"/>
            <w:r w:rsidRPr="00544563">
              <w:rPr>
                <w:b/>
                <w:lang w:val="da-DK"/>
              </w:rPr>
              <w:t>ng</w:t>
            </w:r>
            <w:proofErr w:type="spellEnd"/>
            <w:r w:rsidRPr="00544563">
              <w:rPr>
                <w:b/>
                <w:lang w:val="da-DK"/>
              </w:rPr>
              <w:t>*t/ml)</w:t>
            </w:r>
          </w:p>
        </w:tc>
      </w:tr>
      <w:tr w:rsidR="00544563" w:rsidRPr="00544563" w:rsidTr="00544563">
        <w:trPr>
          <w:trHeight w:hRule="exact" w:val="264"/>
        </w:trPr>
        <w:tc>
          <w:tcPr>
            <w:tcW w:w="2045" w:type="dxa"/>
            <w:vMerge w:val="restart"/>
            <w:tcBorders>
              <w:top w:val="single" w:sz="4" w:space="0" w:color="000000"/>
              <w:left w:val="single" w:sz="4" w:space="0" w:color="000000"/>
              <w:bottom w:val="single" w:sz="4" w:space="0" w:color="000000"/>
              <w:right w:val="single" w:sz="4" w:space="0" w:color="000000"/>
            </w:tcBorders>
            <w:hideMark/>
          </w:tcPr>
          <w:p w:rsidR="00544563" w:rsidRPr="00544563" w:rsidRDefault="00544563">
            <w:pPr>
              <w:pStyle w:val="TableParagraph"/>
              <w:spacing w:before="8" w:line="240" w:lineRule="auto"/>
              <w:ind w:left="-3" w:right="271"/>
              <w:rPr>
                <w:lang w:val="da-DK"/>
              </w:rPr>
            </w:pPr>
            <w:r w:rsidRPr="00544563">
              <w:rPr>
                <w:lang w:val="da-DK"/>
              </w:rPr>
              <w:t>6 til 17 år (patienter med NDO)</w:t>
            </w:r>
          </w:p>
        </w:tc>
        <w:tc>
          <w:tcPr>
            <w:tcW w:w="2129" w:type="dxa"/>
            <w:tcBorders>
              <w:top w:val="single" w:sz="4" w:space="0" w:color="000000"/>
              <w:left w:val="single" w:sz="4" w:space="0" w:color="000000"/>
              <w:bottom w:val="single" w:sz="4" w:space="0" w:color="000000"/>
              <w:right w:val="single" w:sz="4" w:space="0" w:color="000000"/>
            </w:tcBorders>
            <w:hideMark/>
          </w:tcPr>
          <w:p w:rsidR="00544563" w:rsidRPr="00544563" w:rsidRDefault="00544563">
            <w:pPr>
              <w:pStyle w:val="TableParagraph"/>
              <w:ind w:left="18" w:right="19"/>
              <w:rPr>
                <w:lang w:val="da-DK"/>
              </w:rPr>
            </w:pPr>
            <w:r w:rsidRPr="00544563">
              <w:rPr>
                <w:lang w:val="da-DK"/>
              </w:rPr>
              <w:t>4 mg QD/tablet</w:t>
            </w:r>
          </w:p>
        </w:tc>
        <w:tc>
          <w:tcPr>
            <w:tcW w:w="682" w:type="dxa"/>
            <w:tcBorders>
              <w:top w:val="single" w:sz="4" w:space="0" w:color="000000"/>
              <w:left w:val="single" w:sz="4" w:space="0" w:color="000000"/>
              <w:bottom w:val="single" w:sz="4" w:space="0" w:color="000000"/>
              <w:right w:val="single" w:sz="4" w:space="0" w:color="000000"/>
            </w:tcBorders>
            <w:hideMark/>
          </w:tcPr>
          <w:p w:rsidR="00544563" w:rsidRPr="00544563" w:rsidRDefault="00544563">
            <w:pPr>
              <w:pStyle w:val="TableParagraph"/>
              <w:ind w:left="208" w:right="204"/>
              <w:rPr>
                <w:lang w:val="da-DK"/>
              </w:rPr>
            </w:pPr>
            <w:r w:rsidRPr="00544563">
              <w:rPr>
                <w:lang w:val="da-DK"/>
              </w:rPr>
              <w:t>32</w:t>
            </w:r>
          </w:p>
        </w:tc>
        <w:tc>
          <w:tcPr>
            <w:tcW w:w="1543" w:type="dxa"/>
            <w:tcBorders>
              <w:top w:val="single" w:sz="4" w:space="0" w:color="000000"/>
              <w:left w:val="single" w:sz="4" w:space="0" w:color="000000"/>
              <w:bottom w:val="single" w:sz="4" w:space="0" w:color="000000"/>
              <w:right w:val="single" w:sz="4" w:space="0" w:color="000000"/>
            </w:tcBorders>
            <w:hideMark/>
          </w:tcPr>
          <w:p w:rsidR="00544563" w:rsidRPr="00544563" w:rsidRDefault="00544563">
            <w:pPr>
              <w:pStyle w:val="TableParagraph"/>
              <w:ind w:left="110" w:right="104"/>
              <w:rPr>
                <w:lang w:val="da-DK"/>
              </w:rPr>
            </w:pPr>
            <w:r w:rsidRPr="00544563">
              <w:rPr>
                <w:lang w:val="da-DK"/>
              </w:rPr>
              <w:t>4,88 (48,2)</w:t>
            </w:r>
          </w:p>
        </w:tc>
        <w:tc>
          <w:tcPr>
            <w:tcW w:w="2566" w:type="dxa"/>
            <w:tcBorders>
              <w:top w:val="single" w:sz="4" w:space="0" w:color="000000"/>
              <w:left w:val="single" w:sz="4" w:space="0" w:color="000000"/>
              <w:bottom w:val="single" w:sz="4" w:space="0" w:color="000000"/>
              <w:right w:val="single" w:sz="4" w:space="0" w:color="000000"/>
            </w:tcBorders>
            <w:hideMark/>
          </w:tcPr>
          <w:p w:rsidR="00544563" w:rsidRPr="00544563" w:rsidRDefault="00544563">
            <w:pPr>
              <w:pStyle w:val="TableParagraph"/>
              <w:ind w:left="772" w:right="771"/>
              <w:rPr>
                <w:lang w:val="da-DK"/>
              </w:rPr>
            </w:pPr>
            <w:r w:rsidRPr="00544563">
              <w:rPr>
                <w:lang w:val="da-DK"/>
              </w:rPr>
              <w:t>59,1 (51,7)</w:t>
            </w:r>
          </w:p>
        </w:tc>
      </w:tr>
      <w:tr w:rsidR="00544563" w:rsidRPr="00544563" w:rsidTr="00544563">
        <w:trPr>
          <w:trHeight w:hRule="exact" w:val="262"/>
        </w:trPr>
        <w:tc>
          <w:tcPr>
            <w:tcW w:w="2045" w:type="dxa"/>
            <w:vMerge/>
            <w:tcBorders>
              <w:top w:val="single" w:sz="4" w:space="0" w:color="000000"/>
              <w:left w:val="single" w:sz="4" w:space="0" w:color="000000"/>
              <w:bottom w:val="single" w:sz="4" w:space="0" w:color="000000"/>
              <w:right w:val="single" w:sz="4" w:space="0" w:color="000000"/>
            </w:tcBorders>
            <w:vAlign w:val="center"/>
            <w:hideMark/>
          </w:tcPr>
          <w:p w:rsidR="00544563" w:rsidRPr="00544563" w:rsidRDefault="00544563">
            <w:pPr>
              <w:rPr>
                <w:sz w:val="22"/>
                <w:szCs w:val="22"/>
              </w:rPr>
            </w:pPr>
          </w:p>
        </w:tc>
        <w:tc>
          <w:tcPr>
            <w:tcW w:w="2129" w:type="dxa"/>
            <w:tcBorders>
              <w:top w:val="single" w:sz="4" w:space="0" w:color="000000"/>
              <w:left w:val="single" w:sz="4" w:space="0" w:color="000000"/>
              <w:bottom w:val="single" w:sz="4" w:space="0" w:color="000000"/>
              <w:right w:val="single" w:sz="4" w:space="0" w:color="000000"/>
            </w:tcBorders>
            <w:hideMark/>
          </w:tcPr>
          <w:p w:rsidR="00544563" w:rsidRPr="00544563" w:rsidRDefault="00544563">
            <w:pPr>
              <w:pStyle w:val="TableParagraph"/>
              <w:ind w:left="18" w:right="19"/>
              <w:rPr>
                <w:lang w:val="da-DK"/>
              </w:rPr>
            </w:pPr>
            <w:r w:rsidRPr="00544563">
              <w:rPr>
                <w:lang w:val="da-DK"/>
              </w:rPr>
              <w:t>8 mg QD/tablet</w:t>
            </w:r>
          </w:p>
        </w:tc>
        <w:tc>
          <w:tcPr>
            <w:tcW w:w="682" w:type="dxa"/>
            <w:tcBorders>
              <w:top w:val="single" w:sz="4" w:space="0" w:color="000000"/>
              <w:left w:val="single" w:sz="4" w:space="0" w:color="000000"/>
              <w:bottom w:val="single" w:sz="4" w:space="0" w:color="000000"/>
              <w:right w:val="single" w:sz="4" w:space="0" w:color="000000"/>
            </w:tcBorders>
            <w:hideMark/>
          </w:tcPr>
          <w:p w:rsidR="00544563" w:rsidRPr="00544563" w:rsidRDefault="00544563">
            <w:pPr>
              <w:pStyle w:val="TableParagraph"/>
              <w:ind w:left="208" w:right="204"/>
              <w:rPr>
                <w:lang w:val="da-DK"/>
              </w:rPr>
            </w:pPr>
            <w:r w:rsidRPr="00544563">
              <w:rPr>
                <w:lang w:val="da-DK"/>
              </w:rPr>
              <w:t>39</w:t>
            </w:r>
          </w:p>
        </w:tc>
        <w:tc>
          <w:tcPr>
            <w:tcW w:w="1543" w:type="dxa"/>
            <w:tcBorders>
              <w:top w:val="single" w:sz="4" w:space="0" w:color="000000"/>
              <w:left w:val="single" w:sz="4" w:space="0" w:color="000000"/>
              <w:bottom w:val="single" w:sz="4" w:space="0" w:color="000000"/>
              <w:right w:val="single" w:sz="4" w:space="0" w:color="000000"/>
            </w:tcBorders>
            <w:hideMark/>
          </w:tcPr>
          <w:p w:rsidR="00544563" w:rsidRPr="00544563" w:rsidRDefault="00544563">
            <w:pPr>
              <w:pStyle w:val="TableParagraph"/>
              <w:ind w:left="110" w:right="104"/>
              <w:rPr>
                <w:lang w:val="da-DK"/>
              </w:rPr>
            </w:pPr>
            <w:r w:rsidRPr="00544563">
              <w:rPr>
                <w:lang w:val="da-DK"/>
              </w:rPr>
              <w:t>8,47 (41,6)</w:t>
            </w:r>
          </w:p>
        </w:tc>
        <w:tc>
          <w:tcPr>
            <w:tcW w:w="2566" w:type="dxa"/>
            <w:tcBorders>
              <w:top w:val="single" w:sz="4" w:space="0" w:color="000000"/>
              <w:left w:val="single" w:sz="4" w:space="0" w:color="000000"/>
              <w:bottom w:val="single" w:sz="4" w:space="0" w:color="000000"/>
              <w:right w:val="single" w:sz="4" w:space="0" w:color="000000"/>
            </w:tcBorders>
            <w:hideMark/>
          </w:tcPr>
          <w:p w:rsidR="00544563" w:rsidRPr="00544563" w:rsidRDefault="00544563">
            <w:pPr>
              <w:pStyle w:val="TableParagraph"/>
              <w:ind w:left="772" w:right="769"/>
              <w:rPr>
                <w:lang w:val="da-DK"/>
              </w:rPr>
            </w:pPr>
            <w:r w:rsidRPr="00544563">
              <w:rPr>
                <w:lang w:val="da-DK"/>
              </w:rPr>
              <w:t>103 (46,2)</w:t>
            </w:r>
          </w:p>
        </w:tc>
      </w:tr>
      <w:tr w:rsidR="00544563" w:rsidRPr="00544563" w:rsidTr="00544563">
        <w:trPr>
          <w:trHeight w:hRule="exact" w:val="516"/>
        </w:trPr>
        <w:tc>
          <w:tcPr>
            <w:tcW w:w="2045" w:type="dxa"/>
            <w:tcBorders>
              <w:top w:val="single" w:sz="4" w:space="0" w:color="000000"/>
              <w:left w:val="single" w:sz="4" w:space="0" w:color="000000"/>
              <w:bottom w:val="single" w:sz="4" w:space="0" w:color="000000"/>
              <w:right w:val="single" w:sz="4" w:space="0" w:color="000000"/>
            </w:tcBorders>
            <w:hideMark/>
          </w:tcPr>
          <w:p w:rsidR="00544563" w:rsidRPr="00544563" w:rsidRDefault="00544563">
            <w:pPr>
              <w:pStyle w:val="TableParagraph"/>
              <w:spacing w:line="240" w:lineRule="auto"/>
              <w:ind w:left="2" w:right="64"/>
              <w:rPr>
                <w:lang w:val="da-DK"/>
              </w:rPr>
            </w:pPr>
            <w:r w:rsidRPr="00544563">
              <w:rPr>
                <w:lang w:val="da-DK"/>
              </w:rPr>
              <w:t>8 til 17 år (patienter med NDO eller OAB)</w:t>
            </w:r>
          </w:p>
        </w:tc>
        <w:tc>
          <w:tcPr>
            <w:tcW w:w="2129" w:type="dxa"/>
            <w:tcBorders>
              <w:top w:val="single" w:sz="4" w:space="0" w:color="000000"/>
              <w:left w:val="single" w:sz="4" w:space="0" w:color="000000"/>
              <w:bottom w:val="single" w:sz="4" w:space="0" w:color="000000"/>
              <w:right w:val="single" w:sz="4" w:space="0" w:color="000000"/>
            </w:tcBorders>
          </w:tcPr>
          <w:p w:rsidR="00544563" w:rsidRPr="00544563" w:rsidRDefault="00544563">
            <w:pPr>
              <w:pStyle w:val="TableParagraph"/>
              <w:spacing w:before="6" w:line="240" w:lineRule="auto"/>
              <w:rPr>
                <w:b/>
                <w:sz w:val="21"/>
                <w:lang w:val="da-DK"/>
              </w:rPr>
            </w:pPr>
          </w:p>
          <w:p w:rsidR="00544563" w:rsidRPr="00544563" w:rsidRDefault="00544563">
            <w:pPr>
              <w:pStyle w:val="TableParagraph"/>
              <w:spacing w:line="240" w:lineRule="auto"/>
              <w:ind w:left="19" w:right="17"/>
              <w:rPr>
                <w:sz w:val="14"/>
                <w:lang w:val="da-DK"/>
              </w:rPr>
            </w:pPr>
            <w:r w:rsidRPr="00544563">
              <w:rPr>
                <w:lang w:val="da-DK"/>
              </w:rPr>
              <w:t>8 mg QD/tablet</w:t>
            </w:r>
            <w:r w:rsidRPr="00544563">
              <w:rPr>
                <w:position w:val="8"/>
                <w:sz w:val="14"/>
                <w:lang w:val="da-DK"/>
              </w:rPr>
              <w:t>1</w:t>
            </w:r>
          </w:p>
        </w:tc>
        <w:tc>
          <w:tcPr>
            <w:tcW w:w="682" w:type="dxa"/>
            <w:tcBorders>
              <w:top w:val="single" w:sz="4" w:space="0" w:color="000000"/>
              <w:left w:val="single" w:sz="4" w:space="0" w:color="000000"/>
              <w:bottom w:val="single" w:sz="4" w:space="0" w:color="000000"/>
              <w:right w:val="single" w:sz="4" w:space="0" w:color="000000"/>
            </w:tcBorders>
          </w:tcPr>
          <w:p w:rsidR="00544563" w:rsidRPr="00544563" w:rsidRDefault="00544563">
            <w:pPr>
              <w:pStyle w:val="TableParagraph"/>
              <w:spacing w:line="240" w:lineRule="auto"/>
              <w:rPr>
                <w:b/>
                <w:lang w:val="da-DK"/>
              </w:rPr>
            </w:pPr>
          </w:p>
          <w:p w:rsidR="00544563" w:rsidRPr="00544563" w:rsidRDefault="00544563">
            <w:pPr>
              <w:pStyle w:val="TableParagraph"/>
              <w:spacing w:line="240" w:lineRule="auto"/>
              <w:ind w:left="208" w:right="204"/>
              <w:rPr>
                <w:lang w:val="da-DK"/>
              </w:rPr>
            </w:pPr>
            <w:r w:rsidRPr="00544563">
              <w:rPr>
                <w:lang w:val="da-DK"/>
              </w:rPr>
              <w:t>21</w:t>
            </w:r>
          </w:p>
        </w:tc>
        <w:tc>
          <w:tcPr>
            <w:tcW w:w="1543" w:type="dxa"/>
            <w:tcBorders>
              <w:top w:val="single" w:sz="4" w:space="0" w:color="000000"/>
              <w:left w:val="single" w:sz="4" w:space="0" w:color="000000"/>
              <w:bottom w:val="single" w:sz="4" w:space="0" w:color="000000"/>
              <w:right w:val="single" w:sz="4" w:space="0" w:color="000000"/>
            </w:tcBorders>
          </w:tcPr>
          <w:p w:rsidR="00544563" w:rsidRPr="00544563" w:rsidRDefault="00544563">
            <w:pPr>
              <w:pStyle w:val="TableParagraph"/>
              <w:spacing w:line="240" w:lineRule="auto"/>
              <w:rPr>
                <w:b/>
                <w:lang w:val="da-DK"/>
              </w:rPr>
            </w:pPr>
          </w:p>
          <w:p w:rsidR="00544563" w:rsidRPr="00544563" w:rsidRDefault="00544563">
            <w:pPr>
              <w:pStyle w:val="TableParagraph"/>
              <w:spacing w:line="240" w:lineRule="auto"/>
              <w:ind w:left="110" w:right="104"/>
              <w:rPr>
                <w:lang w:val="da-DK"/>
              </w:rPr>
            </w:pPr>
            <w:r w:rsidRPr="00544563">
              <w:rPr>
                <w:lang w:val="da-DK"/>
              </w:rPr>
              <w:t>7,15 (39,5)</w:t>
            </w:r>
          </w:p>
        </w:tc>
        <w:tc>
          <w:tcPr>
            <w:tcW w:w="2566" w:type="dxa"/>
            <w:tcBorders>
              <w:top w:val="single" w:sz="4" w:space="0" w:color="000000"/>
              <w:left w:val="single" w:sz="4" w:space="0" w:color="000000"/>
              <w:bottom w:val="single" w:sz="4" w:space="0" w:color="000000"/>
              <w:right w:val="single" w:sz="4" w:space="0" w:color="000000"/>
            </w:tcBorders>
          </w:tcPr>
          <w:p w:rsidR="00544563" w:rsidRPr="00544563" w:rsidRDefault="00544563">
            <w:pPr>
              <w:pStyle w:val="TableParagraph"/>
              <w:spacing w:line="240" w:lineRule="auto"/>
              <w:rPr>
                <w:b/>
                <w:lang w:val="da-DK"/>
              </w:rPr>
            </w:pPr>
          </w:p>
          <w:p w:rsidR="00544563" w:rsidRPr="00544563" w:rsidRDefault="00544563">
            <w:pPr>
              <w:pStyle w:val="TableParagraph"/>
              <w:spacing w:line="240" w:lineRule="auto"/>
              <w:ind w:left="772" w:right="771"/>
              <w:rPr>
                <w:lang w:val="da-DK"/>
              </w:rPr>
            </w:pPr>
            <w:r w:rsidRPr="00544563">
              <w:rPr>
                <w:lang w:val="da-DK"/>
              </w:rPr>
              <w:t>86,4 (44,0)</w:t>
            </w:r>
          </w:p>
        </w:tc>
      </w:tr>
    </w:tbl>
    <w:p w:rsidR="00544563" w:rsidRPr="00544563" w:rsidRDefault="00544563" w:rsidP="00544563">
      <w:pPr>
        <w:ind w:left="224"/>
        <w:rPr>
          <w:sz w:val="20"/>
        </w:rPr>
      </w:pPr>
      <w:r w:rsidRPr="00544563">
        <w:rPr>
          <w:position w:val="7"/>
          <w:sz w:val="20"/>
        </w:rPr>
        <w:t xml:space="preserve">1 </w:t>
      </w:r>
      <w:r w:rsidRPr="00544563">
        <w:rPr>
          <w:sz w:val="20"/>
        </w:rPr>
        <w:t>dosering blev indledt med 4 mg QD i 4 uger og eskaleret til 8 mg QD i de næste 4 uger.</w:t>
      </w:r>
    </w:p>
    <w:p w:rsidR="00544563" w:rsidRPr="00544563" w:rsidRDefault="00544563" w:rsidP="00544563">
      <w:pPr>
        <w:spacing w:line="233" w:lineRule="exact"/>
        <w:ind w:left="224"/>
        <w:rPr>
          <w:sz w:val="20"/>
        </w:rPr>
      </w:pPr>
      <w:r w:rsidRPr="00544563">
        <w:rPr>
          <w:sz w:val="20"/>
        </w:rPr>
        <w:t xml:space="preserve">Forkortelser: </w:t>
      </w:r>
      <w:proofErr w:type="gramStart"/>
      <w:r w:rsidRPr="00544563">
        <w:rPr>
          <w:sz w:val="20"/>
        </w:rPr>
        <w:t>AUC</w:t>
      </w:r>
      <w:proofErr w:type="spellStart"/>
      <w:r w:rsidRPr="00544563">
        <w:rPr>
          <w:position w:val="-1"/>
          <w:sz w:val="20"/>
        </w:rPr>
        <w:t>tau,ss</w:t>
      </w:r>
      <w:proofErr w:type="spellEnd"/>
      <w:proofErr w:type="gramEnd"/>
      <w:r w:rsidRPr="00544563">
        <w:rPr>
          <w:position w:val="-1"/>
          <w:sz w:val="20"/>
        </w:rPr>
        <w:t xml:space="preserve"> </w:t>
      </w:r>
      <w:r w:rsidRPr="00544563">
        <w:rPr>
          <w:sz w:val="20"/>
        </w:rPr>
        <w:t xml:space="preserve">= </w:t>
      </w:r>
      <w:proofErr w:type="spellStart"/>
      <w:r w:rsidRPr="00544563">
        <w:rPr>
          <w:sz w:val="20"/>
        </w:rPr>
        <w:t>steady</w:t>
      </w:r>
      <w:proofErr w:type="spellEnd"/>
      <w:r w:rsidRPr="00544563">
        <w:rPr>
          <w:sz w:val="20"/>
        </w:rPr>
        <w:t>-state-område under kurven for koncentration/tid for doseringsintervallet på</w:t>
      </w:r>
    </w:p>
    <w:p w:rsidR="00544563" w:rsidRPr="00544563" w:rsidRDefault="00544563" w:rsidP="00544563">
      <w:pPr>
        <w:spacing w:line="230" w:lineRule="exact"/>
        <w:ind w:left="224"/>
        <w:rPr>
          <w:sz w:val="20"/>
        </w:rPr>
      </w:pPr>
      <w:r w:rsidRPr="00544563">
        <w:rPr>
          <w:sz w:val="20"/>
        </w:rPr>
        <w:t xml:space="preserve">24 timer; </w:t>
      </w:r>
      <w:proofErr w:type="gramStart"/>
      <w:r w:rsidRPr="00544563">
        <w:rPr>
          <w:sz w:val="20"/>
        </w:rPr>
        <w:t>C</w:t>
      </w:r>
      <w:proofErr w:type="spellStart"/>
      <w:r w:rsidRPr="00544563">
        <w:rPr>
          <w:position w:val="-1"/>
          <w:sz w:val="20"/>
        </w:rPr>
        <w:t>max,ss</w:t>
      </w:r>
      <w:proofErr w:type="spellEnd"/>
      <w:proofErr w:type="gramEnd"/>
      <w:r w:rsidRPr="00544563">
        <w:rPr>
          <w:position w:val="-1"/>
          <w:sz w:val="20"/>
        </w:rPr>
        <w:t xml:space="preserve"> </w:t>
      </w:r>
      <w:r w:rsidRPr="00544563">
        <w:rPr>
          <w:sz w:val="20"/>
        </w:rPr>
        <w:t xml:space="preserve">= </w:t>
      </w:r>
      <w:proofErr w:type="spellStart"/>
      <w:r w:rsidRPr="00544563">
        <w:rPr>
          <w:sz w:val="20"/>
        </w:rPr>
        <w:t>steady-state</w:t>
      </w:r>
      <w:proofErr w:type="spellEnd"/>
      <w:r w:rsidRPr="00544563">
        <w:rPr>
          <w:sz w:val="20"/>
        </w:rPr>
        <w:t xml:space="preserve"> maks. plasmakoncentration; CV = variationskoefficient; N = antal patienter med </w:t>
      </w:r>
      <w:proofErr w:type="spellStart"/>
      <w:r w:rsidRPr="00544563">
        <w:rPr>
          <w:sz w:val="20"/>
        </w:rPr>
        <w:t>farmakokinetiske</w:t>
      </w:r>
      <w:proofErr w:type="spellEnd"/>
      <w:r w:rsidRPr="00544563">
        <w:rPr>
          <w:sz w:val="20"/>
        </w:rPr>
        <w:t xml:space="preserve"> data; QD = én gang dagligt, NDO = </w:t>
      </w:r>
      <w:proofErr w:type="spellStart"/>
      <w:r w:rsidRPr="00544563">
        <w:rPr>
          <w:sz w:val="20"/>
        </w:rPr>
        <w:t>neurogen</w:t>
      </w:r>
      <w:proofErr w:type="spellEnd"/>
      <w:r w:rsidRPr="00544563">
        <w:rPr>
          <w:sz w:val="20"/>
        </w:rPr>
        <w:t xml:space="preserve"> </w:t>
      </w:r>
      <w:proofErr w:type="spellStart"/>
      <w:r w:rsidRPr="00544563">
        <w:rPr>
          <w:sz w:val="20"/>
        </w:rPr>
        <w:t>detrusoroveraktivitet</w:t>
      </w:r>
      <w:proofErr w:type="spellEnd"/>
      <w:r w:rsidRPr="00544563">
        <w:rPr>
          <w:sz w:val="20"/>
        </w:rPr>
        <w:t>; OAB = overaktiv blære.</w:t>
      </w:r>
    </w:p>
    <w:p w:rsidR="00260E76" w:rsidRPr="00260E76" w:rsidRDefault="00260E76" w:rsidP="00260E76">
      <w:pPr>
        <w:tabs>
          <w:tab w:val="left" w:pos="851"/>
        </w:tabs>
        <w:ind w:left="851"/>
        <w:rPr>
          <w:sz w:val="24"/>
          <w:szCs w:val="24"/>
        </w:rPr>
      </w:pPr>
    </w:p>
    <w:p w:rsidR="00260E76" w:rsidRPr="00260E76" w:rsidRDefault="00260E76" w:rsidP="00260E76">
      <w:pPr>
        <w:tabs>
          <w:tab w:val="left" w:pos="851"/>
        </w:tabs>
        <w:ind w:left="851"/>
        <w:rPr>
          <w:sz w:val="24"/>
          <w:szCs w:val="24"/>
          <w:u w:val="single"/>
        </w:rPr>
      </w:pPr>
      <w:r w:rsidRPr="00260E76">
        <w:rPr>
          <w:sz w:val="24"/>
          <w:szCs w:val="24"/>
          <w:u w:val="single"/>
        </w:rPr>
        <w:t>Nedsat nyrefunktion</w:t>
      </w:r>
    </w:p>
    <w:p w:rsidR="00260E76" w:rsidRPr="00260E76" w:rsidRDefault="00260E76" w:rsidP="00260E76">
      <w:pPr>
        <w:tabs>
          <w:tab w:val="left" w:pos="851"/>
        </w:tabs>
        <w:ind w:left="851"/>
        <w:rPr>
          <w:sz w:val="24"/>
          <w:szCs w:val="24"/>
        </w:rPr>
      </w:pPr>
      <w:r w:rsidRPr="00260E76">
        <w:rPr>
          <w:sz w:val="24"/>
          <w:szCs w:val="24"/>
        </w:rPr>
        <w:t xml:space="preserve">Hos patienter med let eller moderat nedsat nyrefunktion (GFR 30-80 ml/min) steg </w:t>
      </w:r>
      <w:proofErr w:type="spellStart"/>
      <w:r w:rsidRPr="00260E76">
        <w:rPr>
          <w:sz w:val="24"/>
          <w:szCs w:val="24"/>
        </w:rPr>
        <w:t>C</w:t>
      </w:r>
      <w:r w:rsidRPr="00260E76">
        <w:rPr>
          <w:sz w:val="24"/>
          <w:szCs w:val="24"/>
          <w:vertAlign w:val="subscript"/>
        </w:rPr>
        <w:t>max</w:t>
      </w:r>
      <w:proofErr w:type="spellEnd"/>
      <w:r w:rsidRPr="00260E76">
        <w:rPr>
          <w:sz w:val="24"/>
          <w:szCs w:val="24"/>
        </w:rPr>
        <w:t xml:space="preserve"> og AUC for den aktive metabolit op til henholdsvis 1,5 og 1,8 gange sammenlignet med raske forsøgspersoner. Hos patienter med svært nedsat nyrefunktion (GFR &lt;30 ml/min.) er </w:t>
      </w:r>
      <w:proofErr w:type="spellStart"/>
      <w:r w:rsidRPr="00260E76">
        <w:rPr>
          <w:sz w:val="24"/>
          <w:szCs w:val="24"/>
        </w:rPr>
        <w:t>C</w:t>
      </w:r>
      <w:r w:rsidRPr="00260E76">
        <w:rPr>
          <w:sz w:val="24"/>
          <w:szCs w:val="24"/>
          <w:vertAlign w:val="subscript"/>
        </w:rPr>
        <w:t>max</w:t>
      </w:r>
      <w:proofErr w:type="spellEnd"/>
      <w:r w:rsidRPr="00260E76">
        <w:rPr>
          <w:sz w:val="24"/>
          <w:szCs w:val="24"/>
        </w:rPr>
        <w:t xml:space="preserve"> og AUC øget henholdsvis 2,0- og 2,3 gange.</w:t>
      </w:r>
    </w:p>
    <w:p w:rsidR="00260E76" w:rsidRPr="00260E76" w:rsidRDefault="00260E76" w:rsidP="00260E76">
      <w:pPr>
        <w:tabs>
          <w:tab w:val="left" w:pos="851"/>
        </w:tabs>
        <w:ind w:left="851"/>
        <w:rPr>
          <w:sz w:val="24"/>
          <w:szCs w:val="24"/>
        </w:rPr>
      </w:pPr>
    </w:p>
    <w:p w:rsidR="00260E76" w:rsidRPr="00260E76" w:rsidRDefault="00260E76" w:rsidP="00260E76">
      <w:pPr>
        <w:tabs>
          <w:tab w:val="left" w:pos="851"/>
        </w:tabs>
        <w:ind w:left="851"/>
        <w:rPr>
          <w:sz w:val="24"/>
          <w:szCs w:val="24"/>
          <w:u w:val="single"/>
        </w:rPr>
      </w:pPr>
      <w:r w:rsidRPr="00260E76">
        <w:rPr>
          <w:sz w:val="24"/>
          <w:szCs w:val="24"/>
          <w:u w:val="single"/>
        </w:rPr>
        <w:t>Nedsat leverfunktion</w:t>
      </w:r>
    </w:p>
    <w:p w:rsidR="00260E76" w:rsidRPr="00260E76" w:rsidRDefault="00260E76" w:rsidP="00260E76">
      <w:pPr>
        <w:tabs>
          <w:tab w:val="left" w:pos="851"/>
        </w:tabs>
        <w:ind w:left="851"/>
        <w:rPr>
          <w:sz w:val="24"/>
          <w:szCs w:val="24"/>
        </w:rPr>
      </w:pPr>
      <w:r w:rsidRPr="00260E76">
        <w:rPr>
          <w:sz w:val="24"/>
          <w:szCs w:val="24"/>
        </w:rPr>
        <w:t xml:space="preserve">Hos patienter med let eller moderat leverinsufficiens (Child </w:t>
      </w:r>
      <w:proofErr w:type="spellStart"/>
      <w:r w:rsidRPr="00260E76">
        <w:rPr>
          <w:sz w:val="24"/>
          <w:szCs w:val="24"/>
        </w:rPr>
        <w:t>Pugh</w:t>
      </w:r>
      <w:proofErr w:type="spellEnd"/>
      <w:r w:rsidRPr="00260E76">
        <w:rPr>
          <w:sz w:val="24"/>
          <w:szCs w:val="24"/>
        </w:rPr>
        <w:t xml:space="preserve"> B) steg </w:t>
      </w:r>
      <w:proofErr w:type="spellStart"/>
      <w:r w:rsidRPr="00260E76">
        <w:rPr>
          <w:sz w:val="24"/>
          <w:szCs w:val="24"/>
        </w:rPr>
        <w:t>C</w:t>
      </w:r>
      <w:r w:rsidRPr="00260E76">
        <w:rPr>
          <w:sz w:val="24"/>
          <w:szCs w:val="24"/>
          <w:vertAlign w:val="subscript"/>
        </w:rPr>
        <w:t>max</w:t>
      </w:r>
      <w:proofErr w:type="spellEnd"/>
      <w:r w:rsidRPr="00260E76">
        <w:rPr>
          <w:sz w:val="24"/>
          <w:szCs w:val="24"/>
        </w:rPr>
        <w:t xml:space="preserve"> og AUC for den aktive metabolit henholdsvis 1,4 og 2,1 gange sammenlignet med raske </w:t>
      </w:r>
      <w:r w:rsidRPr="00260E76">
        <w:rPr>
          <w:sz w:val="24"/>
          <w:szCs w:val="24"/>
        </w:rPr>
        <w:lastRenderedPageBreak/>
        <w:t xml:space="preserve">forsøgspersoner. </w:t>
      </w:r>
      <w:proofErr w:type="spellStart"/>
      <w:r w:rsidRPr="00260E76">
        <w:rPr>
          <w:sz w:val="24"/>
          <w:szCs w:val="24"/>
        </w:rPr>
        <w:t>Fesoterodins</w:t>
      </w:r>
      <w:proofErr w:type="spellEnd"/>
      <w:r w:rsidRPr="00260E76">
        <w:rPr>
          <w:sz w:val="24"/>
          <w:szCs w:val="24"/>
        </w:rPr>
        <w:t xml:space="preserve"> farmakokinetik er ikke undersøgt hos patienter med svært nedsat leverfunktion.</w:t>
      </w:r>
    </w:p>
    <w:p w:rsidR="00260E76" w:rsidRPr="00260E76" w:rsidRDefault="00260E76" w:rsidP="00260E76">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544563">
        <w:rPr>
          <w:b/>
          <w:sz w:val="24"/>
          <w:szCs w:val="24"/>
        </w:rPr>
        <w:t>Non-</w:t>
      </w:r>
      <w:r w:rsidRPr="00C84483">
        <w:rPr>
          <w:b/>
          <w:sz w:val="24"/>
          <w:szCs w:val="24"/>
        </w:rPr>
        <w:t>kliniske sikkerhedsdata</w:t>
      </w:r>
    </w:p>
    <w:p w:rsidR="00260E76" w:rsidRPr="00260E76" w:rsidRDefault="00260E76" w:rsidP="00260E76">
      <w:pPr>
        <w:tabs>
          <w:tab w:val="left" w:pos="851"/>
        </w:tabs>
        <w:ind w:left="851"/>
        <w:rPr>
          <w:sz w:val="24"/>
          <w:szCs w:val="24"/>
        </w:rPr>
      </w:pPr>
      <w:r w:rsidRPr="00260E76">
        <w:rPr>
          <w:sz w:val="24"/>
          <w:szCs w:val="24"/>
        </w:rPr>
        <w:t xml:space="preserve">I non-klinisk sikkerhedsfarmakologiske, generel toksicitets-, genotoksicitets- samt </w:t>
      </w:r>
      <w:proofErr w:type="spellStart"/>
      <w:r w:rsidRPr="00260E76">
        <w:rPr>
          <w:sz w:val="24"/>
          <w:szCs w:val="24"/>
        </w:rPr>
        <w:t>karcinogenecitetsforsøg</w:t>
      </w:r>
      <w:proofErr w:type="spellEnd"/>
      <w:r w:rsidRPr="00260E76">
        <w:rPr>
          <w:sz w:val="24"/>
          <w:szCs w:val="24"/>
        </w:rPr>
        <w:t xml:space="preserve"> sås ingen klinisk relevant virkning, med undtagelse af virkningen, som var forbundet med lægemidlets farmakologiske virkning.</w:t>
      </w:r>
    </w:p>
    <w:p w:rsidR="00260E76" w:rsidRPr="00260E76" w:rsidRDefault="00260E76" w:rsidP="00260E76">
      <w:pPr>
        <w:tabs>
          <w:tab w:val="left" w:pos="851"/>
        </w:tabs>
        <w:ind w:left="851"/>
        <w:rPr>
          <w:sz w:val="24"/>
          <w:szCs w:val="24"/>
        </w:rPr>
      </w:pPr>
    </w:p>
    <w:p w:rsidR="00260E76" w:rsidRPr="00260E76" w:rsidRDefault="00260E76" w:rsidP="00260E76">
      <w:pPr>
        <w:tabs>
          <w:tab w:val="left" w:pos="851"/>
        </w:tabs>
        <w:ind w:left="851"/>
        <w:rPr>
          <w:sz w:val="24"/>
          <w:szCs w:val="24"/>
        </w:rPr>
      </w:pPr>
      <w:r w:rsidRPr="00260E76">
        <w:rPr>
          <w:sz w:val="24"/>
          <w:szCs w:val="24"/>
        </w:rPr>
        <w:t xml:space="preserve">Reproduktionsforsøg har vist mindre embryotoksicitet ved doser, som var toksiske for moderen (øget antal resorptioner samt </w:t>
      </w:r>
      <w:proofErr w:type="spellStart"/>
      <w:r w:rsidRPr="00260E76">
        <w:rPr>
          <w:sz w:val="24"/>
          <w:szCs w:val="24"/>
        </w:rPr>
        <w:t>præimplantatorisk</w:t>
      </w:r>
      <w:proofErr w:type="spellEnd"/>
      <w:r w:rsidRPr="00260E76">
        <w:rPr>
          <w:sz w:val="24"/>
          <w:szCs w:val="24"/>
        </w:rPr>
        <w:t xml:space="preserve"> og </w:t>
      </w:r>
      <w:proofErr w:type="spellStart"/>
      <w:r w:rsidRPr="00260E76">
        <w:rPr>
          <w:sz w:val="24"/>
          <w:szCs w:val="24"/>
        </w:rPr>
        <w:t>postimplantatorisk</w:t>
      </w:r>
      <w:proofErr w:type="spellEnd"/>
      <w:r w:rsidRPr="00260E76">
        <w:rPr>
          <w:sz w:val="24"/>
          <w:szCs w:val="24"/>
        </w:rPr>
        <w:t xml:space="preserve"> embryotab).</w:t>
      </w:r>
    </w:p>
    <w:p w:rsidR="00260E76" w:rsidRPr="00260E76" w:rsidRDefault="00260E76" w:rsidP="00260E76">
      <w:pPr>
        <w:tabs>
          <w:tab w:val="left" w:pos="851"/>
        </w:tabs>
        <w:ind w:left="851"/>
        <w:rPr>
          <w:sz w:val="24"/>
          <w:szCs w:val="24"/>
        </w:rPr>
      </w:pPr>
    </w:p>
    <w:p w:rsidR="00260E76" w:rsidRPr="00260E76" w:rsidRDefault="00260E76" w:rsidP="00260E76">
      <w:pPr>
        <w:tabs>
          <w:tab w:val="left" w:pos="851"/>
        </w:tabs>
        <w:ind w:left="851"/>
        <w:rPr>
          <w:sz w:val="24"/>
          <w:szCs w:val="24"/>
        </w:rPr>
      </w:pPr>
      <w:r w:rsidRPr="00260E76">
        <w:rPr>
          <w:sz w:val="24"/>
          <w:szCs w:val="24"/>
        </w:rPr>
        <w:t xml:space="preserve">Det er påvist, at supraterapeutiske koncentrationer af </w:t>
      </w:r>
      <w:proofErr w:type="spellStart"/>
      <w:r w:rsidRPr="00260E76">
        <w:rPr>
          <w:sz w:val="24"/>
          <w:szCs w:val="24"/>
        </w:rPr>
        <w:t>fesoterodins</w:t>
      </w:r>
      <w:proofErr w:type="spellEnd"/>
      <w:r w:rsidRPr="00260E76">
        <w:rPr>
          <w:sz w:val="24"/>
          <w:szCs w:val="24"/>
        </w:rPr>
        <w:t xml:space="preserve"> aktive metabolit hæmmer K</w:t>
      </w:r>
      <w:r w:rsidRPr="00260E76">
        <w:rPr>
          <w:sz w:val="24"/>
          <w:szCs w:val="24"/>
          <w:vertAlign w:val="superscript"/>
        </w:rPr>
        <w:t>+</w:t>
      </w:r>
      <w:r w:rsidRPr="00260E76">
        <w:rPr>
          <w:sz w:val="24"/>
          <w:szCs w:val="24"/>
        </w:rPr>
        <w:t xml:space="preserve">-strømmen i klonede humane </w:t>
      </w:r>
      <w:proofErr w:type="spellStart"/>
      <w:r w:rsidRPr="00260E76">
        <w:rPr>
          <w:sz w:val="24"/>
          <w:szCs w:val="24"/>
        </w:rPr>
        <w:t>ether</w:t>
      </w:r>
      <w:proofErr w:type="spellEnd"/>
      <w:r w:rsidRPr="00260E76">
        <w:rPr>
          <w:sz w:val="24"/>
          <w:szCs w:val="24"/>
        </w:rPr>
        <w:t>-à-go-go-</w:t>
      </w:r>
      <w:proofErr w:type="spellStart"/>
      <w:r w:rsidRPr="00260E76">
        <w:rPr>
          <w:sz w:val="24"/>
          <w:szCs w:val="24"/>
        </w:rPr>
        <w:t>related</w:t>
      </w:r>
      <w:proofErr w:type="spellEnd"/>
      <w:r w:rsidRPr="00260E76">
        <w:rPr>
          <w:sz w:val="24"/>
          <w:szCs w:val="24"/>
        </w:rPr>
        <w:t xml:space="preserve"> (</w:t>
      </w:r>
      <w:proofErr w:type="spellStart"/>
      <w:r w:rsidRPr="00260E76">
        <w:rPr>
          <w:sz w:val="24"/>
          <w:szCs w:val="24"/>
        </w:rPr>
        <w:t>hERG</w:t>
      </w:r>
      <w:proofErr w:type="spellEnd"/>
      <w:r w:rsidRPr="00260E76">
        <w:rPr>
          <w:sz w:val="24"/>
          <w:szCs w:val="24"/>
        </w:rPr>
        <w:t xml:space="preserve">)-kanaler og forlænger aktionspotentialets varighed (70 % og 90 % </w:t>
      </w:r>
      <w:proofErr w:type="spellStart"/>
      <w:r w:rsidRPr="00260E76">
        <w:rPr>
          <w:sz w:val="24"/>
          <w:szCs w:val="24"/>
        </w:rPr>
        <w:t>repolarisering</w:t>
      </w:r>
      <w:proofErr w:type="spellEnd"/>
      <w:r w:rsidRPr="00260E76">
        <w:rPr>
          <w:sz w:val="24"/>
          <w:szCs w:val="24"/>
        </w:rPr>
        <w:t xml:space="preserve">) i isolerede </w:t>
      </w:r>
      <w:proofErr w:type="spellStart"/>
      <w:r w:rsidRPr="00260E76">
        <w:rPr>
          <w:sz w:val="24"/>
          <w:szCs w:val="24"/>
        </w:rPr>
        <w:t>Purkinjefibre</w:t>
      </w:r>
      <w:proofErr w:type="spellEnd"/>
      <w:r w:rsidRPr="00260E76">
        <w:rPr>
          <w:sz w:val="24"/>
          <w:szCs w:val="24"/>
        </w:rPr>
        <w:t xml:space="preserve"> fra hunde. Men hos hunde ved bevidsthed havde den aktive metabolit ingen effekt på QC- og </w:t>
      </w:r>
      <w:proofErr w:type="spellStart"/>
      <w:r w:rsidRPr="00260E76">
        <w:rPr>
          <w:sz w:val="24"/>
          <w:szCs w:val="24"/>
        </w:rPr>
        <w:t>QTc</w:t>
      </w:r>
      <w:proofErr w:type="spellEnd"/>
      <w:r w:rsidRPr="00260E76">
        <w:rPr>
          <w:sz w:val="24"/>
          <w:szCs w:val="24"/>
        </w:rPr>
        <w:t xml:space="preserve">-intervallet. Dette blev målt ved en plasma-eksponering, som var mindst 33 gange højere end plasmakoncentration hos hurtige CYP2D6-omsættere, og 21 gange højere end målt hos personer, som er langsomme CYP2D6-omsættere efter administration af </w:t>
      </w:r>
      <w:proofErr w:type="spellStart"/>
      <w:r w:rsidRPr="00260E76">
        <w:rPr>
          <w:sz w:val="24"/>
          <w:szCs w:val="24"/>
        </w:rPr>
        <w:t>fesoterodin</w:t>
      </w:r>
      <w:proofErr w:type="spellEnd"/>
      <w:r w:rsidRPr="00260E76">
        <w:rPr>
          <w:sz w:val="24"/>
          <w:szCs w:val="24"/>
        </w:rPr>
        <w:t xml:space="preserve"> 8 mg én gang dagligt.</w:t>
      </w:r>
    </w:p>
    <w:p w:rsidR="00260E76" w:rsidRPr="00260E76" w:rsidRDefault="00260E76" w:rsidP="00260E76">
      <w:pPr>
        <w:tabs>
          <w:tab w:val="left" w:pos="851"/>
        </w:tabs>
        <w:ind w:left="851"/>
        <w:rPr>
          <w:sz w:val="24"/>
          <w:szCs w:val="24"/>
        </w:rPr>
      </w:pPr>
    </w:p>
    <w:p w:rsidR="00260E76" w:rsidRPr="00260E76" w:rsidRDefault="00260E76" w:rsidP="00260E76">
      <w:pPr>
        <w:tabs>
          <w:tab w:val="left" w:pos="851"/>
        </w:tabs>
        <w:ind w:left="851"/>
        <w:rPr>
          <w:sz w:val="24"/>
          <w:szCs w:val="24"/>
        </w:rPr>
      </w:pPr>
      <w:r w:rsidRPr="00260E76">
        <w:rPr>
          <w:sz w:val="24"/>
          <w:szCs w:val="24"/>
        </w:rPr>
        <w:t xml:space="preserve">I et forsøg vedrørende fertilitet og tidlig embryonal udvikling hos mus havde </w:t>
      </w:r>
      <w:proofErr w:type="spellStart"/>
      <w:r w:rsidRPr="00260E76">
        <w:rPr>
          <w:sz w:val="24"/>
          <w:szCs w:val="24"/>
        </w:rPr>
        <w:t>fesoterodin</w:t>
      </w:r>
      <w:proofErr w:type="spellEnd"/>
      <w:r w:rsidRPr="00260E76">
        <w:rPr>
          <w:sz w:val="24"/>
          <w:szCs w:val="24"/>
        </w:rPr>
        <w:t xml:space="preserve"> ingen virkning på den reproduktive funktion eller fertilitet hos hanner ved doser på op til 45 mg/kg/dag. Ved 45 mg/kg/dag sås der et lavere antal </w:t>
      </w:r>
      <w:proofErr w:type="spellStart"/>
      <w:r w:rsidRPr="00260E76">
        <w:rPr>
          <w:sz w:val="24"/>
          <w:szCs w:val="24"/>
        </w:rPr>
        <w:t>corpora</w:t>
      </w:r>
      <w:proofErr w:type="spellEnd"/>
      <w:r w:rsidRPr="00260E76">
        <w:rPr>
          <w:sz w:val="24"/>
          <w:szCs w:val="24"/>
        </w:rPr>
        <w:t xml:space="preserve"> </w:t>
      </w:r>
      <w:proofErr w:type="spellStart"/>
      <w:r w:rsidRPr="00260E76">
        <w:rPr>
          <w:sz w:val="24"/>
          <w:szCs w:val="24"/>
        </w:rPr>
        <w:t>lutea</w:t>
      </w:r>
      <w:proofErr w:type="spellEnd"/>
      <w:r w:rsidRPr="00260E76">
        <w:rPr>
          <w:sz w:val="24"/>
          <w:szCs w:val="24"/>
        </w:rPr>
        <w:t xml:space="preserve">, antal implantationssteder og antal levedygtige fostre hos hunner, som fik </w:t>
      </w:r>
      <w:proofErr w:type="spellStart"/>
      <w:r w:rsidRPr="00260E76">
        <w:rPr>
          <w:sz w:val="24"/>
          <w:szCs w:val="24"/>
        </w:rPr>
        <w:t>fesoterodin</w:t>
      </w:r>
      <w:proofErr w:type="spellEnd"/>
      <w:r w:rsidRPr="00260E76">
        <w:rPr>
          <w:sz w:val="24"/>
          <w:szCs w:val="24"/>
        </w:rPr>
        <w:t xml:space="preserve"> i to uger inden parring og med fortsættelse indtil dag 7 i drægtighedsperioden. Niveauet for Ingen Observeret Effekt (NOEL) hos moderdyr og NOEL for effekt på reproduktion og tidlig embryonal udvikling er 15 mg/kg/dag. På baggrund af AUC er den systemiske eksponering 0,6-1,5 gange højere hos mus end hos mennesker ved MRHD (Maximum </w:t>
      </w:r>
      <w:proofErr w:type="spellStart"/>
      <w:r w:rsidRPr="00260E76">
        <w:rPr>
          <w:sz w:val="24"/>
          <w:szCs w:val="24"/>
        </w:rPr>
        <w:t>Recommended</w:t>
      </w:r>
      <w:proofErr w:type="spellEnd"/>
      <w:r w:rsidRPr="00260E76">
        <w:rPr>
          <w:sz w:val="24"/>
          <w:szCs w:val="24"/>
        </w:rPr>
        <w:t xml:space="preserve"> Human Dose), hvorimod eksponering hos mus på baggrund af maksimal plasmakoncentration er 5-9 gange højere.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6773EA" w:rsidRDefault="006773EA" w:rsidP="00260E76">
      <w:pPr>
        <w:ind w:left="851"/>
        <w:rPr>
          <w:sz w:val="24"/>
          <w:szCs w:val="24"/>
          <w:u w:val="single"/>
        </w:rPr>
      </w:pPr>
    </w:p>
    <w:p w:rsidR="00260E76" w:rsidRPr="006773EA" w:rsidRDefault="00260E76" w:rsidP="00260E76">
      <w:pPr>
        <w:ind w:left="851"/>
        <w:rPr>
          <w:sz w:val="24"/>
          <w:szCs w:val="24"/>
          <w:u w:val="single"/>
        </w:rPr>
      </w:pPr>
      <w:r w:rsidRPr="006773EA">
        <w:rPr>
          <w:sz w:val="24"/>
          <w:szCs w:val="24"/>
          <w:u w:val="single"/>
        </w:rPr>
        <w:t xml:space="preserve">Tabletkerne </w:t>
      </w:r>
    </w:p>
    <w:p w:rsidR="00260E76" w:rsidRPr="006773EA" w:rsidRDefault="00260E76" w:rsidP="00260E76">
      <w:pPr>
        <w:ind w:left="851"/>
        <w:rPr>
          <w:sz w:val="24"/>
          <w:szCs w:val="24"/>
        </w:rPr>
      </w:pPr>
      <w:r w:rsidRPr="006773EA">
        <w:rPr>
          <w:sz w:val="24"/>
          <w:szCs w:val="24"/>
        </w:rPr>
        <w:t>Cellulose, mikrokrystallinsk (E460)</w:t>
      </w:r>
    </w:p>
    <w:p w:rsidR="00260E76" w:rsidRPr="006773EA" w:rsidRDefault="00260E76" w:rsidP="00260E76">
      <w:pPr>
        <w:ind w:left="851"/>
        <w:rPr>
          <w:sz w:val="24"/>
          <w:szCs w:val="24"/>
        </w:rPr>
      </w:pPr>
      <w:proofErr w:type="spellStart"/>
      <w:r w:rsidRPr="006773EA">
        <w:rPr>
          <w:sz w:val="24"/>
          <w:szCs w:val="24"/>
        </w:rPr>
        <w:t>Hypromellose</w:t>
      </w:r>
      <w:proofErr w:type="spellEnd"/>
      <w:r w:rsidRPr="006773EA">
        <w:rPr>
          <w:sz w:val="24"/>
          <w:szCs w:val="24"/>
        </w:rPr>
        <w:t xml:space="preserve"> (E464) </w:t>
      </w:r>
    </w:p>
    <w:p w:rsidR="00260E76" w:rsidRPr="006773EA" w:rsidRDefault="00260E76" w:rsidP="00260E76">
      <w:pPr>
        <w:ind w:left="851"/>
        <w:rPr>
          <w:sz w:val="24"/>
          <w:szCs w:val="24"/>
        </w:rPr>
      </w:pPr>
      <w:proofErr w:type="spellStart"/>
      <w:r w:rsidRPr="006773EA">
        <w:rPr>
          <w:sz w:val="24"/>
          <w:szCs w:val="24"/>
        </w:rPr>
        <w:t>Lactose</w:t>
      </w:r>
      <w:proofErr w:type="spellEnd"/>
      <w:r w:rsidRPr="006773EA">
        <w:rPr>
          <w:sz w:val="24"/>
          <w:szCs w:val="24"/>
        </w:rPr>
        <w:t>, vandfri</w:t>
      </w:r>
    </w:p>
    <w:p w:rsidR="00260E76" w:rsidRPr="006773EA" w:rsidRDefault="00260E76" w:rsidP="00260E76">
      <w:pPr>
        <w:ind w:left="851"/>
        <w:rPr>
          <w:sz w:val="24"/>
          <w:szCs w:val="24"/>
        </w:rPr>
      </w:pPr>
      <w:proofErr w:type="spellStart"/>
      <w:r w:rsidRPr="006773EA">
        <w:rPr>
          <w:color w:val="212529"/>
          <w:sz w:val="24"/>
          <w:szCs w:val="24"/>
          <w:shd w:val="clear" w:color="auto" w:fill="F9F9FB"/>
        </w:rPr>
        <w:t>Silica</w:t>
      </w:r>
      <w:proofErr w:type="spellEnd"/>
      <w:r w:rsidRPr="006773EA">
        <w:rPr>
          <w:color w:val="212529"/>
          <w:sz w:val="24"/>
          <w:szCs w:val="24"/>
          <w:shd w:val="clear" w:color="auto" w:fill="F9F9FB"/>
        </w:rPr>
        <w:t>, kolloid vandfri</w:t>
      </w:r>
      <w:r w:rsidRPr="006773EA">
        <w:rPr>
          <w:sz w:val="24"/>
          <w:szCs w:val="24"/>
        </w:rPr>
        <w:t xml:space="preserve"> (E551)</w:t>
      </w:r>
    </w:p>
    <w:p w:rsidR="00260E76" w:rsidRPr="006773EA" w:rsidRDefault="00260E76" w:rsidP="00260E76">
      <w:pPr>
        <w:ind w:left="851"/>
        <w:rPr>
          <w:sz w:val="24"/>
          <w:szCs w:val="24"/>
          <w:lang w:val="sv-SE"/>
        </w:rPr>
      </w:pPr>
      <w:proofErr w:type="spellStart"/>
      <w:r w:rsidRPr="006773EA">
        <w:rPr>
          <w:sz w:val="24"/>
          <w:szCs w:val="24"/>
          <w:lang w:val="sv-SE"/>
        </w:rPr>
        <w:t>Magnesiumstearat</w:t>
      </w:r>
      <w:proofErr w:type="spellEnd"/>
      <w:r w:rsidRPr="006773EA">
        <w:rPr>
          <w:sz w:val="24"/>
          <w:szCs w:val="24"/>
          <w:lang w:val="sv-SE"/>
        </w:rPr>
        <w:t xml:space="preserve"> (E572)</w:t>
      </w:r>
    </w:p>
    <w:p w:rsidR="00260E76" w:rsidRPr="006773EA" w:rsidRDefault="00260E76" w:rsidP="00260E76">
      <w:pPr>
        <w:ind w:left="851"/>
        <w:rPr>
          <w:sz w:val="24"/>
          <w:szCs w:val="24"/>
          <w:lang w:val="sv-SE"/>
        </w:rPr>
      </w:pPr>
    </w:p>
    <w:p w:rsidR="00260E76" w:rsidRPr="006773EA" w:rsidRDefault="00260E76" w:rsidP="00260E76">
      <w:pPr>
        <w:ind w:left="851"/>
        <w:rPr>
          <w:sz w:val="24"/>
          <w:szCs w:val="24"/>
          <w:u w:val="single"/>
        </w:rPr>
      </w:pPr>
      <w:r w:rsidRPr="006773EA">
        <w:rPr>
          <w:sz w:val="24"/>
          <w:szCs w:val="24"/>
          <w:u w:val="single"/>
        </w:rPr>
        <w:t>Filmovertræk</w:t>
      </w:r>
    </w:p>
    <w:p w:rsidR="00260E76" w:rsidRPr="006773EA" w:rsidRDefault="00260E76" w:rsidP="00260E76">
      <w:pPr>
        <w:ind w:left="851"/>
        <w:rPr>
          <w:sz w:val="24"/>
          <w:szCs w:val="24"/>
        </w:rPr>
      </w:pPr>
      <w:r w:rsidRPr="006773EA">
        <w:rPr>
          <w:sz w:val="24"/>
          <w:szCs w:val="24"/>
        </w:rPr>
        <w:t>Titandioxid (E171)</w:t>
      </w:r>
    </w:p>
    <w:p w:rsidR="00260E76" w:rsidRPr="006773EA" w:rsidRDefault="00260E76" w:rsidP="00260E76">
      <w:pPr>
        <w:ind w:left="851"/>
        <w:rPr>
          <w:sz w:val="24"/>
          <w:szCs w:val="24"/>
        </w:rPr>
      </w:pPr>
      <w:r w:rsidRPr="006773EA">
        <w:rPr>
          <w:sz w:val="24"/>
          <w:szCs w:val="24"/>
        </w:rPr>
        <w:t>Polyvinylalkohol, delvist hydrolyseret (E1203)</w:t>
      </w:r>
    </w:p>
    <w:p w:rsidR="00260E76" w:rsidRPr="0034592A" w:rsidRDefault="00260E76" w:rsidP="00260E76">
      <w:pPr>
        <w:ind w:left="851"/>
        <w:rPr>
          <w:sz w:val="24"/>
          <w:szCs w:val="24"/>
          <w:lang w:val="de-DE"/>
        </w:rPr>
      </w:pPr>
      <w:proofErr w:type="spellStart"/>
      <w:r w:rsidRPr="0034592A">
        <w:rPr>
          <w:sz w:val="24"/>
          <w:szCs w:val="24"/>
          <w:lang w:val="de-DE"/>
        </w:rPr>
        <w:t>Talcum</w:t>
      </w:r>
      <w:proofErr w:type="spellEnd"/>
      <w:r w:rsidRPr="0034592A">
        <w:rPr>
          <w:sz w:val="24"/>
          <w:szCs w:val="24"/>
          <w:lang w:val="de-DE"/>
        </w:rPr>
        <w:t xml:space="preserve"> (E553b) </w:t>
      </w:r>
    </w:p>
    <w:p w:rsidR="00260E76" w:rsidRPr="0034592A" w:rsidRDefault="00260E76" w:rsidP="00260E76">
      <w:pPr>
        <w:ind w:left="851"/>
        <w:rPr>
          <w:sz w:val="24"/>
          <w:szCs w:val="24"/>
          <w:lang w:val="de-DE"/>
        </w:rPr>
      </w:pPr>
      <w:r w:rsidRPr="0034592A">
        <w:rPr>
          <w:sz w:val="24"/>
          <w:szCs w:val="24"/>
          <w:lang w:val="de-DE"/>
        </w:rPr>
        <w:t>Sojalecithin (E322)</w:t>
      </w:r>
    </w:p>
    <w:p w:rsidR="00260E76" w:rsidRPr="0034592A" w:rsidRDefault="00260E76" w:rsidP="00260E76">
      <w:pPr>
        <w:ind w:left="851"/>
        <w:rPr>
          <w:sz w:val="24"/>
          <w:szCs w:val="24"/>
          <w:lang w:val="de-DE"/>
        </w:rPr>
      </w:pPr>
      <w:proofErr w:type="spellStart"/>
      <w:r w:rsidRPr="0034592A">
        <w:rPr>
          <w:sz w:val="24"/>
          <w:szCs w:val="24"/>
          <w:lang w:val="de-DE"/>
        </w:rPr>
        <w:t>Xanthangummi</w:t>
      </w:r>
      <w:proofErr w:type="spellEnd"/>
      <w:r w:rsidRPr="0034592A">
        <w:rPr>
          <w:sz w:val="24"/>
          <w:szCs w:val="24"/>
          <w:lang w:val="de-DE"/>
        </w:rPr>
        <w:t xml:space="preserve"> (E415)</w:t>
      </w:r>
    </w:p>
    <w:p w:rsidR="00260E76" w:rsidRPr="0034592A" w:rsidRDefault="00260E76" w:rsidP="00260E76">
      <w:pPr>
        <w:ind w:left="851"/>
        <w:rPr>
          <w:sz w:val="24"/>
          <w:szCs w:val="24"/>
        </w:rPr>
      </w:pPr>
      <w:r w:rsidRPr="0034592A">
        <w:rPr>
          <w:sz w:val="24"/>
          <w:szCs w:val="24"/>
        </w:rPr>
        <w:t>Jernoxid gul (E172)</w:t>
      </w:r>
    </w:p>
    <w:p w:rsidR="009260DE" w:rsidRPr="0034592A"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6773EA"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6773EA">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773EA" w:rsidRDefault="006773EA" w:rsidP="006773EA">
      <w:pPr>
        <w:ind w:left="851"/>
        <w:rPr>
          <w:sz w:val="24"/>
          <w:szCs w:val="24"/>
        </w:rPr>
      </w:pPr>
      <w:r>
        <w:rPr>
          <w:sz w:val="24"/>
          <w:szCs w:val="24"/>
        </w:rPr>
        <w:t>Dette lægemiddel kræver ingen særlige opbevaringsforhold.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773EA" w:rsidRDefault="006773EA" w:rsidP="006773EA">
      <w:pPr>
        <w:ind w:left="851"/>
        <w:rPr>
          <w:sz w:val="24"/>
          <w:szCs w:val="24"/>
        </w:rPr>
      </w:pPr>
    </w:p>
    <w:p w:rsidR="006773EA" w:rsidRDefault="006773EA" w:rsidP="006773EA">
      <w:pPr>
        <w:ind w:left="851"/>
        <w:rPr>
          <w:sz w:val="24"/>
          <w:szCs w:val="24"/>
          <w:u w:val="single"/>
        </w:rPr>
      </w:pPr>
      <w:r>
        <w:rPr>
          <w:sz w:val="24"/>
          <w:szCs w:val="24"/>
          <w:u w:val="single"/>
        </w:rPr>
        <w:t>Aluminium-aluminium-blister i æske</w:t>
      </w:r>
    </w:p>
    <w:p w:rsidR="006773EA" w:rsidRDefault="006773EA" w:rsidP="006773EA">
      <w:pPr>
        <w:ind w:left="851"/>
        <w:rPr>
          <w:sz w:val="24"/>
          <w:szCs w:val="24"/>
        </w:rPr>
      </w:pPr>
      <w:r>
        <w:rPr>
          <w:sz w:val="24"/>
          <w:szCs w:val="24"/>
        </w:rPr>
        <w:t>Pakningsstørrelser</w:t>
      </w:r>
      <w:r>
        <w:rPr>
          <w:i/>
          <w:sz w:val="24"/>
          <w:szCs w:val="24"/>
        </w:rPr>
        <w:t xml:space="preserve">: </w:t>
      </w:r>
      <w:r>
        <w:rPr>
          <w:sz w:val="24"/>
          <w:szCs w:val="24"/>
        </w:rPr>
        <w:t>14, 28, 30, 56, 84 og 100 tabletter.</w:t>
      </w:r>
    </w:p>
    <w:p w:rsidR="006773EA" w:rsidRDefault="006773EA" w:rsidP="006773EA">
      <w:pPr>
        <w:ind w:left="851"/>
        <w:rPr>
          <w:sz w:val="24"/>
          <w:szCs w:val="24"/>
        </w:rPr>
      </w:pPr>
    </w:p>
    <w:p w:rsidR="006773EA" w:rsidRPr="00131F23" w:rsidRDefault="006773EA" w:rsidP="006773EA">
      <w:pPr>
        <w:ind w:left="851"/>
        <w:rPr>
          <w:sz w:val="24"/>
          <w:szCs w:val="24"/>
          <w:u w:val="single"/>
        </w:rPr>
      </w:pPr>
      <w:bookmarkStart w:id="1" w:name="_Hlk111547641"/>
      <w:r w:rsidRPr="00131F23">
        <w:rPr>
          <w:sz w:val="24"/>
          <w:szCs w:val="24"/>
          <w:u w:val="single"/>
        </w:rPr>
        <w:t>HDPE-beholder med børnesikret låg af polypropylen</w:t>
      </w:r>
    </w:p>
    <w:bookmarkEnd w:id="1"/>
    <w:p w:rsidR="006773EA" w:rsidRDefault="006773EA" w:rsidP="006773EA">
      <w:pPr>
        <w:ind w:left="851"/>
        <w:rPr>
          <w:sz w:val="24"/>
          <w:szCs w:val="24"/>
        </w:rPr>
      </w:pPr>
      <w:r>
        <w:rPr>
          <w:sz w:val="24"/>
          <w:szCs w:val="24"/>
        </w:rPr>
        <w:t>Pakningsstørrelser: 90 tabletter.</w:t>
      </w:r>
    </w:p>
    <w:p w:rsidR="006773EA" w:rsidRDefault="006773EA" w:rsidP="006773EA">
      <w:pPr>
        <w:ind w:left="851"/>
        <w:rPr>
          <w:sz w:val="24"/>
          <w:szCs w:val="24"/>
        </w:rPr>
      </w:pPr>
    </w:p>
    <w:p w:rsidR="006773EA" w:rsidRDefault="006773EA" w:rsidP="006773EA">
      <w:pPr>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2B132D">
      <w:pPr>
        <w:keepNext/>
        <w:tabs>
          <w:tab w:val="left" w:pos="851"/>
        </w:tabs>
        <w:ind w:left="851" w:hanging="851"/>
        <w:rPr>
          <w:b/>
          <w:sz w:val="24"/>
          <w:szCs w:val="24"/>
        </w:rPr>
      </w:pPr>
      <w:r w:rsidRPr="00C84483">
        <w:rPr>
          <w:b/>
          <w:sz w:val="24"/>
          <w:szCs w:val="24"/>
        </w:rPr>
        <w:t>6.6</w:t>
      </w:r>
      <w:r w:rsidRPr="00C84483">
        <w:rPr>
          <w:b/>
          <w:sz w:val="24"/>
          <w:szCs w:val="24"/>
        </w:rPr>
        <w:tab/>
        <w:t xml:space="preserve">Regler for </w:t>
      </w:r>
      <w:r w:rsidR="00544563">
        <w:rPr>
          <w:b/>
          <w:sz w:val="24"/>
          <w:szCs w:val="24"/>
        </w:rPr>
        <w:t>bortskaffelse</w:t>
      </w:r>
      <w:bookmarkStart w:id="2" w:name="_GoBack"/>
      <w:bookmarkEnd w:id="2"/>
      <w:r w:rsidRPr="00C84483">
        <w:rPr>
          <w:b/>
          <w:sz w:val="24"/>
          <w:szCs w:val="24"/>
        </w:rPr>
        <w:t xml:space="preserve"> og anden håndtering</w:t>
      </w:r>
    </w:p>
    <w:p w:rsidR="00E13B7B" w:rsidRDefault="00E13B7B" w:rsidP="00E13B7B">
      <w:pPr>
        <w:pStyle w:val="Brdtekst"/>
        <w:ind w:left="851"/>
        <w:rPr>
          <w:sz w:val="24"/>
          <w:szCs w:val="24"/>
          <w:lang w:val="da-DK"/>
        </w:rPr>
      </w:pPr>
      <w:r>
        <w:rPr>
          <w:sz w:val="24"/>
          <w:szCs w:val="24"/>
          <w:lang w:val="da-DK"/>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E13B7B" w:rsidRDefault="00E13B7B" w:rsidP="00E13B7B">
      <w:pPr>
        <w:ind w:left="851"/>
        <w:rPr>
          <w:sz w:val="24"/>
          <w:szCs w:val="24"/>
          <w:lang w:eastAsia="da-DK"/>
        </w:rPr>
      </w:pPr>
      <w:proofErr w:type="spellStart"/>
      <w:r>
        <w:rPr>
          <w:sz w:val="24"/>
          <w:szCs w:val="24"/>
          <w:lang w:eastAsia="da-DK"/>
        </w:rPr>
        <w:t>Accord</w:t>
      </w:r>
      <w:proofErr w:type="spellEnd"/>
      <w:r>
        <w:rPr>
          <w:sz w:val="24"/>
          <w:szCs w:val="24"/>
          <w:lang w:eastAsia="da-DK"/>
        </w:rPr>
        <w:t xml:space="preserve"> Healthcare B.V. </w:t>
      </w:r>
    </w:p>
    <w:p w:rsidR="00E13B7B" w:rsidRDefault="00E13B7B" w:rsidP="00E13B7B">
      <w:pPr>
        <w:ind w:left="851"/>
        <w:rPr>
          <w:sz w:val="24"/>
          <w:szCs w:val="24"/>
          <w:lang w:eastAsia="da-DK"/>
        </w:rPr>
      </w:pPr>
      <w:proofErr w:type="spellStart"/>
      <w:r>
        <w:rPr>
          <w:sz w:val="24"/>
          <w:szCs w:val="24"/>
          <w:lang w:eastAsia="da-DK"/>
        </w:rPr>
        <w:t>Winthontlaan</w:t>
      </w:r>
      <w:proofErr w:type="spellEnd"/>
      <w:r>
        <w:rPr>
          <w:sz w:val="24"/>
          <w:szCs w:val="24"/>
          <w:lang w:eastAsia="da-DK"/>
        </w:rPr>
        <w:t xml:space="preserve"> 200 </w:t>
      </w:r>
    </w:p>
    <w:p w:rsidR="00E13B7B" w:rsidRDefault="00E13B7B" w:rsidP="00E13B7B">
      <w:pPr>
        <w:ind w:left="851"/>
        <w:rPr>
          <w:sz w:val="24"/>
          <w:szCs w:val="24"/>
          <w:lang w:val="nb-NO" w:eastAsia="da-DK"/>
        </w:rPr>
      </w:pPr>
      <w:r>
        <w:rPr>
          <w:sz w:val="24"/>
          <w:szCs w:val="24"/>
          <w:lang w:val="nb-NO" w:eastAsia="da-DK"/>
        </w:rPr>
        <w:t xml:space="preserve">3526 KV Utrecht </w:t>
      </w:r>
    </w:p>
    <w:p w:rsidR="00E13B7B" w:rsidRDefault="00E13B7B" w:rsidP="00E13B7B">
      <w:pPr>
        <w:tabs>
          <w:tab w:val="left" w:pos="567"/>
        </w:tabs>
        <w:ind w:left="851"/>
        <w:rPr>
          <w:sz w:val="24"/>
          <w:szCs w:val="24"/>
          <w:lang w:val="nb-NO"/>
        </w:rPr>
      </w:pPr>
      <w:r>
        <w:rPr>
          <w:sz w:val="24"/>
          <w:szCs w:val="24"/>
          <w:lang w:val="nb-NO"/>
        </w:rPr>
        <w:t>Holland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544563">
        <w:rPr>
          <w:b/>
          <w:sz w:val="24"/>
          <w:szCs w:val="24"/>
        </w:rPr>
        <w:t>-</w:t>
      </w:r>
      <w:r w:rsidRPr="00C84483">
        <w:rPr>
          <w:b/>
          <w:sz w:val="24"/>
          <w:szCs w:val="24"/>
        </w:rPr>
        <w:t>NUMRE)</w:t>
      </w:r>
    </w:p>
    <w:p w:rsidR="009260DE" w:rsidRPr="00C84483" w:rsidRDefault="00E13B7B" w:rsidP="009260DE">
      <w:pPr>
        <w:tabs>
          <w:tab w:val="left" w:pos="851"/>
        </w:tabs>
        <w:ind w:left="851"/>
        <w:rPr>
          <w:sz w:val="24"/>
          <w:szCs w:val="24"/>
        </w:rPr>
      </w:pPr>
      <w:r>
        <w:rPr>
          <w:sz w:val="24"/>
          <w:szCs w:val="24"/>
        </w:rPr>
        <w:t>66207</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3462B3" w:rsidP="009260DE">
      <w:pPr>
        <w:tabs>
          <w:tab w:val="left" w:pos="851"/>
        </w:tabs>
        <w:ind w:left="851"/>
        <w:rPr>
          <w:sz w:val="24"/>
          <w:szCs w:val="24"/>
        </w:rPr>
      </w:pPr>
      <w:r>
        <w:rPr>
          <w:sz w:val="24"/>
          <w:szCs w:val="24"/>
        </w:rPr>
        <w:t>22. juni 2021 (depottabletter 8 mg</w:t>
      </w:r>
      <w:r w:rsidR="004E6A9D">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ED0C72" w:rsidP="009260DE">
      <w:pPr>
        <w:tabs>
          <w:tab w:val="left" w:pos="851"/>
        </w:tabs>
        <w:ind w:left="851"/>
        <w:rPr>
          <w:sz w:val="24"/>
          <w:szCs w:val="24"/>
        </w:rPr>
      </w:pPr>
      <w:r w:rsidRPr="00ED0C72">
        <w:rPr>
          <w:sz w:val="24"/>
          <w:szCs w:val="24"/>
        </w:rPr>
        <w:t>23. november 2023</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0C72" w:rsidRDefault="00ED0C72">
      <w:r>
        <w:separator/>
      </w:r>
    </w:p>
  </w:endnote>
  <w:endnote w:type="continuationSeparator" w:id="0">
    <w:p w:rsidR="00ED0C72" w:rsidRDefault="00ED0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0C72" w:rsidRDefault="00ED0C72">
    <w:pPr>
      <w:pStyle w:val="Sidefod"/>
      <w:pBdr>
        <w:bottom w:val="single" w:sz="6" w:space="1" w:color="auto"/>
      </w:pBdr>
    </w:pPr>
  </w:p>
  <w:p w:rsidR="00ED0C72" w:rsidRDefault="00ED0C72" w:rsidP="00C42586">
    <w:pPr>
      <w:pStyle w:val="Sidefod"/>
      <w:tabs>
        <w:tab w:val="clear" w:pos="4819"/>
        <w:tab w:val="left" w:pos="8505"/>
      </w:tabs>
      <w:rPr>
        <w:i/>
        <w:sz w:val="18"/>
        <w:szCs w:val="18"/>
      </w:rPr>
    </w:pPr>
  </w:p>
  <w:p w:rsidR="00ED0C72" w:rsidRPr="00B373D7" w:rsidRDefault="00ED0C7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Fesoterodin Accord, depottabletter 4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0C72" w:rsidRDefault="00ED0C72">
      <w:r>
        <w:separator/>
      </w:r>
    </w:p>
  </w:footnote>
  <w:footnote w:type="continuationSeparator" w:id="0">
    <w:p w:rsidR="00ED0C72" w:rsidRDefault="00ED0C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BA9662E"/>
    <w:multiLevelType w:val="hybridMultilevel"/>
    <w:tmpl w:val="84BC8B7A"/>
    <w:lvl w:ilvl="0" w:tplc="5A5CF712">
      <w:start w:val="1"/>
      <w:numFmt w:val="bullet"/>
      <w:lvlText w:val="-"/>
      <w:lvlJc w:val="left"/>
      <w:pPr>
        <w:ind w:left="720" w:hanging="360"/>
      </w:pPr>
      <w:rPr>
        <w:rFonts w:ascii="Courier New" w:hAnsi="Courier New" w:cs="Times New Roman" w:hint="default"/>
        <w:w w:val="100"/>
        <w:sz w:val="22"/>
        <w:szCs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2E715152"/>
    <w:multiLevelType w:val="hybridMultilevel"/>
    <w:tmpl w:val="7FC08514"/>
    <w:lvl w:ilvl="0" w:tplc="C3B6C326">
      <w:start w:val="1"/>
      <w:numFmt w:val="decimal"/>
      <w:lvlText w:val="(%1)"/>
      <w:lvlJc w:val="left"/>
      <w:pPr>
        <w:ind w:left="676" w:hanging="567"/>
      </w:pPr>
      <w:rPr>
        <w:rFonts w:ascii="Times New Roman" w:eastAsia="Times New Roman" w:hAnsi="Times New Roman" w:cs="Times New Roman" w:hint="default"/>
        <w:w w:val="100"/>
        <w:sz w:val="22"/>
        <w:szCs w:val="22"/>
        <w:vertAlign w:val="superscript"/>
      </w:rPr>
    </w:lvl>
    <w:lvl w:ilvl="1" w:tplc="E2823AEA">
      <w:numFmt w:val="bullet"/>
      <w:lvlText w:val="•"/>
      <w:lvlJc w:val="left"/>
      <w:pPr>
        <w:ind w:left="1539" w:hanging="567"/>
      </w:pPr>
    </w:lvl>
    <w:lvl w:ilvl="2" w:tplc="94F87A88">
      <w:numFmt w:val="bullet"/>
      <w:lvlText w:val="•"/>
      <w:lvlJc w:val="left"/>
      <w:pPr>
        <w:ind w:left="2399" w:hanging="567"/>
      </w:pPr>
    </w:lvl>
    <w:lvl w:ilvl="3" w:tplc="2A4C0660">
      <w:numFmt w:val="bullet"/>
      <w:lvlText w:val="•"/>
      <w:lvlJc w:val="left"/>
      <w:pPr>
        <w:ind w:left="3259" w:hanging="567"/>
      </w:pPr>
    </w:lvl>
    <w:lvl w:ilvl="4" w:tplc="EB548C40">
      <w:numFmt w:val="bullet"/>
      <w:lvlText w:val="•"/>
      <w:lvlJc w:val="left"/>
      <w:pPr>
        <w:ind w:left="4119" w:hanging="567"/>
      </w:pPr>
    </w:lvl>
    <w:lvl w:ilvl="5" w:tplc="D9E4B480">
      <w:numFmt w:val="bullet"/>
      <w:lvlText w:val="•"/>
      <w:lvlJc w:val="left"/>
      <w:pPr>
        <w:ind w:left="4979" w:hanging="567"/>
      </w:pPr>
    </w:lvl>
    <w:lvl w:ilvl="6" w:tplc="47B0B002">
      <w:numFmt w:val="bullet"/>
      <w:lvlText w:val="•"/>
      <w:lvlJc w:val="left"/>
      <w:pPr>
        <w:ind w:left="5839" w:hanging="567"/>
      </w:pPr>
    </w:lvl>
    <w:lvl w:ilvl="7" w:tplc="C4F449BC">
      <w:numFmt w:val="bullet"/>
      <w:lvlText w:val="•"/>
      <w:lvlJc w:val="left"/>
      <w:pPr>
        <w:ind w:left="6699" w:hanging="567"/>
      </w:pPr>
    </w:lvl>
    <w:lvl w:ilvl="8" w:tplc="2E364566">
      <w:numFmt w:val="bullet"/>
      <w:lvlText w:val="•"/>
      <w:lvlJc w:val="left"/>
      <w:pPr>
        <w:ind w:left="7559" w:hanging="567"/>
      </w:pPr>
    </w:lvl>
  </w:abstractNum>
  <w:abstractNum w:abstractNumId="3" w15:restartNumberingAfterBreak="0">
    <w:nsid w:val="31096E37"/>
    <w:multiLevelType w:val="hybridMultilevel"/>
    <w:tmpl w:val="1182FD22"/>
    <w:lvl w:ilvl="0" w:tplc="BEA080D4">
      <w:start w:val="1"/>
      <w:numFmt w:val="lowerLetter"/>
      <w:lvlText w:val="%1."/>
      <w:lvlJc w:val="left"/>
      <w:pPr>
        <w:ind w:left="740" w:hanging="567"/>
      </w:pPr>
      <w:rPr>
        <w:rFonts w:ascii="Times New Roman" w:eastAsia="Times New Roman" w:hAnsi="Times New Roman" w:cs="Times New Roman" w:hint="default"/>
        <w:w w:val="100"/>
        <w:sz w:val="22"/>
        <w:szCs w:val="22"/>
      </w:rPr>
    </w:lvl>
    <w:lvl w:ilvl="1" w:tplc="E5B0220A">
      <w:numFmt w:val="bullet"/>
      <w:lvlText w:val="•"/>
      <w:lvlJc w:val="left"/>
      <w:pPr>
        <w:ind w:left="1660" w:hanging="567"/>
      </w:pPr>
    </w:lvl>
    <w:lvl w:ilvl="2" w:tplc="2D8CC740">
      <w:numFmt w:val="bullet"/>
      <w:lvlText w:val="•"/>
      <w:lvlJc w:val="left"/>
      <w:pPr>
        <w:ind w:left="2581" w:hanging="567"/>
      </w:pPr>
    </w:lvl>
    <w:lvl w:ilvl="3" w:tplc="92041848">
      <w:numFmt w:val="bullet"/>
      <w:lvlText w:val="•"/>
      <w:lvlJc w:val="left"/>
      <w:pPr>
        <w:ind w:left="3501" w:hanging="567"/>
      </w:pPr>
    </w:lvl>
    <w:lvl w:ilvl="4" w:tplc="F3D6F8CC">
      <w:numFmt w:val="bullet"/>
      <w:lvlText w:val="•"/>
      <w:lvlJc w:val="left"/>
      <w:pPr>
        <w:ind w:left="4422" w:hanging="567"/>
      </w:pPr>
    </w:lvl>
    <w:lvl w:ilvl="5" w:tplc="2FECE014">
      <w:numFmt w:val="bullet"/>
      <w:lvlText w:val="•"/>
      <w:lvlJc w:val="left"/>
      <w:pPr>
        <w:ind w:left="5342" w:hanging="567"/>
      </w:pPr>
    </w:lvl>
    <w:lvl w:ilvl="6" w:tplc="E1B68810">
      <w:numFmt w:val="bullet"/>
      <w:lvlText w:val="•"/>
      <w:lvlJc w:val="left"/>
      <w:pPr>
        <w:ind w:left="6263" w:hanging="567"/>
      </w:pPr>
    </w:lvl>
    <w:lvl w:ilvl="7" w:tplc="2D3A8834">
      <w:numFmt w:val="bullet"/>
      <w:lvlText w:val="•"/>
      <w:lvlJc w:val="left"/>
      <w:pPr>
        <w:ind w:left="7183" w:hanging="567"/>
      </w:pPr>
    </w:lvl>
    <w:lvl w:ilvl="8" w:tplc="D6A06890">
      <w:numFmt w:val="bullet"/>
      <w:lvlText w:val="•"/>
      <w:lvlJc w:val="left"/>
      <w:pPr>
        <w:ind w:left="8104" w:hanging="567"/>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EBD3383"/>
    <w:multiLevelType w:val="hybridMultilevel"/>
    <w:tmpl w:val="BA18DEC6"/>
    <w:lvl w:ilvl="0" w:tplc="5A5CF712">
      <w:start w:val="1"/>
      <w:numFmt w:val="bullet"/>
      <w:lvlText w:val="-"/>
      <w:lvlJc w:val="left"/>
      <w:pPr>
        <w:ind w:left="1571" w:hanging="360"/>
      </w:pPr>
      <w:rPr>
        <w:rFonts w:ascii="Courier New" w:hAnsi="Courier New" w:cs="Times New Roman" w:hint="default"/>
        <w:w w:val="100"/>
        <w:sz w:val="22"/>
        <w:szCs w:val="22"/>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9" w15:restartNumberingAfterBreak="0">
    <w:nsid w:val="6C414E25"/>
    <w:multiLevelType w:val="hybridMultilevel"/>
    <w:tmpl w:val="4BFEBCF8"/>
    <w:lvl w:ilvl="0" w:tplc="5A5CF712">
      <w:start w:val="1"/>
      <w:numFmt w:val="bullet"/>
      <w:lvlText w:val="-"/>
      <w:lvlJc w:val="left"/>
      <w:pPr>
        <w:ind w:left="1571" w:hanging="360"/>
      </w:pPr>
      <w:rPr>
        <w:rFonts w:ascii="Courier New" w:hAnsi="Courier New" w:cs="Times New Roman" w:hint="default"/>
        <w:w w:val="100"/>
        <w:sz w:val="22"/>
        <w:szCs w:val="22"/>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0" w15:restartNumberingAfterBreak="0">
    <w:nsid w:val="785D47B4"/>
    <w:multiLevelType w:val="hybridMultilevel"/>
    <w:tmpl w:val="0F161AB8"/>
    <w:lvl w:ilvl="0" w:tplc="5A5CF712">
      <w:start w:val="1"/>
      <w:numFmt w:val="bullet"/>
      <w:lvlText w:val="-"/>
      <w:lvlJc w:val="left"/>
      <w:pPr>
        <w:ind w:left="1571" w:hanging="360"/>
      </w:pPr>
      <w:rPr>
        <w:rFonts w:ascii="Courier New" w:hAnsi="Courier New" w:cs="Times New Roman" w:hint="default"/>
        <w:w w:val="100"/>
        <w:sz w:val="22"/>
        <w:szCs w:val="22"/>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9"/>
  </w:num>
  <w:num w:numId="9">
    <w:abstractNumId w:val="10"/>
  </w:num>
  <w:num w:numId="10">
    <w:abstractNumId w:val="8"/>
  </w:num>
  <w:num w:numId="11">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D81"/>
    <w:rsid w:val="000259B9"/>
    <w:rsid w:val="00041491"/>
    <w:rsid w:val="00045287"/>
    <w:rsid w:val="00050D16"/>
    <w:rsid w:val="000730CA"/>
    <w:rsid w:val="00074F2A"/>
    <w:rsid w:val="000A1CA8"/>
    <w:rsid w:val="000A466B"/>
    <w:rsid w:val="000B058C"/>
    <w:rsid w:val="000E4EE6"/>
    <w:rsid w:val="0012074A"/>
    <w:rsid w:val="00131F23"/>
    <w:rsid w:val="001454E2"/>
    <w:rsid w:val="001A41D7"/>
    <w:rsid w:val="00206CE8"/>
    <w:rsid w:val="0021526C"/>
    <w:rsid w:val="00240AC5"/>
    <w:rsid w:val="00257D52"/>
    <w:rsid w:val="00260E76"/>
    <w:rsid w:val="00283A2B"/>
    <w:rsid w:val="002B132D"/>
    <w:rsid w:val="002B30AD"/>
    <w:rsid w:val="002C2C01"/>
    <w:rsid w:val="00327707"/>
    <w:rsid w:val="0034592A"/>
    <w:rsid w:val="003462B3"/>
    <w:rsid w:val="00360EFC"/>
    <w:rsid w:val="003A29AE"/>
    <w:rsid w:val="003A32D7"/>
    <w:rsid w:val="003B4074"/>
    <w:rsid w:val="003C769A"/>
    <w:rsid w:val="003F1838"/>
    <w:rsid w:val="0045746C"/>
    <w:rsid w:val="0049104B"/>
    <w:rsid w:val="004E3B12"/>
    <w:rsid w:val="004E6A9D"/>
    <w:rsid w:val="00514A29"/>
    <w:rsid w:val="00532310"/>
    <w:rsid w:val="00544563"/>
    <w:rsid w:val="00565F0F"/>
    <w:rsid w:val="005672B6"/>
    <w:rsid w:val="005941B2"/>
    <w:rsid w:val="00594A86"/>
    <w:rsid w:val="00596D86"/>
    <w:rsid w:val="00615560"/>
    <w:rsid w:val="00637F5A"/>
    <w:rsid w:val="006560B1"/>
    <w:rsid w:val="006756DD"/>
    <w:rsid w:val="006773EA"/>
    <w:rsid w:val="00737275"/>
    <w:rsid w:val="00740EEC"/>
    <w:rsid w:val="0078011A"/>
    <w:rsid w:val="00782AF4"/>
    <w:rsid w:val="00790EE7"/>
    <w:rsid w:val="007B61AB"/>
    <w:rsid w:val="007B6649"/>
    <w:rsid w:val="0082576E"/>
    <w:rsid w:val="00907F75"/>
    <w:rsid w:val="009260DE"/>
    <w:rsid w:val="0093258A"/>
    <w:rsid w:val="009C7BA3"/>
    <w:rsid w:val="009D1F5A"/>
    <w:rsid w:val="00A10294"/>
    <w:rsid w:val="00A37D81"/>
    <w:rsid w:val="00A85322"/>
    <w:rsid w:val="00B003BF"/>
    <w:rsid w:val="00B373D7"/>
    <w:rsid w:val="00C36276"/>
    <w:rsid w:val="00C42586"/>
    <w:rsid w:val="00C60CCD"/>
    <w:rsid w:val="00C84483"/>
    <w:rsid w:val="00C95551"/>
    <w:rsid w:val="00CB20D7"/>
    <w:rsid w:val="00D020B0"/>
    <w:rsid w:val="00D11748"/>
    <w:rsid w:val="00D366CF"/>
    <w:rsid w:val="00D61012"/>
    <w:rsid w:val="00D913E4"/>
    <w:rsid w:val="00D92656"/>
    <w:rsid w:val="00E108AA"/>
    <w:rsid w:val="00E13B7B"/>
    <w:rsid w:val="00E3749A"/>
    <w:rsid w:val="00E7437F"/>
    <w:rsid w:val="00E865B8"/>
    <w:rsid w:val="00EA0907"/>
    <w:rsid w:val="00EC0B9B"/>
    <w:rsid w:val="00ED0C72"/>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3F6866"/>
  <w15:chartTrackingRefBased/>
  <w15:docId w15:val="{ADBC1F3B-05CB-4DC6-993D-55FEE5F09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615560"/>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615560"/>
    <w:rPr>
      <w:sz w:val="22"/>
      <w:szCs w:val="22"/>
      <w:lang w:val="en-US" w:eastAsia="en-US"/>
    </w:rPr>
  </w:style>
  <w:style w:type="paragraph" w:customStyle="1" w:styleId="TableParagraph">
    <w:name w:val="Table Paragraph"/>
    <w:basedOn w:val="Normal"/>
    <w:uiPriority w:val="1"/>
    <w:qFormat/>
    <w:rsid w:val="00615560"/>
    <w:pPr>
      <w:widowControl w:val="0"/>
      <w:autoSpaceDE w:val="0"/>
      <w:autoSpaceDN w:val="0"/>
      <w:spacing w:line="234" w:lineRule="exact"/>
    </w:pPr>
    <w:rPr>
      <w:sz w:val="22"/>
      <w:szCs w:val="22"/>
      <w:lang w:val="en-US"/>
    </w:rPr>
  </w:style>
  <w:style w:type="character" w:styleId="Hyperlink">
    <w:name w:val="Hyperlink"/>
    <w:semiHidden/>
    <w:unhideWhenUsed/>
    <w:rsid w:val="00327707"/>
    <w:rPr>
      <w:color w:val="0000FF"/>
      <w:u w:val="single"/>
    </w:rPr>
  </w:style>
  <w:style w:type="character" w:customStyle="1" w:styleId="Overskrift1Tegn">
    <w:name w:val="Overskrift 1 Tegn"/>
    <w:basedOn w:val="Standardskrifttypeiafsnit"/>
    <w:link w:val="Overskrift1"/>
    <w:rsid w:val="00ED0C72"/>
    <w:rPr>
      <w:rFonts w:ascii="Arial" w:hAnsi="Arial"/>
      <w:b/>
      <w:kern w:val="28"/>
      <w:sz w:val="28"/>
      <w:lang w:eastAsia="en-US"/>
    </w:rPr>
  </w:style>
  <w:style w:type="paragraph" w:styleId="Listeafsnit">
    <w:name w:val="List Paragraph"/>
    <w:basedOn w:val="Normal"/>
    <w:uiPriority w:val="1"/>
    <w:qFormat/>
    <w:rsid w:val="00ED0C72"/>
    <w:pPr>
      <w:widowControl w:val="0"/>
      <w:autoSpaceDE w:val="0"/>
      <w:autoSpaceDN w:val="0"/>
      <w:ind w:left="682" w:hanging="566"/>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231">
      <w:bodyDiv w:val="1"/>
      <w:marLeft w:val="0"/>
      <w:marRight w:val="0"/>
      <w:marTop w:val="0"/>
      <w:marBottom w:val="0"/>
      <w:divBdr>
        <w:top w:val="none" w:sz="0" w:space="0" w:color="auto"/>
        <w:left w:val="none" w:sz="0" w:space="0" w:color="auto"/>
        <w:bottom w:val="none" w:sz="0" w:space="0" w:color="auto"/>
        <w:right w:val="none" w:sz="0" w:space="0" w:color="auto"/>
      </w:divBdr>
    </w:div>
    <w:div w:id="9648654">
      <w:bodyDiv w:val="1"/>
      <w:marLeft w:val="0"/>
      <w:marRight w:val="0"/>
      <w:marTop w:val="0"/>
      <w:marBottom w:val="0"/>
      <w:divBdr>
        <w:top w:val="none" w:sz="0" w:space="0" w:color="auto"/>
        <w:left w:val="none" w:sz="0" w:space="0" w:color="auto"/>
        <w:bottom w:val="none" w:sz="0" w:space="0" w:color="auto"/>
        <w:right w:val="none" w:sz="0" w:space="0" w:color="auto"/>
      </w:divBdr>
    </w:div>
    <w:div w:id="6025387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2373008">
      <w:bodyDiv w:val="1"/>
      <w:marLeft w:val="0"/>
      <w:marRight w:val="0"/>
      <w:marTop w:val="0"/>
      <w:marBottom w:val="0"/>
      <w:divBdr>
        <w:top w:val="none" w:sz="0" w:space="0" w:color="auto"/>
        <w:left w:val="none" w:sz="0" w:space="0" w:color="auto"/>
        <w:bottom w:val="none" w:sz="0" w:space="0" w:color="auto"/>
        <w:right w:val="none" w:sz="0" w:space="0" w:color="auto"/>
      </w:divBdr>
    </w:div>
    <w:div w:id="309942021">
      <w:bodyDiv w:val="1"/>
      <w:marLeft w:val="0"/>
      <w:marRight w:val="0"/>
      <w:marTop w:val="0"/>
      <w:marBottom w:val="0"/>
      <w:divBdr>
        <w:top w:val="none" w:sz="0" w:space="0" w:color="auto"/>
        <w:left w:val="none" w:sz="0" w:space="0" w:color="auto"/>
        <w:bottom w:val="none" w:sz="0" w:space="0" w:color="auto"/>
        <w:right w:val="none" w:sz="0" w:space="0" w:color="auto"/>
      </w:divBdr>
    </w:div>
    <w:div w:id="323780232">
      <w:bodyDiv w:val="1"/>
      <w:marLeft w:val="0"/>
      <w:marRight w:val="0"/>
      <w:marTop w:val="0"/>
      <w:marBottom w:val="0"/>
      <w:divBdr>
        <w:top w:val="none" w:sz="0" w:space="0" w:color="auto"/>
        <w:left w:val="none" w:sz="0" w:space="0" w:color="auto"/>
        <w:bottom w:val="none" w:sz="0" w:space="0" w:color="auto"/>
        <w:right w:val="none" w:sz="0" w:space="0" w:color="auto"/>
      </w:divBdr>
    </w:div>
    <w:div w:id="355620430">
      <w:bodyDiv w:val="1"/>
      <w:marLeft w:val="0"/>
      <w:marRight w:val="0"/>
      <w:marTop w:val="0"/>
      <w:marBottom w:val="0"/>
      <w:divBdr>
        <w:top w:val="none" w:sz="0" w:space="0" w:color="auto"/>
        <w:left w:val="none" w:sz="0" w:space="0" w:color="auto"/>
        <w:bottom w:val="none" w:sz="0" w:space="0" w:color="auto"/>
        <w:right w:val="none" w:sz="0" w:space="0" w:color="auto"/>
      </w:divBdr>
    </w:div>
    <w:div w:id="388651375">
      <w:bodyDiv w:val="1"/>
      <w:marLeft w:val="0"/>
      <w:marRight w:val="0"/>
      <w:marTop w:val="0"/>
      <w:marBottom w:val="0"/>
      <w:divBdr>
        <w:top w:val="none" w:sz="0" w:space="0" w:color="auto"/>
        <w:left w:val="none" w:sz="0" w:space="0" w:color="auto"/>
        <w:bottom w:val="none" w:sz="0" w:space="0" w:color="auto"/>
        <w:right w:val="none" w:sz="0" w:space="0" w:color="auto"/>
      </w:divBdr>
    </w:div>
    <w:div w:id="453208388">
      <w:bodyDiv w:val="1"/>
      <w:marLeft w:val="0"/>
      <w:marRight w:val="0"/>
      <w:marTop w:val="0"/>
      <w:marBottom w:val="0"/>
      <w:divBdr>
        <w:top w:val="none" w:sz="0" w:space="0" w:color="auto"/>
        <w:left w:val="none" w:sz="0" w:space="0" w:color="auto"/>
        <w:bottom w:val="none" w:sz="0" w:space="0" w:color="auto"/>
        <w:right w:val="none" w:sz="0" w:space="0" w:color="auto"/>
      </w:divBdr>
    </w:div>
    <w:div w:id="660084203">
      <w:bodyDiv w:val="1"/>
      <w:marLeft w:val="0"/>
      <w:marRight w:val="0"/>
      <w:marTop w:val="0"/>
      <w:marBottom w:val="0"/>
      <w:divBdr>
        <w:top w:val="none" w:sz="0" w:space="0" w:color="auto"/>
        <w:left w:val="none" w:sz="0" w:space="0" w:color="auto"/>
        <w:bottom w:val="none" w:sz="0" w:space="0" w:color="auto"/>
        <w:right w:val="none" w:sz="0" w:space="0" w:color="auto"/>
      </w:divBdr>
    </w:div>
    <w:div w:id="853302278">
      <w:bodyDiv w:val="1"/>
      <w:marLeft w:val="0"/>
      <w:marRight w:val="0"/>
      <w:marTop w:val="0"/>
      <w:marBottom w:val="0"/>
      <w:divBdr>
        <w:top w:val="none" w:sz="0" w:space="0" w:color="auto"/>
        <w:left w:val="none" w:sz="0" w:space="0" w:color="auto"/>
        <w:bottom w:val="none" w:sz="0" w:space="0" w:color="auto"/>
        <w:right w:val="none" w:sz="0" w:space="0" w:color="auto"/>
      </w:divBdr>
    </w:div>
    <w:div w:id="1034814699">
      <w:bodyDiv w:val="1"/>
      <w:marLeft w:val="0"/>
      <w:marRight w:val="0"/>
      <w:marTop w:val="0"/>
      <w:marBottom w:val="0"/>
      <w:divBdr>
        <w:top w:val="none" w:sz="0" w:space="0" w:color="auto"/>
        <w:left w:val="none" w:sz="0" w:space="0" w:color="auto"/>
        <w:bottom w:val="none" w:sz="0" w:space="0" w:color="auto"/>
        <w:right w:val="none" w:sz="0" w:space="0" w:color="auto"/>
      </w:divBdr>
    </w:div>
    <w:div w:id="1036196189">
      <w:bodyDiv w:val="1"/>
      <w:marLeft w:val="0"/>
      <w:marRight w:val="0"/>
      <w:marTop w:val="0"/>
      <w:marBottom w:val="0"/>
      <w:divBdr>
        <w:top w:val="none" w:sz="0" w:space="0" w:color="auto"/>
        <w:left w:val="none" w:sz="0" w:space="0" w:color="auto"/>
        <w:bottom w:val="none" w:sz="0" w:space="0" w:color="auto"/>
        <w:right w:val="none" w:sz="0" w:space="0" w:color="auto"/>
      </w:divBdr>
    </w:div>
    <w:div w:id="1059860580">
      <w:bodyDiv w:val="1"/>
      <w:marLeft w:val="0"/>
      <w:marRight w:val="0"/>
      <w:marTop w:val="0"/>
      <w:marBottom w:val="0"/>
      <w:divBdr>
        <w:top w:val="none" w:sz="0" w:space="0" w:color="auto"/>
        <w:left w:val="none" w:sz="0" w:space="0" w:color="auto"/>
        <w:bottom w:val="none" w:sz="0" w:space="0" w:color="auto"/>
        <w:right w:val="none" w:sz="0" w:space="0" w:color="auto"/>
      </w:divBdr>
    </w:div>
    <w:div w:id="1070419423">
      <w:bodyDiv w:val="1"/>
      <w:marLeft w:val="0"/>
      <w:marRight w:val="0"/>
      <w:marTop w:val="0"/>
      <w:marBottom w:val="0"/>
      <w:divBdr>
        <w:top w:val="none" w:sz="0" w:space="0" w:color="auto"/>
        <w:left w:val="none" w:sz="0" w:space="0" w:color="auto"/>
        <w:bottom w:val="none" w:sz="0" w:space="0" w:color="auto"/>
        <w:right w:val="none" w:sz="0" w:space="0" w:color="auto"/>
      </w:divBdr>
    </w:div>
    <w:div w:id="1124926653">
      <w:bodyDiv w:val="1"/>
      <w:marLeft w:val="0"/>
      <w:marRight w:val="0"/>
      <w:marTop w:val="0"/>
      <w:marBottom w:val="0"/>
      <w:divBdr>
        <w:top w:val="none" w:sz="0" w:space="0" w:color="auto"/>
        <w:left w:val="none" w:sz="0" w:space="0" w:color="auto"/>
        <w:bottom w:val="none" w:sz="0" w:space="0" w:color="auto"/>
        <w:right w:val="none" w:sz="0" w:space="0" w:color="auto"/>
      </w:divBdr>
    </w:div>
    <w:div w:id="1152255866">
      <w:bodyDiv w:val="1"/>
      <w:marLeft w:val="0"/>
      <w:marRight w:val="0"/>
      <w:marTop w:val="0"/>
      <w:marBottom w:val="0"/>
      <w:divBdr>
        <w:top w:val="none" w:sz="0" w:space="0" w:color="auto"/>
        <w:left w:val="none" w:sz="0" w:space="0" w:color="auto"/>
        <w:bottom w:val="none" w:sz="0" w:space="0" w:color="auto"/>
        <w:right w:val="none" w:sz="0" w:space="0" w:color="auto"/>
      </w:divBdr>
    </w:div>
    <w:div w:id="1182352401">
      <w:bodyDiv w:val="1"/>
      <w:marLeft w:val="0"/>
      <w:marRight w:val="0"/>
      <w:marTop w:val="0"/>
      <w:marBottom w:val="0"/>
      <w:divBdr>
        <w:top w:val="none" w:sz="0" w:space="0" w:color="auto"/>
        <w:left w:val="none" w:sz="0" w:space="0" w:color="auto"/>
        <w:bottom w:val="none" w:sz="0" w:space="0" w:color="auto"/>
        <w:right w:val="none" w:sz="0" w:space="0" w:color="auto"/>
      </w:divBdr>
    </w:div>
    <w:div w:id="1198543182">
      <w:bodyDiv w:val="1"/>
      <w:marLeft w:val="0"/>
      <w:marRight w:val="0"/>
      <w:marTop w:val="0"/>
      <w:marBottom w:val="0"/>
      <w:divBdr>
        <w:top w:val="none" w:sz="0" w:space="0" w:color="auto"/>
        <w:left w:val="none" w:sz="0" w:space="0" w:color="auto"/>
        <w:bottom w:val="none" w:sz="0" w:space="0" w:color="auto"/>
        <w:right w:val="none" w:sz="0" w:space="0" w:color="auto"/>
      </w:divBdr>
    </w:div>
    <w:div w:id="1458375146">
      <w:bodyDiv w:val="1"/>
      <w:marLeft w:val="0"/>
      <w:marRight w:val="0"/>
      <w:marTop w:val="0"/>
      <w:marBottom w:val="0"/>
      <w:divBdr>
        <w:top w:val="none" w:sz="0" w:space="0" w:color="auto"/>
        <w:left w:val="none" w:sz="0" w:space="0" w:color="auto"/>
        <w:bottom w:val="none" w:sz="0" w:space="0" w:color="auto"/>
        <w:right w:val="none" w:sz="0" w:space="0" w:color="auto"/>
      </w:divBdr>
    </w:div>
    <w:div w:id="1497306500">
      <w:bodyDiv w:val="1"/>
      <w:marLeft w:val="0"/>
      <w:marRight w:val="0"/>
      <w:marTop w:val="0"/>
      <w:marBottom w:val="0"/>
      <w:divBdr>
        <w:top w:val="none" w:sz="0" w:space="0" w:color="auto"/>
        <w:left w:val="none" w:sz="0" w:space="0" w:color="auto"/>
        <w:bottom w:val="none" w:sz="0" w:space="0" w:color="auto"/>
        <w:right w:val="none" w:sz="0" w:space="0" w:color="auto"/>
      </w:divBdr>
    </w:div>
    <w:div w:id="1538616203">
      <w:bodyDiv w:val="1"/>
      <w:marLeft w:val="0"/>
      <w:marRight w:val="0"/>
      <w:marTop w:val="0"/>
      <w:marBottom w:val="0"/>
      <w:divBdr>
        <w:top w:val="none" w:sz="0" w:space="0" w:color="auto"/>
        <w:left w:val="none" w:sz="0" w:space="0" w:color="auto"/>
        <w:bottom w:val="none" w:sz="0" w:space="0" w:color="auto"/>
        <w:right w:val="none" w:sz="0" w:space="0" w:color="auto"/>
      </w:divBdr>
    </w:div>
    <w:div w:id="1637367547">
      <w:bodyDiv w:val="1"/>
      <w:marLeft w:val="0"/>
      <w:marRight w:val="0"/>
      <w:marTop w:val="0"/>
      <w:marBottom w:val="0"/>
      <w:divBdr>
        <w:top w:val="none" w:sz="0" w:space="0" w:color="auto"/>
        <w:left w:val="none" w:sz="0" w:space="0" w:color="auto"/>
        <w:bottom w:val="none" w:sz="0" w:space="0" w:color="auto"/>
        <w:right w:val="none" w:sz="0" w:space="0" w:color="auto"/>
      </w:divBdr>
    </w:div>
    <w:div w:id="1725056378">
      <w:bodyDiv w:val="1"/>
      <w:marLeft w:val="0"/>
      <w:marRight w:val="0"/>
      <w:marTop w:val="0"/>
      <w:marBottom w:val="0"/>
      <w:divBdr>
        <w:top w:val="none" w:sz="0" w:space="0" w:color="auto"/>
        <w:left w:val="none" w:sz="0" w:space="0" w:color="auto"/>
        <w:bottom w:val="none" w:sz="0" w:space="0" w:color="auto"/>
        <w:right w:val="none" w:sz="0" w:space="0" w:color="auto"/>
      </w:divBdr>
    </w:div>
    <w:div w:id="1761750213">
      <w:bodyDiv w:val="1"/>
      <w:marLeft w:val="0"/>
      <w:marRight w:val="0"/>
      <w:marTop w:val="0"/>
      <w:marBottom w:val="0"/>
      <w:divBdr>
        <w:top w:val="none" w:sz="0" w:space="0" w:color="auto"/>
        <w:left w:val="none" w:sz="0" w:space="0" w:color="auto"/>
        <w:bottom w:val="none" w:sz="0" w:space="0" w:color="auto"/>
        <w:right w:val="none" w:sz="0" w:space="0" w:color="auto"/>
      </w:divBdr>
    </w:div>
    <w:div w:id="1775784537">
      <w:bodyDiv w:val="1"/>
      <w:marLeft w:val="0"/>
      <w:marRight w:val="0"/>
      <w:marTop w:val="0"/>
      <w:marBottom w:val="0"/>
      <w:divBdr>
        <w:top w:val="none" w:sz="0" w:space="0" w:color="auto"/>
        <w:left w:val="none" w:sz="0" w:space="0" w:color="auto"/>
        <w:bottom w:val="none" w:sz="0" w:space="0" w:color="auto"/>
        <w:right w:val="none" w:sz="0" w:space="0" w:color="auto"/>
      </w:divBdr>
    </w:div>
    <w:div w:id="1816603510">
      <w:bodyDiv w:val="1"/>
      <w:marLeft w:val="0"/>
      <w:marRight w:val="0"/>
      <w:marTop w:val="0"/>
      <w:marBottom w:val="0"/>
      <w:divBdr>
        <w:top w:val="none" w:sz="0" w:space="0" w:color="auto"/>
        <w:left w:val="none" w:sz="0" w:space="0" w:color="auto"/>
        <w:bottom w:val="none" w:sz="0" w:space="0" w:color="auto"/>
        <w:right w:val="none" w:sz="0" w:space="0" w:color="auto"/>
      </w:divBdr>
    </w:div>
    <w:div w:id="1823302952">
      <w:bodyDiv w:val="1"/>
      <w:marLeft w:val="0"/>
      <w:marRight w:val="0"/>
      <w:marTop w:val="0"/>
      <w:marBottom w:val="0"/>
      <w:divBdr>
        <w:top w:val="none" w:sz="0" w:space="0" w:color="auto"/>
        <w:left w:val="none" w:sz="0" w:space="0" w:color="auto"/>
        <w:bottom w:val="none" w:sz="0" w:space="0" w:color="auto"/>
        <w:right w:val="none" w:sz="0" w:space="0" w:color="auto"/>
      </w:divBdr>
    </w:div>
    <w:div w:id="1845584215">
      <w:bodyDiv w:val="1"/>
      <w:marLeft w:val="0"/>
      <w:marRight w:val="0"/>
      <w:marTop w:val="0"/>
      <w:marBottom w:val="0"/>
      <w:divBdr>
        <w:top w:val="none" w:sz="0" w:space="0" w:color="auto"/>
        <w:left w:val="none" w:sz="0" w:space="0" w:color="auto"/>
        <w:bottom w:val="none" w:sz="0" w:space="0" w:color="auto"/>
        <w:right w:val="none" w:sz="0" w:space="0" w:color="auto"/>
      </w:divBdr>
    </w:div>
    <w:div w:id="1932280202">
      <w:bodyDiv w:val="1"/>
      <w:marLeft w:val="0"/>
      <w:marRight w:val="0"/>
      <w:marTop w:val="0"/>
      <w:marBottom w:val="0"/>
      <w:divBdr>
        <w:top w:val="none" w:sz="0" w:space="0" w:color="auto"/>
        <w:left w:val="none" w:sz="0" w:space="0" w:color="auto"/>
        <w:bottom w:val="none" w:sz="0" w:space="0" w:color="auto"/>
        <w:right w:val="none" w:sz="0" w:space="0" w:color="auto"/>
      </w:divBdr>
    </w:div>
    <w:div w:id="1963536753">
      <w:bodyDiv w:val="1"/>
      <w:marLeft w:val="0"/>
      <w:marRight w:val="0"/>
      <w:marTop w:val="0"/>
      <w:marBottom w:val="0"/>
      <w:divBdr>
        <w:top w:val="none" w:sz="0" w:space="0" w:color="auto"/>
        <w:left w:val="none" w:sz="0" w:space="0" w:color="auto"/>
        <w:bottom w:val="none" w:sz="0" w:space="0" w:color="auto"/>
        <w:right w:val="none" w:sz="0" w:space="0" w:color="auto"/>
      </w:divBdr>
    </w:div>
    <w:div w:id="2038384195">
      <w:bodyDiv w:val="1"/>
      <w:marLeft w:val="0"/>
      <w:marRight w:val="0"/>
      <w:marTop w:val="0"/>
      <w:marBottom w:val="0"/>
      <w:divBdr>
        <w:top w:val="none" w:sz="0" w:space="0" w:color="auto"/>
        <w:left w:val="none" w:sz="0" w:space="0" w:color="auto"/>
        <w:bottom w:val="none" w:sz="0" w:space="0" w:color="auto"/>
        <w:right w:val="none" w:sz="0" w:space="0" w:color="auto"/>
      </w:divBdr>
    </w:div>
    <w:div w:id="2096049088">
      <w:bodyDiv w:val="1"/>
      <w:marLeft w:val="0"/>
      <w:marRight w:val="0"/>
      <w:marTop w:val="0"/>
      <w:marBottom w:val="0"/>
      <w:divBdr>
        <w:top w:val="none" w:sz="0" w:space="0" w:color="auto"/>
        <w:left w:val="none" w:sz="0" w:space="0" w:color="auto"/>
        <w:bottom w:val="none" w:sz="0" w:space="0" w:color="auto"/>
        <w:right w:val="none" w:sz="0" w:space="0" w:color="auto"/>
      </w:divBdr>
    </w:div>
    <w:div w:id="211127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8C167-240C-4CE5-9046-3C1A5EF6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4296</Words>
  <Characters>26978</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2023062820_x000d_
SPC pkt. 4.2, 5.1, 5.2 samt overskrifter iht. QRD9</dc:description>
  <cp:lastModifiedBy>Betty Winther Andersen</cp:lastModifiedBy>
  <cp:revision>4</cp:revision>
  <cp:lastPrinted>2012-08-22T08:53:00Z</cp:lastPrinted>
  <dcterms:created xsi:type="dcterms:W3CDTF">2023-12-11T12:42:00Z</dcterms:created>
  <dcterms:modified xsi:type="dcterms:W3CDTF">2023-12-11T12:57:00Z</dcterms:modified>
</cp:coreProperties>
</file>