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AEB" w:rsidRPr="008F49E1" w:rsidRDefault="004F7AEB" w:rsidP="004F7AEB">
      <w:pPr>
        <w:rPr>
          <w:sz w:val="24"/>
          <w:szCs w:val="24"/>
        </w:rPr>
      </w:pPr>
      <w:r w:rsidRPr="009260DE">
        <w:rPr>
          <w:noProof/>
          <w:sz w:val="24"/>
          <w:szCs w:val="24"/>
          <w:lang w:eastAsia="da-DK"/>
        </w:rPr>
        <w:drawing>
          <wp:anchor distT="0" distB="0" distL="114300" distR="114300" simplePos="0" relativeHeight="251659264" behindDoc="0" locked="0" layoutInCell="1" allowOverlap="1" wp14:anchorId="537D92D9" wp14:editId="1377835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4F7AEB" w:rsidRPr="00C84483" w:rsidRDefault="004F7AEB" w:rsidP="004F7AEB">
      <w:pPr>
        <w:pStyle w:val="Titel"/>
        <w:tabs>
          <w:tab w:val="right" w:pos="9356"/>
        </w:tabs>
        <w:jc w:val="left"/>
        <w:rPr>
          <w:b w:val="0"/>
          <w:szCs w:val="24"/>
          <w:lang w:eastAsia="en-US"/>
        </w:rPr>
      </w:pPr>
      <w:r w:rsidRPr="00C84483">
        <w:rPr>
          <w:b w:val="0"/>
          <w:szCs w:val="24"/>
          <w:lang w:eastAsia="en-US"/>
        </w:rPr>
        <w:tab/>
      </w:r>
      <w:r w:rsidR="005B69DC">
        <w:rPr>
          <w:szCs w:val="24"/>
        </w:rPr>
        <w:t>23</w:t>
      </w:r>
      <w:r w:rsidR="00B05C02">
        <w:rPr>
          <w:szCs w:val="24"/>
        </w:rPr>
        <w:t xml:space="preserve">. </w:t>
      </w:r>
      <w:r w:rsidR="005B69DC">
        <w:rPr>
          <w:szCs w:val="24"/>
        </w:rPr>
        <w:t>december</w:t>
      </w:r>
      <w:r w:rsidR="00B05C02">
        <w:rPr>
          <w:szCs w:val="24"/>
        </w:rPr>
        <w:t xml:space="preserve"> 202</w:t>
      </w:r>
      <w:r w:rsidR="004B10DB">
        <w:rPr>
          <w:szCs w:val="24"/>
        </w:rPr>
        <w:t>4</w:t>
      </w:r>
    </w:p>
    <w:p w:rsidR="004F7AEB" w:rsidRDefault="004F7AEB" w:rsidP="004F7AEB">
      <w:pPr>
        <w:pStyle w:val="Titel"/>
        <w:jc w:val="left"/>
        <w:rPr>
          <w:b w:val="0"/>
          <w:szCs w:val="24"/>
        </w:rPr>
      </w:pPr>
    </w:p>
    <w:p w:rsidR="004B10DB" w:rsidRDefault="004B10DB" w:rsidP="004F7AEB">
      <w:pPr>
        <w:pStyle w:val="Titel"/>
        <w:jc w:val="left"/>
        <w:rPr>
          <w:b w:val="0"/>
          <w:szCs w:val="24"/>
        </w:rPr>
      </w:pPr>
    </w:p>
    <w:p w:rsidR="004B10DB" w:rsidRPr="00C84483" w:rsidRDefault="004B10DB" w:rsidP="004F7AEB">
      <w:pPr>
        <w:pStyle w:val="Titel"/>
        <w:jc w:val="left"/>
        <w:rPr>
          <w:b w:val="0"/>
          <w:szCs w:val="24"/>
        </w:rPr>
      </w:pPr>
    </w:p>
    <w:p w:rsidR="004F7AEB" w:rsidRPr="00C84483" w:rsidRDefault="004F7AEB" w:rsidP="004F7AEB">
      <w:pPr>
        <w:jc w:val="center"/>
        <w:rPr>
          <w:b/>
          <w:sz w:val="24"/>
          <w:szCs w:val="24"/>
        </w:rPr>
      </w:pPr>
      <w:r w:rsidRPr="00C84483">
        <w:rPr>
          <w:b/>
          <w:sz w:val="24"/>
          <w:szCs w:val="24"/>
        </w:rPr>
        <w:t>PRODUKTRESUMÉ</w:t>
      </w:r>
    </w:p>
    <w:p w:rsidR="004F7AEB" w:rsidRPr="00C84483" w:rsidRDefault="004F7AEB" w:rsidP="004F7AEB">
      <w:pPr>
        <w:jc w:val="center"/>
        <w:rPr>
          <w:b/>
          <w:sz w:val="24"/>
          <w:szCs w:val="24"/>
        </w:rPr>
      </w:pPr>
    </w:p>
    <w:p w:rsidR="004F7AEB" w:rsidRDefault="004F7AEB" w:rsidP="004F7AEB">
      <w:pPr>
        <w:tabs>
          <w:tab w:val="left" w:pos="375"/>
          <w:tab w:val="center" w:pos="4819"/>
        </w:tabs>
        <w:rPr>
          <w:b/>
          <w:sz w:val="24"/>
          <w:szCs w:val="24"/>
        </w:rPr>
      </w:pPr>
      <w:r>
        <w:rPr>
          <w:b/>
          <w:sz w:val="24"/>
          <w:szCs w:val="24"/>
        </w:rPr>
        <w:tab/>
      </w:r>
      <w:r>
        <w:rPr>
          <w:b/>
          <w:sz w:val="24"/>
          <w:szCs w:val="24"/>
        </w:rPr>
        <w:tab/>
      </w:r>
      <w:r w:rsidRPr="00C84483">
        <w:rPr>
          <w:b/>
          <w:sz w:val="24"/>
          <w:szCs w:val="24"/>
        </w:rPr>
        <w:t>for</w:t>
      </w:r>
    </w:p>
    <w:p w:rsidR="004F7AEB" w:rsidRPr="00C84483" w:rsidRDefault="004F7AEB" w:rsidP="004F7AEB">
      <w:pPr>
        <w:jc w:val="center"/>
        <w:rPr>
          <w:b/>
          <w:sz w:val="24"/>
          <w:szCs w:val="24"/>
        </w:rPr>
      </w:pPr>
    </w:p>
    <w:p w:rsidR="004F7AEB" w:rsidRPr="00C84483" w:rsidRDefault="004F7AEB" w:rsidP="004F7AEB">
      <w:pPr>
        <w:jc w:val="center"/>
        <w:rPr>
          <w:b/>
          <w:sz w:val="24"/>
          <w:szCs w:val="24"/>
        </w:rPr>
      </w:pPr>
      <w:proofErr w:type="spellStart"/>
      <w:r>
        <w:rPr>
          <w:b/>
          <w:sz w:val="24"/>
          <w:szCs w:val="24"/>
        </w:rPr>
        <w:t>Fibclot</w:t>
      </w:r>
      <w:proofErr w:type="spellEnd"/>
      <w:r>
        <w:rPr>
          <w:b/>
          <w:sz w:val="24"/>
          <w:szCs w:val="24"/>
        </w:rPr>
        <w:t>, pulver og solvens til injektions- og infusionsvæske, opløsning</w:t>
      </w: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C84483" w:rsidRDefault="004F7AEB" w:rsidP="004F7AEB">
      <w:pPr>
        <w:tabs>
          <w:tab w:val="left" w:pos="851"/>
        </w:tabs>
        <w:ind w:left="851" w:hanging="851"/>
        <w:rPr>
          <w:b/>
          <w:sz w:val="24"/>
          <w:szCs w:val="24"/>
        </w:rPr>
      </w:pPr>
      <w:r w:rsidRPr="00C84483">
        <w:rPr>
          <w:b/>
          <w:sz w:val="24"/>
          <w:szCs w:val="24"/>
        </w:rPr>
        <w:t>0.</w:t>
      </w:r>
      <w:r w:rsidRPr="00C84483">
        <w:rPr>
          <w:b/>
          <w:sz w:val="24"/>
          <w:szCs w:val="24"/>
        </w:rPr>
        <w:tab/>
        <w:t>D.SP.NR.</w:t>
      </w:r>
    </w:p>
    <w:p w:rsidR="004F7AEB" w:rsidRPr="00C84483" w:rsidRDefault="004F7AEB" w:rsidP="004F7AEB">
      <w:pPr>
        <w:tabs>
          <w:tab w:val="left" w:pos="851"/>
        </w:tabs>
        <w:ind w:left="851"/>
        <w:rPr>
          <w:sz w:val="24"/>
          <w:szCs w:val="24"/>
        </w:rPr>
      </w:pPr>
      <w:r>
        <w:rPr>
          <w:sz w:val="24"/>
          <w:szCs w:val="24"/>
        </w:rPr>
        <w:t>29625</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1.</w:t>
      </w:r>
      <w:r w:rsidRPr="00C84483">
        <w:rPr>
          <w:b/>
          <w:sz w:val="24"/>
          <w:szCs w:val="24"/>
        </w:rPr>
        <w:tab/>
        <w:t>LÆGEMIDLETS NAVN</w:t>
      </w:r>
    </w:p>
    <w:p w:rsidR="004F7AEB" w:rsidRPr="00C84483" w:rsidRDefault="004F7AEB" w:rsidP="004F7AEB">
      <w:pPr>
        <w:tabs>
          <w:tab w:val="left" w:pos="851"/>
        </w:tabs>
        <w:ind w:left="851"/>
        <w:rPr>
          <w:sz w:val="24"/>
          <w:szCs w:val="24"/>
        </w:rPr>
      </w:pPr>
      <w:proofErr w:type="spellStart"/>
      <w:r>
        <w:rPr>
          <w:sz w:val="24"/>
          <w:szCs w:val="24"/>
        </w:rPr>
        <w:t>Fibclot</w:t>
      </w:r>
      <w:proofErr w:type="spellEnd"/>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4B10DB" w:rsidRDefault="004B10DB" w:rsidP="004F7AEB">
      <w:pPr>
        <w:tabs>
          <w:tab w:val="left" w:pos="851"/>
        </w:tabs>
        <w:kinsoku w:val="0"/>
        <w:overflowPunct w:val="0"/>
        <w:autoSpaceDE w:val="0"/>
        <w:autoSpaceDN w:val="0"/>
        <w:ind w:left="851"/>
        <w:rPr>
          <w:rFonts w:eastAsia="SimSun" w:cs="Calibri"/>
          <w:sz w:val="24"/>
          <w:szCs w:val="24"/>
          <w:lang w:eastAsia="da-DK"/>
        </w:rPr>
      </w:pP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 xml:space="preserve">Humant </w:t>
      </w:r>
      <w:proofErr w:type="spellStart"/>
      <w:r>
        <w:rPr>
          <w:rFonts w:eastAsia="SimSun" w:cs="Calibri"/>
          <w:sz w:val="24"/>
          <w:szCs w:val="24"/>
          <w:lang w:eastAsia="da-DK"/>
        </w:rPr>
        <w:t>fibrinogen</w:t>
      </w:r>
      <w:proofErr w:type="spellEnd"/>
      <w:r>
        <w:rPr>
          <w:rFonts w:eastAsia="SimSun" w:cs="Calibri"/>
          <w:sz w:val="24"/>
          <w:szCs w:val="24"/>
          <w:lang w:eastAsia="da-DK"/>
        </w:rPr>
        <w:t>.</w:t>
      </w: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r w:rsidRPr="004A3540">
        <w:rPr>
          <w:rFonts w:eastAsia="SimSun" w:cs="Calibri"/>
          <w:sz w:val="24"/>
          <w:szCs w:val="24"/>
          <w:lang w:eastAsia="da-DK"/>
        </w:rPr>
        <w:t xml:space="preserve">Hvert hætteglas med </w:t>
      </w:r>
      <w:proofErr w:type="spellStart"/>
      <w:r w:rsidRPr="004A3540">
        <w:rPr>
          <w:rFonts w:eastAsia="SimSun" w:cs="Calibri"/>
          <w:sz w:val="24"/>
          <w:szCs w:val="24"/>
          <w:lang w:eastAsia="da-DK"/>
        </w:rPr>
        <w:t>Fibclot</w:t>
      </w:r>
      <w:proofErr w:type="spellEnd"/>
      <w:r w:rsidRPr="004A3540">
        <w:rPr>
          <w:rFonts w:eastAsia="SimSun" w:cs="Calibri"/>
          <w:sz w:val="24"/>
          <w:szCs w:val="24"/>
          <w:lang w:eastAsia="da-DK"/>
        </w:rPr>
        <w:t xml:space="preserve"> indeholder nominelt </w:t>
      </w:r>
      <w:smartTag w:uri="urn:schemas-microsoft-com:office:smarttags" w:element="metricconverter">
        <w:r w:rsidRPr="004A3540">
          <w:rPr>
            <w:rFonts w:eastAsia="SimSun" w:cs="Calibri"/>
            <w:sz w:val="24"/>
            <w:szCs w:val="24"/>
            <w:lang w:eastAsia="da-DK"/>
          </w:rPr>
          <w:t>1,5 g</w:t>
        </w:r>
      </w:smartTag>
      <w:r w:rsidRPr="004A3540">
        <w:rPr>
          <w:rFonts w:eastAsia="SimSun" w:cs="Calibri"/>
          <w:sz w:val="24"/>
          <w:szCs w:val="24"/>
          <w:lang w:eastAsia="da-DK"/>
        </w:rPr>
        <w:t xml:space="preserve"> humant </w:t>
      </w:r>
      <w:proofErr w:type="spellStart"/>
      <w:r w:rsidRPr="004A3540">
        <w:rPr>
          <w:rFonts w:eastAsia="SimSun" w:cs="Calibri"/>
          <w:sz w:val="24"/>
          <w:szCs w:val="24"/>
          <w:lang w:eastAsia="da-DK"/>
        </w:rPr>
        <w:t>fibrinogen</w:t>
      </w:r>
      <w:proofErr w:type="spellEnd"/>
      <w:r w:rsidRPr="004A3540">
        <w:rPr>
          <w:rFonts w:eastAsia="SimSun" w:cs="Calibri"/>
          <w:sz w:val="24"/>
          <w:szCs w:val="24"/>
          <w:lang w:eastAsia="da-DK"/>
        </w:rPr>
        <w:t>.</w:t>
      </w: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r w:rsidRPr="004A3540">
        <w:rPr>
          <w:rFonts w:eastAsia="SimSun" w:cs="Calibri"/>
          <w:sz w:val="24"/>
          <w:szCs w:val="24"/>
          <w:lang w:eastAsia="da-DK"/>
        </w:rPr>
        <w:t xml:space="preserve">Efter </w:t>
      </w:r>
      <w:proofErr w:type="spellStart"/>
      <w:r w:rsidRPr="004A3540">
        <w:rPr>
          <w:rFonts w:eastAsia="SimSun" w:cs="Calibri"/>
          <w:sz w:val="24"/>
          <w:szCs w:val="24"/>
          <w:lang w:eastAsia="da-DK"/>
        </w:rPr>
        <w:t>rekonstitution</w:t>
      </w:r>
      <w:proofErr w:type="spellEnd"/>
      <w:r w:rsidRPr="004A3540">
        <w:rPr>
          <w:rFonts w:eastAsia="SimSun" w:cs="Calibri"/>
          <w:sz w:val="24"/>
          <w:szCs w:val="24"/>
          <w:lang w:eastAsia="da-DK"/>
        </w:rPr>
        <w:t xml:space="preserve"> med 100 m</w:t>
      </w:r>
      <w:r>
        <w:rPr>
          <w:rFonts w:eastAsia="SimSun" w:cs="Calibri"/>
          <w:sz w:val="24"/>
          <w:szCs w:val="24"/>
          <w:lang w:eastAsia="da-DK"/>
        </w:rPr>
        <w:t>l</w:t>
      </w:r>
      <w:r w:rsidRPr="004A3540">
        <w:rPr>
          <w:rFonts w:eastAsia="SimSun" w:cs="Calibri"/>
          <w:sz w:val="24"/>
          <w:szCs w:val="24"/>
          <w:lang w:eastAsia="da-DK"/>
        </w:rPr>
        <w:t xml:space="preserve"> solvens (vand til injektionsvæsker) inde</w:t>
      </w:r>
      <w:r>
        <w:rPr>
          <w:rFonts w:eastAsia="SimSun" w:cs="Calibri"/>
          <w:sz w:val="24"/>
          <w:szCs w:val="24"/>
          <w:lang w:eastAsia="da-DK"/>
        </w:rPr>
        <w:t xml:space="preserve">holder </w:t>
      </w:r>
      <w:proofErr w:type="spellStart"/>
      <w:r>
        <w:rPr>
          <w:rFonts w:eastAsia="SimSun" w:cs="Calibri"/>
          <w:sz w:val="24"/>
          <w:szCs w:val="24"/>
          <w:lang w:eastAsia="da-DK"/>
        </w:rPr>
        <w:t>Fibclot</w:t>
      </w:r>
      <w:proofErr w:type="spellEnd"/>
      <w:r>
        <w:rPr>
          <w:rFonts w:eastAsia="SimSun" w:cs="Calibri"/>
          <w:sz w:val="24"/>
          <w:szCs w:val="24"/>
          <w:lang w:eastAsia="da-DK"/>
        </w:rPr>
        <w:t xml:space="preserve"> nominelt 15 mg/ml</w:t>
      </w:r>
      <w:r w:rsidRPr="004A3540">
        <w:rPr>
          <w:rFonts w:eastAsia="SimSun" w:cs="Calibri"/>
          <w:sz w:val="24"/>
          <w:szCs w:val="24"/>
          <w:lang w:eastAsia="da-DK"/>
        </w:rPr>
        <w:t xml:space="preserve"> humant </w:t>
      </w:r>
      <w:proofErr w:type="spellStart"/>
      <w:r w:rsidRPr="004A3540">
        <w:rPr>
          <w:rFonts w:eastAsia="SimSun" w:cs="Calibri"/>
          <w:sz w:val="24"/>
          <w:szCs w:val="24"/>
          <w:lang w:eastAsia="da-DK"/>
        </w:rPr>
        <w:t>fibrinogen</w:t>
      </w:r>
      <w:proofErr w:type="spellEnd"/>
      <w:r w:rsidRPr="004A3540">
        <w:rPr>
          <w:rFonts w:eastAsia="SimSun" w:cs="Calibri"/>
          <w:sz w:val="24"/>
          <w:szCs w:val="24"/>
          <w:lang w:eastAsia="da-DK"/>
        </w:rPr>
        <w:t>.</w:t>
      </w: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r w:rsidRPr="004A3540">
        <w:rPr>
          <w:rFonts w:eastAsia="SimSun" w:cs="Calibri"/>
          <w:sz w:val="24"/>
          <w:szCs w:val="24"/>
          <w:lang w:eastAsia="da-DK"/>
        </w:rPr>
        <w:t>Potensen bestemmes i henhold til den europæiske farmakopés monograf</w:t>
      </w:r>
      <w:r>
        <w:rPr>
          <w:rFonts w:eastAsia="SimSun" w:cs="Calibri"/>
          <w:sz w:val="24"/>
          <w:szCs w:val="24"/>
          <w:lang w:eastAsia="da-DK"/>
        </w:rPr>
        <w:t>i</w:t>
      </w:r>
      <w:r w:rsidRPr="004A3540">
        <w:rPr>
          <w:rFonts w:eastAsia="SimSun" w:cs="Calibri"/>
          <w:sz w:val="24"/>
          <w:szCs w:val="24"/>
          <w:lang w:eastAsia="da-DK"/>
        </w:rPr>
        <w:t xml:space="preserve"> for humant </w:t>
      </w:r>
      <w:proofErr w:type="spellStart"/>
      <w:r w:rsidRPr="004A3540">
        <w:rPr>
          <w:rFonts w:eastAsia="SimSun" w:cs="Calibri"/>
          <w:sz w:val="24"/>
          <w:szCs w:val="24"/>
          <w:lang w:eastAsia="da-DK"/>
        </w:rPr>
        <w:t>fibrinogen</w:t>
      </w:r>
      <w:proofErr w:type="spellEnd"/>
      <w:r w:rsidRPr="004A3540">
        <w:rPr>
          <w:rFonts w:eastAsia="SimSun" w:cs="Calibri"/>
          <w:sz w:val="24"/>
          <w:szCs w:val="24"/>
          <w:lang w:eastAsia="da-DK"/>
        </w:rPr>
        <w:t>.</w:t>
      </w: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r w:rsidRPr="004A3540">
        <w:rPr>
          <w:rFonts w:eastAsia="SimSun" w:cs="Calibri"/>
          <w:sz w:val="24"/>
          <w:szCs w:val="24"/>
          <w:lang w:eastAsia="da-DK"/>
        </w:rPr>
        <w:t>Produceret af plasma fra humandonorer.</w:t>
      </w: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113A84" w:rsidRDefault="004F7AEB" w:rsidP="004F7AEB">
      <w:pPr>
        <w:tabs>
          <w:tab w:val="left" w:pos="851"/>
        </w:tabs>
        <w:kinsoku w:val="0"/>
        <w:overflowPunct w:val="0"/>
        <w:autoSpaceDE w:val="0"/>
        <w:autoSpaceDN w:val="0"/>
        <w:ind w:left="851"/>
        <w:rPr>
          <w:rFonts w:eastAsia="SimSun" w:cs="Calibri"/>
          <w:sz w:val="24"/>
          <w:szCs w:val="24"/>
          <w:u w:val="single"/>
          <w:lang w:eastAsia="da-DK"/>
        </w:rPr>
      </w:pPr>
      <w:r w:rsidRPr="004A3540">
        <w:rPr>
          <w:rFonts w:eastAsia="SimSun" w:cs="Calibri"/>
          <w:sz w:val="24"/>
          <w:szCs w:val="24"/>
          <w:u w:val="single"/>
          <w:lang w:eastAsia="da-DK"/>
        </w:rPr>
        <w:t>Hjælpestoffer som beha</w:t>
      </w:r>
      <w:r w:rsidRPr="00113A84">
        <w:rPr>
          <w:rFonts w:eastAsia="SimSun" w:cs="Calibri"/>
          <w:sz w:val="24"/>
          <w:szCs w:val="24"/>
          <w:u w:val="single"/>
          <w:lang w:eastAsia="da-DK"/>
        </w:rPr>
        <w:t>ndleren skal være opmærksom på</w:t>
      </w: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Indeholder op til 69 mg (3 mmol) natrium pr. hætteglas.</w:t>
      </w:r>
    </w:p>
    <w:p w:rsidR="004F7AEB" w:rsidRPr="004A3540"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r w:rsidRPr="004A3540">
        <w:rPr>
          <w:rFonts w:eastAsia="SimSun" w:cs="Calibri"/>
          <w:sz w:val="24"/>
          <w:szCs w:val="24"/>
          <w:lang w:eastAsia="da-DK"/>
        </w:rPr>
        <w:t>Alle hjælpestoffer er anført under pkt. 6.1.</w:t>
      </w:r>
    </w:p>
    <w:p w:rsidR="004F7AEB" w:rsidRPr="00113A84"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3.</w:t>
      </w:r>
      <w:r w:rsidRPr="00C84483">
        <w:rPr>
          <w:b/>
          <w:sz w:val="24"/>
          <w:szCs w:val="24"/>
        </w:rPr>
        <w:tab/>
        <w:t>LÆGEMIDDELFORM</w:t>
      </w: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Pulver og solvens til injektions- og infusionsvæske, opløsning</w:t>
      </w: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Hvidt eller gulligt pulver eller porøst, fast stof i et hætteglas.</w:t>
      </w: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Solvens: Klar og farveløs opløsning.</w:t>
      </w: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Dette produkt forbliver stabilt efter tør varmebehandling i pH</w:t>
      </w:r>
      <w:r>
        <w:rPr>
          <w:rFonts w:eastAsia="SimSun" w:cs="Calibri"/>
          <w:sz w:val="24"/>
          <w:szCs w:val="24"/>
          <w:lang w:eastAsia="da-DK"/>
        </w:rPr>
        <w:noBreakHyphen/>
        <w:t>området 6,5</w:t>
      </w:r>
      <w:r>
        <w:rPr>
          <w:rFonts w:eastAsia="SimSun" w:cs="Calibri"/>
          <w:sz w:val="24"/>
          <w:szCs w:val="24"/>
          <w:lang w:eastAsia="da-DK"/>
        </w:rPr>
        <w:noBreakHyphen/>
        <w:t>7,5.</w:t>
      </w:r>
    </w:p>
    <w:p w:rsidR="004B10DB" w:rsidRDefault="004B10DB" w:rsidP="004B10D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 xml:space="preserve">Produktets </w:t>
      </w:r>
      <w:proofErr w:type="spellStart"/>
      <w:r>
        <w:rPr>
          <w:rFonts w:eastAsia="SimSun" w:cs="Calibri"/>
          <w:sz w:val="24"/>
          <w:szCs w:val="24"/>
          <w:lang w:eastAsia="da-DK"/>
        </w:rPr>
        <w:t>osmolalitet</w:t>
      </w:r>
      <w:proofErr w:type="spellEnd"/>
      <w:r>
        <w:rPr>
          <w:rFonts w:eastAsia="SimSun" w:cs="Calibri"/>
          <w:sz w:val="24"/>
          <w:szCs w:val="24"/>
          <w:lang w:eastAsia="da-DK"/>
        </w:rPr>
        <w:t xml:space="preserve"> er mellem 450 og 550 </w:t>
      </w:r>
      <w:proofErr w:type="spellStart"/>
      <w:r>
        <w:rPr>
          <w:rFonts w:eastAsia="SimSun" w:cs="Calibri"/>
          <w:sz w:val="24"/>
          <w:szCs w:val="24"/>
          <w:lang w:eastAsia="da-DK"/>
        </w:rPr>
        <w:t>mOsmol</w:t>
      </w:r>
      <w:proofErr w:type="spellEnd"/>
      <w:r>
        <w:rPr>
          <w:rFonts w:eastAsia="SimSun" w:cs="Calibri"/>
          <w:sz w:val="24"/>
          <w:szCs w:val="24"/>
          <w:lang w:eastAsia="da-DK"/>
        </w:rPr>
        <w:t>/kg.</w:t>
      </w:r>
    </w:p>
    <w:p w:rsidR="00B05C02" w:rsidRDefault="00B05C02" w:rsidP="004F7AEB">
      <w:pPr>
        <w:tabs>
          <w:tab w:val="left" w:pos="851"/>
        </w:tabs>
        <w:kinsoku w:val="0"/>
        <w:overflowPunct w:val="0"/>
        <w:autoSpaceDE w:val="0"/>
        <w:autoSpaceDN w:val="0"/>
        <w:ind w:left="851"/>
        <w:rPr>
          <w:rFonts w:eastAsia="SimSun" w:cs="Calibri"/>
          <w:sz w:val="24"/>
          <w:szCs w:val="24"/>
          <w:lang w:eastAsia="da-DK"/>
        </w:rPr>
      </w:pPr>
    </w:p>
    <w:p w:rsidR="004F7AEB" w:rsidRPr="00C84483" w:rsidRDefault="004F7AEB" w:rsidP="00B05C02">
      <w:pPr>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4F7AEB" w:rsidRPr="00C84483" w:rsidRDefault="004F7AEB" w:rsidP="004F7AEB">
      <w:pPr>
        <w:tabs>
          <w:tab w:val="left" w:pos="851"/>
        </w:tabs>
        <w:ind w:left="851"/>
        <w:rPr>
          <w:b/>
          <w:sz w:val="24"/>
          <w:szCs w:val="24"/>
        </w:rPr>
      </w:pPr>
    </w:p>
    <w:p w:rsidR="004F7AEB" w:rsidRPr="00C84483" w:rsidRDefault="004F7AEB" w:rsidP="004F7AE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 xml:space="preserve">Behandling og perioperativ profylakse af blødning hos patienter med medfødt </w:t>
      </w:r>
      <w:proofErr w:type="spellStart"/>
      <w:r w:rsidRPr="006E2BFE">
        <w:rPr>
          <w:rFonts w:eastAsia="SimSun" w:cs="Calibri"/>
          <w:sz w:val="24"/>
          <w:szCs w:val="24"/>
          <w:lang w:eastAsia="da-DK"/>
        </w:rPr>
        <w:t>hypo</w:t>
      </w:r>
      <w:proofErr w:type="spellEnd"/>
      <w:r w:rsidRPr="006E2BFE">
        <w:rPr>
          <w:rFonts w:eastAsia="SimSun" w:cs="Calibri"/>
          <w:sz w:val="24"/>
          <w:szCs w:val="24"/>
          <w:lang w:eastAsia="da-DK"/>
        </w:rPr>
        <w:t xml:space="preserve">- eller </w:t>
      </w:r>
      <w:proofErr w:type="spellStart"/>
      <w:r w:rsidRPr="006E2BFE">
        <w:rPr>
          <w:rFonts w:eastAsia="SimSun" w:cs="Calibri"/>
          <w:sz w:val="24"/>
          <w:szCs w:val="24"/>
          <w:lang w:eastAsia="da-DK"/>
        </w:rPr>
        <w:t>afibrinogenæmi</w:t>
      </w:r>
      <w:proofErr w:type="spellEnd"/>
      <w:r w:rsidRPr="006E2BFE">
        <w:rPr>
          <w:rFonts w:eastAsia="SimSun" w:cs="Calibri"/>
          <w:sz w:val="24"/>
          <w:szCs w:val="24"/>
          <w:lang w:eastAsia="da-DK"/>
        </w:rPr>
        <w:t xml:space="preserve"> med blødningstendens.</w:t>
      </w:r>
      <w:r>
        <w:rPr>
          <w:rFonts w:eastAsia="SimSun" w:cs="Calibri"/>
          <w:sz w:val="24"/>
          <w:szCs w:val="24"/>
          <w:lang w:eastAsia="da-DK"/>
        </w:rPr>
        <w:t xml:space="preserve"> </w:t>
      </w:r>
      <w:proofErr w:type="spellStart"/>
      <w:r w:rsidRPr="00187754">
        <w:t>Fib</w:t>
      </w:r>
      <w:r>
        <w:t>clot</w:t>
      </w:r>
      <w:proofErr w:type="spellEnd"/>
      <w:r w:rsidRPr="00187754">
        <w:t xml:space="preserve"> </w:t>
      </w:r>
      <w:r>
        <w:rPr>
          <w:szCs w:val="24"/>
        </w:rPr>
        <w:t xml:space="preserve">er indiceret til </w:t>
      </w:r>
      <w:r w:rsidRPr="00C01006">
        <w:rPr>
          <w:szCs w:val="24"/>
        </w:rPr>
        <w:t>alle aldersgrupper</w:t>
      </w:r>
      <w:r>
        <w:rPr>
          <w:szCs w:val="24"/>
        </w:rPr>
        <w:t>.</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B10DB">
        <w:rPr>
          <w:b/>
          <w:sz w:val="24"/>
          <w:szCs w:val="24"/>
        </w:rPr>
        <w:t>administration</w:t>
      </w:r>
    </w:p>
    <w:p w:rsidR="004F7AEB" w:rsidRPr="002B7470" w:rsidRDefault="004F7AEB" w:rsidP="004F7AEB">
      <w:pPr>
        <w:keepNext/>
        <w:tabs>
          <w:tab w:val="left" w:pos="851"/>
        </w:tabs>
        <w:kinsoku w:val="0"/>
        <w:overflowPunct w:val="0"/>
        <w:autoSpaceDE w:val="0"/>
        <w:autoSpaceDN w:val="0"/>
        <w:ind w:left="851"/>
        <w:rPr>
          <w:rFonts w:eastAsia="SimSun" w:cs="Calibri"/>
          <w:sz w:val="24"/>
          <w:szCs w:val="24"/>
          <w:lang w:eastAsia="da-DK"/>
        </w:rPr>
      </w:pPr>
      <w:r w:rsidRPr="002B7470">
        <w:rPr>
          <w:rFonts w:eastAsia="SimSun" w:cs="Calibri"/>
          <w:sz w:val="24"/>
          <w:szCs w:val="24"/>
          <w:lang w:eastAsia="da-DK"/>
        </w:rPr>
        <w:t>Behandlingen bør indledes under overvågning af en læge med erfaring i behandling af koagulationsforstyrrelser.</w:t>
      </w:r>
    </w:p>
    <w:p w:rsidR="004F7AEB" w:rsidRPr="006E2BFE" w:rsidRDefault="004F7AEB" w:rsidP="004F7AEB">
      <w:pPr>
        <w:tabs>
          <w:tab w:val="left" w:pos="851"/>
        </w:tabs>
        <w:kinsoku w:val="0"/>
        <w:overflowPunct w:val="0"/>
        <w:autoSpaceDE w:val="0"/>
        <w:autoSpaceDN w:val="0"/>
        <w:ind w:left="851"/>
        <w:rPr>
          <w:rFonts w:eastAsia="SimSun" w:cs="Calibri"/>
          <w:sz w:val="24"/>
          <w:szCs w:val="24"/>
          <w:lang w:val="nl-NL" w:eastAsia="da-DK"/>
        </w:rPr>
      </w:pPr>
    </w:p>
    <w:p w:rsidR="004F7AEB" w:rsidRPr="004B10DB" w:rsidRDefault="004F7AEB" w:rsidP="004F7AEB">
      <w:pPr>
        <w:keepNext/>
        <w:tabs>
          <w:tab w:val="left" w:pos="851"/>
          <w:tab w:val="left" w:pos="1470"/>
        </w:tabs>
        <w:kinsoku w:val="0"/>
        <w:overflowPunct w:val="0"/>
        <w:autoSpaceDE w:val="0"/>
        <w:autoSpaceDN w:val="0"/>
        <w:ind w:left="851"/>
        <w:rPr>
          <w:rFonts w:eastAsia="SimSun" w:cs="Calibri"/>
          <w:sz w:val="24"/>
          <w:szCs w:val="24"/>
          <w:u w:val="single"/>
          <w:lang w:eastAsia="da-DK"/>
        </w:rPr>
      </w:pPr>
      <w:r w:rsidRPr="004B10DB">
        <w:rPr>
          <w:rFonts w:eastAsia="SimSun" w:cs="Calibri"/>
          <w:sz w:val="24"/>
          <w:szCs w:val="24"/>
          <w:u w:val="single"/>
          <w:lang w:eastAsia="da-DK"/>
        </w:rPr>
        <w:t>Dosering</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Dosis og varighed af substitutionsterapien afhænger af sygdommens sværhedsgrad, lokalisering og blødningens omfang samt af patientens kliniske tilstand.</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 xml:space="preserve">Niveauet af (funktionelt) </w:t>
      </w:r>
      <w:proofErr w:type="spellStart"/>
      <w:r w:rsidRPr="006E2BFE">
        <w:rPr>
          <w:rFonts w:eastAsia="SimSun" w:cs="Calibri"/>
          <w:sz w:val="24"/>
          <w:szCs w:val="24"/>
          <w:lang w:eastAsia="da-DK"/>
        </w:rPr>
        <w:t>fibrinogen</w:t>
      </w:r>
      <w:proofErr w:type="spellEnd"/>
      <w:r w:rsidRPr="006E2BFE">
        <w:rPr>
          <w:rFonts w:eastAsia="SimSun" w:cs="Calibri"/>
          <w:sz w:val="24"/>
          <w:szCs w:val="24"/>
          <w:lang w:eastAsia="da-DK"/>
        </w:rPr>
        <w:t xml:space="preserve"> skal bestemmes med henblik på beregning af den individuelle dosis samt indgivelsesmængde og -hyppighed for den enkelte patient ved regelmæssig måling af </w:t>
      </w:r>
      <w:proofErr w:type="spellStart"/>
      <w:r w:rsidRPr="006E2BFE">
        <w:rPr>
          <w:rFonts w:eastAsia="SimSun" w:cs="Calibri"/>
          <w:sz w:val="24"/>
          <w:szCs w:val="24"/>
          <w:lang w:eastAsia="da-DK"/>
        </w:rPr>
        <w:t>fibrinogens</w:t>
      </w:r>
      <w:proofErr w:type="spellEnd"/>
      <w:r w:rsidRPr="006E2BFE">
        <w:rPr>
          <w:rFonts w:eastAsia="SimSun" w:cs="Calibri"/>
          <w:sz w:val="24"/>
          <w:szCs w:val="24"/>
          <w:lang w:eastAsia="da-DK"/>
        </w:rPr>
        <w:t xml:space="preserve"> plasmakoncentration og løbende monitorering af patientens kliniske tilstand og eventuelle andre anvendte substitutionsterapier.</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 xml:space="preserve">Normalt ligger </w:t>
      </w:r>
      <w:proofErr w:type="spellStart"/>
      <w:r w:rsidRPr="006E2BFE">
        <w:rPr>
          <w:rFonts w:eastAsia="SimSun" w:cs="Calibri"/>
          <w:sz w:val="24"/>
          <w:szCs w:val="24"/>
          <w:lang w:eastAsia="da-DK"/>
        </w:rPr>
        <w:t>fibrinogens</w:t>
      </w:r>
      <w:proofErr w:type="spellEnd"/>
      <w:r w:rsidRPr="006E2BFE">
        <w:rPr>
          <w:rFonts w:eastAsia="SimSun" w:cs="Calibri"/>
          <w:sz w:val="24"/>
          <w:szCs w:val="24"/>
          <w:lang w:eastAsia="da-DK"/>
        </w:rPr>
        <w:t xml:space="preserve"> plasmakoncentration i området 1,5</w:t>
      </w:r>
      <w:r>
        <w:rPr>
          <w:rFonts w:eastAsia="SimSun" w:cs="Calibri"/>
          <w:sz w:val="24"/>
          <w:szCs w:val="24"/>
          <w:lang w:eastAsia="da-DK"/>
        </w:rPr>
        <w:t>-4,5 g/l</w:t>
      </w:r>
      <w:r w:rsidRPr="006E2BFE">
        <w:rPr>
          <w:rFonts w:eastAsia="SimSun" w:cs="Calibri"/>
          <w:sz w:val="24"/>
          <w:szCs w:val="24"/>
          <w:lang w:eastAsia="da-DK"/>
        </w:rPr>
        <w:t xml:space="preserve">. Den kritiske plasmakoncentration ved medfødt </w:t>
      </w:r>
      <w:proofErr w:type="spellStart"/>
      <w:r w:rsidRPr="006E2BFE">
        <w:rPr>
          <w:rFonts w:eastAsia="SimSun" w:cs="Calibri"/>
          <w:sz w:val="24"/>
          <w:szCs w:val="24"/>
          <w:lang w:eastAsia="da-DK"/>
        </w:rPr>
        <w:t>hypo</w:t>
      </w:r>
      <w:proofErr w:type="spellEnd"/>
      <w:r w:rsidRPr="006E2BFE">
        <w:rPr>
          <w:rFonts w:eastAsia="SimSun" w:cs="Calibri"/>
          <w:sz w:val="24"/>
          <w:szCs w:val="24"/>
          <w:lang w:eastAsia="da-DK"/>
        </w:rPr>
        <w:t xml:space="preserve">- eller </w:t>
      </w:r>
      <w:proofErr w:type="spellStart"/>
      <w:r w:rsidRPr="006E2BFE">
        <w:rPr>
          <w:rFonts w:eastAsia="SimSun" w:cs="Calibri"/>
          <w:sz w:val="24"/>
          <w:szCs w:val="24"/>
          <w:lang w:eastAsia="da-DK"/>
        </w:rPr>
        <w:t>afibrinogenæmi</w:t>
      </w:r>
      <w:proofErr w:type="spellEnd"/>
      <w:r w:rsidRPr="006E2BFE">
        <w:rPr>
          <w:rFonts w:eastAsia="SimSun" w:cs="Calibri"/>
          <w:sz w:val="24"/>
          <w:szCs w:val="24"/>
          <w:lang w:eastAsia="da-DK"/>
        </w:rPr>
        <w:t xml:space="preserve"> er ca. 0,5</w:t>
      </w:r>
      <w:r>
        <w:rPr>
          <w:rFonts w:eastAsia="SimSun" w:cs="Calibri"/>
          <w:sz w:val="24"/>
          <w:szCs w:val="24"/>
          <w:lang w:eastAsia="da-DK"/>
        </w:rPr>
        <w:t>-</w:t>
      </w:r>
      <w:r w:rsidRPr="006E2BFE">
        <w:rPr>
          <w:rFonts w:eastAsia="SimSun" w:cs="Calibri"/>
          <w:sz w:val="24"/>
          <w:szCs w:val="24"/>
          <w:lang w:eastAsia="da-DK"/>
        </w:rPr>
        <w:t xml:space="preserve">1,0 </w:t>
      </w:r>
      <w:r>
        <w:rPr>
          <w:rFonts w:eastAsia="SimSun" w:cs="Calibri"/>
          <w:sz w:val="24"/>
          <w:szCs w:val="24"/>
          <w:lang w:eastAsia="da-DK"/>
        </w:rPr>
        <w:t>g/l</w:t>
      </w:r>
      <w:r w:rsidRPr="006E2BFE">
        <w:rPr>
          <w:rFonts w:eastAsia="SimSun" w:cs="Calibri"/>
          <w:sz w:val="24"/>
          <w:szCs w:val="24"/>
          <w:lang w:eastAsia="da-DK"/>
        </w:rPr>
        <w:t>, og under dette niveau kan der opstå blødninger.</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I tilfælde af større kirurgiske indgreb er det yderst vigtigt med præcis monitorering af substitutionsterapien ved hjælp af koagulationsanalyser.</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B10DB" w:rsidRDefault="004F7AEB" w:rsidP="004F7AEB">
      <w:pPr>
        <w:keepNext/>
        <w:tabs>
          <w:tab w:val="left" w:pos="851"/>
        </w:tabs>
        <w:kinsoku w:val="0"/>
        <w:overflowPunct w:val="0"/>
        <w:autoSpaceDE w:val="0"/>
        <w:autoSpaceDN w:val="0"/>
        <w:ind w:left="851"/>
        <w:rPr>
          <w:rFonts w:eastAsia="SimSun" w:cs="Calibri"/>
          <w:sz w:val="24"/>
          <w:szCs w:val="24"/>
          <w:u w:val="single"/>
          <w:lang w:eastAsia="da-DK"/>
        </w:rPr>
      </w:pPr>
      <w:r w:rsidRPr="004B10DB">
        <w:rPr>
          <w:rFonts w:eastAsia="SimSun" w:cs="Calibri"/>
          <w:sz w:val="24"/>
          <w:szCs w:val="24"/>
          <w:u w:val="single"/>
          <w:lang w:eastAsia="da-DK"/>
        </w:rPr>
        <w:t xml:space="preserve">Behandling af blødning og profylakse hos patienter med medfødt </w:t>
      </w:r>
      <w:proofErr w:type="spellStart"/>
      <w:r w:rsidRPr="004B10DB">
        <w:rPr>
          <w:rFonts w:eastAsia="SimSun" w:cs="Calibri"/>
          <w:sz w:val="24"/>
          <w:szCs w:val="24"/>
          <w:u w:val="single"/>
          <w:lang w:eastAsia="da-DK"/>
        </w:rPr>
        <w:t>hypo</w:t>
      </w:r>
      <w:proofErr w:type="spellEnd"/>
      <w:r w:rsidRPr="004B10DB">
        <w:rPr>
          <w:rFonts w:eastAsia="SimSun" w:cs="Calibri"/>
          <w:sz w:val="24"/>
          <w:szCs w:val="24"/>
          <w:u w:val="single"/>
          <w:lang w:eastAsia="da-DK"/>
        </w:rPr>
        <w:t xml:space="preserve">- eller </w:t>
      </w:r>
      <w:proofErr w:type="spellStart"/>
      <w:r w:rsidRPr="004B10DB">
        <w:rPr>
          <w:rFonts w:eastAsia="SimSun" w:cs="Calibri"/>
          <w:sz w:val="24"/>
          <w:szCs w:val="24"/>
          <w:u w:val="single"/>
          <w:lang w:eastAsia="da-DK"/>
        </w:rPr>
        <w:t>afibrinogenæmi</w:t>
      </w:r>
      <w:proofErr w:type="spellEnd"/>
      <w:r w:rsidRPr="004B10DB">
        <w:rPr>
          <w:rFonts w:eastAsia="SimSun" w:cs="Calibri"/>
          <w:sz w:val="24"/>
          <w:szCs w:val="24"/>
          <w:u w:val="single"/>
          <w:lang w:eastAsia="da-DK"/>
        </w:rPr>
        <w:t xml:space="preserve"> og kendt blødningstendens.</w:t>
      </w: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rPr>
      </w:pPr>
      <w:r w:rsidRPr="004B10DB">
        <w:rPr>
          <w:rFonts w:eastAsia="SimSun" w:cs="Calibri"/>
          <w:sz w:val="24"/>
          <w:szCs w:val="24"/>
          <w:lang w:eastAsia="da-DK"/>
        </w:rPr>
        <w:t xml:space="preserve">Til behandling af ikke-kirurgiske blødningsepisoder anbefales det at øge </w:t>
      </w:r>
      <w:proofErr w:type="spellStart"/>
      <w:r w:rsidRPr="004B10DB">
        <w:rPr>
          <w:rFonts w:eastAsia="SimSun" w:cs="Calibri"/>
          <w:sz w:val="24"/>
          <w:szCs w:val="24"/>
          <w:lang w:eastAsia="da-DK"/>
        </w:rPr>
        <w:t>fibrinogenniveauet</w:t>
      </w:r>
      <w:proofErr w:type="spellEnd"/>
      <w:r w:rsidRPr="004B10DB">
        <w:rPr>
          <w:rFonts w:eastAsia="SimSun" w:cs="Calibri"/>
          <w:sz w:val="24"/>
          <w:szCs w:val="24"/>
          <w:lang w:eastAsia="da-DK"/>
        </w:rPr>
        <w:t xml:space="preserve"> til 1 g/l og opretholde </w:t>
      </w:r>
      <w:proofErr w:type="spellStart"/>
      <w:r w:rsidRPr="004B10DB">
        <w:rPr>
          <w:rFonts w:eastAsia="SimSun" w:cs="Calibri"/>
          <w:sz w:val="24"/>
          <w:szCs w:val="24"/>
          <w:lang w:eastAsia="da-DK"/>
        </w:rPr>
        <w:t>fibrinogen</w:t>
      </w:r>
      <w:proofErr w:type="spellEnd"/>
      <w:r w:rsidRPr="004B10DB">
        <w:rPr>
          <w:rFonts w:eastAsia="SimSun" w:cs="Calibri"/>
          <w:sz w:val="24"/>
          <w:szCs w:val="24"/>
          <w:lang w:eastAsia="da-DK"/>
        </w:rPr>
        <w:t xml:space="preserve"> på dette niveau, indtil </w:t>
      </w:r>
      <w:proofErr w:type="spellStart"/>
      <w:r w:rsidRPr="004B10DB">
        <w:rPr>
          <w:rFonts w:eastAsia="SimSun" w:cs="Calibri"/>
          <w:sz w:val="24"/>
          <w:szCs w:val="24"/>
          <w:lang w:eastAsia="da-DK"/>
        </w:rPr>
        <w:t>hæmostasen</w:t>
      </w:r>
      <w:proofErr w:type="spellEnd"/>
      <w:r w:rsidRPr="004B10DB">
        <w:rPr>
          <w:rFonts w:eastAsia="SimSun" w:cs="Calibri"/>
          <w:sz w:val="24"/>
          <w:szCs w:val="24"/>
          <w:lang w:eastAsia="da-DK"/>
        </w:rPr>
        <w:t xml:space="preserve"> er kontrolleret, og over 0,5 g/l, indtil helingen er fuldstændig.</w:t>
      </w: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rPr>
      </w:pPr>
      <w:r w:rsidRPr="004B10DB">
        <w:rPr>
          <w:rFonts w:eastAsia="SimSun" w:cs="Calibri"/>
          <w:sz w:val="24"/>
          <w:szCs w:val="24"/>
          <w:lang w:eastAsia="da-DK"/>
        </w:rPr>
        <w:t xml:space="preserve">For at forebygge kraftig blødning under kirurgiske procedurer anbefales profylaktisk behandling for at øge </w:t>
      </w:r>
      <w:proofErr w:type="spellStart"/>
      <w:r w:rsidRPr="004B10DB">
        <w:rPr>
          <w:rFonts w:eastAsia="SimSun" w:cs="Calibri"/>
          <w:sz w:val="24"/>
          <w:szCs w:val="24"/>
          <w:lang w:eastAsia="da-DK"/>
        </w:rPr>
        <w:t>fibrinogenniveauet</w:t>
      </w:r>
      <w:proofErr w:type="spellEnd"/>
      <w:r w:rsidRPr="004B10DB">
        <w:rPr>
          <w:rFonts w:eastAsia="SimSun" w:cs="Calibri"/>
          <w:sz w:val="24"/>
          <w:szCs w:val="24"/>
          <w:lang w:eastAsia="da-DK"/>
        </w:rPr>
        <w:t xml:space="preserve"> til 1 g/l og opretholde </w:t>
      </w:r>
      <w:proofErr w:type="spellStart"/>
      <w:r w:rsidRPr="004B10DB">
        <w:rPr>
          <w:rFonts w:eastAsia="SimSun" w:cs="Calibri"/>
          <w:sz w:val="24"/>
          <w:szCs w:val="24"/>
          <w:lang w:eastAsia="da-DK"/>
        </w:rPr>
        <w:t>fibrinogen</w:t>
      </w:r>
      <w:proofErr w:type="spellEnd"/>
      <w:r w:rsidRPr="004B10DB">
        <w:rPr>
          <w:rFonts w:eastAsia="SimSun" w:cs="Calibri"/>
          <w:sz w:val="24"/>
          <w:szCs w:val="24"/>
          <w:lang w:eastAsia="da-DK"/>
        </w:rPr>
        <w:t xml:space="preserve"> på dette niveau, indtil </w:t>
      </w:r>
      <w:proofErr w:type="spellStart"/>
      <w:r w:rsidRPr="004B10DB">
        <w:rPr>
          <w:rFonts w:eastAsia="SimSun" w:cs="Calibri"/>
          <w:sz w:val="24"/>
          <w:szCs w:val="24"/>
          <w:lang w:eastAsia="da-DK"/>
        </w:rPr>
        <w:t>hæmostasen</w:t>
      </w:r>
      <w:proofErr w:type="spellEnd"/>
      <w:r w:rsidRPr="004B10DB">
        <w:rPr>
          <w:rFonts w:eastAsia="SimSun" w:cs="Calibri"/>
          <w:sz w:val="24"/>
          <w:szCs w:val="24"/>
          <w:lang w:eastAsia="da-DK"/>
        </w:rPr>
        <w:t xml:space="preserve"> er kontrolleret, og over 0,5 g/l, indtil sårhelingen er fuldstændig.</w:t>
      </w: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rPr>
      </w:pPr>
      <w:r w:rsidRPr="004B10DB">
        <w:rPr>
          <w:rFonts w:eastAsia="SimSun" w:cs="Calibri"/>
          <w:sz w:val="24"/>
          <w:szCs w:val="24"/>
          <w:lang w:eastAsia="da-DK"/>
        </w:rPr>
        <w:t>I tilfælde af kirurgisk procedure eller behandling af en ikke-kirurgisk blødning skal dosis beregnes som følger:</w:t>
      </w:r>
    </w:p>
    <w:p w:rsidR="004F7AEB" w:rsidRPr="004B10DB" w:rsidRDefault="004F7AEB" w:rsidP="004F7AEB">
      <w:pPr>
        <w:tabs>
          <w:tab w:val="left" w:pos="851"/>
        </w:tabs>
        <w:kinsoku w:val="0"/>
        <w:overflowPunct w:val="0"/>
        <w:autoSpaceDE w:val="0"/>
        <w:autoSpaceDN w:val="0"/>
        <w:ind w:left="1757"/>
        <w:rPr>
          <w:rFonts w:eastAsia="SimSun" w:cs="Calibri"/>
          <w:sz w:val="24"/>
          <w:szCs w:val="24"/>
          <w:lang w:eastAsia="da-DK"/>
        </w:rPr>
      </w:pPr>
    </w:p>
    <w:p w:rsidR="004F7AEB" w:rsidRPr="004B10DB" w:rsidRDefault="004F7AEB" w:rsidP="004F7AEB">
      <w:pPr>
        <w:pStyle w:val="Centered"/>
        <w:pBdr>
          <w:top w:val="single" w:sz="4" w:space="1" w:color="auto"/>
          <w:left w:val="single" w:sz="4" w:space="4" w:color="auto"/>
          <w:bottom w:val="single" w:sz="4" w:space="1" w:color="auto"/>
          <w:right w:val="single" w:sz="4" w:space="4" w:color="auto"/>
        </w:pBdr>
        <w:tabs>
          <w:tab w:val="left" w:pos="0"/>
        </w:tabs>
        <w:ind w:left="906"/>
        <w:jc w:val="left"/>
        <w:rPr>
          <w:sz w:val="24"/>
          <w:szCs w:val="24"/>
        </w:rPr>
      </w:pPr>
      <w:r w:rsidRPr="004B10DB">
        <w:rPr>
          <w:sz w:val="24"/>
          <w:szCs w:val="24"/>
        </w:rPr>
        <w:t>Dosis (g) = [målniveau (g/l) - baselineniveau (g/l)] x 1/bedring (g/</w:t>
      </w:r>
      <w:proofErr w:type="gramStart"/>
      <w:r w:rsidRPr="004B10DB">
        <w:rPr>
          <w:sz w:val="24"/>
          <w:szCs w:val="24"/>
        </w:rPr>
        <w:t>l)/</w:t>
      </w:r>
      <w:proofErr w:type="gramEnd"/>
      <w:r w:rsidRPr="004B10DB">
        <w:rPr>
          <w:sz w:val="24"/>
          <w:szCs w:val="24"/>
        </w:rPr>
        <w:t>(g/kg) x legemsvægt (kg)</w:t>
      </w:r>
    </w:p>
    <w:p w:rsidR="004F7AEB" w:rsidRPr="004B10DB" w:rsidRDefault="004F7AEB" w:rsidP="004F7AEB">
      <w:pPr>
        <w:pStyle w:val="Brdtekst"/>
        <w:rPr>
          <w:rFonts w:eastAsia="Times New Roman" w:cs="Times New Roman"/>
          <w:sz w:val="24"/>
          <w:szCs w:val="24"/>
          <w:lang w:eastAsia="en-US"/>
        </w:rPr>
      </w:pPr>
    </w:p>
    <w:p w:rsidR="004F7AEB" w:rsidRPr="004B10DB" w:rsidRDefault="004F7AEB" w:rsidP="004F7AEB">
      <w:pPr>
        <w:pStyle w:val="Brdtekst"/>
        <w:ind w:left="851"/>
        <w:rPr>
          <w:sz w:val="24"/>
          <w:szCs w:val="24"/>
        </w:rPr>
      </w:pPr>
      <w:r w:rsidRPr="004B10DB">
        <w:rPr>
          <w:sz w:val="24"/>
          <w:szCs w:val="24"/>
        </w:rPr>
        <w:t>Forholdet “1/ bedring” defineres ud fra patientens bedring* (se punkt 5.2), eller hvis bedring er ukendt:</w:t>
      </w:r>
    </w:p>
    <w:p w:rsidR="004F7AEB" w:rsidRPr="004B10DB" w:rsidRDefault="004F7AEB" w:rsidP="004F7AEB">
      <w:pPr>
        <w:pStyle w:val="Brdtekst"/>
        <w:ind w:left="851"/>
        <w:rPr>
          <w:sz w:val="24"/>
          <w:szCs w:val="24"/>
        </w:rPr>
      </w:pPr>
      <w:r w:rsidRPr="004B10DB">
        <w:rPr>
          <w:sz w:val="24"/>
          <w:szCs w:val="24"/>
        </w:rPr>
        <w:t>- 0,053 (g/</w:t>
      </w:r>
      <w:proofErr w:type="gramStart"/>
      <w:r w:rsidRPr="004B10DB">
        <w:rPr>
          <w:sz w:val="24"/>
          <w:szCs w:val="24"/>
        </w:rPr>
        <w:t>kg)/</w:t>
      </w:r>
      <w:proofErr w:type="gramEnd"/>
      <w:r w:rsidRPr="004B10DB">
        <w:rPr>
          <w:sz w:val="24"/>
          <w:szCs w:val="24"/>
        </w:rPr>
        <w:t>(g/l) for børn og unge med en legemsvægt på &lt;40 kg</w:t>
      </w:r>
    </w:p>
    <w:p w:rsidR="004F7AEB" w:rsidRPr="004B10DB" w:rsidRDefault="004F7AEB" w:rsidP="004F7AEB">
      <w:pPr>
        <w:pStyle w:val="Brdtekst"/>
        <w:ind w:left="851"/>
        <w:rPr>
          <w:sz w:val="24"/>
          <w:szCs w:val="24"/>
        </w:rPr>
      </w:pPr>
      <w:r w:rsidRPr="004B10DB">
        <w:rPr>
          <w:sz w:val="24"/>
          <w:szCs w:val="24"/>
        </w:rPr>
        <w:t>- 0,043 (g/</w:t>
      </w:r>
      <w:proofErr w:type="gramStart"/>
      <w:r w:rsidRPr="004B10DB">
        <w:rPr>
          <w:sz w:val="24"/>
          <w:szCs w:val="24"/>
        </w:rPr>
        <w:t>kg)/</w:t>
      </w:r>
      <w:proofErr w:type="gramEnd"/>
      <w:r w:rsidRPr="004B10DB">
        <w:rPr>
          <w:sz w:val="24"/>
          <w:szCs w:val="24"/>
        </w:rPr>
        <w:t xml:space="preserve">(g/l) for voksne og unge med en legemsvægt på </w:t>
      </w:r>
      <w:r w:rsidRPr="004B10DB">
        <w:rPr>
          <w:sz w:val="24"/>
          <w:szCs w:val="24"/>
        </w:rPr>
        <w:sym w:font="Symbol" w:char="F0B3"/>
      </w:r>
      <w:r w:rsidRPr="004B10DB">
        <w:rPr>
          <w:sz w:val="24"/>
          <w:szCs w:val="24"/>
        </w:rPr>
        <w:t>40 kg.</w:t>
      </w:r>
    </w:p>
    <w:p w:rsidR="004F7AEB" w:rsidRPr="004B10DB" w:rsidRDefault="004F7AEB" w:rsidP="004F7AEB">
      <w:pPr>
        <w:pStyle w:val="Brdtekst"/>
        <w:ind w:left="851"/>
        <w:rPr>
          <w:sz w:val="24"/>
          <w:szCs w:val="24"/>
        </w:rPr>
      </w:pPr>
      <w:r w:rsidRPr="004B10DB">
        <w:rPr>
          <w:sz w:val="24"/>
          <w:szCs w:val="24"/>
        </w:rPr>
        <w:t>* Eksempel på beregning af patients bedring og dosering</w:t>
      </w:r>
    </w:p>
    <w:p w:rsidR="004F7AEB" w:rsidRPr="004B10DB" w:rsidRDefault="004F7AEB" w:rsidP="004F7AEB">
      <w:pPr>
        <w:pStyle w:val="Brdtekst"/>
        <w:ind w:left="851"/>
        <w:rPr>
          <w:sz w:val="24"/>
          <w:szCs w:val="24"/>
        </w:rPr>
      </w:pPr>
      <w:r w:rsidRPr="004B10DB">
        <w:rPr>
          <w:sz w:val="24"/>
          <w:szCs w:val="24"/>
        </w:rPr>
        <w:t xml:space="preserve">For en patient på 60 kg, hvor </w:t>
      </w:r>
      <w:proofErr w:type="spellStart"/>
      <w:r w:rsidRPr="004B10DB">
        <w:rPr>
          <w:sz w:val="24"/>
          <w:szCs w:val="24"/>
        </w:rPr>
        <w:t>fibrinogens</w:t>
      </w:r>
      <w:proofErr w:type="spellEnd"/>
      <w:r w:rsidRPr="004B10DB">
        <w:rPr>
          <w:sz w:val="24"/>
          <w:szCs w:val="24"/>
        </w:rPr>
        <w:t xml:space="preserve"> baselineniveau ikke kan spores, og hvor </w:t>
      </w:r>
      <w:proofErr w:type="spellStart"/>
      <w:r w:rsidRPr="004B10DB">
        <w:rPr>
          <w:sz w:val="24"/>
          <w:szCs w:val="24"/>
        </w:rPr>
        <w:t>fibrinogen</w:t>
      </w:r>
      <w:proofErr w:type="spellEnd"/>
      <w:r w:rsidRPr="004B10DB">
        <w:rPr>
          <w:sz w:val="24"/>
          <w:szCs w:val="24"/>
        </w:rPr>
        <w:t xml:space="preserve"> øges til 1,20 g/l 1 time efter infusion af 0,060 g pr. kg </w:t>
      </w:r>
      <w:proofErr w:type="spellStart"/>
      <w:r w:rsidRPr="004B10DB">
        <w:rPr>
          <w:sz w:val="24"/>
          <w:szCs w:val="24"/>
        </w:rPr>
        <w:t>Fibclot</w:t>
      </w:r>
      <w:proofErr w:type="spellEnd"/>
      <w:r w:rsidRPr="004B10DB">
        <w:rPr>
          <w:sz w:val="24"/>
          <w:szCs w:val="24"/>
        </w:rPr>
        <w:t>:</w:t>
      </w:r>
    </w:p>
    <w:p w:rsidR="004F7AEB" w:rsidRPr="004B10DB" w:rsidRDefault="004F7AEB" w:rsidP="004F7AEB">
      <w:pPr>
        <w:pStyle w:val="Brdtekst"/>
        <w:ind w:left="851"/>
        <w:rPr>
          <w:sz w:val="24"/>
          <w:szCs w:val="24"/>
        </w:rPr>
      </w:pPr>
      <w:r w:rsidRPr="004B10DB">
        <w:rPr>
          <w:sz w:val="24"/>
          <w:szCs w:val="24"/>
        </w:rPr>
        <w:lastRenderedPageBreak/>
        <w:t>- Beregning af patients bedring:</w:t>
      </w:r>
    </w:p>
    <w:p w:rsidR="004F7AEB" w:rsidRPr="004B10DB" w:rsidRDefault="004F7AEB" w:rsidP="004F7AEB">
      <w:pPr>
        <w:pStyle w:val="Brdtekst"/>
        <w:ind w:left="851"/>
        <w:rPr>
          <w:sz w:val="24"/>
          <w:szCs w:val="24"/>
        </w:rPr>
      </w:pPr>
      <w:r w:rsidRPr="004B10DB">
        <w:rPr>
          <w:sz w:val="24"/>
          <w:szCs w:val="24"/>
        </w:rPr>
        <w:t>1,20 (g/l) / 0,060 (g/kg) = 20,0 (g/</w:t>
      </w:r>
      <w:proofErr w:type="gramStart"/>
      <w:r w:rsidRPr="004B10DB">
        <w:rPr>
          <w:sz w:val="24"/>
          <w:szCs w:val="24"/>
        </w:rPr>
        <w:t>l)/</w:t>
      </w:r>
      <w:proofErr w:type="gramEnd"/>
      <w:r w:rsidRPr="004B10DB">
        <w:rPr>
          <w:sz w:val="24"/>
          <w:szCs w:val="24"/>
        </w:rPr>
        <w:t>(g/kg)</w:t>
      </w:r>
    </w:p>
    <w:p w:rsidR="004F7AEB" w:rsidRPr="004B10DB" w:rsidRDefault="004F7AEB" w:rsidP="004F7AEB">
      <w:pPr>
        <w:pStyle w:val="Brdtekst"/>
        <w:ind w:left="851"/>
        <w:rPr>
          <w:sz w:val="24"/>
          <w:szCs w:val="24"/>
        </w:rPr>
      </w:pPr>
      <w:r w:rsidRPr="004B10DB">
        <w:rPr>
          <w:sz w:val="24"/>
          <w:szCs w:val="24"/>
        </w:rPr>
        <w:t xml:space="preserve">- Beregning af dosis </w:t>
      </w:r>
      <w:r w:rsidRPr="004B10DB">
        <w:rPr>
          <w:spacing w:val="-2"/>
          <w:sz w:val="24"/>
          <w:szCs w:val="24"/>
        </w:rPr>
        <w:t xml:space="preserve">for en øgning til 1,0 g/l: </w:t>
      </w:r>
    </w:p>
    <w:p w:rsidR="004F7AEB" w:rsidRPr="004B10DB" w:rsidRDefault="004F7AEB" w:rsidP="004F7AEB">
      <w:pPr>
        <w:pStyle w:val="Brdtekst"/>
        <w:ind w:left="851"/>
        <w:rPr>
          <w:sz w:val="24"/>
          <w:szCs w:val="24"/>
        </w:rPr>
      </w:pPr>
      <w:r w:rsidRPr="004B10DB">
        <w:rPr>
          <w:spacing w:val="-2"/>
          <w:sz w:val="24"/>
          <w:szCs w:val="24"/>
        </w:rPr>
        <w:t>1,0 g/l x 1 / 20,0 (g/</w:t>
      </w:r>
      <w:proofErr w:type="gramStart"/>
      <w:r w:rsidRPr="004B10DB">
        <w:rPr>
          <w:spacing w:val="-2"/>
          <w:sz w:val="24"/>
          <w:szCs w:val="24"/>
        </w:rPr>
        <w:t>l)/</w:t>
      </w:r>
      <w:proofErr w:type="gramEnd"/>
      <w:r w:rsidRPr="004B10DB">
        <w:rPr>
          <w:spacing w:val="-2"/>
          <w:sz w:val="24"/>
          <w:szCs w:val="24"/>
        </w:rPr>
        <w:t xml:space="preserve">(g/kg) </w:t>
      </w:r>
      <w:r w:rsidRPr="004B10DB">
        <w:rPr>
          <w:i/>
          <w:spacing w:val="-2"/>
          <w:sz w:val="24"/>
          <w:szCs w:val="24"/>
        </w:rPr>
        <w:t xml:space="preserve">[eller 0,050 (g/kg)/(g/l)] </w:t>
      </w:r>
      <w:r w:rsidRPr="004B10DB">
        <w:rPr>
          <w:spacing w:val="-2"/>
          <w:sz w:val="24"/>
          <w:szCs w:val="24"/>
        </w:rPr>
        <w:t>x 60 kg = 3 g</w:t>
      </w:r>
      <w:r w:rsidRPr="004B10DB">
        <w:rPr>
          <w:sz w:val="24"/>
          <w:szCs w:val="24"/>
        </w:rPr>
        <w:t>.</w:t>
      </w: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bidi="da-DK"/>
        </w:rPr>
      </w:pPr>
    </w:p>
    <w:p w:rsidR="004F7AEB" w:rsidRPr="004B10DB" w:rsidRDefault="004F7AEB" w:rsidP="004F7AEB">
      <w:pPr>
        <w:tabs>
          <w:tab w:val="left" w:pos="851"/>
        </w:tabs>
        <w:kinsoku w:val="0"/>
        <w:overflowPunct w:val="0"/>
        <w:autoSpaceDE w:val="0"/>
        <w:autoSpaceDN w:val="0"/>
        <w:ind w:left="851"/>
        <w:rPr>
          <w:rFonts w:eastAsia="SimSun" w:cs="Calibri"/>
          <w:sz w:val="24"/>
          <w:szCs w:val="24"/>
          <w:lang w:eastAsia="da-DK" w:bidi="da-DK"/>
        </w:rPr>
      </w:pPr>
      <w:r w:rsidRPr="004B10DB">
        <w:rPr>
          <w:rFonts w:eastAsia="SimSun" w:cs="Calibri"/>
          <w:sz w:val="24"/>
          <w:szCs w:val="24"/>
          <w:lang w:eastAsia="da-DK" w:bidi="da-DK"/>
        </w:rPr>
        <w:t xml:space="preserve">I tilfælde af en nødsituation, hvor </w:t>
      </w:r>
      <w:proofErr w:type="spellStart"/>
      <w:r w:rsidRPr="004B10DB">
        <w:rPr>
          <w:rFonts w:eastAsia="SimSun" w:cs="Calibri"/>
          <w:sz w:val="24"/>
          <w:szCs w:val="24"/>
          <w:lang w:eastAsia="da-DK" w:bidi="da-DK"/>
        </w:rPr>
        <w:t>fibrinogens</w:t>
      </w:r>
      <w:proofErr w:type="spellEnd"/>
      <w:r w:rsidRPr="004B10DB">
        <w:rPr>
          <w:rFonts w:eastAsia="SimSun" w:cs="Calibri"/>
          <w:sz w:val="24"/>
          <w:szCs w:val="24"/>
          <w:lang w:eastAsia="da-DK" w:bidi="da-DK"/>
        </w:rPr>
        <w:t xml:space="preserve"> baselineniveau er ukendt, er den anbefalede startdosis 0,05 g pr. kg legemsvægt, som administreres intravenøst til voksne og unge med en legemsvægt på </w:t>
      </w:r>
      <w:r w:rsidRPr="004B10DB">
        <w:rPr>
          <w:rFonts w:eastAsia="SimSun" w:cs="Calibri"/>
          <w:sz w:val="24"/>
          <w:szCs w:val="24"/>
          <w:lang w:eastAsia="da-DK" w:bidi="da-DK"/>
        </w:rPr>
        <w:sym w:font="Symbol" w:char="F0B3"/>
      </w:r>
      <w:r w:rsidRPr="004B10DB">
        <w:rPr>
          <w:rFonts w:eastAsia="SimSun" w:cs="Calibri"/>
          <w:sz w:val="24"/>
          <w:szCs w:val="24"/>
          <w:lang w:eastAsia="da-DK" w:bidi="da-DK"/>
        </w:rPr>
        <w:t>40 kg og 0,06 g pr. kg legemsvægt hos pædiatriske patienter med en legemsvægt på &lt;40 kg.</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Efterfølgende dosering (doser og injektionshyppighed) skal tilpasses efter patientens kliniske status og laboratorieresultater.</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 xml:space="preserve">Den biologiske halveringstid for </w:t>
      </w:r>
      <w:proofErr w:type="spellStart"/>
      <w:r w:rsidRPr="006E2BFE">
        <w:rPr>
          <w:rFonts w:eastAsia="SimSun" w:cs="Calibri"/>
          <w:sz w:val="24"/>
          <w:szCs w:val="24"/>
          <w:lang w:eastAsia="da-DK"/>
        </w:rPr>
        <w:t>fibrinogen</w:t>
      </w:r>
      <w:proofErr w:type="spellEnd"/>
      <w:r w:rsidRPr="006E2BFE">
        <w:rPr>
          <w:rFonts w:eastAsia="SimSun" w:cs="Calibri"/>
          <w:sz w:val="24"/>
          <w:szCs w:val="24"/>
          <w:lang w:eastAsia="da-DK"/>
        </w:rPr>
        <w:t xml:space="preserve"> er 3-4 dage. I fravær af konsumption er gentagen behandling med humant </w:t>
      </w:r>
      <w:proofErr w:type="spellStart"/>
      <w:r w:rsidRPr="006E2BFE">
        <w:rPr>
          <w:rFonts w:eastAsia="SimSun" w:cs="Calibri"/>
          <w:sz w:val="24"/>
          <w:szCs w:val="24"/>
          <w:lang w:eastAsia="da-DK"/>
        </w:rPr>
        <w:t>fibrinogen</w:t>
      </w:r>
      <w:proofErr w:type="spellEnd"/>
      <w:r w:rsidRPr="006E2BFE">
        <w:rPr>
          <w:rFonts w:eastAsia="SimSun" w:cs="Calibri"/>
          <w:sz w:val="24"/>
          <w:szCs w:val="24"/>
          <w:lang w:eastAsia="da-DK"/>
        </w:rPr>
        <w:t xml:space="preserve"> derfor normalt ikke påkrævet. På grund af den akkumulering, der forekommer ved gentagen administration som profylakse, skal dosis og hyppighed bestemmes i henhold til lægens behandlingsmål for en given patient.</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6E2BFE" w:rsidRDefault="004F7AEB" w:rsidP="004F7AEB">
      <w:pPr>
        <w:keepNext/>
        <w:tabs>
          <w:tab w:val="left" w:pos="851"/>
        </w:tabs>
        <w:kinsoku w:val="0"/>
        <w:overflowPunct w:val="0"/>
        <w:autoSpaceDE w:val="0"/>
        <w:autoSpaceDN w:val="0"/>
        <w:ind w:left="851"/>
        <w:rPr>
          <w:rFonts w:eastAsia="SimSun" w:cs="Calibri"/>
          <w:sz w:val="24"/>
          <w:szCs w:val="24"/>
          <w:u w:val="single"/>
          <w:lang w:eastAsia="da-DK"/>
        </w:rPr>
      </w:pPr>
      <w:r w:rsidRPr="006E2BFE">
        <w:rPr>
          <w:rFonts w:eastAsia="SimSun" w:cs="Calibri"/>
          <w:sz w:val="24"/>
          <w:szCs w:val="24"/>
          <w:u w:val="single"/>
          <w:lang w:eastAsia="da-DK"/>
        </w:rPr>
        <w:t>Pædiatrisk population</w:t>
      </w:r>
    </w:p>
    <w:p w:rsidR="004F7AEB" w:rsidRPr="00E71162" w:rsidRDefault="004F7AEB" w:rsidP="004F7AEB">
      <w:pPr>
        <w:tabs>
          <w:tab w:val="left" w:pos="851"/>
        </w:tabs>
        <w:kinsoku w:val="0"/>
        <w:overflowPunct w:val="0"/>
        <w:autoSpaceDE w:val="0"/>
        <w:autoSpaceDN w:val="0"/>
        <w:ind w:left="851"/>
        <w:rPr>
          <w:rFonts w:eastAsia="SimSun" w:cs="Calibri"/>
          <w:sz w:val="24"/>
          <w:szCs w:val="24"/>
          <w:lang w:eastAsia="da-DK" w:bidi="da-DK"/>
        </w:rPr>
      </w:pPr>
      <w:r w:rsidRPr="00E71162">
        <w:rPr>
          <w:rFonts w:eastAsia="SimSun" w:cs="Calibri"/>
          <w:sz w:val="24"/>
          <w:szCs w:val="24"/>
          <w:lang w:eastAsia="da-DK" w:bidi="da-DK"/>
        </w:rPr>
        <w:t xml:space="preserve">Data viser, at bedrings- og halveringstiden </w:t>
      </w:r>
      <w:r w:rsidRPr="00E71162">
        <w:rPr>
          <w:rFonts w:eastAsia="SimSun" w:cs="Calibri"/>
          <w:i/>
          <w:iCs/>
          <w:sz w:val="24"/>
          <w:szCs w:val="24"/>
          <w:lang w:eastAsia="da-DK" w:bidi="da-DK"/>
        </w:rPr>
        <w:t xml:space="preserve">in </w:t>
      </w:r>
      <w:proofErr w:type="spellStart"/>
      <w:r w:rsidRPr="00E71162">
        <w:rPr>
          <w:rFonts w:eastAsia="SimSun" w:cs="Calibri"/>
          <w:i/>
          <w:iCs/>
          <w:sz w:val="24"/>
          <w:szCs w:val="24"/>
          <w:lang w:eastAsia="da-DK" w:bidi="da-DK"/>
        </w:rPr>
        <w:t>vivo</w:t>
      </w:r>
      <w:proofErr w:type="spellEnd"/>
      <w:r w:rsidRPr="00E71162">
        <w:rPr>
          <w:rFonts w:eastAsia="SimSun" w:cs="Calibri"/>
          <w:sz w:val="24"/>
          <w:szCs w:val="24"/>
          <w:lang w:eastAsia="da-DK" w:bidi="da-DK"/>
        </w:rPr>
        <w:t xml:space="preserve"> hos børn og unge med en legemsvægt på </w:t>
      </w:r>
      <w:r w:rsidRPr="00E71162">
        <w:rPr>
          <w:rFonts w:eastAsia="SimSun" w:cs="Calibri"/>
          <w:sz w:val="24"/>
          <w:szCs w:val="24"/>
          <w:lang w:eastAsia="da-DK" w:bidi="da-DK"/>
        </w:rPr>
        <w:sym w:font="Symbol" w:char="F03C"/>
      </w:r>
      <w:r w:rsidRPr="00E71162">
        <w:rPr>
          <w:rFonts w:eastAsia="SimSun" w:cs="Calibri"/>
          <w:sz w:val="24"/>
          <w:szCs w:val="24"/>
          <w:lang w:eastAsia="da-DK" w:bidi="da-DK"/>
        </w:rPr>
        <w:t xml:space="preserve">40 kg er lavere end hos voksne og unge med en legemsvægt på </w:t>
      </w:r>
      <w:r w:rsidRPr="00E71162">
        <w:rPr>
          <w:rFonts w:eastAsia="SimSun" w:cs="Calibri"/>
          <w:sz w:val="24"/>
          <w:szCs w:val="24"/>
          <w:lang w:eastAsia="da-DK" w:bidi="da-DK"/>
        </w:rPr>
        <w:sym w:font="Symbol" w:char="F0B3"/>
      </w:r>
      <w:r w:rsidRPr="00E71162">
        <w:rPr>
          <w:rFonts w:eastAsia="SimSun" w:cs="Calibri"/>
          <w:sz w:val="24"/>
          <w:szCs w:val="24"/>
          <w:lang w:eastAsia="da-DK" w:bidi="da-DK"/>
        </w:rPr>
        <w:t xml:space="preserve">40 kg (se punkt 5.2). Hvis den enkelte patients bedring er ukendt, skal der derfor anvendes tilpassede bedringer til beregning af </w:t>
      </w:r>
      <w:proofErr w:type="spellStart"/>
      <w:r w:rsidRPr="00E71162">
        <w:rPr>
          <w:rFonts w:eastAsia="SimSun" w:cs="Calibri"/>
          <w:sz w:val="24"/>
          <w:szCs w:val="24"/>
          <w:lang w:eastAsia="da-DK" w:bidi="da-DK"/>
        </w:rPr>
        <w:t>Fibclot</w:t>
      </w:r>
      <w:proofErr w:type="spellEnd"/>
      <w:r w:rsidRPr="00E71162">
        <w:rPr>
          <w:rFonts w:eastAsia="SimSun" w:cs="Calibri"/>
          <w:sz w:val="24"/>
          <w:szCs w:val="24"/>
          <w:lang w:eastAsia="da-DK" w:bidi="da-DK"/>
        </w:rPr>
        <w:t>-dosis i de respektive legemsvægtsgrupper. Det kan forventes at en legemsvægt på &lt;40 kg dækker en aldersgruppe, der strækker sig fra fødsel og op til ca. 12 år. Doseringen (dosis og injektionshyppighed) skal tilpasses ud fra den enkelte kliniske respons.</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4B10DB" w:rsidRDefault="004F7AEB" w:rsidP="004F7AEB">
      <w:pPr>
        <w:keepNext/>
        <w:tabs>
          <w:tab w:val="left" w:pos="851"/>
        </w:tabs>
        <w:kinsoku w:val="0"/>
        <w:overflowPunct w:val="0"/>
        <w:autoSpaceDE w:val="0"/>
        <w:autoSpaceDN w:val="0"/>
        <w:ind w:left="851"/>
        <w:rPr>
          <w:rFonts w:eastAsia="SimSun" w:cs="Calibri"/>
          <w:sz w:val="24"/>
          <w:szCs w:val="24"/>
          <w:u w:val="single"/>
          <w:lang w:eastAsia="da-DK"/>
        </w:rPr>
      </w:pPr>
      <w:r w:rsidRPr="004B10DB">
        <w:rPr>
          <w:rFonts w:eastAsia="SimSun" w:cs="Calibri"/>
          <w:sz w:val="24"/>
          <w:szCs w:val="24"/>
          <w:u w:val="single"/>
          <w:lang w:eastAsia="da-DK"/>
        </w:rPr>
        <w:t>Administration</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Intravenøs infusion eller injektion.</w:t>
      </w:r>
    </w:p>
    <w:p w:rsidR="004F7AEB" w:rsidRPr="006E2BFE" w:rsidRDefault="004F7AEB" w:rsidP="004F7AEB">
      <w:pPr>
        <w:tabs>
          <w:tab w:val="left" w:pos="851"/>
        </w:tabs>
        <w:kinsoku w:val="0"/>
        <w:overflowPunct w:val="0"/>
        <w:autoSpaceDE w:val="0"/>
        <w:autoSpaceDN w:val="0"/>
        <w:ind w:left="851"/>
        <w:rPr>
          <w:rFonts w:eastAsia="SimSun" w:cs="Calibri"/>
          <w:sz w:val="24"/>
          <w:szCs w:val="24"/>
          <w:lang w:eastAsia="da-DK"/>
        </w:rPr>
      </w:pPr>
      <w:proofErr w:type="spellStart"/>
      <w:r w:rsidRPr="006E2BFE">
        <w:rPr>
          <w:rFonts w:eastAsia="SimSun" w:cs="Calibri"/>
          <w:sz w:val="24"/>
          <w:szCs w:val="24"/>
          <w:lang w:eastAsia="da-DK"/>
        </w:rPr>
        <w:t>Fibclot</w:t>
      </w:r>
      <w:proofErr w:type="spellEnd"/>
      <w:r w:rsidRPr="006E2BFE">
        <w:rPr>
          <w:rFonts w:eastAsia="SimSun" w:cs="Calibri"/>
          <w:sz w:val="24"/>
          <w:szCs w:val="24"/>
          <w:lang w:eastAsia="da-DK"/>
        </w:rPr>
        <w:t xml:space="preserve"> må kun administreres som langsom intravenøs infusion</w:t>
      </w:r>
      <w:r w:rsidRPr="00326F20">
        <w:t xml:space="preserve"> </w:t>
      </w:r>
      <w:r>
        <w:t xml:space="preserve">med maksimal </w:t>
      </w:r>
      <w:r w:rsidRPr="006E2BFE">
        <w:rPr>
          <w:rFonts w:eastAsia="SimSun" w:cs="Calibri"/>
          <w:sz w:val="24"/>
          <w:szCs w:val="24"/>
          <w:lang w:eastAsia="da-DK"/>
        </w:rPr>
        <w:t xml:space="preserve">hastighed 4 </w:t>
      </w:r>
      <w:proofErr w:type="spellStart"/>
      <w:r w:rsidRPr="006E2BFE">
        <w:rPr>
          <w:rFonts w:eastAsia="SimSun" w:cs="Calibri"/>
          <w:sz w:val="24"/>
          <w:szCs w:val="24"/>
          <w:lang w:eastAsia="da-DK"/>
        </w:rPr>
        <w:t>mL</w:t>
      </w:r>
      <w:proofErr w:type="spellEnd"/>
      <w:r w:rsidRPr="006E2BFE">
        <w:rPr>
          <w:rFonts w:eastAsia="SimSun" w:cs="Calibri"/>
          <w:sz w:val="24"/>
          <w:szCs w:val="24"/>
          <w:lang w:eastAsia="da-DK"/>
        </w:rPr>
        <w:t>/min.</w:t>
      </w:r>
    </w:p>
    <w:p w:rsidR="004F7AEB" w:rsidRPr="00432FF6" w:rsidRDefault="004F7AEB" w:rsidP="004F7AEB">
      <w:pPr>
        <w:tabs>
          <w:tab w:val="left" w:pos="851"/>
        </w:tabs>
        <w:kinsoku w:val="0"/>
        <w:overflowPunct w:val="0"/>
        <w:autoSpaceDE w:val="0"/>
        <w:autoSpaceDN w:val="0"/>
        <w:ind w:left="851"/>
        <w:rPr>
          <w:rFonts w:eastAsia="SimSun" w:cs="Calibri"/>
          <w:sz w:val="24"/>
          <w:szCs w:val="24"/>
          <w:lang w:eastAsia="da-DK"/>
        </w:rPr>
      </w:pPr>
      <w:r w:rsidRPr="006E2BFE">
        <w:rPr>
          <w:rFonts w:eastAsia="SimSun" w:cs="Calibri"/>
          <w:sz w:val="24"/>
          <w:szCs w:val="24"/>
          <w:lang w:eastAsia="da-DK"/>
        </w:rPr>
        <w:t xml:space="preserve">For instruktioner om </w:t>
      </w:r>
      <w:proofErr w:type="spellStart"/>
      <w:r w:rsidRPr="006E2BFE">
        <w:rPr>
          <w:rFonts w:eastAsia="SimSun" w:cs="Calibri"/>
          <w:sz w:val="24"/>
          <w:szCs w:val="24"/>
          <w:lang w:eastAsia="da-DK"/>
        </w:rPr>
        <w:t>rekonstitution</w:t>
      </w:r>
      <w:proofErr w:type="spellEnd"/>
      <w:r w:rsidRPr="006E2BFE">
        <w:rPr>
          <w:rFonts w:eastAsia="SimSun" w:cs="Calibri"/>
          <w:sz w:val="24"/>
          <w:szCs w:val="24"/>
          <w:lang w:eastAsia="da-DK"/>
        </w:rPr>
        <w:t xml:space="preserve"> af lægemidlet før administration, se pkt. 6.2 og 6.6.</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4.3</w:t>
      </w:r>
      <w:r w:rsidRPr="00C84483">
        <w:rPr>
          <w:b/>
          <w:sz w:val="24"/>
          <w:szCs w:val="24"/>
        </w:rPr>
        <w:tab/>
        <w:t>Kontraindikationer</w:t>
      </w:r>
    </w:p>
    <w:p w:rsidR="004F7AEB" w:rsidRPr="00C84483" w:rsidRDefault="004F7AEB" w:rsidP="004F7AEB">
      <w:pPr>
        <w:tabs>
          <w:tab w:val="left" w:pos="851"/>
        </w:tabs>
        <w:ind w:left="851"/>
        <w:rPr>
          <w:sz w:val="24"/>
          <w:szCs w:val="24"/>
        </w:rPr>
      </w:pPr>
      <w:r w:rsidRPr="00AA4729">
        <w:rPr>
          <w:sz w:val="24"/>
          <w:szCs w:val="24"/>
        </w:rPr>
        <w:t>Overfølsomhed over for det aktive stof eller over for et eller flere af hjælpestofferne anført i pkt. 6.1.</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B10DB" w:rsidRDefault="004B10DB" w:rsidP="004F7AEB">
      <w:pPr>
        <w:pStyle w:val="Underline"/>
        <w:tabs>
          <w:tab w:val="clear" w:pos="567"/>
          <w:tab w:val="left" w:pos="851"/>
        </w:tabs>
        <w:ind w:left="851"/>
        <w:rPr>
          <w:sz w:val="24"/>
          <w:szCs w:val="24"/>
        </w:rPr>
      </w:pPr>
    </w:p>
    <w:p w:rsidR="004B10DB" w:rsidRDefault="004B10DB" w:rsidP="004B10DB">
      <w:pPr>
        <w:suppressAutoHyphens/>
        <w:ind w:left="567" w:firstLine="284"/>
        <w:rPr>
          <w:sz w:val="24"/>
          <w:szCs w:val="24"/>
          <w:u w:val="single"/>
          <w:lang w:eastAsia="fr-LU"/>
        </w:rPr>
      </w:pPr>
      <w:r>
        <w:rPr>
          <w:sz w:val="24"/>
          <w:szCs w:val="24"/>
          <w:u w:val="single"/>
          <w:lang w:eastAsia="fr-LU"/>
        </w:rPr>
        <w:t>Sporbarhed</w:t>
      </w:r>
    </w:p>
    <w:p w:rsidR="004B10DB" w:rsidRDefault="004B10DB" w:rsidP="004B10DB">
      <w:pPr>
        <w:pStyle w:val="Underline"/>
        <w:tabs>
          <w:tab w:val="clear" w:pos="567"/>
          <w:tab w:val="left" w:pos="851"/>
        </w:tabs>
        <w:ind w:left="851"/>
        <w:rPr>
          <w:rFonts w:eastAsia="Times New Roman" w:cs="Times New Roman"/>
          <w:sz w:val="24"/>
          <w:szCs w:val="24"/>
          <w:u w:val="none"/>
          <w:lang w:eastAsia="fr-LU"/>
        </w:rPr>
      </w:pPr>
      <w:r>
        <w:rPr>
          <w:rFonts w:eastAsia="Times New Roman" w:cs="Times New Roman"/>
          <w:sz w:val="24"/>
          <w:szCs w:val="24"/>
          <w:u w:val="none"/>
          <w:lang w:eastAsia="fr-LU"/>
        </w:rPr>
        <w:t>For at forbedre sporbarheden af biologiske lægemidler skal det administrerede produkts navn og batchnummer tydeligt registreres.</w:t>
      </w:r>
    </w:p>
    <w:p w:rsidR="004B10DB" w:rsidRPr="004B10DB" w:rsidRDefault="004B10DB" w:rsidP="004B10DB">
      <w:pPr>
        <w:rPr>
          <w:lang w:eastAsia="da-DK"/>
        </w:rPr>
      </w:pPr>
    </w:p>
    <w:p w:rsidR="004F7AEB" w:rsidRPr="00AA4729" w:rsidRDefault="004F7AEB" w:rsidP="004F7AEB">
      <w:pPr>
        <w:pStyle w:val="Underline"/>
        <w:tabs>
          <w:tab w:val="clear" w:pos="567"/>
          <w:tab w:val="left" w:pos="851"/>
        </w:tabs>
        <w:ind w:left="851"/>
        <w:rPr>
          <w:sz w:val="24"/>
          <w:szCs w:val="24"/>
        </w:rPr>
      </w:pPr>
      <w:proofErr w:type="spellStart"/>
      <w:r w:rsidRPr="00AA4729">
        <w:rPr>
          <w:sz w:val="24"/>
          <w:szCs w:val="24"/>
        </w:rPr>
        <w:t>Tromboemboli</w:t>
      </w:r>
      <w:proofErr w:type="spellEnd"/>
    </w:p>
    <w:p w:rsidR="004B10DB" w:rsidRDefault="004B10DB" w:rsidP="004B10DB">
      <w:pPr>
        <w:tabs>
          <w:tab w:val="left" w:pos="851"/>
        </w:tabs>
        <w:ind w:left="851"/>
        <w:rPr>
          <w:sz w:val="24"/>
          <w:szCs w:val="24"/>
        </w:rPr>
      </w:pPr>
      <w:r>
        <w:rPr>
          <w:sz w:val="24"/>
          <w:szCs w:val="24"/>
        </w:rPr>
        <w:t xml:space="preserve">Der er en risiko for trombose, når patienter behandles med humant </w:t>
      </w:r>
      <w:proofErr w:type="spellStart"/>
      <w:r>
        <w:rPr>
          <w:sz w:val="24"/>
          <w:szCs w:val="24"/>
        </w:rPr>
        <w:t>fibrinogen</w:t>
      </w:r>
      <w:proofErr w:type="spellEnd"/>
      <w:r>
        <w:rPr>
          <w:sz w:val="24"/>
          <w:szCs w:val="24"/>
        </w:rPr>
        <w:t xml:space="preserve">, særligt ved høje eller gentagne doser. Patienter, der får humant </w:t>
      </w:r>
      <w:proofErr w:type="spellStart"/>
      <w:r>
        <w:rPr>
          <w:sz w:val="24"/>
          <w:szCs w:val="24"/>
        </w:rPr>
        <w:t>fibrinogen</w:t>
      </w:r>
      <w:proofErr w:type="spellEnd"/>
      <w:r>
        <w:rPr>
          <w:sz w:val="24"/>
          <w:szCs w:val="24"/>
        </w:rPr>
        <w:t>, bør observeres nøje for tegn og symptomer på trombose.</w:t>
      </w:r>
    </w:p>
    <w:p w:rsidR="004F7AEB" w:rsidRPr="00AA4729" w:rsidRDefault="004F7AEB" w:rsidP="004F7AEB">
      <w:pPr>
        <w:tabs>
          <w:tab w:val="left" w:pos="851"/>
        </w:tabs>
        <w:ind w:left="851"/>
        <w:rPr>
          <w:sz w:val="24"/>
          <w:szCs w:val="24"/>
        </w:rPr>
      </w:pPr>
    </w:p>
    <w:p w:rsidR="004F7AEB" w:rsidRPr="00AA4729" w:rsidRDefault="004F7AEB" w:rsidP="004F7AEB">
      <w:pPr>
        <w:tabs>
          <w:tab w:val="left" w:pos="851"/>
        </w:tabs>
        <w:ind w:left="851"/>
        <w:rPr>
          <w:sz w:val="24"/>
          <w:szCs w:val="24"/>
        </w:rPr>
      </w:pPr>
      <w:r w:rsidRPr="00AA4729">
        <w:rPr>
          <w:sz w:val="24"/>
          <w:szCs w:val="24"/>
        </w:rPr>
        <w:lastRenderedPageBreak/>
        <w:t xml:space="preserve">Hos patienter med </w:t>
      </w:r>
      <w:proofErr w:type="spellStart"/>
      <w:r w:rsidRPr="00AA4729">
        <w:rPr>
          <w:sz w:val="24"/>
          <w:szCs w:val="24"/>
        </w:rPr>
        <w:t>koronar</w:t>
      </w:r>
      <w:proofErr w:type="spellEnd"/>
      <w:r w:rsidRPr="00AA4729">
        <w:rPr>
          <w:sz w:val="24"/>
          <w:szCs w:val="24"/>
        </w:rPr>
        <w:t xml:space="preserve"> hjertesygdom eller myokardieinfarkt i anamnesen, patienter med leversygdom, peri- eller postoperative patienter, nyfødte eller patienter med risiko for </w:t>
      </w:r>
      <w:proofErr w:type="spellStart"/>
      <w:r w:rsidRPr="00AA4729">
        <w:rPr>
          <w:sz w:val="24"/>
          <w:szCs w:val="24"/>
        </w:rPr>
        <w:t>tromboemboliske</w:t>
      </w:r>
      <w:proofErr w:type="spellEnd"/>
      <w:r w:rsidRPr="00AA4729">
        <w:rPr>
          <w:sz w:val="24"/>
          <w:szCs w:val="24"/>
        </w:rPr>
        <w:t xml:space="preserve"> hændelser eller dissemineret </w:t>
      </w:r>
      <w:proofErr w:type="spellStart"/>
      <w:r w:rsidRPr="00AA4729">
        <w:rPr>
          <w:sz w:val="24"/>
          <w:szCs w:val="24"/>
        </w:rPr>
        <w:t>intravaskulær</w:t>
      </w:r>
      <w:proofErr w:type="spellEnd"/>
      <w:r w:rsidRPr="00AA4729">
        <w:rPr>
          <w:sz w:val="24"/>
          <w:szCs w:val="24"/>
        </w:rPr>
        <w:t xml:space="preserve"> koagulation bør den potentielle terapeutiske fordel ved humant </w:t>
      </w:r>
      <w:proofErr w:type="spellStart"/>
      <w:r w:rsidRPr="00AA4729">
        <w:rPr>
          <w:sz w:val="24"/>
          <w:szCs w:val="24"/>
        </w:rPr>
        <w:t>plasmafibrinogen</w:t>
      </w:r>
      <w:proofErr w:type="spellEnd"/>
      <w:r w:rsidRPr="00AA4729">
        <w:rPr>
          <w:sz w:val="24"/>
          <w:szCs w:val="24"/>
        </w:rPr>
        <w:t xml:space="preserve"> afvejes mod risikoen for </w:t>
      </w:r>
      <w:proofErr w:type="spellStart"/>
      <w:r w:rsidRPr="00AA4729">
        <w:rPr>
          <w:sz w:val="24"/>
          <w:szCs w:val="24"/>
        </w:rPr>
        <w:t>tromboemboliske</w:t>
      </w:r>
      <w:proofErr w:type="spellEnd"/>
      <w:r w:rsidRPr="00AA4729">
        <w:rPr>
          <w:sz w:val="24"/>
          <w:szCs w:val="24"/>
        </w:rPr>
        <w:t xml:space="preserve"> komplikationer. </w:t>
      </w:r>
      <w:r w:rsidR="004B10DB">
        <w:rPr>
          <w:sz w:val="24"/>
          <w:szCs w:val="24"/>
        </w:rPr>
        <w:t>Der bør også udvises forsigtighed og foretages tæt monitorering.</w:t>
      </w:r>
    </w:p>
    <w:p w:rsidR="004F7AEB" w:rsidRPr="00AA4729" w:rsidRDefault="004F7AEB" w:rsidP="004F7AEB">
      <w:pPr>
        <w:tabs>
          <w:tab w:val="left" w:pos="851"/>
        </w:tabs>
        <w:ind w:left="851"/>
        <w:rPr>
          <w:sz w:val="24"/>
          <w:szCs w:val="24"/>
        </w:rPr>
      </w:pPr>
    </w:p>
    <w:p w:rsidR="004F7AEB" w:rsidRPr="00AA4729" w:rsidRDefault="004F7AEB" w:rsidP="004F7AEB">
      <w:pPr>
        <w:pStyle w:val="Underline"/>
        <w:tabs>
          <w:tab w:val="clear" w:pos="567"/>
          <w:tab w:val="left" w:pos="851"/>
        </w:tabs>
        <w:ind w:left="851"/>
        <w:rPr>
          <w:sz w:val="24"/>
          <w:szCs w:val="24"/>
        </w:rPr>
      </w:pPr>
      <w:r w:rsidRPr="00AA4729">
        <w:rPr>
          <w:sz w:val="24"/>
          <w:szCs w:val="24"/>
        </w:rPr>
        <w:t xml:space="preserve">Allergiske eller </w:t>
      </w:r>
      <w:proofErr w:type="spellStart"/>
      <w:r w:rsidRPr="00AA4729">
        <w:rPr>
          <w:sz w:val="24"/>
          <w:szCs w:val="24"/>
        </w:rPr>
        <w:t>anafylaktoide</w:t>
      </w:r>
      <w:proofErr w:type="spellEnd"/>
      <w:r w:rsidRPr="00AA4729">
        <w:rPr>
          <w:sz w:val="24"/>
          <w:szCs w:val="24"/>
        </w:rPr>
        <w:t xml:space="preserve"> reaktioner</w:t>
      </w:r>
    </w:p>
    <w:p w:rsidR="004F7AEB" w:rsidRPr="00AA4729" w:rsidRDefault="004F7AEB" w:rsidP="004F7AEB">
      <w:pPr>
        <w:tabs>
          <w:tab w:val="left" w:pos="851"/>
        </w:tabs>
        <w:ind w:left="851"/>
        <w:rPr>
          <w:sz w:val="24"/>
          <w:szCs w:val="24"/>
        </w:rPr>
      </w:pPr>
      <w:r w:rsidRPr="00AA4729">
        <w:rPr>
          <w:sz w:val="24"/>
          <w:szCs w:val="24"/>
        </w:rPr>
        <w:t xml:space="preserve">I tilfælde af allergiske eller </w:t>
      </w:r>
      <w:proofErr w:type="spellStart"/>
      <w:r w:rsidRPr="00AA4729">
        <w:rPr>
          <w:sz w:val="24"/>
          <w:szCs w:val="24"/>
        </w:rPr>
        <w:t>anafylaktoide</w:t>
      </w:r>
      <w:proofErr w:type="spellEnd"/>
      <w:r w:rsidRPr="00AA4729">
        <w:rPr>
          <w:sz w:val="24"/>
          <w:szCs w:val="24"/>
        </w:rPr>
        <w:t xml:space="preserve"> reaktioner skal injektionen/infusionen stoppes omgående. I tilfælde af </w:t>
      </w:r>
      <w:proofErr w:type="spellStart"/>
      <w:r w:rsidRPr="00AA4729">
        <w:rPr>
          <w:sz w:val="24"/>
          <w:szCs w:val="24"/>
        </w:rPr>
        <w:t>anafylaktisk</w:t>
      </w:r>
      <w:proofErr w:type="spellEnd"/>
      <w:r w:rsidRPr="00AA4729">
        <w:rPr>
          <w:sz w:val="24"/>
          <w:szCs w:val="24"/>
        </w:rPr>
        <w:t xml:space="preserve"> </w:t>
      </w:r>
      <w:proofErr w:type="spellStart"/>
      <w:r w:rsidRPr="00AA4729">
        <w:rPr>
          <w:sz w:val="24"/>
          <w:szCs w:val="24"/>
        </w:rPr>
        <w:t>shock</w:t>
      </w:r>
      <w:proofErr w:type="spellEnd"/>
      <w:r w:rsidRPr="00AA4729">
        <w:rPr>
          <w:sz w:val="24"/>
          <w:szCs w:val="24"/>
        </w:rPr>
        <w:t xml:space="preserve"> skal standard-</w:t>
      </w:r>
      <w:proofErr w:type="spellStart"/>
      <w:r w:rsidRPr="00AA4729">
        <w:rPr>
          <w:sz w:val="24"/>
          <w:szCs w:val="24"/>
        </w:rPr>
        <w:t>shockbehandling</w:t>
      </w:r>
      <w:proofErr w:type="spellEnd"/>
      <w:r w:rsidRPr="00AA4729">
        <w:rPr>
          <w:sz w:val="24"/>
          <w:szCs w:val="24"/>
        </w:rPr>
        <w:t xml:space="preserve"> gennemføres.</w:t>
      </w:r>
    </w:p>
    <w:p w:rsidR="004F7AEB" w:rsidRPr="00AA4729" w:rsidRDefault="004F7AEB" w:rsidP="004F7AEB">
      <w:pPr>
        <w:pStyle w:val="Underline"/>
        <w:tabs>
          <w:tab w:val="clear" w:pos="567"/>
          <w:tab w:val="left" w:pos="851"/>
        </w:tabs>
        <w:ind w:left="851"/>
        <w:rPr>
          <w:sz w:val="24"/>
          <w:szCs w:val="24"/>
        </w:rPr>
      </w:pPr>
    </w:p>
    <w:p w:rsidR="004B10DB" w:rsidRDefault="004B10DB" w:rsidP="004B10DB">
      <w:pPr>
        <w:pStyle w:val="Underline"/>
        <w:tabs>
          <w:tab w:val="clear" w:pos="567"/>
          <w:tab w:val="left" w:pos="851"/>
        </w:tabs>
        <w:ind w:left="851"/>
        <w:rPr>
          <w:sz w:val="24"/>
          <w:szCs w:val="24"/>
        </w:rPr>
      </w:pPr>
      <w:r>
        <w:rPr>
          <w:sz w:val="24"/>
          <w:szCs w:val="24"/>
        </w:rPr>
        <w:t>Stoffer, der kan overføres</w:t>
      </w:r>
    </w:p>
    <w:p w:rsidR="004B10DB" w:rsidRDefault="004B10DB" w:rsidP="004B10DB">
      <w:pPr>
        <w:tabs>
          <w:tab w:val="left" w:pos="851"/>
        </w:tabs>
        <w:ind w:left="851"/>
        <w:rPr>
          <w:sz w:val="24"/>
          <w:szCs w:val="24"/>
        </w:rPr>
      </w:pPr>
      <w:r>
        <w:rPr>
          <w:sz w:val="24"/>
          <w:szCs w:val="24"/>
        </w:rPr>
        <w:t xml:space="preserve">Standardmetoder til forebyggelse af infektioner, der skyldes brug af lægemidler tilberedt ud fra humant blod eller plasma, omfatter udvælgelse af donorer, screening af de enkelte donationer og plasmapools for specifikke markører for infektion samt inklusion af effektive trin i fremstillingen til inaktivering/fjernelse af virus. På trods af dette, kan muligheden for at overføre smitsomme stoffer ikke helt udelukkes, når lægemidler fremstilles af humant blod eller plasma. Dette gælder også for ukendte eller nye vira og andre </w:t>
      </w:r>
      <w:proofErr w:type="spellStart"/>
      <w:r>
        <w:rPr>
          <w:sz w:val="24"/>
          <w:szCs w:val="24"/>
        </w:rPr>
        <w:t>patogener</w:t>
      </w:r>
      <w:proofErr w:type="spellEnd"/>
      <w:r>
        <w:rPr>
          <w:sz w:val="24"/>
          <w:szCs w:val="24"/>
        </w:rPr>
        <w:t>.</w:t>
      </w:r>
    </w:p>
    <w:p w:rsidR="004B10DB" w:rsidRDefault="004B10DB" w:rsidP="004B10DB">
      <w:pPr>
        <w:tabs>
          <w:tab w:val="left" w:pos="851"/>
        </w:tabs>
        <w:ind w:left="851"/>
        <w:rPr>
          <w:sz w:val="24"/>
          <w:szCs w:val="24"/>
        </w:rPr>
      </w:pPr>
    </w:p>
    <w:p w:rsidR="004B10DB" w:rsidRDefault="004B10DB" w:rsidP="004B10DB">
      <w:pPr>
        <w:tabs>
          <w:tab w:val="left" w:pos="851"/>
        </w:tabs>
        <w:ind w:left="851"/>
        <w:rPr>
          <w:sz w:val="24"/>
          <w:szCs w:val="24"/>
        </w:rPr>
      </w:pPr>
      <w:r>
        <w:rPr>
          <w:sz w:val="24"/>
          <w:szCs w:val="24"/>
        </w:rPr>
        <w:t xml:space="preserve">De forholdsregler, der træffes, betragtes som effektive over for kappebærende vira som human immundefekt virus (HIV), hepatitis B-virus (HBV) og hepatitis C-virus (HCV) samt ikke-kappebærende hepatitis A virus (HAV). Forholdsreglerne kan være af begrænset værdi overfor ikke-kappebærende vira såsom </w:t>
      </w:r>
      <w:proofErr w:type="spellStart"/>
      <w:r>
        <w:rPr>
          <w:sz w:val="24"/>
          <w:szCs w:val="24"/>
        </w:rPr>
        <w:t>parvovirus</w:t>
      </w:r>
      <w:proofErr w:type="spellEnd"/>
      <w:r>
        <w:rPr>
          <w:sz w:val="24"/>
          <w:szCs w:val="24"/>
        </w:rPr>
        <w:t xml:space="preserve"> B19. En infektion med </w:t>
      </w:r>
      <w:proofErr w:type="spellStart"/>
      <w:r>
        <w:rPr>
          <w:sz w:val="24"/>
          <w:szCs w:val="24"/>
        </w:rPr>
        <w:t>parvovirus</w:t>
      </w:r>
      <w:proofErr w:type="spellEnd"/>
      <w:r>
        <w:rPr>
          <w:sz w:val="24"/>
          <w:szCs w:val="24"/>
        </w:rPr>
        <w:t xml:space="preserve"> B19 kan være alvorlig for gravide kvinder (</w:t>
      </w:r>
      <w:proofErr w:type="spellStart"/>
      <w:r>
        <w:rPr>
          <w:sz w:val="24"/>
          <w:szCs w:val="24"/>
        </w:rPr>
        <w:t>føtal</w:t>
      </w:r>
      <w:proofErr w:type="spellEnd"/>
      <w:r>
        <w:rPr>
          <w:sz w:val="24"/>
          <w:szCs w:val="24"/>
        </w:rPr>
        <w:t xml:space="preserve"> infektion) og for personer med immundefekt eller med øget </w:t>
      </w:r>
      <w:proofErr w:type="spellStart"/>
      <w:r>
        <w:rPr>
          <w:sz w:val="24"/>
          <w:szCs w:val="24"/>
        </w:rPr>
        <w:t>erytropoiese</w:t>
      </w:r>
      <w:proofErr w:type="spellEnd"/>
      <w:r>
        <w:rPr>
          <w:sz w:val="24"/>
          <w:szCs w:val="24"/>
        </w:rPr>
        <w:t xml:space="preserve"> (f.eks. </w:t>
      </w:r>
      <w:proofErr w:type="spellStart"/>
      <w:r>
        <w:rPr>
          <w:sz w:val="24"/>
          <w:szCs w:val="24"/>
        </w:rPr>
        <w:t>hæmolytisk</w:t>
      </w:r>
      <w:proofErr w:type="spellEnd"/>
      <w:r>
        <w:rPr>
          <w:sz w:val="24"/>
          <w:szCs w:val="24"/>
        </w:rPr>
        <w:t xml:space="preserve"> anæmi).</w:t>
      </w:r>
    </w:p>
    <w:p w:rsidR="004B10DB" w:rsidRDefault="004B10DB" w:rsidP="004B10DB">
      <w:pPr>
        <w:tabs>
          <w:tab w:val="left" w:pos="851"/>
        </w:tabs>
        <w:ind w:left="851"/>
        <w:rPr>
          <w:sz w:val="24"/>
          <w:szCs w:val="24"/>
        </w:rPr>
      </w:pPr>
    </w:p>
    <w:p w:rsidR="004B10DB" w:rsidRDefault="004B10DB" w:rsidP="004B10DB">
      <w:pPr>
        <w:tabs>
          <w:tab w:val="left" w:pos="851"/>
        </w:tabs>
        <w:ind w:left="851"/>
        <w:rPr>
          <w:sz w:val="24"/>
          <w:szCs w:val="24"/>
        </w:rPr>
      </w:pPr>
      <w:r>
        <w:rPr>
          <w:sz w:val="24"/>
          <w:szCs w:val="24"/>
        </w:rPr>
        <w:t xml:space="preserve">Relevant vaccination (hepatitis A og B) bør overvejes hos patienter, der regelmæssigt eller gentagne gange får </w:t>
      </w:r>
      <w:proofErr w:type="spellStart"/>
      <w:r>
        <w:rPr>
          <w:sz w:val="24"/>
          <w:szCs w:val="24"/>
        </w:rPr>
        <w:t>fibrinogen</w:t>
      </w:r>
      <w:proofErr w:type="spellEnd"/>
      <w:r>
        <w:rPr>
          <w:sz w:val="24"/>
          <w:szCs w:val="24"/>
        </w:rPr>
        <w:t xml:space="preserve"> udvundet af humant plasma.</w:t>
      </w:r>
    </w:p>
    <w:p w:rsidR="004B10DB" w:rsidRDefault="004B10DB" w:rsidP="004B10DB">
      <w:pPr>
        <w:tabs>
          <w:tab w:val="left" w:pos="851"/>
        </w:tabs>
        <w:ind w:left="851"/>
        <w:rPr>
          <w:sz w:val="24"/>
          <w:szCs w:val="24"/>
        </w:rPr>
      </w:pPr>
    </w:p>
    <w:p w:rsidR="004B10DB" w:rsidRDefault="004B10DB" w:rsidP="004B10DB">
      <w:pPr>
        <w:pStyle w:val="Underline"/>
        <w:tabs>
          <w:tab w:val="clear" w:pos="567"/>
          <w:tab w:val="left" w:pos="851"/>
        </w:tabs>
        <w:ind w:left="851"/>
        <w:rPr>
          <w:sz w:val="24"/>
          <w:szCs w:val="24"/>
        </w:rPr>
      </w:pPr>
      <w:proofErr w:type="spellStart"/>
      <w:r>
        <w:rPr>
          <w:sz w:val="24"/>
          <w:szCs w:val="24"/>
        </w:rPr>
        <w:t>Immunogenicitet</w:t>
      </w:r>
      <w:proofErr w:type="spellEnd"/>
    </w:p>
    <w:p w:rsidR="004B10DB" w:rsidRDefault="004B10DB" w:rsidP="004B10DB">
      <w:pPr>
        <w:tabs>
          <w:tab w:val="left" w:pos="851"/>
        </w:tabs>
        <w:ind w:left="851"/>
        <w:rPr>
          <w:sz w:val="24"/>
          <w:szCs w:val="24"/>
        </w:rPr>
      </w:pPr>
      <w:r>
        <w:rPr>
          <w:sz w:val="24"/>
          <w:szCs w:val="24"/>
        </w:rPr>
        <w:t xml:space="preserve">Der er set antistofreaktioner i forbindelse med substitutionsterapi med koagulationsfaktorer mod andre medfødte koagulationsforstyrrelser, men aktuelt foreligger der ingen data for </w:t>
      </w:r>
      <w:proofErr w:type="spellStart"/>
      <w:r>
        <w:rPr>
          <w:sz w:val="24"/>
          <w:szCs w:val="24"/>
        </w:rPr>
        <w:t>fibrinogen</w:t>
      </w:r>
      <w:proofErr w:type="spellEnd"/>
      <w:r>
        <w:rPr>
          <w:sz w:val="24"/>
          <w:szCs w:val="24"/>
        </w:rPr>
        <w:t>.</w:t>
      </w:r>
    </w:p>
    <w:p w:rsidR="004B10DB" w:rsidRDefault="004B10DB" w:rsidP="004B10DB">
      <w:pPr>
        <w:tabs>
          <w:tab w:val="left" w:pos="851"/>
        </w:tabs>
        <w:ind w:left="851"/>
        <w:rPr>
          <w:sz w:val="24"/>
          <w:szCs w:val="24"/>
        </w:rPr>
      </w:pPr>
    </w:p>
    <w:p w:rsidR="004B10DB" w:rsidRDefault="004B10DB" w:rsidP="004B10DB">
      <w:pPr>
        <w:pStyle w:val="Underline"/>
        <w:tabs>
          <w:tab w:val="clear" w:pos="567"/>
          <w:tab w:val="left" w:pos="851"/>
        </w:tabs>
        <w:ind w:left="851"/>
        <w:rPr>
          <w:sz w:val="24"/>
          <w:szCs w:val="24"/>
        </w:rPr>
      </w:pPr>
      <w:r>
        <w:rPr>
          <w:sz w:val="24"/>
          <w:szCs w:val="24"/>
        </w:rPr>
        <w:t>Natriumindhold</w:t>
      </w:r>
    </w:p>
    <w:p w:rsidR="004B10DB" w:rsidRDefault="004B10DB" w:rsidP="004B10DB">
      <w:pPr>
        <w:tabs>
          <w:tab w:val="left" w:pos="851"/>
        </w:tabs>
        <w:ind w:left="851"/>
        <w:rPr>
          <w:sz w:val="24"/>
          <w:szCs w:val="24"/>
        </w:rPr>
      </w:pPr>
      <w:r>
        <w:rPr>
          <w:sz w:val="24"/>
          <w:szCs w:val="24"/>
        </w:rPr>
        <w:t>Dette lægemiddel indeholder op til 69 mg natrium pr. hætteglas, svarende til 3,45 % af den af WHO anbefalede maksimale daglige indtagelse af 2 g natrium for en voksen. Der skal tages højde for dette hos patienter på diæt med lavt natriumindhold.</w:t>
      </w:r>
    </w:p>
    <w:p w:rsidR="004F7AEB" w:rsidRPr="00AA4729" w:rsidRDefault="004F7AEB" w:rsidP="004F7AEB">
      <w:pPr>
        <w:pStyle w:val="KeepWithNext"/>
        <w:tabs>
          <w:tab w:val="clear" w:pos="567"/>
          <w:tab w:val="left" w:pos="851"/>
        </w:tabs>
        <w:ind w:left="851"/>
        <w:rPr>
          <w:sz w:val="24"/>
          <w:szCs w:val="24"/>
        </w:rPr>
      </w:pPr>
    </w:p>
    <w:p w:rsidR="004F7AEB" w:rsidRPr="00AA4729" w:rsidRDefault="004F7AEB" w:rsidP="004F7AEB">
      <w:pPr>
        <w:pStyle w:val="Underline"/>
        <w:tabs>
          <w:tab w:val="clear" w:pos="567"/>
          <w:tab w:val="left" w:pos="851"/>
        </w:tabs>
        <w:ind w:left="851"/>
        <w:rPr>
          <w:sz w:val="24"/>
          <w:szCs w:val="24"/>
        </w:rPr>
      </w:pPr>
      <w:r w:rsidRPr="00AA4729">
        <w:rPr>
          <w:sz w:val="24"/>
          <w:szCs w:val="24"/>
        </w:rPr>
        <w:t>Pædiatrisk population</w:t>
      </w:r>
    </w:p>
    <w:p w:rsidR="004F7AEB" w:rsidRPr="00C84483" w:rsidRDefault="004F7AEB" w:rsidP="004F7AEB">
      <w:pPr>
        <w:tabs>
          <w:tab w:val="left" w:pos="851"/>
        </w:tabs>
        <w:ind w:left="851"/>
        <w:rPr>
          <w:sz w:val="24"/>
          <w:szCs w:val="24"/>
        </w:rPr>
      </w:pPr>
      <w:r w:rsidRPr="00AA4729">
        <w:rPr>
          <w:sz w:val="24"/>
          <w:szCs w:val="24"/>
        </w:rPr>
        <w:t>De samme advarsler og forsigtighedsregler gælder for den pædiatriske population.</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4F7AEB" w:rsidRPr="00C84483" w:rsidRDefault="004F7AEB" w:rsidP="004F7AEB">
      <w:pPr>
        <w:tabs>
          <w:tab w:val="left" w:pos="851"/>
        </w:tabs>
        <w:ind w:left="851"/>
        <w:rPr>
          <w:sz w:val="24"/>
          <w:szCs w:val="24"/>
        </w:rPr>
      </w:pPr>
      <w:r w:rsidRPr="00AA4729">
        <w:rPr>
          <w:sz w:val="24"/>
          <w:szCs w:val="24"/>
        </w:rPr>
        <w:t xml:space="preserve">Der er ingen kendte interaktioner mellem lægemidler med humant </w:t>
      </w:r>
      <w:proofErr w:type="spellStart"/>
      <w:r w:rsidRPr="00AA4729">
        <w:rPr>
          <w:sz w:val="24"/>
          <w:szCs w:val="24"/>
        </w:rPr>
        <w:t>fibrinogen</w:t>
      </w:r>
      <w:proofErr w:type="spellEnd"/>
      <w:r w:rsidRPr="00AA4729">
        <w:rPr>
          <w:sz w:val="24"/>
          <w:szCs w:val="24"/>
        </w:rPr>
        <w:t xml:space="preserve"> og andre lægemidler.</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4.6</w:t>
      </w:r>
      <w:r w:rsidRPr="00C84483">
        <w:rPr>
          <w:b/>
          <w:sz w:val="24"/>
          <w:szCs w:val="24"/>
        </w:rPr>
        <w:tab/>
      </w:r>
      <w:r w:rsidR="004B10DB">
        <w:rPr>
          <w:b/>
          <w:sz w:val="24"/>
          <w:szCs w:val="24"/>
        </w:rPr>
        <w:t>Fertilitet, g</w:t>
      </w:r>
      <w:r w:rsidRPr="00C84483">
        <w:rPr>
          <w:b/>
          <w:sz w:val="24"/>
          <w:szCs w:val="24"/>
        </w:rPr>
        <w:t>raviditet og amning</w:t>
      </w:r>
    </w:p>
    <w:p w:rsidR="004F7AEB" w:rsidRPr="00AA4729" w:rsidRDefault="004F7AEB" w:rsidP="004F7AEB">
      <w:pPr>
        <w:tabs>
          <w:tab w:val="left" w:pos="851"/>
        </w:tabs>
        <w:ind w:left="851"/>
        <w:rPr>
          <w:sz w:val="24"/>
          <w:szCs w:val="24"/>
        </w:rPr>
      </w:pPr>
      <w:r w:rsidRPr="00AA4729">
        <w:rPr>
          <w:sz w:val="24"/>
          <w:szCs w:val="24"/>
        </w:rPr>
        <w:t xml:space="preserve">Sikkerheden af plasmaprodukter med humant </w:t>
      </w:r>
      <w:proofErr w:type="spellStart"/>
      <w:r w:rsidRPr="00AA4729">
        <w:rPr>
          <w:sz w:val="24"/>
          <w:szCs w:val="24"/>
        </w:rPr>
        <w:t>fibrinogen</w:t>
      </w:r>
      <w:proofErr w:type="spellEnd"/>
      <w:r w:rsidRPr="00AA4729">
        <w:rPr>
          <w:sz w:val="24"/>
          <w:szCs w:val="24"/>
        </w:rPr>
        <w:t xml:space="preserve"> til brug under graviditet og amning er ikke blevet fastslået i kontrollerede kliniske forsøg.</w:t>
      </w:r>
    </w:p>
    <w:p w:rsidR="004F7AEB" w:rsidRPr="00AA4729" w:rsidRDefault="004F7AEB" w:rsidP="004F7AEB">
      <w:pPr>
        <w:tabs>
          <w:tab w:val="left" w:pos="851"/>
        </w:tabs>
        <w:ind w:left="851"/>
        <w:rPr>
          <w:sz w:val="24"/>
          <w:szCs w:val="24"/>
        </w:rPr>
      </w:pPr>
    </w:p>
    <w:p w:rsidR="004F7AEB" w:rsidRPr="00C84483" w:rsidRDefault="004F7AEB" w:rsidP="004F7AEB">
      <w:pPr>
        <w:tabs>
          <w:tab w:val="left" w:pos="851"/>
        </w:tabs>
        <w:ind w:left="851"/>
        <w:rPr>
          <w:sz w:val="24"/>
          <w:szCs w:val="24"/>
        </w:rPr>
      </w:pPr>
      <w:r w:rsidRPr="00AA4729">
        <w:rPr>
          <w:sz w:val="24"/>
          <w:szCs w:val="24"/>
        </w:rPr>
        <w:lastRenderedPageBreak/>
        <w:t xml:space="preserve">Den kliniske erfaring med </w:t>
      </w:r>
      <w:proofErr w:type="spellStart"/>
      <w:r w:rsidRPr="00AA4729">
        <w:rPr>
          <w:sz w:val="24"/>
          <w:szCs w:val="24"/>
        </w:rPr>
        <w:t>fibrinogenprodukter</w:t>
      </w:r>
      <w:proofErr w:type="spellEnd"/>
      <w:r w:rsidRPr="00AA4729">
        <w:rPr>
          <w:sz w:val="24"/>
          <w:szCs w:val="24"/>
        </w:rPr>
        <w:t xml:space="preserve"> under behandling af obstetriske komplikationer indikerer, at der ikke kan forventes skadelig indvirkning på graviditetens forløb eller på fosterets eller den nyfødtes helbred.</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B10DB">
        <w:rPr>
          <w:b/>
          <w:sz w:val="24"/>
          <w:szCs w:val="24"/>
        </w:rPr>
        <w:t>og</w:t>
      </w:r>
      <w:r w:rsidRPr="00C84483">
        <w:rPr>
          <w:b/>
          <w:sz w:val="24"/>
          <w:szCs w:val="24"/>
        </w:rPr>
        <w:t xml:space="preserve"> betjene maskiner</w:t>
      </w:r>
    </w:p>
    <w:p w:rsidR="004F7AEB" w:rsidRDefault="004F7AEB" w:rsidP="004F7AEB">
      <w:pPr>
        <w:tabs>
          <w:tab w:val="left" w:pos="851"/>
        </w:tabs>
        <w:ind w:left="851"/>
        <w:rPr>
          <w:sz w:val="24"/>
          <w:szCs w:val="24"/>
        </w:rPr>
      </w:pPr>
      <w:r>
        <w:rPr>
          <w:sz w:val="24"/>
          <w:szCs w:val="24"/>
        </w:rPr>
        <w:t>Ikke mærkning.</w:t>
      </w:r>
    </w:p>
    <w:p w:rsidR="00B05C02" w:rsidRDefault="004F7AEB" w:rsidP="004B10DB">
      <w:pPr>
        <w:tabs>
          <w:tab w:val="left" w:pos="851"/>
        </w:tabs>
        <w:ind w:left="851"/>
        <w:rPr>
          <w:sz w:val="24"/>
          <w:szCs w:val="24"/>
        </w:rPr>
      </w:pPr>
      <w:proofErr w:type="spellStart"/>
      <w:r w:rsidRPr="00AA4729">
        <w:rPr>
          <w:sz w:val="24"/>
          <w:szCs w:val="24"/>
        </w:rPr>
        <w:t>Fibclot</w:t>
      </w:r>
      <w:proofErr w:type="spellEnd"/>
      <w:r w:rsidRPr="00AA4729">
        <w:rPr>
          <w:sz w:val="24"/>
          <w:szCs w:val="24"/>
        </w:rPr>
        <w:t xml:space="preserve"> påvirker ikke evnen til at føre motorkøretøj og betjene maskiner.</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4.8</w:t>
      </w:r>
      <w:r w:rsidRPr="00C84483">
        <w:rPr>
          <w:b/>
          <w:sz w:val="24"/>
          <w:szCs w:val="24"/>
        </w:rPr>
        <w:tab/>
        <w:t>Bivirkninger</w:t>
      </w:r>
    </w:p>
    <w:p w:rsidR="004F7AEB" w:rsidRDefault="004F7AEB" w:rsidP="004F7AEB">
      <w:pPr>
        <w:pStyle w:val="Underline"/>
        <w:tabs>
          <w:tab w:val="clear" w:pos="567"/>
          <w:tab w:val="left" w:pos="851"/>
        </w:tabs>
        <w:ind w:left="851"/>
        <w:rPr>
          <w:sz w:val="24"/>
          <w:szCs w:val="24"/>
        </w:rPr>
      </w:pPr>
    </w:p>
    <w:p w:rsidR="004F7AEB" w:rsidRPr="00AA4729" w:rsidRDefault="004F7AEB" w:rsidP="004F7AEB">
      <w:pPr>
        <w:pStyle w:val="Underline"/>
        <w:tabs>
          <w:tab w:val="clear" w:pos="567"/>
          <w:tab w:val="left" w:pos="851"/>
        </w:tabs>
        <w:ind w:left="851"/>
        <w:rPr>
          <w:sz w:val="24"/>
          <w:szCs w:val="24"/>
        </w:rPr>
      </w:pPr>
      <w:r w:rsidRPr="00AA4729">
        <w:rPr>
          <w:sz w:val="24"/>
          <w:szCs w:val="24"/>
        </w:rPr>
        <w:t>Skema over bivirkninger</w:t>
      </w:r>
    </w:p>
    <w:p w:rsidR="004F7AEB" w:rsidRPr="00411801" w:rsidRDefault="004F7AEB" w:rsidP="004F7AEB">
      <w:pPr>
        <w:tabs>
          <w:tab w:val="left" w:pos="851"/>
        </w:tabs>
        <w:ind w:left="851"/>
        <w:rPr>
          <w:sz w:val="24"/>
          <w:szCs w:val="24"/>
          <w:lang w:bidi="da-DK"/>
        </w:rPr>
      </w:pPr>
      <w:r w:rsidRPr="00411801">
        <w:rPr>
          <w:sz w:val="24"/>
          <w:szCs w:val="24"/>
          <w:lang w:bidi="da-DK"/>
        </w:rPr>
        <w:t xml:space="preserve">De bivirkninger, der vises i </w:t>
      </w:r>
      <w:r w:rsidR="004B10DB">
        <w:rPr>
          <w:sz w:val="24"/>
          <w:szCs w:val="24"/>
          <w:lang w:bidi="da-DK"/>
        </w:rPr>
        <w:t>tabellen</w:t>
      </w:r>
      <w:r w:rsidRPr="00411801">
        <w:rPr>
          <w:sz w:val="24"/>
          <w:szCs w:val="24"/>
          <w:lang w:bidi="da-DK"/>
        </w:rPr>
        <w:t xml:space="preserve"> herunder, er blevet rapporteret fra data hos 47 patienter med medfødt </w:t>
      </w:r>
      <w:proofErr w:type="spellStart"/>
      <w:r w:rsidRPr="00411801">
        <w:rPr>
          <w:sz w:val="24"/>
          <w:szCs w:val="24"/>
          <w:lang w:bidi="da-DK"/>
        </w:rPr>
        <w:t>fibrinogenmangel</w:t>
      </w:r>
      <w:proofErr w:type="spellEnd"/>
      <w:r w:rsidRPr="00411801">
        <w:rPr>
          <w:sz w:val="24"/>
          <w:szCs w:val="24"/>
          <w:lang w:bidi="da-DK"/>
        </w:rPr>
        <w:t xml:space="preserve">, som deltog i tre kliniske interventionsstudier og i et ikke-intervenerende sikkerhedsstudie efter markedsføringen. Under disse studier blev der rapporteret 39 bivirkninger hos 14/47 (29,8 %) af patienterne, som fik i alt 631 infusioner med </w:t>
      </w:r>
      <w:proofErr w:type="spellStart"/>
      <w:r w:rsidRPr="00411801">
        <w:rPr>
          <w:sz w:val="24"/>
          <w:szCs w:val="24"/>
          <w:lang w:bidi="da-DK"/>
        </w:rPr>
        <w:t>Fibclot</w:t>
      </w:r>
      <w:proofErr w:type="spellEnd"/>
      <w:r w:rsidRPr="00411801">
        <w:rPr>
          <w:sz w:val="24"/>
          <w:szCs w:val="24"/>
          <w:lang w:bidi="da-DK"/>
        </w:rPr>
        <w:t>.</w:t>
      </w:r>
    </w:p>
    <w:p w:rsidR="004F7AEB" w:rsidRDefault="004F7AEB" w:rsidP="004F7AEB">
      <w:pPr>
        <w:tabs>
          <w:tab w:val="left" w:pos="851"/>
        </w:tabs>
        <w:ind w:left="851"/>
        <w:rPr>
          <w:sz w:val="24"/>
          <w:szCs w:val="24"/>
        </w:rPr>
      </w:pPr>
    </w:p>
    <w:p w:rsidR="004F7AEB" w:rsidRPr="00411801" w:rsidRDefault="004F7AEB" w:rsidP="004F7AEB">
      <w:pPr>
        <w:tabs>
          <w:tab w:val="left" w:pos="851"/>
        </w:tabs>
        <w:ind w:left="851"/>
        <w:rPr>
          <w:sz w:val="24"/>
          <w:szCs w:val="24"/>
          <w:lang w:bidi="da-DK"/>
        </w:rPr>
      </w:pPr>
      <w:r w:rsidRPr="00411801">
        <w:rPr>
          <w:sz w:val="24"/>
          <w:szCs w:val="24"/>
          <w:lang w:bidi="da-DK"/>
        </w:rPr>
        <w:t xml:space="preserve">Den hyppigst rapporterede bivirkning efter administration af </w:t>
      </w:r>
      <w:proofErr w:type="spellStart"/>
      <w:r w:rsidRPr="00411801">
        <w:rPr>
          <w:sz w:val="24"/>
          <w:szCs w:val="24"/>
          <w:lang w:bidi="da-DK"/>
        </w:rPr>
        <w:t>Fibclot</w:t>
      </w:r>
      <w:proofErr w:type="spellEnd"/>
      <w:r w:rsidRPr="00411801">
        <w:rPr>
          <w:sz w:val="24"/>
          <w:szCs w:val="24"/>
          <w:lang w:bidi="da-DK"/>
        </w:rPr>
        <w:t xml:space="preserve"> var hovedpine, som opstod i 1,4 % af tilfældene (ved 9 ud af 631 infusioner), alle tilfælde af hovedpine var af mild til moderat intensitet, opstod inden for 48 timer efter infusionen og fortog sig uden følgevirkninger.</w:t>
      </w:r>
    </w:p>
    <w:p w:rsidR="004F7AEB" w:rsidRPr="00AA4729" w:rsidRDefault="004F7AEB" w:rsidP="004F7AEB">
      <w:pPr>
        <w:tabs>
          <w:tab w:val="left" w:pos="851"/>
        </w:tabs>
        <w:ind w:left="851"/>
        <w:rPr>
          <w:sz w:val="24"/>
          <w:szCs w:val="24"/>
        </w:rPr>
      </w:pPr>
    </w:p>
    <w:p w:rsidR="004F7AEB" w:rsidRDefault="004B10DB" w:rsidP="004F7AEB">
      <w:pPr>
        <w:tabs>
          <w:tab w:val="left" w:pos="851"/>
        </w:tabs>
        <w:ind w:left="851"/>
        <w:rPr>
          <w:sz w:val="24"/>
          <w:szCs w:val="24"/>
        </w:rPr>
      </w:pPr>
      <w:r>
        <w:rPr>
          <w:sz w:val="24"/>
          <w:szCs w:val="24"/>
        </w:rPr>
        <w:t>B</w:t>
      </w:r>
      <w:r w:rsidR="004F7AEB" w:rsidRPr="00AA4729">
        <w:rPr>
          <w:sz w:val="24"/>
          <w:szCs w:val="24"/>
        </w:rPr>
        <w:t>ivirkninger</w:t>
      </w:r>
      <w:r>
        <w:rPr>
          <w:sz w:val="24"/>
          <w:szCs w:val="24"/>
        </w:rPr>
        <w:t xml:space="preserve">ne </w:t>
      </w:r>
      <w:r w:rsidR="004F7AEB" w:rsidRPr="00AA4729">
        <w:rPr>
          <w:sz w:val="24"/>
          <w:szCs w:val="24"/>
        </w:rPr>
        <w:t xml:space="preserve">er beskrevet i overensstemmelse med </w:t>
      </w:r>
      <w:proofErr w:type="spellStart"/>
      <w:r w:rsidR="004F7AEB" w:rsidRPr="00AA4729">
        <w:rPr>
          <w:sz w:val="24"/>
          <w:szCs w:val="24"/>
        </w:rPr>
        <w:t>MedDRA</w:t>
      </w:r>
      <w:proofErr w:type="spellEnd"/>
      <w:r w:rsidR="004F7AEB" w:rsidRPr="00AA4729">
        <w:rPr>
          <w:sz w:val="24"/>
          <w:szCs w:val="24"/>
        </w:rPr>
        <w:t xml:space="preserve"> organklassificering (SOC og foretrukken betegnelse). Hyppigheden er blevet vurderet på pr. infusionsbasis i henhold til følgende konventioner: Meget almindelig (</w:t>
      </w:r>
      <w:r w:rsidR="004F7AEB" w:rsidRPr="00AA4729">
        <w:rPr>
          <w:rFonts w:ascii="Symbol" w:hAnsi="Symbol" w:hint="eastAsia"/>
          <w:sz w:val="24"/>
          <w:szCs w:val="24"/>
        </w:rPr>
        <w:sym w:font="Symbol" w:char="F0B3"/>
      </w:r>
      <w:r w:rsidR="004F7AEB" w:rsidRPr="00AA4729">
        <w:rPr>
          <w:sz w:val="24"/>
          <w:szCs w:val="24"/>
        </w:rPr>
        <w:t>1/10); almindelig (</w:t>
      </w:r>
      <w:r w:rsidR="004F7AEB" w:rsidRPr="00AA4729">
        <w:rPr>
          <w:rFonts w:ascii="Symbol" w:hAnsi="Symbol" w:hint="eastAsia"/>
          <w:sz w:val="24"/>
          <w:szCs w:val="24"/>
        </w:rPr>
        <w:sym w:font="Symbol" w:char="F0B3"/>
      </w:r>
      <w:r w:rsidR="004F7AEB" w:rsidRPr="00AA4729">
        <w:rPr>
          <w:sz w:val="24"/>
          <w:szCs w:val="24"/>
        </w:rPr>
        <w:t xml:space="preserve">1/100 til </w:t>
      </w:r>
      <w:r w:rsidR="004F7AEB" w:rsidRPr="00AA4729">
        <w:rPr>
          <w:rFonts w:ascii="Symbol" w:hAnsi="Symbol" w:hint="eastAsia"/>
          <w:sz w:val="24"/>
          <w:szCs w:val="24"/>
        </w:rPr>
        <w:sym w:font="Symbol" w:char="F03C"/>
      </w:r>
      <w:r w:rsidR="004F7AEB" w:rsidRPr="00AA4729">
        <w:rPr>
          <w:sz w:val="24"/>
          <w:szCs w:val="24"/>
        </w:rPr>
        <w:t>1/10); ikke almindelig (</w:t>
      </w:r>
      <w:r w:rsidR="004F7AEB" w:rsidRPr="00AA4729">
        <w:rPr>
          <w:rFonts w:ascii="Symbol" w:hAnsi="Symbol" w:hint="eastAsia"/>
          <w:sz w:val="24"/>
          <w:szCs w:val="24"/>
        </w:rPr>
        <w:sym w:font="Symbol" w:char="F0B3"/>
      </w:r>
      <w:r w:rsidR="004F7AEB" w:rsidRPr="00AA4729">
        <w:rPr>
          <w:sz w:val="24"/>
          <w:szCs w:val="24"/>
        </w:rPr>
        <w:t xml:space="preserve">1/1.000 til </w:t>
      </w:r>
      <w:r w:rsidR="004F7AEB" w:rsidRPr="00AA4729">
        <w:rPr>
          <w:rFonts w:ascii="Symbol" w:hAnsi="Symbol" w:hint="eastAsia"/>
          <w:sz w:val="24"/>
          <w:szCs w:val="24"/>
        </w:rPr>
        <w:sym w:font="Symbol" w:char="F03C"/>
      </w:r>
      <w:r w:rsidR="004F7AEB" w:rsidRPr="00AA4729">
        <w:rPr>
          <w:sz w:val="24"/>
          <w:szCs w:val="24"/>
        </w:rPr>
        <w:t>1/100); sjælden (</w:t>
      </w:r>
      <w:r w:rsidR="004F7AEB" w:rsidRPr="00AA4729">
        <w:rPr>
          <w:rFonts w:ascii="Symbol" w:hAnsi="Symbol" w:hint="eastAsia"/>
          <w:sz w:val="24"/>
          <w:szCs w:val="24"/>
        </w:rPr>
        <w:sym w:font="Symbol" w:char="F0B3"/>
      </w:r>
      <w:r w:rsidR="004F7AEB" w:rsidRPr="00AA4729">
        <w:rPr>
          <w:sz w:val="24"/>
          <w:szCs w:val="24"/>
        </w:rPr>
        <w:t xml:space="preserve">1/10.000 til </w:t>
      </w:r>
      <w:r w:rsidR="004F7AEB" w:rsidRPr="00AA4729">
        <w:rPr>
          <w:rFonts w:ascii="Symbol" w:hAnsi="Symbol" w:hint="eastAsia"/>
          <w:sz w:val="24"/>
          <w:szCs w:val="24"/>
        </w:rPr>
        <w:sym w:font="Symbol" w:char="F03C"/>
      </w:r>
      <w:r w:rsidR="004F7AEB" w:rsidRPr="00AA4729">
        <w:rPr>
          <w:sz w:val="24"/>
          <w:szCs w:val="24"/>
        </w:rPr>
        <w:t>1/1.000); meget sjælden (</w:t>
      </w:r>
      <w:r w:rsidR="004F7AEB" w:rsidRPr="00AA4729">
        <w:rPr>
          <w:rFonts w:ascii="Symbol" w:hAnsi="Symbol" w:hint="eastAsia"/>
          <w:sz w:val="24"/>
          <w:szCs w:val="24"/>
        </w:rPr>
        <w:sym w:font="Symbol" w:char="F03C"/>
      </w:r>
      <w:r w:rsidR="004F7AEB" w:rsidRPr="00AA4729">
        <w:rPr>
          <w:sz w:val="24"/>
          <w:szCs w:val="24"/>
        </w:rPr>
        <w:t>1/10.000</w:t>
      </w:r>
      <w:r w:rsidR="004F7AEB">
        <w:rPr>
          <w:sz w:val="24"/>
          <w:szCs w:val="24"/>
        </w:rPr>
        <w:t>).</w:t>
      </w:r>
    </w:p>
    <w:p w:rsidR="004F7AEB" w:rsidRDefault="004F7AEB" w:rsidP="004B10DB">
      <w:pPr>
        <w:tabs>
          <w:tab w:val="left" w:pos="851"/>
        </w:tabs>
        <w:rPr>
          <w:sz w:val="24"/>
          <w:szCs w:val="24"/>
        </w:rPr>
      </w:pPr>
    </w:p>
    <w:p w:rsidR="004F7AEB" w:rsidRDefault="004F7AEB" w:rsidP="004F7AEB">
      <w:pPr>
        <w:tabs>
          <w:tab w:val="left" w:pos="851"/>
        </w:tabs>
        <w:ind w:left="851"/>
        <w:rPr>
          <w:sz w:val="24"/>
          <w:szCs w:val="24"/>
        </w:rPr>
      </w:pPr>
    </w:p>
    <w:p w:rsidR="004F7AEB" w:rsidRPr="00147BE5" w:rsidRDefault="004B10DB" w:rsidP="004F7AEB">
      <w:pPr>
        <w:tabs>
          <w:tab w:val="left" w:pos="851"/>
        </w:tabs>
        <w:ind w:left="851"/>
        <w:rPr>
          <w:sz w:val="24"/>
          <w:szCs w:val="24"/>
        </w:rPr>
      </w:pPr>
      <w:r>
        <w:rPr>
          <w:b/>
          <w:sz w:val="24"/>
          <w:szCs w:val="24"/>
        </w:rPr>
        <w:t>Tabel</w:t>
      </w:r>
      <w:r w:rsidR="004F7AEB" w:rsidRPr="00147BE5">
        <w:rPr>
          <w:b/>
          <w:sz w:val="24"/>
          <w:szCs w:val="24"/>
        </w:rPr>
        <w:t xml:space="preserve"> 1: Bivirkninger i en pædiatrisk og voksen population med medfødt mangel</w:t>
      </w:r>
    </w:p>
    <w:p w:rsidR="004F7AEB" w:rsidRDefault="004F7AEB" w:rsidP="004F7AEB">
      <w:pPr>
        <w:tabs>
          <w:tab w:val="left" w:pos="851"/>
        </w:tabs>
        <w:ind w:left="851"/>
        <w:rPr>
          <w:sz w:val="24"/>
          <w:szCs w:val="24"/>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3"/>
        <w:gridCol w:w="4848"/>
        <w:gridCol w:w="1757"/>
      </w:tblGrid>
      <w:tr w:rsidR="004F7AEB" w:rsidRPr="00AA4729" w:rsidTr="003B4BCE">
        <w:trPr>
          <w:jc w:val="center"/>
        </w:trPr>
        <w:tc>
          <w:tcPr>
            <w:tcW w:w="1421" w:type="pct"/>
            <w:tcMar>
              <w:top w:w="0" w:type="dxa"/>
              <w:left w:w="108" w:type="dxa"/>
              <w:bottom w:w="0" w:type="dxa"/>
              <w:right w:w="108" w:type="dxa"/>
            </w:tcMar>
            <w:vAlign w:val="center"/>
          </w:tcPr>
          <w:p w:rsidR="004F7AEB" w:rsidRPr="00AA4729" w:rsidRDefault="004F7AEB" w:rsidP="003B4BCE">
            <w:pPr>
              <w:pStyle w:val="Bold"/>
              <w:tabs>
                <w:tab w:val="clear" w:pos="567"/>
                <w:tab w:val="left" w:pos="0"/>
              </w:tabs>
              <w:rPr>
                <w:sz w:val="24"/>
                <w:szCs w:val="24"/>
              </w:rPr>
            </w:pPr>
            <w:proofErr w:type="spellStart"/>
            <w:r w:rsidRPr="00AA4729">
              <w:rPr>
                <w:sz w:val="24"/>
                <w:szCs w:val="24"/>
              </w:rPr>
              <w:t>MedDRA</w:t>
            </w:r>
            <w:proofErr w:type="spellEnd"/>
            <w:r w:rsidRPr="00AA4729">
              <w:rPr>
                <w:sz w:val="24"/>
                <w:szCs w:val="24"/>
              </w:rPr>
              <w:t xml:space="preserve"> organklassificering</w:t>
            </w:r>
          </w:p>
        </w:tc>
        <w:tc>
          <w:tcPr>
            <w:tcW w:w="2627" w:type="pct"/>
            <w:tcMar>
              <w:top w:w="0" w:type="dxa"/>
              <w:left w:w="108" w:type="dxa"/>
              <w:bottom w:w="0" w:type="dxa"/>
              <w:right w:w="108" w:type="dxa"/>
            </w:tcMar>
            <w:vAlign w:val="center"/>
          </w:tcPr>
          <w:p w:rsidR="004F7AEB" w:rsidRPr="00AA4729" w:rsidRDefault="004F7AEB" w:rsidP="003B4BCE">
            <w:pPr>
              <w:pStyle w:val="Bold"/>
              <w:tabs>
                <w:tab w:val="clear" w:pos="567"/>
                <w:tab w:val="left" w:pos="9"/>
              </w:tabs>
              <w:ind w:left="9"/>
              <w:rPr>
                <w:sz w:val="24"/>
                <w:szCs w:val="24"/>
              </w:rPr>
            </w:pPr>
            <w:r w:rsidRPr="00AA4729">
              <w:rPr>
                <w:sz w:val="24"/>
                <w:szCs w:val="24"/>
              </w:rPr>
              <w:t>Bivirkninger</w:t>
            </w:r>
          </w:p>
        </w:tc>
        <w:tc>
          <w:tcPr>
            <w:tcW w:w="952" w:type="pct"/>
            <w:tcMar>
              <w:top w:w="0" w:type="dxa"/>
              <w:left w:w="108" w:type="dxa"/>
              <w:bottom w:w="0" w:type="dxa"/>
              <w:right w:w="108" w:type="dxa"/>
            </w:tcMar>
            <w:vAlign w:val="center"/>
          </w:tcPr>
          <w:p w:rsidR="004F7AEB" w:rsidRPr="00AA4729" w:rsidRDefault="004F7AEB" w:rsidP="003B4BCE">
            <w:pPr>
              <w:pStyle w:val="Bold"/>
              <w:tabs>
                <w:tab w:val="clear" w:pos="567"/>
              </w:tabs>
              <w:rPr>
                <w:sz w:val="24"/>
                <w:szCs w:val="24"/>
              </w:rPr>
            </w:pPr>
            <w:r>
              <w:rPr>
                <w:sz w:val="24"/>
                <w:szCs w:val="24"/>
              </w:rPr>
              <w:t>Hyppighed pr. infusion</w:t>
            </w:r>
          </w:p>
        </w:tc>
      </w:tr>
      <w:tr w:rsidR="004F7AEB" w:rsidRPr="00AA4729" w:rsidTr="003B4BCE">
        <w:trPr>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r w:rsidRPr="00AA4729">
              <w:rPr>
                <w:sz w:val="24"/>
                <w:szCs w:val="24"/>
              </w:rPr>
              <w:t>Immunsystemet</w:t>
            </w: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Allergiske/</w:t>
            </w:r>
            <w:proofErr w:type="spellStart"/>
            <w:r w:rsidRPr="00AA4729">
              <w:rPr>
                <w:sz w:val="24"/>
                <w:szCs w:val="24"/>
              </w:rPr>
              <w:t>anafylaktiske</w:t>
            </w:r>
            <w:proofErr w:type="spellEnd"/>
            <w:r w:rsidRPr="00AA4729">
              <w:rPr>
                <w:sz w:val="24"/>
                <w:szCs w:val="24"/>
              </w:rPr>
              <w:t xml:space="preserve"> reaktioner (herunder </w:t>
            </w:r>
            <w:proofErr w:type="spellStart"/>
            <w:r w:rsidRPr="00AA4729">
              <w:rPr>
                <w:sz w:val="24"/>
                <w:szCs w:val="24"/>
              </w:rPr>
              <w:t>anafylaktisk</w:t>
            </w:r>
            <w:proofErr w:type="spellEnd"/>
            <w:r w:rsidRPr="00AA4729">
              <w:rPr>
                <w:sz w:val="24"/>
                <w:szCs w:val="24"/>
              </w:rPr>
              <w:t xml:space="preserve"> </w:t>
            </w:r>
            <w:proofErr w:type="spellStart"/>
            <w:r w:rsidRPr="00AA4729">
              <w:rPr>
                <w:sz w:val="24"/>
                <w:szCs w:val="24"/>
              </w:rPr>
              <w:t>shock</w:t>
            </w:r>
            <w:proofErr w:type="spellEnd"/>
            <w:r w:rsidRPr="00AA4729">
              <w:rPr>
                <w:sz w:val="24"/>
                <w:szCs w:val="24"/>
              </w:rPr>
              <w:t xml:space="preserve">, bleghed, opkastning, hoste, nedsat blodtryk, kuldegysninger, </w:t>
            </w:r>
            <w:proofErr w:type="spellStart"/>
            <w:r w:rsidRPr="00AA4729">
              <w:rPr>
                <w:sz w:val="24"/>
                <w:szCs w:val="24"/>
              </w:rPr>
              <w:t>urticaria</w:t>
            </w:r>
            <w:proofErr w:type="spellEnd"/>
            <w:r w:rsidRPr="00AA4729">
              <w:rPr>
                <w:sz w:val="24"/>
                <w:szCs w:val="24"/>
              </w:rPr>
              <w:t>)</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r>
              <w:rPr>
                <w:sz w:val="24"/>
                <w:szCs w:val="24"/>
              </w:rPr>
              <w:t>*</w:t>
            </w:r>
          </w:p>
        </w:tc>
      </w:tr>
      <w:tr w:rsidR="004F7AEB" w:rsidRPr="00AA4729" w:rsidTr="003B4BCE">
        <w:trPr>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r w:rsidRPr="00AA4729">
              <w:rPr>
                <w:sz w:val="24"/>
                <w:szCs w:val="24"/>
              </w:rPr>
              <w:t>Nervesystemet</w:t>
            </w: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Hovedpine</w:t>
            </w:r>
          </w:p>
          <w:p w:rsidR="004F7AEB" w:rsidRPr="00AA4729" w:rsidRDefault="004F7AEB" w:rsidP="003B4BCE">
            <w:pPr>
              <w:tabs>
                <w:tab w:val="left" w:pos="9"/>
              </w:tabs>
              <w:ind w:left="9"/>
              <w:rPr>
                <w:sz w:val="24"/>
                <w:szCs w:val="24"/>
              </w:rPr>
            </w:pPr>
            <w:r w:rsidRPr="00AA4729">
              <w:rPr>
                <w:sz w:val="24"/>
                <w:szCs w:val="24"/>
              </w:rPr>
              <w:t>Svimmelhed</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Almindelig</w:t>
            </w:r>
          </w:p>
          <w:p w:rsidR="004F7AEB" w:rsidRPr="00AA4729" w:rsidRDefault="004F7AEB" w:rsidP="003B4BCE">
            <w:pPr>
              <w:rPr>
                <w:sz w:val="24"/>
                <w:szCs w:val="24"/>
              </w:rPr>
            </w:pPr>
            <w:r w:rsidRPr="00AA4729">
              <w:rPr>
                <w:sz w:val="24"/>
                <w:szCs w:val="24"/>
              </w:rPr>
              <w:t>Ikke almindelig</w:t>
            </w:r>
          </w:p>
        </w:tc>
      </w:tr>
      <w:tr w:rsidR="004F7AEB" w:rsidRPr="00AA4729" w:rsidTr="003B4BCE">
        <w:trPr>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r w:rsidRPr="00AA4729">
              <w:rPr>
                <w:sz w:val="24"/>
                <w:szCs w:val="24"/>
              </w:rPr>
              <w:t>Øre og labyrint</w:t>
            </w: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Tinnitus</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r w:rsidR="004F7AEB" w:rsidRPr="00AA4729" w:rsidTr="003B4BCE">
        <w:trPr>
          <w:trHeight w:val="605"/>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proofErr w:type="spellStart"/>
            <w:r w:rsidRPr="00AA4729">
              <w:rPr>
                <w:sz w:val="24"/>
                <w:szCs w:val="24"/>
              </w:rPr>
              <w:t>Vaskulære</w:t>
            </w:r>
            <w:proofErr w:type="spellEnd"/>
            <w:r w:rsidRPr="00AA4729">
              <w:rPr>
                <w:sz w:val="24"/>
                <w:szCs w:val="24"/>
              </w:rPr>
              <w:t xml:space="preserve"> sygdomme</w:t>
            </w:r>
          </w:p>
        </w:tc>
        <w:tc>
          <w:tcPr>
            <w:tcW w:w="2627" w:type="pct"/>
            <w:tcMar>
              <w:top w:w="0" w:type="dxa"/>
              <w:left w:w="108" w:type="dxa"/>
              <w:bottom w:w="0" w:type="dxa"/>
              <w:right w:w="108" w:type="dxa"/>
            </w:tcMar>
          </w:tcPr>
          <w:p w:rsidR="004F7AEB" w:rsidRPr="00AA4729" w:rsidRDefault="004B10DB" w:rsidP="003B4BCE">
            <w:pPr>
              <w:tabs>
                <w:tab w:val="left" w:pos="9"/>
              </w:tabs>
              <w:ind w:left="9"/>
              <w:rPr>
                <w:sz w:val="24"/>
                <w:szCs w:val="24"/>
              </w:rPr>
            </w:pPr>
            <w:proofErr w:type="spellStart"/>
            <w:r>
              <w:rPr>
                <w:sz w:val="24"/>
                <w:szCs w:val="24"/>
              </w:rPr>
              <w:t>Tromboemboliske</w:t>
            </w:r>
            <w:proofErr w:type="spellEnd"/>
            <w:r>
              <w:rPr>
                <w:sz w:val="24"/>
                <w:szCs w:val="24"/>
              </w:rPr>
              <w:t xml:space="preserve"> episoder (herunder dyb </w:t>
            </w:r>
            <w:proofErr w:type="spellStart"/>
            <w:r>
              <w:rPr>
                <w:sz w:val="24"/>
                <w:szCs w:val="24"/>
              </w:rPr>
              <w:t>venetrombrose</w:t>
            </w:r>
            <w:proofErr w:type="spellEnd"/>
            <w:r>
              <w:rPr>
                <w:sz w:val="24"/>
                <w:szCs w:val="24"/>
              </w:rPr>
              <w:t xml:space="preserve">, </w:t>
            </w:r>
            <w:proofErr w:type="spellStart"/>
            <w:r>
              <w:rPr>
                <w:sz w:val="24"/>
                <w:szCs w:val="24"/>
              </w:rPr>
              <w:t>superficiel</w:t>
            </w:r>
            <w:proofErr w:type="spellEnd"/>
            <w:r>
              <w:rPr>
                <w:sz w:val="24"/>
                <w:szCs w:val="24"/>
              </w:rPr>
              <w:t xml:space="preserve"> venøs trombose (se pkt. 4.4.))</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r w:rsidR="004F7AEB" w:rsidRPr="00AA4729" w:rsidTr="003B4BCE">
        <w:trPr>
          <w:trHeight w:val="311"/>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r w:rsidRPr="00AA4729">
              <w:rPr>
                <w:sz w:val="24"/>
                <w:szCs w:val="24"/>
              </w:rPr>
              <w:t xml:space="preserve">Luftveje, thorax og </w:t>
            </w:r>
            <w:proofErr w:type="spellStart"/>
            <w:r w:rsidRPr="00AA4729">
              <w:rPr>
                <w:sz w:val="24"/>
                <w:szCs w:val="24"/>
              </w:rPr>
              <w:t>mediastinum</w:t>
            </w:r>
            <w:proofErr w:type="spellEnd"/>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Astma</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r w:rsidR="004F7AEB" w:rsidRPr="00AA4729" w:rsidTr="003B4BCE">
        <w:trPr>
          <w:trHeight w:val="311"/>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proofErr w:type="spellStart"/>
            <w:r w:rsidRPr="001E3AC7">
              <w:rPr>
                <w:sz w:val="24"/>
              </w:rPr>
              <w:t>Gastrointestinale</w:t>
            </w:r>
            <w:proofErr w:type="spellEnd"/>
            <w:r w:rsidRPr="001E3AC7">
              <w:rPr>
                <w:sz w:val="24"/>
              </w:rPr>
              <w:t xml:space="preserve"> lidelser</w:t>
            </w: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t>Opkastning*</w:t>
            </w:r>
            <w:r w:rsidRPr="0021178E">
              <w:rPr>
                <w:highlight w:val="lightGray"/>
              </w:rPr>
              <w:t>*</w:t>
            </w:r>
          </w:p>
        </w:tc>
        <w:tc>
          <w:tcPr>
            <w:tcW w:w="952" w:type="pct"/>
            <w:tcMar>
              <w:top w:w="0" w:type="dxa"/>
              <w:left w:w="108" w:type="dxa"/>
              <w:bottom w:w="0" w:type="dxa"/>
              <w:right w:w="108" w:type="dxa"/>
            </w:tcMar>
          </w:tcPr>
          <w:p w:rsidR="004F7AEB" w:rsidRPr="00AA4729" w:rsidRDefault="004F7AEB" w:rsidP="003B4BCE">
            <w:pPr>
              <w:rPr>
                <w:sz w:val="24"/>
                <w:szCs w:val="24"/>
              </w:rPr>
            </w:pPr>
            <w:r>
              <w:t>Ikke almindelig</w:t>
            </w:r>
          </w:p>
        </w:tc>
      </w:tr>
      <w:tr w:rsidR="004F7AEB" w:rsidRPr="00AA4729" w:rsidTr="003B4BCE">
        <w:trPr>
          <w:jc w:val="center"/>
        </w:trPr>
        <w:tc>
          <w:tcPr>
            <w:tcW w:w="1421" w:type="pct"/>
            <w:vMerge w:val="restar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r w:rsidRPr="00AA4729">
              <w:rPr>
                <w:sz w:val="24"/>
                <w:szCs w:val="24"/>
              </w:rPr>
              <w:t>Hud og subkutane væv</w:t>
            </w: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proofErr w:type="spellStart"/>
            <w:r w:rsidRPr="00AA4729">
              <w:rPr>
                <w:sz w:val="24"/>
                <w:szCs w:val="24"/>
              </w:rPr>
              <w:t>Erytematøst</w:t>
            </w:r>
            <w:proofErr w:type="spellEnd"/>
            <w:r w:rsidRPr="00AA4729">
              <w:rPr>
                <w:sz w:val="24"/>
                <w:szCs w:val="24"/>
              </w:rPr>
              <w:t xml:space="preserve"> udslæt</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r w:rsidR="004F7AEB" w:rsidRPr="00AA4729" w:rsidTr="003B4BCE">
        <w:trPr>
          <w:jc w:val="center"/>
        </w:trPr>
        <w:tc>
          <w:tcPr>
            <w:tcW w:w="1421" w:type="pct"/>
            <w:vMerge/>
            <w:vAlign w:val="center"/>
          </w:tcPr>
          <w:p w:rsidR="004F7AEB" w:rsidRPr="00AA4729" w:rsidRDefault="004F7AEB" w:rsidP="003B4BCE">
            <w:pPr>
              <w:tabs>
                <w:tab w:val="left" w:pos="0"/>
              </w:tabs>
              <w:rPr>
                <w:sz w:val="24"/>
                <w:szCs w:val="24"/>
              </w:rPr>
            </w:pP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proofErr w:type="spellStart"/>
            <w:r w:rsidRPr="00AA4729">
              <w:rPr>
                <w:sz w:val="24"/>
                <w:szCs w:val="24"/>
              </w:rPr>
              <w:t>Erytem</w:t>
            </w:r>
            <w:proofErr w:type="spellEnd"/>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r w:rsidR="004F7AEB" w:rsidRPr="00AA4729" w:rsidTr="003B4BCE">
        <w:trPr>
          <w:trHeight w:val="54"/>
          <w:jc w:val="center"/>
        </w:trPr>
        <w:tc>
          <w:tcPr>
            <w:tcW w:w="1421" w:type="pct"/>
            <w:vMerge/>
            <w:vAlign w:val="center"/>
          </w:tcPr>
          <w:p w:rsidR="004F7AEB" w:rsidRPr="00AA4729" w:rsidRDefault="004F7AEB" w:rsidP="003B4BCE">
            <w:pPr>
              <w:tabs>
                <w:tab w:val="left" w:pos="0"/>
              </w:tabs>
              <w:rPr>
                <w:sz w:val="24"/>
                <w:szCs w:val="24"/>
              </w:rPr>
            </w:pP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Hudirritation</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 xml:space="preserve">Ikke almindelig </w:t>
            </w:r>
          </w:p>
        </w:tc>
      </w:tr>
      <w:tr w:rsidR="004F7AEB" w:rsidRPr="00AA4729" w:rsidTr="003B4BCE">
        <w:trPr>
          <w:jc w:val="center"/>
        </w:trPr>
        <w:tc>
          <w:tcPr>
            <w:tcW w:w="1421" w:type="pct"/>
            <w:vMerge/>
            <w:vAlign w:val="center"/>
          </w:tcPr>
          <w:p w:rsidR="004F7AEB" w:rsidRPr="00AA4729" w:rsidRDefault="004F7AEB" w:rsidP="003B4BCE">
            <w:pPr>
              <w:tabs>
                <w:tab w:val="left" w:pos="0"/>
              </w:tabs>
              <w:rPr>
                <w:sz w:val="24"/>
                <w:szCs w:val="24"/>
              </w:rPr>
            </w:pP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Nattesved</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r w:rsidR="004F7AEB" w:rsidRPr="00AA4729" w:rsidTr="003B4BCE">
        <w:trPr>
          <w:trHeight w:val="263"/>
          <w:jc w:val="center"/>
        </w:trPr>
        <w:tc>
          <w:tcPr>
            <w:tcW w:w="1421" w:type="pct"/>
            <w:tcMar>
              <w:top w:w="0" w:type="dxa"/>
              <w:left w:w="108" w:type="dxa"/>
              <w:bottom w:w="0" w:type="dxa"/>
              <w:right w:w="108" w:type="dxa"/>
            </w:tcMar>
          </w:tcPr>
          <w:p w:rsidR="004F7AEB" w:rsidRPr="00AA4729" w:rsidRDefault="004F7AEB" w:rsidP="003B4BCE">
            <w:pPr>
              <w:pStyle w:val="Bold"/>
              <w:tabs>
                <w:tab w:val="clear" w:pos="567"/>
                <w:tab w:val="left" w:pos="0"/>
              </w:tabs>
              <w:rPr>
                <w:sz w:val="24"/>
                <w:szCs w:val="24"/>
              </w:rPr>
            </w:pPr>
            <w:r w:rsidRPr="00AA4729">
              <w:rPr>
                <w:sz w:val="24"/>
                <w:szCs w:val="24"/>
              </w:rPr>
              <w:lastRenderedPageBreak/>
              <w:t>Almene symptomer og reaktioner på administrationsstedet</w:t>
            </w:r>
          </w:p>
        </w:tc>
        <w:tc>
          <w:tcPr>
            <w:tcW w:w="2627" w:type="pct"/>
            <w:tcMar>
              <w:top w:w="0" w:type="dxa"/>
              <w:left w:w="108" w:type="dxa"/>
              <w:bottom w:w="0" w:type="dxa"/>
              <w:right w:w="108" w:type="dxa"/>
            </w:tcMar>
          </w:tcPr>
          <w:p w:rsidR="004F7AEB" w:rsidRPr="00AA4729" w:rsidRDefault="004F7AEB" w:rsidP="003B4BCE">
            <w:pPr>
              <w:tabs>
                <w:tab w:val="left" w:pos="9"/>
              </w:tabs>
              <w:ind w:left="9"/>
              <w:rPr>
                <w:sz w:val="24"/>
                <w:szCs w:val="24"/>
              </w:rPr>
            </w:pPr>
            <w:r w:rsidRPr="00AA4729">
              <w:rPr>
                <w:sz w:val="24"/>
                <w:szCs w:val="24"/>
              </w:rPr>
              <w:t>Varmefølelse</w:t>
            </w:r>
          </w:p>
        </w:tc>
        <w:tc>
          <w:tcPr>
            <w:tcW w:w="952" w:type="pct"/>
            <w:tcMar>
              <w:top w:w="0" w:type="dxa"/>
              <w:left w:w="108" w:type="dxa"/>
              <w:bottom w:w="0" w:type="dxa"/>
              <w:right w:w="108" w:type="dxa"/>
            </w:tcMar>
          </w:tcPr>
          <w:p w:rsidR="004F7AEB" w:rsidRPr="00AA4729" w:rsidRDefault="004F7AEB" w:rsidP="003B4BCE">
            <w:pPr>
              <w:rPr>
                <w:sz w:val="24"/>
                <w:szCs w:val="24"/>
              </w:rPr>
            </w:pPr>
            <w:r w:rsidRPr="00AA4729">
              <w:rPr>
                <w:sz w:val="24"/>
                <w:szCs w:val="24"/>
              </w:rPr>
              <w:t>Ikke almindelig</w:t>
            </w:r>
          </w:p>
        </w:tc>
      </w:tr>
    </w:tbl>
    <w:p w:rsidR="00880457" w:rsidRDefault="00880457" w:rsidP="00880457">
      <w:pPr>
        <w:pStyle w:val="Brdtekst"/>
        <w:rPr>
          <w:i/>
        </w:rPr>
      </w:pPr>
      <w:r>
        <w:rPr>
          <w:i/>
        </w:rPr>
        <w:t>*“almindelig” hos pædiatriske patienter</w:t>
      </w:r>
    </w:p>
    <w:p w:rsidR="00880457" w:rsidRDefault="00880457" w:rsidP="00880457">
      <w:pPr>
        <w:pStyle w:val="Brdtekst"/>
        <w:rPr>
          <w:i/>
        </w:rPr>
      </w:pPr>
      <w:r>
        <w:rPr>
          <w:i/>
        </w:rPr>
        <w:t>**opkastning i forbindelse med hovedpine</w:t>
      </w:r>
    </w:p>
    <w:p w:rsidR="004F7AEB" w:rsidRPr="00AA4729" w:rsidRDefault="004F7AEB" w:rsidP="004B10DB">
      <w:pPr>
        <w:shd w:val="clear" w:color="auto" w:fill="FFFFFF" w:themeFill="background1"/>
        <w:tabs>
          <w:tab w:val="left" w:pos="851"/>
        </w:tabs>
        <w:rPr>
          <w:sz w:val="24"/>
          <w:szCs w:val="24"/>
        </w:rPr>
      </w:pPr>
    </w:p>
    <w:p w:rsidR="004F7AEB" w:rsidRPr="00AA4729" w:rsidRDefault="004F7AEB" w:rsidP="004F7AEB">
      <w:pPr>
        <w:tabs>
          <w:tab w:val="left" w:pos="851"/>
        </w:tabs>
        <w:ind w:left="851"/>
        <w:rPr>
          <w:sz w:val="24"/>
          <w:szCs w:val="24"/>
        </w:rPr>
      </w:pPr>
      <w:r w:rsidRPr="00AA4729">
        <w:rPr>
          <w:sz w:val="24"/>
          <w:szCs w:val="24"/>
        </w:rPr>
        <w:t>Se pkt. 4.4. for sikkerhedsoplysninger vedrørende stoffer, der kan overføres.</w:t>
      </w:r>
    </w:p>
    <w:p w:rsidR="004F7AEB" w:rsidRPr="00AA4729" w:rsidRDefault="004F7AEB" w:rsidP="004F7AEB">
      <w:pPr>
        <w:tabs>
          <w:tab w:val="left" w:pos="851"/>
        </w:tabs>
        <w:ind w:left="851"/>
        <w:rPr>
          <w:sz w:val="24"/>
          <w:szCs w:val="24"/>
        </w:rPr>
      </w:pPr>
    </w:p>
    <w:p w:rsidR="004F7AEB" w:rsidRPr="00AA4729" w:rsidRDefault="004F7AEB" w:rsidP="004F7AEB">
      <w:pPr>
        <w:tabs>
          <w:tab w:val="left" w:pos="851"/>
        </w:tabs>
        <w:ind w:left="851"/>
        <w:rPr>
          <w:sz w:val="24"/>
          <w:szCs w:val="24"/>
        </w:rPr>
      </w:pPr>
      <w:r w:rsidRPr="00AA4729">
        <w:rPr>
          <w:sz w:val="24"/>
          <w:szCs w:val="24"/>
        </w:rPr>
        <w:t xml:space="preserve">Den samlede sikkerhedsprofil er ikke forskellig </w:t>
      </w:r>
      <w:r>
        <w:rPr>
          <w:sz w:val="24"/>
          <w:szCs w:val="24"/>
        </w:rPr>
        <w:t>for</w:t>
      </w:r>
      <w:r w:rsidRPr="00AA4729">
        <w:rPr>
          <w:sz w:val="24"/>
          <w:szCs w:val="24"/>
        </w:rPr>
        <w:t xml:space="preserve"> patienter, der blev behandlet med </w:t>
      </w:r>
      <w:proofErr w:type="spellStart"/>
      <w:r w:rsidRPr="00AA4729">
        <w:rPr>
          <w:sz w:val="24"/>
          <w:szCs w:val="24"/>
        </w:rPr>
        <w:t>Fibclot</w:t>
      </w:r>
      <w:proofErr w:type="spellEnd"/>
      <w:r w:rsidRPr="00AA4729">
        <w:rPr>
          <w:sz w:val="24"/>
          <w:szCs w:val="24"/>
        </w:rPr>
        <w:t xml:space="preserve"> i andre kliniske situationer, som kræver behandling med </w:t>
      </w:r>
      <w:proofErr w:type="spellStart"/>
      <w:r w:rsidRPr="00AA4729">
        <w:rPr>
          <w:sz w:val="24"/>
          <w:szCs w:val="24"/>
        </w:rPr>
        <w:t>fibrinogen</w:t>
      </w:r>
      <w:proofErr w:type="spellEnd"/>
      <w:r w:rsidRPr="00AA4729">
        <w:rPr>
          <w:sz w:val="24"/>
          <w:szCs w:val="24"/>
        </w:rPr>
        <w:t>.</w:t>
      </w:r>
    </w:p>
    <w:p w:rsidR="004F7AEB" w:rsidRPr="00AA4729" w:rsidRDefault="004F7AEB" w:rsidP="004F7AEB">
      <w:pPr>
        <w:tabs>
          <w:tab w:val="left" w:pos="851"/>
        </w:tabs>
        <w:ind w:left="851"/>
        <w:rPr>
          <w:sz w:val="24"/>
          <w:szCs w:val="24"/>
        </w:rPr>
      </w:pPr>
    </w:p>
    <w:p w:rsidR="004B10DB" w:rsidRDefault="004B10DB" w:rsidP="004B10DB">
      <w:pPr>
        <w:pStyle w:val="Underline"/>
        <w:tabs>
          <w:tab w:val="clear" w:pos="567"/>
          <w:tab w:val="left" w:pos="851"/>
        </w:tabs>
        <w:ind w:left="851"/>
        <w:rPr>
          <w:sz w:val="24"/>
          <w:szCs w:val="24"/>
        </w:rPr>
      </w:pPr>
      <w:r>
        <w:rPr>
          <w:sz w:val="24"/>
          <w:szCs w:val="24"/>
        </w:rPr>
        <w:t>Pædiatrisk population</w:t>
      </w:r>
    </w:p>
    <w:p w:rsidR="004B10DB" w:rsidRDefault="004B10DB" w:rsidP="004B10DB">
      <w:pPr>
        <w:tabs>
          <w:tab w:val="left" w:pos="851"/>
        </w:tabs>
        <w:ind w:left="851"/>
        <w:rPr>
          <w:sz w:val="24"/>
          <w:szCs w:val="24"/>
          <w:lang w:bidi="da-DK"/>
        </w:rPr>
      </w:pPr>
      <w:r>
        <w:rPr>
          <w:sz w:val="24"/>
          <w:szCs w:val="24"/>
          <w:lang w:bidi="da-DK"/>
        </w:rPr>
        <w:t xml:space="preserve">Blandt de 47 patienter inkluderet i sikkerhedsanalysen ved medfødt </w:t>
      </w:r>
      <w:proofErr w:type="spellStart"/>
      <w:r>
        <w:rPr>
          <w:sz w:val="24"/>
          <w:szCs w:val="24"/>
          <w:lang w:bidi="da-DK"/>
        </w:rPr>
        <w:t>fibrinogenmangel</w:t>
      </w:r>
      <w:proofErr w:type="spellEnd"/>
      <w:r>
        <w:rPr>
          <w:sz w:val="24"/>
          <w:szCs w:val="24"/>
          <w:lang w:bidi="da-DK"/>
        </w:rPr>
        <w:t xml:space="preserve"> var 26 af dem 18 år, herunder var 5 af dem i alderen 12 - 17 år, 11 af dem var i alderen 6 - 11 år og 10 af dem var 6 år eller yngre. Bivirkningernes hyppighed, type og alvorsgrad er den samme hos pædiatriske og voksne patienter med undtagelse af allergiske/</w:t>
      </w:r>
      <w:proofErr w:type="spellStart"/>
      <w:r>
        <w:rPr>
          <w:sz w:val="24"/>
          <w:szCs w:val="24"/>
          <w:lang w:bidi="da-DK"/>
        </w:rPr>
        <w:t>anafylatiske</w:t>
      </w:r>
      <w:proofErr w:type="spellEnd"/>
      <w:r>
        <w:rPr>
          <w:sz w:val="24"/>
          <w:szCs w:val="24"/>
          <w:lang w:bidi="da-DK"/>
        </w:rPr>
        <w:t xml:space="preserve"> reaktioner, der optrådte med hyppigheden ”almindelig” hos pædiatriske patienter (hos 2 spædbørn på henholdsvis 1 og 5 år).</w:t>
      </w:r>
    </w:p>
    <w:p w:rsidR="004F7AEB" w:rsidRPr="00AA4729" w:rsidRDefault="004F7AEB" w:rsidP="004F7AEB">
      <w:pPr>
        <w:tabs>
          <w:tab w:val="left" w:pos="851"/>
        </w:tabs>
        <w:ind w:left="851"/>
        <w:rPr>
          <w:sz w:val="24"/>
          <w:szCs w:val="24"/>
        </w:rPr>
      </w:pPr>
    </w:p>
    <w:p w:rsidR="004F7AEB" w:rsidRDefault="004F7AEB" w:rsidP="004F7AEB">
      <w:pPr>
        <w:autoSpaceDE w:val="0"/>
        <w:autoSpaceDN w:val="0"/>
        <w:ind w:left="851"/>
        <w:rPr>
          <w:sz w:val="24"/>
          <w:szCs w:val="24"/>
          <w:u w:val="single"/>
          <w:lang w:eastAsia="da-DK"/>
        </w:rPr>
      </w:pPr>
      <w:r>
        <w:rPr>
          <w:sz w:val="24"/>
          <w:szCs w:val="24"/>
          <w:u w:val="single"/>
          <w:lang w:eastAsia="da-DK"/>
        </w:rPr>
        <w:t>Indberetning af formodede bivirkninger</w:t>
      </w:r>
    </w:p>
    <w:p w:rsidR="004F7AEB" w:rsidRDefault="004F7AEB" w:rsidP="004F7AEB">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B05C02">
        <w:rPr>
          <w:sz w:val="24"/>
          <w:szCs w:val="24"/>
          <w:lang w:eastAsia="da-DK"/>
        </w:rPr>
        <w:t xml:space="preserve">Sundhedspersoner </w:t>
      </w:r>
      <w:r>
        <w:rPr>
          <w:sz w:val="24"/>
          <w:szCs w:val="24"/>
          <w:lang w:eastAsia="da-DK"/>
        </w:rPr>
        <w:t>anmodes om at indberette alle formodede bivirkninger via:</w:t>
      </w:r>
    </w:p>
    <w:p w:rsidR="004F7AEB" w:rsidRDefault="004F7AEB" w:rsidP="004F7AEB">
      <w:pPr>
        <w:ind w:left="851"/>
        <w:rPr>
          <w:sz w:val="24"/>
          <w:szCs w:val="24"/>
          <w:lang w:eastAsia="da-DK"/>
        </w:rPr>
      </w:pPr>
    </w:p>
    <w:p w:rsidR="004F7AEB" w:rsidRDefault="004F7AEB" w:rsidP="004F7AEB">
      <w:pPr>
        <w:ind w:left="851"/>
        <w:rPr>
          <w:sz w:val="24"/>
          <w:szCs w:val="24"/>
          <w:lang w:eastAsia="da-DK"/>
        </w:rPr>
      </w:pPr>
      <w:r>
        <w:rPr>
          <w:sz w:val="24"/>
          <w:szCs w:val="24"/>
          <w:lang w:eastAsia="da-DK"/>
        </w:rPr>
        <w:t>Lægemiddelstyrelsen</w:t>
      </w:r>
    </w:p>
    <w:p w:rsidR="004F7AEB" w:rsidRDefault="004F7AEB" w:rsidP="004F7AEB">
      <w:pPr>
        <w:ind w:left="851"/>
        <w:rPr>
          <w:sz w:val="24"/>
          <w:szCs w:val="24"/>
          <w:lang w:eastAsia="da-DK"/>
        </w:rPr>
      </w:pPr>
      <w:r>
        <w:rPr>
          <w:sz w:val="24"/>
          <w:szCs w:val="24"/>
          <w:lang w:eastAsia="da-DK"/>
        </w:rPr>
        <w:t>Axel Heides Gade 1</w:t>
      </w:r>
    </w:p>
    <w:p w:rsidR="004F7AEB" w:rsidRDefault="004F7AEB" w:rsidP="004F7AEB">
      <w:pPr>
        <w:ind w:left="851"/>
        <w:rPr>
          <w:sz w:val="24"/>
          <w:szCs w:val="24"/>
          <w:lang w:eastAsia="da-DK"/>
        </w:rPr>
      </w:pPr>
      <w:r>
        <w:rPr>
          <w:sz w:val="24"/>
          <w:szCs w:val="24"/>
          <w:lang w:eastAsia="da-DK"/>
        </w:rPr>
        <w:t>DK-2300 København S</w:t>
      </w:r>
    </w:p>
    <w:p w:rsidR="004F7AEB" w:rsidRPr="0059597C" w:rsidRDefault="004F7AEB" w:rsidP="00880457">
      <w:pPr>
        <w:ind w:left="851"/>
        <w:rPr>
          <w:sz w:val="24"/>
          <w:szCs w:val="24"/>
          <w:lang w:eastAsia="da-DK"/>
        </w:rPr>
      </w:pPr>
      <w:r w:rsidRPr="0059597C">
        <w:rPr>
          <w:sz w:val="24"/>
          <w:szCs w:val="24"/>
          <w:lang w:eastAsia="da-DK"/>
        </w:rPr>
        <w:t xml:space="preserve">Websted: </w:t>
      </w:r>
      <w:hyperlink r:id="rId8" w:history="1">
        <w:r w:rsidRPr="0059597C">
          <w:rPr>
            <w:rStyle w:val="Hyperlink"/>
            <w:rFonts w:eastAsia="SimSun"/>
            <w:sz w:val="24"/>
            <w:lang w:eastAsia="da-DK"/>
          </w:rPr>
          <w:t>www.meldenbivirkning.dk</w:t>
        </w:r>
      </w:hyperlink>
    </w:p>
    <w:p w:rsidR="004F7AEB" w:rsidRPr="0059597C" w:rsidRDefault="004F7AEB" w:rsidP="004F7AEB">
      <w:pPr>
        <w:pStyle w:val="Sidehoved"/>
        <w:tabs>
          <w:tab w:val="left" w:pos="851"/>
        </w:tabs>
        <w:ind w:left="851"/>
        <w:rPr>
          <w:szCs w:val="24"/>
        </w:rPr>
      </w:pPr>
    </w:p>
    <w:p w:rsidR="004F7AEB" w:rsidRPr="00C84483" w:rsidRDefault="004F7AEB" w:rsidP="004F7AEB">
      <w:pPr>
        <w:tabs>
          <w:tab w:val="left" w:pos="851"/>
        </w:tabs>
        <w:ind w:left="851" w:hanging="851"/>
        <w:rPr>
          <w:b/>
          <w:sz w:val="24"/>
          <w:szCs w:val="24"/>
        </w:rPr>
      </w:pPr>
      <w:r w:rsidRPr="00C84483">
        <w:rPr>
          <w:b/>
          <w:sz w:val="24"/>
          <w:szCs w:val="24"/>
        </w:rPr>
        <w:t>4.9</w:t>
      </w:r>
      <w:r w:rsidRPr="00C84483">
        <w:rPr>
          <w:b/>
          <w:sz w:val="24"/>
          <w:szCs w:val="24"/>
        </w:rPr>
        <w:tab/>
        <w:t>Overdosering</w:t>
      </w:r>
    </w:p>
    <w:p w:rsidR="004F7AEB" w:rsidRPr="00AA4729" w:rsidRDefault="004F7AEB" w:rsidP="004F7AEB">
      <w:pPr>
        <w:tabs>
          <w:tab w:val="left" w:pos="851"/>
        </w:tabs>
        <w:ind w:left="851"/>
        <w:rPr>
          <w:sz w:val="24"/>
          <w:szCs w:val="24"/>
        </w:rPr>
      </w:pPr>
      <w:r w:rsidRPr="00AA4729">
        <w:rPr>
          <w:sz w:val="24"/>
          <w:szCs w:val="24"/>
        </w:rPr>
        <w:t xml:space="preserve">For at undgå overdosering skal plasmakoncentrationen af </w:t>
      </w:r>
      <w:proofErr w:type="spellStart"/>
      <w:r w:rsidRPr="00AA4729">
        <w:rPr>
          <w:sz w:val="24"/>
          <w:szCs w:val="24"/>
        </w:rPr>
        <w:t>fibrinogen</w:t>
      </w:r>
      <w:proofErr w:type="spellEnd"/>
      <w:r w:rsidRPr="00AA4729">
        <w:rPr>
          <w:sz w:val="24"/>
          <w:szCs w:val="24"/>
        </w:rPr>
        <w:t xml:space="preserve"> kontrolleres regelmæssigt under behandlingen (se pkt. 4.2).</w:t>
      </w:r>
    </w:p>
    <w:p w:rsidR="004F7AEB" w:rsidRPr="00C84483" w:rsidRDefault="004F7AEB" w:rsidP="004F7AEB">
      <w:pPr>
        <w:tabs>
          <w:tab w:val="left" w:pos="851"/>
        </w:tabs>
        <w:ind w:left="851"/>
        <w:rPr>
          <w:sz w:val="24"/>
          <w:szCs w:val="24"/>
        </w:rPr>
      </w:pPr>
      <w:r w:rsidRPr="00AA4729">
        <w:rPr>
          <w:sz w:val="24"/>
          <w:szCs w:val="24"/>
        </w:rPr>
        <w:t xml:space="preserve">I tilfælde af overdosering øges risikoen for udvikling af </w:t>
      </w:r>
      <w:proofErr w:type="spellStart"/>
      <w:r w:rsidRPr="00AA4729">
        <w:rPr>
          <w:sz w:val="24"/>
          <w:szCs w:val="24"/>
        </w:rPr>
        <w:t>tromboemboliske</w:t>
      </w:r>
      <w:proofErr w:type="spellEnd"/>
      <w:r w:rsidRPr="00AA4729">
        <w:rPr>
          <w:sz w:val="24"/>
          <w:szCs w:val="24"/>
        </w:rPr>
        <w:t xml:space="preserve"> komplikationer.</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4.10</w:t>
      </w:r>
      <w:r w:rsidRPr="00C84483">
        <w:rPr>
          <w:b/>
          <w:sz w:val="24"/>
          <w:szCs w:val="24"/>
        </w:rPr>
        <w:tab/>
        <w:t>Udlevering</w:t>
      </w:r>
    </w:p>
    <w:p w:rsidR="004F7AEB" w:rsidRPr="00C84483" w:rsidRDefault="004F7AEB" w:rsidP="004F7AEB">
      <w:pPr>
        <w:tabs>
          <w:tab w:val="left" w:pos="851"/>
        </w:tabs>
        <w:ind w:left="851"/>
        <w:rPr>
          <w:sz w:val="24"/>
          <w:szCs w:val="24"/>
        </w:rPr>
      </w:pPr>
      <w:r>
        <w:rPr>
          <w:sz w:val="24"/>
          <w:szCs w:val="24"/>
        </w:rPr>
        <w:t>BEGR - kun til sygehuse.</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F7AEB" w:rsidRPr="00C84483" w:rsidRDefault="004F7AEB" w:rsidP="00880457">
      <w:pPr>
        <w:tabs>
          <w:tab w:val="left" w:pos="851"/>
        </w:tabs>
        <w:rPr>
          <w:sz w:val="24"/>
          <w:szCs w:val="24"/>
        </w:rPr>
      </w:pPr>
    </w:p>
    <w:p w:rsidR="004F7AEB" w:rsidRDefault="004F7AEB" w:rsidP="004F7AE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80457" w:rsidRDefault="00880457" w:rsidP="00880457">
      <w:pPr>
        <w:tabs>
          <w:tab w:val="left" w:pos="851"/>
        </w:tabs>
        <w:kinsoku w:val="0"/>
        <w:overflowPunct w:val="0"/>
        <w:autoSpaceDE w:val="0"/>
        <w:autoSpaceDN w:val="0"/>
        <w:ind w:left="851"/>
        <w:rPr>
          <w:rFonts w:eastAsia="SimSun" w:cs="Calibri"/>
          <w:sz w:val="24"/>
          <w:szCs w:val="24"/>
          <w:lang w:eastAsia="da-DK"/>
        </w:rPr>
      </w:pPr>
      <w:proofErr w:type="spellStart"/>
      <w:r>
        <w:rPr>
          <w:rFonts w:eastAsia="SimSun" w:cs="Calibri"/>
          <w:sz w:val="24"/>
          <w:szCs w:val="24"/>
          <w:lang w:eastAsia="da-DK"/>
        </w:rPr>
        <w:t>Farmakoterapeutisk</w:t>
      </w:r>
      <w:proofErr w:type="spellEnd"/>
      <w:r>
        <w:rPr>
          <w:rFonts w:eastAsia="SimSun" w:cs="Calibri"/>
          <w:sz w:val="24"/>
          <w:szCs w:val="24"/>
          <w:lang w:eastAsia="da-DK"/>
        </w:rPr>
        <w:t xml:space="preserve"> klassifikation: </w:t>
      </w:r>
      <w:proofErr w:type="spellStart"/>
      <w:r>
        <w:rPr>
          <w:rFonts w:eastAsia="SimSun" w:cs="Calibri"/>
          <w:sz w:val="24"/>
          <w:szCs w:val="24"/>
          <w:lang w:eastAsia="da-DK"/>
        </w:rPr>
        <w:t>Hæmostatika</w:t>
      </w:r>
      <w:proofErr w:type="spellEnd"/>
      <w:r>
        <w:rPr>
          <w:rFonts w:eastAsia="SimSun" w:cs="Calibri"/>
          <w:sz w:val="24"/>
          <w:szCs w:val="24"/>
          <w:lang w:eastAsia="da-DK"/>
        </w:rPr>
        <w:t xml:space="preserve">, humant </w:t>
      </w:r>
      <w:proofErr w:type="spellStart"/>
      <w:r>
        <w:rPr>
          <w:rFonts w:eastAsia="SimSun" w:cs="Calibri"/>
          <w:sz w:val="24"/>
          <w:szCs w:val="24"/>
          <w:lang w:eastAsia="da-DK"/>
        </w:rPr>
        <w:t>fibrinogen</w:t>
      </w:r>
      <w:proofErr w:type="spellEnd"/>
      <w:r>
        <w:rPr>
          <w:rFonts w:eastAsia="SimSun" w:cs="Calibri"/>
          <w:sz w:val="24"/>
          <w:szCs w:val="24"/>
          <w:lang w:eastAsia="da-DK"/>
        </w:rPr>
        <w:t>. ATC-kode: B02BB01</w:t>
      </w:r>
    </w:p>
    <w:p w:rsidR="00880457" w:rsidRPr="00C84483" w:rsidRDefault="00880457" w:rsidP="004F7AEB">
      <w:pPr>
        <w:tabs>
          <w:tab w:val="num" w:pos="851"/>
        </w:tabs>
        <w:ind w:left="851" w:hanging="851"/>
        <w:rPr>
          <w:b/>
          <w:sz w:val="24"/>
          <w:szCs w:val="24"/>
        </w:rPr>
      </w:pPr>
    </w:p>
    <w:p w:rsidR="004F7AEB" w:rsidRPr="00D533C5" w:rsidRDefault="004F7AEB" w:rsidP="004F7AEB">
      <w:pPr>
        <w:tabs>
          <w:tab w:val="left" w:pos="851"/>
        </w:tabs>
        <w:kinsoku w:val="0"/>
        <w:overflowPunct w:val="0"/>
        <w:autoSpaceDE w:val="0"/>
        <w:autoSpaceDN w:val="0"/>
        <w:ind w:left="851"/>
        <w:rPr>
          <w:rFonts w:eastAsia="SimSun" w:cs="Calibri"/>
          <w:sz w:val="24"/>
          <w:szCs w:val="24"/>
          <w:lang w:eastAsia="da-DK"/>
        </w:rPr>
      </w:pPr>
      <w:r w:rsidRPr="00D533C5">
        <w:rPr>
          <w:rFonts w:eastAsia="SimSun" w:cs="Calibri"/>
          <w:sz w:val="24"/>
          <w:szCs w:val="24"/>
          <w:lang w:eastAsia="da-DK"/>
        </w:rPr>
        <w:t xml:space="preserve">Når humant </w:t>
      </w:r>
      <w:proofErr w:type="spellStart"/>
      <w:r w:rsidRPr="00D533C5">
        <w:rPr>
          <w:rFonts w:eastAsia="SimSun" w:cs="Calibri"/>
          <w:sz w:val="24"/>
          <w:szCs w:val="24"/>
          <w:lang w:eastAsia="da-DK"/>
        </w:rPr>
        <w:t>fibrinogen</w:t>
      </w:r>
      <w:proofErr w:type="spellEnd"/>
      <w:r w:rsidRPr="00D533C5">
        <w:rPr>
          <w:rFonts w:eastAsia="SimSun" w:cs="Calibri"/>
          <w:sz w:val="24"/>
          <w:szCs w:val="24"/>
          <w:lang w:eastAsia="da-DK"/>
        </w:rPr>
        <w:t xml:space="preserve"> (koagulationsfaktor I) forekommer sammen med </w:t>
      </w:r>
      <w:proofErr w:type="spellStart"/>
      <w:r w:rsidRPr="00D533C5">
        <w:rPr>
          <w:rFonts w:eastAsia="SimSun" w:cs="Calibri"/>
          <w:sz w:val="24"/>
          <w:szCs w:val="24"/>
          <w:lang w:eastAsia="da-DK"/>
        </w:rPr>
        <w:t>trombin</w:t>
      </w:r>
      <w:proofErr w:type="spellEnd"/>
      <w:r w:rsidRPr="00D533C5">
        <w:rPr>
          <w:rFonts w:eastAsia="SimSun" w:cs="Calibri"/>
          <w:sz w:val="24"/>
          <w:szCs w:val="24"/>
          <w:lang w:eastAsia="da-DK"/>
        </w:rPr>
        <w:t>, aktiveret koagul</w:t>
      </w:r>
      <w:r>
        <w:rPr>
          <w:rFonts w:eastAsia="SimSun" w:cs="Calibri"/>
          <w:sz w:val="24"/>
          <w:szCs w:val="24"/>
          <w:lang w:eastAsia="da-DK"/>
        </w:rPr>
        <w:t xml:space="preserve">ationsfaktor XIII (F </w:t>
      </w:r>
      <w:proofErr w:type="spellStart"/>
      <w:r>
        <w:rPr>
          <w:rFonts w:eastAsia="SimSun" w:cs="Calibri"/>
          <w:sz w:val="24"/>
          <w:szCs w:val="24"/>
          <w:lang w:eastAsia="da-DK"/>
        </w:rPr>
        <w:t>XIIIa</w:t>
      </w:r>
      <w:proofErr w:type="spellEnd"/>
      <w:r>
        <w:rPr>
          <w:rFonts w:eastAsia="SimSun" w:cs="Calibri"/>
          <w:sz w:val="24"/>
          <w:szCs w:val="24"/>
          <w:lang w:eastAsia="da-DK"/>
        </w:rPr>
        <w:t>) og c</w:t>
      </w:r>
      <w:r w:rsidRPr="00D533C5">
        <w:rPr>
          <w:rFonts w:eastAsia="SimSun" w:cs="Calibri"/>
          <w:sz w:val="24"/>
          <w:szCs w:val="24"/>
          <w:lang w:eastAsia="da-DK"/>
        </w:rPr>
        <w:t xml:space="preserve">alcium-ioner, konverteres det til en stabil og elastisk tredimensionel </w:t>
      </w:r>
      <w:proofErr w:type="spellStart"/>
      <w:r w:rsidRPr="00D533C5">
        <w:rPr>
          <w:rFonts w:eastAsia="SimSun" w:cs="Calibri"/>
          <w:sz w:val="24"/>
          <w:szCs w:val="24"/>
          <w:lang w:eastAsia="da-DK"/>
        </w:rPr>
        <w:t>hæmostatisk</w:t>
      </w:r>
      <w:proofErr w:type="spellEnd"/>
      <w:r w:rsidRPr="00D533C5">
        <w:rPr>
          <w:rFonts w:eastAsia="SimSun" w:cs="Calibri"/>
          <w:sz w:val="24"/>
          <w:szCs w:val="24"/>
          <w:lang w:eastAsia="da-DK"/>
        </w:rPr>
        <w:t xml:space="preserve"> </w:t>
      </w:r>
      <w:proofErr w:type="spellStart"/>
      <w:r w:rsidRPr="00D533C5">
        <w:rPr>
          <w:rFonts w:eastAsia="SimSun" w:cs="Calibri"/>
          <w:sz w:val="24"/>
          <w:szCs w:val="24"/>
          <w:lang w:eastAsia="da-DK"/>
        </w:rPr>
        <w:t>fibrinprop</w:t>
      </w:r>
      <w:proofErr w:type="spellEnd"/>
      <w:r w:rsidRPr="00D533C5">
        <w:rPr>
          <w:rFonts w:eastAsia="SimSun" w:cs="Calibri"/>
          <w:sz w:val="24"/>
          <w:szCs w:val="24"/>
          <w:lang w:eastAsia="da-DK"/>
        </w:rPr>
        <w:t>.</w:t>
      </w:r>
    </w:p>
    <w:p w:rsidR="004F7AEB" w:rsidRPr="00D533C5"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r w:rsidRPr="00D533C5">
        <w:rPr>
          <w:rFonts w:eastAsia="SimSun" w:cs="Calibri"/>
          <w:sz w:val="24"/>
          <w:szCs w:val="24"/>
          <w:lang w:eastAsia="da-DK"/>
        </w:rPr>
        <w:t xml:space="preserve">Administration af humant </w:t>
      </w:r>
      <w:proofErr w:type="spellStart"/>
      <w:r w:rsidRPr="00D533C5">
        <w:rPr>
          <w:rFonts w:eastAsia="SimSun" w:cs="Calibri"/>
          <w:sz w:val="24"/>
          <w:szCs w:val="24"/>
          <w:lang w:eastAsia="da-DK"/>
        </w:rPr>
        <w:t>fibrinogen</w:t>
      </w:r>
      <w:proofErr w:type="spellEnd"/>
      <w:r w:rsidRPr="00D533C5">
        <w:rPr>
          <w:rFonts w:eastAsia="SimSun" w:cs="Calibri"/>
          <w:sz w:val="24"/>
          <w:szCs w:val="24"/>
          <w:lang w:eastAsia="da-DK"/>
        </w:rPr>
        <w:t xml:space="preserve"> øger plasmakoncentrationen af </w:t>
      </w:r>
      <w:proofErr w:type="spellStart"/>
      <w:r w:rsidRPr="00D533C5">
        <w:rPr>
          <w:rFonts w:eastAsia="SimSun" w:cs="Calibri"/>
          <w:sz w:val="24"/>
          <w:szCs w:val="24"/>
          <w:lang w:eastAsia="da-DK"/>
        </w:rPr>
        <w:t>fibrinogen</w:t>
      </w:r>
      <w:proofErr w:type="spellEnd"/>
      <w:r w:rsidRPr="00D533C5">
        <w:rPr>
          <w:rFonts w:eastAsia="SimSun" w:cs="Calibri"/>
          <w:sz w:val="24"/>
          <w:szCs w:val="24"/>
          <w:lang w:eastAsia="da-DK"/>
        </w:rPr>
        <w:t xml:space="preserve"> og kan midlertidigt afhjælpe manglende koagulationsevne hos patienter med </w:t>
      </w:r>
      <w:proofErr w:type="spellStart"/>
      <w:r w:rsidRPr="00D533C5">
        <w:rPr>
          <w:rFonts w:eastAsia="SimSun" w:cs="Calibri"/>
          <w:sz w:val="24"/>
          <w:szCs w:val="24"/>
          <w:lang w:eastAsia="da-DK"/>
        </w:rPr>
        <w:t>fibrinogenmangel</w:t>
      </w:r>
      <w:proofErr w:type="spellEnd"/>
      <w:r w:rsidRPr="00D533C5">
        <w:rPr>
          <w:rFonts w:eastAsia="SimSun" w:cs="Calibri"/>
          <w:sz w:val="24"/>
          <w:szCs w:val="24"/>
          <w:lang w:eastAsia="da-DK"/>
        </w:rPr>
        <w:t>.</w:t>
      </w: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p>
    <w:p w:rsidR="00880457" w:rsidRDefault="00880457" w:rsidP="00880457">
      <w:pPr>
        <w:tabs>
          <w:tab w:val="left" w:pos="851"/>
        </w:tabs>
        <w:kinsoku w:val="0"/>
        <w:overflowPunct w:val="0"/>
        <w:autoSpaceDE w:val="0"/>
        <w:autoSpaceDN w:val="0"/>
        <w:ind w:left="851"/>
        <w:rPr>
          <w:rFonts w:eastAsia="SimSun" w:cs="Calibri"/>
          <w:sz w:val="24"/>
          <w:szCs w:val="24"/>
          <w:lang w:eastAsia="da-DK" w:bidi="da-DK"/>
        </w:rPr>
      </w:pPr>
      <w:r>
        <w:rPr>
          <w:rFonts w:eastAsia="SimSun" w:cs="Calibri"/>
          <w:sz w:val="24"/>
          <w:szCs w:val="24"/>
          <w:lang w:eastAsia="da-DK" w:bidi="da-DK"/>
        </w:rPr>
        <w:lastRenderedPageBreak/>
        <w:t xml:space="preserve">Tre multicenter, åbne, ikke-randomiserede kliniske studier (ét med voksne, ét med voksne, unge og børn og ét med børn) evaluerede den kliniske farmakologi, sikkerhed og virkning af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ved medfødt </w:t>
      </w:r>
      <w:proofErr w:type="spellStart"/>
      <w:r>
        <w:rPr>
          <w:rFonts w:eastAsia="SimSun" w:cs="Calibri"/>
          <w:sz w:val="24"/>
          <w:szCs w:val="24"/>
          <w:lang w:eastAsia="da-DK" w:bidi="da-DK"/>
        </w:rPr>
        <w:t>fibrinogenmangel</w:t>
      </w:r>
      <w:proofErr w:type="spellEnd"/>
      <w:r>
        <w:rPr>
          <w:rFonts w:eastAsia="SimSun" w:cs="Calibri"/>
          <w:sz w:val="24"/>
          <w:szCs w:val="24"/>
          <w:lang w:eastAsia="da-DK" w:bidi="da-DK"/>
        </w:rPr>
        <w:t xml:space="preserve">. Endvidere omfattede et ikke-intervenerende sikkerhedsstudie efter markedsføringen voksne og pædiatriske patienter. </w:t>
      </w:r>
    </w:p>
    <w:p w:rsidR="00880457" w:rsidRDefault="00880457" w:rsidP="00880457">
      <w:pPr>
        <w:tabs>
          <w:tab w:val="left" w:pos="851"/>
        </w:tabs>
        <w:kinsoku w:val="0"/>
        <w:overflowPunct w:val="0"/>
        <w:autoSpaceDE w:val="0"/>
        <w:autoSpaceDN w:val="0"/>
        <w:ind w:left="851"/>
        <w:rPr>
          <w:rFonts w:eastAsia="SimSun" w:cs="Calibri"/>
          <w:sz w:val="24"/>
          <w:szCs w:val="24"/>
          <w:lang w:eastAsia="da-DK"/>
        </w:rPr>
      </w:pPr>
    </w:p>
    <w:p w:rsidR="00880457" w:rsidRDefault="00880457" w:rsidP="00880457">
      <w:pPr>
        <w:tabs>
          <w:tab w:val="left" w:pos="851"/>
        </w:tabs>
        <w:kinsoku w:val="0"/>
        <w:overflowPunct w:val="0"/>
        <w:autoSpaceDE w:val="0"/>
        <w:autoSpaceDN w:val="0"/>
        <w:ind w:left="851"/>
        <w:rPr>
          <w:rFonts w:eastAsia="SimSun" w:cs="Calibri"/>
          <w:sz w:val="24"/>
          <w:szCs w:val="24"/>
          <w:lang w:eastAsia="da-DK" w:bidi="da-DK"/>
        </w:rPr>
      </w:pPr>
      <w:r>
        <w:rPr>
          <w:rFonts w:eastAsia="SimSun" w:cs="Calibri"/>
          <w:sz w:val="24"/>
          <w:szCs w:val="24"/>
          <w:lang w:eastAsia="da-DK" w:bidi="da-DK"/>
        </w:rPr>
        <w:t xml:space="preserve">Det kliniske farmakologistudie, som var en del af hvert af de kliniske studier (se pkt. 5.2), omfattede i alt 31 patienter med </w:t>
      </w:r>
      <w:proofErr w:type="spellStart"/>
      <w:r>
        <w:rPr>
          <w:rFonts w:eastAsia="SimSun" w:cs="Calibri"/>
          <w:sz w:val="24"/>
          <w:szCs w:val="24"/>
          <w:lang w:eastAsia="da-DK" w:bidi="da-DK"/>
        </w:rPr>
        <w:t>afibrinogenæmi</w:t>
      </w:r>
      <w:proofErr w:type="spellEnd"/>
      <w:r>
        <w:rPr>
          <w:rFonts w:eastAsia="SimSun" w:cs="Calibri"/>
          <w:sz w:val="24"/>
          <w:szCs w:val="24"/>
          <w:lang w:eastAsia="da-DK" w:bidi="da-DK"/>
        </w:rPr>
        <w:t xml:space="preserve">, som modtog en fast enkeltdosis på 0,06 g/kg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En normalisering af globale koagulationstests (f.eks. aktiveret partiel </w:t>
      </w:r>
      <w:proofErr w:type="spellStart"/>
      <w:r>
        <w:rPr>
          <w:rFonts w:eastAsia="SimSun" w:cs="Calibri"/>
          <w:sz w:val="24"/>
          <w:szCs w:val="24"/>
          <w:lang w:eastAsia="da-DK" w:bidi="da-DK"/>
        </w:rPr>
        <w:t>tromboplastintid</w:t>
      </w:r>
      <w:proofErr w:type="spellEnd"/>
      <w:r>
        <w:rPr>
          <w:rFonts w:eastAsia="SimSun" w:cs="Calibri"/>
          <w:sz w:val="24"/>
          <w:szCs w:val="24"/>
          <w:lang w:eastAsia="da-DK" w:bidi="da-DK"/>
        </w:rPr>
        <w:t>[</w:t>
      </w:r>
      <w:proofErr w:type="spellStart"/>
      <w:r>
        <w:rPr>
          <w:rFonts w:eastAsia="SimSun" w:cs="Calibri"/>
          <w:sz w:val="24"/>
          <w:szCs w:val="24"/>
          <w:lang w:eastAsia="da-DK" w:bidi="da-DK"/>
        </w:rPr>
        <w:t>aPTT</w:t>
      </w:r>
      <w:proofErr w:type="spellEnd"/>
      <w:r>
        <w:rPr>
          <w:rFonts w:eastAsia="SimSun" w:cs="Calibri"/>
          <w:sz w:val="24"/>
          <w:szCs w:val="24"/>
          <w:lang w:eastAsia="da-DK" w:bidi="da-DK"/>
        </w:rPr>
        <w:t xml:space="preserve">] og </w:t>
      </w:r>
      <w:proofErr w:type="spellStart"/>
      <w:proofErr w:type="gramStart"/>
      <w:r>
        <w:rPr>
          <w:rFonts w:eastAsia="SimSun" w:cs="Calibri"/>
          <w:sz w:val="24"/>
          <w:szCs w:val="24"/>
          <w:lang w:eastAsia="da-DK" w:bidi="da-DK"/>
        </w:rPr>
        <w:t>protrombintid</w:t>
      </w:r>
      <w:proofErr w:type="spellEnd"/>
      <w:r>
        <w:rPr>
          <w:rFonts w:eastAsia="SimSun" w:cs="Calibri"/>
          <w:sz w:val="24"/>
          <w:szCs w:val="24"/>
          <w:lang w:eastAsia="da-DK" w:bidi="da-DK"/>
        </w:rPr>
        <w:t>[</w:t>
      </w:r>
      <w:proofErr w:type="gramEnd"/>
      <w:r>
        <w:rPr>
          <w:rFonts w:eastAsia="SimSun" w:cs="Calibri"/>
          <w:sz w:val="24"/>
          <w:szCs w:val="24"/>
          <w:lang w:eastAsia="da-DK" w:bidi="da-DK"/>
        </w:rPr>
        <w:t xml:space="preserve">PT]) blev opnået ved </w:t>
      </w:r>
      <w:proofErr w:type="spellStart"/>
      <w:r>
        <w:rPr>
          <w:rFonts w:eastAsia="SimSun" w:cs="Calibri"/>
          <w:sz w:val="24"/>
          <w:szCs w:val="24"/>
          <w:lang w:eastAsia="da-DK" w:bidi="da-DK"/>
        </w:rPr>
        <w:t>fibrinogenniveauer</w:t>
      </w:r>
      <w:proofErr w:type="spellEnd"/>
      <w:r>
        <w:rPr>
          <w:rFonts w:eastAsia="SimSun" w:cs="Calibri"/>
          <w:sz w:val="24"/>
          <w:szCs w:val="24"/>
          <w:lang w:eastAsia="da-DK" w:bidi="da-DK"/>
        </w:rPr>
        <w:t xml:space="preserve"> på eller over 0,5 g/l. Median ændring af maksimal </w:t>
      </w:r>
      <w:proofErr w:type="spellStart"/>
      <w:r>
        <w:rPr>
          <w:rFonts w:eastAsia="SimSun" w:cs="Calibri"/>
          <w:sz w:val="24"/>
          <w:szCs w:val="24"/>
          <w:lang w:eastAsia="da-DK" w:bidi="da-DK"/>
        </w:rPr>
        <w:t>koagelstyrke</w:t>
      </w:r>
      <w:proofErr w:type="spellEnd"/>
      <w:r>
        <w:rPr>
          <w:rFonts w:eastAsia="SimSun" w:cs="Calibri"/>
          <w:sz w:val="24"/>
          <w:szCs w:val="24"/>
          <w:lang w:eastAsia="da-DK" w:bidi="da-DK"/>
        </w:rPr>
        <w:t xml:space="preserve"> (MCF) fra før infusionen til 1 time efter infusionen  var 6,3 mm for patienter med en legemsvægt på </w:t>
      </w:r>
      <w:r>
        <w:rPr>
          <w:rFonts w:eastAsia="SimSun" w:cs="Calibri"/>
          <w:sz w:val="24"/>
          <w:szCs w:val="24"/>
          <w:lang w:val="en-GB" w:eastAsia="da-DK"/>
        </w:rPr>
        <w:sym w:font="Symbol" w:char="F03C"/>
      </w:r>
      <w:r>
        <w:rPr>
          <w:rFonts w:eastAsia="SimSun" w:cs="Calibri"/>
          <w:sz w:val="24"/>
          <w:szCs w:val="24"/>
          <w:lang w:eastAsia="da-DK" w:bidi="da-DK"/>
        </w:rPr>
        <w:t xml:space="preserve">40 kg og 10,0 mm for patienter med en legemsvægt på </w:t>
      </w:r>
      <w:r>
        <w:rPr>
          <w:rFonts w:eastAsia="SimSun" w:cs="Calibri"/>
          <w:sz w:val="24"/>
          <w:szCs w:val="24"/>
          <w:lang w:val="en-GB" w:eastAsia="da-DK"/>
        </w:rPr>
        <w:sym w:font="Symbol" w:char="F0B3"/>
      </w:r>
      <w:r>
        <w:rPr>
          <w:rFonts w:eastAsia="SimSun" w:cs="Calibri"/>
          <w:sz w:val="24"/>
          <w:szCs w:val="24"/>
          <w:lang w:eastAsia="da-DK" w:bidi="da-DK"/>
        </w:rPr>
        <w:t>40 kg.</w:t>
      </w:r>
    </w:p>
    <w:p w:rsidR="00880457" w:rsidRDefault="00880457" w:rsidP="00880457">
      <w:pPr>
        <w:tabs>
          <w:tab w:val="left" w:pos="851"/>
        </w:tabs>
        <w:kinsoku w:val="0"/>
        <w:overflowPunct w:val="0"/>
        <w:autoSpaceDE w:val="0"/>
        <w:autoSpaceDN w:val="0"/>
        <w:ind w:left="851"/>
        <w:rPr>
          <w:rFonts w:eastAsia="SimSun" w:cs="Calibri"/>
          <w:sz w:val="24"/>
          <w:szCs w:val="24"/>
          <w:lang w:eastAsia="da-DK" w:bidi="da-DK"/>
        </w:rPr>
      </w:pPr>
    </w:p>
    <w:p w:rsidR="00880457" w:rsidRDefault="00880457" w:rsidP="00880457">
      <w:pPr>
        <w:tabs>
          <w:tab w:val="left" w:pos="851"/>
        </w:tabs>
        <w:kinsoku w:val="0"/>
        <w:overflowPunct w:val="0"/>
        <w:autoSpaceDE w:val="0"/>
        <w:autoSpaceDN w:val="0"/>
        <w:ind w:left="851"/>
        <w:rPr>
          <w:rFonts w:eastAsia="SimSun" w:cs="Calibri"/>
          <w:sz w:val="24"/>
          <w:szCs w:val="24"/>
          <w:u w:val="single"/>
          <w:lang w:eastAsia="da-DK" w:bidi="da-DK"/>
        </w:rPr>
      </w:pPr>
      <w:r>
        <w:rPr>
          <w:rFonts w:eastAsia="SimSun" w:cs="Calibri"/>
          <w:sz w:val="24"/>
          <w:szCs w:val="24"/>
          <w:u w:val="single"/>
          <w:lang w:eastAsia="da-DK" w:bidi="da-DK"/>
        </w:rPr>
        <w:t>Voksen population</w:t>
      </w:r>
    </w:p>
    <w:p w:rsidR="00880457" w:rsidRDefault="00880457" w:rsidP="00880457">
      <w:pPr>
        <w:tabs>
          <w:tab w:val="left" w:pos="851"/>
        </w:tabs>
        <w:kinsoku w:val="0"/>
        <w:overflowPunct w:val="0"/>
        <w:autoSpaceDE w:val="0"/>
        <w:autoSpaceDN w:val="0"/>
        <w:ind w:left="851"/>
        <w:rPr>
          <w:rFonts w:eastAsia="SimSun" w:cs="Calibri"/>
          <w:sz w:val="24"/>
          <w:szCs w:val="24"/>
          <w:lang w:eastAsia="da-DK" w:bidi="da-DK"/>
        </w:rPr>
      </w:pPr>
      <w:r>
        <w:rPr>
          <w:rFonts w:eastAsia="SimSun" w:cs="Calibri"/>
          <w:sz w:val="24"/>
          <w:szCs w:val="24"/>
          <w:lang w:eastAsia="da-DK" w:bidi="da-DK"/>
        </w:rPr>
        <w:t xml:space="preserve">På tværs af alle studier vedrørende medfødt </w:t>
      </w:r>
      <w:proofErr w:type="spellStart"/>
      <w:r>
        <w:rPr>
          <w:rFonts w:eastAsia="SimSun" w:cs="Calibri"/>
          <w:sz w:val="24"/>
          <w:szCs w:val="24"/>
          <w:lang w:eastAsia="da-DK" w:bidi="da-DK"/>
        </w:rPr>
        <w:t>fibrinogenmangel</w:t>
      </w:r>
      <w:proofErr w:type="spellEnd"/>
      <w:r>
        <w:rPr>
          <w:rFonts w:eastAsia="SimSun" w:cs="Calibri"/>
          <w:sz w:val="24"/>
          <w:szCs w:val="24"/>
          <w:lang w:eastAsia="da-DK" w:bidi="da-DK"/>
        </w:rPr>
        <w:t xml:space="preserve"> deltog 19 patienter  </w:t>
      </w:r>
      <w:r>
        <w:rPr>
          <w:rFonts w:eastAsia="SimSun" w:cs="Calibri"/>
          <w:sz w:val="24"/>
          <w:szCs w:val="24"/>
          <w:lang w:val="en-GB" w:eastAsia="da-DK"/>
        </w:rPr>
        <w:sym w:font="Symbol" w:char="F0B3"/>
      </w:r>
      <w:r>
        <w:rPr>
          <w:rFonts w:eastAsia="SimSun" w:cs="Calibri"/>
          <w:sz w:val="24"/>
          <w:szCs w:val="24"/>
          <w:lang w:eastAsia="da-DK" w:bidi="da-DK"/>
        </w:rPr>
        <w:t xml:space="preserve">18 år med en medianalder på 30 år (interval 19 - 78 år) i virkningsstudier </w:t>
      </w:r>
      <w:bookmarkStart w:id="0" w:name="_Hlk491345868"/>
      <w:r>
        <w:rPr>
          <w:rFonts w:eastAsia="SimSun" w:cs="Calibri"/>
          <w:sz w:val="24"/>
          <w:szCs w:val="24"/>
          <w:lang w:eastAsia="da-DK" w:bidi="da-DK"/>
        </w:rPr>
        <w:t xml:space="preserve">af behandling af blødning </w:t>
      </w:r>
      <w:bookmarkEnd w:id="0"/>
      <w:r>
        <w:rPr>
          <w:rFonts w:eastAsia="SimSun" w:cs="Calibri"/>
          <w:sz w:val="24"/>
          <w:szCs w:val="24"/>
          <w:lang w:eastAsia="da-DK" w:bidi="da-DK"/>
        </w:rPr>
        <w:t xml:space="preserve">efter behov eller i forbindelse med kirurgi, hvoraf de 18 havde </w:t>
      </w:r>
      <w:proofErr w:type="spellStart"/>
      <w:r>
        <w:rPr>
          <w:rFonts w:eastAsia="SimSun" w:cs="Calibri"/>
          <w:sz w:val="24"/>
          <w:szCs w:val="24"/>
          <w:lang w:eastAsia="da-DK" w:bidi="da-DK"/>
        </w:rPr>
        <w:t>afibrinogenæmi</w:t>
      </w:r>
      <w:proofErr w:type="spellEnd"/>
      <w:r>
        <w:rPr>
          <w:rFonts w:eastAsia="SimSun" w:cs="Calibri"/>
          <w:sz w:val="24"/>
          <w:szCs w:val="24"/>
          <w:lang w:eastAsia="da-DK" w:bidi="da-DK"/>
        </w:rPr>
        <w:t xml:space="preserve"> og 1 havde </w:t>
      </w:r>
      <w:proofErr w:type="spellStart"/>
      <w:r>
        <w:rPr>
          <w:rFonts w:eastAsia="SimSun" w:cs="Calibri"/>
          <w:sz w:val="24"/>
          <w:szCs w:val="24"/>
          <w:lang w:eastAsia="da-DK" w:bidi="da-DK"/>
        </w:rPr>
        <w:t>dysfibrinogenæmi</w:t>
      </w:r>
      <w:proofErr w:type="spellEnd"/>
      <w:r>
        <w:rPr>
          <w:rFonts w:eastAsia="SimSun" w:cs="Calibri"/>
          <w:sz w:val="24"/>
          <w:szCs w:val="24"/>
          <w:lang w:eastAsia="da-DK" w:bidi="da-DK"/>
        </w:rPr>
        <w:t xml:space="preserve">.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blev administreret til:</w:t>
      </w:r>
    </w:p>
    <w:p w:rsidR="00880457" w:rsidRDefault="00880457" w:rsidP="00880457">
      <w:pPr>
        <w:pStyle w:val="Listeafsnit"/>
        <w:numPr>
          <w:ilvl w:val="0"/>
          <w:numId w:val="8"/>
        </w:numPr>
        <w:tabs>
          <w:tab w:val="left" w:pos="851"/>
        </w:tabs>
        <w:kinsoku w:val="0"/>
        <w:overflowPunct w:val="0"/>
        <w:autoSpaceDE w:val="0"/>
        <w:autoSpaceDN w:val="0"/>
        <w:rPr>
          <w:rFonts w:eastAsia="SimSun" w:cs="Calibri"/>
          <w:sz w:val="24"/>
          <w:szCs w:val="24"/>
          <w:lang w:eastAsia="da-DK" w:bidi="da-DK"/>
        </w:rPr>
      </w:pPr>
      <w:r>
        <w:rPr>
          <w:rFonts w:eastAsia="SimSun" w:cs="Calibri"/>
          <w:sz w:val="24"/>
          <w:szCs w:val="24"/>
          <w:lang w:eastAsia="da-DK" w:bidi="da-DK"/>
        </w:rPr>
        <w:t>74 ikke-kirurgiske blødningsepisoder hos 12 patienter (herunder 6 større episoder hos 3 patienter),</w:t>
      </w:r>
    </w:p>
    <w:p w:rsidR="00880457" w:rsidRDefault="00880457" w:rsidP="00880457">
      <w:pPr>
        <w:pStyle w:val="Listeafsnit"/>
        <w:numPr>
          <w:ilvl w:val="0"/>
          <w:numId w:val="8"/>
        </w:numPr>
        <w:tabs>
          <w:tab w:val="left" w:pos="851"/>
        </w:tabs>
        <w:kinsoku w:val="0"/>
        <w:overflowPunct w:val="0"/>
        <w:autoSpaceDE w:val="0"/>
        <w:autoSpaceDN w:val="0"/>
        <w:rPr>
          <w:rFonts w:eastAsia="SimSun" w:cs="Calibri"/>
          <w:sz w:val="24"/>
          <w:szCs w:val="24"/>
          <w:lang w:eastAsia="da-DK" w:bidi="da-DK"/>
        </w:rPr>
      </w:pPr>
      <w:r>
        <w:rPr>
          <w:rFonts w:eastAsia="SimSun" w:cs="Calibri"/>
          <w:sz w:val="24"/>
          <w:szCs w:val="24"/>
          <w:lang w:eastAsia="da-DK" w:bidi="da-DK"/>
        </w:rPr>
        <w:t>24 kirurgiske procedurer hos 8 patienter (herunder 8 større procedurer hos 5 patienter).</w:t>
      </w:r>
    </w:p>
    <w:p w:rsidR="00880457" w:rsidRDefault="00880457" w:rsidP="00880457">
      <w:pPr>
        <w:pStyle w:val="Listeafsnit"/>
        <w:tabs>
          <w:tab w:val="left" w:pos="851"/>
        </w:tabs>
        <w:kinsoku w:val="0"/>
        <w:overflowPunct w:val="0"/>
        <w:autoSpaceDE w:val="0"/>
        <w:autoSpaceDN w:val="0"/>
        <w:ind w:left="1211"/>
        <w:rPr>
          <w:rFonts w:eastAsia="SimSun" w:cs="Calibri"/>
          <w:sz w:val="24"/>
          <w:szCs w:val="24"/>
          <w:lang w:eastAsia="da-DK" w:bidi="da-DK"/>
        </w:rPr>
      </w:pPr>
    </w:p>
    <w:p w:rsidR="00880457" w:rsidRDefault="00880457" w:rsidP="00880457">
      <w:pPr>
        <w:pStyle w:val="Listeafsnit"/>
        <w:tabs>
          <w:tab w:val="left" w:pos="851"/>
        </w:tabs>
        <w:kinsoku w:val="0"/>
        <w:overflowPunct w:val="0"/>
        <w:autoSpaceDE w:val="0"/>
        <w:autoSpaceDN w:val="0"/>
        <w:ind w:left="851"/>
        <w:rPr>
          <w:rFonts w:eastAsia="SimSun" w:cs="Calibri"/>
          <w:sz w:val="24"/>
          <w:szCs w:val="24"/>
          <w:lang w:eastAsia="da-DK" w:bidi="da-DK"/>
        </w:rPr>
      </w:pPr>
      <w:r>
        <w:rPr>
          <w:rFonts w:eastAsia="SimSun" w:cs="Calibri"/>
          <w:sz w:val="24"/>
          <w:szCs w:val="24"/>
          <w:lang w:eastAsia="da-DK" w:bidi="da-DK"/>
        </w:rPr>
        <w:t xml:space="preserve">Hovedparten (94,9 %) af hændelserne (93/98) forsvandt med en enkeltdosis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(0,050 g/kg for blødningsepisoder og 0,055 g/kg for kirurgiske procedurer).</w:t>
      </w:r>
    </w:p>
    <w:p w:rsidR="00880457" w:rsidRDefault="00880457" w:rsidP="00880457">
      <w:pPr>
        <w:tabs>
          <w:tab w:val="left" w:pos="851"/>
        </w:tabs>
        <w:kinsoku w:val="0"/>
        <w:overflowPunct w:val="0"/>
        <w:autoSpaceDE w:val="0"/>
        <w:autoSpaceDN w:val="0"/>
        <w:ind w:left="851"/>
        <w:rPr>
          <w:rFonts w:eastAsia="SimSun" w:cs="Calibri"/>
          <w:sz w:val="24"/>
          <w:szCs w:val="24"/>
          <w:lang w:eastAsia="da-DK"/>
        </w:rPr>
      </w:pPr>
    </w:p>
    <w:p w:rsidR="00880457" w:rsidRDefault="00880457" w:rsidP="00880457">
      <w:pPr>
        <w:keepNext/>
        <w:tabs>
          <w:tab w:val="left" w:pos="851"/>
        </w:tabs>
        <w:kinsoku w:val="0"/>
        <w:overflowPunct w:val="0"/>
        <w:autoSpaceDE w:val="0"/>
        <w:autoSpaceDN w:val="0"/>
        <w:ind w:left="851"/>
        <w:rPr>
          <w:rFonts w:eastAsia="SimSun" w:cs="Calibri"/>
          <w:sz w:val="24"/>
          <w:szCs w:val="24"/>
          <w:u w:val="single"/>
          <w:lang w:eastAsia="da-DK"/>
        </w:rPr>
      </w:pPr>
      <w:r>
        <w:rPr>
          <w:rFonts w:eastAsia="SimSun" w:cs="Calibri"/>
          <w:sz w:val="24"/>
          <w:szCs w:val="24"/>
          <w:u w:val="single"/>
          <w:lang w:eastAsia="da-DK"/>
        </w:rPr>
        <w:t>Pædiatrisk population</w:t>
      </w:r>
    </w:p>
    <w:p w:rsidR="00880457" w:rsidRDefault="00880457" w:rsidP="00880457">
      <w:pPr>
        <w:tabs>
          <w:tab w:val="left" w:pos="851"/>
        </w:tabs>
        <w:ind w:left="851"/>
        <w:rPr>
          <w:rFonts w:eastAsia="SimSun" w:cs="Calibri"/>
          <w:sz w:val="24"/>
          <w:szCs w:val="24"/>
          <w:lang w:eastAsia="da-DK" w:bidi="da-DK"/>
        </w:rPr>
      </w:pPr>
      <w:r>
        <w:rPr>
          <w:rFonts w:eastAsia="SimSun" w:cs="Calibri"/>
          <w:sz w:val="24"/>
          <w:szCs w:val="24"/>
          <w:lang w:eastAsia="da-DK" w:bidi="da-DK"/>
        </w:rPr>
        <w:t xml:space="preserve">Klinisk virkningsanalyse i interventionsstudier var baseret på 20 pædiatriske patienter  </w:t>
      </w:r>
      <w:r>
        <w:rPr>
          <w:rFonts w:eastAsia="SimSun" w:cs="Calibri"/>
          <w:sz w:val="24"/>
          <w:szCs w:val="24"/>
          <w:lang w:val="en-GB" w:eastAsia="da-DK"/>
        </w:rPr>
        <w:sym w:font="Symbol" w:char="F03C"/>
      </w:r>
      <w:r>
        <w:rPr>
          <w:rFonts w:eastAsia="SimSun" w:cs="Calibri"/>
          <w:sz w:val="24"/>
          <w:szCs w:val="24"/>
          <w:lang w:eastAsia="da-DK" w:bidi="da-DK"/>
        </w:rPr>
        <w:t xml:space="preserve">18 år med </w:t>
      </w:r>
      <w:proofErr w:type="spellStart"/>
      <w:r>
        <w:rPr>
          <w:rFonts w:eastAsia="SimSun" w:cs="Calibri"/>
          <w:sz w:val="24"/>
          <w:szCs w:val="24"/>
          <w:lang w:eastAsia="da-DK" w:bidi="da-DK"/>
        </w:rPr>
        <w:t>afibrinogenæmi</w:t>
      </w:r>
      <w:proofErr w:type="spellEnd"/>
      <w:r>
        <w:rPr>
          <w:rFonts w:eastAsia="SimSun" w:cs="Calibri"/>
          <w:sz w:val="24"/>
          <w:szCs w:val="24"/>
          <w:lang w:eastAsia="da-DK" w:bidi="da-DK"/>
        </w:rPr>
        <w:t xml:space="preserve"> (i alderen fra 1 til 17 år), der modtog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ved 80 lejligheder enten ved behov behandling af blødning eller til forebyggelse af kraftig blødning under kirurgi. Fjorten patienter blev behandlet med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for 55 blødningsepisoder og 15 patienter for 25 kirurgiske procedurer. De </w:t>
      </w:r>
      <w:proofErr w:type="spellStart"/>
      <w:r>
        <w:rPr>
          <w:rFonts w:eastAsia="SimSun" w:cs="Calibri"/>
          <w:sz w:val="24"/>
          <w:szCs w:val="24"/>
          <w:lang w:eastAsia="da-DK" w:bidi="da-DK"/>
        </w:rPr>
        <w:t>mediane</w:t>
      </w:r>
      <w:proofErr w:type="spellEnd"/>
      <w:r>
        <w:rPr>
          <w:rFonts w:eastAsia="SimSun" w:cs="Calibri"/>
          <w:sz w:val="24"/>
          <w:szCs w:val="24"/>
          <w:lang w:eastAsia="da-DK" w:bidi="da-DK"/>
        </w:rPr>
        <w:t xml:space="preserve"> doser pr. infusion var på 0,064 g/kg for blødningsepisoder i en population med en gennemsnitlig legemsvægt på 30 kg og 0,069 g/kg for kirurgiske procedurer i en population med en gennemsnitlig legemsvægt på 26 kg. Størstedelen (90,0 %) af hændelserne (72/80) blev klaret med en enkeltdosis </w:t>
      </w:r>
      <w:proofErr w:type="spellStart"/>
      <w:r>
        <w:rPr>
          <w:rFonts w:eastAsia="SimSun" w:cs="Calibri"/>
          <w:sz w:val="24"/>
          <w:szCs w:val="24"/>
          <w:lang w:eastAsia="da-DK" w:bidi="da-DK"/>
        </w:rPr>
        <w:t>Fibclot</w:t>
      </w:r>
      <w:proofErr w:type="spellEnd"/>
      <w:r>
        <w:rPr>
          <w:rFonts w:eastAsia="SimSun" w:cs="Calibri"/>
          <w:sz w:val="24"/>
          <w:szCs w:val="24"/>
          <w:lang w:eastAsia="da-DK" w:bidi="da-DK"/>
        </w:rPr>
        <w:t xml:space="preserve">. </w:t>
      </w:r>
    </w:p>
    <w:p w:rsidR="00880457" w:rsidRDefault="00880457" w:rsidP="00880457">
      <w:pPr>
        <w:tabs>
          <w:tab w:val="left" w:pos="851"/>
        </w:tabs>
        <w:ind w:left="851"/>
        <w:rPr>
          <w:sz w:val="24"/>
          <w:szCs w:val="24"/>
        </w:rPr>
      </w:pPr>
    </w:p>
    <w:p w:rsidR="00880457" w:rsidRDefault="00880457" w:rsidP="00880457">
      <w:pPr>
        <w:tabs>
          <w:tab w:val="left" w:pos="851"/>
        </w:tabs>
        <w:ind w:left="851"/>
        <w:rPr>
          <w:sz w:val="24"/>
          <w:szCs w:val="24"/>
          <w:lang w:bidi="da-DK"/>
        </w:rPr>
      </w:pPr>
      <w:r>
        <w:rPr>
          <w:sz w:val="24"/>
          <w:szCs w:val="24"/>
          <w:lang w:bidi="da-DK"/>
        </w:rPr>
        <w:t xml:space="preserve">I et </w:t>
      </w:r>
      <w:proofErr w:type="gramStart"/>
      <w:r>
        <w:rPr>
          <w:sz w:val="24"/>
          <w:szCs w:val="24"/>
          <w:lang w:bidi="da-DK"/>
        </w:rPr>
        <w:t>post-marketing studie</w:t>
      </w:r>
      <w:proofErr w:type="gramEnd"/>
      <w:r>
        <w:rPr>
          <w:sz w:val="24"/>
          <w:szCs w:val="24"/>
          <w:lang w:bidi="da-DK"/>
        </w:rPr>
        <w:t xml:space="preserve"> blev 9 patienter (herunder 4 børn) behandlet med langtidsprofylakse i mindst 12 måneder med en median dosis på 0,059 g/kg en gang om ugen. Blandt dem modtog 3 yngre patienter højere doser (median på 0,082 g/kg til småbørn og 0,075 g/kg til børn mellem 2 og 5 år).</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4F7AEB" w:rsidRPr="003B5014" w:rsidRDefault="004F7AEB" w:rsidP="004F7AEB">
      <w:pPr>
        <w:tabs>
          <w:tab w:val="left" w:pos="851"/>
        </w:tabs>
        <w:kinsoku w:val="0"/>
        <w:overflowPunct w:val="0"/>
        <w:autoSpaceDE w:val="0"/>
        <w:autoSpaceDN w:val="0"/>
        <w:ind w:left="851"/>
        <w:rPr>
          <w:rFonts w:eastAsia="SimSun" w:cs="Calibri"/>
          <w:sz w:val="24"/>
          <w:szCs w:val="24"/>
          <w:lang w:eastAsia="da-DK"/>
        </w:rPr>
      </w:pPr>
      <w:r w:rsidRPr="003B5014">
        <w:rPr>
          <w:rFonts w:eastAsia="SimSun" w:cs="Calibri"/>
          <w:sz w:val="24"/>
          <w:szCs w:val="24"/>
          <w:lang w:eastAsia="da-DK"/>
        </w:rPr>
        <w:t xml:space="preserve">Den biologiske halveringstid for </w:t>
      </w:r>
      <w:proofErr w:type="spellStart"/>
      <w:r w:rsidRPr="003B5014">
        <w:rPr>
          <w:rFonts w:eastAsia="SimSun" w:cs="Calibri"/>
          <w:sz w:val="24"/>
          <w:szCs w:val="24"/>
          <w:lang w:eastAsia="da-DK"/>
        </w:rPr>
        <w:t>fibrinogen</w:t>
      </w:r>
      <w:proofErr w:type="spellEnd"/>
      <w:r w:rsidRPr="003B5014">
        <w:rPr>
          <w:rFonts w:eastAsia="SimSun" w:cs="Calibri"/>
          <w:sz w:val="24"/>
          <w:szCs w:val="24"/>
          <w:lang w:eastAsia="da-DK"/>
        </w:rPr>
        <w:t xml:space="preserve"> i plasma er 3-4 dage.</w:t>
      </w:r>
    </w:p>
    <w:p w:rsidR="004F7AEB" w:rsidRPr="003B5014"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r w:rsidRPr="003B5014">
        <w:rPr>
          <w:rFonts w:eastAsia="SimSun" w:cs="Calibri"/>
          <w:sz w:val="24"/>
          <w:szCs w:val="24"/>
          <w:lang w:eastAsia="da-DK"/>
        </w:rPr>
        <w:t>Lægemidlet administreres intravenøst og er umiddelbart tilgængeligt i plasma i en koncentration svarende til den administrerede dosis</w:t>
      </w:r>
      <w:r>
        <w:rPr>
          <w:rFonts w:eastAsia="SimSun" w:cs="Calibri"/>
          <w:sz w:val="24"/>
          <w:szCs w:val="24"/>
          <w:lang w:eastAsia="da-DK"/>
        </w:rPr>
        <w:t xml:space="preserve"> </w:t>
      </w:r>
      <w:r w:rsidRPr="00D1522A">
        <w:rPr>
          <w:rFonts w:eastAsia="SimSun" w:cs="Calibri"/>
          <w:sz w:val="24"/>
          <w:szCs w:val="24"/>
          <w:lang w:eastAsia="da-DK" w:bidi="da-DK"/>
        </w:rPr>
        <w:t xml:space="preserve">med næsten fuldkommen bedring på mellem 79 og 110 % (geometrisk gennemsnit på 93,6 % (geometrisk CV på 21 %)) som rapporteret i et klinisk farmakologistudie med 14 voksne og unge patienter med </w:t>
      </w:r>
      <w:proofErr w:type="spellStart"/>
      <w:r w:rsidRPr="00D1522A">
        <w:rPr>
          <w:rFonts w:eastAsia="SimSun" w:cs="Calibri"/>
          <w:sz w:val="24"/>
          <w:szCs w:val="24"/>
          <w:lang w:eastAsia="da-DK" w:bidi="da-DK"/>
        </w:rPr>
        <w:t>afibrinogenæmi</w:t>
      </w:r>
      <w:proofErr w:type="spellEnd"/>
      <w:r w:rsidRPr="003B5014">
        <w:rPr>
          <w:rFonts w:eastAsia="SimSun" w:cs="Calibri"/>
          <w:sz w:val="24"/>
          <w:szCs w:val="24"/>
          <w:lang w:eastAsia="da-DK"/>
        </w:rPr>
        <w:t>.</w:t>
      </w:r>
    </w:p>
    <w:p w:rsidR="00880457" w:rsidRPr="003B5014" w:rsidRDefault="00880457" w:rsidP="004F7AEB">
      <w:pPr>
        <w:tabs>
          <w:tab w:val="left" w:pos="851"/>
        </w:tabs>
        <w:kinsoku w:val="0"/>
        <w:overflowPunct w:val="0"/>
        <w:autoSpaceDE w:val="0"/>
        <w:autoSpaceDN w:val="0"/>
        <w:ind w:left="851"/>
        <w:rPr>
          <w:rFonts w:eastAsia="SimSun" w:cs="Calibri"/>
          <w:sz w:val="24"/>
          <w:szCs w:val="24"/>
          <w:lang w:eastAsia="da-DK"/>
        </w:rPr>
      </w:pPr>
    </w:p>
    <w:p w:rsidR="00880457" w:rsidRDefault="00880457" w:rsidP="00880457">
      <w:pPr>
        <w:tabs>
          <w:tab w:val="left" w:pos="851"/>
        </w:tabs>
        <w:ind w:left="851"/>
        <w:rPr>
          <w:rFonts w:eastAsia="SimSun" w:cs="Calibri"/>
          <w:sz w:val="24"/>
          <w:szCs w:val="24"/>
          <w:lang w:eastAsia="da-DK" w:bidi="da-DK"/>
        </w:rPr>
      </w:pPr>
      <w:r>
        <w:rPr>
          <w:rFonts w:eastAsia="SimSun" w:cs="Calibri"/>
          <w:sz w:val="24"/>
          <w:szCs w:val="24"/>
          <w:lang w:eastAsia="da-DK" w:bidi="da-DK"/>
        </w:rPr>
        <w:lastRenderedPageBreak/>
        <w:t xml:space="preserve">En </w:t>
      </w:r>
      <w:proofErr w:type="spellStart"/>
      <w:r>
        <w:rPr>
          <w:rFonts w:eastAsia="SimSun" w:cs="Calibri"/>
          <w:sz w:val="24"/>
          <w:szCs w:val="24"/>
          <w:lang w:eastAsia="da-DK" w:bidi="da-DK"/>
        </w:rPr>
        <w:t>farmakokinetisk</w:t>
      </w:r>
      <w:proofErr w:type="spellEnd"/>
      <w:r>
        <w:rPr>
          <w:rFonts w:eastAsia="SimSun" w:cs="Calibri"/>
          <w:sz w:val="24"/>
          <w:szCs w:val="24"/>
          <w:lang w:eastAsia="da-DK" w:bidi="da-DK"/>
        </w:rPr>
        <w:t xml:space="preserve"> populationsmodel med </w:t>
      </w:r>
      <w:proofErr w:type="spellStart"/>
      <w:r>
        <w:rPr>
          <w:rFonts w:eastAsia="SimSun" w:cs="Calibri"/>
          <w:sz w:val="24"/>
          <w:szCs w:val="24"/>
          <w:lang w:eastAsia="da-DK" w:bidi="da-DK"/>
        </w:rPr>
        <w:t>allometrisk</w:t>
      </w:r>
      <w:proofErr w:type="spellEnd"/>
      <w:r>
        <w:rPr>
          <w:rFonts w:eastAsia="SimSun" w:cs="Calibri"/>
          <w:sz w:val="24"/>
          <w:szCs w:val="24"/>
          <w:lang w:eastAsia="da-DK" w:bidi="da-DK"/>
        </w:rPr>
        <w:t xml:space="preserve"> skalering (legemsvægt) blev udviklet med data fra 31 patienter med </w:t>
      </w:r>
      <w:proofErr w:type="spellStart"/>
      <w:r>
        <w:rPr>
          <w:rFonts w:eastAsia="SimSun" w:cs="Calibri"/>
          <w:sz w:val="24"/>
          <w:szCs w:val="24"/>
          <w:lang w:eastAsia="da-DK" w:bidi="da-DK"/>
        </w:rPr>
        <w:t>afibrinogenæmi</w:t>
      </w:r>
      <w:proofErr w:type="spellEnd"/>
      <w:r>
        <w:rPr>
          <w:rFonts w:eastAsia="SimSun" w:cs="Calibri"/>
          <w:sz w:val="24"/>
          <w:szCs w:val="24"/>
          <w:lang w:eastAsia="da-DK" w:bidi="da-DK"/>
        </w:rPr>
        <w:t xml:space="preserve"> i alderen fra 1 til 48 år: De anslåede parametre er angivet i Tabel 2. Børn og unge med en legemsvægt på </w:t>
      </w:r>
      <w:r>
        <w:rPr>
          <w:rFonts w:eastAsia="SimSun" w:cs="Calibri"/>
          <w:sz w:val="24"/>
          <w:szCs w:val="24"/>
          <w:lang w:val="en-GB" w:eastAsia="da-DK"/>
        </w:rPr>
        <w:sym w:font="Symbol" w:char="F03C"/>
      </w:r>
      <w:r>
        <w:rPr>
          <w:rFonts w:eastAsia="SimSun" w:cs="Calibri"/>
          <w:sz w:val="24"/>
          <w:szCs w:val="24"/>
          <w:lang w:eastAsia="da-DK" w:bidi="da-DK"/>
        </w:rPr>
        <w:t xml:space="preserve">40 kg havde højere </w:t>
      </w:r>
      <w:proofErr w:type="spellStart"/>
      <w:r>
        <w:rPr>
          <w:rFonts w:eastAsia="SimSun" w:cs="Calibri"/>
          <w:sz w:val="24"/>
          <w:szCs w:val="24"/>
          <w:lang w:eastAsia="da-DK" w:bidi="da-DK"/>
        </w:rPr>
        <w:t>clearance</w:t>
      </w:r>
      <w:proofErr w:type="spellEnd"/>
      <w:r>
        <w:rPr>
          <w:rFonts w:eastAsia="SimSun" w:cs="Calibri"/>
          <w:sz w:val="24"/>
          <w:szCs w:val="24"/>
          <w:lang w:eastAsia="da-DK" w:bidi="da-DK"/>
        </w:rPr>
        <w:t xml:space="preserve">, kortere halveringstid og dårligere bedring en time efter infusionen end unge og voksne på </w:t>
      </w:r>
      <w:r>
        <w:rPr>
          <w:rFonts w:eastAsia="SimSun" w:cs="Calibri"/>
          <w:sz w:val="24"/>
          <w:szCs w:val="24"/>
          <w:lang w:val="en-GB" w:eastAsia="da-DK"/>
        </w:rPr>
        <w:sym w:font="Symbol" w:char="F0B3"/>
      </w:r>
      <w:r>
        <w:rPr>
          <w:rFonts w:eastAsia="SimSun" w:cs="Calibri"/>
          <w:sz w:val="24"/>
          <w:szCs w:val="24"/>
          <w:lang w:eastAsia="da-DK" w:bidi="da-DK"/>
        </w:rPr>
        <w:t>40 kg. Det kan forventes, at en legemsvægt på &lt;40 kg dækker en aldersgruppe, der strækker sig fra fødslen og op til ca. 12 år.</w:t>
      </w:r>
    </w:p>
    <w:p w:rsidR="004F7AEB" w:rsidRDefault="004F7AEB" w:rsidP="004F7AEB">
      <w:pPr>
        <w:tabs>
          <w:tab w:val="left" w:pos="851"/>
        </w:tabs>
        <w:ind w:left="851"/>
        <w:rPr>
          <w:sz w:val="24"/>
          <w:szCs w:val="24"/>
        </w:rPr>
      </w:pPr>
    </w:p>
    <w:p w:rsidR="004F7AEB" w:rsidRPr="00D1522A" w:rsidRDefault="00880457" w:rsidP="004F7AEB">
      <w:pPr>
        <w:pStyle w:val="Brdtekst"/>
        <w:jc w:val="center"/>
        <w:rPr>
          <w:b/>
          <w:color w:val="000000"/>
          <w:sz w:val="24"/>
          <w:szCs w:val="24"/>
        </w:rPr>
      </w:pPr>
      <w:r>
        <w:rPr>
          <w:b/>
          <w:sz w:val="24"/>
          <w:szCs w:val="24"/>
        </w:rPr>
        <w:t>Tabel</w:t>
      </w:r>
      <w:r w:rsidR="004F7AEB" w:rsidRPr="00D1522A">
        <w:rPr>
          <w:b/>
          <w:sz w:val="24"/>
          <w:szCs w:val="24"/>
        </w:rPr>
        <w:t xml:space="preserve"> 2. Oversigt over de </w:t>
      </w:r>
      <w:proofErr w:type="spellStart"/>
      <w:r w:rsidR="004F7AEB" w:rsidRPr="00D1522A">
        <w:rPr>
          <w:b/>
          <w:sz w:val="24"/>
          <w:szCs w:val="24"/>
        </w:rPr>
        <w:t>farmakokinetiske</w:t>
      </w:r>
      <w:proofErr w:type="spellEnd"/>
      <w:r w:rsidR="004F7AEB" w:rsidRPr="00D1522A">
        <w:rPr>
          <w:b/>
          <w:sz w:val="24"/>
          <w:szCs w:val="24"/>
        </w:rPr>
        <w:t xml:space="preserve"> parametre for </w:t>
      </w:r>
      <w:proofErr w:type="spellStart"/>
      <w:r w:rsidR="004F7AEB" w:rsidRPr="00D1522A">
        <w:rPr>
          <w:b/>
          <w:sz w:val="24"/>
          <w:szCs w:val="24"/>
        </w:rPr>
        <w:t>Fibclot</w:t>
      </w:r>
      <w:proofErr w:type="spellEnd"/>
      <w:r w:rsidR="004F7AEB" w:rsidRPr="00D1522A">
        <w:rPr>
          <w:b/>
          <w:sz w:val="24"/>
          <w:szCs w:val="24"/>
        </w:rPr>
        <w:t xml:space="preserve"> </w:t>
      </w:r>
      <w:r w:rsidR="004F7AEB" w:rsidRPr="00D1522A">
        <w:rPr>
          <w:b/>
          <w:color w:val="000000"/>
          <w:sz w:val="24"/>
          <w:szCs w:val="24"/>
        </w:rPr>
        <w:t xml:space="preserve">for aktivitetsdata efter infusion af 0,06 g/kg baseret på populationens </w:t>
      </w:r>
      <w:r>
        <w:rPr>
          <w:b/>
          <w:color w:val="000000"/>
          <w:sz w:val="24"/>
          <w:szCs w:val="24"/>
        </w:rPr>
        <w:t xml:space="preserve">estimerede </w:t>
      </w:r>
      <w:proofErr w:type="spellStart"/>
      <w:r w:rsidR="004F7AEB" w:rsidRPr="00D1522A">
        <w:rPr>
          <w:b/>
          <w:color w:val="000000"/>
          <w:sz w:val="24"/>
          <w:szCs w:val="24"/>
        </w:rPr>
        <w:t>farmakokinetiske</w:t>
      </w:r>
      <w:proofErr w:type="spellEnd"/>
      <w:r w:rsidR="004F7AEB" w:rsidRPr="00D1522A">
        <w:rPr>
          <w:b/>
          <w:color w:val="000000"/>
          <w:sz w:val="24"/>
          <w:szCs w:val="24"/>
        </w:rPr>
        <w:t xml:space="preserve"> parametre og inkrementel bedring ud fra legemsvægt og aldersgruppe: </w:t>
      </w:r>
      <w:r w:rsidR="004F7AEB" w:rsidRPr="00D1522A">
        <w:rPr>
          <w:b/>
          <w:color w:val="000000"/>
          <w:sz w:val="24"/>
          <w:szCs w:val="24"/>
        </w:rPr>
        <w:br/>
        <w:t>Geometrisk middelværdi (geometrisk (CV%))</w:t>
      </w: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150"/>
        <w:gridCol w:w="90"/>
        <w:gridCol w:w="1242"/>
        <w:gridCol w:w="1222"/>
        <w:gridCol w:w="1339"/>
        <w:gridCol w:w="1431"/>
        <w:gridCol w:w="1378"/>
      </w:tblGrid>
      <w:tr w:rsidR="004F7AEB" w:rsidRPr="00D1522A" w:rsidTr="003B4BCE">
        <w:tc>
          <w:tcPr>
            <w:tcW w:w="972" w:type="pct"/>
            <w:shd w:val="clear" w:color="auto" w:fill="auto"/>
            <w:vAlign w:val="center"/>
          </w:tcPr>
          <w:p w:rsidR="004F7AEB" w:rsidRPr="00D1522A" w:rsidRDefault="005B69DC" w:rsidP="003B4BCE">
            <w:pPr>
              <w:pStyle w:val="Brdtekst"/>
              <w:ind w:left="-57" w:right="-57"/>
              <w:jc w:val="center"/>
              <w:rPr>
                <w:b/>
                <w:sz w:val="24"/>
                <w:szCs w:val="24"/>
                <w:lang w:val="en-GB"/>
              </w:rPr>
            </w:pPr>
            <w:r>
              <w:rPr>
                <w:b/>
                <w:noProof/>
                <w:sz w:val="24"/>
                <w:szCs w:val="24"/>
                <w:lang w:val="en-GB"/>
              </w:rPr>
              <w:pict>
                <v:rect id="_x0000_i1025" style="width:16.1pt;height:.05pt" o:hrpct="35" o:hralign="center" o:hrstd="t" o:hr="t" fillcolor="#a0a0a0" stroked="f"/>
              </w:pict>
            </w:r>
          </w:p>
        </w:tc>
        <w:tc>
          <w:tcPr>
            <w:tcW w:w="636" w:type="pct"/>
            <w:gridSpan w:val="2"/>
            <w:tcBorders>
              <w:right w:val="nil"/>
            </w:tcBorders>
            <w:vAlign w:val="center"/>
          </w:tcPr>
          <w:p w:rsidR="004F7AEB" w:rsidRPr="00D1522A" w:rsidRDefault="004F7AEB" w:rsidP="003B4BCE">
            <w:pPr>
              <w:pStyle w:val="Brdtekst"/>
              <w:ind w:left="-57" w:right="-57"/>
              <w:jc w:val="center"/>
              <w:rPr>
                <w:b/>
                <w:sz w:val="24"/>
                <w:szCs w:val="24"/>
                <w:lang w:val="en-GB"/>
              </w:rPr>
            </w:pPr>
            <w:proofErr w:type="spellStart"/>
            <w:r w:rsidRPr="00D1522A">
              <w:rPr>
                <w:b/>
                <w:sz w:val="24"/>
                <w:szCs w:val="24"/>
                <w:lang w:val="en-GB"/>
              </w:rPr>
              <w:t>Patienter</w:t>
            </w:r>
            <w:proofErr w:type="spellEnd"/>
            <w:r w:rsidRPr="00D1522A">
              <w:rPr>
                <w:b/>
                <w:sz w:val="24"/>
                <w:szCs w:val="24"/>
                <w:lang w:val="en-GB"/>
              </w:rPr>
              <w:br/>
            </w:r>
            <w:r w:rsidRPr="00D1522A">
              <w:rPr>
                <w:b/>
                <w:sz w:val="24"/>
                <w:szCs w:val="24"/>
                <w:lang w:val="en-GB"/>
              </w:rPr>
              <w:sym w:font="Symbol" w:char="F03C"/>
            </w:r>
            <w:r w:rsidRPr="00D1522A">
              <w:rPr>
                <w:b/>
                <w:sz w:val="24"/>
                <w:szCs w:val="24"/>
                <w:lang w:val="en-GB"/>
              </w:rPr>
              <w:t>40 kg</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b/>
                <w:sz w:val="24"/>
                <w:szCs w:val="24"/>
                <w:lang w:val="en-GB"/>
              </w:rPr>
            </w:pPr>
            <w:proofErr w:type="spellStart"/>
            <w:r w:rsidRPr="00D1522A">
              <w:rPr>
                <w:b/>
                <w:sz w:val="24"/>
                <w:szCs w:val="24"/>
                <w:lang w:val="en-GB"/>
              </w:rPr>
              <w:t>Patienter</w:t>
            </w:r>
            <w:proofErr w:type="spellEnd"/>
            <w:r w:rsidRPr="00D1522A">
              <w:rPr>
                <w:b/>
                <w:sz w:val="24"/>
                <w:szCs w:val="24"/>
                <w:lang w:val="en-GB"/>
              </w:rPr>
              <w:br/>
            </w:r>
            <w:r w:rsidRPr="00D1522A">
              <w:rPr>
                <w:b/>
                <w:sz w:val="24"/>
                <w:szCs w:val="24"/>
                <w:lang w:val="en-GB"/>
              </w:rPr>
              <w:sym w:font="Symbol" w:char="F0B3"/>
            </w:r>
            <w:r w:rsidRPr="00D1522A">
              <w:rPr>
                <w:b/>
                <w:sz w:val="24"/>
                <w:szCs w:val="24"/>
                <w:lang w:val="en-GB"/>
              </w:rPr>
              <w:t xml:space="preserve"> 40 kg</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b/>
                <w:sz w:val="24"/>
                <w:szCs w:val="24"/>
                <w:lang w:val="en-GB"/>
              </w:rPr>
            </w:pPr>
            <w:proofErr w:type="spellStart"/>
            <w:r w:rsidRPr="00D1522A">
              <w:rPr>
                <w:b/>
                <w:sz w:val="24"/>
                <w:szCs w:val="24"/>
                <w:lang w:val="en-GB"/>
              </w:rPr>
              <w:t>Børn</w:t>
            </w:r>
            <w:proofErr w:type="spellEnd"/>
            <w:r w:rsidRPr="00D1522A">
              <w:rPr>
                <w:b/>
                <w:sz w:val="24"/>
                <w:szCs w:val="24"/>
                <w:lang w:val="en-GB"/>
              </w:rPr>
              <w:br/>
            </w:r>
            <w:r w:rsidRPr="00D1522A">
              <w:rPr>
                <w:b/>
                <w:sz w:val="24"/>
                <w:szCs w:val="24"/>
                <w:lang w:val="en-GB"/>
              </w:rPr>
              <w:sym w:font="Symbol" w:char="F0A3"/>
            </w:r>
            <w:r w:rsidRPr="00D1522A">
              <w:rPr>
                <w:b/>
                <w:sz w:val="24"/>
                <w:szCs w:val="24"/>
                <w:lang w:val="en-GB"/>
              </w:rPr>
              <w:t xml:space="preserve">6 </w:t>
            </w:r>
            <w:proofErr w:type="spellStart"/>
            <w:r w:rsidRPr="00D1522A">
              <w:rPr>
                <w:b/>
                <w:sz w:val="24"/>
                <w:szCs w:val="24"/>
                <w:lang w:val="en-GB"/>
              </w:rPr>
              <w:t>år</w:t>
            </w:r>
            <w:proofErr w:type="spellEnd"/>
          </w:p>
        </w:tc>
        <w:tc>
          <w:tcPr>
            <w:tcW w:w="687" w:type="pct"/>
            <w:shd w:val="clear" w:color="auto" w:fill="auto"/>
            <w:vAlign w:val="center"/>
          </w:tcPr>
          <w:p w:rsidR="004F7AEB" w:rsidRPr="00D1522A" w:rsidRDefault="004F7AEB" w:rsidP="003B4BCE">
            <w:pPr>
              <w:pStyle w:val="Brdtekst"/>
              <w:ind w:left="-57" w:right="-57"/>
              <w:jc w:val="center"/>
              <w:rPr>
                <w:b/>
                <w:spacing w:val="-6"/>
                <w:sz w:val="24"/>
                <w:szCs w:val="24"/>
                <w:lang w:val="en-GB"/>
              </w:rPr>
            </w:pPr>
            <w:proofErr w:type="spellStart"/>
            <w:r w:rsidRPr="00D1522A">
              <w:rPr>
                <w:b/>
                <w:spacing w:val="-6"/>
                <w:sz w:val="24"/>
                <w:szCs w:val="24"/>
                <w:lang w:val="en-GB"/>
              </w:rPr>
              <w:t>Børn</w:t>
            </w:r>
            <w:proofErr w:type="spellEnd"/>
            <w:r w:rsidRPr="00D1522A">
              <w:rPr>
                <w:b/>
                <w:spacing w:val="-6"/>
                <w:sz w:val="24"/>
                <w:szCs w:val="24"/>
                <w:lang w:val="en-GB"/>
              </w:rPr>
              <w:br/>
              <w:t xml:space="preserve">7 til 12 </w:t>
            </w:r>
            <w:proofErr w:type="spellStart"/>
            <w:r w:rsidRPr="00D1522A">
              <w:rPr>
                <w:b/>
                <w:sz w:val="24"/>
                <w:szCs w:val="24"/>
                <w:lang w:val="en-GB"/>
              </w:rPr>
              <w:t>år</w:t>
            </w:r>
            <w:proofErr w:type="spellEnd"/>
          </w:p>
        </w:tc>
        <w:tc>
          <w:tcPr>
            <w:tcW w:w="734" w:type="pct"/>
            <w:shd w:val="clear" w:color="auto" w:fill="auto"/>
            <w:vAlign w:val="center"/>
          </w:tcPr>
          <w:p w:rsidR="004F7AEB" w:rsidRPr="00D1522A" w:rsidRDefault="004F7AEB" w:rsidP="003B4BCE">
            <w:pPr>
              <w:pStyle w:val="Brdtekst"/>
              <w:ind w:left="-57" w:right="-57"/>
              <w:jc w:val="center"/>
              <w:rPr>
                <w:b/>
                <w:sz w:val="24"/>
                <w:szCs w:val="24"/>
                <w:lang w:val="en-GB"/>
              </w:rPr>
            </w:pPr>
            <w:proofErr w:type="spellStart"/>
            <w:r w:rsidRPr="00D1522A">
              <w:rPr>
                <w:b/>
                <w:sz w:val="24"/>
                <w:szCs w:val="24"/>
                <w:lang w:val="en-GB"/>
              </w:rPr>
              <w:t>Unge</w:t>
            </w:r>
            <w:proofErr w:type="spellEnd"/>
            <w:r w:rsidRPr="00D1522A">
              <w:rPr>
                <w:b/>
                <w:sz w:val="24"/>
                <w:szCs w:val="24"/>
                <w:lang w:val="en-GB"/>
              </w:rPr>
              <w:br/>
            </w:r>
            <w:r w:rsidRPr="00D1522A">
              <w:rPr>
                <w:b/>
                <w:spacing w:val="-8"/>
                <w:sz w:val="24"/>
                <w:szCs w:val="24"/>
                <w:lang w:val="en-GB"/>
              </w:rPr>
              <w:t xml:space="preserve">13 til </w:t>
            </w:r>
            <w:r w:rsidRPr="00D1522A">
              <w:rPr>
                <w:b/>
                <w:spacing w:val="-8"/>
                <w:sz w:val="24"/>
                <w:szCs w:val="24"/>
                <w:lang w:val="en-GB"/>
              </w:rPr>
              <w:sym w:font="Symbol" w:char="F03C"/>
            </w:r>
            <w:r w:rsidRPr="00D1522A">
              <w:rPr>
                <w:b/>
                <w:spacing w:val="-8"/>
                <w:sz w:val="24"/>
                <w:szCs w:val="24"/>
                <w:lang w:val="en-GB"/>
              </w:rPr>
              <w:t xml:space="preserve">18 </w:t>
            </w:r>
            <w:proofErr w:type="spellStart"/>
            <w:r w:rsidRPr="00D1522A">
              <w:rPr>
                <w:b/>
                <w:sz w:val="24"/>
                <w:szCs w:val="24"/>
                <w:lang w:val="en-GB"/>
              </w:rPr>
              <w:t>år</w:t>
            </w:r>
            <w:proofErr w:type="spellEnd"/>
          </w:p>
        </w:tc>
        <w:tc>
          <w:tcPr>
            <w:tcW w:w="707" w:type="pct"/>
            <w:shd w:val="clear" w:color="auto" w:fill="auto"/>
            <w:vAlign w:val="center"/>
          </w:tcPr>
          <w:p w:rsidR="004F7AEB" w:rsidRPr="00D1522A" w:rsidRDefault="004F7AEB" w:rsidP="003B4BCE">
            <w:pPr>
              <w:pStyle w:val="Brdtekst"/>
              <w:ind w:left="-57" w:right="-57"/>
              <w:jc w:val="center"/>
              <w:rPr>
                <w:b/>
                <w:sz w:val="24"/>
                <w:szCs w:val="24"/>
              </w:rPr>
            </w:pPr>
            <w:r w:rsidRPr="00D1522A">
              <w:rPr>
                <w:b/>
                <w:sz w:val="24"/>
                <w:szCs w:val="24"/>
              </w:rPr>
              <w:t xml:space="preserve">Voksne </w:t>
            </w:r>
            <w:r w:rsidRPr="00D1522A">
              <w:rPr>
                <w:b/>
                <w:sz w:val="24"/>
                <w:szCs w:val="24"/>
              </w:rPr>
              <w:br/>
            </w:r>
            <w:r w:rsidRPr="00D1522A">
              <w:rPr>
                <w:b/>
                <w:spacing w:val="-12"/>
                <w:sz w:val="24"/>
                <w:szCs w:val="24"/>
                <w:lang w:val="en-GB"/>
              </w:rPr>
              <w:sym w:font="Symbol" w:char="F0B3"/>
            </w:r>
            <w:r w:rsidRPr="00D1522A">
              <w:rPr>
                <w:b/>
                <w:spacing w:val="-12"/>
                <w:sz w:val="24"/>
                <w:szCs w:val="24"/>
              </w:rPr>
              <w:t xml:space="preserve">18 </w:t>
            </w:r>
            <w:r w:rsidRPr="00D1522A">
              <w:rPr>
                <w:b/>
                <w:sz w:val="24"/>
                <w:szCs w:val="24"/>
              </w:rPr>
              <w:t>år</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b/>
                <w:sz w:val="24"/>
                <w:szCs w:val="24"/>
              </w:rPr>
            </w:pPr>
            <w:r w:rsidRPr="00D1522A">
              <w:rPr>
                <w:b/>
                <w:sz w:val="24"/>
                <w:szCs w:val="24"/>
              </w:rPr>
              <w:t>Antal patienter</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rPr>
            </w:pPr>
            <w:r w:rsidRPr="00D1522A">
              <w:rPr>
                <w:sz w:val="24"/>
                <w:szCs w:val="24"/>
              </w:rPr>
              <w:t>12</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rPr>
            </w:pPr>
            <w:r w:rsidRPr="00D1522A">
              <w:rPr>
                <w:sz w:val="24"/>
                <w:szCs w:val="24"/>
              </w:rPr>
              <w:t>19</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6</w:t>
            </w:r>
          </w:p>
        </w:tc>
        <w:tc>
          <w:tcPr>
            <w:tcW w:w="687"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8</w:t>
            </w:r>
          </w:p>
        </w:tc>
        <w:tc>
          <w:tcPr>
            <w:tcW w:w="734"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3</w:t>
            </w:r>
          </w:p>
        </w:tc>
        <w:tc>
          <w:tcPr>
            <w:tcW w:w="707"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14</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sz w:val="24"/>
                <w:szCs w:val="24"/>
              </w:rPr>
            </w:pPr>
            <w:r w:rsidRPr="00D1522A">
              <w:rPr>
                <w:color w:val="000000"/>
                <w:sz w:val="24"/>
                <w:szCs w:val="24"/>
              </w:rPr>
              <w:t>AUC</w:t>
            </w:r>
            <w:r w:rsidRPr="00D1522A">
              <w:rPr>
                <w:color w:val="000000"/>
                <w:sz w:val="24"/>
                <w:szCs w:val="24"/>
                <w:vertAlign w:val="subscript"/>
              </w:rPr>
              <w:t>0-∞</w:t>
            </w:r>
            <w:r w:rsidRPr="00D1522A">
              <w:rPr>
                <w:color w:val="000000"/>
                <w:sz w:val="24"/>
                <w:szCs w:val="24"/>
              </w:rPr>
              <w:t xml:space="preserve"> (</w:t>
            </w:r>
            <w:proofErr w:type="spellStart"/>
            <w:r w:rsidRPr="00D1522A">
              <w:rPr>
                <w:color w:val="000000"/>
                <w:sz w:val="24"/>
                <w:szCs w:val="24"/>
              </w:rPr>
              <w:t>g.h</w:t>
            </w:r>
            <w:proofErr w:type="spellEnd"/>
            <w:r w:rsidRPr="00D1522A">
              <w:rPr>
                <w:color w:val="000000"/>
                <w:sz w:val="24"/>
                <w:szCs w:val="24"/>
              </w:rPr>
              <w:t>/l)</w:t>
            </w:r>
          </w:p>
        </w:tc>
        <w:tc>
          <w:tcPr>
            <w:tcW w:w="590" w:type="pct"/>
            <w:tcBorders>
              <w:right w:val="nil"/>
            </w:tcBorders>
            <w:vAlign w:val="center"/>
          </w:tcPr>
          <w:p w:rsidR="004F7AEB" w:rsidRPr="00D1522A" w:rsidRDefault="004F7AEB" w:rsidP="003B4BCE">
            <w:pPr>
              <w:pStyle w:val="Brdtekst"/>
              <w:ind w:left="-57" w:right="-57"/>
              <w:jc w:val="center"/>
              <w:rPr>
                <w:sz w:val="24"/>
                <w:szCs w:val="24"/>
              </w:rPr>
            </w:pPr>
            <w:r w:rsidRPr="00D1522A">
              <w:rPr>
                <w:sz w:val="24"/>
                <w:szCs w:val="24"/>
              </w:rPr>
              <w:t>81 (23)</w:t>
            </w:r>
          </w:p>
        </w:tc>
        <w:tc>
          <w:tcPr>
            <w:tcW w:w="683" w:type="pct"/>
            <w:gridSpan w:val="2"/>
            <w:tcBorders>
              <w:left w:val="nil"/>
              <w:right w:val="single" w:sz="18" w:space="0" w:color="auto"/>
            </w:tcBorders>
            <w:vAlign w:val="center"/>
          </w:tcPr>
          <w:p w:rsidR="004F7AEB" w:rsidRPr="00D1522A" w:rsidRDefault="004F7AEB" w:rsidP="003B4BCE">
            <w:pPr>
              <w:pStyle w:val="Brdtekst"/>
              <w:ind w:left="-57" w:right="-57"/>
              <w:jc w:val="center"/>
              <w:rPr>
                <w:sz w:val="24"/>
                <w:szCs w:val="24"/>
              </w:rPr>
            </w:pPr>
            <w:r w:rsidRPr="00D1522A">
              <w:rPr>
                <w:sz w:val="24"/>
                <w:szCs w:val="24"/>
              </w:rPr>
              <w:t>133 (26)</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74 (15)</w:t>
            </w:r>
          </w:p>
        </w:tc>
        <w:tc>
          <w:tcPr>
            <w:tcW w:w="687"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93 (23)</w:t>
            </w:r>
          </w:p>
        </w:tc>
        <w:tc>
          <w:tcPr>
            <w:tcW w:w="734"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144 (30)</w:t>
            </w:r>
          </w:p>
        </w:tc>
        <w:tc>
          <w:tcPr>
            <w:tcW w:w="707"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136 (26)</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Cl (ml/h/kg)</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rPr>
            </w:pPr>
            <w:r w:rsidRPr="00D1522A">
              <w:rPr>
                <w:sz w:val="24"/>
                <w:szCs w:val="24"/>
              </w:rPr>
              <w:t>0,74 (23)</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r w:rsidRPr="00D1522A">
              <w:rPr>
                <w:sz w:val="24"/>
                <w:szCs w:val="24"/>
              </w:rPr>
              <w:t>0</w:t>
            </w:r>
            <w:r w:rsidRPr="00D1522A">
              <w:rPr>
                <w:sz w:val="24"/>
                <w:szCs w:val="24"/>
                <w:lang w:val="en-GB"/>
              </w:rPr>
              <w:t>,45 (25)</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0,81 (15)</w:t>
            </w:r>
          </w:p>
        </w:tc>
        <w:tc>
          <w:tcPr>
            <w:tcW w:w="68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0,65 (23)</w:t>
            </w:r>
          </w:p>
        </w:tc>
        <w:tc>
          <w:tcPr>
            <w:tcW w:w="734"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0,43 (27)</w:t>
            </w:r>
          </w:p>
        </w:tc>
        <w:tc>
          <w:tcPr>
            <w:tcW w:w="70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0,44 (25)</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t</w:t>
            </w:r>
            <w:r w:rsidRPr="00D1522A">
              <w:rPr>
                <w:sz w:val="24"/>
                <w:szCs w:val="24"/>
                <w:vertAlign w:val="subscript"/>
                <w:lang w:val="en-GB"/>
              </w:rPr>
              <w:t xml:space="preserve">1/2 </w:t>
            </w:r>
            <w:r w:rsidRPr="00D1522A">
              <w:rPr>
                <w:sz w:val="24"/>
                <w:szCs w:val="24"/>
                <w:lang w:val="en-GB"/>
              </w:rPr>
              <w:t>(h)</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49,0 (12)</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66,7 (19)</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46,6 (10)</w:t>
            </w:r>
          </w:p>
        </w:tc>
        <w:tc>
          <w:tcPr>
            <w:tcW w:w="68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52,1 (10)</w:t>
            </w:r>
          </w:p>
        </w:tc>
        <w:tc>
          <w:tcPr>
            <w:tcW w:w="734"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64,2 (10)</w:t>
            </w:r>
          </w:p>
        </w:tc>
        <w:tc>
          <w:tcPr>
            <w:tcW w:w="70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69,3 (20)</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MRT (h)</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70,7 (12)</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96,2 (13)</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67,3 (10)</w:t>
            </w:r>
          </w:p>
        </w:tc>
        <w:tc>
          <w:tcPr>
            <w:tcW w:w="68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75,2 (10)</w:t>
            </w:r>
          </w:p>
        </w:tc>
        <w:tc>
          <w:tcPr>
            <w:tcW w:w="734"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92,6 (10)</w:t>
            </w:r>
          </w:p>
        </w:tc>
        <w:tc>
          <w:tcPr>
            <w:tcW w:w="70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100,0 (20)</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sz w:val="24"/>
                <w:szCs w:val="24"/>
                <w:lang w:val="en-GB"/>
              </w:rPr>
            </w:pPr>
            <w:proofErr w:type="spellStart"/>
            <w:r w:rsidRPr="00D1522A">
              <w:rPr>
                <w:sz w:val="24"/>
                <w:szCs w:val="24"/>
                <w:lang w:val="en-GB"/>
              </w:rPr>
              <w:t>V</w:t>
            </w:r>
            <w:r w:rsidRPr="00D1522A">
              <w:rPr>
                <w:sz w:val="24"/>
                <w:szCs w:val="24"/>
                <w:vertAlign w:val="subscript"/>
                <w:lang w:val="en-GB"/>
              </w:rPr>
              <w:t>ss</w:t>
            </w:r>
            <w:proofErr w:type="spellEnd"/>
            <w:r w:rsidRPr="00D1522A">
              <w:rPr>
                <w:sz w:val="24"/>
                <w:szCs w:val="24"/>
                <w:lang w:val="en-GB"/>
              </w:rPr>
              <w:t xml:space="preserve"> (ml/kg)</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52,2 (16)</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43,2 (17)</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54,4 (10)</w:t>
            </w:r>
          </w:p>
        </w:tc>
        <w:tc>
          <w:tcPr>
            <w:tcW w:w="68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48,6 (19)</w:t>
            </w:r>
          </w:p>
        </w:tc>
        <w:tc>
          <w:tcPr>
            <w:tcW w:w="734"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39,5 (19)</w:t>
            </w:r>
          </w:p>
        </w:tc>
        <w:tc>
          <w:tcPr>
            <w:tcW w:w="70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43,8 (18)</w:t>
            </w:r>
          </w:p>
        </w:tc>
      </w:tr>
      <w:tr w:rsidR="004F7AEB" w:rsidRPr="00D1522A" w:rsidTr="003B4BCE">
        <w:tc>
          <w:tcPr>
            <w:tcW w:w="972" w:type="pct"/>
            <w:tcBorders>
              <w:right w:val="single" w:sz="4"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p>
        </w:tc>
        <w:tc>
          <w:tcPr>
            <w:tcW w:w="636" w:type="pct"/>
            <w:gridSpan w:val="2"/>
            <w:tcBorders>
              <w:left w:val="single" w:sz="4" w:space="0" w:color="auto"/>
              <w:right w:val="nil"/>
            </w:tcBorders>
            <w:vAlign w:val="center"/>
          </w:tcPr>
          <w:p w:rsidR="004F7AEB" w:rsidRPr="00D1522A" w:rsidRDefault="004F7AEB" w:rsidP="003B4BCE">
            <w:pPr>
              <w:pStyle w:val="Brdtekst"/>
              <w:ind w:left="-57" w:right="-57"/>
              <w:jc w:val="center"/>
              <w:rPr>
                <w:sz w:val="24"/>
                <w:szCs w:val="24"/>
                <w:lang w:val="en-GB"/>
              </w:rPr>
            </w:pP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p>
        </w:tc>
        <w:tc>
          <w:tcPr>
            <w:tcW w:w="627" w:type="pct"/>
            <w:tcBorders>
              <w:left w:val="single" w:sz="18" w:space="0" w:color="auto"/>
              <w:right w:val="nil"/>
            </w:tcBorders>
            <w:shd w:val="clear" w:color="auto" w:fill="auto"/>
            <w:vAlign w:val="center"/>
          </w:tcPr>
          <w:p w:rsidR="004F7AEB" w:rsidRPr="00D1522A" w:rsidRDefault="004F7AEB" w:rsidP="003B4BCE">
            <w:pPr>
              <w:pStyle w:val="Brdtekst"/>
              <w:ind w:left="-57" w:right="-57"/>
              <w:jc w:val="center"/>
              <w:rPr>
                <w:sz w:val="24"/>
                <w:szCs w:val="24"/>
                <w:lang w:val="en-GB"/>
              </w:rPr>
            </w:pPr>
          </w:p>
        </w:tc>
        <w:tc>
          <w:tcPr>
            <w:tcW w:w="687" w:type="pct"/>
            <w:tcBorders>
              <w:left w:val="nil"/>
              <w:right w:val="nil"/>
            </w:tcBorders>
            <w:shd w:val="clear" w:color="auto" w:fill="auto"/>
            <w:vAlign w:val="center"/>
          </w:tcPr>
          <w:p w:rsidR="004F7AEB" w:rsidRPr="00D1522A" w:rsidRDefault="004F7AEB" w:rsidP="003B4BCE">
            <w:pPr>
              <w:pStyle w:val="Brdtekst"/>
              <w:ind w:left="-57" w:right="-57"/>
              <w:jc w:val="center"/>
              <w:rPr>
                <w:sz w:val="24"/>
                <w:szCs w:val="24"/>
                <w:lang w:val="en-GB"/>
              </w:rPr>
            </w:pPr>
          </w:p>
        </w:tc>
        <w:tc>
          <w:tcPr>
            <w:tcW w:w="734" w:type="pct"/>
            <w:tcBorders>
              <w:left w:val="nil"/>
              <w:right w:val="nil"/>
            </w:tcBorders>
            <w:shd w:val="clear" w:color="auto" w:fill="auto"/>
            <w:vAlign w:val="center"/>
          </w:tcPr>
          <w:p w:rsidR="004F7AEB" w:rsidRPr="00D1522A" w:rsidRDefault="004F7AEB" w:rsidP="003B4BCE">
            <w:pPr>
              <w:pStyle w:val="Brdtekst"/>
              <w:ind w:left="-57" w:right="-57"/>
              <w:jc w:val="center"/>
              <w:rPr>
                <w:sz w:val="24"/>
                <w:szCs w:val="24"/>
                <w:lang w:val="en-GB"/>
              </w:rPr>
            </w:pPr>
          </w:p>
        </w:tc>
        <w:tc>
          <w:tcPr>
            <w:tcW w:w="707" w:type="pct"/>
            <w:tcBorders>
              <w:left w:val="nil"/>
            </w:tcBorders>
            <w:shd w:val="clear" w:color="auto" w:fill="auto"/>
            <w:vAlign w:val="center"/>
          </w:tcPr>
          <w:p w:rsidR="004F7AEB" w:rsidRPr="00D1522A" w:rsidRDefault="004F7AEB" w:rsidP="003B4BCE">
            <w:pPr>
              <w:pStyle w:val="Brdtekst"/>
              <w:ind w:left="-57" w:right="-57"/>
              <w:jc w:val="center"/>
              <w:rPr>
                <w:sz w:val="24"/>
                <w:szCs w:val="24"/>
                <w:lang w:val="en-GB"/>
              </w:rPr>
            </w:pP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b/>
                <w:sz w:val="24"/>
                <w:szCs w:val="24"/>
              </w:rPr>
            </w:pPr>
            <w:proofErr w:type="spellStart"/>
            <w:r w:rsidRPr="00D1522A">
              <w:rPr>
                <w:sz w:val="24"/>
                <w:szCs w:val="24"/>
              </w:rPr>
              <w:t>Fibrinogen</w:t>
            </w:r>
            <w:proofErr w:type="spellEnd"/>
            <w:r w:rsidRPr="00D1522A">
              <w:rPr>
                <w:sz w:val="24"/>
                <w:szCs w:val="24"/>
              </w:rPr>
              <w:t xml:space="preserve">-koncentration efter </w:t>
            </w:r>
            <w:r w:rsidRPr="00D1522A">
              <w:rPr>
                <w:sz w:val="24"/>
                <w:szCs w:val="24"/>
              </w:rPr>
              <w:br/>
              <w:t>1 time (g/l)</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1,15 (20)</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1,40 (22)</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1,12 (14)</w:t>
            </w:r>
          </w:p>
        </w:tc>
        <w:tc>
          <w:tcPr>
            <w:tcW w:w="68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1,21 (24)</w:t>
            </w:r>
          </w:p>
        </w:tc>
        <w:tc>
          <w:tcPr>
            <w:tcW w:w="734"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1,56 (27)</w:t>
            </w:r>
          </w:p>
        </w:tc>
        <w:tc>
          <w:tcPr>
            <w:tcW w:w="70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1,38 (23)</w:t>
            </w:r>
          </w:p>
        </w:tc>
      </w:tr>
      <w:tr w:rsidR="004F7AEB" w:rsidRPr="00D1522A" w:rsidTr="003B4BCE">
        <w:tc>
          <w:tcPr>
            <w:tcW w:w="972" w:type="pct"/>
            <w:shd w:val="clear" w:color="auto" w:fill="auto"/>
            <w:vAlign w:val="center"/>
          </w:tcPr>
          <w:p w:rsidR="004F7AEB" w:rsidRPr="00D1522A" w:rsidRDefault="004F7AEB" w:rsidP="003B4BCE">
            <w:pPr>
              <w:pStyle w:val="Brdtekst"/>
              <w:ind w:left="-57" w:right="-57"/>
              <w:jc w:val="center"/>
              <w:rPr>
                <w:sz w:val="24"/>
                <w:szCs w:val="24"/>
              </w:rPr>
            </w:pPr>
            <w:r w:rsidRPr="00D1522A">
              <w:rPr>
                <w:sz w:val="24"/>
                <w:szCs w:val="24"/>
              </w:rPr>
              <w:t>Inkrementel bedring efter 1 time</w:t>
            </w:r>
            <w:r w:rsidRPr="00D1522A">
              <w:rPr>
                <w:sz w:val="24"/>
                <w:szCs w:val="24"/>
              </w:rPr>
              <w:br/>
              <w:t>(g/l pr. g/kg)</w:t>
            </w:r>
          </w:p>
        </w:tc>
        <w:tc>
          <w:tcPr>
            <w:tcW w:w="636" w:type="pct"/>
            <w:gridSpan w:val="2"/>
            <w:tcBorders>
              <w:right w:val="nil"/>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19,1 (20)</w:t>
            </w:r>
          </w:p>
        </w:tc>
        <w:tc>
          <w:tcPr>
            <w:tcW w:w="637" w:type="pct"/>
            <w:tcBorders>
              <w:left w:val="nil"/>
              <w:right w:val="single" w:sz="18" w:space="0" w:color="auto"/>
            </w:tcBorders>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23,3 (21)</w:t>
            </w:r>
          </w:p>
        </w:tc>
        <w:tc>
          <w:tcPr>
            <w:tcW w:w="627" w:type="pct"/>
            <w:tcBorders>
              <w:left w:val="single" w:sz="18" w:space="0" w:color="auto"/>
            </w:tcBorders>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18,7 (14)</w:t>
            </w:r>
          </w:p>
        </w:tc>
        <w:tc>
          <w:tcPr>
            <w:tcW w:w="68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20,1 (24)</w:t>
            </w:r>
          </w:p>
        </w:tc>
        <w:tc>
          <w:tcPr>
            <w:tcW w:w="734"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25,4 (24)</w:t>
            </w:r>
          </w:p>
        </w:tc>
        <w:tc>
          <w:tcPr>
            <w:tcW w:w="707" w:type="pct"/>
            <w:shd w:val="clear" w:color="auto" w:fill="auto"/>
            <w:vAlign w:val="center"/>
          </w:tcPr>
          <w:p w:rsidR="004F7AEB" w:rsidRPr="00D1522A" w:rsidRDefault="004F7AEB" w:rsidP="003B4BCE">
            <w:pPr>
              <w:pStyle w:val="Brdtekst"/>
              <w:ind w:left="-57" w:right="-57"/>
              <w:jc w:val="center"/>
              <w:rPr>
                <w:sz w:val="24"/>
                <w:szCs w:val="24"/>
                <w:lang w:val="en-GB"/>
              </w:rPr>
            </w:pPr>
            <w:r w:rsidRPr="00D1522A">
              <w:rPr>
                <w:sz w:val="24"/>
                <w:szCs w:val="24"/>
                <w:lang w:val="en-GB"/>
              </w:rPr>
              <w:t>23,1 (22)</w:t>
            </w:r>
          </w:p>
        </w:tc>
      </w:tr>
    </w:tbl>
    <w:p w:rsidR="004F7AEB" w:rsidRPr="00187754" w:rsidRDefault="004F7AEB" w:rsidP="004F7AEB">
      <w:pPr>
        <w:rPr>
          <w:sz w:val="20"/>
        </w:rPr>
      </w:pPr>
      <w:r w:rsidRPr="00187754">
        <w:rPr>
          <w:noProof/>
          <w:sz w:val="20"/>
        </w:rPr>
        <w:t>AUC</w:t>
      </w:r>
      <w:r w:rsidRPr="00187754">
        <w:rPr>
          <w:noProof/>
          <w:sz w:val="20"/>
          <w:vertAlign w:val="subscript"/>
        </w:rPr>
        <w:t>0-∞</w:t>
      </w:r>
      <w:r w:rsidRPr="00187754">
        <w:rPr>
          <w:noProof/>
          <w:sz w:val="20"/>
        </w:rPr>
        <w:t xml:space="preserve">: Areal under kurven fra 0 til uendeligt, Cl: clearance, </w:t>
      </w:r>
      <w:r w:rsidRPr="00187754">
        <w:rPr>
          <w:sz w:val="20"/>
        </w:rPr>
        <w:t>t</w:t>
      </w:r>
      <w:r w:rsidRPr="00187754">
        <w:rPr>
          <w:sz w:val="20"/>
          <w:vertAlign w:val="subscript"/>
        </w:rPr>
        <w:t>1/2</w:t>
      </w:r>
      <w:r w:rsidRPr="00187754">
        <w:rPr>
          <w:sz w:val="20"/>
        </w:rPr>
        <w:t>: terminal halveringstid ved elimination,</w:t>
      </w:r>
      <w:r w:rsidRPr="00187754">
        <w:rPr>
          <w:noProof/>
          <w:sz w:val="20"/>
        </w:rPr>
        <w:t xml:space="preserve"> MRT: Gennemsnitlig residenstid, </w:t>
      </w:r>
      <w:proofErr w:type="spellStart"/>
      <w:r w:rsidRPr="00187754">
        <w:rPr>
          <w:sz w:val="20"/>
        </w:rPr>
        <w:t>V</w:t>
      </w:r>
      <w:r w:rsidRPr="00187754">
        <w:rPr>
          <w:sz w:val="20"/>
          <w:vertAlign w:val="subscript"/>
        </w:rPr>
        <w:t>ss</w:t>
      </w:r>
      <w:proofErr w:type="spellEnd"/>
      <w:r w:rsidRPr="00187754">
        <w:rPr>
          <w:sz w:val="20"/>
        </w:rPr>
        <w:t xml:space="preserve">: fordelingsvolumen ved </w:t>
      </w:r>
      <w:proofErr w:type="spellStart"/>
      <w:r w:rsidRPr="00187754">
        <w:rPr>
          <w:sz w:val="20"/>
        </w:rPr>
        <w:t>steady</w:t>
      </w:r>
      <w:proofErr w:type="spellEnd"/>
      <w:r w:rsidRPr="00187754">
        <w:rPr>
          <w:sz w:val="20"/>
        </w:rPr>
        <w:t xml:space="preserve"> </w:t>
      </w:r>
      <w:proofErr w:type="spellStart"/>
      <w:r w:rsidRPr="00187754">
        <w:rPr>
          <w:sz w:val="20"/>
        </w:rPr>
        <w:t>state</w:t>
      </w:r>
      <w:proofErr w:type="spellEnd"/>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5.3</w:t>
      </w:r>
      <w:r w:rsidRPr="00C84483">
        <w:rPr>
          <w:b/>
          <w:sz w:val="24"/>
          <w:szCs w:val="24"/>
        </w:rPr>
        <w:tab/>
      </w:r>
      <w:r w:rsidR="00880457">
        <w:rPr>
          <w:b/>
          <w:sz w:val="24"/>
          <w:szCs w:val="24"/>
        </w:rPr>
        <w:t>Non-</w:t>
      </w:r>
      <w:r w:rsidRPr="00C84483">
        <w:rPr>
          <w:b/>
          <w:sz w:val="24"/>
          <w:szCs w:val="24"/>
        </w:rPr>
        <w:t>kliniske sikkerhedsdata</w:t>
      </w:r>
    </w:p>
    <w:p w:rsidR="004F7AEB" w:rsidRPr="004E019F" w:rsidRDefault="004F7AEB" w:rsidP="004F7AEB">
      <w:pPr>
        <w:tabs>
          <w:tab w:val="left" w:pos="851"/>
        </w:tabs>
        <w:kinsoku w:val="0"/>
        <w:overflowPunct w:val="0"/>
        <w:autoSpaceDE w:val="0"/>
        <w:autoSpaceDN w:val="0"/>
        <w:ind w:left="851"/>
        <w:rPr>
          <w:rFonts w:eastAsia="SimSun" w:cs="Calibri"/>
          <w:sz w:val="24"/>
          <w:szCs w:val="24"/>
          <w:lang w:eastAsia="da-DK"/>
        </w:rPr>
      </w:pPr>
      <w:r w:rsidRPr="004E019F">
        <w:rPr>
          <w:rFonts w:eastAsia="SimSun" w:cs="Calibri"/>
          <w:sz w:val="24"/>
          <w:szCs w:val="24"/>
          <w:lang w:eastAsia="da-DK"/>
        </w:rPr>
        <w:t xml:space="preserve">Ikke-kliniske data baseret på </w:t>
      </w:r>
      <w:r w:rsidR="00880457">
        <w:rPr>
          <w:rFonts w:eastAsia="SimSun" w:cs="Calibri"/>
          <w:sz w:val="24"/>
          <w:szCs w:val="24"/>
          <w:lang w:eastAsia="da-DK"/>
        </w:rPr>
        <w:t>konventi</w:t>
      </w:r>
      <w:r w:rsidRPr="004E019F">
        <w:rPr>
          <w:rFonts w:eastAsia="SimSun" w:cs="Calibri"/>
          <w:sz w:val="24"/>
          <w:szCs w:val="24"/>
          <w:lang w:eastAsia="da-DK"/>
        </w:rPr>
        <w:t xml:space="preserve">onelle undersøgelser af sikkerhedsfarmakologi, toksicitet ved enkeltdosis og gentagne doseringer såvel som </w:t>
      </w:r>
      <w:proofErr w:type="spellStart"/>
      <w:r w:rsidRPr="004E019F">
        <w:rPr>
          <w:rFonts w:eastAsia="SimSun" w:cs="Calibri"/>
          <w:sz w:val="24"/>
          <w:szCs w:val="24"/>
          <w:lang w:eastAsia="da-DK"/>
        </w:rPr>
        <w:t>trombogenicitet</w:t>
      </w:r>
      <w:proofErr w:type="spellEnd"/>
      <w:r w:rsidRPr="004E019F">
        <w:rPr>
          <w:rFonts w:eastAsia="SimSun" w:cs="Calibri"/>
          <w:sz w:val="24"/>
          <w:szCs w:val="24"/>
          <w:lang w:eastAsia="da-DK"/>
        </w:rPr>
        <w:t xml:space="preserve"> afslører ingen særlig risiko for mennesker.</w:t>
      </w:r>
    </w:p>
    <w:p w:rsidR="004F7AEB" w:rsidRPr="004E019F" w:rsidRDefault="004F7AEB" w:rsidP="004F7AEB">
      <w:pPr>
        <w:tabs>
          <w:tab w:val="left" w:pos="851"/>
        </w:tabs>
        <w:kinsoku w:val="0"/>
        <w:overflowPunct w:val="0"/>
        <w:autoSpaceDE w:val="0"/>
        <w:autoSpaceDN w:val="0"/>
        <w:ind w:left="851"/>
        <w:rPr>
          <w:rFonts w:eastAsia="SimSun" w:cs="Calibri"/>
          <w:sz w:val="24"/>
          <w:szCs w:val="24"/>
          <w:lang w:eastAsia="da-DK"/>
        </w:rPr>
      </w:pPr>
      <w:r w:rsidRPr="004E019F">
        <w:rPr>
          <w:rFonts w:eastAsia="SimSun" w:cs="Calibri"/>
          <w:sz w:val="24"/>
          <w:szCs w:val="24"/>
          <w:lang w:eastAsia="da-DK"/>
        </w:rPr>
        <w:t xml:space="preserve">På grund af lægemidlets beskaffenhed er der ikke udført </w:t>
      </w:r>
      <w:proofErr w:type="spellStart"/>
      <w:r w:rsidRPr="004E019F">
        <w:rPr>
          <w:rFonts w:eastAsia="SimSun" w:cs="Calibri"/>
          <w:sz w:val="24"/>
          <w:szCs w:val="24"/>
          <w:lang w:eastAsia="da-DK"/>
        </w:rPr>
        <w:t>karcinogenicitetsstudier</w:t>
      </w:r>
      <w:proofErr w:type="spellEnd"/>
      <w:r w:rsidRPr="004E019F">
        <w:rPr>
          <w:rFonts w:eastAsia="SimSun" w:cs="Calibri"/>
          <w:sz w:val="24"/>
          <w:szCs w:val="24"/>
          <w:lang w:eastAsia="da-DK"/>
        </w:rPr>
        <w:t xml:space="preserve">. Der er ikke udført reproduktionsstudier med dyr, da </w:t>
      </w:r>
      <w:proofErr w:type="spellStart"/>
      <w:r w:rsidRPr="004E019F">
        <w:rPr>
          <w:rFonts w:eastAsia="SimSun" w:cs="Calibri"/>
          <w:sz w:val="24"/>
          <w:szCs w:val="24"/>
          <w:lang w:eastAsia="da-DK"/>
        </w:rPr>
        <w:t>fibrinogen</w:t>
      </w:r>
      <w:proofErr w:type="spellEnd"/>
      <w:r w:rsidRPr="004E019F">
        <w:rPr>
          <w:rFonts w:eastAsia="SimSun" w:cs="Calibri"/>
          <w:sz w:val="24"/>
          <w:szCs w:val="24"/>
          <w:lang w:eastAsia="da-DK"/>
        </w:rPr>
        <w:t xml:space="preserve"> er en normal bestanddel i det menneskelige legeme.</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4F7AEB" w:rsidRPr="00BA09F1"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6.1</w:t>
      </w:r>
      <w:r w:rsidRPr="00C84483">
        <w:rPr>
          <w:b/>
          <w:sz w:val="24"/>
          <w:szCs w:val="24"/>
        </w:rPr>
        <w:tab/>
        <w:t>Hjælpestoffer</w:t>
      </w:r>
    </w:p>
    <w:p w:rsidR="004F7AEB" w:rsidRDefault="004F7AEB" w:rsidP="004F7AEB">
      <w:pPr>
        <w:tabs>
          <w:tab w:val="left" w:pos="851"/>
          <w:tab w:val="left" w:pos="1134"/>
        </w:tabs>
        <w:kinsoku w:val="0"/>
        <w:overflowPunct w:val="0"/>
        <w:autoSpaceDE w:val="0"/>
        <w:autoSpaceDN w:val="0"/>
        <w:ind w:left="851"/>
        <w:rPr>
          <w:rFonts w:cs="Calibri"/>
          <w:sz w:val="24"/>
          <w:szCs w:val="24"/>
          <w:u w:val="single"/>
          <w:lang w:eastAsia="da-DK"/>
        </w:rPr>
      </w:pPr>
      <w:r w:rsidRPr="00171289">
        <w:rPr>
          <w:rFonts w:cs="Calibri"/>
          <w:sz w:val="24"/>
          <w:szCs w:val="24"/>
          <w:u w:val="single"/>
          <w:lang w:eastAsia="da-DK"/>
        </w:rPr>
        <w:t>Pulver</w:t>
      </w:r>
    </w:p>
    <w:p w:rsidR="004F7AEB" w:rsidRPr="00171289" w:rsidRDefault="004F7AEB" w:rsidP="004F7AEB">
      <w:pPr>
        <w:tabs>
          <w:tab w:val="left" w:pos="851"/>
          <w:tab w:val="left" w:pos="1134"/>
        </w:tabs>
        <w:kinsoku w:val="0"/>
        <w:overflowPunct w:val="0"/>
        <w:autoSpaceDE w:val="0"/>
        <w:autoSpaceDN w:val="0"/>
        <w:ind w:left="851"/>
        <w:rPr>
          <w:rFonts w:eastAsia="SimSun" w:cs="Calibri"/>
          <w:sz w:val="24"/>
          <w:szCs w:val="24"/>
          <w:lang w:eastAsia="da-DK"/>
        </w:rPr>
      </w:pPr>
      <w:proofErr w:type="spellStart"/>
      <w:r w:rsidRPr="00171289">
        <w:rPr>
          <w:rFonts w:eastAsia="SimSun" w:cs="Calibri"/>
          <w:sz w:val="24"/>
          <w:szCs w:val="24"/>
          <w:lang w:eastAsia="da-DK"/>
        </w:rPr>
        <w:t>Argininhydrochlorid</w:t>
      </w:r>
      <w:proofErr w:type="spellEnd"/>
    </w:p>
    <w:p w:rsidR="004F7AEB" w:rsidRPr="00171289" w:rsidRDefault="004F7AEB" w:rsidP="004F7AEB">
      <w:pPr>
        <w:tabs>
          <w:tab w:val="left" w:pos="851"/>
          <w:tab w:val="left" w:pos="1134"/>
        </w:tabs>
        <w:kinsoku w:val="0"/>
        <w:overflowPunct w:val="0"/>
        <w:autoSpaceDE w:val="0"/>
        <w:autoSpaceDN w:val="0"/>
        <w:ind w:left="851"/>
        <w:rPr>
          <w:rFonts w:eastAsia="SimSun" w:cs="Calibri"/>
          <w:noProof/>
          <w:sz w:val="24"/>
          <w:szCs w:val="24"/>
          <w:lang w:eastAsia="da-DK"/>
        </w:rPr>
      </w:pPr>
      <w:r w:rsidRPr="00171289">
        <w:rPr>
          <w:rFonts w:eastAsia="SimSun" w:cs="Calibri"/>
          <w:noProof/>
          <w:sz w:val="24"/>
          <w:szCs w:val="24"/>
          <w:lang w:eastAsia="da-DK"/>
        </w:rPr>
        <w:t>Isoleucin</w:t>
      </w:r>
    </w:p>
    <w:p w:rsidR="004F7AEB" w:rsidRPr="00171289" w:rsidRDefault="004F7AEB" w:rsidP="004F7AEB">
      <w:pPr>
        <w:tabs>
          <w:tab w:val="left" w:pos="851"/>
          <w:tab w:val="left" w:pos="1134"/>
        </w:tabs>
        <w:kinsoku w:val="0"/>
        <w:overflowPunct w:val="0"/>
        <w:autoSpaceDE w:val="0"/>
        <w:autoSpaceDN w:val="0"/>
        <w:ind w:left="851"/>
        <w:rPr>
          <w:rFonts w:eastAsia="SimSun" w:cs="Calibri"/>
          <w:noProof/>
          <w:sz w:val="24"/>
          <w:szCs w:val="24"/>
          <w:lang w:eastAsia="da-DK"/>
        </w:rPr>
      </w:pPr>
      <w:r w:rsidRPr="00171289">
        <w:rPr>
          <w:rFonts w:eastAsia="SimSun" w:cs="Calibri"/>
          <w:noProof/>
          <w:sz w:val="24"/>
          <w:szCs w:val="24"/>
          <w:lang w:eastAsia="da-DK"/>
        </w:rPr>
        <w:lastRenderedPageBreak/>
        <w:t>Lysinhydrochlorid</w:t>
      </w:r>
    </w:p>
    <w:p w:rsidR="004F7AEB" w:rsidRPr="00171289" w:rsidRDefault="004F7AEB" w:rsidP="004F7AEB">
      <w:pPr>
        <w:tabs>
          <w:tab w:val="left" w:pos="851"/>
          <w:tab w:val="left" w:pos="1134"/>
        </w:tabs>
        <w:kinsoku w:val="0"/>
        <w:overflowPunct w:val="0"/>
        <w:autoSpaceDE w:val="0"/>
        <w:autoSpaceDN w:val="0"/>
        <w:ind w:left="851"/>
        <w:rPr>
          <w:rFonts w:eastAsia="SimSun" w:cs="Calibri"/>
          <w:noProof/>
          <w:sz w:val="24"/>
          <w:szCs w:val="24"/>
          <w:lang w:eastAsia="da-DK"/>
        </w:rPr>
      </w:pPr>
      <w:r w:rsidRPr="00171289">
        <w:rPr>
          <w:rFonts w:eastAsia="SimSun" w:cs="Calibri"/>
          <w:noProof/>
          <w:sz w:val="24"/>
          <w:szCs w:val="24"/>
          <w:lang w:eastAsia="da-DK"/>
        </w:rPr>
        <w:t>Glycin</w:t>
      </w:r>
    </w:p>
    <w:p w:rsidR="004F7AEB" w:rsidRPr="00171289" w:rsidRDefault="004F7AEB" w:rsidP="004F7AEB">
      <w:pPr>
        <w:tabs>
          <w:tab w:val="left" w:pos="851"/>
          <w:tab w:val="left" w:pos="1134"/>
        </w:tabs>
        <w:kinsoku w:val="0"/>
        <w:overflowPunct w:val="0"/>
        <w:autoSpaceDE w:val="0"/>
        <w:autoSpaceDN w:val="0"/>
        <w:ind w:left="851"/>
        <w:rPr>
          <w:rFonts w:eastAsia="SimSun" w:cs="Calibri"/>
          <w:noProof/>
          <w:sz w:val="24"/>
          <w:szCs w:val="24"/>
          <w:lang w:eastAsia="da-DK"/>
        </w:rPr>
      </w:pPr>
      <w:r w:rsidRPr="00171289">
        <w:rPr>
          <w:rFonts w:eastAsia="SimSun" w:cs="Calibri"/>
          <w:noProof/>
          <w:sz w:val="24"/>
          <w:szCs w:val="24"/>
          <w:lang w:eastAsia="da-DK"/>
        </w:rPr>
        <w:t>Natriumcitratdihydrat</w:t>
      </w:r>
    </w:p>
    <w:p w:rsidR="004F7AEB" w:rsidRDefault="004F7AEB" w:rsidP="004F7AEB">
      <w:pPr>
        <w:tabs>
          <w:tab w:val="left" w:pos="851"/>
          <w:tab w:val="left" w:pos="1134"/>
        </w:tabs>
        <w:kinsoku w:val="0"/>
        <w:overflowPunct w:val="0"/>
        <w:autoSpaceDE w:val="0"/>
        <w:autoSpaceDN w:val="0"/>
        <w:ind w:left="851"/>
        <w:rPr>
          <w:rFonts w:eastAsia="SimSun" w:cs="Calibri"/>
          <w:noProof/>
          <w:sz w:val="24"/>
          <w:szCs w:val="24"/>
          <w:u w:val="single"/>
          <w:lang w:eastAsia="da-DK"/>
        </w:rPr>
      </w:pPr>
    </w:p>
    <w:p w:rsidR="004F7AEB" w:rsidRDefault="004F7AEB" w:rsidP="004F7AEB">
      <w:pPr>
        <w:tabs>
          <w:tab w:val="left" w:pos="851"/>
          <w:tab w:val="left" w:pos="1134"/>
        </w:tabs>
        <w:kinsoku w:val="0"/>
        <w:overflowPunct w:val="0"/>
        <w:autoSpaceDE w:val="0"/>
        <w:autoSpaceDN w:val="0"/>
        <w:ind w:left="851"/>
        <w:rPr>
          <w:rFonts w:eastAsia="SimSun" w:cs="Calibri"/>
          <w:noProof/>
          <w:sz w:val="24"/>
          <w:szCs w:val="24"/>
          <w:u w:val="single"/>
          <w:lang w:eastAsia="da-DK"/>
        </w:rPr>
      </w:pPr>
      <w:r w:rsidRPr="00171289">
        <w:rPr>
          <w:rFonts w:eastAsia="SimSun" w:cs="Calibri"/>
          <w:noProof/>
          <w:sz w:val="24"/>
          <w:szCs w:val="24"/>
          <w:u w:val="single"/>
          <w:lang w:eastAsia="da-DK"/>
        </w:rPr>
        <w:t>Solvens</w:t>
      </w:r>
    </w:p>
    <w:p w:rsidR="004F7AEB" w:rsidRPr="00145195" w:rsidRDefault="004F7AEB" w:rsidP="004F7AEB">
      <w:pPr>
        <w:tabs>
          <w:tab w:val="left" w:pos="851"/>
          <w:tab w:val="left" w:pos="1134"/>
        </w:tabs>
        <w:kinsoku w:val="0"/>
        <w:overflowPunct w:val="0"/>
        <w:autoSpaceDE w:val="0"/>
        <w:autoSpaceDN w:val="0"/>
        <w:ind w:left="851"/>
        <w:rPr>
          <w:rFonts w:eastAsia="SimSun" w:cs="Calibri"/>
          <w:noProof/>
          <w:sz w:val="24"/>
          <w:szCs w:val="24"/>
          <w:lang w:eastAsia="da-DK"/>
        </w:rPr>
      </w:pPr>
      <w:r>
        <w:rPr>
          <w:rFonts w:eastAsia="SimSun" w:cs="Calibri"/>
          <w:noProof/>
          <w:sz w:val="24"/>
          <w:szCs w:val="24"/>
          <w:lang w:eastAsia="da-DK"/>
        </w:rPr>
        <w:t>Vand til injektionsvæsker</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6.2</w:t>
      </w:r>
      <w:r w:rsidRPr="00C84483">
        <w:rPr>
          <w:b/>
          <w:sz w:val="24"/>
          <w:szCs w:val="24"/>
        </w:rPr>
        <w:tab/>
        <w:t>Uforligeligheder</w:t>
      </w:r>
    </w:p>
    <w:p w:rsidR="004F7AEB" w:rsidRPr="00B52672" w:rsidRDefault="004F7AEB" w:rsidP="004F7AEB">
      <w:pPr>
        <w:tabs>
          <w:tab w:val="left" w:pos="851"/>
        </w:tabs>
        <w:kinsoku w:val="0"/>
        <w:overflowPunct w:val="0"/>
        <w:autoSpaceDE w:val="0"/>
        <w:autoSpaceDN w:val="0"/>
        <w:ind w:left="851"/>
        <w:rPr>
          <w:rFonts w:eastAsia="SimSun" w:cs="Calibri"/>
          <w:sz w:val="24"/>
          <w:szCs w:val="24"/>
          <w:lang w:eastAsia="da-DK" w:bidi="da-DK"/>
        </w:rPr>
      </w:pPr>
      <w:r w:rsidRPr="00B52672">
        <w:rPr>
          <w:rFonts w:eastAsia="SimSun" w:cs="Calibri"/>
          <w:sz w:val="24"/>
          <w:szCs w:val="24"/>
          <w:lang w:eastAsia="da-DK" w:bidi="da-DK"/>
        </w:rPr>
        <w:t>Dette lægemiddel må ikke blandes med andre lægemidler, og det skal administreres via en separat injektion/infusionsslange.</w:t>
      </w:r>
    </w:p>
    <w:p w:rsidR="004F7AEB" w:rsidRPr="00C84483" w:rsidRDefault="004F7AEB" w:rsidP="00880457">
      <w:pPr>
        <w:tabs>
          <w:tab w:val="left" w:pos="851"/>
        </w:tabs>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6.3</w:t>
      </w:r>
      <w:r w:rsidRPr="00C84483">
        <w:rPr>
          <w:b/>
          <w:sz w:val="24"/>
          <w:szCs w:val="24"/>
        </w:rPr>
        <w:tab/>
        <w:t>Opbevaringstid</w:t>
      </w: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r w:rsidRPr="00145195">
        <w:rPr>
          <w:rFonts w:eastAsia="SimSun" w:cs="Calibri"/>
          <w:sz w:val="24"/>
          <w:szCs w:val="24"/>
          <w:lang w:eastAsia="da-DK"/>
        </w:rPr>
        <w:t>3 år.</w:t>
      </w:r>
    </w:p>
    <w:p w:rsidR="004F7AEB" w:rsidRPr="00145195"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517221" w:rsidRDefault="004F7AEB" w:rsidP="004F7AEB">
      <w:pPr>
        <w:ind w:left="851"/>
        <w:rPr>
          <w:sz w:val="22"/>
          <w:lang w:eastAsia="da-DK"/>
        </w:rPr>
      </w:pPr>
      <w:r w:rsidRPr="00517221">
        <w:rPr>
          <w:lang w:val="fr-FR" w:eastAsia="zh-CN"/>
        </w:rPr>
        <w:t xml:space="preserve">Det rekonstituerede produkt </w:t>
      </w:r>
      <w:r w:rsidRPr="00517221">
        <w:t xml:space="preserve">bør anvendes umiddelbart efter </w:t>
      </w:r>
      <w:proofErr w:type="spellStart"/>
      <w:r w:rsidRPr="00517221">
        <w:t>rekonstitution</w:t>
      </w:r>
      <w:proofErr w:type="spellEnd"/>
      <w:r w:rsidRPr="00517221">
        <w:t xml:space="preserve">. </w:t>
      </w:r>
      <w:r w:rsidRPr="00517221">
        <w:rPr>
          <w:lang w:val="fr-FR" w:eastAsia="zh-CN"/>
        </w:rPr>
        <w:t>Det rekonstituerede produkt må ikke gemmes</w:t>
      </w:r>
      <w:r w:rsidRPr="00517221">
        <w:t>.</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4F7AEB" w:rsidRPr="00FD2BD2" w:rsidRDefault="004F7AEB" w:rsidP="004F7AEB">
      <w:pPr>
        <w:tabs>
          <w:tab w:val="left" w:pos="851"/>
        </w:tabs>
        <w:kinsoku w:val="0"/>
        <w:overflowPunct w:val="0"/>
        <w:autoSpaceDE w:val="0"/>
        <w:autoSpaceDN w:val="0"/>
        <w:ind w:left="851"/>
        <w:rPr>
          <w:rFonts w:eastAsia="SimSun" w:cs="Calibri"/>
          <w:sz w:val="24"/>
          <w:szCs w:val="24"/>
          <w:lang w:eastAsia="da-DK"/>
        </w:rPr>
      </w:pPr>
      <w:r w:rsidRPr="00FD2BD2">
        <w:rPr>
          <w:rFonts w:eastAsia="SimSun" w:cs="Calibri"/>
          <w:sz w:val="24"/>
          <w:szCs w:val="24"/>
          <w:lang w:eastAsia="da-DK"/>
        </w:rPr>
        <w:t>Må ikke opbevares ved temperaturer over 25</w:t>
      </w:r>
      <w:r>
        <w:rPr>
          <w:rFonts w:eastAsia="SimSun" w:cs="Calibri"/>
          <w:sz w:val="24"/>
          <w:szCs w:val="24"/>
          <w:lang w:eastAsia="da-DK"/>
        </w:rPr>
        <w:t xml:space="preserve"> </w:t>
      </w:r>
      <w:r w:rsidRPr="00FD2BD2">
        <w:rPr>
          <w:rFonts w:eastAsia="SimSun" w:cs="Calibri"/>
          <w:sz w:val="24"/>
          <w:szCs w:val="24"/>
          <w:lang w:eastAsia="da-DK"/>
        </w:rPr>
        <w:t>°C.</w:t>
      </w:r>
    </w:p>
    <w:p w:rsidR="004F7AEB" w:rsidRPr="00FD2BD2" w:rsidRDefault="004F7AEB" w:rsidP="004F7AEB">
      <w:pPr>
        <w:tabs>
          <w:tab w:val="left" w:pos="851"/>
        </w:tabs>
        <w:kinsoku w:val="0"/>
        <w:overflowPunct w:val="0"/>
        <w:autoSpaceDE w:val="0"/>
        <w:autoSpaceDN w:val="0"/>
        <w:ind w:left="851"/>
        <w:rPr>
          <w:rFonts w:eastAsia="SimSun" w:cs="Calibri"/>
          <w:sz w:val="24"/>
          <w:szCs w:val="24"/>
          <w:lang w:eastAsia="da-DK"/>
        </w:rPr>
      </w:pPr>
      <w:r>
        <w:rPr>
          <w:rFonts w:eastAsia="SimSun" w:cs="Calibri"/>
          <w:sz w:val="24"/>
          <w:szCs w:val="24"/>
          <w:lang w:eastAsia="da-DK"/>
        </w:rPr>
        <w:t>Må ikke nedfryses.</w:t>
      </w:r>
    </w:p>
    <w:p w:rsidR="004F7AEB" w:rsidRDefault="004F7AEB" w:rsidP="004F7AEB">
      <w:pPr>
        <w:tabs>
          <w:tab w:val="left" w:pos="851"/>
        </w:tabs>
        <w:kinsoku w:val="0"/>
        <w:overflowPunct w:val="0"/>
        <w:autoSpaceDE w:val="0"/>
        <w:autoSpaceDN w:val="0"/>
        <w:ind w:left="851"/>
        <w:rPr>
          <w:rFonts w:eastAsia="SimSun" w:cs="Calibri"/>
          <w:sz w:val="24"/>
          <w:szCs w:val="24"/>
          <w:lang w:eastAsia="da-DK"/>
        </w:rPr>
      </w:pPr>
      <w:r w:rsidRPr="00FD2BD2">
        <w:rPr>
          <w:rFonts w:eastAsia="SimSun" w:cs="Calibri"/>
          <w:sz w:val="24"/>
          <w:szCs w:val="24"/>
          <w:lang w:eastAsia="da-DK"/>
        </w:rPr>
        <w:t>Opbevares i den originale yderpakning for at beskytte mod lys og fugt.</w:t>
      </w:r>
    </w:p>
    <w:p w:rsidR="004F7AEB" w:rsidRPr="00FD2BD2" w:rsidRDefault="004F7AEB" w:rsidP="004F7AEB">
      <w:pPr>
        <w:tabs>
          <w:tab w:val="left" w:pos="851"/>
        </w:tabs>
        <w:kinsoku w:val="0"/>
        <w:overflowPunct w:val="0"/>
        <w:autoSpaceDE w:val="0"/>
        <w:autoSpaceDN w:val="0"/>
        <w:ind w:left="851"/>
        <w:rPr>
          <w:rFonts w:eastAsia="SimSun" w:cs="Calibri"/>
          <w:sz w:val="24"/>
          <w:szCs w:val="24"/>
          <w:lang w:eastAsia="da-DK"/>
        </w:rPr>
      </w:pPr>
    </w:p>
    <w:p w:rsidR="004F7AEB" w:rsidRPr="00FD2BD2" w:rsidRDefault="004F7AEB" w:rsidP="004F7AEB">
      <w:pPr>
        <w:tabs>
          <w:tab w:val="left" w:pos="851"/>
        </w:tabs>
        <w:kinsoku w:val="0"/>
        <w:overflowPunct w:val="0"/>
        <w:autoSpaceDE w:val="0"/>
        <w:autoSpaceDN w:val="0"/>
        <w:ind w:left="851"/>
        <w:rPr>
          <w:rFonts w:eastAsia="SimSun" w:cs="Calibri"/>
          <w:sz w:val="24"/>
          <w:szCs w:val="24"/>
          <w:lang w:eastAsia="da-DK"/>
        </w:rPr>
      </w:pPr>
      <w:r w:rsidRPr="00FD2BD2">
        <w:rPr>
          <w:rFonts w:eastAsia="SimSun" w:cs="Calibri"/>
          <w:sz w:val="24"/>
          <w:szCs w:val="24"/>
          <w:lang w:eastAsia="da-DK"/>
        </w:rPr>
        <w:t xml:space="preserve">For opbevaringsforhold efter </w:t>
      </w:r>
      <w:proofErr w:type="spellStart"/>
      <w:r w:rsidRPr="00FD2BD2">
        <w:rPr>
          <w:rFonts w:eastAsia="SimSun" w:cs="Calibri"/>
          <w:sz w:val="24"/>
          <w:szCs w:val="24"/>
          <w:lang w:eastAsia="da-DK"/>
        </w:rPr>
        <w:t>rekonstitution</w:t>
      </w:r>
      <w:proofErr w:type="spellEnd"/>
      <w:r w:rsidRPr="00FD2BD2">
        <w:rPr>
          <w:rFonts w:eastAsia="SimSun" w:cs="Calibri"/>
          <w:sz w:val="24"/>
          <w:szCs w:val="24"/>
          <w:lang w:eastAsia="da-DK"/>
        </w:rPr>
        <w:t xml:space="preserve"> af lægemidlet, se pkt. 6.3.</w:t>
      </w:r>
    </w:p>
    <w:p w:rsidR="004F7AEB" w:rsidRPr="00C84483" w:rsidRDefault="004F7AEB" w:rsidP="004F7AEB">
      <w:pPr>
        <w:tabs>
          <w:tab w:val="left" w:pos="851"/>
        </w:tabs>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4F7AEB" w:rsidRPr="002573BE" w:rsidRDefault="004F7AEB" w:rsidP="004F7AEB">
      <w:pPr>
        <w:tabs>
          <w:tab w:val="left" w:pos="851"/>
        </w:tabs>
        <w:kinsoku w:val="0"/>
        <w:overflowPunct w:val="0"/>
        <w:autoSpaceDE w:val="0"/>
        <w:autoSpaceDN w:val="0"/>
        <w:ind w:left="851"/>
        <w:rPr>
          <w:rFonts w:eastAsia="SimSun" w:cs="Calibri"/>
          <w:sz w:val="24"/>
          <w:szCs w:val="24"/>
          <w:lang w:eastAsia="da-DK"/>
        </w:rPr>
      </w:pPr>
      <w:r w:rsidRPr="002573BE">
        <w:rPr>
          <w:rFonts w:eastAsia="SimSun" w:cs="Calibri"/>
          <w:sz w:val="24"/>
          <w:szCs w:val="24"/>
          <w:lang w:eastAsia="da-DK"/>
        </w:rPr>
        <w:t>En pakning indeholder:</w:t>
      </w:r>
    </w:p>
    <w:p w:rsidR="004F7AEB" w:rsidRPr="002573BE" w:rsidRDefault="004F7AEB" w:rsidP="004F7AEB">
      <w:pPr>
        <w:numPr>
          <w:ilvl w:val="0"/>
          <w:numId w:val="6"/>
        </w:numPr>
        <w:tabs>
          <w:tab w:val="left" w:pos="1134"/>
        </w:tabs>
        <w:kinsoku w:val="0"/>
        <w:overflowPunct w:val="0"/>
        <w:autoSpaceDE w:val="0"/>
        <w:autoSpaceDN w:val="0"/>
        <w:ind w:left="1134" w:hanging="283"/>
        <w:rPr>
          <w:rFonts w:eastAsia="SimSun" w:cs="Calibri"/>
          <w:sz w:val="24"/>
          <w:szCs w:val="24"/>
          <w:lang w:eastAsia="da-DK"/>
        </w:rPr>
      </w:pPr>
      <w:r w:rsidRPr="002573BE">
        <w:rPr>
          <w:rFonts w:eastAsia="SimSun" w:cs="Calibri"/>
          <w:sz w:val="24"/>
          <w:szCs w:val="24"/>
          <w:lang w:eastAsia="da-DK"/>
        </w:rPr>
        <w:t xml:space="preserve">Pulver (1,5 g humant </w:t>
      </w:r>
      <w:proofErr w:type="spellStart"/>
      <w:r w:rsidRPr="002573BE">
        <w:rPr>
          <w:rFonts w:eastAsia="SimSun" w:cs="Calibri"/>
          <w:sz w:val="24"/>
          <w:szCs w:val="24"/>
          <w:lang w:eastAsia="da-DK"/>
        </w:rPr>
        <w:t>fibrinogen</w:t>
      </w:r>
      <w:proofErr w:type="spellEnd"/>
      <w:r w:rsidRPr="002573BE">
        <w:rPr>
          <w:rFonts w:eastAsia="SimSun" w:cs="Calibri"/>
          <w:sz w:val="24"/>
          <w:szCs w:val="24"/>
          <w:lang w:eastAsia="da-DK"/>
        </w:rPr>
        <w:t xml:space="preserve">) i et farveløst type I hætteglas forseglet med en </w:t>
      </w:r>
      <w:proofErr w:type="spellStart"/>
      <w:r w:rsidRPr="002573BE">
        <w:rPr>
          <w:rFonts w:eastAsia="SimSun" w:cs="Calibri"/>
          <w:sz w:val="24"/>
          <w:szCs w:val="24"/>
          <w:lang w:eastAsia="da-DK"/>
        </w:rPr>
        <w:t>siliconebehandlet</w:t>
      </w:r>
      <w:proofErr w:type="spellEnd"/>
      <w:r w:rsidRPr="002573BE">
        <w:rPr>
          <w:rFonts w:eastAsia="SimSun" w:cs="Calibri"/>
          <w:sz w:val="24"/>
          <w:szCs w:val="24"/>
          <w:lang w:eastAsia="da-DK"/>
        </w:rPr>
        <w:t xml:space="preserve"> </w:t>
      </w:r>
      <w:proofErr w:type="spellStart"/>
      <w:r w:rsidRPr="002573BE">
        <w:rPr>
          <w:rFonts w:eastAsia="SimSun" w:cs="Calibri"/>
          <w:sz w:val="24"/>
          <w:szCs w:val="24"/>
          <w:lang w:eastAsia="da-DK"/>
        </w:rPr>
        <w:t>bromobutyl</w:t>
      </w:r>
      <w:proofErr w:type="spellEnd"/>
      <w:r w:rsidRPr="002573BE">
        <w:rPr>
          <w:rFonts w:eastAsia="SimSun" w:cs="Calibri"/>
          <w:sz w:val="24"/>
          <w:szCs w:val="24"/>
          <w:lang w:eastAsia="da-DK"/>
        </w:rPr>
        <w:t>-prop, en aluminiumshætte og en plastskive.</w:t>
      </w:r>
    </w:p>
    <w:p w:rsidR="004F7AEB" w:rsidRPr="002573BE" w:rsidRDefault="004F7AEB" w:rsidP="004F7AEB">
      <w:pPr>
        <w:numPr>
          <w:ilvl w:val="0"/>
          <w:numId w:val="6"/>
        </w:numPr>
        <w:tabs>
          <w:tab w:val="left" w:pos="1134"/>
        </w:tabs>
        <w:kinsoku w:val="0"/>
        <w:overflowPunct w:val="0"/>
        <w:autoSpaceDE w:val="0"/>
        <w:autoSpaceDN w:val="0"/>
        <w:ind w:left="1134" w:hanging="283"/>
        <w:rPr>
          <w:rFonts w:eastAsia="SimSun" w:cs="Calibri"/>
          <w:sz w:val="24"/>
          <w:szCs w:val="24"/>
          <w:lang w:eastAsia="da-DK"/>
        </w:rPr>
      </w:pPr>
      <w:r>
        <w:rPr>
          <w:rFonts w:eastAsia="SimSun" w:cs="Calibri"/>
          <w:sz w:val="24"/>
          <w:szCs w:val="24"/>
          <w:lang w:eastAsia="da-DK"/>
        </w:rPr>
        <w:t>Solvens (100 ml</w:t>
      </w:r>
      <w:r w:rsidRPr="002573BE">
        <w:rPr>
          <w:rFonts w:eastAsia="SimSun" w:cs="Calibri"/>
          <w:sz w:val="24"/>
          <w:szCs w:val="24"/>
          <w:lang w:eastAsia="da-DK"/>
        </w:rPr>
        <w:t xml:space="preserve"> vand til injektionsvæsker) i et farveløst type II hætteglas forseglet med en </w:t>
      </w:r>
      <w:proofErr w:type="spellStart"/>
      <w:r w:rsidRPr="002573BE">
        <w:rPr>
          <w:rFonts w:eastAsia="SimSun" w:cs="Calibri"/>
          <w:sz w:val="24"/>
          <w:szCs w:val="24"/>
          <w:lang w:eastAsia="da-DK"/>
        </w:rPr>
        <w:t>bromobutyl</w:t>
      </w:r>
      <w:proofErr w:type="spellEnd"/>
      <w:r w:rsidRPr="002573BE">
        <w:rPr>
          <w:rFonts w:eastAsia="SimSun" w:cs="Calibri"/>
          <w:sz w:val="24"/>
          <w:szCs w:val="24"/>
          <w:lang w:eastAsia="da-DK"/>
        </w:rPr>
        <w:t>-prop, en aluminiumshætte og en plastskive.</w:t>
      </w:r>
    </w:p>
    <w:p w:rsidR="00880457" w:rsidRDefault="004F7AEB" w:rsidP="00880457">
      <w:pPr>
        <w:numPr>
          <w:ilvl w:val="0"/>
          <w:numId w:val="6"/>
        </w:numPr>
        <w:tabs>
          <w:tab w:val="left" w:pos="1134"/>
        </w:tabs>
        <w:kinsoku w:val="0"/>
        <w:overflowPunct w:val="0"/>
        <w:autoSpaceDE w:val="0"/>
        <w:autoSpaceDN w:val="0"/>
        <w:ind w:left="1134" w:hanging="283"/>
        <w:rPr>
          <w:rFonts w:eastAsia="SimSun" w:cs="Calibri"/>
          <w:sz w:val="24"/>
          <w:szCs w:val="24"/>
          <w:lang w:eastAsia="da-DK"/>
        </w:rPr>
      </w:pPr>
      <w:r w:rsidRPr="002573BE">
        <w:rPr>
          <w:rFonts w:eastAsia="SimSun" w:cs="Calibri"/>
          <w:sz w:val="24"/>
          <w:szCs w:val="24"/>
          <w:lang w:eastAsia="da-DK"/>
        </w:rPr>
        <w:t>Overførselssystem forsynet med en steril luftfiltreringsventil.</w:t>
      </w:r>
    </w:p>
    <w:p w:rsidR="00880457" w:rsidRPr="00880457" w:rsidRDefault="00880457" w:rsidP="00880457">
      <w:pPr>
        <w:numPr>
          <w:ilvl w:val="0"/>
          <w:numId w:val="6"/>
        </w:numPr>
        <w:tabs>
          <w:tab w:val="left" w:pos="1134"/>
        </w:tabs>
        <w:kinsoku w:val="0"/>
        <w:overflowPunct w:val="0"/>
        <w:autoSpaceDE w:val="0"/>
        <w:autoSpaceDN w:val="0"/>
        <w:ind w:left="1134" w:hanging="283"/>
        <w:rPr>
          <w:rFonts w:eastAsia="SimSun" w:cs="Calibri"/>
          <w:sz w:val="24"/>
          <w:szCs w:val="24"/>
          <w:lang w:eastAsia="da-DK"/>
        </w:rPr>
      </w:pPr>
      <w:r w:rsidRPr="00880457">
        <w:rPr>
          <w:sz w:val="24"/>
          <w:szCs w:val="24"/>
        </w:rPr>
        <w:t>Infusionssæt med et 15 µm filter</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880457">
        <w:rPr>
          <w:b/>
          <w:sz w:val="24"/>
          <w:szCs w:val="24"/>
        </w:rPr>
        <w:t>bortskaffelse</w:t>
      </w:r>
      <w:r w:rsidRPr="00C84483">
        <w:rPr>
          <w:b/>
          <w:sz w:val="24"/>
          <w:szCs w:val="24"/>
        </w:rPr>
        <w:t xml:space="preserve"> og anden håndtering</w:t>
      </w:r>
    </w:p>
    <w:p w:rsidR="004F7AEB" w:rsidRPr="002573BE" w:rsidRDefault="004F7AEB" w:rsidP="004F7AEB">
      <w:pPr>
        <w:keepNext/>
        <w:tabs>
          <w:tab w:val="left" w:pos="851"/>
        </w:tabs>
        <w:kinsoku w:val="0"/>
        <w:overflowPunct w:val="0"/>
        <w:autoSpaceDE w:val="0"/>
        <w:autoSpaceDN w:val="0"/>
        <w:ind w:left="851"/>
        <w:rPr>
          <w:rFonts w:eastAsia="SimSun" w:cs="Calibri"/>
          <w:sz w:val="24"/>
          <w:szCs w:val="24"/>
          <w:lang w:eastAsia="da-DK"/>
        </w:rPr>
      </w:pPr>
    </w:p>
    <w:p w:rsidR="004F7AEB" w:rsidRPr="002573BE" w:rsidRDefault="004F7AEB" w:rsidP="004F7AEB">
      <w:pPr>
        <w:keepNext/>
        <w:tabs>
          <w:tab w:val="left" w:pos="851"/>
        </w:tabs>
        <w:kinsoku w:val="0"/>
        <w:overflowPunct w:val="0"/>
        <w:autoSpaceDE w:val="0"/>
        <w:autoSpaceDN w:val="0"/>
        <w:ind w:left="851"/>
        <w:rPr>
          <w:rFonts w:eastAsia="SimSun" w:cs="Calibri"/>
          <w:b/>
          <w:sz w:val="24"/>
          <w:szCs w:val="24"/>
          <w:lang w:eastAsia="da-DK"/>
        </w:rPr>
      </w:pPr>
      <w:proofErr w:type="spellStart"/>
      <w:r w:rsidRPr="005A1D2C">
        <w:rPr>
          <w:rFonts w:eastAsia="SimSun" w:cs="Calibri"/>
          <w:b/>
          <w:sz w:val="24"/>
          <w:szCs w:val="24"/>
          <w:lang w:eastAsia="da-DK"/>
        </w:rPr>
        <w:t>Rekonstitution</w:t>
      </w:r>
      <w:proofErr w:type="spellEnd"/>
    </w:p>
    <w:p w:rsidR="004F7AEB" w:rsidRDefault="004F7AEB" w:rsidP="004F7AEB">
      <w:pPr>
        <w:keepNext/>
        <w:tabs>
          <w:tab w:val="left" w:pos="851"/>
        </w:tabs>
        <w:kinsoku w:val="0"/>
        <w:overflowPunct w:val="0"/>
        <w:autoSpaceDE w:val="0"/>
        <w:autoSpaceDN w:val="0"/>
        <w:ind w:left="851"/>
        <w:rPr>
          <w:rFonts w:eastAsia="SimSun" w:cs="Calibri"/>
          <w:b/>
          <w:sz w:val="24"/>
          <w:szCs w:val="24"/>
          <w:lang w:eastAsia="da-DK"/>
        </w:rPr>
      </w:pPr>
    </w:p>
    <w:p w:rsidR="004F7AEB" w:rsidRPr="005A1D2C" w:rsidRDefault="004F7AEB" w:rsidP="004F7AEB">
      <w:pPr>
        <w:keepNext/>
        <w:tabs>
          <w:tab w:val="left" w:pos="851"/>
        </w:tabs>
        <w:kinsoku w:val="0"/>
        <w:overflowPunct w:val="0"/>
        <w:autoSpaceDE w:val="0"/>
        <w:autoSpaceDN w:val="0"/>
        <w:ind w:left="851"/>
        <w:rPr>
          <w:rFonts w:eastAsia="SimSun" w:cs="Calibri"/>
          <w:sz w:val="24"/>
          <w:szCs w:val="24"/>
          <w:u w:val="single"/>
          <w:lang w:eastAsia="da-DK"/>
        </w:rPr>
      </w:pPr>
      <w:r w:rsidRPr="002573BE">
        <w:rPr>
          <w:rFonts w:eastAsia="SimSun" w:cs="Calibri"/>
          <w:sz w:val="24"/>
          <w:szCs w:val="24"/>
          <w:u w:val="single"/>
          <w:lang w:eastAsia="da-DK"/>
        </w:rPr>
        <w:t>Følg den gældende ve</w:t>
      </w:r>
      <w:r>
        <w:rPr>
          <w:rFonts w:eastAsia="SimSun" w:cs="Calibri"/>
          <w:sz w:val="24"/>
          <w:szCs w:val="24"/>
          <w:u w:val="single"/>
          <w:lang w:eastAsia="da-DK"/>
        </w:rPr>
        <w:t>jledning for aseptisk procedure</w:t>
      </w:r>
    </w:p>
    <w:p w:rsidR="004F7AEB" w:rsidRDefault="004F7AEB" w:rsidP="004F7AEB">
      <w:pPr>
        <w:tabs>
          <w:tab w:val="left" w:pos="851"/>
        </w:tabs>
        <w:ind w:left="851"/>
        <w:rPr>
          <w:sz w:val="24"/>
          <w:szCs w:val="24"/>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6128"/>
      </w:tblGrid>
      <w:tr w:rsidR="004F7AEB" w:rsidTr="003B4BCE">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pStyle w:val="Paragraphe1"/>
              <w:tabs>
                <w:tab w:val="clear" w:pos="567"/>
                <w:tab w:val="left" w:pos="851"/>
              </w:tabs>
              <w:ind w:left="851"/>
              <w:rPr>
                <w:sz w:val="24"/>
                <w:szCs w:val="24"/>
              </w:rPr>
            </w:pPr>
            <w:r>
              <w:rPr>
                <w:noProof/>
                <w:sz w:val="24"/>
                <w:szCs w:val="24"/>
                <w:lang w:bidi="ar-SA"/>
              </w:rPr>
              <w:drawing>
                <wp:inline distT="0" distB="0" distL="0" distR="0" wp14:anchorId="6D2C2F38" wp14:editId="531C565A">
                  <wp:extent cx="1821180" cy="1143000"/>
                  <wp:effectExtent l="0" t="0" r="762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180" cy="1143000"/>
                          </a:xfrm>
                          <a:prstGeom prst="rect">
                            <a:avLst/>
                          </a:prstGeom>
                          <a:noFill/>
                          <a:ln>
                            <a:noFill/>
                          </a:ln>
                        </pic:spPr>
                      </pic:pic>
                    </a:graphicData>
                  </a:graphic>
                </wp:inline>
              </w:drawing>
            </w:r>
          </w:p>
        </w:tc>
        <w:tc>
          <w:tcPr>
            <w:tcW w:w="6128"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ind w:left="176"/>
              <w:rPr>
                <w:sz w:val="24"/>
                <w:szCs w:val="24"/>
              </w:rPr>
            </w:pPr>
            <w:r>
              <w:rPr>
                <w:sz w:val="24"/>
                <w:szCs w:val="24"/>
              </w:rPr>
              <w:t>Om nødvendigt øges temperaturen af de to hætteglas (pulver og solvens) til den omgivende temperatur.</w:t>
            </w:r>
          </w:p>
        </w:tc>
      </w:tr>
      <w:tr w:rsidR="004F7AEB" w:rsidTr="003B4BCE">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pStyle w:val="Paragraphe1"/>
              <w:tabs>
                <w:tab w:val="clear" w:pos="567"/>
                <w:tab w:val="left" w:pos="851"/>
              </w:tabs>
              <w:ind w:left="851"/>
              <w:rPr>
                <w:sz w:val="24"/>
                <w:szCs w:val="24"/>
              </w:rPr>
            </w:pPr>
            <w:r>
              <w:rPr>
                <w:noProof/>
                <w:sz w:val="24"/>
                <w:szCs w:val="24"/>
                <w:lang w:bidi="ar-SA"/>
              </w:rPr>
              <w:lastRenderedPageBreak/>
              <w:drawing>
                <wp:inline distT="0" distB="0" distL="0" distR="0" wp14:anchorId="0129A0D4" wp14:editId="350B883C">
                  <wp:extent cx="1630680" cy="1386840"/>
                  <wp:effectExtent l="0" t="0" r="7620" b="381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680" cy="1386840"/>
                          </a:xfrm>
                          <a:prstGeom prst="rect">
                            <a:avLst/>
                          </a:prstGeom>
                          <a:noFill/>
                          <a:ln>
                            <a:noFill/>
                          </a:ln>
                        </pic:spPr>
                      </pic:pic>
                    </a:graphicData>
                  </a:graphic>
                </wp:inline>
              </w:drawing>
            </w:r>
          </w:p>
        </w:tc>
        <w:tc>
          <w:tcPr>
            <w:tcW w:w="6128" w:type="dxa"/>
            <w:tcBorders>
              <w:top w:val="single" w:sz="4" w:space="0" w:color="auto"/>
              <w:left w:val="single" w:sz="4" w:space="0" w:color="auto"/>
              <w:bottom w:val="single" w:sz="4" w:space="0" w:color="auto"/>
              <w:right w:val="single" w:sz="4" w:space="0" w:color="auto"/>
            </w:tcBorders>
            <w:vAlign w:val="center"/>
          </w:tcPr>
          <w:p w:rsidR="004F7AEB" w:rsidRDefault="004F7AEB" w:rsidP="003B4BCE">
            <w:pPr>
              <w:ind w:left="176"/>
              <w:rPr>
                <w:sz w:val="24"/>
                <w:szCs w:val="24"/>
              </w:rPr>
            </w:pPr>
            <w:r>
              <w:rPr>
                <w:sz w:val="24"/>
                <w:szCs w:val="24"/>
              </w:rPr>
              <w:t>Fjern beskyttelseshætten fra hætteglasset med solvens og fra hætteglasset med pulver.</w:t>
            </w:r>
          </w:p>
          <w:p w:rsidR="004F7AEB" w:rsidRDefault="004F7AEB" w:rsidP="003B4BCE">
            <w:pPr>
              <w:ind w:left="176"/>
              <w:rPr>
                <w:sz w:val="24"/>
                <w:szCs w:val="24"/>
              </w:rPr>
            </w:pPr>
            <w:r>
              <w:rPr>
                <w:sz w:val="24"/>
                <w:szCs w:val="24"/>
              </w:rPr>
              <w:t>Desinficér overfladen på hver prop.</w:t>
            </w:r>
          </w:p>
          <w:p w:rsidR="004F7AEB" w:rsidRDefault="004F7AEB" w:rsidP="003B4BCE">
            <w:pPr>
              <w:pStyle w:val="CorpsdetexteSuite"/>
              <w:tabs>
                <w:tab w:val="clear" w:pos="567"/>
              </w:tabs>
              <w:ind w:left="176"/>
              <w:jc w:val="left"/>
              <w:rPr>
                <w:sz w:val="24"/>
                <w:szCs w:val="24"/>
              </w:rPr>
            </w:pPr>
          </w:p>
        </w:tc>
      </w:tr>
      <w:tr w:rsidR="004F7AEB" w:rsidTr="003B4BCE">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pStyle w:val="Paragraphe1"/>
              <w:tabs>
                <w:tab w:val="clear" w:pos="567"/>
                <w:tab w:val="left" w:pos="851"/>
              </w:tabs>
              <w:ind w:left="851"/>
              <w:rPr>
                <w:sz w:val="24"/>
                <w:szCs w:val="24"/>
              </w:rPr>
            </w:pPr>
            <w:r>
              <w:rPr>
                <w:noProof/>
                <w:sz w:val="24"/>
                <w:szCs w:val="24"/>
                <w:lang w:bidi="ar-SA"/>
              </w:rPr>
              <w:drawing>
                <wp:inline distT="0" distB="0" distL="0" distR="0" wp14:anchorId="16762783" wp14:editId="4DD69708">
                  <wp:extent cx="1684020" cy="18897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020" cy="1889760"/>
                          </a:xfrm>
                          <a:prstGeom prst="rect">
                            <a:avLst/>
                          </a:prstGeom>
                          <a:noFill/>
                          <a:ln>
                            <a:noFill/>
                          </a:ln>
                        </pic:spPr>
                      </pic:pic>
                    </a:graphicData>
                  </a:graphic>
                </wp:inline>
              </w:drawing>
            </w:r>
          </w:p>
        </w:tc>
        <w:tc>
          <w:tcPr>
            <w:tcW w:w="6128"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ind w:left="176"/>
              <w:rPr>
                <w:sz w:val="24"/>
                <w:szCs w:val="24"/>
              </w:rPr>
            </w:pPr>
            <w:r>
              <w:rPr>
                <w:sz w:val="24"/>
                <w:szCs w:val="24"/>
              </w:rPr>
              <w:t>Fjern det gennemsigtige beskyttelseshylster fra overførselssystemet og før det eksponerede spyd helt ind gennem centrum af proppen til hætteglasset med solvens, samtidig med at spyddet drejes.</w:t>
            </w:r>
          </w:p>
        </w:tc>
      </w:tr>
      <w:tr w:rsidR="004F7AEB" w:rsidTr="003B4BCE">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pStyle w:val="Paragraphe1"/>
              <w:tabs>
                <w:tab w:val="clear" w:pos="567"/>
                <w:tab w:val="left" w:pos="851"/>
              </w:tabs>
              <w:ind w:left="851"/>
              <w:rPr>
                <w:sz w:val="24"/>
                <w:szCs w:val="24"/>
              </w:rPr>
            </w:pPr>
            <w:r>
              <w:rPr>
                <w:noProof/>
                <w:sz w:val="24"/>
                <w:szCs w:val="24"/>
                <w:lang w:bidi="ar-SA"/>
              </w:rPr>
              <w:drawing>
                <wp:inline distT="0" distB="0" distL="0" distR="0" wp14:anchorId="3C6CE636" wp14:editId="38C86EBF">
                  <wp:extent cx="1729740" cy="1958340"/>
                  <wp:effectExtent l="0" t="0" r="381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9740" cy="1958340"/>
                          </a:xfrm>
                          <a:prstGeom prst="rect">
                            <a:avLst/>
                          </a:prstGeom>
                          <a:noFill/>
                          <a:ln>
                            <a:noFill/>
                          </a:ln>
                        </pic:spPr>
                      </pic:pic>
                    </a:graphicData>
                  </a:graphic>
                </wp:inline>
              </w:drawing>
            </w:r>
          </w:p>
        </w:tc>
        <w:tc>
          <w:tcPr>
            <w:tcW w:w="6128"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ind w:left="176"/>
              <w:rPr>
                <w:sz w:val="24"/>
                <w:szCs w:val="24"/>
              </w:rPr>
            </w:pPr>
            <w:r>
              <w:rPr>
                <w:sz w:val="24"/>
                <w:szCs w:val="24"/>
              </w:rPr>
              <w:t>Fjern det andet grå beskyttelseshylster fra den modsatte ende af overførselssystemet.</w:t>
            </w:r>
          </w:p>
          <w:p w:rsidR="004F7AEB" w:rsidRDefault="004F7AEB" w:rsidP="003B4BCE">
            <w:pPr>
              <w:ind w:left="176"/>
              <w:rPr>
                <w:sz w:val="24"/>
                <w:szCs w:val="24"/>
              </w:rPr>
            </w:pPr>
            <w:r>
              <w:rPr>
                <w:sz w:val="24"/>
                <w:szCs w:val="24"/>
              </w:rPr>
              <w:t xml:space="preserve">Vend hætteglasset med solvens og tryk hurtigt den frie ende af spyddet ind i centrum af proppen til hætteglasset med pulver for at overføre </w:t>
            </w:r>
            <w:proofErr w:type="spellStart"/>
            <w:r>
              <w:rPr>
                <w:sz w:val="24"/>
                <w:szCs w:val="24"/>
              </w:rPr>
              <w:t>solvenset</w:t>
            </w:r>
            <w:proofErr w:type="spellEnd"/>
            <w:r>
              <w:rPr>
                <w:sz w:val="24"/>
                <w:szCs w:val="24"/>
              </w:rPr>
              <w:t xml:space="preserve"> til pulveret.</w:t>
            </w:r>
          </w:p>
          <w:p w:rsidR="004F7AEB" w:rsidRDefault="004F7AEB" w:rsidP="003B4BCE">
            <w:pPr>
              <w:ind w:left="176"/>
              <w:rPr>
                <w:sz w:val="24"/>
                <w:szCs w:val="24"/>
              </w:rPr>
            </w:pPr>
            <w:r>
              <w:rPr>
                <w:sz w:val="24"/>
                <w:szCs w:val="24"/>
              </w:rPr>
              <w:t xml:space="preserve">Sørg for, at spyddet altid forbliver inde i </w:t>
            </w:r>
            <w:proofErr w:type="spellStart"/>
            <w:r>
              <w:rPr>
                <w:sz w:val="24"/>
                <w:szCs w:val="24"/>
              </w:rPr>
              <w:t>solvenset</w:t>
            </w:r>
            <w:proofErr w:type="spellEnd"/>
            <w:r>
              <w:rPr>
                <w:sz w:val="24"/>
                <w:szCs w:val="24"/>
              </w:rPr>
              <w:t xml:space="preserve"> for at undgå, at vakuum frigøres for tidligt.</w:t>
            </w:r>
          </w:p>
        </w:tc>
      </w:tr>
      <w:tr w:rsidR="004F7AEB" w:rsidTr="003B4BCE">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pStyle w:val="Paragraphe1"/>
              <w:tabs>
                <w:tab w:val="clear" w:pos="567"/>
                <w:tab w:val="left" w:pos="851"/>
              </w:tabs>
              <w:ind w:left="851"/>
              <w:rPr>
                <w:sz w:val="24"/>
                <w:szCs w:val="24"/>
              </w:rPr>
            </w:pPr>
            <w:r>
              <w:rPr>
                <w:noProof/>
                <w:sz w:val="24"/>
                <w:szCs w:val="24"/>
                <w:lang w:bidi="ar-SA"/>
              </w:rPr>
              <w:drawing>
                <wp:inline distT="0" distB="0" distL="0" distR="0" wp14:anchorId="7C4D7A03" wp14:editId="434EC31F">
                  <wp:extent cx="1135380" cy="2606040"/>
                  <wp:effectExtent l="0" t="0" r="762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380" cy="2606040"/>
                          </a:xfrm>
                          <a:prstGeom prst="rect">
                            <a:avLst/>
                          </a:prstGeom>
                          <a:noFill/>
                          <a:ln>
                            <a:noFill/>
                          </a:ln>
                        </pic:spPr>
                      </pic:pic>
                    </a:graphicData>
                  </a:graphic>
                </wp:inline>
              </w:drawing>
            </w:r>
          </w:p>
        </w:tc>
        <w:tc>
          <w:tcPr>
            <w:tcW w:w="6128"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ind w:left="176"/>
              <w:rPr>
                <w:sz w:val="24"/>
                <w:szCs w:val="24"/>
              </w:rPr>
            </w:pPr>
            <w:r>
              <w:rPr>
                <w:sz w:val="24"/>
                <w:szCs w:val="24"/>
              </w:rPr>
              <w:t xml:space="preserve">Under overførslen skal strømmen af solvens rettes mod hele pulverets overflade og langs væggen af hætteglasset med en roterende, vandret bevægelse. Sørg for, at alt </w:t>
            </w:r>
            <w:proofErr w:type="spellStart"/>
            <w:r>
              <w:rPr>
                <w:sz w:val="24"/>
                <w:szCs w:val="24"/>
              </w:rPr>
              <w:t>solvenset</w:t>
            </w:r>
            <w:proofErr w:type="spellEnd"/>
            <w:r>
              <w:rPr>
                <w:sz w:val="24"/>
                <w:szCs w:val="24"/>
              </w:rPr>
              <w:t xml:space="preserve"> overføres.</w:t>
            </w:r>
          </w:p>
          <w:p w:rsidR="004F7AEB" w:rsidRDefault="004F7AEB" w:rsidP="003B4BCE">
            <w:pPr>
              <w:ind w:left="176"/>
              <w:rPr>
                <w:sz w:val="24"/>
                <w:szCs w:val="24"/>
              </w:rPr>
            </w:pPr>
            <w:r>
              <w:rPr>
                <w:sz w:val="24"/>
                <w:szCs w:val="24"/>
              </w:rPr>
              <w:t>Ved overførselsprocedurens afslutning frigøres vakuum automatisk af steril luft, som strømmer gennem overførselssystemets ventilation.</w:t>
            </w:r>
          </w:p>
        </w:tc>
      </w:tr>
      <w:tr w:rsidR="004F7AEB" w:rsidTr="003B4BCE">
        <w:trPr>
          <w:cantSplit/>
        </w:trPr>
        <w:tc>
          <w:tcPr>
            <w:tcW w:w="3964" w:type="dxa"/>
            <w:tcBorders>
              <w:top w:val="single" w:sz="4" w:space="0" w:color="auto"/>
              <w:left w:val="single" w:sz="4" w:space="0" w:color="auto"/>
              <w:bottom w:val="single" w:sz="4" w:space="0" w:color="auto"/>
              <w:right w:val="single" w:sz="4" w:space="0" w:color="auto"/>
            </w:tcBorders>
            <w:vAlign w:val="center"/>
            <w:hideMark/>
          </w:tcPr>
          <w:p w:rsidR="004F7AEB" w:rsidRDefault="004F7AEB" w:rsidP="003B4BCE">
            <w:pPr>
              <w:pStyle w:val="Paragraphe1"/>
              <w:tabs>
                <w:tab w:val="clear" w:pos="567"/>
                <w:tab w:val="left" w:pos="851"/>
              </w:tabs>
              <w:ind w:left="851"/>
              <w:rPr>
                <w:sz w:val="24"/>
                <w:szCs w:val="24"/>
              </w:rPr>
            </w:pPr>
            <w:r>
              <w:rPr>
                <w:noProof/>
                <w:sz w:val="24"/>
                <w:szCs w:val="24"/>
                <w:lang w:bidi="ar-SA"/>
              </w:rPr>
              <w:lastRenderedPageBreak/>
              <w:drawing>
                <wp:inline distT="0" distB="0" distL="0" distR="0" wp14:anchorId="3FA043D2" wp14:editId="025694AD">
                  <wp:extent cx="1295400" cy="30175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3017520"/>
                          </a:xfrm>
                          <a:prstGeom prst="rect">
                            <a:avLst/>
                          </a:prstGeom>
                          <a:noFill/>
                          <a:ln>
                            <a:noFill/>
                          </a:ln>
                        </pic:spPr>
                      </pic:pic>
                    </a:graphicData>
                  </a:graphic>
                </wp:inline>
              </w:drawing>
            </w:r>
          </w:p>
        </w:tc>
        <w:tc>
          <w:tcPr>
            <w:tcW w:w="6128" w:type="dxa"/>
            <w:tcBorders>
              <w:top w:val="single" w:sz="4" w:space="0" w:color="auto"/>
              <w:left w:val="single" w:sz="4" w:space="0" w:color="auto"/>
              <w:bottom w:val="single" w:sz="4" w:space="0" w:color="auto"/>
              <w:right w:val="single" w:sz="4" w:space="0" w:color="auto"/>
            </w:tcBorders>
            <w:vAlign w:val="center"/>
            <w:hideMark/>
          </w:tcPr>
          <w:p w:rsidR="00880457" w:rsidRDefault="00880457" w:rsidP="00880457">
            <w:pPr>
              <w:ind w:left="176"/>
              <w:rPr>
                <w:sz w:val="24"/>
                <w:szCs w:val="24"/>
              </w:rPr>
            </w:pPr>
            <w:r>
              <w:rPr>
                <w:sz w:val="24"/>
                <w:szCs w:val="24"/>
              </w:rPr>
              <w:t>Fjern det tomme hætteglas (solvens) med overførselssystem.</w:t>
            </w:r>
          </w:p>
          <w:p w:rsidR="004F7AEB" w:rsidRDefault="00880457" w:rsidP="00880457">
            <w:pPr>
              <w:ind w:left="176"/>
              <w:rPr>
                <w:sz w:val="24"/>
                <w:szCs w:val="24"/>
              </w:rPr>
            </w:pPr>
            <w:r>
              <w:rPr>
                <w:sz w:val="24"/>
                <w:szCs w:val="24"/>
              </w:rPr>
              <w:t>Rotér forsigtigt hætteglasset med en cirkulær bevægelse i få minutter for at undgå skumdannelse, indtil pulveret er fuldstændigt opløst.</w:t>
            </w:r>
          </w:p>
        </w:tc>
      </w:tr>
    </w:tbl>
    <w:p w:rsidR="004F7AEB" w:rsidRDefault="004F7AEB" w:rsidP="004F7AEB">
      <w:pPr>
        <w:tabs>
          <w:tab w:val="left" w:pos="851"/>
        </w:tabs>
        <w:ind w:left="851"/>
        <w:rPr>
          <w:sz w:val="24"/>
          <w:szCs w:val="24"/>
        </w:rPr>
      </w:pPr>
    </w:p>
    <w:p w:rsidR="004F7AEB" w:rsidRDefault="004F7AEB" w:rsidP="004F7AEB">
      <w:pPr>
        <w:tabs>
          <w:tab w:val="left" w:pos="851"/>
        </w:tabs>
        <w:ind w:left="851"/>
        <w:rPr>
          <w:sz w:val="24"/>
          <w:szCs w:val="24"/>
        </w:rPr>
      </w:pPr>
    </w:p>
    <w:p w:rsidR="004F7AEB" w:rsidRDefault="004F7AEB" w:rsidP="004F7AEB">
      <w:pPr>
        <w:tabs>
          <w:tab w:val="left" w:pos="851"/>
        </w:tabs>
        <w:ind w:left="851"/>
        <w:rPr>
          <w:sz w:val="24"/>
          <w:szCs w:val="24"/>
          <w:lang w:eastAsia="da-DK"/>
        </w:rPr>
      </w:pPr>
      <w:r>
        <w:rPr>
          <w:sz w:val="24"/>
          <w:szCs w:val="24"/>
        </w:rPr>
        <w:t xml:space="preserve">Det </w:t>
      </w:r>
      <w:proofErr w:type="spellStart"/>
      <w:r>
        <w:rPr>
          <w:sz w:val="24"/>
          <w:szCs w:val="24"/>
        </w:rPr>
        <w:t>rekonstituerede</w:t>
      </w:r>
      <w:proofErr w:type="spellEnd"/>
      <w:r>
        <w:rPr>
          <w:sz w:val="24"/>
          <w:szCs w:val="24"/>
        </w:rPr>
        <w:t xml:space="preserve"> produkt skal visuelt undersøges inden administration for at sikre, at det ikke indeholder partikelrester. Den </w:t>
      </w:r>
      <w:proofErr w:type="spellStart"/>
      <w:r>
        <w:rPr>
          <w:sz w:val="24"/>
          <w:szCs w:val="24"/>
        </w:rPr>
        <w:t>rekonstituerede</w:t>
      </w:r>
      <w:proofErr w:type="spellEnd"/>
      <w:r>
        <w:rPr>
          <w:sz w:val="24"/>
          <w:szCs w:val="24"/>
        </w:rPr>
        <w:t xml:space="preserve"> opløsning skal være næsten farveløs, let opaliserende. Anvend ikke opløsninger der er grumsede eller indeholder bundfald.</w:t>
      </w:r>
    </w:p>
    <w:p w:rsidR="004F7AEB" w:rsidRDefault="004F7AEB" w:rsidP="004F7AEB">
      <w:pPr>
        <w:tabs>
          <w:tab w:val="left" w:pos="851"/>
        </w:tabs>
        <w:ind w:left="851"/>
        <w:rPr>
          <w:sz w:val="24"/>
          <w:szCs w:val="24"/>
        </w:rPr>
      </w:pPr>
    </w:p>
    <w:p w:rsidR="004F7AEB" w:rsidRPr="005A1A9A" w:rsidRDefault="004F7AEB" w:rsidP="004F7AEB">
      <w:pPr>
        <w:pStyle w:val="BoldandItalic"/>
        <w:tabs>
          <w:tab w:val="clear" w:pos="567"/>
          <w:tab w:val="left" w:pos="851"/>
        </w:tabs>
        <w:ind w:left="851"/>
        <w:rPr>
          <w:i w:val="0"/>
          <w:sz w:val="24"/>
          <w:szCs w:val="24"/>
        </w:rPr>
      </w:pPr>
      <w:r>
        <w:rPr>
          <w:i w:val="0"/>
          <w:sz w:val="24"/>
          <w:szCs w:val="24"/>
        </w:rPr>
        <w:t>Administration</w:t>
      </w:r>
    </w:p>
    <w:p w:rsidR="004F7AEB" w:rsidRDefault="004F7AEB" w:rsidP="004F7AEB">
      <w:pPr>
        <w:tabs>
          <w:tab w:val="left" w:pos="851"/>
        </w:tabs>
        <w:ind w:left="851"/>
        <w:rPr>
          <w:sz w:val="24"/>
          <w:szCs w:val="24"/>
        </w:rPr>
      </w:pPr>
      <w:proofErr w:type="spellStart"/>
      <w:r>
        <w:rPr>
          <w:sz w:val="24"/>
          <w:szCs w:val="24"/>
        </w:rPr>
        <w:t>Fibclot</w:t>
      </w:r>
      <w:proofErr w:type="spellEnd"/>
      <w:r>
        <w:rPr>
          <w:sz w:val="24"/>
          <w:szCs w:val="24"/>
        </w:rPr>
        <w:t xml:space="preserve"> må kun administreres intravenøst, som en enkeltdosis, umiddelbart efter </w:t>
      </w:r>
      <w:proofErr w:type="spellStart"/>
      <w:r>
        <w:rPr>
          <w:sz w:val="24"/>
          <w:szCs w:val="24"/>
        </w:rPr>
        <w:t>rekonstitution</w:t>
      </w:r>
      <w:proofErr w:type="spellEnd"/>
      <w:r>
        <w:rPr>
          <w:sz w:val="24"/>
          <w:szCs w:val="24"/>
        </w:rPr>
        <w:t xml:space="preserve">, og med en maksimal hastighed på 4 </w:t>
      </w:r>
      <w:proofErr w:type="spellStart"/>
      <w:r>
        <w:rPr>
          <w:sz w:val="24"/>
          <w:szCs w:val="24"/>
        </w:rPr>
        <w:t>mL</w:t>
      </w:r>
      <w:proofErr w:type="spellEnd"/>
      <w:r>
        <w:rPr>
          <w:sz w:val="24"/>
          <w:szCs w:val="24"/>
        </w:rPr>
        <w:t>/min.</w:t>
      </w:r>
    </w:p>
    <w:p w:rsidR="004F7AEB" w:rsidRDefault="004F7AEB" w:rsidP="004F7AEB">
      <w:pPr>
        <w:tabs>
          <w:tab w:val="left" w:pos="851"/>
        </w:tabs>
        <w:rPr>
          <w:sz w:val="24"/>
          <w:szCs w:val="24"/>
        </w:rPr>
      </w:pPr>
    </w:p>
    <w:p w:rsidR="00880457" w:rsidRPr="00880457" w:rsidRDefault="00880457" w:rsidP="00880457">
      <w:pPr>
        <w:tabs>
          <w:tab w:val="left" w:pos="851"/>
        </w:tabs>
        <w:ind w:left="851"/>
        <w:rPr>
          <w:sz w:val="24"/>
          <w:szCs w:val="24"/>
        </w:rPr>
      </w:pPr>
      <w:r w:rsidRPr="00880457">
        <w:rPr>
          <w:sz w:val="24"/>
          <w:szCs w:val="24"/>
        </w:rPr>
        <w:t>Det er obligatorisk at bruge et infusionssæt med et 15 µm filter som det, der følger med pakningen.</w:t>
      </w:r>
    </w:p>
    <w:p w:rsidR="004F7AEB" w:rsidRDefault="004F7AEB" w:rsidP="004F7AEB">
      <w:pPr>
        <w:tabs>
          <w:tab w:val="left" w:pos="851"/>
        </w:tabs>
        <w:ind w:left="851"/>
        <w:rPr>
          <w:sz w:val="24"/>
          <w:szCs w:val="24"/>
        </w:rPr>
      </w:pPr>
    </w:p>
    <w:p w:rsidR="004F7AEB" w:rsidRDefault="004F7AEB" w:rsidP="004F7AEB">
      <w:pPr>
        <w:tabs>
          <w:tab w:val="left" w:pos="851"/>
        </w:tabs>
        <w:ind w:left="851"/>
        <w:rPr>
          <w:sz w:val="24"/>
          <w:szCs w:val="24"/>
        </w:rPr>
      </w:pPr>
      <w:r>
        <w:rPr>
          <w:sz w:val="24"/>
          <w:szCs w:val="24"/>
        </w:rPr>
        <w:t>Ikke anvendt lægemiddel samt affald heraf skal bortskaffes i henhold til lokale retningslinjer.</w:t>
      </w:r>
    </w:p>
    <w:p w:rsidR="004F7AEB"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F7AEB" w:rsidRPr="00F612FD" w:rsidRDefault="004F7AEB" w:rsidP="004F7AEB">
      <w:pPr>
        <w:keepNext/>
        <w:tabs>
          <w:tab w:val="left" w:pos="851"/>
        </w:tabs>
        <w:kinsoku w:val="0"/>
        <w:overflowPunct w:val="0"/>
        <w:autoSpaceDE w:val="0"/>
        <w:autoSpaceDN w:val="0"/>
        <w:ind w:left="851"/>
        <w:rPr>
          <w:rFonts w:eastAsia="SimSun" w:cs="Calibri"/>
          <w:sz w:val="24"/>
          <w:szCs w:val="24"/>
          <w:lang w:eastAsia="da-DK"/>
        </w:rPr>
      </w:pPr>
      <w:proofErr w:type="spellStart"/>
      <w:r>
        <w:rPr>
          <w:rFonts w:eastAsia="SimSun" w:cs="Calibri"/>
          <w:sz w:val="24"/>
          <w:szCs w:val="24"/>
          <w:lang w:eastAsia="da-DK"/>
        </w:rPr>
        <w:t>Laboratoire</w:t>
      </w:r>
      <w:proofErr w:type="spellEnd"/>
      <w:r>
        <w:rPr>
          <w:rFonts w:eastAsia="SimSun" w:cs="Calibri"/>
          <w:sz w:val="24"/>
          <w:szCs w:val="24"/>
          <w:lang w:eastAsia="da-DK"/>
        </w:rPr>
        <w:t xml:space="preserve"> </w:t>
      </w:r>
      <w:proofErr w:type="spellStart"/>
      <w:r>
        <w:rPr>
          <w:rFonts w:eastAsia="SimSun" w:cs="Calibri"/>
          <w:sz w:val="24"/>
          <w:szCs w:val="24"/>
          <w:lang w:eastAsia="da-DK"/>
        </w:rPr>
        <w:t>f</w:t>
      </w:r>
      <w:r w:rsidRPr="00F612FD">
        <w:rPr>
          <w:rFonts w:eastAsia="SimSun" w:cs="Calibri"/>
          <w:sz w:val="24"/>
          <w:szCs w:val="24"/>
          <w:lang w:eastAsia="da-DK"/>
        </w:rPr>
        <w:t>rançais</w:t>
      </w:r>
      <w:proofErr w:type="spellEnd"/>
      <w:r w:rsidRPr="00F612FD">
        <w:rPr>
          <w:rFonts w:eastAsia="SimSun" w:cs="Calibri"/>
          <w:sz w:val="24"/>
          <w:szCs w:val="24"/>
          <w:lang w:eastAsia="da-DK"/>
        </w:rPr>
        <w:t xml:space="preserve"> du </w:t>
      </w:r>
      <w:proofErr w:type="spellStart"/>
      <w:r w:rsidRPr="00F612FD">
        <w:rPr>
          <w:rFonts w:eastAsia="SimSun" w:cs="Calibri"/>
          <w:sz w:val="24"/>
          <w:szCs w:val="24"/>
          <w:lang w:eastAsia="da-DK"/>
        </w:rPr>
        <w:t>Fractionnement</w:t>
      </w:r>
      <w:proofErr w:type="spellEnd"/>
      <w:r w:rsidRPr="00F612FD">
        <w:rPr>
          <w:rFonts w:eastAsia="SimSun" w:cs="Calibri"/>
          <w:sz w:val="24"/>
          <w:szCs w:val="24"/>
          <w:lang w:eastAsia="da-DK"/>
        </w:rPr>
        <w:t xml:space="preserve"> et des </w:t>
      </w:r>
      <w:proofErr w:type="spellStart"/>
      <w:r w:rsidRPr="00F612FD">
        <w:rPr>
          <w:rFonts w:eastAsia="SimSun" w:cs="Calibri"/>
          <w:sz w:val="24"/>
          <w:szCs w:val="24"/>
          <w:lang w:eastAsia="da-DK"/>
        </w:rPr>
        <w:t>Biotechnologies</w:t>
      </w:r>
      <w:proofErr w:type="spellEnd"/>
    </w:p>
    <w:p w:rsidR="005B69DC" w:rsidRPr="005B69DC" w:rsidRDefault="005B69DC" w:rsidP="005B69DC">
      <w:pPr>
        <w:tabs>
          <w:tab w:val="left" w:pos="851"/>
        </w:tabs>
        <w:kinsoku w:val="0"/>
        <w:overflowPunct w:val="0"/>
        <w:autoSpaceDE w:val="0"/>
        <w:autoSpaceDN w:val="0"/>
        <w:ind w:left="851"/>
        <w:rPr>
          <w:rFonts w:eastAsia="SimSun" w:cs="Calibri"/>
          <w:sz w:val="24"/>
          <w:szCs w:val="24"/>
          <w:lang w:eastAsia="da-DK"/>
        </w:rPr>
      </w:pPr>
      <w:r w:rsidRPr="005B69DC">
        <w:rPr>
          <w:rFonts w:eastAsia="SimSun" w:cs="Calibri"/>
          <w:sz w:val="24"/>
          <w:szCs w:val="24"/>
          <w:lang w:eastAsia="da-DK"/>
        </w:rPr>
        <w:t xml:space="preserve">Tour W </w:t>
      </w:r>
    </w:p>
    <w:p w:rsidR="005B69DC" w:rsidRPr="005B69DC" w:rsidRDefault="005B69DC" w:rsidP="005B69DC">
      <w:pPr>
        <w:tabs>
          <w:tab w:val="left" w:pos="851"/>
        </w:tabs>
        <w:kinsoku w:val="0"/>
        <w:overflowPunct w:val="0"/>
        <w:autoSpaceDE w:val="0"/>
        <w:autoSpaceDN w:val="0"/>
        <w:ind w:left="851"/>
        <w:rPr>
          <w:rFonts w:eastAsia="SimSun" w:cs="Calibri"/>
          <w:sz w:val="24"/>
          <w:szCs w:val="24"/>
          <w:lang w:eastAsia="da-DK"/>
        </w:rPr>
      </w:pPr>
      <w:r w:rsidRPr="005B69DC">
        <w:rPr>
          <w:rFonts w:eastAsia="SimSun" w:cs="Calibri"/>
          <w:sz w:val="24"/>
          <w:szCs w:val="24"/>
          <w:lang w:eastAsia="da-DK"/>
        </w:rPr>
        <w:t xml:space="preserve">102 Terrasse </w:t>
      </w:r>
      <w:proofErr w:type="spellStart"/>
      <w:r w:rsidRPr="005B69DC">
        <w:rPr>
          <w:rFonts w:eastAsia="SimSun" w:cs="Calibri"/>
          <w:sz w:val="24"/>
          <w:szCs w:val="24"/>
          <w:lang w:eastAsia="da-DK"/>
        </w:rPr>
        <w:t>Boieldieu</w:t>
      </w:r>
      <w:proofErr w:type="spellEnd"/>
      <w:r w:rsidRPr="005B69DC">
        <w:rPr>
          <w:rFonts w:eastAsia="SimSun" w:cs="Calibri"/>
          <w:sz w:val="24"/>
          <w:szCs w:val="24"/>
          <w:lang w:eastAsia="da-DK"/>
        </w:rPr>
        <w:t xml:space="preserve"> 19ème Etage </w:t>
      </w:r>
    </w:p>
    <w:p w:rsidR="005B69DC" w:rsidRPr="005B69DC" w:rsidRDefault="005B69DC" w:rsidP="005B69DC">
      <w:pPr>
        <w:tabs>
          <w:tab w:val="left" w:pos="851"/>
        </w:tabs>
        <w:kinsoku w:val="0"/>
        <w:overflowPunct w:val="0"/>
        <w:autoSpaceDE w:val="0"/>
        <w:autoSpaceDN w:val="0"/>
        <w:ind w:left="851"/>
        <w:rPr>
          <w:rFonts w:eastAsia="SimSun" w:cs="Calibri"/>
          <w:sz w:val="24"/>
          <w:szCs w:val="24"/>
          <w:lang w:val="en-US" w:eastAsia="da-DK"/>
        </w:rPr>
      </w:pPr>
      <w:r w:rsidRPr="005B69DC">
        <w:rPr>
          <w:rFonts w:eastAsia="SimSun" w:cs="Calibri"/>
          <w:sz w:val="24"/>
          <w:szCs w:val="24"/>
          <w:lang w:val="en-US" w:eastAsia="da-DK"/>
        </w:rPr>
        <w:t xml:space="preserve">92800 </w:t>
      </w:r>
      <w:proofErr w:type="spellStart"/>
      <w:r w:rsidRPr="005B69DC">
        <w:rPr>
          <w:rFonts w:eastAsia="SimSun" w:cs="Calibri"/>
          <w:sz w:val="24"/>
          <w:szCs w:val="24"/>
          <w:lang w:val="en-US" w:eastAsia="da-DK"/>
        </w:rPr>
        <w:t>Puteaux</w:t>
      </w:r>
      <w:proofErr w:type="spellEnd"/>
      <w:r w:rsidRPr="005B69DC">
        <w:rPr>
          <w:rFonts w:eastAsia="SimSun" w:cs="Calibri"/>
          <w:sz w:val="24"/>
          <w:szCs w:val="24"/>
          <w:lang w:val="en-US" w:eastAsia="da-DK"/>
        </w:rPr>
        <w:t xml:space="preserve"> </w:t>
      </w:r>
    </w:p>
    <w:p w:rsidR="004F7AEB" w:rsidRPr="00C84483" w:rsidRDefault="004F7AEB" w:rsidP="005B69DC">
      <w:pPr>
        <w:tabs>
          <w:tab w:val="left" w:pos="851"/>
        </w:tabs>
        <w:kinsoku w:val="0"/>
        <w:overflowPunct w:val="0"/>
        <w:autoSpaceDE w:val="0"/>
        <w:autoSpaceDN w:val="0"/>
        <w:ind w:left="851"/>
        <w:rPr>
          <w:sz w:val="24"/>
          <w:szCs w:val="24"/>
        </w:rPr>
      </w:pPr>
      <w:bookmarkStart w:id="1" w:name="_GoBack"/>
      <w:bookmarkEnd w:id="1"/>
      <w:r>
        <w:rPr>
          <w:rFonts w:eastAsia="SimSun" w:cs="Calibri"/>
          <w:sz w:val="24"/>
          <w:szCs w:val="24"/>
          <w:lang w:eastAsia="da-DK"/>
        </w:rPr>
        <w:t>Frankrig</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880457">
        <w:rPr>
          <w:b/>
          <w:sz w:val="24"/>
          <w:szCs w:val="24"/>
        </w:rPr>
        <w:t>-</w:t>
      </w:r>
      <w:r w:rsidRPr="00C84483">
        <w:rPr>
          <w:b/>
          <w:sz w:val="24"/>
          <w:szCs w:val="24"/>
        </w:rPr>
        <w:t>NUMRE)</w:t>
      </w:r>
    </w:p>
    <w:p w:rsidR="004F7AEB" w:rsidRPr="00C84483" w:rsidRDefault="004F7AEB" w:rsidP="004F7AEB">
      <w:pPr>
        <w:tabs>
          <w:tab w:val="left" w:pos="851"/>
        </w:tabs>
        <w:ind w:left="851"/>
        <w:rPr>
          <w:sz w:val="24"/>
          <w:szCs w:val="24"/>
        </w:rPr>
      </w:pPr>
      <w:r>
        <w:rPr>
          <w:sz w:val="24"/>
          <w:szCs w:val="24"/>
        </w:rPr>
        <w:t>55403</w:t>
      </w:r>
    </w:p>
    <w:p w:rsidR="004F7AEB" w:rsidRPr="00C84483" w:rsidRDefault="004F7AEB" w:rsidP="004F7AEB">
      <w:pPr>
        <w:tabs>
          <w:tab w:val="left" w:pos="851"/>
        </w:tabs>
        <w:ind w:left="851"/>
        <w:jc w:val="both"/>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4F7AEB" w:rsidRPr="00C84483" w:rsidRDefault="004F7AEB" w:rsidP="004F7AEB">
      <w:pPr>
        <w:tabs>
          <w:tab w:val="left" w:pos="851"/>
        </w:tabs>
        <w:ind w:left="851"/>
        <w:rPr>
          <w:sz w:val="24"/>
          <w:szCs w:val="24"/>
        </w:rPr>
      </w:pPr>
      <w:r>
        <w:rPr>
          <w:sz w:val="24"/>
          <w:szCs w:val="24"/>
        </w:rPr>
        <w:t>27. januar 2016</w:t>
      </w:r>
    </w:p>
    <w:p w:rsidR="004F7AEB" w:rsidRPr="00C84483" w:rsidRDefault="004F7AEB" w:rsidP="004F7AEB">
      <w:pPr>
        <w:tabs>
          <w:tab w:val="left" w:pos="851"/>
        </w:tabs>
        <w:ind w:left="851"/>
        <w:rPr>
          <w:sz w:val="24"/>
          <w:szCs w:val="24"/>
        </w:rPr>
      </w:pPr>
    </w:p>
    <w:p w:rsidR="004F7AEB" w:rsidRPr="00C84483" w:rsidRDefault="004F7AEB" w:rsidP="004F7AE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4F7AEB" w:rsidRPr="00C84483" w:rsidRDefault="005B69DC" w:rsidP="004F7AEB">
      <w:pPr>
        <w:tabs>
          <w:tab w:val="left" w:pos="851"/>
        </w:tabs>
        <w:ind w:left="851"/>
        <w:rPr>
          <w:sz w:val="24"/>
          <w:szCs w:val="24"/>
        </w:rPr>
      </w:pPr>
      <w:r>
        <w:rPr>
          <w:sz w:val="24"/>
          <w:szCs w:val="24"/>
        </w:rPr>
        <w:t>23. december</w:t>
      </w:r>
      <w:r w:rsidR="00B05C02">
        <w:rPr>
          <w:sz w:val="24"/>
          <w:szCs w:val="24"/>
        </w:rPr>
        <w:t xml:space="preserve"> 202</w:t>
      </w:r>
      <w:r w:rsidR="00880457">
        <w:rPr>
          <w:sz w:val="24"/>
          <w:szCs w:val="24"/>
        </w:rPr>
        <w:t>4</w:t>
      </w:r>
    </w:p>
    <w:p w:rsidR="004F7AEB" w:rsidRPr="006A0731" w:rsidRDefault="004F7AEB" w:rsidP="004F7AEB"/>
    <w:p w:rsidR="004F7AEB" w:rsidRPr="00625E5D" w:rsidRDefault="004F7AEB" w:rsidP="004F7AEB"/>
    <w:p w:rsidR="009260DE" w:rsidRPr="004F7AEB" w:rsidRDefault="009260DE" w:rsidP="004F7AEB"/>
    <w:sectPr w:rsidR="009260DE" w:rsidRPr="004F7AEB" w:rsidSect="000259B9">
      <w:footerReference w:type="default" r:id="rId15"/>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AEB" w:rsidRDefault="004F7AEB">
      <w:r>
        <w:separator/>
      </w:r>
    </w:p>
  </w:endnote>
  <w:endnote w:type="continuationSeparator" w:id="0">
    <w:p w:rsidR="004F7AEB" w:rsidRDefault="004F7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05C02">
      <w:rPr>
        <w:i/>
        <w:noProof/>
        <w:sz w:val="18"/>
        <w:szCs w:val="18"/>
      </w:rPr>
      <w:t>Fibclot, pulver og solvens til injektions- og infusionsvæske, opløsning 1,5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AEB" w:rsidRDefault="004F7AEB">
      <w:r>
        <w:separator/>
      </w:r>
    </w:p>
  </w:footnote>
  <w:footnote w:type="continuationSeparator" w:id="0">
    <w:p w:rsidR="004F7AEB" w:rsidRDefault="004F7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2A9"/>
    <w:multiLevelType w:val="hybridMultilevel"/>
    <w:tmpl w:val="27926F64"/>
    <w:lvl w:ilvl="0" w:tplc="3DE633B6">
      <w:start w:val="5"/>
      <w:numFmt w:val="bullet"/>
      <w:lvlText w:val="-"/>
      <w:lvlJc w:val="left"/>
      <w:pPr>
        <w:ind w:left="1211" w:hanging="360"/>
      </w:pPr>
      <w:rPr>
        <w:rFonts w:ascii="Times New Roman" w:eastAsia="SimSu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D030929"/>
    <w:multiLevelType w:val="hybridMultilevel"/>
    <w:tmpl w:val="8D34865A"/>
    <w:lvl w:ilvl="0" w:tplc="94AAA902">
      <w:start w:val="1"/>
      <w:numFmt w:val="bullet"/>
      <w:pStyle w:val="Hyphen"/>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AEB"/>
    <w:rsid w:val="000059D5"/>
    <w:rsid w:val="000259B9"/>
    <w:rsid w:val="00041491"/>
    <w:rsid w:val="00050D16"/>
    <w:rsid w:val="00074F2A"/>
    <w:rsid w:val="000A1CA8"/>
    <w:rsid w:val="000A466B"/>
    <w:rsid w:val="000B058C"/>
    <w:rsid w:val="000E4EE6"/>
    <w:rsid w:val="001454E2"/>
    <w:rsid w:val="001F65EE"/>
    <w:rsid w:val="00206CE8"/>
    <w:rsid w:val="0021526C"/>
    <w:rsid w:val="00283A2B"/>
    <w:rsid w:val="002B30AD"/>
    <w:rsid w:val="002C2C01"/>
    <w:rsid w:val="003A29AE"/>
    <w:rsid w:val="003A32D7"/>
    <w:rsid w:val="003B4074"/>
    <w:rsid w:val="003C769A"/>
    <w:rsid w:val="003F1838"/>
    <w:rsid w:val="0045746C"/>
    <w:rsid w:val="0049104B"/>
    <w:rsid w:val="004B10DB"/>
    <w:rsid w:val="004E3B12"/>
    <w:rsid w:val="004F7AEB"/>
    <w:rsid w:val="00532310"/>
    <w:rsid w:val="00560ECC"/>
    <w:rsid w:val="00565F0F"/>
    <w:rsid w:val="00594A86"/>
    <w:rsid w:val="0059597C"/>
    <w:rsid w:val="00596D86"/>
    <w:rsid w:val="005B69DC"/>
    <w:rsid w:val="00637F5A"/>
    <w:rsid w:val="006560B1"/>
    <w:rsid w:val="006756DD"/>
    <w:rsid w:val="00737275"/>
    <w:rsid w:val="00740EEC"/>
    <w:rsid w:val="0078011A"/>
    <w:rsid w:val="00782AF4"/>
    <w:rsid w:val="00790EE7"/>
    <w:rsid w:val="007B6649"/>
    <w:rsid w:val="0081546F"/>
    <w:rsid w:val="0082576E"/>
    <w:rsid w:val="00880457"/>
    <w:rsid w:val="00907F75"/>
    <w:rsid w:val="009260DE"/>
    <w:rsid w:val="0093258A"/>
    <w:rsid w:val="00933437"/>
    <w:rsid w:val="009C7BA3"/>
    <w:rsid w:val="009D1F5A"/>
    <w:rsid w:val="00A151B3"/>
    <w:rsid w:val="00B003BF"/>
    <w:rsid w:val="00B05C02"/>
    <w:rsid w:val="00B373D7"/>
    <w:rsid w:val="00C36276"/>
    <w:rsid w:val="00C42586"/>
    <w:rsid w:val="00C60CCD"/>
    <w:rsid w:val="00C84483"/>
    <w:rsid w:val="00C95551"/>
    <w:rsid w:val="00CB20D7"/>
    <w:rsid w:val="00D020B0"/>
    <w:rsid w:val="00D11748"/>
    <w:rsid w:val="00D366CF"/>
    <w:rsid w:val="00DC0D55"/>
    <w:rsid w:val="00E108AA"/>
    <w:rsid w:val="00E31812"/>
    <w:rsid w:val="00E3749A"/>
    <w:rsid w:val="00E7437F"/>
    <w:rsid w:val="00E865B8"/>
    <w:rsid w:val="00EC0B9B"/>
    <w:rsid w:val="00ED5E9F"/>
    <w:rsid w:val="00F2334A"/>
    <w:rsid w:val="00F6258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5C6CA1EB"/>
  <w15:chartTrackingRefBased/>
  <w15:docId w15:val="{99302958-F028-474F-819A-50C9626AB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KeepWithNext">
    <w:name w:val="Keep With Next"/>
    <w:basedOn w:val="Normal"/>
    <w:rsid w:val="004F7AEB"/>
    <w:pPr>
      <w:keepNext/>
      <w:tabs>
        <w:tab w:val="left" w:pos="567"/>
      </w:tabs>
      <w:kinsoku w:val="0"/>
      <w:overflowPunct w:val="0"/>
      <w:autoSpaceDE w:val="0"/>
      <w:autoSpaceDN w:val="0"/>
    </w:pPr>
    <w:rPr>
      <w:rFonts w:eastAsia="SimSun" w:cs="Calibri"/>
      <w:sz w:val="22"/>
      <w:szCs w:val="22"/>
      <w:lang w:eastAsia="da-DK"/>
    </w:rPr>
  </w:style>
  <w:style w:type="paragraph" w:customStyle="1" w:styleId="Centered">
    <w:name w:val="Centered"/>
    <w:basedOn w:val="Normal"/>
    <w:qFormat/>
    <w:rsid w:val="004F7AEB"/>
    <w:pPr>
      <w:tabs>
        <w:tab w:val="left" w:pos="567"/>
      </w:tabs>
      <w:kinsoku w:val="0"/>
      <w:overflowPunct w:val="0"/>
      <w:autoSpaceDE w:val="0"/>
      <w:autoSpaceDN w:val="0"/>
      <w:jc w:val="center"/>
    </w:pPr>
    <w:rPr>
      <w:rFonts w:eastAsia="SimSun" w:cs="Calibri"/>
      <w:sz w:val="22"/>
      <w:szCs w:val="22"/>
      <w:lang w:eastAsia="da-DK"/>
    </w:rPr>
  </w:style>
  <w:style w:type="paragraph" w:customStyle="1" w:styleId="Bold">
    <w:name w:val="Bold"/>
    <w:basedOn w:val="Normal"/>
    <w:next w:val="Normal"/>
    <w:link w:val="BoldCharChar"/>
    <w:rsid w:val="004F7AEB"/>
    <w:pPr>
      <w:keepNext/>
      <w:tabs>
        <w:tab w:val="left" w:pos="567"/>
      </w:tabs>
      <w:kinsoku w:val="0"/>
      <w:overflowPunct w:val="0"/>
      <w:autoSpaceDE w:val="0"/>
      <w:autoSpaceDN w:val="0"/>
    </w:pPr>
    <w:rPr>
      <w:rFonts w:eastAsia="SimSun" w:cs="Calibri"/>
      <w:b/>
      <w:sz w:val="22"/>
      <w:szCs w:val="22"/>
      <w:lang w:eastAsia="da-DK"/>
    </w:rPr>
  </w:style>
  <w:style w:type="character" w:customStyle="1" w:styleId="BoldCharChar">
    <w:name w:val="Bold Char Char"/>
    <w:link w:val="Bold"/>
    <w:locked/>
    <w:rsid w:val="004F7AEB"/>
    <w:rPr>
      <w:rFonts w:eastAsia="SimSun" w:cs="Calibri"/>
      <w:b/>
      <w:sz w:val="22"/>
      <w:szCs w:val="22"/>
    </w:rPr>
  </w:style>
  <w:style w:type="paragraph" w:customStyle="1" w:styleId="Underline">
    <w:name w:val="Underline"/>
    <w:basedOn w:val="Normal"/>
    <w:next w:val="Normal"/>
    <w:link w:val="UnderlineCharChar"/>
    <w:qFormat/>
    <w:rsid w:val="004F7AEB"/>
    <w:pPr>
      <w:keepNext/>
      <w:tabs>
        <w:tab w:val="left" w:pos="567"/>
      </w:tabs>
      <w:kinsoku w:val="0"/>
      <w:overflowPunct w:val="0"/>
      <w:autoSpaceDE w:val="0"/>
      <w:autoSpaceDN w:val="0"/>
    </w:pPr>
    <w:rPr>
      <w:rFonts w:eastAsia="SimSun" w:cs="Calibri"/>
      <w:sz w:val="22"/>
      <w:szCs w:val="22"/>
      <w:u w:val="single"/>
      <w:lang w:eastAsia="da-DK"/>
    </w:rPr>
  </w:style>
  <w:style w:type="character" w:customStyle="1" w:styleId="UnderlineCharChar">
    <w:name w:val="Underline Char Char"/>
    <w:link w:val="Underline"/>
    <w:locked/>
    <w:rsid w:val="004F7AEB"/>
    <w:rPr>
      <w:rFonts w:eastAsia="SimSun" w:cs="Calibri"/>
      <w:sz w:val="22"/>
      <w:szCs w:val="22"/>
      <w:u w:val="single"/>
    </w:rPr>
  </w:style>
  <w:style w:type="character" w:styleId="Hyperlink">
    <w:name w:val="Hyperlink"/>
    <w:basedOn w:val="Standardskrifttypeiafsnit"/>
    <w:uiPriority w:val="99"/>
    <w:rsid w:val="004F7AEB"/>
    <w:rPr>
      <w:color w:val="auto"/>
      <w:u w:val="single"/>
    </w:rPr>
  </w:style>
  <w:style w:type="paragraph" w:styleId="Brdtekst">
    <w:name w:val="Body Text"/>
    <w:basedOn w:val="Normal"/>
    <w:link w:val="BrdtekstTegn"/>
    <w:qFormat/>
    <w:rsid w:val="004F7AEB"/>
    <w:pPr>
      <w:tabs>
        <w:tab w:val="left" w:pos="567"/>
      </w:tabs>
      <w:kinsoku w:val="0"/>
      <w:overflowPunct w:val="0"/>
      <w:autoSpaceDE w:val="0"/>
      <w:autoSpaceDN w:val="0"/>
      <w:spacing w:after="120"/>
    </w:pPr>
    <w:rPr>
      <w:rFonts w:eastAsia="SimSun" w:cs="Calibri"/>
      <w:sz w:val="22"/>
      <w:szCs w:val="22"/>
      <w:lang w:eastAsia="da-DK"/>
    </w:rPr>
  </w:style>
  <w:style w:type="character" w:customStyle="1" w:styleId="BrdtekstTegn">
    <w:name w:val="Brødtekst Tegn"/>
    <w:basedOn w:val="Standardskrifttypeiafsnit"/>
    <w:link w:val="Brdtekst"/>
    <w:rsid w:val="004F7AEB"/>
    <w:rPr>
      <w:rFonts w:eastAsia="SimSun" w:cs="Calibri"/>
      <w:sz w:val="22"/>
      <w:szCs w:val="22"/>
    </w:rPr>
  </w:style>
  <w:style w:type="paragraph" w:customStyle="1" w:styleId="Hyphen">
    <w:name w:val="Hyphen"/>
    <w:basedOn w:val="Normal"/>
    <w:qFormat/>
    <w:rsid w:val="004F7AEB"/>
    <w:pPr>
      <w:numPr>
        <w:numId w:val="6"/>
      </w:numPr>
      <w:tabs>
        <w:tab w:val="left" w:pos="567"/>
      </w:tabs>
      <w:kinsoku w:val="0"/>
      <w:overflowPunct w:val="0"/>
      <w:autoSpaceDE w:val="0"/>
      <w:autoSpaceDN w:val="0"/>
      <w:ind w:left="567" w:hanging="567"/>
    </w:pPr>
    <w:rPr>
      <w:rFonts w:eastAsia="SimSun" w:cs="Calibri"/>
      <w:sz w:val="22"/>
      <w:szCs w:val="22"/>
      <w:lang w:eastAsia="da-DK"/>
    </w:rPr>
  </w:style>
  <w:style w:type="paragraph" w:customStyle="1" w:styleId="BoldandItalic">
    <w:name w:val="Bold and Italic"/>
    <w:basedOn w:val="Normal"/>
    <w:next w:val="Normal"/>
    <w:link w:val="BoldandItalicCharChar"/>
    <w:qFormat/>
    <w:rsid w:val="004F7AEB"/>
    <w:pPr>
      <w:keepNext/>
      <w:tabs>
        <w:tab w:val="left" w:pos="567"/>
      </w:tabs>
      <w:kinsoku w:val="0"/>
      <w:overflowPunct w:val="0"/>
      <w:autoSpaceDE w:val="0"/>
      <w:autoSpaceDN w:val="0"/>
    </w:pPr>
    <w:rPr>
      <w:rFonts w:eastAsia="SimSun" w:cs="Calibri"/>
      <w:b/>
      <w:i/>
      <w:sz w:val="22"/>
      <w:szCs w:val="22"/>
      <w:lang w:eastAsia="da-DK"/>
    </w:rPr>
  </w:style>
  <w:style w:type="character" w:customStyle="1" w:styleId="BoldandItalicCharChar">
    <w:name w:val="Bold and Italic Char Char"/>
    <w:link w:val="BoldandItalic"/>
    <w:locked/>
    <w:rsid w:val="004F7AEB"/>
    <w:rPr>
      <w:rFonts w:eastAsia="SimSun" w:cs="Calibri"/>
      <w:b/>
      <w:i/>
      <w:sz w:val="22"/>
      <w:szCs w:val="22"/>
    </w:rPr>
  </w:style>
  <w:style w:type="paragraph" w:customStyle="1" w:styleId="CorpsdetexteSuite">
    <w:name w:val="Corps de texte _Suite"/>
    <w:basedOn w:val="Normal"/>
    <w:uiPriority w:val="99"/>
    <w:rsid w:val="004F7AEB"/>
    <w:pPr>
      <w:tabs>
        <w:tab w:val="left" w:pos="567"/>
      </w:tabs>
      <w:kinsoku w:val="0"/>
      <w:overflowPunct w:val="0"/>
      <w:autoSpaceDE w:val="0"/>
      <w:autoSpaceDN w:val="0"/>
      <w:jc w:val="both"/>
    </w:pPr>
    <w:rPr>
      <w:rFonts w:eastAsia="SimSun" w:cs="Calibri"/>
      <w:sz w:val="22"/>
      <w:szCs w:val="22"/>
      <w:lang w:eastAsia="da-DK" w:bidi="da-DK"/>
    </w:rPr>
  </w:style>
  <w:style w:type="paragraph" w:customStyle="1" w:styleId="Paragraphe1">
    <w:name w:val="Paragraphe 1"/>
    <w:basedOn w:val="Normal"/>
    <w:semiHidden/>
    <w:rsid w:val="004F7AEB"/>
    <w:pPr>
      <w:tabs>
        <w:tab w:val="left" w:pos="567"/>
      </w:tabs>
      <w:kinsoku w:val="0"/>
      <w:overflowPunct w:val="0"/>
      <w:autoSpaceDE w:val="0"/>
      <w:autoSpaceDN w:val="0"/>
    </w:pPr>
    <w:rPr>
      <w:rFonts w:ascii="Times" w:eastAsia="SimSun" w:hAnsi="Times" w:cs="Calibri"/>
      <w:sz w:val="28"/>
      <w:szCs w:val="22"/>
      <w:lang w:eastAsia="da-DK" w:bidi="da-DK"/>
    </w:rPr>
  </w:style>
  <w:style w:type="paragraph" w:styleId="Listeafsnit">
    <w:name w:val="List Paragraph"/>
    <w:basedOn w:val="Normal"/>
    <w:uiPriority w:val="34"/>
    <w:qFormat/>
    <w:rsid w:val="004F7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05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0651836">
      <w:bodyDiv w:val="1"/>
      <w:marLeft w:val="0"/>
      <w:marRight w:val="0"/>
      <w:marTop w:val="0"/>
      <w:marBottom w:val="0"/>
      <w:divBdr>
        <w:top w:val="none" w:sz="0" w:space="0" w:color="auto"/>
        <w:left w:val="none" w:sz="0" w:space="0" w:color="auto"/>
        <w:bottom w:val="none" w:sz="0" w:space="0" w:color="auto"/>
        <w:right w:val="none" w:sz="0" w:space="0" w:color="auto"/>
      </w:divBdr>
    </w:div>
    <w:div w:id="547768734">
      <w:bodyDiv w:val="1"/>
      <w:marLeft w:val="0"/>
      <w:marRight w:val="0"/>
      <w:marTop w:val="0"/>
      <w:marBottom w:val="0"/>
      <w:divBdr>
        <w:top w:val="none" w:sz="0" w:space="0" w:color="auto"/>
        <w:left w:val="none" w:sz="0" w:space="0" w:color="auto"/>
        <w:bottom w:val="none" w:sz="0" w:space="0" w:color="auto"/>
        <w:right w:val="none" w:sz="0" w:space="0" w:color="auto"/>
      </w:divBdr>
    </w:div>
    <w:div w:id="700471428">
      <w:bodyDiv w:val="1"/>
      <w:marLeft w:val="0"/>
      <w:marRight w:val="0"/>
      <w:marTop w:val="0"/>
      <w:marBottom w:val="0"/>
      <w:divBdr>
        <w:top w:val="none" w:sz="0" w:space="0" w:color="auto"/>
        <w:left w:val="none" w:sz="0" w:space="0" w:color="auto"/>
        <w:bottom w:val="none" w:sz="0" w:space="0" w:color="auto"/>
        <w:right w:val="none" w:sz="0" w:space="0" w:color="auto"/>
      </w:divBdr>
    </w:div>
    <w:div w:id="735779907">
      <w:bodyDiv w:val="1"/>
      <w:marLeft w:val="0"/>
      <w:marRight w:val="0"/>
      <w:marTop w:val="0"/>
      <w:marBottom w:val="0"/>
      <w:divBdr>
        <w:top w:val="none" w:sz="0" w:space="0" w:color="auto"/>
        <w:left w:val="none" w:sz="0" w:space="0" w:color="auto"/>
        <w:bottom w:val="none" w:sz="0" w:space="0" w:color="auto"/>
        <w:right w:val="none" w:sz="0" w:space="0" w:color="auto"/>
      </w:divBdr>
    </w:div>
    <w:div w:id="796800388">
      <w:bodyDiv w:val="1"/>
      <w:marLeft w:val="0"/>
      <w:marRight w:val="0"/>
      <w:marTop w:val="0"/>
      <w:marBottom w:val="0"/>
      <w:divBdr>
        <w:top w:val="none" w:sz="0" w:space="0" w:color="auto"/>
        <w:left w:val="none" w:sz="0" w:space="0" w:color="auto"/>
        <w:bottom w:val="none" w:sz="0" w:space="0" w:color="auto"/>
        <w:right w:val="none" w:sz="0" w:space="0" w:color="auto"/>
      </w:divBdr>
    </w:div>
    <w:div w:id="993725129">
      <w:bodyDiv w:val="1"/>
      <w:marLeft w:val="0"/>
      <w:marRight w:val="0"/>
      <w:marTop w:val="0"/>
      <w:marBottom w:val="0"/>
      <w:divBdr>
        <w:top w:val="none" w:sz="0" w:space="0" w:color="auto"/>
        <w:left w:val="none" w:sz="0" w:space="0" w:color="auto"/>
        <w:bottom w:val="none" w:sz="0" w:space="0" w:color="auto"/>
        <w:right w:val="none" w:sz="0" w:space="0" w:color="auto"/>
      </w:divBdr>
    </w:div>
    <w:div w:id="1082331547">
      <w:bodyDiv w:val="1"/>
      <w:marLeft w:val="0"/>
      <w:marRight w:val="0"/>
      <w:marTop w:val="0"/>
      <w:marBottom w:val="0"/>
      <w:divBdr>
        <w:top w:val="none" w:sz="0" w:space="0" w:color="auto"/>
        <w:left w:val="none" w:sz="0" w:space="0" w:color="auto"/>
        <w:bottom w:val="none" w:sz="0" w:space="0" w:color="auto"/>
        <w:right w:val="none" w:sz="0" w:space="0" w:color="auto"/>
      </w:divBdr>
    </w:div>
    <w:div w:id="1129788394">
      <w:bodyDiv w:val="1"/>
      <w:marLeft w:val="0"/>
      <w:marRight w:val="0"/>
      <w:marTop w:val="0"/>
      <w:marBottom w:val="0"/>
      <w:divBdr>
        <w:top w:val="none" w:sz="0" w:space="0" w:color="auto"/>
        <w:left w:val="none" w:sz="0" w:space="0" w:color="auto"/>
        <w:bottom w:val="none" w:sz="0" w:space="0" w:color="auto"/>
        <w:right w:val="none" w:sz="0" w:space="0" w:color="auto"/>
      </w:divBdr>
    </w:div>
    <w:div w:id="1145123911">
      <w:bodyDiv w:val="1"/>
      <w:marLeft w:val="0"/>
      <w:marRight w:val="0"/>
      <w:marTop w:val="0"/>
      <w:marBottom w:val="0"/>
      <w:divBdr>
        <w:top w:val="none" w:sz="0" w:space="0" w:color="auto"/>
        <w:left w:val="none" w:sz="0" w:space="0" w:color="auto"/>
        <w:bottom w:val="none" w:sz="0" w:space="0" w:color="auto"/>
        <w:right w:val="none" w:sz="0" w:space="0" w:color="auto"/>
      </w:divBdr>
    </w:div>
    <w:div w:id="1221863244">
      <w:bodyDiv w:val="1"/>
      <w:marLeft w:val="0"/>
      <w:marRight w:val="0"/>
      <w:marTop w:val="0"/>
      <w:marBottom w:val="0"/>
      <w:divBdr>
        <w:top w:val="none" w:sz="0" w:space="0" w:color="auto"/>
        <w:left w:val="none" w:sz="0" w:space="0" w:color="auto"/>
        <w:bottom w:val="none" w:sz="0" w:space="0" w:color="auto"/>
        <w:right w:val="none" w:sz="0" w:space="0" w:color="auto"/>
      </w:divBdr>
    </w:div>
    <w:div w:id="1336303618">
      <w:bodyDiv w:val="1"/>
      <w:marLeft w:val="0"/>
      <w:marRight w:val="0"/>
      <w:marTop w:val="0"/>
      <w:marBottom w:val="0"/>
      <w:divBdr>
        <w:top w:val="none" w:sz="0" w:space="0" w:color="auto"/>
        <w:left w:val="none" w:sz="0" w:space="0" w:color="auto"/>
        <w:bottom w:val="none" w:sz="0" w:space="0" w:color="auto"/>
        <w:right w:val="none" w:sz="0" w:space="0" w:color="auto"/>
      </w:divBdr>
    </w:div>
    <w:div w:id="150400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3007</Words>
  <Characters>18747</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2022043821_x000d_
Ændring af MAH adresse</dc:description>
  <cp:lastModifiedBy>Marianne Ott Jensen</cp:lastModifiedBy>
  <cp:revision>3</cp:revision>
  <cp:lastPrinted>2012-08-22T08:53:00Z</cp:lastPrinted>
  <dcterms:created xsi:type="dcterms:W3CDTF">2024-12-18T06:58:00Z</dcterms:created>
  <dcterms:modified xsi:type="dcterms:W3CDTF">2024-12-18T06:59:00Z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